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both"/>
        <w:outlineLvl w:val="0"/>
        <w:rPr>
          <w:rFonts w:ascii="方正小标宋简体" w:hAnsi="宋体" w:eastAsia="方正小标宋简体"/>
          <w:color w:val="auto"/>
          <w:sz w:val="72"/>
          <w:szCs w:val="72"/>
        </w:rPr>
      </w:pPr>
      <w:bookmarkStart w:id="0" w:name="_Toc15306267"/>
    </w:p>
    <w:p>
      <w:pPr>
        <w:spacing w:line="600" w:lineRule="exact"/>
        <w:jc w:val="center"/>
        <w:outlineLvl w:val="0"/>
        <w:rPr>
          <w:rFonts w:ascii="方正小标宋简体" w:hAnsi="宋体" w:eastAsia="方正小标宋简体"/>
          <w:color w:val="auto"/>
          <w:sz w:val="72"/>
          <w:szCs w:val="72"/>
        </w:rPr>
      </w:pPr>
    </w:p>
    <w:p>
      <w:pPr>
        <w:spacing w:line="600" w:lineRule="exact"/>
        <w:jc w:val="center"/>
        <w:outlineLvl w:val="0"/>
        <w:rPr>
          <w:rFonts w:ascii="方正小标宋简体" w:hAnsi="宋体" w:eastAsia="方正小标宋简体"/>
          <w:color w:val="auto"/>
          <w:sz w:val="72"/>
          <w:szCs w:val="72"/>
        </w:rPr>
      </w:pPr>
    </w:p>
    <w:p>
      <w:pPr>
        <w:adjustRightInd w:val="0"/>
        <w:snapToGrid w:val="0"/>
        <w:spacing w:line="360" w:lineRule="auto"/>
        <w:jc w:val="center"/>
        <w:outlineLvl w:val="0"/>
        <w:rPr>
          <w:rFonts w:ascii="方正小标宋简体" w:hAnsi="宋体" w:eastAsia="方正小标宋简体"/>
          <w:color w:val="auto"/>
          <w:sz w:val="72"/>
          <w:szCs w:val="72"/>
        </w:rPr>
      </w:pPr>
      <w:bookmarkStart w:id="1" w:name="_Toc15396475"/>
      <w:bookmarkStart w:id="2" w:name="_Toc15377425"/>
      <w:bookmarkStart w:id="3" w:name="_Toc15378441"/>
      <w:bookmarkStart w:id="4" w:name="_Toc15377193"/>
      <w:bookmarkStart w:id="5" w:name="_Toc15396597"/>
      <w:r>
        <w:rPr>
          <w:rFonts w:ascii="黑体" w:hAnsi="黑体" w:eastAsia="黑体"/>
          <w:color w:val="auto"/>
          <w:sz w:val="72"/>
          <w:szCs w:val="72"/>
        </w:rPr>
        <w:t>201</w:t>
      </w:r>
      <w:r>
        <w:rPr>
          <w:rFonts w:hint="eastAsia" w:ascii="黑体" w:hAnsi="黑体" w:eastAsia="黑体"/>
          <w:color w:val="auto"/>
          <w:sz w:val="72"/>
          <w:szCs w:val="72"/>
        </w:rPr>
        <w:t>8</w:t>
      </w:r>
      <w:r>
        <w:rPr>
          <w:rFonts w:hint="eastAsia" w:ascii="方正小标宋简体" w:hAnsi="宋体" w:eastAsia="方正小标宋简体"/>
          <w:color w:val="auto"/>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auto"/>
          <w:sz w:val="72"/>
          <w:szCs w:val="72"/>
        </w:rPr>
      </w:pPr>
      <w:bookmarkStart w:id="6" w:name="_Toc15377194"/>
      <w:bookmarkStart w:id="7" w:name="_Toc15377426"/>
      <w:bookmarkStart w:id="8" w:name="_Toc15378442"/>
      <w:bookmarkStart w:id="9" w:name="_Toc15396598"/>
      <w:bookmarkStart w:id="10" w:name="_Toc15396476"/>
      <w:r>
        <w:rPr>
          <w:rFonts w:hint="eastAsia" w:ascii="方正小标宋简体" w:hAnsi="宋体" w:eastAsia="方正小标宋简体"/>
          <w:color w:val="auto"/>
          <w:sz w:val="72"/>
          <w:szCs w:val="72"/>
        </w:rPr>
        <w:t>四川省</w:t>
      </w:r>
      <w:bookmarkEnd w:id="0"/>
      <w:bookmarkStart w:id="11" w:name="_Toc15306268"/>
      <w:r>
        <w:rPr>
          <w:rFonts w:hint="eastAsia" w:ascii="方正小标宋简体" w:hAnsi="宋体" w:eastAsia="方正小标宋简体"/>
          <w:color w:val="auto"/>
          <w:sz w:val="72"/>
          <w:szCs w:val="72"/>
          <w:lang w:eastAsia="zh-CN"/>
        </w:rPr>
        <w:t>红原县民族宗教局</w:t>
      </w:r>
      <w:r>
        <w:rPr>
          <w:rFonts w:hint="eastAsia" w:ascii="方正小标宋简体" w:hAnsi="宋体" w:eastAsia="方正小标宋简体"/>
          <w:color w:val="auto"/>
          <w:sz w:val="72"/>
          <w:szCs w:val="72"/>
        </w:rPr>
        <w:t>决算</w:t>
      </w:r>
      <w:bookmarkEnd w:id="6"/>
      <w:bookmarkEnd w:id="7"/>
      <w:bookmarkEnd w:id="8"/>
      <w:bookmarkEnd w:id="9"/>
      <w:bookmarkEnd w:id="10"/>
      <w:bookmarkEnd w:id="11"/>
    </w:p>
    <w:p>
      <w:pPr>
        <w:widowControl/>
        <w:jc w:val="center"/>
        <w:rPr>
          <w:rFonts w:ascii="黑体" w:hAnsi="黑体" w:eastAsia="黑体"/>
          <w:color w:val="auto"/>
          <w:sz w:val="48"/>
          <w:szCs w:val="48"/>
        </w:rPr>
      </w:pPr>
      <w:r>
        <w:rPr>
          <w:rFonts w:ascii="方正小标宋简体" w:hAnsi="宋体" w:eastAsia="方正小标宋简体"/>
          <w:color w:val="auto"/>
          <w:sz w:val="36"/>
          <w:szCs w:val="36"/>
        </w:rPr>
        <w:br w:type="page"/>
      </w:r>
      <w:r>
        <w:rPr>
          <w:rFonts w:hint="eastAsia" w:ascii="黑体" w:hAnsi="黑体" w:eastAsia="黑体"/>
          <w:color w:val="auto"/>
          <w:sz w:val="48"/>
          <w:szCs w:val="48"/>
        </w:rPr>
        <w:t>目录</w:t>
      </w:r>
    </w:p>
    <w:p>
      <w:pPr>
        <w:widowControl/>
        <w:jc w:val="center"/>
        <w:rPr>
          <w:rFonts w:ascii="黑体" w:hAnsi="黑体" w:eastAsia="黑体" w:cstheme="minorBidi"/>
          <w:color w:val="auto"/>
          <w:sz w:val="28"/>
          <w:szCs w:val="28"/>
        </w:rPr>
      </w:pPr>
      <w:r>
        <w:rPr>
          <w:rFonts w:ascii="黑体" w:hAnsi="黑体" w:eastAsia="黑体"/>
          <w:color w:val="auto"/>
          <w:sz w:val="48"/>
          <w:szCs w:val="48"/>
        </w:rPr>
        <w:fldChar w:fldCharType="begin"/>
      </w:r>
      <w:r>
        <w:rPr>
          <w:rFonts w:ascii="黑体" w:hAnsi="黑体" w:eastAsia="黑体"/>
          <w:color w:val="auto"/>
          <w:sz w:val="48"/>
          <w:szCs w:val="48"/>
        </w:rPr>
        <w:instrText xml:space="preserve"> TOC \o "1-2" \h \z \u </w:instrText>
      </w:r>
      <w:r>
        <w:rPr>
          <w:rFonts w:ascii="黑体" w:hAnsi="黑体" w:eastAsia="黑体"/>
          <w:color w:val="auto"/>
          <w:sz w:val="48"/>
          <w:szCs w:val="48"/>
        </w:rPr>
        <w:fldChar w:fldCharType="separate"/>
      </w:r>
    </w:p>
    <w:p>
      <w:pPr>
        <w:rPr>
          <w:color w:val="auto"/>
        </w:rPr>
      </w:pPr>
    </w:p>
    <w:p>
      <w:pPr>
        <w:pStyle w:val="11"/>
        <w:rPr>
          <w:rFonts w:cstheme="minorBidi"/>
          <w:color w:val="auto"/>
        </w:rPr>
      </w:pPr>
      <w:r>
        <w:rPr>
          <w:color w:val="auto"/>
        </w:rPr>
        <w:fldChar w:fldCharType="begin"/>
      </w:r>
      <w:r>
        <w:rPr>
          <w:color w:val="auto"/>
        </w:rPr>
        <w:instrText xml:space="preserve"> HYPERLINK \l "_Toc15396599" </w:instrText>
      </w:r>
      <w:r>
        <w:rPr>
          <w:color w:val="auto"/>
        </w:rPr>
        <w:fldChar w:fldCharType="separate"/>
      </w:r>
      <w:r>
        <w:rPr>
          <w:rStyle w:val="17"/>
          <w:rFonts w:hint="eastAsia"/>
          <w:color w:val="auto"/>
        </w:rPr>
        <w:t>第一部分</w:t>
      </w:r>
      <w:r>
        <w:rPr>
          <w:rStyle w:val="17"/>
          <w:color w:val="auto"/>
        </w:rPr>
        <w:t xml:space="preserve"> </w:t>
      </w:r>
      <w:r>
        <w:rPr>
          <w:rStyle w:val="17"/>
          <w:rFonts w:hint="eastAsia"/>
          <w:color w:val="auto"/>
        </w:rPr>
        <w:t>部门概况</w:t>
      </w:r>
      <w:r>
        <w:rPr>
          <w:rFonts w:hint="eastAsia"/>
          <w:color w:val="auto"/>
        </w:rPr>
        <w:fldChar w:fldCharType="end"/>
      </w:r>
    </w:p>
    <w:p>
      <w:pPr>
        <w:pStyle w:val="12"/>
        <w:rPr>
          <w:rFonts w:ascii="仿宋" w:hAnsi="仿宋" w:eastAsia="仿宋" w:cstheme="minorBidi"/>
          <w:color w:val="auto"/>
          <w:sz w:val="28"/>
          <w:szCs w:val="28"/>
        </w:rPr>
      </w:pPr>
      <w:r>
        <w:rPr>
          <w:color w:val="auto"/>
        </w:rPr>
        <w:fldChar w:fldCharType="begin"/>
      </w:r>
      <w:r>
        <w:rPr>
          <w:color w:val="auto"/>
        </w:rPr>
        <w:instrText xml:space="preserve"> HYPERLINK \l "_Toc15396600" </w:instrText>
      </w:r>
      <w:r>
        <w:rPr>
          <w:color w:val="auto"/>
        </w:rPr>
        <w:fldChar w:fldCharType="separate"/>
      </w:r>
      <w:r>
        <w:rPr>
          <w:rStyle w:val="17"/>
          <w:rFonts w:hint="eastAsia" w:ascii="仿宋" w:hAnsi="仿宋" w:eastAsia="仿宋"/>
          <w:color w:val="auto"/>
          <w:sz w:val="28"/>
          <w:szCs w:val="28"/>
        </w:rPr>
        <w:t>一、基本职能及主要工作</w:t>
      </w:r>
      <w:r>
        <w:rPr>
          <w:rFonts w:hint="eastAsia" w:ascii="仿宋" w:hAnsi="仿宋" w:eastAsia="仿宋"/>
          <w:color w:val="auto"/>
          <w:sz w:val="28"/>
          <w:szCs w:val="28"/>
        </w:rPr>
        <w:fldChar w:fldCharType="end"/>
      </w:r>
    </w:p>
    <w:p>
      <w:pPr>
        <w:pStyle w:val="12"/>
        <w:rPr>
          <w:rFonts w:ascii="仿宋" w:hAnsi="仿宋" w:eastAsia="仿宋" w:cstheme="minorBidi"/>
          <w:color w:val="auto"/>
          <w:sz w:val="28"/>
          <w:szCs w:val="28"/>
        </w:rPr>
      </w:pPr>
      <w:r>
        <w:rPr>
          <w:color w:val="auto"/>
        </w:rPr>
        <w:fldChar w:fldCharType="begin"/>
      </w:r>
      <w:r>
        <w:rPr>
          <w:color w:val="auto"/>
        </w:rPr>
        <w:instrText xml:space="preserve"> HYPERLINK \l "_Toc15396601" </w:instrText>
      </w:r>
      <w:r>
        <w:rPr>
          <w:color w:val="auto"/>
        </w:rPr>
        <w:fldChar w:fldCharType="separate"/>
      </w:r>
      <w:r>
        <w:rPr>
          <w:rStyle w:val="17"/>
          <w:rFonts w:hint="eastAsia" w:ascii="仿宋" w:hAnsi="仿宋" w:eastAsia="仿宋"/>
          <w:color w:val="auto"/>
          <w:sz w:val="28"/>
          <w:szCs w:val="28"/>
        </w:rPr>
        <w:t>二、机构设置</w:t>
      </w:r>
      <w:r>
        <w:rPr>
          <w:rFonts w:ascii="仿宋" w:hAnsi="仿宋" w:eastAsia="仿宋"/>
          <w:color w:val="auto"/>
          <w:sz w:val="28"/>
          <w:szCs w:val="28"/>
        </w:rPr>
        <w:fldChar w:fldCharType="end"/>
      </w:r>
    </w:p>
    <w:p>
      <w:pPr>
        <w:pStyle w:val="11"/>
        <w:jc w:val="both"/>
        <w:rPr>
          <w:color w:val="auto"/>
        </w:rPr>
      </w:pPr>
      <w:r>
        <w:rPr>
          <w:rFonts w:hint="eastAsia"/>
          <w:color w:val="auto"/>
          <w:lang w:val="en-US" w:eastAsia="zh-CN"/>
        </w:rPr>
        <w:t xml:space="preserve">           </w:t>
      </w:r>
      <w:r>
        <w:rPr>
          <w:color w:val="auto"/>
        </w:rPr>
        <w:fldChar w:fldCharType="begin"/>
      </w:r>
      <w:r>
        <w:rPr>
          <w:color w:val="auto"/>
        </w:rPr>
        <w:instrText xml:space="preserve"> HYPERLINK \l "_Toc15396602" </w:instrText>
      </w:r>
      <w:r>
        <w:rPr>
          <w:color w:val="auto"/>
        </w:rPr>
        <w:fldChar w:fldCharType="separate"/>
      </w:r>
      <w:r>
        <w:rPr>
          <w:rStyle w:val="17"/>
          <w:rFonts w:hint="eastAsia"/>
          <w:color w:val="auto"/>
        </w:rPr>
        <w:t>第二部分</w:t>
      </w:r>
      <w:r>
        <w:rPr>
          <w:rStyle w:val="17"/>
          <w:color w:val="auto"/>
        </w:rPr>
        <w:t xml:space="preserve"> 2018</w:t>
      </w:r>
      <w:r>
        <w:rPr>
          <w:rStyle w:val="17"/>
          <w:rFonts w:hint="eastAsia"/>
          <w:color w:val="auto"/>
        </w:rPr>
        <w:t>年度部门决算情况说明</w:t>
      </w:r>
      <w:r>
        <w:rPr>
          <w:color w:val="auto"/>
        </w:rPr>
        <w:fldChar w:fldCharType="end"/>
      </w:r>
    </w:p>
    <w:p>
      <w:pPr>
        <w:pStyle w:val="12"/>
        <w:rPr>
          <w:rFonts w:ascii="仿宋" w:hAnsi="仿宋" w:eastAsia="仿宋" w:cstheme="minorBidi"/>
          <w:color w:val="auto"/>
          <w:sz w:val="28"/>
          <w:szCs w:val="28"/>
        </w:rPr>
      </w:pPr>
      <w:r>
        <w:rPr>
          <w:color w:val="auto"/>
        </w:rPr>
        <w:fldChar w:fldCharType="begin"/>
      </w:r>
      <w:r>
        <w:rPr>
          <w:color w:val="auto"/>
        </w:rPr>
        <w:instrText xml:space="preserve"> HYPERLINK \l "_Toc15396603" </w:instrText>
      </w:r>
      <w:r>
        <w:rPr>
          <w:color w:val="auto"/>
        </w:rPr>
        <w:fldChar w:fldCharType="separate"/>
      </w:r>
      <w:r>
        <w:rPr>
          <w:rStyle w:val="17"/>
          <w:rFonts w:hint="eastAsia" w:ascii="仿宋" w:hAnsi="仿宋" w:eastAsia="仿宋" w:cstheme="majorBidi"/>
          <w:bCs/>
          <w:color w:val="auto"/>
          <w:sz w:val="28"/>
          <w:szCs w:val="28"/>
        </w:rPr>
        <w:t>一、</w:t>
      </w:r>
      <w:r>
        <w:rPr>
          <w:rStyle w:val="17"/>
          <w:rFonts w:hint="eastAsia" w:ascii="仿宋" w:hAnsi="仿宋" w:eastAsia="仿宋"/>
          <w:color w:val="auto"/>
          <w:sz w:val="28"/>
          <w:szCs w:val="28"/>
        </w:rPr>
        <w:t>收</w:t>
      </w:r>
      <w:r>
        <w:rPr>
          <w:rStyle w:val="17"/>
          <w:rFonts w:hint="eastAsia" w:ascii="仿宋" w:hAnsi="仿宋" w:eastAsia="仿宋" w:cstheme="majorBidi"/>
          <w:bCs/>
          <w:color w:val="auto"/>
          <w:sz w:val="28"/>
          <w:szCs w:val="28"/>
        </w:rPr>
        <w:t>入支出决算总体情况说明</w:t>
      </w:r>
      <w:r>
        <w:rPr>
          <w:rFonts w:ascii="仿宋" w:hAnsi="仿宋" w:eastAsia="仿宋"/>
          <w:color w:val="auto"/>
          <w:sz w:val="28"/>
          <w:szCs w:val="28"/>
        </w:rPr>
        <w:fldChar w:fldCharType="end"/>
      </w:r>
    </w:p>
    <w:p>
      <w:pPr>
        <w:pStyle w:val="12"/>
        <w:rPr>
          <w:rFonts w:ascii="仿宋" w:hAnsi="仿宋" w:eastAsia="仿宋" w:cstheme="minorBidi"/>
          <w:color w:val="auto"/>
          <w:sz w:val="28"/>
          <w:szCs w:val="28"/>
        </w:rPr>
      </w:pPr>
      <w:r>
        <w:rPr>
          <w:color w:val="auto"/>
        </w:rPr>
        <w:fldChar w:fldCharType="begin"/>
      </w:r>
      <w:r>
        <w:rPr>
          <w:color w:val="auto"/>
        </w:rPr>
        <w:instrText xml:space="preserve"> HYPERLINK \l "_Toc15396604" </w:instrText>
      </w:r>
      <w:r>
        <w:rPr>
          <w:color w:val="auto"/>
        </w:rPr>
        <w:fldChar w:fldCharType="separate"/>
      </w:r>
      <w:r>
        <w:rPr>
          <w:rStyle w:val="17"/>
          <w:rFonts w:hint="eastAsia" w:ascii="仿宋" w:hAnsi="仿宋" w:eastAsia="仿宋" w:cstheme="majorBidi"/>
          <w:bCs/>
          <w:color w:val="auto"/>
          <w:sz w:val="28"/>
          <w:szCs w:val="28"/>
        </w:rPr>
        <w:t>二、</w:t>
      </w:r>
      <w:r>
        <w:rPr>
          <w:rStyle w:val="17"/>
          <w:rFonts w:hint="eastAsia" w:ascii="仿宋" w:hAnsi="仿宋" w:eastAsia="仿宋"/>
          <w:color w:val="auto"/>
          <w:sz w:val="28"/>
          <w:szCs w:val="28"/>
        </w:rPr>
        <w:t>收</w:t>
      </w:r>
      <w:r>
        <w:rPr>
          <w:rStyle w:val="17"/>
          <w:rFonts w:hint="eastAsia" w:ascii="仿宋" w:hAnsi="仿宋" w:eastAsia="仿宋" w:cstheme="majorBidi"/>
          <w:bCs/>
          <w:color w:val="auto"/>
          <w:sz w:val="28"/>
          <w:szCs w:val="28"/>
        </w:rPr>
        <w:t>入决算情况说明</w:t>
      </w:r>
      <w:r>
        <w:rPr>
          <w:rFonts w:ascii="仿宋" w:hAnsi="仿宋" w:eastAsia="仿宋"/>
          <w:color w:val="auto"/>
          <w:sz w:val="28"/>
          <w:szCs w:val="28"/>
        </w:rPr>
        <w:fldChar w:fldCharType="end"/>
      </w:r>
    </w:p>
    <w:p>
      <w:pPr>
        <w:pStyle w:val="12"/>
        <w:rPr>
          <w:rFonts w:ascii="仿宋" w:hAnsi="仿宋" w:eastAsia="仿宋" w:cstheme="minorBidi"/>
          <w:color w:val="auto"/>
          <w:sz w:val="28"/>
          <w:szCs w:val="28"/>
        </w:rPr>
      </w:pPr>
      <w:r>
        <w:rPr>
          <w:color w:val="auto"/>
        </w:rPr>
        <w:fldChar w:fldCharType="begin"/>
      </w:r>
      <w:r>
        <w:rPr>
          <w:color w:val="auto"/>
        </w:rPr>
        <w:instrText xml:space="preserve"> HYPERLINK \l "_Toc15396605" </w:instrText>
      </w:r>
      <w:r>
        <w:rPr>
          <w:color w:val="auto"/>
        </w:rPr>
        <w:fldChar w:fldCharType="separate"/>
      </w:r>
      <w:r>
        <w:rPr>
          <w:rStyle w:val="17"/>
          <w:rFonts w:hint="eastAsia" w:ascii="仿宋" w:hAnsi="仿宋" w:eastAsia="仿宋" w:cstheme="majorBidi"/>
          <w:bCs/>
          <w:color w:val="auto"/>
          <w:sz w:val="28"/>
          <w:szCs w:val="28"/>
        </w:rPr>
        <w:t>三、</w:t>
      </w:r>
      <w:r>
        <w:rPr>
          <w:rStyle w:val="17"/>
          <w:rFonts w:hint="eastAsia" w:ascii="仿宋" w:hAnsi="仿宋" w:eastAsia="仿宋"/>
          <w:color w:val="auto"/>
          <w:sz w:val="28"/>
          <w:szCs w:val="28"/>
        </w:rPr>
        <w:t>支</w:t>
      </w:r>
      <w:r>
        <w:rPr>
          <w:rStyle w:val="17"/>
          <w:rFonts w:hint="eastAsia" w:ascii="仿宋" w:hAnsi="仿宋" w:eastAsia="仿宋" w:cstheme="majorBidi"/>
          <w:bCs/>
          <w:color w:val="auto"/>
          <w:sz w:val="28"/>
          <w:szCs w:val="28"/>
        </w:rPr>
        <w:t>出决算情况说明</w:t>
      </w:r>
      <w:r>
        <w:rPr>
          <w:rFonts w:ascii="仿宋" w:hAnsi="仿宋" w:eastAsia="仿宋"/>
          <w:color w:val="auto"/>
          <w:sz w:val="28"/>
          <w:szCs w:val="28"/>
        </w:rPr>
        <w:fldChar w:fldCharType="end"/>
      </w:r>
    </w:p>
    <w:p>
      <w:pPr>
        <w:pStyle w:val="12"/>
        <w:rPr>
          <w:rFonts w:ascii="仿宋" w:hAnsi="仿宋" w:eastAsia="仿宋" w:cstheme="minorBidi"/>
          <w:color w:val="auto"/>
          <w:sz w:val="28"/>
          <w:szCs w:val="28"/>
        </w:rPr>
      </w:pPr>
      <w:r>
        <w:rPr>
          <w:color w:val="auto"/>
        </w:rPr>
        <w:fldChar w:fldCharType="begin"/>
      </w:r>
      <w:r>
        <w:rPr>
          <w:color w:val="auto"/>
        </w:rPr>
        <w:instrText xml:space="preserve"> HYPERLINK \l "_Toc15396606" </w:instrText>
      </w:r>
      <w:r>
        <w:rPr>
          <w:color w:val="auto"/>
        </w:rPr>
        <w:fldChar w:fldCharType="separate"/>
      </w:r>
      <w:r>
        <w:rPr>
          <w:rStyle w:val="17"/>
          <w:rFonts w:hint="eastAsia" w:ascii="仿宋" w:hAnsi="仿宋" w:eastAsia="仿宋"/>
          <w:color w:val="auto"/>
          <w:sz w:val="28"/>
          <w:szCs w:val="28"/>
        </w:rPr>
        <w:t>四、财</w:t>
      </w:r>
      <w:r>
        <w:rPr>
          <w:rStyle w:val="17"/>
          <w:rFonts w:hint="eastAsia" w:ascii="仿宋" w:hAnsi="仿宋" w:eastAsia="仿宋" w:cstheme="majorBidi"/>
          <w:bCs/>
          <w:color w:val="auto"/>
          <w:sz w:val="28"/>
          <w:szCs w:val="28"/>
        </w:rPr>
        <w:t>政拨款收入支出决算总体情况说明</w:t>
      </w:r>
      <w:r>
        <w:rPr>
          <w:rFonts w:ascii="仿宋" w:hAnsi="仿宋" w:eastAsia="仿宋"/>
          <w:color w:val="auto"/>
          <w:sz w:val="28"/>
          <w:szCs w:val="28"/>
        </w:rPr>
        <w:fldChar w:fldCharType="end"/>
      </w:r>
    </w:p>
    <w:p>
      <w:pPr>
        <w:pStyle w:val="12"/>
        <w:rPr>
          <w:rFonts w:ascii="仿宋" w:hAnsi="仿宋" w:eastAsia="仿宋" w:cstheme="minorBidi"/>
          <w:color w:val="auto"/>
          <w:sz w:val="28"/>
          <w:szCs w:val="28"/>
        </w:rPr>
      </w:pPr>
      <w:r>
        <w:rPr>
          <w:color w:val="auto"/>
        </w:rPr>
        <w:fldChar w:fldCharType="begin"/>
      </w:r>
      <w:r>
        <w:rPr>
          <w:color w:val="auto"/>
        </w:rPr>
        <w:instrText xml:space="preserve"> HYPERLINK \l "_Toc15396607" </w:instrText>
      </w:r>
      <w:r>
        <w:rPr>
          <w:color w:val="auto"/>
        </w:rPr>
        <w:fldChar w:fldCharType="separate"/>
      </w:r>
      <w:r>
        <w:rPr>
          <w:rStyle w:val="17"/>
          <w:rFonts w:hint="eastAsia" w:ascii="仿宋" w:hAnsi="仿宋" w:eastAsia="仿宋"/>
          <w:color w:val="auto"/>
          <w:sz w:val="28"/>
          <w:szCs w:val="28"/>
        </w:rPr>
        <w:t>五、一</w:t>
      </w:r>
      <w:r>
        <w:rPr>
          <w:rStyle w:val="17"/>
          <w:rFonts w:hint="eastAsia" w:ascii="仿宋" w:hAnsi="仿宋" w:eastAsia="仿宋" w:cstheme="majorBidi"/>
          <w:bCs/>
          <w:color w:val="auto"/>
          <w:sz w:val="28"/>
          <w:szCs w:val="28"/>
        </w:rPr>
        <w:t>般公共预算财政拨款支出决算情况说明</w:t>
      </w:r>
      <w:r>
        <w:rPr>
          <w:rFonts w:ascii="仿宋" w:hAnsi="仿宋" w:eastAsia="仿宋"/>
          <w:color w:val="auto"/>
          <w:sz w:val="28"/>
          <w:szCs w:val="28"/>
        </w:rPr>
        <w:fldChar w:fldCharType="end"/>
      </w:r>
    </w:p>
    <w:p>
      <w:pPr>
        <w:pStyle w:val="12"/>
        <w:rPr>
          <w:rFonts w:ascii="仿宋" w:hAnsi="仿宋" w:eastAsia="仿宋" w:cstheme="minorBidi"/>
          <w:color w:val="auto"/>
          <w:sz w:val="28"/>
          <w:szCs w:val="28"/>
        </w:rPr>
      </w:pPr>
      <w:r>
        <w:rPr>
          <w:color w:val="auto"/>
        </w:rPr>
        <w:fldChar w:fldCharType="begin"/>
      </w:r>
      <w:r>
        <w:rPr>
          <w:color w:val="auto"/>
        </w:rPr>
        <w:instrText xml:space="preserve"> HYPERLINK \l "_Toc15396608" </w:instrText>
      </w:r>
      <w:r>
        <w:rPr>
          <w:color w:val="auto"/>
        </w:rPr>
        <w:fldChar w:fldCharType="separate"/>
      </w:r>
      <w:r>
        <w:rPr>
          <w:rStyle w:val="17"/>
          <w:rFonts w:hint="eastAsia" w:ascii="仿宋" w:hAnsi="仿宋" w:eastAsia="仿宋"/>
          <w:color w:val="auto"/>
          <w:sz w:val="28"/>
          <w:szCs w:val="28"/>
        </w:rPr>
        <w:t>六、一</w:t>
      </w:r>
      <w:r>
        <w:rPr>
          <w:rStyle w:val="17"/>
          <w:rFonts w:hint="eastAsia" w:ascii="仿宋" w:hAnsi="仿宋" w:eastAsia="仿宋" w:cstheme="majorBidi"/>
          <w:bCs/>
          <w:color w:val="auto"/>
          <w:sz w:val="28"/>
          <w:szCs w:val="28"/>
        </w:rPr>
        <w:t>般公共预算财政拨款基本支出决算情况说明</w:t>
      </w:r>
      <w:r>
        <w:rPr>
          <w:rFonts w:ascii="仿宋" w:hAnsi="仿宋" w:eastAsia="仿宋"/>
          <w:color w:val="auto"/>
          <w:sz w:val="28"/>
          <w:szCs w:val="28"/>
        </w:rPr>
        <w:fldChar w:fldCharType="end"/>
      </w:r>
    </w:p>
    <w:p>
      <w:pPr>
        <w:pStyle w:val="12"/>
        <w:rPr>
          <w:rFonts w:ascii="仿宋" w:hAnsi="仿宋" w:eastAsia="仿宋" w:cstheme="minorBidi"/>
          <w:color w:val="auto"/>
          <w:sz w:val="28"/>
          <w:szCs w:val="28"/>
        </w:rPr>
      </w:pPr>
      <w:r>
        <w:rPr>
          <w:color w:val="auto"/>
        </w:rPr>
        <w:fldChar w:fldCharType="begin"/>
      </w:r>
      <w:r>
        <w:rPr>
          <w:color w:val="auto"/>
        </w:rPr>
        <w:instrText xml:space="preserve"> HYPERLINK \l "_Toc15396609" </w:instrText>
      </w:r>
      <w:r>
        <w:rPr>
          <w:color w:val="auto"/>
        </w:rPr>
        <w:fldChar w:fldCharType="separate"/>
      </w:r>
      <w:r>
        <w:rPr>
          <w:rStyle w:val="17"/>
          <w:rFonts w:hint="eastAsia" w:ascii="仿宋" w:hAnsi="仿宋" w:eastAsia="仿宋"/>
          <w:color w:val="auto"/>
          <w:sz w:val="28"/>
          <w:szCs w:val="28"/>
        </w:rPr>
        <w:t>七、</w:t>
      </w:r>
      <w:r>
        <w:rPr>
          <w:rStyle w:val="17"/>
          <w:rFonts w:ascii="仿宋" w:hAnsi="仿宋" w:eastAsia="仿宋"/>
          <w:color w:val="auto"/>
          <w:sz w:val="28"/>
          <w:szCs w:val="28"/>
        </w:rPr>
        <w:t>“</w:t>
      </w:r>
      <w:r>
        <w:rPr>
          <w:rStyle w:val="17"/>
          <w:rFonts w:hint="eastAsia" w:ascii="仿宋" w:hAnsi="仿宋" w:eastAsia="仿宋" w:cstheme="majorBidi"/>
          <w:bCs/>
          <w:color w:val="auto"/>
          <w:sz w:val="28"/>
          <w:szCs w:val="28"/>
        </w:rPr>
        <w:t>三公”经费财政拨款支出决算情况说明</w:t>
      </w:r>
      <w:r>
        <w:rPr>
          <w:rFonts w:ascii="仿宋" w:hAnsi="仿宋" w:eastAsia="仿宋"/>
          <w:color w:val="auto"/>
          <w:sz w:val="28"/>
          <w:szCs w:val="28"/>
        </w:rPr>
        <w:fldChar w:fldCharType="end"/>
      </w:r>
    </w:p>
    <w:p>
      <w:pPr>
        <w:pStyle w:val="12"/>
        <w:rPr>
          <w:rFonts w:ascii="仿宋" w:hAnsi="仿宋" w:eastAsia="仿宋" w:cstheme="minorBidi"/>
          <w:color w:val="auto"/>
          <w:sz w:val="28"/>
          <w:szCs w:val="28"/>
        </w:rPr>
      </w:pPr>
      <w:r>
        <w:rPr>
          <w:color w:val="auto"/>
        </w:rPr>
        <w:fldChar w:fldCharType="begin"/>
      </w:r>
      <w:r>
        <w:rPr>
          <w:color w:val="auto"/>
        </w:rPr>
        <w:instrText xml:space="preserve"> HYPERLINK \l "_Toc15396610" </w:instrText>
      </w:r>
      <w:r>
        <w:rPr>
          <w:color w:val="auto"/>
        </w:rPr>
        <w:fldChar w:fldCharType="separate"/>
      </w:r>
      <w:r>
        <w:rPr>
          <w:rStyle w:val="17"/>
          <w:rFonts w:hint="eastAsia" w:ascii="仿宋" w:hAnsi="仿宋" w:eastAsia="仿宋"/>
          <w:color w:val="auto"/>
          <w:sz w:val="28"/>
          <w:szCs w:val="28"/>
        </w:rPr>
        <w:t>八、</w:t>
      </w:r>
      <w:r>
        <w:rPr>
          <w:rStyle w:val="17"/>
          <w:rFonts w:hint="eastAsia" w:ascii="仿宋" w:hAnsi="仿宋" w:eastAsia="仿宋" w:cstheme="majorBidi"/>
          <w:bCs/>
          <w:color w:val="auto"/>
          <w:sz w:val="28"/>
          <w:szCs w:val="28"/>
        </w:rPr>
        <w:t>政府性基金预算支出决算情况说明</w:t>
      </w:r>
      <w:r>
        <w:rPr>
          <w:rFonts w:ascii="仿宋" w:hAnsi="仿宋" w:eastAsia="仿宋"/>
          <w:color w:val="auto"/>
          <w:sz w:val="28"/>
          <w:szCs w:val="28"/>
        </w:rPr>
        <w:fldChar w:fldCharType="end"/>
      </w:r>
    </w:p>
    <w:p>
      <w:pPr>
        <w:pStyle w:val="12"/>
        <w:rPr>
          <w:rFonts w:ascii="仿宋" w:hAnsi="仿宋" w:eastAsia="仿宋" w:cstheme="minorBidi"/>
          <w:color w:val="auto"/>
          <w:sz w:val="28"/>
          <w:szCs w:val="28"/>
        </w:rPr>
      </w:pPr>
      <w:r>
        <w:rPr>
          <w:color w:val="auto"/>
        </w:rPr>
        <w:fldChar w:fldCharType="begin"/>
      </w:r>
      <w:r>
        <w:rPr>
          <w:color w:val="auto"/>
        </w:rPr>
        <w:instrText xml:space="preserve"> HYPERLINK \l "_Toc15396611" </w:instrText>
      </w:r>
      <w:r>
        <w:rPr>
          <w:color w:val="auto"/>
        </w:rPr>
        <w:fldChar w:fldCharType="separate"/>
      </w:r>
      <w:r>
        <w:rPr>
          <w:rStyle w:val="17"/>
          <w:rFonts w:hint="eastAsia" w:ascii="仿宋" w:hAnsi="仿宋" w:eastAsia="仿宋" w:cstheme="majorBidi"/>
          <w:bCs/>
          <w:color w:val="auto"/>
          <w:sz w:val="28"/>
          <w:szCs w:val="28"/>
        </w:rPr>
        <w:t>九、</w:t>
      </w:r>
      <w:r>
        <w:rPr>
          <w:rStyle w:val="17"/>
          <w:rFonts w:hint="eastAsia" w:ascii="仿宋" w:hAnsi="仿宋" w:eastAsia="仿宋"/>
          <w:color w:val="auto"/>
          <w:sz w:val="28"/>
          <w:szCs w:val="28"/>
        </w:rPr>
        <w:t xml:space="preserve"> 国</w:t>
      </w:r>
      <w:r>
        <w:rPr>
          <w:rStyle w:val="17"/>
          <w:rFonts w:hint="eastAsia" w:ascii="仿宋" w:hAnsi="仿宋" w:eastAsia="仿宋" w:cstheme="majorBidi"/>
          <w:bCs/>
          <w:color w:val="auto"/>
          <w:sz w:val="28"/>
          <w:szCs w:val="28"/>
        </w:rPr>
        <w:t>有资本经营预算支出决算情况说明</w:t>
      </w:r>
      <w:r>
        <w:rPr>
          <w:rFonts w:ascii="仿宋" w:hAnsi="仿宋" w:eastAsia="仿宋"/>
          <w:color w:val="auto"/>
          <w:sz w:val="28"/>
          <w:szCs w:val="28"/>
        </w:rPr>
        <w:fldChar w:fldCharType="end"/>
      </w:r>
    </w:p>
    <w:p>
      <w:pPr>
        <w:pStyle w:val="12"/>
        <w:rPr>
          <w:rFonts w:ascii="仿宋" w:hAnsi="仿宋" w:eastAsia="仿宋" w:cstheme="minorBidi"/>
          <w:color w:val="auto"/>
          <w:sz w:val="28"/>
          <w:szCs w:val="28"/>
        </w:rPr>
      </w:pPr>
      <w:r>
        <w:rPr>
          <w:color w:val="auto"/>
        </w:rPr>
        <w:fldChar w:fldCharType="begin"/>
      </w:r>
      <w:r>
        <w:rPr>
          <w:color w:val="auto"/>
        </w:rPr>
        <w:instrText xml:space="preserve"> HYPERLINK \l "_Toc15396612" </w:instrText>
      </w:r>
      <w:r>
        <w:rPr>
          <w:color w:val="auto"/>
        </w:rPr>
        <w:fldChar w:fldCharType="separate"/>
      </w:r>
      <w:r>
        <w:rPr>
          <w:rStyle w:val="17"/>
          <w:rFonts w:hint="eastAsia" w:ascii="仿宋" w:hAnsi="仿宋" w:eastAsia="仿宋"/>
          <w:color w:val="auto"/>
          <w:sz w:val="28"/>
          <w:szCs w:val="28"/>
        </w:rPr>
        <w:t>十</w:t>
      </w:r>
      <w:r>
        <w:rPr>
          <w:rStyle w:val="17"/>
          <w:rFonts w:hint="eastAsia" w:ascii="仿宋" w:hAnsi="仿宋" w:eastAsia="仿宋" w:cstheme="majorBidi"/>
          <w:bCs/>
          <w:color w:val="auto"/>
          <w:sz w:val="28"/>
          <w:szCs w:val="28"/>
        </w:rPr>
        <w:t>一、其他重要事项的情况说明</w:t>
      </w:r>
      <w:r>
        <w:rPr>
          <w:rFonts w:ascii="仿宋" w:hAnsi="仿宋" w:eastAsia="仿宋"/>
          <w:color w:val="auto"/>
          <w:sz w:val="28"/>
          <w:szCs w:val="28"/>
        </w:rPr>
        <w:fldChar w:fldCharType="end"/>
      </w:r>
    </w:p>
    <w:p>
      <w:pPr>
        <w:pStyle w:val="11"/>
        <w:rPr>
          <w:rFonts w:cstheme="minorBidi"/>
          <w:color w:val="auto"/>
        </w:rPr>
      </w:pPr>
      <w:r>
        <w:rPr>
          <w:color w:val="auto"/>
        </w:rPr>
        <w:fldChar w:fldCharType="begin"/>
      </w:r>
      <w:r>
        <w:rPr>
          <w:color w:val="auto"/>
        </w:rPr>
        <w:instrText xml:space="preserve"> HYPERLINK \l "_Toc15396613" </w:instrText>
      </w:r>
      <w:r>
        <w:rPr>
          <w:color w:val="auto"/>
        </w:rPr>
        <w:fldChar w:fldCharType="separate"/>
      </w:r>
      <w:r>
        <w:rPr>
          <w:rStyle w:val="17"/>
          <w:rFonts w:hint="eastAsia"/>
          <w:bCs/>
          <w:color w:val="auto"/>
          <w:kern w:val="44"/>
        </w:rPr>
        <w:t>第三部分</w:t>
      </w:r>
      <w:r>
        <w:rPr>
          <w:rStyle w:val="17"/>
          <w:rFonts w:hint="eastAsia"/>
          <w:color w:val="auto"/>
        </w:rPr>
        <w:t xml:space="preserve"> 名</w:t>
      </w:r>
      <w:r>
        <w:rPr>
          <w:rStyle w:val="17"/>
          <w:rFonts w:hint="eastAsia"/>
          <w:bCs/>
          <w:color w:val="auto"/>
          <w:kern w:val="44"/>
        </w:rPr>
        <w:t>词解释</w:t>
      </w:r>
      <w:r>
        <w:rPr>
          <w:color w:val="auto"/>
        </w:rPr>
        <w:fldChar w:fldCharType="end"/>
      </w:r>
    </w:p>
    <w:p>
      <w:pPr>
        <w:pStyle w:val="11"/>
        <w:rPr>
          <w:rFonts w:cstheme="minorBidi"/>
          <w:color w:val="auto"/>
        </w:rPr>
      </w:pPr>
      <w:r>
        <w:rPr>
          <w:color w:val="auto"/>
        </w:rPr>
        <w:fldChar w:fldCharType="begin"/>
      </w:r>
      <w:r>
        <w:rPr>
          <w:color w:val="auto"/>
        </w:rPr>
        <w:instrText xml:space="preserve"> HYPERLINK \l "_Toc15396614" </w:instrText>
      </w:r>
      <w:r>
        <w:rPr>
          <w:color w:val="auto"/>
        </w:rPr>
        <w:fldChar w:fldCharType="separate"/>
      </w:r>
      <w:r>
        <w:rPr>
          <w:rStyle w:val="17"/>
          <w:rFonts w:hint="eastAsia"/>
          <w:color w:val="auto"/>
        </w:rPr>
        <w:t>第</w:t>
      </w:r>
      <w:r>
        <w:rPr>
          <w:rStyle w:val="17"/>
          <w:rFonts w:hint="eastAsia"/>
          <w:bCs/>
          <w:color w:val="auto"/>
          <w:kern w:val="44"/>
        </w:rPr>
        <w:t>四部分</w:t>
      </w:r>
      <w:r>
        <w:rPr>
          <w:rStyle w:val="17"/>
          <w:bCs/>
          <w:color w:val="auto"/>
          <w:kern w:val="44"/>
        </w:rPr>
        <w:t xml:space="preserve"> </w:t>
      </w:r>
      <w:r>
        <w:rPr>
          <w:rStyle w:val="17"/>
          <w:rFonts w:hint="eastAsia"/>
          <w:bCs/>
          <w:color w:val="auto"/>
          <w:kern w:val="44"/>
        </w:rPr>
        <w:t>附件</w:t>
      </w:r>
      <w:r>
        <w:rPr>
          <w:color w:val="auto"/>
        </w:rPr>
        <w:fldChar w:fldCharType="end"/>
      </w:r>
    </w:p>
    <w:p>
      <w:pPr>
        <w:pStyle w:val="12"/>
        <w:rPr>
          <w:rFonts w:ascii="仿宋" w:hAnsi="仿宋" w:eastAsia="仿宋" w:cstheme="minorBidi"/>
          <w:color w:val="auto"/>
          <w:sz w:val="28"/>
          <w:szCs w:val="28"/>
        </w:rPr>
      </w:pPr>
      <w:r>
        <w:rPr>
          <w:color w:val="auto"/>
        </w:rPr>
        <w:fldChar w:fldCharType="begin"/>
      </w:r>
      <w:r>
        <w:rPr>
          <w:color w:val="auto"/>
        </w:rPr>
        <w:instrText xml:space="preserve"> HYPERLINK \l "_Toc15396615" </w:instrText>
      </w:r>
      <w:r>
        <w:rPr>
          <w:color w:val="auto"/>
        </w:rPr>
        <w:fldChar w:fldCharType="separate"/>
      </w:r>
      <w:r>
        <w:rPr>
          <w:rStyle w:val="17"/>
          <w:rFonts w:hint="eastAsia" w:ascii="仿宋" w:hAnsi="仿宋" w:eastAsia="仿宋"/>
          <w:color w:val="auto"/>
          <w:kern w:val="44"/>
          <w:sz w:val="28"/>
          <w:szCs w:val="28"/>
        </w:rPr>
        <w:t>附件</w:t>
      </w:r>
      <w:r>
        <w:rPr>
          <w:rStyle w:val="17"/>
          <w:rFonts w:ascii="仿宋" w:hAnsi="仿宋" w:eastAsia="仿宋"/>
          <w:color w:val="auto"/>
          <w:kern w:val="44"/>
          <w:sz w:val="28"/>
          <w:szCs w:val="28"/>
        </w:rPr>
        <w:t>1</w:t>
      </w:r>
      <w:r>
        <w:rPr>
          <w:rFonts w:ascii="仿宋" w:hAnsi="仿宋" w:eastAsia="仿宋"/>
          <w:color w:val="auto"/>
          <w:sz w:val="28"/>
          <w:szCs w:val="28"/>
        </w:rPr>
        <w:fldChar w:fldCharType="end"/>
      </w:r>
    </w:p>
    <w:p>
      <w:pPr>
        <w:pStyle w:val="12"/>
        <w:rPr>
          <w:rFonts w:ascii="仿宋" w:hAnsi="仿宋" w:eastAsia="仿宋" w:cstheme="minorBidi"/>
          <w:color w:val="auto"/>
          <w:sz w:val="28"/>
          <w:szCs w:val="28"/>
        </w:rPr>
      </w:pPr>
      <w:r>
        <w:rPr>
          <w:color w:val="auto"/>
        </w:rPr>
        <w:fldChar w:fldCharType="begin"/>
      </w:r>
      <w:r>
        <w:rPr>
          <w:color w:val="auto"/>
        </w:rPr>
        <w:instrText xml:space="preserve"> HYPERLINK \l "_Toc15396617" </w:instrText>
      </w:r>
      <w:r>
        <w:rPr>
          <w:color w:val="auto"/>
        </w:rPr>
        <w:fldChar w:fldCharType="separate"/>
      </w:r>
      <w:r>
        <w:rPr>
          <w:rStyle w:val="17"/>
          <w:rFonts w:hint="eastAsia" w:ascii="仿宋" w:hAnsi="仿宋" w:eastAsia="仿宋"/>
          <w:color w:val="auto"/>
          <w:kern w:val="44"/>
          <w:sz w:val="28"/>
          <w:szCs w:val="28"/>
        </w:rPr>
        <w:t>附件</w:t>
      </w:r>
      <w:r>
        <w:rPr>
          <w:rStyle w:val="17"/>
          <w:rFonts w:ascii="仿宋" w:hAnsi="仿宋" w:eastAsia="仿宋"/>
          <w:color w:val="auto"/>
          <w:kern w:val="44"/>
          <w:sz w:val="28"/>
          <w:szCs w:val="28"/>
        </w:rPr>
        <w:t>2</w:t>
      </w:r>
      <w:r>
        <w:rPr>
          <w:rFonts w:ascii="仿宋" w:hAnsi="仿宋" w:eastAsia="仿宋"/>
          <w:color w:val="auto"/>
          <w:sz w:val="28"/>
          <w:szCs w:val="28"/>
        </w:rPr>
        <w:fldChar w:fldCharType="end"/>
      </w:r>
    </w:p>
    <w:p>
      <w:pPr>
        <w:pStyle w:val="11"/>
        <w:rPr>
          <w:rFonts w:cstheme="minorBidi"/>
          <w:color w:val="auto"/>
        </w:rPr>
      </w:pPr>
      <w:r>
        <w:rPr>
          <w:color w:val="auto"/>
        </w:rPr>
        <w:fldChar w:fldCharType="begin"/>
      </w:r>
      <w:r>
        <w:rPr>
          <w:color w:val="auto"/>
        </w:rPr>
        <w:instrText xml:space="preserve"> HYPERLINK \l "_Toc15396618" </w:instrText>
      </w:r>
      <w:r>
        <w:rPr>
          <w:color w:val="auto"/>
        </w:rPr>
        <w:fldChar w:fldCharType="separate"/>
      </w:r>
      <w:r>
        <w:rPr>
          <w:rStyle w:val="17"/>
          <w:rFonts w:hint="eastAsia"/>
          <w:color w:val="auto"/>
        </w:rPr>
        <w:t>第</w:t>
      </w:r>
      <w:r>
        <w:rPr>
          <w:rStyle w:val="17"/>
          <w:rFonts w:hint="eastAsia"/>
          <w:bCs/>
          <w:color w:val="auto"/>
          <w:kern w:val="44"/>
        </w:rPr>
        <w:t>五部分</w:t>
      </w:r>
      <w:r>
        <w:rPr>
          <w:rStyle w:val="17"/>
          <w:bCs/>
          <w:color w:val="auto"/>
          <w:kern w:val="44"/>
        </w:rPr>
        <w:t xml:space="preserve"> </w:t>
      </w:r>
      <w:r>
        <w:rPr>
          <w:rStyle w:val="17"/>
          <w:rFonts w:hint="eastAsia"/>
          <w:bCs/>
          <w:color w:val="auto"/>
          <w:kern w:val="44"/>
        </w:rPr>
        <w:t>附表</w:t>
      </w:r>
      <w:r>
        <w:rPr>
          <w:color w:val="auto"/>
        </w:rPr>
        <w:fldChar w:fldCharType="end"/>
      </w:r>
    </w:p>
    <w:p>
      <w:pPr>
        <w:pStyle w:val="12"/>
        <w:rPr>
          <w:rFonts w:ascii="仿宋" w:hAnsi="仿宋" w:eastAsia="仿宋" w:cstheme="minorBidi"/>
          <w:color w:val="auto"/>
          <w:sz w:val="28"/>
          <w:szCs w:val="28"/>
        </w:rPr>
      </w:pPr>
      <w:r>
        <w:rPr>
          <w:rFonts w:hint="eastAsia" w:ascii="仿宋" w:hAnsi="仿宋" w:eastAsia="仿宋"/>
          <w:color w:val="auto"/>
          <w:sz w:val="28"/>
          <w:szCs w:val="28"/>
        </w:rPr>
        <w:t>一、</w:t>
      </w:r>
      <w:r>
        <w:rPr>
          <w:color w:val="auto"/>
        </w:rPr>
        <w:fldChar w:fldCharType="begin"/>
      </w:r>
      <w:r>
        <w:rPr>
          <w:color w:val="auto"/>
        </w:rPr>
        <w:instrText xml:space="preserve"> HYPERLINK \l "_Toc15396619" </w:instrText>
      </w:r>
      <w:r>
        <w:rPr>
          <w:color w:val="auto"/>
        </w:rPr>
        <w:fldChar w:fldCharType="separate"/>
      </w:r>
      <w:r>
        <w:rPr>
          <w:rStyle w:val="17"/>
          <w:rFonts w:hint="eastAsia" w:ascii="仿宋" w:hAnsi="仿宋" w:eastAsia="仿宋"/>
          <w:color w:val="auto"/>
          <w:sz w:val="28"/>
          <w:szCs w:val="28"/>
        </w:rPr>
        <w:t>收入支出决算总表</w:t>
      </w:r>
      <w:r>
        <w:rPr>
          <w:rFonts w:ascii="仿宋" w:hAnsi="仿宋" w:eastAsia="仿宋"/>
          <w:color w:val="auto"/>
          <w:sz w:val="28"/>
          <w:szCs w:val="28"/>
        </w:rPr>
        <w:fldChar w:fldCharType="end"/>
      </w:r>
    </w:p>
    <w:p>
      <w:pPr>
        <w:pStyle w:val="12"/>
        <w:rPr>
          <w:rFonts w:ascii="仿宋" w:hAnsi="仿宋" w:eastAsia="仿宋" w:cstheme="minorBidi"/>
          <w:color w:val="auto"/>
          <w:sz w:val="28"/>
          <w:szCs w:val="28"/>
        </w:rPr>
      </w:pPr>
      <w:r>
        <w:rPr>
          <w:rFonts w:hint="eastAsia" w:ascii="仿宋" w:hAnsi="仿宋" w:eastAsia="仿宋"/>
          <w:color w:val="auto"/>
          <w:sz w:val="28"/>
          <w:szCs w:val="28"/>
        </w:rPr>
        <w:t>二、</w:t>
      </w:r>
      <w:r>
        <w:rPr>
          <w:color w:val="auto"/>
        </w:rPr>
        <w:fldChar w:fldCharType="begin"/>
      </w:r>
      <w:r>
        <w:rPr>
          <w:color w:val="auto"/>
        </w:rPr>
        <w:instrText xml:space="preserve"> HYPERLINK \l "_Toc15396620" </w:instrText>
      </w:r>
      <w:r>
        <w:rPr>
          <w:color w:val="auto"/>
        </w:rPr>
        <w:fldChar w:fldCharType="separate"/>
      </w:r>
      <w:r>
        <w:rPr>
          <w:rStyle w:val="17"/>
          <w:rFonts w:hint="eastAsia" w:ascii="仿宋" w:hAnsi="仿宋" w:eastAsia="仿宋"/>
          <w:color w:val="auto"/>
          <w:sz w:val="28"/>
          <w:szCs w:val="28"/>
        </w:rPr>
        <w:t>收入总表</w:t>
      </w:r>
      <w:r>
        <w:rPr>
          <w:rFonts w:ascii="仿宋" w:hAnsi="仿宋" w:eastAsia="仿宋"/>
          <w:color w:val="auto"/>
          <w:sz w:val="28"/>
          <w:szCs w:val="28"/>
        </w:rPr>
        <w:fldChar w:fldCharType="end"/>
      </w:r>
    </w:p>
    <w:p>
      <w:pPr>
        <w:pStyle w:val="12"/>
        <w:rPr>
          <w:rFonts w:ascii="仿宋" w:hAnsi="仿宋" w:eastAsia="仿宋" w:cstheme="minorBidi"/>
          <w:color w:val="auto"/>
          <w:sz w:val="28"/>
          <w:szCs w:val="28"/>
        </w:rPr>
      </w:pPr>
      <w:r>
        <w:rPr>
          <w:rFonts w:hint="eastAsia" w:ascii="仿宋" w:hAnsi="仿宋" w:eastAsia="仿宋"/>
          <w:color w:val="auto"/>
          <w:sz w:val="28"/>
          <w:szCs w:val="28"/>
        </w:rPr>
        <w:t>三、</w:t>
      </w:r>
      <w:r>
        <w:rPr>
          <w:color w:val="auto"/>
        </w:rPr>
        <w:fldChar w:fldCharType="begin"/>
      </w:r>
      <w:r>
        <w:rPr>
          <w:color w:val="auto"/>
        </w:rPr>
        <w:instrText xml:space="preserve"> HYPERLINK \l "_Toc15396621" </w:instrText>
      </w:r>
      <w:r>
        <w:rPr>
          <w:color w:val="auto"/>
        </w:rPr>
        <w:fldChar w:fldCharType="separate"/>
      </w:r>
      <w:r>
        <w:rPr>
          <w:rStyle w:val="17"/>
          <w:rFonts w:hint="eastAsia" w:ascii="仿宋" w:hAnsi="仿宋" w:eastAsia="仿宋"/>
          <w:color w:val="auto"/>
          <w:sz w:val="28"/>
          <w:szCs w:val="28"/>
        </w:rPr>
        <w:t>支出总表</w:t>
      </w:r>
      <w:r>
        <w:rPr>
          <w:rFonts w:ascii="仿宋" w:hAnsi="仿宋" w:eastAsia="仿宋"/>
          <w:color w:val="auto"/>
          <w:sz w:val="28"/>
          <w:szCs w:val="28"/>
        </w:rPr>
        <w:fldChar w:fldCharType="end"/>
      </w:r>
    </w:p>
    <w:p>
      <w:pPr>
        <w:pStyle w:val="12"/>
        <w:rPr>
          <w:rFonts w:ascii="仿宋" w:hAnsi="仿宋" w:eastAsia="仿宋" w:cstheme="minorBidi"/>
          <w:color w:val="auto"/>
          <w:sz w:val="28"/>
          <w:szCs w:val="28"/>
        </w:rPr>
      </w:pPr>
      <w:r>
        <w:rPr>
          <w:rFonts w:hint="eastAsia" w:ascii="仿宋" w:hAnsi="仿宋" w:eastAsia="仿宋"/>
          <w:color w:val="auto"/>
          <w:sz w:val="28"/>
          <w:szCs w:val="28"/>
        </w:rPr>
        <w:t>四、</w:t>
      </w:r>
      <w:r>
        <w:rPr>
          <w:color w:val="auto"/>
        </w:rPr>
        <w:fldChar w:fldCharType="begin"/>
      </w:r>
      <w:r>
        <w:rPr>
          <w:color w:val="auto"/>
        </w:rPr>
        <w:instrText xml:space="preserve"> HYPERLINK \l "_Toc15396622" </w:instrText>
      </w:r>
      <w:r>
        <w:rPr>
          <w:color w:val="auto"/>
        </w:rPr>
        <w:fldChar w:fldCharType="separate"/>
      </w:r>
      <w:r>
        <w:rPr>
          <w:rStyle w:val="17"/>
          <w:rFonts w:hint="eastAsia" w:ascii="仿宋" w:hAnsi="仿宋" w:eastAsia="仿宋"/>
          <w:color w:val="auto"/>
          <w:sz w:val="28"/>
          <w:szCs w:val="28"/>
        </w:rPr>
        <w:t>财政拨款收入支出决算总表</w:t>
      </w:r>
      <w:r>
        <w:rPr>
          <w:rFonts w:ascii="仿宋" w:hAnsi="仿宋" w:eastAsia="仿宋"/>
          <w:color w:val="auto"/>
          <w:sz w:val="28"/>
          <w:szCs w:val="28"/>
        </w:rPr>
        <w:fldChar w:fldCharType="end"/>
      </w:r>
    </w:p>
    <w:p>
      <w:pPr>
        <w:pStyle w:val="12"/>
        <w:rPr>
          <w:rFonts w:ascii="仿宋" w:hAnsi="仿宋" w:eastAsia="仿宋"/>
          <w:color w:val="auto"/>
          <w:sz w:val="28"/>
          <w:szCs w:val="28"/>
        </w:rPr>
      </w:pPr>
      <w:r>
        <w:rPr>
          <w:rFonts w:hint="eastAsia" w:ascii="仿宋" w:hAnsi="仿宋" w:eastAsia="仿宋"/>
          <w:color w:val="auto"/>
          <w:sz w:val="28"/>
          <w:szCs w:val="28"/>
        </w:rPr>
        <w:t>五、</w:t>
      </w:r>
      <w:r>
        <w:rPr>
          <w:color w:val="auto"/>
        </w:rPr>
        <w:fldChar w:fldCharType="begin"/>
      </w:r>
      <w:r>
        <w:rPr>
          <w:color w:val="auto"/>
        </w:rPr>
        <w:instrText xml:space="preserve"> HYPERLINK \l "_Toc15396623" </w:instrText>
      </w:r>
      <w:r>
        <w:rPr>
          <w:color w:val="auto"/>
        </w:rPr>
        <w:fldChar w:fldCharType="separate"/>
      </w:r>
      <w:r>
        <w:rPr>
          <w:rFonts w:hint="eastAsia" w:ascii="仿宋" w:hAnsi="仿宋" w:eastAsia="仿宋"/>
          <w:color w:val="auto"/>
          <w:sz w:val="28"/>
          <w:szCs w:val="28"/>
        </w:rPr>
        <w:t>财政拨款支出决算明细表（政府经济分类科目）</w:t>
      </w:r>
      <w:r>
        <w:rPr>
          <w:rFonts w:ascii="仿宋" w:hAnsi="仿宋" w:eastAsia="仿宋"/>
          <w:color w:val="auto"/>
          <w:sz w:val="28"/>
          <w:szCs w:val="28"/>
        </w:rPr>
        <w:fldChar w:fldCharType="end"/>
      </w:r>
    </w:p>
    <w:p>
      <w:pPr>
        <w:pStyle w:val="12"/>
        <w:rPr>
          <w:rFonts w:ascii="仿宋" w:hAnsi="仿宋" w:eastAsia="仿宋" w:cstheme="minorBidi"/>
          <w:color w:val="auto"/>
          <w:sz w:val="28"/>
          <w:szCs w:val="28"/>
        </w:rPr>
      </w:pPr>
      <w:r>
        <w:rPr>
          <w:rFonts w:hint="eastAsia" w:ascii="仿宋" w:hAnsi="仿宋" w:eastAsia="仿宋"/>
          <w:color w:val="auto"/>
          <w:sz w:val="28"/>
          <w:szCs w:val="28"/>
        </w:rPr>
        <w:t>六、</w:t>
      </w:r>
      <w:r>
        <w:rPr>
          <w:color w:val="auto"/>
        </w:rPr>
        <w:fldChar w:fldCharType="begin"/>
      </w:r>
      <w:r>
        <w:rPr>
          <w:color w:val="auto"/>
        </w:rPr>
        <w:instrText xml:space="preserve"> HYPERLINK \l "_Toc15396624" </w:instrText>
      </w:r>
      <w:r>
        <w:rPr>
          <w:color w:val="auto"/>
        </w:rPr>
        <w:fldChar w:fldCharType="separate"/>
      </w:r>
      <w:r>
        <w:rPr>
          <w:rStyle w:val="17"/>
          <w:rFonts w:hint="eastAsia" w:ascii="仿宋" w:hAnsi="仿宋" w:eastAsia="仿宋"/>
          <w:color w:val="auto"/>
          <w:sz w:val="28"/>
          <w:szCs w:val="28"/>
        </w:rPr>
        <w:t>一般公共预算财政拨款支出决算表</w:t>
      </w:r>
      <w:r>
        <w:rPr>
          <w:rFonts w:ascii="仿宋" w:hAnsi="仿宋" w:eastAsia="仿宋"/>
          <w:color w:val="auto"/>
          <w:sz w:val="28"/>
          <w:szCs w:val="28"/>
        </w:rPr>
        <w:fldChar w:fldCharType="end"/>
      </w:r>
    </w:p>
    <w:p>
      <w:pPr>
        <w:pStyle w:val="12"/>
        <w:rPr>
          <w:rFonts w:ascii="仿宋" w:hAnsi="仿宋" w:eastAsia="仿宋" w:cstheme="minorBidi"/>
          <w:color w:val="auto"/>
          <w:sz w:val="28"/>
          <w:szCs w:val="28"/>
        </w:rPr>
      </w:pPr>
      <w:r>
        <w:rPr>
          <w:rFonts w:hint="eastAsia" w:ascii="仿宋" w:hAnsi="仿宋" w:eastAsia="仿宋"/>
          <w:color w:val="auto"/>
          <w:sz w:val="28"/>
          <w:szCs w:val="28"/>
        </w:rPr>
        <w:t>七、</w:t>
      </w:r>
      <w:r>
        <w:rPr>
          <w:color w:val="auto"/>
        </w:rPr>
        <w:fldChar w:fldCharType="begin"/>
      </w:r>
      <w:r>
        <w:rPr>
          <w:color w:val="auto"/>
        </w:rPr>
        <w:instrText xml:space="preserve"> HYPERLINK \l "_Toc15396625" </w:instrText>
      </w:r>
      <w:r>
        <w:rPr>
          <w:color w:val="auto"/>
        </w:rPr>
        <w:fldChar w:fldCharType="separate"/>
      </w:r>
      <w:r>
        <w:rPr>
          <w:rStyle w:val="17"/>
          <w:rFonts w:hint="eastAsia" w:ascii="仿宋" w:hAnsi="仿宋" w:eastAsia="仿宋"/>
          <w:color w:val="auto"/>
          <w:sz w:val="28"/>
          <w:szCs w:val="28"/>
        </w:rPr>
        <w:t>一般公共预算财政拨款支出决算明细表</w:t>
      </w:r>
      <w:r>
        <w:rPr>
          <w:rFonts w:ascii="仿宋" w:hAnsi="仿宋" w:eastAsia="仿宋"/>
          <w:color w:val="auto"/>
          <w:sz w:val="28"/>
          <w:szCs w:val="28"/>
        </w:rPr>
        <w:fldChar w:fldCharType="end"/>
      </w:r>
    </w:p>
    <w:p>
      <w:pPr>
        <w:pStyle w:val="12"/>
        <w:rPr>
          <w:rFonts w:ascii="仿宋" w:hAnsi="仿宋" w:eastAsia="仿宋" w:cstheme="minorBidi"/>
          <w:color w:val="auto"/>
          <w:sz w:val="28"/>
          <w:szCs w:val="28"/>
        </w:rPr>
      </w:pPr>
      <w:r>
        <w:rPr>
          <w:rFonts w:hint="eastAsia" w:ascii="仿宋" w:hAnsi="仿宋" w:eastAsia="仿宋"/>
          <w:color w:val="auto"/>
          <w:sz w:val="28"/>
          <w:szCs w:val="28"/>
        </w:rPr>
        <w:t>八、</w:t>
      </w:r>
      <w:r>
        <w:rPr>
          <w:color w:val="auto"/>
        </w:rPr>
        <w:fldChar w:fldCharType="begin"/>
      </w:r>
      <w:r>
        <w:rPr>
          <w:color w:val="auto"/>
        </w:rPr>
        <w:instrText xml:space="preserve"> HYPERLINK \l "_Toc15396626" </w:instrText>
      </w:r>
      <w:r>
        <w:rPr>
          <w:color w:val="auto"/>
        </w:rPr>
        <w:fldChar w:fldCharType="separate"/>
      </w:r>
      <w:r>
        <w:rPr>
          <w:rStyle w:val="17"/>
          <w:rFonts w:hint="eastAsia" w:ascii="仿宋" w:hAnsi="仿宋" w:eastAsia="仿宋"/>
          <w:color w:val="auto"/>
          <w:sz w:val="28"/>
          <w:szCs w:val="28"/>
        </w:rPr>
        <w:t>一般公共预算财政拨款基本支出决算表</w:t>
      </w:r>
      <w:r>
        <w:rPr>
          <w:rFonts w:ascii="仿宋" w:hAnsi="仿宋" w:eastAsia="仿宋"/>
          <w:color w:val="auto"/>
          <w:sz w:val="28"/>
          <w:szCs w:val="28"/>
        </w:rPr>
        <w:fldChar w:fldCharType="end"/>
      </w:r>
    </w:p>
    <w:p>
      <w:pPr>
        <w:pStyle w:val="12"/>
        <w:rPr>
          <w:rFonts w:ascii="仿宋" w:hAnsi="仿宋" w:eastAsia="仿宋" w:cstheme="minorBidi"/>
          <w:color w:val="auto"/>
          <w:sz w:val="28"/>
          <w:szCs w:val="28"/>
        </w:rPr>
      </w:pPr>
      <w:r>
        <w:rPr>
          <w:rFonts w:hint="eastAsia" w:ascii="仿宋" w:hAnsi="仿宋" w:eastAsia="仿宋"/>
          <w:color w:val="auto"/>
          <w:sz w:val="28"/>
          <w:szCs w:val="28"/>
        </w:rPr>
        <w:t>九、</w:t>
      </w:r>
      <w:r>
        <w:rPr>
          <w:color w:val="auto"/>
        </w:rPr>
        <w:fldChar w:fldCharType="begin"/>
      </w:r>
      <w:r>
        <w:rPr>
          <w:color w:val="auto"/>
        </w:rPr>
        <w:instrText xml:space="preserve"> HYPERLINK \l "_Toc15396627" </w:instrText>
      </w:r>
      <w:r>
        <w:rPr>
          <w:color w:val="auto"/>
        </w:rPr>
        <w:fldChar w:fldCharType="separate"/>
      </w:r>
      <w:r>
        <w:rPr>
          <w:rStyle w:val="17"/>
          <w:rFonts w:hint="eastAsia" w:ascii="仿宋" w:hAnsi="仿宋" w:eastAsia="仿宋"/>
          <w:color w:val="auto"/>
          <w:sz w:val="28"/>
          <w:szCs w:val="28"/>
        </w:rPr>
        <w:t>一般公共预算财政拨款项目支出决算表</w:t>
      </w:r>
      <w:r>
        <w:rPr>
          <w:rFonts w:ascii="仿宋" w:hAnsi="仿宋" w:eastAsia="仿宋"/>
          <w:color w:val="auto"/>
          <w:sz w:val="28"/>
          <w:szCs w:val="28"/>
        </w:rPr>
        <w:fldChar w:fldCharType="end"/>
      </w:r>
    </w:p>
    <w:p>
      <w:pPr>
        <w:pStyle w:val="12"/>
        <w:rPr>
          <w:rFonts w:ascii="仿宋" w:hAnsi="仿宋" w:eastAsia="仿宋" w:cstheme="minorBidi"/>
          <w:color w:val="auto"/>
          <w:sz w:val="28"/>
          <w:szCs w:val="28"/>
        </w:rPr>
      </w:pPr>
      <w:r>
        <w:rPr>
          <w:rFonts w:hint="eastAsia" w:ascii="仿宋" w:hAnsi="仿宋" w:eastAsia="仿宋"/>
          <w:color w:val="auto"/>
          <w:sz w:val="28"/>
          <w:szCs w:val="28"/>
        </w:rPr>
        <w:t>十、</w:t>
      </w:r>
      <w:r>
        <w:rPr>
          <w:color w:val="auto"/>
        </w:rPr>
        <w:fldChar w:fldCharType="begin"/>
      </w:r>
      <w:r>
        <w:rPr>
          <w:color w:val="auto"/>
        </w:rPr>
        <w:instrText xml:space="preserve"> HYPERLINK \l "_Toc15396628" </w:instrText>
      </w:r>
      <w:r>
        <w:rPr>
          <w:color w:val="auto"/>
        </w:rPr>
        <w:fldChar w:fldCharType="separate"/>
      </w:r>
      <w:r>
        <w:rPr>
          <w:rStyle w:val="17"/>
          <w:rFonts w:hint="eastAsia" w:ascii="仿宋" w:hAnsi="仿宋" w:eastAsia="仿宋"/>
          <w:color w:val="auto"/>
          <w:sz w:val="28"/>
          <w:szCs w:val="28"/>
        </w:rPr>
        <w:t>一般公共预算财政拨款“三公”经费支出决算表</w:t>
      </w:r>
      <w:r>
        <w:rPr>
          <w:rFonts w:ascii="仿宋" w:hAnsi="仿宋" w:eastAsia="仿宋"/>
          <w:color w:val="auto"/>
          <w:sz w:val="28"/>
          <w:szCs w:val="28"/>
        </w:rPr>
        <w:fldChar w:fldCharType="end"/>
      </w:r>
    </w:p>
    <w:p>
      <w:pPr>
        <w:pStyle w:val="12"/>
        <w:rPr>
          <w:rFonts w:ascii="仿宋" w:hAnsi="仿宋" w:eastAsia="仿宋" w:cstheme="minorBidi"/>
          <w:color w:val="auto"/>
          <w:sz w:val="28"/>
          <w:szCs w:val="28"/>
        </w:rPr>
      </w:pPr>
      <w:r>
        <w:rPr>
          <w:rFonts w:hint="eastAsia" w:ascii="仿宋" w:hAnsi="仿宋" w:eastAsia="仿宋"/>
          <w:color w:val="auto"/>
          <w:sz w:val="28"/>
          <w:szCs w:val="28"/>
        </w:rPr>
        <w:t>十一、</w:t>
      </w:r>
      <w:r>
        <w:rPr>
          <w:color w:val="auto"/>
        </w:rPr>
        <w:fldChar w:fldCharType="begin"/>
      </w:r>
      <w:r>
        <w:rPr>
          <w:color w:val="auto"/>
        </w:rPr>
        <w:instrText xml:space="preserve"> HYPERLINK \l "_Toc15396629" </w:instrText>
      </w:r>
      <w:r>
        <w:rPr>
          <w:color w:val="auto"/>
        </w:rPr>
        <w:fldChar w:fldCharType="separate"/>
      </w:r>
      <w:r>
        <w:rPr>
          <w:rStyle w:val="17"/>
          <w:rFonts w:hint="eastAsia" w:ascii="仿宋" w:hAnsi="仿宋" w:eastAsia="仿宋"/>
          <w:color w:val="auto"/>
          <w:sz w:val="28"/>
          <w:szCs w:val="28"/>
        </w:rPr>
        <w:t>政府性基金预算财政拨款收入支出决算表</w:t>
      </w:r>
      <w:r>
        <w:rPr>
          <w:rFonts w:ascii="仿宋" w:hAnsi="仿宋" w:eastAsia="仿宋"/>
          <w:color w:val="auto"/>
          <w:sz w:val="28"/>
          <w:szCs w:val="28"/>
        </w:rPr>
        <w:fldChar w:fldCharType="end"/>
      </w:r>
    </w:p>
    <w:p>
      <w:pPr>
        <w:pStyle w:val="12"/>
        <w:rPr>
          <w:rFonts w:ascii="仿宋" w:hAnsi="仿宋" w:eastAsia="仿宋" w:cstheme="minorBidi"/>
          <w:color w:val="auto"/>
          <w:sz w:val="28"/>
          <w:szCs w:val="28"/>
        </w:rPr>
      </w:pPr>
      <w:r>
        <w:rPr>
          <w:rFonts w:hint="eastAsia" w:ascii="仿宋" w:hAnsi="仿宋" w:eastAsia="仿宋"/>
          <w:color w:val="auto"/>
          <w:sz w:val="28"/>
          <w:szCs w:val="28"/>
        </w:rPr>
        <w:t>十二、</w:t>
      </w:r>
      <w:r>
        <w:rPr>
          <w:color w:val="auto"/>
        </w:rPr>
        <w:fldChar w:fldCharType="begin"/>
      </w:r>
      <w:r>
        <w:rPr>
          <w:color w:val="auto"/>
        </w:rPr>
        <w:instrText xml:space="preserve"> HYPERLINK \l "_Toc15396630" </w:instrText>
      </w:r>
      <w:r>
        <w:rPr>
          <w:color w:val="auto"/>
        </w:rPr>
        <w:fldChar w:fldCharType="separate"/>
      </w:r>
      <w:r>
        <w:rPr>
          <w:rStyle w:val="17"/>
          <w:rFonts w:hint="eastAsia" w:ascii="仿宋" w:hAnsi="仿宋" w:eastAsia="仿宋"/>
          <w:color w:val="auto"/>
          <w:sz w:val="28"/>
          <w:szCs w:val="28"/>
        </w:rPr>
        <w:t>政府性基金预算财政拨款“三公”经费支出决算表</w:t>
      </w:r>
      <w:r>
        <w:rPr>
          <w:rFonts w:ascii="仿宋" w:hAnsi="仿宋" w:eastAsia="仿宋"/>
          <w:color w:val="auto"/>
          <w:sz w:val="28"/>
          <w:szCs w:val="28"/>
        </w:rPr>
        <w:fldChar w:fldCharType="end"/>
      </w:r>
    </w:p>
    <w:p>
      <w:pPr>
        <w:pStyle w:val="12"/>
        <w:rPr>
          <w:rFonts w:ascii="仿宋" w:hAnsi="仿宋" w:eastAsia="仿宋" w:cstheme="minorBidi"/>
          <w:color w:val="auto"/>
          <w:sz w:val="24"/>
        </w:rPr>
      </w:pPr>
      <w:r>
        <w:rPr>
          <w:rFonts w:hint="eastAsia" w:ascii="仿宋" w:hAnsi="仿宋" w:eastAsia="仿宋"/>
          <w:color w:val="auto"/>
          <w:sz w:val="28"/>
          <w:szCs w:val="28"/>
        </w:rPr>
        <w:t>十三、</w:t>
      </w:r>
      <w:r>
        <w:rPr>
          <w:color w:val="auto"/>
        </w:rPr>
        <w:fldChar w:fldCharType="begin"/>
      </w:r>
      <w:r>
        <w:rPr>
          <w:color w:val="auto"/>
        </w:rPr>
        <w:instrText xml:space="preserve"> HYPERLINK \l "_Toc15396631" </w:instrText>
      </w:r>
      <w:r>
        <w:rPr>
          <w:color w:val="auto"/>
        </w:rPr>
        <w:fldChar w:fldCharType="separate"/>
      </w:r>
      <w:r>
        <w:rPr>
          <w:rStyle w:val="17"/>
          <w:rFonts w:hint="eastAsia" w:ascii="仿宋" w:hAnsi="仿宋" w:eastAsia="仿宋"/>
          <w:color w:val="auto"/>
          <w:sz w:val="28"/>
          <w:szCs w:val="28"/>
        </w:rPr>
        <w:t>国有资本经营预算支出决算表</w:t>
      </w:r>
      <w:r>
        <w:rPr>
          <w:rFonts w:ascii="仿宋" w:hAnsi="仿宋" w:eastAsia="仿宋"/>
          <w:color w:val="auto"/>
          <w:sz w:val="28"/>
          <w:szCs w:val="28"/>
        </w:rPr>
        <w:fldChar w:fldCharType="end"/>
      </w:r>
    </w:p>
    <w:p>
      <w:pPr>
        <w:widowControl/>
        <w:jc w:val="left"/>
        <w:rPr>
          <w:rFonts w:ascii="仿宋" w:hAnsi="仿宋" w:eastAsia="仿宋"/>
          <w:color w:val="auto"/>
          <w:sz w:val="24"/>
        </w:rPr>
      </w:pPr>
      <w:r>
        <w:rPr>
          <w:rFonts w:ascii="仿宋" w:hAnsi="仿宋" w:eastAsia="仿宋"/>
          <w:color w:val="auto"/>
          <w:sz w:val="24"/>
        </w:rPr>
        <w:fldChar w:fldCharType="end"/>
      </w:r>
    </w:p>
    <w:p>
      <w:pPr>
        <w:widowControl/>
        <w:jc w:val="left"/>
        <w:rPr>
          <w:rFonts w:ascii="黑体" w:hAnsi="黑体" w:eastAsia="黑体"/>
          <w:bCs/>
          <w:color w:val="auto"/>
          <w:kern w:val="44"/>
          <w:sz w:val="44"/>
          <w:szCs w:val="44"/>
        </w:rPr>
      </w:pPr>
      <w:bookmarkStart w:id="12" w:name="_Toc15396599"/>
      <w:bookmarkStart w:id="13" w:name="_Toc15377196"/>
      <w:r>
        <w:rPr>
          <w:rFonts w:ascii="黑体" w:hAnsi="黑体" w:eastAsia="黑体"/>
          <w:b/>
          <w:color w:val="auto"/>
        </w:rPr>
        <w:br w:type="page"/>
      </w:r>
    </w:p>
    <w:p>
      <w:pPr>
        <w:pStyle w:val="3"/>
        <w:jc w:val="center"/>
        <w:rPr>
          <w:rFonts w:ascii="黑体" w:eastAsia="黑体"/>
          <w:color w:val="auto"/>
          <w:sz w:val="32"/>
          <w:szCs w:val="32"/>
        </w:rPr>
      </w:pPr>
      <w:r>
        <w:rPr>
          <w:rFonts w:hint="eastAsia" w:ascii="黑体" w:hAnsi="黑体" w:eastAsia="黑体"/>
          <w:b w:val="0"/>
          <w:color w:val="auto"/>
        </w:rPr>
        <w:t xml:space="preserve">第一部分 </w:t>
      </w:r>
      <w:r>
        <w:rPr>
          <w:rStyle w:val="26"/>
          <w:rFonts w:hint="eastAsia" w:ascii="黑体" w:hAnsi="黑体" w:eastAsia="黑体"/>
          <w:b w:val="0"/>
          <w:bCs w:val="0"/>
          <w:color w:val="auto"/>
        </w:rPr>
        <w:t>部门概况</w:t>
      </w:r>
      <w:bookmarkEnd w:id="12"/>
      <w:bookmarkEnd w:id="13"/>
    </w:p>
    <w:p>
      <w:pPr>
        <w:pStyle w:val="4"/>
        <w:rPr>
          <w:rStyle w:val="27"/>
          <w:rFonts w:ascii="仿宋" w:hAnsi="仿宋" w:eastAsia="仿宋"/>
          <w:b w:val="0"/>
          <w:bCs w:val="0"/>
          <w:color w:val="auto"/>
        </w:rPr>
      </w:pPr>
      <w:bookmarkStart w:id="14" w:name="_Toc15377197"/>
      <w:bookmarkStart w:id="15" w:name="_Toc15396600"/>
      <w:r>
        <w:rPr>
          <w:rFonts w:hint="eastAsia" w:ascii="黑体" w:hAnsi="黑体" w:eastAsia="黑体"/>
          <w:b w:val="0"/>
          <w:color w:val="auto"/>
        </w:rPr>
        <w:t>一、基</w:t>
      </w:r>
      <w:r>
        <w:rPr>
          <w:rStyle w:val="27"/>
          <w:rFonts w:hint="eastAsia" w:ascii="黑体" w:hAnsi="黑体" w:eastAsia="黑体"/>
          <w:b w:val="0"/>
          <w:bCs w:val="0"/>
          <w:color w:val="auto"/>
        </w:rPr>
        <w:t>本职能及主要工作</w:t>
      </w:r>
      <w:bookmarkEnd w:id="14"/>
      <w:bookmarkEnd w:id="15"/>
    </w:p>
    <w:p>
      <w:pPr>
        <w:pStyle w:val="6"/>
        <w:adjustRightInd w:val="0"/>
        <w:snapToGrid w:val="0"/>
        <w:spacing w:line="580" w:lineRule="exact"/>
        <w:ind w:firstLine="672" w:firstLineChars="210"/>
        <w:rPr>
          <w:rFonts w:hint="eastAsia" w:hAnsi="仿宋_GB2312" w:cs="仿宋"/>
          <w:color w:val="auto"/>
          <w:sz w:val="32"/>
          <w:szCs w:val="32"/>
        </w:rPr>
      </w:pPr>
      <w:bookmarkStart w:id="16" w:name="_Toc15378445"/>
      <w:bookmarkStart w:id="17" w:name="_Toc15377198"/>
      <w:r>
        <w:rPr>
          <w:rFonts w:hint="eastAsia" w:ascii="仿宋" w:hAnsi="仿宋" w:eastAsia="仿宋"/>
          <w:bCs/>
          <w:color w:val="auto"/>
          <w:sz w:val="32"/>
          <w:szCs w:val="32"/>
        </w:rPr>
        <w:t>（一）主要职能。</w:t>
      </w:r>
      <w:r>
        <w:rPr>
          <w:rFonts w:hint="eastAsia" w:hAnsi="仿宋_GB2312" w:cs="仿宋"/>
          <w:color w:val="auto"/>
          <w:sz w:val="32"/>
          <w:szCs w:val="32"/>
        </w:rPr>
        <w:t>我单位为县政府派出机构，受县政府委托，履行相应宗教事务管理执法权，业务上接收统战部门的指导和监督。</w:t>
      </w:r>
    </w:p>
    <w:p>
      <w:pPr>
        <w:pStyle w:val="6"/>
        <w:numPr>
          <w:ilvl w:val="0"/>
          <w:numId w:val="1"/>
        </w:numPr>
        <w:adjustRightInd w:val="0"/>
        <w:snapToGrid w:val="0"/>
        <w:spacing w:line="580" w:lineRule="exact"/>
        <w:ind w:firstLine="672" w:firstLineChars="210"/>
        <w:rPr>
          <w:rFonts w:hint="eastAsia" w:hAnsi="仿宋_GB2312" w:cs="仿宋"/>
          <w:color w:val="auto"/>
          <w:sz w:val="32"/>
          <w:szCs w:val="32"/>
        </w:rPr>
      </w:pPr>
      <w:r>
        <w:rPr>
          <w:rFonts w:hint="eastAsia" w:hAnsi="仿宋_GB2312" w:cs="仿宋"/>
          <w:color w:val="auto"/>
          <w:sz w:val="32"/>
          <w:szCs w:val="32"/>
        </w:rPr>
        <w:t>依法管理宗教事务，加强寺庙管理，加强僧尼管理，加强宗教活动管理。</w:t>
      </w:r>
    </w:p>
    <w:p>
      <w:pPr>
        <w:pStyle w:val="6"/>
        <w:numPr>
          <w:ilvl w:val="0"/>
          <w:numId w:val="1"/>
        </w:numPr>
        <w:adjustRightInd w:val="0"/>
        <w:snapToGrid w:val="0"/>
        <w:spacing w:line="580" w:lineRule="exact"/>
        <w:ind w:firstLine="672" w:firstLineChars="210"/>
        <w:rPr>
          <w:rFonts w:hint="eastAsia" w:hAnsi="仿宋_GB2312" w:cs="仿宋"/>
          <w:color w:val="auto"/>
          <w:sz w:val="32"/>
          <w:szCs w:val="32"/>
        </w:rPr>
      </w:pPr>
      <w:r>
        <w:rPr>
          <w:rFonts w:hint="eastAsia" w:hAnsi="仿宋_GB2312" w:cs="仿宋"/>
          <w:color w:val="auto"/>
          <w:sz w:val="32"/>
          <w:szCs w:val="32"/>
        </w:rPr>
        <w:t>教育引导，以增强僧尼法</w:t>
      </w:r>
      <w:r>
        <w:rPr>
          <w:rFonts w:hint="eastAsia" w:hAnsi="仿宋_GB2312" w:cs="仿宋"/>
          <w:color w:val="auto"/>
          <w:sz w:val="32"/>
          <w:szCs w:val="32"/>
          <w:lang w:val="en-US" w:eastAsia="zh-CN"/>
        </w:rPr>
        <w:t>治</w:t>
      </w:r>
      <w:r>
        <w:rPr>
          <w:rFonts w:hint="eastAsia" w:hAnsi="仿宋_GB2312" w:cs="仿宋"/>
          <w:color w:val="auto"/>
          <w:sz w:val="32"/>
          <w:szCs w:val="32"/>
        </w:rPr>
        <w:t>意识、公民意识、政府议事、祖国意识为目标，坚持不懈加强对僧尼的教育引导。</w:t>
      </w:r>
    </w:p>
    <w:p>
      <w:pPr>
        <w:pStyle w:val="6"/>
        <w:numPr>
          <w:ilvl w:val="0"/>
          <w:numId w:val="1"/>
        </w:numPr>
        <w:adjustRightInd w:val="0"/>
        <w:snapToGrid w:val="0"/>
        <w:spacing w:line="580" w:lineRule="exact"/>
        <w:ind w:firstLine="672" w:firstLineChars="210"/>
        <w:rPr>
          <w:rFonts w:hint="eastAsia" w:hAnsi="仿宋_GB2312"/>
          <w:color w:val="auto"/>
          <w:sz w:val="32"/>
          <w:szCs w:val="32"/>
        </w:rPr>
      </w:pPr>
      <w:r>
        <w:rPr>
          <w:rFonts w:hint="eastAsia" w:hAnsi="仿宋_GB2312" w:cs="仿宋"/>
          <w:color w:val="auto"/>
          <w:sz w:val="32"/>
          <w:szCs w:val="32"/>
        </w:rPr>
        <w:t>公共服务，充分保障依法打击寺庙和持证僧尼的普惠性待遇，做到“五通”、“三有”、“三覆盖”。</w:t>
      </w:r>
    </w:p>
    <w:bookmarkEnd w:id="16"/>
    <w:bookmarkEnd w:id="17"/>
    <w:p>
      <w:pPr>
        <w:pStyle w:val="6"/>
        <w:adjustRightInd w:val="0"/>
        <w:snapToGrid w:val="0"/>
        <w:spacing w:before="93" w:line="600" w:lineRule="exact"/>
        <w:ind w:firstLine="320" w:firstLineChars="100"/>
        <w:outlineLvl w:val="2"/>
        <w:rPr>
          <w:rFonts w:hint="eastAsia" w:ascii="仿宋" w:hAnsi="仿宋" w:eastAsia="仿宋"/>
          <w:bCs/>
          <w:color w:val="auto"/>
          <w:sz w:val="32"/>
          <w:szCs w:val="32"/>
        </w:rPr>
      </w:pPr>
      <w:bookmarkStart w:id="18" w:name="_Toc15377199"/>
      <w:bookmarkStart w:id="19" w:name="_Toc15378446"/>
      <w:r>
        <w:rPr>
          <w:rFonts w:hint="eastAsia" w:ascii="仿宋" w:hAnsi="仿宋" w:eastAsia="仿宋"/>
          <w:bCs/>
          <w:color w:val="auto"/>
          <w:sz w:val="32"/>
          <w:szCs w:val="32"/>
        </w:rPr>
        <w:t>（二）</w:t>
      </w:r>
      <w:r>
        <w:rPr>
          <w:rFonts w:ascii="仿宋" w:hAnsi="仿宋" w:eastAsia="仿宋"/>
          <w:bCs/>
          <w:color w:val="auto"/>
          <w:sz w:val="32"/>
          <w:szCs w:val="32"/>
        </w:rPr>
        <w:t>201</w:t>
      </w:r>
      <w:r>
        <w:rPr>
          <w:rFonts w:hint="eastAsia" w:ascii="仿宋" w:hAnsi="仿宋" w:eastAsia="仿宋"/>
          <w:bCs/>
          <w:color w:val="auto"/>
          <w:sz w:val="32"/>
          <w:szCs w:val="32"/>
        </w:rPr>
        <w:t>8年重点工作完成情况。</w:t>
      </w:r>
      <w:bookmarkEnd w:id="18"/>
      <w:bookmarkEnd w:id="19"/>
    </w:p>
    <w:p>
      <w:pPr>
        <w:pStyle w:val="6"/>
        <w:adjustRightInd w:val="0"/>
        <w:snapToGrid w:val="0"/>
        <w:spacing w:before="93" w:line="600" w:lineRule="exact"/>
        <w:ind w:firstLine="672" w:firstLineChars="210"/>
        <w:outlineLvl w:val="2"/>
        <w:rPr>
          <w:rFonts w:hint="eastAsia" w:ascii="仿宋" w:hAnsi="仿宋" w:eastAsia="仿宋"/>
          <w:bCs/>
          <w:color w:val="auto"/>
          <w:sz w:val="32"/>
          <w:szCs w:val="32"/>
        </w:rPr>
      </w:pPr>
      <w:r>
        <w:rPr>
          <w:rFonts w:hint="eastAsia" w:ascii="仿宋_GB2312" w:hAnsi="仿宋_GB2312" w:eastAsia="仿宋_GB2312"/>
          <w:color w:val="auto"/>
          <w:sz w:val="32"/>
          <w:szCs w:val="32"/>
        </w:rPr>
        <w:t xml:space="preserve">红原县民族宗教局保障了该部门机构正常运转、完成了日常工作任务以及承担宗教寺庙事业发展相关工作。 </w:t>
      </w:r>
    </w:p>
    <w:p>
      <w:pPr>
        <w:pStyle w:val="4"/>
        <w:rPr>
          <w:rStyle w:val="27"/>
          <w:b w:val="0"/>
          <w:bCs w:val="0"/>
          <w:color w:val="auto"/>
        </w:rPr>
      </w:pPr>
      <w:bookmarkStart w:id="20" w:name="_Toc15377200"/>
      <w:bookmarkStart w:id="21" w:name="_Toc15396601"/>
      <w:r>
        <w:rPr>
          <w:rFonts w:hint="eastAsia" w:ascii="黑体" w:eastAsia="黑体"/>
          <w:b w:val="0"/>
          <w:color w:val="auto"/>
        </w:rPr>
        <w:t>二、</w:t>
      </w:r>
      <w:r>
        <w:rPr>
          <w:rFonts w:hint="eastAsia" w:ascii="黑体" w:hAnsi="黑体" w:eastAsia="黑体"/>
          <w:b w:val="0"/>
          <w:color w:val="auto"/>
        </w:rPr>
        <w:t>机</w:t>
      </w:r>
      <w:r>
        <w:rPr>
          <w:rStyle w:val="27"/>
          <w:rFonts w:hint="eastAsia" w:ascii="黑体" w:hAnsi="黑体" w:eastAsia="黑体"/>
          <w:b w:val="0"/>
          <w:bCs w:val="0"/>
          <w:color w:val="auto"/>
        </w:rPr>
        <w:t>构设置</w:t>
      </w:r>
      <w:bookmarkEnd w:id="20"/>
      <w:bookmarkEnd w:id="21"/>
    </w:p>
    <w:p>
      <w:pPr>
        <w:numPr>
          <w:ilvl w:val="0"/>
          <w:numId w:val="0"/>
        </w:numPr>
        <w:snapToGrid w:val="0"/>
        <w:spacing w:line="520" w:lineRule="exact"/>
        <w:rPr>
          <w:rFonts w:hint="eastAsia" w:ascii="仿宋_GB2312" w:hAnsi="仿宋_GB2312" w:eastAsia="仿宋_GB2312"/>
          <w:color w:val="auto"/>
          <w:sz w:val="32"/>
          <w:szCs w:val="32"/>
        </w:rPr>
      </w:pPr>
      <w:r>
        <w:rPr>
          <w:rFonts w:hint="eastAsia" w:ascii="仿宋_GB2312" w:hAnsi="仿宋_GB2312" w:eastAsia="仿宋_GB2312" w:cs="仿宋_GB2312"/>
          <w:color w:val="auto"/>
          <w:sz w:val="32"/>
          <w:szCs w:val="32"/>
          <w:lang w:val="en-US" w:eastAsia="zh-CN"/>
        </w:rPr>
        <w:t xml:space="preserve">    1.</w:t>
      </w:r>
      <w:r>
        <w:rPr>
          <w:rFonts w:hint="eastAsia" w:ascii="仿宋_GB2312" w:hAnsi="仿宋_GB2312" w:eastAsia="仿宋_GB2312" w:cs="仿宋_GB2312"/>
          <w:color w:val="auto"/>
          <w:sz w:val="32"/>
          <w:szCs w:val="32"/>
        </w:rPr>
        <w:t>我单位为1个独立核算全额拨款行政单位，</w:t>
      </w:r>
      <w:r>
        <w:rPr>
          <w:rFonts w:hint="eastAsia" w:ascii="仿宋_GB2312" w:hAnsi="仿宋_GB2312" w:eastAsia="仿宋_GB2312"/>
          <w:color w:val="auto"/>
          <w:sz w:val="32"/>
          <w:szCs w:val="32"/>
        </w:rPr>
        <w:t>是独立核算的机构，是独立编报预决算的单位。</w:t>
      </w:r>
    </w:p>
    <w:p>
      <w:pPr>
        <w:snapToGrid w:val="0"/>
        <w:spacing w:line="52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olor w:val="auto"/>
          <w:sz w:val="32"/>
          <w:szCs w:val="32"/>
          <w:lang w:val="en-US" w:eastAsia="zh-CN"/>
        </w:rPr>
        <w:t>2</w:t>
      </w:r>
      <w:r>
        <w:rPr>
          <w:rFonts w:hint="eastAsia" w:ascii="仿宋_GB2312" w:hAnsi="仿宋_GB2312" w:eastAsia="仿宋_GB2312"/>
          <w:color w:val="auto"/>
          <w:sz w:val="32"/>
          <w:szCs w:val="32"/>
        </w:rPr>
        <w:t>．</w:t>
      </w:r>
      <w:r>
        <w:rPr>
          <w:rFonts w:hint="eastAsia" w:ascii="仿宋_GB2312" w:hAnsi="仿宋_GB2312" w:eastAsia="仿宋_GB2312" w:cs="仿宋_GB2312"/>
          <w:color w:val="auto"/>
          <w:sz w:val="32"/>
          <w:szCs w:val="32"/>
        </w:rPr>
        <w:t>截止2018年底我单位共有编制</w:t>
      </w:r>
      <w:r>
        <w:rPr>
          <w:rFonts w:hint="eastAsia" w:ascii="仿宋_GB2312" w:hAnsi="仿宋_GB2312" w:eastAsia="仿宋_GB2312" w:cs="仿宋_GB2312"/>
          <w:color w:val="auto"/>
          <w:sz w:val="32"/>
          <w:szCs w:val="32"/>
          <w:lang w:val="en-US" w:eastAsia="zh-CN"/>
        </w:rPr>
        <w:t>22</w:t>
      </w:r>
      <w:r>
        <w:rPr>
          <w:rFonts w:hint="eastAsia" w:ascii="仿宋_GB2312" w:hAnsi="仿宋_GB2312" w:eastAsia="仿宋_GB2312" w:cs="仿宋_GB2312"/>
          <w:color w:val="auto"/>
          <w:sz w:val="32"/>
          <w:szCs w:val="32"/>
        </w:rPr>
        <w:t>个，其中公务员编制14个，行政工勤编制1个</w:t>
      </w:r>
      <w:r>
        <w:rPr>
          <w:rFonts w:hint="eastAsia" w:ascii="仿宋_GB2312" w:hAnsi="仿宋_GB2312" w:eastAsia="仿宋_GB2312" w:cs="仿宋_GB2312"/>
          <w:color w:val="auto"/>
          <w:sz w:val="32"/>
          <w:szCs w:val="32"/>
          <w:lang w:val="en-US" w:eastAsia="zh-CN"/>
        </w:rPr>
        <w:t>,事业</w:t>
      </w:r>
      <w:r>
        <w:rPr>
          <w:rFonts w:hint="eastAsia" w:ascii="仿宋_GB2312" w:hAnsi="仿宋_GB2312" w:eastAsia="仿宋_GB2312" w:cs="仿宋_GB2312"/>
          <w:color w:val="auto"/>
          <w:sz w:val="32"/>
          <w:szCs w:val="32"/>
        </w:rPr>
        <w:t>编制7个。</w:t>
      </w:r>
      <w:r>
        <w:rPr>
          <w:rFonts w:hint="eastAsia" w:ascii="仿宋_GB2312" w:hAnsi="仿宋_GB2312" w:eastAsia="仿宋_GB2312" w:cs="仿宋_GB2312"/>
          <w:color w:val="auto"/>
          <w:sz w:val="32"/>
          <w:szCs w:val="32"/>
          <w:lang w:eastAsia="zh-CN"/>
        </w:rPr>
        <w:t>在职</w:t>
      </w:r>
      <w:r>
        <w:rPr>
          <w:rFonts w:hint="eastAsia" w:ascii="仿宋_GB2312" w:hAnsi="仿宋_GB2312" w:eastAsia="仿宋_GB2312" w:cs="仿宋_GB2312"/>
          <w:color w:val="auto"/>
          <w:sz w:val="32"/>
          <w:szCs w:val="32"/>
          <w:lang w:val="en-US" w:eastAsia="zh-CN"/>
        </w:rPr>
        <w:t>21人，其中：</w:t>
      </w:r>
      <w:r>
        <w:rPr>
          <w:rFonts w:hint="eastAsia" w:ascii="仿宋_GB2312" w:hAnsi="仿宋_GB2312" w:eastAsia="仿宋_GB2312" w:cs="仿宋_GB2312"/>
          <w:color w:val="auto"/>
          <w:sz w:val="32"/>
          <w:szCs w:val="32"/>
          <w:lang w:eastAsia="zh-CN"/>
        </w:rPr>
        <w:t>行政</w:t>
      </w:r>
      <w:r>
        <w:rPr>
          <w:rFonts w:hint="eastAsia" w:ascii="仿宋_GB2312" w:hAnsi="仿宋_GB2312" w:eastAsia="仿宋_GB2312" w:cs="仿宋_GB2312"/>
          <w:color w:val="auto"/>
          <w:sz w:val="32"/>
          <w:szCs w:val="32"/>
        </w:rPr>
        <w:t>在职15人，行政工勤1个，公务员14人，退休6人。事业在职6个，退休1人。</w:t>
      </w:r>
    </w:p>
    <w:p>
      <w:pPr>
        <w:pStyle w:val="3"/>
        <w:ind w:right="440"/>
        <w:jc w:val="right"/>
        <w:rPr>
          <w:rStyle w:val="26"/>
          <w:rFonts w:hint="eastAsia" w:ascii="黑体" w:hAnsi="黑体" w:eastAsia="黑体"/>
          <w:b w:val="0"/>
          <w:bCs w:val="0"/>
          <w:color w:val="auto"/>
        </w:rPr>
      </w:pPr>
      <w:bookmarkStart w:id="22" w:name="_Toc15377204"/>
      <w:bookmarkStart w:id="23" w:name="_Toc15396602"/>
      <w:r>
        <w:rPr>
          <w:rFonts w:hint="eastAsia" w:ascii="黑体" w:hAnsi="黑体" w:eastAsia="黑体"/>
          <w:b w:val="0"/>
          <w:color w:val="auto"/>
        </w:rPr>
        <w:t>第二部分</w:t>
      </w:r>
      <w:r>
        <w:rPr>
          <w:rFonts w:hint="eastAsia" w:ascii="黑体" w:hAnsi="黑体" w:eastAsia="黑体"/>
          <w:color w:val="auto"/>
        </w:rPr>
        <w:t xml:space="preserve"> </w:t>
      </w:r>
      <w:r>
        <w:rPr>
          <w:rStyle w:val="26"/>
          <w:rFonts w:hint="eastAsia" w:ascii="黑体" w:hAnsi="黑体" w:eastAsia="黑体"/>
          <w:b w:val="0"/>
          <w:bCs w:val="0"/>
          <w:color w:val="auto"/>
        </w:rPr>
        <w:t>2018年度部门决算情况说明</w:t>
      </w:r>
      <w:bookmarkEnd w:id="22"/>
      <w:bookmarkEnd w:id="23"/>
      <w:bookmarkStart w:id="24" w:name="_Toc15377205"/>
      <w:bookmarkStart w:id="25" w:name="_Toc15396603"/>
    </w:p>
    <w:p>
      <w:pPr>
        <w:pStyle w:val="3"/>
        <w:ind w:right="440"/>
        <w:jc w:val="both"/>
        <w:rPr>
          <w:rStyle w:val="27"/>
          <w:rFonts w:ascii="黑体" w:hAnsi="黑体" w:eastAsia="黑体"/>
          <w:b w:val="0"/>
          <w:bCs/>
          <w:color w:val="auto"/>
        </w:rPr>
      </w:pPr>
      <w:r>
        <w:rPr>
          <w:rFonts w:hint="eastAsia" w:ascii="黑体" w:hAnsi="黑体" w:eastAsia="黑体"/>
          <w:color w:val="auto"/>
          <w:sz w:val="32"/>
          <w:szCs w:val="32"/>
          <w:lang w:val="en-US" w:eastAsia="zh-CN"/>
        </w:rPr>
        <w:t>一、</w:t>
      </w:r>
      <w:r>
        <w:rPr>
          <w:rFonts w:hint="eastAsia" w:ascii="黑体" w:hAnsi="黑体" w:eastAsia="黑体"/>
          <w:color w:val="auto"/>
          <w:sz w:val="32"/>
          <w:szCs w:val="32"/>
        </w:rPr>
        <w:t>收</w:t>
      </w:r>
      <w:r>
        <w:rPr>
          <w:rStyle w:val="27"/>
          <w:rFonts w:hint="eastAsia" w:ascii="黑体" w:hAnsi="黑体" w:eastAsia="黑体"/>
          <w:b w:val="0"/>
          <w:bCs/>
          <w:color w:val="auto"/>
        </w:rPr>
        <w:t>入支出决算总体情况说明</w:t>
      </w:r>
      <w:bookmarkEnd w:id="24"/>
      <w:bookmarkEnd w:id="25"/>
    </w:p>
    <w:p>
      <w:pPr>
        <w:spacing w:line="600" w:lineRule="exact"/>
        <w:ind w:firstLine="640" w:firstLineChars="200"/>
        <w:rPr>
          <w:rFonts w:hint="eastAsia"/>
          <w:color w:val="auto"/>
          <w:lang w:val="en-US" w:eastAsia="zh-CN"/>
        </w:rPr>
      </w:pPr>
      <w:r>
        <w:rPr>
          <w:rFonts w:hint="eastAsia" w:ascii="仿宋" w:hAnsi="仿宋" w:eastAsia="仿宋"/>
          <w:color w:val="auto"/>
          <w:sz w:val="32"/>
          <w:szCs w:val="32"/>
        </w:rPr>
        <w:t>2018年度收</w:t>
      </w:r>
      <w:r>
        <w:rPr>
          <w:rFonts w:hint="eastAsia" w:ascii="仿宋" w:hAnsi="仿宋" w:eastAsia="仿宋"/>
          <w:color w:val="auto"/>
          <w:sz w:val="32"/>
          <w:szCs w:val="32"/>
          <w:lang w:eastAsia="zh-CN"/>
        </w:rPr>
        <w:t>入514.9万元，</w:t>
      </w:r>
      <w:r>
        <w:rPr>
          <w:rFonts w:hint="eastAsia" w:ascii="仿宋" w:hAnsi="仿宋" w:eastAsia="仿宋"/>
          <w:color w:val="auto"/>
          <w:sz w:val="32"/>
          <w:szCs w:val="32"/>
        </w:rPr>
        <w:t>支</w:t>
      </w:r>
      <w:r>
        <w:rPr>
          <w:rFonts w:hint="eastAsia" w:ascii="仿宋" w:hAnsi="仿宋" w:eastAsia="仿宋"/>
          <w:color w:val="auto"/>
          <w:sz w:val="32"/>
          <w:szCs w:val="32"/>
          <w:lang w:eastAsia="zh-CN"/>
        </w:rPr>
        <w:t>出</w:t>
      </w:r>
      <w:r>
        <w:rPr>
          <w:rFonts w:hint="eastAsia" w:ascii="仿宋" w:hAnsi="仿宋" w:eastAsia="仿宋"/>
          <w:color w:val="auto"/>
          <w:sz w:val="32"/>
          <w:szCs w:val="32"/>
        </w:rPr>
        <w:t>637.07万元。与2017年相比，收</w:t>
      </w:r>
      <w:r>
        <w:rPr>
          <w:rFonts w:hint="eastAsia" w:ascii="仿宋" w:hAnsi="仿宋" w:eastAsia="仿宋"/>
          <w:color w:val="auto"/>
          <w:sz w:val="32"/>
          <w:szCs w:val="32"/>
          <w:lang w:eastAsia="zh-CN"/>
        </w:rPr>
        <w:t>入减少</w:t>
      </w:r>
      <w:r>
        <w:rPr>
          <w:rFonts w:hint="eastAsia" w:ascii="仿宋" w:hAnsi="仿宋" w:eastAsia="仿宋"/>
          <w:color w:val="auto"/>
          <w:sz w:val="32"/>
          <w:szCs w:val="32"/>
          <w:lang w:val="en-US" w:eastAsia="zh-CN"/>
        </w:rPr>
        <w:t>11.6</w:t>
      </w:r>
      <w:r>
        <w:rPr>
          <w:rFonts w:hint="eastAsia" w:ascii="仿宋" w:hAnsi="仿宋" w:eastAsia="仿宋"/>
          <w:color w:val="auto"/>
          <w:sz w:val="32"/>
          <w:szCs w:val="32"/>
        </w:rPr>
        <w:t>万元，</w:t>
      </w:r>
      <w:r>
        <w:rPr>
          <w:rFonts w:hint="eastAsia" w:ascii="仿宋" w:hAnsi="仿宋" w:eastAsia="仿宋"/>
          <w:color w:val="auto"/>
          <w:sz w:val="32"/>
          <w:szCs w:val="32"/>
          <w:lang w:eastAsia="zh-CN"/>
        </w:rPr>
        <w:t>减少</w:t>
      </w:r>
      <w:r>
        <w:rPr>
          <w:rFonts w:hint="eastAsia" w:ascii="仿宋" w:hAnsi="仿宋" w:eastAsia="仿宋"/>
          <w:color w:val="auto"/>
          <w:sz w:val="32"/>
          <w:szCs w:val="32"/>
          <w:lang w:val="en-US" w:eastAsia="zh-CN"/>
        </w:rPr>
        <w:t>2.25</w:t>
      </w:r>
      <w:r>
        <w:rPr>
          <w:rFonts w:ascii="仿宋" w:hAnsi="仿宋" w:eastAsia="仿宋"/>
          <w:color w:val="auto"/>
          <w:sz w:val="32"/>
          <w:szCs w:val="32"/>
        </w:rPr>
        <w:t>%</w:t>
      </w:r>
      <w:r>
        <w:rPr>
          <w:rFonts w:hint="eastAsia" w:ascii="仿宋" w:hAnsi="仿宋" w:eastAsia="仿宋"/>
          <w:color w:val="auto"/>
          <w:sz w:val="32"/>
          <w:szCs w:val="32"/>
          <w:lang w:eastAsia="zh-CN"/>
        </w:rPr>
        <w:t>，</w:t>
      </w:r>
      <w:r>
        <w:rPr>
          <w:rFonts w:hint="eastAsia" w:ascii="仿宋" w:hAnsi="仿宋" w:eastAsia="仿宋"/>
          <w:color w:val="auto"/>
          <w:sz w:val="32"/>
          <w:szCs w:val="32"/>
        </w:rPr>
        <w:t>主要变动原因是</w:t>
      </w:r>
      <w:r>
        <w:rPr>
          <w:rFonts w:hint="eastAsia" w:ascii="仿宋" w:hAnsi="仿宋" w:eastAsia="仿宋"/>
          <w:color w:val="auto"/>
          <w:sz w:val="32"/>
          <w:szCs w:val="32"/>
          <w:lang w:eastAsia="zh-CN"/>
        </w:rPr>
        <w:t>人员减少人头经费减少。</w:t>
      </w:r>
      <w:r>
        <w:rPr>
          <w:rFonts w:hint="eastAsia" w:ascii="仿宋" w:hAnsi="仿宋" w:eastAsia="仿宋"/>
          <w:color w:val="auto"/>
          <w:sz w:val="32"/>
          <w:szCs w:val="32"/>
        </w:rPr>
        <w:t>支</w:t>
      </w:r>
      <w:r>
        <w:rPr>
          <w:rFonts w:hint="eastAsia" w:ascii="仿宋" w:hAnsi="仿宋" w:eastAsia="仿宋"/>
          <w:color w:val="auto"/>
          <w:sz w:val="32"/>
          <w:szCs w:val="32"/>
          <w:lang w:eastAsia="zh-CN"/>
        </w:rPr>
        <w:t>出</w:t>
      </w:r>
      <w:r>
        <w:rPr>
          <w:rFonts w:hint="eastAsia" w:ascii="仿宋" w:hAnsi="仿宋" w:eastAsia="仿宋"/>
          <w:color w:val="auto"/>
          <w:sz w:val="32"/>
          <w:szCs w:val="32"/>
        </w:rPr>
        <w:t>增加</w:t>
      </w:r>
      <w:r>
        <w:rPr>
          <w:rFonts w:hint="eastAsia" w:ascii="仿宋" w:hAnsi="仿宋" w:eastAsia="仿宋"/>
          <w:color w:val="auto"/>
          <w:sz w:val="32"/>
          <w:szCs w:val="32"/>
          <w:lang w:val="en-US" w:eastAsia="zh-CN"/>
        </w:rPr>
        <w:t>154.06</w:t>
      </w:r>
      <w:r>
        <w:rPr>
          <w:rFonts w:hint="eastAsia" w:ascii="仿宋" w:hAnsi="仿宋" w:eastAsia="仿宋"/>
          <w:color w:val="auto"/>
          <w:sz w:val="32"/>
          <w:szCs w:val="32"/>
        </w:rPr>
        <w:t>万元，增长</w:t>
      </w:r>
      <w:r>
        <w:rPr>
          <w:rFonts w:hint="eastAsia" w:ascii="仿宋" w:hAnsi="仿宋" w:eastAsia="仿宋"/>
          <w:color w:val="auto"/>
          <w:sz w:val="32"/>
          <w:szCs w:val="32"/>
          <w:lang w:val="en-US" w:eastAsia="zh-CN"/>
        </w:rPr>
        <w:t>24.18</w:t>
      </w:r>
      <w:r>
        <w:rPr>
          <w:rFonts w:ascii="仿宋" w:hAnsi="仿宋" w:eastAsia="仿宋"/>
          <w:color w:val="auto"/>
          <w:sz w:val="32"/>
          <w:szCs w:val="32"/>
        </w:rPr>
        <w:t>%</w:t>
      </w:r>
      <w:r>
        <w:rPr>
          <w:rFonts w:hint="eastAsia" w:ascii="仿宋" w:hAnsi="仿宋" w:eastAsia="仿宋"/>
          <w:color w:val="auto"/>
          <w:sz w:val="32"/>
          <w:szCs w:val="32"/>
          <w:lang w:eastAsia="zh-CN"/>
        </w:rPr>
        <w:t>，</w:t>
      </w:r>
      <w:r>
        <w:rPr>
          <w:rFonts w:hint="eastAsia" w:ascii="仿宋" w:hAnsi="仿宋" w:eastAsia="仿宋"/>
          <w:color w:val="auto"/>
          <w:sz w:val="32"/>
          <w:szCs w:val="32"/>
        </w:rPr>
        <w:t>主要变动原因是</w:t>
      </w:r>
      <w:r>
        <w:rPr>
          <w:rFonts w:hint="eastAsia" w:ascii="仿宋" w:hAnsi="仿宋" w:eastAsia="仿宋"/>
          <w:color w:val="auto"/>
          <w:sz w:val="32"/>
          <w:szCs w:val="32"/>
          <w:lang w:eastAsia="zh-CN"/>
        </w:rPr>
        <w:t>往年的项目结余资金、</w:t>
      </w:r>
      <w:r>
        <w:rPr>
          <w:rFonts w:hint="eastAsia" w:ascii="仿宋" w:hAnsi="仿宋" w:eastAsia="仿宋"/>
          <w:color w:val="auto"/>
          <w:sz w:val="32"/>
          <w:szCs w:val="32"/>
          <w:lang w:val="en-US" w:eastAsia="zh-CN"/>
        </w:rPr>
        <w:t>青藏高原环境与山水文化编纂工作追加经费</w:t>
      </w:r>
      <w:r>
        <w:rPr>
          <w:rFonts w:hint="eastAsia" w:ascii="仿宋" w:hAnsi="仿宋" w:eastAsia="仿宋"/>
          <w:color w:val="auto"/>
          <w:sz w:val="32"/>
          <w:szCs w:val="32"/>
          <w:lang w:eastAsia="zh-CN"/>
        </w:rPr>
        <w:t>、民族团结进步示范县创建工作追加经费支出。</w:t>
      </w:r>
    </w:p>
    <w:p>
      <w:pPr>
        <w:spacing w:line="60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（图</w:t>
      </w:r>
      <w:r>
        <w:rPr>
          <w:rFonts w:ascii="仿宋" w:hAnsi="仿宋" w:eastAsia="仿宋"/>
          <w:color w:val="auto"/>
          <w:sz w:val="32"/>
          <w:szCs w:val="32"/>
        </w:rPr>
        <w:t>1</w:t>
      </w:r>
      <w:r>
        <w:rPr>
          <w:rFonts w:hint="eastAsia" w:ascii="仿宋" w:hAnsi="仿宋" w:eastAsia="仿宋"/>
          <w:color w:val="auto"/>
          <w:sz w:val="32"/>
          <w:szCs w:val="32"/>
        </w:rPr>
        <w:t>：收、支决算总计变动情况图）（柱状图）</w:t>
      </w:r>
    </w:p>
    <w:p>
      <w:pPr>
        <w:spacing w:line="600" w:lineRule="exact"/>
        <w:ind w:firstLine="640" w:firstLineChars="200"/>
        <w:rPr>
          <w:rFonts w:hint="eastAsia" w:ascii="仿宋" w:hAnsi="仿宋" w:eastAsia="仿宋"/>
          <w:color w:val="auto"/>
          <w:sz w:val="32"/>
          <w:szCs w:val="32"/>
          <w:lang w:eastAsia="zh-CN"/>
        </w:rPr>
      </w:pPr>
      <w:r>
        <w:rPr>
          <w:rFonts w:hint="eastAsia" w:ascii="仿宋" w:hAnsi="仿宋" w:eastAsia="仿宋"/>
          <w:color w:val="auto"/>
          <w:sz w:val="32"/>
          <w:szCs w:val="32"/>
          <w:lang w:eastAsia="zh-CN"/>
        </w:rPr>
        <w:drawing>
          <wp:anchor distT="0" distB="0" distL="114300" distR="114300" simplePos="0" relativeHeight="251659264" behindDoc="0" locked="0" layoutInCell="1" allowOverlap="1">
            <wp:simplePos x="0" y="0"/>
            <wp:positionH relativeFrom="column">
              <wp:posOffset>69215</wp:posOffset>
            </wp:positionH>
            <wp:positionV relativeFrom="paragraph">
              <wp:posOffset>151765</wp:posOffset>
            </wp:positionV>
            <wp:extent cx="4888865" cy="2825750"/>
            <wp:effectExtent l="4445" t="4445" r="21590" b="8255"/>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rPr>
          <w:rFonts w:ascii="仿宋" w:hAnsi="仿宋" w:eastAsia="仿宋"/>
          <w:color w:val="auto"/>
          <w:sz w:val="32"/>
          <w:szCs w:val="32"/>
        </w:rPr>
      </w:pPr>
    </w:p>
    <w:p>
      <w:pPr>
        <w:spacing w:line="600" w:lineRule="exact"/>
        <w:ind w:firstLine="640" w:firstLineChars="200"/>
        <w:rPr>
          <w:rFonts w:ascii="仿宋" w:hAnsi="仿宋" w:eastAsia="仿宋"/>
          <w:color w:val="auto"/>
          <w:sz w:val="32"/>
          <w:szCs w:val="32"/>
        </w:rPr>
      </w:pPr>
    </w:p>
    <w:p>
      <w:pPr>
        <w:spacing w:line="600" w:lineRule="exact"/>
        <w:ind w:firstLine="640" w:firstLineChars="200"/>
        <w:rPr>
          <w:rFonts w:ascii="仿宋" w:hAnsi="仿宋" w:eastAsia="仿宋"/>
          <w:color w:val="auto"/>
          <w:sz w:val="32"/>
          <w:szCs w:val="32"/>
        </w:rPr>
      </w:pPr>
    </w:p>
    <w:p>
      <w:pPr>
        <w:spacing w:line="600" w:lineRule="exact"/>
        <w:ind w:firstLine="640" w:firstLineChars="200"/>
        <w:rPr>
          <w:rFonts w:ascii="仿宋" w:hAnsi="仿宋" w:eastAsia="仿宋"/>
          <w:color w:val="auto"/>
          <w:sz w:val="32"/>
          <w:szCs w:val="32"/>
        </w:rPr>
      </w:pPr>
    </w:p>
    <w:p>
      <w:pPr>
        <w:spacing w:line="600" w:lineRule="exact"/>
        <w:ind w:firstLine="640" w:firstLineChars="200"/>
        <w:rPr>
          <w:rFonts w:ascii="仿宋" w:hAnsi="仿宋" w:eastAsia="仿宋"/>
          <w:color w:val="auto"/>
          <w:sz w:val="32"/>
          <w:szCs w:val="32"/>
        </w:rPr>
      </w:pPr>
    </w:p>
    <w:p>
      <w:pPr>
        <w:spacing w:line="600" w:lineRule="exact"/>
        <w:ind w:firstLine="640" w:firstLineChars="200"/>
        <w:rPr>
          <w:rFonts w:ascii="仿宋" w:hAnsi="仿宋" w:eastAsia="仿宋"/>
          <w:color w:val="auto"/>
          <w:sz w:val="32"/>
          <w:szCs w:val="32"/>
        </w:rPr>
      </w:pPr>
    </w:p>
    <w:p>
      <w:pPr>
        <w:spacing w:line="600" w:lineRule="exact"/>
        <w:ind w:firstLine="640" w:firstLineChars="200"/>
        <w:rPr>
          <w:rFonts w:ascii="仿宋" w:hAnsi="仿宋" w:eastAsia="仿宋"/>
          <w:color w:val="auto"/>
          <w:sz w:val="32"/>
          <w:szCs w:val="32"/>
        </w:rPr>
      </w:pPr>
    </w:p>
    <w:p>
      <w:pPr>
        <w:pStyle w:val="25"/>
        <w:numPr>
          <w:numId w:val="0"/>
        </w:numPr>
        <w:spacing w:line="600" w:lineRule="exact"/>
        <w:outlineLvl w:val="1"/>
        <w:rPr>
          <w:rStyle w:val="27"/>
          <w:rFonts w:ascii="黑体" w:hAnsi="黑体" w:eastAsia="黑体"/>
          <w:b w:val="0"/>
          <w:color w:val="auto"/>
        </w:rPr>
      </w:pPr>
      <w:bookmarkStart w:id="26" w:name="_Toc15396604"/>
      <w:bookmarkStart w:id="27" w:name="_Toc15377206"/>
      <w:r>
        <w:rPr>
          <w:rFonts w:hint="eastAsia" w:ascii="黑体" w:hAnsi="黑体" w:eastAsia="黑体"/>
          <w:color w:val="auto"/>
          <w:sz w:val="32"/>
          <w:szCs w:val="32"/>
          <w:lang w:val="en-US" w:eastAsia="zh-CN"/>
        </w:rPr>
        <w:t>二、</w:t>
      </w:r>
      <w:r>
        <w:rPr>
          <w:rFonts w:hint="eastAsia" w:ascii="黑体" w:hAnsi="黑体" w:eastAsia="黑体"/>
          <w:color w:val="auto"/>
          <w:sz w:val="32"/>
          <w:szCs w:val="32"/>
        </w:rPr>
        <w:t>收</w:t>
      </w:r>
      <w:r>
        <w:rPr>
          <w:rStyle w:val="27"/>
          <w:rFonts w:hint="eastAsia" w:ascii="黑体" w:hAnsi="黑体" w:eastAsia="黑体"/>
          <w:b w:val="0"/>
          <w:color w:val="auto"/>
        </w:rPr>
        <w:t>入决算情况说明</w:t>
      </w:r>
      <w:bookmarkEnd w:id="26"/>
      <w:bookmarkEnd w:id="27"/>
    </w:p>
    <w:p>
      <w:pPr>
        <w:spacing w:line="600" w:lineRule="exact"/>
        <w:ind w:firstLine="640" w:firstLineChars="200"/>
        <w:outlineLvl w:val="1"/>
        <w:rPr>
          <w:rFonts w:hint="eastAsia" w:ascii="仿宋" w:hAnsi="仿宋" w:eastAsia="仿宋"/>
          <w:color w:val="auto"/>
          <w:sz w:val="32"/>
          <w:szCs w:val="32"/>
        </w:rPr>
      </w:pPr>
      <w:r>
        <w:rPr>
          <w:rFonts w:ascii="仿宋" w:hAnsi="仿宋" w:eastAsia="仿宋"/>
          <w:color w:val="auto"/>
          <w:sz w:val="32"/>
          <w:szCs w:val="32"/>
        </w:rPr>
        <w:t>201</w:t>
      </w:r>
      <w:r>
        <w:rPr>
          <w:rFonts w:hint="eastAsia" w:ascii="仿宋" w:hAnsi="仿宋" w:eastAsia="仿宋"/>
          <w:color w:val="auto"/>
          <w:sz w:val="32"/>
          <w:szCs w:val="32"/>
        </w:rPr>
        <w:t>8年本年收入合计</w:t>
      </w:r>
      <w:r>
        <w:rPr>
          <w:rFonts w:hint="eastAsia" w:ascii="仿宋" w:hAnsi="仿宋" w:eastAsia="仿宋"/>
          <w:color w:val="auto"/>
          <w:sz w:val="32"/>
          <w:szCs w:val="32"/>
          <w:lang w:val="en-US" w:eastAsia="zh-CN"/>
        </w:rPr>
        <w:t>514.84</w:t>
      </w:r>
      <w:r>
        <w:rPr>
          <w:rFonts w:hint="eastAsia" w:ascii="仿宋" w:hAnsi="仿宋" w:eastAsia="仿宋"/>
          <w:color w:val="auto"/>
          <w:sz w:val="32"/>
          <w:szCs w:val="32"/>
        </w:rPr>
        <w:t>万元，其中：一般公共预算财政拨款收入</w:t>
      </w:r>
      <w:r>
        <w:rPr>
          <w:rFonts w:hint="eastAsia" w:ascii="仿宋" w:hAnsi="仿宋" w:eastAsia="仿宋"/>
          <w:color w:val="auto"/>
          <w:sz w:val="32"/>
          <w:szCs w:val="32"/>
          <w:lang w:val="en-US" w:eastAsia="zh-CN"/>
        </w:rPr>
        <w:t>377.07</w:t>
      </w:r>
      <w:r>
        <w:rPr>
          <w:rFonts w:hint="eastAsia" w:ascii="仿宋" w:hAnsi="仿宋" w:eastAsia="仿宋"/>
          <w:color w:val="auto"/>
          <w:sz w:val="32"/>
          <w:szCs w:val="32"/>
        </w:rPr>
        <w:t>万元，占</w:t>
      </w:r>
      <w:r>
        <w:rPr>
          <w:rFonts w:hint="eastAsia" w:ascii="仿宋" w:hAnsi="仿宋" w:eastAsia="仿宋"/>
          <w:color w:val="auto"/>
          <w:sz w:val="32"/>
          <w:szCs w:val="32"/>
          <w:lang w:eastAsia="zh-CN"/>
        </w:rPr>
        <w:t>总收入的</w:t>
      </w:r>
      <w:r>
        <w:rPr>
          <w:rFonts w:hint="eastAsia" w:ascii="仿宋" w:hAnsi="仿宋" w:eastAsia="仿宋"/>
          <w:color w:val="auto"/>
          <w:sz w:val="32"/>
          <w:szCs w:val="32"/>
          <w:lang w:val="en-US" w:eastAsia="zh-CN"/>
        </w:rPr>
        <w:t>73.24</w:t>
      </w:r>
      <w:r>
        <w:rPr>
          <w:rFonts w:ascii="仿宋" w:hAnsi="仿宋" w:eastAsia="仿宋"/>
          <w:color w:val="auto"/>
          <w:sz w:val="32"/>
          <w:szCs w:val="32"/>
        </w:rPr>
        <w:t>%</w:t>
      </w:r>
      <w:r>
        <w:rPr>
          <w:rFonts w:hint="eastAsia" w:ascii="仿宋" w:hAnsi="仿宋" w:eastAsia="仿宋"/>
          <w:color w:val="auto"/>
          <w:sz w:val="32"/>
          <w:szCs w:val="32"/>
        </w:rPr>
        <w:t>；政府性基金预算财政拨款收入</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w:t>
      </w:r>
      <w:r>
        <w:rPr>
          <w:rFonts w:hint="eastAsia" w:ascii="宋体" w:hAnsi="宋体" w:cs="宋体"/>
          <w:color w:val="auto"/>
          <w:sz w:val="32"/>
          <w:szCs w:val="32"/>
        </w:rPr>
        <w:t>占总收入的</w:t>
      </w:r>
      <w:r>
        <w:rPr>
          <w:rFonts w:hint="eastAsia" w:ascii="仿宋_GB2312" w:hAnsi="仿宋_GB2312" w:eastAsia="仿宋_GB2312"/>
          <w:color w:val="auto"/>
          <w:sz w:val="32"/>
          <w:szCs w:val="32"/>
          <w:lang w:val="en-US" w:eastAsia="zh-CN"/>
        </w:rPr>
        <w:t>0</w:t>
      </w:r>
      <w:r>
        <w:rPr>
          <w:rFonts w:hint="eastAsia" w:ascii="仿宋_GB2312" w:hAnsi="仿宋_GB2312" w:eastAsia="仿宋_GB2312"/>
          <w:color w:val="auto"/>
          <w:sz w:val="32"/>
          <w:szCs w:val="32"/>
        </w:rPr>
        <w:t>%</w:t>
      </w:r>
      <w:r>
        <w:rPr>
          <w:rFonts w:hint="eastAsia" w:ascii="仿宋" w:hAnsi="仿宋" w:eastAsia="仿宋"/>
          <w:color w:val="auto"/>
          <w:sz w:val="32"/>
          <w:szCs w:val="32"/>
        </w:rPr>
        <w:t>；国有资本经营预算财政拨款收入</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；事业收入</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；经营收入</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；附属单位上缴收入</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；其他收入</w:t>
      </w:r>
      <w:r>
        <w:rPr>
          <w:rFonts w:hint="eastAsia" w:ascii="仿宋" w:hAnsi="仿宋" w:eastAsia="仿宋"/>
          <w:color w:val="auto"/>
          <w:sz w:val="32"/>
          <w:szCs w:val="32"/>
          <w:lang w:val="en-US" w:eastAsia="zh-CN"/>
        </w:rPr>
        <w:t>0.07</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0.01</w:t>
      </w:r>
      <w:r>
        <w:rPr>
          <w:rFonts w:ascii="仿宋" w:hAnsi="仿宋" w:eastAsia="仿宋"/>
          <w:color w:val="auto"/>
          <w:sz w:val="32"/>
          <w:szCs w:val="32"/>
        </w:rPr>
        <w:t>%</w:t>
      </w:r>
      <w:r>
        <w:rPr>
          <w:rFonts w:hint="eastAsia" w:ascii="仿宋" w:hAnsi="仿宋" w:eastAsia="仿宋"/>
          <w:color w:val="auto"/>
          <w:sz w:val="32"/>
          <w:szCs w:val="32"/>
        </w:rPr>
        <w:t>。</w:t>
      </w:r>
    </w:p>
    <w:p>
      <w:pPr>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（图2：收入决算结构图）（饼状图）</w:t>
      </w:r>
    </w:p>
    <w:p>
      <w:pPr>
        <w:spacing w:line="60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eastAsia="zh-CN"/>
        </w:rPr>
        <w:drawing>
          <wp:anchor distT="0" distB="0" distL="114300" distR="114300" simplePos="0" relativeHeight="251661312" behindDoc="0" locked="0" layoutInCell="1" allowOverlap="1">
            <wp:simplePos x="0" y="0"/>
            <wp:positionH relativeFrom="column">
              <wp:posOffset>381000</wp:posOffset>
            </wp:positionH>
            <wp:positionV relativeFrom="page">
              <wp:posOffset>2520950</wp:posOffset>
            </wp:positionV>
            <wp:extent cx="3867150" cy="2618105"/>
            <wp:effectExtent l="4445" t="4445" r="14605" b="6350"/>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ascii="仿宋_GB2312" w:eastAsia="仿宋_GB2312"/>
          <w:color w:val="auto"/>
          <w:sz w:val="32"/>
          <w:szCs w:val="32"/>
        </w:rPr>
      </w:pPr>
    </w:p>
    <w:p>
      <w:pPr>
        <w:spacing w:line="600" w:lineRule="exact"/>
        <w:ind w:firstLine="640" w:firstLineChars="200"/>
        <w:rPr>
          <w:rFonts w:ascii="仿宋_GB2312" w:eastAsia="仿宋_GB2312"/>
          <w:color w:val="auto"/>
          <w:sz w:val="32"/>
          <w:szCs w:val="32"/>
        </w:rPr>
      </w:pPr>
    </w:p>
    <w:p>
      <w:pPr>
        <w:spacing w:line="600" w:lineRule="exact"/>
        <w:ind w:firstLine="640" w:firstLineChars="200"/>
        <w:rPr>
          <w:rFonts w:ascii="仿宋_GB2312" w:eastAsia="仿宋_GB2312"/>
          <w:color w:val="auto"/>
          <w:sz w:val="32"/>
          <w:szCs w:val="32"/>
        </w:rPr>
      </w:pPr>
    </w:p>
    <w:p>
      <w:pPr>
        <w:spacing w:line="600" w:lineRule="exact"/>
        <w:ind w:firstLine="640" w:firstLineChars="200"/>
        <w:rPr>
          <w:rFonts w:ascii="仿宋_GB2312" w:eastAsia="仿宋_GB2312"/>
          <w:color w:val="auto"/>
          <w:sz w:val="32"/>
          <w:szCs w:val="32"/>
        </w:rPr>
      </w:pPr>
    </w:p>
    <w:p>
      <w:pPr>
        <w:spacing w:line="600" w:lineRule="exact"/>
        <w:ind w:firstLine="640" w:firstLineChars="200"/>
        <w:rPr>
          <w:rFonts w:ascii="仿宋_GB2312" w:eastAsia="仿宋_GB2312"/>
          <w:color w:val="auto"/>
          <w:sz w:val="32"/>
          <w:szCs w:val="32"/>
        </w:rPr>
      </w:pPr>
    </w:p>
    <w:p>
      <w:pPr>
        <w:spacing w:line="600" w:lineRule="exact"/>
        <w:ind w:firstLine="640" w:firstLineChars="200"/>
        <w:rPr>
          <w:rFonts w:ascii="仿宋_GB2312" w:eastAsia="仿宋_GB2312"/>
          <w:color w:val="auto"/>
          <w:sz w:val="32"/>
          <w:szCs w:val="32"/>
        </w:rPr>
      </w:pPr>
    </w:p>
    <w:p>
      <w:pPr>
        <w:pStyle w:val="25"/>
        <w:numPr>
          <w:numId w:val="0"/>
        </w:numPr>
        <w:spacing w:line="600" w:lineRule="exact"/>
        <w:outlineLvl w:val="1"/>
        <w:rPr>
          <w:rStyle w:val="27"/>
          <w:rFonts w:ascii="黑体" w:hAnsi="黑体" w:eastAsia="黑体"/>
          <w:b w:val="0"/>
          <w:color w:val="auto"/>
        </w:rPr>
      </w:pPr>
      <w:bookmarkStart w:id="28" w:name="_Toc15377207"/>
      <w:bookmarkStart w:id="29" w:name="_Toc15396605"/>
      <w:r>
        <w:rPr>
          <w:rFonts w:hint="eastAsia" w:ascii="黑体" w:hAnsi="黑体" w:eastAsia="黑体"/>
          <w:color w:val="auto"/>
          <w:sz w:val="32"/>
          <w:szCs w:val="32"/>
          <w:lang w:val="en-US" w:eastAsia="zh-CN"/>
        </w:rPr>
        <w:t>三、</w:t>
      </w:r>
      <w:r>
        <w:rPr>
          <w:rFonts w:hint="eastAsia" w:ascii="黑体" w:hAnsi="黑体" w:eastAsia="黑体"/>
          <w:color w:val="auto"/>
          <w:sz w:val="32"/>
          <w:szCs w:val="32"/>
        </w:rPr>
        <w:t>支</w:t>
      </w:r>
      <w:r>
        <w:rPr>
          <w:rStyle w:val="27"/>
          <w:rFonts w:hint="eastAsia" w:ascii="黑体" w:hAnsi="黑体" w:eastAsia="黑体"/>
          <w:b w:val="0"/>
          <w:color w:val="auto"/>
        </w:rPr>
        <w:t>出决算情况说明</w:t>
      </w:r>
      <w:bookmarkEnd w:id="28"/>
      <w:bookmarkEnd w:id="29"/>
    </w:p>
    <w:p>
      <w:pPr>
        <w:spacing w:line="600" w:lineRule="exact"/>
        <w:ind w:firstLine="640"/>
        <w:rPr>
          <w:rFonts w:hint="eastAsia" w:ascii="仿宋" w:hAnsi="仿宋" w:eastAsia="仿宋"/>
          <w:color w:val="auto"/>
          <w:sz w:val="32"/>
          <w:szCs w:val="32"/>
        </w:rPr>
      </w:pPr>
      <w:r>
        <w:rPr>
          <w:rFonts w:ascii="仿宋" w:hAnsi="仿宋" w:eastAsia="仿宋"/>
          <w:color w:val="auto"/>
          <w:sz w:val="32"/>
          <w:szCs w:val="32"/>
        </w:rPr>
        <w:t>201</w:t>
      </w:r>
      <w:r>
        <w:rPr>
          <w:rFonts w:hint="eastAsia" w:ascii="仿宋" w:hAnsi="仿宋" w:eastAsia="仿宋"/>
          <w:color w:val="auto"/>
          <w:sz w:val="32"/>
          <w:szCs w:val="32"/>
        </w:rPr>
        <w:t>8年本年支出合计637.07万元，其中：基本支出429.21万元，占</w:t>
      </w:r>
      <w:r>
        <w:rPr>
          <w:rFonts w:hint="eastAsia" w:ascii="仿宋" w:hAnsi="仿宋" w:eastAsia="仿宋"/>
          <w:color w:val="auto"/>
          <w:sz w:val="32"/>
          <w:szCs w:val="32"/>
          <w:lang w:val="en-US" w:eastAsia="zh-CN"/>
        </w:rPr>
        <w:t>67.37</w:t>
      </w:r>
      <w:r>
        <w:rPr>
          <w:rFonts w:ascii="仿宋" w:hAnsi="仿宋" w:eastAsia="仿宋"/>
          <w:color w:val="auto"/>
          <w:sz w:val="32"/>
          <w:szCs w:val="32"/>
        </w:rPr>
        <w:t>%</w:t>
      </w:r>
      <w:r>
        <w:rPr>
          <w:rFonts w:hint="eastAsia" w:ascii="仿宋" w:hAnsi="仿宋" w:eastAsia="仿宋"/>
          <w:color w:val="auto"/>
          <w:sz w:val="32"/>
          <w:szCs w:val="32"/>
        </w:rPr>
        <w:t>；项目支出207.87万元，占</w:t>
      </w:r>
      <w:r>
        <w:rPr>
          <w:rFonts w:hint="eastAsia" w:ascii="仿宋" w:hAnsi="仿宋" w:eastAsia="仿宋"/>
          <w:color w:val="auto"/>
          <w:sz w:val="32"/>
          <w:szCs w:val="32"/>
          <w:lang w:val="en-US" w:eastAsia="zh-CN"/>
        </w:rPr>
        <w:t>32.63</w:t>
      </w:r>
      <w:r>
        <w:rPr>
          <w:rFonts w:ascii="仿宋" w:hAnsi="仿宋" w:eastAsia="仿宋"/>
          <w:color w:val="auto"/>
          <w:sz w:val="32"/>
          <w:szCs w:val="32"/>
        </w:rPr>
        <w:t>%</w:t>
      </w:r>
      <w:r>
        <w:rPr>
          <w:rFonts w:hint="eastAsia" w:ascii="仿宋" w:hAnsi="仿宋" w:eastAsia="仿宋"/>
          <w:color w:val="auto"/>
          <w:sz w:val="32"/>
          <w:szCs w:val="32"/>
        </w:rPr>
        <w:t>；上缴上级支出</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；经营支出</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；对附属单位补助支出</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w:t>
      </w:r>
    </w:p>
    <w:p>
      <w:pPr>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（图3：支出决算结构图）（饼状图）</w:t>
      </w:r>
    </w:p>
    <w:p>
      <w:pPr>
        <w:spacing w:line="600" w:lineRule="exact"/>
        <w:ind w:firstLine="640" w:firstLineChars="200"/>
        <w:rPr>
          <w:rFonts w:hint="eastAsia" w:ascii="仿宋_GB2312" w:eastAsia="仿宋_GB2312"/>
          <w:color w:val="auto"/>
          <w:sz w:val="32"/>
          <w:szCs w:val="32"/>
          <w:lang w:eastAsia="zh-CN"/>
        </w:rPr>
      </w:pPr>
      <w:r>
        <w:rPr>
          <w:rFonts w:hint="eastAsia" w:ascii="仿宋" w:hAnsi="仿宋" w:eastAsia="仿宋"/>
          <w:color w:val="auto"/>
          <w:sz w:val="32"/>
          <w:szCs w:val="32"/>
          <w:lang w:eastAsia="zh-CN"/>
        </w:rPr>
        <w:drawing>
          <wp:anchor distT="0" distB="0" distL="114300" distR="114300" simplePos="0" relativeHeight="251660288" behindDoc="0" locked="0" layoutInCell="1" allowOverlap="1">
            <wp:simplePos x="0" y="0"/>
            <wp:positionH relativeFrom="column">
              <wp:posOffset>398780</wp:posOffset>
            </wp:positionH>
            <wp:positionV relativeFrom="page">
              <wp:posOffset>7443470</wp:posOffset>
            </wp:positionV>
            <wp:extent cx="3934460" cy="2353310"/>
            <wp:effectExtent l="4445" t="4445" r="23495" b="23495"/>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ascii="仿宋_GB2312" w:eastAsia="仿宋_GB2312"/>
          <w:color w:val="auto"/>
          <w:sz w:val="32"/>
          <w:szCs w:val="32"/>
        </w:rPr>
      </w:pPr>
    </w:p>
    <w:p>
      <w:pPr>
        <w:spacing w:line="600" w:lineRule="exact"/>
        <w:ind w:firstLine="640" w:firstLineChars="200"/>
        <w:rPr>
          <w:rFonts w:ascii="仿宋_GB2312" w:eastAsia="仿宋_GB2312"/>
          <w:color w:val="auto"/>
          <w:sz w:val="32"/>
          <w:szCs w:val="32"/>
        </w:rPr>
      </w:pPr>
    </w:p>
    <w:p>
      <w:pPr>
        <w:spacing w:line="600" w:lineRule="exact"/>
        <w:ind w:firstLine="640" w:firstLineChars="200"/>
        <w:rPr>
          <w:rFonts w:ascii="仿宋_GB2312" w:eastAsia="仿宋_GB2312"/>
          <w:color w:val="auto"/>
          <w:sz w:val="32"/>
          <w:szCs w:val="32"/>
        </w:rPr>
      </w:pPr>
    </w:p>
    <w:p>
      <w:pPr>
        <w:spacing w:line="600" w:lineRule="exact"/>
        <w:ind w:firstLine="640" w:firstLineChars="200"/>
        <w:rPr>
          <w:rFonts w:ascii="仿宋_GB2312" w:eastAsia="仿宋_GB2312"/>
          <w:color w:val="auto"/>
          <w:sz w:val="32"/>
          <w:szCs w:val="32"/>
        </w:rPr>
      </w:pPr>
    </w:p>
    <w:p>
      <w:pPr>
        <w:spacing w:line="600" w:lineRule="exact"/>
        <w:ind w:firstLine="640" w:firstLineChars="200"/>
        <w:rPr>
          <w:rFonts w:ascii="仿宋_GB2312" w:eastAsia="仿宋_GB2312"/>
          <w:color w:val="auto"/>
          <w:sz w:val="32"/>
          <w:szCs w:val="32"/>
        </w:rPr>
      </w:pPr>
    </w:p>
    <w:p>
      <w:pPr>
        <w:spacing w:line="600" w:lineRule="exact"/>
        <w:outlineLvl w:val="1"/>
        <w:rPr>
          <w:rStyle w:val="27"/>
          <w:rFonts w:ascii="黑体" w:hAnsi="黑体" w:eastAsia="黑体"/>
          <w:b w:val="0"/>
          <w:color w:val="auto"/>
        </w:rPr>
      </w:pPr>
      <w:bookmarkStart w:id="30" w:name="_Toc15377208"/>
      <w:bookmarkStart w:id="31" w:name="_Toc15396606"/>
      <w:r>
        <w:rPr>
          <w:rFonts w:hint="eastAsia" w:ascii="黑体" w:hAnsi="黑体" w:eastAsia="黑体"/>
          <w:color w:val="auto"/>
          <w:sz w:val="32"/>
          <w:szCs w:val="32"/>
        </w:rPr>
        <w:t>四、财</w:t>
      </w:r>
      <w:r>
        <w:rPr>
          <w:rStyle w:val="27"/>
          <w:rFonts w:hint="eastAsia" w:ascii="黑体" w:hAnsi="黑体" w:eastAsia="黑体"/>
          <w:b w:val="0"/>
          <w:color w:val="auto"/>
        </w:rPr>
        <w:t>政拨款收入支出决算总体情况说明</w:t>
      </w:r>
      <w:bookmarkEnd w:id="30"/>
      <w:bookmarkEnd w:id="31"/>
    </w:p>
    <w:p>
      <w:pPr>
        <w:spacing w:line="600" w:lineRule="exact"/>
        <w:ind w:firstLine="640" w:firstLineChars="200"/>
        <w:rPr>
          <w:rFonts w:hint="eastAsia" w:ascii="仿宋" w:hAnsi="仿宋" w:eastAsia="仿宋"/>
          <w:color w:val="auto"/>
          <w:sz w:val="32"/>
          <w:szCs w:val="32"/>
          <w:lang w:val="en-US" w:eastAsia="zh-CN"/>
        </w:rPr>
      </w:pPr>
      <w:r>
        <w:rPr>
          <w:rFonts w:ascii="仿宋" w:hAnsi="仿宋" w:eastAsia="仿宋"/>
          <w:color w:val="auto"/>
          <w:sz w:val="32"/>
          <w:szCs w:val="32"/>
        </w:rPr>
        <w:t>201</w:t>
      </w:r>
      <w:r>
        <w:rPr>
          <w:rFonts w:hint="eastAsia" w:ascii="仿宋" w:hAnsi="仿宋" w:eastAsia="仿宋"/>
          <w:color w:val="auto"/>
          <w:sz w:val="32"/>
          <w:szCs w:val="32"/>
        </w:rPr>
        <w:t>8年财政拨款收</w:t>
      </w:r>
      <w:r>
        <w:rPr>
          <w:rFonts w:hint="eastAsia" w:ascii="仿宋" w:hAnsi="仿宋" w:eastAsia="仿宋"/>
          <w:color w:val="auto"/>
          <w:sz w:val="32"/>
          <w:szCs w:val="32"/>
          <w:lang w:eastAsia="zh-CN"/>
        </w:rPr>
        <w:t>入</w:t>
      </w:r>
      <w:r>
        <w:rPr>
          <w:rFonts w:hint="eastAsia" w:ascii="仿宋" w:hAnsi="仿宋" w:eastAsia="仿宋"/>
          <w:color w:val="auto"/>
          <w:sz w:val="32"/>
          <w:szCs w:val="32"/>
          <w:lang w:val="en-US" w:eastAsia="zh-CN"/>
        </w:rPr>
        <w:t>514.84</w:t>
      </w:r>
      <w:r>
        <w:rPr>
          <w:rFonts w:hint="eastAsia" w:ascii="仿宋" w:hAnsi="仿宋" w:eastAsia="仿宋"/>
          <w:color w:val="auto"/>
          <w:sz w:val="32"/>
          <w:szCs w:val="32"/>
        </w:rPr>
        <w:t>万元、支</w:t>
      </w:r>
      <w:r>
        <w:rPr>
          <w:rFonts w:hint="eastAsia" w:ascii="仿宋" w:hAnsi="仿宋" w:eastAsia="仿宋"/>
          <w:color w:val="auto"/>
          <w:sz w:val="32"/>
          <w:szCs w:val="32"/>
          <w:lang w:eastAsia="zh-CN"/>
        </w:rPr>
        <w:t>出</w:t>
      </w:r>
      <w:r>
        <w:rPr>
          <w:rFonts w:hint="eastAsia" w:ascii="仿宋" w:hAnsi="仿宋" w:eastAsia="仿宋"/>
          <w:color w:val="auto"/>
          <w:sz w:val="32"/>
          <w:szCs w:val="32"/>
        </w:rPr>
        <w:t>637.07万元。与</w:t>
      </w:r>
      <w:r>
        <w:rPr>
          <w:rFonts w:ascii="仿宋" w:hAnsi="仿宋" w:eastAsia="仿宋"/>
          <w:color w:val="auto"/>
          <w:sz w:val="32"/>
          <w:szCs w:val="32"/>
        </w:rPr>
        <w:t>201</w:t>
      </w:r>
      <w:r>
        <w:rPr>
          <w:rFonts w:hint="eastAsia" w:ascii="仿宋" w:hAnsi="仿宋" w:eastAsia="仿宋"/>
          <w:color w:val="auto"/>
          <w:sz w:val="32"/>
          <w:szCs w:val="32"/>
        </w:rPr>
        <w:t>7年相比，财政拨款收</w:t>
      </w:r>
      <w:r>
        <w:rPr>
          <w:rFonts w:hint="eastAsia" w:ascii="仿宋" w:hAnsi="仿宋" w:eastAsia="仿宋"/>
          <w:color w:val="auto"/>
          <w:sz w:val="32"/>
          <w:szCs w:val="32"/>
          <w:lang w:eastAsia="zh-CN"/>
        </w:rPr>
        <w:t>入</w:t>
      </w:r>
      <w:r>
        <w:rPr>
          <w:rFonts w:hint="eastAsia" w:ascii="仿宋" w:hAnsi="仿宋" w:eastAsia="仿宋"/>
          <w:color w:val="auto"/>
          <w:sz w:val="32"/>
          <w:szCs w:val="32"/>
          <w:lang w:val="en-US" w:eastAsia="zh-CN"/>
        </w:rPr>
        <w:t>11.66</w:t>
      </w:r>
      <w:r>
        <w:rPr>
          <w:rFonts w:hint="eastAsia" w:ascii="仿宋" w:hAnsi="仿宋" w:eastAsia="仿宋"/>
          <w:color w:val="auto"/>
          <w:sz w:val="32"/>
          <w:szCs w:val="32"/>
        </w:rPr>
        <w:t>万元、下降</w:t>
      </w:r>
      <w:r>
        <w:rPr>
          <w:rFonts w:hint="eastAsia" w:ascii="仿宋" w:hAnsi="仿宋" w:eastAsia="仿宋"/>
          <w:color w:val="auto"/>
          <w:sz w:val="32"/>
          <w:szCs w:val="32"/>
          <w:lang w:val="en-US" w:eastAsia="zh-CN"/>
        </w:rPr>
        <w:t>2.26</w:t>
      </w:r>
      <w:r>
        <w:rPr>
          <w:rFonts w:ascii="仿宋" w:hAnsi="仿宋" w:eastAsia="仿宋"/>
          <w:color w:val="auto"/>
          <w:sz w:val="32"/>
          <w:szCs w:val="32"/>
        </w:rPr>
        <w:t>%</w:t>
      </w:r>
      <w:r>
        <w:rPr>
          <w:rFonts w:hint="eastAsia" w:ascii="仿宋" w:hAnsi="仿宋" w:eastAsia="仿宋"/>
          <w:color w:val="auto"/>
          <w:sz w:val="32"/>
          <w:szCs w:val="32"/>
        </w:rPr>
        <w:t>。主要变动原因是</w:t>
      </w:r>
      <w:r>
        <w:rPr>
          <w:rFonts w:hint="eastAsia" w:ascii="仿宋" w:hAnsi="仿宋" w:eastAsia="仿宋"/>
          <w:color w:val="auto"/>
          <w:sz w:val="32"/>
          <w:szCs w:val="32"/>
          <w:lang w:eastAsia="zh-CN"/>
        </w:rPr>
        <w:t>人员减少人头经费减少。</w:t>
      </w:r>
      <w:r>
        <w:rPr>
          <w:rFonts w:hint="eastAsia" w:ascii="仿宋" w:hAnsi="仿宋" w:eastAsia="仿宋"/>
          <w:color w:val="auto"/>
          <w:sz w:val="32"/>
          <w:szCs w:val="32"/>
        </w:rPr>
        <w:t>支</w:t>
      </w:r>
      <w:r>
        <w:rPr>
          <w:rFonts w:hint="eastAsia" w:ascii="仿宋" w:hAnsi="仿宋" w:eastAsia="仿宋"/>
          <w:color w:val="auto"/>
          <w:sz w:val="32"/>
          <w:szCs w:val="32"/>
          <w:lang w:eastAsia="zh-CN"/>
        </w:rPr>
        <w:t>出</w:t>
      </w:r>
      <w:r>
        <w:rPr>
          <w:rFonts w:hint="eastAsia" w:ascii="仿宋" w:hAnsi="仿宋" w:eastAsia="仿宋"/>
          <w:color w:val="auto"/>
          <w:sz w:val="32"/>
          <w:szCs w:val="32"/>
        </w:rPr>
        <w:t>增加</w:t>
      </w:r>
      <w:r>
        <w:rPr>
          <w:rFonts w:hint="eastAsia" w:ascii="仿宋" w:hAnsi="仿宋" w:eastAsia="仿宋"/>
          <w:color w:val="auto"/>
          <w:sz w:val="32"/>
          <w:szCs w:val="32"/>
          <w:lang w:val="en-US" w:eastAsia="zh-CN"/>
        </w:rPr>
        <w:t>154.06</w:t>
      </w:r>
      <w:r>
        <w:rPr>
          <w:rFonts w:hint="eastAsia" w:ascii="仿宋" w:hAnsi="仿宋" w:eastAsia="仿宋"/>
          <w:color w:val="auto"/>
          <w:sz w:val="32"/>
          <w:szCs w:val="32"/>
        </w:rPr>
        <w:t>万元，增长</w:t>
      </w:r>
      <w:r>
        <w:rPr>
          <w:rFonts w:hint="eastAsia" w:ascii="仿宋" w:hAnsi="仿宋" w:eastAsia="仿宋"/>
          <w:color w:val="auto"/>
          <w:sz w:val="32"/>
          <w:szCs w:val="32"/>
          <w:lang w:val="en-US" w:eastAsia="zh-CN"/>
        </w:rPr>
        <w:t>24.18</w:t>
      </w:r>
      <w:r>
        <w:rPr>
          <w:rFonts w:ascii="仿宋" w:hAnsi="仿宋" w:eastAsia="仿宋"/>
          <w:color w:val="auto"/>
          <w:sz w:val="32"/>
          <w:szCs w:val="32"/>
        </w:rPr>
        <w:t>%</w:t>
      </w:r>
      <w:r>
        <w:rPr>
          <w:rFonts w:hint="eastAsia" w:ascii="仿宋" w:hAnsi="仿宋" w:eastAsia="仿宋"/>
          <w:color w:val="auto"/>
          <w:sz w:val="32"/>
          <w:szCs w:val="32"/>
        </w:rPr>
        <w:t>。主要变动原因是</w:t>
      </w:r>
      <w:r>
        <w:rPr>
          <w:rFonts w:hint="eastAsia" w:ascii="仿宋" w:hAnsi="仿宋" w:eastAsia="仿宋"/>
          <w:color w:val="auto"/>
          <w:sz w:val="32"/>
          <w:szCs w:val="32"/>
          <w:lang w:eastAsia="zh-CN"/>
        </w:rPr>
        <w:t>往年的项目结余资金、</w:t>
      </w:r>
      <w:r>
        <w:rPr>
          <w:rFonts w:hint="eastAsia" w:ascii="仿宋" w:hAnsi="仿宋" w:eastAsia="仿宋"/>
          <w:color w:val="auto"/>
          <w:sz w:val="32"/>
          <w:szCs w:val="32"/>
          <w:lang w:val="en-US" w:eastAsia="zh-CN"/>
        </w:rPr>
        <w:t>青藏高原环境与山水文化编纂工作追加经费</w:t>
      </w:r>
      <w:r>
        <w:rPr>
          <w:rFonts w:hint="eastAsia" w:ascii="仿宋" w:hAnsi="仿宋" w:eastAsia="仿宋"/>
          <w:color w:val="auto"/>
          <w:sz w:val="32"/>
          <w:szCs w:val="32"/>
          <w:lang w:eastAsia="zh-CN"/>
        </w:rPr>
        <w:t>、民族团结进步示范县创建工作追加经费支出</w:t>
      </w:r>
    </w:p>
    <w:p>
      <w:pPr>
        <w:spacing w:line="600" w:lineRule="exact"/>
        <w:rPr>
          <w:rFonts w:ascii="仿宋" w:hAnsi="仿宋" w:eastAsia="仿宋"/>
          <w:color w:val="auto"/>
          <w:sz w:val="32"/>
          <w:szCs w:val="32"/>
        </w:rPr>
      </w:pPr>
      <w:r>
        <w:rPr>
          <w:rFonts w:hint="eastAsia" w:ascii="仿宋" w:hAnsi="仿宋" w:eastAsia="仿宋"/>
          <w:color w:val="auto"/>
          <w:sz w:val="32"/>
          <w:szCs w:val="32"/>
          <w:lang w:val="en-US" w:eastAsia="zh-CN"/>
        </w:rPr>
        <w:t xml:space="preserve">    </w:t>
      </w:r>
      <w:r>
        <w:rPr>
          <w:rFonts w:hint="eastAsia" w:ascii="仿宋" w:hAnsi="仿宋" w:eastAsia="仿宋"/>
          <w:color w:val="auto"/>
          <w:sz w:val="32"/>
          <w:szCs w:val="32"/>
        </w:rPr>
        <w:t>（图4：财政拨款收、支决算总计变动情况）（柱状图）</w:t>
      </w:r>
    </w:p>
    <w:p>
      <w:pPr>
        <w:spacing w:line="600" w:lineRule="exact"/>
        <w:ind w:firstLine="640"/>
        <w:rPr>
          <w:rFonts w:hint="eastAsia" w:ascii="仿宋" w:hAnsi="仿宋" w:eastAsia="仿宋"/>
          <w:b/>
          <w:color w:val="auto"/>
          <w:sz w:val="32"/>
          <w:szCs w:val="32"/>
        </w:rPr>
      </w:pPr>
      <w:r>
        <w:rPr>
          <w:rFonts w:hint="eastAsia" w:ascii="仿宋" w:hAnsi="仿宋" w:eastAsia="仿宋"/>
          <w:color w:val="auto"/>
          <w:sz w:val="32"/>
          <w:szCs w:val="32"/>
          <w:lang w:eastAsia="zh-CN"/>
        </w:rPr>
        <w:drawing>
          <wp:anchor distT="0" distB="0" distL="114300" distR="114300" simplePos="0" relativeHeight="251662336" behindDoc="0" locked="0" layoutInCell="1" allowOverlap="1">
            <wp:simplePos x="0" y="0"/>
            <wp:positionH relativeFrom="column">
              <wp:posOffset>8890</wp:posOffset>
            </wp:positionH>
            <wp:positionV relativeFrom="paragraph">
              <wp:posOffset>161925</wp:posOffset>
            </wp:positionV>
            <wp:extent cx="5327015" cy="3579495"/>
            <wp:effectExtent l="4445" t="4445" r="21590" b="16510"/>
            <wp:wrapNone/>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rPr>
          <w:rFonts w:hint="eastAsia" w:ascii="仿宋" w:hAnsi="仿宋" w:eastAsia="仿宋"/>
          <w:b/>
          <w:color w:val="auto"/>
          <w:sz w:val="32"/>
          <w:szCs w:val="32"/>
        </w:rPr>
      </w:pPr>
    </w:p>
    <w:p>
      <w:pPr>
        <w:spacing w:line="600" w:lineRule="exact"/>
        <w:ind w:firstLine="640"/>
        <w:rPr>
          <w:rFonts w:hint="eastAsia" w:ascii="仿宋" w:hAnsi="仿宋" w:eastAsia="仿宋"/>
          <w:b/>
          <w:color w:val="auto"/>
          <w:sz w:val="32"/>
          <w:szCs w:val="32"/>
        </w:rPr>
      </w:pPr>
    </w:p>
    <w:p>
      <w:pPr>
        <w:spacing w:line="600" w:lineRule="exact"/>
        <w:ind w:firstLine="640"/>
        <w:rPr>
          <w:rFonts w:hint="eastAsia" w:ascii="仿宋" w:hAnsi="仿宋" w:eastAsia="仿宋"/>
          <w:b/>
          <w:color w:val="auto"/>
          <w:sz w:val="32"/>
          <w:szCs w:val="32"/>
        </w:rPr>
      </w:pPr>
    </w:p>
    <w:p>
      <w:pPr>
        <w:spacing w:line="600" w:lineRule="exact"/>
        <w:ind w:firstLine="640"/>
        <w:rPr>
          <w:rFonts w:hint="eastAsia" w:ascii="仿宋" w:hAnsi="仿宋" w:eastAsia="仿宋"/>
          <w:b/>
          <w:color w:val="auto"/>
          <w:sz w:val="32"/>
          <w:szCs w:val="32"/>
        </w:rPr>
      </w:pPr>
    </w:p>
    <w:p>
      <w:pPr>
        <w:spacing w:line="600" w:lineRule="exact"/>
        <w:ind w:firstLine="640"/>
        <w:rPr>
          <w:rFonts w:hint="eastAsia" w:ascii="仿宋" w:hAnsi="仿宋" w:eastAsia="仿宋"/>
          <w:b/>
          <w:color w:val="auto"/>
          <w:sz w:val="32"/>
          <w:szCs w:val="32"/>
        </w:rPr>
      </w:pPr>
    </w:p>
    <w:p>
      <w:pPr>
        <w:spacing w:line="600" w:lineRule="exact"/>
        <w:ind w:firstLine="640"/>
        <w:rPr>
          <w:rFonts w:hint="eastAsia" w:ascii="仿宋" w:hAnsi="仿宋" w:eastAsia="仿宋"/>
          <w:b/>
          <w:color w:val="auto"/>
          <w:sz w:val="32"/>
          <w:szCs w:val="32"/>
        </w:rPr>
      </w:pPr>
    </w:p>
    <w:p>
      <w:pPr>
        <w:spacing w:line="600" w:lineRule="exact"/>
        <w:ind w:firstLine="640"/>
        <w:rPr>
          <w:rFonts w:hint="eastAsia" w:ascii="仿宋" w:hAnsi="仿宋" w:eastAsia="仿宋"/>
          <w:b/>
          <w:color w:val="auto"/>
          <w:sz w:val="32"/>
          <w:szCs w:val="32"/>
        </w:rPr>
      </w:pPr>
    </w:p>
    <w:p>
      <w:pPr>
        <w:spacing w:line="600" w:lineRule="exact"/>
        <w:ind w:firstLine="640"/>
        <w:rPr>
          <w:rFonts w:hint="eastAsia" w:ascii="仿宋" w:hAnsi="仿宋" w:eastAsia="仿宋"/>
          <w:b/>
          <w:color w:val="auto"/>
          <w:sz w:val="32"/>
          <w:szCs w:val="32"/>
        </w:rPr>
      </w:pPr>
    </w:p>
    <w:p>
      <w:pPr>
        <w:spacing w:line="600" w:lineRule="exact"/>
        <w:ind w:firstLine="640"/>
        <w:rPr>
          <w:rFonts w:hint="eastAsia" w:ascii="仿宋" w:hAnsi="仿宋" w:eastAsia="仿宋"/>
          <w:b/>
          <w:color w:val="auto"/>
          <w:sz w:val="32"/>
          <w:szCs w:val="32"/>
        </w:rPr>
      </w:pPr>
    </w:p>
    <w:p>
      <w:pPr>
        <w:spacing w:line="600" w:lineRule="exact"/>
        <w:outlineLvl w:val="1"/>
        <w:rPr>
          <w:rStyle w:val="27"/>
          <w:rFonts w:ascii="黑体" w:hAnsi="黑体" w:eastAsia="黑体"/>
          <w:b w:val="0"/>
          <w:color w:val="auto"/>
        </w:rPr>
      </w:pPr>
      <w:bookmarkStart w:id="32" w:name="_Toc15377209"/>
      <w:bookmarkStart w:id="33" w:name="_Toc15396607"/>
      <w:r>
        <w:rPr>
          <w:rFonts w:hint="eastAsia" w:ascii="黑体" w:hAnsi="黑体" w:eastAsia="黑体"/>
          <w:color w:val="auto"/>
          <w:sz w:val="32"/>
          <w:szCs w:val="32"/>
        </w:rPr>
        <w:t>五、</w:t>
      </w:r>
      <w:r>
        <w:rPr>
          <w:rFonts w:hint="eastAsia" w:ascii="黑体" w:hAnsi="黑体" w:eastAsia="黑体"/>
          <w:b/>
          <w:color w:val="auto"/>
          <w:sz w:val="32"/>
          <w:szCs w:val="32"/>
        </w:rPr>
        <w:t>一</w:t>
      </w:r>
      <w:r>
        <w:rPr>
          <w:rStyle w:val="27"/>
          <w:rFonts w:hint="eastAsia" w:ascii="黑体" w:hAnsi="黑体" w:eastAsia="黑体"/>
          <w:b w:val="0"/>
          <w:color w:val="auto"/>
        </w:rPr>
        <w:t>般公共预算财政拨款支出决算情况说明</w:t>
      </w:r>
      <w:bookmarkEnd w:id="32"/>
      <w:bookmarkEnd w:id="33"/>
    </w:p>
    <w:p>
      <w:pPr>
        <w:spacing w:line="600" w:lineRule="exact"/>
        <w:ind w:firstLine="643" w:firstLineChars="200"/>
        <w:outlineLvl w:val="2"/>
        <w:rPr>
          <w:rFonts w:ascii="仿宋" w:hAnsi="仿宋" w:eastAsia="仿宋"/>
          <w:b/>
          <w:color w:val="auto"/>
          <w:sz w:val="32"/>
          <w:szCs w:val="32"/>
        </w:rPr>
      </w:pPr>
      <w:bookmarkStart w:id="34" w:name="_Toc15377210"/>
      <w:r>
        <w:rPr>
          <w:rFonts w:hint="eastAsia" w:ascii="仿宋" w:hAnsi="仿宋" w:eastAsia="仿宋"/>
          <w:b/>
          <w:color w:val="auto"/>
          <w:sz w:val="32"/>
          <w:szCs w:val="32"/>
        </w:rPr>
        <w:t>（一）一般公共预算财政拨款支出决算总体情况</w:t>
      </w:r>
      <w:bookmarkEnd w:id="34"/>
    </w:p>
    <w:p>
      <w:pPr>
        <w:spacing w:line="600" w:lineRule="exact"/>
        <w:ind w:firstLine="640" w:firstLineChars="200"/>
        <w:rPr>
          <w:rFonts w:hint="eastAsia" w:ascii="仿宋" w:hAnsi="仿宋" w:eastAsia="仿宋"/>
          <w:color w:val="auto"/>
          <w:sz w:val="32"/>
          <w:szCs w:val="32"/>
          <w:lang w:val="en-US" w:eastAsia="zh-CN"/>
        </w:rPr>
      </w:pPr>
      <w:r>
        <w:rPr>
          <w:rFonts w:ascii="仿宋" w:hAnsi="仿宋" w:eastAsia="仿宋"/>
          <w:color w:val="auto"/>
          <w:sz w:val="32"/>
          <w:szCs w:val="32"/>
        </w:rPr>
        <w:t>201</w:t>
      </w:r>
      <w:r>
        <w:rPr>
          <w:rFonts w:hint="eastAsia" w:ascii="仿宋" w:hAnsi="仿宋" w:eastAsia="仿宋"/>
          <w:color w:val="auto"/>
          <w:sz w:val="32"/>
          <w:szCs w:val="32"/>
        </w:rPr>
        <w:t>8年一般公共预算财政拨款支出</w:t>
      </w:r>
      <w:r>
        <w:rPr>
          <w:rFonts w:hint="eastAsia" w:ascii="仿宋" w:hAnsi="仿宋" w:eastAsia="仿宋"/>
          <w:color w:val="auto"/>
          <w:sz w:val="32"/>
          <w:szCs w:val="32"/>
          <w:lang w:val="en-US" w:eastAsia="zh-CN"/>
        </w:rPr>
        <w:t>637.08</w:t>
      </w:r>
      <w:r>
        <w:rPr>
          <w:rFonts w:hint="eastAsia" w:ascii="仿宋" w:hAnsi="仿宋" w:eastAsia="仿宋"/>
          <w:color w:val="auto"/>
          <w:sz w:val="32"/>
          <w:szCs w:val="32"/>
        </w:rPr>
        <w:t>万元，占本年支出合计的</w:t>
      </w:r>
      <w:r>
        <w:rPr>
          <w:rFonts w:hint="eastAsia" w:ascii="仿宋" w:hAnsi="仿宋" w:eastAsia="仿宋"/>
          <w:color w:val="auto"/>
          <w:sz w:val="32"/>
          <w:szCs w:val="32"/>
          <w:lang w:val="en-US" w:eastAsia="zh-CN"/>
        </w:rPr>
        <w:t>100</w:t>
      </w:r>
      <w:r>
        <w:rPr>
          <w:rFonts w:ascii="仿宋" w:hAnsi="仿宋" w:eastAsia="仿宋"/>
          <w:color w:val="auto"/>
          <w:sz w:val="32"/>
          <w:szCs w:val="32"/>
        </w:rPr>
        <w:t>%</w:t>
      </w:r>
      <w:r>
        <w:rPr>
          <w:rFonts w:hint="eastAsia" w:ascii="仿宋" w:hAnsi="仿宋" w:eastAsia="仿宋"/>
          <w:color w:val="auto"/>
          <w:sz w:val="32"/>
          <w:szCs w:val="32"/>
        </w:rPr>
        <w:t>。与</w:t>
      </w:r>
      <w:r>
        <w:rPr>
          <w:rFonts w:ascii="仿宋" w:hAnsi="仿宋" w:eastAsia="仿宋"/>
          <w:color w:val="auto"/>
          <w:sz w:val="32"/>
          <w:szCs w:val="32"/>
        </w:rPr>
        <w:t>201</w:t>
      </w:r>
      <w:r>
        <w:rPr>
          <w:rFonts w:hint="eastAsia" w:ascii="仿宋" w:hAnsi="仿宋" w:eastAsia="仿宋"/>
          <w:color w:val="auto"/>
          <w:sz w:val="32"/>
          <w:szCs w:val="32"/>
        </w:rPr>
        <w:t>7年相比，一般公共预算财政拨款</w:t>
      </w:r>
      <w:r>
        <w:rPr>
          <w:rFonts w:hint="eastAsia" w:ascii="仿宋" w:hAnsi="仿宋" w:eastAsia="仿宋"/>
          <w:color w:val="auto"/>
          <w:sz w:val="32"/>
          <w:szCs w:val="32"/>
          <w:lang w:eastAsia="zh-CN"/>
        </w:rPr>
        <w:t>增加</w:t>
      </w:r>
      <w:r>
        <w:rPr>
          <w:rFonts w:hint="eastAsia" w:ascii="仿宋" w:hAnsi="仿宋" w:eastAsia="仿宋"/>
          <w:color w:val="auto"/>
          <w:sz w:val="32"/>
          <w:szCs w:val="32"/>
          <w:lang w:val="en-US" w:eastAsia="zh-CN"/>
        </w:rPr>
        <w:t>154.07</w:t>
      </w:r>
      <w:r>
        <w:rPr>
          <w:rFonts w:hint="eastAsia" w:ascii="仿宋" w:hAnsi="仿宋" w:eastAsia="仿宋"/>
          <w:color w:val="auto"/>
          <w:sz w:val="32"/>
          <w:szCs w:val="32"/>
        </w:rPr>
        <w:t>万元，</w:t>
      </w:r>
      <w:r>
        <w:rPr>
          <w:rFonts w:hint="eastAsia" w:ascii="仿宋" w:hAnsi="仿宋" w:eastAsia="仿宋"/>
          <w:color w:val="auto"/>
          <w:sz w:val="32"/>
          <w:szCs w:val="32"/>
          <w:lang w:eastAsia="zh-CN"/>
        </w:rPr>
        <w:t>增加</w:t>
      </w:r>
      <w:r>
        <w:rPr>
          <w:rFonts w:hint="eastAsia" w:ascii="仿宋" w:hAnsi="仿宋" w:eastAsia="仿宋"/>
          <w:color w:val="auto"/>
          <w:sz w:val="32"/>
          <w:szCs w:val="32"/>
          <w:lang w:val="en-US" w:eastAsia="zh-CN"/>
        </w:rPr>
        <w:t>24.18</w:t>
      </w:r>
      <w:r>
        <w:rPr>
          <w:rFonts w:ascii="仿宋" w:hAnsi="仿宋" w:eastAsia="仿宋"/>
          <w:color w:val="auto"/>
          <w:sz w:val="32"/>
          <w:szCs w:val="32"/>
        </w:rPr>
        <w:t>%</w:t>
      </w:r>
      <w:r>
        <w:rPr>
          <w:rFonts w:hint="eastAsia" w:ascii="仿宋" w:hAnsi="仿宋" w:eastAsia="仿宋"/>
          <w:color w:val="auto"/>
          <w:sz w:val="32"/>
          <w:szCs w:val="32"/>
        </w:rPr>
        <w:t>。主要变动原因是</w:t>
      </w:r>
      <w:r>
        <w:rPr>
          <w:rFonts w:hint="eastAsia" w:ascii="仿宋" w:hAnsi="仿宋" w:eastAsia="仿宋"/>
          <w:color w:val="auto"/>
          <w:sz w:val="32"/>
          <w:szCs w:val="32"/>
          <w:lang w:eastAsia="zh-CN"/>
        </w:rPr>
        <w:t>往年的项目结余资金、</w:t>
      </w:r>
      <w:r>
        <w:rPr>
          <w:rFonts w:hint="eastAsia" w:ascii="仿宋" w:hAnsi="仿宋" w:eastAsia="仿宋"/>
          <w:color w:val="auto"/>
          <w:sz w:val="32"/>
          <w:szCs w:val="32"/>
          <w:lang w:val="en-US" w:eastAsia="zh-CN"/>
        </w:rPr>
        <w:t>青藏高原环境与山水文化编纂工作追加经费</w:t>
      </w:r>
      <w:r>
        <w:rPr>
          <w:rFonts w:hint="eastAsia" w:ascii="仿宋" w:hAnsi="仿宋" w:eastAsia="仿宋"/>
          <w:color w:val="auto"/>
          <w:sz w:val="32"/>
          <w:szCs w:val="32"/>
          <w:lang w:eastAsia="zh-CN"/>
        </w:rPr>
        <w:t>、民族团结进步示范县创建工作追加经费支出</w:t>
      </w:r>
    </w:p>
    <w:p>
      <w:pPr>
        <w:spacing w:line="60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（图5：一般公共预算财政拨款支出决算变动情况）（柱状图）</w:t>
      </w:r>
    </w:p>
    <w:p>
      <w:pPr>
        <w:spacing w:line="600" w:lineRule="exact"/>
        <w:ind w:firstLine="640" w:firstLineChars="200"/>
        <w:rPr>
          <w:rFonts w:hint="eastAsia" w:ascii="仿宋" w:hAnsi="仿宋" w:eastAsia="仿宋"/>
          <w:color w:val="auto"/>
          <w:sz w:val="32"/>
          <w:szCs w:val="32"/>
          <w:lang w:eastAsia="zh-CN"/>
        </w:rPr>
      </w:pPr>
      <w:r>
        <w:rPr>
          <w:rFonts w:hint="eastAsia" w:ascii="仿宋" w:hAnsi="仿宋" w:eastAsia="仿宋"/>
          <w:color w:val="auto"/>
          <w:sz w:val="32"/>
          <w:szCs w:val="32"/>
          <w:lang w:eastAsia="zh-CN"/>
        </w:rPr>
        <w:drawing>
          <wp:anchor distT="0" distB="0" distL="114300" distR="114300" simplePos="0" relativeHeight="251663360" behindDoc="0" locked="0" layoutInCell="1" allowOverlap="1">
            <wp:simplePos x="0" y="0"/>
            <wp:positionH relativeFrom="column">
              <wp:posOffset>168275</wp:posOffset>
            </wp:positionH>
            <wp:positionV relativeFrom="paragraph">
              <wp:posOffset>164465</wp:posOffset>
            </wp:positionV>
            <wp:extent cx="5080000" cy="3810000"/>
            <wp:effectExtent l="4445" t="4445" r="20955" b="14605"/>
            <wp:wrapNone/>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hint="eastAsia" w:ascii="仿宋" w:hAnsi="仿宋" w:eastAsia="仿宋"/>
          <w:color w:val="auto"/>
          <w:sz w:val="32"/>
          <w:szCs w:val="32"/>
        </w:rPr>
      </w:pPr>
    </w:p>
    <w:p>
      <w:pPr>
        <w:spacing w:line="600" w:lineRule="exact"/>
        <w:ind w:firstLine="640" w:firstLineChars="200"/>
        <w:rPr>
          <w:rFonts w:hint="eastAsia" w:ascii="仿宋" w:hAnsi="仿宋" w:eastAsia="仿宋"/>
          <w:color w:val="auto"/>
          <w:sz w:val="32"/>
          <w:szCs w:val="32"/>
        </w:rPr>
      </w:pPr>
    </w:p>
    <w:p>
      <w:pPr>
        <w:spacing w:line="600" w:lineRule="exact"/>
        <w:ind w:firstLine="640" w:firstLineChars="200"/>
        <w:rPr>
          <w:rFonts w:hint="eastAsia" w:ascii="仿宋" w:hAnsi="仿宋" w:eastAsia="仿宋"/>
          <w:color w:val="auto"/>
          <w:sz w:val="32"/>
          <w:szCs w:val="32"/>
        </w:rPr>
      </w:pPr>
    </w:p>
    <w:p>
      <w:pPr>
        <w:spacing w:line="600" w:lineRule="exact"/>
        <w:ind w:firstLine="640" w:firstLineChars="200"/>
        <w:rPr>
          <w:rFonts w:hint="eastAsia" w:ascii="仿宋" w:hAnsi="仿宋" w:eastAsia="仿宋"/>
          <w:color w:val="auto"/>
          <w:sz w:val="32"/>
          <w:szCs w:val="32"/>
        </w:rPr>
      </w:pPr>
    </w:p>
    <w:p>
      <w:pPr>
        <w:spacing w:line="600" w:lineRule="exact"/>
        <w:ind w:firstLine="640" w:firstLineChars="200"/>
        <w:rPr>
          <w:rFonts w:hint="eastAsia" w:ascii="仿宋" w:hAnsi="仿宋" w:eastAsia="仿宋"/>
          <w:color w:val="auto"/>
          <w:sz w:val="32"/>
          <w:szCs w:val="32"/>
        </w:rPr>
      </w:pPr>
    </w:p>
    <w:p>
      <w:pPr>
        <w:spacing w:line="600" w:lineRule="exact"/>
        <w:ind w:firstLine="640" w:firstLineChars="200"/>
        <w:rPr>
          <w:rFonts w:hint="eastAsia" w:ascii="仿宋" w:hAnsi="仿宋" w:eastAsia="仿宋"/>
          <w:color w:val="auto"/>
          <w:sz w:val="32"/>
          <w:szCs w:val="32"/>
        </w:rPr>
      </w:pPr>
    </w:p>
    <w:p>
      <w:pPr>
        <w:spacing w:line="600" w:lineRule="exact"/>
        <w:ind w:firstLine="640" w:firstLineChars="200"/>
        <w:rPr>
          <w:rFonts w:hint="eastAsia" w:ascii="仿宋" w:hAnsi="仿宋" w:eastAsia="仿宋"/>
          <w:color w:val="auto"/>
          <w:sz w:val="32"/>
          <w:szCs w:val="32"/>
        </w:rPr>
      </w:pPr>
    </w:p>
    <w:p>
      <w:pPr>
        <w:spacing w:line="600" w:lineRule="exact"/>
        <w:ind w:firstLine="640" w:firstLineChars="200"/>
        <w:rPr>
          <w:rFonts w:hint="eastAsia" w:ascii="仿宋" w:hAnsi="仿宋" w:eastAsia="仿宋"/>
          <w:color w:val="auto"/>
          <w:sz w:val="32"/>
          <w:szCs w:val="32"/>
        </w:rPr>
      </w:pPr>
    </w:p>
    <w:p>
      <w:pPr>
        <w:spacing w:line="600" w:lineRule="exact"/>
        <w:ind w:firstLine="640" w:firstLineChars="200"/>
        <w:rPr>
          <w:rFonts w:hint="eastAsia" w:ascii="仿宋" w:hAnsi="仿宋" w:eastAsia="仿宋"/>
          <w:color w:val="auto"/>
          <w:sz w:val="32"/>
          <w:szCs w:val="32"/>
        </w:rPr>
      </w:pPr>
    </w:p>
    <w:p>
      <w:pPr>
        <w:spacing w:line="600" w:lineRule="exact"/>
        <w:ind w:firstLine="640" w:firstLineChars="200"/>
        <w:rPr>
          <w:rFonts w:hint="eastAsia" w:ascii="仿宋" w:hAnsi="仿宋" w:eastAsia="仿宋"/>
          <w:color w:val="auto"/>
          <w:sz w:val="32"/>
          <w:szCs w:val="32"/>
        </w:rPr>
      </w:pPr>
    </w:p>
    <w:p>
      <w:pPr>
        <w:spacing w:line="600" w:lineRule="exact"/>
        <w:ind w:firstLine="643" w:firstLineChars="200"/>
        <w:outlineLvl w:val="2"/>
        <w:rPr>
          <w:rFonts w:ascii="仿宋" w:hAnsi="仿宋" w:eastAsia="仿宋"/>
          <w:b/>
          <w:color w:val="auto"/>
          <w:sz w:val="32"/>
          <w:szCs w:val="32"/>
        </w:rPr>
      </w:pPr>
      <w:bookmarkStart w:id="35" w:name="_Toc15377211"/>
      <w:r>
        <w:rPr>
          <w:rFonts w:hint="eastAsia" w:ascii="仿宋" w:hAnsi="仿宋" w:eastAsia="仿宋"/>
          <w:b/>
          <w:color w:val="auto"/>
          <w:sz w:val="32"/>
          <w:szCs w:val="32"/>
        </w:rPr>
        <w:t>（二）一般公共预算财政拨款支出决算结构情况</w:t>
      </w:r>
      <w:bookmarkEnd w:id="35"/>
    </w:p>
    <w:p>
      <w:pPr>
        <w:spacing w:line="600" w:lineRule="exact"/>
        <w:ind w:firstLine="640"/>
        <w:rPr>
          <w:rFonts w:ascii="仿宋" w:hAnsi="仿宋" w:eastAsia="仿宋"/>
          <w:color w:val="auto"/>
          <w:sz w:val="32"/>
          <w:szCs w:val="32"/>
        </w:rPr>
      </w:pPr>
      <w:r>
        <w:rPr>
          <w:rFonts w:ascii="仿宋" w:hAnsi="仿宋" w:eastAsia="仿宋"/>
          <w:color w:val="auto"/>
          <w:sz w:val="32"/>
          <w:szCs w:val="32"/>
        </w:rPr>
        <w:t>201</w:t>
      </w:r>
      <w:r>
        <w:rPr>
          <w:rFonts w:hint="eastAsia" w:ascii="仿宋" w:hAnsi="仿宋" w:eastAsia="仿宋"/>
          <w:color w:val="auto"/>
          <w:sz w:val="32"/>
          <w:szCs w:val="32"/>
        </w:rPr>
        <w:t>8年一般公共预算财政拨款支出</w:t>
      </w:r>
      <w:r>
        <w:rPr>
          <w:rFonts w:hint="eastAsia" w:ascii="仿宋" w:hAnsi="仿宋" w:eastAsia="仿宋"/>
          <w:color w:val="auto"/>
          <w:sz w:val="32"/>
          <w:szCs w:val="32"/>
          <w:lang w:val="en-US" w:eastAsia="zh-CN"/>
        </w:rPr>
        <w:t>637.08</w:t>
      </w:r>
      <w:r>
        <w:rPr>
          <w:rFonts w:hint="eastAsia" w:ascii="仿宋" w:hAnsi="仿宋" w:eastAsia="仿宋"/>
          <w:color w:val="auto"/>
          <w:sz w:val="32"/>
          <w:szCs w:val="32"/>
        </w:rPr>
        <w:t>万元，主要用于以下方面</w:t>
      </w:r>
      <w:r>
        <w:rPr>
          <w:rFonts w:ascii="仿宋" w:hAnsi="仿宋" w:eastAsia="仿宋"/>
          <w:color w:val="auto"/>
          <w:sz w:val="32"/>
          <w:szCs w:val="32"/>
        </w:rPr>
        <w:t>:</w:t>
      </w:r>
      <w:r>
        <w:rPr>
          <w:rFonts w:hint="eastAsia" w:ascii="仿宋" w:hAnsi="仿宋" w:eastAsia="仿宋"/>
          <w:b/>
          <w:color w:val="auto"/>
          <w:sz w:val="32"/>
          <w:szCs w:val="32"/>
        </w:rPr>
        <w:t>一般公共服务（</w:t>
      </w:r>
      <w:r>
        <w:rPr>
          <w:rFonts w:hint="eastAsia" w:ascii="仿宋" w:hAnsi="仿宋" w:eastAsia="仿宋"/>
          <w:b/>
          <w:color w:val="auto"/>
          <w:sz w:val="32"/>
          <w:szCs w:val="32"/>
          <w:lang w:val="en-US" w:eastAsia="zh-CN"/>
        </w:rPr>
        <w:t>201</w:t>
      </w:r>
      <w:r>
        <w:rPr>
          <w:rFonts w:hint="eastAsia" w:ascii="仿宋" w:hAnsi="仿宋" w:eastAsia="仿宋"/>
          <w:b/>
          <w:color w:val="auto"/>
          <w:sz w:val="32"/>
          <w:szCs w:val="32"/>
        </w:rPr>
        <w:t>）</w:t>
      </w:r>
      <w:r>
        <w:rPr>
          <w:rFonts w:hint="eastAsia" w:ascii="仿宋" w:hAnsi="仿宋" w:eastAsia="仿宋"/>
          <w:color w:val="auto"/>
          <w:sz w:val="32"/>
          <w:szCs w:val="32"/>
        </w:rPr>
        <w:t>支出</w:t>
      </w:r>
      <w:r>
        <w:rPr>
          <w:rFonts w:hint="eastAsia" w:ascii="仿宋" w:hAnsi="仿宋" w:eastAsia="仿宋"/>
          <w:color w:val="auto"/>
          <w:sz w:val="32"/>
          <w:szCs w:val="32"/>
          <w:lang w:val="en-US" w:eastAsia="zh-CN"/>
        </w:rPr>
        <w:t>432</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67.81</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color w:val="auto"/>
          <w:sz w:val="32"/>
          <w:szCs w:val="32"/>
        </w:rPr>
        <w:t>社会保障和就业（</w:t>
      </w:r>
      <w:r>
        <w:rPr>
          <w:rFonts w:hint="eastAsia" w:ascii="仿宋" w:hAnsi="仿宋" w:eastAsia="仿宋"/>
          <w:b/>
          <w:color w:val="auto"/>
          <w:sz w:val="32"/>
          <w:szCs w:val="32"/>
          <w:lang w:val="en-US" w:eastAsia="zh-CN"/>
        </w:rPr>
        <w:t>208</w:t>
      </w:r>
      <w:r>
        <w:rPr>
          <w:rFonts w:hint="eastAsia" w:ascii="仿宋" w:hAnsi="仿宋" w:eastAsia="仿宋"/>
          <w:b/>
          <w:color w:val="auto"/>
          <w:sz w:val="32"/>
          <w:szCs w:val="32"/>
        </w:rPr>
        <w:t>）</w:t>
      </w:r>
      <w:r>
        <w:rPr>
          <w:rFonts w:hint="eastAsia" w:ascii="仿宋" w:hAnsi="仿宋" w:eastAsia="仿宋"/>
          <w:color w:val="auto"/>
          <w:sz w:val="32"/>
          <w:szCs w:val="32"/>
        </w:rPr>
        <w:t>支出</w:t>
      </w:r>
      <w:r>
        <w:rPr>
          <w:rFonts w:hint="eastAsia" w:ascii="仿宋" w:hAnsi="仿宋" w:eastAsia="仿宋"/>
          <w:color w:val="auto"/>
          <w:sz w:val="32"/>
          <w:szCs w:val="32"/>
          <w:lang w:val="en-US" w:eastAsia="zh-CN"/>
        </w:rPr>
        <w:t>56.22</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8.82</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color w:val="auto"/>
          <w:sz w:val="32"/>
          <w:szCs w:val="32"/>
        </w:rPr>
        <w:t>医疗卫生</w:t>
      </w:r>
      <w:r>
        <w:rPr>
          <w:rFonts w:hint="eastAsia" w:ascii="仿宋" w:hAnsi="仿宋" w:eastAsia="仿宋"/>
          <w:b/>
          <w:color w:val="auto"/>
          <w:sz w:val="32"/>
          <w:szCs w:val="32"/>
          <w:lang w:eastAsia="zh-CN"/>
        </w:rPr>
        <w:t>（</w:t>
      </w:r>
      <w:r>
        <w:rPr>
          <w:rFonts w:hint="eastAsia" w:ascii="仿宋" w:hAnsi="仿宋" w:eastAsia="仿宋"/>
          <w:b/>
          <w:color w:val="auto"/>
          <w:sz w:val="32"/>
          <w:szCs w:val="32"/>
          <w:lang w:val="en-US" w:eastAsia="zh-CN"/>
        </w:rPr>
        <w:t>210</w:t>
      </w:r>
      <w:r>
        <w:rPr>
          <w:rFonts w:hint="eastAsia" w:ascii="仿宋" w:hAnsi="仿宋" w:eastAsia="仿宋"/>
          <w:b/>
          <w:color w:val="auto"/>
          <w:sz w:val="32"/>
          <w:szCs w:val="32"/>
          <w:lang w:eastAsia="zh-CN"/>
        </w:rPr>
        <w:t>）</w:t>
      </w:r>
      <w:r>
        <w:rPr>
          <w:rFonts w:hint="eastAsia" w:ascii="仿宋" w:hAnsi="仿宋" w:eastAsia="仿宋"/>
          <w:color w:val="auto"/>
          <w:sz w:val="32"/>
          <w:szCs w:val="32"/>
          <w:lang w:eastAsia="zh-CN"/>
        </w:rPr>
        <w:t>支出</w:t>
      </w:r>
      <w:r>
        <w:rPr>
          <w:rFonts w:hint="eastAsia" w:ascii="仿宋" w:hAnsi="仿宋" w:eastAsia="仿宋"/>
          <w:color w:val="auto"/>
          <w:sz w:val="32"/>
          <w:szCs w:val="32"/>
          <w:lang w:val="en-US" w:eastAsia="zh-CN"/>
        </w:rPr>
        <w:t>16.69</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2.62</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color w:val="auto"/>
          <w:sz w:val="32"/>
          <w:szCs w:val="32"/>
          <w:lang w:eastAsia="zh-CN"/>
        </w:rPr>
        <w:t>交通运输（</w:t>
      </w:r>
      <w:r>
        <w:rPr>
          <w:rFonts w:hint="eastAsia" w:ascii="仿宋" w:hAnsi="仿宋" w:eastAsia="仿宋"/>
          <w:b/>
          <w:color w:val="auto"/>
          <w:sz w:val="32"/>
          <w:szCs w:val="32"/>
          <w:lang w:val="en-US" w:eastAsia="zh-CN"/>
        </w:rPr>
        <w:t>214</w:t>
      </w:r>
      <w:r>
        <w:rPr>
          <w:rFonts w:hint="eastAsia" w:ascii="仿宋" w:hAnsi="仿宋" w:eastAsia="仿宋"/>
          <w:b/>
          <w:color w:val="auto"/>
          <w:sz w:val="32"/>
          <w:szCs w:val="32"/>
          <w:lang w:eastAsia="zh-CN"/>
        </w:rPr>
        <w:t>）支</w:t>
      </w:r>
      <w:r>
        <w:rPr>
          <w:rFonts w:hint="eastAsia" w:ascii="仿宋" w:hAnsi="仿宋" w:eastAsia="仿宋"/>
          <w:color w:val="auto"/>
          <w:sz w:val="32"/>
          <w:szCs w:val="32"/>
          <w:lang w:eastAsia="zh-CN"/>
        </w:rPr>
        <w:t>出</w:t>
      </w:r>
      <w:r>
        <w:rPr>
          <w:rFonts w:hint="eastAsia" w:ascii="仿宋" w:hAnsi="仿宋" w:eastAsia="仿宋"/>
          <w:color w:val="auto"/>
          <w:sz w:val="32"/>
          <w:szCs w:val="32"/>
          <w:lang w:val="en-US" w:eastAsia="zh-CN"/>
        </w:rPr>
        <w:t>13.6万元，</w:t>
      </w:r>
      <w:r>
        <w:rPr>
          <w:rFonts w:hint="eastAsia" w:ascii="仿宋" w:hAnsi="仿宋" w:eastAsia="仿宋"/>
          <w:color w:val="auto"/>
          <w:sz w:val="32"/>
          <w:szCs w:val="32"/>
        </w:rPr>
        <w:t>占</w:t>
      </w:r>
      <w:r>
        <w:rPr>
          <w:rFonts w:hint="eastAsia" w:ascii="仿宋" w:hAnsi="仿宋" w:eastAsia="仿宋"/>
          <w:color w:val="auto"/>
          <w:sz w:val="32"/>
          <w:szCs w:val="32"/>
          <w:lang w:val="en-US" w:eastAsia="zh-CN"/>
        </w:rPr>
        <w:t>2.13</w:t>
      </w:r>
      <w:r>
        <w:rPr>
          <w:rFonts w:ascii="仿宋" w:hAnsi="仿宋" w:eastAsia="仿宋"/>
          <w:color w:val="auto"/>
          <w:sz w:val="32"/>
          <w:szCs w:val="32"/>
        </w:rPr>
        <w:t>%</w:t>
      </w:r>
      <w:r>
        <w:rPr>
          <w:rFonts w:hint="eastAsia" w:ascii="仿宋" w:hAnsi="仿宋" w:eastAsia="仿宋"/>
          <w:color w:val="auto"/>
          <w:sz w:val="32"/>
          <w:szCs w:val="32"/>
          <w:lang w:val="en-US" w:eastAsia="zh-CN"/>
        </w:rPr>
        <w:t>；</w:t>
      </w:r>
      <w:r>
        <w:rPr>
          <w:rFonts w:hint="eastAsia" w:ascii="仿宋" w:hAnsi="仿宋" w:eastAsia="仿宋"/>
          <w:b/>
          <w:color w:val="auto"/>
          <w:sz w:val="32"/>
          <w:szCs w:val="32"/>
          <w:lang w:eastAsia="zh-CN"/>
        </w:rPr>
        <w:t>住房保障（</w:t>
      </w:r>
      <w:r>
        <w:rPr>
          <w:rFonts w:hint="eastAsia" w:ascii="仿宋" w:hAnsi="仿宋" w:eastAsia="仿宋"/>
          <w:b/>
          <w:color w:val="auto"/>
          <w:sz w:val="32"/>
          <w:szCs w:val="32"/>
          <w:lang w:val="en-US" w:eastAsia="zh-CN"/>
        </w:rPr>
        <w:t>221</w:t>
      </w:r>
      <w:r>
        <w:rPr>
          <w:rFonts w:hint="eastAsia" w:ascii="仿宋" w:hAnsi="仿宋" w:eastAsia="仿宋"/>
          <w:b/>
          <w:color w:val="auto"/>
          <w:sz w:val="32"/>
          <w:szCs w:val="32"/>
          <w:lang w:eastAsia="zh-CN"/>
        </w:rPr>
        <w:t>）支</w:t>
      </w:r>
      <w:r>
        <w:rPr>
          <w:rFonts w:hint="eastAsia" w:ascii="仿宋" w:hAnsi="仿宋" w:eastAsia="仿宋"/>
          <w:color w:val="auto"/>
          <w:sz w:val="32"/>
          <w:szCs w:val="32"/>
        </w:rPr>
        <w:t>出</w:t>
      </w:r>
      <w:r>
        <w:rPr>
          <w:rFonts w:hint="eastAsia" w:ascii="仿宋" w:hAnsi="仿宋" w:eastAsia="仿宋"/>
          <w:color w:val="auto"/>
          <w:sz w:val="32"/>
          <w:szCs w:val="32"/>
          <w:lang w:val="en-US" w:eastAsia="zh-CN"/>
        </w:rPr>
        <w:t>26.33</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4.13</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color w:val="auto"/>
          <w:sz w:val="32"/>
          <w:szCs w:val="32"/>
          <w:lang w:eastAsia="zh-CN"/>
        </w:rPr>
        <w:t>其他支出（</w:t>
      </w:r>
      <w:r>
        <w:rPr>
          <w:rFonts w:hint="eastAsia" w:ascii="仿宋" w:hAnsi="仿宋" w:eastAsia="仿宋"/>
          <w:b/>
          <w:color w:val="auto"/>
          <w:sz w:val="32"/>
          <w:szCs w:val="32"/>
          <w:lang w:val="en-US" w:eastAsia="zh-CN"/>
        </w:rPr>
        <w:t>229</w:t>
      </w:r>
      <w:r>
        <w:rPr>
          <w:rFonts w:hint="eastAsia" w:ascii="仿宋" w:hAnsi="仿宋" w:eastAsia="仿宋"/>
          <w:b/>
          <w:color w:val="auto"/>
          <w:sz w:val="32"/>
          <w:szCs w:val="32"/>
          <w:lang w:eastAsia="zh-CN"/>
        </w:rPr>
        <w:t>）</w:t>
      </w:r>
      <w:r>
        <w:rPr>
          <w:rFonts w:hint="eastAsia" w:ascii="仿宋" w:hAnsi="仿宋" w:eastAsia="仿宋"/>
          <w:color w:val="auto"/>
          <w:sz w:val="32"/>
          <w:szCs w:val="32"/>
          <w:lang w:val="en-US" w:eastAsia="zh-CN"/>
        </w:rPr>
        <w:t>92.24</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14.48</w:t>
      </w:r>
      <w:r>
        <w:rPr>
          <w:rFonts w:ascii="仿宋" w:hAnsi="仿宋" w:eastAsia="仿宋"/>
          <w:color w:val="auto"/>
          <w:sz w:val="32"/>
          <w:szCs w:val="32"/>
        </w:rPr>
        <w:t>%</w:t>
      </w:r>
      <w:r>
        <w:rPr>
          <w:rFonts w:hint="eastAsia" w:ascii="仿宋" w:hAnsi="仿宋" w:eastAsia="仿宋"/>
          <w:color w:val="auto"/>
          <w:sz w:val="32"/>
          <w:szCs w:val="32"/>
          <w:lang w:eastAsia="zh-CN"/>
        </w:rPr>
        <w:t>。</w:t>
      </w:r>
    </w:p>
    <w:p>
      <w:pPr>
        <w:spacing w:line="600" w:lineRule="exact"/>
        <w:ind w:firstLine="640" w:firstLineChars="200"/>
        <w:rPr>
          <w:rFonts w:hint="eastAsia" w:ascii="仿宋" w:hAnsi="仿宋" w:eastAsia="仿宋"/>
          <w:color w:val="auto"/>
          <w:sz w:val="32"/>
          <w:szCs w:val="32"/>
        </w:rPr>
      </w:pPr>
    </w:p>
    <w:p>
      <w:pPr>
        <w:spacing w:line="600" w:lineRule="exact"/>
        <w:rPr>
          <w:rFonts w:ascii="仿宋" w:hAnsi="仿宋" w:eastAsia="仿宋"/>
          <w:color w:val="auto"/>
          <w:sz w:val="32"/>
          <w:szCs w:val="32"/>
        </w:rPr>
      </w:pPr>
      <w:r>
        <w:rPr>
          <w:rFonts w:hint="eastAsia" w:ascii="仿宋" w:hAnsi="仿宋" w:eastAsia="仿宋"/>
          <w:color w:val="auto"/>
          <w:sz w:val="32"/>
          <w:szCs w:val="32"/>
        </w:rPr>
        <w:t>（图6：一般公共预算财政拨款支出决算结构）（饼状图）</w:t>
      </w:r>
    </w:p>
    <w:p>
      <w:pPr>
        <w:spacing w:line="600" w:lineRule="exact"/>
        <w:ind w:firstLine="640" w:firstLineChars="200"/>
        <w:rPr>
          <w:rFonts w:hint="eastAsia" w:ascii="仿宋" w:hAnsi="仿宋" w:eastAsia="仿宋"/>
          <w:color w:val="auto"/>
          <w:sz w:val="32"/>
          <w:szCs w:val="32"/>
          <w:lang w:eastAsia="zh-CN"/>
        </w:rPr>
      </w:pPr>
      <w:r>
        <w:rPr>
          <w:rFonts w:hint="eastAsia" w:ascii="仿宋" w:hAnsi="仿宋" w:eastAsia="仿宋"/>
          <w:color w:val="auto"/>
          <w:sz w:val="32"/>
          <w:szCs w:val="32"/>
          <w:lang w:eastAsia="zh-CN"/>
        </w:rPr>
        <w:drawing>
          <wp:anchor distT="0" distB="0" distL="114300" distR="114300" simplePos="0" relativeHeight="251664384" behindDoc="0" locked="0" layoutInCell="1" allowOverlap="1">
            <wp:simplePos x="0" y="0"/>
            <wp:positionH relativeFrom="column">
              <wp:posOffset>410845</wp:posOffset>
            </wp:positionH>
            <wp:positionV relativeFrom="paragraph">
              <wp:posOffset>302895</wp:posOffset>
            </wp:positionV>
            <wp:extent cx="4378325" cy="3600450"/>
            <wp:effectExtent l="4445" t="4445" r="17780" b="14605"/>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Fonts w:ascii="仿宋" w:hAnsi="仿宋" w:eastAsia="仿宋"/>
          <w:color w:val="auto"/>
          <w:sz w:val="32"/>
          <w:szCs w:val="32"/>
        </w:rPr>
      </w:pPr>
    </w:p>
    <w:p>
      <w:pPr>
        <w:spacing w:line="600" w:lineRule="exact"/>
        <w:ind w:firstLine="640" w:firstLineChars="200"/>
        <w:rPr>
          <w:rFonts w:ascii="仿宋" w:hAnsi="仿宋" w:eastAsia="仿宋"/>
          <w:color w:val="auto"/>
          <w:sz w:val="32"/>
          <w:szCs w:val="32"/>
        </w:rPr>
      </w:pPr>
    </w:p>
    <w:p>
      <w:pPr>
        <w:spacing w:line="600" w:lineRule="exact"/>
        <w:ind w:firstLine="640" w:firstLineChars="200"/>
        <w:rPr>
          <w:rFonts w:ascii="仿宋" w:hAnsi="仿宋" w:eastAsia="仿宋"/>
          <w:color w:val="auto"/>
          <w:sz w:val="32"/>
          <w:szCs w:val="32"/>
        </w:rPr>
      </w:pPr>
    </w:p>
    <w:p>
      <w:pPr>
        <w:spacing w:line="600" w:lineRule="exact"/>
        <w:ind w:firstLine="640" w:firstLineChars="200"/>
        <w:rPr>
          <w:rFonts w:ascii="仿宋" w:hAnsi="仿宋" w:eastAsia="仿宋"/>
          <w:color w:val="auto"/>
          <w:sz w:val="32"/>
          <w:szCs w:val="32"/>
        </w:rPr>
      </w:pPr>
    </w:p>
    <w:p>
      <w:pPr>
        <w:spacing w:line="600" w:lineRule="exact"/>
        <w:ind w:firstLine="640" w:firstLineChars="200"/>
        <w:rPr>
          <w:rFonts w:ascii="仿宋" w:hAnsi="仿宋" w:eastAsia="仿宋"/>
          <w:color w:val="auto"/>
          <w:sz w:val="32"/>
          <w:szCs w:val="32"/>
        </w:rPr>
      </w:pPr>
    </w:p>
    <w:p>
      <w:pPr>
        <w:spacing w:line="600" w:lineRule="exact"/>
        <w:ind w:firstLine="640" w:firstLineChars="200"/>
        <w:rPr>
          <w:rFonts w:ascii="仿宋" w:hAnsi="仿宋" w:eastAsia="仿宋"/>
          <w:color w:val="auto"/>
          <w:sz w:val="32"/>
          <w:szCs w:val="32"/>
        </w:rPr>
      </w:pPr>
    </w:p>
    <w:p>
      <w:pPr>
        <w:spacing w:line="600" w:lineRule="exact"/>
        <w:ind w:firstLine="640" w:firstLineChars="200"/>
        <w:rPr>
          <w:rFonts w:ascii="仿宋" w:hAnsi="仿宋" w:eastAsia="仿宋"/>
          <w:color w:val="auto"/>
          <w:sz w:val="32"/>
          <w:szCs w:val="32"/>
        </w:rPr>
      </w:pPr>
    </w:p>
    <w:p>
      <w:pPr>
        <w:spacing w:line="600" w:lineRule="exact"/>
        <w:ind w:firstLine="640" w:firstLineChars="200"/>
        <w:rPr>
          <w:rFonts w:ascii="仿宋" w:hAnsi="仿宋" w:eastAsia="仿宋"/>
          <w:color w:val="auto"/>
          <w:sz w:val="32"/>
          <w:szCs w:val="32"/>
        </w:rPr>
      </w:pPr>
    </w:p>
    <w:p>
      <w:pPr>
        <w:spacing w:line="600" w:lineRule="exact"/>
        <w:ind w:firstLine="640" w:firstLineChars="200"/>
        <w:rPr>
          <w:rFonts w:ascii="仿宋" w:hAnsi="仿宋" w:eastAsia="仿宋"/>
          <w:color w:val="auto"/>
          <w:sz w:val="32"/>
          <w:szCs w:val="32"/>
        </w:rPr>
      </w:pPr>
    </w:p>
    <w:p>
      <w:pPr>
        <w:spacing w:line="600" w:lineRule="exact"/>
        <w:ind w:firstLine="640" w:firstLineChars="200"/>
        <w:rPr>
          <w:rFonts w:ascii="仿宋" w:hAnsi="仿宋" w:eastAsia="仿宋"/>
          <w:color w:val="auto"/>
          <w:sz w:val="32"/>
          <w:szCs w:val="32"/>
        </w:rPr>
      </w:pPr>
    </w:p>
    <w:p>
      <w:pPr>
        <w:spacing w:line="600" w:lineRule="exact"/>
        <w:ind w:firstLine="643" w:firstLineChars="200"/>
        <w:outlineLvl w:val="2"/>
        <w:rPr>
          <w:rFonts w:ascii="仿宋" w:hAnsi="仿宋" w:eastAsia="仿宋"/>
          <w:b/>
          <w:color w:val="auto"/>
          <w:sz w:val="32"/>
          <w:szCs w:val="32"/>
        </w:rPr>
      </w:pPr>
      <w:bookmarkStart w:id="36" w:name="_Toc15377212"/>
      <w:r>
        <w:rPr>
          <w:rFonts w:hint="eastAsia" w:ascii="仿宋" w:hAnsi="仿宋" w:eastAsia="仿宋"/>
          <w:b/>
          <w:color w:val="auto"/>
          <w:sz w:val="32"/>
          <w:szCs w:val="32"/>
        </w:rPr>
        <w:t>（三）一般公共预算财政拨款支出决算具体情况</w:t>
      </w:r>
      <w:bookmarkEnd w:id="36"/>
    </w:p>
    <w:p>
      <w:pPr>
        <w:spacing w:line="600" w:lineRule="exact"/>
        <w:ind w:firstLine="643" w:firstLineChars="200"/>
        <w:outlineLvl w:val="2"/>
        <w:rPr>
          <w:rFonts w:ascii="仿宋" w:hAnsi="仿宋" w:eastAsia="仿宋"/>
          <w:color w:val="auto"/>
          <w:sz w:val="32"/>
          <w:szCs w:val="32"/>
        </w:rPr>
      </w:pPr>
      <w:bookmarkStart w:id="37" w:name="_Toc15377213"/>
      <w:bookmarkStart w:id="38" w:name="_Toc15377444"/>
      <w:bookmarkStart w:id="39" w:name="_Toc15378460"/>
      <w:r>
        <w:rPr>
          <w:rFonts w:hint="eastAsia" w:ascii="仿宋" w:hAnsi="仿宋" w:eastAsia="仿宋"/>
          <w:b/>
          <w:color w:val="auto"/>
          <w:sz w:val="32"/>
          <w:szCs w:val="32"/>
        </w:rPr>
        <w:t>2018年般公共预算支出决算数为</w:t>
      </w:r>
      <w:r>
        <w:rPr>
          <w:rFonts w:hint="eastAsia" w:ascii="仿宋" w:hAnsi="仿宋" w:eastAsia="仿宋"/>
          <w:b/>
          <w:color w:val="auto"/>
          <w:sz w:val="32"/>
          <w:szCs w:val="32"/>
          <w:lang w:val="en-US" w:eastAsia="zh-CN"/>
        </w:rPr>
        <w:t>637.08</w:t>
      </w:r>
      <w:r>
        <w:rPr>
          <w:rFonts w:hint="eastAsia" w:ascii="仿宋" w:hAnsi="仿宋" w:eastAsia="仿宋"/>
          <w:color w:val="auto"/>
          <w:sz w:val="32"/>
          <w:szCs w:val="32"/>
        </w:rPr>
        <w:t>，</w:t>
      </w:r>
      <w:r>
        <w:rPr>
          <w:rStyle w:val="16"/>
          <w:rFonts w:hint="eastAsia" w:ascii="仿宋" w:hAnsi="仿宋" w:eastAsia="仿宋"/>
          <w:bCs/>
          <w:color w:val="auto"/>
          <w:sz w:val="32"/>
          <w:szCs w:val="32"/>
        </w:rPr>
        <w:t>完成预算</w:t>
      </w:r>
      <w:r>
        <w:rPr>
          <w:rStyle w:val="16"/>
          <w:rFonts w:hint="eastAsia" w:ascii="仿宋" w:hAnsi="仿宋" w:eastAsia="仿宋"/>
          <w:bCs/>
          <w:color w:val="auto"/>
          <w:sz w:val="32"/>
          <w:szCs w:val="32"/>
          <w:lang w:val="en-US" w:eastAsia="zh-CN"/>
        </w:rPr>
        <w:t>100</w:t>
      </w:r>
      <w:r>
        <w:rPr>
          <w:rStyle w:val="16"/>
          <w:rFonts w:ascii="仿宋" w:hAnsi="仿宋" w:eastAsia="仿宋"/>
          <w:bCs/>
          <w:color w:val="auto"/>
          <w:sz w:val="32"/>
          <w:szCs w:val="32"/>
        </w:rPr>
        <w:t>%</w:t>
      </w:r>
      <w:r>
        <w:rPr>
          <w:rStyle w:val="16"/>
          <w:rFonts w:hint="eastAsia" w:ascii="仿宋" w:hAnsi="仿宋" w:eastAsia="仿宋"/>
          <w:bCs/>
          <w:color w:val="auto"/>
          <w:sz w:val="32"/>
          <w:szCs w:val="32"/>
        </w:rPr>
        <w:t>。其中：</w:t>
      </w:r>
      <w:bookmarkEnd w:id="37"/>
      <w:bookmarkEnd w:id="38"/>
      <w:bookmarkEnd w:id="39"/>
    </w:p>
    <w:p>
      <w:pPr>
        <w:numPr>
          <w:ilvl w:val="0"/>
          <w:numId w:val="2"/>
        </w:numPr>
        <w:spacing w:line="600" w:lineRule="exact"/>
        <w:ind w:firstLine="640" w:firstLineChars="200"/>
        <w:rPr>
          <w:rStyle w:val="16"/>
          <w:rFonts w:hint="eastAsia" w:ascii="仿宋" w:hAnsi="仿宋" w:eastAsia="仿宋"/>
          <w:b w:val="0"/>
          <w:bCs/>
          <w:color w:val="auto"/>
          <w:sz w:val="32"/>
          <w:szCs w:val="32"/>
          <w:lang w:val="en-US" w:eastAsia="zh-CN"/>
        </w:rPr>
      </w:pPr>
      <w:r>
        <w:rPr>
          <w:rStyle w:val="16"/>
          <w:rFonts w:hint="eastAsia" w:ascii="仿宋" w:hAnsi="仿宋" w:eastAsia="仿宋"/>
          <w:b w:val="0"/>
          <w:bCs/>
          <w:color w:val="auto"/>
          <w:sz w:val="32"/>
          <w:szCs w:val="32"/>
        </w:rPr>
        <w:t xml:space="preserve"> 一般行政管理事务</w:t>
      </w:r>
      <w:r>
        <w:rPr>
          <w:rStyle w:val="16"/>
          <w:rFonts w:hint="eastAsia" w:ascii="仿宋" w:hAnsi="仿宋" w:eastAsia="仿宋"/>
          <w:b w:val="0"/>
          <w:bCs/>
          <w:color w:val="auto"/>
          <w:sz w:val="32"/>
          <w:szCs w:val="32"/>
          <w:lang w:val="en-US" w:eastAsia="zh-CN"/>
        </w:rPr>
        <w:t>2012302</w:t>
      </w:r>
      <w:r>
        <w:rPr>
          <w:rStyle w:val="16"/>
          <w:rFonts w:hint="eastAsia" w:ascii="仿宋" w:hAnsi="仿宋" w:eastAsia="仿宋"/>
          <w:b w:val="0"/>
          <w:bCs/>
          <w:color w:val="auto"/>
          <w:sz w:val="32"/>
          <w:szCs w:val="32"/>
        </w:rPr>
        <w:t>: 支出决算为</w:t>
      </w:r>
      <w:r>
        <w:rPr>
          <w:rStyle w:val="16"/>
          <w:rFonts w:hint="eastAsia" w:ascii="仿宋" w:hAnsi="仿宋" w:eastAsia="仿宋"/>
          <w:b w:val="0"/>
          <w:bCs/>
          <w:color w:val="auto"/>
          <w:sz w:val="32"/>
          <w:szCs w:val="32"/>
          <w:lang w:val="en-US" w:eastAsia="zh-CN"/>
        </w:rPr>
        <w:t>18.54</w:t>
      </w:r>
      <w:r>
        <w:rPr>
          <w:rStyle w:val="16"/>
          <w:rFonts w:hint="eastAsia" w:ascii="仿宋" w:hAnsi="仿宋" w:eastAsia="仿宋"/>
          <w:b w:val="0"/>
          <w:bCs/>
          <w:color w:val="auto"/>
          <w:sz w:val="32"/>
          <w:szCs w:val="32"/>
        </w:rPr>
        <w:t>元万元，完成预算</w:t>
      </w:r>
      <w:r>
        <w:rPr>
          <w:rStyle w:val="16"/>
          <w:rFonts w:hint="eastAsia" w:ascii="仿宋" w:hAnsi="仿宋" w:eastAsia="仿宋"/>
          <w:b w:val="0"/>
          <w:bCs/>
          <w:color w:val="auto"/>
          <w:sz w:val="32"/>
          <w:szCs w:val="32"/>
          <w:lang w:val="en-US" w:eastAsia="zh-CN"/>
        </w:rPr>
        <w:t>100</w:t>
      </w:r>
      <w:r>
        <w:rPr>
          <w:rStyle w:val="16"/>
          <w:rFonts w:hint="eastAsia" w:ascii="仿宋" w:hAnsi="仿宋" w:eastAsia="仿宋"/>
          <w:b w:val="0"/>
          <w:bCs/>
          <w:color w:val="auto"/>
          <w:sz w:val="32"/>
          <w:szCs w:val="32"/>
        </w:rPr>
        <w:t>%</w:t>
      </w:r>
      <w:r>
        <w:rPr>
          <w:rStyle w:val="16"/>
          <w:rFonts w:hint="eastAsia" w:ascii="仿宋" w:hAnsi="仿宋" w:eastAsia="仿宋"/>
          <w:b w:val="0"/>
          <w:bCs/>
          <w:color w:val="auto"/>
          <w:sz w:val="32"/>
          <w:szCs w:val="32"/>
          <w:lang w:eastAsia="zh-CN"/>
        </w:rPr>
        <w:t>。</w:t>
      </w:r>
    </w:p>
    <w:p>
      <w:pPr>
        <w:numPr>
          <w:ilvl w:val="0"/>
          <w:numId w:val="2"/>
        </w:numPr>
        <w:spacing w:line="600" w:lineRule="exact"/>
        <w:ind w:firstLine="640" w:firstLineChars="200"/>
        <w:rPr>
          <w:rStyle w:val="16"/>
          <w:rFonts w:hint="eastAsia" w:ascii="仿宋" w:hAnsi="仿宋" w:eastAsia="仿宋"/>
          <w:b w:val="0"/>
          <w:bCs/>
          <w:color w:val="auto"/>
          <w:sz w:val="32"/>
          <w:szCs w:val="32"/>
          <w:lang w:val="en-US" w:eastAsia="zh-CN"/>
        </w:rPr>
      </w:pPr>
      <w:r>
        <w:rPr>
          <w:rStyle w:val="16"/>
          <w:rFonts w:hint="eastAsia" w:ascii="仿宋" w:hAnsi="仿宋" w:eastAsia="仿宋"/>
          <w:b w:val="0"/>
          <w:bCs/>
          <w:color w:val="auto"/>
          <w:sz w:val="32"/>
          <w:szCs w:val="32"/>
          <w:lang w:val="en-US" w:eastAsia="zh-CN"/>
        </w:rPr>
        <w:t>其他民族事务支出2012399：</w:t>
      </w:r>
      <w:r>
        <w:rPr>
          <w:rStyle w:val="16"/>
          <w:rFonts w:hint="eastAsia" w:ascii="仿宋" w:hAnsi="仿宋" w:eastAsia="仿宋"/>
          <w:b w:val="0"/>
          <w:bCs/>
          <w:color w:val="auto"/>
          <w:sz w:val="32"/>
          <w:szCs w:val="32"/>
        </w:rPr>
        <w:t>支出决算为</w:t>
      </w:r>
      <w:r>
        <w:rPr>
          <w:rStyle w:val="16"/>
          <w:rFonts w:hint="eastAsia" w:ascii="仿宋" w:hAnsi="仿宋" w:eastAsia="仿宋"/>
          <w:b w:val="0"/>
          <w:bCs/>
          <w:color w:val="auto"/>
          <w:sz w:val="32"/>
          <w:szCs w:val="32"/>
          <w:lang w:val="en-US" w:eastAsia="zh-CN"/>
        </w:rPr>
        <w:t>22</w:t>
      </w:r>
      <w:r>
        <w:rPr>
          <w:rStyle w:val="16"/>
          <w:rFonts w:hint="eastAsia" w:ascii="仿宋" w:hAnsi="仿宋" w:eastAsia="仿宋"/>
          <w:b w:val="0"/>
          <w:bCs/>
          <w:color w:val="auto"/>
          <w:sz w:val="32"/>
          <w:szCs w:val="32"/>
        </w:rPr>
        <w:t>元万元，完成预算</w:t>
      </w:r>
      <w:r>
        <w:rPr>
          <w:rStyle w:val="16"/>
          <w:rFonts w:hint="eastAsia" w:ascii="仿宋" w:hAnsi="仿宋" w:eastAsia="仿宋"/>
          <w:b w:val="0"/>
          <w:bCs/>
          <w:color w:val="auto"/>
          <w:sz w:val="32"/>
          <w:szCs w:val="32"/>
          <w:lang w:val="en-US" w:eastAsia="zh-CN"/>
        </w:rPr>
        <w:t>100</w:t>
      </w:r>
      <w:r>
        <w:rPr>
          <w:rStyle w:val="16"/>
          <w:rFonts w:hint="eastAsia" w:ascii="仿宋" w:hAnsi="仿宋" w:eastAsia="仿宋"/>
          <w:b w:val="0"/>
          <w:bCs/>
          <w:color w:val="auto"/>
          <w:sz w:val="32"/>
          <w:szCs w:val="32"/>
        </w:rPr>
        <w:t>%</w:t>
      </w:r>
      <w:r>
        <w:rPr>
          <w:rStyle w:val="16"/>
          <w:rFonts w:hint="eastAsia" w:ascii="仿宋" w:hAnsi="仿宋" w:eastAsia="仿宋"/>
          <w:b w:val="0"/>
          <w:bCs/>
          <w:color w:val="auto"/>
          <w:sz w:val="32"/>
          <w:szCs w:val="32"/>
          <w:lang w:eastAsia="zh-CN"/>
        </w:rPr>
        <w:t>。</w:t>
      </w:r>
    </w:p>
    <w:p>
      <w:pPr>
        <w:numPr>
          <w:ilvl w:val="0"/>
          <w:numId w:val="2"/>
        </w:numPr>
        <w:spacing w:line="600" w:lineRule="exact"/>
        <w:ind w:firstLine="640" w:firstLineChars="200"/>
        <w:rPr>
          <w:rStyle w:val="16"/>
          <w:rFonts w:hint="eastAsia" w:ascii="仿宋" w:hAnsi="仿宋" w:eastAsia="仿宋"/>
          <w:b w:val="0"/>
          <w:bCs/>
          <w:color w:val="auto"/>
          <w:sz w:val="32"/>
          <w:szCs w:val="32"/>
          <w:lang w:val="en-US" w:eastAsia="zh-CN"/>
        </w:rPr>
      </w:pPr>
      <w:r>
        <w:rPr>
          <w:rStyle w:val="16"/>
          <w:rFonts w:hint="eastAsia" w:ascii="仿宋" w:hAnsi="仿宋" w:eastAsia="仿宋"/>
          <w:b w:val="0"/>
          <w:bCs/>
          <w:color w:val="auto"/>
          <w:sz w:val="32"/>
          <w:szCs w:val="32"/>
          <w:lang w:val="en-US" w:eastAsia="zh-CN"/>
        </w:rPr>
        <w:t xml:space="preserve">  行政运行2012401：</w:t>
      </w:r>
      <w:r>
        <w:rPr>
          <w:rStyle w:val="16"/>
          <w:rFonts w:hint="eastAsia" w:ascii="仿宋" w:hAnsi="仿宋" w:eastAsia="仿宋"/>
          <w:b w:val="0"/>
          <w:bCs/>
          <w:color w:val="auto"/>
          <w:sz w:val="32"/>
          <w:szCs w:val="32"/>
        </w:rPr>
        <w:t>支出决算为</w:t>
      </w:r>
      <w:r>
        <w:rPr>
          <w:rStyle w:val="16"/>
          <w:rFonts w:hint="eastAsia" w:ascii="仿宋" w:hAnsi="仿宋" w:eastAsia="仿宋"/>
          <w:b w:val="0"/>
          <w:bCs/>
          <w:color w:val="auto"/>
          <w:sz w:val="32"/>
          <w:szCs w:val="32"/>
          <w:lang w:val="en-US" w:eastAsia="zh-CN"/>
        </w:rPr>
        <w:t>257.67</w:t>
      </w:r>
      <w:r>
        <w:rPr>
          <w:rStyle w:val="16"/>
          <w:rFonts w:hint="eastAsia" w:ascii="仿宋" w:hAnsi="仿宋" w:eastAsia="仿宋"/>
          <w:b w:val="0"/>
          <w:bCs/>
          <w:color w:val="auto"/>
          <w:sz w:val="32"/>
          <w:szCs w:val="32"/>
        </w:rPr>
        <w:t>元万元，完成预算</w:t>
      </w:r>
      <w:r>
        <w:rPr>
          <w:rStyle w:val="16"/>
          <w:rFonts w:hint="eastAsia" w:ascii="仿宋" w:hAnsi="仿宋" w:eastAsia="仿宋"/>
          <w:b w:val="0"/>
          <w:bCs/>
          <w:color w:val="auto"/>
          <w:sz w:val="32"/>
          <w:szCs w:val="32"/>
          <w:lang w:val="en-US" w:eastAsia="zh-CN"/>
        </w:rPr>
        <w:t>100</w:t>
      </w:r>
      <w:r>
        <w:rPr>
          <w:rStyle w:val="16"/>
          <w:rFonts w:hint="eastAsia" w:ascii="仿宋" w:hAnsi="仿宋" w:eastAsia="仿宋"/>
          <w:b w:val="0"/>
          <w:bCs/>
          <w:color w:val="auto"/>
          <w:sz w:val="32"/>
          <w:szCs w:val="32"/>
        </w:rPr>
        <w:t>%</w:t>
      </w:r>
      <w:r>
        <w:rPr>
          <w:rStyle w:val="16"/>
          <w:rFonts w:hint="eastAsia" w:ascii="仿宋" w:hAnsi="仿宋" w:eastAsia="仿宋"/>
          <w:b w:val="0"/>
          <w:bCs/>
          <w:color w:val="auto"/>
          <w:sz w:val="32"/>
          <w:szCs w:val="32"/>
          <w:lang w:eastAsia="zh-CN"/>
        </w:rPr>
        <w:t>。</w:t>
      </w:r>
    </w:p>
    <w:p>
      <w:pPr>
        <w:numPr>
          <w:ilvl w:val="0"/>
          <w:numId w:val="2"/>
        </w:numPr>
        <w:spacing w:line="600" w:lineRule="exact"/>
        <w:ind w:firstLine="640" w:firstLineChars="200"/>
        <w:rPr>
          <w:rStyle w:val="16"/>
          <w:rFonts w:hint="eastAsia" w:ascii="仿宋" w:hAnsi="仿宋" w:eastAsia="仿宋"/>
          <w:b w:val="0"/>
          <w:bCs/>
          <w:color w:val="auto"/>
          <w:sz w:val="32"/>
          <w:szCs w:val="32"/>
          <w:lang w:val="en-US" w:eastAsia="zh-CN"/>
        </w:rPr>
      </w:pPr>
      <w:r>
        <w:rPr>
          <w:rStyle w:val="16"/>
          <w:rFonts w:hint="eastAsia" w:ascii="仿宋" w:hAnsi="仿宋" w:eastAsia="仿宋"/>
          <w:b w:val="0"/>
          <w:bCs/>
          <w:color w:val="auto"/>
          <w:sz w:val="32"/>
          <w:szCs w:val="32"/>
          <w:lang w:val="en-US" w:eastAsia="zh-CN"/>
        </w:rPr>
        <w:t>一般行政管理事务2012402:支出决算为12.35元万元，完成预算100%。</w:t>
      </w:r>
    </w:p>
    <w:p>
      <w:pPr>
        <w:numPr>
          <w:ilvl w:val="0"/>
          <w:numId w:val="2"/>
        </w:numPr>
        <w:spacing w:line="600" w:lineRule="exact"/>
        <w:ind w:firstLine="640" w:firstLineChars="200"/>
        <w:rPr>
          <w:rStyle w:val="16"/>
          <w:rFonts w:hint="eastAsia" w:ascii="仿宋" w:hAnsi="仿宋" w:eastAsia="仿宋"/>
          <w:b w:val="0"/>
          <w:bCs/>
          <w:color w:val="auto"/>
          <w:sz w:val="32"/>
          <w:szCs w:val="32"/>
          <w:lang w:val="en-US" w:eastAsia="zh-CN"/>
        </w:rPr>
      </w:pPr>
      <w:r>
        <w:rPr>
          <w:rStyle w:val="16"/>
          <w:rFonts w:hint="eastAsia" w:ascii="仿宋" w:hAnsi="仿宋" w:eastAsia="仿宋"/>
          <w:b w:val="0"/>
          <w:bCs/>
          <w:color w:val="auto"/>
          <w:sz w:val="32"/>
          <w:szCs w:val="32"/>
          <w:lang w:val="en-US" w:eastAsia="zh-CN"/>
        </w:rPr>
        <w:t>事业运行 2012450:支出决算为72.3元万元，完成预算100%。</w:t>
      </w:r>
    </w:p>
    <w:p>
      <w:pPr>
        <w:numPr>
          <w:ilvl w:val="0"/>
          <w:numId w:val="2"/>
        </w:numPr>
        <w:spacing w:line="600" w:lineRule="exact"/>
        <w:ind w:firstLine="640" w:firstLineChars="200"/>
        <w:rPr>
          <w:rStyle w:val="16"/>
          <w:rFonts w:hint="eastAsia" w:ascii="仿宋" w:hAnsi="仿宋" w:eastAsia="仿宋"/>
          <w:b w:val="0"/>
          <w:bCs/>
          <w:color w:val="auto"/>
          <w:sz w:val="32"/>
          <w:szCs w:val="32"/>
          <w:lang w:val="en-US" w:eastAsia="zh-CN"/>
        </w:rPr>
      </w:pPr>
      <w:r>
        <w:rPr>
          <w:rStyle w:val="16"/>
          <w:rFonts w:hint="eastAsia" w:ascii="仿宋" w:hAnsi="仿宋" w:eastAsia="仿宋"/>
          <w:b w:val="0"/>
          <w:bCs/>
          <w:color w:val="auto"/>
          <w:sz w:val="32"/>
          <w:szCs w:val="32"/>
          <w:lang w:val="en-US" w:eastAsia="zh-CN"/>
        </w:rPr>
        <w:t>其他宗教事务支出2012499:支出决算为49.14元万元，完成预算100%。</w:t>
      </w:r>
    </w:p>
    <w:p>
      <w:pPr>
        <w:numPr>
          <w:ilvl w:val="0"/>
          <w:numId w:val="2"/>
        </w:numPr>
        <w:spacing w:line="600" w:lineRule="exact"/>
        <w:ind w:firstLine="640" w:firstLineChars="200"/>
        <w:rPr>
          <w:rStyle w:val="16"/>
          <w:rFonts w:hint="eastAsia" w:ascii="仿宋" w:hAnsi="仿宋" w:eastAsia="仿宋"/>
          <w:b w:val="0"/>
          <w:bCs/>
          <w:color w:val="auto"/>
          <w:sz w:val="32"/>
          <w:szCs w:val="32"/>
          <w:lang w:val="en-US" w:eastAsia="zh-CN"/>
        </w:rPr>
      </w:pPr>
      <w:r>
        <w:rPr>
          <w:rStyle w:val="16"/>
          <w:rFonts w:hint="eastAsia" w:ascii="仿宋" w:hAnsi="仿宋" w:eastAsia="仿宋"/>
          <w:b w:val="0"/>
          <w:bCs/>
          <w:color w:val="auto"/>
          <w:sz w:val="32"/>
          <w:szCs w:val="32"/>
          <w:lang w:val="en-US" w:eastAsia="zh-CN"/>
        </w:rPr>
        <w:t>机关事业单位基本养老保险缴费支出2080505:支出决算为40.14元万元，完成预算100%。</w:t>
      </w:r>
    </w:p>
    <w:p>
      <w:pPr>
        <w:numPr>
          <w:ilvl w:val="0"/>
          <w:numId w:val="2"/>
        </w:numPr>
        <w:spacing w:line="600" w:lineRule="exact"/>
        <w:ind w:firstLine="640" w:firstLineChars="200"/>
        <w:rPr>
          <w:rStyle w:val="16"/>
          <w:rFonts w:hint="eastAsia" w:ascii="仿宋" w:hAnsi="仿宋" w:eastAsia="仿宋"/>
          <w:b w:val="0"/>
          <w:bCs/>
          <w:color w:val="auto"/>
          <w:sz w:val="32"/>
          <w:szCs w:val="32"/>
          <w:lang w:val="en-US" w:eastAsia="zh-CN"/>
        </w:rPr>
      </w:pPr>
      <w:r>
        <w:rPr>
          <w:rStyle w:val="16"/>
          <w:rFonts w:hint="eastAsia" w:ascii="仿宋" w:hAnsi="仿宋" w:eastAsia="仿宋"/>
          <w:b w:val="0"/>
          <w:bCs/>
          <w:color w:val="auto"/>
          <w:sz w:val="32"/>
          <w:szCs w:val="32"/>
          <w:lang w:val="en-US" w:eastAsia="zh-CN"/>
        </w:rPr>
        <w:t>机关事业单位职业年金缴费支出2080506:支出决算为16.08元万元，完成预算100%，</w:t>
      </w:r>
    </w:p>
    <w:p>
      <w:pPr>
        <w:numPr>
          <w:ilvl w:val="0"/>
          <w:numId w:val="2"/>
        </w:numPr>
        <w:spacing w:line="600" w:lineRule="exact"/>
        <w:ind w:firstLine="640" w:firstLineChars="200"/>
        <w:rPr>
          <w:rStyle w:val="16"/>
          <w:rFonts w:hint="eastAsia" w:ascii="仿宋" w:hAnsi="仿宋" w:eastAsia="仿宋"/>
          <w:b w:val="0"/>
          <w:bCs/>
          <w:color w:val="auto"/>
          <w:sz w:val="32"/>
          <w:szCs w:val="32"/>
          <w:lang w:val="en-US" w:eastAsia="zh-CN"/>
        </w:rPr>
      </w:pPr>
      <w:r>
        <w:rPr>
          <w:rStyle w:val="16"/>
          <w:rFonts w:hint="eastAsia" w:ascii="仿宋" w:hAnsi="仿宋" w:eastAsia="仿宋"/>
          <w:b w:val="0"/>
          <w:bCs/>
          <w:color w:val="auto"/>
          <w:sz w:val="32"/>
          <w:szCs w:val="32"/>
          <w:lang w:val="en-US" w:eastAsia="zh-CN"/>
        </w:rPr>
        <w:t>行政单位医疗2101101:支出决算为12.23元万元，完成预算100%。</w:t>
      </w:r>
    </w:p>
    <w:p>
      <w:pPr>
        <w:numPr>
          <w:ilvl w:val="0"/>
          <w:numId w:val="2"/>
        </w:numPr>
        <w:spacing w:line="600" w:lineRule="exact"/>
        <w:ind w:firstLine="640" w:firstLineChars="200"/>
        <w:rPr>
          <w:rStyle w:val="16"/>
          <w:rFonts w:hint="eastAsia" w:ascii="仿宋" w:hAnsi="仿宋" w:eastAsia="仿宋"/>
          <w:b w:val="0"/>
          <w:bCs/>
          <w:color w:val="auto"/>
          <w:sz w:val="32"/>
          <w:szCs w:val="32"/>
          <w:lang w:val="en-US" w:eastAsia="zh-CN"/>
        </w:rPr>
      </w:pPr>
      <w:r>
        <w:rPr>
          <w:rStyle w:val="16"/>
          <w:rFonts w:hint="eastAsia" w:ascii="仿宋" w:hAnsi="仿宋" w:eastAsia="仿宋"/>
          <w:b w:val="0"/>
          <w:bCs/>
          <w:color w:val="auto"/>
          <w:sz w:val="32"/>
          <w:szCs w:val="32"/>
          <w:lang w:val="en-US" w:eastAsia="zh-CN"/>
        </w:rPr>
        <w:t>事业单位医疗2101102：支出决算为1.16元万元，完成预算100%。</w:t>
      </w:r>
    </w:p>
    <w:p>
      <w:pPr>
        <w:numPr>
          <w:ilvl w:val="0"/>
          <w:numId w:val="2"/>
        </w:numPr>
        <w:spacing w:line="600" w:lineRule="exact"/>
        <w:ind w:firstLine="640" w:firstLineChars="200"/>
        <w:rPr>
          <w:rStyle w:val="16"/>
          <w:rFonts w:hint="eastAsia" w:ascii="仿宋" w:hAnsi="仿宋" w:eastAsia="仿宋"/>
          <w:b w:val="0"/>
          <w:bCs/>
          <w:color w:val="auto"/>
          <w:sz w:val="32"/>
          <w:szCs w:val="32"/>
          <w:lang w:val="en-US" w:eastAsia="zh-CN"/>
        </w:rPr>
      </w:pPr>
      <w:r>
        <w:rPr>
          <w:rStyle w:val="16"/>
          <w:rFonts w:hint="eastAsia" w:ascii="仿宋" w:hAnsi="仿宋" w:eastAsia="仿宋"/>
          <w:b w:val="0"/>
          <w:bCs/>
          <w:color w:val="auto"/>
          <w:sz w:val="32"/>
          <w:szCs w:val="32"/>
          <w:lang w:val="en-US" w:eastAsia="zh-CN"/>
        </w:rPr>
        <w:t>公务员医疗补助2101103:支出决算为2.43元万元，完成预算100%。</w:t>
      </w:r>
    </w:p>
    <w:p>
      <w:pPr>
        <w:spacing w:line="600" w:lineRule="exact"/>
        <w:ind w:firstLine="640" w:firstLineChars="200"/>
        <w:rPr>
          <w:rFonts w:hint="eastAsia" w:ascii="仿宋" w:hAnsi="仿宋" w:eastAsia="仿宋"/>
          <w:color w:val="auto"/>
          <w:sz w:val="32"/>
          <w:szCs w:val="32"/>
        </w:rPr>
      </w:pPr>
      <w:r>
        <w:rPr>
          <w:rStyle w:val="16"/>
          <w:rFonts w:hint="eastAsia" w:ascii="仿宋" w:hAnsi="仿宋" w:eastAsia="仿宋"/>
          <w:b w:val="0"/>
          <w:bCs/>
          <w:color w:val="auto"/>
          <w:sz w:val="32"/>
          <w:szCs w:val="32"/>
          <w:lang w:val="en-US" w:eastAsia="zh-CN"/>
        </w:rPr>
        <w:t>12.</w:t>
      </w:r>
      <w:r>
        <w:rPr>
          <w:rStyle w:val="16"/>
          <w:rFonts w:hint="eastAsia" w:ascii="仿宋" w:hAnsi="仿宋" w:eastAsia="仿宋"/>
          <w:b w:val="0"/>
          <w:bCs/>
          <w:color w:val="auto"/>
          <w:sz w:val="32"/>
          <w:szCs w:val="32"/>
        </w:rPr>
        <w:t>其他行政事业单位医疗支出2101199</w:t>
      </w:r>
      <w:r>
        <w:rPr>
          <w:rStyle w:val="16"/>
          <w:rFonts w:hint="eastAsia" w:ascii="仿宋" w:hAnsi="仿宋" w:eastAsia="仿宋"/>
          <w:b w:val="0"/>
          <w:bCs/>
          <w:color w:val="auto"/>
          <w:sz w:val="32"/>
          <w:szCs w:val="32"/>
          <w:lang w:val="en-US" w:eastAsia="zh-CN"/>
        </w:rPr>
        <w:t>:</w:t>
      </w:r>
      <w:r>
        <w:rPr>
          <w:rStyle w:val="16"/>
          <w:rFonts w:hint="eastAsia" w:ascii="仿宋" w:hAnsi="仿宋" w:eastAsia="仿宋"/>
          <w:b w:val="0"/>
          <w:bCs/>
          <w:color w:val="auto"/>
          <w:sz w:val="32"/>
          <w:szCs w:val="32"/>
        </w:rPr>
        <w:t>支出决算为</w:t>
      </w:r>
      <w:r>
        <w:rPr>
          <w:rFonts w:hint="eastAsia" w:ascii="仿宋" w:hAnsi="仿宋" w:eastAsia="仿宋"/>
          <w:color w:val="auto"/>
          <w:sz w:val="32"/>
          <w:szCs w:val="32"/>
          <w:lang w:val="en-US" w:eastAsia="zh-CN"/>
        </w:rPr>
        <w:t>0.87</w:t>
      </w:r>
      <w:r>
        <w:rPr>
          <w:rFonts w:hint="eastAsia" w:ascii="仿宋_GB2312" w:hAnsi="仿宋_GB2312" w:eastAsia="仿宋_GB2312"/>
          <w:color w:val="auto"/>
          <w:sz w:val="32"/>
          <w:szCs w:val="32"/>
        </w:rPr>
        <w:t>元</w:t>
      </w:r>
      <w:r>
        <w:rPr>
          <w:rStyle w:val="16"/>
          <w:rFonts w:hint="eastAsia" w:ascii="仿宋" w:hAnsi="仿宋" w:eastAsia="仿宋"/>
          <w:b w:val="0"/>
          <w:bCs/>
          <w:color w:val="auto"/>
          <w:sz w:val="32"/>
          <w:szCs w:val="32"/>
        </w:rPr>
        <w:t>万元，完成预算</w:t>
      </w:r>
      <w:r>
        <w:rPr>
          <w:rStyle w:val="16"/>
          <w:rFonts w:hint="eastAsia" w:ascii="仿宋" w:hAnsi="仿宋" w:eastAsia="仿宋"/>
          <w:b w:val="0"/>
          <w:bCs/>
          <w:color w:val="auto"/>
          <w:sz w:val="32"/>
          <w:szCs w:val="32"/>
          <w:lang w:val="en-US" w:eastAsia="zh-CN"/>
        </w:rPr>
        <w:t>100</w:t>
      </w:r>
      <w:r>
        <w:rPr>
          <w:rStyle w:val="16"/>
          <w:rFonts w:ascii="仿宋" w:hAnsi="仿宋" w:eastAsia="仿宋"/>
          <w:b w:val="0"/>
          <w:bCs/>
          <w:color w:val="auto"/>
          <w:sz w:val="32"/>
          <w:szCs w:val="32"/>
        </w:rPr>
        <w:t>%</w:t>
      </w:r>
      <w:r>
        <w:rPr>
          <w:rStyle w:val="16"/>
          <w:rFonts w:hint="eastAsia" w:ascii="仿宋" w:hAnsi="仿宋" w:eastAsia="仿宋"/>
          <w:b w:val="0"/>
          <w:bCs/>
          <w:color w:val="auto"/>
          <w:sz w:val="32"/>
          <w:szCs w:val="32"/>
        </w:rPr>
        <w:t>，</w:t>
      </w:r>
    </w:p>
    <w:p>
      <w:pPr>
        <w:numPr>
          <w:ilvl w:val="0"/>
          <w:numId w:val="0"/>
        </w:numPr>
        <w:spacing w:line="600" w:lineRule="exact"/>
        <w:ind w:firstLine="640" w:firstLineChars="200"/>
        <w:rPr>
          <w:rStyle w:val="16"/>
          <w:rFonts w:hint="eastAsia" w:ascii="仿宋" w:hAnsi="仿宋" w:eastAsia="仿宋"/>
          <w:b w:val="0"/>
          <w:bCs/>
          <w:color w:val="auto"/>
          <w:sz w:val="32"/>
          <w:szCs w:val="32"/>
        </w:rPr>
      </w:pPr>
      <w:r>
        <w:rPr>
          <w:rFonts w:hint="eastAsia" w:ascii="仿宋" w:hAnsi="仿宋" w:eastAsia="仿宋"/>
          <w:color w:val="auto"/>
          <w:sz w:val="32"/>
          <w:szCs w:val="32"/>
          <w:lang w:val="en-US" w:eastAsia="zh-CN"/>
        </w:rPr>
        <w:t>13.公路建设（色地镇洲穹桥梁建设项目）2140104：</w:t>
      </w:r>
      <w:r>
        <w:rPr>
          <w:rStyle w:val="16"/>
          <w:rFonts w:hint="eastAsia" w:ascii="仿宋" w:hAnsi="仿宋" w:eastAsia="仿宋"/>
          <w:b w:val="0"/>
          <w:bCs/>
          <w:color w:val="auto"/>
          <w:sz w:val="32"/>
          <w:szCs w:val="32"/>
        </w:rPr>
        <w:t>支出决算为13.6万元</w:t>
      </w:r>
      <w:r>
        <w:rPr>
          <w:rStyle w:val="16"/>
          <w:rFonts w:hint="eastAsia" w:ascii="仿宋" w:hAnsi="仿宋" w:eastAsia="仿宋"/>
          <w:b w:val="0"/>
          <w:bCs/>
          <w:color w:val="auto"/>
          <w:sz w:val="32"/>
          <w:szCs w:val="32"/>
          <w:lang w:val="en-US" w:eastAsia="zh-CN"/>
        </w:rPr>
        <w:t>,</w:t>
      </w:r>
      <w:r>
        <w:rPr>
          <w:rStyle w:val="16"/>
          <w:rFonts w:hint="eastAsia" w:ascii="仿宋" w:hAnsi="仿宋" w:eastAsia="仿宋"/>
          <w:b w:val="0"/>
          <w:bCs/>
          <w:color w:val="auto"/>
          <w:sz w:val="32"/>
          <w:szCs w:val="32"/>
        </w:rPr>
        <w:t>完成预算</w:t>
      </w:r>
      <w:r>
        <w:rPr>
          <w:rStyle w:val="16"/>
          <w:rFonts w:hint="eastAsia" w:ascii="仿宋" w:hAnsi="仿宋" w:eastAsia="仿宋"/>
          <w:b w:val="0"/>
          <w:bCs/>
          <w:color w:val="auto"/>
          <w:sz w:val="32"/>
          <w:szCs w:val="32"/>
          <w:lang w:val="en-US" w:eastAsia="zh-CN"/>
        </w:rPr>
        <w:t>100</w:t>
      </w:r>
      <w:r>
        <w:rPr>
          <w:rStyle w:val="16"/>
          <w:rFonts w:ascii="仿宋" w:hAnsi="仿宋" w:eastAsia="仿宋"/>
          <w:b w:val="0"/>
          <w:bCs/>
          <w:color w:val="auto"/>
          <w:sz w:val="32"/>
          <w:szCs w:val="32"/>
        </w:rPr>
        <w:t>%</w:t>
      </w:r>
      <w:r>
        <w:rPr>
          <w:rStyle w:val="16"/>
          <w:rFonts w:hint="eastAsia" w:ascii="仿宋" w:hAnsi="仿宋" w:eastAsia="仿宋"/>
          <w:b w:val="0"/>
          <w:bCs/>
          <w:color w:val="auto"/>
          <w:sz w:val="32"/>
          <w:szCs w:val="32"/>
        </w:rPr>
        <w:t>。</w:t>
      </w:r>
    </w:p>
    <w:p>
      <w:pPr>
        <w:spacing w:line="600" w:lineRule="exact"/>
        <w:ind w:firstLine="640" w:firstLineChars="200"/>
        <w:rPr>
          <w:rStyle w:val="16"/>
          <w:rFonts w:hint="eastAsia" w:ascii="仿宋" w:hAnsi="仿宋" w:eastAsia="仿宋"/>
          <w:b w:val="0"/>
          <w:bCs/>
          <w:color w:val="auto"/>
          <w:sz w:val="32"/>
          <w:szCs w:val="32"/>
          <w:lang w:eastAsia="zh-CN"/>
        </w:rPr>
      </w:pPr>
      <w:r>
        <w:rPr>
          <w:rStyle w:val="16"/>
          <w:rFonts w:hint="eastAsia" w:ascii="仿宋" w:hAnsi="仿宋" w:eastAsia="仿宋"/>
          <w:b w:val="0"/>
          <w:bCs/>
          <w:color w:val="auto"/>
          <w:sz w:val="32"/>
          <w:szCs w:val="32"/>
          <w:lang w:val="en-US" w:eastAsia="zh-CN"/>
        </w:rPr>
        <w:t>14.住房保障支出2210201：</w:t>
      </w:r>
      <w:r>
        <w:rPr>
          <w:rStyle w:val="16"/>
          <w:rFonts w:hint="eastAsia" w:ascii="仿宋" w:hAnsi="仿宋" w:eastAsia="仿宋"/>
          <w:b w:val="0"/>
          <w:bCs/>
          <w:color w:val="auto"/>
          <w:sz w:val="32"/>
          <w:szCs w:val="32"/>
        </w:rPr>
        <w:t>支出决算为26.3</w:t>
      </w:r>
      <w:r>
        <w:rPr>
          <w:rStyle w:val="16"/>
          <w:rFonts w:hint="eastAsia" w:ascii="仿宋" w:hAnsi="仿宋" w:eastAsia="仿宋"/>
          <w:b w:val="0"/>
          <w:bCs/>
          <w:color w:val="auto"/>
          <w:sz w:val="32"/>
          <w:szCs w:val="32"/>
          <w:lang w:val="en-US" w:eastAsia="zh-CN"/>
        </w:rPr>
        <w:t>3</w:t>
      </w:r>
      <w:r>
        <w:rPr>
          <w:rStyle w:val="16"/>
          <w:rFonts w:hint="eastAsia" w:ascii="仿宋" w:hAnsi="仿宋" w:eastAsia="仿宋"/>
          <w:b w:val="0"/>
          <w:bCs/>
          <w:color w:val="auto"/>
          <w:sz w:val="32"/>
          <w:szCs w:val="32"/>
        </w:rPr>
        <w:t>万元，完成预算</w:t>
      </w:r>
      <w:r>
        <w:rPr>
          <w:rStyle w:val="16"/>
          <w:rFonts w:hint="eastAsia" w:ascii="仿宋" w:hAnsi="仿宋" w:eastAsia="仿宋"/>
          <w:b w:val="0"/>
          <w:bCs/>
          <w:color w:val="auto"/>
          <w:sz w:val="32"/>
          <w:szCs w:val="32"/>
          <w:lang w:val="en-US" w:eastAsia="zh-CN"/>
        </w:rPr>
        <w:t>100</w:t>
      </w:r>
      <w:r>
        <w:rPr>
          <w:rStyle w:val="16"/>
          <w:rFonts w:hint="eastAsia" w:ascii="仿宋" w:hAnsi="仿宋" w:eastAsia="仿宋"/>
          <w:b w:val="0"/>
          <w:bCs/>
          <w:color w:val="auto"/>
          <w:sz w:val="32"/>
          <w:szCs w:val="32"/>
        </w:rPr>
        <w:t>%，决算数</w:t>
      </w:r>
      <w:r>
        <w:rPr>
          <w:rStyle w:val="16"/>
          <w:rFonts w:hint="eastAsia" w:ascii="仿宋" w:hAnsi="仿宋" w:eastAsia="仿宋"/>
          <w:b w:val="0"/>
          <w:bCs/>
          <w:color w:val="auto"/>
          <w:sz w:val="32"/>
          <w:szCs w:val="32"/>
          <w:lang w:eastAsia="zh-CN"/>
        </w:rPr>
        <w:t>等于</w:t>
      </w:r>
      <w:r>
        <w:rPr>
          <w:rStyle w:val="16"/>
          <w:rFonts w:hint="eastAsia" w:ascii="仿宋" w:hAnsi="仿宋" w:eastAsia="仿宋"/>
          <w:b w:val="0"/>
          <w:bCs/>
          <w:color w:val="auto"/>
          <w:sz w:val="32"/>
          <w:szCs w:val="32"/>
        </w:rPr>
        <w:t>预算数</w:t>
      </w:r>
      <w:r>
        <w:rPr>
          <w:rStyle w:val="16"/>
          <w:rFonts w:hint="eastAsia" w:ascii="仿宋" w:hAnsi="仿宋" w:eastAsia="仿宋"/>
          <w:b w:val="0"/>
          <w:bCs/>
          <w:color w:val="auto"/>
          <w:sz w:val="32"/>
          <w:szCs w:val="32"/>
          <w:lang w:eastAsia="zh-CN"/>
        </w:rPr>
        <w:t>。</w:t>
      </w:r>
    </w:p>
    <w:p>
      <w:pPr>
        <w:spacing w:line="600" w:lineRule="exact"/>
        <w:ind w:firstLine="640" w:firstLineChars="200"/>
        <w:rPr>
          <w:rFonts w:ascii="仿宋" w:hAnsi="仿宋" w:eastAsia="仿宋"/>
          <w:b/>
          <w:color w:val="auto"/>
          <w:sz w:val="32"/>
          <w:szCs w:val="32"/>
        </w:rPr>
      </w:pPr>
      <w:r>
        <w:rPr>
          <w:rStyle w:val="16"/>
          <w:rFonts w:hint="eastAsia" w:ascii="仿宋" w:hAnsi="仿宋" w:eastAsia="仿宋"/>
          <w:b w:val="0"/>
          <w:bCs/>
          <w:color w:val="auto"/>
          <w:sz w:val="32"/>
          <w:szCs w:val="32"/>
          <w:lang w:val="en-US" w:eastAsia="zh-CN"/>
        </w:rPr>
        <w:t>15.其他支出2299901:</w:t>
      </w:r>
      <w:r>
        <w:rPr>
          <w:rStyle w:val="16"/>
          <w:rFonts w:hint="eastAsia" w:ascii="仿宋" w:hAnsi="仿宋" w:eastAsia="仿宋"/>
          <w:b w:val="0"/>
          <w:bCs/>
          <w:color w:val="auto"/>
          <w:sz w:val="32"/>
          <w:szCs w:val="32"/>
        </w:rPr>
        <w:t>支出决算为</w:t>
      </w:r>
      <w:r>
        <w:rPr>
          <w:rStyle w:val="16"/>
          <w:rFonts w:hint="eastAsia" w:ascii="仿宋" w:hAnsi="仿宋" w:eastAsia="仿宋"/>
          <w:b w:val="0"/>
          <w:bCs/>
          <w:color w:val="auto"/>
          <w:sz w:val="32"/>
          <w:szCs w:val="32"/>
          <w:lang w:val="en-US" w:eastAsia="zh-CN"/>
        </w:rPr>
        <w:t>92.24</w:t>
      </w:r>
      <w:r>
        <w:rPr>
          <w:rStyle w:val="16"/>
          <w:rFonts w:hint="eastAsia" w:ascii="仿宋" w:hAnsi="仿宋" w:eastAsia="仿宋"/>
          <w:b w:val="0"/>
          <w:bCs/>
          <w:color w:val="auto"/>
          <w:sz w:val="32"/>
          <w:szCs w:val="32"/>
        </w:rPr>
        <w:t>万元</w:t>
      </w:r>
      <w:r>
        <w:rPr>
          <w:rStyle w:val="16"/>
          <w:rFonts w:hint="eastAsia" w:ascii="仿宋" w:hAnsi="仿宋" w:eastAsia="仿宋"/>
          <w:b w:val="0"/>
          <w:bCs/>
          <w:color w:val="auto"/>
          <w:sz w:val="32"/>
          <w:szCs w:val="32"/>
          <w:lang w:eastAsia="zh-CN"/>
        </w:rPr>
        <w:t>。</w:t>
      </w:r>
    </w:p>
    <w:p>
      <w:pPr>
        <w:tabs>
          <w:tab w:val="right" w:pos="8306"/>
        </w:tabs>
        <w:spacing w:line="600" w:lineRule="exact"/>
        <w:outlineLvl w:val="1"/>
        <w:rPr>
          <w:rStyle w:val="27"/>
          <w:color w:val="auto"/>
        </w:rPr>
      </w:pPr>
      <w:bookmarkStart w:id="40" w:name="_Toc15377214"/>
      <w:bookmarkStart w:id="41" w:name="_Toc15396608"/>
      <w:r>
        <w:rPr>
          <w:rFonts w:hint="eastAsia" w:ascii="黑体" w:eastAsia="黑体"/>
          <w:color w:val="auto"/>
          <w:sz w:val="32"/>
          <w:szCs w:val="32"/>
        </w:rPr>
        <w:t>六</w:t>
      </w:r>
      <w:r>
        <w:rPr>
          <w:rFonts w:hint="eastAsia" w:ascii="黑体" w:eastAsia="黑体"/>
          <w:b/>
          <w:color w:val="auto"/>
          <w:sz w:val="32"/>
          <w:szCs w:val="32"/>
        </w:rPr>
        <w:t>、</w:t>
      </w:r>
      <w:r>
        <w:rPr>
          <w:rFonts w:hint="eastAsia" w:ascii="黑体" w:hAnsi="黑体" w:eastAsia="黑体"/>
          <w:b/>
          <w:color w:val="auto"/>
          <w:sz w:val="32"/>
          <w:szCs w:val="32"/>
        </w:rPr>
        <w:t>一</w:t>
      </w:r>
      <w:r>
        <w:rPr>
          <w:rStyle w:val="27"/>
          <w:rFonts w:hint="eastAsia" w:ascii="黑体" w:hAnsi="黑体" w:eastAsia="黑体"/>
          <w:b w:val="0"/>
          <w:color w:val="auto"/>
        </w:rPr>
        <w:t>般公共预算财政拨款基本支出决算情况说明</w:t>
      </w:r>
      <w:bookmarkEnd w:id="40"/>
      <w:bookmarkEnd w:id="41"/>
      <w:r>
        <w:rPr>
          <w:rStyle w:val="27"/>
          <w:rFonts w:ascii="黑体" w:hAnsi="黑体" w:eastAsia="黑体"/>
          <w:b w:val="0"/>
          <w:color w:val="auto"/>
        </w:rPr>
        <w:tab/>
      </w:r>
    </w:p>
    <w:p>
      <w:pPr>
        <w:spacing w:line="600" w:lineRule="exact"/>
        <w:ind w:firstLine="645"/>
        <w:rPr>
          <w:rFonts w:ascii="仿宋" w:hAnsi="仿宋" w:eastAsia="仿宋"/>
          <w:color w:val="auto"/>
          <w:sz w:val="32"/>
          <w:szCs w:val="32"/>
        </w:rPr>
      </w:pPr>
      <w:r>
        <w:rPr>
          <w:rFonts w:ascii="仿宋" w:hAnsi="仿宋" w:eastAsia="仿宋"/>
          <w:color w:val="auto"/>
          <w:sz w:val="32"/>
          <w:szCs w:val="32"/>
        </w:rPr>
        <w:t>201</w:t>
      </w:r>
      <w:r>
        <w:rPr>
          <w:rFonts w:hint="eastAsia" w:ascii="仿宋" w:hAnsi="仿宋" w:eastAsia="仿宋"/>
          <w:color w:val="auto"/>
          <w:sz w:val="32"/>
          <w:szCs w:val="32"/>
        </w:rPr>
        <w:t>8年一般公共预算财政拨款基本支出</w:t>
      </w:r>
      <w:r>
        <w:rPr>
          <w:rFonts w:hint="eastAsia" w:ascii="仿宋_GB2312" w:hAnsi="仿宋_GB2312" w:eastAsia="仿宋_GB2312"/>
          <w:color w:val="auto"/>
          <w:sz w:val="32"/>
          <w:szCs w:val="32"/>
        </w:rPr>
        <w:t>514.84</w:t>
      </w:r>
      <w:r>
        <w:rPr>
          <w:rFonts w:hint="eastAsia" w:ascii="仿宋" w:hAnsi="仿宋" w:eastAsia="仿宋"/>
          <w:color w:val="auto"/>
          <w:sz w:val="32"/>
          <w:szCs w:val="32"/>
        </w:rPr>
        <w:t>万元，其中：</w:t>
      </w:r>
    </w:p>
    <w:p>
      <w:pPr>
        <w:spacing w:line="600" w:lineRule="exact"/>
        <w:ind w:firstLine="645"/>
        <w:rPr>
          <w:rFonts w:hint="eastAsia" w:ascii="仿宋" w:hAnsi="仿宋" w:eastAsia="仿宋"/>
          <w:color w:val="auto"/>
          <w:sz w:val="32"/>
          <w:szCs w:val="32"/>
          <w:lang w:val="en-US" w:eastAsia="zh-CN"/>
        </w:rPr>
      </w:pPr>
      <w:r>
        <w:rPr>
          <w:rFonts w:hint="eastAsia" w:ascii="仿宋" w:hAnsi="仿宋" w:eastAsia="仿宋"/>
          <w:color w:val="auto"/>
          <w:sz w:val="32"/>
          <w:szCs w:val="32"/>
        </w:rPr>
        <w:t>人员经费</w:t>
      </w:r>
      <w:r>
        <w:rPr>
          <w:rFonts w:hint="eastAsia" w:ascii="仿宋" w:hAnsi="仿宋" w:eastAsia="仿宋"/>
          <w:color w:val="auto"/>
          <w:sz w:val="32"/>
          <w:szCs w:val="32"/>
          <w:lang w:val="en-US" w:eastAsia="zh-CN"/>
        </w:rPr>
        <w:t>375.22</w:t>
      </w:r>
      <w:r>
        <w:rPr>
          <w:rFonts w:hint="eastAsia" w:ascii="仿宋" w:hAnsi="仿宋" w:eastAsia="仿宋"/>
          <w:color w:val="auto"/>
          <w:sz w:val="32"/>
          <w:szCs w:val="32"/>
        </w:rPr>
        <w:t>万元，主要包括：基本工资</w:t>
      </w:r>
      <w:r>
        <w:rPr>
          <w:rFonts w:hint="eastAsia" w:ascii="仿宋" w:hAnsi="仿宋" w:eastAsia="仿宋"/>
          <w:color w:val="auto"/>
          <w:sz w:val="32"/>
          <w:szCs w:val="32"/>
          <w:lang w:val="en-US" w:eastAsia="zh-CN"/>
        </w:rPr>
        <w:t>72.51万元</w:t>
      </w:r>
      <w:r>
        <w:rPr>
          <w:rFonts w:hint="eastAsia" w:ascii="仿宋" w:hAnsi="仿宋" w:eastAsia="仿宋"/>
          <w:color w:val="auto"/>
          <w:sz w:val="32"/>
          <w:szCs w:val="32"/>
        </w:rPr>
        <w:t>、津贴补贴</w:t>
      </w:r>
      <w:r>
        <w:rPr>
          <w:rFonts w:hint="eastAsia" w:ascii="仿宋" w:hAnsi="仿宋" w:eastAsia="仿宋"/>
          <w:color w:val="auto"/>
          <w:sz w:val="32"/>
          <w:szCs w:val="32"/>
          <w:lang w:val="en-US" w:eastAsia="zh-CN"/>
        </w:rPr>
        <w:t>146.74万元</w:t>
      </w:r>
      <w:r>
        <w:rPr>
          <w:rFonts w:hint="eastAsia" w:ascii="仿宋" w:hAnsi="仿宋" w:eastAsia="仿宋"/>
          <w:color w:val="auto"/>
          <w:sz w:val="32"/>
          <w:szCs w:val="32"/>
        </w:rPr>
        <w:t>、奖金</w:t>
      </w:r>
      <w:r>
        <w:rPr>
          <w:rFonts w:hint="eastAsia" w:ascii="仿宋" w:hAnsi="仿宋" w:eastAsia="仿宋"/>
          <w:color w:val="auto"/>
          <w:sz w:val="32"/>
          <w:szCs w:val="32"/>
          <w:lang w:val="en-US" w:eastAsia="zh-CN"/>
        </w:rPr>
        <w:t>46.76万元</w:t>
      </w:r>
      <w:r>
        <w:rPr>
          <w:rFonts w:hint="eastAsia" w:ascii="仿宋" w:hAnsi="仿宋" w:eastAsia="仿宋"/>
          <w:color w:val="auto"/>
          <w:sz w:val="32"/>
          <w:szCs w:val="32"/>
        </w:rPr>
        <w:t>、绩效工资</w:t>
      </w:r>
      <w:r>
        <w:rPr>
          <w:rFonts w:hint="eastAsia" w:ascii="仿宋" w:hAnsi="仿宋" w:eastAsia="仿宋"/>
          <w:color w:val="auto"/>
          <w:sz w:val="32"/>
          <w:szCs w:val="32"/>
          <w:lang w:val="en-US" w:eastAsia="zh-CN"/>
        </w:rPr>
        <w:t>6.68万元</w:t>
      </w:r>
      <w:r>
        <w:rPr>
          <w:rFonts w:hint="eastAsia" w:ascii="仿宋" w:hAnsi="仿宋" w:eastAsia="仿宋"/>
          <w:color w:val="auto"/>
          <w:sz w:val="32"/>
          <w:szCs w:val="32"/>
        </w:rPr>
        <w:t>、机关事业单位基本养老保险缴费</w:t>
      </w:r>
      <w:r>
        <w:rPr>
          <w:rFonts w:hint="eastAsia" w:ascii="仿宋" w:hAnsi="仿宋" w:eastAsia="仿宋"/>
          <w:color w:val="auto"/>
          <w:sz w:val="32"/>
          <w:szCs w:val="32"/>
          <w:lang w:val="en-US" w:eastAsia="zh-CN"/>
        </w:rPr>
        <w:t>40.14万元</w:t>
      </w:r>
      <w:r>
        <w:rPr>
          <w:rFonts w:hint="eastAsia" w:ascii="仿宋" w:hAnsi="仿宋" w:eastAsia="仿宋"/>
          <w:color w:val="auto"/>
          <w:sz w:val="32"/>
          <w:szCs w:val="32"/>
        </w:rPr>
        <w:t>、职业年金缴费</w:t>
      </w:r>
      <w:r>
        <w:rPr>
          <w:rFonts w:hint="eastAsia" w:ascii="仿宋" w:hAnsi="仿宋" w:eastAsia="仿宋"/>
          <w:color w:val="auto"/>
          <w:sz w:val="32"/>
          <w:szCs w:val="32"/>
          <w:lang w:val="en-US" w:eastAsia="zh-CN"/>
        </w:rPr>
        <w:t>16.08万元</w:t>
      </w:r>
      <w:r>
        <w:rPr>
          <w:rFonts w:hint="eastAsia" w:ascii="仿宋" w:hAnsi="仿宋" w:eastAsia="仿宋"/>
          <w:color w:val="auto"/>
          <w:sz w:val="32"/>
          <w:szCs w:val="32"/>
        </w:rPr>
        <w:t>、</w:t>
      </w:r>
      <w:r>
        <w:rPr>
          <w:rFonts w:hint="eastAsia" w:ascii="仿宋" w:hAnsi="仿宋" w:eastAsia="仿宋"/>
          <w:color w:val="auto"/>
          <w:sz w:val="32"/>
          <w:szCs w:val="32"/>
          <w:lang w:eastAsia="zh-CN"/>
        </w:rPr>
        <w:t>职工基本医疗保险缴费</w:t>
      </w:r>
      <w:r>
        <w:rPr>
          <w:rFonts w:hint="eastAsia" w:ascii="仿宋" w:hAnsi="仿宋" w:eastAsia="仿宋"/>
          <w:color w:val="auto"/>
          <w:sz w:val="32"/>
          <w:szCs w:val="32"/>
          <w:lang w:val="en-US" w:eastAsia="zh-CN"/>
        </w:rPr>
        <w:t>13.39万元、公务员医疗补助缴费2.43万元、</w:t>
      </w:r>
      <w:r>
        <w:rPr>
          <w:rFonts w:hint="eastAsia" w:ascii="仿宋" w:hAnsi="仿宋" w:eastAsia="仿宋"/>
          <w:color w:val="auto"/>
          <w:sz w:val="32"/>
          <w:szCs w:val="32"/>
        </w:rPr>
        <w:t>其他社会保障缴费</w:t>
      </w:r>
      <w:r>
        <w:rPr>
          <w:rFonts w:hint="eastAsia" w:ascii="仿宋" w:hAnsi="仿宋" w:eastAsia="仿宋"/>
          <w:color w:val="auto"/>
          <w:sz w:val="32"/>
          <w:szCs w:val="32"/>
          <w:lang w:val="en-US" w:eastAsia="zh-CN"/>
        </w:rPr>
        <w:t>1.49万元</w:t>
      </w:r>
      <w:r>
        <w:rPr>
          <w:rFonts w:hint="eastAsia" w:ascii="仿宋" w:hAnsi="仿宋" w:eastAsia="仿宋"/>
          <w:color w:val="auto"/>
          <w:sz w:val="32"/>
          <w:szCs w:val="32"/>
        </w:rPr>
        <w:t>、生活补助</w:t>
      </w:r>
      <w:r>
        <w:rPr>
          <w:rFonts w:hint="eastAsia" w:ascii="仿宋" w:hAnsi="仿宋" w:eastAsia="仿宋"/>
          <w:color w:val="auto"/>
          <w:sz w:val="32"/>
          <w:szCs w:val="32"/>
          <w:lang w:val="en-US" w:eastAsia="zh-CN"/>
        </w:rPr>
        <w:t>1.43万元</w:t>
      </w:r>
      <w:r>
        <w:rPr>
          <w:rFonts w:hint="eastAsia" w:ascii="仿宋" w:hAnsi="仿宋" w:eastAsia="仿宋"/>
          <w:color w:val="auto"/>
          <w:sz w:val="32"/>
          <w:szCs w:val="32"/>
        </w:rPr>
        <w:t>、医疗费</w:t>
      </w:r>
      <w:r>
        <w:rPr>
          <w:rFonts w:hint="eastAsia" w:ascii="仿宋" w:hAnsi="仿宋" w:eastAsia="仿宋"/>
          <w:color w:val="auto"/>
          <w:sz w:val="32"/>
          <w:szCs w:val="32"/>
          <w:lang w:val="en-US" w:eastAsia="zh-CN"/>
        </w:rPr>
        <w:t>2.67万元</w:t>
      </w:r>
      <w:r>
        <w:rPr>
          <w:rFonts w:hint="eastAsia" w:ascii="仿宋" w:hAnsi="仿宋" w:eastAsia="仿宋"/>
          <w:color w:val="auto"/>
          <w:sz w:val="32"/>
          <w:szCs w:val="32"/>
        </w:rPr>
        <w:t>、住房公积金</w:t>
      </w:r>
      <w:r>
        <w:rPr>
          <w:rFonts w:hint="eastAsia" w:ascii="仿宋" w:hAnsi="仿宋" w:eastAsia="仿宋"/>
          <w:color w:val="auto"/>
          <w:sz w:val="32"/>
          <w:szCs w:val="32"/>
          <w:lang w:val="en-US" w:eastAsia="zh-CN"/>
        </w:rPr>
        <w:t>26.33万元</w:t>
      </w:r>
      <w:r>
        <w:rPr>
          <w:rFonts w:hint="eastAsia" w:ascii="仿宋" w:hAnsi="仿宋" w:eastAsia="仿宋"/>
          <w:color w:val="auto"/>
          <w:sz w:val="32"/>
          <w:szCs w:val="32"/>
        </w:rPr>
        <w:t>、其他对个人和家庭的补助支出</w:t>
      </w:r>
      <w:r>
        <w:rPr>
          <w:rFonts w:hint="eastAsia" w:ascii="仿宋" w:hAnsi="仿宋" w:eastAsia="仿宋"/>
          <w:color w:val="auto"/>
          <w:sz w:val="32"/>
          <w:szCs w:val="32"/>
          <w:lang w:val="en-US" w:eastAsia="zh-CN"/>
        </w:rPr>
        <w:t>1.43万元</w:t>
      </w:r>
      <w:r>
        <w:rPr>
          <w:rFonts w:hint="eastAsia" w:ascii="仿宋" w:hAnsi="仿宋" w:eastAsia="仿宋"/>
          <w:color w:val="auto"/>
          <w:sz w:val="32"/>
          <w:szCs w:val="32"/>
        </w:rPr>
        <w:t>等。</w:t>
      </w:r>
      <w:r>
        <w:rPr>
          <w:rFonts w:hint="eastAsia" w:ascii="仿宋" w:hAnsi="仿宋" w:eastAsia="仿宋"/>
          <w:color w:val="auto"/>
          <w:sz w:val="32"/>
          <w:szCs w:val="32"/>
        </w:rPr>
        <w:br w:type="textWrapping"/>
      </w:r>
      <w:r>
        <w:rPr>
          <w:rFonts w:hint="eastAsia" w:ascii="仿宋" w:hAnsi="仿宋" w:eastAsia="仿宋"/>
          <w:color w:val="auto"/>
          <w:sz w:val="32"/>
          <w:szCs w:val="32"/>
        </w:rPr>
        <w:t>　　公用经费</w:t>
      </w:r>
      <w:r>
        <w:rPr>
          <w:rFonts w:hint="eastAsia" w:ascii="仿宋" w:hAnsi="仿宋" w:eastAsia="仿宋"/>
          <w:color w:val="auto"/>
          <w:sz w:val="32"/>
          <w:szCs w:val="32"/>
          <w:lang w:val="en-US" w:eastAsia="zh-CN"/>
        </w:rPr>
        <w:t xml:space="preserve"> 52.56</w:t>
      </w:r>
      <w:r>
        <w:rPr>
          <w:rFonts w:hint="eastAsia" w:ascii="仿宋" w:hAnsi="仿宋" w:eastAsia="仿宋"/>
          <w:color w:val="auto"/>
          <w:sz w:val="32"/>
          <w:szCs w:val="32"/>
        </w:rPr>
        <w:t>万元，主要包括：办公费</w:t>
      </w:r>
      <w:r>
        <w:rPr>
          <w:rFonts w:hint="eastAsia" w:ascii="仿宋" w:hAnsi="仿宋" w:eastAsia="仿宋"/>
          <w:color w:val="auto"/>
          <w:sz w:val="32"/>
          <w:szCs w:val="32"/>
          <w:lang w:val="en-US" w:eastAsia="zh-CN"/>
        </w:rPr>
        <w:t>9.13万元</w:t>
      </w:r>
      <w:r>
        <w:rPr>
          <w:rFonts w:hint="eastAsia" w:ascii="仿宋" w:hAnsi="仿宋" w:eastAsia="仿宋"/>
          <w:color w:val="auto"/>
          <w:sz w:val="32"/>
          <w:szCs w:val="32"/>
        </w:rPr>
        <w:t>、印刷费</w:t>
      </w:r>
      <w:r>
        <w:rPr>
          <w:rFonts w:hint="eastAsia" w:ascii="仿宋" w:hAnsi="仿宋" w:eastAsia="仿宋"/>
          <w:color w:val="auto"/>
          <w:sz w:val="32"/>
          <w:szCs w:val="32"/>
          <w:lang w:val="en-US" w:eastAsia="zh-CN"/>
        </w:rPr>
        <w:t>1.76万元</w:t>
      </w:r>
      <w:r>
        <w:rPr>
          <w:rFonts w:hint="eastAsia" w:ascii="仿宋" w:hAnsi="仿宋" w:eastAsia="仿宋"/>
          <w:color w:val="auto"/>
          <w:sz w:val="32"/>
          <w:szCs w:val="32"/>
        </w:rPr>
        <w:t>、手续费、水费</w:t>
      </w:r>
      <w:r>
        <w:rPr>
          <w:rFonts w:hint="eastAsia" w:ascii="仿宋" w:hAnsi="仿宋" w:eastAsia="仿宋"/>
          <w:color w:val="auto"/>
          <w:sz w:val="32"/>
          <w:szCs w:val="32"/>
          <w:lang w:val="en-US" w:eastAsia="zh-CN"/>
        </w:rPr>
        <w:t>0.23万元</w:t>
      </w:r>
      <w:r>
        <w:rPr>
          <w:rFonts w:hint="eastAsia" w:ascii="仿宋" w:hAnsi="仿宋" w:eastAsia="仿宋"/>
          <w:color w:val="auto"/>
          <w:sz w:val="32"/>
          <w:szCs w:val="32"/>
        </w:rPr>
        <w:t>、电费</w:t>
      </w:r>
      <w:r>
        <w:rPr>
          <w:rFonts w:hint="eastAsia" w:ascii="仿宋" w:hAnsi="仿宋" w:eastAsia="仿宋"/>
          <w:color w:val="auto"/>
          <w:sz w:val="32"/>
          <w:szCs w:val="32"/>
          <w:lang w:val="en-US" w:eastAsia="zh-CN"/>
        </w:rPr>
        <w:t>0.96万元</w:t>
      </w:r>
      <w:r>
        <w:rPr>
          <w:rFonts w:hint="eastAsia" w:ascii="仿宋" w:hAnsi="仿宋" w:eastAsia="仿宋"/>
          <w:color w:val="auto"/>
          <w:sz w:val="32"/>
          <w:szCs w:val="32"/>
        </w:rPr>
        <w:t>、邮电费</w:t>
      </w:r>
      <w:r>
        <w:rPr>
          <w:rFonts w:hint="eastAsia" w:ascii="仿宋" w:hAnsi="仿宋" w:eastAsia="仿宋"/>
          <w:color w:val="auto"/>
          <w:sz w:val="32"/>
          <w:szCs w:val="32"/>
          <w:lang w:val="en-US" w:eastAsia="zh-CN"/>
        </w:rPr>
        <w:t>12.42万元</w:t>
      </w:r>
      <w:r>
        <w:rPr>
          <w:rFonts w:hint="eastAsia" w:ascii="仿宋" w:hAnsi="仿宋" w:eastAsia="仿宋"/>
          <w:color w:val="auto"/>
          <w:sz w:val="32"/>
          <w:szCs w:val="32"/>
        </w:rPr>
        <w:t>、取暖费</w:t>
      </w:r>
      <w:r>
        <w:rPr>
          <w:rFonts w:hint="eastAsia" w:ascii="仿宋" w:hAnsi="仿宋" w:eastAsia="仿宋"/>
          <w:color w:val="auto"/>
          <w:sz w:val="32"/>
          <w:szCs w:val="32"/>
          <w:lang w:val="en-US" w:eastAsia="zh-CN"/>
        </w:rPr>
        <w:t>1.00万元</w:t>
      </w:r>
      <w:r>
        <w:rPr>
          <w:rFonts w:hint="eastAsia" w:ascii="仿宋" w:hAnsi="仿宋" w:eastAsia="仿宋"/>
          <w:color w:val="auto"/>
          <w:sz w:val="32"/>
          <w:szCs w:val="32"/>
        </w:rPr>
        <w:t>、</w:t>
      </w:r>
      <w:r>
        <w:rPr>
          <w:rFonts w:hint="eastAsia" w:ascii="仿宋" w:hAnsi="仿宋" w:eastAsia="仿宋"/>
          <w:color w:val="auto"/>
          <w:sz w:val="32"/>
          <w:szCs w:val="32"/>
          <w:lang w:val="en-US" w:eastAsia="zh-CN"/>
        </w:rPr>
        <w:t>差旅费12.29万元、培训费1.16万元、公务接待费1.17万元、劳务费0.96万元、其他交通费11.48万元。</w:t>
      </w:r>
    </w:p>
    <w:p>
      <w:pPr>
        <w:spacing w:line="600" w:lineRule="exact"/>
        <w:ind w:firstLine="640"/>
        <w:rPr>
          <w:rFonts w:ascii="仿宋" w:hAnsi="仿宋" w:eastAsia="仿宋"/>
          <w:b/>
          <w:color w:val="auto"/>
          <w:sz w:val="32"/>
          <w:szCs w:val="32"/>
        </w:rPr>
      </w:pPr>
      <w:r>
        <w:rPr>
          <w:rFonts w:hint="eastAsia" w:ascii="仿宋" w:hAnsi="仿宋" w:eastAsia="仿宋"/>
          <w:b w:val="0"/>
          <w:bCs/>
          <w:color w:val="auto"/>
          <w:sz w:val="32"/>
          <w:szCs w:val="32"/>
          <w:lang w:eastAsia="zh-CN"/>
        </w:rPr>
        <w:t>项目支出为</w:t>
      </w:r>
      <w:r>
        <w:rPr>
          <w:rFonts w:hint="eastAsia" w:ascii="仿宋" w:hAnsi="仿宋" w:eastAsia="仿宋"/>
          <w:b w:val="0"/>
          <w:bCs/>
          <w:color w:val="auto"/>
          <w:sz w:val="32"/>
          <w:szCs w:val="32"/>
          <w:lang w:val="en-US" w:eastAsia="zh-CN"/>
        </w:rPr>
        <w:t>207.87万元（全部为行政事业类项目支出）。</w:t>
      </w:r>
    </w:p>
    <w:p>
      <w:pPr>
        <w:spacing w:line="600" w:lineRule="exact"/>
        <w:outlineLvl w:val="1"/>
        <w:rPr>
          <w:rStyle w:val="27"/>
          <w:rFonts w:ascii="黑体" w:hAnsi="黑体" w:eastAsia="黑体"/>
          <w:b w:val="0"/>
          <w:color w:val="auto"/>
        </w:rPr>
      </w:pPr>
      <w:bookmarkStart w:id="42" w:name="_Toc15396609"/>
      <w:bookmarkStart w:id="43" w:name="_Toc15377215"/>
      <w:r>
        <w:rPr>
          <w:rFonts w:hint="eastAsia" w:ascii="黑体" w:eastAsia="黑体"/>
          <w:color w:val="auto"/>
          <w:sz w:val="32"/>
          <w:szCs w:val="32"/>
        </w:rPr>
        <w:t>七、</w:t>
      </w:r>
      <w:r>
        <w:rPr>
          <w:rStyle w:val="27"/>
          <w:rFonts w:hint="eastAsia" w:ascii="黑体" w:hAnsi="黑体" w:eastAsia="黑体"/>
          <w:color w:val="auto"/>
        </w:rPr>
        <w:t>“</w:t>
      </w:r>
      <w:r>
        <w:rPr>
          <w:rStyle w:val="27"/>
          <w:rFonts w:hint="eastAsia" w:ascii="黑体" w:hAnsi="黑体" w:eastAsia="黑体"/>
          <w:b w:val="0"/>
          <w:color w:val="auto"/>
        </w:rPr>
        <w:t>三公”经费财政拨款支出决算情况说明</w:t>
      </w:r>
      <w:bookmarkEnd w:id="42"/>
      <w:bookmarkEnd w:id="43"/>
    </w:p>
    <w:p>
      <w:pPr>
        <w:spacing w:line="600" w:lineRule="exact"/>
        <w:ind w:firstLine="640"/>
        <w:outlineLvl w:val="2"/>
        <w:rPr>
          <w:rFonts w:ascii="仿宋" w:hAnsi="仿宋" w:eastAsia="仿宋"/>
          <w:b/>
          <w:color w:val="auto"/>
          <w:sz w:val="32"/>
          <w:szCs w:val="32"/>
        </w:rPr>
      </w:pPr>
      <w:bookmarkStart w:id="44" w:name="_Toc15377216"/>
      <w:r>
        <w:rPr>
          <w:rFonts w:hint="eastAsia" w:ascii="仿宋" w:hAnsi="仿宋" w:eastAsia="仿宋"/>
          <w:b/>
          <w:color w:val="auto"/>
          <w:sz w:val="32"/>
          <w:szCs w:val="32"/>
        </w:rPr>
        <w:t>（一）“三公”经费财政拨款支出决算总体情况说明</w:t>
      </w:r>
      <w:bookmarkEnd w:id="44"/>
    </w:p>
    <w:p>
      <w:pPr>
        <w:spacing w:line="600" w:lineRule="exact"/>
        <w:ind w:firstLine="640"/>
        <w:rPr>
          <w:rFonts w:hint="eastAsia" w:ascii="仿宋" w:hAnsi="仿宋" w:eastAsia="仿宋"/>
          <w:color w:val="auto"/>
          <w:sz w:val="32"/>
          <w:szCs w:val="32"/>
        </w:rPr>
      </w:pPr>
      <w:r>
        <w:rPr>
          <w:rFonts w:ascii="仿宋" w:hAnsi="仿宋" w:eastAsia="仿宋"/>
          <w:color w:val="auto"/>
          <w:sz w:val="32"/>
          <w:szCs w:val="32"/>
        </w:rPr>
        <w:t>201</w:t>
      </w:r>
      <w:r>
        <w:rPr>
          <w:rFonts w:hint="eastAsia" w:ascii="仿宋" w:hAnsi="仿宋" w:eastAsia="仿宋"/>
          <w:color w:val="auto"/>
          <w:sz w:val="32"/>
          <w:szCs w:val="32"/>
        </w:rPr>
        <w:t>8年“三公”经费财政拨款支出决算为</w:t>
      </w:r>
      <w:r>
        <w:rPr>
          <w:rFonts w:hint="eastAsia" w:ascii="仿宋" w:hAnsi="仿宋" w:eastAsia="仿宋"/>
          <w:color w:val="auto"/>
          <w:sz w:val="32"/>
          <w:szCs w:val="32"/>
          <w:lang w:val="en-US" w:eastAsia="zh-CN"/>
        </w:rPr>
        <w:t xml:space="preserve"> 12.65</w:t>
      </w:r>
      <w:r>
        <w:rPr>
          <w:rFonts w:hint="eastAsia" w:ascii="仿宋" w:hAnsi="仿宋" w:eastAsia="仿宋"/>
          <w:color w:val="auto"/>
          <w:sz w:val="32"/>
          <w:szCs w:val="32"/>
        </w:rPr>
        <w:t>万元，完成预算</w:t>
      </w:r>
      <w:r>
        <w:rPr>
          <w:rFonts w:hint="eastAsia" w:ascii="仿宋" w:hAnsi="仿宋" w:eastAsia="仿宋"/>
          <w:color w:val="auto"/>
          <w:sz w:val="32"/>
          <w:szCs w:val="32"/>
          <w:lang w:val="en-US" w:eastAsia="zh-CN"/>
        </w:rPr>
        <w:t>100</w:t>
      </w:r>
      <w:r>
        <w:rPr>
          <w:rFonts w:hint="eastAsia" w:ascii="仿宋" w:hAnsi="仿宋" w:eastAsia="仿宋"/>
          <w:color w:val="auto"/>
          <w:sz w:val="32"/>
          <w:szCs w:val="32"/>
        </w:rPr>
        <w:t>%</w:t>
      </w:r>
      <w:r>
        <w:rPr>
          <w:rFonts w:hint="eastAsia" w:ascii="仿宋" w:hAnsi="仿宋" w:eastAsia="仿宋"/>
          <w:color w:val="auto"/>
          <w:sz w:val="32"/>
          <w:szCs w:val="32"/>
          <w:lang w:eastAsia="zh-CN"/>
        </w:rPr>
        <w:t>。</w:t>
      </w:r>
    </w:p>
    <w:p>
      <w:pPr>
        <w:spacing w:line="600" w:lineRule="exact"/>
        <w:ind w:firstLine="640"/>
        <w:outlineLvl w:val="2"/>
        <w:rPr>
          <w:rFonts w:ascii="仿宋" w:hAnsi="仿宋" w:eastAsia="仿宋"/>
          <w:b/>
          <w:color w:val="auto"/>
          <w:sz w:val="32"/>
          <w:szCs w:val="32"/>
        </w:rPr>
      </w:pPr>
      <w:bookmarkStart w:id="45" w:name="_Toc15377217"/>
      <w:r>
        <w:rPr>
          <w:rFonts w:hint="eastAsia" w:ascii="仿宋" w:hAnsi="仿宋" w:eastAsia="仿宋"/>
          <w:b/>
          <w:color w:val="auto"/>
          <w:sz w:val="32"/>
          <w:szCs w:val="32"/>
        </w:rPr>
        <w:t>（二）“三公”经费财政拨款支出决算具体情况说明</w:t>
      </w:r>
      <w:bookmarkEnd w:id="45"/>
    </w:p>
    <w:p>
      <w:pPr>
        <w:spacing w:line="600" w:lineRule="exact"/>
        <w:ind w:firstLine="640"/>
        <w:rPr>
          <w:rFonts w:ascii="仿宋" w:hAnsi="仿宋" w:eastAsia="仿宋"/>
          <w:color w:val="auto"/>
          <w:sz w:val="32"/>
          <w:szCs w:val="32"/>
        </w:rPr>
      </w:pPr>
      <w:r>
        <w:rPr>
          <w:rFonts w:ascii="仿宋" w:hAnsi="仿宋" w:eastAsia="仿宋"/>
          <w:color w:val="auto"/>
          <w:sz w:val="32"/>
          <w:szCs w:val="32"/>
        </w:rPr>
        <w:t>201</w:t>
      </w:r>
      <w:r>
        <w:rPr>
          <w:rFonts w:hint="eastAsia" w:ascii="仿宋" w:hAnsi="仿宋" w:eastAsia="仿宋"/>
          <w:color w:val="auto"/>
          <w:sz w:val="32"/>
          <w:szCs w:val="32"/>
        </w:rPr>
        <w:t>8年“三公”经费财政拨款支出决算中，因公出国（境）费支出决算</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w:t>
      </w:r>
      <w:r>
        <w:rPr>
          <w:rFonts w:hint="eastAsia" w:ascii="仿宋" w:hAnsi="仿宋" w:eastAsia="仿宋"/>
          <w:color w:val="auto"/>
          <w:sz w:val="32"/>
          <w:szCs w:val="32"/>
          <w:lang w:eastAsia="zh-CN"/>
        </w:rPr>
        <w:t>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；公务用车购置及运行维护费支出决算</w:t>
      </w:r>
      <w:r>
        <w:rPr>
          <w:rFonts w:hint="eastAsia" w:ascii="仿宋" w:hAnsi="仿宋" w:eastAsia="仿宋"/>
          <w:color w:val="auto"/>
          <w:sz w:val="32"/>
          <w:szCs w:val="32"/>
          <w:lang w:val="en-US" w:eastAsia="zh-CN"/>
        </w:rPr>
        <w:t>11.48</w:t>
      </w:r>
      <w:r>
        <w:rPr>
          <w:rFonts w:hint="eastAsia" w:ascii="仿宋" w:hAnsi="仿宋" w:eastAsia="仿宋"/>
          <w:color w:val="auto"/>
          <w:sz w:val="32"/>
          <w:szCs w:val="32"/>
        </w:rPr>
        <w:t>万元，占</w:t>
      </w:r>
      <w:r>
        <w:rPr>
          <w:rFonts w:hint="eastAsia" w:ascii="仿宋" w:hAnsi="仿宋" w:eastAsia="仿宋"/>
          <w:color w:val="auto"/>
          <w:sz w:val="32"/>
          <w:szCs w:val="32"/>
          <w:lang w:eastAsia="zh-CN"/>
        </w:rPr>
        <w:t>总收入的</w:t>
      </w:r>
      <w:r>
        <w:rPr>
          <w:rFonts w:hint="eastAsia" w:ascii="仿宋" w:hAnsi="仿宋" w:eastAsia="仿宋"/>
          <w:color w:val="auto"/>
          <w:sz w:val="32"/>
          <w:szCs w:val="32"/>
          <w:lang w:val="en-US" w:eastAsia="zh-CN"/>
        </w:rPr>
        <w:t>90.75</w:t>
      </w:r>
      <w:r>
        <w:rPr>
          <w:rFonts w:ascii="仿宋" w:hAnsi="仿宋" w:eastAsia="仿宋"/>
          <w:color w:val="auto"/>
          <w:sz w:val="32"/>
          <w:szCs w:val="32"/>
        </w:rPr>
        <w:t>%</w:t>
      </w:r>
      <w:r>
        <w:rPr>
          <w:rFonts w:hint="eastAsia" w:ascii="仿宋" w:hAnsi="仿宋" w:eastAsia="仿宋"/>
          <w:color w:val="auto"/>
          <w:sz w:val="32"/>
          <w:szCs w:val="32"/>
        </w:rPr>
        <w:t>；公务接待费支出决算</w:t>
      </w:r>
      <w:r>
        <w:rPr>
          <w:rFonts w:hint="eastAsia" w:ascii="仿宋" w:hAnsi="仿宋" w:eastAsia="仿宋"/>
          <w:color w:val="auto"/>
          <w:sz w:val="32"/>
          <w:szCs w:val="32"/>
          <w:lang w:val="en-US" w:eastAsia="zh-CN"/>
        </w:rPr>
        <w:t>1.17</w:t>
      </w:r>
      <w:r>
        <w:rPr>
          <w:rFonts w:hint="eastAsia" w:ascii="仿宋" w:hAnsi="仿宋" w:eastAsia="仿宋"/>
          <w:color w:val="auto"/>
          <w:sz w:val="32"/>
          <w:szCs w:val="32"/>
        </w:rPr>
        <w:t>万元，占</w:t>
      </w:r>
      <w:r>
        <w:rPr>
          <w:rFonts w:hint="eastAsia" w:ascii="仿宋" w:hAnsi="仿宋" w:eastAsia="仿宋"/>
          <w:color w:val="auto"/>
          <w:sz w:val="32"/>
          <w:szCs w:val="32"/>
          <w:lang w:eastAsia="zh-CN"/>
        </w:rPr>
        <w:t>总收入的</w:t>
      </w:r>
      <w:r>
        <w:rPr>
          <w:rFonts w:hint="eastAsia" w:ascii="仿宋" w:hAnsi="仿宋" w:eastAsia="仿宋"/>
          <w:color w:val="auto"/>
          <w:sz w:val="32"/>
          <w:szCs w:val="32"/>
          <w:lang w:val="en-US" w:eastAsia="zh-CN"/>
        </w:rPr>
        <w:t>9.25</w:t>
      </w:r>
      <w:r>
        <w:rPr>
          <w:rFonts w:ascii="仿宋" w:hAnsi="仿宋" w:eastAsia="仿宋"/>
          <w:color w:val="auto"/>
          <w:sz w:val="32"/>
          <w:szCs w:val="32"/>
        </w:rPr>
        <w:t>%</w:t>
      </w:r>
      <w:r>
        <w:rPr>
          <w:rFonts w:hint="eastAsia" w:ascii="仿宋" w:hAnsi="仿宋" w:eastAsia="仿宋"/>
          <w:color w:val="auto"/>
          <w:sz w:val="32"/>
          <w:szCs w:val="32"/>
        </w:rPr>
        <w:t>。具体情况如下：</w:t>
      </w:r>
    </w:p>
    <w:p>
      <w:pPr>
        <w:numPr>
          <w:ilvl w:val="0"/>
          <w:numId w:val="3"/>
        </w:numPr>
        <w:spacing w:line="600" w:lineRule="exact"/>
        <w:ind w:firstLine="640"/>
        <w:rPr>
          <w:rFonts w:hint="eastAsia" w:ascii="仿宋_GB2312" w:eastAsia="仿宋_GB2312"/>
          <w:color w:val="auto"/>
          <w:sz w:val="32"/>
          <w:szCs w:val="32"/>
          <w:lang w:eastAsia="zh-CN"/>
        </w:rPr>
      </w:pPr>
      <w:r>
        <w:rPr>
          <w:rFonts w:hint="eastAsia" w:ascii="仿宋_GB2312" w:eastAsia="仿宋_GB2312"/>
          <w:b/>
          <w:color w:val="auto"/>
          <w:sz w:val="32"/>
          <w:szCs w:val="32"/>
        </w:rPr>
        <w:t>因公出国（境）经费支出</w:t>
      </w:r>
      <w:r>
        <w:rPr>
          <w:rFonts w:hint="eastAsia" w:ascii="仿宋_GB2312" w:eastAsia="仿宋_GB2312"/>
          <w:b/>
          <w:color w:val="auto"/>
          <w:sz w:val="32"/>
          <w:szCs w:val="32"/>
          <w:lang w:val="en-US" w:eastAsia="zh-CN"/>
        </w:rPr>
        <w:t>0</w:t>
      </w:r>
      <w:r>
        <w:rPr>
          <w:rFonts w:hint="eastAsia" w:ascii="仿宋_GB2312" w:eastAsia="仿宋_GB2312"/>
          <w:color w:val="auto"/>
          <w:sz w:val="32"/>
          <w:szCs w:val="32"/>
        </w:rPr>
        <w:t>万元，</w:t>
      </w:r>
      <w:r>
        <w:rPr>
          <w:rStyle w:val="16"/>
          <w:rFonts w:hint="eastAsia" w:ascii="仿宋" w:hAnsi="仿宋" w:eastAsia="仿宋"/>
          <w:b w:val="0"/>
          <w:bCs/>
          <w:color w:val="auto"/>
          <w:sz w:val="32"/>
          <w:szCs w:val="32"/>
        </w:rPr>
        <w:t>完成预算</w:t>
      </w:r>
      <w:r>
        <w:rPr>
          <w:rStyle w:val="16"/>
          <w:rFonts w:hint="eastAsia" w:ascii="仿宋" w:hAnsi="仿宋" w:eastAsia="仿宋"/>
          <w:b w:val="0"/>
          <w:bCs/>
          <w:color w:val="auto"/>
          <w:sz w:val="32"/>
          <w:szCs w:val="32"/>
          <w:lang w:val="en-US" w:eastAsia="zh-CN"/>
        </w:rPr>
        <w:t>0</w:t>
      </w:r>
      <w:r>
        <w:rPr>
          <w:rStyle w:val="16"/>
          <w:rFonts w:ascii="仿宋" w:hAnsi="仿宋" w:eastAsia="仿宋"/>
          <w:b w:val="0"/>
          <w:bCs/>
          <w:color w:val="auto"/>
          <w:sz w:val="32"/>
          <w:szCs w:val="32"/>
        </w:rPr>
        <w:t>%</w:t>
      </w:r>
      <w:r>
        <w:rPr>
          <w:rStyle w:val="16"/>
          <w:rFonts w:hint="eastAsia" w:ascii="仿宋" w:hAnsi="仿宋" w:eastAsia="仿宋"/>
          <w:b w:val="0"/>
          <w:bCs/>
          <w:color w:val="auto"/>
          <w:sz w:val="32"/>
          <w:szCs w:val="32"/>
        </w:rPr>
        <w:t>。</w:t>
      </w:r>
      <w:r>
        <w:rPr>
          <w:rFonts w:hint="eastAsia" w:ascii="仿宋_GB2312" w:eastAsia="仿宋_GB2312"/>
          <w:color w:val="auto"/>
          <w:sz w:val="32"/>
          <w:szCs w:val="32"/>
          <w:lang w:eastAsia="zh-CN"/>
        </w:rPr>
        <w:t>与上年持平。</w:t>
      </w:r>
    </w:p>
    <w:p>
      <w:pPr>
        <w:spacing w:line="600" w:lineRule="exact"/>
        <w:ind w:firstLine="640"/>
        <w:rPr>
          <w:rFonts w:hint="eastAsia" w:ascii="仿宋_GB2312" w:eastAsia="仿宋_GB2312"/>
          <w:color w:val="auto"/>
          <w:sz w:val="32"/>
          <w:szCs w:val="32"/>
          <w:lang w:val="en-US" w:eastAsia="zh-CN"/>
        </w:rPr>
      </w:pPr>
      <w:r>
        <w:rPr>
          <w:rFonts w:ascii="仿宋_GB2312" w:eastAsia="仿宋_GB2312"/>
          <w:b/>
          <w:color w:val="auto"/>
          <w:sz w:val="32"/>
          <w:szCs w:val="32"/>
        </w:rPr>
        <w:t>2.</w:t>
      </w:r>
      <w:r>
        <w:rPr>
          <w:rFonts w:hint="eastAsia" w:ascii="仿宋_GB2312" w:eastAsia="仿宋_GB2312"/>
          <w:b/>
          <w:color w:val="auto"/>
          <w:sz w:val="32"/>
          <w:szCs w:val="32"/>
        </w:rPr>
        <w:t>公务用车购置及运行维护费支出</w:t>
      </w:r>
      <w:r>
        <w:rPr>
          <w:rFonts w:hint="eastAsia" w:ascii="仿宋" w:hAnsi="仿宋" w:eastAsia="仿宋"/>
          <w:color w:val="auto"/>
          <w:sz w:val="32"/>
          <w:szCs w:val="32"/>
          <w:lang w:val="en-US" w:eastAsia="zh-CN"/>
        </w:rPr>
        <w:t>11.48</w:t>
      </w:r>
      <w:r>
        <w:rPr>
          <w:rFonts w:hint="eastAsia" w:ascii="仿宋_GB2312" w:eastAsia="仿宋_GB2312"/>
          <w:color w:val="auto"/>
          <w:sz w:val="32"/>
          <w:szCs w:val="32"/>
        </w:rPr>
        <w:t>万元,</w:t>
      </w:r>
      <w:r>
        <w:rPr>
          <w:rStyle w:val="16"/>
          <w:rFonts w:hint="eastAsia" w:ascii="仿宋" w:hAnsi="仿宋" w:eastAsia="仿宋"/>
          <w:b w:val="0"/>
          <w:bCs/>
          <w:color w:val="auto"/>
          <w:sz w:val="32"/>
          <w:szCs w:val="32"/>
        </w:rPr>
        <w:t>完成预算</w:t>
      </w:r>
      <w:r>
        <w:rPr>
          <w:rStyle w:val="16"/>
          <w:rFonts w:hint="eastAsia" w:ascii="仿宋" w:hAnsi="仿宋" w:eastAsia="仿宋"/>
          <w:b w:val="0"/>
          <w:bCs/>
          <w:color w:val="auto"/>
          <w:sz w:val="32"/>
          <w:szCs w:val="32"/>
          <w:lang w:val="en-US" w:eastAsia="zh-CN"/>
        </w:rPr>
        <w:t>100</w:t>
      </w:r>
      <w:r>
        <w:rPr>
          <w:rStyle w:val="16"/>
          <w:rFonts w:ascii="仿宋" w:hAnsi="仿宋" w:eastAsia="仿宋"/>
          <w:b w:val="0"/>
          <w:bCs/>
          <w:color w:val="auto"/>
          <w:sz w:val="32"/>
          <w:szCs w:val="32"/>
        </w:rPr>
        <w:t>%</w:t>
      </w:r>
      <w:r>
        <w:rPr>
          <w:rStyle w:val="16"/>
          <w:rFonts w:hint="eastAsia" w:ascii="仿宋" w:hAnsi="仿宋" w:eastAsia="仿宋"/>
          <w:b w:val="0"/>
          <w:bCs/>
          <w:color w:val="auto"/>
          <w:sz w:val="32"/>
          <w:szCs w:val="32"/>
        </w:rPr>
        <w:t>。</w:t>
      </w:r>
      <w:r>
        <w:rPr>
          <w:rFonts w:hint="eastAsia" w:ascii="仿宋_GB2312" w:eastAsia="仿宋_GB2312"/>
          <w:color w:val="auto"/>
          <w:sz w:val="32"/>
          <w:szCs w:val="32"/>
        </w:rPr>
        <w:t>公务用车购置及运行维护费支出决算比</w:t>
      </w:r>
      <w:r>
        <w:rPr>
          <w:rFonts w:ascii="仿宋_GB2312" w:eastAsia="仿宋_GB2312"/>
          <w:color w:val="auto"/>
          <w:sz w:val="32"/>
          <w:szCs w:val="32"/>
        </w:rPr>
        <w:t>201</w:t>
      </w:r>
      <w:r>
        <w:rPr>
          <w:rFonts w:hint="eastAsia" w:ascii="仿宋_GB2312" w:eastAsia="仿宋_GB2312"/>
          <w:color w:val="auto"/>
          <w:sz w:val="32"/>
          <w:szCs w:val="32"/>
        </w:rPr>
        <w:t>7年增加</w:t>
      </w:r>
      <w:r>
        <w:rPr>
          <w:rFonts w:hint="eastAsia" w:ascii="仿宋_GB2312" w:eastAsia="仿宋_GB2312"/>
          <w:color w:val="auto"/>
          <w:sz w:val="32"/>
          <w:szCs w:val="32"/>
          <w:lang w:val="en-US" w:eastAsia="zh-CN"/>
        </w:rPr>
        <w:t>3.24</w:t>
      </w:r>
      <w:r>
        <w:rPr>
          <w:rFonts w:hint="eastAsia" w:ascii="仿宋_GB2312" w:eastAsia="仿宋_GB2312"/>
          <w:color w:val="auto"/>
          <w:sz w:val="32"/>
          <w:szCs w:val="32"/>
        </w:rPr>
        <w:t>万元，增长</w:t>
      </w:r>
      <w:r>
        <w:rPr>
          <w:rFonts w:hint="eastAsia" w:ascii="仿宋_GB2312" w:eastAsia="仿宋_GB2312"/>
          <w:color w:val="auto"/>
          <w:sz w:val="32"/>
          <w:szCs w:val="32"/>
          <w:lang w:val="en-US" w:eastAsia="zh-CN"/>
        </w:rPr>
        <w:t>28.22</w:t>
      </w:r>
      <w:r>
        <w:rPr>
          <w:rFonts w:ascii="仿宋_GB2312" w:eastAsia="仿宋_GB2312"/>
          <w:color w:val="auto"/>
          <w:sz w:val="32"/>
          <w:szCs w:val="32"/>
        </w:rPr>
        <w:t>%</w:t>
      </w:r>
      <w:r>
        <w:rPr>
          <w:rFonts w:hint="eastAsia" w:ascii="仿宋_GB2312" w:eastAsia="仿宋_GB2312"/>
          <w:color w:val="auto"/>
          <w:sz w:val="32"/>
          <w:szCs w:val="32"/>
        </w:rPr>
        <w:t>。主要原因是</w:t>
      </w:r>
      <w:r>
        <w:rPr>
          <w:rFonts w:hint="eastAsia" w:ascii="仿宋_GB2312" w:eastAsia="仿宋_GB2312"/>
          <w:color w:val="auto"/>
          <w:sz w:val="32"/>
          <w:szCs w:val="32"/>
          <w:lang w:val="en-US" w:eastAsia="zh-CN"/>
        </w:rPr>
        <w:t>往年的</w:t>
      </w:r>
      <w:r>
        <w:rPr>
          <w:rFonts w:hint="eastAsia" w:ascii="仿宋_GB2312" w:eastAsia="仿宋_GB2312"/>
          <w:color w:val="auto"/>
          <w:sz w:val="32"/>
          <w:szCs w:val="32"/>
        </w:rPr>
        <w:t>执行公务、开展业务活动开支的交通费</w:t>
      </w:r>
      <w:r>
        <w:rPr>
          <w:rFonts w:hint="eastAsia" w:ascii="仿宋_GB2312" w:eastAsia="仿宋_GB2312"/>
          <w:color w:val="auto"/>
          <w:sz w:val="32"/>
          <w:szCs w:val="32"/>
          <w:lang w:val="en-US" w:eastAsia="zh-CN"/>
        </w:rPr>
        <w:t>及2018年开支的费用。</w:t>
      </w:r>
    </w:p>
    <w:p>
      <w:pPr>
        <w:spacing w:line="600" w:lineRule="exact"/>
        <w:ind w:firstLine="640" w:firstLineChars="200"/>
        <w:rPr>
          <w:rFonts w:ascii="仿宋_GB2312" w:eastAsia="仿宋_GB2312"/>
          <w:b/>
          <w:color w:val="auto"/>
          <w:sz w:val="32"/>
          <w:szCs w:val="32"/>
        </w:rPr>
      </w:pPr>
      <w:r>
        <w:rPr>
          <w:rFonts w:hint="eastAsia" w:ascii="仿宋_GB2312" w:eastAsia="仿宋_GB2312"/>
          <w:color w:val="auto"/>
          <w:sz w:val="32"/>
          <w:szCs w:val="32"/>
        </w:rPr>
        <w:t>其中：</w:t>
      </w:r>
      <w:r>
        <w:rPr>
          <w:rFonts w:hint="eastAsia" w:ascii="仿宋_GB2312" w:eastAsia="仿宋_GB2312"/>
          <w:b/>
          <w:color w:val="auto"/>
          <w:sz w:val="32"/>
          <w:szCs w:val="32"/>
        </w:rPr>
        <w:t>公务用车购置支出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万元。全年按规定更新购置公务用车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辆，其中：轿车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辆、金额</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万元，越野车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辆、金额</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万元，载客汽车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辆、金额</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万元。截至</w:t>
      </w:r>
      <w:r>
        <w:rPr>
          <w:rFonts w:ascii="仿宋_GB2312" w:eastAsia="仿宋_GB2312"/>
          <w:color w:val="auto"/>
          <w:sz w:val="32"/>
          <w:szCs w:val="32"/>
        </w:rPr>
        <w:t>201</w:t>
      </w:r>
      <w:r>
        <w:rPr>
          <w:rFonts w:hint="eastAsia" w:ascii="仿宋_GB2312" w:eastAsia="仿宋_GB2312"/>
          <w:color w:val="auto"/>
          <w:sz w:val="32"/>
          <w:szCs w:val="32"/>
        </w:rPr>
        <w:t>8年</w:t>
      </w:r>
      <w:r>
        <w:rPr>
          <w:rFonts w:ascii="仿宋_GB2312" w:eastAsia="仿宋_GB2312"/>
          <w:color w:val="auto"/>
          <w:sz w:val="32"/>
          <w:szCs w:val="32"/>
        </w:rPr>
        <w:t>12</w:t>
      </w:r>
      <w:r>
        <w:rPr>
          <w:rFonts w:hint="eastAsia" w:ascii="仿宋_GB2312" w:eastAsia="仿宋_GB2312"/>
          <w:color w:val="auto"/>
          <w:sz w:val="32"/>
          <w:szCs w:val="32"/>
        </w:rPr>
        <w:t>月底，单位共有公务用车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辆，其中：轿车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辆、越野车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辆、载客汽车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w:t>
      </w:r>
    </w:p>
    <w:p>
      <w:pPr>
        <w:spacing w:line="600" w:lineRule="exact"/>
        <w:ind w:firstLine="640"/>
        <w:rPr>
          <w:rFonts w:ascii="仿宋_GB2312" w:eastAsia="仿宋_GB2312"/>
          <w:color w:val="auto"/>
          <w:sz w:val="32"/>
          <w:szCs w:val="32"/>
        </w:rPr>
      </w:pPr>
      <w:r>
        <w:rPr>
          <w:rFonts w:hint="eastAsia" w:ascii="仿宋_GB2312" w:eastAsia="仿宋_GB2312"/>
          <w:b/>
          <w:color w:val="auto"/>
          <w:sz w:val="32"/>
          <w:szCs w:val="32"/>
        </w:rPr>
        <w:t>公务用车运行维护费支出</w:t>
      </w:r>
      <w:r>
        <w:rPr>
          <w:rFonts w:hint="eastAsia" w:ascii="仿宋" w:hAnsi="仿宋" w:eastAsia="仿宋"/>
          <w:color w:val="auto"/>
          <w:sz w:val="32"/>
          <w:szCs w:val="32"/>
          <w:lang w:val="en-US" w:eastAsia="zh-CN"/>
        </w:rPr>
        <w:t>11.48</w:t>
      </w:r>
      <w:r>
        <w:rPr>
          <w:rFonts w:hint="eastAsia" w:ascii="仿宋_GB2312" w:eastAsia="仿宋_GB2312"/>
          <w:color w:val="auto"/>
          <w:sz w:val="32"/>
          <w:szCs w:val="32"/>
        </w:rPr>
        <w:t>万元。主要用于工作</w:t>
      </w:r>
      <w:r>
        <w:rPr>
          <w:rFonts w:hint="eastAsia" w:ascii="仿宋_GB2312" w:eastAsia="仿宋_GB2312"/>
          <w:color w:val="auto"/>
          <w:sz w:val="32"/>
          <w:szCs w:val="32"/>
          <w:lang w:eastAsia="zh-CN"/>
        </w:rPr>
        <w:t>出差、下乡</w:t>
      </w:r>
      <w:r>
        <w:rPr>
          <w:rFonts w:hint="eastAsia" w:ascii="仿宋_GB2312" w:eastAsia="仿宋_GB2312"/>
          <w:color w:val="auto"/>
          <w:sz w:val="32"/>
          <w:szCs w:val="32"/>
        </w:rPr>
        <w:t>等所需的公务用车燃料费、维修费、过路过桥费、保险费等支出。</w:t>
      </w:r>
    </w:p>
    <w:p>
      <w:pPr>
        <w:spacing w:line="600" w:lineRule="exact"/>
        <w:ind w:firstLine="640"/>
        <w:rPr>
          <w:rFonts w:hint="eastAsia" w:ascii="仿宋_GB2312" w:eastAsia="仿宋_GB2312"/>
          <w:color w:val="auto"/>
          <w:sz w:val="32"/>
          <w:szCs w:val="32"/>
        </w:rPr>
      </w:pPr>
      <w:r>
        <w:rPr>
          <w:rFonts w:ascii="仿宋_GB2312" w:eastAsia="仿宋_GB2312"/>
          <w:b/>
          <w:color w:val="auto"/>
          <w:sz w:val="32"/>
          <w:szCs w:val="32"/>
        </w:rPr>
        <w:t>3.</w:t>
      </w:r>
      <w:r>
        <w:rPr>
          <w:rFonts w:hint="eastAsia" w:ascii="仿宋_GB2312" w:eastAsia="仿宋_GB2312"/>
          <w:b/>
          <w:color w:val="auto"/>
          <w:sz w:val="32"/>
          <w:szCs w:val="32"/>
        </w:rPr>
        <w:t>公务接待费支出</w:t>
      </w:r>
      <w:r>
        <w:rPr>
          <w:rFonts w:hint="eastAsia" w:ascii="仿宋_GB2312" w:eastAsia="仿宋_GB2312"/>
          <w:color w:val="auto"/>
          <w:sz w:val="32"/>
          <w:szCs w:val="32"/>
          <w:lang w:val="en-US" w:eastAsia="zh-CN"/>
        </w:rPr>
        <w:t xml:space="preserve"> 1.17</w:t>
      </w:r>
      <w:r>
        <w:rPr>
          <w:rFonts w:hint="eastAsia" w:ascii="仿宋_GB2312" w:eastAsia="仿宋_GB2312"/>
          <w:color w:val="auto"/>
          <w:sz w:val="32"/>
          <w:szCs w:val="32"/>
        </w:rPr>
        <w:t>万元，</w:t>
      </w:r>
      <w:r>
        <w:rPr>
          <w:rStyle w:val="16"/>
          <w:rFonts w:hint="eastAsia" w:ascii="仿宋" w:hAnsi="仿宋" w:eastAsia="仿宋"/>
          <w:b w:val="0"/>
          <w:bCs/>
          <w:color w:val="auto"/>
          <w:sz w:val="32"/>
          <w:szCs w:val="32"/>
        </w:rPr>
        <w:t>完成预算</w:t>
      </w:r>
      <w:r>
        <w:rPr>
          <w:rStyle w:val="16"/>
          <w:rFonts w:hint="eastAsia" w:ascii="仿宋" w:hAnsi="仿宋" w:eastAsia="仿宋"/>
          <w:b w:val="0"/>
          <w:bCs/>
          <w:color w:val="auto"/>
          <w:sz w:val="32"/>
          <w:szCs w:val="32"/>
          <w:lang w:val="en-US" w:eastAsia="zh-CN"/>
        </w:rPr>
        <w:t>100</w:t>
      </w:r>
      <w:r>
        <w:rPr>
          <w:rStyle w:val="16"/>
          <w:rFonts w:ascii="仿宋" w:hAnsi="仿宋" w:eastAsia="仿宋"/>
          <w:b w:val="0"/>
          <w:bCs/>
          <w:color w:val="auto"/>
          <w:sz w:val="32"/>
          <w:szCs w:val="32"/>
        </w:rPr>
        <w:t>%</w:t>
      </w:r>
      <w:r>
        <w:rPr>
          <w:rStyle w:val="16"/>
          <w:rFonts w:hint="eastAsia" w:ascii="仿宋" w:hAnsi="仿宋" w:eastAsia="仿宋"/>
          <w:b w:val="0"/>
          <w:bCs/>
          <w:color w:val="auto"/>
          <w:sz w:val="32"/>
          <w:szCs w:val="32"/>
        </w:rPr>
        <w:t>。</w:t>
      </w:r>
      <w:r>
        <w:rPr>
          <w:rFonts w:hint="eastAsia" w:ascii="仿宋_GB2312" w:eastAsia="仿宋_GB2312"/>
          <w:color w:val="auto"/>
          <w:sz w:val="32"/>
          <w:szCs w:val="32"/>
        </w:rPr>
        <w:t>公务接待费支出决算比</w:t>
      </w:r>
      <w:r>
        <w:rPr>
          <w:rFonts w:ascii="仿宋_GB2312" w:eastAsia="仿宋_GB2312"/>
          <w:color w:val="auto"/>
          <w:sz w:val="32"/>
          <w:szCs w:val="32"/>
        </w:rPr>
        <w:t>201</w:t>
      </w:r>
      <w:r>
        <w:rPr>
          <w:rFonts w:hint="eastAsia" w:ascii="仿宋_GB2312" w:eastAsia="仿宋_GB2312"/>
          <w:color w:val="auto"/>
          <w:sz w:val="32"/>
          <w:szCs w:val="32"/>
        </w:rPr>
        <w:t>7年增加</w:t>
      </w:r>
      <w:r>
        <w:rPr>
          <w:rFonts w:hint="eastAsia" w:ascii="仿宋_GB2312" w:eastAsia="仿宋_GB2312"/>
          <w:color w:val="auto"/>
          <w:sz w:val="32"/>
          <w:szCs w:val="32"/>
          <w:lang w:val="en-US" w:eastAsia="zh-CN"/>
        </w:rPr>
        <w:t>0.37万</w:t>
      </w:r>
      <w:r>
        <w:rPr>
          <w:rFonts w:hint="eastAsia" w:ascii="仿宋_GB2312" w:eastAsia="仿宋_GB2312"/>
          <w:color w:val="auto"/>
          <w:sz w:val="32"/>
          <w:szCs w:val="32"/>
        </w:rPr>
        <w:t>元，增长</w:t>
      </w:r>
      <w:r>
        <w:rPr>
          <w:rFonts w:hint="eastAsia" w:ascii="仿宋_GB2312" w:eastAsia="仿宋_GB2312"/>
          <w:color w:val="auto"/>
          <w:sz w:val="32"/>
          <w:szCs w:val="32"/>
          <w:lang w:val="en-US" w:eastAsia="zh-CN"/>
        </w:rPr>
        <w:t>32</w:t>
      </w:r>
      <w:r>
        <w:rPr>
          <w:rFonts w:ascii="仿宋_GB2312" w:eastAsia="仿宋_GB2312"/>
          <w:color w:val="auto"/>
          <w:sz w:val="32"/>
          <w:szCs w:val="32"/>
        </w:rPr>
        <w:t>%</w:t>
      </w:r>
      <w:r>
        <w:rPr>
          <w:rFonts w:hint="eastAsia" w:ascii="仿宋_GB2312" w:eastAsia="仿宋_GB2312"/>
          <w:color w:val="auto"/>
          <w:sz w:val="32"/>
          <w:szCs w:val="32"/>
        </w:rPr>
        <w:t>。主要用于住宿费、用餐费等。国内公务接待</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批次，</w:t>
      </w:r>
      <w:r>
        <w:rPr>
          <w:rFonts w:hint="eastAsia" w:ascii="仿宋_GB2312" w:eastAsia="仿宋_GB2312"/>
          <w:color w:val="auto"/>
          <w:sz w:val="32"/>
          <w:szCs w:val="32"/>
          <w:lang w:val="en-US" w:eastAsia="zh-CN"/>
        </w:rPr>
        <w:t>200</w:t>
      </w:r>
      <w:r>
        <w:rPr>
          <w:rFonts w:hint="eastAsia" w:ascii="仿宋_GB2312" w:eastAsia="仿宋_GB2312"/>
          <w:color w:val="auto"/>
          <w:sz w:val="32"/>
          <w:szCs w:val="32"/>
        </w:rPr>
        <w:t>人次</w:t>
      </w:r>
      <w:r>
        <w:rPr>
          <w:rFonts w:hint="eastAsia" w:ascii="仿宋_GB2312" w:eastAsia="仿宋_GB2312"/>
          <w:color w:val="auto"/>
          <w:sz w:val="32"/>
          <w:szCs w:val="32"/>
          <w:lang w:eastAsia="zh-CN"/>
        </w:rPr>
        <w:t>。</w:t>
      </w:r>
    </w:p>
    <w:p>
      <w:pPr>
        <w:spacing w:line="600" w:lineRule="exact"/>
        <w:ind w:firstLine="643" w:firstLineChars="200"/>
        <w:rPr>
          <w:rFonts w:ascii="仿宋_GB2312" w:eastAsia="仿宋_GB2312"/>
          <w:color w:val="auto"/>
          <w:sz w:val="32"/>
          <w:szCs w:val="32"/>
        </w:rPr>
      </w:pPr>
      <w:r>
        <w:rPr>
          <w:rFonts w:hint="eastAsia" w:ascii="仿宋" w:hAnsi="仿宋" w:eastAsia="仿宋"/>
          <w:b/>
          <w:color w:val="auto"/>
          <w:sz w:val="32"/>
          <w:szCs w:val="32"/>
        </w:rPr>
        <w:t>外事接待支出</w:t>
      </w:r>
      <w:r>
        <w:rPr>
          <w:rFonts w:hint="eastAsia" w:ascii="仿宋" w:hAnsi="仿宋" w:eastAsia="仿宋"/>
          <w:b/>
          <w:color w:val="auto"/>
          <w:sz w:val="32"/>
          <w:szCs w:val="32"/>
          <w:lang w:val="en-US" w:eastAsia="zh-CN"/>
        </w:rPr>
        <w:t>0</w:t>
      </w:r>
      <w:r>
        <w:rPr>
          <w:rFonts w:hint="eastAsia" w:ascii="仿宋_GB2312" w:eastAsia="仿宋_GB2312"/>
          <w:color w:val="auto"/>
          <w:sz w:val="32"/>
          <w:szCs w:val="32"/>
        </w:rPr>
        <w:t>万元，外事接待</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批次，</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人，共计支出</w:t>
      </w:r>
      <w:r>
        <w:rPr>
          <w:rFonts w:hint="eastAsia" w:ascii="仿宋_GB2312" w:eastAsia="仿宋_GB2312"/>
          <w:color w:val="auto"/>
          <w:sz w:val="32"/>
          <w:szCs w:val="32"/>
          <w:lang w:val="en-US" w:eastAsia="zh-CN"/>
        </w:rPr>
        <w:t xml:space="preserve"> 0</w:t>
      </w:r>
      <w:r>
        <w:rPr>
          <w:rFonts w:hint="eastAsia" w:ascii="仿宋_GB2312" w:eastAsia="仿宋_GB2312"/>
          <w:color w:val="auto"/>
          <w:sz w:val="32"/>
          <w:szCs w:val="32"/>
        </w:rPr>
        <w:t>万元</w:t>
      </w:r>
      <w:r>
        <w:rPr>
          <w:rFonts w:hint="eastAsia" w:ascii="仿宋_GB2312" w:eastAsia="仿宋_GB2312"/>
          <w:color w:val="auto"/>
          <w:sz w:val="32"/>
          <w:szCs w:val="32"/>
          <w:lang w:eastAsia="zh-CN"/>
        </w:rPr>
        <w:t>。</w:t>
      </w:r>
    </w:p>
    <w:p>
      <w:pPr>
        <w:spacing w:line="600" w:lineRule="exact"/>
        <w:ind w:firstLine="640"/>
        <w:rPr>
          <w:rFonts w:hint="eastAsia" w:ascii="黑体" w:eastAsia="黑体"/>
          <w:color w:val="auto"/>
          <w:sz w:val="32"/>
          <w:szCs w:val="32"/>
        </w:rPr>
      </w:pPr>
      <w:r>
        <w:rPr>
          <w:rFonts w:hint="eastAsia" w:ascii="仿宋" w:hAnsi="仿宋" w:eastAsia="仿宋"/>
          <w:b/>
          <w:color w:val="auto"/>
          <w:sz w:val="32"/>
          <w:szCs w:val="32"/>
        </w:rPr>
        <w:t>其他国内公务接待支出</w:t>
      </w:r>
      <w:r>
        <w:rPr>
          <w:rFonts w:hint="eastAsia" w:ascii="仿宋" w:hAnsi="仿宋" w:eastAsia="仿宋"/>
          <w:b/>
          <w:color w:val="auto"/>
          <w:sz w:val="32"/>
          <w:szCs w:val="32"/>
          <w:lang w:val="en-US" w:eastAsia="zh-CN"/>
        </w:rPr>
        <w:t>0</w:t>
      </w:r>
      <w:r>
        <w:rPr>
          <w:rFonts w:hint="eastAsia" w:ascii="仿宋_GB2312" w:eastAsia="仿宋_GB2312"/>
          <w:color w:val="auto"/>
          <w:sz w:val="32"/>
          <w:szCs w:val="32"/>
        </w:rPr>
        <w:t>万元</w:t>
      </w:r>
      <w:r>
        <w:rPr>
          <w:rFonts w:hint="eastAsia" w:ascii="仿宋_GB2312" w:eastAsia="仿宋_GB2312"/>
          <w:color w:val="auto"/>
          <w:sz w:val="32"/>
          <w:szCs w:val="32"/>
          <w:lang w:eastAsia="zh-CN"/>
        </w:rPr>
        <w:t>。</w:t>
      </w:r>
      <w:bookmarkStart w:id="46" w:name="_Toc15396610"/>
      <w:bookmarkStart w:id="47" w:name="_Toc15377218"/>
    </w:p>
    <w:p>
      <w:pPr>
        <w:spacing w:line="600" w:lineRule="exact"/>
        <w:outlineLvl w:val="1"/>
        <w:rPr>
          <w:rStyle w:val="27"/>
          <w:rFonts w:ascii="黑体" w:hAnsi="黑体" w:eastAsia="黑体"/>
          <w:color w:val="auto"/>
        </w:rPr>
      </w:pPr>
      <w:r>
        <w:rPr>
          <w:rFonts w:hint="eastAsia" w:ascii="黑体" w:eastAsia="黑体"/>
          <w:color w:val="auto"/>
          <w:sz w:val="32"/>
          <w:szCs w:val="32"/>
        </w:rPr>
        <w:t>八、</w:t>
      </w:r>
      <w:r>
        <w:rPr>
          <w:rStyle w:val="27"/>
          <w:rFonts w:hint="eastAsia" w:ascii="黑体" w:hAnsi="黑体" w:eastAsia="黑体"/>
          <w:b w:val="0"/>
          <w:color w:val="auto"/>
        </w:rPr>
        <w:t>政府性基金预算支出决算情况说明</w:t>
      </w:r>
      <w:bookmarkEnd w:id="46"/>
      <w:bookmarkEnd w:id="47"/>
    </w:p>
    <w:p>
      <w:pPr>
        <w:spacing w:line="600" w:lineRule="exact"/>
        <w:ind w:firstLine="640"/>
        <w:rPr>
          <w:rFonts w:ascii="仿宋_GB2312" w:eastAsia="仿宋_GB2312"/>
          <w:color w:val="auto"/>
          <w:sz w:val="32"/>
          <w:szCs w:val="32"/>
        </w:rPr>
      </w:pPr>
      <w:r>
        <w:rPr>
          <w:rFonts w:ascii="仿宋_GB2312" w:eastAsia="仿宋_GB2312"/>
          <w:color w:val="auto"/>
          <w:sz w:val="32"/>
          <w:szCs w:val="32"/>
        </w:rPr>
        <w:t>201</w:t>
      </w:r>
      <w:r>
        <w:rPr>
          <w:rFonts w:hint="eastAsia" w:ascii="仿宋_GB2312" w:eastAsia="仿宋_GB2312"/>
          <w:color w:val="auto"/>
          <w:sz w:val="32"/>
          <w:szCs w:val="32"/>
        </w:rPr>
        <w:t>8年政府性基金预算拨款支出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p>
    <w:p>
      <w:pPr>
        <w:numPr>
          <w:numId w:val="0"/>
        </w:numPr>
        <w:spacing w:line="600" w:lineRule="exact"/>
        <w:outlineLvl w:val="1"/>
        <w:rPr>
          <w:rStyle w:val="27"/>
          <w:rFonts w:ascii="黑体" w:hAnsi="黑体" w:eastAsia="黑体"/>
          <w:b w:val="0"/>
          <w:color w:val="auto"/>
        </w:rPr>
      </w:pPr>
      <w:bookmarkStart w:id="48" w:name="_Toc15396611"/>
      <w:bookmarkStart w:id="49" w:name="_Toc15377219"/>
      <w:r>
        <w:rPr>
          <w:rStyle w:val="27"/>
          <w:rFonts w:hint="eastAsia" w:ascii="黑体" w:hAnsi="黑体" w:eastAsia="黑体"/>
          <w:b w:val="0"/>
          <w:color w:val="auto"/>
          <w:lang w:val="en-US" w:eastAsia="zh-CN"/>
        </w:rPr>
        <w:t>九、</w:t>
      </w:r>
      <w:r>
        <w:rPr>
          <w:rStyle w:val="27"/>
          <w:rFonts w:hint="eastAsia" w:ascii="黑体" w:hAnsi="黑体" w:eastAsia="黑体"/>
          <w:b w:val="0"/>
          <w:color w:val="auto"/>
        </w:rPr>
        <w:t>国有资本经营预算支出决算情况说明</w:t>
      </w:r>
      <w:bookmarkEnd w:id="48"/>
      <w:bookmarkEnd w:id="49"/>
    </w:p>
    <w:p>
      <w:pPr>
        <w:spacing w:line="600" w:lineRule="exact"/>
        <w:ind w:firstLine="640"/>
        <w:rPr>
          <w:rFonts w:ascii="仿宋_GB2312" w:eastAsia="仿宋_GB2312"/>
          <w:color w:val="auto"/>
          <w:sz w:val="32"/>
          <w:szCs w:val="32"/>
        </w:rPr>
      </w:pPr>
      <w:r>
        <w:rPr>
          <w:rFonts w:ascii="仿宋_GB2312" w:eastAsia="仿宋_GB2312"/>
          <w:color w:val="auto"/>
          <w:sz w:val="32"/>
          <w:szCs w:val="32"/>
        </w:rPr>
        <w:t>201</w:t>
      </w:r>
      <w:r>
        <w:rPr>
          <w:rFonts w:hint="eastAsia" w:ascii="仿宋_GB2312" w:eastAsia="仿宋_GB2312"/>
          <w:color w:val="auto"/>
          <w:sz w:val="32"/>
          <w:szCs w:val="32"/>
        </w:rPr>
        <w:t>8年国有资本经营预算拨款支出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p>
    <w:p>
      <w:pPr>
        <w:pStyle w:val="25"/>
        <w:numPr>
          <w:numId w:val="0"/>
        </w:numPr>
        <w:spacing w:line="580" w:lineRule="exact"/>
        <w:rPr>
          <w:rStyle w:val="27"/>
          <w:rFonts w:ascii="黑体" w:hAnsi="黑体" w:eastAsia="黑体"/>
          <w:b w:val="0"/>
          <w:color w:val="auto"/>
        </w:rPr>
      </w:pPr>
      <w:r>
        <w:rPr>
          <w:rStyle w:val="27"/>
          <w:rFonts w:hint="eastAsia" w:ascii="黑体" w:hAnsi="黑体" w:eastAsia="黑体"/>
          <w:b w:val="0"/>
          <w:color w:val="auto"/>
          <w:lang w:val="en-US" w:eastAsia="zh-CN"/>
        </w:rPr>
        <w:t>十、</w:t>
      </w:r>
      <w:r>
        <w:rPr>
          <w:rStyle w:val="27"/>
          <w:rFonts w:hint="eastAsia" w:ascii="黑体" w:hAnsi="黑体" w:eastAsia="黑体"/>
          <w:b w:val="0"/>
          <w:color w:val="auto"/>
        </w:rPr>
        <w:t>预算绩效情况说明</w:t>
      </w:r>
    </w:p>
    <w:p>
      <w:pPr>
        <w:numPr>
          <w:ilvl w:val="0"/>
          <w:numId w:val="4"/>
        </w:numPr>
        <w:spacing w:line="580" w:lineRule="exact"/>
        <w:ind w:firstLine="643" w:firstLineChars="200"/>
        <w:rPr>
          <w:rFonts w:ascii="仿宋" w:hAnsi="仿宋" w:eastAsia="仿宋" w:cs="楷体_GB2312"/>
          <w:b/>
          <w:bCs/>
          <w:color w:val="auto"/>
          <w:sz w:val="32"/>
          <w:szCs w:val="32"/>
        </w:rPr>
      </w:pPr>
      <w:r>
        <w:rPr>
          <w:rFonts w:hint="eastAsia" w:ascii="仿宋" w:hAnsi="仿宋" w:eastAsia="仿宋" w:cs="楷体_GB2312"/>
          <w:b/>
          <w:bCs/>
          <w:color w:val="auto"/>
          <w:sz w:val="32"/>
          <w:szCs w:val="32"/>
        </w:rPr>
        <w:t>预算绩效管理工作开展情况。</w:t>
      </w:r>
    </w:p>
    <w:p>
      <w:p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根据预算绩效管理要求，本部门（单位）在年初预算编制阶段，组织对</w:t>
      </w:r>
      <w:r>
        <w:rPr>
          <w:rFonts w:hint="eastAsia" w:ascii="仿宋_GB2312" w:hAnsi="仿宋_GB2312" w:eastAsia="仿宋_GB2312" w:cs="仿宋_GB2312"/>
          <w:color w:val="auto"/>
          <w:sz w:val="32"/>
          <w:szCs w:val="32"/>
          <w:lang w:val="en-US" w:eastAsia="zh-CN"/>
        </w:rPr>
        <w:t>民族杂志征订费、佛协会长副会长补助2</w:t>
      </w:r>
      <w:r>
        <w:rPr>
          <w:rFonts w:hint="eastAsia" w:ascii="仿宋_GB2312" w:hAnsi="仿宋_GB2312" w:eastAsia="仿宋_GB2312" w:cs="仿宋_GB2312"/>
          <w:color w:val="auto"/>
          <w:sz w:val="32"/>
          <w:szCs w:val="32"/>
        </w:rPr>
        <w:t>项目开展了预算事前绩效评估，对</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个项目编制了绩效目标，预算执行过程中，选取</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个项目开展绩效监控，年终执行完毕后，对</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个项目开展了绩效目标完成情况梳理填报。</w:t>
      </w:r>
    </w:p>
    <w:p>
      <w:pPr>
        <w:keepNext w:val="0"/>
        <w:keepLines w:val="0"/>
        <w:pageBreakBefore w:val="0"/>
        <w:kinsoku/>
        <w:wordWrap/>
        <w:overflowPunct/>
        <w:topLinePunct w:val="0"/>
        <w:bidi w:val="0"/>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本部门按要求对2018年部门整体支出开展绩效自评，从评价情况来看：一是</w:t>
      </w:r>
      <w:r>
        <w:rPr>
          <w:rFonts w:hint="eastAsia" w:ascii="仿宋_GB2312" w:hAnsi="仿宋_GB2312" w:eastAsia="仿宋_GB2312" w:cs="仿宋_GB2312"/>
          <w:color w:val="auto"/>
          <w:sz w:val="32"/>
          <w:szCs w:val="32"/>
          <w:lang w:eastAsia="zh-CN"/>
        </w:rPr>
        <w:t>项目施工有效期短，实施进度与资金拨付进度要求难以同步，</w:t>
      </w:r>
      <w:r>
        <w:rPr>
          <w:rFonts w:hint="eastAsia" w:ascii="仿宋_GB2312" w:hAnsi="仿宋_GB2312" w:eastAsia="仿宋_GB2312" w:cs="仿宋_GB2312"/>
          <w:color w:val="auto"/>
          <w:sz w:val="32"/>
          <w:szCs w:val="32"/>
        </w:rPr>
        <w:t>二是</w:t>
      </w:r>
      <w:r>
        <w:rPr>
          <w:rFonts w:hint="eastAsia" w:ascii="仿宋_GB2312" w:hAnsi="仿宋_GB2312" w:eastAsia="仿宋_GB2312" w:cs="仿宋_GB2312"/>
          <w:color w:val="auto"/>
          <w:sz w:val="32"/>
          <w:szCs w:val="32"/>
          <w:lang w:eastAsia="zh-CN"/>
        </w:rPr>
        <w:t>实施主体项目经办人不固定，材料报送与收集难</w:t>
      </w:r>
      <w:r>
        <w:rPr>
          <w:rFonts w:hint="eastAsia" w:ascii="仿宋_GB2312" w:hAnsi="仿宋_GB2312" w:eastAsia="仿宋_GB2312" w:cs="仿宋_GB2312"/>
          <w:color w:val="auto"/>
          <w:sz w:val="32"/>
          <w:szCs w:val="32"/>
        </w:rPr>
        <w:t>。下一步改进措施：一是</w:t>
      </w:r>
      <w:r>
        <w:rPr>
          <w:rFonts w:hint="eastAsia" w:ascii="仿宋_GB2312" w:hAnsi="仿宋_GB2312" w:eastAsia="仿宋_GB2312" w:cs="仿宋_GB2312"/>
          <w:color w:val="auto"/>
          <w:sz w:val="32"/>
          <w:szCs w:val="32"/>
          <w:lang w:eastAsia="zh-CN"/>
        </w:rPr>
        <w:t>加快项目前期工作确保质量与进度</w:t>
      </w:r>
      <w:r>
        <w:rPr>
          <w:rFonts w:hint="eastAsia" w:ascii="仿宋_GB2312" w:hAnsi="仿宋_GB2312" w:eastAsia="仿宋_GB2312" w:cs="仿宋_GB2312"/>
          <w:color w:val="auto"/>
          <w:sz w:val="32"/>
          <w:szCs w:val="32"/>
        </w:rPr>
        <w:t>，二是</w:t>
      </w:r>
      <w:r>
        <w:rPr>
          <w:rFonts w:hint="eastAsia" w:ascii="仿宋_GB2312" w:hAnsi="仿宋_GB2312" w:eastAsia="仿宋_GB2312" w:cs="仿宋_GB2312"/>
          <w:color w:val="auto"/>
          <w:sz w:val="32"/>
          <w:szCs w:val="32"/>
          <w:lang w:eastAsia="zh-CN"/>
        </w:rPr>
        <w:t>加大乡村项目经办人培训力度</w:t>
      </w:r>
      <w:r>
        <w:rPr>
          <w:rFonts w:hint="eastAsia" w:ascii="仿宋_GB2312" w:hAnsi="仿宋_GB2312" w:eastAsia="仿宋_GB2312" w:cs="仿宋_GB2312"/>
          <w:color w:val="auto"/>
          <w:sz w:val="32"/>
          <w:szCs w:val="32"/>
        </w:rPr>
        <w:t>。</w:t>
      </w:r>
    </w:p>
    <w:p>
      <w:pPr>
        <w:keepNext w:val="0"/>
        <w:keepLines w:val="0"/>
        <w:pageBreakBefore w:val="0"/>
        <w:kinsoku/>
        <w:wordWrap/>
        <w:overflowPunct/>
        <w:topLinePunct w:val="0"/>
        <w:bidi w:val="0"/>
        <w:spacing w:line="560" w:lineRule="exact"/>
        <w:ind w:left="0" w:leftChars="0" w:right="0" w:rightChars="0" w:firstLine="640" w:firstLineChars="200"/>
        <w:textAlignment w:val="auto"/>
        <w:outlineLvl w:val="9"/>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本部门还自行组织了</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eastAsia="zh-CN"/>
        </w:rPr>
        <w:t>个项目绩效评价，从评价情况来看：一是</w:t>
      </w:r>
      <w:r>
        <w:rPr>
          <w:rFonts w:hint="eastAsia" w:ascii="仿宋_GB2312" w:hAnsi="仿宋_GB2312" w:eastAsia="仿宋_GB2312" w:cs="仿宋_GB2312"/>
          <w:color w:val="auto"/>
          <w:sz w:val="32"/>
          <w:szCs w:val="32"/>
          <w:lang w:val="en-US" w:eastAsia="zh-CN"/>
        </w:rPr>
        <w:t>根据单位工作需要，临时增加工作较多，如：江茸乡太阳能路灯采购、民族杂志征订费、色地洲穹桥梁建设、太阳能路灯采购等</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导致预算资金与实际支出有一定出入，</w:t>
      </w:r>
      <w:r>
        <w:rPr>
          <w:rFonts w:hint="eastAsia" w:ascii="仿宋_GB2312" w:hAnsi="仿宋_GB2312" w:eastAsia="仿宋_GB2312" w:cs="仿宋_GB2312"/>
          <w:color w:val="auto"/>
          <w:sz w:val="32"/>
          <w:szCs w:val="32"/>
          <w:lang w:eastAsia="zh-CN"/>
        </w:rPr>
        <w:t>二是</w:t>
      </w:r>
      <w:r>
        <w:rPr>
          <w:rFonts w:hint="eastAsia" w:ascii="仿宋_GB2312" w:hAnsi="仿宋_GB2312" w:eastAsia="仿宋_GB2312" w:cs="仿宋_GB2312"/>
          <w:color w:val="auto"/>
          <w:sz w:val="32"/>
          <w:szCs w:val="32"/>
          <w:lang w:val="en-US" w:eastAsia="zh-CN"/>
        </w:rPr>
        <w:t>致使偏离了批复的预算</w:t>
      </w:r>
      <w:r>
        <w:rPr>
          <w:rFonts w:hint="eastAsia" w:ascii="仿宋_GB2312" w:hAnsi="仿宋_GB2312" w:eastAsia="仿宋_GB2312" w:cs="仿宋_GB2312"/>
          <w:color w:val="auto"/>
          <w:sz w:val="32"/>
          <w:szCs w:val="32"/>
          <w:lang w:eastAsia="zh-CN"/>
        </w:rPr>
        <w:t>。下一步改进措施：一是</w:t>
      </w:r>
      <w:r>
        <w:rPr>
          <w:rFonts w:hint="eastAsia" w:ascii="仿宋_GB2312" w:hAnsi="仿宋_GB2312" w:eastAsia="仿宋_GB2312" w:cs="仿宋_GB2312"/>
          <w:color w:val="auto"/>
          <w:sz w:val="32"/>
          <w:szCs w:val="32"/>
          <w:lang w:val="en-US" w:eastAsia="zh-CN"/>
        </w:rPr>
        <w:t>改进措施，强化对预算管理的重视程度，</w:t>
      </w:r>
      <w:r>
        <w:rPr>
          <w:rFonts w:hint="eastAsia" w:ascii="仿宋_GB2312" w:hAnsi="仿宋_GB2312" w:eastAsia="仿宋_GB2312" w:cs="仿宋_GB2312"/>
          <w:color w:val="auto"/>
          <w:sz w:val="32"/>
          <w:szCs w:val="32"/>
          <w:lang w:eastAsia="zh-CN"/>
        </w:rPr>
        <w:t>二是</w:t>
      </w:r>
      <w:r>
        <w:rPr>
          <w:rFonts w:hint="eastAsia" w:ascii="仿宋_GB2312" w:hAnsi="仿宋_GB2312" w:eastAsia="仿宋_GB2312" w:cs="仿宋_GB2312"/>
          <w:color w:val="auto"/>
          <w:sz w:val="32"/>
          <w:szCs w:val="32"/>
          <w:lang w:val="en-US" w:eastAsia="zh-CN"/>
        </w:rPr>
        <w:t>注重预算编制质量的提升，三是提升预算的执行力和控制力度。</w:t>
      </w:r>
    </w:p>
    <w:p>
      <w:pPr>
        <w:numPr>
          <w:ilvl w:val="0"/>
          <w:numId w:val="4"/>
        </w:numPr>
        <w:spacing w:line="580" w:lineRule="exact"/>
        <w:ind w:firstLine="643" w:firstLineChars="200"/>
        <w:rPr>
          <w:rFonts w:hint="eastAsia" w:ascii="仿宋_GB2312" w:hAnsi="仿宋_GB2312" w:eastAsia="仿宋_GB2312" w:cs="仿宋_GB2312"/>
          <w:color w:val="auto"/>
          <w:sz w:val="32"/>
          <w:szCs w:val="32"/>
          <w:lang w:val="en-US" w:eastAsia="zh-CN"/>
        </w:rPr>
      </w:pPr>
      <w:r>
        <w:rPr>
          <w:rFonts w:hint="eastAsia" w:ascii="仿宋" w:hAnsi="仿宋" w:eastAsia="仿宋" w:cs="楷体_GB2312"/>
          <w:b/>
          <w:bCs/>
          <w:color w:val="auto"/>
          <w:sz w:val="32"/>
          <w:szCs w:val="32"/>
        </w:rPr>
        <w:t>项目绩效目标完成情况。</w:t>
      </w:r>
      <w:r>
        <w:rPr>
          <w:rFonts w:hint="eastAsia" w:ascii="楷体_GB2312" w:hAnsi="楷体_GB2312" w:eastAsia="楷体_GB2312" w:cs="楷体_GB2312"/>
          <w:b/>
          <w:bCs/>
          <w:color w:val="auto"/>
          <w:sz w:val="32"/>
          <w:szCs w:val="32"/>
        </w:rPr>
        <w:br w:type="textWrapping"/>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本部门在2018年度部门决算中反映民族杂志征订费、江茸乡太阳能路灯采购、色地洲穹桥梁建设、太阳能路灯采购等4个项目绩效目标实际完成情况。（本单位部门项目绩效目标个数在4个以上的，选取4个项目进行公开，目标个数在4个以下的，全部进行公开，公开内容包括完成情况综述和完成情况表）。</w:t>
      </w:r>
    </w:p>
    <w:p>
      <w:pPr>
        <w:numPr>
          <w:ilvl w:val="0"/>
          <w:numId w:val="5"/>
        </w:num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民族杂志征订费</w:t>
      </w:r>
      <w:r>
        <w:rPr>
          <w:rFonts w:hint="eastAsia" w:ascii="仿宋_GB2312" w:hAnsi="仿宋_GB2312" w:eastAsia="仿宋_GB2312" w:cs="仿宋_GB2312"/>
          <w:color w:val="auto"/>
          <w:sz w:val="32"/>
          <w:szCs w:val="32"/>
        </w:rPr>
        <w:t>项目绩效目标完成情况综述。项目全年预算数</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万元，执行数为</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万元，完成预算的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%。通过项目实施，保障完成《民族》和《中国民族》杂志征订，让各单位了解藏民族文化</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(按照项目总体目标简要描述项目成效），发现的主要问题：</w:t>
      </w:r>
      <w:r>
        <w:rPr>
          <w:rFonts w:hint="eastAsia" w:ascii="仿宋_GB2312" w:hAnsi="仿宋_GB2312" w:eastAsia="仿宋_GB2312" w:cs="仿宋_GB2312"/>
          <w:color w:val="auto"/>
          <w:sz w:val="32"/>
          <w:szCs w:val="32"/>
          <w:lang w:eastAsia="zh-CN"/>
        </w:rPr>
        <w:t>无</w:t>
      </w:r>
      <w:r>
        <w:rPr>
          <w:rFonts w:hint="eastAsia" w:ascii="仿宋_GB2312" w:hAnsi="仿宋_GB2312" w:eastAsia="仿宋_GB2312" w:cs="仿宋_GB2312"/>
          <w:color w:val="auto"/>
          <w:sz w:val="32"/>
          <w:szCs w:val="32"/>
        </w:rPr>
        <w:t>。下一步改进措施：</w:t>
      </w:r>
      <w:r>
        <w:rPr>
          <w:rFonts w:hint="eastAsia" w:ascii="仿宋_GB2312" w:hAnsi="仿宋_GB2312" w:eastAsia="仿宋_GB2312" w:cs="仿宋_GB2312"/>
          <w:color w:val="auto"/>
          <w:sz w:val="32"/>
          <w:szCs w:val="32"/>
          <w:lang w:eastAsia="zh-CN"/>
        </w:rPr>
        <w:t>无。</w:t>
      </w:r>
    </w:p>
    <w:tbl>
      <w:tblPr>
        <w:tblStyle w:val="14"/>
        <w:tblW w:w="9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522" w:type="dxa"/>
            <w:gridSpan w:val="8"/>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32"/>
                <w:szCs w:val="32"/>
                <w:u w:val="none"/>
                <w:lang w:val="en-US" w:eastAsia="zh-CN" w:bidi="ar"/>
              </w:rPr>
              <w:t>项目支出绩效目标完成情况表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4"/>
                <w:szCs w:val="24"/>
                <w:u w:val="none"/>
              </w:rPr>
            </w:pPr>
            <w:r>
              <w:rPr>
                <w:rFonts w:hint="eastAsia" w:ascii="仿宋_GB2312" w:hAnsi="仿宋_GB2312" w:eastAsia="仿宋_GB2312" w:cs="仿宋_GB2312"/>
                <w:color w:val="auto"/>
                <w:sz w:val="32"/>
                <w:szCs w:val="32"/>
                <w:lang w:eastAsia="zh-CN"/>
              </w:rPr>
              <w:t>民族杂志征订费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4"/>
                <w:szCs w:val="24"/>
                <w:u w:val="none"/>
                <w:lang w:eastAsia="zh-CN"/>
              </w:rPr>
            </w:pPr>
            <w:r>
              <w:rPr>
                <w:rFonts w:hint="eastAsia" w:ascii="宋体" w:hAnsi="宋体" w:cs="宋体"/>
                <w:b/>
                <w:i w:val="0"/>
                <w:color w:val="auto"/>
                <w:sz w:val="24"/>
                <w:szCs w:val="24"/>
                <w:u w:val="none"/>
                <w:lang w:eastAsia="zh-CN"/>
              </w:rPr>
              <w:t>民宗局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4"/>
                <w:szCs w:val="24"/>
                <w:u w:val="none"/>
                <w:lang w:val="en-US" w:eastAsia="zh-CN"/>
              </w:rPr>
            </w:pPr>
            <w:r>
              <w:rPr>
                <w:rFonts w:hint="eastAsia" w:ascii="宋体" w:hAnsi="宋体" w:cs="宋体"/>
                <w:b/>
                <w:i w:val="0"/>
                <w:color w:val="auto"/>
                <w:sz w:val="24"/>
                <w:szCs w:val="24"/>
                <w:u w:val="none"/>
                <w:lang w:val="en-US" w:eastAsia="zh-CN"/>
              </w:rPr>
              <w:t>1</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4"/>
                <w:szCs w:val="24"/>
                <w:u w:val="none"/>
                <w:lang w:val="en-US" w:eastAsia="zh-CN"/>
              </w:rPr>
            </w:pPr>
            <w:r>
              <w:rPr>
                <w:rFonts w:hint="eastAsia" w:ascii="宋体" w:hAnsi="宋体" w:cs="宋体"/>
                <w:b/>
                <w:i w:val="0"/>
                <w:color w:val="auto"/>
                <w:sz w:val="24"/>
                <w:szCs w:val="24"/>
                <w:u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4"/>
                <w:szCs w:val="24"/>
                <w:u w:val="none"/>
                <w:lang w:val="en-US" w:eastAsia="zh-CN"/>
              </w:rPr>
            </w:pPr>
            <w:r>
              <w:rPr>
                <w:rFonts w:hint="eastAsia" w:ascii="宋体" w:hAnsi="宋体" w:cs="宋体"/>
                <w:b/>
                <w:i w:val="0"/>
                <w:color w:val="auto"/>
                <w:sz w:val="24"/>
                <w:szCs w:val="24"/>
                <w:u w:val="none"/>
                <w:lang w:val="en-US" w:eastAsia="zh-CN"/>
              </w:rPr>
              <w:t>1</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4"/>
                <w:szCs w:val="24"/>
                <w:u w:val="none"/>
                <w:lang w:val="en-US" w:eastAsia="zh-CN"/>
              </w:rPr>
            </w:pPr>
            <w:r>
              <w:rPr>
                <w:rFonts w:hint="eastAsia" w:ascii="宋体" w:hAnsi="宋体" w:cs="宋体"/>
                <w:b/>
                <w:i w:val="0"/>
                <w:color w:val="auto"/>
                <w:sz w:val="24"/>
                <w:szCs w:val="24"/>
                <w:u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4"/>
                <w:szCs w:val="24"/>
                <w:u w:val="none"/>
                <w:lang w:val="en-US" w:eastAsia="zh-CN"/>
              </w:rPr>
            </w:pPr>
            <w:r>
              <w:rPr>
                <w:rFonts w:hint="eastAsia" w:ascii="宋体" w:hAnsi="宋体" w:cs="宋体"/>
                <w:b/>
                <w:i w:val="0"/>
                <w:color w:val="auto"/>
                <w:sz w:val="24"/>
                <w:szCs w:val="24"/>
                <w:u w:val="none"/>
                <w:lang w:val="en-US" w:eastAsia="zh-CN"/>
              </w:rPr>
              <w:t>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4"/>
                <w:szCs w:val="24"/>
                <w:u w:val="none"/>
                <w:lang w:val="en-US" w:eastAsia="zh-CN"/>
              </w:rPr>
            </w:pPr>
            <w:r>
              <w:rPr>
                <w:rFonts w:hint="eastAsia" w:ascii="宋体" w:hAnsi="宋体" w:cs="宋体"/>
                <w:b/>
                <w:i w:val="0"/>
                <w:color w:val="auto"/>
                <w:sz w:val="24"/>
                <w:szCs w:val="24"/>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4"/>
                <w:szCs w:val="24"/>
                <w:u w:val="none"/>
              </w:rPr>
            </w:pPr>
            <w:r>
              <w:rPr>
                <w:rFonts w:hint="eastAsia" w:ascii="仿宋_GB2312" w:hAnsi="仿宋_GB2312" w:eastAsia="仿宋_GB2312" w:cs="仿宋_GB2312"/>
                <w:color w:val="auto"/>
                <w:sz w:val="24"/>
                <w:szCs w:val="24"/>
              </w:rPr>
              <w:t>《民族》藏文版38本,汉文版53本，《中国民族》2份</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4"/>
                <w:szCs w:val="24"/>
                <w:u w:val="none"/>
              </w:rPr>
            </w:pPr>
            <w:r>
              <w:rPr>
                <w:rFonts w:hint="eastAsia" w:ascii="仿宋_GB2312" w:hAnsi="仿宋_GB2312" w:eastAsia="仿宋_GB2312" w:cs="仿宋_GB2312"/>
                <w:color w:val="auto"/>
                <w:sz w:val="24"/>
                <w:szCs w:val="24"/>
              </w:rPr>
              <w:t>《民族》藏文版38本,汉文版53本，《中国民族》2份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auto"/>
                <w:sz w:val="18"/>
                <w:szCs w:val="18"/>
                <w:u w:val="none"/>
              </w:rPr>
            </w:pPr>
            <w:r>
              <w:rPr>
                <w:rFonts w:hint="eastAsia" w:ascii="宋体" w:hAnsi="宋体" w:eastAsia="宋体" w:cs="宋体"/>
                <w:b/>
                <w:i w:val="0"/>
                <w:color w:val="auto"/>
                <w:kern w:val="0"/>
                <w:sz w:val="18"/>
                <w:szCs w:val="18"/>
                <w:u w:val="none"/>
                <w:lang w:val="en-US" w:eastAsia="zh-CN" w:bidi="ar"/>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auto"/>
                <w:sz w:val="18"/>
                <w:szCs w:val="18"/>
                <w:u w:val="none"/>
              </w:rPr>
            </w:pPr>
            <w:r>
              <w:rPr>
                <w:rFonts w:hint="eastAsia" w:ascii="宋体" w:hAnsi="宋体" w:eastAsia="宋体" w:cs="宋体"/>
                <w:b/>
                <w:i w:val="0"/>
                <w:color w:val="auto"/>
                <w:kern w:val="0"/>
                <w:sz w:val="18"/>
                <w:szCs w:val="18"/>
                <w:u w:val="none"/>
                <w:lang w:val="en-US" w:eastAsia="zh-CN" w:bidi="ar"/>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auto"/>
                <w:sz w:val="18"/>
                <w:szCs w:val="18"/>
                <w:u w:val="none"/>
              </w:rPr>
            </w:pPr>
            <w:r>
              <w:rPr>
                <w:rFonts w:hint="eastAsia" w:ascii="宋体" w:hAnsi="宋体" w:eastAsia="宋体" w:cs="宋体"/>
                <w:b/>
                <w:i w:val="0"/>
                <w:color w:val="auto"/>
                <w:kern w:val="0"/>
                <w:sz w:val="18"/>
                <w:szCs w:val="18"/>
                <w:u w:val="none"/>
                <w:lang w:val="en-US" w:eastAsia="zh-CN" w:bidi="ar"/>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val="en-US" w:eastAsia="zh-CN"/>
              </w:rPr>
              <w:t>100%</w:t>
            </w:r>
            <w:r>
              <w:rPr>
                <w:rFonts w:hint="eastAsia" w:ascii="宋体" w:hAnsi="宋体" w:eastAsia="宋体" w:cs="宋体"/>
                <w:i w:val="0"/>
                <w:color w:val="auto"/>
                <w:sz w:val="20"/>
                <w:szCs w:val="20"/>
                <w:u w:val="none"/>
              </w:rPr>
              <w:t>《民族》藏文版38本,汉文版53本，《中国民族》2份</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val="en-US" w:eastAsia="zh-CN"/>
              </w:rPr>
              <w:t>100%%</w:t>
            </w:r>
            <w:r>
              <w:rPr>
                <w:rFonts w:hint="eastAsia" w:ascii="宋体" w:hAnsi="宋体" w:eastAsia="宋体" w:cs="宋体"/>
                <w:i w:val="0"/>
                <w:color w:val="auto"/>
                <w:sz w:val="20"/>
                <w:szCs w:val="20"/>
                <w:u w:val="none"/>
              </w:rPr>
              <w:t>《民族》藏文版38本,汉文版53本，《中国民族》2份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eastAsia="宋体" w:cs="宋体"/>
                <w:i w:val="0"/>
                <w:color w:val="auto"/>
                <w:sz w:val="20"/>
                <w:szCs w:val="20"/>
                <w:u w:val="none"/>
              </w:rPr>
              <w:t>《民族》藏文版38本,汉文版53本，《中国民族》2份</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eastAsia="宋体" w:cs="宋体"/>
                <w:i w:val="0"/>
                <w:color w:val="auto"/>
                <w:sz w:val="20"/>
                <w:szCs w:val="20"/>
                <w:u w:val="none"/>
              </w:rPr>
              <w:t>《民族》藏文版38本,汉文版53本，《中国民族》2份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eastAsia="宋体" w:cs="宋体"/>
                <w:i w:val="0"/>
                <w:color w:val="auto"/>
                <w:sz w:val="20"/>
                <w:szCs w:val="20"/>
                <w:u w:val="none"/>
              </w:rPr>
              <w:t>《民族》藏文版38本,汉文版53本，《中国民族》2份</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eastAsia="宋体" w:cs="宋体"/>
                <w:i w:val="0"/>
                <w:color w:val="auto"/>
                <w:sz w:val="20"/>
                <w:szCs w:val="20"/>
                <w:u w:val="none"/>
              </w:rPr>
              <w:t>《民族》藏文版38本,汉文版53本，《中国民族》2份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每年都征订杂志，让各单位了解藏民族文化。</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每年都征订杂志，让各单位了解藏民族文化。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8"/>
                <w:szCs w:val="18"/>
              </w:rPr>
              <w:t>规划符合实际，暂无调整变化</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8"/>
                <w:szCs w:val="18"/>
              </w:rPr>
              <w:t>规划符合实际，暂无调整变化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分配方法科学合理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分配方法科学合理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kern w:val="0"/>
                <w:sz w:val="20"/>
                <w:szCs w:val="2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kern w:val="0"/>
                <w:sz w:val="20"/>
                <w:szCs w:val="2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22"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eastAsia="宋体" w:cs="宋体"/>
                <w:i w:val="0"/>
                <w:color w:val="auto"/>
                <w:sz w:val="20"/>
                <w:szCs w:val="20"/>
                <w:u w:val="none"/>
              </w:rPr>
              <w:t>《民族》藏文版38本,汉文版53本，《中国民族》2份</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eastAsia="宋体" w:cs="宋体"/>
                <w:i w:val="0"/>
                <w:color w:val="auto"/>
                <w:sz w:val="20"/>
                <w:szCs w:val="20"/>
                <w:u w:val="none"/>
              </w:rPr>
              <w:t>《民族》藏文版38本,汉文版53本，《中国民族》2份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sz w:val="20"/>
                <w:szCs w:val="20"/>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sz w:val="20"/>
                <w:szCs w:val="20"/>
              </w:rPr>
              <w:t>2018年12月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sz w:val="20"/>
                <w:szCs w:val="20"/>
              </w:rPr>
              <w:t>2018年12月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sz w:val="20"/>
                <w:szCs w:val="2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每年都征订杂志，让各单位了解藏民族文化。</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每年都征订杂志，让各单位了解藏民族文化。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每年都征订杂志，让各单位了解藏民族文化。</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每年都征订杂志，让各单位了解藏民族文化。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让各单位了解藏民族文化。</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让各单位了解藏民族文化。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sz w:val="20"/>
                <w:szCs w:val="20"/>
              </w:rPr>
              <w:t>对本项目事实满意度好。无异议</w:t>
            </w:r>
          </w:p>
        </w:tc>
      </w:tr>
    </w:tbl>
    <w:p>
      <w:pPr>
        <w:numPr>
          <w:ilvl w:val="0"/>
          <w:numId w:val="5"/>
        </w:num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江茸乡太阳能路灯采购</w:t>
      </w:r>
      <w:r>
        <w:rPr>
          <w:rFonts w:hint="eastAsia" w:ascii="仿宋_GB2312" w:hAnsi="仿宋_GB2312" w:eastAsia="仿宋_GB2312" w:cs="仿宋_GB2312"/>
          <w:color w:val="auto"/>
          <w:sz w:val="32"/>
          <w:szCs w:val="32"/>
        </w:rPr>
        <w:t>项目绩效目标完成情况综述。项目全年预算数</w:t>
      </w:r>
      <w:r>
        <w:rPr>
          <w:rFonts w:hint="eastAsia" w:ascii="仿宋_GB2312" w:hAnsi="仿宋_GB2312" w:eastAsia="仿宋_GB2312" w:cs="仿宋_GB2312"/>
          <w:color w:val="auto"/>
          <w:sz w:val="32"/>
          <w:szCs w:val="32"/>
          <w:lang w:val="en-US" w:eastAsia="zh-CN"/>
        </w:rPr>
        <w:t>30</w:t>
      </w:r>
      <w:r>
        <w:rPr>
          <w:rFonts w:hint="eastAsia" w:ascii="仿宋_GB2312" w:hAnsi="仿宋_GB2312" w:eastAsia="仿宋_GB2312" w:cs="仿宋_GB2312"/>
          <w:color w:val="auto"/>
          <w:sz w:val="32"/>
          <w:szCs w:val="32"/>
        </w:rPr>
        <w:t>万元，执行数为</w:t>
      </w:r>
      <w:r>
        <w:rPr>
          <w:rFonts w:hint="eastAsia" w:ascii="仿宋_GB2312" w:hAnsi="仿宋_GB2312" w:eastAsia="仿宋_GB2312" w:cs="仿宋_GB2312"/>
          <w:color w:val="auto"/>
          <w:sz w:val="32"/>
          <w:szCs w:val="32"/>
          <w:lang w:val="en-US" w:eastAsia="zh-CN"/>
        </w:rPr>
        <w:t>18.54</w:t>
      </w:r>
      <w:r>
        <w:rPr>
          <w:rFonts w:hint="eastAsia" w:ascii="仿宋_GB2312" w:hAnsi="仿宋_GB2312" w:eastAsia="仿宋_GB2312" w:cs="仿宋_GB2312"/>
          <w:color w:val="auto"/>
          <w:sz w:val="32"/>
          <w:szCs w:val="32"/>
        </w:rPr>
        <w:t>万元，完成预算的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%。通过项目实施，保障</w:t>
      </w:r>
      <w:r>
        <w:rPr>
          <w:rFonts w:hint="eastAsia" w:ascii="仿宋_GB2312" w:hAnsi="仿宋_GB2312" w:eastAsia="仿宋_GB2312" w:cs="仿宋_GB2312"/>
          <w:color w:val="auto"/>
          <w:sz w:val="32"/>
          <w:szCs w:val="32"/>
          <w:lang w:val="en-US" w:eastAsia="zh-CN"/>
        </w:rPr>
        <w:t>采购安装太阳能路灯，改善了该乡基础设施建设，提升了夜间出行方便。</w:t>
      </w:r>
      <w:r>
        <w:rPr>
          <w:rFonts w:hint="eastAsia" w:ascii="仿宋_GB2312" w:hAnsi="仿宋_GB2312" w:eastAsia="仿宋_GB2312" w:cs="仿宋_GB2312"/>
          <w:color w:val="auto"/>
          <w:sz w:val="32"/>
          <w:szCs w:val="32"/>
        </w:rPr>
        <w:t>(按照项目总体目标简要描述项目成效），发现的主要问题：</w:t>
      </w:r>
      <w:r>
        <w:rPr>
          <w:rFonts w:hint="eastAsia" w:ascii="仿宋_GB2312" w:hAnsi="仿宋_GB2312" w:eastAsia="仿宋_GB2312" w:cs="仿宋_GB2312"/>
          <w:color w:val="auto"/>
          <w:sz w:val="32"/>
          <w:szCs w:val="32"/>
          <w:lang w:eastAsia="zh-CN"/>
        </w:rPr>
        <w:t>无</w:t>
      </w:r>
      <w:r>
        <w:rPr>
          <w:rFonts w:hint="eastAsia" w:ascii="仿宋_GB2312" w:hAnsi="仿宋_GB2312" w:eastAsia="仿宋_GB2312" w:cs="仿宋_GB2312"/>
          <w:color w:val="auto"/>
          <w:sz w:val="32"/>
          <w:szCs w:val="32"/>
        </w:rPr>
        <w:t>。下一步改进措施：</w:t>
      </w:r>
      <w:r>
        <w:rPr>
          <w:rFonts w:hint="eastAsia" w:ascii="仿宋_GB2312" w:hAnsi="仿宋_GB2312" w:eastAsia="仿宋_GB2312" w:cs="仿宋_GB2312"/>
          <w:color w:val="auto"/>
          <w:sz w:val="32"/>
          <w:szCs w:val="32"/>
          <w:lang w:eastAsia="zh-CN"/>
        </w:rPr>
        <w:t>无。</w:t>
      </w:r>
    </w:p>
    <w:tbl>
      <w:tblPr>
        <w:tblStyle w:val="14"/>
        <w:tblW w:w="9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522" w:type="dxa"/>
            <w:gridSpan w:val="8"/>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项目支出绩效目标完成情况表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4"/>
                <w:szCs w:val="24"/>
                <w:u w:val="none"/>
              </w:rPr>
            </w:pPr>
            <w:r>
              <w:rPr>
                <w:rFonts w:hint="eastAsia" w:ascii="仿宋_GB2312" w:eastAsia="仿宋_GB2312"/>
                <w:color w:val="auto"/>
                <w:sz w:val="21"/>
                <w:szCs w:val="21"/>
                <w:lang w:val="en-US" w:eastAsia="zh-CN"/>
              </w:rPr>
              <w:t>2018年在江茸乡江宫玛村和茸日玛村定居点采购安装太阳能路灯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4"/>
                <w:szCs w:val="24"/>
                <w:u w:val="none"/>
                <w:lang w:eastAsia="zh-CN"/>
              </w:rPr>
            </w:pPr>
            <w:r>
              <w:rPr>
                <w:rFonts w:hint="eastAsia" w:ascii="宋体" w:hAnsi="宋体" w:cs="宋体"/>
                <w:b/>
                <w:i w:val="0"/>
                <w:color w:val="auto"/>
                <w:sz w:val="24"/>
                <w:szCs w:val="24"/>
                <w:u w:val="none"/>
                <w:lang w:eastAsia="zh-CN"/>
              </w:rPr>
              <w:t>民宗局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4"/>
                <w:szCs w:val="24"/>
                <w:u w:val="none"/>
                <w:lang w:val="en-US" w:eastAsia="zh-CN"/>
              </w:rPr>
            </w:pPr>
            <w:r>
              <w:rPr>
                <w:rFonts w:hint="eastAsia" w:ascii="宋体" w:hAnsi="宋体" w:cs="宋体"/>
                <w:b/>
                <w:i w:val="0"/>
                <w:color w:val="auto"/>
                <w:sz w:val="24"/>
                <w:szCs w:val="24"/>
                <w:u w:val="none"/>
                <w:lang w:val="en-US" w:eastAsia="zh-CN"/>
              </w:rPr>
              <w:t>30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4"/>
                <w:szCs w:val="24"/>
                <w:u w:val="none"/>
                <w:lang w:val="en-US" w:eastAsia="zh-CN"/>
              </w:rPr>
            </w:pPr>
            <w:r>
              <w:rPr>
                <w:rFonts w:hint="eastAsia" w:ascii="宋体" w:hAnsi="宋体" w:cs="宋体"/>
                <w:b/>
                <w:i w:val="0"/>
                <w:color w:val="auto"/>
                <w:sz w:val="24"/>
                <w:szCs w:val="24"/>
                <w:u w:val="none"/>
                <w:lang w:val="en-US" w:eastAsia="zh-CN"/>
              </w:rPr>
              <w:t>18.54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4"/>
                <w:szCs w:val="24"/>
                <w:u w:val="none"/>
                <w:lang w:val="en-US" w:eastAsia="zh-CN"/>
              </w:rPr>
            </w:pPr>
            <w:r>
              <w:rPr>
                <w:rFonts w:hint="eastAsia" w:ascii="宋体" w:hAnsi="宋体" w:cs="宋体"/>
                <w:b/>
                <w:i w:val="0"/>
                <w:color w:val="auto"/>
                <w:sz w:val="24"/>
                <w:szCs w:val="24"/>
                <w:u w:val="none"/>
                <w:lang w:val="en-US" w:eastAsia="zh-CN"/>
              </w:rPr>
              <w:t>30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4"/>
                <w:szCs w:val="24"/>
                <w:u w:val="none"/>
                <w:lang w:val="en-US" w:eastAsia="zh-CN"/>
              </w:rPr>
            </w:pPr>
            <w:r>
              <w:rPr>
                <w:rFonts w:hint="eastAsia" w:ascii="宋体" w:hAnsi="宋体" w:cs="宋体"/>
                <w:b/>
                <w:i w:val="0"/>
                <w:color w:val="auto"/>
                <w:sz w:val="24"/>
                <w:szCs w:val="24"/>
                <w:u w:val="none"/>
                <w:lang w:val="en-US" w:eastAsia="zh-CN"/>
              </w:rPr>
              <w:t>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4"/>
                <w:szCs w:val="24"/>
                <w:u w:val="none"/>
                <w:lang w:val="en-US" w:eastAsia="zh-CN"/>
              </w:rPr>
            </w:pPr>
            <w:r>
              <w:rPr>
                <w:rFonts w:hint="eastAsia" w:ascii="宋体" w:hAnsi="宋体" w:cs="宋体"/>
                <w:b/>
                <w:i w:val="0"/>
                <w:color w:val="auto"/>
                <w:sz w:val="24"/>
                <w:szCs w:val="24"/>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eastAsia="仿宋_GB2312"/>
                <w:color w:val="auto"/>
                <w:sz w:val="21"/>
                <w:szCs w:val="21"/>
                <w:lang w:val="en-US" w:eastAsia="zh-CN"/>
              </w:rPr>
            </w:pPr>
            <w:r>
              <w:rPr>
                <w:rFonts w:hint="eastAsia" w:ascii="仿宋_GB2312" w:eastAsia="仿宋_GB2312"/>
                <w:color w:val="auto"/>
                <w:sz w:val="21"/>
                <w:szCs w:val="21"/>
                <w:lang w:val="en-US" w:eastAsia="zh-CN"/>
              </w:rPr>
              <w:t>2018年在江茸乡江宫玛村和茸日玛村定居点采购安装太阳能路灯66盏</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eastAsia="仿宋_GB2312"/>
                <w:color w:val="auto"/>
                <w:sz w:val="21"/>
                <w:szCs w:val="21"/>
                <w:lang w:val="en-US" w:eastAsia="zh-CN"/>
              </w:rPr>
            </w:pPr>
            <w:r>
              <w:rPr>
                <w:rFonts w:hint="eastAsia" w:ascii="仿宋_GB2312" w:eastAsia="仿宋_GB2312"/>
                <w:color w:val="auto"/>
                <w:sz w:val="21"/>
                <w:szCs w:val="21"/>
                <w:lang w:val="en-US" w:eastAsia="zh-CN"/>
              </w:rPr>
              <w:t>2018年在江茸乡江宫玛村和茸日玛村定居点采购安装太阳能路灯66盏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1"/>
                <w:szCs w:val="21"/>
                <w:u w:val="none"/>
              </w:rPr>
            </w:pPr>
            <w:r>
              <w:rPr>
                <w:rFonts w:hint="eastAsia" w:ascii="仿宋_GB2312" w:eastAsia="仿宋_GB2312"/>
                <w:color w:val="auto"/>
                <w:sz w:val="21"/>
                <w:szCs w:val="21"/>
                <w:lang w:val="en-US" w:eastAsia="zh-CN"/>
              </w:rPr>
              <w:t>100%采购安装太阳能路灯66盏，</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1"/>
                <w:szCs w:val="21"/>
                <w:u w:val="none"/>
              </w:rPr>
            </w:pPr>
            <w:r>
              <w:rPr>
                <w:rFonts w:hint="eastAsia" w:ascii="仿宋_GB2312" w:eastAsia="仿宋_GB2312"/>
                <w:color w:val="auto"/>
                <w:sz w:val="21"/>
                <w:szCs w:val="21"/>
                <w:lang w:val="en-US" w:eastAsia="zh-CN"/>
              </w:rPr>
              <w:t>100%采购安装太阳能路灯66盏，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及时完成了太阳能路灯采购</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及时完成了太阳能路灯采购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仿宋_GB2312" w:eastAsia="仿宋_GB2312"/>
                <w:color w:val="auto"/>
                <w:sz w:val="21"/>
                <w:szCs w:val="21"/>
                <w:lang w:val="en-US" w:eastAsia="zh-CN"/>
              </w:rPr>
              <w:t>采购安装太阳能路灯66盏，</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仿宋_GB2312" w:eastAsia="仿宋_GB2312"/>
                <w:color w:val="auto"/>
                <w:sz w:val="21"/>
                <w:szCs w:val="21"/>
                <w:lang w:val="en-US" w:eastAsia="zh-CN"/>
              </w:rPr>
              <w:t>采购安装太阳能路灯66盏，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阿州财行</w:t>
            </w:r>
            <w:r>
              <w:rPr>
                <w:rFonts w:hint="eastAsia" w:ascii="宋体" w:hAnsi="宋体" w:cs="宋体"/>
                <w:i w:val="0"/>
                <w:color w:val="auto"/>
                <w:sz w:val="20"/>
                <w:szCs w:val="20"/>
                <w:u w:val="none"/>
                <w:lang w:val="en-US" w:eastAsia="zh-CN"/>
              </w:rPr>
              <w:t>[2018]18号关于下达民族事业发展专项资金</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cs="仿宋_GB2312" w:asciiTheme="minorEastAsia" w:hAnsiTheme="minorEastAsia" w:eastAsiaTheme="minorEastAsia"/>
                <w:color w:val="auto"/>
                <w:kern w:val="0"/>
                <w:sz w:val="18"/>
                <w:szCs w:val="18"/>
              </w:rPr>
              <w:t>根据上级下达资金按时</w:t>
            </w:r>
            <w:r>
              <w:rPr>
                <w:rFonts w:hint="eastAsia" w:cs="仿宋_GB2312" w:asciiTheme="minorEastAsia" w:hAnsiTheme="minorEastAsia" w:eastAsiaTheme="minorEastAsia"/>
                <w:color w:val="auto"/>
                <w:kern w:val="0"/>
                <w:sz w:val="18"/>
                <w:szCs w:val="18"/>
                <w:lang w:eastAsia="zh-CN"/>
              </w:rPr>
              <w:t>及时采购太阳能路灯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ascii="仿宋_GB2312" w:eastAsia="仿宋_GB2312"/>
                <w:color w:val="auto"/>
                <w:sz w:val="21"/>
                <w:szCs w:val="21"/>
                <w:lang w:val="en-US" w:eastAsia="zh-CN"/>
              </w:rPr>
              <w:t>采购安装太阳能路灯66盏，</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仿宋_GB2312" w:eastAsia="仿宋_GB2312"/>
                <w:color w:val="auto"/>
                <w:sz w:val="21"/>
                <w:szCs w:val="21"/>
                <w:lang w:val="en-US" w:eastAsia="zh-CN"/>
              </w:rPr>
              <w:t>采购安装太阳能路灯66盏，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8"/>
                <w:szCs w:val="18"/>
              </w:rPr>
              <w:t>规划符合实际，暂无调整变化</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8"/>
                <w:szCs w:val="18"/>
              </w:rPr>
              <w:t>规划符合实际，暂无调整变化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阿州财行</w:t>
            </w:r>
            <w:r>
              <w:rPr>
                <w:rFonts w:hint="eastAsia" w:ascii="宋体" w:hAnsi="宋体" w:cs="宋体"/>
                <w:i w:val="0"/>
                <w:color w:val="auto"/>
                <w:sz w:val="20"/>
                <w:szCs w:val="20"/>
                <w:u w:val="none"/>
                <w:lang w:val="en-US" w:eastAsia="zh-CN"/>
              </w:rPr>
              <w:t>[2018]18号关于下达民族事业发展专项资金</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阿州财行</w:t>
            </w:r>
            <w:r>
              <w:rPr>
                <w:rFonts w:hint="eastAsia" w:ascii="宋体" w:hAnsi="宋体" w:cs="宋体"/>
                <w:i w:val="0"/>
                <w:color w:val="auto"/>
                <w:sz w:val="20"/>
                <w:szCs w:val="20"/>
                <w:u w:val="none"/>
                <w:lang w:val="en-US" w:eastAsia="zh-CN"/>
              </w:rPr>
              <w:t>[2018]18号关于下达民族事业发展专项资金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分配方法科学合理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分配方法科学合理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cs="宋体" w:asciiTheme="minorEastAsia" w:hAnsiTheme="minorEastAsia" w:eastAsiaTheme="minorEastAsia"/>
                <w:color w:val="auto"/>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cs="宋体" w:asciiTheme="minorEastAsia" w:hAnsiTheme="minorEastAsia" w:eastAsiaTheme="minorEastAsia"/>
                <w:color w:val="auto"/>
                <w:kern w:val="0"/>
                <w:sz w:val="20"/>
                <w:szCs w:val="20"/>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kern w:val="0"/>
                <w:sz w:val="20"/>
                <w:szCs w:val="2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仿宋_GB2312" w:eastAsia="仿宋_GB2312"/>
                <w:color w:val="auto"/>
                <w:sz w:val="21"/>
                <w:szCs w:val="21"/>
                <w:lang w:val="en-US" w:eastAsia="zh-CN"/>
              </w:rPr>
              <w:t>100%购安装太阳能路灯66盏</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仿宋_GB2312" w:eastAsia="仿宋_GB2312"/>
                <w:color w:val="auto"/>
                <w:sz w:val="21"/>
                <w:szCs w:val="21"/>
                <w:lang w:val="en-US" w:eastAsia="zh-CN"/>
              </w:rPr>
              <w:t>100%采购安装太阳能路灯66盏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sz w:val="20"/>
                <w:szCs w:val="20"/>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sz w:val="20"/>
                <w:szCs w:val="20"/>
              </w:rPr>
              <w:t>2018年12月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sz w:val="20"/>
                <w:szCs w:val="20"/>
              </w:rPr>
              <w:t>2018年12月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sz w:val="20"/>
                <w:szCs w:val="2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cs="宋体" w:asciiTheme="minorEastAsia" w:hAnsiTheme="minorEastAsia" w:eastAsiaTheme="minorEastAsia"/>
                <w:color w:val="auto"/>
                <w:sz w:val="20"/>
                <w:szCs w:val="20"/>
              </w:rPr>
            </w:pPr>
            <w:r>
              <w:rPr>
                <w:rFonts w:hint="eastAsia" w:cs="宋体" w:asciiTheme="minorEastAsia" w:hAnsiTheme="minorEastAsia" w:eastAsiaTheme="minorEastAsia"/>
                <w:color w:val="auto"/>
                <w:sz w:val="20"/>
                <w:szCs w:val="20"/>
                <w:lang w:val="en-US" w:eastAsia="zh-CN"/>
              </w:rPr>
              <w:t>采购安装太阳能路灯66盏。</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cs="宋体" w:asciiTheme="minorEastAsia" w:hAnsiTheme="minorEastAsia" w:eastAsiaTheme="minorEastAsia"/>
                <w:color w:val="auto"/>
                <w:sz w:val="20"/>
                <w:szCs w:val="20"/>
              </w:rPr>
            </w:pPr>
            <w:r>
              <w:rPr>
                <w:rFonts w:hint="eastAsia" w:cs="宋体" w:asciiTheme="minorEastAsia" w:hAnsiTheme="minorEastAsia" w:eastAsiaTheme="minorEastAsia"/>
                <w:color w:val="auto"/>
                <w:sz w:val="20"/>
                <w:szCs w:val="20"/>
                <w:lang w:val="en-US" w:eastAsia="zh-CN"/>
              </w:rPr>
              <w:t>采购安装太阳能路灯66盏。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sz w:val="20"/>
                <w:szCs w:val="20"/>
                <w:lang w:val="en-US" w:eastAsia="zh-CN"/>
              </w:rPr>
              <w:t>改善了该乡基础设施建设，提升了夜间出行方便。</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sz w:val="20"/>
                <w:szCs w:val="20"/>
                <w:lang w:val="en-US" w:eastAsia="zh-CN"/>
              </w:rPr>
              <w:t>善了该乡基础设施建设，提升了夜间出行方便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推广、引导使用清洁能源</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推广、引导使用清洁能源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sz w:val="20"/>
                <w:szCs w:val="20"/>
                <w:lang w:eastAsia="zh-CN"/>
              </w:rPr>
              <w:t>采</w:t>
            </w:r>
            <w:r>
              <w:rPr>
                <w:rFonts w:hint="eastAsia" w:cs="宋体" w:asciiTheme="minorEastAsia" w:hAnsiTheme="minorEastAsia" w:eastAsiaTheme="minorEastAsia"/>
                <w:color w:val="auto"/>
                <w:sz w:val="20"/>
                <w:szCs w:val="20"/>
                <w:lang w:val="en-US" w:eastAsia="zh-CN"/>
              </w:rPr>
              <w:t>购安装太阳能路灯，改善了该乡基础设施建设，提升了夜间出行方便。</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sz w:val="20"/>
                <w:szCs w:val="20"/>
                <w:lang w:val="en-US" w:eastAsia="zh-CN"/>
              </w:rPr>
              <w:t>采购安装太阳能路灯，改善了该乡基础设施建设，提升了夜间出行方便。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sz w:val="20"/>
                <w:szCs w:val="20"/>
              </w:rPr>
              <w:t>对本项目事实满意度好</w:t>
            </w:r>
            <w:r>
              <w:rPr>
                <w:rFonts w:hint="eastAsia" w:cs="宋体" w:asciiTheme="minorEastAsia" w:hAnsiTheme="minorEastAsia" w:eastAsiaTheme="minorEastAsia"/>
                <w:color w:val="auto"/>
                <w:sz w:val="20"/>
                <w:szCs w:val="20"/>
                <w:lang w:eastAsia="zh-CN"/>
              </w:rPr>
              <w:t>，</w:t>
            </w:r>
            <w:r>
              <w:rPr>
                <w:rFonts w:hint="eastAsia" w:cs="宋体" w:asciiTheme="minorEastAsia" w:hAnsiTheme="minorEastAsia" w:eastAsiaTheme="minorEastAsia"/>
                <w:color w:val="auto"/>
                <w:sz w:val="20"/>
                <w:szCs w:val="20"/>
              </w:rPr>
              <w:t>无异议。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sz w:val="20"/>
                <w:szCs w:val="20"/>
              </w:rPr>
              <w:t>对本项目事实满意度好</w:t>
            </w:r>
            <w:r>
              <w:rPr>
                <w:rFonts w:hint="eastAsia" w:cs="宋体" w:asciiTheme="minorEastAsia" w:hAnsiTheme="minorEastAsia" w:eastAsiaTheme="minorEastAsia"/>
                <w:color w:val="auto"/>
                <w:sz w:val="20"/>
                <w:szCs w:val="20"/>
                <w:lang w:eastAsia="zh-CN"/>
              </w:rPr>
              <w:t>，</w:t>
            </w:r>
            <w:r>
              <w:rPr>
                <w:rFonts w:hint="eastAsia" w:cs="宋体" w:asciiTheme="minorEastAsia" w:hAnsiTheme="minorEastAsia" w:eastAsiaTheme="minorEastAsia"/>
                <w:color w:val="auto"/>
                <w:sz w:val="20"/>
                <w:szCs w:val="20"/>
              </w:rPr>
              <w:t>无异议</w:t>
            </w:r>
          </w:p>
        </w:tc>
      </w:tr>
    </w:tbl>
    <w:p>
      <w:pPr>
        <w:numPr>
          <w:ilvl w:val="0"/>
          <w:numId w:val="5"/>
        </w:numPr>
        <w:spacing w:line="580" w:lineRule="exact"/>
        <w:ind w:firstLine="640" w:firstLineChars="200"/>
        <w:rPr>
          <w:rFonts w:ascii="仿宋_GB2312" w:hAnsi="仿宋_GB2312" w:eastAsia="仿宋_GB2312" w:cs="仿宋_GB2312"/>
          <w:color w:val="auto"/>
          <w:sz w:val="32"/>
          <w:szCs w:val="32"/>
        </w:rPr>
      </w:pPr>
      <w:bookmarkStart w:id="74" w:name="_GoBack"/>
      <w:bookmarkEnd w:id="74"/>
      <w:r>
        <w:rPr>
          <w:rFonts w:hint="eastAsia" w:ascii="仿宋_GB2312" w:hAnsi="仿宋_GB2312" w:eastAsia="仿宋_GB2312" w:cs="仿宋_GB2312"/>
          <w:color w:val="auto"/>
          <w:sz w:val="32"/>
          <w:szCs w:val="32"/>
          <w:lang w:val="en-US" w:eastAsia="zh-CN"/>
        </w:rPr>
        <w:t>色地洲穹桥梁建设</w:t>
      </w:r>
      <w:r>
        <w:rPr>
          <w:rFonts w:hint="eastAsia" w:ascii="仿宋_GB2312" w:hAnsi="仿宋_GB2312" w:eastAsia="仿宋_GB2312" w:cs="仿宋_GB2312"/>
          <w:color w:val="auto"/>
          <w:sz w:val="32"/>
          <w:szCs w:val="32"/>
        </w:rPr>
        <w:t>项目绩效目标完成情况综述。项目全年</w:t>
      </w:r>
      <w:r>
        <w:rPr>
          <w:rFonts w:hint="eastAsia" w:ascii="仿宋_GB2312" w:hAnsi="仿宋_GB2312" w:eastAsia="仿宋_GB2312" w:cs="仿宋_GB2312"/>
          <w:color w:val="auto"/>
          <w:sz w:val="32"/>
          <w:szCs w:val="32"/>
          <w:lang w:val="en-US" w:eastAsia="zh-CN"/>
        </w:rPr>
        <w:t>预算数13.6万元，执行数为13.6万元，</w:t>
      </w:r>
      <w:r>
        <w:rPr>
          <w:rFonts w:hint="eastAsia" w:ascii="仿宋_GB2312" w:hAnsi="仿宋_GB2312" w:eastAsia="仿宋_GB2312" w:cs="仿宋_GB2312"/>
          <w:color w:val="auto"/>
          <w:sz w:val="32"/>
          <w:szCs w:val="32"/>
        </w:rPr>
        <w:t>完成预算的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%。通过项目实施，</w:t>
      </w:r>
      <w:r>
        <w:rPr>
          <w:rFonts w:hint="eastAsia" w:ascii="仿宋_GB2312" w:hAnsi="仿宋_GB2312" w:eastAsia="仿宋_GB2312" w:cs="仿宋_GB2312"/>
          <w:color w:val="auto"/>
          <w:sz w:val="32"/>
          <w:szCs w:val="32"/>
          <w:lang w:val="zh-CN" w:eastAsia="zh-CN"/>
        </w:rPr>
        <w:t>良好的便捷繁荣小路也为区域环境治理带来便利</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(按照项目总体目标简要描述项目成效），发现的主要问题：</w:t>
      </w:r>
      <w:r>
        <w:rPr>
          <w:rFonts w:hint="eastAsia" w:ascii="仿宋_GB2312" w:hAnsi="仿宋_GB2312" w:eastAsia="仿宋_GB2312" w:cs="仿宋_GB2312"/>
          <w:color w:val="auto"/>
          <w:sz w:val="32"/>
          <w:szCs w:val="32"/>
          <w:lang w:eastAsia="zh-CN"/>
        </w:rPr>
        <w:t>无</w:t>
      </w:r>
      <w:r>
        <w:rPr>
          <w:rFonts w:hint="eastAsia" w:ascii="仿宋_GB2312" w:hAnsi="仿宋_GB2312" w:eastAsia="仿宋_GB2312" w:cs="仿宋_GB2312"/>
          <w:color w:val="auto"/>
          <w:sz w:val="32"/>
          <w:szCs w:val="32"/>
        </w:rPr>
        <w:t>。下一步改进措施：</w:t>
      </w:r>
      <w:r>
        <w:rPr>
          <w:rFonts w:hint="eastAsia" w:ascii="仿宋_GB2312" w:hAnsi="仿宋_GB2312" w:eastAsia="仿宋_GB2312" w:cs="仿宋_GB2312"/>
          <w:color w:val="auto"/>
          <w:sz w:val="32"/>
          <w:szCs w:val="32"/>
          <w:lang w:eastAsia="zh-CN"/>
        </w:rPr>
        <w:t>无。</w:t>
      </w:r>
    </w:p>
    <w:tbl>
      <w:tblPr>
        <w:tblStyle w:val="14"/>
        <w:tblW w:w="9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49"/>
        <w:gridCol w:w="764"/>
        <w:gridCol w:w="1048"/>
        <w:gridCol w:w="764"/>
        <w:gridCol w:w="1182"/>
        <w:gridCol w:w="1752"/>
        <w:gridCol w:w="1632"/>
        <w:gridCol w:w="182"/>
        <w:gridCol w:w="17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9522" w:type="dxa"/>
            <w:gridSpan w:val="9"/>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项目支出绩效目标完成情况表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项目名称</w:t>
            </w:r>
          </w:p>
        </w:tc>
        <w:tc>
          <w:tcPr>
            <w:tcW w:w="726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4"/>
                <w:szCs w:val="24"/>
                <w:u w:val="none"/>
              </w:rPr>
            </w:pPr>
            <w:r>
              <w:rPr>
                <w:rFonts w:hint="eastAsia" w:ascii="仿宋_GB2312" w:hAnsi="仿宋_GB2312" w:eastAsia="仿宋_GB2312" w:cs="仿宋_GB2312"/>
                <w:color w:val="auto"/>
                <w:sz w:val="32"/>
                <w:szCs w:val="32"/>
                <w:lang w:val="en-US" w:eastAsia="zh-CN"/>
              </w:rPr>
              <w:t>色地洲穹桥梁建设</w:t>
            </w:r>
            <w:r>
              <w:rPr>
                <w:rFonts w:hint="eastAsia" w:ascii="仿宋_GB2312" w:hAnsi="仿宋_GB2312" w:eastAsia="仿宋_GB2312" w:cs="仿宋_GB2312"/>
                <w:color w:val="auto"/>
                <w:sz w:val="32"/>
                <w:szCs w:val="32"/>
              </w:rPr>
              <w:t>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预算单位</w:t>
            </w:r>
          </w:p>
        </w:tc>
        <w:tc>
          <w:tcPr>
            <w:tcW w:w="726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4"/>
                <w:szCs w:val="24"/>
                <w:u w:val="none"/>
                <w:lang w:eastAsia="zh-CN"/>
              </w:rPr>
            </w:pPr>
            <w:r>
              <w:rPr>
                <w:rFonts w:hint="eastAsia" w:ascii="宋体" w:hAnsi="宋体" w:cs="宋体"/>
                <w:b/>
                <w:i w:val="0"/>
                <w:color w:val="auto"/>
                <w:sz w:val="24"/>
                <w:szCs w:val="24"/>
                <w:u w:val="none"/>
                <w:lang w:eastAsia="zh-CN"/>
              </w:rPr>
              <w:t>民宗局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4"/>
                <w:szCs w:val="24"/>
                <w:u w:val="none"/>
                <w:lang w:val="en-US" w:eastAsia="zh-CN"/>
              </w:rPr>
            </w:pPr>
            <w:r>
              <w:rPr>
                <w:rFonts w:hint="eastAsia" w:ascii="宋体" w:hAnsi="宋体" w:cs="宋体"/>
                <w:b/>
                <w:i w:val="0"/>
                <w:color w:val="auto"/>
                <w:sz w:val="24"/>
                <w:szCs w:val="24"/>
                <w:u w:val="none"/>
                <w:lang w:val="en-US" w:eastAsia="zh-CN"/>
              </w:rPr>
              <w:t>13.6</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执行数:</w:t>
            </w:r>
          </w:p>
        </w:tc>
        <w:tc>
          <w:tcPr>
            <w:tcW w:w="35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4"/>
                <w:szCs w:val="24"/>
                <w:u w:val="none"/>
                <w:lang w:val="en-US" w:eastAsia="zh-CN"/>
              </w:rPr>
            </w:pPr>
            <w:r>
              <w:rPr>
                <w:rFonts w:hint="eastAsia" w:ascii="宋体" w:hAnsi="宋体" w:cs="宋体"/>
                <w:b/>
                <w:i w:val="0"/>
                <w:color w:val="auto"/>
                <w:sz w:val="24"/>
                <w:szCs w:val="24"/>
                <w:u w:val="none"/>
                <w:lang w:val="en-US" w:eastAsia="zh-CN"/>
              </w:rPr>
              <w:t>13.6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4"/>
                <w:szCs w:val="24"/>
                <w:u w:val="none"/>
                <w:lang w:val="en-US" w:eastAsia="zh-CN"/>
              </w:rPr>
            </w:pPr>
            <w:r>
              <w:rPr>
                <w:rFonts w:hint="eastAsia" w:ascii="宋体" w:hAnsi="宋体" w:cs="宋体"/>
                <w:b/>
                <w:i w:val="0"/>
                <w:color w:val="auto"/>
                <w:sz w:val="24"/>
                <w:szCs w:val="24"/>
                <w:u w:val="none"/>
                <w:lang w:val="en-US" w:eastAsia="zh-CN"/>
              </w:rPr>
              <w:t>13.6</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其中-财政拨款:</w:t>
            </w:r>
          </w:p>
        </w:tc>
        <w:tc>
          <w:tcPr>
            <w:tcW w:w="35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4"/>
                <w:szCs w:val="24"/>
                <w:u w:val="none"/>
                <w:lang w:val="en-US" w:eastAsia="zh-CN"/>
              </w:rPr>
            </w:pPr>
            <w:r>
              <w:rPr>
                <w:rFonts w:hint="eastAsia" w:ascii="宋体" w:hAnsi="宋体" w:cs="宋体"/>
                <w:b/>
                <w:i w:val="0"/>
                <w:color w:val="auto"/>
                <w:sz w:val="24"/>
                <w:szCs w:val="24"/>
                <w:u w:val="none"/>
                <w:lang w:val="en-US" w:eastAsia="zh-CN"/>
              </w:rPr>
              <w:t>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其它资金:</w:t>
            </w:r>
          </w:p>
        </w:tc>
        <w:tc>
          <w:tcPr>
            <w:tcW w:w="35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4"/>
                <w:szCs w:val="24"/>
                <w:u w:val="none"/>
                <w:lang w:val="en-US" w:eastAsia="zh-CN"/>
              </w:rPr>
            </w:pPr>
            <w:r>
              <w:rPr>
                <w:rFonts w:hint="eastAsia" w:ascii="宋体" w:hAnsi="宋体" w:cs="宋体"/>
                <w:b/>
                <w:i w:val="0"/>
                <w:color w:val="auto"/>
                <w:sz w:val="24"/>
                <w:szCs w:val="24"/>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预期目标</w:t>
            </w:r>
          </w:p>
        </w:tc>
        <w:tc>
          <w:tcPr>
            <w:tcW w:w="649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eastAsia="仿宋_GB2312"/>
                <w:color w:val="auto"/>
                <w:sz w:val="21"/>
                <w:szCs w:val="21"/>
                <w:lang w:val="en-US" w:eastAsia="zh-CN"/>
              </w:rPr>
            </w:pPr>
            <w:r>
              <w:rPr>
                <w:rFonts w:hint="eastAsia" w:ascii="仿宋_GB2312" w:hAnsi="仿宋_GB2312" w:eastAsia="仿宋_GB2312" w:cs="仿宋_GB2312"/>
                <w:color w:val="auto"/>
                <w:sz w:val="32"/>
                <w:szCs w:val="32"/>
                <w:lang w:val="en-US" w:eastAsia="zh-CN"/>
              </w:rPr>
              <w:t>色地洲穹桥梁建设</w:t>
            </w:r>
          </w:p>
        </w:tc>
        <w:tc>
          <w:tcPr>
            <w:tcW w:w="649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eastAsia="仿宋_GB2312"/>
                <w:color w:val="auto"/>
                <w:sz w:val="21"/>
                <w:szCs w:val="21"/>
                <w:lang w:val="en-US" w:eastAsia="zh-CN"/>
              </w:rPr>
            </w:pPr>
            <w:r>
              <w:rPr>
                <w:rFonts w:hint="eastAsia" w:ascii="仿宋_GB2312" w:hAnsi="仿宋_GB2312" w:eastAsia="仿宋_GB2312" w:cs="仿宋_GB2312"/>
                <w:color w:val="auto"/>
                <w:sz w:val="32"/>
                <w:szCs w:val="32"/>
                <w:lang w:val="en-US" w:eastAsia="zh-CN"/>
              </w:rPr>
              <w:t>色地洲穹桥梁建设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预期指标值(包含数字及文字描述)</w:t>
            </w:r>
          </w:p>
        </w:tc>
        <w:tc>
          <w:tcPr>
            <w:tcW w:w="193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c>
          <w:tcPr>
            <w:tcW w:w="19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c>
          <w:tcPr>
            <w:tcW w:w="19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100%色地洲穹桥梁建设</w:t>
            </w:r>
          </w:p>
        </w:tc>
        <w:tc>
          <w:tcPr>
            <w:tcW w:w="1931"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100%色地洲穹桥梁建设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项目计划实施进度明确</w:t>
            </w:r>
          </w:p>
        </w:tc>
        <w:tc>
          <w:tcPr>
            <w:tcW w:w="181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及时完成了</w:t>
            </w:r>
            <w:r>
              <w:rPr>
                <w:rFonts w:hint="eastAsia" w:ascii="宋体" w:hAnsi="宋体" w:cs="宋体"/>
                <w:i w:val="0"/>
                <w:color w:val="auto"/>
                <w:sz w:val="20"/>
                <w:szCs w:val="20"/>
                <w:u w:val="none"/>
                <w:lang w:val="en-US" w:eastAsia="zh-CN"/>
              </w:rPr>
              <w:t>色地洲穹桥梁建设</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及时完成了</w:t>
            </w:r>
            <w:r>
              <w:rPr>
                <w:rFonts w:hint="eastAsia" w:ascii="宋体" w:hAnsi="宋体" w:cs="宋体"/>
                <w:i w:val="0"/>
                <w:color w:val="auto"/>
                <w:sz w:val="20"/>
                <w:szCs w:val="20"/>
                <w:u w:val="none"/>
                <w:lang w:val="en-US" w:eastAsia="zh-CN"/>
              </w:rPr>
              <w:t>色地洲穹桥梁建设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绩效目标设定符合实际需求的抽样项目点个数/抽样项目点总数×100%</w:t>
            </w:r>
          </w:p>
        </w:tc>
        <w:tc>
          <w:tcPr>
            <w:tcW w:w="181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val="en-US" w:eastAsia="zh-CN"/>
              </w:rPr>
              <w:t>1座桥梁</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val="en-US" w:eastAsia="zh-CN"/>
              </w:rPr>
              <w:t>1座桥梁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项目符合党中央、国务院和省委、省政府决策部署；符合当前经济社会发展需要</w:t>
            </w:r>
          </w:p>
        </w:tc>
        <w:tc>
          <w:tcPr>
            <w:tcW w:w="181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ascii="仿宋_GB2312" w:eastAsia="仿宋_GB2312"/>
                <w:color w:val="auto"/>
                <w:sz w:val="21"/>
                <w:szCs w:val="21"/>
                <w:lang w:val="en-US" w:eastAsia="zh-CN"/>
              </w:rPr>
              <w:t>关于下达2017年省级财政扶贫资金（少数民族发展资金）的通知》阿州财预﹝2017﹞10号</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cs="仿宋_GB2312" w:asciiTheme="minorEastAsia" w:hAnsiTheme="minorEastAsia" w:eastAsiaTheme="minorEastAsia"/>
                <w:color w:val="auto"/>
                <w:kern w:val="0"/>
                <w:sz w:val="18"/>
                <w:szCs w:val="18"/>
              </w:rPr>
              <w:t>根据上级下达资金按时</w:t>
            </w:r>
            <w:r>
              <w:rPr>
                <w:rFonts w:hint="eastAsia" w:cs="仿宋_GB2312" w:asciiTheme="minorEastAsia" w:hAnsiTheme="minorEastAsia" w:eastAsiaTheme="minorEastAsia"/>
                <w:color w:val="auto"/>
                <w:kern w:val="0"/>
                <w:sz w:val="18"/>
                <w:szCs w:val="18"/>
                <w:lang w:eastAsia="zh-CN"/>
              </w:rPr>
              <w:t>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连续性项目根据需要制定中长期实施规划</w:t>
            </w:r>
          </w:p>
        </w:tc>
        <w:tc>
          <w:tcPr>
            <w:tcW w:w="181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ascii="仿宋_GB2312" w:eastAsia="仿宋_GB2312"/>
                <w:color w:val="auto"/>
                <w:sz w:val="21"/>
                <w:szCs w:val="21"/>
                <w:lang w:val="en-US" w:eastAsia="zh-CN"/>
              </w:rPr>
              <w:t>一座桥梁，</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仿宋_GB2312" w:eastAsia="仿宋_GB2312"/>
                <w:color w:val="auto"/>
                <w:sz w:val="21"/>
                <w:szCs w:val="21"/>
                <w:lang w:val="en-US" w:eastAsia="zh-CN"/>
              </w:rPr>
              <w:t>一座桥梁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实施规划符合实际，并根据情况变化适时调整</w:t>
            </w:r>
          </w:p>
        </w:tc>
        <w:tc>
          <w:tcPr>
            <w:tcW w:w="181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8"/>
                <w:szCs w:val="18"/>
              </w:rPr>
              <w:t>规划符合实际，暂无调整变化</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8"/>
                <w:szCs w:val="18"/>
              </w:rPr>
              <w:t>规划符合实际，暂无调整变化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制定项目资金管理办法</w:t>
            </w:r>
          </w:p>
        </w:tc>
        <w:tc>
          <w:tcPr>
            <w:tcW w:w="181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是</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项目资金分配决策程序明确</w:t>
            </w:r>
          </w:p>
        </w:tc>
        <w:tc>
          <w:tcPr>
            <w:tcW w:w="181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仿宋_GB2312" w:eastAsia="仿宋_GB2312"/>
                <w:color w:val="auto"/>
                <w:sz w:val="21"/>
                <w:szCs w:val="21"/>
                <w:lang w:val="en-US" w:eastAsia="zh-CN"/>
              </w:rPr>
              <w:t>关于下达2017年省级财政扶贫资金（少数民族发展资金）的通知》阿州财预﹝2017﹞10号</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仿宋_GB2312" w:eastAsia="仿宋_GB2312"/>
                <w:color w:val="auto"/>
                <w:sz w:val="21"/>
                <w:szCs w:val="21"/>
                <w:lang w:val="en-US" w:eastAsia="zh-CN"/>
              </w:rPr>
              <w:t>关于下达2017年省级财政扶贫资金（少数民族发展资金）的通知》阿州财预﹝2017﹞10号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资金分配方法是否科学合理</w:t>
            </w:r>
          </w:p>
        </w:tc>
        <w:tc>
          <w:tcPr>
            <w:tcW w:w="181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分配方法科学合理</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分配方法科学合理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分配过程符合相关规定</w:t>
            </w:r>
          </w:p>
        </w:tc>
        <w:tc>
          <w:tcPr>
            <w:tcW w:w="181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是</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符合申报条件的抽样项目点个数/抽样项目点总数×100%</w:t>
            </w:r>
          </w:p>
        </w:tc>
        <w:tc>
          <w:tcPr>
            <w:tcW w:w="181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cs="宋体" w:asciiTheme="minorEastAsia" w:hAnsiTheme="minorEastAsia" w:eastAsiaTheme="minorEastAsia"/>
                <w:color w:val="auto"/>
                <w:kern w:val="0"/>
                <w:sz w:val="20"/>
                <w:szCs w:val="20"/>
                <w:lang w:val="en-US" w:eastAsia="zh-CN"/>
              </w:rPr>
              <w:t>1</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cs="宋体" w:asciiTheme="minorEastAsia" w:hAnsiTheme="minorEastAsia" w:eastAsiaTheme="minorEastAsia"/>
                <w:color w:val="auto"/>
                <w:kern w:val="0"/>
                <w:sz w:val="20"/>
                <w:szCs w:val="20"/>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财政资金占项目资金总额比重较小项目个数/项目总数×100%</w:t>
            </w:r>
          </w:p>
        </w:tc>
        <w:tc>
          <w:tcPr>
            <w:tcW w:w="181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kern w:val="0"/>
                <w:sz w:val="20"/>
                <w:szCs w:val="20"/>
              </w:rPr>
              <w:t>100%</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kern w:val="0"/>
                <w:sz w:val="20"/>
                <w:szCs w:val="2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按实际分配结果选择客观因素测算验证资金分配方法制定、分配要素设定、基础数据应用、测算依据选取等是否科学合理（2分）</w:t>
            </w:r>
          </w:p>
        </w:tc>
        <w:tc>
          <w:tcPr>
            <w:tcW w:w="181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是</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县级主管部门按规定及时分配资金</w:t>
            </w:r>
          </w:p>
        </w:tc>
        <w:tc>
          <w:tcPr>
            <w:tcW w:w="181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是</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按规定及时拨付资金</w:t>
            </w:r>
          </w:p>
        </w:tc>
        <w:tc>
          <w:tcPr>
            <w:tcW w:w="181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是</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资金使用是否合规</w:t>
            </w:r>
          </w:p>
        </w:tc>
        <w:tc>
          <w:tcPr>
            <w:tcW w:w="181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是</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资金支付依据符合规定，即支付依旧合规资金量/资金总量×100%</w:t>
            </w:r>
          </w:p>
        </w:tc>
        <w:tc>
          <w:tcPr>
            <w:tcW w:w="181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资金开支标准符合规定，即开支标准合规资金量/资金总量×100%</w:t>
            </w:r>
          </w:p>
        </w:tc>
        <w:tc>
          <w:tcPr>
            <w:tcW w:w="181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财务制度健全，管理规范</w:t>
            </w:r>
          </w:p>
        </w:tc>
        <w:tc>
          <w:tcPr>
            <w:tcW w:w="181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会计核算规范</w:t>
            </w:r>
          </w:p>
        </w:tc>
        <w:tc>
          <w:tcPr>
            <w:tcW w:w="181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项目调整严格履行相关手续</w:t>
            </w:r>
          </w:p>
        </w:tc>
        <w:tc>
          <w:tcPr>
            <w:tcW w:w="181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项目投资变更额/项目总投入×100%</w:t>
            </w:r>
          </w:p>
        </w:tc>
        <w:tc>
          <w:tcPr>
            <w:tcW w:w="181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是</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严格执行项目有关制度规定</w:t>
            </w:r>
          </w:p>
        </w:tc>
        <w:tc>
          <w:tcPr>
            <w:tcW w:w="181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实际完成任务量/绩效目标设定任务量×100%</w:t>
            </w:r>
          </w:p>
        </w:tc>
        <w:tc>
          <w:tcPr>
            <w:tcW w:w="181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建设一座桥梁</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建设一座桥梁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符合绩效目标设定的验收标准，达到行业基准水平</w:t>
            </w:r>
          </w:p>
        </w:tc>
        <w:tc>
          <w:tcPr>
            <w:tcW w:w="181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sz w:val="20"/>
                <w:szCs w:val="20"/>
              </w:rPr>
              <w:t>是</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sz w:val="20"/>
                <w:szCs w:val="20"/>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（实际完成时间-绩效目标设定完成时间）/绩效目标设定完成时间×100%</w:t>
            </w:r>
          </w:p>
        </w:tc>
        <w:tc>
          <w:tcPr>
            <w:tcW w:w="181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sz w:val="20"/>
                <w:szCs w:val="20"/>
              </w:rPr>
              <w:t>2018年</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sz w:val="20"/>
                <w:szCs w:val="20"/>
              </w:rPr>
              <w:t>2018年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（实际完成成本-预计完成成本）/预计完成成本×100%</w:t>
            </w:r>
          </w:p>
        </w:tc>
        <w:tc>
          <w:tcPr>
            <w:tcW w:w="181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sz w:val="20"/>
                <w:szCs w:val="20"/>
              </w:rPr>
              <w:t>100%</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sz w:val="20"/>
                <w:szCs w:val="2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反映相关产出对经济社会发展带来的影响和效果，根据项目实际细化具体指标。</w:t>
            </w:r>
          </w:p>
        </w:tc>
        <w:tc>
          <w:tcPr>
            <w:tcW w:w="181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jc w:val="both"/>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sz w:val="20"/>
                <w:szCs w:val="20"/>
                <w:lang w:eastAsia="zh-CN"/>
              </w:rPr>
              <w:t>解决了项目区群众生产通行困难问题</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sz w:val="20"/>
                <w:szCs w:val="20"/>
                <w:lang w:eastAsia="zh-CN"/>
              </w:rPr>
              <w:t>解决了项目区群众生产通行困难问题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反映相关产出对社会发展带来的影响和效果，根据项目实际细化具体指标。</w:t>
            </w:r>
          </w:p>
        </w:tc>
        <w:tc>
          <w:tcPr>
            <w:tcW w:w="181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cs="宋体" w:asciiTheme="minorEastAsia" w:hAnsiTheme="minorEastAsia" w:eastAsiaTheme="minorEastAsia"/>
                <w:color w:val="auto"/>
                <w:sz w:val="20"/>
                <w:szCs w:val="20"/>
                <w:lang w:eastAsia="zh-CN"/>
              </w:rPr>
            </w:pPr>
            <w:r>
              <w:rPr>
                <w:rFonts w:hint="eastAsia" w:cs="宋体" w:asciiTheme="minorEastAsia" w:hAnsiTheme="minorEastAsia" w:eastAsiaTheme="minorEastAsia"/>
                <w:color w:val="auto"/>
                <w:sz w:val="20"/>
                <w:szCs w:val="20"/>
                <w:lang w:val="zh-CN" w:eastAsia="zh-CN"/>
              </w:rPr>
              <w:t>良好的便捷繁荣小路也为区域环境治理带来便利。</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cs="宋体" w:asciiTheme="minorEastAsia" w:hAnsiTheme="minorEastAsia" w:eastAsiaTheme="minorEastAsia"/>
                <w:color w:val="auto"/>
                <w:sz w:val="20"/>
                <w:szCs w:val="20"/>
                <w:lang w:eastAsia="zh-CN"/>
              </w:rPr>
            </w:pPr>
            <w:r>
              <w:rPr>
                <w:rFonts w:hint="eastAsia" w:cs="宋体" w:asciiTheme="minorEastAsia" w:hAnsiTheme="minorEastAsia" w:eastAsiaTheme="minorEastAsia"/>
                <w:color w:val="auto"/>
                <w:sz w:val="20"/>
                <w:szCs w:val="20"/>
                <w:lang w:val="zh-CN" w:eastAsia="zh-CN"/>
              </w:rPr>
              <w:t>良好的便捷繁荣小路也为区域环境治理带来便利。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反映相关产出对自然环境带来的影响和效果，根据项目实际细化具体指标。</w:t>
            </w:r>
          </w:p>
        </w:tc>
        <w:tc>
          <w:tcPr>
            <w:tcW w:w="181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无</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无</w:t>
            </w:r>
          </w:p>
        </w:tc>
      </w:tr>
    </w:tbl>
    <w:p>
      <w:pPr>
        <w:numPr>
          <w:ilvl w:val="0"/>
          <w:numId w:val="5"/>
        </w:numPr>
        <w:spacing w:line="580" w:lineRule="exact"/>
        <w:ind w:firstLine="640" w:firstLineChars="200"/>
        <w:rPr>
          <w:rFonts w:ascii="仿宋_GB2312" w:hAnsi="仿宋_GB2312" w:eastAsia="仿宋_GB2312" w:cs="仿宋_GB2312"/>
          <w:color w:val="auto"/>
          <w:sz w:val="32"/>
          <w:szCs w:val="32"/>
        </w:rPr>
      </w:pPr>
      <w:r>
        <w:rPr>
          <w:rFonts w:hint="eastAsia" w:ascii="仿宋_GB2312" w:eastAsia="仿宋_GB2312"/>
          <w:color w:val="auto"/>
          <w:sz w:val="32"/>
          <w:szCs w:val="32"/>
          <w:lang w:val="en-US" w:eastAsia="zh-CN"/>
        </w:rPr>
        <w:t>太阳能路灯采购</w:t>
      </w:r>
      <w:r>
        <w:rPr>
          <w:rFonts w:hint="eastAsia" w:ascii="仿宋_GB2312" w:hAnsi="仿宋_GB2312" w:eastAsia="仿宋_GB2312" w:cs="仿宋_GB2312"/>
          <w:color w:val="auto"/>
          <w:sz w:val="32"/>
          <w:szCs w:val="32"/>
          <w:lang w:val="en-US" w:eastAsia="zh-CN"/>
        </w:rPr>
        <w:t>项目</w:t>
      </w:r>
      <w:r>
        <w:rPr>
          <w:rFonts w:hint="eastAsia" w:ascii="仿宋_GB2312" w:hAnsi="仿宋_GB2312" w:eastAsia="仿宋_GB2312" w:cs="仿宋_GB2312"/>
          <w:color w:val="auto"/>
          <w:sz w:val="32"/>
          <w:szCs w:val="32"/>
        </w:rPr>
        <w:t>绩效目标完成情况综述。项目全年预</w:t>
      </w:r>
      <w:r>
        <w:rPr>
          <w:rFonts w:hint="eastAsia" w:ascii="仿宋_GB2312" w:hAnsi="仿宋_GB2312" w:eastAsia="仿宋_GB2312" w:cs="仿宋_GB2312"/>
          <w:color w:val="auto"/>
          <w:sz w:val="32"/>
          <w:szCs w:val="32"/>
          <w:lang w:val="en-US" w:eastAsia="zh-CN"/>
        </w:rPr>
        <w:t>算数91万元，执行数为78.75万元，完成预算的100%。</w:t>
      </w:r>
      <w:r>
        <w:rPr>
          <w:rFonts w:hint="eastAsia" w:ascii="仿宋_GB2312" w:hAnsi="仿宋_GB2312" w:eastAsia="仿宋_GB2312" w:cs="仿宋_GB2312"/>
          <w:color w:val="auto"/>
          <w:sz w:val="32"/>
          <w:szCs w:val="32"/>
        </w:rPr>
        <w:t>通过项目实施，保障</w:t>
      </w:r>
      <w:r>
        <w:rPr>
          <w:rFonts w:hint="eastAsia" w:ascii="仿宋_GB2312" w:hAnsi="仿宋_GB2312" w:eastAsia="仿宋_GB2312" w:cs="仿宋_GB2312"/>
          <w:color w:val="auto"/>
          <w:sz w:val="32"/>
          <w:szCs w:val="32"/>
          <w:lang w:val="en-US" w:eastAsia="zh-CN"/>
        </w:rPr>
        <w:t>采购安装太阳能路灯，改善了该乡基础设施建设，提升了夜间出行方便。</w:t>
      </w:r>
      <w:r>
        <w:rPr>
          <w:rFonts w:hint="eastAsia" w:ascii="仿宋_GB2312" w:hAnsi="仿宋_GB2312" w:eastAsia="仿宋_GB2312" w:cs="仿宋_GB2312"/>
          <w:color w:val="auto"/>
          <w:sz w:val="32"/>
          <w:szCs w:val="32"/>
        </w:rPr>
        <w:t>(按照项目总体目标简要描述项目成效），发现的主要问题：</w:t>
      </w:r>
      <w:r>
        <w:rPr>
          <w:rFonts w:hint="eastAsia" w:ascii="仿宋_GB2312" w:hAnsi="仿宋_GB2312" w:eastAsia="仿宋_GB2312" w:cs="仿宋_GB2312"/>
          <w:color w:val="auto"/>
          <w:sz w:val="32"/>
          <w:szCs w:val="32"/>
          <w:lang w:eastAsia="zh-CN"/>
        </w:rPr>
        <w:t>无</w:t>
      </w:r>
      <w:r>
        <w:rPr>
          <w:rFonts w:hint="eastAsia" w:ascii="仿宋_GB2312" w:hAnsi="仿宋_GB2312" w:eastAsia="仿宋_GB2312" w:cs="仿宋_GB2312"/>
          <w:color w:val="auto"/>
          <w:sz w:val="32"/>
          <w:szCs w:val="32"/>
        </w:rPr>
        <w:t>。下一步改进措施：</w:t>
      </w:r>
      <w:r>
        <w:rPr>
          <w:rFonts w:hint="eastAsia" w:ascii="仿宋_GB2312" w:hAnsi="仿宋_GB2312" w:eastAsia="仿宋_GB2312" w:cs="仿宋_GB2312"/>
          <w:color w:val="auto"/>
          <w:sz w:val="32"/>
          <w:szCs w:val="32"/>
          <w:lang w:eastAsia="zh-CN"/>
        </w:rPr>
        <w:t>无。</w:t>
      </w:r>
    </w:p>
    <w:tbl>
      <w:tblPr>
        <w:tblStyle w:val="14"/>
        <w:tblW w:w="9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9522" w:type="dxa"/>
            <w:gridSpan w:val="8"/>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项目支出绩效目标完成情况表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4"/>
                <w:szCs w:val="24"/>
                <w:u w:val="none"/>
              </w:rPr>
            </w:pPr>
            <w:r>
              <w:rPr>
                <w:rFonts w:hint="eastAsia" w:ascii="仿宋_GB2312" w:hAnsi="仿宋_GB2312" w:eastAsia="仿宋_GB2312" w:cs="仿宋_GB2312"/>
                <w:color w:val="auto"/>
                <w:sz w:val="32"/>
                <w:szCs w:val="32"/>
                <w:lang w:eastAsia="zh-CN"/>
              </w:rPr>
              <w:t>太阳能路灯采购项目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4"/>
                <w:szCs w:val="24"/>
                <w:u w:val="none"/>
                <w:lang w:eastAsia="zh-CN"/>
              </w:rPr>
            </w:pPr>
            <w:r>
              <w:rPr>
                <w:rFonts w:hint="eastAsia" w:ascii="宋体" w:hAnsi="宋体" w:cs="宋体"/>
                <w:b/>
                <w:i w:val="0"/>
                <w:color w:val="auto"/>
                <w:sz w:val="24"/>
                <w:szCs w:val="24"/>
                <w:u w:val="none"/>
                <w:lang w:eastAsia="zh-CN"/>
              </w:rPr>
              <w:t>民宗局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4"/>
                <w:szCs w:val="24"/>
                <w:u w:val="none"/>
                <w:lang w:val="en-US" w:eastAsia="zh-CN"/>
              </w:rPr>
            </w:pPr>
            <w:r>
              <w:rPr>
                <w:rFonts w:hint="eastAsia" w:ascii="宋体" w:hAnsi="宋体" w:cs="宋体"/>
                <w:b/>
                <w:i w:val="0"/>
                <w:color w:val="auto"/>
                <w:sz w:val="24"/>
                <w:szCs w:val="24"/>
                <w:u w:val="none"/>
                <w:lang w:val="en-US" w:eastAsia="zh-CN"/>
              </w:rPr>
              <w:t>91</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4"/>
                <w:szCs w:val="24"/>
                <w:u w:val="none"/>
                <w:lang w:val="en-US" w:eastAsia="zh-CN"/>
              </w:rPr>
            </w:pPr>
            <w:r>
              <w:rPr>
                <w:rFonts w:hint="eastAsia" w:ascii="宋体" w:hAnsi="宋体" w:cs="宋体"/>
                <w:b/>
                <w:i w:val="0"/>
                <w:color w:val="auto"/>
                <w:sz w:val="24"/>
                <w:szCs w:val="24"/>
                <w:u w:val="none"/>
                <w:lang w:val="en-US" w:eastAsia="zh-CN"/>
              </w:rPr>
              <w:t>78.75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4"/>
                <w:szCs w:val="24"/>
                <w:u w:val="none"/>
                <w:lang w:val="en-US" w:eastAsia="zh-CN"/>
              </w:rPr>
            </w:pPr>
            <w:r>
              <w:rPr>
                <w:rFonts w:hint="eastAsia" w:ascii="宋体" w:hAnsi="宋体" w:cs="宋体"/>
                <w:b/>
                <w:i w:val="0"/>
                <w:color w:val="auto"/>
                <w:sz w:val="24"/>
                <w:szCs w:val="24"/>
                <w:u w:val="none"/>
                <w:lang w:val="en-US" w:eastAsia="zh-CN"/>
              </w:rPr>
              <w:t>91</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4"/>
                <w:szCs w:val="24"/>
                <w:u w:val="none"/>
                <w:lang w:val="en-US" w:eastAsia="zh-CN"/>
              </w:rPr>
            </w:pPr>
            <w:r>
              <w:rPr>
                <w:rFonts w:hint="eastAsia" w:ascii="宋体" w:hAnsi="宋体" w:cs="宋体"/>
                <w:b/>
                <w:i w:val="0"/>
                <w:color w:val="auto"/>
                <w:sz w:val="24"/>
                <w:szCs w:val="24"/>
                <w:u w:val="none"/>
                <w:lang w:val="en-US" w:eastAsia="zh-CN"/>
              </w:rPr>
              <w:t>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auto"/>
                <w:sz w:val="24"/>
                <w:szCs w:val="24"/>
                <w:u w:val="none"/>
                <w:lang w:val="en-US" w:eastAsia="zh-CN"/>
              </w:rPr>
            </w:pPr>
            <w:r>
              <w:rPr>
                <w:rFonts w:hint="eastAsia" w:ascii="宋体" w:hAnsi="宋体" w:cs="宋体"/>
                <w:b/>
                <w:i w:val="0"/>
                <w:color w:val="auto"/>
                <w:sz w:val="24"/>
                <w:szCs w:val="24"/>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eastAsia="仿宋_GB2312"/>
                <w:color w:val="auto"/>
                <w:sz w:val="21"/>
                <w:szCs w:val="21"/>
                <w:lang w:val="en-US" w:eastAsia="zh-CN"/>
              </w:rPr>
            </w:pPr>
            <w:r>
              <w:rPr>
                <w:rFonts w:hint="eastAsia" w:ascii="仿宋_GB2312" w:eastAsia="仿宋_GB2312"/>
                <w:color w:val="auto"/>
                <w:sz w:val="21"/>
                <w:szCs w:val="21"/>
                <w:lang w:val="en-US" w:eastAsia="zh-CN"/>
              </w:rPr>
              <w:t>2018年在江茸乡、麦洼乡、瓦切镇三个乡镇采购安装太阳能路灯145盏</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eastAsia="仿宋_GB2312"/>
                <w:color w:val="auto"/>
                <w:sz w:val="21"/>
                <w:szCs w:val="21"/>
                <w:lang w:val="en-US" w:eastAsia="zh-CN"/>
              </w:rPr>
            </w:pPr>
            <w:r>
              <w:rPr>
                <w:rFonts w:hint="eastAsia" w:ascii="仿宋_GB2312" w:eastAsia="仿宋_GB2312"/>
                <w:color w:val="auto"/>
                <w:sz w:val="21"/>
                <w:szCs w:val="21"/>
                <w:lang w:val="en-US" w:eastAsia="zh-CN"/>
              </w:rPr>
              <w:t>2018年在江茸乡、麦洼乡、瓦切镇三个乡镇采购安装太阳能路灯145盏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1"/>
                <w:szCs w:val="21"/>
                <w:u w:val="none"/>
              </w:rPr>
            </w:pPr>
            <w:r>
              <w:rPr>
                <w:rFonts w:hint="eastAsia" w:ascii="仿宋_GB2312" w:eastAsia="仿宋_GB2312"/>
                <w:color w:val="auto"/>
                <w:sz w:val="21"/>
                <w:szCs w:val="21"/>
                <w:lang w:val="en-US" w:eastAsia="zh-CN"/>
              </w:rPr>
              <w:t>采购安装太阳能路灯145盏，</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1"/>
                <w:szCs w:val="21"/>
                <w:u w:val="none"/>
              </w:rPr>
            </w:pPr>
            <w:r>
              <w:rPr>
                <w:rFonts w:hint="eastAsia" w:ascii="仿宋_GB2312" w:eastAsia="仿宋_GB2312"/>
                <w:color w:val="auto"/>
                <w:sz w:val="21"/>
                <w:szCs w:val="21"/>
                <w:lang w:val="en-US" w:eastAsia="zh-CN"/>
              </w:rPr>
              <w:t>采购安装太阳能路灯145盏，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及时完成了太阳能路灯采购</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及时完成了太阳能路灯采购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仿宋_GB2312" w:eastAsia="仿宋_GB2312"/>
                <w:color w:val="auto"/>
                <w:sz w:val="21"/>
                <w:szCs w:val="21"/>
                <w:lang w:val="en-US" w:eastAsia="zh-CN"/>
              </w:rPr>
              <w:t>采购安装太阳能路灯145盏，</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仿宋_GB2312" w:eastAsia="仿宋_GB2312"/>
                <w:color w:val="auto"/>
                <w:sz w:val="21"/>
                <w:szCs w:val="21"/>
                <w:lang w:val="en-US" w:eastAsia="zh-CN"/>
              </w:rPr>
              <w:t>采购安装太阳能路灯145盏，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阿州财行</w:t>
            </w:r>
            <w:r>
              <w:rPr>
                <w:rFonts w:hint="eastAsia" w:ascii="宋体" w:hAnsi="宋体" w:cs="宋体"/>
                <w:i w:val="0"/>
                <w:color w:val="auto"/>
                <w:sz w:val="20"/>
                <w:szCs w:val="20"/>
                <w:u w:val="none"/>
                <w:lang w:val="en-US" w:eastAsia="zh-CN"/>
              </w:rPr>
              <w:t>[2017]16号关于下达三州开发资金非统筹整合资金</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cs="仿宋_GB2312" w:asciiTheme="minorEastAsia" w:hAnsiTheme="minorEastAsia" w:eastAsiaTheme="minorEastAsia"/>
                <w:color w:val="auto"/>
                <w:kern w:val="0"/>
                <w:sz w:val="18"/>
                <w:szCs w:val="18"/>
              </w:rPr>
              <w:t>根据上级下达资金按时</w:t>
            </w:r>
            <w:r>
              <w:rPr>
                <w:rFonts w:hint="eastAsia" w:cs="仿宋_GB2312" w:asciiTheme="minorEastAsia" w:hAnsiTheme="minorEastAsia" w:eastAsiaTheme="minorEastAsia"/>
                <w:color w:val="auto"/>
                <w:kern w:val="0"/>
                <w:sz w:val="18"/>
                <w:szCs w:val="18"/>
                <w:lang w:eastAsia="zh-CN"/>
              </w:rPr>
              <w:t>及时采购太阳能路灯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ascii="仿宋_GB2312" w:eastAsia="仿宋_GB2312"/>
                <w:color w:val="auto"/>
                <w:sz w:val="21"/>
                <w:szCs w:val="21"/>
                <w:lang w:val="en-US" w:eastAsia="zh-CN"/>
              </w:rPr>
              <w:t>采购安装太阳能路灯145盏，</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仿宋_GB2312" w:eastAsia="仿宋_GB2312"/>
                <w:color w:val="auto"/>
                <w:sz w:val="21"/>
                <w:szCs w:val="21"/>
                <w:lang w:val="en-US" w:eastAsia="zh-CN"/>
              </w:rPr>
              <w:t>采购安装太阳能路灯145盏，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8"/>
                <w:szCs w:val="18"/>
              </w:rPr>
              <w:t>规划符合实际，暂无调整变化</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8"/>
                <w:szCs w:val="18"/>
              </w:rPr>
              <w:t>规划符合实际，暂无调整变化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阿州财行</w:t>
            </w:r>
            <w:r>
              <w:rPr>
                <w:rFonts w:hint="eastAsia" w:ascii="宋体" w:hAnsi="宋体" w:cs="宋体"/>
                <w:i w:val="0"/>
                <w:color w:val="auto"/>
                <w:sz w:val="20"/>
                <w:szCs w:val="20"/>
                <w:u w:val="none"/>
                <w:lang w:val="en-US" w:eastAsia="zh-CN"/>
              </w:rPr>
              <w:t>[2017]16号关于下达三州开发资金非统筹整合资金</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阿州财行</w:t>
            </w:r>
            <w:r>
              <w:rPr>
                <w:rFonts w:hint="eastAsia" w:ascii="宋体" w:hAnsi="宋体" w:cs="宋体"/>
                <w:i w:val="0"/>
                <w:color w:val="auto"/>
                <w:sz w:val="20"/>
                <w:szCs w:val="20"/>
                <w:u w:val="none"/>
                <w:lang w:val="en-US" w:eastAsia="zh-CN"/>
              </w:rPr>
              <w:t>[2017]16号关于下达三州开发资金非统筹整合资金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分配方法科学合理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分配方法科学合理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cs="宋体" w:asciiTheme="minorEastAsia" w:hAnsiTheme="minorEastAsia" w:eastAsiaTheme="minorEastAsia"/>
                <w:color w:val="auto"/>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cs="宋体" w:asciiTheme="minorEastAsia" w:hAnsiTheme="minorEastAsia" w:eastAsiaTheme="minorEastAsia"/>
                <w:color w:val="auto"/>
                <w:kern w:val="0"/>
                <w:sz w:val="20"/>
                <w:szCs w:val="20"/>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kern w:val="0"/>
                <w:sz w:val="20"/>
                <w:szCs w:val="2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eastAsia="zh-CN"/>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仿宋_GB2312" w:asciiTheme="minorEastAsia" w:hAnsiTheme="minorEastAsia" w:eastAsiaTheme="minorEastAsia"/>
                <w:color w:val="auto"/>
                <w:kern w:val="0"/>
                <w:sz w:val="16"/>
                <w:szCs w:val="16"/>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仿宋_GB2312" w:eastAsia="仿宋_GB2312"/>
                <w:color w:val="auto"/>
                <w:sz w:val="21"/>
                <w:szCs w:val="21"/>
                <w:lang w:val="en-US" w:eastAsia="zh-CN"/>
              </w:rPr>
              <w:t>购安装太阳能路灯145盏</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ascii="仿宋_GB2312" w:eastAsia="仿宋_GB2312"/>
                <w:color w:val="auto"/>
                <w:sz w:val="21"/>
                <w:szCs w:val="21"/>
                <w:lang w:val="en-US" w:eastAsia="zh-CN"/>
              </w:rPr>
              <w:t>采购安装太阳能路灯145盏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sz w:val="20"/>
                <w:szCs w:val="20"/>
              </w:rPr>
              <w:t>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sz w:val="20"/>
                <w:szCs w:val="20"/>
              </w:rPr>
              <w:t>2018年</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sz w:val="20"/>
                <w:szCs w:val="20"/>
              </w:rPr>
              <w:t>2018年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sz w:val="20"/>
                <w:szCs w:val="2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cs="宋体" w:asciiTheme="minorEastAsia" w:hAnsiTheme="minorEastAsia" w:eastAsiaTheme="minorEastAsia"/>
                <w:color w:val="auto"/>
                <w:sz w:val="20"/>
                <w:szCs w:val="20"/>
                <w:lang w:eastAsia="zh-CN"/>
              </w:rPr>
              <w:t>提供群众生产生活便利</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sz w:val="20"/>
                <w:szCs w:val="20"/>
                <w:lang w:eastAsia="zh-CN"/>
              </w:rPr>
              <w:t>提供群众生产生活便利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sz w:val="20"/>
                <w:szCs w:val="20"/>
                <w:lang w:val="en-US" w:eastAsia="zh-CN"/>
              </w:rPr>
              <w:t>改善了该乡基础设施建设，提升了夜间出行方便。</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sz w:val="20"/>
                <w:szCs w:val="20"/>
                <w:lang w:val="en-US" w:eastAsia="zh-CN"/>
              </w:rPr>
              <w:t>善了该乡基础设施建设，提升了夜间出行方便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推广、引导使用清洁能源</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推广、引导使用清洁能源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auto"/>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sz w:val="20"/>
                <w:szCs w:val="20"/>
                <w:lang w:eastAsia="zh-CN"/>
              </w:rPr>
              <w:t>采</w:t>
            </w:r>
            <w:r>
              <w:rPr>
                <w:rFonts w:hint="eastAsia" w:ascii="仿宋_GB2312" w:eastAsia="仿宋_GB2312"/>
                <w:color w:val="auto"/>
                <w:sz w:val="21"/>
                <w:szCs w:val="21"/>
                <w:lang w:val="en-US" w:eastAsia="zh-CN"/>
              </w:rPr>
              <w:t>购安装太阳能路灯，</w:t>
            </w:r>
            <w:r>
              <w:rPr>
                <w:rFonts w:hint="eastAsia" w:cs="宋体" w:asciiTheme="minorEastAsia" w:hAnsiTheme="minorEastAsia" w:eastAsiaTheme="minorEastAsia"/>
                <w:color w:val="auto"/>
                <w:sz w:val="20"/>
                <w:szCs w:val="20"/>
                <w:lang w:val="en-US" w:eastAsia="zh-CN"/>
              </w:rPr>
              <w:t>改善了该乡基础设施建设，提升了夜间出行方便。</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sz w:val="20"/>
                <w:szCs w:val="20"/>
                <w:lang w:eastAsia="zh-CN"/>
              </w:rPr>
              <w:t>采</w:t>
            </w:r>
            <w:r>
              <w:rPr>
                <w:rFonts w:hint="eastAsia" w:ascii="仿宋_GB2312" w:eastAsia="仿宋_GB2312"/>
                <w:color w:val="auto"/>
                <w:sz w:val="21"/>
                <w:szCs w:val="21"/>
                <w:lang w:val="en-US" w:eastAsia="zh-CN"/>
              </w:rPr>
              <w:t>购安装太阳能路灯，</w:t>
            </w:r>
            <w:r>
              <w:rPr>
                <w:rFonts w:hint="eastAsia" w:cs="宋体" w:asciiTheme="minorEastAsia" w:hAnsiTheme="minorEastAsia" w:eastAsiaTheme="minorEastAsia"/>
                <w:color w:val="auto"/>
                <w:sz w:val="20"/>
                <w:szCs w:val="20"/>
                <w:lang w:val="en-US" w:eastAsia="zh-CN"/>
              </w:rPr>
              <w:t>改善了该乡基础设施建设，提升了夜间出行方便。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auto"/>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auto"/>
                <w:sz w:val="20"/>
                <w:szCs w:val="20"/>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sz w:val="20"/>
                <w:szCs w:val="20"/>
              </w:rPr>
              <w:t>对本项目事实满意度好</w:t>
            </w:r>
            <w:r>
              <w:rPr>
                <w:rFonts w:hint="eastAsia" w:cs="宋体" w:asciiTheme="minorEastAsia" w:hAnsiTheme="minorEastAsia" w:eastAsiaTheme="minorEastAsia"/>
                <w:color w:val="auto"/>
                <w:sz w:val="20"/>
                <w:szCs w:val="20"/>
                <w:lang w:eastAsia="zh-CN"/>
              </w:rPr>
              <w:t>，</w:t>
            </w:r>
            <w:r>
              <w:rPr>
                <w:rFonts w:hint="eastAsia" w:cs="宋体" w:asciiTheme="minorEastAsia" w:hAnsiTheme="minorEastAsia" w:eastAsiaTheme="minorEastAsia"/>
                <w:color w:val="auto"/>
                <w:sz w:val="20"/>
                <w:szCs w:val="20"/>
              </w:rPr>
              <w:t>无异议。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auto"/>
                <w:sz w:val="20"/>
                <w:szCs w:val="20"/>
                <w:u w:val="none"/>
              </w:rPr>
            </w:pPr>
            <w:r>
              <w:rPr>
                <w:rFonts w:hint="eastAsia" w:cs="宋体" w:asciiTheme="minorEastAsia" w:hAnsiTheme="minorEastAsia" w:eastAsiaTheme="minorEastAsia"/>
                <w:color w:val="auto"/>
                <w:sz w:val="20"/>
                <w:szCs w:val="20"/>
              </w:rPr>
              <w:t>对本项目事实满意度好</w:t>
            </w:r>
            <w:r>
              <w:rPr>
                <w:rFonts w:hint="eastAsia" w:cs="宋体" w:asciiTheme="minorEastAsia" w:hAnsiTheme="minorEastAsia" w:eastAsiaTheme="minorEastAsia"/>
                <w:color w:val="auto"/>
                <w:sz w:val="20"/>
                <w:szCs w:val="20"/>
                <w:lang w:eastAsia="zh-CN"/>
              </w:rPr>
              <w:t>，</w:t>
            </w:r>
            <w:r>
              <w:rPr>
                <w:rFonts w:hint="eastAsia" w:cs="宋体" w:asciiTheme="minorEastAsia" w:hAnsiTheme="minorEastAsia" w:eastAsiaTheme="minorEastAsia"/>
                <w:color w:val="auto"/>
                <w:sz w:val="20"/>
                <w:szCs w:val="20"/>
              </w:rPr>
              <w:t>无异议</w:t>
            </w:r>
          </w:p>
        </w:tc>
      </w:tr>
    </w:tbl>
    <w:p>
      <w:pPr>
        <w:spacing w:line="580" w:lineRule="exact"/>
        <w:rPr>
          <w:rFonts w:ascii="仿宋_GB2312" w:hAnsi="仿宋_GB2312" w:eastAsia="仿宋_GB2312" w:cs="仿宋_GB2312"/>
          <w:color w:val="auto"/>
          <w:sz w:val="32"/>
          <w:szCs w:val="32"/>
        </w:rPr>
      </w:pPr>
    </w:p>
    <w:p>
      <w:pPr>
        <w:numPr>
          <w:ilvl w:val="0"/>
          <w:numId w:val="4"/>
        </w:numPr>
        <w:spacing w:line="580" w:lineRule="exact"/>
        <w:ind w:firstLine="643" w:firstLineChars="200"/>
        <w:rPr>
          <w:rFonts w:ascii="仿宋" w:hAnsi="仿宋" w:eastAsia="仿宋" w:cs="仿宋_GB2312"/>
          <w:color w:val="auto"/>
          <w:sz w:val="32"/>
          <w:szCs w:val="32"/>
        </w:rPr>
      </w:pPr>
      <w:r>
        <w:rPr>
          <w:rFonts w:hint="eastAsia" w:ascii="仿宋" w:hAnsi="仿宋" w:eastAsia="仿宋" w:cs="楷体_GB2312"/>
          <w:b/>
          <w:bCs/>
          <w:color w:val="auto"/>
          <w:sz w:val="32"/>
          <w:szCs w:val="32"/>
        </w:rPr>
        <w:t>部门开展绩效评价结果。</w:t>
      </w:r>
    </w:p>
    <w:p>
      <w:p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本部门按要求对2018年部门整体支出绩效评价情况开展自评，《</w:t>
      </w:r>
      <w:r>
        <w:rPr>
          <w:rFonts w:hint="eastAsia" w:ascii="仿宋_GB2312" w:hAnsi="仿宋_GB2312" w:eastAsia="仿宋_GB2312" w:cs="仿宋_GB2312"/>
          <w:color w:val="auto"/>
          <w:sz w:val="32"/>
          <w:szCs w:val="32"/>
          <w:lang w:eastAsia="zh-CN"/>
        </w:rPr>
        <w:t>民宗局</w:t>
      </w:r>
      <w:r>
        <w:rPr>
          <w:rFonts w:hint="eastAsia" w:ascii="仿宋_GB2312" w:hAnsi="仿宋_GB2312" w:eastAsia="仿宋_GB2312" w:cs="仿宋_GB2312"/>
          <w:color w:val="auto"/>
          <w:sz w:val="32"/>
          <w:szCs w:val="32"/>
        </w:rPr>
        <w:t>2018年部门整体支出绩效评价报告》见附件。</w:t>
      </w:r>
    </w:p>
    <w:p>
      <w:pPr>
        <w:spacing w:line="600" w:lineRule="exact"/>
        <w:ind w:firstLine="800" w:firstLineChars="250"/>
        <w:outlineLvl w:val="1"/>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本部门自行组织对</w:t>
      </w:r>
      <w:r>
        <w:rPr>
          <w:rFonts w:hint="eastAsia" w:ascii="仿宋_GB2312" w:hAnsi="仿宋_GB2312" w:eastAsia="仿宋_GB2312" w:cs="仿宋_GB2312"/>
          <w:color w:val="auto"/>
          <w:sz w:val="32"/>
          <w:szCs w:val="32"/>
          <w:lang w:eastAsia="zh-CN"/>
        </w:rPr>
        <w:t>少数民族发展资金</w:t>
      </w:r>
      <w:r>
        <w:rPr>
          <w:rFonts w:hint="eastAsia" w:ascii="仿宋_GB2312" w:hAnsi="仿宋_GB2312" w:eastAsia="仿宋_GB2312" w:cs="仿宋_GB2312"/>
          <w:color w:val="auto"/>
          <w:sz w:val="32"/>
          <w:szCs w:val="32"/>
        </w:rPr>
        <w:t>项目开展了绩效评价，《</w:t>
      </w:r>
      <w:r>
        <w:rPr>
          <w:rFonts w:hint="eastAsia" w:ascii="仿宋_GB2312" w:hAnsi="仿宋_GB2312" w:eastAsia="仿宋_GB2312" w:cs="仿宋_GB2312"/>
          <w:color w:val="auto"/>
          <w:sz w:val="32"/>
          <w:szCs w:val="32"/>
          <w:lang w:eastAsia="zh-CN"/>
        </w:rPr>
        <w:t>少数民族发展资金</w:t>
      </w:r>
      <w:r>
        <w:rPr>
          <w:rFonts w:hint="eastAsia" w:ascii="仿宋_GB2312" w:hAnsi="仿宋_GB2312" w:eastAsia="仿宋_GB2312" w:cs="仿宋_GB2312"/>
          <w:color w:val="auto"/>
          <w:sz w:val="32"/>
          <w:szCs w:val="32"/>
        </w:rPr>
        <w:t>项目2018年绩效评价报告》见附件。</w:t>
      </w:r>
      <w:bookmarkStart w:id="50" w:name="_Toc15396612"/>
      <w:bookmarkStart w:id="51" w:name="_Toc15377221"/>
    </w:p>
    <w:p>
      <w:pPr>
        <w:spacing w:line="600" w:lineRule="exact"/>
        <w:outlineLvl w:val="1"/>
        <w:rPr>
          <w:rStyle w:val="27"/>
          <w:rFonts w:ascii="黑体" w:hAnsi="黑体" w:eastAsia="黑体"/>
          <w:color w:val="auto"/>
        </w:rPr>
      </w:pPr>
      <w:r>
        <w:rPr>
          <w:rFonts w:hint="eastAsia" w:ascii="黑体" w:hAnsi="黑体" w:eastAsia="黑体"/>
          <w:color w:val="auto"/>
          <w:sz w:val="32"/>
          <w:szCs w:val="32"/>
        </w:rPr>
        <w:t>十</w:t>
      </w:r>
      <w:r>
        <w:rPr>
          <w:rStyle w:val="27"/>
          <w:rFonts w:hint="eastAsia" w:ascii="黑体" w:hAnsi="黑体" w:eastAsia="黑体"/>
          <w:color w:val="auto"/>
        </w:rPr>
        <w:t>一、</w:t>
      </w:r>
      <w:r>
        <w:rPr>
          <w:rStyle w:val="27"/>
          <w:rFonts w:hint="eastAsia" w:ascii="黑体" w:hAnsi="黑体" w:eastAsia="黑体"/>
          <w:b w:val="0"/>
          <w:color w:val="auto"/>
        </w:rPr>
        <w:t>其他重要事项的情况说明</w:t>
      </w:r>
      <w:bookmarkEnd w:id="50"/>
      <w:bookmarkEnd w:id="51"/>
    </w:p>
    <w:p>
      <w:pPr>
        <w:numPr>
          <w:ilvl w:val="0"/>
          <w:numId w:val="4"/>
        </w:numPr>
        <w:spacing w:line="580" w:lineRule="exact"/>
        <w:ind w:firstLine="643" w:firstLineChars="200"/>
        <w:rPr>
          <w:rFonts w:hint="eastAsia" w:ascii="仿宋" w:hAnsi="仿宋" w:eastAsia="仿宋" w:cs="楷体_GB2312"/>
          <w:b/>
          <w:bCs/>
          <w:color w:val="auto"/>
          <w:sz w:val="32"/>
          <w:szCs w:val="32"/>
        </w:rPr>
      </w:pPr>
      <w:bookmarkStart w:id="52" w:name="_Toc15377222"/>
      <w:r>
        <w:rPr>
          <w:rFonts w:hint="eastAsia" w:ascii="仿宋" w:hAnsi="仿宋" w:eastAsia="仿宋" w:cs="楷体_GB2312"/>
          <w:b/>
          <w:bCs/>
          <w:color w:val="auto"/>
          <w:sz w:val="32"/>
          <w:szCs w:val="32"/>
        </w:rPr>
        <w:t>（一）机关运行经费支出情况</w:t>
      </w:r>
      <w:bookmarkEnd w:id="52"/>
    </w:p>
    <w:p>
      <w:pPr>
        <w:spacing w:line="600" w:lineRule="exact"/>
        <w:ind w:firstLine="640" w:firstLineChars="200"/>
        <w:rPr>
          <w:rFonts w:hint="eastAsia" w:ascii="仿宋_GB2312" w:eastAsia="仿宋_GB2312"/>
          <w:color w:val="auto"/>
          <w:sz w:val="32"/>
          <w:szCs w:val="32"/>
        </w:rPr>
      </w:pPr>
      <w:r>
        <w:rPr>
          <w:rFonts w:ascii="仿宋_GB2312" w:eastAsia="仿宋_GB2312"/>
          <w:color w:val="auto"/>
          <w:sz w:val="32"/>
          <w:szCs w:val="32"/>
        </w:rPr>
        <w:t>201</w:t>
      </w:r>
      <w:r>
        <w:rPr>
          <w:rFonts w:hint="eastAsia" w:ascii="仿宋_GB2312" w:eastAsia="仿宋_GB2312"/>
          <w:color w:val="auto"/>
          <w:sz w:val="32"/>
          <w:szCs w:val="32"/>
        </w:rPr>
        <w:t>8年，</w:t>
      </w:r>
      <w:r>
        <w:rPr>
          <w:rFonts w:hint="eastAsia" w:ascii="仿宋_GB2312" w:eastAsia="仿宋_GB2312"/>
          <w:color w:val="auto"/>
          <w:sz w:val="32"/>
          <w:szCs w:val="32"/>
          <w:lang w:eastAsia="zh-CN"/>
        </w:rPr>
        <w:t>民宗局</w:t>
      </w:r>
      <w:r>
        <w:rPr>
          <w:rFonts w:hint="eastAsia" w:ascii="仿宋_GB2312" w:eastAsia="仿宋_GB2312"/>
          <w:color w:val="auto"/>
          <w:sz w:val="32"/>
          <w:szCs w:val="32"/>
        </w:rPr>
        <w:t>机关运行经费支出49.45万元，比</w:t>
      </w:r>
      <w:r>
        <w:rPr>
          <w:rFonts w:ascii="仿宋_GB2312" w:eastAsia="仿宋_GB2312"/>
          <w:color w:val="auto"/>
          <w:sz w:val="32"/>
          <w:szCs w:val="32"/>
        </w:rPr>
        <w:t>201</w:t>
      </w:r>
      <w:r>
        <w:rPr>
          <w:rFonts w:hint="eastAsia" w:ascii="仿宋_GB2312" w:eastAsia="仿宋_GB2312"/>
          <w:color w:val="auto"/>
          <w:sz w:val="32"/>
          <w:szCs w:val="32"/>
        </w:rPr>
        <w:t>7年减少</w:t>
      </w:r>
      <w:r>
        <w:rPr>
          <w:rFonts w:hint="eastAsia" w:ascii="仿宋_GB2312" w:eastAsia="仿宋_GB2312"/>
          <w:color w:val="auto"/>
          <w:sz w:val="32"/>
          <w:szCs w:val="32"/>
          <w:lang w:val="en-US" w:eastAsia="zh-CN"/>
        </w:rPr>
        <w:t>17.86</w:t>
      </w:r>
      <w:r>
        <w:rPr>
          <w:rFonts w:hint="eastAsia" w:ascii="仿宋_GB2312" w:eastAsia="仿宋_GB2312"/>
          <w:color w:val="auto"/>
          <w:sz w:val="32"/>
          <w:szCs w:val="32"/>
        </w:rPr>
        <w:t>万元，下降</w:t>
      </w:r>
      <w:r>
        <w:rPr>
          <w:rFonts w:hint="eastAsia" w:ascii="仿宋_GB2312" w:eastAsia="仿宋_GB2312"/>
          <w:color w:val="auto"/>
          <w:sz w:val="32"/>
          <w:szCs w:val="32"/>
          <w:lang w:val="en-US" w:eastAsia="zh-CN"/>
        </w:rPr>
        <w:t>36.12</w:t>
      </w:r>
      <w:r>
        <w:rPr>
          <w:rFonts w:hint="eastAsia" w:ascii="仿宋_GB2312" w:eastAsia="仿宋_GB2312"/>
          <w:color w:val="auto"/>
          <w:sz w:val="32"/>
          <w:szCs w:val="32"/>
        </w:rPr>
        <w:t>%。主要原因是</w:t>
      </w:r>
      <w:r>
        <w:rPr>
          <w:rFonts w:hint="eastAsia" w:ascii="仿宋_GB2312" w:eastAsia="仿宋_GB2312"/>
          <w:color w:val="auto"/>
          <w:sz w:val="32"/>
          <w:szCs w:val="32"/>
          <w:lang w:eastAsia="zh-CN"/>
        </w:rPr>
        <w:t>人员经费比往年减少。</w:t>
      </w:r>
    </w:p>
    <w:p>
      <w:pPr>
        <w:spacing w:line="60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（数据来源财决CS05表）</w:t>
      </w:r>
    </w:p>
    <w:p>
      <w:pPr>
        <w:spacing w:line="600" w:lineRule="exact"/>
        <w:ind w:firstLine="640" w:firstLineChars="200"/>
        <w:rPr>
          <w:rFonts w:hint="eastAsia" w:ascii="仿宋_GB2312" w:eastAsia="仿宋_GB2312"/>
          <w:color w:val="auto"/>
          <w:sz w:val="32"/>
          <w:szCs w:val="32"/>
        </w:rPr>
      </w:pPr>
      <w:bookmarkStart w:id="53" w:name="_Toc15377223"/>
      <w:r>
        <w:rPr>
          <w:rFonts w:hint="eastAsia" w:ascii="仿宋_GB2312" w:eastAsia="仿宋_GB2312"/>
          <w:color w:val="auto"/>
          <w:sz w:val="32"/>
          <w:szCs w:val="32"/>
        </w:rPr>
        <w:t>（二）政府采购支出情况</w:t>
      </w:r>
      <w:bookmarkEnd w:id="53"/>
    </w:p>
    <w:p>
      <w:pPr>
        <w:spacing w:line="60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2018年，</w:t>
      </w:r>
      <w:r>
        <w:rPr>
          <w:rFonts w:hint="eastAsia" w:ascii="仿宋_GB2312" w:eastAsia="仿宋_GB2312"/>
          <w:color w:val="auto"/>
          <w:sz w:val="32"/>
          <w:szCs w:val="32"/>
          <w:lang w:eastAsia="zh-CN"/>
        </w:rPr>
        <w:t>江茸乡太阳能路灯</w:t>
      </w:r>
      <w:r>
        <w:rPr>
          <w:rFonts w:hint="eastAsia" w:ascii="仿宋_GB2312" w:eastAsia="仿宋_GB2312"/>
          <w:color w:val="auto"/>
          <w:sz w:val="32"/>
          <w:szCs w:val="32"/>
        </w:rPr>
        <w:t>采购支出总额</w:t>
      </w:r>
      <w:r>
        <w:rPr>
          <w:rFonts w:hint="eastAsia" w:ascii="仿宋_GB2312" w:eastAsia="仿宋_GB2312"/>
          <w:color w:val="auto"/>
          <w:sz w:val="32"/>
          <w:szCs w:val="32"/>
          <w:lang w:val="en-US" w:eastAsia="zh-CN"/>
        </w:rPr>
        <w:t>97.29</w:t>
      </w:r>
      <w:r>
        <w:rPr>
          <w:rFonts w:hint="eastAsia" w:ascii="仿宋_GB2312" w:eastAsia="仿宋_GB2312"/>
          <w:color w:val="auto"/>
          <w:sz w:val="32"/>
          <w:szCs w:val="32"/>
        </w:rPr>
        <w:t>万元，其中：政府采购货物支出</w:t>
      </w:r>
      <w:r>
        <w:rPr>
          <w:rFonts w:hint="eastAsia" w:ascii="仿宋_GB2312" w:eastAsia="仿宋_GB2312"/>
          <w:color w:val="auto"/>
          <w:sz w:val="32"/>
          <w:szCs w:val="32"/>
          <w:lang w:val="en-US" w:eastAsia="zh-CN"/>
        </w:rPr>
        <w:t>97.29</w:t>
      </w:r>
      <w:r>
        <w:rPr>
          <w:rFonts w:hint="eastAsia" w:ascii="仿宋_GB2312" w:eastAsia="仿宋_GB2312"/>
          <w:color w:val="auto"/>
          <w:sz w:val="32"/>
          <w:szCs w:val="32"/>
        </w:rPr>
        <w:t>万元、政府采购工程支出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万元、政府采购服务支出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万元。主要用于</w:t>
      </w:r>
      <w:r>
        <w:rPr>
          <w:rFonts w:hint="eastAsia" w:ascii="仿宋_GB2312" w:eastAsia="仿宋_GB2312"/>
          <w:color w:val="auto"/>
          <w:sz w:val="32"/>
          <w:szCs w:val="32"/>
          <w:lang w:eastAsia="zh-CN"/>
        </w:rPr>
        <w:t>采购太阳能路灯</w:t>
      </w:r>
      <w:r>
        <w:rPr>
          <w:rFonts w:hint="eastAsia" w:ascii="仿宋_GB2312" w:eastAsia="仿宋_GB2312"/>
          <w:color w:val="auto"/>
          <w:sz w:val="32"/>
          <w:szCs w:val="32"/>
        </w:rPr>
        <w:t>。授予</w:t>
      </w:r>
      <w:r>
        <w:rPr>
          <w:rFonts w:hint="eastAsia" w:ascii="仿宋_GB2312" w:eastAsia="仿宋_GB2312"/>
          <w:color w:val="auto"/>
          <w:sz w:val="32"/>
          <w:szCs w:val="32"/>
          <w:lang w:eastAsia="zh-CN"/>
        </w:rPr>
        <w:t>江茸乡三个村夜间照明</w:t>
      </w:r>
      <w:r>
        <w:rPr>
          <w:rFonts w:hint="eastAsia" w:ascii="仿宋_GB2312" w:eastAsia="仿宋_GB2312"/>
          <w:color w:val="auto"/>
          <w:sz w:val="32"/>
          <w:szCs w:val="32"/>
        </w:rPr>
        <w:t>金额</w:t>
      </w:r>
      <w:r>
        <w:rPr>
          <w:rFonts w:hint="eastAsia" w:ascii="仿宋_GB2312" w:eastAsia="仿宋_GB2312"/>
          <w:color w:val="auto"/>
          <w:sz w:val="32"/>
          <w:szCs w:val="32"/>
          <w:lang w:val="en-US" w:eastAsia="zh-CN"/>
        </w:rPr>
        <w:t>97.29</w:t>
      </w:r>
      <w:r>
        <w:rPr>
          <w:rFonts w:hint="eastAsia" w:ascii="仿宋_GB2312" w:eastAsia="仿宋_GB2312"/>
          <w:color w:val="auto"/>
          <w:sz w:val="32"/>
          <w:szCs w:val="32"/>
        </w:rPr>
        <w:t>万元，占政府采购支出总额的</w:t>
      </w:r>
      <w:r>
        <w:rPr>
          <w:rFonts w:hint="eastAsia" w:ascii="仿宋_GB2312" w:eastAsia="仿宋_GB2312"/>
          <w:color w:val="auto"/>
          <w:sz w:val="32"/>
          <w:szCs w:val="32"/>
          <w:lang w:val="en-US" w:eastAsia="zh-CN"/>
        </w:rPr>
        <w:t>100</w:t>
      </w:r>
      <w:r>
        <w:rPr>
          <w:rFonts w:hint="eastAsia" w:ascii="仿宋_GB2312" w:eastAsia="仿宋_GB2312"/>
          <w:color w:val="auto"/>
          <w:sz w:val="32"/>
          <w:szCs w:val="32"/>
        </w:rPr>
        <w:t>%，其中：授予小微企业合同金额</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万元，占政府采购支出总额的</w:t>
      </w:r>
      <w:r>
        <w:rPr>
          <w:rFonts w:hint="eastAsia" w:ascii="仿宋_GB2312" w:eastAsia="仿宋_GB2312"/>
          <w:color w:val="auto"/>
          <w:sz w:val="32"/>
          <w:szCs w:val="32"/>
          <w:lang w:val="en-US" w:eastAsia="zh-CN"/>
        </w:rPr>
        <w:t>0</w:t>
      </w:r>
      <w:r>
        <w:rPr>
          <w:rFonts w:ascii="仿宋_GB2312" w:eastAsia="仿宋_GB2312"/>
          <w:color w:val="auto"/>
          <w:sz w:val="32"/>
          <w:szCs w:val="32"/>
        </w:rPr>
        <w:t>%</w:t>
      </w:r>
      <w:r>
        <w:rPr>
          <w:rFonts w:hint="eastAsia" w:ascii="仿宋_GB2312" w:eastAsia="仿宋_GB2312"/>
          <w:color w:val="auto"/>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auto"/>
          <w:sz w:val="32"/>
          <w:szCs w:val="32"/>
        </w:rPr>
      </w:pPr>
      <w:bookmarkStart w:id="54" w:name="_Toc15377224"/>
      <w:r>
        <w:rPr>
          <w:rFonts w:hint="eastAsia" w:ascii="仿宋" w:hAnsi="仿宋" w:eastAsia="仿宋"/>
          <w:b/>
          <w:color w:val="auto"/>
          <w:sz w:val="32"/>
          <w:szCs w:val="32"/>
        </w:rPr>
        <w:t>（三）国有资产占有使用情况</w:t>
      </w:r>
      <w:bookmarkEnd w:id="54"/>
    </w:p>
    <w:p>
      <w:pPr>
        <w:autoSpaceDE w:val="0"/>
        <w:autoSpaceDN w:val="0"/>
        <w:adjustRightInd w:val="0"/>
        <w:spacing w:line="600" w:lineRule="exact"/>
        <w:ind w:firstLine="640" w:firstLineChars="200"/>
        <w:jc w:val="left"/>
        <w:rPr>
          <w:rFonts w:ascii="仿宋_GB2312" w:eastAsia="仿宋_GB2312"/>
          <w:color w:val="auto"/>
          <w:sz w:val="32"/>
          <w:szCs w:val="32"/>
        </w:rPr>
      </w:pPr>
      <w:r>
        <w:rPr>
          <w:rFonts w:hint="eastAsia" w:ascii="仿宋_GB2312" w:eastAsia="仿宋_GB2312"/>
          <w:color w:val="auto"/>
          <w:sz w:val="32"/>
          <w:szCs w:val="32"/>
        </w:rPr>
        <w:t>截至</w:t>
      </w:r>
      <w:r>
        <w:rPr>
          <w:rFonts w:ascii="仿宋_GB2312" w:eastAsia="仿宋_GB2312"/>
          <w:color w:val="auto"/>
          <w:sz w:val="32"/>
          <w:szCs w:val="32"/>
        </w:rPr>
        <w:t>201</w:t>
      </w:r>
      <w:r>
        <w:rPr>
          <w:rFonts w:hint="eastAsia" w:ascii="仿宋_GB2312" w:eastAsia="仿宋_GB2312"/>
          <w:color w:val="auto"/>
          <w:sz w:val="32"/>
          <w:szCs w:val="32"/>
        </w:rPr>
        <w:t>8年</w:t>
      </w:r>
      <w:r>
        <w:rPr>
          <w:rFonts w:ascii="仿宋_GB2312" w:eastAsia="仿宋_GB2312"/>
          <w:color w:val="auto"/>
          <w:sz w:val="32"/>
          <w:szCs w:val="32"/>
        </w:rPr>
        <w:t>12</w:t>
      </w:r>
      <w:r>
        <w:rPr>
          <w:rFonts w:hint="eastAsia" w:ascii="仿宋_GB2312" w:eastAsia="仿宋_GB2312"/>
          <w:color w:val="auto"/>
          <w:sz w:val="32"/>
          <w:szCs w:val="32"/>
        </w:rPr>
        <w:t>月</w:t>
      </w:r>
      <w:r>
        <w:rPr>
          <w:rFonts w:ascii="仿宋_GB2312" w:eastAsia="仿宋_GB2312"/>
          <w:color w:val="auto"/>
          <w:sz w:val="32"/>
          <w:szCs w:val="32"/>
        </w:rPr>
        <w:t>31</w:t>
      </w:r>
      <w:r>
        <w:rPr>
          <w:rFonts w:hint="eastAsia" w:ascii="仿宋_GB2312" w:eastAsia="仿宋_GB2312"/>
          <w:color w:val="auto"/>
          <w:sz w:val="32"/>
          <w:szCs w:val="32"/>
        </w:rPr>
        <w:t>日，</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共有车辆</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辆，其中：部级领导干部用车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辆、一般公务用车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辆、一般执法执勤用车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辆、特种专业技术用车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辆、其他用车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辆，单价</w:t>
      </w:r>
      <w:r>
        <w:rPr>
          <w:rFonts w:ascii="仿宋_GB2312" w:eastAsia="仿宋_GB2312"/>
          <w:color w:val="auto"/>
          <w:sz w:val="32"/>
          <w:szCs w:val="32"/>
        </w:rPr>
        <w:t>50</w:t>
      </w:r>
      <w:r>
        <w:rPr>
          <w:rFonts w:hint="eastAsia" w:ascii="仿宋_GB2312" w:eastAsia="仿宋_GB2312"/>
          <w:color w:val="auto"/>
          <w:sz w:val="32"/>
          <w:szCs w:val="32"/>
        </w:rPr>
        <w:t>万元以上通用设备</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台（套），单价</w:t>
      </w:r>
      <w:r>
        <w:rPr>
          <w:rFonts w:ascii="仿宋_GB2312" w:eastAsia="仿宋_GB2312"/>
          <w:color w:val="auto"/>
          <w:sz w:val="32"/>
          <w:szCs w:val="32"/>
        </w:rPr>
        <w:t>100</w:t>
      </w:r>
      <w:r>
        <w:rPr>
          <w:rFonts w:hint="eastAsia" w:ascii="仿宋_GB2312" w:eastAsia="仿宋_GB2312"/>
          <w:color w:val="auto"/>
          <w:sz w:val="32"/>
          <w:szCs w:val="32"/>
        </w:rPr>
        <w:t>万元以上专用设备</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台（套）。</w:t>
      </w:r>
    </w:p>
    <w:p>
      <w:pPr>
        <w:widowControl/>
        <w:jc w:val="left"/>
        <w:rPr>
          <w:rFonts w:ascii="仿宋_GB2312" w:eastAsia="仿宋_GB2312"/>
          <w:b/>
          <w:color w:val="auto"/>
          <w:sz w:val="32"/>
          <w:szCs w:val="32"/>
        </w:rPr>
      </w:pPr>
      <w:r>
        <w:rPr>
          <w:rFonts w:ascii="仿宋_GB2312" w:eastAsia="仿宋_GB2312"/>
          <w:b/>
          <w:color w:val="auto"/>
          <w:sz w:val="32"/>
          <w:szCs w:val="32"/>
        </w:rPr>
        <w:br w:type="page"/>
      </w:r>
    </w:p>
    <w:p>
      <w:pPr>
        <w:numPr>
          <w:ilvl w:val="0"/>
          <w:numId w:val="6"/>
        </w:numPr>
        <w:spacing w:line="600" w:lineRule="exact"/>
        <w:ind w:firstLine="663" w:firstLineChars="150"/>
        <w:jc w:val="center"/>
        <w:outlineLvl w:val="0"/>
        <w:rPr>
          <w:rStyle w:val="26"/>
          <w:rFonts w:ascii="黑体" w:hAnsi="黑体" w:eastAsia="黑体"/>
          <w:b w:val="0"/>
          <w:color w:val="auto"/>
        </w:rPr>
      </w:pPr>
      <w:bookmarkStart w:id="55" w:name="_Toc15377225"/>
      <w:bookmarkStart w:id="56" w:name="_Toc15396613"/>
      <w:r>
        <w:rPr>
          <w:rFonts w:hint="eastAsia" w:ascii="黑体" w:hAnsi="黑体" w:eastAsia="黑体"/>
          <w:b/>
          <w:color w:val="auto"/>
          <w:sz w:val="44"/>
          <w:szCs w:val="44"/>
        </w:rPr>
        <w:t>名</w:t>
      </w:r>
      <w:r>
        <w:rPr>
          <w:rStyle w:val="26"/>
          <w:rFonts w:hint="eastAsia" w:ascii="黑体" w:hAnsi="黑体" w:eastAsia="黑体"/>
          <w:b w:val="0"/>
          <w:color w:val="auto"/>
        </w:rPr>
        <w:t>词解释</w:t>
      </w:r>
      <w:bookmarkEnd w:id="55"/>
      <w:bookmarkEnd w:id="56"/>
    </w:p>
    <w:p>
      <w:pPr>
        <w:spacing w:line="600" w:lineRule="exact"/>
        <w:jc w:val="left"/>
        <w:rPr>
          <w:rFonts w:ascii="宋体"/>
          <w:b/>
          <w:color w:val="auto"/>
          <w:sz w:val="44"/>
          <w:szCs w:val="44"/>
        </w:rPr>
      </w:pPr>
    </w:p>
    <w:p>
      <w:pPr>
        <w:pStyle w:val="24"/>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pPr>
        <w:pStyle w:val="24"/>
        <w:spacing w:line="560" w:lineRule="exact"/>
        <w:ind w:firstLine="640" w:firstLineChars="200"/>
        <w:rPr>
          <w:rFonts w:hint="eastAsia"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w:t>
      </w:r>
    </w:p>
    <w:p>
      <w:pPr>
        <w:pStyle w:val="24"/>
        <w:spacing w:line="560" w:lineRule="exact"/>
        <w:ind w:firstLine="640" w:firstLineChars="200"/>
        <w:rPr>
          <w:rFonts w:hint="eastAsia"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w:t>
      </w:r>
    </w:p>
    <w:p>
      <w:pPr>
        <w:pStyle w:val="24"/>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其他收入：指单位取得的除上述收入以外的各项收入。主要是</w:t>
      </w:r>
      <w:r>
        <w:rPr>
          <w:rFonts w:hint="eastAsia" w:ascii="仿宋_GB2312" w:eastAsia="仿宋_GB2312"/>
          <w:color w:val="auto"/>
          <w:sz w:val="32"/>
          <w:szCs w:val="32"/>
          <w:lang w:eastAsia="zh-CN"/>
        </w:rPr>
        <w:t>利息收入</w:t>
      </w:r>
      <w:r>
        <w:rPr>
          <w:rFonts w:hint="eastAsia" w:ascii="仿宋_GB2312" w:eastAsia="仿宋_GB2312"/>
          <w:color w:val="auto"/>
          <w:sz w:val="32"/>
          <w:szCs w:val="32"/>
        </w:rPr>
        <w:t>等。</w:t>
      </w:r>
      <w:r>
        <w:rPr>
          <w:rFonts w:ascii="仿宋_GB2312" w:eastAsia="仿宋_GB2312"/>
          <w:color w:val="auto"/>
          <w:sz w:val="32"/>
          <w:szCs w:val="32"/>
        </w:rPr>
        <w:t xml:space="preserve"> </w:t>
      </w:r>
    </w:p>
    <w:p>
      <w:pPr>
        <w:pStyle w:val="24"/>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eastAsia="仿宋_GB2312"/>
          <w:color w:val="auto"/>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color w:val="auto"/>
          <w:sz w:val="32"/>
          <w:szCs w:val="32"/>
        </w:rPr>
        <w:t xml:space="preserve"> </w:t>
      </w:r>
    </w:p>
    <w:p>
      <w:pPr>
        <w:pStyle w:val="24"/>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pPr>
        <w:pStyle w:val="24"/>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结余分配：指事业单位按照事业单位会计制度的规定从非财政补助结余中分配的事业基金和职工福利基金等。</w:t>
      </w:r>
    </w:p>
    <w:p>
      <w:pPr>
        <w:pStyle w:val="24"/>
        <w:spacing w:line="560" w:lineRule="exact"/>
        <w:ind w:firstLine="640" w:firstLineChars="200"/>
        <w:rPr>
          <w:rFonts w:hint="default" w:ascii="仿宋_GB2312" w:eastAsia="仿宋_GB2312"/>
          <w:color w:val="auto"/>
          <w:sz w:val="32"/>
          <w:szCs w:val="32"/>
          <w:lang w:val="en-US" w:eastAsia="zh-CN"/>
        </w:rPr>
      </w:pPr>
      <w:r>
        <w:rPr>
          <w:rFonts w:ascii="仿宋_GB2312" w:eastAsia="仿宋_GB2312"/>
          <w:color w:val="auto"/>
          <w:sz w:val="32"/>
          <w:szCs w:val="32"/>
        </w:rPr>
        <w:t>8</w:t>
      </w:r>
      <w:r>
        <w:rPr>
          <w:rFonts w:hint="eastAsia" w:ascii="仿宋_GB2312" w:eastAsia="仿宋_GB2312"/>
          <w:color w:val="auto"/>
          <w:sz w:val="32"/>
          <w:szCs w:val="32"/>
          <w:lang w:val="en-US" w:eastAsia="zh-CN"/>
        </w:rPr>
        <w:t>.</w:t>
      </w:r>
      <w:r>
        <w:rPr>
          <w:rFonts w:hint="eastAsia" w:ascii="仿宋_GB2312" w:eastAsia="仿宋_GB2312"/>
          <w:color w:val="auto"/>
          <w:sz w:val="32"/>
          <w:szCs w:val="32"/>
        </w:rPr>
        <w:t>年末结转和结余：指单位按有关规定结转到下年或以后年度继续使用的资金。</w:t>
      </w:r>
    </w:p>
    <w:p>
      <w:pPr>
        <w:ind w:firstLine="640" w:firstLineChars="200"/>
        <w:rPr>
          <w:rFonts w:hint="eastAsia" w:ascii="仿宋_GB2312" w:eastAsia="仿宋_GB2312"/>
          <w:color w:val="auto"/>
          <w:sz w:val="32"/>
          <w:szCs w:val="32"/>
          <w:lang w:val="en-US" w:eastAsia="zh-CN"/>
        </w:rPr>
      </w:pPr>
      <w:r>
        <w:rPr>
          <w:rFonts w:ascii="仿宋_GB2312" w:eastAsia="仿宋_GB2312"/>
          <w:color w:val="auto"/>
          <w:sz w:val="32"/>
          <w:szCs w:val="32"/>
        </w:rPr>
        <w:t>9.</w:t>
      </w:r>
      <w:r>
        <w:rPr>
          <w:rFonts w:hint="eastAsia" w:ascii="仿宋_GB2312" w:eastAsia="仿宋_GB2312"/>
          <w:color w:val="auto"/>
          <w:sz w:val="32"/>
          <w:szCs w:val="32"/>
        </w:rPr>
        <w:t>一般公共服务（</w:t>
      </w:r>
      <w:r>
        <w:rPr>
          <w:rFonts w:hint="eastAsia" w:ascii="仿宋_GB2312" w:eastAsia="仿宋_GB2312"/>
          <w:color w:val="auto"/>
          <w:sz w:val="32"/>
          <w:szCs w:val="32"/>
          <w:lang w:val="en-US" w:eastAsia="zh-CN"/>
        </w:rPr>
        <w:t>201</w:t>
      </w:r>
      <w:r>
        <w:rPr>
          <w:rFonts w:hint="eastAsia" w:ascii="仿宋_GB2312" w:eastAsia="仿宋_GB2312"/>
          <w:color w:val="auto"/>
          <w:sz w:val="32"/>
          <w:szCs w:val="32"/>
        </w:rPr>
        <w:t>）：指</w:t>
      </w:r>
      <w:r>
        <w:rPr>
          <w:rFonts w:hint="eastAsia" w:ascii="仿宋_GB2312" w:eastAsia="仿宋_GB2312"/>
          <w:color w:val="auto"/>
          <w:sz w:val="32"/>
          <w:szCs w:val="32"/>
          <w:lang w:val="en-US" w:eastAsia="zh-CN"/>
        </w:rPr>
        <w:t>民族事务(20132-</w:t>
      </w:r>
      <w:r>
        <w:rPr>
          <w:rFonts w:hint="eastAsia" w:ascii="仿宋_GB2312" w:eastAsia="仿宋_GB2312"/>
          <w:color w:val="auto"/>
          <w:sz w:val="32"/>
          <w:szCs w:val="32"/>
          <w:lang w:eastAsia="zh-CN"/>
        </w:rPr>
        <w:t>一般行政管理事务（</w:t>
      </w:r>
      <w:r>
        <w:rPr>
          <w:rFonts w:hint="eastAsia" w:ascii="仿宋_GB2312" w:eastAsia="仿宋_GB2312"/>
          <w:color w:val="auto"/>
          <w:sz w:val="32"/>
          <w:szCs w:val="32"/>
          <w:lang w:val="en-US" w:eastAsia="zh-CN"/>
        </w:rPr>
        <w:t>2012302</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其他民族事务支出（</w:t>
      </w:r>
      <w:r>
        <w:rPr>
          <w:rFonts w:hint="eastAsia" w:ascii="仿宋_GB2312" w:eastAsia="仿宋_GB2312"/>
          <w:color w:val="auto"/>
          <w:sz w:val="32"/>
          <w:szCs w:val="32"/>
          <w:lang w:val="en-US" w:eastAsia="zh-CN"/>
        </w:rPr>
        <w:t>2012399</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 xml:space="preserve">。  </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10.</w:t>
      </w:r>
      <w:r>
        <w:rPr>
          <w:rFonts w:hint="eastAsia" w:ascii="仿宋_GB2312" w:eastAsia="仿宋_GB2312"/>
          <w:color w:val="auto"/>
          <w:sz w:val="32"/>
          <w:szCs w:val="32"/>
          <w:lang w:eastAsia="zh-CN"/>
        </w:rPr>
        <w:t>宗教事务（</w:t>
      </w:r>
      <w:r>
        <w:rPr>
          <w:rFonts w:hint="eastAsia" w:ascii="仿宋_GB2312" w:eastAsia="仿宋_GB2312"/>
          <w:color w:val="auto"/>
          <w:sz w:val="32"/>
          <w:szCs w:val="32"/>
          <w:lang w:val="en-US" w:eastAsia="zh-CN"/>
        </w:rPr>
        <w:t>20124</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指</w:t>
      </w:r>
      <w:r>
        <w:rPr>
          <w:rFonts w:hint="eastAsia" w:ascii="仿宋_GB2312" w:eastAsia="仿宋_GB2312"/>
          <w:color w:val="auto"/>
          <w:sz w:val="32"/>
          <w:szCs w:val="32"/>
          <w:lang w:val="en-US" w:eastAsia="zh-CN"/>
        </w:rPr>
        <w:t xml:space="preserve"> 行政运行（2012401）-</w:t>
      </w:r>
      <w:r>
        <w:rPr>
          <w:rFonts w:hint="eastAsia" w:ascii="仿宋_GB2312" w:eastAsia="仿宋_GB2312"/>
          <w:color w:val="auto"/>
          <w:sz w:val="32"/>
          <w:szCs w:val="32"/>
          <w:lang w:eastAsia="zh-CN"/>
        </w:rPr>
        <w:t>一般行政管理事务（</w:t>
      </w:r>
      <w:r>
        <w:rPr>
          <w:rFonts w:hint="eastAsia" w:ascii="仿宋_GB2312" w:eastAsia="仿宋_GB2312"/>
          <w:color w:val="auto"/>
          <w:sz w:val="32"/>
          <w:szCs w:val="32"/>
          <w:lang w:val="en-US" w:eastAsia="zh-CN"/>
        </w:rPr>
        <w:t>2012402</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事业运行（</w:t>
      </w:r>
      <w:r>
        <w:rPr>
          <w:rFonts w:hint="eastAsia" w:ascii="仿宋_GB2312" w:eastAsia="仿宋_GB2312"/>
          <w:color w:val="auto"/>
          <w:sz w:val="32"/>
          <w:szCs w:val="32"/>
          <w:lang w:val="en-US" w:eastAsia="zh-CN"/>
        </w:rPr>
        <w:t>2012450</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其他宗教事务支出（</w:t>
      </w:r>
      <w:r>
        <w:rPr>
          <w:rFonts w:hint="eastAsia" w:ascii="仿宋_GB2312" w:eastAsia="仿宋_GB2312"/>
          <w:color w:val="auto"/>
          <w:sz w:val="32"/>
          <w:szCs w:val="32"/>
          <w:lang w:val="en-US" w:eastAsia="zh-CN"/>
        </w:rPr>
        <w:t>2012499</w:t>
      </w:r>
      <w:r>
        <w:rPr>
          <w:rFonts w:hint="eastAsia" w:ascii="仿宋_GB2312" w:eastAsia="仿宋_GB2312"/>
          <w:color w:val="auto"/>
          <w:sz w:val="32"/>
          <w:szCs w:val="32"/>
          <w:lang w:eastAsia="zh-CN"/>
        </w:rPr>
        <w:t>）。</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11</w:t>
      </w:r>
      <w:r>
        <w:rPr>
          <w:rFonts w:ascii="仿宋_GB2312" w:eastAsia="仿宋_GB2312"/>
          <w:color w:val="auto"/>
          <w:sz w:val="32"/>
          <w:szCs w:val="32"/>
        </w:rPr>
        <w:t>.</w:t>
      </w:r>
      <w:r>
        <w:rPr>
          <w:rFonts w:hint="eastAsia" w:ascii="仿宋_GB2312" w:eastAsia="仿宋_GB2312"/>
          <w:color w:val="auto"/>
          <w:sz w:val="32"/>
          <w:szCs w:val="32"/>
        </w:rPr>
        <w:t>社会保障和就业（</w:t>
      </w:r>
      <w:r>
        <w:rPr>
          <w:rFonts w:hint="eastAsia" w:ascii="仿宋_GB2312" w:eastAsia="仿宋_GB2312"/>
          <w:color w:val="auto"/>
          <w:sz w:val="32"/>
          <w:szCs w:val="32"/>
          <w:lang w:val="en-US" w:eastAsia="zh-CN"/>
        </w:rPr>
        <w:t>208</w:t>
      </w:r>
      <w:r>
        <w:rPr>
          <w:rFonts w:hint="eastAsia" w:ascii="仿宋_GB2312" w:eastAsia="仿宋_GB2312"/>
          <w:color w:val="auto"/>
          <w:sz w:val="32"/>
          <w:szCs w:val="32"/>
        </w:rPr>
        <w:t>）：指</w:t>
      </w:r>
      <w:r>
        <w:rPr>
          <w:rFonts w:hint="eastAsia" w:ascii="仿宋_GB2312" w:eastAsia="仿宋_GB2312"/>
          <w:color w:val="auto"/>
          <w:sz w:val="32"/>
          <w:szCs w:val="32"/>
          <w:lang w:val="en-US" w:eastAsia="zh-CN"/>
        </w:rPr>
        <w:t>行政事业单位离退休（20805）-机关事业单位基本</w:t>
      </w:r>
      <w:r>
        <w:rPr>
          <w:rFonts w:hint="eastAsia" w:ascii="仿宋_GB2312" w:eastAsia="仿宋_GB2312"/>
          <w:color w:val="auto"/>
          <w:sz w:val="32"/>
          <w:szCs w:val="32"/>
          <w:lang w:eastAsia="zh-CN"/>
        </w:rPr>
        <w:t>养老保险缴费支出（</w:t>
      </w:r>
      <w:r>
        <w:rPr>
          <w:rFonts w:hint="eastAsia" w:ascii="仿宋_GB2312" w:eastAsia="仿宋_GB2312"/>
          <w:color w:val="auto"/>
          <w:sz w:val="32"/>
          <w:szCs w:val="32"/>
          <w:lang w:val="en-US" w:eastAsia="zh-CN"/>
        </w:rPr>
        <w:t>2080505</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机关事业单位职业年金缴费支出（</w:t>
      </w:r>
      <w:r>
        <w:rPr>
          <w:rFonts w:hint="eastAsia" w:ascii="仿宋_GB2312" w:eastAsia="仿宋_GB2312"/>
          <w:color w:val="auto"/>
          <w:sz w:val="32"/>
          <w:szCs w:val="32"/>
          <w:lang w:val="en-US" w:eastAsia="zh-CN"/>
        </w:rPr>
        <w:t>2080506</w:t>
      </w:r>
      <w:r>
        <w:rPr>
          <w:rFonts w:hint="eastAsia" w:ascii="仿宋_GB2312" w:eastAsia="仿宋_GB2312"/>
          <w:color w:val="auto"/>
          <w:sz w:val="32"/>
          <w:szCs w:val="32"/>
          <w:lang w:eastAsia="zh-CN"/>
        </w:rPr>
        <w:t>）</w:t>
      </w:r>
      <w:r>
        <w:rPr>
          <w:rFonts w:hint="eastAsia" w:ascii="仿宋_GB2312" w:eastAsia="仿宋_GB2312"/>
          <w:color w:val="auto"/>
          <w:sz w:val="32"/>
          <w:szCs w:val="32"/>
        </w:rPr>
        <w:t>。</w:t>
      </w:r>
    </w:p>
    <w:p>
      <w:pPr>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lang w:val="en-US" w:eastAsia="zh-CN"/>
        </w:rPr>
        <w:t>2</w:t>
      </w:r>
      <w:r>
        <w:rPr>
          <w:rFonts w:ascii="仿宋_GB2312" w:eastAsia="仿宋_GB2312"/>
          <w:color w:val="auto"/>
          <w:sz w:val="32"/>
          <w:szCs w:val="32"/>
        </w:rPr>
        <w:t>.</w:t>
      </w:r>
      <w:r>
        <w:rPr>
          <w:rFonts w:hint="eastAsia" w:ascii="仿宋_GB2312" w:eastAsia="仿宋_GB2312"/>
          <w:color w:val="auto"/>
          <w:sz w:val="32"/>
          <w:szCs w:val="32"/>
        </w:rPr>
        <w:t>医疗卫生与计划生育</w:t>
      </w:r>
      <w:r>
        <w:rPr>
          <w:rFonts w:hint="eastAsia" w:ascii="仿宋_GB2312" w:eastAsia="仿宋_GB2312"/>
          <w:color w:val="auto"/>
          <w:sz w:val="32"/>
          <w:szCs w:val="32"/>
          <w:lang w:eastAsia="zh-CN"/>
        </w:rPr>
        <w:t>支出</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210</w:t>
      </w:r>
      <w:r>
        <w:rPr>
          <w:rFonts w:hint="eastAsia" w:ascii="仿宋_GB2312" w:eastAsia="仿宋_GB2312"/>
          <w:color w:val="auto"/>
          <w:sz w:val="32"/>
          <w:szCs w:val="32"/>
        </w:rPr>
        <w:t>）：指</w:t>
      </w:r>
      <w:r>
        <w:rPr>
          <w:rFonts w:hint="eastAsia" w:ascii="仿宋_GB2312" w:eastAsia="仿宋_GB2312"/>
          <w:color w:val="auto"/>
          <w:sz w:val="32"/>
          <w:szCs w:val="32"/>
          <w:lang w:eastAsia="zh-CN"/>
        </w:rPr>
        <w:t>行政事业单位医疗</w:t>
      </w:r>
      <w:r>
        <w:rPr>
          <w:rFonts w:hint="eastAsia" w:ascii="仿宋_GB2312" w:eastAsia="仿宋_GB2312"/>
          <w:color w:val="auto"/>
          <w:sz w:val="32"/>
          <w:szCs w:val="32"/>
          <w:lang w:val="en-US" w:eastAsia="zh-CN"/>
        </w:rPr>
        <w:t>（21011） -</w:t>
      </w:r>
      <w:r>
        <w:rPr>
          <w:rFonts w:hint="eastAsia" w:ascii="仿宋_GB2312" w:eastAsia="仿宋_GB2312"/>
          <w:color w:val="auto"/>
          <w:sz w:val="32"/>
          <w:szCs w:val="32"/>
          <w:lang w:eastAsia="zh-CN"/>
        </w:rPr>
        <w:t>行政单位医疗</w:t>
      </w:r>
      <w:r>
        <w:rPr>
          <w:rFonts w:hint="eastAsia" w:ascii="仿宋_GB2312" w:eastAsia="仿宋_GB2312"/>
          <w:color w:val="auto"/>
          <w:sz w:val="32"/>
          <w:szCs w:val="32"/>
          <w:lang w:val="en-US" w:eastAsia="zh-CN"/>
        </w:rPr>
        <w:t>（2101101）-</w:t>
      </w:r>
      <w:r>
        <w:rPr>
          <w:rFonts w:hint="eastAsia" w:ascii="仿宋_GB2312" w:eastAsia="仿宋_GB2312"/>
          <w:color w:val="auto"/>
          <w:sz w:val="32"/>
          <w:szCs w:val="32"/>
          <w:lang w:eastAsia="zh-CN"/>
        </w:rPr>
        <w:t>事业单位医疗（</w:t>
      </w:r>
      <w:r>
        <w:rPr>
          <w:rFonts w:hint="eastAsia" w:ascii="仿宋_GB2312" w:eastAsia="仿宋_GB2312"/>
          <w:color w:val="auto"/>
          <w:sz w:val="32"/>
          <w:szCs w:val="32"/>
          <w:lang w:val="en-US" w:eastAsia="zh-CN"/>
        </w:rPr>
        <w:t>2101102</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公务员医疗补助（</w:t>
      </w:r>
      <w:r>
        <w:rPr>
          <w:rFonts w:hint="eastAsia" w:ascii="仿宋_GB2312" w:eastAsia="仿宋_GB2312"/>
          <w:color w:val="auto"/>
          <w:sz w:val="32"/>
          <w:szCs w:val="32"/>
          <w:lang w:val="en-US" w:eastAsia="zh-CN"/>
        </w:rPr>
        <w:t>2101103</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其他行政事业单位医疗支出（</w:t>
      </w:r>
      <w:r>
        <w:rPr>
          <w:rFonts w:hint="eastAsia" w:ascii="仿宋_GB2312" w:eastAsia="仿宋_GB2312"/>
          <w:color w:val="auto"/>
          <w:sz w:val="32"/>
          <w:szCs w:val="32"/>
          <w:lang w:val="en-US" w:eastAsia="zh-CN"/>
        </w:rPr>
        <w:t>2101199</w:t>
      </w:r>
      <w:r>
        <w:rPr>
          <w:rFonts w:hint="eastAsia" w:ascii="仿宋_GB2312" w:eastAsia="仿宋_GB2312"/>
          <w:color w:val="auto"/>
          <w:sz w:val="32"/>
          <w:szCs w:val="32"/>
          <w:lang w:eastAsia="zh-CN"/>
        </w:rPr>
        <w:t>）</w:t>
      </w:r>
      <w:r>
        <w:rPr>
          <w:rFonts w:hint="eastAsia" w:ascii="仿宋_GB2312" w:eastAsia="仿宋_GB2312"/>
          <w:color w:val="auto"/>
          <w:sz w:val="32"/>
          <w:szCs w:val="32"/>
        </w:rPr>
        <w:t>。</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13</w:t>
      </w:r>
      <w:r>
        <w:rPr>
          <w:rFonts w:ascii="仿宋_GB2312" w:eastAsia="仿宋_GB2312"/>
          <w:color w:val="auto"/>
          <w:sz w:val="32"/>
          <w:szCs w:val="32"/>
        </w:rPr>
        <w:t>.</w:t>
      </w:r>
      <w:r>
        <w:rPr>
          <w:rFonts w:hint="eastAsia" w:ascii="仿宋_GB2312" w:eastAsia="仿宋_GB2312"/>
          <w:color w:val="auto"/>
          <w:sz w:val="32"/>
          <w:szCs w:val="32"/>
        </w:rPr>
        <w:t>交通运输（</w:t>
      </w:r>
      <w:r>
        <w:rPr>
          <w:rFonts w:hint="eastAsia" w:ascii="仿宋_GB2312" w:eastAsia="仿宋_GB2312"/>
          <w:color w:val="auto"/>
          <w:sz w:val="32"/>
          <w:szCs w:val="32"/>
          <w:lang w:val="en-US" w:eastAsia="zh-CN"/>
        </w:rPr>
        <w:t>214</w:t>
      </w:r>
      <w:r>
        <w:rPr>
          <w:rFonts w:hint="eastAsia" w:ascii="仿宋_GB2312" w:eastAsia="仿宋_GB2312"/>
          <w:color w:val="auto"/>
          <w:sz w:val="32"/>
          <w:szCs w:val="32"/>
        </w:rPr>
        <w:t>）：指</w:t>
      </w: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lang w:eastAsia="zh-CN"/>
        </w:rPr>
        <w:t>公路水路运输（</w:t>
      </w:r>
      <w:r>
        <w:rPr>
          <w:rFonts w:hint="eastAsia" w:ascii="仿宋_GB2312" w:eastAsia="仿宋_GB2312"/>
          <w:color w:val="auto"/>
          <w:sz w:val="32"/>
          <w:szCs w:val="32"/>
          <w:lang w:val="en-US" w:eastAsia="zh-CN"/>
        </w:rPr>
        <w:t>21401</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-公路建设（2140104）</w:t>
      </w:r>
      <w:r>
        <w:rPr>
          <w:rFonts w:hint="eastAsia" w:ascii="仿宋_GB2312" w:eastAsia="仿宋_GB2312"/>
          <w:color w:val="auto"/>
          <w:sz w:val="32"/>
          <w:szCs w:val="32"/>
        </w:rPr>
        <w:t>。</w:t>
      </w:r>
    </w:p>
    <w:p>
      <w:pPr>
        <w:ind w:firstLine="640" w:firstLineChars="200"/>
        <w:rPr>
          <w:rFonts w:hint="eastAsia" w:ascii="仿宋_GB2312" w:eastAsia="仿宋_GB2312"/>
          <w:color w:val="auto"/>
          <w:sz w:val="32"/>
          <w:szCs w:val="32"/>
        </w:rPr>
      </w:pPr>
      <w:r>
        <w:rPr>
          <w:rFonts w:hint="eastAsia" w:ascii="仿宋_GB2312" w:eastAsia="仿宋_GB2312"/>
          <w:color w:val="auto"/>
          <w:sz w:val="32"/>
          <w:szCs w:val="32"/>
          <w:lang w:val="en-US" w:eastAsia="zh-CN"/>
        </w:rPr>
        <w:t>14</w:t>
      </w:r>
      <w:r>
        <w:rPr>
          <w:rFonts w:ascii="仿宋_GB2312" w:eastAsia="仿宋_GB2312"/>
          <w:color w:val="auto"/>
          <w:sz w:val="32"/>
          <w:szCs w:val="32"/>
        </w:rPr>
        <w:t>.</w:t>
      </w:r>
      <w:r>
        <w:rPr>
          <w:rFonts w:hint="eastAsia" w:ascii="仿宋_GB2312" w:eastAsia="仿宋_GB2312"/>
          <w:color w:val="auto"/>
          <w:sz w:val="32"/>
          <w:szCs w:val="32"/>
        </w:rPr>
        <w:t>住房保障（</w:t>
      </w:r>
      <w:r>
        <w:rPr>
          <w:rFonts w:hint="eastAsia" w:ascii="仿宋_GB2312" w:eastAsia="仿宋_GB2312"/>
          <w:color w:val="auto"/>
          <w:sz w:val="32"/>
          <w:szCs w:val="32"/>
          <w:lang w:val="en-US" w:eastAsia="zh-CN"/>
        </w:rPr>
        <w:t>221</w:t>
      </w:r>
      <w:r>
        <w:rPr>
          <w:rFonts w:hint="eastAsia" w:ascii="仿宋_GB2312" w:eastAsia="仿宋_GB2312"/>
          <w:color w:val="auto"/>
          <w:sz w:val="32"/>
          <w:szCs w:val="32"/>
        </w:rPr>
        <w:t>）：指</w:t>
      </w:r>
      <w:r>
        <w:rPr>
          <w:rFonts w:hint="eastAsia" w:ascii="仿宋_GB2312" w:eastAsia="仿宋_GB2312"/>
          <w:color w:val="auto"/>
          <w:sz w:val="32"/>
          <w:szCs w:val="32"/>
          <w:lang w:val="en-US" w:eastAsia="zh-CN"/>
        </w:rPr>
        <w:t xml:space="preserve"> 住房改革支出（22102）-</w:t>
      </w:r>
      <w:r>
        <w:rPr>
          <w:rFonts w:hint="eastAsia" w:ascii="仿宋_GB2312" w:eastAsia="仿宋_GB2312"/>
          <w:color w:val="auto"/>
          <w:sz w:val="32"/>
          <w:szCs w:val="32"/>
          <w:lang w:eastAsia="zh-CN"/>
        </w:rPr>
        <w:t>住房公积金（</w:t>
      </w:r>
      <w:r>
        <w:rPr>
          <w:rFonts w:hint="eastAsia" w:ascii="仿宋_GB2312" w:eastAsia="仿宋_GB2312"/>
          <w:color w:val="auto"/>
          <w:sz w:val="32"/>
          <w:szCs w:val="32"/>
          <w:lang w:val="en-US" w:eastAsia="zh-CN"/>
        </w:rPr>
        <w:t>2210201</w:t>
      </w:r>
      <w:r>
        <w:rPr>
          <w:rFonts w:hint="eastAsia" w:ascii="仿宋_GB2312" w:eastAsia="仿宋_GB2312"/>
          <w:color w:val="auto"/>
          <w:sz w:val="32"/>
          <w:szCs w:val="32"/>
          <w:lang w:eastAsia="zh-CN"/>
        </w:rPr>
        <w:t>）</w:t>
      </w:r>
      <w:r>
        <w:rPr>
          <w:rFonts w:hint="eastAsia" w:ascii="仿宋_GB2312" w:eastAsia="仿宋_GB2312"/>
          <w:color w:val="auto"/>
          <w:sz w:val="32"/>
          <w:szCs w:val="32"/>
        </w:rPr>
        <w:t>。</w:t>
      </w:r>
    </w:p>
    <w:p>
      <w:pPr>
        <w:pStyle w:val="2"/>
        <w:rPr>
          <w:rFonts w:hint="eastAsia" w:eastAsia="仿宋_GB2312"/>
          <w:color w:val="auto"/>
          <w:lang w:val="en-US" w:eastAsia="zh-CN"/>
        </w:rPr>
      </w:pPr>
      <w:r>
        <w:rPr>
          <w:rFonts w:hint="eastAsia" w:ascii="仿宋_GB2312" w:eastAsia="仿宋_GB2312"/>
          <w:color w:val="auto"/>
          <w:sz w:val="32"/>
          <w:szCs w:val="32"/>
          <w:lang w:val="en-US" w:eastAsia="zh-CN"/>
        </w:rPr>
        <w:t xml:space="preserve">   15.其他支出（221）：指  其他支出（22999）-其他支出（2299901）。</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16</w:t>
      </w:r>
      <w:r>
        <w:rPr>
          <w:rFonts w:ascii="仿宋_GB2312" w:eastAsia="仿宋_GB2312"/>
          <w:color w:val="auto"/>
          <w:sz w:val="32"/>
          <w:szCs w:val="32"/>
        </w:rPr>
        <w:t>.</w:t>
      </w:r>
      <w:r>
        <w:rPr>
          <w:rFonts w:hint="eastAsia" w:ascii="仿宋_GB2312" w:eastAsia="仿宋_GB2312"/>
          <w:color w:val="auto"/>
          <w:sz w:val="32"/>
          <w:szCs w:val="32"/>
        </w:rPr>
        <w:t>基本支出：指为保障机构正常运转、完成日常工作任务而发生的人员支出和公用支出。</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17</w:t>
      </w:r>
      <w:r>
        <w:rPr>
          <w:rFonts w:ascii="仿宋_GB2312" w:eastAsia="仿宋_GB2312"/>
          <w:color w:val="auto"/>
          <w:sz w:val="32"/>
          <w:szCs w:val="32"/>
        </w:rPr>
        <w:t>.</w:t>
      </w:r>
      <w:r>
        <w:rPr>
          <w:rFonts w:hint="eastAsia" w:ascii="仿宋_GB2312" w:eastAsia="仿宋_GB2312"/>
          <w:color w:val="auto"/>
          <w:sz w:val="32"/>
          <w:szCs w:val="32"/>
        </w:rPr>
        <w:t>项目支出：指在基本支出之外为完成特定行政任务和事业发展目标所发生的支出。</w:t>
      </w:r>
      <w:r>
        <w:rPr>
          <w:rFonts w:ascii="仿宋_GB2312" w:eastAsia="仿宋_GB2312"/>
          <w:color w:val="auto"/>
          <w:sz w:val="32"/>
          <w:szCs w:val="32"/>
        </w:rPr>
        <w:t xml:space="preserve"> </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18</w:t>
      </w:r>
      <w:r>
        <w:rPr>
          <w:rFonts w:ascii="仿宋_GB2312" w:eastAsia="仿宋_GB2312"/>
          <w:color w:val="auto"/>
          <w:sz w:val="32"/>
          <w:szCs w:val="32"/>
        </w:rPr>
        <w:t>.</w:t>
      </w:r>
      <w:r>
        <w:rPr>
          <w:rFonts w:hint="eastAsia" w:ascii="仿宋_GB2312" w:eastAsia="仿宋_GB2312"/>
          <w:color w:val="auto"/>
          <w:sz w:val="32"/>
          <w:szCs w:val="32"/>
        </w:rPr>
        <w:t>经营支出：指事业单位在专业业务活动及其辅助活动之外开展非独立核算经营活动发生的支出。</w:t>
      </w:r>
    </w:p>
    <w:p>
      <w:pPr>
        <w:pStyle w:val="24"/>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19</w:t>
      </w:r>
      <w:r>
        <w:rPr>
          <w:rFonts w:ascii="仿宋_GB2312" w:eastAsia="仿宋_GB2312"/>
          <w:color w:val="auto"/>
          <w:sz w:val="32"/>
          <w:szCs w:val="32"/>
        </w:rPr>
        <w:t>.</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20</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4"/>
        <w:spacing w:line="560" w:lineRule="exact"/>
        <w:ind w:firstLine="640" w:firstLineChars="200"/>
        <w:rPr>
          <w:rFonts w:ascii="仿宋_GB2312" w:eastAsia="仿宋_GB2312" w:cs="黑体"/>
          <w:color w:val="auto"/>
          <w:sz w:val="32"/>
          <w:szCs w:val="32"/>
        </w:rPr>
      </w:pPr>
    </w:p>
    <w:p>
      <w:pPr>
        <w:spacing w:line="600" w:lineRule="exact"/>
        <w:jc w:val="center"/>
        <w:outlineLvl w:val="0"/>
        <w:rPr>
          <w:rStyle w:val="26"/>
          <w:rFonts w:ascii="黑体" w:hAnsi="黑体" w:eastAsia="黑体"/>
          <w:b w:val="0"/>
          <w:color w:val="auto"/>
        </w:rPr>
      </w:pPr>
      <w:bookmarkStart w:id="57" w:name="_Toc15377226"/>
      <w:r>
        <w:rPr>
          <w:rFonts w:ascii="宋体"/>
          <w:b/>
          <w:color w:val="auto"/>
          <w:sz w:val="44"/>
          <w:szCs w:val="44"/>
        </w:rPr>
        <w:br w:type="page"/>
      </w:r>
      <w:bookmarkStart w:id="58" w:name="_Toc15396614"/>
      <w:r>
        <w:rPr>
          <w:rFonts w:hint="eastAsia" w:ascii="黑体" w:hAnsi="黑体" w:eastAsia="黑体"/>
          <w:color w:val="auto"/>
          <w:sz w:val="44"/>
          <w:szCs w:val="44"/>
        </w:rPr>
        <w:t>第</w:t>
      </w:r>
      <w:r>
        <w:rPr>
          <w:rStyle w:val="26"/>
          <w:rFonts w:hint="eastAsia" w:ascii="黑体" w:hAnsi="黑体" w:eastAsia="黑体"/>
          <w:b w:val="0"/>
          <w:color w:val="auto"/>
        </w:rPr>
        <w:t>四部分 附件</w:t>
      </w:r>
      <w:bookmarkEnd w:id="58"/>
    </w:p>
    <w:p>
      <w:pPr>
        <w:spacing w:line="600" w:lineRule="exact"/>
        <w:jc w:val="center"/>
        <w:outlineLvl w:val="0"/>
        <w:rPr>
          <w:rStyle w:val="26"/>
          <w:color w:val="auto"/>
        </w:rPr>
      </w:pPr>
    </w:p>
    <w:p>
      <w:pPr>
        <w:pStyle w:val="4"/>
        <w:rPr>
          <w:rStyle w:val="26"/>
          <w:rFonts w:hint="eastAsia" w:ascii="仿宋_GB2312" w:hAnsi="仿宋_GB2312" w:eastAsia="仿宋_GB2312" w:cs="仿宋_GB2312"/>
          <w:b w:val="0"/>
          <w:bCs w:val="0"/>
          <w:color w:val="auto"/>
          <w:sz w:val="32"/>
          <w:szCs w:val="32"/>
        </w:rPr>
      </w:pPr>
      <w:bookmarkStart w:id="59" w:name="_Toc15396615"/>
      <w:r>
        <w:rPr>
          <w:rStyle w:val="26"/>
          <w:rFonts w:hint="eastAsia" w:ascii="仿宋" w:hAnsi="仿宋" w:eastAsia="仿宋"/>
          <w:b w:val="0"/>
          <w:bCs w:val="0"/>
          <w:color w:val="auto"/>
          <w:sz w:val="32"/>
          <w:szCs w:val="32"/>
        </w:rPr>
        <w:t>附件1</w:t>
      </w:r>
      <w:bookmarkEnd w:id="59"/>
    </w:p>
    <w:p>
      <w:pPr>
        <w:widowControl/>
        <w:spacing w:line="570" w:lineRule="exact"/>
        <w:jc w:val="center"/>
        <w:rPr>
          <w:rFonts w:hint="eastAsia" w:ascii="仿宋_GB2312" w:hAnsi="仿宋_GB2312" w:eastAsia="仿宋_GB2312" w:cs="仿宋_GB2312"/>
          <w:color w:val="auto"/>
          <w:sz w:val="32"/>
          <w:szCs w:val="32"/>
        </w:rPr>
      </w:pPr>
      <w:bookmarkStart w:id="60" w:name="_Toc15396617"/>
      <w:r>
        <w:rPr>
          <w:rFonts w:hint="eastAsia" w:ascii="仿宋_GB2312" w:hAnsi="仿宋_GB2312" w:eastAsia="仿宋_GB2312" w:cs="仿宋_GB2312"/>
          <w:color w:val="auto"/>
          <w:sz w:val="32"/>
          <w:szCs w:val="32"/>
        </w:rPr>
        <w:t>红原县民族宗教局</w:t>
      </w:r>
    </w:p>
    <w:p>
      <w:pPr>
        <w:widowControl/>
        <w:spacing w:line="57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关于201</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年部门整体支出</w:t>
      </w:r>
      <w:r>
        <w:rPr>
          <w:rFonts w:hint="eastAsia" w:ascii="仿宋_GB2312" w:hAnsi="仿宋_GB2312" w:eastAsia="仿宋_GB2312" w:cs="仿宋_GB2312"/>
          <w:color w:val="auto"/>
          <w:sz w:val="32"/>
          <w:szCs w:val="32"/>
          <w:lang w:eastAsia="zh-CN"/>
        </w:rPr>
        <w:t>自评</w:t>
      </w:r>
      <w:r>
        <w:rPr>
          <w:rFonts w:hint="eastAsia" w:ascii="仿宋_GB2312" w:hAnsi="仿宋_GB2312" w:eastAsia="仿宋_GB2312" w:cs="仿宋_GB2312"/>
          <w:color w:val="auto"/>
          <w:sz w:val="32"/>
          <w:szCs w:val="32"/>
        </w:rPr>
        <w:t>报告</w:t>
      </w:r>
    </w:p>
    <w:p>
      <w:pPr>
        <w:spacing w:line="570" w:lineRule="exact"/>
        <w:ind w:firstLine="645"/>
        <w:rPr>
          <w:rFonts w:hint="eastAsia" w:ascii="仿宋_GB2312" w:hAnsi="仿宋_GB2312" w:eastAsia="仿宋_GB2312" w:cs="仿宋_GB2312"/>
          <w:color w:val="auto"/>
          <w:sz w:val="32"/>
          <w:szCs w:val="32"/>
        </w:rPr>
      </w:pPr>
    </w:p>
    <w:p>
      <w:pPr>
        <w:spacing w:line="570" w:lineRule="exact"/>
        <w:ind w:firstLine="645"/>
        <w:rPr>
          <w:rFonts w:hint="eastAsia" w:ascii="仿宋_GB2312" w:hAnsi="仿宋_GB2312" w:eastAsia="仿宋_GB2312" w:cs="仿宋_GB2312"/>
          <w:b/>
          <w:bCs/>
          <w:color w:val="auto"/>
          <w:sz w:val="32"/>
          <w:szCs w:val="32"/>
          <w:lang w:val="zh-CN"/>
        </w:rPr>
      </w:pPr>
      <w:r>
        <w:rPr>
          <w:rFonts w:hint="eastAsia" w:ascii="仿宋_GB2312" w:hAnsi="仿宋_GB2312" w:eastAsia="仿宋_GB2312" w:cs="仿宋_GB2312"/>
          <w:b/>
          <w:bCs/>
          <w:color w:val="auto"/>
          <w:sz w:val="32"/>
          <w:szCs w:val="32"/>
        </w:rPr>
        <w:t>一、</w:t>
      </w:r>
      <w:r>
        <w:rPr>
          <w:rFonts w:hint="eastAsia" w:ascii="仿宋_GB2312" w:hAnsi="仿宋_GB2312" w:eastAsia="仿宋_GB2312" w:cs="仿宋_GB2312"/>
          <w:b/>
          <w:bCs/>
          <w:color w:val="auto"/>
          <w:sz w:val="32"/>
          <w:szCs w:val="32"/>
          <w:lang w:val="zh-CN"/>
        </w:rPr>
        <w:t>部门（单位）概况</w:t>
      </w:r>
    </w:p>
    <w:p>
      <w:pPr>
        <w:spacing w:line="570" w:lineRule="exact"/>
        <w:ind w:firstLine="645"/>
        <w:rPr>
          <w:rFonts w:hint="eastAsia" w:ascii="仿宋_GB2312" w:hAnsi="仿宋_GB2312" w:eastAsia="仿宋_GB2312" w:cs="仿宋_GB2312"/>
          <w:b/>
          <w:bCs/>
          <w:color w:val="auto"/>
          <w:sz w:val="32"/>
          <w:szCs w:val="32"/>
          <w:lang w:val="zh-CN"/>
        </w:rPr>
      </w:pPr>
      <w:r>
        <w:rPr>
          <w:rFonts w:hint="eastAsia" w:ascii="仿宋_GB2312" w:hAnsi="仿宋_GB2312" w:eastAsia="仿宋_GB2312" w:cs="仿宋_GB2312"/>
          <w:b/>
          <w:bCs/>
          <w:color w:val="auto"/>
          <w:sz w:val="32"/>
          <w:szCs w:val="32"/>
          <w:lang w:val="zh-CN"/>
        </w:rPr>
        <w:t>（一）机构组成。</w:t>
      </w:r>
    </w:p>
    <w:p>
      <w:pPr>
        <w:spacing w:line="570" w:lineRule="exact"/>
        <w:ind w:firstLine="645"/>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bCs/>
          <w:color w:val="auto"/>
          <w:sz w:val="32"/>
          <w:szCs w:val="32"/>
        </w:rPr>
        <w:t>我单位为独立核算全额拨款行政单位,其中内设机构1个。</w:t>
      </w:r>
    </w:p>
    <w:p>
      <w:pPr>
        <w:spacing w:line="570" w:lineRule="exact"/>
        <w:ind w:firstLine="645"/>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b/>
          <w:bCs/>
          <w:color w:val="auto"/>
          <w:sz w:val="32"/>
          <w:szCs w:val="32"/>
          <w:lang w:val="zh-CN"/>
        </w:rPr>
        <w:t>（二）机构职能</w:t>
      </w:r>
      <w:r>
        <w:rPr>
          <w:rFonts w:hint="eastAsia" w:ascii="仿宋_GB2312" w:hAnsi="仿宋_GB2312" w:eastAsia="仿宋_GB2312" w:cs="仿宋_GB2312"/>
          <w:color w:val="auto"/>
          <w:sz w:val="32"/>
          <w:szCs w:val="32"/>
          <w:lang w:val="zh-CN"/>
        </w:rPr>
        <w:t>。</w:t>
      </w:r>
    </w:p>
    <w:p>
      <w:pPr>
        <w:spacing w:line="570" w:lineRule="exact"/>
        <w:ind w:firstLine="645"/>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我单位为县政府派出机构，受县政府委托，履行相应宗教事务管理执法权，业务上接收统战部门的指导和监督。</w:t>
      </w:r>
    </w:p>
    <w:p>
      <w:pPr>
        <w:spacing w:line="570" w:lineRule="exact"/>
        <w:ind w:firstLine="645"/>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1、依法管理宗教事务，加强寺庙管理，加强僧尼管理，加强宗教活动管理。</w:t>
      </w:r>
    </w:p>
    <w:p>
      <w:pPr>
        <w:spacing w:line="570" w:lineRule="exact"/>
        <w:ind w:firstLine="645"/>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2、教育引导，以增强僧尼法</w:t>
      </w:r>
      <w:r>
        <w:rPr>
          <w:rFonts w:hint="eastAsia" w:ascii="仿宋_GB2312" w:hAnsi="仿宋_GB2312" w:eastAsia="仿宋_GB2312" w:cs="仿宋_GB2312"/>
          <w:color w:val="auto"/>
          <w:sz w:val="32"/>
          <w:szCs w:val="32"/>
          <w:lang w:val="en-US" w:eastAsia="zh-CN"/>
        </w:rPr>
        <w:t>治</w:t>
      </w:r>
      <w:r>
        <w:rPr>
          <w:rFonts w:hint="eastAsia" w:ascii="仿宋_GB2312" w:hAnsi="仿宋_GB2312" w:eastAsia="仿宋_GB2312" w:cs="仿宋_GB2312"/>
          <w:color w:val="auto"/>
          <w:sz w:val="32"/>
          <w:szCs w:val="32"/>
        </w:rPr>
        <w:t>意识、公民意识、政府议事、祖国意识为目标，坚持不懈加强对僧尼的教育引导。</w:t>
      </w:r>
    </w:p>
    <w:p>
      <w:pPr>
        <w:spacing w:line="570" w:lineRule="exact"/>
        <w:ind w:firstLine="645"/>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3、公共服务，充分保障依法打击寺庙和持证僧尼的普惠性待遇，做到“五通”、“三有”、“三覆盖”。</w:t>
      </w:r>
    </w:p>
    <w:p>
      <w:pPr>
        <w:spacing w:line="570" w:lineRule="exact"/>
        <w:ind w:firstLine="645"/>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w:t>
      </w:r>
      <w:r>
        <w:rPr>
          <w:rFonts w:hint="eastAsia" w:ascii="仿宋_GB2312" w:hAnsi="仿宋_GB2312" w:eastAsia="仿宋_GB2312" w:cs="仿宋_GB2312"/>
          <w:b/>
          <w:bCs/>
          <w:color w:val="auto"/>
          <w:sz w:val="32"/>
          <w:szCs w:val="32"/>
          <w:lang w:val="zh-CN"/>
        </w:rPr>
        <w:t>三）人员概况</w:t>
      </w:r>
      <w:r>
        <w:rPr>
          <w:rFonts w:hint="eastAsia" w:ascii="仿宋_GB2312" w:hAnsi="仿宋_GB2312" w:eastAsia="仿宋_GB2312" w:cs="仿宋_GB2312"/>
          <w:color w:val="auto"/>
          <w:sz w:val="32"/>
          <w:szCs w:val="32"/>
          <w:lang w:val="zh-CN"/>
        </w:rPr>
        <w:t>。</w:t>
      </w:r>
    </w:p>
    <w:p>
      <w:pPr>
        <w:snapToGrid w:val="0"/>
        <w:spacing w:line="520" w:lineRule="exact"/>
        <w:ind w:firstLine="640" w:firstLineChars="200"/>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rPr>
        <w:t xml:space="preserve"> 截止2018年底我单位共有编制</w:t>
      </w:r>
      <w:r>
        <w:rPr>
          <w:rFonts w:hint="eastAsia" w:ascii="仿宋_GB2312" w:hAnsi="仿宋_GB2312" w:eastAsia="仿宋_GB2312" w:cs="仿宋_GB2312"/>
          <w:color w:val="auto"/>
          <w:sz w:val="32"/>
          <w:szCs w:val="32"/>
          <w:lang w:val="en-US" w:eastAsia="zh-CN"/>
        </w:rPr>
        <w:t>22</w:t>
      </w:r>
      <w:r>
        <w:rPr>
          <w:rFonts w:hint="eastAsia" w:ascii="仿宋_GB2312" w:hAnsi="仿宋_GB2312" w:eastAsia="仿宋_GB2312" w:cs="仿宋_GB2312"/>
          <w:color w:val="auto"/>
          <w:sz w:val="32"/>
          <w:szCs w:val="32"/>
        </w:rPr>
        <w:t>个，其中公务员编制14个，行政工勤编制1个</w:t>
      </w:r>
      <w:r>
        <w:rPr>
          <w:rFonts w:hint="eastAsia" w:ascii="仿宋_GB2312" w:hAnsi="仿宋_GB2312" w:eastAsia="仿宋_GB2312" w:cs="仿宋_GB2312"/>
          <w:color w:val="auto"/>
          <w:sz w:val="32"/>
          <w:szCs w:val="32"/>
          <w:lang w:val="en-US" w:eastAsia="zh-CN"/>
        </w:rPr>
        <w:t>,事业</w:t>
      </w:r>
      <w:r>
        <w:rPr>
          <w:rFonts w:hint="eastAsia" w:ascii="仿宋_GB2312" w:hAnsi="仿宋_GB2312" w:eastAsia="仿宋_GB2312" w:cs="仿宋_GB2312"/>
          <w:color w:val="auto"/>
          <w:sz w:val="32"/>
          <w:szCs w:val="32"/>
        </w:rPr>
        <w:t>编制7个。</w:t>
      </w:r>
      <w:r>
        <w:rPr>
          <w:rFonts w:hint="eastAsia" w:ascii="仿宋_GB2312" w:hAnsi="仿宋_GB2312" w:eastAsia="仿宋_GB2312" w:cs="仿宋_GB2312"/>
          <w:color w:val="auto"/>
          <w:sz w:val="32"/>
          <w:szCs w:val="32"/>
          <w:lang w:eastAsia="zh-CN"/>
        </w:rPr>
        <w:t>在职</w:t>
      </w:r>
      <w:r>
        <w:rPr>
          <w:rFonts w:hint="eastAsia" w:ascii="仿宋_GB2312" w:hAnsi="仿宋_GB2312" w:eastAsia="仿宋_GB2312" w:cs="仿宋_GB2312"/>
          <w:color w:val="auto"/>
          <w:sz w:val="32"/>
          <w:szCs w:val="32"/>
          <w:lang w:val="en-US" w:eastAsia="zh-CN"/>
        </w:rPr>
        <w:t>21人，其中：</w:t>
      </w:r>
      <w:r>
        <w:rPr>
          <w:rFonts w:hint="eastAsia" w:ascii="仿宋_GB2312" w:hAnsi="仿宋_GB2312" w:eastAsia="仿宋_GB2312" w:cs="仿宋_GB2312"/>
          <w:color w:val="auto"/>
          <w:sz w:val="32"/>
          <w:szCs w:val="32"/>
          <w:lang w:eastAsia="zh-CN"/>
        </w:rPr>
        <w:t>行政</w:t>
      </w:r>
      <w:r>
        <w:rPr>
          <w:rFonts w:hint="eastAsia" w:ascii="仿宋_GB2312" w:hAnsi="仿宋_GB2312" w:eastAsia="仿宋_GB2312" w:cs="仿宋_GB2312"/>
          <w:color w:val="auto"/>
          <w:sz w:val="32"/>
          <w:szCs w:val="32"/>
        </w:rPr>
        <w:t>在职15人，行政工勤1个，公务员14人，退休6人。事业在职6个，退休1人。</w:t>
      </w:r>
    </w:p>
    <w:p>
      <w:pPr>
        <w:spacing w:line="570" w:lineRule="exact"/>
        <w:ind w:firstLine="645"/>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二、部门财政资金收支情况</w:t>
      </w:r>
    </w:p>
    <w:p>
      <w:pPr>
        <w:spacing w:line="570" w:lineRule="exact"/>
        <w:ind w:firstLine="645"/>
        <w:rPr>
          <w:rFonts w:hint="eastAsia" w:ascii="仿宋_GB2312" w:hAnsi="仿宋_GB2312" w:eastAsia="仿宋_GB2312" w:cs="仿宋_GB2312"/>
          <w:b/>
          <w:bCs/>
          <w:color w:val="auto"/>
          <w:sz w:val="32"/>
          <w:szCs w:val="32"/>
          <w:lang w:val="zh-CN"/>
        </w:rPr>
      </w:pPr>
      <w:r>
        <w:rPr>
          <w:rFonts w:hint="eastAsia" w:ascii="仿宋_GB2312" w:hAnsi="仿宋_GB2312" w:eastAsia="仿宋_GB2312" w:cs="仿宋_GB2312"/>
          <w:b/>
          <w:bCs/>
          <w:color w:val="auto"/>
          <w:sz w:val="32"/>
          <w:szCs w:val="32"/>
          <w:lang w:val="zh-CN"/>
        </w:rPr>
        <w:t>（一）部门财政资金收入情况。</w:t>
      </w:r>
    </w:p>
    <w:p>
      <w:pPr>
        <w:spacing w:line="570" w:lineRule="exact"/>
        <w:ind w:firstLine="645"/>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201</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年我局本年</w:t>
      </w:r>
      <w:r>
        <w:rPr>
          <w:rFonts w:hint="eastAsia" w:ascii="仿宋_GB2312" w:hAnsi="仿宋_GB2312" w:eastAsia="仿宋_GB2312" w:cs="仿宋_GB2312"/>
          <w:color w:val="auto"/>
          <w:sz w:val="32"/>
          <w:szCs w:val="32"/>
          <w:lang w:eastAsia="zh-CN"/>
        </w:rPr>
        <w:t>预算</w:t>
      </w:r>
      <w:r>
        <w:rPr>
          <w:rFonts w:hint="eastAsia" w:ascii="仿宋_GB2312" w:hAnsi="仿宋_GB2312" w:eastAsia="仿宋_GB2312" w:cs="仿宋_GB2312"/>
          <w:color w:val="auto"/>
          <w:sz w:val="32"/>
          <w:szCs w:val="32"/>
        </w:rPr>
        <w:t>合计</w:t>
      </w:r>
      <w:r>
        <w:rPr>
          <w:rFonts w:hint="eastAsia" w:ascii="仿宋_GB2312" w:hAnsi="仿宋_GB2312" w:eastAsia="仿宋_GB2312" w:cs="仿宋_GB2312"/>
          <w:color w:val="auto"/>
          <w:sz w:val="32"/>
          <w:szCs w:val="32"/>
          <w:lang w:val="en-US" w:eastAsia="zh-CN"/>
        </w:rPr>
        <w:t>757060.59</w:t>
      </w:r>
      <w:r>
        <w:rPr>
          <w:rFonts w:hint="eastAsia" w:ascii="仿宋_GB2312" w:hAnsi="仿宋_GB2312" w:eastAsia="仿宋_GB2312" w:cs="仿宋_GB2312"/>
          <w:color w:val="auto"/>
          <w:sz w:val="32"/>
          <w:szCs w:val="32"/>
        </w:rPr>
        <w:t>元，其中：</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一般公共预算财政拨款收入</w:t>
      </w:r>
      <w:r>
        <w:rPr>
          <w:rFonts w:hint="eastAsia" w:ascii="仿宋_GB2312" w:hAnsi="仿宋_GB2312" w:eastAsia="仿宋_GB2312" w:cs="仿宋_GB2312"/>
          <w:color w:val="auto"/>
          <w:sz w:val="32"/>
          <w:szCs w:val="32"/>
          <w:lang w:val="en-US" w:eastAsia="zh-CN"/>
        </w:rPr>
        <w:t>4203021.22</w:t>
      </w:r>
      <w:r>
        <w:rPr>
          <w:rFonts w:hint="eastAsia" w:ascii="仿宋_GB2312" w:hAnsi="仿宋_GB2312" w:eastAsia="仿宋_GB2312" w:cs="仿宋_GB2312"/>
          <w:color w:val="auto"/>
          <w:sz w:val="32"/>
          <w:szCs w:val="32"/>
        </w:rPr>
        <w:t>元,其中：</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包括人员经费</w:t>
      </w:r>
      <w:r>
        <w:rPr>
          <w:rFonts w:hint="eastAsia" w:ascii="仿宋_GB2312" w:hAnsi="仿宋_GB2312" w:eastAsia="仿宋_GB2312" w:cs="仿宋_GB2312"/>
          <w:color w:val="auto"/>
          <w:sz w:val="32"/>
          <w:szCs w:val="32"/>
          <w:lang w:val="en-US" w:eastAsia="zh-CN"/>
        </w:rPr>
        <w:t>3663395.22</w:t>
      </w:r>
      <w:r>
        <w:rPr>
          <w:rFonts w:hint="eastAsia" w:ascii="仿宋_GB2312" w:hAnsi="仿宋_GB2312" w:eastAsia="仿宋_GB2312" w:cs="仿宋_GB2312"/>
          <w:color w:val="auto"/>
          <w:sz w:val="32"/>
          <w:szCs w:val="32"/>
        </w:rPr>
        <w:t>元，日常公用经费</w:t>
      </w:r>
      <w:r>
        <w:rPr>
          <w:rFonts w:hint="eastAsia" w:ascii="仿宋_GB2312" w:hAnsi="仿宋_GB2312" w:eastAsia="仿宋_GB2312" w:cs="仿宋_GB2312"/>
          <w:color w:val="auto"/>
          <w:sz w:val="32"/>
          <w:szCs w:val="32"/>
          <w:lang w:val="en-US" w:eastAsia="zh-CN"/>
        </w:rPr>
        <w:t>539626</w:t>
      </w:r>
      <w:r>
        <w:rPr>
          <w:rFonts w:hint="eastAsia" w:ascii="仿宋_GB2312" w:hAnsi="仿宋_GB2312" w:eastAsia="仿宋_GB2312" w:cs="仿宋_GB2312"/>
          <w:color w:val="auto"/>
          <w:sz w:val="32"/>
          <w:szCs w:val="32"/>
        </w:rPr>
        <w:t>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本年上级下达项目资金</w:t>
      </w:r>
      <w:r>
        <w:rPr>
          <w:rFonts w:hint="eastAsia" w:ascii="仿宋_GB2312" w:hAnsi="仿宋_GB2312" w:eastAsia="仿宋_GB2312" w:cs="仿宋_GB2312"/>
          <w:color w:val="auto"/>
          <w:sz w:val="32"/>
          <w:szCs w:val="32"/>
          <w:lang w:val="en-US" w:eastAsia="zh-CN"/>
        </w:rPr>
        <w:t>2166000</w:t>
      </w:r>
      <w:r>
        <w:rPr>
          <w:rFonts w:hint="eastAsia" w:ascii="仿宋_GB2312" w:hAnsi="仿宋_GB2312" w:eastAsia="仿宋_GB2312" w:cs="仿宋_GB2312"/>
          <w:color w:val="auto"/>
          <w:sz w:val="32"/>
          <w:szCs w:val="32"/>
        </w:rPr>
        <w:t>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本级财政下达专项资金</w:t>
      </w:r>
      <w:r>
        <w:rPr>
          <w:rFonts w:hint="eastAsia" w:ascii="仿宋_GB2312" w:hAnsi="仿宋_GB2312" w:eastAsia="仿宋_GB2312" w:cs="仿宋_GB2312"/>
          <w:color w:val="auto"/>
          <w:sz w:val="32"/>
          <w:szCs w:val="32"/>
          <w:lang w:val="en-US" w:eastAsia="zh-CN"/>
        </w:rPr>
        <w:t>978890.75</w:t>
      </w:r>
      <w:r>
        <w:rPr>
          <w:rFonts w:hint="eastAsia" w:ascii="仿宋_GB2312" w:hAnsi="仿宋_GB2312" w:eastAsia="仿宋_GB2312" w:cs="仿宋_GB2312"/>
          <w:color w:val="auto"/>
          <w:sz w:val="32"/>
          <w:szCs w:val="32"/>
        </w:rPr>
        <w:t>元。</w:t>
      </w:r>
    </w:p>
    <w:p>
      <w:pPr>
        <w:spacing w:line="570" w:lineRule="exact"/>
        <w:ind w:firstLine="645"/>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201</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年1月-</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月我局</w:t>
      </w:r>
      <w:r>
        <w:rPr>
          <w:rFonts w:hint="eastAsia" w:ascii="仿宋_GB2312" w:hAnsi="仿宋_GB2312" w:eastAsia="仿宋_GB2312" w:cs="仿宋_GB2312"/>
          <w:color w:val="auto"/>
          <w:sz w:val="32"/>
          <w:szCs w:val="32"/>
          <w:lang w:eastAsia="zh-CN"/>
        </w:rPr>
        <w:t>行政</w:t>
      </w:r>
      <w:r>
        <w:rPr>
          <w:rFonts w:hint="eastAsia" w:ascii="仿宋_GB2312" w:hAnsi="仿宋_GB2312" w:eastAsia="仿宋_GB2312" w:cs="仿宋_GB2312"/>
          <w:color w:val="auto"/>
          <w:sz w:val="32"/>
          <w:szCs w:val="32"/>
        </w:rPr>
        <w:t>财政拨款收入合计</w:t>
      </w:r>
      <w:r>
        <w:rPr>
          <w:rFonts w:hint="eastAsia" w:ascii="仿宋_GB2312" w:hAnsi="仿宋_GB2312" w:eastAsia="仿宋_GB2312" w:cs="仿宋_GB2312"/>
          <w:color w:val="auto"/>
          <w:sz w:val="32"/>
          <w:szCs w:val="32"/>
          <w:lang w:val="en-US" w:eastAsia="zh-CN"/>
        </w:rPr>
        <w:t>14087589.25</w:t>
      </w:r>
      <w:r>
        <w:rPr>
          <w:rFonts w:hint="eastAsia" w:ascii="仿宋_GB2312" w:hAnsi="仿宋_GB2312" w:eastAsia="仿宋_GB2312" w:cs="仿宋_GB2312"/>
          <w:color w:val="auto"/>
          <w:sz w:val="32"/>
          <w:szCs w:val="32"/>
        </w:rPr>
        <w:t>元，其中：包括人员经费</w:t>
      </w:r>
      <w:r>
        <w:rPr>
          <w:rFonts w:hint="eastAsia" w:ascii="仿宋_GB2312" w:hAnsi="仿宋_GB2312" w:eastAsia="仿宋_GB2312" w:cs="仿宋_GB2312"/>
          <w:color w:val="auto"/>
          <w:sz w:val="32"/>
          <w:szCs w:val="32"/>
          <w:lang w:val="en-US" w:eastAsia="zh-CN"/>
        </w:rPr>
        <w:t>2987074.31</w:t>
      </w:r>
      <w:r>
        <w:rPr>
          <w:rFonts w:hint="eastAsia" w:ascii="仿宋_GB2312" w:hAnsi="仿宋_GB2312" w:eastAsia="仿宋_GB2312" w:cs="仿宋_GB2312"/>
          <w:color w:val="auto"/>
          <w:sz w:val="32"/>
          <w:szCs w:val="32"/>
        </w:rPr>
        <w:t>，日常公用经费</w:t>
      </w:r>
      <w:r>
        <w:rPr>
          <w:rFonts w:hint="eastAsia" w:ascii="仿宋_GB2312" w:hAnsi="仿宋_GB2312" w:eastAsia="仿宋_GB2312" w:cs="仿宋_GB2312"/>
          <w:color w:val="auto"/>
          <w:sz w:val="32"/>
          <w:szCs w:val="32"/>
          <w:lang w:val="en-US" w:eastAsia="zh-CN"/>
        </w:rPr>
        <w:t>365861.94</w:t>
      </w:r>
      <w:r>
        <w:rPr>
          <w:rFonts w:hint="eastAsia" w:ascii="仿宋_GB2312" w:hAnsi="仿宋_GB2312" w:eastAsia="仿宋_GB2312" w:cs="仿宋_GB2312"/>
          <w:color w:val="auto"/>
          <w:sz w:val="32"/>
          <w:szCs w:val="32"/>
        </w:rPr>
        <w:t>元,本年上级下达项目收入</w:t>
      </w:r>
      <w:r>
        <w:rPr>
          <w:rFonts w:hint="eastAsia" w:ascii="仿宋_GB2312" w:hAnsi="仿宋_GB2312" w:eastAsia="仿宋_GB2312" w:cs="仿宋_GB2312"/>
          <w:color w:val="auto"/>
          <w:sz w:val="32"/>
          <w:szCs w:val="32"/>
          <w:lang w:val="en-US" w:eastAsia="zh-CN"/>
        </w:rPr>
        <w:t>7971503</w:t>
      </w:r>
      <w:r>
        <w:rPr>
          <w:rFonts w:hint="eastAsia" w:ascii="仿宋_GB2312" w:hAnsi="仿宋_GB2312" w:eastAsia="仿宋_GB2312" w:cs="仿宋_GB2312"/>
          <w:color w:val="auto"/>
          <w:sz w:val="32"/>
          <w:szCs w:val="32"/>
        </w:rPr>
        <w:t>元元，本级财政下达专项资金收入</w:t>
      </w:r>
      <w:r>
        <w:rPr>
          <w:rFonts w:hint="eastAsia" w:ascii="仿宋_GB2312" w:hAnsi="仿宋_GB2312" w:eastAsia="仿宋_GB2312" w:cs="仿宋_GB2312"/>
          <w:color w:val="auto"/>
          <w:sz w:val="32"/>
          <w:szCs w:val="32"/>
          <w:lang w:val="en-US" w:eastAsia="zh-CN"/>
        </w:rPr>
        <w:t>2763150</w:t>
      </w:r>
      <w:r>
        <w:rPr>
          <w:rFonts w:hint="eastAsia" w:ascii="仿宋_GB2312" w:hAnsi="仿宋_GB2312" w:eastAsia="仿宋_GB2312" w:cs="仿宋_GB2312"/>
          <w:color w:val="auto"/>
          <w:sz w:val="32"/>
          <w:szCs w:val="32"/>
        </w:rPr>
        <w:t>元。我局</w:t>
      </w:r>
      <w:r>
        <w:rPr>
          <w:rFonts w:hint="eastAsia" w:ascii="仿宋_GB2312" w:hAnsi="仿宋_GB2312" w:eastAsia="仿宋_GB2312" w:cs="仿宋_GB2312"/>
          <w:color w:val="auto"/>
          <w:sz w:val="32"/>
          <w:szCs w:val="32"/>
          <w:lang w:eastAsia="zh-CN"/>
        </w:rPr>
        <w:t>事业</w:t>
      </w:r>
      <w:r>
        <w:rPr>
          <w:rFonts w:hint="eastAsia" w:ascii="仿宋_GB2312" w:hAnsi="仿宋_GB2312" w:eastAsia="仿宋_GB2312" w:cs="仿宋_GB2312"/>
          <w:color w:val="auto"/>
          <w:sz w:val="32"/>
          <w:szCs w:val="32"/>
        </w:rPr>
        <w:t>财政拨款收入合计</w:t>
      </w:r>
      <w:r>
        <w:rPr>
          <w:rFonts w:hint="eastAsia" w:ascii="仿宋_GB2312" w:hAnsi="仿宋_GB2312" w:eastAsia="仿宋_GB2312" w:cs="仿宋_GB2312"/>
          <w:color w:val="auto"/>
          <w:sz w:val="32"/>
          <w:szCs w:val="32"/>
          <w:lang w:val="en-US" w:eastAsia="zh-CN"/>
        </w:rPr>
        <w:t>1156973.9元，其中：包括人员经费984905.75，日常公用经费172068.15元。</w:t>
      </w:r>
    </w:p>
    <w:p>
      <w:pPr>
        <w:spacing w:line="570" w:lineRule="exact"/>
        <w:rPr>
          <w:rFonts w:hint="eastAsia" w:ascii="仿宋_GB2312" w:hAnsi="仿宋_GB2312" w:eastAsia="仿宋_GB2312" w:cs="仿宋_GB2312"/>
          <w:b/>
          <w:bCs/>
          <w:color w:val="auto"/>
          <w:sz w:val="32"/>
          <w:szCs w:val="32"/>
          <w:lang w:val="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b/>
          <w:bCs/>
          <w:color w:val="auto"/>
          <w:sz w:val="32"/>
          <w:szCs w:val="32"/>
          <w:lang w:val="zh-CN"/>
        </w:rPr>
        <w:t>（二）部门财政资金支出情况。</w:t>
      </w:r>
    </w:p>
    <w:p>
      <w:pPr>
        <w:spacing w:line="570" w:lineRule="exact"/>
        <w:ind w:firstLine="645"/>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民族宗教局预算安排支出主要用于保障该部门机构正常运转、完成日常工作任务以及承担宗教事业发展相关工作。</w:t>
      </w:r>
    </w:p>
    <w:p>
      <w:pPr>
        <w:spacing w:line="570" w:lineRule="exact"/>
        <w:ind w:firstLine="645"/>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201</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年我局本年支出合计</w:t>
      </w:r>
      <w:r>
        <w:rPr>
          <w:rFonts w:hint="eastAsia" w:ascii="仿宋_GB2312" w:hAnsi="仿宋_GB2312" w:eastAsia="仿宋_GB2312" w:cs="仿宋_GB2312"/>
          <w:color w:val="auto"/>
          <w:sz w:val="32"/>
          <w:szCs w:val="32"/>
          <w:lang w:val="en-US" w:eastAsia="zh-CN"/>
        </w:rPr>
        <w:t>6301671.36</w:t>
      </w:r>
      <w:r>
        <w:rPr>
          <w:rFonts w:hint="eastAsia" w:ascii="仿宋_GB2312" w:hAnsi="仿宋_GB2312" w:eastAsia="仿宋_GB2312" w:cs="仿宋_GB2312"/>
          <w:color w:val="auto"/>
          <w:sz w:val="32"/>
          <w:szCs w:val="32"/>
        </w:rPr>
        <w:t>，其中：</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一般公共预算财政拨款支出</w:t>
      </w:r>
      <w:r>
        <w:rPr>
          <w:rFonts w:hint="eastAsia" w:ascii="仿宋_GB2312" w:hAnsi="仿宋_GB2312" w:eastAsia="仿宋_GB2312" w:cs="仿宋_GB2312"/>
          <w:color w:val="auto"/>
          <w:sz w:val="32"/>
          <w:szCs w:val="32"/>
          <w:lang w:val="en-US" w:eastAsia="zh-CN"/>
        </w:rPr>
        <w:t>4203021.22</w:t>
      </w:r>
      <w:r>
        <w:rPr>
          <w:rFonts w:hint="eastAsia" w:ascii="仿宋_GB2312" w:hAnsi="仿宋_GB2312" w:eastAsia="仿宋_GB2312" w:cs="仿宋_GB2312"/>
          <w:color w:val="auto"/>
          <w:sz w:val="32"/>
          <w:szCs w:val="32"/>
        </w:rPr>
        <w:t>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其中：包括人员经费</w:t>
      </w:r>
      <w:r>
        <w:rPr>
          <w:rFonts w:hint="eastAsia" w:ascii="仿宋_GB2312" w:hAnsi="仿宋_GB2312" w:eastAsia="仿宋_GB2312" w:cs="仿宋_GB2312"/>
          <w:color w:val="auto"/>
          <w:sz w:val="32"/>
          <w:szCs w:val="32"/>
          <w:lang w:val="en-US" w:eastAsia="zh-CN"/>
        </w:rPr>
        <w:t>3663395.22</w:t>
      </w:r>
      <w:r>
        <w:rPr>
          <w:rFonts w:hint="eastAsia" w:ascii="仿宋_GB2312" w:hAnsi="仿宋_GB2312" w:eastAsia="仿宋_GB2312" w:cs="仿宋_GB2312"/>
          <w:color w:val="auto"/>
          <w:sz w:val="32"/>
          <w:szCs w:val="32"/>
        </w:rPr>
        <w:t>元，日常公用经费</w:t>
      </w:r>
      <w:r>
        <w:rPr>
          <w:rFonts w:hint="eastAsia" w:ascii="仿宋_GB2312" w:hAnsi="仿宋_GB2312" w:eastAsia="仿宋_GB2312" w:cs="仿宋_GB2312"/>
          <w:color w:val="auto"/>
          <w:sz w:val="32"/>
          <w:szCs w:val="32"/>
          <w:lang w:val="en-US" w:eastAsia="zh-CN"/>
        </w:rPr>
        <w:t>539626</w:t>
      </w:r>
      <w:r>
        <w:rPr>
          <w:rFonts w:hint="eastAsia" w:ascii="仿宋_GB2312" w:hAnsi="仿宋_GB2312" w:eastAsia="仿宋_GB2312" w:cs="仿宋_GB2312"/>
          <w:color w:val="auto"/>
          <w:sz w:val="32"/>
          <w:szCs w:val="32"/>
        </w:rPr>
        <w:t>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上级下达项目支出</w:t>
      </w:r>
      <w:r>
        <w:rPr>
          <w:rFonts w:hint="eastAsia" w:ascii="仿宋_GB2312" w:hAnsi="仿宋_GB2312" w:eastAsia="仿宋_GB2312" w:cs="仿宋_GB2312"/>
          <w:color w:val="auto"/>
          <w:sz w:val="32"/>
          <w:szCs w:val="32"/>
          <w:lang w:val="en-US" w:eastAsia="zh-CN"/>
        </w:rPr>
        <w:t>1313750.5</w:t>
      </w:r>
      <w:r>
        <w:rPr>
          <w:rFonts w:hint="eastAsia" w:ascii="仿宋_GB2312" w:hAnsi="仿宋_GB2312" w:eastAsia="仿宋_GB2312" w:cs="仿宋_GB2312"/>
          <w:color w:val="auto"/>
          <w:sz w:val="32"/>
          <w:szCs w:val="32"/>
        </w:rPr>
        <w:t>元</w:t>
      </w:r>
      <w:r>
        <w:rPr>
          <w:rFonts w:hint="eastAsia" w:ascii="仿宋_GB2312" w:hAnsi="仿宋_GB2312" w:eastAsia="仿宋_GB2312" w:cs="仿宋_GB2312"/>
          <w:color w:val="auto"/>
          <w:sz w:val="32"/>
          <w:szCs w:val="32"/>
          <w:lang w:eastAsia="zh-CN"/>
        </w:rPr>
        <w:t>，年末</w:t>
      </w:r>
      <w:r>
        <w:rPr>
          <w:rFonts w:hint="eastAsia" w:ascii="仿宋_GB2312" w:hAnsi="仿宋_GB2312" w:eastAsia="仿宋_GB2312" w:cs="仿宋_GB2312"/>
          <w:color w:val="auto"/>
          <w:sz w:val="32"/>
          <w:szCs w:val="32"/>
        </w:rPr>
        <w:t>上级下达项目</w:t>
      </w:r>
      <w:r>
        <w:rPr>
          <w:rFonts w:hint="eastAsia" w:ascii="仿宋_GB2312" w:hAnsi="仿宋_GB2312" w:eastAsia="仿宋_GB2312" w:cs="仿宋_GB2312"/>
          <w:color w:val="auto"/>
          <w:sz w:val="32"/>
          <w:szCs w:val="32"/>
          <w:lang w:val="zh-CN"/>
        </w:rPr>
        <w:t>结余</w:t>
      </w:r>
      <w:r>
        <w:rPr>
          <w:rFonts w:hint="eastAsia" w:ascii="仿宋_GB2312" w:hAnsi="仿宋_GB2312" w:eastAsia="仿宋_GB2312" w:cs="仿宋_GB2312"/>
          <w:color w:val="auto"/>
          <w:sz w:val="32"/>
          <w:szCs w:val="32"/>
          <w:lang w:val="en-US" w:eastAsia="zh-CN"/>
        </w:rPr>
        <w:t>852249.50</w:t>
      </w:r>
      <w:r>
        <w:rPr>
          <w:rFonts w:hint="eastAsia" w:ascii="仿宋_GB2312" w:hAnsi="仿宋_GB2312" w:eastAsia="仿宋_GB2312" w:cs="仿宋_GB2312"/>
          <w:color w:val="auto"/>
          <w:sz w:val="32"/>
          <w:szCs w:val="32"/>
          <w:lang w:val="zh-CN"/>
        </w:rPr>
        <w:t>元</w:t>
      </w:r>
      <w:r>
        <w:rPr>
          <w:rFonts w:hint="eastAsia" w:ascii="仿宋_GB2312" w:hAnsi="仿宋_GB2312" w:eastAsia="仿宋_GB2312" w:cs="仿宋_GB2312"/>
          <w:color w:val="auto"/>
          <w:sz w:val="32"/>
          <w:szCs w:val="32"/>
        </w:rPr>
        <w:t>；本级财政下达专项资金支出</w:t>
      </w:r>
      <w:r>
        <w:rPr>
          <w:rFonts w:hint="eastAsia" w:ascii="仿宋_GB2312" w:hAnsi="仿宋_GB2312" w:eastAsia="仿宋_GB2312" w:cs="仿宋_GB2312"/>
          <w:color w:val="auto"/>
          <w:sz w:val="32"/>
          <w:szCs w:val="32"/>
          <w:lang w:val="en-US" w:eastAsia="zh-CN"/>
        </w:rPr>
        <w:t>784899.64</w:t>
      </w:r>
      <w:r>
        <w:rPr>
          <w:rFonts w:hint="eastAsia" w:ascii="仿宋_GB2312" w:hAnsi="仿宋_GB2312" w:eastAsia="仿宋_GB2312" w:cs="仿宋_GB2312"/>
          <w:color w:val="auto"/>
          <w:sz w:val="32"/>
          <w:szCs w:val="32"/>
        </w:rPr>
        <w:t>元</w:t>
      </w:r>
      <w:r>
        <w:rPr>
          <w:rFonts w:hint="eastAsia" w:ascii="仿宋_GB2312" w:hAnsi="仿宋_GB2312" w:eastAsia="仿宋_GB2312" w:cs="仿宋_GB2312"/>
          <w:color w:val="auto"/>
          <w:sz w:val="32"/>
          <w:szCs w:val="32"/>
          <w:lang w:eastAsia="zh-CN"/>
        </w:rPr>
        <w:t>，年末</w:t>
      </w:r>
      <w:r>
        <w:rPr>
          <w:rFonts w:hint="eastAsia" w:ascii="仿宋_GB2312" w:hAnsi="仿宋_GB2312" w:eastAsia="仿宋_GB2312" w:cs="仿宋_GB2312"/>
          <w:color w:val="auto"/>
          <w:sz w:val="32"/>
          <w:szCs w:val="32"/>
        </w:rPr>
        <w:t>本级财政下达专项资金</w:t>
      </w:r>
      <w:r>
        <w:rPr>
          <w:rFonts w:hint="eastAsia" w:ascii="仿宋_GB2312" w:hAnsi="仿宋_GB2312" w:eastAsia="仿宋_GB2312" w:cs="仿宋_GB2312"/>
          <w:color w:val="auto"/>
          <w:sz w:val="32"/>
          <w:szCs w:val="32"/>
          <w:lang w:val="zh-CN"/>
        </w:rPr>
        <w:t>结转</w:t>
      </w:r>
      <w:r>
        <w:rPr>
          <w:rFonts w:hint="eastAsia" w:ascii="仿宋_GB2312" w:hAnsi="仿宋_GB2312" w:eastAsia="仿宋_GB2312" w:cs="仿宋_GB2312"/>
          <w:color w:val="auto"/>
          <w:sz w:val="32"/>
          <w:szCs w:val="32"/>
          <w:lang w:val="en-US" w:eastAsia="zh-CN"/>
        </w:rPr>
        <w:t>193991.11元</w:t>
      </w:r>
      <w:r>
        <w:rPr>
          <w:rFonts w:hint="eastAsia" w:ascii="仿宋_GB2312" w:hAnsi="仿宋_GB2312" w:eastAsia="仿宋_GB2312" w:cs="仿宋_GB2312"/>
          <w:color w:val="auto"/>
          <w:sz w:val="32"/>
          <w:szCs w:val="32"/>
        </w:rPr>
        <w:t>。</w:t>
      </w:r>
    </w:p>
    <w:p>
      <w:pPr>
        <w:spacing w:line="570" w:lineRule="exact"/>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2019年我局行政本年1-7月一般公共预算财政拨款支出2946939.34元,其中：包括人员经费1870866.35元，日常公用经费133592.27元,上级下达项目支出合计19939.01元；本级财政下达专项资金支出922541.71</w:t>
      </w:r>
      <w:r>
        <w:rPr>
          <w:rFonts w:hint="eastAsia" w:ascii="仿宋_GB2312" w:hAnsi="仿宋_GB2312" w:eastAsia="仿宋_GB2312" w:cs="仿宋_GB2312"/>
          <w:color w:val="auto"/>
          <w:sz w:val="32"/>
          <w:szCs w:val="32"/>
        </w:rPr>
        <w:t>元。201</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年我局</w:t>
      </w:r>
      <w:r>
        <w:rPr>
          <w:rFonts w:hint="eastAsia" w:ascii="仿宋_GB2312" w:hAnsi="仿宋_GB2312" w:eastAsia="仿宋_GB2312" w:cs="仿宋_GB2312"/>
          <w:color w:val="auto"/>
          <w:sz w:val="32"/>
          <w:szCs w:val="32"/>
          <w:lang w:eastAsia="zh-CN"/>
        </w:rPr>
        <w:t>事业</w:t>
      </w:r>
      <w:r>
        <w:rPr>
          <w:rFonts w:hint="eastAsia" w:ascii="仿宋_GB2312" w:hAnsi="仿宋_GB2312" w:eastAsia="仿宋_GB2312" w:cs="仿宋_GB2312"/>
          <w:color w:val="auto"/>
          <w:sz w:val="32"/>
          <w:szCs w:val="32"/>
        </w:rPr>
        <w:t>本年1-</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月一般公共预算财政拨款支出</w:t>
      </w:r>
      <w:r>
        <w:rPr>
          <w:rFonts w:hint="eastAsia" w:ascii="仿宋_GB2312" w:hAnsi="仿宋_GB2312" w:eastAsia="仿宋_GB2312" w:cs="仿宋_GB2312"/>
          <w:color w:val="auto"/>
          <w:sz w:val="32"/>
          <w:szCs w:val="32"/>
          <w:lang w:val="en-US" w:eastAsia="zh-CN"/>
        </w:rPr>
        <w:t>327813.83</w:t>
      </w:r>
      <w:r>
        <w:rPr>
          <w:rFonts w:hint="eastAsia" w:ascii="仿宋_GB2312" w:hAnsi="仿宋_GB2312" w:eastAsia="仿宋_GB2312" w:cs="仿宋_GB2312"/>
          <w:color w:val="auto"/>
          <w:sz w:val="32"/>
          <w:szCs w:val="32"/>
        </w:rPr>
        <w:t>元,其中：包括人员经费</w:t>
      </w:r>
      <w:r>
        <w:rPr>
          <w:rFonts w:hint="eastAsia" w:ascii="仿宋_GB2312" w:hAnsi="仿宋_GB2312" w:eastAsia="仿宋_GB2312" w:cs="仿宋_GB2312"/>
          <w:color w:val="auto"/>
          <w:sz w:val="32"/>
          <w:szCs w:val="32"/>
          <w:lang w:val="en-US" w:eastAsia="zh-CN"/>
        </w:rPr>
        <w:t>286258.83</w:t>
      </w:r>
      <w:r>
        <w:rPr>
          <w:rFonts w:hint="eastAsia" w:ascii="仿宋_GB2312" w:hAnsi="仿宋_GB2312" w:eastAsia="仿宋_GB2312" w:cs="仿宋_GB2312"/>
          <w:color w:val="auto"/>
          <w:sz w:val="32"/>
          <w:szCs w:val="32"/>
        </w:rPr>
        <w:t>元，日常公用经费</w:t>
      </w:r>
      <w:r>
        <w:rPr>
          <w:rFonts w:hint="eastAsia" w:ascii="仿宋_GB2312" w:hAnsi="仿宋_GB2312" w:eastAsia="仿宋_GB2312" w:cs="仿宋_GB2312"/>
          <w:color w:val="auto"/>
          <w:sz w:val="32"/>
          <w:szCs w:val="32"/>
          <w:lang w:val="en-US" w:eastAsia="zh-CN"/>
        </w:rPr>
        <w:t xml:space="preserve"> 41555.00 </w:t>
      </w:r>
      <w:r>
        <w:rPr>
          <w:rFonts w:hint="eastAsia" w:ascii="仿宋_GB2312" w:hAnsi="仿宋_GB2312" w:eastAsia="仿宋_GB2312" w:cs="仿宋_GB2312"/>
          <w:color w:val="auto"/>
          <w:sz w:val="32"/>
          <w:szCs w:val="32"/>
        </w:rPr>
        <w:t>元。</w:t>
      </w:r>
    </w:p>
    <w:p>
      <w:pPr>
        <w:spacing w:line="570" w:lineRule="exact"/>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 xml:space="preserve">    三、部门财政支出管理情况</w:t>
      </w:r>
    </w:p>
    <w:p>
      <w:pPr>
        <w:spacing w:line="570" w:lineRule="exact"/>
        <w:ind w:firstLine="645"/>
        <w:rPr>
          <w:rFonts w:hint="eastAsia" w:ascii="仿宋_GB2312" w:hAnsi="仿宋_GB2312" w:eastAsia="仿宋_GB2312" w:cs="仿宋_GB2312"/>
          <w:b/>
          <w:bCs/>
          <w:color w:val="auto"/>
          <w:sz w:val="32"/>
          <w:szCs w:val="32"/>
          <w:lang w:val="zh-CN"/>
        </w:rPr>
      </w:pPr>
      <w:r>
        <w:rPr>
          <w:rFonts w:hint="eastAsia" w:ascii="仿宋_GB2312" w:hAnsi="仿宋_GB2312" w:eastAsia="仿宋_GB2312" w:cs="仿宋_GB2312"/>
          <w:b/>
          <w:bCs/>
          <w:color w:val="auto"/>
          <w:sz w:val="32"/>
          <w:szCs w:val="32"/>
          <w:lang w:val="zh-CN"/>
        </w:rPr>
        <w:t>（一）预算编制情况。</w:t>
      </w:r>
    </w:p>
    <w:p>
      <w:pPr>
        <w:spacing w:line="570" w:lineRule="exact"/>
        <w:ind w:firstLine="645"/>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我局财务人员进行预决算的编制，对本年度相应用款进行及时清理和处理，做到账账相符、账实相符、账证相符,按先有预算再有支出的原则，及时处理相关事务；对绩效目标进行季度梳理和年度分析，及时上报相关报表；对专项预算提前细化，分科目上报，做到收支平衡；预期编制：我局201</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年11月开始编制201</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年预算。</w:t>
      </w:r>
    </w:p>
    <w:p>
      <w:pPr>
        <w:widowControl/>
        <w:shd w:val="clear" w:color="auto" w:fill="FFFFFF"/>
        <w:spacing w:line="570" w:lineRule="exact"/>
        <w:ind w:firstLine="72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我局在财务上进行合理安排和运用，以“认真、严谨、细致”精神，做好一切财务工作，财务“收支两条线”是所有财务工作都必须遵循的一个重要的财务纪律，就是所有的财务收入都必须入单位统一的财务账务，所有的支出都必须按单位事先规定的用款手续办理用款，涉及到财政性资金收支内容的还必须按国家财政性资金收支的规定办理预算外资金的财政专户交存、返还和资产购置、日常大宗消耗的政府采购。做好单位的财务票据管理工作就是做好了财务“收支两条线”的源头控制工作。</w:t>
      </w:r>
    </w:p>
    <w:p>
      <w:pPr>
        <w:widowControl/>
        <w:shd w:val="clear" w:color="auto" w:fill="FFFFFF"/>
        <w:spacing w:line="570" w:lineRule="exact"/>
        <w:ind w:firstLine="72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2、部门绩效目标。</w:t>
      </w:r>
    </w:p>
    <w:p>
      <w:pPr>
        <w:widowControl/>
        <w:shd w:val="clear" w:color="auto" w:fill="FFFFFF"/>
        <w:spacing w:line="570" w:lineRule="exact"/>
        <w:ind w:firstLine="72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财政拨款支出主要用于保障我局部门机构正常运转、完成日常工作任务以及相关工作。  </w:t>
      </w:r>
    </w:p>
    <w:p>
      <w:pPr>
        <w:widowControl/>
        <w:shd w:val="clear" w:color="auto" w:fill="FFFFFF"/>
        <w:spacing w:line="570" w:lineRule="exact"/>
        <w:ind w:firstLine="72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基本支出，是用于保障政府机关、事业单位等机构正常运转的日常支出，包括基本工资、津贴补贴等人员经费以及办公费、印刷费、水电费、办公设备购置等日常公用经费。</w:t>
      </w:r>
    </w:p>
    <w:p>
      <w:pPr>
        <w:widowControl/>
        <w:shd w:val="clear" w:color="auto" w:fill="FFFFFF"/>
        <w:spacing w:line="570" w:lineRule="exact"/>
        <w:ind w:firstLine="72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项目支出，是用于保障政府机关、事业单位等机构为完成特定的行政工作任务或事业发展目标，用于专项业务工作的经费支出。</w:t>
      </w:r>
    </w:p>
    <w:p>
      <w:pPr>
        <w:widowControl/>
        <w:shd w:val="clear" w:color="auto" w:fill="FFFFFF"/>
        <w:spacing w:line="57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按支出功能分类主要用于以下方面：一般公共服务，社会保障和就业，医疗卫生与计划生育支出，住房保障等支出。</w:t>
      </w:r>
    </w:p>
    <w:p>
      <w:pPr>
        <w:spacing w:line="570" w:lineRule="exact"/>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b/>
          <w:bCs/>
          <w:color w:val="auto"/>
          <w:sz w:val="32"/>
          <w:szCs w:val="32"/>
          <w:lang w:val="zh-CN"/>
        </w:rPr>
        <w:t>（二）执行管理情况。</w:t>
      </w:r>
    </w:p>
    <w:p>
      <w:pPr>
        <w:spacing w:line="570" w:lineRule="exact"/>
        <w:ind w:firstLine="645"/>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b/>
          <w:bCs/>
          <w:color w:val="auto"/>
          <w:sz w:val="32"/>
          <w:szCs w:val="32"/>
        </w:rPr>
        <w:t>1、</w:t>
      </w:r>
      <w:r>
        <w:rPr>
          <w:rFonts w:hint="eastAsia" w:ascii="仿宋_GB2312" w:hAnsi="仿宋_GB2312" w:eastAsia="仿宋_GB2312" w:cs="仿宋_GB2312"/>
          <w:b/>
          <w:bCs/>
          <w:color w:val="auto"/>
          <w:sz w:val="32"/>
          <w:szCs w:val="32"/>
          <w:lang w:val="zh-CN"/>
        </w:rPr>
        <w:t>部门预算执行进度情况及“三公”经费预算执行情况等。</w:t>
      </w:r>
    </w:p>
    <w:p>
      <w:pPr>
        <w:spacing w:line="570" w:lineRule="exact"/>
        <w:ind w:firstLine="645"/>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我局按照县财政的要求，及时分月、分季度上报相应计划，待财政审核通过后，严格按计划执行，各季度执行情况良好。</w:t>
      </w:r>
    </w:p>
    <w:p>
      <w:pPr>
        <w:spacing w:line="570" w:lineRule="exact"/>
        <w:ind w:firstLine="645"/>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基本支出201</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年按月或季度进行申报，其中人员工资按月申报并直接支付，日常公用经费按季度进行申报并支付，截止6月执行进度，9月执行进度，12月执行进度。项目支出按月申报并授权支付，其中1-6月执行进度1-9月执行进度数，1-12月执行进度。</w:t>
      </w:r>
    </w:p>
    <w:p>
      <w:pPr>
        <w:spacing w:line="570" w:lineRule="exact"/>
        <w:ind w:firstLine="645"/>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201</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全年</w:t>
      </w:r>
      <w:r>
        <w:rPr>
          <w:rFonts w:hint="eastAsia" w:ascii="仿宋_GB2312" w:hAnsi="仿宋_GB2312" w:eastAsia="仿宋_GB2312" w:cs="仿宋_GB2312"/>
          <w:color w:val="auto"/>
          <w:sz w:val="32"/>
          <w:szCs w:val="32"/>
        </w:rPr>
        <w:t>-201</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年1月至</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月，一般公共预算财政拨款基本支出</w:t>
      </w:r>
      <w:r>
        <w:rPr>
          <w:rFonts w:hint="eastAsia" w:ascii="仿宋_GB2312" w:hAnsi="仿宋_GB2312" w:eastAsia="仿宋_GB2312" w:cs="仿宋_GB2312"/>
          <w:color w:val="auto"/>
          <w:sz w:val="32"/>
          <w:szCs w:val="32"/>
          <w:lang w:val="en-US" w:eastAsia="zh-CN"/>
        </w:rPr>
        <w:t>7477774.39</w:t>
      </w:r>
      <w:r>
        <w:rPr>
          <w:rFonts w:hint="eastAsia" w:ascii="仿宋_GB2312" w:hAnsi="仿宋_GB2312" w:eastAsia="仿宋_GB2312" w:cs="仿宋_GB2312"/>
          <w:color w:val="auto"/>
          <w:sz w:val="32"/>
          <w:szCs w:val="32"/>
        </w:rPr>
        <w:t>元，其中：人员经费</w:t>
      </w:r>
      <w:r>
        <w:rPr>
          <w:rFonts w:hint="eastAsia" w:ascii="仿宋_GB2312" w:hAnsi="仿宋_GB2312" w:eastAsia="仿宋_GB2312" w:cs="仿宋_GB2312"/>
          <w:color w:val="auto"/>
          <w:sz w:val="32"/>
          <w:szCs w:val="32"/>
          <w:lang w:val="en-US" w:eastAsia="zh-CN"/>
        </w:rPr>
        <w:t>5820520.4</w:t>
      </w:r>
      <w:r>
        <w:rPr>
          <w:rFonts w:hint="eastAsia" w:ascii="仿宋_GB2312" w:hAnsi="仿宋_GB2312" w:eastAsia="仿宋_GB2312" w:cs="仿宋_GB2312"/>
          <w:color w:val="auto"/>
          <w:sz w:val="32"/>
          <w:szCs w:val="32"/>
        </w:rPr>
        <w:t>元，主要包括：基本工资、津贴补贴、奖金、绩效工资、机关事业单位基本养老保险缴费、职业年金缴费、其他社会保障缴费、其他工资福利支出、离休费、退休费、生活补助、医疗费、奖励金、住房公积金、其他对个人和家庭的补助支出等。</w:t>
      </w:r>
      <w:r>
        <w:rPr>
          <w:rFonts w:hint="eastAsia" w:ascii="仿宋_GB2312" w:hAnsi="仿宋_GB2312" w:eastAsia="仿宋_GB2312" w:cs="仿宋_GB2312"/>
          <w:color w:val="auto"/>
          <w:sz w:val="32"/>
          <w:szCs w:val="32"/>
        </w:rPr>
        <w:br w:type="textWrapping"/>
      </w:r>
      <w:r>
        <w:rPr>
          <w:rFonts w:hint="eastAsia" w:ascii="仿宋_GB2312" w:hAnsi="仿宋_GB2312" w:eastAsia="仿宋_GB2312" w:cs="仿宋_GB2312"/>
          <w:color w:val="auto"/>
          <w:sz w:val="32"/>
          <w:szCs w:val="32"/>
        </w:rPr>
        <w:t>　　公用经费</w:t>
      </w:r>
      <w:r>
        <w:rPr>
          <w:rFonts w:hint="eastAsia" w:ascii="仿宋_GB2312" w:hAnsi="仿宋_GB2312" w:eastAsia="仿宋_GB2312" w:cs="仿宋_GB2312"/>
          <w:color w:val="auto"/>
          <w:sz w:val="32"/>
          <w:szCs w:val="32"/>
          <w:lang w:val="en-US" w:eastAsia="zh-CN"/>
        </w:rPr>
        <w:t>714773.27</w:t>
      </w:r>
      <w:r>
        <w:rPr>
          <w:rFonts w:hint="eastAsia" w:ascii="仿宋_GB2312" w:hAnsi="仿宋_GB2312" w:eastAsia="仿宋_GB2312" w:cs="仿宋_GB2312"/>
          <w:color w:val="auto"/>
          <w:sz w:val="32"/>
          <w:szCs w:val="32"/>
        </w:rPr>
        <w:t>元，主要包括：办公费、印刷费、手续费、水费、电费、邮电费、取暖费、差旅费、会议费、培训费、公务接待费、劳务费、工会经费、福利费、公务用车运行维护费、其他商品和服务支出、办公设备购置、专用设备购置、其他资本性支出等。</w:t>
      </w:r>
    </w:p>
    <w:p>
      <w:pPr>
        <w:spacing w:line="570" w:lineRule="exact"/>
        <w:ind w:firstLine="645"/>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201</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年度“三公”经费财政拨款支出决算中，公务用车运行费支出决算为</w:t>
      </w:r>
      <w:r>
        <w:rPr>
          <w:rFonts w:hint="eastAsia" w:ascii="仿宋_GB2312" w:hAnsi="仿宋_GB2312" w:eastAsia="仿宋_GB2312" w:cs="仿宋_GB2312"/>
          <w:color w:val="auto"/>
          <w:sz w:val="32"/>
          <w:szCs w:val="32"/>
          <w:lang w:val="en-US" w:eastAsia="zh-CN"/>
        </w:rPr>
        <w:t>114762.98</w:t>
      </w:r>
      <w:r>
        <w:rPr>
          <w:rFonts w:hint="eastAsia" w:ascii="仿宋_GB2312" w:hAnsi="仿宋_GB2312" w:eastAsia="仿宋_GB2312" w:cs="仿宋_GB2312"/>
          <w:color w:val="auto"/>
          <w:sz w:val="32"/>
          <w:szCs w:val="32"/>
        </w:rPr>
        <w:t>元，接待费支出11,687元，我局用财政拨款安排的公务接待费，公公务用车车辆燃料费、维修费、过路过桥费、保险费费用等支出；公务接待费反映单位按规定开支的各类公务接待支出。</w:t>
      </w:r>
    </w:p>
    <w:p>
      <w:pPr>
        <w:spacing w:line="570" w:lineRule="exact"/>
        <w:ind w:firstLine="645"/>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b/>
          <w:bCs/>
          <w:color w:val="auto"/>
          <w:sz w:val="32"/>
          <w:szCs w:val="32"/>
        </w:rPr>
        <w:t>2、</w:t>
      </w:r>
      <w:r>
        <w:rPr>
          <w:rFonts w:hint="eastAsia" w:ascii="仿宋_GB2312" w:hAnsi="仿宋_GB2312" w:eastAsia="仿宋_GB2312" w:cs="仿宋_GB2312"/>
          <w:b/>
          <w:bCs/>
          <w:color w:val="auto"/>
          <w:sz w:val="32"/>
          <w:szCs w:val="32"/>
          <w:lang w:val="zh-CN"/>
        </w:rPr>
        <w:t>县级财力专项预算分配时限、中央专款分配合规率</w:t>
      </w:r>
    </w:p>
    <w:p>
      <w:pPr>
        <w:spacing w:line="570" w:lineRule="exact"/>
        <w:ind w:firstLine="645"/>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整合项目资金。我县根据农牧民群众的意愿和实际困难，结合现代草原畜牧业示范县及新农村建设等项目，进一步整合项目资金，组织群众投工投劳，最大限度发挥项目建设效益。落实目标任务。按照“项目公开、群众认同、单位负责、补助到户”的原则，进一步分解落实目标任务，明确职能职责，切实抓好产业化项目的组织实施，落实专人全程监督工程进度和质量。工程完工后，检查验收组逐户验收合格后兑现补助资金。强化资金监管。严格按照省、州下达的项目计划、适用范围和补助标准实施项目，及时划拨项目资金，定期通报工作进展情况，实行专户管理、专款专用，并严格落实项目资金公告公示制，接受广大牧农民群众和社会的监督。</w:t>
      </w:r>
    </w:p>
    <w:p>
      <w:pPr>
        <w:spacing w:line="570" w:lineRule="exact"/>
        <w:rPr>
          <w:rFonts w:hint="eastAsia" w:ascii="仿宋_GB2312" w:hAnsi="仿宋_GB2312" w:eastAsia="仿宋_GB2312" w:cs="仿宋_GB2312"/>
          <w:b/>
          <w:bCs/>
          <w:color w:val="auto"/>
          <w:sz w:val="32"/>
          <w:szCs w:val="32"/>
          <w:lang w:val="zh-CN"/>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b/>
          <w:bCs/>
          <w:color w:val="auto"/>
          <w:sz w:val="32"/>
          <w:szCs w:val="32"/>
          <w:lang w:val="zh-CN"/>
        </w:rPr>
        <w:t>（三）综合管理情况。</w:t>
      </w:r>
    </w:p>
    <w:p>
      <w:pPr>
        <w:spacing w:line="570" w:lineRule="exact"/>
        <w:ind w:firstLine="645"/>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我局按照岗位职责，严格执行机关财务管理制度，及时进行会计核算，对项目资金、政府采购进行公开公示，接受群众监督。</w:t>
      </w:r>
    </w:p>
    <w:p>
      <w:pPr>
        <w:spacing w:line="570" w:lineRule="exact"/>
        <w:ind w:firstLine="645"/>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 xml:space="preserve"> 1、资产管理情况 </w:t>
      </w:r>
    </w:p>
    <w:p>
      <w:pPr>
        <w:spacing w:line="570" w:lineRule="exact"/>
        <w:ind w:firstLine="645"/>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我局严格执行财产管理制度，建立健全了财产管理规章制度，强化了内部财产管理和审计监督，对资产的完整和安全，最大程度发挥固定资产的效益。</w:t>
      </w:r>
    </w:p>
    <w:p>
      <w:pPr>
        <w:spacing w:line="570" w:lineRule="exact"/>
        <w:ind w:firstLine="645"/>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我局如有资产变动，定期在资产管理信息系统对资产进行登记，变更，盘点，并上报，确保账面数与实有数相符，使本单位资产情况的准确无误</w:t>
      </w:r>
    </w:p>
    <w:p>
      <w:pPr>
        <w:spacing w:line="570" w:lineRule="exact"/>
        <w:ind w:firstLine="645"/>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 xml:space="preserve"> 2、内控管理制度情况</w:t>
      </w:r>
    </w:p>
    <w:p>
      <w:pPr>
        <w:spacing w:line="570" w:lineRule="exact"/>
        <w:ind w:firstLine="645"/>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有效制定行为准则和其他原则。明确制定可以接受的员工行为道德标准和处理方式，并确保这些准则和原则的有效执行。对员工精神规范、仪容仪表、工作纪律、待人接物、环境卫生以及组织管理及违反守则的处理办法等方面做出规定。推动内部员工对单位理念的理解和接受，使员工理解和把握单位文化和管理理念。</w:t>
      </w:r>
    </w:p>
    <w:p>
      <w:pPr>
        <w:spacing w:line="570" w:lineRule="exact"/>
        <w:ind w:firstLine="645"/>
        <w:rPr>
          <w:rFonts w:hint="eastAsia" w:ascii="仿宋_GB2312" w:hAnsi="仿宋_GB2312" w:eastAsia="仿宋_GB2312" w:cs="仿宋_GB2312"/>
          <w:b/>
          <w:bCs/>
          <w:color w:val="auto"/>
          <w:sz w:val="32"/>
          <w:szCs w:val="32"/>
          <w:lang w:val="zh-CN"/>
        </w:rPr>
      </w:pPr>
      <w:r>
        <w:rPr>
          <w:rFonts w:hint="eastAsia" w:ascii="仿宋_GB2312" w:hAnsi="仿宋_GB2312" w:eastAsia="仿宋_GB2312" w:cs="仿宋_GB2312"/>
          <w:b/>
          <w:bCs/>
          <w:color w:val="auto"/>
          <w:sz w:val="32"/>
          <w:szCs w:val="32"/>
          <w:lang w:val="en-US" w:eastAsia="zh-CN"/>
        </w:rPr>
        <w:t>3、</w:t>
      </w:r>
      <w:r>
        <w:rPr>
          <w:rFonts w:hint="eastAsia" w:ascii="仿宋_GB2312" w:hAnsi="仿宋_GB2312" w:eastAsia="仿宋_GB2312" w:cs="仿宋_GB2312"/>
          <w:b/>
          <w:bCs/>
          <w:color w:val="auto"/>
          <w:sz w:val="32"/>
          <w:szCs w:val="32"/>
          <w:lang w:val="zh-CN"/>
        </w:rPr>
        <w:t>绩效评价及依法接受财政监督情况</w:t>
      </w:r>
    </w:p>
    <w:p>
      <w:pPr>
        <w:spacing w:line="570" w:lineRule="exact"/>
        <w:ind w:firstLine="645"/>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保障了我局机构正常运转、完成了日常工作任务以及承担宗教寺庙事业发展相关工作。</w:t>
      </w:r>
      <w:r>
        <w:rPr>
          <w:rFonts w:hint="eastAsia" w:ascii="仿宋_GB2312" w:hAnsi="仿宋_GB2312" w:eastAsia="仿宋_GB2312" w:cs="仿宋_GB2312"/>
          <w:color w:val="auto"/>
          <w:sz w:val="32"/>
          <w:szCs w:val="32"/>
          <w:lang w:val="zh-CN"/>
        </w:rPr>
        <w:t>在执行过程中有计划进行资金申报使用，完善资金管理及内部控制制度，确保资金安全，做到帐款、帐帐、帐实相符。为我局经济和社会事业发展提供资金保障。</w:t>
      </w:r>
      <w:r>
        <w:rPr>
          <w:rFonts w:hint="eastAsia" w:ascii="仿宋_GB2312" w:hAnsi="仿宋_GB2312" w:eastAsia="仿宋_GB2312" w:cs="仿宋_GB2312"/>
          <w:color w:val="auto"/>
          <w:sz w:val="32"/>
          <w:szCs w:val="32"/>
        </w:rPr>
        <w:t xml:space="preserve">  </w:t>
      </w:r>
    </w:p>
    <w:p>
      <w:pPr>
        <w:spacing w:line="570" w:lineRule="exact"/>
        <w:ind w:firstLine="645"/>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包括政府性债务管理、非税收入执收、政策采购实施计划、资产管理、内控制度管理、信息公开、绩效评价及依法接受财政监督情况等。</w:t>
      </w:r>
    </w:p>
    <w:p>
      <w:pPr>
        <w:spacing w:line="570" w:lineRule="exact"/>
        <w:ind w:firstLine="645"/>
        <w:rPr>
          <w:rFonts w:hint="eastAsia" w:ascii="仿宋_GB2312" w:hAnsi="仿宋_GB2312" w:eastAsia="仿宋_GB2312" w:cs="仿宋_GB2312"/>
          <w:b/>
          <w:bCs/>
          <w:color w:val="auto"/>
          <w:sz w:val="32"/>
          <w:szCs w:val="32"/>
          <w:lang w:val="zh-CN"/>
        </w:rPr>
      </w:pPr>
      <w:r>
        <w:rPr>
          <w:rFonts w:hint="eastAsia" w:ascii="仿宋_GB2312" w:hAnsi="仿宋_GB2312" w:eastAsia="仿宋_GB2312" w:cs="仿宋_GB2312"/>
          <w:b/>
          <w:bCs/>
          <w:color w:val="auto"/>
          <w:sz w:val="32"/>
          <w:szCs w:val="32"/>
          <w:lang w:val="zh-CN"/>
        </w:rPr>
        <w:t>（四）整体绩效。</w:t>
      </w:r>
    </w:p>
    <w:p>
      <w:pPr>
        <w:spacing w:line="570" w:lineRule="exact"/>
        <w:ind w:firstLine="645"/>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按照年初预算项目，实施完成后使全县环境更优美、经济更稳定、社会更和谐，达到预期经济、社会目标。</w:t>
      </w:r>
    </w:p>
    <w:p>
      <w:pPr>
        <w:spacing w:line="570" w:lineRule="exact"/>
        <w:ind w:firstLine="645"/>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我局绩效管理严格按照上级部门要求，开展自评工作，对评价结果及时总结上报。</w:t>
      </w:r>
    </w:p>
    <w:p>
      <w:pPr>
        <w:spacing w:line="570" w:lineRule="exact"/>
        <w:ind w:firstLine="645"/>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四、评价结论及建议</w:t>
      </w:r>
    </w:p>
    <w:p>
      <w:pPr>
        <w:spacing w:line="570" w:lineRule="exact"/>
        <w:ind w:firstLine="645"/>
        <w:rPr>
          <w:rFonts w:hint="eastAsia" w:ascii="仿宋_GB2312" w:hAnsi="仿宋_GB2312" w:eastAsia="仿宋_GB2312" w:cs="仿宋_GB2312"/>
          <w:b/>
          <w:bCs/>
          <w:color w:val="auto"/>
          <w:sz w:val="32"/>
          <w:szCs w:val="32"/>
          <w:lang w:val="zh-CN"/>
        </w:rPr>
      </w:pPr>
      <w:r>
        <w:rPr>
          <w:rFonts w:hint="eastAsia" w:ascii="仿宋_GB2312" w:hAnsi="仿宋_GB2312" w:eastAsia="仿宋_GB2312" w:cs="仿宋_GB2312"/>
          <w:b/>
          <w:bCs/>
          <w:color w:val="auto"/>
          <w:sz w:val="32"/>
          <w:szCs w:val="32"/>
          <w:lang w:val="zh-CN"/>
        </w:rPr>
        <w:t>（一）评价结论。</w:t>
      </w:r>
    </w:p>
    <w:p>
      <w:pPr>
        <w:widowControl/>
        <w:adjustRightInd w:val="0"/>
        <w:snapToGrid w:val="0"/>
        <w:spacing w:line="576" w:lineRule="atLeast"/>
        <w:ind w:firstLine="720"/>
        <w:jc w:val="left"/>
        <w:rPr>
          <w:rFonts w:hint="eastAsia" w:ascii="仿宋_GB2312" w:hAnsi="仿宋_GB2312" w:eastAsia="仿宋_GB2312" w:cs="仿宋_GB2312"/>
          <w:color w:val="auto"/>
          <w:kern w:val="0"/>
          <w:sz w:val="32"/>
          <w:szCs w:val="32"/>
          <w:lang w:val="zh-CN"/>
        </w:rPr>
      </w:pPr>
      <w:r>
        <w:rPr>
          <w:rFonts w:hint="eastAsia" w:ascii="仿宋_GB2312" w:hAnsi="仿宋_GB2312" w:eastAsia="仿宋_GB2312" w:cs="仿宋_GB2312"/>
          <w:color w:val="auto"/>
          <w:kern w:val="0"/>
          <w:sz w:val="32"/>
          <w:szCs w:val="32"/>
          <w:lang w:val="zh-CN"/>
        </w:rPr>
        <w:t>根据《2018年红原县部门支出绩效评价指标体系》评分得分91分，部门整体支出绩效为“好”。</w:t>
      </w:r>
    </w:p>
    <w:p>
      <w:pPr>
        <w:spacing w:line="570" w:lineRule="exact"/>
        <w:ind w:firstLine="645"/>
        <w:rPr>
          <w:rFonts w:hint="eastAsia" w:ascii="仿宋_GB2312" w:hAnsi="仿宋_GB2312" w:eastAsia="仿宋_GB2312" w:cs="仿宋_GB2312"/>
          <w:b/>
          <w:bCs/>
          <w:color w:val="auto"/>
          <w:sz w:val="32"/>
          <w:szCs w:val="32"/>
          <w:lang w:val="zh-CN"/>
        </w:rPr>
      </w:pPr>
      <w:r>
        <w:rPr>
          <w:rFonts w:hint="eastAsia" w:ascii="仿宋_GB2312" w:hAnsi="仿宋_GB2312" w:eastAsia="仿宋_GB2312" w:cs="仿宋_GB2312"/>
          <w:b/>
          <w:bCs/>
          <w:color w:val="auto"/>
          <w:sz w:val="32"/>
          <w:szCs w:val="32"/>
          <w:lang w:val="zh-CN"/>
        </w:rPr>
        <w:t>（二）存在问题。</w:t>
      </w:r>
    </w:p>
    <w:p>
      <w:pPr>
        <w:spacing w:line="570" w:lineRule="exact"/>
        <w:ind w:firstLine="645"/>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根据单位工作需要，临时增加工作较多，（如：民族团结进步创建工作、青藏高原环境与山水文化编纂工作等），导致预算资金与实际支出有一定出入，致使偏离了批复的预算。</w:t>
      </w:r>
    </w:p>
    <w:p>
      <w:pPr>
        <w:spacing w:line="570" w:lineRule="exact"/>
        <w:ind w:firstLine="645"/>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项目工作，一是项目施工有效期短，实施进度与资金拨付进度要求难以同步，二是实施主体项目经办人不固定，材料报送与收集难。</w:t>
      </w:r>
    </w:p>
    <w:p>
      <w:pPr>
        <w:spacing w:line="570" w:lineRule="exact"/>
        <w:ind w:firstLine="645"/>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下一步改进措施：一是加快项目前期工作确保质量与进度，二是加大乡村项目经办人培训力度;强化对预算管理的重视程度，注重预算编制质量的提升，提升预算的执行力和控制力度。</w:t>
      </w:r>
    </w:p>
    <w:p>
      <w:pPr>
        <w:spacing w:line="57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zh-CN"/>
        </w:rPr>
        <w:t>（</w:t>
      </w:r>
      <w:r>
        <w:rPr>
          <w:rFonts w:hint="eastAsia" w:ascii="仿宋_GB2312" w:hAnsi="仿宋_GB2312" w:eastAsia="仿宋_GB2312" w:cs="仿宋_GB2312"/>
          <w:b/>
          <w:bCs/>
          <w:color w:val="auto"/>
          <w:sz w:val="32"/>
          <w:szCs w:val="32"/>
          <w:lang w:val="zh-CN"/>
        </w:rPr>
        <w:t>三）改进建议</w:t>
      </w:r>
      <w:r>
        <w:rPr>
          <w:rFonts w:hint="eastAsia" w:ascii="仿宋_GB2312" w:hAnsi="仿宋_GB2312" w:eastAsia="仿宋_GB2312" w:cs="仿宋_GB2312"/>
          <w:color w:val="auto"/>
          <w:sz w:val="32"/>
          <w:szCs w:val="32"/>
          <w:lang w:val="zh-CN"/>
        </w:rPr>
        <w:t>。</w:t>
      </w:r>
      <w:r>
        <w:rPr>
          <w:rFonts w:hint="eastAsia" w:ascii="仿宋_GB2312" w:hAnsi="仿宋_GB2312" w:eastAsia="仿宋_GB2312" w:cs="仿宋_GB2312"/>
          <w:color w:val="auto"/>
          <w:kern w:val="0"/>
          <w:sz w:val="32"/>
          <w:szCs w:val="32"/>
          <w:lang w:val="zh-CN"/>
        </w:rPr>
        <w:t>1.加强组织领导，增强预算编制的准确性，提高对预算编制与执行的认识，为绩效评价工作开展创造更好的条件；2.建立长效机制，加强管理提高部门支出的绩效成果，让财政资金发挥最大效益。</w:t>
      </w:r>
    </w:p>
    <w:p>
      <w:pPr>
        <w:spacing w:line="570" w:lineRule="exact"/>
        <w:ind w:firstLine="645"/>
        <w:rPr>
          <w:rFonts w:hint="eastAsia" w:ascii="仿宋_GB2312" w:hAnsi="仿宋_GB2312" w:eastAsia="仿宋_GB2312" w:cs="仿宋_GB2312"/>
          <w:color w:val="auto"/>
          <w:sz w:val="32"/>
          <w:szCs w:val="32"/>
        </w:rPr>
      </w:pPr>
    </w:p>
    <w:p>
      <w:pPr>
        <w:spacing w:line="570" w:lineRule="exact"/>
        <w:ind w:firstLine="645"/>
        <w:rPr>
          <w:rFonts w:ascii="仿宋_GB2312"/>
          <w:color w:val="auto"/>
          <w:szCs w:val="32"/>
        </w:rPr>
      </w:pPr>
    </w:p>
    <w:p>
      <w:pPr>
        <w:rPr>
          <w:rFonts w:hint="eastAsia" w:ascii="仿宋_GB2312" w:eastAsia="仿宋_GB2312"/>
          <w:color w:val="auto"/>
          <w:sz w:val="32"/>
          <w:szCs w:val="32"/>
          <w:u w:val="single"/>
        </w:rPr>
      </w:pPr>
    </w:p>
    <w:p>
      <w:pPr>
        <w:pStyle w:val="2"/>
        <w:rPr>
          <w:rFonts w:hint="eastAsia" w:ascii="仿宋_GB2312" w:eastAsia="仿宋_GB2312"/>
          <w:color w:val="auto"/>
          <w:sz w:val="32"/>
          <w:szCs w:val="32"/>
          <w:u w:val="single"/>
        </w:rPr>
      </w:pPr>
    </w:p>
    <w:p>
      <w:pPr>
        <w:rPr>
          <w:rFonts w:hint="eastAsia" w:ascii="仿宋_GB2312" w:eastAsia="仿宋_GB2312"/>
          <w:color w:val="auto"/>
          <w:sz w:val="32"/>
          <w:szCs w:val="32"/>
          <w:u w:val="single"/>
        </w:rPr>
      </w:pPr>
    </w:p>
    <w:p>
      <w:pPr>
        <w:pStyle w:val="2"/>
        <w:rPr>
          <w:rFonts w:hint="eastAsia" w:ascii="仿宋_GB2312" w:eastAsia="仿宋_GB2312"/>
          <w:color w:val="auto"/>
          <w:sz w:val="32"/>
          <w:szCs w:val="32"/>
          <w:u w:val="single"/>
        </w:rPr>
      </w:pPr>
    </w:p>
    <w:p>
      <w:pPr>
        <w:rPr>
          <w:rFonts w:hint="eastAsia" w:ascii="仿宋_GB2312" w:eastAsia="仿宋_GB2312"/>
          <w:color w:val="auto"/>
          <w:sz w:val="32"/>
          <w:szCs w:val="32"/>
          <w:u w:val="single"/>
        </w:rPr>
      </w:pPr>
    </w:p>
    <w:p>
      <w:pPr>
        <w:pStyle w:val="2"/>
        <w:rPr>
          <w:rFonts w:hint="eastAsia" w:ascii="仿宋_GB2312" w:eastAsia="仿宋_GB2312"/>
          <w:color w:val="auto"/>
          <w:sz w:val="32"/>
          <w:szCs w:val="32"/>
          <w:u w:val="single"/>
        </w:rPr>
      </w:pPr>
    </w:p>
    <w:p>
      <w:pPr>
        <w:rPr>
          <w:rFonts w:hint="eastAsia" w:ascii="仿宋_GB2312" w:eastAsia="仿宋_GB2312"/>
          <w:color w:val="auto"/>
          <w:sz w:val="32"/>
          <w:szCs w:val="32"/>
          <w:u w:val="single"/>
        </w:rPr>
      </w:pPr>
    </w:p>
    <w:p>
      <w:pPr>
        <w:pStyle w:val="2"/>
        <w:rPr>
          <w:rFonts w:hint="eastAsia" w:ascii="仿宋_GB2312" w:eastAsia="仿宋_GB2312"/>
          <w:color w:val="auto"/>
          <w:sz w:val="32"/>
          <w:szCs w:val="32"/>
          <w:u w:val="single"/>
        </w:rPr>
      </w:pPr>
    </w:p>
    <w:p>
      <w:pPr>
        <w:rPr>
          <w:rFonts w:hint="eastAsia" w:ascii="仿宋_GB2312" w:eastAsia="仿宋_GB2312"/>
          <w:color w:val="auto"/>
          <w:sz w:val="32"/>
          <w:szCs w:val="32"/>
          <w:u w:val="single"/>
        </w:rPr>
      </w:pPr>
    </w:p>
    <w:p>
      <w:pPr>
        <w:pStyle w:val="2"/>
        <w:rPr>
          <w:rFonts w:hint="eastAsia" w:ascii="仿宋_GB2312" w:eastAsia="仿宋_GB2312"/>
          <w:color w:val="auto"/>
          <w:sz w:val="32"/>
          <w:szCs w:val="32"/>
          <w:u w:val="single"/>
        </w:rPr>
      </w:pPr>
    </w:p>
    <w:p>
      <w:pPr>
        <w:rPr>
          <w:rFonts w:hint="eastAsia"/>
        </w:rPr>
      </w:pPr>
    </w:p>
    <w:p>
      <w:pPr>
        <w:rPr>
          <w:rFonts w:hint="eastAsia" w:ascii="仿宋_GB2312" w:eastAsia="仿宋_GB2312"/>
          <w:color w:val="auto"/>
          <w:sz w:val="32"/>
          <w:szCs w:val="32"/>
          <w:u w:val="single"/>
        </w:rPr>
      </w:pPr>
    </w:p>
    <w:p>
      <w:pPr>
        <w:pStyle w:val="4"/>
        <w:rPr>
          <w:rStyle w:val="26"/>
          <w:rFonts w:ascii="仿宋" w:hAnsi="仿宋" w:eastAsia="仿宋"/>
          <w:b w:val="0"/>
          <w:bCs w:val="0"/>
          <w:color w:val="auto"/>
          <w:sz w:val="32"/>
          <w:szCs w:val="32"/>
        </w:rPr>
      </w:pPr>
      <w:r>
        <w:rPr>
          <w:rStyle w:val="26"/>
          <w:rFonts w:hint="eastAsia" w:ascii="仿宋" w:hAnsi="仿宋" w:eastAsia="仿宋"/>
          <w:b w:val="0"/>
          <w:bCs w:val="0"/>
          <w:color w:val="auto"/>
          <w:sz w:val="32"/>
          <w:szCs w:val="32"/>
        </w:rPr>
        <w:t>附件2</w:t>
      </w:r>
      <w:bookmarkEnd w:id="60"/>
    </w:p>
    <w:p>
      <w:pPr>
        <w:pStyle w:val="31"/>
        <w:spacing w:line="600" w:lineRule="exact"/>
        <w:jc w:val="center"/>
        <w:rPr>
          <w:rFonts w:hint="eastAsia" w:ascii="方正小标宋_GBK" w:hAnsi="方正小标宋_GBK" w:eastAsia="方正小标宋_GBK" w:cs="方正小标宋_GBK"/>
          <w:color w:val="auto"/>
          <w:kern w:val="2"/>
          <w:sz w:val="44"/>
          <w:szCs w:val="44"/>
        </w:rPr>
      </w:pPr>
      <w:bookmarkStart w:id="61" w:name="_Toc15396618"/>
      <w:r>
        <w:rPr>
          <w:rFonts w:hint="eastAsia" w:ascii="方正小标宋_GBK" w:hAnsi="方正小标宋_GBK" w:eastAsia="方正小标宋_GBK" w:cs="方正小标宋_GBK"/>
          <w:color w:val="auto"/>
          <w:kern w:val="2"/>
          <w:sz w:val="44"/>
          <w:szCs w:val="44"/>
        </w:rPr>
        <w:t>红原县民族宗教局</w:t>
      </w:r>
    </w:p>
    <w:p>
      <w:pPr>
        <w:pStyle w:val="31"/>
        <w:spacing w:line="600" w:lineRule="exact"/>
        <w:jc w:val="center"/>
        <w:rPr>
          <w:rFonts w:hint="eastAsia" w:ascii="方正小标宋_GBK" w:hAnsi="方正小标宋_GBK" w:eastAsia="方正小标宋_GBK" w:cs="方正小标宋_GBK"/>
          <w:color w:val="auto"/>
          <w:kern w:val="2"/>
          <w:sz w:val="44"/>
          <w:szCs w:val="44"/>
          <w:lang w:eastAsia="zh-CN"/>
        </w:rPr>
      </w:pPr>
      <w:r>
        <w:rPr>
          <w:rFonts w:hint="eastAsia" w:ascii="方正小标宋_GBK" w:hAnsi="方正小标宋_GBK" w:eastAsia="方正小标宋_GBK" w:cs="方正小标宋_GBK"/>
          <w:color w:val="auto"/>
          <w:kern w:val="2"/>
          <w:sz w:val="44"/>
          <w:szCs w:val="44"/>
        </w:rPr>
        <w:t>关于2018年</w:t>
      </w:r>
      <w:r>
        <w:rPr>
          <w:rFonts w:hint="eastAsia" w:ascii="方正小标宋_GBK" w:hAnsi="方正小标宋_GBK" w:eastAsia="方正小标宋_GBK" w:cs="方正小标宋_GBK"/>
          <w:color w:val="auto"/>
          <w:kern w:val="2"/>
          <w:sz w:val="44"/>
          <w:szCs w:val="44"/>
          <w:lang w:eastAsia="zh-CN"/>
        </w:rPr>
        <w:t>中央和省级财政专项扶贫资金（</w:t>
      </w:r>
      <w:r>
        <w:rPr>
          <w:rFonts w:hint="eastAsia" w:ascii="方正小标宋_GBK" w:hAnsi="方正小标宋_GBK" w:eastAsia="方正小标宋_GBK" w:cs="方正小标宋_GBK"/>
          <w:color w:val="auto"/>
          <w:kern w:val="2"/>
          <w:sz w:val="44"/>
          <w:szCs w:val="44"/>
        </w:rPr>
        <w:t>少数民族发展资金</w:t>
      </w:r>
      <w:r>
        <w:rPr>
          <w:rFonts w:hint="eastAsia" w:ascii="方正小标宋_GBK" w:hAnsi="方正小标宋_GBK" w:eastAsia="方正小标宋_GBK" w:cs="方正小标宋_GBK"/>
          <w:color w:val="auto"/>
          <w:kern w:val="2"/>
          <w:sz w:val="44"/>
          <w:szCs w:val="44"/>
          <w:lang w:eastAsia="zh-CN"/>
        </w:rPr>
        <w:t>）</w:t>
      </w:r>
      <w:r>
        <w:rPr>
          <w:rFonts w:hint="eastAsia" w:ascii="方正小标宋_GBK" w:hAnsi="方正小标宋_GBK" w:eastAsia="方正小标宋_GBK" w:cs="方正小标宋_GBK"/>
          <w:color w:val="auto"/>
          <w:kern w:val="2"/>
          <w:sz w:val="44"/>
          <w:szCs w:val="44"/>
        </w:rPr>
        <w:t>项目</w:t>
      </w:r>
      <w:r>
        <w:rPr>
          <w:rFonts w:hint="eastAsia" w:ascii="方正小标宋_GBK" w:hAnsi="方正小标宋_GBK" w:eastAsia="方正小标宋_GBK" w:cs="方正小标宋_GBK"/>
          <w:color w:val="auto"/>
          <w:kern w:val="2"/>
          <w:sz w:val="44"/>
          <w:szCs w:val="44"/>
          <w:lang w:eastAsia="zh-CN"/>
        </w:rPr>
        <w:t>支出绩效</w:t>
      </w:r>
    </w:p>
    <w:p>
      <w:pPr>
        <w:pStyle w:val="31"/>
        <w:spacing w:line="600" w:lineRule="exact"/>
        <w:jc w:val="center"/>
        <w:rPr>
          <w:rFonts w:hint="eastAsia" w:ascii="方正小标宋_GBK" w:hAnsi="方正小标宋_GBK" w:eastAsia="方正小标宋_GBK" w:cs="方正小标宋_GBK"/>
          <w:color w:val="auto"/>
          <w:kern w:val="2"/>
          <w:sz w:val="44"/>
          <w:szCs w:val="44"/>
        </w:rPr>
      </w:pPr>
      <w:r>
        <w:rPr>
          <w:rFonts w:hint="eastAsia" w:ascii="方正小标宋_GBK" w:hAnsi="方正小标宋_GBK" w:eastAsia="方正小标宋_GBK" w:cs="方正小标宋_GBK"/>
          <w:color w:val="auto"/>
          <w:kern w:val="2"/>
          <w:sz w:val="44"/>
          <w:szCs w:val="44"/>
          <w:lang w:eastAsia="zh-CN"/>
        </w:rPr>
        <w:t>自评</w:t>
      </w:r>
      <w:r>
        <w:rPr>
          <w:rFonts w:hint="eastAsia" w:ascii="方正小标宋_GBK" w:hAnsi="方正小标宋_GBK" w:eastAsia="方正小标宋_GBK" w:cs="方正小标宋_GBK"/>
          <w:color w:val="auto"/>
          <w:kern w:val="2"/>
          <w:sz w:val="44"/>
          <w:szCs w:val="44"/>
        </w:rPr>
        <w:t>报告</w:t>
      </w:r>
    </w:p>
    <w:p>
      <w:pPr>
        <w:pStyle w:val="31"/>
        <w:spacing w:line="600" w:lineRule="exact"/>
        <w:ind w:firstLine="480" w:firstLineChars="150"/>
        <w:jc w:val="left"/>
        <w:rPr>
          <w:rFonts w:hint="eastAsia" w:ascii="方正小标宋_GBK" w:hAnsi="方正小标宋_GBK" w:eastAsia="方正小标宋_GBK" w:cs="方正小标宋_GBK"/>
          <w:color w:val="auto"/>
          <w:kern w:val="2"/>
          <w:sz w:val="32"/>
          <w:szCs w:val="32"/>
        </w:rPr>
      </w:pPr>
    </w:p>
    <w:p>
      <w:pPr>
        <w:pStyle w:val="31"/>
        <w:spacing w:line="600" w:lineRule="exact"/>
        <w:ind w:firstLine="480" w:firstLineChars="150"/>
        <w:jc w:val="left"/>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为贯彻落实党的十九大精神和《中共中央国务院关于打赢脱贫攻坚战的决定》，全面加强扶贫资金管理，确保财政支持脱贫攻坚政策措施落到实处。根据财政部关于开展2018年财政支持脱贫攻坚政策落实情况专项</w:t>
      </w:r>
      <w:r>
        <w:rPr>
          <w:rFonts w:hint="eastAsia" w:ascii="仿宋_GB2312" w:hAnsi="仿宋_GB2312" w:eastAsia="仿宋_GB2312" w:cs="仿宋_GB2312"/>
          <w:color w:val="auto"/>
          <w:kern w:val="2"/>
          <w:sz w:val="32"/>
          <w:szCs w:val="32"/>
          <w:lang w:eastAsia="zh-CN"/>
        </w:rPr>
        <w:t>支出绩效评价</w:t>
      </w:r>
      <w:r>
        <w:rPr>
          <w:rFonts w:hint="eastAsia" w:ascii="仿宋_GB2312" w:hAnsi="仿宋_GB2312" w:eastAsia="仿宋_GB2312" w:cs="仿宋_GB2312"/>
          <w:color w:val="auto"/>
          <w:kern w:val="2"/>
          <w:sz w:val="32"/>
          <w:szCs w:val="32"/>
        </w:rPr>
        <w:t>的通知要求，现将红原县民宗局财政扶贫资金项目</w:t>
      </w:r>
      <w:r>
        <w:rPr>
          <w:rFonts w:hint="eastAsia" w:ascii="仿宋_GB2312" w:hAnsi="仿宋_GB2312" w:eastAsia="仿宋_GB2312" w:cs="仿宋_GB2312"/>
          <w:color w:val="auto"/>
          <w:kern w:val="2"/>
          <w:sz w:val="32"/>
          <w:szCs w:val="32"/>
          <w:lang w:eastAsia="zh-CN"/>
        </w:rPr>
        <w:t>支出绩效自评</w:t>
      </w:r>
      <w:r>
        <w:rPr>
          <w:rFonts w:hint="eastAsia" w:ascii="仿宋_GB2312" w:hAnsi="仿宋_GB2312" w:eastAsia="仿宋_GB2312" w:cs="仿宋_GB2312"/>
          <w:color w:val="auto"/>
          <w:kern w:val="2"/>
          <w:sz w:val="32"/>
          <w:szCs w:val="32"/>
        </w:rPr>
        <w:t xml:space="preserve">报告如下： </w:t>
      </w:r>
    </w:p>
    <w:p>
      <w:pPr>
        <w:pStyle w:val="31"/>
        <w:spacing w:line="600" w:lineRule="exact"/>
        <w:ind w:firstLine="480" w:firstLineChars="150"/>
        <w:jc w:val="left"/>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一、</w:t>
      </w:r>
      <w:r>
        <w:rPr>
          <w:rFonts w:hint="eastAsia" w:ascii="仿宋_GB2312" w:hAnsi="仿宋_GB2312" w:eastAsia="仿宋_GB2312" w:cs="仿宋_GB2312"/>
          <w:color w:val="auto"/>
          <w:sz w:val="32"/>
          <w:szCs w:val="32"/>
        </w:rPr>
        <w:t>项目概况</w:t>
      </w:r>
    </w:p>
    <w:p>
      <w:pPr>
        <w:adjustRightInd w:val="0"/>
        <w:snapToGrid w:val="0"/>
        <w:spacing w:line="600" w:lineRule="exact"/>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一）项目资金申报及批复情况。一是资金申报。财政部、国家民族事务委员会共同制定的《少数民族发展资金管理办法》、《四川省财政扶贫资金管理办法（试行）》、《四川省少数民族发展资金管理实施细则》相关的政策法规,项目设计以村民“一事一议”、乡村座谈等形式来确定申报，申报程序严格按照项目《申报指南》和项目管理相关要求进行。二是资金分配办法,严格按照项目批复补助办法进行分配，项目层层批复具体明确了资金的补助内容、补助标准、补助环节。 </w:t>
      </w:r>
    </w:p>
    <w:p>
      <w:pPr>
        <w:adjustRightInd w:val="0"/>
        <w:snapToGrid w:val="0"/>
        <w:spacing w:line="600" w:lineRule="exact"/>
        <w:ind w:firstLine="480" w:firstLineChars="15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项目绩效目标。我县对各乡镇、村申报的项目进行认真梳理，按照急需、与项目申报指南申报相吻合的原则，进行择优筛选上报，2018年共申报少数民族发展资金430万元。实施牧道新建30公里，维修9公里；建设牲畜防疫钢管巷道圈8个；扶持村集体发展特色产业4个。项目计划2018年实施完成。</w:t>
      </w:r>
    </w:p>
    <w:p>
      <w:pPr>
        <w:adjustRightInd w:val="0"/>
        <w:snapToGrid w:val="0"/>
        <w:spacing w:line="600" w:lineRule="exact"/>
        <w:ind w:firstLine="480" w:firstLineChars="15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（三）项目资金申报相符性。项目申报内容与实施内容完全相符，申报目标合理可行。</w:t>
      </w:r>
    </w:p>
    <w:p>
      <w:pPr>
        <w:spacing w:line="6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二、项目实施及管理情况</w:t>
      </w:r>
    </w:p>
    <w:p>
      <w:pPr>
        <w:adjustRightInd w:val="0"/>
        <w:snapToGrid w:val="0"/>
        <w:spacing w:line="600" w:lineRule="exact"/>
        <w:ind w:left="375"/>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（一）资金计划、到位及使用情况。</w:t>
      </w:r>
    </w:p>
    <w:p>
      <w:pPr>
        <w:adjustRightInd w:val="0"/>
        <w:snapToGrid w:val="0"/>
        <w:spacing w:line="600" w:lineRule="exact"/>
        <w:ind w:firstLine="480" w:firstLineChars="15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1、资金计划及到位。2018少数民族发展资金。共争取中央、省级财政补助资金430万元。阿州财农</w:t>
      </w:r>
      <w:r>
        <w:rPr>
          <w:rFonts w:hint="eastAsia" w:ascii="仿宋_GB2312" w:hAnsi="仿宋_GB2312" w:eastAsia="仿宋_GB2312" w:cs="仿宋_GB2312"/>
          <w:color w:val="auto"/>
          <w:sz w:val="32"/>
          <w:szCs w:val="32"/>
          <w:lang w:val="zh-CN"/>
        </w:rPr>
        <w:t>[</w:t>
      </w:r>
      <w:r>
        <w:rPr>
          <w:rFonts w:hint="eastAsia" w:ascii="仿宋_GB2312" w:hAnsi="仿宋_GB2312" w:eastAsia="仿宋_GB2312" w:cs="仿宋_GB2312"/>
          <w:color w:val="auto"/>
          <w:sz w:val="32"/>
          <w:szCs w:val="32"/>
        </w:rPr>
        <w:t>2017</w:t>
      </w:r>
      <w:r>
        <w:rPr>
          <w:rFonts w:hint="eastAsia" w:ascii="仿宋_GB2312" w:hAnsi="仿宋_GB2312" w:eastAsia="仿宋_GB2312" w:cs="仿宋_GB2312"/>
          <w:color w:val="auto"/>
          <w:sz w:val="32"/>
          <w:szCs w:val="32"/>
          <w:lang w:val="zh-CN"/>
        </w:rPr>
        <w:t>]</w:t>
      </w:r>
      <w:r>
        <w:rPr>
          <w:rFonts w:hint="eastAsia" w:ascii="仿宋_GB2312" w:hAnsi="仿宋_GB2312" w:eastAsia="仿宋_GB2312" w:cs="仿宋_GB2312"/>
          <w:color w:val="auto"/>
          <w:sz w:val="32"/>
          <w:szCs w:val="32"/>
        </w:rPr>
        <w:t>151</w:t>
      </w:r>
      <w:r>
        <w:rPr>
          <w:rFonts w:hint="eastAsia" w:ascii="仿宋_GB2312" w:hAnsi="仿宋_GB2312" w:eastAsia="仿宋_GB2312" w:cs="仿宋_GB2312"/>
          <w:color w:val="auto"/>
          <w:sz w:val="32"/>
          <w:szCs w:val="32"/>
          <w:lang w:val="zh-CN"/>
        </w:rPr>
        <w:t>号关于提前下达</w:t>
      </w:r>
      <w:r>
        <w:rPr>
          <w:rFonts w:hint="eastAsia" w:ascii="仿宋_GB2312" w:hAnsi="仿宋_GB2312" w:eastAsia="仿宋_GB2312" w:cs="仿宋_GB2312"/>
          <w:color w:val="auto"/>
          <w:sz w:val="32"/>
          <w:szCs w:val="32"/>
        </w:rPr>
        <w:t>2018年</w:t>
      </w:r>
      <w:r>
        <w:rPr>
          <w:rFonts w:hint="eastAsia" w:ascii="仿宋_GB2312" w:hAnsi="仿宋_GB2312" w:eastAsia="仿宋_GB2312" w:cs="仿宋_GB2312"/>
          <w:color w:val="auto"/>
          <w:sz w:val="32"/>
          <w:szCs w:val="32"/>
          <w:lang w:val="zh-CN"/>
        </w:rPr>
        <w:t>省级财政专项扶贫资金</w:t>
      </w:r>
      <w:r>
        <w:rPr>
          <w:rFonts w:hint="eastAsia" w:ascii="仿宋_GB2312" w:hAnsi="仿宋_GB2312" w:eastAsia="仿宋_GB2312" w:cs="仿宋_GB2312"/>
          <w:color w:val="auto"/>
          <w:sz w:val="32"/>
          <w:szCs w:val="32"/>
        </w:rPr>
        <w:t>---支援不发达地区发展资金210万元，江茸乡茸日玛村新建牧道5公里，补助资金30万元；查尔玛乡查龙村新建牧道5公里，补助资金30万元；安曲镇夺龙村新建牧道2公里（断头路），补助资金12万元；龙日坝新建牧道18公里，补助资金108万元,龙日乡壤噶夺玛村购买生产性带崽母牦牛60头，补助资金30万元。 阿州财农</w:t>
      </w:r>
      <w:r>
        <w:rPr>
          <w:rFonts w:hint="eastAsia" w:ascii="仿宋_GB2312" w:hAnsi="仿宋_GB2312" w:eastAsia="仿宋_GB2312" w:cs="仿宋_GB2312"/>
          <w:color w:val="auto"/>
          <w:sz w:val="32"/>
          <w:szCs w:val="32"/>
          <w:lang w:val="zh-CN"/>
        </w:rPr>
        <w:t>[</w:t>
      </w:r>
      <w:r>
        <w:rPr>
          <w:rFonts w:hint="eastAsia" w:ascii="仿宋_GB2312" w:hAnsi="仿宋_GB2312" w:eastAsia="仿宋_GB2312" w:cs="仿宋_GB2312"/>
          <w:color w:val="auto"/>
          <w:sz w:val="32"/>
          <w:szCs w:val="32"/>
        </w:rPr>
        <w:t>2018</w:t>
      </w:r>
      <w:r>
        <w:rPr>
          <w:rFonts w:hint="eastAsia" w:ascii="仿宋_GB2312" w:hAnsi="仿宋_GB2312" w:eastAsia="仿宋_GB2312" w:cs="仿宋_GB2312"/>
          <w:color w:val="auto"/>
          <w:sz w:val="32"/>
          <w:szCs w:val="32"/>
          <w:lang w:val="zh-CN"/>
        </w:rPr>
        <w:t>]</w:t>
      </w:r>
      <w:r>
        <w:rPr>
          <w:rFonts w:hint="eastAsia" w:ascii="仿宋_GB2312" w:hAnsi="仿宋_GB2312" w:eastAsia="仿宋_GB2312" w:cs="仿宋_GB2312"/>
          <w:color w:val="auto"/>
          <w:sz w:val="32"/>
          <w:szCs w:val="32"/>
        </w:rPr>
        <w:t xml:space="preserve"> 62</w:t>
      </w:r>
      <w:r>
        <w:rPr>
          <w:rFonts w:hint="eastAsia" w:ascii="仿宋_GB2312" w:hAnsi="仿宋_GB2312" w:eastAsia="仿宋_GB2312" w:cs="仿宋_GB2312"/>
          <w:color w:val="auto"/>
          <w:sz w:val="32"/>
          <w:szCs w:val="32"/>
          <w:lang w:val="zh-CN"/>
        </w:rPr>
        <w:t>号关于下达</w:t>
      </w:r>
      <w:r>
        <w:rPr>
          <w:rFonts w:hint="eastAsia" w:ascii="仿宋_GB2312" w:hAnsi="仿宋_GB2312" w:eastAsia="仿宋_GB2312" w:cs="仿宋_GB2312"/>
          <w:color w:val="auto"/>
          <w:sz w:val="32"/>
          <w:szCs w:val="32"/>
        </w:rPr>
        <w:t>2018年</w:t>
      </w:r>
      <w:r>
        <w:rPr>
          <w:rFonts w:hint="eastAsia" w:ascii="仿宋_GB2312" w:hAnsi="仿宋_GB2312" w:eastAsia="仿宋_GB2312" w:cs="仿宋_GB2312"/>
          <w:color w:val="auto"/>
          <w:sz w:val="32"/>
          <w:szCs w:val="32"/>
          <w:lang w:val="zh-CN"/>
        </w:rPr>
        <w:t>中央财政专项扶贫资金</w:t>
      </w:r>
      <w:r>
        <w:rPr>
          <w:rFonts w:hint="eastAsia" w:ascii="仿宋_GB2312" w:hAnsi="仿宋_GB2312" w:eastAsia="仿宋_GB2312" w:cs="仿宋_GB2312"/>
          <w:color w:val="auto"/>
          <w:sz w:val="32"/>
          <w:szCs w:val="32"/>
        </w:rPr>
        <w:t>---少数民族发展资金220万元，邛溪镇玉龙社区维修牧道9公里，补助资金30万元；邛溪镇玛萨村增添设施设备，补助资金50万元；瓦切镇达俄村游客中心装修250平方米，旧房改造340平方米，接待中心场地硬化150平方米，以及游客中心室内家具采购等，补助资金80万元；阿木乡卡口村购置拖拉机1辆、手推割草机3台、四冲程割草机3台、打草头20个、充电式园林电动绿篱机3台，多功能饲草青贮打捆机2台、磅秤1个，补助资金20万元；龙日乡格玛村、壤噶夺玛村新建牲畜防疫钢管卷道圈8个，补助资金40万元。</w:t>
      </w:r>
    </w:p>
    <w:p>
      <w:pPr>
        <w:spacing w:line="6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2、项目资金使用情况。 按照财政资金管理办法等相关要求，严格执行“项目竣工验收后拨付75%，项目审计结算后拨付95%，项目质保期满复查合格后拨付5%”资金拨付。截止目前，2017年少数民族发展资金项目使用资金233万元，拨付资金219.95万元、结余资金13.05万元。资金支出进度（94.40%）（结余资金质保金）；2018年少数民族发展资金项目使用资金430万元，拨付资金399.0187万元。结余资金30.9813万元，资金支出进度（95%）（结余资金是质保金）；</w:t>
      </w:r>
    </w:p>
    <w:p>
      <w:pPr>
        <w:spacing w:line="600" w:lineRule="exact"/>
        <w:ind w:firstLine="640" w:firstLineChars="200"/>
        <w:jc w:val="left"/>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（一）2018年少数民族发展资金项目实施情况：一是牧道建设：</w:t>
      </w:r>
      <w:r>
        <w:rPr>
          <w:rFonts w:hint="eastAsia" w:ascii="仿宋_GB2312" w:hAnsi="仿宋_GB2312" w:eastAsia="仿宋_GB2312" w:cs="仿宋_GB2312"/>
          <w:color w:val="auto"/>
          <w:sz w:val="32"/>
          <w:szCs w:val="32"/>
        </w:rPr>
        <w:t>共下达牧道新建任务30公里（江茸乡茸日玛村5公里、查尔玛乡查龙村5公里、安曲镇夺龙村2公里（断头路）、龙日坝三个分场18公里），完成建设任务的100%。</w:t>
      </w:r>
      <w:r>
        <w:rPr>
          <w:rFonts w:hint="eastAsia" w:ascii="仿宋_GB2312" w:hAnsi="仿宋_GB2312" w:eastAsia="仿宋_GB2312" w:cs="仿宋_GB2312"/>
          <w:bCs/>
          <w:color w:val="auto"/>
          <w:sz w:val="32"/>
          <w:szCs w:val="32"/>
        </w:rPr>
        <w:t>二是牲畜钢管防疫巷道圈建设：</w:t>
      </w:r>
      <w:r>
        <w:rPr>
          <w:rFonts w:hint="eastAsia" w:ascii="仿宋_GB2312" w:hAnsi="仿宋_GB2312" w:eastAsia="仿宋_GB2312" w:cs="仿宋_GB2312"/>
          <w:color w:val="auto"/>
          <w:sz w:val="32"/>
          <w:szCs w:val="32"/>
        </w:rPr>
        <w:t>格玛村、壤噶夺玛村</w:t>
      </w:r>
      <w:r>
        <w:rPr>
          <w:rFonts w:hint="eastAsia" w:ascii="仿宋_GB2312" w:hAnsi="仿宋_GB2312" w:eastAsia="仿宋_GB2312" w:cs="仿宋_GB2312"/>
          <w:bCs/>
          <w:color w:val="auto"/>
          <w:sz w:val="32"/>
          <w:szCs w:val="32"/>
        </w:rPr>
        <w:t>新建钢管防疫巷道圈8个，</w:t>
      </w:r>
      <w:r>
        <w:rPr>
          <w:rFonts w:hint="eastAsia" w:ascii="仿宋_GB2312" w:hAnsi="仿宋_GB2312" w:eastAsia="仿宋_GB2312" w:cs="仿宋_GB2312"/>
          <w:color w:val="auto"/>
          <w:sz w:val="32"/>
          <w:szCs w:val="32"/>
        </w:rPr>
        <w:t>完成建设任务的100%，</w:t>
      </w:r>
      <w:r>
        <w:rPr>
          <w:rFonts w:hint="eastAsia" w:ascii="仿宋_GB2312" w:hAnsi="仿宋_GB2312" w:eastAsia="仿宋_GB2312" w:cs="仿宋_GB2312"/>
          <w:bCs/>
          <w:color w:val="auto"/>
          <w:sz w:val="32"/>
          <w:szCs w:val="32"/>
        </w:rPr>
        <w:t>三是扶持村集体经济：</w:t>
      </w:r>
      <w:r>
        <w:rPr>
          <w:rFonts w:hint="eastAsia" w:ascii="仿宋_GB2312" w:hAnsi="仿宋_GB2312" w:eastAsia="仿宋_GB2312" w:cs="仿宋_GB2312"/>
          <w:color w:val="auto"/>
          <w:sz w:val="32"/>
          <w:szCs w:val="32"/>
        </w:rPr>
        <w:t>龙日乡壤噶夺玛村购买生产性带崽母牦牛60头，完成采购任务的100%；邛溪镇玉龙社区养殖基地维修牧道9公里，完成建设任务的100%；邛溪镇玛萨村演绎中心完善提升增添设施设备，完成建设任务的100%；瓦切镇达俄村旅游营地建设游客中心装修250平方米、旧房改造340平方米、接待中心场地硬化150平方米，以及游客中心室内家具采购等，完成建设任务的100%；阿木乡卡口村标准化养殖基地设施设备购置拖拉机1辆、手推割草机3台、四冲程割草机3台、打草头20个、充电式园林电动绿篱机3台、多功能饲草青贮打捆机2台、磅秤1个，完成建设任务的100%。</w:t>
      </w:r>
    </w:p>
    <w:p>
      <w:pPr>
        <w:adjustRightInd w:val="0"/>
        <w:snapToGrid w:val="0"/>
        <w:spacing w:line="600" w:lineRule="exact"/>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二）资金监管方面。项目资金严格执行《四川省财政扶贫资金管理办法》、《四川省扶贫资金县级财政报帐制实施办法》，严格按有关规定实行“专款专用，专户储存”定期审计，严禁挪作他用。切实加强对项目资金的监督管理，按时拔付资金，督促项目实施。</w:t>
      </w:r>
    </w:p>
    <w:p>
      <w:pPr>
        <w:adjustRightInd w:val="0"/>
        <w:snapToGrid w:val="0"/>
        <w:spacing w:line="600" w:lineRule="exact"/>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（三）</w:t>
      </w:r>
      <w:r>
        <w:rPr>
          <w:rFonts w:hint="eastAsia" w:ascii="仿宋_GB2312" w:hAnsi="仿宋_GB2312" w:eastAsia="仿宋_GB2312" w:cs="仿宋_GB2312"/>
          <w:color w:val="auto"/>
          <w:sz w:val="32"/>
          <w:szCs w:val="32"/>
          <w:lang w:val="zh-CN"/>
        </w:rPr>
        <w:t>资金组织实施情况</w:t>
      </w:r>
      <w:r>
        <w:rPr>
          <w:rFonts w:hint="eastAsia" w:ascii="仿宋_GB2312" w:hAnsi="仿宋_GB2312" w:eastAsia="仿宋_GB2312" w:cs="仿宋_GB2312"/>
          <w:color w:val="auto"/>
          <w:sz w:val="32"/>
          <w:szCs w:val="32"/>
        </w:rPr>
        <w:t>。红原县十分重视项目监管工作，主要领导亲自抓，分管领导协助抓，成立了项目实施领导小组，推动工作落实、检验工作成效、提高工作效能、并认真收集、整理工程建设中的相关资料，将求真务实精神贯穿于监管工作的全过程，坚持实事求是、坚持公开、公正、公平的原则，确保了工程项目顺利实施。</w:t>
      </w:r>
      <w:r>
        <w:rPr>
          <w:rFonts w:hint="eastAsia" w:ascii="仿宋_GB2312" w:hAnsi="仿宋_GB2312" w:eastAsia="仿宋_GB2312" w:cs="仿宋_GB2312"/>
          <w:color w:val="auto"/>
          <w:sz w:val="32"/>
          <w:szCs w:val="32"/>
          <w:lang w:val="zh-CN"/>
        </w:rPr>
        <w:t>我局严格督促各项目实施单位执行相关法律法规及项目管理制度，根据项目实施内容，严格按照招投标、政府采购、“一事一议”、项目公示制等相关规定。</w:t>
      </w:r>
    </w:p>
    <w:p>
      <w:pPr>
        <w:pStyle w:val="2"/>
        <w:spacing w:line="600" w:lineRule="exact"/>
        <w:ind w:firstLine="640" w:firstLineChars="200"/>
        <w:jc w:val="left"/>
        <w:rPr>
          <w:rFonts w:hint="eastAsia" w:ascii="仿宋_GB2312" w:hAnsi="仿宋_GB2312" w:eastAsia="仿宋_GB2312" w:cs="仿宋_GB2312"/>
          <w:bCs/>
          <w:color w:val="auto"/>
          <w:sz w:val="32"/>
          <w:szCs w:val="32"/>
          <w:lang w:val="zh-CN"/>
        </w:rPr>
      </w:pPr>
      <w:r>
        <w:rPr>
          <w:rFonts w:hint="eastAsia" w:ascii="仿宋_GB2312" w:hAnsi="仿宋_GB2312" w:eastAsia="仿宋_GB2312" w:cs="仿宋_GB2312"/>
          <w:bCs/>
          <w:color w:val="auto"/>
          <w:sz w:val="32"/>
          <w:szCs w:val="32"/>
          <w:lang w:val="zh-CN"/>
        </w:rPr>
        <w:t>三、项目绩效情况</w:t>
      </w:r>
    </w:p>
    <w:p>
      <w:pPr>
        <w:spacing w:line="600" w:lineRule="exact"/>
        <w:ind w:firstLine="480" w:firstLineChars="150"/>
        <w:jc w:val="left"/>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rPr>
        <w:t>（一）</w:t>
      </w:r>
      <w:r>
        <w:rPr>
          <w:rFonts w:hint="eastAsia" w:ascii="仿宋_GB2312" w:hAnsi="仿宋_GB2312" w:eastAsia="仿宋_GB2312" w:cs="仿宋_GB2312"/>
          <w:color w:val="auto"/>
          <w:sz w:val="32"/>
          <w:szCs w:val="32"/>
          <w:lang w:val="zh-CN"/>
        </w:rPr>
        <w:t>项目完成情况。</w:t>
      </w:r>
      <w:r>
        <w:rPr>
          <w:rFonts w:hint="eastAsia" w:ascii="仿宋_GB2312" w:hAnsi="仿宋_GB2312" w:eastAsia="仿宋_GB2312" w:cs="仿宋_GB2312"/>
          <w:color w:val="auto"/>
          <w:sz w:val="32"/>
          <w:szCs w:val="32"/>
        </w:rPr>
        <w:t xml:space="preserve"> 11个项目都已完工，一是完成数量，完全与项目下达任务吻合。二是完成质量，县乡村对项目实施开展三级督导，确保了项目质量的全程监督。三是效益，项目设计了后期跟踪机制，保证了项目持续发挥效益。</w:t>
      </w:r>
    </w:p>
    <w:p>
      <w:pPr>
        <w:pStyle w:val="2"/>
        <w:spacing w:before="0" w:line="600" w:lineRule="exact"/>
        <w:ind w:firstLine="480" w:firstLineChars="15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（二）项目效益情况</w:t>
      </w:r>
    </w:p>
    <w:p>
      <w:pPr>
        <w:pStyle w:val="2"/>
        <w:spacing w:before="0" w:line="600" w:lineRule="exact"/>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1、效率性：一是管理效率，有健全的、成熟的《少数民族发展资金管理办法》、《四川省财政扶贫资金管理办法（试行）》、《四川省少数民族发展资金管理实施细则》等管理制度。二是执行效率，因项目采取“一事一议”组织实施，项目投资资金以补助方式，为确保财政资金使用效率，拨付办法采取通过县级验收后再兑付相应补助资金。故部分项目存在项目进度与资金拨付不同步的现象。</w:t>
      </w:r>
    </w:p>
    <w:p>
      <w:pPr>
        <w:adjustRightInd w:val="0"/>
        <w:snapToGrid w:val="0"/>
        <w:spacing w:line="600" w:lineRule="exact"/>
        <w:ind w:firstLine="72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2、公平性：补助资金投向为村公益基础设施和壮大村集体经济，符合项目相关制度要求。同时，项目建立了公示机制，征求了社会群众意见。</w:t>
      </w:r>
    </w:p>
    <w:p>
      <w:pPr>
        <w:adjustRightInd w:val="0"/>
        <w:snapToGrid w:val="0"/>
        <w:spacing w:line="600" w:lineRule="exact"/>
        <w:ind w:firstLine="72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可持续性：一是持续运行，项目受益乡村制定了相关建后管护办法，建立了“谁受益谁管护”的管护机制，同时，通过壮大村集体经济和村公益设施牧道等建设，促进了受益村、受益户主导产业的发展，直接或间接推动了脱贫攻坚工作。二是持续需求，从每年项目申报积极性、和项目申报的数量、范围等指标反映了群众对该项目的需求呈现递增趋势，充分体现了对项目需求的渴望。三是重复性。项目受益对象为群体，不存在重复受益现象。</w:t>
      </w:r>
      <w:r>
        <w:rPr>
          <w:rFonts w:hint="eastAsia" w:ascii="仿宋_GB2312" w:hAnsi="仿宋_GB2312" w:eastAsia="仿宋_GB2312" w:cs="仿宋_GB2312"/>
          <w:color w:val="auto"/>
          <w:sz w:val="32"/>
          <w:szCs w:val="32"/>
          <w:lang w:val="zh-CN"/>
        </w:rPr>
        <w:t>四是社会社会效益：</w:t>
      </w:r>
      <w:r>
        <w:rPr>
          <w:rFonts w:hint="eastAsia" w:ascii="仿宋_GB2312" w:hAnsi="仿宋_GB2312" w:eastAsia="仿宋_GB2312" w:cs="仿宋_GB2312"/>
          <w:color w:val="auto"/>
          <w:sz w:val="32"/>
          <w:szCs w:val="32"/>
        </w:rPr>
        <w:t>根据历年人大、政协代表提案议案，以及深入乡村调研座谈了解，群众代表对项目实施及效益得到高度评价，也反映出群众对持续得到项目扶持的愿望。</w:t>
      </w:r>
    </w:p>
    <w:p>
      <w:pPr>
        <w:pStyle w:val="13"/>
        <w:widowControl/>
        <w:spacing w:before="0" w:beforeAutospacing="0" w:after="0" w:afterAutospacing="0" w:line="600" w:lineRule="exact"/>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zh-CN"/>
        </w:rPr>
        <w:t>四、存在的问题及建议</w:t>
      </w:r>
    </w:p>
    <w:p>
      <w:pPr>
        <w:spacing w:line="600" w:lineRule="exact"/>
        <w:ind w:firstLine="645"/>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项目工作，一是项目资金下达晚，施工有效期短，实施进度与资金拨付进度要求难以同步，二是项目申报、实施主体为项目乡村，特别是村一级项目实施管理人员缺乏，项目内业资料需进一步规范、完善。</w:t>
      </w:r>
    </w:p>
    <w:p>
      <w:pPr>
        <w:spacing w:line="600" w:lineRule="exact"/>
        <w:ind w:firstLine="645"/>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下一步改进措施：一是加快项目前期工作确保质量与进度，二是加大乡村项目经办人培训力度。</w:t>
      </w:r>
    </w:p>
    <w:p>
      <w:pPr>
        <w:tabs>
          <w:tab w:val="left" w:pos="1440"/>
        </w:tabs>
        <w:spacing w:line="600" w:lineRule="exact"/>
        <w:jc w:val="left"/>
        <w:rPr>
          <w:rFonts w:hint="eastAsia" w:ascii="仿宋_GB2312" w:hAnsi="仿宋_GB2312" w:eastAsia="仿宋_GB2312" w:cs="仿宋_GB2312"/>
          <w:color w:val="auto"/>
          <w:sz w:val="32"/>
          <w:szCs w:val="32"/>
        </w:rPr>
      </w:pPr>
    </w:p>
    <w:p>
      <w:pPr>
        <w:spacing w:line="600" w:lineRule="exact"/>
        <w:jc w:val="center"/>
        <w:outlineLvl w:val="0"/>
        <w:rPr>
          <w:rFonts w:hint="eastAsia" w:ascii="仿宋_GB2312" w:hAnsi="仿宋_GB2312" w:eastAsia="仿宋_GB2312" w:cs="仿宋_GB2312"/>
          <w:color w:val="auto"/>
          <w:sz w:val="32"/>
          <w:szCs w:val="32"/>
        </w:rPr>
      </w:pPr>
    </w:p>
    <w:p>
      <w:pPr>
        <w:pStyle w:val="2"/>
        <w:rPr>
          <w:rFonts w:hint="eastAsia" w:ascii="仿宋_GB2312" w:hAnsi="仿宋_GB2312" w:eastAsia="仿宋_GB2312" w:cs="仿宋_GB2312"/>
          <w:color w:val="auto"/>
          <w:sz w:val="32"/>
          <w:szCs w:val="32"/>
        </w:rPr>
      </w:pPr>
    </w:p>
    <w:p>
      <w:pPr>
        <w:rPr>
          <w:rFonts w:hint="eastAsia" w:ascii="仿宋_GB2312" w:hAnsi="仿宋_GB2312" w:eastAsia="仿宋_GB2312" w:cs="仿宋_GB2312"/>
          <w:color w:val="auto"/>
          <w:sz w:val="32"/>
          <w:szCs w:val="32"/>
        </w:rPr>
      </w:pPr>
    </w:p>
    <w:p>
      <w:pPr>
        <w:pStyle w:val="2"/>
        <w:rPr>
          <w:rFonts w:hint="eastAsia" w:ascii="仿宋_GB2312" w:hAnsi="仿宋_GB2312" w:eastAsia="仿宋_GB2312" w:cs="仿宋_GB2312"/>
          <w:color w:val="auto"/>
          <w:sz w:val="32"/>
          <w:szCs w:val="32"/>
        </w:rPr>
      </w:pPr>
    </w:p>
    <w:p>
      <w:pPr>
        <w:rPr>
          <w:rFonts w:hint="eastAsia" w:ascii="仿宋_GB2312" w:hAnsi="仿宋_GB2312" w:eastAsia="仿宋_GB2312" w:cs="仿宋_GB2312"/>
          <w:color w:val="auto"/>
          <w:sz w:val="32"/>
          <w:szCs w:val="32"/>
        </w:rPr>
      </w:pPr>
    </w:p>
    <w:p>
      <w:pPr>
        <w:pStyle w:val="2"/>
        <w:rPr>
          <w:rFonts w:hint="eastAsia" w:ascii="仿宋_GB2312" w:hAnsi="仿宋_GB2312" w:eastAsia="仿宋_GB2312" w:cs="仿宋_GB2312"/>
          <w:color w:val="auto"/>
          <w:sz w:val="32"/>
          <w:szCs w:val="32"/>
        </w:rPr>
      </w:pPr>
    </w:p>
    <w:p>
      <w:pPr>
        <w:rPr>
          <w:rFonts w:hint="eastAsia" w:ascii="仿宋_GB2312" w:hAnsi="仿宋_GB2312" w:eastAsia="仿宋_GB2312" w:cs="仿宋_GB2312"/>
          <w:color w:val="auto"/>
          <w:sz w:val="32"/>
          <w:szCs w:val="32"/>
        </w:rPr>
      </w:pPr>
    </w:p>
    <w:p>
      <w:pPr>
        <w:pStyle w:val="2"/>
        <w:rPr>
          <w:rFonts w:hint="eastAsia" w:ascii="仿宋_GB2312" w:hAnsi="仿宋_GB2312" w:eastAsia="仿宋_GB2312" w:cs="仿宋_GB2312"/>
          <w:color w:val="auto"/>
          <w:sz w:val="32"/>
          <w:szCs w:val="32"/>
        </w:rPr>
      </w:pPr>
    </w:p>
    <w:p>
      <w:pPr>
        <w:rPr>
          <w:rFonts w:hint="eastAsia" w:ascii="仿宋_GB2312" w:hAnsi="仿宋_GB2312" w:eastAsia="仿宋_GB2312" w:cs="仿宋_GB2312"/>
          <w:color w:val="auto"/>
          <w:sz w:val="32"/>
          <w:szCs w:val="32"/>
        </w:rPr>
      </w:pPr>
    </w:p>
    <w:p>
      <w:pPr>
        <w:pStyle w:val="2"/>
        <w:rPr>
          <w:rFonts w:hint="eastAsia" w:ascii="仿宋_GB2312" w:hAnsi="仿宋_GB2312" w:eastAsia="仿宋_GB2312" w:cs="仿宋_GB2312"/>
          <w:color w:val="auto"/>
          <w:sz w:val="32"/>
          <w:szCs w:val="32"/>
        </w:rPr>
      </w:pPr>
    </w:p>
    <w:p>
      <w:pPr>
        <w:rPr>
          <w:rFonts w:hint="eastAsia"/>
        </w:rPr>
      </w:pPr>
    </w:p>
    <w:p>
      <w:pPr>
        <w:spacing w:line="600" w:lineRule="exact"/>
        <w:jc w:val="center"/>
        <w:outlineLvl w:val="0"/>
        <w:rPr>
          <w:rStyle w:val="26"/>
          <w:rFonts w:ascii="黑体" w:hAnsi="黑体" w:eastAsia="黑体"/>
          <w:b w:val="0"/>
          <w:color w:val="auto"/>
        </w:rPr>
      </w:pPr>
      <w:r>
        <w:rPr>
          <w:rFonts w:hint="eastAsia" w:ascii="黑体" w:hAnsi="黑体" w:eastAsia="黑体"/>
          <w:color w:val="auto"/>
          <w:sz w:val="44"/>
          <w:szCs w:val="44"/>
        </w:rPr>
        <w:t>第</w:t>
      </w:r>
      <w:r>
        <w:rPr>
          <w:rStyle w:val="26"/>
          <w:rFonts w:hint="eastAsia" w:ascii="黑体" w:hAnsi="黑体" w:eastAsia="黑体"/>
          <w:b w:val="0"/>
          <w:color w:val="auto"/>
        </w:rPr>
        <w:t>五部分 附表</w:t>
      </w:r>
      <w:bookmarkEnd w:id="57"/>
      <w:bookmarkEnd w:id="61"/>
    </w:p>
    <w:p>
      <w:pPr>
        <w:spacing w:line="600" w:lineRule="exact"/>
        <w:jc w:val="center"/>
        <w:outlineLvl w:val="0"/>
        <w:rPr>
          <w:rFonts w:ascii="仿宋" w:hAnsi="仿宋" w:eastAsia="仿宋"/>
          <w:b/>
          <w:color w:val="auto"/>
          <w:sz w:val="44"/>
          <w:szCs w:val="44"/>
        </w:rPr>
      </w:pPr>
    </w:p>
    <w:p>
      <w:pPr>
        <w:pStyle w:val="4"/>
        <w:numPr>
          <w:ilvl w:val="0"/>
          <w:numId w:val="7"/>
        </w:numPr>
        <w:rPr>
          <w:rFonts w:hint="eastAsia" w:ascii="仿宋" w:hAnsi="仿宋" w:eastAsia="仿宋"/>
          <w:b w:val="0"/>
          <w:color w:val="auto"/>
        </w:rPr>
      </w:pPr>
      <w:bookmarkStart w:id="62" w:name="_Toc15396620"/>
      <w:r>
        <w:rPr>
          <w:rFonts w:hint="eastAsia" w:ascii="仿宋" w:hAnsi="仿宋" w:eastAsia="仿宋"/>
          <w:b w:val="0"/>
          <w:color w:val="auto"/>
        </w:rPr>
        <w:t>收入支出决算总表</w:t>
      </w:r>
    </w:p>
    <w:p>
      <w:pPr>
        <w:pStyle w:val="4"/>
        <w:numPr>
          <w:ilvl w:val="0"/>
          <w:numId w:val="0"/>
        </w:numPr>
        <w:rPr>
          <w:rFonts w:ascii="仿宋" w:hAnsi="仿宋" w:eastAsia="仿宋"/>
          <w:color w:val="auto"/>
        </w:rPr>
      </w:pPr>
      <w:r>
        <w:rPr>
          <w:rFonts w:hint="eastAsia" w:ascii="仿宋" w:hAnsi="仿宋" w:eastAsia="仿宋"/>
          <w:b w:val="0"/>
          <w:color w:val="auto"/>
        </w:rPr>
        <w:t>二、收</w:t>
      </w:r>
      <w:r>
        <w:rPr>
          <w:rStyle w:val="27"/>
          <w:rFonts w:hint="eastAsia" w:ascii="仿宋" w:hAnsi="仿宋" w:eastAsia="仿宋"/>
          <w:b w:val="0"/>
          <w:bCs w:val="0"/>
          <w:color w:val="auto"/>
        </w:rPr>
        <w:t>入总表</w:t>
      </w:r>
      <w:bookmarkEnd w:id="62"/>
    </w:p>
    <w:p>
      <w:pPr>
        <w:pStyle w:val="4"/>
        <w:rPr>
          <w:rFonts w:ascii="仿宋" w:hAnsi="仿宋" w:eastAsia="仿宋"/>
          <w:color w:val="auto"/>
        </w:rPr>
      </w:pPr>
      <w:bookmarkStart w:id="63" w:name="_Toc15396621"/>
      <w:r>
        <w:rPr>
          <w:rStyle w:val="27"/>
          <w:rFonts w:hint="eastAsia" w:ascii="仿宋" w:hAnsi="仿宋" w:eastAsia="仿宋"/>
          <w:b w:val="0"/>
          <w:bCs w:val="0"/>
          <w:color w:val="auto"/>
        </w:rPr>
        <w:t>三、</w:t>
      </w:r>
      <w:r>
        <w:rPr>
          <w:rFonts w:hint="eastAsia" w:ascii="仿宋" w:hAnsi="仿宋" w:eastAsia="仿宋"/>
          <w:b w:val="0"/>
          <w:color w:val="auto"/>
        </w:rPr>
        <w:t>支</w:t>
      </w:r>
      <w:r>
        <w:rPr>
          <w:rStyle w:val="27"/>
          <w:rFonts w:hint="eastAsia" w:ascii="仿宋" w:hAnsi="仿宋" w:eastAsia="仿宋"/>
          <w:b w:val="0"/>
          <w:bCs w:val="0"/>
          <w:color w:val="auto"/>
        </w:rPr>
        <w:t>出总表</w:t>
      </w:r>
      <w:bookmarkEnd w:id="63"/>
    </w:p>
    <w:p>
      <w:pPr>
        <w:pStyle w:val="4"/>
        <w:rPr>
          <w:rFonts w:ascii="仿宋" w:hAnsi="仿宋" w:eastAsia="仿宋"/>
          <w:b w:val="0"/>
          <w:color w:val="auto"/>
        </w:rPr>
      </w:pPr>
      <w:bookmarkStart w:id="64" w:name="_Toc15396622"/>
      <w:r>
        <w:rPr>
          <w:rStyle w:val="27"/>
          <w:rFonts w:hint="eastAsia" w:ascii="仿宋" w:hAnsi="仿宋" w:eastAsia="仿宋"/>
          <w:b w:val="0"/>
          <w:bCs w:val="0"/>
          <w:color w:val="auto"/>
        </w:rPr>
        <w:t>四、</w:t>
      </w:r>
      <w:r>
        <w:rPr>
          <w:rFonts w:hint="eastAsia" w:ascii="仿宋" w:hAnsi="仿宋" w:eastAsia="仿宋"/>
          <w:b w:val="0"/>
          <w:color w:val="auto"/>
        </w:rPr>
        <w:t>财</w:t>
      </w:r>
      <w:r>
        <w:rPr>
          <w:rStyle w:val="27"/>
          <w:rFonts w:hint="eastAsia" w:ascii="仿宋" w:hAnsi="仿宋" w:eastAsia="仿宋"/>
          <w:b w:val="0"/>
          <w:bCs w:val="0"/>
          <w:color w:val="auto"/>
        </w:rPr>
        <w:t>政拨款收入支出决算总表</w:t>
      </w:r>
      <w:bookmarkEnd w:id="64"/>
    </w:p>
    <w:p>
      <w:pPr>
        <w:pStyle w:val="4"/>
        <w:rPr>
          <w:rFonts w:ascii="仿宋" w:hAnsi="仿宋" w:eastAsia="仿宋"/>
          <w:color w:val="auto"/>
        </w:rPr>
      </w:pPr>
      <w:bookmarkStart w:id="65" w:name="_Toc15396623"/>
      <w:r>
        <w:rPr>
          <w:rStyle w:val="27"/>
          <w:rFonts w:hint="eastAsia" w:ascii="仿宋" w:hAnsi="仿宋" w:eastAsia="仿宋"/>
          <w:b w:val="0"/>
          <w:bCs w:val="0"/>
          <w:color w:val="auto"/>
        </w:rPr>
        <w:t>五、</w:t>
      </w:r>
      <w:r>
        <w:rPr>
          <w:rFonts w:hint="eastAsia" w:ascii="仿宋" w:hAnsi="仿宋" w:eastAsia="仿宋"/>
          <w:b w:val="0"/>
          <w:color w:val="auto"/>
        </w:rPr>
        <w:t>财</w:t>
      </w:r>
      <w:r>
        <w:rPr>
          <w:rStyle w:val="27"/>
          <w:rFonts w:hint="eastAsia" w:ascii="仿宋" w:hAnsi="仿宋" w:eastAsia="仿宋"/>
          <w:b w:val="0"/>
          <w:bCs w:val="0"/>
          <w:color w:val="auto"/>
        </w:rPr>
        <w:t>政拨款支出决算明细表（政府经济分类科目）</w:t>
      </w:r>
      <w:bookmarkEnd w:id="65"/>
    </w:p>
    <w:p>
      <w:pPr>
        <w:pStyle w:val="4"/>
        <w:rPr>
          <w:rFonts w:ascii="仿宋" w:hAnsi="仿宋" w:eastAsia="仿宋"/>
          <w:color w:val="auto"/>
        </w:rPr>
      </w:pPr>
      <w:bookmarkStart w:id="66" w:name="_Toc15396624"/>
      <w:r>
        <w:rPr>
          <w:rStyle w:val="27"/>
          <w:rFonts w:hint="eastAsia" w:ascii="仿宋" w:hAnsi="仿宋" w:eastAsia="仿宋"/>
          <w:b w:val="0"/>
          <w:bCs w:val="0"/>
          <w:color w:val="auto"/>
        </w:rPr>
        <w:t>六、</w:t>
      </w:r>
      <w:r>
        <w:rPr>
          <w:rFonts w:hint="eastAsia" w:ascii="仿宋" w:hAnsi="仿宋" w:eastAsia="仿宋"/>
          <w:b w:val="0"/>
          <w:color w:val="auto"/>
        </w:rPr>
        <w:t>一</w:t>
      </w:r>
      <w:r>
        <w:rPr>
          <w:rStyle w:val="27"/>
          <w:rFonts w:hint="eastAsia" w:ascii="仿宋" w:hAnsi="仿宋" w:eastAsia="仿宋"/>
          <w:b w:val="0"/>
          <w:bCs w:val="0"/>
          <w:color w:val="auto"/>
        </w:rPr>
        <w:t>般公共预算财政拨款支出决算表</w:t>
      </w:r>
      <w:bookmarkEnd w:id="66"/>
    </w:p>
    <w:p>
      <w:pPr>
        <w:pStyle w:val="4"/>
        <w:rPr>
          <w:rFonts w:ascii="仿宋" w:hAnsi="仿宋" w:eastAsia="仿宋"/>
          <w:color w:val="auto"/>
        </w:rPr>
      </w:pPr>
      <w:bookmarkStart w:id="67" w:name="_Toc15396625"/>
      <w:r>
        <w:rPr>
          <w:rStyle w:val="27"/>
          <w:rFonts w:hint="eastAsia" w:ascii="仿宋" w:hAnsi="仿宋" w:eastAsia="仿宋"/>
          <w:b w:val="0"/>
          <w:bCs w:val="0"/>
          <w:color w:val="auto"/>
        </w:rPr>
        <w:t>七、</w:t>
      </w:r>
      <w:r>
        <w:rPr>
          <w:rFonts w:hint="eastAsia" w:ascii="仿宋" w:hAnsi="仿宋" w:eastAsia="仿宋"/>
          <w:b w:val="0"/>
          <w:color w:val="auto"/>
        </w:rPr>
        <w:t>一</w:t>
      </w:r>
      <w:r>
        <w:rPr>
          <w:rStyle w:val="27"/>
          <w:rFonts w:hint="eastAsia" w:ascii="仿宋" w:hAnsi="仿宋" w:eastAsia="仿宋"/>
          <w:b w:val="0"/>
          <w:bCs w:val="0"/>
          <w:color w:val="auto"/>
        </w:rPr>
        <w:t>般公共预算财政拨款支出决算明细表</w:t>
      </w:r>
      <w:bookmarkEnd w:id="67"/>
    </w:p>
    <w:p>
      <w:pPr>
        <w:pStyle w:val="4"/>
        <w:rPr>
          <w:rFonts w:ascii="仿宋" w:hAnsi="仿宋" w:eastAsia="仿宋"/>
          <w:color w:val="auto"/>
        </w:rPr>
      </w:pPr>
      <w:bookmarkStart w:id="68" w:name="_Toc15396626"/>
      <w:r>
        <w:rPr>
          <w:rStyle w:val="27"/>
          <w:rFonts w:hint="eastAsia" w:ascii="仿宋" w:hAnsi="仿宋" w:eastAsia="仿宋"/>
          <w:b w:val="0"/>
          <w:bCs w:val="0"/>
          <w:color w:val="auto"/>
        </w:rPr>
        <w:t>八、</w:t>
      </w:r>
      <w:r>
        <w:rPr>
          <w:rFonts w:hint="eastAsia" w:ascii="仿宋" w:hAnsi="仿宋" w:eastAsia="仿宋"/>
          <w:b w:val="0"/>
          <w:color w:val="auto"/>
        </w:rPr>
        <w:t>一</w:t>
      </w:r>
      <w:r>
        <w:rPr>
          <w:rStyle w:val="27"/>
          <w:rFonts w:hint="eastAsia" w:ascii="仿宋" w:hAnsi="仿宋" w:eastAsia="仿宋"/>
          <w:b w:val="0"/>
          <w:bCs w:val="0"/>
          <w:color w:val="auto"/>
        </w:rPr>
        <w:t>般公共预算财政拨款基本支出决算表</w:t>
      </w:r>
      <w:bookmarkEnd w:id="68"/>
    </w:p>
    <w:p>
      <w:pPr>
        <w:pStyle w:val="4"/>
        <w:rPr>
          <w:rFonts w:ascii="仿宋" w:hAnsi="仿宋" w:eastAsia="仿宋"/>
          <w:color w:val="auto"/>
        </w:rPr>
      </w:pPr>
      <w:bookmarkStart w:id="69" w:name="_Toc15396627"/>
      <w:r>
        <w:rPr>
          <w:rStyle w:val="27"/>
          <w:rFonts w:hint="eastAsia" w:ascii="仿宋" w:hAnsi="仿宋" w:eastAsia="仿宋"/>
          <w:b w:val="0"/>
          <w:bCs w:val="0"/>
          <w:color w:val="auto"/>
        </w:rPr>
        <w:t>九、</w:t>
      </w:r>
      <w:r>
        <w:rPr>
          <w:rFonts w:hint="eastAsia" w:ascii="仿宋" w:hAnsi="仿宋" w:eastAsia="仿宋"/>
          <w:b w:val="0"/>
          <w:color w:val="auto"/>
        </w:rPr>
        <w:t>一</w:t>
      </w:r>
      <w:r>
        <w:rPr>
          <w:rStyle w:val="27"/>
          <w:rFonts w:hint="eastAsia" w:ascii="仿宋" w:hAnsi="仿宋" w:eastAsia="仿宋"/>
          <w:b w:val="0"/>
          <w:bCs w:val="0"/>
          <w:color w:val="auto"/>
        </w:rPr>
        <w:t>般公共预算财政拨款项目支出决算表</w:t>
      </w:r>
      <w:bookmarkEnd w:id="69"/>
    </w:p>
    <w:p>
      <w:pPr>
        <w:pStyle w:val="4"/>
        <w:rPr>
          <w:rFonts w:ascii="仿宋" w:hAnsi="仿宋" w:eastAsia="仿宋"/>
          <w:color w:val="auto"/>
        </w:rPr>
      </w:pPr>
      <w:bookmarkStart w:id="70" w:name="_Toc15396628"/>
      <w:r>
        <w:rPr>
          <w:rStyle w:val="27"/>
          <w:rFonts w:hint="eastAsia" w:ascii="仿宋" w:hAnsi="仿宋" w:eastAsia="仿宋"/>
          <w:b w:val="0"/>
          <w:bCs w:val="0"/>
          <w:color w:val="auto"/>
        </w:rPr>
        <w:t>十、</w:t>
      </w:r>
      <w:r>
        <w:rPr>
          <w:rFonts w:hint="eastAsia" w:ascii="仿宋" w:hAnsi="仿宋" w:eastAsia="仿宋"/>
          <w:b w:val="0"/>
          <w:color w:val="auto"/>
        </w:rPr>
        <w:t>一</w:t>
      </w:r>
      <w:r>
        <w:rPr>
          <w:rStyle w:val="27"/>
          <w:rFonts w:hint="eastAsia" w:ascii="仿宋" w:hAnsi="仿宋" w:eastAsia="仿宋"/>
          <w:b w:val="0"/>
          <w:bCs w:val="0"/>
          <w:color w:val="auto"/>
        </w:rPr>
        <w:t>般公共预算财政拨款“三公”经费支出决算表</w:t>
      </w:r>
      <w:bookmarkEnd w:id="70"/>
    </w:p>
    <w:p>
      <w:pPr>
        <w:pStyle w:val="4"/>
        <w:rPr>
          <w:rFonts w:ascii="仿宋" w:hAnsi="仿宋" w:eastAsia="仿宋"/>
          <w:color w:val="auto"/>
        </w:rPr>
      </w:pPr>
      <w:bookmarkStart w:id="71" w:name="_Toc15396629"/>
      <w:r>
        <w:rPr>
          <w:rStyle w:val="27"/>
          <w:rFonts w:hint="eastAsia" w:ascii="仿宋" w:hAnsi="仿宋" w:eastAsia="仿宋"/>
          <w:b w:val="0"/>
          <w:bCs w:val="0"/>
          <w:color w:val="auto"/>
        </w:rPr>
        <w:t>十一、</w:t>
      </w:r>
      <w:r>
        <w:rPr>
          <w:rFonts w:hint="eastAsia" w:ascii="仿宋" w:hAnsi="仿宋" w:eastAsia="仿宋"/>
          <w:b w:val="0"/>
          <w:color w:val="auto"/>
        </w:rPr>
        <w:t>政</w:t>
      </w:r>
      <w:r>
        <w:rPr>
          <w:rStyle w:val="27"/>
          <w:rFonts w:hint="eastAsia" w:ascii="仿宋" w:hAnsi="仿宋" w:eastAsia="仿宋"/>
          <w:b w:val="0"/>
          <w:bCs w:val="0"/>
          <w:color w:val="auto"/>
        </w:rPr>
        <w:t>府性基金预算财政拨款收入支出决算表</w:t>
      </w:r>
      <w:bookmarkEnd w:id="71"/>
    </w:p>
    <w:p>
      <w:pPr>
        <w:pStyle w:val="4"/>
        <w:rPr>
          <w:rFonts w:ascii="仿宋" w:hAnsi="仿宋" w:eastAsia="仿宋"/>
          <w:color w:val="auto"/>
        </w:rPr>
      </w:pPr>
      <w:bookmarkStart w:id="72" w:name="_Toc15396630"/>
      <w:r>
        <w:rPr>
          <w:rStyle w:val="27"/>
          <w:rFonts w:hint="eastAsia" w:ascii="仿宋" w:hAnsi="仿宋" w:eastAsia="仿宋"/>
          <w:b w:val="0"/>
          <w:bCs w:val="0"/>
          <w:color w:val="auto"/>
        </w:rPr>
        <w:t>十二、</w:t>
      </w:r>
      <w:r>
        <w:rPr>
          <w:rFonts w:hint="eastAsia" w:ascii="仿宋" w:hAnsi="仿宋" w:eastAsia="仿宋"/>
          <w:b w:val="0"/>
          <w:color w:val="auto"/>
        </w:rPr>
        <w:t>政</w:t>
      </w:r>
      <w:r>
        <w:rPr>
          <w:rStyle w:val="27"/>
          <w:rFonts w:hint="eastAsia" w:ascii="仿宋" w:hAnsi="仿宋" w:eastAsia="仿宋"/>
          <w:b w:val="0"/>
          <w:bCs w:val="0"/>
          <w:color w:val="auto"/>
        </w:rPr>
        <w:t>府性基金预算财政拨款“三公”经费支出决算表</w:t>
      </w:r>
      <w:bookmarkEnd w:id="72"/>
    </w:p>
    <w:p>
      <w:pPr>
        <w:pStyle w:val="4"/>
        <w:rPr>
          <w:rFonts w:ascii="仿宋" w:hAnsi="仿宋" w:eastAsia="仿宋"/>
          <w:color w:val="auto"/>
        </w:rPr>
      </w:pPr>
      <w:bookmarkStart w:id="73" w:name="_Toc15396631"/>
      <w:r>
        <w:rPr>
          <w:rStyle w:val="27"/>
          <w:rFonts w:hint="eastAsia" w:ascii="仿宋" w:hAnsi="仿宋" w:eastAsia="仿宋"/>
          <w:b w:val="0"/>
          <w:bCs w:val="0"/>
          <w:color w:val="auto"/>
        </w:rPr>
        <w:t>十三、</w:t>
      </w:r>
      <w:r>
        <w:rPr>
          <w:rFonts w:hint="eastAsia" w:ascii="仿宋" w:hAnsi="仿宋" w:eastAsia="仿宋"/>
          <w:b w:val="0"/>
          <w:color w:val="auto"/>
        </w:rPr>
        <w:t>国</w:t>
      </w:r>
      <w:r>
        <w:rPr>
          <w:rStyle w:val="27"/>
          <w:rFonts w:hint="eastAsia" w:ascii="仿宋" w:hAnsi="仿宋" w:eastAsia="仿宋"/>
          <w:b w:val="0"/>
          <w:bCs w:val="0"/>
          <w:color w:val="auto"/>
        </w:rPr>
        <w:t>有资本经营预算支出决算表</w:t>
      </w:r>
      <w:bookmarkEnd w:id="73"/>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方正小标宋简体">
    <w:panose1 w:val="02000000000000000000"/>
    <w:charset w:val="86"/>
    <w:family w:val="auto"/>
    <w:pitch w:val="default"/>
    <w:sig w:usb0="00000001" w:usb1="08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9"/>
          <w:jc w:val="center"/>
        </w:pPr>
        <w:r>
          <w:fldChar w:fldCharType="begin"/>
        </w:r>
        <w:r>
          <w:instrText xml:space="preserve">PAGE   \* MERGEFORMAT</w:instrText>
        </w:r>
        <w:r>
          <w:fldChar w:fldCharType="separate"/>
        </w:r>
        <w:r>
          <w:rPr>
            <w:lang w:val="zh-CN"/>
          </w:rPr>
          <w:t>10</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26C66B"/>
    <w:multiLevelType w:val="singleLevel"/>
    <w:tmpl w:val="B026C66B"/>
    <w:lvl w:ilvl="0" w:tentative="0">
      <w:start w:val="1"/>
      <w:numFmt w:val="decimal"/>
      <w:lvlText w:val="%1."/>
      <w:lvlJc w:val="left"/>
      <w:pPr>
        <w:tabs>
          <w:tab w:val="left" w:pos="312"/>
        </w:tabs>
      </w:p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3">
    <w:nsid w:val="54279A04"/>
    <w:multiLevelType w:val="singleLevel"/>
    <w:tmpl w:val="54279A04"/>
    <w:lvl w:ilvl="0" w:tentative="0">
      <w:start w:val="1"/>
      <w:numFmt w:val="chineseCounting"/>
      <w:suff w:val="nothing"/>
      <w:lvlText w:val="%1、"/>
      <w:lvlJc w:val="left"/>
    </w:lvl>
  </w:abstractNum>
  <w:abstractNum w:abstractNumId="4">
    <w:nsid w:val="5D5382B5"/>
    <w:multiLevelType w:val="singleLevel"/>
    <w:tmpl w:val="5D5382B5"/>
    <w:lvl w:ilvl="0" w:tentative="0">
      <w:start w:val="1"/>
      <w:numFmt w:val="chineseCounting"/>
      <w:suff w:val="nothing"/>
      <w:lvlText w:val="%1、"/>
      <w:lvlJc w:val="left"/>
    </w:lvl>
  </w:abstractNum>
  <w:abstractNum w:abstractNumId="5">
    <w:nsid w:val="5D63A1C1"/>
    <w:multiLevelType w:val="singleLevel"/>
    <w:tmpl w:val="5D63A1C1"/>
    <w:lvl w:ilvl="0" w:tentative="0">
      <w:start w:val="1"/>
      <w:numFmt w:val="decimal"/>
      <w:suff w:val="nothing"/>
      <w:lvlText w:val="%1."/>
      <w:lvlJc w:val="left"/>
    </w:lvl>
  </w:abstractNum>
  <w:abstractNum w:abstractNumId="6">
    <w:nsid w:val="5D6F2EC0"/>
    <w:multiLevelType w:val="singleLevel"/>
    <w:tmpl w:val="5D6F2EC0"/>
    <w:lvl w:ilvl="0" w:tentative="0">
      <w:start w:val="1"/>
      <w:numFmt w:val="decimal"/>
      <w:lvlText w:val="%1."/>
      <w:lvlJc w:val="left"/>
      <w:pPr>
        <w:tabs>
          <w:tab w:val="left" w:pos="312"/>
        </w:tabs>
      </w:pPr>
    </w:lvl>
  </w:abstractNum>
  <w:num w:numId="1">
    <w:abstractNumId w:val="3"/>
  </w:num>
  <w:num w:numId="2">
    <w:abstractNumId w:val="5"/>
  </w:num>
  <w:num w:numId="3">
    <w:abstractNumId w:val="6"/>
  </w:num>
  <w:num w:numId="4">
    <w:abstractNumId w:val="2"/>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15BF9"/>
    <w:rsid w:val="00520DA0"/>
    <w:rsid w:val="00560FD7"/>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013E429A"/>
    <w:rsid w:val="01C44062"/>
    <w:rsid w:val="01D54500"/>
    <w:rsid w:val="0209137E"/>
    <w:rsid w:val="02276285"/>
    <w:rsid w:val="03284F6E"/>
    <w:rsid w:val="047D654F"/>
    <w:rsid w:val="05733B75"/>
    <w:rsid w:val="06A4456F"/>
    <w:rsid w:val="07BE7B43"/>
    <w:rsid w:val="08002A68"/>
    <w:rsid w:val="089A6229"/>
    <w:rsid w:val="09055686"/>
    <w:rsid w:val="0BB42B22"/>
    <w:rsid w:val="0BBF0531"/>
    <w:rsid w:val="0C064621"/>
    <w:rsid w:val="0CE73E65"/>
    <w:rsid w:val="0D1A24EB"/>
    <w:rsid w:val="0D322E51"/>
    <w:rsid w:val="0E032903"/>
    <w:rsid w:val="0E354323"/>
    <w:rsid w:val="0E7B0B62"/>
    <w:rsid w:val="0ED62A80"/>
    <w:rsid w:val="0F754757"/>
    <w:rsid w:val="0F762816"/>
    <w:rsid w:val="0FF763AA"/>
    <w:rsid w:val="100C30A8"/>
    <w:rsid w:val="10C055FF"/>
    <w:rsid w:val="10F529AD"/>
    <w:rsid w:val="111F7E0C"/>
    <w:rsid w:val="128C0123"/>
    <w:rsid w:val="12B44216"/>
    <w:rsid w:val="12C2608D"/>
    <w:rsid w:val="137737B1"/>
    <w:rsid w:val="13822CFF"/>
    <w:rsid w:val="14021927"/>
    <w:rsid w:val="141660AA"/>
    <w:rsid w:val="1436616C"/>
    <w:rsid w:val="14810480"/>
    <w:rsid w:val="14D53035"/>
    <w:rsid w:val="164A0A7D"/>
    <w:rsid w:val="16664828"/>
    <w:rsid w:val="16BB723D"/>
    <w:rsid w:val="16E53766"/>
    <w:rsid w:val="17CD0C53"/>
    <w:rsid w:val="193E460E"/>
    <w:rsid w:val="199443EB"/>
    <w:rsid w:val="1A490C62"/>
    <w:rsid w:val="1A67017B"/>
    <w:rsid w:val="1A986782"/>
    <w:rsid w:val="1B5C3968"/>
    <w:rsid w:val="1B6F414C"/>
    <w:rsid w:val="1E1A0E2C"/>
    <w:rsid w:val="1E270DEE"/>
    <w:rsid w:val="1E2E4FD2"/>
    <w:rsid w:val="1F8B2789"/>
    <w:rsid w:val="201040F3"/>
    <w:rsid w:val="20853BEB"/>
    <w:rsid w:val="217B7BE6"/>
    <w:rsid w:val="2266404E"/>
    <w:rsid w:val="2308298B"/>
    <w:rsid w:val="23A5056C"/>
    <w:rsid w:val="23D37574"/>
    <w:rsid w:val="240371BF"/>
    <w:rsid w:val="257F620A"/>
    <w:rsid w:val="259B0070"/>
    <w:rsid w:val="25AA6C36"/>
    <w:rsid w:val="25B46BBD"/>
    <w:rsid w:val="264E1F81"/>
    <w:rsid w:val="26F91DF0"/>
    <w:rsid w:val="28497C52"/>
    <w:rsid w:val="286A065F"/>
    <w:rsid w:val="29FD04D3"/>
    <w:rsid w:val="2AC25D47"/>
    <w:rsid w:val="2B7148FB"/>
    <w:rsid w:val="2BE16A7C"/>
    <w:rsid w:val="2C1B7817"/>
    <w:rsid w:val="2D502E52"/>
    <w:rsid w:val="2D7725FA"/>
    <w:rsid w:val="2DC4127B"/>
    <w:rsid w:val="2E010D2E"/>
    <w:rsid w:val="2F105E9F"/>
    <w:rsid w:val="2F4333D7"/>
    <w:rsid w:val="2F5515E5"/>
    <w:rsid w:val="2F6D434A"/>
    <w:rsid w:val="2FA920A1"/>
    <w:rsid w:val="2FD83F22"/>
    <w:rsid w:val="303F3631"/>
    <w:rsid w:val="31342DEF"/>
    <w:rsid w:val="319F7F4E"/>
    <w:rsid w:val="31A82A8E"/>
    <w:rsid w:val="34CE04A8"/>
    <w:rsid w:val="366165E2"/>
    <w:rsid w:val="375E1621"/>
    <w:rsid w:val="39BA4365"/>
    <w:rsid w:val="39FE464D"/>
    <w:rsid w:val="3AA105E6"/>
    <w:rsid w:val="3ABF06FE"/>
    <w:rsid w:val="3B0C7F4D"/>
    <w:rsid w:val="3B3A6E0F"/>
    <w:rsid w:val="3B8F39BC"/>
    <w:rsid w:val="3EB079F2"/>
    <w:rsid w:val="3EF70D4C"/>
    <w:rsid w:val="3FD94F85"/>
    <w:rsid w:val="424F57E0"/>
    <w:rsid w:val="4390269A"/>
    <w:rsid w:val="453E098F"/>
    <w:rsid w:val="45611C96"/>
    <w:rsid w:val="45BF7768"/>
    <w:rsid w:val="46B67D00"/>
    <w:rsid w:val="46BF14E6"/>
    <w:rsid w:val="46DB2E6C"/>
    <w:rsid w:val="47776447"/>
    <w:rsid w:val="47AC08B1"/>
    <w:rsid w:val="47D52636"/>
    <w:rsid w:val="496C56CA"/>
    <w:rsid w:val="49D76F38"/>
    <w:rsid w:val="4A2A0B1E"/>
    <w:rsid w:val="4A725A90"/>
    <w:rsid w:val="4B1C3292"/>
    <w:rsid w:val="4C272FD6"/>
    <w:rsid w:val="4D85343D"/>
    <w:rsid w:val="4DA169C3"/>
    <w:rsid w:val="508C04A2"/>
    <w:rsid w:val="50905DD1"/>
    <w:rsid w:val="50B05416"/>
    <w:rsid w:val="51D267F2"/>
    <w:rsid w:val="524B64EE"/>
    <w:rsid w:val="52BF1D0C"/>
    <w:rsid w:val="53A62F88"/>
    <w:rsid w:val="544154EF"/>
    <w:rsid w:val="55062DEB"/>
    <w:rsid w:val="56BB30B5"/>
    <w:rsid w:val="58970279"/>
    <w:rsid w:val="5B4A20D5"/>
    <w:rsid w:val="5BA32DDC"/>
    <w:rsid w:val="5E3641F6"/>
    <w:rsid w:val="5EF67705"/>
    <w:rsid w:val="5F641528"/>
    <w:rsid w:val="6060010B"/>
    <w:rsid w:val="60C51C5C"/>
    <w:rsid w:val="60CF166A"/>
    <w:rsid w:val="60DE0BE3"/>
    <w:rsid w:val="60F25111"/>
    <w:rsid w:val="65004F87"/>
    <w:rsid w:val="655302AE"/>
    <w:rsid w:val="65B66663"/>
    <w:rsid w:val="684E36C1"/>
    <w:rsid w:val="693E2B38"/>
    <w:rsid w:val="6A72040A"/>
    <w:rsid w:val="6ADD6941"/>
    <w:rsid w:val="6B0F2BA7"/>
    <w:rsid w:val="6B7F3207"/>
    <w:rsid w:val="6E9802A4"/>
    <w:rsid w:val="6FA01023"/>
    <w:rsid w:val="70982034"/>
    <w:rsid w:val="70D35E58"/>
    <w:rsid w:val="70D81F5E"/>
    <w:rsid w:val="71C8484C"/>
    <w:rsid w:val="72806D0C"/>
    <w:rsid w:val="745E6149"/>
    <w:rsid w:val="749E1565"/>
    <w:rsid w:val="75282356"/>
    <w:rsid w:val="7644600B"/>
    <w:rsid w:val="767B1EC2"/>
    <w:rsid w:val="77180518"/>
    <w:rsid w:val="77853FBB"/>
    <w:rsid w:val="7803270A"/>
    <w:rsid w:val="78411AD6"/>
    <w:rsid w:val="78472B4A"/>
    <w:rsid w:val="794669FA"/>
    <w:rsid w:val="7BBE45C2"/>
    <w:rsid w:val="7CB20008"/>
    <w:rsid w:val="7DB146BC"/>
    <w:rsid w:val="7EDF1BA3"/>
    <w:rsid w:val="7F5B4815"/>
    <w:rsid w:val="7F902EC1"/>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unhideWhenUsed/>
    <w:qFormat/>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2">
    <w:name w:val="toa heading"/>
    <w:basedOn w:val="1"/>
    <w:next w:val="1"/>
    <w:unhideWhenUsed/>
    <w:qFormat/>
    <w:uiPriority w:val="99"/>
    <w:pPr>
      <w:spacing w:before="120"/>
    </w:pPr>
    <w:rPr>
      <w:rFonts w:ascii="Arial" w:hAnsi="Arial" w:cs="Arial"/>
      <w:sz w:val="24"/>
      <w:szCs w:val="24"/>
    </w:rPr>
  </w:style>
  <w:style w:type="paragraph" w:styleId="6">
    <w:name w:val="Body Text"/>
    <w:basedOn w:val="1"/>
    <w:link w:val="23"/>
    <w:qFormat/>
    <w:uiPriority w:val="99"/>
    <w:pPr>
      <w:spacing w:beforeLines="30"/>
    </w:pPr>
    <w:rPr>
      <w:rFonts w:ascii="仿宋_GB2312" w:eastAsia="仿宋_GB2312"/>
      <w:kern w:val="0"/>
      <w:sz w:val="30"/>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9"/>
    <w:unhideWhenUsed/>
    <w:qFormat/>
    <w:uiPriority w:val="99"/>
    <w:rPr>
      <w:sz w:val="18"/>
      <w:szCs w:val="18"/>
    </w:rPr>
  </w:style>
  <w:style w:type="paragraph" w:styleId="9">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14:textFill>
        <w14:solidFill>
          <w14:schemeClr w14:val="hlink"/>
        </w14:solidFill>
      </w14:textFill>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Char"/>
    <w:link w:val="10"/>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Char"/>
    <w:link w:val="9"/>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Char"/>
    <w:link w:val="6"/>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5">
    <w:name w:val="List Paragraph"/>
    <w:basedOn w:val="1"/>
    <w:qFormat/>
    <w:uiPriority w:val="34"/>
    <w:pPr>
      <w:ind w:firstLine="420" w:firstLineChars="200"/>
    </w:pPr>
  </w:style>
  <w:style w:type="character" w:customStyle="1" w:styleId="26">
    <w:name w:val="标题 1 Char"/>
    <w:basedOn w:val="15"/>
    <w:link w:val="3"/>
    <w:qFormat/>
    <w:uiPriority w:val="9"/>
    <w:rPr>
      <w:rFonts w:ascii="Times New Roman" w:hAnsi="Times New Roman"/>
      <w:b/>
      <w:bCs/>
      <w:kern w:val="44"/>
      <w:sz w:val="44"/>
      <w:szCs w:val="44"/>
    </w:rPr>
  </w:style>
  <w:style w:type="character" w:customStyle="1" w:styleId="27">
    <w:name w:val="标题 2 Char"/>
    <w:basedOn w:val="15"/>
    <w:link w:val="4"/>
    <w:qFormat/>
    <w:uiPriority w:val="9"/>
    <w:rPr>
      <w:rFonts w:asciiTheme="majorHAnsi" w:hAnsiTheme="majorHAnsi" w:eastAsiaTheme="majorEastAsia" w:cstheme="majorBidi"/>
      <w:b/>
      <w:bCs/>
      <w:kern w:val="2"/>
      <w:sz w:val="32"/>
      <w:szCs w:val="32"/>
    </w:rPr>
  </w:style>
  <w:style w:type="paragraph" w:customStyle="1" w:styleId="28">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9">
    <w:name w:val="批注框文本 Char"/>
    <w:basedOn w:val="15"/>
    <w:link w:val="8"/>
    <w:semiHidden/>
    <w:qFormat/>
    <w:uiPriority w:val="99"/>
    <w:rPr>
      <w:rFonts w:ascii="Times New Roman" w:hAnsi="Times New Roman"/>
      <w:kern w:val="2"/>
      <w:sz w:val="18"/>
      <w:szCs w:val="18"/>
    </w:rPr>
  </w:style>
  <w:style w:type="character" w:customStyle="1" w:styleId="30">
    <w:name w:val="标题 3 Char"/>
    <w:basedOn w:val="15"/>
    <w:link w:val="5"/>
    <w:qFormat/>
    <w:uiPriority w:val="9"/>
    <w:rPr>
      <w:rFonts w:ascii="Times New Roman" w:hAnsi="Times New Roman"/>
      <w:b/>
      <w:bCs/>
      <w:kern w:val="2"/>
      <w:sz w:val="32"/>
      <w:szCs w:val="32"/>
    </w:rPr>
  </w:style>
  <w:style w:type="paragraph" w:customStyle="1" w:styleId="31">
    <w:name w:val="四号正文"/>
    <w:basedOn w:val="1"/>
    <w:qFormat/>
    <w:uiPriority w:val="0"/>
    <w:pPr>
      <w:spacing w:line="360" w:lineRule="auto"/>
    </w:pPr>
    <w:rPr>
      <w:rFonts w:ascii="??" w:hAnsi="??" w:eastAsia="宋体" w:cs="宋体"/>
      <w:color w:val="000000"/>
      <w:kern w:val="0"/>
      <w:sz w:val="28"/>
      <w:szCs w:val="21"/>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2017年</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Sheet1!$B$2:$B$3</c:f>
              <c:numCache>
                <c:formatCode>General</c:formatCode>
                <c:ptCount val="2"/>
                <c:pt idx="0">
                  <c:v>526.5</c:v>
                </c:pt>
                <c:pt idx="1">
                  <c:v>483.01</c:v>
                </c:pt>
              </c:numCache>
            </c:numRef>
          </c:val>
        </c:ser>
        <c:ser>
          <c:idx val="1"/>
          <c:order val="1"/>
          <c:tx>
            <c:strRef>
              <c:f>Sheet1!$C$1</c:f>
              <c:strCache>
                <c:ptCount val="1"/>
                <c:pt idx="0">
                  <c:v>2018年</c:v>
                </c:pt>
              </c:strCache>
            </c:strRef>
          </c:tx>
          <c:spPr>
            <a:solidFill>
              <a:schemeClr val="accent2"/>
            </a:solidFill>
            <a:ln>
              <a:noFill/>
            </a:ln>
            <a:effectLst/>
          </c:spPr>
          <c:invertIfNegative val="0"/>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Sheet1!$C$2:$C$3</c:f>
              <c:numCache>
                <c:formatCode>General</c:formatCode>
                <c:ptCount val="2"/>
                <c:pt idx="0">
                  <c:v>514.9</c:v>
                </c:pt>
                <c:pt idx="1">
                  <c:v>637.07</c:v>
                </c:pt>
              </c:numCache>
            </c:numRef>
          </c:val>
        </c:ser>
        <c:ser>
          <c:idx val="2"/>
          <c:order val="2"/>
          <c:tx>
            <c:strRef>
              <c:f>Sheet1!$D$1</c:f>
              <c:strCache>
                <c:ptCount val="1"/>
                <c:pt idx="0">
                  <c:v/>
                </c:pt>
              </c:strCache>
            </c:strRef>
          </c:tx>
          <c:spPr>
            <a:solidFill>
              <a:schemeClr val="accent3"/>
            </a:solidFill>
            <a:ln>
              <a:noFill/>
            </a:ln>
            <a:effectLst/>
          </c:spPr>
          <c:invertIfNegative val="0"/>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Sheet1!$D$2:$D$3</c:f>
              <c:numCache>
                <c:formatCode>General</c:formatCode>
                <c:ptCount val="2"/>
              </c:numCache>
            </c:numRef>
          </c:val>
        </c:ser>
        <c:dLbls>
          <c:showLegendKey val="0"/>
          <c:showVal val="1"/>
          <c:showCatName val="0"/>
          <c:showSerName val="0"/>
          <c:showPercent val="0"/>
          <c:showBubbleSize val="0"/>
        </c:dLbls>
        <c:gapWidth val="219"/>
        <c:overlap val="-27"/>
        <c:axId val="786097708"/>
        <c:axId val="529171738"/>
      </c:barChart>
      <c:catAx>
        <c:axId val="7860977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9171738"/>
        <c:crosses val="autoZero"/>
        <c:auto val="1"/>
        <c:lblAlgn val="ctr"/>
        <c:lblOffset val="100"/>
        <c:noMultiLvlLbl val="0"/>
      </c:catAx>
      <c:valAx>
        <c:axId val="52917173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6097708"/>
        <c:crosses val="autoZero"/>
        <c:crossBetween val="between"/>
      </c:valAx>
      <c:spPr>
        <a:noFill/>
        <a:ln>
          <a:noFill/>
        </a:ln>
        <a:effectLst/>
      </c:spPr>
    </c:plotArea>
    <c:legend>
      <c:legendPos val="r"/>
      <c:legendEntry>
        <c:idx val="2"/>
        <c:delete val="1"/>
      </c:legendEntry>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horzOverflow="overflow"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spPr>
            <a:effectLst/>
          </c:spPr>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Sheet1!$A$2:$A$3</c:f>
              <c:strCache>
                <c:ptCount val="2"/>
                <c:pt idx="0">
                  <c:v>基本支出</c:v>
                </c:pt>
                <c:pt idx="1">
                  <c:v>项目支出</c:v>
                </c:pt>
              </c:strCache>
            </c:strRef>
          </c:cat>
          <c:val>
            <c:numRef>
              <c:extLst>
                <c:ext xmlns:c15="http://schemas.microsoft.com/office/drawing/2012/chart" uri="{02D57815-91ED-43cb-92C2-25804820EDAC}">
                  <c15:fullRef>
                    <c15:sqref>Sheet1!$B$2:$B$5</c15:sqref>
                  </c15:fullRef>
                </c:ext>
              </c:extLst>
              <c:f>Sheet1!$B$2:$B$3</c:f>
              <c:numCache>
                <c:formatCode>0.00%</c:formatCode>
                <c:ptCount val="2"/>
                <c:pt idx="0">
                  <c:v>0.6737</c:v>
                </c:pt>
                <c:pt idx="1">
                  <c:v>0.3263</c:v>
                </c:pt>
              </c:numCache>
            </c:numRef>
          </c:val>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收入决算结构图</c:v>
                </c:pt>
              </c:strCache>
            </c:strRef>
          </c:tx>
          <c:spPr>
            <a:effectLst/>
          </c:spPr>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一般公共预算财政拨款收入</c:v>
                </c:pt>
                <c:pt idx="1">
                  <c:v>其它收入</c:v>
                </c:pt>
              </c:strCache>
            </c:strRef>
          </c:cat>
          <c:val>
            <c:numRef>
              <c:f>Sheet1!$B$2:$B$3</c:f>
              <c:numCache>
                <c:formatCode>General</c:formatCode>
                <c:ptCount val="2"/>
                <c:pt idx="0">
                  <c:v>377.07</c:v>
                </c:pt>
                <c:pt idx="1">
                  <c:v>0.07</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9067411352124"/>
          <c:y val="0.0921348314606742"/>
          <c:w val="0.777035978698532"/>
          <c:h val="0.842337078651685"/>
        </c:manualLayout>
      </c:layout>
      <c:barChart>
        <c:barDir val="col"/>
        <c:grouping val="clustered"/>
        <c:varyColors val="0"/>
        <c:ser>
          <c:idx val="0"/>
          <c:order val="0"/>
          <c:tx>
            <c:strRef>
              <c:f>Sheet1!$B$1</c:f>
              <c:strCache>
                <c:ptCount val="1"/>
                <c:pt idx="0">
                  <c:v>2017年</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Sheet1!$B$2:$B$3</c:f>
              <c:numCache>
                <c:formatCode>General</c:formatCode>
                <c:ptCount val="2"/>
                <c:pt idx="0">
                  <c:v>526.5</c:v>
                </c:pt>
                <c:pt idx="1">
                  <c:v>483.01</c:v>
                </c:pt>
              </c:numCache>
            </c:numRef>
          </c:val>
        </c:ser>
        <c:ser>
          <c:idx val="1"/>
          <c:order val="1"/>
          <c:tx>
            <c:strRef>
              <c:f>Sheet1!$C$1</c:f>
              <c:strCache>
                <c:ptCount val="1"/>
                <c:pt idx="0">
                  <c:v>2018年</c:v>
                </c:pt>
              </c:strCache>
            </c:strRef>
          </c:tx>
          <c:spPr>
            <a:solidFill>
              <a:schemeClr val="accent2"/>
            </a:solidFill>
            <a:ln>
              <a:noFill/>
            </a:ln>
            <a:effectLst/>
          </c:spPr>
          <c:invertIfNegative val="0"/>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Sheet1!$C$2:$C$3</c:f>
              <c:numCache>
                <c:formatCode>General</c:formatCode>
                <c:ptCount val="2"/>
                <c:pt idx="0">
                  <c:v>514.9</c:v>
                </c:pt>
                <c:pt idx="1">
                  <c:v>637.07</c:v>
                </c:pt>
              </c:numCache>
            </c:numRef>
          </c:val>
        </c:ser>
        <c:ser>
          <c:idx val="2"/>
          <c:order val="2"/>
          <c:tx>
            <c:strRef>
              <c:f>Sheet1!$D$1</c:f>
              <c:strCache>
                <c:ptCount val="1"/>
                <c:pt idx="0">
                  <c:v/>
                </c:pt>
              </c:strCache>
            </c:strRef>
          </c:tx>
          <c:spPr>
            <a:solidFill>
              <a:schemeClr val="accent3"/>
            </a:solidFill>
            <a:ln>
              <a:noFill/>
            </a:ln>
            <a:effectLst/>
          </c:spPr>
          <c:invertIfNegative val="0"/>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Sheet1!$D$2:$D$3</c:f>
              <c:numCache>
                <c:formatCode>General</c:formatCode>
                <c:ptCount val="2"/>
              </c:numCache>
            </c:numRef>
          </c:val>
        </c:ser>
        <c:dLbls>
          <c:showLegendKey val="0"/>
          <c:showVal val="1"/>
          <c:showCatName val="0"/>
          <c:showSerName val="0"/>
          <c:showPercent val="0"/>
          <c:showBubbleSize val="0"/>
        </c:dLbls>
        <c:gapWidth val="219"/>
        <c:overlap val="-27"/>
        <c:axId val="786097708"/>
        <c:axId val="529171738"/>
      </c:barChart>
      <c:catAx>
        <c:axId val="7860977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9171738"/>
        <c:crosses val="autoZero"/>
        <c:auto val="1"/>
        <c:lblAlgn val="ctr"/>
        <c:lblOffset val="100"/>
        <c:noMultiLvlLbl val="0"/>
      </c:catAx>
      <c:valAx>
        <c:axId val="52917173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6097708"/>
        <c:crosses val="autoZero"/>
        <c:crossBetween val="between"/>
      </c:valAx>
      <c:spPr>
        <a:noFill/>
        <a:ln>
          <a:noFill/>
        </a:ln>
        <a:effectLst/>
      </c:spPr>
    </c:plotArea>
    <c:legend>
      <c:legendPos val="r"/>
      <c:legendEntry>
        <c:idx val="2"/>
        <c:delete val="1"/>
      </c:legendEntry>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kern="1200" cap="none" spc="0" normalizeH="0" baseline="0">
                <a:solidFill>
                  <a:schemeClr val="tx1">
                    <a:lumMod val="65000"/>
                    <a:lumOff val="35000"/>
                  </a:schemeClr>
                </a:solidFill>
                <a:effectLst/>
                <a:latin typeface="+mn-lt"/>
                <a:ea typeface="+mn-ea"/>
                <a:cs typeface="+mn-cs"/>
              </a:rPr>
              <a:t>一般公共预算财政拨款支出</a:t>
            </a:r>
            <a:endParaRPr sz="1400" b="0" i="0" u="none" strike="noStrike" kern="1200" cap="none" spc="0" normalizeH="0" baseline="0">
              <a:solidFill>
                <a:schemeClr val="tx1">
                  <a:lumMod val="65000"/>
                  <a:lumOff val="35000"/>
                </a:schemeClr>
              </a:solidFill>
              <a:effectLst/>
              <a:latin typeface="+mn-lt"/>
              <a:ea typeface="+mn-ea"/>
              <a:cs typeface="+mn-cs"/>
            </a:endParaRPr>
          </a:p>
        </c:rich>
      </c:tx>
      <c:layout/>
      <c:overlay val="0"/>
      <c:spPr>
        <a:noFill/>
        <a:ln>
          <a:noFill/>
        </a:ln>
        <a:effectLst/>
      </c:spPr>
    </c:title>
    <c:autoTitleDeleted val="0"/>
    <c:plotArea>
      <c:layout/>
      <c:barChart>
        <c:barDir val="col"/>
        <c:grouping val="stacked"/>
        <c:varyColors val="0"/>
        <c:ser>
          <c:idx val="0"/>
          <c:order val="0"/>
          <c:tx>
            <c:strRef>
              <c:f>Sheet1!$B$1</c:f>
              <c:strCache>
                <c:ptCount val="1"/>
                <c:pt idx="0">
                  <c:v>一般公共预算财政拨款支出</c:v>
                </c:pt>
              </c:strCache>
            </c:strRef>
          </c:tx>
          <c:spPr>
            <a:solidFill>
              <a:schemeClr val="accent1"/>
            </a:solidFill>
            <a:ln>
              <a:noFill/>
            </a:ln>
            <a:effectLst/>
          </c:spPr>
          <c:invertIfNegative val="0"/>
          <c:dLbls>
            <c:dLbl>
              <c:idx val="0"/>
              <c:layout>
                <c:manualLayout>
                  <c:x val="0"/>
                  <c:y val="-0.0673333333333333"/>
                </c:manualLayout>
              </c:layout>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in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1625"/>
                  <c:y val="-0.0718333333333333"/>
                </c:manualLayout>
              </c:layout>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inEnd"/>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numRef>
              <c:extLst>
                <c:ext xmlns:c15="http://schemas.microsoft.com/office/drawing/2012/chart" uri="{02D57815-91ED-43cb-92C2-25804820EDAC}">
                  <c15:fullRef>
                    <c15:sqref>Sheet1!$A$2:$A$5</c15:sqref>
                  </c15:fullRef>
                </c:ext>
              </c:extLst>
              <c:f>Sheet1!$A$2:$A$3</c:f>
              <c:numCache>
                <c:formatCode>General</c:formatCode>
                <c:ptCount val="2"/>
                <c:pt idx="0">
                  <c:v>2017</c:v>
                </c:pt>
                <c:pt idx="1">
                  <c:v>2018</c:v>
                </c:pt>
              </c:numCache>
            </c:numRef>
          </c:cat>
          <c:val>
            <c:numRef>
              <c:extLst>
                <c:ext xmlns:c15="http://schemas.microsoft.com/office/drawing/2012/chart" uri="{02D57815-91ED-43cb-92C2-25804820EDAC}">
                  <c15:fullRef>
                    <c15:sqref>Sheet1!$B$2:$B$5</c15:sqref>
                  </c15:fullRef>
                </c:ext>
              </c:extLst>
              <c:f>Sheet1!$B$2:$B$3</c:f>
              <c:numCache>
                <c:formatCode>General</c:formatCode>
                <c:ptCount val="2"/>
                <c:pt idx="0">
                  <c:v>483.01</c:v>
                </c:pt>
                <c:pt idx="1">
                  <c:v>637.08</c:v>
                </c:pt>
              </c:numCache>
            </c:numRef>
          </c:val>
        </c:ser>
        <c:ser>
          <c:idx val="1"/>
          <c:order val="1"/>
          <c:tx>
            <c:strRef>
              <c:f>Sheet1!$C$1</c:f>
              <c:strCache>
                <c:ptCount val="1"/>
                <c:pt idx="0">
                  <c:v/>
                </c:pt>
              </c:strCache>
            </c:strRef>
          </c:tx>
          <c:spPr>
            <a:solidFill>
              <a:schemeClr val="accent2"/>
            </a:solidFill>
            <a:ln>
              <a:noFill/>
            </a:ln>
            <a:effectLst/>
          </c:spPr>
          <c:invertIfNegative val="0"/>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numRef>
              <c:extLst>
                <c:ext xmlns:c15="http://schemas.microsoft.com/office/drawing/2012/chart" uri="{02D57815-91ED-43cb-92C2-25804820EDAC}">
                  <c15:fullRef>
                    <c15:sqref>Sheet1!$A$2:$A$5</c15:sqref>
                  </c15:fullRef>
                </c:ext>
              </c:extLst>
              <c:f>Sheet1!$A$2:$A$3</c:f>
              <c:numCache>
                <c:formatCode>General</c:formatCode>
                <c:ptCount val="2"/>
                <c:pt idx="0">
                  <c:v>2017</c:v>
                </c:pt>
                <c:pt idx="1">
                  <c:v>2018</c:v>
                </c:pt>
              </c:numCache>
            </c:numRef>
          </c:cat>
          <c:val>
            <c:numRef>
              <c:extLst>
                <c:ext xmlns:c15="http://schemas.microsoft.com/office/drawing/2012/chart" uri="{02D57815-91ED-43cb-92C2-25804820EDAC}">
                  <c15:fullRef>
                    <c15:sqref>Sheet1!$C$2:$C$5</c15:sqref>
                  </c15:fullRef>
                </c:ext>
              </c:extLst>
              <c:f>Sheet1!$C$2:$C$3</c:f>
              <c:numCache>
                <c:formatCode>General</c:formatCode>
                <c:ptCount val="2"/>
              </c:numCache>
            </c:numRef>
          </c:val>
        </c:ser>
        <c:ser>
          <c:idx val="2"/>
          <c:order val="2"/>
          <c:tx>
            <c:strRef>
              <c:f>Sheet1!$D$1</c:f>
              <c:strCache>
                <c:ptCount val="1"/>
                <c:pt idx="0">
                  <c:v/>
                </c:pt>
              </c:strCache>
            </c:strRef>
          </c:tx>
          <c:spPr>
            <a:solidFill>
              <a:schemeClr val="accent3"/>
            </a:solidFill>
            <a:ln>
              <a:noFill/>
            </a:ln>
            <a:effectLst/>
          </c:spPr>
          <c:invertIfNegative val="0"/>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numRef>
              <c:extLst>
                <c:ext xmlns:c15="http://schemas.microsoft.com/office/drawing/2012/chart" uri="{02D57815-91ED-43cb-92C2-25804820EDAC}">
                  <c15:fullRef>
                    <c15:sqref>Sheet1!$A$2:$A$5</c15:sqref>
                  </c15:fullRef>
                </c:ext>
              </c:extLst>
              <c:f>Sheet1!$A$2:$A$3</c:f>
              <c:numCache>
                <c:formatCode>General</c:formatCode>
                <c:ptCount val="2"/>
                <c:pt idx="0">
                  <c:v>2017</c:v>
                </c:pt>
                <c:pt idx="1">
                  <c:v>2018</c:v>
                </c:pt>
              </c:numCache>
            </c:numRef>
          </c:cat>
          <c:val>
            <c:numRef>
              <c:extLst>
                <c:ext xmlns:c15="http://schemas.microsoft.com/office/drawing/2012/chart" uri="{02D57815-91ED-43cb-92C2-25804820EDAC}">
                  <c15:fullRef>
                    <c15:sqref>Sheet1!$D$2:$D$5</c15:sqref>
                  </c15:fullRef>
                </c:ext>
              </c:extLst>
              <c:f>Sheet1!$D$2:$D$3</c:f>
              <c:numCache>
                <c:formatCode>General</c:formatCode>
                <c:ptCount val="2"/>
              </c:numCache>
            </c:numRef>
          </c:val>
        </c:ser>
        <c:dLbls>
          <c:showLegendKey val="0"/>
          <c:showVal val="1"/>
          <c:showCatName val="0"/>
          <c:showSerName val="0"/>
          <c:showPercent val="0"/>
          <c:showBubbleSize val="0"/>
        </c:dLbls>
        <c:gapWidth val="150"/>
        <c:overlap val="100"/>
        <c:axId val="149723731"/>
        <c:axId val="625459938"/>
      </c:barChart>
      <c:catAx>
        <c:axId val="1497237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25459938"/>
        <c:crosses val="autoZero"/>
        <c:auto val="1"/>
        <c:lblAlgn val="ctr"/>
        <c:lblOffset val="100"/>
        <c:noMultiLvlLbl val="0"/>
      </c:catAx>
      <c:valAx>
        <c:axId val="62545993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972373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rot="0" spcFirstLastPara="0" vertOverflow="ellipsis" horzOverflow="overflow" vert="horz" wrap="square" anchor="ctr" anchorCtr="1"/>
    <a:lstStyle/>
    <a:p>
      <a:pPr>
        <a:defRPr lang="zh-CN" sz="1000" kern="1200">
          <a:solidFill>
            <a:schemeClr val="tx1"/>
          </a:solidFill>
          <a:latin typeface="+mn-lt"/>
          <a:ea typeface="+mn-ea"/>
          <a:cs typeface="+mn-c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horzOverflow="overflow"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一般公共预算财政拨款支出决算结构图</c:v>
                </c:pt>
              </c:strCache>
            </c:strRef>
          </c:tx>
          <c:spPr>
            <a:effectLst/>
          </c:spPr>
          <c:explosion val="0"/>
          <c:dPt>
            <c:idx val="0"/>
            <c:bubble3D val="0"/>
            <c:explosion val="0"/>
            <c:spPr>
              <a:solidFill>
                <a:schemeClr val="accent1"/>
              </a:solidFill>
              <a:ln>
                <a:noFill/>
              </a:ln>
              <a:effectLst>
                <a:outerShdw blurRad="254000" sx="102000" sy="102000" algn="ctr" rotWithShape="0">
                  <a:prstClr val="black">
                    <a:alpha val="20000"/>
                  </a:prstClr>
                </a:outerShdw>
              </a:effectLst>
            </c:spPr>
          </c:dPt>
          <c:dPt>
            <c:idx val="1"/>
            <c:bubble3D val="0"/>
            <c:explosion val="0"/>
            <c:spPr>
              <a:solidFill>
                <a:schemeClr val="accent2"/>
              </a:solidFill>
              <a:ln>
                <a:noFill/>
              </a:ln>
              <a:effectLst>
                <a:outerShdw blurRad="254000" sx="102000" sy="102000" algn="ctr" rotWithShape="0">
                  <a:prstClr val="black">
                    <a:alpha val="20000"/>
                  </a:prstClr>
                </a:outerShdw>
              </a:effectLst>
            </c:spPr>
          </c:dPt>
          <c:dPt>
            <c:idx val="2"/>
            <c:bubble3D val="0"/>
            <c:explosion val="0"/>
            <c:spPr>
              <a:solidFill>
                <a:schemeClr val="accent3"/>
              </a:solidFill>
              <a:ln>
                <a:noFill/>
              </a:ln>
              <a:effectLst>
                <a:outerShdw blurRad="254000" sx="102000" sy="102000" algn="ctr" rotWithShape="0">
                  <a:prstClr val="black">
                    <a:alpha val="20000"/>
                  </a:prstClr>
                </a:outerShdw>
              </a:effectLst>
            </c:spPr>
          </c:dPt>
          <c:dPt>
            <c:idx val="3"/>
            <c:bubble3D val="0"/>
            <c:explosion val="0"/>
            <c:spPr>
              <a:solidFill>
                <a:schemeClr val="accent4"/>
              </a:solidFill>
              <a:ln>
                <a:noFill/>
              </a:ln>
              <a:effectLst>
                <a:outerShdw blurRad="254000" sx="102000" sy="102000" algn="ctr" rotWithShape="0">
                  <a:prstClr val="black">
                    <a:alpha val="20000"/>
                  </a:prstClr>
                </a:outerShdw>
              </a:effectLst>
            </c:spPr>
          </c:dPt>
          <c:dPt>
            <c:idx val="4"/>
            <c:bubble3D val="0"/>
            <c:explosion val="0"/>
            <c:spPr>
              <a:solidFill>
                <a:schemeClr val="accent5"/>
              </a:solidFill>
              <a:ln>
                <a:noFill/>
              </a:ln>
              <a:effectLst>
                <a:outerShdw blurRad="254000" sx="102000" sy="102000" algn="ctr" rotWithShape="0">
                  <a:prstClr val="black">
                    <a:alpha val="20000"/>
                  </a:prstClr>
                </a:outerShdw>
              </a:effectLst>
            </c:spPr>
          </c:dPt>
          <c:dPt>
            <c:idx val="5"/>
            <c:bubble3D val="0"/>
            <c:explosion val="0"/>
            <c:spPr>
              <a:solidFill>
                <a:schemeClr val="accent6"/>
              </a:solidFill>
              <a:ln>
                <a:noFill/>
              </a:ln>
              <a:effectLst>
                <a:outerShdw blurRad="254000" sx="102000" sy="102000" algn="ctr" rotWithShape="0">
                  <a:prstClr val="black">
                    <a:alpha val="20000"/>
                  </a:prstClr>
                </a:outerShdw>
              </a:effectLst>
            </c:spPr>
          </c:dPt>
          <c:dLbls>
            <c:dLbl>
              <c:idx val="1"/>
              <c:layout>
                <c:manualLayout>
                  <c:x val="0.180715701857807"/>
                  <c:y val="-0.0487703250340227"/>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175606106544298"/>
                  <c:y val="0.0425170745727953"/>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101825868759288"/>
                  <c:y val="0.0481977733568937"/>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extLst>
                <c:ext xmlns:c15="http://schemas.microsoft.com/office/drawing/2012/chart" uri="{CE6537A1-D6FC-4f65-9D91-7224C49458BB}">
                  <c15:layout/>
                </c:ext>
              </c:extLst>
            </c:dLbl>
            <c:dLbl>
              <c:idx val="4"/>
              <c:layout>
                <c:manualLayout>
                  <c:x val="0.128140203403835"/>
                  <c:y val="0.0916728957962759"/>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General" sourceLinked="1"/>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horzOverflow="overflow"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dk1">
                          <a:lumMod val="50000"/>
                          <a:lumOff val="50000"/>
                        </a:schemeClr>
                      </a:solidFill>
                      <a:prstDash val="solid"/>
                      <a:round/>
                    </a:ln>
                    <a:effectLst/>
                  </c:spPr>
                </c15:leaderLines>
              </c:ext>
            </c:extLst>
          </c:dLbls>
          <c:cat>
            <c:strRef>
              <c:f>Sheet1!$A$2:$A$7</c:f>
              <c:strCache>
                <c:ptCount val="6"/>
                <c:pt idx="0">
                  <c:v>一般公共服务</c:v>
                </c:pt>
                <c:pt idx="1">
                  <c:v>社会保障和就业</c:v>
                </c:pt>
                <c:pt idx="2">
                  <c:v>医疗卫生</c:v>
                </c:pt>
                <c:pt idx="3">
                  <c:v>交通运输</c:v>
                </c:pt>
                <c:pt idx="4">
                  <c:v>住房保障</c:v>
                </c:pt>
                <c:pt idx="5">
                  <c:v>其他支出</c:v>
                </c:pt>
              </c:strCache>
            </c:strRef>
          </c:cat>
          <c:val>
            <c:numRef>
              <c:f>Sheet1!$B$2:$B$7</c:f>
              <c:numCache>
                <c:formatCode>General</c:formatCode>
                <c:ptCount val="6"/>
                <c:pt idx="0">
                  <c:v>432</c:v>
                </c:pt>
                <c:pt idx="1">
                  <c:v>56.22</c:v>
                </c:pt>
                <c:pt idx="2">
                  <c:v>16.69</c:v>
                </c:pt>
                <c:pt idx="3">
                  <c:v>13.6</c:v>
                </c:pt>
                <c:pt idx="4">
                  <c:v>26.33</c:v>
                </c:pt>
                <c:pt idx="5">
                  <c:v>92.24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horzOverflow="overflow"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5EE963-AE7E-4F3B-BBF1-9AF15C920BB6}">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1441</Words>
  <Characters>8219</Characters>
  <Lines>68</Lines>
  <Paragraphs>19</Paragraphs>
  <TotalTime>53</TotalTime>
  <ScaleCrop>false</ScaleCrop>
  <LinksUpToDate>false</LinksUpToDate>
  <CharactersWithSpaces>9641</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万信会计服务田会计</cp:lastModifiedBy>
  <cp:lastPrinted>2019-08-20T06:55:00Z</cp:lastPrinted>
  <dcterms:modified xsi:type="dcterms:W3CDTF">2023-07-20T05:19:20Z</dcterms:modified>
  <dc:title>四川省***</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FAF62E8F02AE40338812F80E6A2B8898_13</vt:lpwstr>
  </property>
</Properties>
</file>