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164" w:name="_GoBack"/>
      <w:bookmarkEnd w:id="164"/>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pStyle w:val="2"/>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96597"/>
      <w:bookmarkStart w:id="3" w:name="_Toc15396475"/>
      <w:bookmarkStart w:id="4" w:name="_Toc15378441"/>
      <w:bookmarkStart w:id="5"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7426"/>
      <w:bookmarkStart w:id="8" w:name="_Toc15378442"/>
      <w:bookmarkStart w:id="9" w:name="_Toc15396598"/>
      <w:bookmarkStart w:id="10" w:name="_Toc15377194"/>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1" w:name="_Toc15306268"/>
      <w:r>
        <w:rPr>
          <w:rFonts w:hint="eastAsia" w:ascii="方正小标宋简体" w:hAnsi="宋体" w:eastAsia="方正小标宋简体"/>
          <w:color w:val="000000"/>
          <w:sz w:val="72"/>
          <w:szCs w:val="72"/>
          <w:lang w:eastAsia="zh-CN"/>
        </w:rPr>
        <w:t>医疗保障局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imes New Roman"/>
          <w:sz w:val="28"/>
          <w:szCs w:val="28"/>
        </w:rPr>
      </w:pPr>
    </w:p>
    <w:p>
      <w:pPr>
        <w:rPr>
          <w:rFonts w:hint="eastAsia" w:ascii="宋体" w:hAnsi="宋体" w:eastAsia="宋体" w:cs="宋体"/>
          <w:sz w:val="32"/>
          <w:szCs w:val="32"/>
        </w:rPr>
      </w:pPr>
    </w:p>
    <w:sdt>
      <w:sdtPr>
        <w:rPr>
          <w:rFonts w:ascii="宋体" w:hAnsi="宋体" w:eastAsia="宋体" w:cs="Times New Roman"/>
          <w:kern w:val="2"/>
          <w:sz w:val="21"/>
          <w:szCs w:val="24"/>
          <w:lang w:val="en-US" w:eastAsia="zh-CN" w:bidi="ar-SA"/>
        </w:rPr>
        <w:id w:val="147459412"/>
        <w15:color w:val="DBDBDB"/>
        <w:docPartObj>
          <w:docPartGallery w:val="Table of Contents"/>
          <w:docPartUnique/>
        </w:docPartObj>
      </w:sdtPr>
      <w:sdtEndPr>
        <w:rPr>
          <w:rFonts w:ascii="宋体" w:hAnsi="宋体" w:eastAsia="宋体" w:cs="Times New Roman"/>
          <w:kern w:val="2"/>
          <w:sz w:val="20"/>
          <w:szCs w:val="20"/>
          <w:lang w:val="en-US" w:eastAsia="zh-CN" w:bidi="ar-SA"/>
        </w:rPr>
      </w:sdtEndPr>
      <w:sdtContent>
        <w:p>
          <w:pPr>
            <w:spacing w:before="0" w:beforeLines="0" w:after="0" w:afterLines="0" w:line="240" w:lineRule="auto"/>
            <w:ind w:left="0" w:leftChars="0" w:right="0" w:rightChars="0" w:firstLine="0" w:firstLineChars="0"/>
            <w:jc w:val="center"/>
          </w:pPr>
          <w:bookmarkStart w:id="12" w:name="_Toc11780_WPSOffice_Type2"/>
          <w:r>
            <w:rPr>
              <w:rFonts w:ascii="宋体" w:hAnsi="宋体" w:eastAsia="宋体"/>
              <w:sz w:val="21"/>
            </w:rPr>
            <w:t>目录</w:t>
          </w:r>
        </w:p>
        <w:p>
          <w:pPr>
            <w:pStyle w:val="31"/>
            <w:tabs>
              <w:tab w:val="right" w:leader="dot" w:pos="8306"/>
            </w:tabs>
          </w:pPr>
          <w:r>
            <w:rPr>
              <w:b/>
              <w:bCs/>
            </w:rPr>
            <w:fldChar w:fldCharType="begin"/>
          </w:r>
          <w:r>
            <w:instrText xml:space="preserve"> HYPERLINK \l _Toc22641_WPSOffice_Level1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59412"/>
              <w:placeholder>
                <w:docPart w:val="{b729594d-9f9d-4981-91fb-3b489f992f45}"/>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b/>
                  <w:bCs/>
                </w:rPr>
                <w:t>第一部分 部门概况</w:t>
              </w:r>
            </w:sdtContent>
          </w:sdt>
          <w:r>
            <w:rPr>
              <w:b/>
              <w:bCs/>
            </w:rPr>
            <w:tab/>
          </w:r>
          <w:bookmarkStart w:id="13" w:name="_Toc22641_WPSOffice_Level1Page"/>
          <w:r>
            <w:rPr>
              <w:b/>
              <w:bCs/>
            </w:rPr>
            <w:t>4</w:t>
          </w:r>
          <w:bookmarkEnd w:id="13"/>
          <w:r>
            <w:rPr>
              <w:b/>
              <w:bCs/>
            </w:rPr>
            <w:fldChar w:fldCharType="end"/>
          </w:r>
        </w:p>
        <w:p>
          <w:pPr>
            <w:pStyle w:val="32"/>
            <w:tabs>
              <w:tab w:val="right" w:leader="dot" w:pos="8306"/>
            </w:tabs>
          </w:pPr>
          <w:r>
            <w:fldChar w:fldCharType="begin"/>
          </w:r>
          <w:r>
            <w:instrText xml:space="preserve"> HYPERLINK \l _Toc11780_WPSOffice_Level2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8979a9f6-da0e-4e9d-9913-dfb0c36dd2ac}"/>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rPr>
                <w:t>一、 基本职能及主要工作</w:t>
              </w:r>
            </w:sdtContent>
          </w:sdt>
          <w:r>
            <w:tab/>
          </w:r>
          <w:bookmarkStart w:id="14" w:name="_Toc11780_WPSOffice_Level2Page"/>
          <w:r>
            <w:t>4</w:t>
          </w:r>
          <w:bookmarkEnd w:id="14"/>
          <w:r>
            <w:fldChar w:fldCharType="end"/>
          </w:r>
        </w:p>
        <w:p>
          <w:pPr>
            <w:pStyle w:val="32"/>
            <w:tabs>
              <w:tab w:val="right" w:leader="dot" w:pos="8306"/>
            </w:tabs>
          </w:pPr>
          <w:r>
            <w:fldChar w:fldCharType="begin"/>
          </w:r>
          <w:r>
            <w:instrText xml:space="preserve"> HYPERLINK \l _Toc30794_WPSOffice_Level2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0b9ab75e-cb76-4b5c-be9d-8cad45774a36}"/>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Cambria" w:eastAsia="黑体" w:cs="Times New Roman"/>
                </w:rPr>
                <w:t>二、</w:t>
              </w:r>
              <w:r>
                <w:rPr>
                  <w:rFonts w:hint="eastAsia" w:ascii="黑体" w:hAnsi="黑体" w:eastAsia="黑体" w:cs="Times New Roman"/>
                </w:rPr>
                <w:t>机构设置</w:t>
              </w:r>
            </w:sdtContent>
          </w:sdt>
          <w:r>
            <w:tab/>
          </w:r>
          <w:bookmarkStart w:id="15" w:name="_Toc30794_WPSOffice_Level2Page"/>
          <w:r>
            <w:t>7</w:t>
          </w:r>
          <w:bookmarkEnd w:id="15"/>
          <w:r>
            <w:fldChar w:fldCharType="end"/>
          </w:r>
        </w:p>
        <w:p>
          <w:pPr>
            <w:pStyle w:val="31"/>
            <w:tabs>
              <w:tab w:val="right" w:leader="dot" w:pos="8306"/>
            </w:tabs>
          </w:pPr>
          <w:r>
            <w:rPr>
              <w:b/>
              <w:bCs/>
            </w:rPr>
            <w:fldChar w:fldCharType="begin"/>
          </w:r>
          <w:r>
            <w:instrText xml:space="preserve"> HYPERLINK \l _Toc11780_WPSOffice_Level1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59412"/>
              <w:placeholder>
                <w:docPart w:val="{9c3bda11-bc69-4040-a6f6-6d200ea8bb90}"/>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b/>
                  <w:bCs/>
                </w:rPr>
                <w:t>第二部分 2019年度部门决算情况说明</w:t>
              </w:r>
            </w:sdtContent>
          </w:sdt>
          <w:r>
            <w:rPr>
              <w:b/>
              <w:bCs/>
            </w:rPr>
            <w:tab/>
          </w:r>
          <w:bookmarkStart w:id="16" w:name="_Toc11780_WPSOffice_Level1Page"/>
          <w:r>
            <w:rPr>
              <w:b/>
              <w:bCs/>
            </w:rPr>
            <w:t>8</w:t>
          </w:r>
          <w:bookmarkEnd w:id="16"/>
          <w:r>
            <w:rPr>
              <w:b/>
              <w:bCs/>
            </w:rPr>
            <w:fldChar w:fldCharType="end"/>
          </w:r>
        </w:p>
        <w:p>
          <w:pPr>
            <w:pStyle w:val="32"/>
            <w:tabs>
              <w:tab w:val="right" w:leader="dot" w:pos="8306"/>
            </w:tabs>
          </w:pPr>
          <w:r>
            <w:fldChar w:fldCharType="begin"/>
          </w:r>
          <w:r>
            <w:instrText xml:space="preserve"> HYPERLINK \l _Toc21812_WPSOffice_Level2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f00b21db-13e5-4d95-8993-83166affb601}"/>
              </w:placeholder>
              <w15:color w:val="509DF3"/>
            </w:sdtPr>
            <w:sdtEndPr>
              <w:rPr>
                <w:rFonts w:ascii="Times New Roman" w:hAnsi="Times New Roman" w:eastAsia="宋体" w:cs="Times New Roman"/>
                <w:b/>
                <w:bCs/>
                <w:kern w:val="44"/>
                <w:sz w:val="44"/>
                <w:szCs w:val="44"/>
                <w:lang w:val="en-US" w:eastAsia="zh-CN" w:bidi="ar-SA"/>
              </w:rPr>
            </w:sdtEndPr>
            <w:sdtContent>
              <w:r>
                <w:rPr>
                  <w:rFonts w:hint="default" w:ascii="黑体" w:hAnsi="黑体" w:eastAsia="黑体" w:cs="Times New Roman"/>
                </w:rPr>
                <w:t xml:space="preserve">一、 </w:t>
              </w:r>
              <w:r>
                <w:rPr>
                  <w:rFonts w:hint="eastAsia" w:ascii="黑体" w:hAnsi="黑体" w:eastAsia="黑体" w:cs="Times New Roman"/>
                </w:rPr>
                <w:t>收入支出决算总体情况说明</w:t>
              </w:r>
            </w:sdtContent>
          </w:sdt>
          <w:r>
            <w:tab/>
          </w:r>
          <w:bookmarkStart w:id="17" w:name="_Toc21812_WPSOffice_Level2Page"/>
          <w:r>
            <w:t>8</w:t>
          </w:r>
          <w:bookmarkEnd w:id="17"/>
          <w:r>
            <w:fldChar w:fldCharType="end"/>
          </w:r>
        </w:p>
        <w:p>
          <w:pPr>
            <w:pStyle w:val="32"/>
            <w:tabs>
              <w:tab w:val="right" w:leader="dot" w:pos="8306"/>
            </w:tabs>
          </w:pPr>
          <w:r>
            <w:fldChar w:fldCharType="begin"/>
          </w:r>
          <w:r>
            <w:instrText xml:space="preserve"> HYPERLINK \l _Toc7475_WPSOffice_Level2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5f87f0d5-50d4-4aeb-9cbe-dbc40b0126ce}"/>
              </w:placeholder>
              <w15:color w:val="509DF3"/>
            </w:sdtPr>
            <w:sdtEndPr>
              <w:rPr>
                <w:rFonts w:ascii="Times New Roman" w:hAnsi="Times New Roman" w:eastAsia="宋体" w:cs="Times New Roman"/>
                <w:b/>
                <w:bCs/>
                <w:kern w:val="44"/>
                <w:sz w:val="44"/>
                <w:szCs w:val="44"/>
                <w:lang w:val="en-US" w:eastAsia="zh-CN" w:bidi="ar-SA"/>
              </w:rPr>
            </w:sdtEndPr>
            <w:sdtContent>
              <w:r>
                <w:rPr>
                  <w:rFonts w:hint="default" w:ascii="黑体" w:hAnsi="黑体" w:eastAsia="黑体" w:cs="Times New Roman"/>
                </w:rPr>
                <w:t xml:space="preserve">二、 </w:t>
              </w:r>
              <w:r>
                <w:rPr>
                  <w:rFonts w:hint="eastAsia" w:ascii="黑体" w:hAnsi="黑体" w:eastAsia="黑体" w:cs="Times New Roman"/>
                </w:rPr>
                <w:t>收入决算情况说明</w:t>
              </w:r>
            </w:sdtContent>
          </w:sdt>
          <w:r>
            <w:tab/>
          </w:r>
          <w:bookmarkStart w:id="18" w:name="_Toc7475_WPSOffice_Level2Page"/>
          <w:r>
            <w:t>8</w:t>
          </w:r>
          <w:bookmarkEnd w:id="18"/>
          <w:r>
            <w:fldChar w:fldCharType="end"/>
          </w:r>
        </w:p>
        <w:p>
          <w:pPr>
            <w:pStyle w:val="32"/>
            <w:tabs>
              <w:tab w:val="right" w:leader="dot" w:pos="8306"/>
            </w:tabs>
          </w:pPr>
          <w:r>
            <w:fldChar w:fldCharType="begin"/>
          </w:r>
          <w:r>
            <w:instrText xml:space="preserve"> HYPERLINK \l _Toc13105_WPSOffice_Level2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87e8240e-5780-4c69-8acf-3abe14c7fa7c}"/>
              </w:placeholder>
              <w15:color w:val="509DF3"/>
            </w:sdtPr>
            <w:sdtEndPr>
              <w:rPr>
                <w:rFonts w:ascii="Times New Roman" w:hAnsi="Times New Roman" w:eastAsia="宋体" w:cs="Times New Roman"/>
                <w:b/>
                <w:bCs/>
                <w:kern w:val="44"/>
                <w:sz w:val="44"/>
                <w:szCs w:val="44"/>
                <w:lang w:val="en-US" w:eastAsia="zh-CN" w:bidi="ar-SA"/>
              </w:rPr>
            </w:sdtEndPr>
            <w:sdtContent>
              <w:r>
                <w:rPr>
                  <w:rFonts w:hint="default" w:ascii="黑体" w:hAnsi="黑体" w:eastAsia="黑体" w:cs="Times New Roman"/>
                </w:rPr>
                <w:t xml:space="preserve">三、 </w:t>
              </w:r>
              <w:r>
                <w:rPr>
                  <w:rFonts w:hint="eastAsia" w:ascii="黑体" w:hAnsi="黑体" w:eastAsia="黑体" w:cs="Times New Roman"/>
                </w:rPr>
                <w:t>支出决算情况说明</w:t>
              </w:r>
            </w:sdtContent>
          </w:sdt>
          <w:r>
            <w:tab/>
          </w:r>
          <w:bookmarkStart w:id="19" w:name="_Toc13105_WPSOffice_Level2Page"/>
          <w:r>
            <w:t>9</w:t>
          </w:r>
          <w:bookmarkEnd w:id="19"/>
          <w:r>
            <w:fldChar w:fldCharType="end"/>
          </w:r>
        </w:p>
        <w:p>
          <w:pPr>
            <w:pStyle w:val="32"/>
            <w:tabs>
              <w:tab w:val="right" w:leader="dot" w:pos="8306"/>
            </w:tabs>
          </w:pPr>
          <w:r>
            <w:fldChar w:fldCharType="begin"/>
          </w:r>
          <w:r>
            <w:instrText xml:space="preserve"> HYPERLINK \l _Toc18618_WPSOffice_Level2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1341e7b1-ae1d-4771-a414-fc94cb87657d}"/>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rPr>
                <w:t>四、财政拨款收入支出决算总体情况说明</w:t>
              </w:r>
            </w:sdtContent>
          </w:sdt>
          <w:r>
            <w:tab/>
          </w:r>
          <w:bookmarkStart w:id="20" w:name="_Toc18618_WPSOffice_Level2Page"/>
          <w:r>
            <w:t>10</w:t>
          </w:r>
          <w:bookmarkEnd w:id="20"/>
          <w:r>
            <w:fldChar w:fldCharType="end"/>
          </w:r>
        </w:p>
        <w:p>
          <w:pPr>
            <w:pStyle w:val="32"/>
            <w:tabs>
              <w:tab w:val="right" w:leader="dot" w:pos="8306"/>
            </w:tabs>
          </w:pPr>
          <w:r>
            <w:fldChar w:fldCharType="begin"/>
          </w:r>
          <w:r>
            <w:instrText xml:space="preserve"> HYPERLINK \l _Toc23876_WPSOffice_Level2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1dc12371-3c60-4ec5-be16-4158fd674d01}"/>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rPr>
                <w:t>五、一般公共预算财政拨款支出决算情况说明</w:t>
              </w:r>
            </w:sdtContent>
          </w:sdt>
          <w:r>
            <w:tab/>
          </w:r>
          <w:bookmarkStart w:id="21" w:name="_Toc23876_WPSOffice_Level2Page"/>
          <w:r>
            <w:t>11</w:t>
          </w:r>
          <w:bookmarkEnd w:id="21"/>
          <w:r>
            <w:fldChar w:fldCharType="end"/>
          </w:r>
        </w:p>
        <w:p>
          <w:pPr>
            <w:pStyle w:val="32"/>
            <w:tabs>
              <w:tab w:val="right" w:leader="dot" w:pos="8306"/>
            </w:tabs>
          </w:pPr>
          <w:r>
            <w:fldChar w:fldCharType="begin"/>
          </w:r>
          <w:r>
            <w:instrText xml:space="preserve"> HYPERLINK \l _Toc19748_WPSOffice_Level2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4604991f-86ac-43aa-87c9-fbf3e0a254ec}"/>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Times New Roman" w:eastAsia="黑体" w:cs="Times New Roman"/>
                </w:rPr>
                <w:t>六、</w:t>
              </w:r>
              <w:r>
                <w:rPr>
                  <w:rFonts w:hint="eastAsia" w:ascii="黑体" w:hAnsi="黑体" w:eastAsia="黑体" w:cs="Times New Roman"/>
                </w:rPr>
                <w:t>一般公共预算财政拨款基本支出决算情况说明</w:t>
              </w:r>
            </w:sdtContent>
          </w:sdt>
          <w:r>
            <w:tab/>
          </w:r>
          <w:bookmarkStart w:id="22" w:name="_Toc19748_WPSOffice_Level2Page"/>
          <w:r>
            <w:t>13</w:t>
          </w:r>
          <w:bookmarkEnd w:id="22"/>
          <w:r>
            <w:fldChar w:fldCharType="end"/>
          </w:r>
        </w:p>
        <w:p>
          <w:pPr>
            <w:pStyle w:val="32"/>
            <w:tabs>
              <w:tab w:val="right" w:leader="dot" w:pos="8306"/>
            </w:tabs>
          </w:pPr>
          <w:r>
            <w:fldChar w:fldCharType="begin"/>
          </w:r>
          <w:r>
            <w:instrText xml:space="preserve"> HYPERLINK \l _Toc11836_WPSOffice_Level2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5ac74abf-5d2f-4b2f-90b3-17c431fcd3cc}"/>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Times New Roman" w:eastAsia="黑体" w:cs="Times New Roman"/>
                </w:rPr>
                <w:t>七、</w:t>
              </w:r>
              <w:r>
                <w:rPr>
                  <w:rFonts w:hint="eastAsia" w:ascii="黑体" w:hAnsi="黑体" w:eastAsia="黑体" w:cs="Times New Roman"/>
                </w:rPr>
                <w:t>“三公”经费财政拨款支出决算情况说明</w:t>
              </w:r>
            </w:sdtContent>
          </w:sdt>
          <w:r>
            <w:tab/>
          </w:r>
          <w:bookmarkStart w:id="23" w:name="_Toc11836_WPSOffice_Level2Page"/>
          <w:r>
            <w:t>14</w:t>
          </w:r>
          <w:bookmarkEnd w:id="23"/>
          <w:r>
            <w:fldChar w:fldCharType="end"/>
          </w:r>
        </w:p>
        <w:p>
          <w:pPr>
            <w:pStyle w:val="32"/>
            <w:tabs>
              <w:tab w:val="right" w:leader="dot" w:pos="8306"/>
            </w:tabs>
          </w:pPr>
          <w:r>
            <w:fldChar w:fldCharType="begin"/>
          </w:r>
          <w:r>
            <w:instrText xml:space="preserve"> HYPERLINK \l _Toc3382_WPSOffice_Level2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88a5cb8f-0d21-44d3-892e-340754e9d473}"/>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Times New Roman" w:eastAsia="黑体" w:cs="Times New Roman"/>
                </w:rPr>
                <w:t>八、</w:t>
              </w:r>
              <w:r>
                <w:rPr>
                  <w:rFonts w:hint="eastAsia" w:ascii="黑体" w:hAnsi="黑体" w:eastAsia="黑体" w:cs="Times New Roman"/>
                </w:rPr>
                <w:t>政府性基金预算支出决算情况说明</w:t>
              </w:r>
            </w:sdtContent>
          </w:sdt>
          <w:r>
            <w:tab/>
          </w:r>
          <w:bookmarkStart w:id="24" w:name="_Toc3382_WPSOffice_Level2Page"/>
          <w:r>
            <w:t>15</w:t>
          </w:r>
          <w:bookmarkEnd w:id="24"/>
          <w:r>
            <w:fldChar w:fldCharType="end"/>
          </w:r>
        </w:p>
        <w:p>
          <w:pPr>
            <w:pStyle w:val="32"/>
            <w:tabs>
              <w:tab w:val="right" w:leader="dot" w:pos="8306"/>
            </w:tabs>
          </w:pPr>
          <w:r>
            <w:fldChar w:fldCharType="begin"/>
          </w:r>
          <w:r>
            <w:instrText xml:space="preserve"> HYPERLINK \l _Toc27703_WPSOffice_Level2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68d99fbb-571f-4d93-9d56-2b04aad65088}"/>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rPr>
                <w:t>九、 国有资本经营预算支出决算情况说明</w:t>
              </w:r>
            </w:sdtContent>
          </w:sdt>
          <w:r>
            <w:tab/>
          </w:r>
          <w:bookmarkStart w:id="25" w:name="_Toc27703_WPSOffice_Level2Page"/>
          <w:r>
            <w:t>15</w:t>
          </w:r>
          <w:bookmarkEnd w:id="25"/>
          <w:r>
            <w:fldChar w:fldCharType="end"/>
          </w:r>
        </w:p>
        <w:p>
          <w:pPr>
            <w:pStyle w:val="32"/>
            <w:tabs>
              <w:tab w:val="right" w:leader="dot" w:pos="8306"/>
            </w:tabs>
          </w:pPr>
          <w:r>
            <w:fldChar w:fldCharType="begin"/>
          </w:r>
          <w:r>
            <w:instrText xml:space="preserve"> HYPERLINK \l _Toc4955_WPSOffice_Level2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14f901b4-a108-4f8c-b0a1-694fbd5622b0}"/>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rPr>
                <w:t>十、其他重要事项的情况说明</w:t>
              </w:r>
            </w:sdtContent>
          </w:sdt>
          <w:r>
            <w:tab/>
          </w:r>
          <w:bookmarkStart w:id="26" w:name="_Toc4955_WPSOffice_Level2Page"/>
          <w:r>
            <w:t>15</w:t>
          </w:r>
          <w:bookmarkEnd w:id="26"/>
          <w:r>
            <w:fldChar w:fldCharType="end"/>
          </w:r>
        </w:p>
        <w:p>
          <w:pPr>
            <w:pStyle w:val="31"/>
            <w:tabs>
              <w:tab w:val="right" w:leader="dot" w:pos="8306"/>
            </w:tabs>
          </w:pPr>
          <w:r>
            <w:rPr>
              <w:b/>
              <w:bCs/>
            </w:rPr>
            <w:fldChar w:fldCharType="begin"/>
          </w:r>
          <w:r>
            <w:instrText xml:space="preserve"> HYPERLINK \l _Toc30794_WPSOffice_Level1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59412"/>
              <w:placeholder>
                <w:docPart w:val="{3927194f-37e8-4535-abb5-3be91517ca06}"/>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b/>
                  <w:bCs/>
                </w:rPr>
                <w:t>第三部分 名词解释</w:t>
              </w:r>
            </w:sdtContent>
          </w:sdt>
          <w:r>
            <w:rPr>
              <w:b/>
              <w:bCs/>
            </w:rPr>
            <w:tab/>
          </w:r>
          <w:bookmarkStart w:id="27" w:name="_Toc30794_WPSOffice_Level1Page"/>
          <w:r>
            <w:rPr>
              <w:b/>
              <w:bCs/>
            </w:rPr>
            <w:t>20</w:t>
          </w:r>
          <w:bookmarkEnd w:id="27"/>
          <w:r>
            <w:rPr>
              <w:b/>
              <w:bCs/>
            </w:rPr>
            <w:fldChar w:fldCharType="end"/>
          </w:r>
        </w:p>
        <w:p>
          <w:pPr>
            <w:pStyle w:val="31"/>
            <w:tabs>
              <w:tab w:val="right" w:leader="dot" w:pos="8306"/>
            </w:tabs>
          </w:pPr>
          <w:r>
            <w:rPr>
              <w:b/>
              <w:bCs/>
            </w:rPr>
            <w:fldChar w:fldCharType="begin"/>
          </w:r>
          <w:r>
            <w:instrText xml:space="preserve"> HYPERLINK \l _Toc21812_WPSOffice_Level1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59412"/>
              <w:placeholder>
                <w:docPart w:val="{3791b7d1-688c-40e4-8e6e-b303ba43a78c}"/>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b/>
                  <w:bCs/>
                </w:rPr>
                <w:t>第四部分 附件</w:t>
              </w:r>
            </w:sdtContent>
          </w:sdt>
          <w:r>
            <w:rPr>
              <w:b/>
              <w:bCs/>
            </w:rPr>
            <w:tab/>
          </w:r>
          <w:bookmarkStart w:id="28" w:name="_Toc21812_WPSOffice_Level1Page"/>
          <w:r>
            <w:rPr>
              <w:b/>
              <w:bCs/>
            </w:rPr>
            <w:t>23</w:t>
          </w:r>
          <w:bookmarkEnd w:id="28"/>
          <w:r>
            <w:rPr>
              <w:b/>
              <w:bCs/>
            </w:rPr>
            <w:fldChar w:fldCharType="end"/>
          </w:r>
        </w:p>
        <w:p>
          <w:pPr>
            <w:pStyle w:val="32"/>
            <w:tabs>
              <w:tab w:val="right" w:leader="dot" w:pos="8306"/>
            </w:tabs>
          </w:pPr>
          <w:r>
            <w:fldChar w:fldCharType="begin"/>
          </w:r>
          <w:r>
            <w:instrText xml:space="preserve"> HYPERLINK \l _Toc27046_WPSOffice_Level2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b37c4fe7-418f-45f1-8bc2-ca771a489450}"/>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方正小标宋简体" w:hAnsi="宋体" w:eastAsia="方正小标宋简体" w:cs="Times New Roman"/>
                </w:rPr>
                <w:t>红原县医疗保障局</w:t>
              </w:r>
            </w:sdtContent>
          </w:sdt>
          <w:r>
            <w:tab/>
          </w:r>
          <w:bookmarkStart w:id="29" w:name="_Toc27046_WPSOffice_Level2Page"/>
          <w:r>
            <w:t>23</w:t>
          </w:r>
          <w:bookmarkEnd w:id="29"/>
          <w:r>
            <w:fldChar w:fldCharType="end"/>
          </w:r>
        </w:p>
        <w:p>
          <w:pPr>
            <w:pStyle w:val="32"/>
            <w:tabs>
              <w:tab w:val="right" w:leader="dot" w:pos="8306"/>
            </w:tabs>
          </w:pPr>
          <w:r>
            <w:fldChar w:fldCharType="begin"/>
          </w:r>
          <w:r>
            <w:instrText xml:space="preserve"> HYPERLINK \l _Toc31503_WPSOffice_Level2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50b0a7cd-44e2-403b-ad98-d743c9ff265e}"/>
              </w:placeholder>
              <w15:color w:val="509DF3"/>
            </w:sdtPr>
            <w:sdtEndPr>
              <w:rPr>
                <w:rFonts w:ascii="Times New Roman" w:hAnsi="Times New Roman" w:eastAsia="宋体" w:cs="Times New Roman"/>
                <w:b/>
                <w:bCs/>
                <w:kern w:val="44"/>
                <w:sz w:val="44"/>
                <w:szCs w:val="44"/>
                <w:lang w:val="en-US" w:eastAsia="zh-CN" w:bidi="ar-SA"/>
              </w:rPr>
            </w:sdtEndPr>
            <w:sdtContent>
              <w:r>
                <w:rPr>
                  <w:rFonts w:ascii="方正小标宋简体" w:hAnsi="宋体" w:eastAsia="方正小标宋简体" w:cs="Times New Roman"/>
                </w:rPr>
                <w:t>2019年部门</w:t>
              </w:r>
              <w:r>
                <w:rPr>
                  <w:rFonts w:hint="eastAsia" w:ascii="方正小标宋简体" w:hAnsi="宋体" w:eastAsia="方正小标宋简体" w:cs="Times New Roman"/>
                </w:rPr>
                <w:t>整体支出绩效评价报告</w:t>
              </w:r>
            </w:sdtContent>
          </w:sdt>
          <w:r>
            <w:tab/>
          </w:r>
          <w:bookmarkStart w:id="30" w:name="_Toc31503_WPSOffice_Level2Page"/>
          <w:r>
            <w:t>23</w:t>
          </w:r>
          <w:bookmarkEnd w:id="30"/>
          <w:r>
            <w:fldChar w:fldCharType="end"/>
          </w:r>
        </w:p>
        <w:p>
          <w:pPr>
            <w:pStyle w:val="32"/>
            <w:tabs>
              <w:tab w:val="right" w:leader="dot" w:pos="8306"/>
            </w:tabs>
          </w:pPr>
          <w:r>
            <w:fldChar w:fldCharType="begin"/>
          </w:r>
          <w:r>
            <w:instrText xml:space="preserve"> HYPERLINK \l _Toc25509_WPSOffice_Level2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ae3e0291-d4e2-4ae8-a070-ffb468723474}"/>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宋体" w:eastAsia="黑体" w:cs="宋体"/>
                </w:rPr>
                <w:t>一、部门（单位）概况</w:t>
              </w:r>
            </w:sdtContent>
          </w:sdt>
          <w:r>
            <w:tab/>
          </w:r>
          <w:bookmarkStart w:id="31" w:name="_Toc25509_WPSOffice_Level2Page"/>
          <w:r>
            <w:t>23</w:t>
          </w:r>
          <w:bookmarkEnd w:id="31"/>
          <w:r>
            <w:fldChar w:fldCharType="end"/>
          </w:r>
        </w:p>
        <w:p>
          <w:pPr>
            <w:pStyle w:val="32"/>
            <w:tabs>
              <w:tab w:val="right" w:leader="dot" w:pos="8306"/>
            </w:tabs>
          </w:pPr>
          <w:r>
            <w:fldChar w:fldCharType="begin"/>
          </w:r>
          <w:r>
            <w:instrText xml:space="preserve"> HYPERLINK \l _Toc1635_WPSOffice_Level2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65e1aa1a-0549-4173-9ab9-64ad482e8468}"/>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宋体" w:eastAsia="黑体" w:cs="宋体"/>
                </w:rPr>
                <w:t>二、部门财政资金收支情况</w:t>
              </w:r>
            </w:sdtContent>
          </w:sdt>
          <w:r>
            <w:tab/>
          </w:r>
          <w:bookmarkStart w:id="32" w:name="_Toc1635_WPSOffice_Level2Page"/>
          <w:r>
            <w:t>23</w:t>
          </w:r>
          <w:bookmarkEnd w:id="32"/>
          <w:r>
            <w:fldChar w:fldCharType="end"/>
          </w:r>
        </w:p>
        <w:p>
          <w:pPr>
            <w:pStyle w:val="32"/>
            <w:tabs>
              <w:tab w:val="right" w:leader="dot" w:pos="8306"/>
            </w:tabs>
          </w:pPr>
          <w:r>
            <w:fldChar w:fldCharType="begin"/>
          </w:r>
          <w:r>
            <w:instrText xml:space="preserve"> HYPERLINK \l _Toc12250_WPSOffice_Level2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6eab2aab-c297-41a7-be69-0bdbb7b56f58}"/>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宋体" w:eastAsia="黑体" w:cs="宋体"/>
                </w:rPr>
                <w:t>三、部门整体预算绩效管理情况</w:t>
              </w:r>
            </w:sdtContent>
          </w:sdt>
          <w:r>
            <w:tab/>
          </w:r>
          <w:bookmarkStart w:id="33" w:name="_Toc12250_WPSOffice_Level2Page"/>
          <w:r>
            <w:t>24</w:t>
          </w:r>
          <w:bookmarkEnd w:id="33"/>
          <w:r>
            <w:fldChar w:fldCharType="end"/>
          </w:r>
        </w:p>
        <w:p>
          <w:pPr>
            <w:pStyle w:val="32"/>
            <w:tabs>
              <w:tab w:val="right" w:leader="dot" w:pos="8306"/>
            </w:tabs>
          </w:pPr>
          <w:r>
            <w:fldChar w:fldCharType="begin"/>
          </w:r>
          <w:r>
            <w:instrText xml:space="preserve"> HYPERLINK \l _Toc18645_WPSOffice_Level2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317e7d21-3942-4502-b081-0b1455b89cef}"/>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宋体" w:eastAsia="黑体" w:cs="宋体"/>
                </w:rPr>
                <w:t>四、评价结论及建议</w:t>
              </w:r>
            </w:sdtContent>
          </w:sdt>
          <w:r>
            <w:tab/>
          </w:r>
          <w:bookmarkStart w:id="34" w:name="_Toc18645_WPSOffice_Level2Page"/>
          <w:r>
            <w:t>25</w:t>
          </w:r>
          <w:bookmarkEnd w:id="34"/>
          <w:r>
            <w:fldChar w:fldCharType="end"/>
          </w:r>
        </w:p>
        <w:p>
          <w:pPr>
            <w:pStyle w:val="32"/>
            <w:tabs>
              <w:tab w:val="right" w:leader="dot" w:pos="8306"/>
            </w:tabs>
          </w:pPr>
          <w:r>
            <w:fldChar w:fldCharType="begin"/>
          </w:r>
          <w:r>
            <w:instrText xml:space="preserve"> HYPERLINK \l _Toc7795_WPSOffice_Level2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f41b4bb7-112a-4091-899f-7e032d68afa5}"/>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_GB2312" w:hAnsi="仿宋_GB2312" w:eastAsia="仿宋_GB2312" w:cs="仿宋_GB2312"/>
                </w:rPr>
                <w:t>2019年医疗服务与保障能力提升中央财政补助资金</w:t>
              </w:r>
              <w:r>
                <w:rPr>
                  <w:rFonts w:hint="eastAsia" w:ascii="方正小标宋简体" w:hAnsi="宋体" w:eastAsia="方正小标宋简体" w:cs="Times New Roman"/>
                </w:rPr>
                <w:t>绩效评价报告</w:t>
              </w:r>
            </w:sdtContent>
          </w:sdt>
          <w:r>
            <w:tab/>
          </w:r>
          <w:bookmarkStart w:id="35" w:name="_Toc7795_WPSOffice_Level2Page"/>
          <w:r>
            <w:t>26</w:t>
          </w:r>
          <w:bookmarkEnd w:id="35"/>
          <w:r>
            <w:fldChar w:fldCharType="end"/>
          </w:r>
        </w:p>
        <w:p>
          <w:pPr>
            <w:pStyle w:val="32"/>
            <w:tabs>
              <w:tab w:val="right" w:leader="dot" w:pos="8306"/>
            </w:tabs>
          </w:pPr>
          <w:r>
            <w:fldChar w:fldCharType="begin"/>
          </w:r>
          <w:r>
            <w:instrText xml:space="preserve"> HYPERLINK \l _Toc23005_WPSOffice_Level2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9af1afdc-29c1-407c-9274-5e3ce0c80135}"/>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宋体" w:eastAsia="黑体" w:cs="Times New Roman"/>
                </w:rPr>
                <w:t>一、项目概况</w:t>
              </w:r>
            </w:sdtContent>
          </w:sdt>
          <w:r>
            <w:tab/>
          </w:r>
          <w:bookmarkStart w:id="36" w:name="_Toc23005_WPSOffice_Level2Page"/>
          <w:r>
            <w:t>26</w:t>
          </w:r>
          <w:bookmarkEnd w:id="36"/>
          <w:r>
            <w:fldChar w:fldCharType="end"/>
          </w:r>
        </w:p>
        <w:p>
          <w:pPr>
            <w:pStyle w:val="32"/>
            <w:tabs>
              <w:tab w:val="right" w:leader="dot" w:pos="8306"/>
            </w:tabs>
          </w:pPr>
          <w:r>
            <w:fldChar w:fldCharType="begin"/>
          </w:r>
          <w:r>
            <w:instrText xml:space="preserve"> HYPERLINK \l _Toc22786_WPSOffice_Level2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5968600a-83b0-4e93-9ceb-216c34825b6c}"/>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宋体" w:eastAsia="黑体" w:cs="Times New Roman"/>
                </w:rPr>
                <w:t>二、项目资金申报及使用情况</w:t>
              </w:r>
            </w:sdtContent>
          </w:sdt>
          <w:r>
            <w:tab/>
          </w:r>
          <w:bookmarkStart w:id="37" w:name="_Toc22786_WPSOffice_Level2Page"/>
          <w:r>
            <w:t>27</w:t>
          </w:r>
          <w:bookmarkEnd w:id="37"/>
          <w:r>
            <w:fldChar w:fldCharType="end"/>
          </w:r>
        </w:p>
        <w:p>
          <w:pPr>
            <w:pStyle w:val="32"/>
            <w:tabs>
              <w:tab w:val="right" w:leader="dot" w:pos="8306"/>
            </w:tabs>
          </w:pPr>
          <w:r>
            <w:fldChar w:fldCharType="begin"/>
          </w:r>
          <w:r>
            <w:instrText xml:space="preserve"> HYPERLINK \l _Toc21717_WPSOffice_Level2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66d6510d-82a9-4167-bf79-d4ca8df3e7cf}"/>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宋体" w:eastAsia="黑体" w:cs="Times New Roman"/>
                </w:rPr>
                <w:t>三、项目实施及管理情况</w:t>
              </w:r>
            </w:sdtContent>
          </w:sdt>
          <w:r>
            <w:tab/>
          </w:r>
          <w:bookmarkStart w:id="38" w:name="_Toc21717_WPSOffice_Level2Page"/>
          <w:r>
            <w:t>27</w:t>
          </w:r>
          <w:bookmarkEnd w:id="38"/>
          <w:r>
            <w:fldChar w:fldCharType="end"/>
          </w:r>
        </w:p>
        <w:p>
          <w:pPr>
            <w:pStyle w:val="32"/>
            <w:tabs>
              <w:tab w:val="right" w:leader="dot" w:pos="8306"/>
            </w:tabs>
          </w:pPr>
          <w:r>
            <w:fldChar w:fldCharType="begin"/>
          </w:r>
          <w:r>
            <w:instrText xml:space="preserve"> HYPERLINK \l _Toc3399_WPSOffice_Level2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e5a632e5-07d5-4748-b01a-564dab49b07a}"/>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宋体" w:eastAsia="黑体" w:cs="Times New Roman"/>
                </w:rPr>
                <w:t>四、项目绩效情况</w:t>
              </w:r>
            </w:sdtContent>
          </w:sdt>
          <w:r>
            <w:tab/>
          </w:r>
          <w:bookmarkStart w:id="39" w:name="_Toc3399_WPSOffice_Level2Page"/>
          <w:r>
            <w:t>27</w:t>
          </w:r>
          <w:bookmarkEnd w:id="39"/>
          <w:r>
            <w:fldChar w:fldCharType="end"/>
          </w:r>
        </w:p>
        <w:p>
          <w:pPr>
            <w:pStyle w:val="32"/>
            <w:tabs>
              <w:tab w:val="right" w:leader="dot" w:pos="8306"/>
            </w:tabs>
          </w:pPr>
          <w:r>
            <w:fldChar w:fldCharType="begin"/>
          </w:r>
          <w:r>
            <w:instrText xml:space="preserve"> HYPERLINK \l _Toc22821_WPSOffice_Level2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697a10cb-536c-4f29-b607-a79dbe7b206e}"/>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宋体" w:eastAsia="黑体" w:cs="Times New Roman"/>
                </w:rPr>
                <w:t>五、评价结论及建议</w:t>
              </w:r>
            </w:sdtContent>
          </w:sdt>
          <w:r>
            <w:tab/>
          </w:r>
          <w:bookmarkStart w:id="40" w:name="_Toc22821_WPSOffice_Level2Page"/>
          <w:r>
            <w:t>28</w:t>
          </w:r>
          <w:bookmarkEnd w:id="40"/>
          <w:r>
            <w:fldChar w:fldCharType="end"/>
          </w:r>
        </w:p>
        <w:p>
          <w:pPr>
            <w:pStyle w:val="31"/>
            <w:tabs>
              <w:tab w:val="right" w:leader="dot" w:pos="8306"/>
            </w:tabs>
          </w:pPr>
          <w:r>
            <w:rPr>
              <w:b/>
              <w:bCs/>
            </w:rPr>
            <w:fldChar w:fldCharType="begin"/>
          </w:r>
          <w:r>
            <w:instrText xml:space="preserve"> HYPERLINK \l _Toc7475_WPSOffice_Level1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59412"/>
              <w:placeholder>
                <w:docPart w:val="{284a03a9-6fb8-472a-8038-c3dc8ed5a47e}"/>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b/>
                  <w:bCs/>
                </w:rPr>
                <w:t>第五部分 附表</w:t>
              </w:r>
            </w:sdtContent>
          </w:sdt>
          <w:r>
            <w:rPr>
              <w:b/>
              <w:bCs/>
            </w:rPr>
            <w:tab/>
          </w:r>
          <w:bookmarkStart w:id="41" w:name="_Toc7475_WPSOffice_Level1Page"/>
          <w:r>
            <w:rPr>
              <w:b/>
              <w:bCs/>
            </w:rPr>
            <w:t>30</w:t>
          </w:r>
          <w:bookmarkEnd w:id="41"/>
          <w:r>
            <w:rPr>
              <w:b/>
              <w:bCs/>
            </w:rPr>
            <w:fldChar w:fldCharType="end"/>
          </w:r>
        </w:p>
        <w:p>
          <w:pPr>
            <w:pStyle w:val="32"/>
            <w:tabs>
              <w:tab w:val="right" w:leader="dot" w:pos="8306"/>
            </w:tabs>
          </w:pPr>
          <w:r>
            <w:fldChar w:fldCharType="begin"/>
          </w:r>
          <w:r>
            <w:instrText xml:space="preserve"> HYPERLINK \l _Toc27423_WPSOffice_Level2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e9b6490f-7306-42a3-b149-f2c3fdd9e4ae}"/>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imes New Roman"/>
                </w:rPr>
                <w:t>一、收入支出决算总表</w:t>
              </w:r>
            </w:sdtContent>
          </w:sdt>
          <w:r>
            <w:tab/>
          </w:r>
          <w:bookmarkStart w:id="42" w:name="_Toc27423_WPSOffice_Level2Page"/>
          <w:r>
            <w:t>30</w:t>
          </w:r>
          <w:bookmarkEnd w:id="42"/>
          <w:r>
            <w:fldChar w:fldCharType="end"/>
          </w:r>
        </w:p>
        <w:p>
          <w:pPr>
            <w:pStyle w:val="32"/>
            <w:tabs>
              <w:tab w:val="right" w:leader="dot" w:pos="8306"/>
            </w:tabs>
          </w:pPr>
          <w:r>
            <w:fldChar w:fldCharType="begin"/>
          </w:r>
          <w:r>
            <w:instrText xml:space="preserve"> HYPERLINK \l _Toc5344_WPSOffice_Level2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c2341021-e1ec-44f7-bf93-c22d7593b6fa}"/>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imes New Roman"/>
                </w:rPr>
                <w:t>二、收入决算表</w:t>
              </w:r>
            </w:sdtContent>
          </w:sdt>
          <w:r>
            <w:tab/>
          </w:r>
          <w:bookmarkStart w:id="43" w:name="_Toc5344_WPSOffice_Level2Page"/>
          <w:r>
            <w:t>30</w:t>
          </w:r>
          <w:bookmarkEnd w:id="43"/>
          <w:r>
            <w:fldChar w:fldCharType="end"/>
          </w:r>
        </w:p>
        <w:p>
          <w:pPr>
            <w:pStyle w:val="32"/>
            <w:tabs>
              <w:tab w:val="right" w:leader="dot" w:pos="8306"/>
            </w:tabs>
          </w:pPr>
          <w:r>
            <w:fldChar w:fldCharType="begin"/>
          </w:r>
          <w:r>
            <w:instrText xml:space="preserve"> HYPERLINK \l _Toc30526_WPSOffice_Level2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ea7515df-d29b-46ae-aa47-8f0258ba5ce4}"/>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imes New Roman"/>
                </w:rPr>
                <w:t>三、支出决算表</w:t>
              </w:r>
            </w:sdtContent>
          </w:sdt>
          <w:r>
            <w:tab/>
          </w:r>
          <w:bookmarkStart w:id="44" w:name="_Toc30526_WPSOffice_Level2Page"/>
          <w:r>
            <w:t>30</w:t>
          </w:r>
          <w:bookmarkEnd w:id="44"/>
          <w:r>
            <w:fldChar w:fldCharType="end"/>
          </w:r>
        </w:p>
        <w:p>
          <w:pPr>
            <w:pStyle w:val="32"/>
            <w:tabs>
              <w:tab w:val="right" w:leader="dot" w:pos="8306"/>
            </w:tabs>
          </w:pPr>
          <w:r>
            <w:fldChar w:fldCharType="begin"/>
          </w:r>
          <w:r>
            <w:instrText xml:space="preserve"> HYPERLINK \l _Toc30002_WPSOffice_Level2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4f685fa4-81f1-4a94-9ac5-7a662f70039a}"/>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imes New Roman"/>
                </w:rPr>
                <w:t>四、财政拨款收入支出决算总表</w:t>
              </w:r>
            </w:sdtContent>
          </w:sdt>
          <w:r>
            <w:tab/>
          </w:r>
          <w:bookmarkStart w:id="45" w:name="_Toc30002_WPSOffice_Level2Page"/>
          <w:r>
            <w:t>30</w:t>
          </w:r>
          <w:bookmarkEnd w:id="45"/>
          <w:r>
            <w:fldChar w:fldCharType="end"/>
          </w:r>
        </w:p>
        <w:p>
          <w:pPr>
            <w:pStyle w:val="32"/>
            <w:tabs>
              <w:tab w:val="right" w:leader="dot" w:pos="8306"/>
            </w:tabs>
          </w:pPr>
          <w:r>
            <w:fldChar w:fldCharType="begin"/>
          </w:r>
          <w:r>
            <w:instrText xml:space="preserve"> HYPERLINK \l _Toc89_WPSOffice_Level2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bd624c45-5542-46ad-bb1c-005d4d186411}"/>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imes New Roman"/>
                </w:rPr>
                <w:t>五、财政拨款支出决算明细表</w:t>
              </w:r>
            </w:sdtContent>
          </w:sdt>
          <w:r>
            <w:tab/>
          </w:r>
          <w:bookmarkStart w:id="46" w:name="_Toc89_WPSOffice_Level2Page"/>
          <w:r>
            <w:t>30</w:t>
          </w:r>
          <w:bookmarkEnd w:id="46"/>
          <w:r>
            <w:fldChar w:fldCharType="end"/>
          </w:r>
        </w:p>
        <w:p>
          <w:pPr>
            <w:pStyle w:val="32"/>
            <w:tabs>
              <w:tab w:val="right" w:leader="dot" w:pos="8306"/>
            </w:tabs>
          </w:pPr>
          <w:r>
            <w:fldChar w:fldCharType="begin"/>
          </w:r>
          <w:r>
            <w:instrText xml:space="preserve"> HYPERLINK \l _Toc13134_WPSOffice_Level2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57f5ed47-58e5-4e51-b75a-641d0cc5a08e}"/>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imes New Roman"/>
                </w:rPr>
                <w:t>六、一般公共预算财政拨款支出决算表</w:t>
              </w:r>
            </w:sdtContent>
          </w:sdt>
          <w:r>
            <w:tab/>
          </w:r>
          <w:bookmarkStart w:id="47" w:name="_Toc13134_WPSOffice_Level2Page"/>
          <w:r>
            <w:t>30</w:t>
          </w:r>
          <w:bookmarkEnd w:id="47"/>
          <w:r>
            <w:fldChar w:fldCharType="end"/>
          </w:r>
        </w:p>
        <w:p>
          <w:pPr>
            <w:pStyle w:val="32"/>
            <w:tabs>
              <w:tab w:val="right" w:leader="dot" w:pos="8306"/>
            </w:tabs>
          </w:pPr>
          <w:r>
            <w:fldChar w:fldCharType="begin"/>
          </w:r>
          <w:r>
            <w:instrText xml:space="preserve"> HYPERLINK \l _Toc13026_WPSOffice_Level2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9af66ca9-be8a-439c-859d-5f2caab1fd43}"/>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imes New Roman"/>
                </w:rPr>
                <w:t>七、一般公共预算财政拨款支出决算明细表</w:t>
              </w:r>
            </w:sdtContent>
          </w:sdt>
          <w:r>
            <w:tab/>
          </w:r>
          <w:bookmarkStart w:id="48" w:name="_Toc13026_WPSOffice_Level2Page"/>
          <w:r>
            <w:t>30</w:t>
          </w:r>
          <w:bookmarkEnd w:id="48"/>
          <w:r>
            <w:fldChar w:fldCharType="end"/>
          </w:r>
        </w:p>
        <w:p>
          <w:pPr>
            <w:pStyle w:val="32"/>
            <w:tabs>
              <w:tab w:val="right" w:leader="dot" w:pos="8306"/>
            </w:tabs>
          </w:pPr>
          <w:r>
            <w:fldChar w:fldCharType="begin"/>
          </w:r>
          <w:r>
            <w:instrText xml:space="preserve"> HYPERLINK \l _Toc27070_WPSOffice_Level2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bbad435e-b8c8-4470-a8f2-6d0f46d1f3e6}"/>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imes New Roman"/>
                </w:rPr>
                <w:t>八、一般公共预算财政拨款基本支出决算表</w:t>
              </w:r>
            </w:sdtContent>
          </w:sdt>
          <w:r>
            <w:tab/>
          </w:r>
          <w:bookmarkStart w:id="49" w:name="_Toc27070_WPSOffice_Level2Page"/>
          <w:r>
            <w:t>30</w:t>
          </w:r>
          <w:bookmarkEnd w:id="49"/>
          <w:r>
            <w:fldChar w:fldCharType="end"/>
          </w:r>
        </w:p>
        <w:p>
          <w:pPr>
            <w:pStyle w:val="32"/>
            <w:tabs>
              <w:tab w:val="right" w:leader="dot" w:pos="8306"/>
            </w:tabs>
          </w:pPr>
          <w:r>
            <w:fldChar w:fldCharType="begin"/>
          </w:r>
          <w:r>
            <w:instrText xml:space="preserve"> HYPERLINK \l _Toc26515_WPSOffice_Level2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9abf204d-e3cc-49e8-a6a6-34a377635b58}"/>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imes New Roman"/>
                </w:rPr>
                <w:t>九、一般公共预算财政拨款项目支出决算表</w:t>
              </w:r>
            </w:sdtContent>
          </w:sdt>
          <w:r>
            <w:tab/>
          </w:r>
          <w:bookmarkStart w:id="50" w:name="_Toc26515_WPSOffice_Level2Page"/>
          <w:r>
            <w:t>30</w:t>
          </w:r>
          <w:bookmarkEnd w:id="50"/>
          <w:r>
            <w:fldChar w:fldCharType="end"/>
          </w:r>
        </w:p>
        <w:p>
          <w:pPr>
            <w:pStyle w:val="32"/>
            <w:tabs>
              <w:tab w:val="right" w:leader="dot" w:pos="8306"/>
            </w:tabs>
          </w:pPr>
          <w:r>
            <w:fldChar w:fldCharType="begin"/>
          </w:r>
          <w:r>
            <w:instrText xml:space="preserve"> HYPERLINK \l _Toc32067_WPSOffice_Level2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de3b5288-c1d5-4706-8fdb-93c3ecd09d19}"/>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imes New Roman"/>
                </w:rPr>
                <w:t>十、一般公共预算财政拨款“三公”经费支出决算表</w:t>
              </w:r>
            </w:sdtContent>
          </w:sdt>
          <w:r>
            <w:tab/>
          </w:r>
          <w:bookmarkStart w:id="51" w:name="_Toc32067_WPSOffice_Level2Page"/>
          <w:r>
            <w:t>30</w:t>
          </w:r>
          <w:bookmarkEnd w:id="51"/>
          <w:r>
            <w:fldChar w:fldCharType="end"/>
          </w:r>
        </w:p>
        <w:p>
          <w:pPr>
            <w:pStyle w:val="32"/>
            <w:tabs>
              <w:tab w:val="right" w:leader="dot" w:pos="8306"/>
            </w:tabs>
          </w:pPr>
          <w:r>
            <w:fldChar w:fldCharType="begin"/>
          </w:r>
          <w:r>
            <w:instrText xml:space="preserve"> HYPERLINK \l _Toc27478_WPSOffice_Level2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6dfa979b-7e51-4869-9609-708c2f7a60df}"/>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imes New Roman"/>
                </w:rPr>
                <w:t>十一、政府性基金预算财政拨款收入支出决算表</w:t>
              </w:r>
            </w:sdtContent>
          </w:sdt>
          <w:r>
            <w:tab/>
          </w:r>
          <w:bookmarkStart w:id="52" w:name="_Toc27478_WPSOffice_Level2Page"/>
          <w:r>
            <w:t>30</w:t>
          </w:r>
          <w:bookmarkEnd w:id="52"/>
          <w:r>
            <w:fldChar w:fldCharType="end"/>
          </w:r>
        </w:p>
        <w:p>
          <w:pPr>
            <w:pStyle w:val="32"/>
            <w:tabs>
              <w:tab w:val="right" w:leader="dot" w:pos="8306"/>
            </w:tabs>
          </w:pPr>
          <w:r>
            <w:fldChar w:fldCharType="begin"/>
          </w:r>
          <w:r>
            <w:instrText xml:space="preserve"> HYPERLINK \l _Toc15783_WPSOffice_Level2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4638dc41-f31a-45a6-8fd7-727ab0bc9cde}"/>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imes New Roman"/>
                </w:rPr>
                <w:t>十二、政府性基金预算财政拨款“三公”经费支出决算表</w:t>
              </w:r>
            </w:sdtContent>
          </w:sdt>
          <w:r>
            <w:tab/>
          </w:r>
          <w:bookmarkStart w:id="53" w:name="_Toc15783_WPSOffice_Level2Page"/>
          <w:r>
            <w:t>30</w:t>
          </w:r>
          <w:bookmarkEnd w:id="53"/>
          <w:r>
            <w:fldChar w:fldCharType="end"/>
          </w:r>
        </w:p>
        <w:p>
          <w:pPr>
            <w:pStyle w:val="32"/>
            <w:tabs>
              <w:tab w:val="right" w:leader="dot" w:pos="8306"/>
            </w:tabs>
          </w:pPr>
          <w:r>
            <w:fldChar w:fldCharType="begin"/>
          </w:r>
          <w:r>
            <w:instrText xml:space="preserve"> HYPERLINK \l _Toc13123_WPSOffice_Level2 </w:instrText>
          </w:r>
          <w:r>
            <w:fldChar w:fldCharType="separate"/>
          </w:r>
          <w:sdt>
            <w:sdtPr>
              <w:rPr>
                <w:rFonts w:ascii="Times New Roman" w:hAnsi="Times New Roman" w:eastAsia="宋体" w:cs="Times New Roman"/>
                <w:b/>
                <w:bCs/>
                <w:kern w:val="44"/>
                <w:sz w:val="44"/>
                <w:szCs w:val="44"/>
                <w:lang w:val="en-US" w:eastAsia="zh-CN" w:bidi="ar-SA"/>
              </w:rPr>
              <w:id w:val="147459412"/>
              <w:placeholder>
                <w:docPart w:val="{cfd9bff9-529f-47e2-ac1f-92490f346748}"/>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imes New Roman"/>
                </w:rPr>
                <w:t>十三、国有资本经营预算支出决算表</w:t>
              </w:r>
            </w:sdtContent>
          </w:sdt>
          <w:r>
            <w:tab/>
          </w:r>
          <w:bookmarkStart w:id="54" w:name="_Toc13123_WPSOffice_Level2Page"/>
          <w:r>
            <w:t>30</w:t>
          </w:r>
          <w:bookmarkEnd w:id="54"/>
          <w:r>
            <w:fldChar w:fldCharType="end"/>
          </w:r>
          <w:bookmarkEnd w:id="12"/>
        </w:p>
      </w:sdtContent>
    </w:sdt>
    <w:p>
      <w:pPr>
        <w:pStyle w:val="3"/>
        <w:ind w:firstLine="1320" w:firstLineChars="300"/>
        <w:jc w:val="center"/>
        <w:rPr>
          <w:rFonts w:hint="eastAsia" w:ascii="黑体" w:hAnsi="黑体" w:eastAsia="黑体"/>
          <w:b w:val="0"/>
        </w:rPr>
      </w:pPr>
      <w:bookmarkStart w:id="55" w:name="_Toc22641_WPSOffice_Level1"/>
    </w:p>
    <w:p>
      <w:pPr>
        <w:pStyle w:val="3"/>
        <w:ind w:firstLine="1320" w:firstLineChars="300"/>
        <w:jc w:val="center"/>
        <w:rPr>
          <w:rFonts w:hint="eastAsia" w:ascii="黑体" w:hAnsi="黑体" w:eastAsia="黑体"/>
          <w:b w:val="0"/>
        </w:rPr>
      </w:pPr>
    </w:p>
    <w:p>
      <w:pPr>
        <w:pStyle w:val="3"/>
        <w:ind w:firstLine="1320" w:firstLineChars="300"/>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55"/>
    </w:p>
    <w:p>
      <w:pPr>
        <w:widowControl/>
        <w:jc w:val="left"/>
        <w:rPr>
          <w:rFonts w:ascii="黑体" w:eastAsia="黑体"/>
          <w:color w:val="000000"/>
          <w:sz w:val="32"/>
          <w:szCs w:val="32"/>
        </w:rPr>
      </w:pPr>
    </w:p>
    <w:p>
      <w:pPr>
        <w:pStyle w:val="4"/>
        <w:numPr>
          <w:ilvl w:val="0"/>
          <w:numId w:val="1"/>
        </w:numPr>
        <w:rPr>
          <w:rStyle w:val="27"/>
          <w:rFonts w:hint="eastAsia" w:ascii="黑体" w:hAnsi="黑体" w:eastAsia="黑体"/>
          <w:b w:val="0"/>
          <w:bCs w:val="0"/>
        </w:rPr>
      </w:pPr>
      <w:bookmarkStart w:id="56" w:name="_Toc11780_WPSOffice_Level2"/>
      <w:bookmarkStart w:id="57" w:name="_Toc15377197"/>
      <w:bookmarkStart w:id="58" w:name="_Toc15396600"/>
      <w:r>
        <w:rPr>
          <w:rFonts w:hint="eastAsia" w:ascii="黑体" w:hAnsi="黑体" w:eastAsia="黑体"/>
          <w:b w:val="0"/>
          <w:color w:val="000000"/>
        </w:rPr>
        <w:t>基</w:t>
      </w:r>
      <w:r>
        <w:rPr>
          <w:rStyle w:val="27"/>
          <w:rFonts w:hint="eastAsia" w:ascii="黑体" w:hAnsi="黑体" w:eastAsia="黑体"/>
          <w:b w:val="0"/>
          <w:bCs w:val="0"/>
        </w:rPr>
        <w:t>本职能及主要工作</w:t>
      </w:r>
      <w:bookmarkEnd w:id="56"/>
      <w:bookmarkEnd w:id="57"/>
      <w:bookmarkEnd w:id="58"/>
      <w:bookmarkStart w:id="59" w:name="_Toc15377198"/>
      <w:bookmarkStart w:id="60" w:name="_Toc15378445"/>
    </w:p>
    <w:p>
      <w:pPr>
        <w:pStyle w:val="4"/>
        <w:numPr>
          <w:ilvl w:val="0"/>
          <w:numId w:val="0"/>
        </w:numPr>
        <w:jc w:val="left"/>
        <w:rPr>
          <w:rFonts w:hint="eastAsia" w:ascii="仿宋" w:hAnsi="仿宋" w:eastAsia="仿宋"/>
          <w:bCs/>
          <w:color w:val="000000"/>
          <w:sz w:val="32"/>
          <w:szCs w:val="32"/>
        </w:rPr>
      </w:pPr>
      <w:r>
        <w:rPr>
          <w:rFonts w:hint="eastAsia" w:ascii="仿宋" w:hAnsi="仿宋" w:eastAsia="仿宋"/>
          <w:bCs/>
          <w:color w:val="000000"/>
          <w:sz w:val="32"/>
          <w:szCs w:val="32"/>
        </w:rPr>
        <w:t>（一）主要职能。</w:t>
      </w:r>
      <w:bookmarkEnd w:id="59"/>
      <w:bookmarkEnd w:id="60"/>
      <w:bookmarkStart w:id="61" w:name="_Toc15377199"/>
      <w:bookmarkStart w:id="62" w:name="_Toc15378446"/>
    </w:p>
    <w:p>
      <w:pPr>
        <w:keepNext w:val="0"/>
        <w:keepLines w:val="0"/>
        <w:widowControl/>
        <w:suppressLineNumbers w:val="0"/>
        <w:ind w:firstLine="640" w:firstLineChars="200"/>
        <w:jc w:val="left"/>
      </w:pPr>
      <w:r>
        <w:rPr>
          <w:rFonts w:ascii="仿宋_GB2312" w:hAnsi="宋体" w:eastAsia="仿宋_GB2312" w:cs="仿宋_GB2312"/>
          <w:color w:val="000000"/>
          <w:kern w:val="0"/>
          <w:sz w:val="32"/>
          <w:szCs w:val="32"/>
          <w:lang w:val="en-US" w:eastAsia="zh-CN" w:bidi="ar"/>
        </w:rPr>
        <w:t>县医疗保障局贯彻落实党中央关于医疗保障工作的</w:t>
      </w:r>
      <w:r>
        <w:rPr>
          <w:rFonts w:hint="eastAsia" w:ascii="仿宋_GB2312" w:hAnsi="宋体" w:eastAsia="仿宋_GB2312" w:cs="仿宋_GB2312"/>
          <w:color w:val="000000"/>
          <w:kern w:val="0"/>
          <w:sz w:val="32"/>
          <w:szCs w:val="32"/>
          <w:lang w:val="en-US" w:eastAsia="zh-CN" w:bidi="ar"/>
        </w:rPr>
        <w:t xml:space="preserve">方针政策和省委、州委、县委的决策部署，在履行职责过程中坚 持和加强党对医疗保障工作的集中统一领导。主要职责是: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（一）贯彻落实医疗保险、生育保险、医疗救助、药品和医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疗服务价格管理职责等医疗保障法律法规和方针政策。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（二）组织拟订并实施医疗保障基金监督管理制度，建立健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全医疗保障基金安全防控机制，监督强化医疗保障基金运行管理。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（三）贯彻落实医疗保障目录和支付标准,落实特殊医用材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料、特殊检查和治疗、医院制剂等目录和支付标准。推进医疗保障基金支付方式改革,落实医保对医疗行为的激励约束机制以及对医疗费用的控制机制。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（四）贯彻落实医疗保障信用评价体系和信息披露制度，监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督管理纳入医疗保障范围内的医疗服务行为和医疗费用，依法查处医疗保障领域违法违规行为。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（五）负责参保人员基本医疗保险住院和普通门诊、门诊特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殊疾病待遇的初审、复审和待遇确定，确保医疗保险基金的合理使用；负责参保患者的转诊转院的审批工作；负责参保患者的门诊特殊疾病审核认定工作。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（六）贯彻落实医疗保障经办管理和公共服务体系建设，异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地就医管理和费用结算政策；做好全县参保人员医疗保险的统计分析报表工作，建立健全医疗保障关系转移接续制度。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（七）负责职责范围内的安全生产和职业健康、生态环境保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护、审批服务便民化等工作。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（八）完成县委、县政府交办的其他任务。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（九）职能转变。贯彻落实省、州有关推进医疗、医保、医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药“三医联动”改革工作，更好地保障人民群众就医需求、减轻医药费用负担。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（十）与县卫生健康局的有关职责分工。两部门在医疗、医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保、医药等方面加强制度、政策衔接，建立沟通协商机制，协同推进改革，提高医疗资源使用效率和医疗保障水平。 </w:t>
      </w:r>
    </w:p>
    <w:p>
      <w:pPr>
        <w:pStyle w:val="2"/>
        <w:adjustRightInd w:val="0"/>
        <w:snapToGrid w:val="0"/>
        <w:spacing w:before="93" w:line="600" w:lineRule="exact"/>
        <w:ind w:firstLine="321" w:firstLineChars="100"/>
        <w:jc w:val="left"/>
        <w:outlineLvl w:val="2"/>
        <w:rPr>
          <w:rFonts w:hint="eastAsia" w:ascii="仿宋" w:hAnsi="仿宋" w:eastAsia="仿宋"/>
          <w:bCs/>
          <w:color w:val="000000"/>
          <w:sz w:val="32"/>
          <w:szCs w:val="32"/>
        </w:rPr>
      </w:pPr>
      <w:r>
        <w:rPr>
          <w:rFonts w:hint="eastAsia" w:ascii="仿宋" w:hAnsi="仿宋" w:eastAsia="仿宋"/>
          <w:b/>
          <w:bCs w:val="0"/>
          <w:color w:val="000000"/>
          <w:sz w:val="32"/>
          <w:szCs w:val="32"/>
        </w:rPr>
        <w:t>（二）</w:t>
      </w:r>
      <w:r>
        <w:rPr>
          <w:rFonts w:ascii="仿宋" w:hAnsi="仿宋" w:eastAsia="仿宋"/>
          <w:b/>
          <w:bCs w:val="0"/>
          <w:color w:val="000000"/>
          <w:sz w:val="32"/>
          <w:szCs w:val="32"/>
        </w:rPr>
        <w:t>201</w:t>
      </w:r>
      <w:r>
        <w:rPr>
          <w:rFonts w:hint="eastAsia" w:ascii="仿宋" w:hAnsi="仿宋" w:eastAsia="仿宋"/>
          <w:b/>
          <w:bCs w:val="0"/>
          <w:color w:val="000000"/>
          <w:sz w:val="32"/>
          <w:szCs w:val="32"/>
        </w:rPr>
        <w:t>9年重点工作完成情况</w:t>
      </w:r>
      <w:r>
        <w:rPr>
          <w:rFonts w:hint="eastAsia" w:ascii="仿宋" w:hAnsi="仿宋" w:eastAsia="仿宋"/>
          <w:bCs/>
          <w:color w:val="000000"/>
          <w:sz w:val="32"/>
          <w:szCs w:val="32"/>
        </w:rPr>
        <w:t>。</w:t>
      </w:r>
      <w:bookmarkEnd w:id="61"/>
      <w:bookmarkEnd w:id="62"/>
    </w:p>
    <w:p>
      <w:pPr>
        <w:ind w:firstLine="320" w:firstLineChars="100"/>
        <w:jc w:val="left"/>
        <w:rPr>
          <w:rFonts w:hint="eastAsia" w:ascii="仿宋" w:hAnsi="仿宋" w:eastAsia="仿宋"/>
          <w:sz w:val="32"/>
          <w:szCs w:val="32"/>
        </w:rPr>
      </w:pPr>
      <w:r>
        <w:rPr>
          <w:rFonts w:hint="eastAsia" w:ascii="仿宋" w:hAnsi="仿宋" w:eastAsia="仿宋"/>
          <w:sz w:val="32"/>
          <w:szCs w:val="32"/>
        </w:rPr>
        <w:t>（一）抓好医保扶贫工作。进一步落实全县建档立卡贫困户在脱贫攻坚决胜期的医疗保障工作，一是在3月底之前完成全县5164名建档立卡贫困户2019年度医保筹资工作；二是凡属于建档立卡贫困户患者承诺在15个工作日内完成医疗保险待遇支付工作；三是全力确保贫困患者县域内住院治疗一站式报销，且实现政策范围内医疗费用100%报销，全自费费用个人支付额控制在10%以内。</w:t>
      </w:r>
    </w:p>
    <w:p>
      <w:pPr>
        <w:ind w:firstLine="480" w:firstLineChars="150"/>
        <w:jc w:val="left"/>
        <w:rPr>
          <w:rFonts w:hint="eastAsia" w:ascii="仿宋" w:hAnsi="仿宋" w:eastAsia="仿宋"/>
          <w:sz w:val="32"/>
          <w:szCs w:val="32"/>
        </w:rPr>
      </w:pPr>
      <w:r>
        <w:rPr>
          <w:rFonts w:hint="eastAsia" w:ascii="仿宋" w:hAnsi="仿宋" w:eastAsia="仿宋"/>
          <w:sz w:val="32"/>
          <w:szCs w:val="32"/>
        </w:rPr>
        <w:t>（二）加强医保基金管理。一是把好定点关，每季度对县域内23家定点医疗服务机构开展专项检查，对严重违规和屡次违规的定点医疗机构和药店，加大处罚力度，直至取消定点资格。二是把好监控关，每个月对县域内及各乡镇卫生院开展不定期抽查，规范医疗服务行为，防止乱收费，虚假医疗费等违规行为的发生。三是把好审核关，日常业务中要求工作人员强化业务知识，提高基金诈骗防范意识，防止基金浪费与流失。四是立足举报奖励、协议管理、智能监控等已有手段，通过健全信息披露制度、风险防控制度以及积极引入第三方力量的参与与监管，堵住制度的漏洞，完善治本之策。</w:t>
      </w:r>
    </w:p>
    <w:p>
      <w:pPr>
        <w:ind w:firstLine="480" w:firstLineChars="150"/>
        <w:jc w:val="left"/>
        <w:rPr>
          <w:rFonts w:ascii="仿宋" w:hAnsi="仿宋" w:eastAsia="仿宋"/>
          <w:sz w:val="32"/>
          <w:szCs w:val="32"/>
        </w:rPr>
      </w:pPr>
      <w:r>
        <w:rPr>
          <w:rFonts w:hint="eastAsia" w:ascii="仿宋" w:hAnsi="仿宋" w:eastAsia="仿宋"/>
          <w:sz w:val="32"/>
          <w:szCs w:val="32"/>
        </w:rPr>
        <w:t>（三）夯实医保基础工作。一是根据机构改革要求，做好职能、编制、机构、人员、资产等划转工作，其中三定方案待州医保局出台后一周内完成，财会工作交接和资产、预算经费划转工作将于按照3月底完成。二是做好生育保险、药品和医疗服务价格及医疗救助职能划转工作，并按照统一部署完成职能交接并开展相关业务工作。三是在4月底前成立医疗保障局党支部及工会，做好基础保障工作。</w:t>
      </w:r>
    </w:p>
    <w:p>
      <w:pPr>
        <w:pStyle w:val="2"/>
        <w:adjustRightInd w:val="0"/>
        <w:snapToGrid w:val="0"/>
        <w:spacing w:before="93" w:line="600" w:lineRule="exact"/>
        <w:jc w:val="left"/>
        <w:outlineLvl w:val="2"/>
        <w:rPr>
          <w:rFonts w:hint="eastAsia" w:ascii="仿宋" w:hAnsi="仿宋" w:eastAsia="仿宋"/>
          <w:bCs/>
          <w:color w:val="000000"/>
          <w:sz w:val="32"/>
          <w:szCs w:val="32"/>
        </w:rPr>
      </w:pPr>
    </w:p>
    <w:p>
      <w:pPr>
        <w:pStyle w:val="4"/>
        <w:jc w:val="left"/>
        <w:rPr>
          <w:rStyle w:val="27"/>
          <w:b w:val="0"/>
          <w:bCs w:val="0"/>
        </w:rPr>
      </w:pPr>
      <w:bookmarkStart w:id="63" w:name="_Toc15396601"/>
      <w:bookmarkStart w:id="64" w:name="_Toc15377200"/>
      <w:bookmarkStart w:id="65" w:name="_Toc30794_WPSOffice_Level2"/>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63"/>
      <w:bookmarkEnd w:id="64"/>
      <w:bookmarkEnd w:id="65"/>
    </w:p>
    <w:p>
      <w:pPr>
        <w:snapToGrid w:val="0"/>
        <w:spacing w:line="520" w:lineRule="exact"/>
        <w:ind w:firstLine="640" w:firstLineChars="200"/>
        <w:jc w:val="left"/>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红原县医疗保障局</w:t>
      </w:r>
      <w:r>
        <w:rPr>
          <w:rFonts w:hint="eastAsia" w:ascii="仿宋_GB2312" w:hAnsi="仿宋_GB2312" w:eastAsia="仿宋_GB2312" w:cs="仿宋_GB2312"/>
          <w:sz w:val="32"/>
          <w:szCs w:val="32"/>
        </w:rPr>
        <w:t>下属二级单位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个。截止201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年底我单位共有编制</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个，其中公务员（参公）编制</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个，行政工勤编制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参公工勤</w:t>
      </w:r>
      <w:r>
        <w:rPr>
          <w:rFonts w:hint="eastAsia" w:ascii="仿宋_GB2312" w:hAnsi="仿宋_GB2312" w:eastAsia="仿宋_GB2312" w:cs="仿宋_GB2312"/>
          <w:sz w:val="32"/>
          <w:szCs w:val="32"/>
          <w:lang w:val="en-US" w:eastAsia="zh-CN"/>
        </w:rPr>
        <w:t>1人，事业编制9人。</w:t>
      </w:r>
    </w:p>
    <w:p>
      <w:pPr>
        <w:ind w:firstLine="800" w:firstLineChars="250"/>
        <w:jc w:val="left"/>
        <w:rPr>
          <w:rFonts w:hint="eastAsia" w:ascii="仿宋_GB2312" w:hAnsi="仿宋_GB2312" w:eastAsia="仿宋_GB2312" w:cs="仿宋_GB2312"/>
          <w:sz w:val="32"/>
          <w:szCs w:val="32"/>
        </w:rPr>
      </w:pPr>
    </w:p>
    <w:p>
      <w:pPr>
        <w:pStyle w:val="2"/>
        <w:adjustRightInd w:val="0"/>
        <w:snapToGrid w:val="0"/>
        <w:spacing w:before="93" w:line="600" w:lineRule="exact"/>
        <w:ind w:firstLine="672" w:firstLineChars="21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纳入</w:t>
      </w:r>
      <w:r>
        <w:rPr>
          <w:rFonts w:hint="eastAsia" w:ascii="仿宋_GB2312" w:hAnsi="仿宋_GB2312" w:eastAsia="仿宋_GB2312" w:cs="仿宋_GB2312"/>
          <w:color w:val="000000"/>
          <w:sz w:val="32"/>
          <w:szCs w:val="32"/>
          <w:lang w:eastAsia="zh-CN"/>
        </w:rPr>
        <w:t>红原县</w:t>
      </w:r>
      <w:r>
        <w:rPr>
          <w:rFonts w:hint="eastAsia" w:ascii="仿宋_GB2312" w:hAnsi="仿宋_GB2312" w:eastAsia="仿宋_GB2312" w:cs="仿宋_GB2312"/>
          <w:color w:val="000000"/>
          <w:sz w:val="32"/>
          <w:szCs w:val="32"/>
        </w:rPr>
        <w:t>2019年度部门决算编制范围的</w:t>
      </w:r>
      <w:r>
        <w:rPr>
          <w:rFonts w:hint="eastAsia" w:ascii="仿宋_GB2312" w:hAnsi="仿宋_GB2312" w:eastAsia="仿宋_GB2312" w:cs="仿宋_GB2312"/>
          <w:color w:val="000000"/>
          <w:sz w:val="32"/>
          <w:szCs w:val="32"/>
          <w:lang w:eastAsia="zh-CN"/>
        </w:rPr>
        <w:t>一</w:t>
      </w:r>
      <w:r>
        <w:rPr>
          <w:rFonts w:hint="eastAsia" w:ascii="仿宋_GB2312" w:hAnsi="仿宋_GB2312" w:eastAsia="仿宋_GB2312" w:cs="仿宋_GB2312"/>
          <w:color w:val="000000"/>
          <w:sz w:val="32"/>
          <w:szCs w:val="32"/>
        </w:rPr>
        <w:t>级预算单位包括：</w:t>
      </w:r>
    </w:p>
    <w:p>
      <w:pPr>
        <w:pStyle w:val="2"/>
        <w:numPr>
          <w:ilvl w:val="0"/>
          <w:numId w:val="2"/>
        </w:numPr>
        <w:adjustRightInd w:val="0"/>
        <w:snapToGrid w:val="0"/>
        <w:spacing w:before="93" w:line="600" w:lineRule="exact"/>
        <w:jc w:val="left"/>
        <w:outlineLvl w:val="2"/>
        <w:rPr>
          <w:rFonts w:hint="eastAsia" w:ascii="仿宋_GB2312" w:hAnsi="仿宋_GB2312" w:eastAsia="仿宋_GB2312" w:cs="仿宋_GB2312"/>
          <w:color w:val="000000"/>
          <w:sz w:val="32"/>
          <w:szCs w:val="32"/>
        </w:rPr>
      </w:pPr>
      <w:bookmarkStart w:id="66" w:name="_Toc15378449"/>
      <w:bookmarkStart w:id="67" w:name="_Toc15377433"/>
      <w:bookmarkStart w:id="68" w:name="_Toc15306276"/>
      <w:bookmarkStart w:id="69" w:name="_Toc15377202"/>
      <w:r>
        <w:rPr>
          <w:rFonts w:hint="eastAsia" w:ascii="仿宋_GB2312" w:hAnsi="仿宋_GB2312" w:eastAsia="仿宋_GB2312" w:cs="仿宋_GB2312"/>
          <w:color w:val="000000"/>
          <w:sz w:val="32"/>
          <w:szCs w:val="32"/>
        </w:rPr>
        <w:t>四川省阿坝州红原县医疗保障局（行政）</w:t>
      </w:r>
      <w:bookmarkEnd w:id="66"/>
      <w:bookmarkEnd w:id="67"/>
      <w:bookmarkEnd w:id="68"/>
      <w:bookmarkEnd w:id="69"/>
      <w:bookmarkStart w:id="70" w:name="_Toc15306277"/>
      <w:bookmarkStart w:id="71" w:name="_Toc15377203"/>
      <w:bookmarkStart w:id="72" w:name="_Toc15378450"/>
      <w:bookmarkStart w:id="73" w:name="_Toc15377434"/>
    </w:p>
    <w:bookmarkEnd w:id="70"/>
    <w:bookmarkEnd w:id="71"/>
    <w:bookmarkEnd w:id="72"/>
    <w:bookmarkEnd w:id="73"/>
    <w:p>
      <w:pPr>
        <w:pStyle w:val="2"/>
        <w:adjustRightInd w:val="0"/>
        <w:snapToGrid w:val="0"/>
        <w:spacing w:before="93" w:line="60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2.四川省阿坝州红原城乡居民基本医疗保险管理办公室（本级）</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ind w:right="440"/>
        <w:jc w:val="center"/>
        <w:rPr>
          <w:rStyle w:val="25"/>
          <w:rFonts w:ascii="黑体" w:hAnsi="黑体" w:eastAsia="黑体"/>
          <w:b w:val="0"/>
          <w:bCs w:val="0"/>
        </w:rPr>
      </w:pPr>
      <w:bookmarkStart w:id="74" w:name="_Toc11780_WPSOffice_Level1"/>
      <w:bookmarkStart w:id="75" w:name="_Toc15396602"/>
      <w:bookmarkStart w:id="76"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74"/>
      <w:bookmarkEnd w:id="75"/>
      <w:bookmarkEnd w:id="76"/>
    </w:p>
    <w:p>
      <w:pPr>
        <w:jc w:val="left"/>
      </w:pPr>
    </w:p>
    <w:p>
      <w:pPr>
        <w:pStyle w:val="20"/>
        <w:numPr>
          <w:ilvl w:val="0"/>
          <w:numId w:val="3"/>
        </w:numPr>
        <w:spacing w:line="600" w:lineRule="exact"/>
        <w:ind w:firstLineChars="0"/>
        <w:jc w:val="left"/>
        <w:outlineLvl w:val="1"/>
        <w:rPr>
          <w:rStyle w:val="27"/>
          <w:rFonts w:ascii="黑体" w:hAnsi="黑体" w:eastAsia="黑体"/>
          <w:b w:val="0"/>
        </w:rPr>
      </w:pPr>
      <w:bookmarkStart w:id="77" w:name="_Toc15377205"/>
      <w:bookmarkStart w:id="78" w:name="_Toc21812_WPSOffice_Level2"/>
      <w:bookmarkStart w:id="79"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77"/>
      <w:bookmarkEnd w:id="78"/>
      <w:bookmarkEnd w:id="79"/>
    </w:p>
    <w:p>
      <w:pPr>
        <w:snapToGrid w:val="0"/>
        <w:spacing w:line="520" w:lineRule="exact"/>
        <w:ind w:firstLine="640" w:firstLineChars="200"/>
        <w:jc w:val="left"/>
        <w:rPr>
          <w:rFonts w:hint="eastAsia" w:ascii="仿宋" w:hAnsi="仿宋" w:eastAsia="仿宋" w:cs="Times New Roman"/>
          <w:color w:val="000000"/>
          <w:sz w:val="32"/>
          <w:szCs w:val="32"/>
          <w:lang w:val="en-US" w:eastAsia="zh-CN"/>
        </w:rPr>
      </w:pPr>
      <w:bookmarkStart w:id="80" w:name="_Toc15396604"/>
      <w:bookmarkStart w:id="81" w:name="_Toc15377206"/>
      <w:r>
        <w:rPr>
          <w:rFonts w:hint="eastAsia" w:ascii="仿宋_GB2312" w:hAnsi="仿宋" w:eastAsia="仿宋_GB2312" w:cs="Times New Roman"/>
          <w:sz w:val="32"/>
          <w:szCs w:val="32"/>
        </w:rPr>
        <w:t>201</w:t>
      </w:r>
      <w:r>
        <w:rPr>
          <w:rFonts w:hint="eastAsia" w:ascii="仿宋_GB2312" w:hAnsi="仿宋" w:eastAsia="仿宋_GB2312" w:cs="Times New Roman"/>
          <w:sz w:val="32"/>
          <w:szCs w:val="32"/>
          <w:lang w:val="en-US" w:eastAsia="zh-CN"/>
        </w:rPr>
        <w:t>9</w:t>
      </w:r>
      <w:r>
        <w:rPr>
          <w:rFonts w:hint="eastAsia" w:ascii="仿宋_GB2312" w:hAnsi="仿宋" w:eastAsia="仿宋_GB2312" w:cs="Times New Roman"/>
          <w:sz w:val="32"/>
          <w:szCs w:val="32"/>
        </w:rPr>
        <w:t>年度我单位</w:t>
      </w:r>
      <w:r>
        <w:rPr>
          <w:rFonts w:hint="eastAsia" w:ascii="仿宋_GB2312" w:hAnsi="仿宋" w:eastAsia="仿宋_GB2312" w:cs="Times New Roman"/>
          <w:sz w:val="32"/>
          <w:szCs w:val="32"/>
          <w:lang w:eastAsia="zh-CN"/>
        </w:rPr>
        <w:t>总</w:t>
      </w:r>
      <w:r>
        <w:rPr>
          <w:rFonts w:hint="eastAsia" w:ascii="仿宋_GB2312" w:hAnsi="仿宋" w:eastAsia="仿宋_GB2312" w:cs="Times New Roman"/>
          <w:sz w:val="32"/>
          <w:szCs w:val="32"/>
        </w:rPr>
        <w:t>收入共计</w:t>
      </w:r>
      <w:r>
        <w:rPr>
          <w:rFonts w:hint="eastAsia" w:ascii="仿宋_GB2312" w:hAnsi="仿宋" w:eastAsia="仿宋_GB2312" w:cs="Times New Roman"/>
          <w:sz w:val="32"/>
          <w:szCs w:val="32"/>
          <w:lang w:val="en-US" w:eastAsia="zh-CN"/>
        </w:rPr>
        <w:t>354.19万</w:t>
      </w:r>
      <w:r>
        <w:rPr>
          <w:rFonts w:hint="eastAsia" w:ascii="仿宋_GB2312" w:hAnsi="仿宋" w:eastAsia="仿宋_GB2312" w:cs="Times New Roman"/>
          <w:sz w:val="32"/>
          <w:szCs w:val="32"/>
        </w:rPr>
        <w:t>元，</w:t>
      </w:r>
      <w:r>
        <w:rPr>
          <w:rFonts w:hint="eastAsia" w:ascii="仿宋_GB2312" w:hAnsi="仿宋" w:eastAsia="仿宋_GB2312" w:cs="Times New Roman"/>
          <w:sz w:val="32"/>
          <w:szCs w:val="32"/>
          <w:lang w:eastAsia="zh-CN"/>
        </w:rPr>
        <w:t>与</w:t>
      </w:r>
      <w:r>
        <w:rPr>
          <w:rFonts w:hint="eastAsia" w:ascii="仿宋_GB2312" w:hAnsi="仿宋" w:eastAsia="仿宋_GB2312" w:cs="Times New Roman"/>
          <w:sz w:val="32"/>
          <w:szCs w:val="32"/>
          <w:lang w:val="en-US" w:eastAsia="zh-CN"/>
        </w:rPr>
        <w:t>2018年相比，收入</w:t>
      </w:r>
      <w:r>
        <w:rPr>
          <w:rFonts w:hint="eastAsia" w:ascii="仿宋_GB2312" w:hAnsi="仿宋" w:eastAsia="仿宋_GB2312" w:cs="Times New Roman"/>
          <w:sz w:val="32"/>
          <w:szCs w:val="32"/>
          <w:lang w:eastAsia="zh-CN"/>
        </w:rPr>
        <w:t>增加了</w:t>
      </w:r>
      <w:r>
        <w:rPr>
          <w:rFonts w:hint="eastAsia" w:ascii="仿宋_GB2312" w:hAnsi="仿宋" w:eastAsia="仿宋_GB2312" w:cs="Times New Roman"/>
          <w:sz w:val="32"/>
          <w:szCs w:val="32"/>
          <w:lang w:val="en-US" w:eastAsia="zh-CN"/>
        </w:rPr>
        <w:t>24.14万元，增长率7%。</w:t>
      </w:r>
      <w:r>
        <w:rPr>
          <w:rFonts w:hint="eastAsia" w:ascii="仿宋" w:hAnsi="仿宋" w:eastAsia="仿宋" w:cs="Times New Roman"/>
          <w:color w:val="000000"/>
          <w:sz w:val="32"/>
          <w:szCs w:val="32"/>
        </w:rPr>
        <w:t>主要变动原因</w:t>
      </w:r>
      <w:r>
        <w:rPr>
          <w:rFonts w:hint="eastAsia" w:ascii="仿宋" w:hAnsi="仿宋" w:eastAsia="仿宋" w:cs="Times New Roman"/>
          <w:color w:val="000000"/>
          <w:sz w:val="32"/>
          <w:szCs w:val="32"/>
          <w:lang w:val="en-US" w:eastAsia="zh-CN"/>
        </w:rPr>
        <w:t>2019年机构改革，医保局从人社二级局机改为红原县人民政府的工作部门，为正科级，</w:t>
      </w:r>
      <w:r>
        <w:rPr>
          <w:rFonts w:hint="eastAsia" w:ascii="仿宋" w:hAnsi="仿宋" w:eastAsia="仿宋" w:cs="Times New Roman"/>
          <w:color w:val="000000"/>
          <w:sz w:val="32"/>
          <w:szCs w:val="32"/>
          <w:lang w:eastAsia="zh-CN"/>
        </w:rPr>
        <w:t>人员增加，经费增加</w:t>
      </w:r>
      <w:r>
        <w:rPr>
          <w:rFonts w:hint="eastAsia" w:ascii="仿宋" w:hAnsi="仿宋" w:eastAsia="仿宋" w:cs="Times New Roman"/>
          <w:color w:val="000000"/>
          <w:sz w:val="32"/>
          <w:szCs w:val="32"/>
          <w:lang w:val="en-US" w:eastAsia="zh-CN"/>
        </w:rPr>
        <w:t>。2019年我单位</w:t>
      </w:r>
      <w:r>
        <w:rPr>
          <w:rFonts w:hint="eastAsia" w:ascii="仿宋" w:hAnsi="仿宋" w:eastAsia="仿宋" w:cs="Times New Roman"/>
          <w:color w:val="000000"/>
          <w:sz w:val="32"/>
          <w:szCs w:val="32"/>
          <w:lang w:eastAsia="zh-CN"/>
        </w:rPr>
        <w:t>支出总计</w:t>
      </w:r>
      <w:r>
        <w:rPr>
          <w:rFonts w:hint="eastAsia" w:ascii="仿宋" w:hAnsi="仿宋" w:eastAsia="仿宋" w:cs="Times New Roman"/>
          <w:color w:val="000000"/>
          <w:sz w:val="32"/>
          <w:szCs w:val="32"/>
          <w:lang w:val="en-US" w:eastAsia="zh-CN"/>
        </w:rPr>
        <w:t>355.83万元，</w:t>
      </w:r>
      <w:r>
        <w:rPr>
          <w:rFonts w:hint="eastAsia" w:ascii="仿宋" w:hAnsi="仿宋" w:eastAsia="仿宋" w:cs="Times New Roman"/>
          <w:color w:val="000000"/>
          <w:sz w:val="32"/>
          <w:szCs w:val="32"/>
        </w:rPr>
        <w:t>与201</w:t>
      </w:r>
      <w:r>
        <w:rPr>
          <w:rFonts w:hint="eastAsia" w:ascii="仿宋" w:hAnsi="仿宋" w:eastAsia="仿宋" w:cs="Times New Roman"/>
          <w:color w:val="000000"/>
          <w:sz w:val="32"/>
          <w:szCs w:val="32"/>
          <w:lang w:val="en-US" w:eastAsia="zh-CN"/>
        </w:rPr>
        <w:t>8</w:t>
      </w:r>
      <w:r>
        <w:rPr>
          <w:rFonts w:hint="eastAsia" w:ascii="仿宋" w:hAnsi="仿宋" w:eastAsia="仿宋" w:cs="Times New Roman"/>
          <w:color w:val="000000"/>
          <w:sz w:val="32"/>
          <w:szCs w:val="32"/>
        </w:rPr>
        <w:t>年相比，支</w:t>
      </w:r>
      <w:r>
        <w:rPr>
          <w:rFonts w:hint="eastAsia" w:ascii="仿宋" w:hAnsi="仿宋" w:eastAsia="仿宋" w:cs="Times New Roman"/>
          <w:color w:val="000000"/>
          <w:sz w:val="32"/>
          <w:szCs w:val="32"/>
          <w:lang w:eastAsia="zh-CN"/>
        </w:rPr>
        <w:t>出</w:t>
      </w:r>
      <w:r>
        <w:rPr>
          <w:rFonts w:hint="eastAsia" w:ascii="仿宋" w:hAnsi="仿宋" w:eastAsia="仿宋" w:cs="Times New Roman"/>
          <w:color w:val="000000"/>
          <w:sz w:val="32"/>
          <w:szCs w:val="32"/>
        </w:rPr>
        <w:t>总计增加</w:t>
      </w:r>
      <w:r>
        <w:rPr>
          <w:rFonts w:hint="eastAsia" w:ascii="仿宋" w:hAnsi="仿宋" w:eastAsia="仿宋" w:cs="Times New Roman"/>
          <w:color w:val="000000"/>
          <w:sz w:val="32"/>
          <w:szCs w:val="32"/>
          <w:lang w:val="en-US" w:eastAsia="zh-CN"/>
        </w:rPr>
        <w:t>21.05</w:t>
      </w:r>
      <w:r>
        <w:rPr>
          <w:rFonts w:hint="eastAsia" w:ascii="仿宋" w:hAnsi="仿宋" w:eastAsia="仿宋" w:cs="Times New Roman"/>
          <w:color w:val="000000"/>
          <w:sz w:val="32"/>
          <w:szCs w:val="32"/>
        </w:rPr>
        <w:t>万元，增长</w:t>
      </w:r>
      <w:r>
        <w:rPr>
          <w:rFonts w:hint="eastAsia" w:ascii="仿宋" w:hAnsi="仿宋" w:eastAsia="仿宋" w:cs="Times New Roman"/>
          <w:color w:val="000000"/>
          <w:sz w:val="32"/>
          <w:szCs w:val="32"/>
          <w:lang w:val="en-US" w:eastAsia="zh-CN"/>
        </w:rPr>
        <w:t>6</w:t>
      </w:r>
      <w:r>
        <w:rPr>
          <w:rFonts w:ascii="仿宋" w:hAnsi="仿宋" w:eastAsia="仿宋" w:cs="Times New Roman"/>
          <w:color w:val="000000"/>
          <w:sz w:val="32"/>
          <w:szCs w:val="32"/>
        </w:rPr>
        <w:t>%</w:t>
      </w:r>
      <w:r>
        <w:rPr>
          <w:rFonts w:hint="eastAsia" w:ascii="仿宋" w:hAnsi="仿宋" w:eastAsia="仿宋" w:cs="Times New Roman"/>
          <w:color w:val="000000"/>
          <w:sz w:val="32"/>
          <w:szCs w:val="32"/>
        </w:rPr>
        <w:t>。主要变动原因是</w:t>
      </w:r>
      <w:r>
        <w:rPr>
          <w:rFonts w:hint="eastAsia" w:ascii="仿宋" w:hAnsi="仿宋" w:eastAsia="仿宋" w:cs="Times New Roman"/>
          <w:color w:val="000000"/>
          <w:sz w:val="32"/>
          <w:szCs w:val="32"/>
          <w:lang w:val="en-US" w:eastAsia="zh-CN"/>
        </w:rPr>
        <w:t>2019年机改为红原县医疗保障局人员增加，人员经费标准提高，经费支出增加。</w:t>
      </w:r>
    </w:p>
    <w:p>
      <w:pPr>
        <w:snapToGrid w:val="0"/>
        <w:spacing w:line="520" w:lineRule="exact"/>
        <w:ind w:firstLine="420" w:firstLineChars="200"/>
        <w:jc w:val="left"/>
        <w:rPr>
          <w:rFonts w:hint="eastAsia" w:ascii="仿宋" w:hAnsi="仿宋" w:eastAsia="仿宋" w:cs="Times New Roman"/>
          <w:color w:val="000000"/>
          <w:sz w:val="32"/>
          <w:szCs w:val="32"/>
          <w:lang w:val="en-US" w:eastAsia="zh-CN"/>
        </w:rPr>
      </w:pPr>
      <w:r>
        <w:drawing>
          <wp:anchor distT="0" distB="0" distL="0" distR="0" simplePos="0" relativeHeight="251659264" behindDoc="0" locked="0" layoutInCell="1" allowOverlap="1">
            <wp:simplePos x="0" y="0"/>
            <wp:positionH relativeFrom="column">
              <wp:posOffset>499745</wp:posOffset>
            </wp:positionH>
            <wp:positionV relativeFrom="paragraph">
              <wp:posOffset>45085</wp:posOffset>
            </wp:positionV>
            <wp:extent cx="4267200" cy="2838450"/>
            <wp:effectExtent l="4445" t="4445" r="14605" b="14605"/>
            <wp:wrapSquare wrapText="bothSides"/>
            <wp:docPr id="1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jc w:val="left"/>
        <w:rPr>
          <w:rFonts w:hint="eastAsia" w:ascii="仿宋" w:hAnsi="仿宋" w:eastAsia="仿宋" w:cs="Times New Roman"/>
          <w:color w:val="000000"/>
          <w:sz w:val="32"/>
          <w:szCs w:val="32"/>
          <w:lang w:val="en-US" w:eastAsia="zh-CN"/>
        </w:rPr>
      </w:pPr>
    </w:p>
    <w:p>
      <w:pPr>
        <w:spacing w:line="240" w:lineRule="auto"/>
        <w:ind w:firstLine="640" w:firstLineChars="200"/>
        <w:jc w:val="left"/>
        <w:rPr>
          <w:rFonts w:hint="default" w:ascii="仿宋" w:hAnsi="仿宋" w:eastAsia="仿宋" w:cs="Times New Roman"/>
          <w:color w:val="000000"/>
          <w:sz w:val="32"/>
          <w:szCs w:val="32"/>
          <w:lang w:val="en-US" w:eastAsia="zh-CN"/>
        </w:rPr>
      </w:pPr>
    </w:p>
    <w:p>
      <w:pPr>
        <w:spacing w:line="600" w:lineRule="exact"/>
        <w:jc w:val="left"/>
        <w:rPr>
          <w:rFonts w:hint="default" w:ascii="仿宋" w:hAnsi="仿宋" w:eastAsia="仿宋" w:cs="Times New Roman"/>
          <w:color w:val="000000"/>
          <w:sz w:val="32"/>
          <w:szCs w:val="32"/>
          <w:lang w:val="en-US" w:eastAsia="zh-CN"/>
        </w:rPr>
      </w:pPr>
    </w:p>
    <w:p>
      <w:pPr>
        <w:spacing w:line="600" w:lineRule="exact"/>
        <w:ind w:firstLine="640" w:firstLineChars="200"/>
        <w:jc w:val="left"/>
        <w:rPr>
          <w:rFonts w:ascii="仿宋" w:hAnsi="仿宋" w:eastAsia="仿宋" w:cs="Times New Roman"/>
          <w:color w:val="000000"/>
          <w:sz w:val="32"/>
          <w:szCs w:val="32"/>
        </w:rPr>
      </w:pPr>
      <w:r>
        <w:rPr>
          <w:rFonts w:hint="eastAsia" w:ascii="仿宋" w:hAnsi="仿宋" w:eastAsia="仿宋" w:cs="Times New Roman"/>
          <w:color w:val="000000"/>
          <w:sz w:val="32"/>
          <w:szCs w:val="32"/>
        </w:rPr>
        <w:t>（图</w:t>
      </w:r>
      <w:r>
        <w:rPr>
          <w:rFonts w:ascii="仿宋" w:hAnsi="仿宋" w:eastAsia="仿宋" w:cs="Times New Roman"/>
          <w:color w:val="000000"/>
          <w:sz w:val="32"/>
          <w:szCs w:val="32"/>
        </w:rPr>
        <w:t>1</w:t>
      </w:r>
      <w:r>
        <w:rPr>
          <w:rFonts w:hint="eastAsia" w:ascii="仿宋" w:hAnsi="仿宋" w:eastAsia="仿宋" w:cs="Times New Roman"/>
          <w:color w:val="000000"/>
          <w:sz w:val="32"/>
          <w:szCs w:val="32"/>
        </w:rPr>
        <w:t>：收、支决算总计变动情况图）（柱状图）</w:t>
      </w:r>
    </w:p>
    <w:p>
      <w:pPr>
        <w:spacing w:line="600" w:lineRule="exact"/>
        <w:ind w:firstLine="640" w:firstLineChars="200"/>
        <w:jc w:val="left"/>
        <w:rPr>
          <w:rFonts w:ascii="仿宋_GB2312" w:hAnsi="Times New Roman" w:eastAsia="仿宋_GB2312" w:cs="Times New Roman"/>
          <w:color w:val="000000"/>
          <w:sz w:val="32"/>
          <w:szCs w:val="32"/>
        </w:rPr>
      </w:pPr>
    </w:p>
    <w:p>
      <w:pPr>
        <w:pStyle w:val="20"/>
        <w:numPr>
          <w:ilvl w:val="0"/>
          <w:numId w:val="3"/>
        </w:numPr>
        <w:spacing w:line="600" w:lineRule="exact"/>
        <w:ind w:firstLineChars="0"/>
        <w:jc w:val="left"/>
        <w:outlineLvl w:val="1"/>
        <w:rPr>
          <w:rStyle w:val="27"/>
          <w:rFonts w:ascii="黑体" w:hAnsi="黑体" w:eastAsia="黑体"/>
          <w:b w:val="0"/>
        </w:rPr>
      </w:pPr>
      <w:bookmarkStart w:id="82" w:name="_Toc7475_WPSOffice_Level2"/>
      <w:r>
        <w:rPr>
          <w:rFonts w:hint="eastAsia" w:ascii="黑体" w:hAnsi="黑体" w:eastAsia="黑体"/>
          <w:color w:val="000000"/>
          <w:sz w:val="32"/>
          <w:szCs w:val="32"/>
        </w:rPr>
        <w:t>收</w:t>
      </w:r>
      <w:r>
        <w:rPr>
          <w:rStyle w:val="27"/>
          <w:rFonts w:hint="eastAsia" w:ascii="黑体" w:hAnsi="黑体" w:eastAsia="黑体"/>
          <w:b w:val="0"/>
        </w:rPr>
        <w:t>入决算情况说明</w:t>
      </w:r>
      <w:bookmarkEnd w:id="80"/>
      <w:bookmarkEnd w:id="81"/>
      <w:bookmarkEnd w:id="82"/>
    </w:p>
    <w:p>
      <w:pPr>
        <w:spacing w:line="600" w:lineRule="exact"/>
        <w:ind w:firstLine="640" w:firstLineChars="200"/>
        <w:jc w:val="left"/>
        <w:outlineLvl w:val="1"/>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354.19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354.19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val="en-US" w:eastAsia="zh-CN"/>
        </w:rPr>
        <w:t xml:space="preserve"> 。年初收入结转结余1.65万元。</w:t>
      </w:r>
    </w:p>
    <w:p>
      <w:pPr>
        <w:spacing w:line="240" w:lineRule="auto"/>
        <w:ind w:firstLine="0" w:firstLineChars="0"/>
        <w:jc w:val="left"/>
        <w:outlineLvl w:val="1"/>
        <w:rPr>
          <w:rFonts w:hint="default" w:ascii="仿宋" w:hAnsi="仿宋" w:eastAsia="仿宋"/>
          <w:color w:val="000000"/>
          <w:sz w:val="32"/>
          <w:szCs w:val="32"/>
          <w:lang w:val="en-US" w:eastAsia="zh-CN"/>
        </w:rPr>
      </w:pPr>
      <w:r>
        <w:drawing>
          <wp:anchor distT="0" distB="0" distL="0" distR="0" simplePos="0" relativeHeight="251659264" behindDoc="1" locked="0" layoutInCell="1" allowOverlap="1">
            <wp:simplePos x="0" y="0"/>
            <wp:positionH relativeFrom="column">
              <wp:posOffset>20955</wp:posOffset>
            </wp:positionH>
            <wp:positionV relativeFrom="paragraph">
              <wp:posOffset>362585</wp:posOffset>
            </wp:positionV>
            <wp:extent cx="4610100" cy="2581275"/>
            <wp:effectExtent l="4445" t="4445" r="14605" b="5080"/>
            <wp:wrapTight wrapText="bothSides">
              <wp:wrapPolygon>
                <wp:start x="-21" y="-37"/>
                <wp:lineTo x="-21" y="21483"/>
                <wp:lineTo x="21579" y="21483"/>
                <wp:lineTo x="21579" y="-37"/>
                <wp:lineTo x="-21" y="-37"/>
              </wp:wrapPolygon>
            </wp:wrapTight>
            <wp:docPr id="1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jc w:val="left"/>
        <w:outlineLvl w:val="1"/>
        <w:rPr>
          <w:rFonts w:hint="eastAsia" w:ascii="仿宋" w:hAnsi="仿宋" w:eastAsia="仿宋"/>
          <w:color w:val="000000"/>
          <w:sz w:val="32"/>
          <w:szCs w:val="32"/>
          <w:lang w:eastAsia="zh-CN"/>
        </w:rPr>
      </w:pPr>
    </w:p>
    <w:p>
      <w:pPr>
        <w:spacing w:line="600" w:lineRule="exact"/>
        <w:ind w:firstLine="640" w:firstLineChars="200"/>
        <w:jc w:val="left"/>
        <w:outlineLvl w:val="1"/>
        <w:rPr>
          <w:rFonts w:hint="eastAsia" w:ascii="仿宋" w:hAnsi="仿宋" w:eastAsia="仿宋"/>
          <w:color w:val="000000"/>
          <w:sz w:val="32"/>
          <w:szCs w:val="32"/>
          <w:lang w:eastAsia="zh-CN"/>
        </w:rPr>
      </w:pPr>
    </w:p>
    <w:p>
      <w:pPr>
        <w:spacing w:line="600" w:lineRule="exact"/>
        <w:ind w:firstLine="640" w:firstLineChars="200"/>
        <w:jc w:val="left"/>
        <w:outlineLvl w:val="1"/>
        <w:rPr>
          <w:rFonts w:hint="eastAsia" w:ascii="仿宋" w:hAnsi="仿宋" w:eastAsia="仿宋"/>
          <w:color w:val="000000"/>
          <w:sz w:val="32"/>
          <w:szCs w:val="32"/>
          <w:lang w:eastAsia="zh-CN"/>
        </w:rPr>
      </w:pPr>
    </w:p>
    <w:p>
      <w:pPr>
        <w:spacing w:line="600" w:lineRule="exact"/>
        <w:ind w:firstLine="640" w:firstLineChars="200"/>
        <w:jc w:val="left"/>
        <w:outlineLvl w:val="1"/>
        <w:rPr>
          <w:rFonts w:hint="eastAsia" w:ascii="仿宋" w:hAnsi="仿宋" w:eastAsia="仿宋"/>
          <w:color w:val="000000"/>
          <w:sz w:val="32"/>
          <w:szCs w:val="32"/>
          <w:lang w:eastAsia="zh-CN"/>
        </w:rPr>
      </w:pPr>
    </w:p>
    <w:p>
      <w:pPr>
        <w:spacing w:line="600" w:lineRule="exact"/>
        <w:ind w:firstLine="640" w:firstLineChars="200"/>
        <w:jc w:val="left"/>
        <w:outlineLvl w:val="1"/>
        <w:rPr>
          <w:rFonts w:hint="eastAsia" w:ascii="仿宋" w:hAnsi="仿宋" w:eastAsia="仿宋"/>
          <w:color w:val="000000"/>
          <w:sz w:val="32"/>
          <w:szCs w:val="32"/>
          <w:lang w:eastAsia="zh-CN"/>
        </w:rPr>
      </w:pPr>
    </w:p>
    <w:p>
      <w:pPr>
        <w:spacing w:line="600" w:lineRule="exact"/>
        <w:ind w:firstLine="640" w:firstLineChars="200"/>
        <w:jc w:val="left"/>
        <w:rPr>
          <w:rFonts w:hint="eastAsia" w:ascii="仿宋" w:hAnsi="仿宋" w:eastAsia="仿宋"/>
          <w:color w:val="000000"/>
          <w:sz w:val="32"/>
          <w:szCs w:val="32"/>
          <w:lang w:val="en-US" w:eastAsia="zh-CN"/>
        </w:rPr>
      </w:pPr>
    </w:p>
    <w:p>
      <w:pPr>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（图2：收入决算结构图）（饼状图）</w:t>
      </w:r>
    </w:p>
    <w:p>
      <w:pPr>
        <w:spacing w:line="600" w:lineRule="exact"/>
        <w:ind w:firstLine="640" w:firstLineChars="200"/>
        <w:jc w:val="left"/>
        <w:rPr>
          <w:rFonts w:ascii="仿宋_GB2312" w:eastAsia="仿宋_GB2312"/>
          <w:color w:val="FF0000"/>
          <w:sz w:val="32"/>
          <w:szCs w:val="32"/>
        </w:rPr>
      </w:pPr>
    </w:p>
    <w:p>
      <w:pPr>
        <w:pStyle w:val="20"/>
        <w:numPr>
          <w:ilvl w:val="0"/>
          <w:numId w:val="3"/>
        </w:numPr>
        <w:spacing w:line="600" w:lineRule="exact"/>
        <w:ind w:firstLineChars="0"/>
        <w:jc w:val="left"/>
        <w:outlineLvl w:val="1"/>
        <w:rPr>
          <w:rStyle w:val="27"/>
          <w:rFonts w:ascii="黑体" w:hAnsi="黑体" w:eastAsia="黑体"/>
          <w:b w:val="0"/>
        </w:rPr>
      </w:pPr>
      <w:bookmarkStart w:id="83" w:name="_Toc13105_WPSOffice_Level2"/>
      <w:bookmarkStart w:id="84" w:name="_Toc15396605"/>
      <w:bookmarkStart w:id="85"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83"/>
      <w:bookmarkEnd w:id="84"/>
      <w:bookmarkEnd w:id="85"/>
    </w:p>
    <w:p>
      <w:pPr>
        <w:spacing w:line="600" w:lineRule="exact"/>
        <w:ind w:firstLine="420" w:firstLineChars="200"/>
        <w:jc w:val="left"/>
        <w:outlineLvl w:val="1"/>
        <w:rPr>
          <w:rFonts w:hint="eastAsia" w:ascii="仿宋" w:hAnsi="仿宋" w:eastAsia="仿宋"/>
          <w:color w:val="000000"/>
          <w:sz w:val="32"/>
          <w:szCs w:val="32"/>
          <w:lang w:eastAsia="zh-CN"/>
        </w:rPr>
      </w:pPr>
      <w:r>
        <w:drawing>
          <wp:anchor distT="0" distB="0" distL="0" distR="0" simplePos="0" relativeHeight="251659264" behindDoc="0" locked="0" layoutInCell="1" allowOverlap="1">
            <wp:simplePos x="0" y="0"/>
            <wp:positionH relativeFrom="column">
              <wp:posOffset>-37465</wp:posOffset>
            </wp:positionH>
            <wp:positionV relativeFrom="paragraph">
              <wp:posOffset>913130</wp:posOffset>
            </wp:positionV>
            <wp:extent cx="5486400" cy="3200400"/>
            <wp:effectExtent l="4445" t="4445" r="14605" b="14605"/>
            <wp:wrapSquare wrapText="bothSides"/>
            <wp:docPr id="1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355.83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350.83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0" w:firstLineChars="200"/>
        <w:jc w:val="left"/>
        <w:outlineLvl w:val="1"/>
        <w:rPr>
          <w:rFonts w:hint="eastAsia" w:ascii="仿宋" w:hAnsi="仿宋" w:eastAsia="仿宋"/>
          <w:color w:val="000000"/>
          <w:sz w:val="32"/>
          <w:szCs w:val="32"/>
          <w:lang w:eastAsia="zh-CN"/>
        </w:rPr>
      </w:pPr>
    </w:p>
    <w:p>
      <w:pPr>
        <w:spacing w:line="600" w:lineRule="exact"/>
        <w:ind w:firstLine="640" w:firstLineChars="200"/>
        <w:jc w:val="left"/>
        <w:outlineLvl w:val="1"/>
        <w:rPr>
          <w:rFonts w:ascii="仿宋" w:hAnsi="仿宋" w:eastAsia="仿宋"/>
          <w:color w:val="000000"/>
          <w:sz w:val="32"/>
          <w:szCs w:val="32"/>
        </w:rPr>
      </w:pPr>
      <w:r>
        <w:rPr>
          <w:rFonts w:hint="eastAsia" w:ascii="仿宋" w:hAnsi="仿宋" w:eastAsia="仿宋"/>
          <w:color w:val="000000"/>
          <w:sz w:val="32"/>
          <w:szCs w:val="32"/>
        </w:rPr>
        <w:t>（图3：支出决算结构图）（饼状图）</w:t>
      </w:r>
    </w:p>
    <w:p>
      <w:pPr>
        <w:spacing w:line="600" w:lineRule="exact"/>
        <w:ind w:firstLine="640" w:firstLineChars="200"/>
        <w:jc w:val="left"/>
        <w:rPr>
          <w:rFonts w:ascii="仿宋_GB2312" w:eastAsia="仿宋_GB2312"/>
          <w:color w:val="FF0000"/>
          <w:sz w:val="32"/>
          <w:szCs w:val="32"/>
        </w:rPr>
      </w:pPr>
    </w:p>
    <w:p>
      <w:pPr>
        <w:spacing w:line="600" w:lineRule="exact"/>
        <w:ind w:firstLine="640" w:firstLineChars="200"/>
        <w:jc w:val="left"/>
        <w:outlineLvl w:val="1"/>
        <w:rPr>
          <w:rStyle w:val="27"/>
          <w:rFonts w:ascii="黑体" w:hAnsi="黑体" w:eastAsia="黑体"/>
          <w:b w:val="0"/>
        </w:rPr>
      </w:pPr>
      <w:bookmarkStart w:id="86" w:name="_Toc15396606"/>
      <w:bookmarkStart w:id="87" w:name="_Toc18618_WPSOffice_Level2"/>
      <w:bookmarkStart w:id="88"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86"/>
      <w:bookmarkEnd w:id="87"/>
      <w:bookmarkEnd w:id="88"/>
    </w:p>
    <w:p>
      <w:pPr>
        <w:snapToGrid w:val="0"/>
        <w:spacing w:line="520" w:lineRule="exact"/>
        <w:ind w:firstLine="640" w:firstLineChars="200"/>
        <w:jc w:val="left"/>
        <w:rPr>
          <w:rFonts w:hint="eastAsia" w:ascii="仿宋" w:hAnsi="仿宋" w:eastAsia="仿宋" w:cs="Times New Roman"/>
          <w:color w:val="000000"/>
          <w:sz w:val="32"/>
          <w:szCs w:val="32"/>
          <w:lang w:val="en-US" w:eastAsia="zh-CN"/>
        </w:rPr>
      </w:pPr>
      <w:r>
        <w:rPr>
          <w:rFonts w:hint="eastAsia" w:ascii="仿宋_GB2312" w:hAnsi="仿宋" w:eastAsia="仿宋_GB2312" w:cs="Times New Roman"/>
          <w:sz w:val="32"/>
          <w:szCs w:val="32"/>
        </w:rPr>
        <w:t>201</w:t>
      </w:r>
      <w:r>
        <w:rPr>
          <w:rFonts w:hint="eastAsia" w:ascii="仿宋_GB2312" w:hAnsi="仿宋" w:eastAsia="仿宋_GB2312" w:cs="Times New Roman"/>
          <w:sz w:val="32"/>
          <w:szCs w:val="32"/>
          <w:lang w:val="en-US" w:eastAsia="zh-CN"/>
        </w:rPr>
        <w:t>9</w:t>
      </w:r>
      <w:r>
        <w:rPr>
          <w:rFonts w:hint="eastAsia" w:ascii="仿宋_GB2312" w:hAnsi="仿宋" w:eastAsia="仿宋_GB2312" w:cs="Times New Roman"/>
          <w:sz w:val="32"/>
          <w:szCs w:val="32"/>
        </w:rPr>
        <w:t>年度我单位</w:t>
      </w:r>
      <w:r>
        <w:rPr>
          <w:rFonts w:hint="eastAsia" w:ascii="仿宋_GB2312" w:hAnsi="仿宋" w:eastAsia="仿宋_GB2312" w:cs="Times New Roman"/>
          <w:sz w:val="32"/>
          <w:szCs w:val="32"/>
          <w:lang w:eastAsia="zh-CN"/>
        </w:rPr>
        <w:t>财政拨款</w:t>
      </w:r>
      <w:r>
        <w:rPr>
          <w:rFonts w:hint="eastAsia" w:ascii="仿宋_GB2312" w:hAnsi="仿宋" w:eastAsia="仿宋_GB2312" w:cs="Times New Roman"/>
          <w:sz w:val="32"/>
          <w:szCs w:val="32"/>
        </w:rPr>
        <w:t>收入共计</w:t>
      </w:r>
      <w:r>
        <w:rPr>
          <w:rFonts w:hint="eastAsia" w:ascii="仿宋_GB2312" w:hAnsi="仿宋" w:eastAsia="仿宋_GB2312" w:cs="Times New Roman"/>
          <w:sz w:val="32"/>
          <w:szCs w:val="32"/>
          <w:lang w:val="en-US" w:eastAsia="zh-CN"/>
        </w:rPr>
        <w:t>354.19万</w:t>
      </w:r>
      <w:r>
        <w:rPr>
          <w:rFonts w:hint="eastAsia" w:ascii="仿宋_GB2312" w:hAnsi="仿宋" w:eastAsia="仿宋_GB2312" w:cs="Times New Roman"/>
          <w:sz w:val="32"/>
          <w:szCs w:val="32"/>
        </w:rPr>
        <w:t>元，</w:t>
      </w:r>
      <w:r>
        <w:rPr>
          <w:rFonts w:hint="eastAsia" w:ascii="仿宋_GB2312" w:hAnsi="仿宋" w:eastAsia="仿宋_GB2312" w:cs="Times New Roman"/>
          <w:sz w:val="32"/>
          <w:szCs w:val="32"/>
          <w:lang w:eastAsia="zh-CN"/>
        </w:rPr>
        <w:t>与</w:t>
      </w:r>
      <w:r>
        <w:rPr>
          <w:rFonts w:hint="eastAsia" w:ascii="仿宋_GB2312" w:hAnsi="仿宋" w:eastAsia="仿宋_GB2312" w:cs="Times New Roman"/>
          <w:sz w:val="32"/>
          <w:szCs w:val="32"/>
          <w:lang w:val="en-US" w:eastAsia="zh-CN"/>
        </w:rPr>
        <w:t>2018年相比，收入</w:t>
      </w:r>
      <w:r>
        <w:rPr>
          <w:rFonts w:hint="eastAsia" w:ascii="仿宋_GB2312" w:hAnsi="仿宋" w:eastAsia="仿宋_GB2312" w:cs="Times New Roman"/>
          <w:sz w:val="32"/>
          <w:szCs w:val="32"/>
          <w:lang w:eastAsia="zh-CN"/>
        </w:rPr>
        <w:t>增加了</w:t>
      </w:r>
      <w:r>
        <w:rPr>
          <w:rFonts w:hint="eastAsia" w:ascii="仿宋_GB2312" w:hAnsi="仿宋" w:eastAsia="仿宋_GB2312" w:cs="Times New Roman"/>
          <w:sz w:val="32"/>
          <w:szCs w:val="32"/>
          <w:lang w:val="en-US" w:eastAsia="zh-CN"/>
        </w:rPr>
        <w:t>24.14万元，增长率7%。</w:t>
      </w:r>
      <w:r>
        <w:rPr>
          <w:rFonts w:hint="eastAsia" w:ascii="仿宋" w:hAnsi="仿宋" w:eastAsia="仿宋" w:cs="Times New Roman"/>
          <w:color w:val="000000"/>
          <w:sz w:val="32"/>
          <w:szCs w:val="32"/>
        </w:rPr>
        <w:t>主要变动原因</w:t>
      </w:r>
      <w:r>
        <w:rPr>
          <w:rFonts w:hint="eastAsia" w:ascii="仿宋" w:hAnsi="仿宋" w:eastAsia="仿宋" w:cs="Times New Roman"/>
          <w:color w:val="000000"/>
          <w:sz w:val="32"/>
          <w:szCs w:val="32"/>
          <w:lang w:val="en-US" w:eastAsia="zh-CN"/>
        </w:rPr>
        <w:t>2019年机构改革，医保局从人社二级局机改为红原县人民政府的工作部门，为正科级，</w:t>
      </w:r>
      <w:r>
        <w:rPr>
          <w:rFonts w:hint="eastAsia" w:ascii="仿宋" w:hAnsi="仿宋" w:eastAsia="仿宋" w:cs="Times New Roman"/>
          <w:color w:val="000000"/>
          <w:sz w:val="32"/>
          <w:szCs w:val="32"/>
          <w:lang w:eastAsia="zh-CN"/>
        </w:rPr>
        <w:t>人员增加，经费增加</w:t>
      </w:r>
      <w:r>
        <w:rPr>
          <w:rFonts w:hint="eastAsia" w:ascii="仿宋" w:hAnsi="仿宋" w:eastAsia="仿宋" w:cs="Times New Roman"/>
          <w:color w:val="000000"/>
          <w:sz w:val="32"/>
          <w:szCs w:val="32"/>
          <w:lang w:val="en-US" w:eastAsia="zh-CN"/>
        </w:rPr>
        <w:t>。2019年我单位财政拨款</w:t>
      </w:r>
      <w:r>
        <w:rPr>
          <w:rFonts w:hint="eastAsia" w:ascii="仿宋" w:hAnsi="仿宋" w:eastAsia="仿宋" w:cs="Times New Roman"/>
          <w:color w:val="000000"/>
          <w:sz w:val="32"/>
          <w:szCs w:val="32"/>
          <w:lang w:eastAsia="zh-CN"/>
        </w:rPr>
        <w:t>支出总计</w:t>
      </w:r>
      <w:r>
        <w:rPr>
          <w:rFonts w:hint="eastAsia" w:ascii="仿宋" w:hAnsi="仿宋" w:eastAsia="仿宋" w:cs="Times New Roman"/>
          <w:color w:val="000000"/>
          <w:sz w:val="32"/>
          <w:szCs w:val="32"/>
          <w:lang w:val="en-US" w:eastAsia="zh-CN"/>
        </w:rPr>
        <w:t>355.83万元，</w:t>
      </w:r>
      <w:r>
        <w:rPr>
          <w:rFonts w:hint="eastAsia" w:ascii="仿宋" w:hAnsi="仿宋" w:eastAsia="仿宋" w:cs="Times New Roman"/>
          <w:color w:val="000000"/>
          <w:sz w:val="32"/>
          <w:szCs w:val="32"/>
        </w:rPr>
        <w:t>与201</w:t>
      </w:r>
      <w:r>
        <w:rPr>
          <w:rFonts w:hint="eastAsia" w:ascii="仿宋" w:hAnsi="仿宋" w:eastAsia="仿宋" w:cs="Times New Roman"/>
          <w:color w:val="000000"/>
          <w:sz w:val="32"/>
          <w:szCs w:val="32"/>
          <w:lang w:val="en-US" w:eastAsia="zh-CN"/>
        </w:rPr>
        <w:t>8</w:t>
      </w:r>
      <w:r>
        <w:rPr>
          <w:rFonts w:hint="eastAsia" w:ascii="仿宋" w:hAnsi="仿宋" w:eastAsia="仿宋" w:cs="Times New Roman"/>
          <w:color w:val="000000"/>
          <w:sz w:val="32"/>
          <w:szCs w:val="32"/>
        </w:rPr>
        <w:t>年相比，支</w:t>
      </w:r>
      <w:r>
        <w:rPr>
          <w:rFonts w:hint="eastAsia" w:ascii="仿宋" w:hAnsi="仿宋" w:eastAsia="仿宋" w:cs="Times New Roman"/>
          <w:color w:val="000000"/>
          <w:sz w:val="32"/>
          <w:szCs w:val="32"/>
          <w:lang w:eastAsia="zh-CN"/>
        </w:rPr>
        <w:t>出</w:t>
      </w:r>
      <w:r>
        <w:rPr>
          <w:rFonts w:hint="eastAsia" w:ascii="仿宋" w:hAnsi="仿宋" w:eastAsia="仿宋" w:cs="Times New Roman"/>
          <w:color w:val="000000"/>
          <w:sz w:val="32"/>
          <w:szCs w:val="32"/>
        </w:rPr>
        <w:t>总计增加</w:t>
      </w:r>
      <w:r>
        <w:rPr>
          <w:rFonts w:hint="eastAsia" w:ascii="仿宋" w:hAnsi="仿宋" w:eastAsia="仿宋" w:cs="Times New Roman"/>
          <w:color w:val="000000"/>
          <w:sz w:val="32"/>
          <w:szCs w:val="32"/>
          <w:lang w:val="en-US" w:eastAsia="zh-CN"/>
        </w:rPr>
        <w:t>21.05</w:t>
      </w:r>
      <w:r>
        <w:rPr>
          <w:rFonts w:hint="eastAsia" w:ascii="仿宋" w:hAnsi="仿宋" w:eastAsia="仿宋" w:cs="Times New Roman"/>
          <w:color w:val="000000"/>
          <w:sz w:val="32"/>
          <w:szCs w:val="32"/>
        </w:rPr>
        <w:t>万元，增长</w:t>
      </w:r>
      <w:r>
        <w:rPr>
          <w:rFonts w:hint="eastAsia" w:ascii="仿宋" w:hAnsi="仿宋" w:eastAsia="仿宋" w:cs="Times New Roman"/>
          <w:color w:val="000000"/>
          <w:sz w:val="32"/>
          <w:szCs w:val="32"/>
          <w:lang w:val="en-US" w:eastAsia="zh-CN"/>
        </w:rPr>
        <w:t>6</w:t>
      </w:r>
      <w:r>
        <w:rPr>
          <w:rFonts w:ascii="仿宋" w:hAnsi="仿宋" w:eastAsia="仿宋" w:cs="Times New Roman"/>
          <w:color w:val="000000"/>
          <w:sz w:val="32"/>
          <w:szCs w:val="32"/>
        </w:rPr>
        <w:t>%</w:t>
      </w:r>
      <w:r>
        <w:rPr>
          <w:rFonts w:hint="eastAsia" w:ascii="仿宋" w:hAnsi="仿宋" w:eastAsia="仿宋" w:cs="Times New Roman"/>
          <w:color w:val="000000"/>
          <w:sz w:val="32"/>
          <w:szCs w:val="32"/>
        </w:rPr>
        <w:t>。主要变动原因是</w:t>
      </w:r>
      <w:r>
        <w:rPr>
          <w:rFonts w:hint="eastAsia" w:ascii="仿宋" w:hAnsi="仿宋" w:eastAsia="仿宋" w:cs="Times New Roman"/>
          <w:color w:val="000000"/>
          <w:sz w:val="32"/>
          <w:szCs w:val="32"/>
          <w:lang w:val="en-US" w:eastAsia="zh-CN"/>
        </w:rPr>
        <w:t>2019年机改后红原县医疗保障局人员增加，人员经费标准提高，经费支出增加。</w:t>
      </w:r>
    </w:p>
    <w:p>
      <w:pPr>
        <w:snapToGrid w:val="0"/>
        <w:spacing w:line="520" w:lineRule="exact"/>
        <w:ind w:firstLine="420" w:firstLineChars="200"/>
        <w:jc w:val="left"/>
        <w:rPr>
          <w:rFonts w:hint="eastAsia" w:ascii="仿宋" w:hAnsi="仿宋" w:eastAsia="仿宋" w:cs="Times New Roman"/>
          <w:color w:val="000000"/>
          <w:sz w:val="32"/>
          <w:szCs w:val="32"/>
          <w:lang w:val="en-US" w:eastAsia="zh-CN"/>
        </w:rPr>
      </w:pPr>
      <w:r>
        <w:drawing>
          <wp:anchor distT="0" distB="0" distL="0" distR="0" simplePos="0" relativeHeight="251659264" behindDoc="0" locked="0" layoutInCell="1" allowOverlap="1">
            <wp:simplePos x="0" y="0"/>
            <wp:positionH relativeFrom="column">
              <wp:posOffset>29210</wp:posOffset>
            </wp:positionH>
            <wp:positionV relativeFrom="paragraph">
              <wp:posOffset>135890</wp:posOffset>
            </wp:positionV>
            <wp:extent cx="5486400" cy="3200400"/>
            <wp:effectExtent l="4445" t="4445" r="14605" b="14605"/>
            <wp:wrapSquare wrapText="bothSides"/>
            <wp:docPr id="1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（图4：财政拨款收、支决算总计变动情况）（柱状图）</w:t>
      </w:r>
    </w:p>
    <w:p>
      <w:pPr>
        <w:spacing w:line="600" w:lineRule="exact"/>
        <w:ind w:firstLine="640"/>
        <w:jc w:val="left"/>
        <w:rPr>
          <w:rFonts w:ascii="仿宋" w:hAnsi="仿宋" w:eastAsia="仿宋"/>
          <w:b/>
          <w:color w:val="00B050"/>
          <w:sz w:val="32"/>
          <w:szCs w:val="32"/>
        </w:rPr>
      </w:pPr>
    </w:p>
    <w:p>
      <w:pPr>
        <w:spacing w:line="600" w:lineRule="exact"/>
        <w:ind w:firstLine="640" w:firstLineChars="200"/>
        <w:jc w:val="left"/>
        <w:outlineLvl w:val="1"/>
        <w:rPr>
          <w:rStyle w:val="27"/>
          <w:rFonts w:ascii="黑体" w:hAnsi="黑体" w:eastAsia="黑体"/>
          <w:b w:val="0"/>
        </w:rPr>
      </w:pPr>
      <w:bookmarkStart w:id="89" w:name="_Toc15377209"/>
      <w:bookmarkStart w:id="90" w:name="_Toc15396607"/>
      <w:bookmarkStart w:id="91" w:name="_Toc23876_WPSOffice_Level2"/>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89"/>
      <w:bookmarkEnd w:id="90"/>
      <w:bookmarkEnd w:id="91"/>
    </w:p>
    <w:p>
      <w:pPr>
        <w:spacing w:line="600" w:lineRule="exact"/>
        <w:ind w:firstLine="643" w:firstLineChars="200"/>
        <w:jc w:val="left"/>
        <w:outlineLvl w:val="2"/>
        <w:rPr>
          <w:rFonts w:ascii="仿宋" w:hAnsi="仿宋" w:eastAsia="仿宋"/>
          <w:b/>
          <w:color w:val="000000"/>
          <w:sz w:val="32"/>
          <w:szCs w:val="32"/>
        </w:rPr>
      </w:pPr>
      <w:bookmarkStart w:id="92" w:name="_Toc15377210"/>
      <w:r>
        <w:rPr>
          <w:rFonts w:hint="eastAsia" w:ascii="仿宋" w:hAnsi="仿宋" w:eastAsia="仿宋"/>
          <w:b/>
          <w:color w:val="000000"/>
          <w:sz w:val="32"/>
          <w:szCs w:val="32"/>
        </w:rPr>
        <w:t>（一）一般公共预算财政拨款支出决算总体情况</w:t>
      </w:r>
      <w:bookmarkEnd w:id="92"/>
    </w:p>
    <w:p>
      <w:pPr>
        <w:snapToGrid w:val="0"/>
        <w:spacing w:line="520" w:lineRule="exact"/>
        <w:ind w:firstLine="640" w:firstLineChars="200"/>
        <w:jc w:val="left"/>
        <w:rPr>
          <w:rFonts w:hint="eastAsia" w:ascii="仿宋" w:hAnsi="仿宋" w:eastAsia="仿宋" w:cs="Times New Roman"/>
          <w:color w:val="000000"/>
          <w:sz w:val="32"/>
          <w:szCs w:val="32"/>
          <w:lang w:val="en-US" w:eastAsia="zh-CN"/>
        </w:rPr>
      </w:pPr>
      <w:r>
        <w:rPr>
          <w:rFonts w:hint="eastAsia" w:ascii="仿宋" w:hAnsi="仿宋" w:eastAsia="仿宋" w:cs="Times New Roman"/>
          <w:color w:val="000000"/>
          <w:sz w:val="32"/>
          <w:szCs w:val="32"/>
          <w:lang w:val="en-US" w:eastAsia="zh-CN"/>
        </w:rPr>
        <w:t>2019年我单位</w:t>
      </w:r>
      <w:r>
        <w:rPr>
          <w:rFonts w:hint="eastAsia" w:ascii="仿宋" w:hAnsi="仿宋" w:eastAsia="仿宋" w:cs="Times New Roman"/>
          <w:color w:val="000000"/>
          <w:sz w:val="32"/>
          <w:szCs w:val="32"/>
          <w:lang w:eastAsia="zh-CN"/>
        </w:rPr>
        <w:t>支出总计</w:t>
      </w:r>
      <w:r>
        <w:rPr>
          <w:rFonts w:hint="eastAsia" w:ascii="仿宋" w:hAnsi="仿宋" w:eastAsia="仿宋" w:cs="Times New Roman"/>
          <w:color w:val="000000"/>
          <w:sz w:val="32"/>
          <w:szCs w:val="32"/>
          <w:lang w:val="en-US" w:eastAsia="zh-CN"/>
        </w:rPr>
        <w:t>355.83万元，</w:t>
      </w:r>
      <w:r>
        <w:rPr>
          <w:rFonts w:hint="eastAsia" w:ascii="仿宋" w:hAnsi="仿宋" w:eastAsia="仿宋" w:cs="Times New Roman"/>
          <w:color w:val="000000"/>
          <w:sz w:val="32"/>
          <w:szCs w:val="32"/>
        </w:rPr>
        <w:t>与201</w:t>
      </w:r>
      <w:r>
        <w:rPr>
          <w:rFonts w:hint="eastAsia" w:ascii="仿宋" w:hAnsi="仿宋" w:eastAsia="仿宋" w:cs="Times New Roman"/>
          <w:color w:val="000000"/>
          <w:sz w:val="32"/>
          <w:szCs w:val="32"/>
          <w:lang w:val="en-US" w:eastAsia="zh-CN"/>
        </w:rPr>
        <w:t>8</w:t>
      </w:r>
      <w:r>
        <w:rPr>
          <w:rFonts w:hint="eastAsia" w:ascii="仿宋" w:hAnsi="仿宋" w:eastAsia="仿宋" w:cs="Times New Roman"/>
          <w:color w:val="000000"/>
          <w:sz w:val="32"/>
          <w:szCs w:val="32"/>
        </w:rPr>
        <w:t>年相比，支</w:t>
      </w:r>
      <w:r>
        <w:rPr>
          <w:rFonts w:hint="eastAsia" w:ascii="仿宋" w:hAnsi="仿宋" w:eastAsia="仿宋" w:cs="Times New Roman"/>
          <w:color w:val="000000"/>
          <w:sz w:val="32"/>
          <w:szCs w:val="32"/>
          <w:lang w:eastAsia="zh-CN"/>
        </w:rPr>
        <w:t>出</w:t>
      </w:r>
      <w:r>
        <w:rPr>
          <w:rFonts w:hint="eastAsia" w:ascii="仿宋" w:hAnsi="仿宋" w:eastAsia="仿宋" w:cs="Times New Roman"/>
          <w:color w:val="000000"/>
          <w:sz w:val="32"/>
          <w:szCs w:val="32"/>
        </w:rPr>
        <w:t>总计增加</w:t>
      </w:r>
      <w:r>
        <w:rPr>
          <w:rFonts w:hint="eastAsia" w:ascii="仿宋" w:hAnsi="仿宋" w:eastAsia="仿宋" w:cs="Times New Roman"/>
          <w:color w:val="000000"/>
          <w:sz w:val="32"/>
          <w:szCs w:val="32"/>
          <w:lang w:val="en-US" w:eastAsia="zh-CN"/>
        </w:rPr>
        <w:t>21.05</w:t>
      </w:r>
      <w:r>
        <w:rPr>
          <w:rFonts w:hint="eastAsia" w:ascii="仿宋" w:hAnsi="仿宋" w:eastAsia="仿宋" w:cs="Times New Roman"/>
          <w:color w:val="000000"/>
          <w:sz w:val="32"/>
          <w:szCs w:val="32"/>
        </w:rPr>
        <w:t>万元，增长</w:t>
      </w:r>
      <w:r>
        <w:rPr>
          <w:rFonts w:hint="eastAsia" w:ascii="仿宋" w:hAnsi="仿宋" w:eastAsia="仿宋" w:cs="Times New Roman"/>
          <w:color w:val="000000"/>
          <w:sz w:val="32"/>
          <w:szCs w:val="32"/>
          <w:lang w:val="en-US" w:eastAsia="zh-CN"/>
        </w:rPr>
        <w:t>6</w:t>
      </w:r>
      <w:r>
        <w:rPr>
          <w:rFonts w:ascii="仿宋" w:hAnsi="仿宋" w:eastAsia="仿宋" w:cs="Times New Roman"/>
          <w:color w:val="000000"/>
          <w:sz w:val="32"/>
          <w:szCs w:val="32"/>
        </w:rPr>
        <w:t>%</w:t>
      </w:r>
      <w:r>
        <w:rPr>
          <w:rFonts w:hint="eastAsia" w:ascii="仿宋" w:hAnsi="仿宋" w:eastAsia="仿宋" w:cs="Times New Roman"/>
          <w:color w:val="000000"/>
          <w:sz w:val="32"/>
          <w:szCs w:val="32"/>
        </w:rPr>
        <w:t>。主要变动原因是</w:t>
      </w:r>
      <w:r>
        <w:rPr>
          <w:rFonts w:hint="eastAsia" w:ascii="仿宋" w:hAnsi="仿宋" w:eastAsia="仿宋" w:cs="Times New Roman"/>
          <w:color w:val="000000"/>
          <w:sz w:val="32"/>
          <w:szCs w:val="32"/>
          <w:lang w:val="en-US" w:eastAsia="zh-CN"/>
        </w:rPr>
        <w:t>2019年机改后红原县医疗保障局人员增加，人员经费标准提高，经费支出增加。</w:t>
      </w:r>
    </w:p>
    <w:p>
      <w:pPr>
        <w:spacing w:line="600" w:lineRule="exact"/>
        <w:ind w:firstLine="420" w:firstLineChars="200"/>
        <w:jc w:val="left"/>
        <w:rPr>
          <w:rFonts w:ascii="仿宋" w:hAnsi="仿宋" w:eastAsia="仿宋"/>
          <w:color w:val="000000"/>
          <w:sz w:val="32"/>
          <w:szCs w:val="32"/>
        </w:rPr>
      </w:pPr>
      <w:r>
        <w:drawing>
          <wp:anchor distT="0" distB="0" distL="0" distR="0" simplePos="0" relativeHeight="251659264" behindDoc="0" locked="0" layoutInCell="1" allowOverlap="1">
            <wp:simplePos x="0" y="0"/>
            <wp:positionH relativeFrom="column">
              <wp:posOffset>30480</wp:posOffset>
            </wp:positionH>
            <wp:positionV relativeFrom="paragraph">
              <wp:posOffset>19685</wp:posOffset>
            </wp:positionV>
            <wp:extent cx="5486400" cy="3200400"/>
            <wp:effectExtent l="4445" t="4445" r="14605" b="14605"/>
            <wp:wrapSquare wrapText="bothSides"/>
            <wp:docPr id="18"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（图5：一般公共预算财政拨款支出决算变动情况）（柱状图）</w:t>
      </w:r>
    </w:p>
    <w:p>
      <w:pPr>
        <w:spacing w:line="600" w:lineRule="exact"/>
        <w:ind w:firstLine="640" w:firstLineChars="200"/>
        <w:jc w:val="left"/>
        <w:rPr>
          <w:rFonts w:ascii="仿宋" w:hAnsi="仿宋" w:eastAsia="仿宋"/>
          <w:color w:val="000000"/>
          <w:sz w:val="32"/>
          <w:szCs w:val="32"/>
        </w:rPr>
      </w:pPr>
    </w:p>
    <w:p>
      <w:pPr>
        <w:spacing w:line="600" w:lineRule="exact"/>
        <w:ind w:firstLine="643" w:firstLineChars="200"/>
        <w:jc w:val="left"/>
        <w:outlineLvl w:val="2"/>
        <w:rPr>
          <w:rFonts w:ascii="仿宋" w:hAnsi="仿宋" w:eastAsia="仿宋"/>
          <w:b/>
          <w:color w:val="000000"/>
          <w:sz w:val="32"/>
          <w:szCs w:val="32"/>
        </w:rPr>
      </w:pPr>
      <w:bookmarkStart w:id="93" w:name="_Toc15377211"/>
      <w:r>
        <w:rPr>
          <w:rFonts w:hint="eastAsia" w:ascii="仿宋" w:hAnsi="仿宋" w:eastAsia="仿宋"/>
          <w:b/>
          <w:color w:val="000000"/>
          <w:sz w:val="32"/>
          <w:szCs w:val="32"/>
        </w:rPr>
        <w:t>（二）一般公共预算财政拨款支出决算结构情况</w:t>
      </w:r>
      <w:bookmarkEnd w:id="93"/>
    </w:p>
    <w:p>
      <w:pPr>
        <w:spacing w:line="600" w:lineRule="exact"/>
        <w:ind w:firstLine="640"/>
        <w:jc w:val="left"/>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355.83</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307.18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86.3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22.41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6.3</w:t>
      </w:r>
      <w:r>
        <w:rPr>
          <w:rFonts w:ascii="仿宋" w:hAnsi="仿宋" w:eastAsia="仿宋"/>
          <w:color w:val="000000"/>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26.24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7.4</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0"/>
        <w:jc w:val="left"/>
        <w:rPr>
          <w:rFonts w:hint="eastAsia" w:ascii="仿宋" w:hAnsi="仿宋" w:eastAsia="仿宋"/>
          <w:color w:val="000000"/>
          <w:sz w:val="32"/>
          <w:szCs w:val="32"/>
          <w:lang w:eastAsia="zh-CN"/>
        </w:rPr>
      </w:pPr>
      <w:r>
        <w:drawing>
          <wp:anchor distT="0" distB="0" distL="0" distR="0" simplePos="0" relativeHeight="251659264" behindDoc="0" locked="0" layoutInCell="1" allowOverlap="1">
            <wp:simplePos x="0" y="0"/>
            <wp:positionH relativeFrom="column">
              <wp:posOffset>-170180</wp:posOffset>
            </wp:positionH>
            <wp:positionV relativeFrom="paragraph">
              <wp:posOffset>165100</wp:posOffset>
            </wp:positionV>
            <wp:extent cx="5486400" cy="3200400"/>
            <wp:effectExtent l="4445" t="4445" r="14605" b="14605"/>
            <wp:wrapSquare wrapText="bothSides"/>
            <wp:docPr id="19"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jc w:val="left"/>
        <w:rPr>
          <w:rFonts w:ascii="仿宋" w:hAnsi="仿宋" w:eastAsia="仿宋"/>
          <w:color w:val="000000"/>
          <w:sz w:val="32"/>
          <w:szCs w:val="32"/>
        </w:rPr>
      </w:pPr>
    </w:p>
    <w:p>
      <w:pPr>
        <w:spacing w:line="600" w:lineRule="exact"/>
        <w:ind w:firstLine="643" w:firstLineChars="200"/>
        <w:jc w:val="left"/>
        <w:outlineLvl w:val="2"/>
        <w:rPr>
          <w:rFonts w:ascii="仿宋" w:hAnsi="仿宋" w:eastAsia="仿宋"/>
          <w:b/>
          <w:color w:val="000000"/>
          <w:sz w:val="32"/>
          <w:szCs w:val="32"/>
        </w:rPr>
      </w:pPr>
      <w:bookmarkStart w:id="94" w:name="_Toc15377212"/>
      <w:r>
        <w:rPr>
          <w:rFonts w:hint="eastAsia" w:ascii="仿宋" w:hAnsi="仿宋" w:eastAsia="仿宋"/>
          <w:b/>
          <w:color w:val="000000"/>
          <w:sz w:val="32"/>
          <w:szCs w:val="32"/>
        </w:rPr>
        <w:t>（三）一般公共预算财政拨款支出决算具体情况</w:t>
      </w:r>
      <w:bookmarkEnd w:id="94"/>
    </w:p>
    <w:p>
      <w:pPr>
        <w:spacing w:line="600" w:lineRule="exact"/>
        <w:ind w:firstLine="643" w:firstLineChars="200"/>
        <w:jc w:val="left"/>
        <w:outlineLvl w:val="2"/>
        <w:rPr>
          <w:rFonts w:ascii="仿宋" w:hAnsi="仿宋" w:eastAsia="仿宋"/>
          <w:color w:val="FF0000"/>
          <w:sz w:val="32"/>
          <w:szCs w:val="32"/>
        </w:rPr>
      </w:pPr>
      <w:bookmarkStart w:id="95" w:name="_Toc15377213"/>
      <w:bookmarkStart w:id="96" w:name="_Toc15378460"/>
      <w:bookmarkStart w:id="97" w:name="_Toc15377444"/>
      <w:r>
        <w:rPr>
          <w:rFonts w:hint="eastAsia" w:ascii="仿宋" w:hAnsi="仿宋" w:eastAsia="仿宋"/>
          <w:b/>
          <w:color w:val="000000"/>
          <w:sz w:val="32"/>
          <w:szCs w:val="32"/>
        </w:rPr>
        <w:t>2019年般公共预算支出决算数为</w:t>
      </w:r>
      <w:r>
        <w:rPr>
          <w:rFonts w:hint="eastAsia" w:ascii="仿宋" w:hAnsi="仿宋" w:eastAsia="仿宋"/>
          <w:b/>
          <w:color w:val="000000"/>
          <w:sz w:val="32"/>
          <w:szCs w:val="32"/>
          <w:lang w:val="en-US" w:eastAsia="zh-CN"/>
        </w:rPr>
        <w:t>355.83万元</w:t>
      </w:r>
      <w:r>
        <w:rPr>
          <w:rFonts w:hint="eastAsia" w:ascii="仿宋" w:hAnsi="仿宋" w:eastAsia="仿宋"/>
          <w:color w:val="000000"/>
          <w:sz w:val="32"/>
          <w:szCs w:val="32"/>
        </w:rPr>
        <w:t>，</w:t>
      </w:r>
      <w:r>
        <w:rPr>
          <w:rStyle w:val="15"/>
          <w:rFonts w:hint="eastAsia" w:ascii="仿宋" w:hAnsi="仿宋" w:eastAsia="仿宋"/>
          <w:bCs/>
          <w:color w:val="000000"/>
          <w:sz w:val="32"/>
          <w:szCs w:val="32"/>
        </w:rPr>
        <w:t>完成预算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95"/>
      <w:bookmarkEnd w:id="96"/>
      <w:bookmarkEnd w:id="97"/>
    </w:p>
    <w:p>
      <w:pPr>
        <w:widowControl/>
        <w:numPr>
          <w:ilvl w:val="0"/>
          <w:numId w:val="0"/>
        </w:numPr>
        <w:wordWrap/>
        <w:autoSpaceDE/>
        <w:autoSpaceDN/>
        <w:spacing w:before="0" w:after="160" w:line="600" w:lineRule="exact"/>
        <w:ind w:left="0" w:right="0" w:firstLine="643"/>
        <w:jc w:val="left"/>
        <w:rPr>
          <w:rFonts w:hint="default" w:ascii="仿宋" w:hAnsi="仿宋" w:eastAsia="仿宋"/>
          <w:b w:val="0"/>
          <w:color w:val="000000"/>
          <w:w w:val="100"/>
          <w:kern w:val="0"/>
          <w:position w:val="0"/>
          <w:sz w:val="32"/>
          <w:szCs w:val="32"/>
          <w:shd w:val="clear"/>
        </w:rPr>
      </w:pPr>
      <w:r>
        <w:rPr>
          <w:rFonts w:hint="default" w:ascii="仿宋" w:hAnsi="仿宋" w:eastAsia="仿宋"/>
          <w:b/>
          <w:color w:val="000000"/>
          <w:w w:val="100"/>
          <w:kern w:val="0"/>
          <w:position w:val="0"/>
          <w:sz w:val="32"/>
          <w:szCs w:val="32"/>
          <w:shd w:val="clear"/>
        </w:rPr>
        <w:t>1.社会保障和就业:</w:t>
      </w:r>
      <w:r>
        <w:rPr>
          <w:rFonts w:hint="default" w:ascii="仿宋" w:hAnsi="仿宋" w:eastAsia="仿宋"/>
          <w:b w:val="0"/>
          <w:color w:val="000000"/>
          <w:w w:val="100"/>
          <w:kern w:val="0"/>
          <w:position w:val="0"/>
          <w:sz w:val="32"/>
          <w:szCs w:val="32"/>
          <w:shd w:val="clear"/>
        </w:rPr>
        <w:t xml:space="preserve"> </w:t>
      </w:r>
    </w:p>
    <w:p>
      <w:pPr>
        <w:widowControl/>
        <w:numPr>
          <w:ilvl w:val="0"/>
          <w:numId w:val="0"/>
        </w:numPr>
        <w:wordWrap/>
        <w:autoSpaceDE/>
        <w:autoSpaceDN/>
        <w:spacing w:before="0" w:after="160" w:line="600" w:lineRule="exact"/>
        <w:ind w:left="0" w:right="0" w:firstLine="643"/>
        <w:jc w:val="left"/>
        <w:rPr>
          <w:rFonts w:hint="default" w:ascii="仿宋" w:hAnsi="仿宋" w:eastAsia="仿宋"/>
          <w:b/>
          <w:color w:val="000000"/>
          <w:w w:val="100"/>
          <w:kern w:val="0"/>
          <w:position w:val="0"/>
          <w:sz w:val="32"/>
          <w:szCs w:val="32"/>
          <w:shd w:val="clear"/>
        </w:rPr>
      </w:pPr>
      <w:r>
        <w:rPr>
          <w:rFonts w:hint="default" w:ascii="仿宋" w:hAnsi="仿宋" w:eastAsia="仿宋"/>
          <w:b w:val="0"/>
          <w:color w:val="000000"/>
          <w:w w:val="100"/>
          <w:kern w:val="0"/>
          <w:position w:val="0"/>
          <w:sz w:val="32"/>
          <w:szCs w:val="32"/>
          <w:shd w:val="clear"/>
        </w:rPr>
        <w:t>2080505机关事业单位基本养老保险缴费支出</w:t>
      </w:r>
      <w:r>
        <w:rPr>
          <w:rFonts w:hint="eastAsia" w:ascii="仿宋" w:hAnsi="仿宋" w:eastAsia="仿宋"/>
          <w:b w:val="0"/>
          <w:color w:val="000000"/>
          <w:w w:val="100"/>
          <w:kern w:val="0"/>
          <w:position w:val="0"/>
          <w:sz w:val="32"/>
          <w:szCs w:val="32"/>
          <w:shd w:val="clear"/>
          <w:lang w:val="en-US" w:eastAsia="zh-CN"/>
        </w:rPr>
        <w:t>31.55</w:t>
      </w:r>
      <w:r>
        <w:rPr>
          <w:rFonts w:hint="default" w:ascii="仿宋" w:hAnsi="仿宋" w:eastAsia="仿宋"/>
          <w:b w:val="0"/>
          <w:color w:val="000000"/>
          <w:w w:val="100"/>
          <w:kern w:val="0"/>
          <w:position w:val="0"/>
          <w:sz w:val="32"/>
          <w:szCs w:val="32"/>
          <w:shd w:val="clear"/>
        </w:rPr>
        <w:t>万元，完成100%；2080506机关事业单位职业年金缴费支出</w:t>
      </w:r>
      <w:r>
        <w:rPr>
          <w:rFonts w:hint="eastAsia" w:ascii="仿宋" w:hAnsi="仿宋" w:eastAsia="仿宋"/>
          <w:b w:val="0"/>
          <w:color w:val="000000"/>
          <w:w w:val="100"/>
          <w:kern w:val="0"/>
          <w:position w:val="0"/>
          <w:sz w:val="32"/>
          <w:szCs w:val="32"/>
          <w:shd w:val="clear"/>
          <w:lang w:val="en-US" w:eastAsia="zh-CN"/>
        </w:rPr>
        <w:t>14.55</w:t>
      </w:r>
      <w:r>
        <w:rPr>
          <w:rFonts w:hint="default" w:ascii="仿宋" w:hAnsi="仿宋" w:eastAsia="仿宋"/>
          <w:b w:val="0"/>
          <w:color w:val="000000"/>
          <w:w w:val="100"/>
          <w:kern w:val="0"/>
          <w:position w:val="0"/>
          <w:sz w:val="32"/>
          <w:szCs w:val="32"/>
          <w:shd w:val="clear"/>
        </w:rPr>
        <w:t>万元，完成100%。20801</w:t>
      </w:r>
      <w:r>
        <w:rPr>
          <w:rFonts w:hint="eastAsia" w:ascii="仿宋" w:hAnsi="仿宋" w:eastAsia="仿宋"/>
          <w:b w:val="0"/>
          <w:color w:val="000000"/>
          <w:w w:val="100"/>
          <w:kern w:val="0"/>
          <w:position w:val="0"/>
          <w:sz w:val="32"/>
          <w:szCs w:val="32"/>
          <w:shd w:val="clear"/>
          <w:lang w:val="en-US" w:eastAsia="zh-CN"/>
        </w:rPr>
        <w:t>09</w:t>
      </w:r>
      <w:r>
        <w:rPr>
          <w:rFonts w:hint="default" w:ascii="仿宋" w:hAnsi="仿宋" w:eastAsia="仿宋"/>
          <w:b w:val="0"/>
          <w:color w:val="000000"/>
          <w:w w:val="100"/>
          <w:kern w:val="0"/>
          <w:position w:val="0"/>
          <w:sz w:val="32"/>
          <w:szCs w:val="32"/>
          <w:shd w:val="clear"/>
        </w:rPr>
        <w:t>人力资源和社会保障管理事务</w:t>
      </w:r>
      <w:r>
        <w:rPr>
          <w:rFonts w:hint="eastAsia" w:ascii="仿宋" w:hAnsi="仿宋" w:eastAsia="仿宋"/>
          <w:b w:val="0"/>
          <w:color w:val="000000"/>
          <w:w w:val="100"/>
          <w:kern w:val="0"/>
          <w:position w:val="0"/>
          <w:sz w:val="32"/>
          <w:szCs w:val="32"/>
          <w:shd w:val="clear"/>
          <w:lang w:val="en-US" w:eastAsia="zh-CN"/>
        </w:rPr>
        <w:t>261.08</w:t>
      </w:r>
      <w:r>
        <w:rPr>
          <w:rFonts w:hint="default" w:ascii="仿宋" w:hAnsi="仿宋" w:eastAsia="仿宋"/>
          <w:b w:val="0"/>
          <w:color w:val="000000"/>
          <w:w w:val="100"/>
          <w:kern w:val="0"/>
          <w:position w:val="0"/>
          <w:sz w:val="32"/>
          <w:szCs w:val="32"/>
          <w:shd w:val="clear"/>
        </w:rPr>
        <w:t>万元，合计支出</w:t>
      </w:r>
      <w:r>
        <w:rPr>
          <w:rFonts w:hint="eastAsia" w:ascii="仿宋" w:hAnsi="仿宋" w:eastAsia="仿宋"/>
          <w:b w:val="0"/>
          <w:color w:val="000000"/>
          <w:w w:val="100"/>
          <w:kern w:val="0"/>
          <w:position w:val="0"/>
          <w:sz w:val="32"/>
          <w:szCs w:val="32"/>
          <w:shd w:val="clear"/>
          <w:lang w:val="en-US" w:eastAsia="zh-CN"/>
        </w:rPr>
        <w:t>307.18</w:t>
      </w:r>
      <w:r>
        <w:rPr>
          <w:rFonts w:hint="default" w:ascii="仿宋" w:hAnsi="仿宋" w:eastAsia="仿宋"/>
          <w:b w:val="0"/>
          <w:color w:val="000000"/>
          <w:w w:val="100"/>
          <w:kern w:val="0"/>
          <w:position w:val="0"/>
          <w:sz w:val="32"/>
          <w:szCs w:val="32"/>
          <w:shd w:val="clear"/>
        </w:rPr>
        <w:t>万元，决算数等于预算数的主要原因是严格按照财政拨款支出要求严格控制相关支出。</w:t>
      </w:r>
    </w:p>
    <w:p>
      <w:pPr>
        <w:widowControl/>
        <w:numPr>
          <w:ilvl w:val="0"/>
          <w:numId w:val="0"/>
        </w:numPr>
        <w:wordWrap/>
        <w:autoSpaceDE/>
        <w:autoSpaceDN/>
        <w:spacing w:before="0" w:after="160" w:line="600" w:lineRule="exact"/>
        <w:ind w:left="0" w:right="0" w:firstLine="643"/>
        <w:jc w:val="left"/>
        <w:rPr>
          <w:rFonts w:hint="default" w:ascii="仿宋" w:hAnsi="仿宋" w:eastAsia="仿宋"/>
          <w:b w:val="0"/>
          <w:color w:val="000000"/>
          <w:w w:val="100"/>
          <w:kern w:val="0"/>
          <w:position w:val="0"/>
          <w:sz w:val="32"/>
          <w:szCs w:val="32"/>
          <w:shd w:val="clear"/>
        </w:rPr>
      </w:pPr>
      <w:r>
        <w:rPr>
          <w:rFonts w:hint="default" w:ascii="仿宋" w:hAnsi="仿宋" w:eastAsia="仿宋"/>
          <w:b/>
          <w:color w:val="000000"/>
          <w:w w:val="100"/>
          <w:kern w:val="0"/>
          <w:position w:val="0"/>
          <w:sz w:val="32"/>
          <w:szCs w:val="32"/>
          <w:shd w:val="clear"/>
        </w:rPr>
        <w:t>2.医疗卫生与计划生育:</w:t>
      </w:r>
    </w:p>
    <w:p>
      <w:pPr>
        <w:widowControl/>
        <w:numPr>
          <w:ilvl w:val="0"/>
          <w:numId w:val="0"/>
        </w:numPr>
        <w:wordWrap/>
        <w:autoSpaceDE/>
        <w:autoSpaceDN/>
        <w:spacing w:before="0" w:after="160" w:line="600" w:lineRule="exact"/>
        <w:ind w:left="0" w:right="0" w:firstLine="643"/>
        <w:jc w:val="left"/>
        <w:rPr>
          <w:rFonts w:hint="default" w:ascii="仿宋" w:hAnsi="仿宋" w:eastAsia="仿宋"/>
          <w:b/>
          <w:color w:val="000000"/>
          <w:w w:val="100"/>
          <w:kern w:val="0"/>
          <w:position w:val="0"/>
          <w:sz w:val="32"/>
          <w:szCs w:val="32"/>
          <w:shd w:val="clear"/>
        </w:rPr>
      </w:pPr>
      <w:r>
        <w:rPr>
          <w:rFonts w:hint="default" w:ascii="仿宋" w:hAnsi="仿宋" w:eastAsia="仿宋"/>
          <w:b w:val="0"/>
          <w:color w:val="000000"/>
          <w:w w:val="100"/>
          <w:kern w:val="0"/>
          <w:position w:val="0"/>
          <w:sz w:val="32"/>
          <w:szCs w:val="32"/>
          <w:shd w:val="clear"/>
        </w:rPr>
        <w:t>2101101行政单位医疗支出</w:t>
      </w:r>
      <w:r>
        <w:rPr>
          <w:rFonts w:hint="eastAsia" w:ascii="仿宋" w:hAnsi="仿宋" w:eastAsia="仿宋"/>
          <w:b w:val="0"/>
          <w:color w:val="000000"/>
          <w:w w:val="100"/>
          <w:kern w:val="0"/>
          <w:position w:val="0"/>
          <w:sz w:val="32"/>
          <w:szCs w:val="32"/>
          <w:shd w:val="clear"/>
          <w:lang w:val="en-US" w:eastAsia="zh-CN"/>
        </w:rPr>
        <w:t>6.07</w:t>
      </w:r>
      <w:r>
        <w:rPr>
          <w:rFonts w:hint="default" w:ascii="仿宋" w:hAnsi="仿宋" w:eastAsia="仿宋"/>
          <w:b w:val="0"/>
          <w:color w:val="000000"/>
          <w:w w:val="100"/>
          <w:kern w:val="0"/>
          <w:position w:val="0"/>
          <w:sz w:val="32"/>
          <w:szCs w:val="32"/>
          <w:shd w:val="clear"/>
        </w:rPr>
        <w:t>万元，完成预算100%；2101102事业单位医疗</w:t>
      </w:r>
      <w:r>
        <w:rPr>
          <w:rFonts w:hint="eastAsia" w:ascii="仿宋" w:hAnsi="仿宋" w:eastAsia="仿宋"/>
          <w:b w:val="0"/>
          <w:color w:val="000000"/>
          <w:w w:val="100"/>
          <w:kern w:val="0"/>
          <w:position w:val="0"/>
          <w:sz w:val="32"/>
          <w:szCs w:val="32"/>
          <w:shd w:val="clear"/>
          <w:lang w:eastAsia="zh-CN"/>
        </w:rPr>
        <w:t>支出</w:t>
      </w:r>
      <w:r>
        <w:rPr>
          <w:rFonts w:hint="eastAsia" w:ascii="仿宋" w:hAnsi="仿宋" w:eastAsia="仿宋"/>
          <w:b w:val="0"/>
          <w:color w:val="000000"/>
          <w:w w:val="100"/>
          <w:kern w:val="0"/>
          <w:position w:val="0"/>
          <w:sz w:val="32"/>
          <w:szCs w:val="32"/>
          <w:shd w:val="clear"/>
          <w:lang w:val="en-US" w:eastAsia="zh-CN"/>
        </w:rPr>
        <w:t>8.35万元，完成预算100%；</w:t>
      </w:r>
      <w:r>
        <w:rPr>
          <w:rFonts w:hint="default" w:ascii="仿宋" w:hAnsi="仿宋" w:eastAsia="仿宋"/>
          <w:b w:val="0"/>
          <w:color w:val="000000"/>
          <w:w w:val="100"/>
          <w:kern w:val="0"/>
          <w:position w:val="0"/>
          <w:sz w:val="32"/>
          <w:szCs w:val="32"/>
          <w:shd w:val="clear"/>
        </w:rPr>
        <w:t>2101103公务员医疗补助支出</w:t>
      </w:r>
      <w:r>
        <w:rPr>
          <w:rFonts w:hint="eastAsia" w:ascii="仿宋" w:hAnsi="仿宋" w:eastAsia="仿宋"/>
          <w:b w:val="0"/>
          <w:color w:val="000000"/>
          <w:w w:val="100"/>
          <w:kern w:val="0"/>
          <w:position w:val="0"/>
          <w:sz w:val="32"/>
          <w:szCs w:val="32"/>
          <w:shd w:val="clear"/>
          <w:lang w:val="en-US" w:eastAsia="zh-CN"/>
        </w:rPr>
        <w:t>1.76</w:t>
      </w:r>
      <w:r>
        <w:rPr>
          <w:rFonts w:hint="default" w:ascii="仿宋" w:hAnsi="仿宋" w:eastAsia="仿宋"/>
          <w:b w:val="0"/>
          <w:color w:val="000000"/>
          <w:w w:val="100"/>
          <w:kern w:val="0"/>
          <w:position w:val="0"/>
          <w:sz w:val="32"/>
          <w:szCs w:val="32"/>
          <w:shd w:val="clear"/>
        </w:rPr>
        <w:t>万元，完成预算100%；</w:t>
      </w:r>
      <w:r>
        <w:rPr>
          <w:rFonts w:hint="eastAsia" w:ascii="仿宋" w:hAnsi="仿宋" w:eastAsia="仿宋"/>
          <w:b w:val="0"/>
          <w:color w:val="000000"/>
          <w:w w:val="100"/>
          <w:kern w:val="0"/>
          <w:position w:val="0"/>
          <w:sz w:val="32"/>
          <w:szCs w:val="32"/>
          <w:shd w:val="clear"/>
          <w:lang w:val="en-US" w:eastAsia="zh-CN"/>
        </w:rPr>
        <w:t>2101199其他行政事业单位医疗支出1.22万元，完成预算100%；2101599其他医疗保障管理事务支出5万元；支出</w:t>
      </w:r>
      <w:r>
        <w:rPr>
          <w:rFonts w:hint="default" w:ascii="仿宋" w:hAnsi="仿宋" w:eastAsia="仿宋"/>
          <w:b w:val="0"/>
          <w:color w:val="000000"/>
          <w:w w:val="100"/>
          <w:kern w:val="0"/>
          <w:position w:val="0"/>
          <w:sz w:val="32"/>
          <w:szCs w:val="32"/>
          <w:shd w:val="clear"/>
        </w:rPr>
        <w:t>合计支出决算数为</w:t>
      </w:r>
      <w:r>
        <w:rPr>
          <w:rFonts w:hint="eastAsia" w:ascii="仿宋" w:hAnsi="仿宋" w:eastAsia="仿宋"/>
          <w:b w:val="0"/>
          <w:color w:val="000000"/>
          <w:w w:val="100"/>
          <w:kern w:val="0"/>
          <w:position w:val="0"/>
          <w:sz w:val="32"/>
          <w:szCs w:val="32"/>
          <w:shd w:val="clear"/>
          <w:lang w:val="en-US" w:eastAsia="zh-CN"/>
        </w:rPr>
        <w:t>22.4</w:t>
      </w:r>
      <w:r>
        <w:rPr>
          <w:rFonts w:hint="default" w:ascii="仿宋" w:hAnsi="仿宋" w:eastAsia="仿宋"/>
          <w:b w:val="0"/>
          <w:color w:val="000000"/>
          <w:w w:val="100"/>
          <w:kern w:val="0"/>
          <w:position w:val="0"/>
          <w:sz w:val="32"/>
          <w:szCs w:val="32"/>
          <w:shd w:val="clear"/>
        </w:rPr>
        <w:t>万元，完成预算100%，决算数等于预算数的主要原因是严格按照财政拨款支出要求严格控制相关支出。</w:t>
      </w:r>
    </w:p>
    <w:p>
      <w:pPr>
        <w:widowControl/>
        <w:numPr>
          <w:ilvl w:val="0"/>
          <w:numId w:val="0"/>
        </w:numPr>
        <w:wordWrap/>
        <w:autoSpaceDE/>
        <w:autoSpaceDN/>
        <w:spacing w:before="0" w:after="160" w:line="600" w:lineRule="exact"/>
        <w:ind w:left="0" w:right="0" w:firstLine="640"/>
        <w:jc w:val="left"/>
        <w:rPr>
          <w:rFonts w:hint="default" w:ascii="Times New Roman" w:hAnsi="Times New Roman" w:eastAsia="Times New Roman"/>
          <w:color w:val="auto"/>
          <w:w w:val="100"/>
          <w:kern w:val="0"/>
          <w:position w:val="0"/>
          <w:sz w:val="21"/>
          <w:szCs w:val="21"/>
          <w:shd w:val="clear"/>
        </w:rPr>
      </w:pPr>
      <w:r>
        <w:rPr>
          <w:rFonts w:hint="default" w:ascii="仿宋" w:hAnsi="仿宋" w:eastAsia="仿宋"/>
          <w:b/>
          <w:color w:val="000000"/>
          <w:w w:val="100"/>
          <w:kern w:val="0"/>
          <w:position w:val="0"/>
          <w:sz w:val="32"/>
          <w:szCs w:val="32"/>
          <w:shd w:val="clear"/>
        </w:rPr>
        <w:t>3.住房保障支出：</w:t>
      </w:r>
    </w:p>
    <w:p>
      <w:pPr>
        <w:widowControl/>
        <w:numPr>
          <w:ilvl w:val="0"/>
          <w:numId w:val="0"/>
        </w:numPr>
        <w:wordWrap/>
        <w:autoSpaceDE/>
        <w:autoSpaceDN/>
        <w:spacing w:before="0" w:after="160" w:line="600" w:lineRule="exact"/>
        <w:ind w:left="0" w:right="0" w:firstLine="640"/>
        <w:jc w:val="left"/>
        <w:rPr>
          <w:rFonts w:hint="default" w:ascii="仿宋" w:hAnsi="仿宋" w:eastAsia="仿宋"/>
          <w:b/>
          <w:color w:val="000000"/>
          <w:w w:val="100"/>
          <w:kern w:val="0"/>
          <w:position w:val="0"/>
          <w:sz w:val="32"/>
          <w:szCs w:val="32"/>
          <w:shd w:val="clear"/>
        </w:rPr>
      </w:pPr>
      <w:r>
        <w:rPr>
          <w:rFonts w:hint="default" w:ascii="仿宋" w:hAnsi="仿宋" w:eastAsia="仿宋"/>
          <w:color w:val="auto"/>
          <w:w w:val="100"/>
          <w:kern w:val="0"/>
          <w:position w:val="0"/>
          <w:sz w:val="32"/>
          <w:szCs w:val="32"/>
          <w:shd w:val="clear"/>
        </w:rPr>
        <w:t>2210201住房公积金支出</w:t>
      </w:r>
      <w:r>
        <w:rPr>
          <w:rFonts w:hint="eastAsia" w:ascii="仿宋" w:hAnsi="仿宋" w:eastAsia="仿宋"/>
          <w:color w:val="auto"/>
          <w:w w:val="100"/>
          <w:kern w:val="0"/>
          <w:position w:val="0"/>
          <w:sz w:val="32"/>
          <w:szCs w:val="32"/>
          <w:shd w:val="clear"/>
          <w:lang w:val="en-US" w:eastAsia="zh-CN"/>
        </w:rPr>
        <w:t>26.24</w:t>
      </w:r>
      <w:r>
        <w:rPr>
          <w:rFonts w:hint="default" w:ascii="仿宋" w:hAnsi="仿宋" w:eastAsia="仿宋"/>
          <w:color w:val="auto"/>
          <w:w w:val="100"/>
          <w:kern w:val="0"/>
          <w:position w:val="0"/>
          <w:sz w:val="32"/>
          <w:szCs w:val="32"/>
          <w:shd w:val="clear"/>
        </w:rPr>
        <w:t>万元，完成100%；决算数等于预算数的主要原因是严格按照财政拨款支出要求严格控制相关支出。</w:t>
      </w:r>
    </w:p>
    <w:p>
      <w:pPr>
        <w:spacing w:line="600" w:lineRule="exact"/>
        <w:ind w:firstLine="640"/>
        <w:jc w:val="left"/>
        <w:rPr>
          <w:rFonts w:ascii="仿宋" w:hAnsi="仿宋" w:eastAsia="仿宋"/>
          <w:b/>
          <w:color w:val="000000"/>
          <w:sz w:val="32"/>
          <w:szCs w:val="32"/>
        </w:rPr>
      </w:pPr>
    </w:p>
    <w:p>
      <w:pPr>
        <w:tabs>
          <w:tab w:val="right" w:pos="8306"/>
        </w:tabs>
        <w:spacing w:line="600" w:lineRule="exact"/>
        <w:ind w:firstLine="640"/>
        <w:jc w:val="left"/>
        <w:outlineLvl w:val="1"/>
        <w:rPr>
          <w:rStyle w:val="27"/>
        </w:rPr>
      </w:pPr>
      <w:bookmarkStart w:id="98" w:name="_Toc19748_WPSOffice_Level2"/>
      <w:bookmarkStart w:id="99" w:name="_Toc15377214"/>
      <w:bookmarkStart w:id="100"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98"/>
      <w:bookmarkEnd w:id="99"/>
      <w:bookmarkEnd w:id="100"/>
      <w:r>
        <w:rPr>
          <w:rStyle w:val="27"/>
          <w:rFonts w:ascii="黑体" w:hAnsi="黑体" w:eastAsia="黑体"/>
          <w:b w:val="0"/>
        </w:rPr>
        <w:tab/>
      </w:r>
    </w:p>
    <w:p>
      <w:pPr>
        <w:widowControl/>
        <w:numPr>
          <w:ilvl w:val="0"/>
          <w:numId w:val="0"/>
        </w:numPr>
        <w:wordWrap/>
        <w:autoSpaceDE/>
        <w:autoSpaceDN/>
        <w:spacing w:before="0" w:after="160" w:line="600" w:lineRule="exact"/>
        <w:ind w:left="0" w:right="0" w:firstLine="645"/>
        <w:jc w:val="left"/>
        <w:rPr>
          <w:rFonts w:hint="default" w:ascii="仿宋" w:hAnsi="仿宋" w:eastAsia="仿宋"/>
          <w:color w:val="000000"/>
          <w:w w:val="100"/>
          <w:kern w:val="0"/>
          <w:position w:val="0"/>
          <w:sz w:val="32"/>
          <w:szCs w:val="32"/>
          <w:shd w:val="clear"/>
        </w:rPr>
      </w:pPr>
      <w:bookmarkStart w:id="101" w:name="_Toc15396609"/>
      <w:bookmarkStart w:id="102" w:name="_Toc15377215"/>
      <w:r>
        <w:rPr>
          <w:rFonts w:hint="default" w:ascii="仿宋" w:hAnsi="仿宋" w:eastAsia="仿宋"/>
          <w:color w:val="000000"/>
          <w:w w:val="100"/>
          <w:kern w:val="0"/>
          <w:position w:val="0"/>
          <w:sz w:val="32"/>
          <w:szCs w:val="32"/>
          <w:shd w:val="clear"/>
        </w:rPr>
        <w:t>201</w:t>
      </w:r>
      <w:r>
        <w:rPr>
          <w:rFonts w:hint="eastAsia" w:ascii="仿宋" w:hAnsi="仿宋" w:eastAsia="仿宋"/>
          <w:color w:val="000000"/>
          <w:w w:val="100"/>
          <w:kern w:val="0"/>
          <w:position w:val="0"/>
          <w:sz w:val="32"/>
          <w:szCs w:val="32"/>
          <w:shd w:val="clear"/>
          <w:lang w:val="en-US" w:eastAsia="zh-CN"/>
        </w:rPr>
        <w:t>9</w:t>
      </w:r>
      <w:r>
        <w:rPr>
          <w:rFonts w:hint="default" w:ascii="仿宋" w:hAnsi="仿宋" w:eastAsia="仿宋"/>
          <w:color w:val="000000"/>
          <w:w w:val="100"/>
          <w:kern w:val="0"/>
          <w:position w:val="0"/>
          <w:sz w:val="32"/>
          <w:szCs w:val="32"/>
          <w:shd w:val="clear"/>
        </w:rPr>
        <w:t>年一般公共预算财政拨款基本支出</w:t>
      </w:r>
      <w:r>
        <w:rPr>
          <w:rFonts w:hint="eastAsia" w:ascii="仿宋" w:hAnsi="仿宋" w:eastAsia="仿宋"/>
          <w:color w:val="000000"/>
          <w:w w:val="100"/>
          <w:kern w:val="0"/>
          <w:position w:val="0"/>
          <w:sz w:val="32"/>
          <w:szCs w:val="32"/>
          <w:shd w:val="clear"/>
          <w:lang w:val="en-US" w:eastAsia="zh-CN"/>
        </w:rPr>
        <w:t>355.83</w:t>
      </w:r>
      <w:r>
        <w:rPr>
          <w:rFonts w:hint="default" w:ascii="仿宋" w:hAnsi="仿宋" w:eastAsia="仿宋"/>
          <w:color w:val="000000"/>
          <w:w w:val="100"/>
          <w:kern w:val="0"/>
          <w:position w:val="0"/>
          <w:sz w:val="32"/>
          <w:szCs w:val="32"/>
          <w:shd w:val="clear"/>
        </w:rPr>
        <w:t>万元，其中：</w:t>
      </w:r>
    </w:p>
    <w:p>
      <w:pPr>
        <w:widowControl/>
        <w:numPr>
          <w:ilvl w:val="0"/>
          <w:numId w:val="0"/>
        </w:numPr>
        <w:wordWrap/>
        <w:autoSpaceDE/>
        <w:autoSpaceDN/>
        <w:spacing w:before="0" w:after="160" w:line="600" w:lineRule="exact"/>
        <w:ind w:left="0" w:right="0" w:firstLine="645"/>
        <w:jc w:val="left"/>
        <w:rPr>
          <w:rFonts w:hint="eastAsia" w:ascii="仿宋" w:hAnsi="仿宋" w:eastAsia="仿宋"/>
          <w:color w:val="000000"/>
          <w:w w:val="100"/>
          <w:kern w:val="0"/>
          <w:position w:val="0"/>
          <w:sz w:val="32"/>
          <w:szCs w:val="32"/>
          <w:shd w:val="clear"/>
          <w:lang w:val="en-US" w:eastAsia="zh-CN"/>
        </w:rPr>
      </w:pPr>
      <w:r>
        <w:rPr>
          <w:rFonts w:hint="default" w:ascii="仿宋" w:hAnsi="仿宋" w:eastAsia="仿宋"/>
          <w:color w:val="000000"/>
          <w:w w:val="100"/>
          <w:kern w:val="0"/>
          <w:position w:val="0"/>
          <w:sz w:val="32"/>
          <w:szCs w:val="32"/>
          <w:shd w:val="clear"/>
        </w:rPr>
        <w:t>人员经费</w:t>
      </w:r>
      <w:r>
        <w:rPr>
          <w:rFonts w:hint="eastAsia" w:ascii="仿宋" w:hAnsi="仿宋" w:eastAsia="仿宋"/>
          <w:color w:val="000000"/>
          <w:w w:val="100"/>
          <w:kern w:val="0"/>
          <w:position w:val="0"/>
          <w:sz w:val="32"/>
          <w:szCs w:val="32"/>
          <w:shd w:val="clear"/>
          <w:lang w:val="en-US" w:eastAsia="zh-CN"/>
        </w:rPr>
        <w:t>316.46</w:t>
      </w:r>
      <w:r>
        <w:rPr>
          <w:rFonts w:hint="default" w:ascii="仿宋" w:hAnsi="仿宋" w:eastAsia="仿宋"/>
          <w:color w:val="000000"/>
          <w:w w:val="100"/>
          <w:kern w:val="0"/>
          <w:position w:val="0"/>
          <w:sz w:val="32"/>
          <w:szCs w:val="32"/>
          <w:shd w:val="clear"/>
        </w:rPr>
        <w:t>万元，主要包括：基本工资</w:t>
      </w:r>
      <w:r>
        <w:rPr>
          <w:rFonts w:hint="eastAsia" w:ascii="仿宋" w:hAnsi="仿宋" w:eastAsia="仿宋"/>
          <w:color w:val="000000"/>
          <w:w w:val="100"/>
          <w:kern w:val="0"/>
          <w:position w:val="0"/>
          <w:sz w:val="32"/>
          <w:szCs w:val="32"/>
          <w:shd w:val="clear"/>
          <w:lang w:val="en-US" w:eastAsia="zh-CN"/>
        </w:rPr>
        <w:t>62.95</w:t>
      </w:r>
      <w:r>
        <w:rPr>
          <w:rFonts w:hint="default" w:ascii="仿宋" w:hAnsi="仿宋" w:eastAsia="仿宋"/>
          <w:color w:val="000000"/>
          <w:w w:val="100"/>
          <w:kern w:val="0"/>
          <w:position w:val="0"/>
          <w:sz w:val="32"/>
          <w:szCs w:val="32"/>
          <w:shd w:val="clear"/>
        </w:rPr>
        <w:t>万元、津贴补贴</w:t>
      </w:r>
      <w:r>
        <w:rPr>
          <w:rFonts w:hint="eastAsia" w:ascii="仿宋" w:hAnsi="仿宋" w:eastAsia="仿宋"/>
          <w:color w:val="000000"/>
          <w:w w:val="100"/>
          <w:kern w:val="0"/>
          <w:position w:val="0"/>
          <w:sz w:val="32"/>
          <w:szCs w:val="32"/>
          <w:shd w:val="clear"/>
          <w:lang w:val="en-US" w:eastAsia="zh-CN"/>
        </w:rPr>
        <w:t>107.63</w:t>
      </w:r>
      <w:r>
        <w:rPr>
          <w:rFonts w:hint="default" w:ascii="仿宋" w:hAnsi="仿宋" w:eastAsia="仿宋"/>
          <w:color w:val="000000"/>
          <w:w w:val="100"/>
          <w:kern w:val="0"/>
          <w:position w:val="0"/>
          <w:sz w:val="32"/>
          <w:szCs w:val="32"/>
          <w:shd w:val="clear"/>
        </w:rPr>
        <w:t>万元、奖金</w:t>
      </w:r>
      <w:r>
        <w:rPr>
          <w:rFonts w:hint="eastAsia" w:ascii="仿宋" w:hAnsi="仿宋" w:eastAsia="仿宋"/>
          <w:color w:val="000000"/>
          <w:w w:val="100"/>
          <w:kern w:val="0"/>
          <w:position w:val="0"/>
          <w:sz w:val="32"/>
          <w:szCs w:val="32"/>
          <w:shd w:val="clear"/>
          <w:lang w:val="en-US" w:eastAsia="zh-CN"/>
        </w:rPr>
        <w:t>42.38</w:t>
      </w:r>
      <w:r>
        <w:rPr>
          <w:rFonts w:hint="default" w:ascii="仿宋" w:hAnsi="仿宋" w:eastAsia="仿宋"/>
          <w:color w:val="000000"/>
          <w:w w:val="100"/>
          <w:kern w:val="0"/>
          <w:position w:val="0"/>
          <w:sz w:val="32"/>
          <w:szCs w:val="32"/>
          <w:shd w:val="clear"/>
        </w:rPr>
        <w:t>万元、</w:t>
      </w:r>
      <w:r>
        <w:rPr>
          <w:rFonts w:hint="eastAsia" w:ascii="仿宋" w:hAnsi="仿宋" w:eastAsia="仿宋"/>
          <w:color w:val="000000"/>
          <w:w w:val="100"/>
          <w:kern w:val="0"/>
          <w:position w:val="0"/>
          <w:sz w:val="32"/>
          <w:szCs w:val="32"/>
          <w:shd w:val="clear"/>
          <w:lang w:eastAsia="zh-CN"/>
        </w:rPr>
        <w:t>绩效工资</w:t>
      </w:r>
      <w:r>
        <w:rPr>
          <w:rFonts w:hint="eastAsia" w:ascii="仿宋" w:hAnsi="仿宋" w:eastAsia="仿宋"/>
          <w:color w:val="000000"/>
          <w:w w:val="100"/>
          <w:kern w:val="0"/>
          <w:position w:val="0"/>
          <w:sz w:val="32"/>
          <w:szCs w:val="32"/>
          <w:shd w:val="clear"/>
          <w:lang w:val="en-US" w:eastAsia="zh-CN"/>
        </w:rPr>
        <w:t>8.37万元，</w:t>
      </w:r>
      <w:r>
        <w:rPr>
          <w:rFonts w:hint="default" w:ascii="仿宋" w:hAnsi="仿宋" w:eastAsia="仿宋"/>
          <w:color w:val="000000"/>
          <w:w w:val="100"/>
          <w:kern w:val="0"/>
          <w:position w:val="0"/>
          <w:sz w:val="32"/>
          <w:szCs w:val="32"/>
          <w:shd w:val="clear"/>
        </w:rPr>
        <w:t>机关事业单位基本养老保险缴费</w:t>
      </w:r>
      <w:r>
        <w:rPr>
          <w:rFonts w:hint="eastAsia" w:ascii="仿宋" w:hAnsi="仿宋" w:eastAsia="仿宋"/>
          <w:color w:val="000000"/>
          <w:w w:val="100"/>
          <w:kern w:val="0"/>
          <w:position w:val="0"/>
          <w:sz w:val="32"/>
          <w:szCs w:val="32"/>
          <w:shd w:val="clear"/>
          <w:lang w:val="en-US" w:eastAsia="zh-CN"/>
        </w:rPr>
        <w:t>31.55</w:t>
      </w:r>
      <w:r>
        <w:rPr>
          <w:rFonts w:hint="default" w:ascii="仿宋" w:hAnsi="仿宋" w:eastAsia="仿宋"/>
          <w:color w:val="000000"/>
          <w:w w:val="100"/>
          <w:kern w:val="0"/>
          <w:position w:val="0"/>
          <w:sz w:val="32"/>
          <w:szCs w:val="32"/>
          <w:shd w:val="clear"/>
        </w:rPr>
        <w:t>万元、职业年金缴费</w:t>
      </w:r>
      <w:r>
        <w:rPr>
          <w:rFonts w:hint="eastAsia" w:ascii="仿宋" w:hAnsi="仿宋" w:eastAsia="仿宋"/>
          <w:color w:val="000000"/>
          <w:w w:val="100"/>
          <w:kern w:val="0"/>
          <w:position w:val="0"/>
          <w:sz w:val="32"/>
          <w:szCs w:val="32"/>
          <w:shd w:val="clear"/>
          <w:lang w:val="en-US" w:eastAsia="zh-CN"/>
        </w:rPr>
        <w:t>14.55</w:t>
      </w:r>
      <w:r>
        <w:rPr>
          <w:rFonts w:hint="default" w:ascii="仿宋" w:hAnsi="仿宋" w:eastAsia="仿宋"/>
          <w:color w:val="000000"/>
          <w:w w:val="100"/>
          <w:kern w:val="0"/>
          <w:position w:val="0"/>
          <w:sz w:val="32"/>
          <w:szCs w:val="32"/>
          <w:shd w:val="clear"/>
        </w:rPr>
        <w:t>万元、其他社会保障缴费</w:t>
      </w:r>
      <w:r>
        <w:rPr>
          <w:rFonts w:hint="eastAsia" w:ascii="仿宋" w:hAnsi="仿宋" w:eastAsia="仿宋"/>
          <w:color w:val="000000"/>
          <w:w w:val="100"/>
          <w:kern w:val="0"/>
          <w:position w:val="0"/>
          <w:sz w:val="32"/>
          <w:szCs w:val="32"/>
          <w:shd w:val="clear"/>
          <w:lang w:val="en-US" w:eastAsia="zh-CN"/>
        </w:rPr>
        <w:t>3.8</w:t>
      </w:r>
      <w:r>
        <w:rPr>
          <w:rFonts w:hint="default" w:ascii="仿宋" w:hAnsi="仿宋" w:eastAsia="仿宋"/>
          <w:color w:val="000000"/>
          <w:w w:val="100"/>
          <w:kern w:val="0"/>
          <w:position w:val="0"/>
          <w:sz w:val="32"/>
          <w:szCs w:val="32"/>
          <w:shd w:val="clear"/>
        </w:rPr>
        <w:t>万元、职工基本医疗保险缴费</w:t>
      </w:r>
      <w:r>
        <w:rPr>
          <w:rFonts w:hint="eastAsia" w:ascii="仿宋" w:hAnsi="仿宋" w:eastAsia="仿宋"/>
          <w:color w:val="000000"/>
          <w:w w:val="100"/>
          <w:kern w:val="0"/>
          <w:position w:val="0"/>
          <w:sz w:val="32"/>
          <w:szCs w:val="32"/>
          <w:shd w:val="clear"/>
          <w:lang w:val="en-US" w:eastAsia="zh-CN"/>
        </w:rPr>
        <w:t>14.42</w:t>
      </w:r>
      <w:r>
        <w:rPr>
          <w:rFonts w:hint="default" w:ascii="仿宋" w:hAnsi="仿宋" w:eastAsia="仿宋"/>
          <w:color w:val="000000"/>
          <w:w w:val="100"/>
          <w:kern w:val="0"/>
          <w:position w:val="0"/>
          <w:sz w:val="32"/>
          <w:szCs w:val="32"/>
          <w:shd w:val="clear"/>
        </w:rPr>
        <w:t>万元、公务员医疗补助</w:t>
      </w:r>
      <w:r>
        <w:rPr>
          <w:rFonts w:hint="eastAsia" w:ascii="仿宋" w:hAnsi="仿宋" w:eastAsia="仿宋"/>
          <w:color w:val="000000"/>
          <w:w w:val="100"/>
          <w:kern w:val="0"/>
          <w:position w:val="0"/>
          <w:sz w:val="32"/>
          <w:szCs w:val="32"/>
          <w:shd w:val="clear"/>
          <w:lang w:val="en-US" w:eastAsia="zh-CN"/>
        </w:rPr>
        <w:t>2.99</w:t>
      </w:r>
      <w:r>
        <w:rPr>
          <w:rFonts w:hint="default" w:ascii="仿宋" w:hAnsi="仿宋" w:eastAsia="仿宋"/>
          <w:color w:val="000000"/>
          <w:w w:val="100"/>
          <w:kern w:val="0"/>
          <w:position w:val="0"/>
          <w:sz w:val="32"/>
          <w:szCs w:val="32"/>
          <w:shd w:val="clear"/>
        </w:rPr>
        <w:t>万元、医疗费</w:t>
      </w:r>
      <w:r>
        <w:rPr>
          <w:rFonts w:hint="eastAsia" w:ascii="仿宋" w:hAnsi="仿宋" w:eastAsia="仿宋"/>
          <w:color w:val="000000"/>
          <w:w w:val="100"/>
          <w:kern w:val="0"/>
          <w:position w:val="0"/>
          <w:sz w:val="32"/>
          <w:szCs w:val="32"/>
          <w:shd w:val="clear"/>
          <w:lang w:val="en-US" w:eastAsia="zh-CN"/>
        </w:rPr>
        <w:t>1.58</w:t>
      </w:r>
      <w:r>
        <w:rPr>
          <w:rFonts w:hint="default" w:ascii="仿宋" w:hAnsi="仿宋" w:eastAsia="仿宋"/>
          <w:color w:val="000000"/>
          <w:w w:val="100"/>
          <w:kern w:val="0"/>
          <w:position w:val="0"/>
          <w:sz w:val="32"/>
          <w:szCs w:val="32"/>
          <w:shd w:val="clear"/>
        </w:rPr>
        <w:t>万元、住房</w:t>
      </w:r>
      <w:r>
        <w:rPr>
          <w:rFonts w:hint="eastAsia" w:ascii="仿宋" w:hAnsi="仿宋" w:eastAsia="仿宋"/>
          <w:color w:val="000000"/>
          <w:w w:val="100"/>
          <w:kern w:val="0"/>
          <w:position w:val="0"/>
          <w:sz w:val="32"/>
          <w:szCs w:val="32"/>
          <w:shd w:val="clear"/>
          <w:lang w:val="en-US" w:eastAsia="zh-CN"/>
        </w:rPr>
        <w:t>公</w:t>
      </w:r>
      <w:r>
        <w:rPr>
          <w:rFonts w:hint="default" w:ascii="仿宋" w:hAnsi="仿宋" w:eastAsia="仿宋"/>
          <w:color w:val="000000"/>
          <w:w w:val="100"/>
          <w:kern w:val="0"/>
          <w:position w:val="0"/>
          <w:sz w:val="32"/>
          <w:szCs w:val="32"/>
          <w:shd w:val="clear"/>
        </w:rPr>
        <w:t>积金</w:t>
      </w:r>
      <w:r>
        <w:rPr>
          <w:rFonts w:hint="eastAsia" w:ascii="仿宋" w:hAnsi="仿宋" w:eastAsia="仿宋"/>
          <w:color w:val="000000"/>
          <w:w w:val="100"/>
          <w:kern w:val="0"/>
          <w:position w:val="0"/>
          <w:sz w:val="32"/>
          <w:szCs w:val="32"/>
          <w:shd w:val="clear"/>
          <w:lang w:val="en-US" w:eastAsia="zh-CN"/>
        </w:rPr>
        <w:t>26.24</w:t>
      </w:r>
      <w:r>
        <w:rPr>
          <w:rFonts w:hint="default" w:ascii="仿宋" w:hAnsi="仿宋" w:eastAsia="仿宋"/>
          <w:color w:val="000000"/>
          <w:w w:val="100"/>
          <w:kern w:val="0"/>
          <w:position w:val="0"/>
          <w:sz w:val="32"/>
          <w:szCs w:val="32"/>
          <w:shd w:val="clear"/>
        </w:rPr>
        <w:t>万元。</w:t>
      </w:r>
      <w:r>
        <w:rPr>
          <w:rFonts w:hint="default" w:ascii="仿宋" w:hAnsi="仿宋" w:eastAsia="仿宋"/>
          <w:color w:val="000000"/>
          <w:w w:val="100"/>
          <w:kern w:val="0"/>
          <w:position w:val="0"/>
          <w:sz w:val="32"/>
          <w:szCs w:val="32"/>
          <w:shd w:val="clear"/>
        </w:rPr>
        <w:br w:type="textWrapping" w:clear="all"/>
      </w:r>
      <w:r>
        <w:rPr>
          <w:rFonts w:hint="default" w:ascii="仿宋" w:hAnsi="仿宋" w:eastAsia="仿宋"/>
          <w:color w:val="000000"/>
          <w:w w:val="100"/>
          <w:kern w:val="0"/>
          <w:position w:val="0"/>
          <w:sz w:val="32"/>
          <w:szCs w:val="32"/>
          <w:shd w:val="clear"/>
        </w:rPr>
        <w:t>　　公用经费</w:t>
      </w:r>
      <w:r>
        <w:rPr>
          <w:rFonts w:hint="eastAsia" w:ascii="仿宋" w:hAnsi="仿宋" w:eastAsia="仿宋"/>
          <w:color w:val="000000"/>
          <w:w w:val="100"/>
          <w:kern w:val="0"/>
          <w:position w:val="0"/>
          <w:sz w:val="32"/>
          <w:szCs w:val="32"/>
          <w:shd w:val="clear"/>
          <w:lang w:val="en-US" w:eastAsia="zh-CN"/>
        </w:rPr>
        <w:t>34.32</w:t>
      </w:r>
      <w:r>
        <w:rPr>
          <w:rFonts w:hint="default" w:ascii="仿宋" w:hAnsi="仿宋" w:eastAsia="仿宋"/>
          <w:color w:val="000000"/>
          <w:w w:val="100"/>
          <w:kern w:val="0"/>
          <w:position w:val="0"/>
          <w:sz w:val="32"/>
          <w:szCs w:val="32"/>
          <w:shd w:val="clear"/>
        </w:rPr>
        <w:t>万元，主要包括：办公费</w:t>
      </w:r>
      <w:r>
        <w:rPr>
          <w:rFonts w:hint="eastAsia" w:ascii="仿宋" w:hAnsi="仿宋" w:eastAsia="仿宋"/>
          <w:color w:val="000000"/>
          <w:w w:val="100"/>
          <w:kern w:val="0"/>
          <w:position w:val="0"/>
          <w:sz w:val="32"/>
          <w:szCs w:val="32"/>
          <w:shd w:val="clear"/>
          <w:lang w:val="en-US" w:eastAsia="zh-CN"/>
        </w:rPr>
        <w:t>17.26</w:t>
      </w:r>
      <w:r>
        <w:rPr>
          <w:rFonts w:hint="default" w:ascii="仿宋" w:hAnsi="仿宋" w:eastAsia="仿宋"/>
          <w:color w:val="000000"/>
          <w:w w:val="100"/>
          <w:kern w:val="0"/>
          <w:position w:val="0"/>
          <w:sz w:val="32"/>
          <w:szCs w:val="32"/>
          <w:shd w:val="clear"/>
        </w:rPr>
        <w:t>万元、邮电费</w:t>
      </w:r>
      <w:r>
        <w:rPr>
          <w:rFonts w:hint="eastAsia" w:ascii="仿宋" w:hAnsi="仿宋" w:eastAsia="仿宋"/>
          <w:color w:val="000000"/>
          <w:w w:val="100"/>
          <w:kern w:val="0"/>
          <w:position w:val="0"/>
          <w:sz w:val="32"/>
          <w:szCs w:val="32"/>
          <w:shd w:val="clear"/>
          <w:lang w:val="en-US" w:eastAsia="zh-CN"/>
        </w:rPr>
        <w:t>0.98</w:t>
      </w:r>
      <w:r>
        <w:rPr>
          <w:rFonts w:hint="default" w:ascii="仿宋" w:hAnsi="仿宋" w:eastAsia="仿宋"/>
          <w:color w:val="000000"/>
          <w:w w:val="100"/>
          <w:kern w:val="0"/>
          <w:position w:val="0"/>
          <w:sz w:val="32"/>
          <w:szCs w:val="32"/>
          <w:shd w:val="clear"/>
        </w:rPr>
        <w:t>万元、差旅费</w:t>
      </w:r>
      <w:r>
        <w:rPr>
          <w:rFonts w:hint="eastAsia" w:ascii="仿宋" w:hAnsi="仿宋" w:eastAsia="仿宋"/>
          <w:color w:val="000000"/>
          <w:w w:val="100"/>
          <w:kern w:val="0"/>
          <w:position w:val="0"/>
          <w:sz w:val="32"/>
          <w:szCs w:val="32"/>
          <w:shd w:val="clear"/>
          <w:lang w:val="en-US" w:eastAsia="zh-CN"/>
        </w:rPr>
        <w:t>9.37</w:t>
      </w:r>
      <w:r>
        <w:rPr>
          <w:rFonts w:hint="default" w:ascii="仿宋" w:hAnsi="仿宋" w:eastAsia="仿宋"/>
          <w:color w:val="000000"/>
          <w:w w:val="100"/>
          <w:kern w:val="0"/>
          <w:position w:val="0"/>
          <w:sz w:val="32"/>
          <w:szCs w:val="32"/>
          <w:shd w:val="clear"/>
        </w:rPr>
        <w:t>万元、维修（护）费</w:t>
      </w:r>
      <w:r>
        <w:rPr>
          <w:rFonts w:hint="eastAsia" w:ascii="仿宋" w:hAnsi="仿宋" w:eastAsia="仿宋"/>
          <w:color w:val="000000"/>
          <w:w w:val="100"/>
          <w:kern w:val="0"/>
          <w:position w:val="0"/>
          <w:sz w:val="32"/>
          <w:szCs w:val="32"/>
          <w:shd w:val="clear"/>
          <w:lang w:val="en-US" w:eastAsia="zh-CN"/>
        </w:rPr>
        <w:t>2.82</w:t>
      </w:r>
      <w:r>
        <w:rPr>
          <w:rFonts w:hint="default" w:ascii="仿宋" w:hAnsi="仿宋" w:eastAsia="仿宋"/>
          <w:color w:val="000000"/>
          <w:w w:val="100"/>
          <w:kern w:val="0"/>
          <w:position w:val="0"/>
          <w:sz w:val="32"/>
          <w:szCs w:val="32"/>
          <w:shd w:val="clear"/>
        </w:rPr>
        <w:t>万元、培训费</w:t>
      </w:r>
      <w:r>
        <w:rPr>
          <w:rFonts w:hint="eastAsia" w:ascii="仿宋" w:hAnsi="仿宋" w:eastAsia="仿宋"/>
          <w:color w:val="000000"/>
          <w:w w:val="100"/>
          <w:kern w:val="0"/>
          <w:position w:val="0"/>
          <w:sz w:val="32"/>
          <w:szCs w:val="32"/>
          <w:shd w:val="clear"/>
          <w:lang w:val="en-US" w:eastAsia="zh-CN"/>
        </w:rPr>
        <w:t>1.81</w:t>
      </w:r>
      <w:r>
        <w:rPr>
          <w:rFonts w:hint="default" w:ascii="仿宋" w:hAnsi="仿宋" w:eastAsia="仿宋"/>
          <w:color w:val="000000"/>
          <w:w w:val="100"/>
          <w:kern w:val="0"/>
          <w:position w:val="0"/>
          <w:sz w:val="32"/>
          <w:szCs w:val="32"/>
          <w:shd w:val="clear"/>
        </w:rPr>
        <w:t>万元、劳务费</w:t>
      </w:r>
      <w:r>
        <w:rPr>
          <w:rFonts w:hint="eastAsia" w:ascii="仿宋" w:hAnsi="仿宋" w:eastAsia="仿宋"/>
          <w:color w:val="000000"/>
          <w:w w:val="100"/>
          <w:kern w:val="0"/>
          <w:position w:val="0"/>
          <w:sz w:val="32"/>
          <w:szCs w:val="32"/>
          <w:shd w:val="clear"/>
          <w:lang w:val="en-US" w:eastAsia="zh-CN"/>
        </w:rPr>
        <w:t>0.1</w:t>
      </w:r>
      <w:r>
        <w:rPr>
          <w:rFonts w:hint="default" w:ascii="仿宋" w:hAnsi="仿宋" w:eastAsia="仿宋"/>
          <w:color w:val="000000"/>
          <w:w w:val="100"/>
          <w:kern w:val="0"/>
          <w:position w:val="0"/>
          <w:sz w:val="32"/>
          <w:szCs w:val="32"/>
          <w:shd w:val="clear"/>
        </w:rPr>
        <w:t>万元、</w:t>
      </w:r>
      <w:r>
        <w:rPr>
          <w:rFonts w:hint="eastAsia" w:ascii="仿宋" w:hAnsi="仿宋" w:eastAsia="仿宋"/>
          <w:color w:val="000000"/>
          <w:w w:val="100"/>
          <w:kern w:val="0"/>
          <w:position w:val="0"/>
          <w:sz w:val="32"/>
          <w:szCs w:val="32"/>
          <w:shd w:val="clear"/>
          <w:lang w:eastAsia="zh-CN"/>
        </w:rPr>
        <w:t>印刷费</w:t>
      </w:r>
      <w:r>
        <w:rPr>
          <w:rFonts w:hint="eastAsia" w:ascii="仿宋" w:hAnsi="仿宋" w:eastAsia="仿宋"/>
          <w:color w:val="000000"/>
          <w:w w:val="100"/>
          <w:kern w:val="0"/>
          <w:position w:val="0"/>
          <w:sz w:val="32"/>
          <w:szCs w:val="32"/>
          <w:shd w:val="clear"/>
          <w:lang w:val="en-US" w:eastAsia="zh-CN"/>
        </w:rPr>
        <w:t>1.82万元、会议费0.16万元。</w:t>
      </w:r>
    </w:p>
    <w:p>
      <w:pPr>
        <w:widowControl/>
        <w:numPr>
          <w:ilvl w:val="0"/>
          <w:numId w:val="0"/>
        </w:numPr>
        <w:wordWrap/>
        <w:autoSpaceDE/>
        <w:autoSpaceDN/>
        <w:spacing w:before="0" w:after="160" w:line="600" w:lineRule="exact"/>
        <w:ind w:left="0" w:right="0" w:firstLine="645"/>
        <w:jc w:val="left"/>
        <w:rPr>
          <w:rFonts w:hint="default" w:ascii="仿宋" w:hAnsi="仿宋" w:eastAsia="仿宋"/>
          <w:color w:val="000000"/>
          <w:w w:val="100"/>
          <w:kern w:val="0"/>
          <w:position w:val="0"/>
          <w:sz w:val="32"/>
          <w:szCs w:val="32"/>
          <w:shd w:val="clear"/>
          <w:lang w:val="en-US" w:eastAsia="zh-CN"/>
        </w:rPr>
      </w:pPr>
      <w:r>
        <w:rPr>
          <w:rFonts w:hint="eastAsia" w:ascii="仿宋" w:hAnsi="仿宋" w:eastAsia="仿宋"/>
          <w:color w:val="000000"/>
          <w:w w:val="100"/>
          <w:kern w:val="0"/>
          <w:position w:val="0"/>
          <w:sz w:val="32"/>
          <w:szCs w:val="32"/>
          <w:shd w:val="clear"/>
          <w:lang w:val="en-US" w:eastAsia="zh-CN"/>
        </w:rPr>
        <w:t>对个人和家庭的补助5.05万元，主要包括：救济费5万元，奖励金0.05万元。</w:t>
      </w:r>
    </w:p>
    <w:p>
      <w:pPr>
        <w:spacing w:line="600" w:lineRule="exact"/>
        <w:ind w:firstLine="640"/>
        <w:jc w:val="left"/>
        <w:outlineLvl w:val="1"/>
        <w:rPr>
          <w:rStyle w:val="27"/>
          <w:rFonts w:ascii="黑体" w:hAnsi="黑体" w:eastAsia="黑体"/>
          <w:b w:val="0"/>
        </w:rPr>
      </w:pPr>
      <w:bookmarkStart w:id="103" w:name="_Toc11836_WPSOffice_Level2"/>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101"/>
      <w:bookmarkEnd w:id="102"/>
      <w:bookmarkEnd w:id="103"/>
    </w:p>
    <w:p>
      <w:pPr>
        <w:spacing w:line="600" w:lineRule="exact"/>
        <w:ind w:firstLine="640"/>
        <w:jc w:val="left"/>
        <w:outlineLvl w:val="2"/>
        <w:rPr>
          <w:rFonts w:ascii="仿宋" w:hAnsi="仿宋" w:eastAsia="仿宋"/>
          <w:b/>
          <w:color w:val="000000"/>
          <w:sz w:val="32"/>
          <w:szCs w:val="32"/>
        </w:rPr>
      </w:pPr>
      <w:bookmarkStart w:id="104" w:name="_Toc15377216"/>
      <w:r>
        <w:rPr>
          <w:rFonts w:hint="eastAsia" w:ascii="仿宋" w:hAnsi="仿宋" w:eastAsia="仿宋"/>
          <w:b/>
          <w:color w:val="000000"/>
          <w:sz w:val="32"/>
          <w:szCs w:val="32"/>
        </w:rPr>
        <w:t>（一）“三公”经费财政拨款支出决算总体情况说明</w:t>
      </w:r>
      <w:bookmarkEnd w:id="104"/>
    </w:p>
    <w:p>
      <w:pPr>
        <w:spacing w:line="600" w:lineRule="exact"/>
        <w:ind w:firstLine="640"/>
        <w:jc w:val="left"/>
        <w:rPr>
          <w:rFonts w:ascii="仿宋" w:hAnsi="仿宋" w:eastAsia="仿宋"/>
          <w:b/>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元</w:t>
      </w:r>
      <w:r>
        <w:rPr>
          <w:rFonts w:hint="eastAsia" w:ascii="仿宋" w:hAnsi="仿宋" w:eastAsia="仿宋"/>
          <w:color w:val="000000"/>
          <w:sz w:val="32"/>
          <w:szCs w:val="32"/>
          <w:lang w:eastAsia="zh-CN"/>
        </w:rPr>
        <w:t>。</w:t>
      </w:r>
    </w:p>
    <w:p>
      <w:pPr>
        <w:spacing w:line="600" w:lineRule="exact"/>
        <w:ind w:firstLine="640"/>
        <w:jc w:val="left"/>
        <w:outlineLvl w:val="2"/>
        <w:rPr>
          <w:rFonts w:ascii="仿宋" w:hAnsi="仿宋" w:eastAsia="仿宋"/>
          <w:b/>
          <w:color w:val="000000"/>
          <w:sz w:val="32"/>
          <w:szCs w:val="32"/>
        </w:rPr>
      </w:pPr>
      <w:bookmarkStart w:id="105" w:name="_Toc15377217"/>
      <w:r>
        <w:rPr>
          <w:rFonts w:hint="eastAsia" w:ascii="仿宋" w:hAnsi="仿宋" w:eastAsia="仿宋"/>
          <w:b/>
          <w:color w:val="000000"/>
          <w:sz w:val="32"/>
          <w:szCs w:val="32"/>
        </w:rPr>
        <w:t>（二）“三公”经费财政拨款支出决算具体情况说明</w:t>
      </w:r>
      <w:bookmarkEnd w:id="105"/>
    </w:p>
    <w:p>
      <w:pPr>
        <w:spacing w:line="240" w:lineRule="auto"/>
        <w:ind w:firstLine="640"/>
        <w:jc w:val="left"/>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元；公务接待费支出决算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元</w:t>
      </w:r>
      <w:r>
        <w:rPr>
          <w:rFonts w:hint="eastAsia" w:ascii="仿宋" w:hAnsi="仿宋" w:eastAsia="仿宋"/>
          <w:color w:val="000000"/>
          <w:sz w:val="32"/>
          <w:szCs w:val="32"/>
          <w:lang w:eastAsia="zh-CN"/>
        </w:rPr>
        <w:t>。</w:t>
      </w:r>
    </w:p>
    <w:p>
      <w:pPr>
        <w:numPr>
          <w:ilvl w:val="0"/>
          <w:numId w:val="0"/>
        </w:numPr>
        <w:spacing w:line="600" w:lineRule="exact"/>
        <w:ind w:firstLine="643" w:firstLineChars="200"/>
        <w:jc w:val="left"/>
        <w:rPr>
          <w:rFonts w:hint="eastAsia"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r>
        <w:rPr>
          <w:rFonts w:hint="eastAsia" w:ascii="仿宋_GB2312" w:eastAsia="仿宋_GB2312"/>
          <w:color w:val="000000"/>
          <w:sz w:val="32"/>
          <w:szCs w:val="32"/>
          <w:lang w:eastAsia="zh-CN"/>
        </w:rPr>
        <w:t>，与上年持平。</w:t>
      </w:r>
    </w:p>
    <w:p>
      <w:pPr>
        <w:numPr>
          <w:ilvl w:val="0"/>
          <w:numId w:val="0"/>
        </w:numPr>
        <w:spacing w:line="600" w:lineRule="exact"/>
        <w:ind w:firstLine="643" w:firstLineChars="200"/>
        <w:jc w:val="left"/>
        <w:rPr>
          <w:rFonts w:hint="eastAsia" w:ascii="仿宋_GB2312" w:eastAsia="仿宋_GB2312"/>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0万</w:t>
      </w:r>
      <w:r>
        <w:rPr>
          <w:rFonts w:hint="eastAsia" w:ascii="仿宋_GB2312" w:eastAsia="仿宋_GB2312"/>
          <w:color w:val="000000"/>
          <w:sz w:val="32"/>
          <w:szCs w:val="32"/>
        </w:rPr>
        <w:t>元</w:t>
      </w:r>
      <w:r>
        <w:rPr>
          <w:rFonts w:hint="eastAsia" w:ascii="仿宋_GB2312" w:eastAsia="仿宋_GB2312"/>
          <w:color w:val="000000"/>
          <w:sz w:val="32"/>
          <w:szCs w:val="32"/>
          <w:lang w:eastAsia="zh-CN"/>
        </w:rPr>
        <w:t>，与上年持平。</w:t>
      </w:r>
    </w:p>
    <w:p>
      <w:pPr>
        <w:spacing w:line="600" w:lineRule="exact"/>
        <w:ind w:firstLine="640"/>
        <w:jc w:val="left"/>
        <w:rPr>
          <w:rFonts w:hint="eastAsia" w:ascii="仿宋_GB2312" w:eastAsia="仿宋_GB2312"/>
          <w:color w:val="000000"/>
          <w:sz w:val="32"/>
          <w:szCs w:val="32"/>
          <w:lang w:eastAsia="zh-CN"/>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，与上年持平。</w:t>
      </w:r>
    </w:p>
    <w:p>
      <w:pPr>
        <w:spacing w:line="600" w:lineRule="exact"/>
        <w:ind w:firstLine="643" w:firstLineChars="200"/>
        <w:jc w:val="left"/>
        <w:rPr>
          <w:rFonts w:hint="default" w:ascii="仿宋_GB2312" w:eastAsia="仿宋_GB2312"/>
          <w:color w:val="000000"/>
          <w:sz w:val="32"/>
          <w:szCs w:val="32"/>
          <w:lang w:val="en-US"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万元，主要原因</w:t>
      </w:r>
      <w:r>
        <w:rPr>
          <w:rFonts w:hint="eastAsia" w:ascii="仿宋_GB2312" w:eastAsia="仿宋_GB2312"/>
          <w:color w:val="000000"/>
          <w:sz w:val="32"/>
          <w:szCs w:val="32"/>
          <w:lang w:eastAsia="zh-CN"/>
        </w:rPr>
        <w:t>是</w:t>
      </w:r>
      <w:r>
        <w:rPr>
          <w:rFonts w:hint="eastAsia" w:ascii="仿宋_GB2312" w:eastAsia="仿宋_GB2312"/>
          <w:color w:val="000000"/>
          <w:sz w:val="32"/>
          <w:szCs w:val="32"/>
          <w:lang w:val="en-US" w:eastAsia="zh-CN"/>
        </w:rPr>
        <w:t>2019年无公务接待。</w:t>
      </w:r>
    </w:p>
    <w:p>
      <w:pPr>
        <w:spacing w:line="600" w:lineRule="exact"/>
        <w:ind w:firstLine="640"/>
        <w:jc w:val="left"/>
        <w:outlineLvl w:val="1"/>
        <w:rPr>
          <w:rFonts w:ascii="黑体" w:eastAsia="黑体"/>
          <w:color w:val="000000"/>
          <w:sz w:val="32"/>
          <w:szCs w:val="32"/>
        </w:rPr>
      </w:pPr>
      <w:bookmarkStart w:id="106" w:name="_Toc15377218"/>
      <w:bookmarkStart w:id="107" w:name="_Toc15396610"/>
    </w:p>
    <w:p>
      <w:pPr>
        <w:spacing w:line="600" w:lineRule="exact"/>
        <w:ind w:firstLine="640"/>
        <w:jc w:val="left"/>
        <w:outlineLvl w:val="1"/>
        <w:rPr>
          <w:rStyle w:val="27"/>
          <w:rFonts w:ascii="黑体" w:hAnsi="黑体" w:eastAsia="黑体"/>
        </w:rPr>
      </w:pPr>
      <w:bookmarkStart w:id="108" w:name="_Toc3382_WPSOffice_Level2"/>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106"/>
      <w:bookmarkEnd w:id="107"/>
      <w:bookmarkEnd w:id="108"/>
    </w:p>
    <w:p>
      <w:pPr>
        <w:spacing w:line="600" w:lineRule="exact"/>
        <w:ind w:firstLine="640"/>
        <w:jc w:val="left"/>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jc w:val="left"/>
        <w:rPr>
          <w:rFonts w:ascii="仿宋_GB2312" w:eastAsia="仿宋_GB2312"/>
          <w:color w:val="000000"/>
          <w:sz w:val="32"/>
          <w:szCs w:val="32"/>
        </w:rPr>
      </w:pPr>
    </w:p>
    <w:p>
      <w:pPr>
        <w:numPr>
          <w:ilvl w:val="0"/>
          <w:numId w:val="4"/>
        </w:numPr>
        <w:spacing w:line="600" w:lineRule="exact"/>
        <w:ind w:firstLine="640"/>
        <w:jc w:val="left"/>
        <w:outlineLvl w:val="1"/>
        <w:rPr>
          <w:rStyle w:val="27"/>
          <w:rFonts w:ascii="黑体" w:hAnsi="黑体" w:eastAsia="黑体"/>
          <w:b w:val="0"/>
        </w:rPr>
      </w:pPr>
      <w:bookmarkStart w:id="109" w:name="_Toc27703_WPSOffice_Level2"/>
      <w:bookmarkStart w:id="110" w:name="_Toc15396611"/>
      <w:bookmarkStart w:id="111" w:name="_Toc15377219"/>
      <w:r>
        <w:rPr>
          <w:rStyle w:val="27"/>
          <w:rFonts w:hint="eastAsia" w:ascii="黑体" w:hAnsi="黑体" w:eastAsia="黑体"/>
          <w:b w:val="0"/>
        </w:rPr>
        <w:t>国有资本经营预算支出决算情况说明</w:t>
      </w:r>
      <w:bookmarkEnd w:id="109"/>
      <w:bookmarkEnd w:id="110"/>
      <w:bookmarkEnd w:id="111"/>
    </w:p>
    <w:p>
      <w:pPr>
        <w:spacing w:line="600" w:lineRule="exact"/>
        <w:ind w:firstLine="640"/>
        <w:jc w:val="left"/>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left"/>
        <w:rPr>
          <w:rFonts w:ascii="方正小标宋简体" w:hAnsi="方正小标宋简体" w:eastAsia="方正小标宋简体" w:cs="方正小标宋简体"/>
          <w:sz w:val="44"/>
          <w:szCs w:val="44"/>
        </w:rPr>
      </w:pPr>
    </w:p>
    <w:p>
      <w:pPr>
        <w:spacing w:line="600" w:lineRule="exact"/>
        <w:ind w:firstLine="800" w:firstLineChars="250"/>
        <w:jc w:val="left"/>
        <w:outlineLvl w:val="1"/>
        <w:rPr>
          <w:rStyle w:val="27"/>
          <w:rFonts w:ascii="黑体" w:hAnsi="黑体" w:eastAsia="黑体"/>
        </w:rPr>
      </w:pPr>
      <w:bookmarkStart w:id="112" w:name="_Toc4955_WPSOffice_Level2"/>
      <w:bookmarkStart w:id="113" w:name="_Toc15396612"/>
      <w:bookmarkStart w:id="114"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112"/>
      <w:bookmarkEnd w:id="113"/>
      <w:bookmarkEnd w:id="114"/>
    </w:p>
    <w:p>
      <w:pPr>
        <w:spacing w:line="600" w:lineRule="exact"/>
        <w:ind w:firstLine="643" w:firstLineChars="200"/>
        <w:jc w:val="left"/>
        <w:outlineLvl w:val="2"/>
        <w:rPr>
          <w:rFonts w:ascii="仿宋" w:hAnsi="仿宋" w:eastAsia="仿宋"/>
          <w:color w:val="000000"/>
          <w:sz w:val="32"/>
          <w:szCs w:val="32"/>
        </w:rPr>
      </w:pPr>
      <w:bookmarkStart w:id="115" w:name="_Toc15377222"/>
      <w:r>
        <w:rPr>
          <w:rFonts w:hint="eastAsia" w:ascii="仿宋" w:hAnsi="仿宋" w:eastAsia="仿宋"/>
          <w:b/>
          <w:color w:val="000000"/>
          <w:sz w:val="32"/>
          <w:szCs w:val="32"/>
        </w:rPr>
        <w:t>（一）机关运行经费支出情况</w:t>
      </w:r>
      <w:bookmarkEnd w:id="115"/>
    </w:p>
    <w:p>
      <w:pPr>
        <w:snapToGrid w:val="0"/>
        <w:spacing w:line="520" w:lineRule="exact"/>
        <w:ind w:firstLine="640" w:firstLineChars="200"/>
        <w:jc w:val="left"/>
        <w:rPr>
          <w:rFonts w:hint="eastAsia" w:ascii="仿宋" w:hAnsi="仿宋" w:eastAsia="仿宋" w:cs="Times New Roman"/>
          <w:color w:val="000000"/>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红原县医疗保障局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24.51</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0.54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 w:hAnsi="仿宋" w:eastAsia="仿宋" w:cs="Times New Roman"/>
          <w:color w:val="000000"/>
          <w:sz w:val="32"/>
          <w:szCs w:val="32"/>
          <w:lang w:val="en-US" w:eastAsia="zh-CN"/>
        </w:rPr>
        <w:t>2019年机改后红原县医疗保障局人员增加，人员经费标准提高，经费支出增加。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6" w:name="_Toc15377223"/>
      <w:r>
        <w:rPr>
          <w:rFonts w:hint="eastAsia" w:ascii="仿宋" w:hAnsi="仿宋" w:eastAsia="仿宋"/>
          <w:b/>
          <w:color w:val="000000"/>
          <w:sz w:val="32"/>
          <w:szCs w:val="32"/>
        </w:rPr>
        <w:t>（二）政府采购支出情况</w:t>
      </w:r>
      <w:bookmarkEnd w:id="116"/>
    </w:p>
    <w:p>
      <w:pPr>
        <w:spacing w:line="600" w:lineRule="exact"/>
        <w:ind w:firstLine="640" w:firstLineChars="200"/>
        <w:jc w:val="left"/>
        <w:rPr>
          <w:rFonts w:hint="eastAsia" w:ascii="仿宋_GB2312" w:eastAsia="仿宋_GB2312"/>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红原县医疗保障局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7" w:name="_Toc15377224"/>
      <w:r>
        <w:rPr>
          <w:rFonts w:hint="eastAsia" w:ascii="仿宋" w:hAnsi="仿宋" w:eastAsia="仿宋"/>
          <w:b/>
          <w:color w:val="000000"/>
          <w:sz w:val="32"/>
          <w:szCs w:val="32"/>
        </w:rPr>
        <w:t>（三）国有资产占有使用情况</w:t>
      </w:r>
      <w:bookmarkEnd w:id="117"/>
    </w:p>
    <w:p>
      <w:pPr>
        <w:autoSpaceDE w:val="0"/>
        <w:autoSpaceDN w:val="0"/>
        <w:adjustRightInd w:val="0"/>
        <w:spacing w:line="600" w:lineRule="exact"/>
        <w:ind w:firstLine="640" w:firstLineChars="200"/>
        <w:jc w:val="left"/>
        <w:rPr>
          <w:rFonts w:hint="default" w:ascii="仿宋_GB2312" w:eastAsia="仿宋_GB2312"/>
          <w:color w:val="auto"/>
          <w:sz w:val="32"/>
          <w:szCs w:val="32"/>
          <w:lang w:val="en-US" w:eastAsia="zh-CN"/>
        </w:rPr>
      </w:pPr>
      <w:r>
        <w:rPr>
          <w:rFonts w:hint="eastAsia" w:ascii="仿宋_GB2312" w:eastAsia="仿宋_GB2312"/>
          <w:color w:val="auto"/>
          <w:sz w:val="32"/>
          <w:szCs w:val="32"/>
        </w:rPr>
        <w:t>截至</w:t>
      </w:r>
      <w:r>
        <w:rPr>
          <w:rFonts w:ascii="仿宋_GB2312" w:eastAsia="仿宋_GB2312"/>
          <w:color w:val="auto"/>
          <w:sz w:val="32"/>
          <w:szCs w:val="32"/>
        </w:rPr>
        <w:t>201</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olor w:val="auto"/>
          <w:sz w:val="32"/>
          <w:szCs w:val="32"/>
          <w:lang w:eastAsia="zh-CN"/>
        </w:rPr>
        <w:t>红原县医疗保障局无占有国有资产。</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在年初预算编制阶段，组织对2019年医疗服务与保障能力提升中央财政补助资金开展了预算事前绩效评估，对</w:t>
      </w:r>
      <w:r>
        <w:rPr>
          <w:rFonts w:hint="eastAsia" w:ascii="仿宋_GB2312" w:hAnsi="仿宋_GB2312" w:eastAsia="仿宋_GB2312" w:cs="仿宋_GB2312"/>
          <w:sz w:val="32"/>
          <w:szCs w:val="32"/>
          <w:lang w:eastAsia="zh-CN"/>
        </w:rPr>
        <w:t>这一</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按要求对2019年</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整体支出开展绩效自评，从评价情况来看2019年医疗服务与保障能力提升中央财政补助资金，重点用于支持医保信息化、基金监督和支付方式改革等方面工作。我局结合本地实际，统筹安排并使用好中央财政补助资金，提升医疗保障经办和服务能力，提高资金使用绩效。同时，切实加强资金管理，提高资金使用效益。</w:t>
      </w: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rPr>
        <w:t>1.项目绩效目标完成情况。</w:t>
      </w:r>
    </w:p>
    <w:p>
      <w:pPr>
        <w:numPr>
          <w:ilvl w:val="0"/>
          <w:numId w:val="5"/>
        </w:numPr>
        <w:adjustRightInd w:val="0"/>
        <w:snapToGrid w:val="0"/>
        <w:spacing w:line="580" w:lineRule="exact"/>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该资金已于2019年12月全部用于医保服务能力建设培训及制作医疗服务宣传手册支出。</w:t>
      </w:r>
    </w:p>
    <w:tbl>
      <w:tblPr>
        <w:tblStyle w:val="13"/>
        <w:tblW w:w="9522" w:type="dxa"/>
        <w:jc w:val="center"/>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jc w:val="center"/>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jc w:val="center"/>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rPr>
              <w:t>2019年</w:t>
            </w:r>
            <w:r>
              <w:rPr>
                <w:rFonts w:hint="eastAsia" w:ascii="仿宋_GB2312" w:hAnsi="方正小标宋简体"/>
              </w:rPr>
              <w:t>医疗服务与保障能力提升中央财政补助资金</w:t>
            </w:r>
          </w:p>
        </w:tc>
      </w:tr>
      <w:tr>
        <w:tblPrEx>
          <w:tblCellMar>
            <w:top w:w="15" w:type="dxa"/>
            <w:left w:w="15" w:type="dxa"/>
            <w:bottom w:w="15" w:type="dxa"/>
            <w:right w:w="15" w:type="dxa"/>
          </w:tblCellMar>
        </w:tblPrEx>
        <w:trPr>
          <w:trHeight w:val="285" w:hRule="atLeast"/>
          <w:jc w:val="center"/>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color w:val="000000"/>
                <w:sz w:val="24"/>
                <w:lang w:eastAsia="zh-CN"/>
              </w:rPr>
              <w:t>红原县医疗保障局</w:t>
            </w:r>
          </w:p>
        </w:tc>
      </w:tr>
      <w:tr>
        <w:tblPrEx>
          <w:tblCellMar>
            <w:top w:w="15" w:type="dxa"/>
            <w:left w:w="15" w:type="dxa"/>
            <w:bottom w:w="15" w:type="dxa"/>
            <w:right w:w="15" w:type="dxa"/>
          </w:tblCellMar>
        </w:tblPrEx>
        <w:trPr>
          <w:trHeight w:val="285"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color w:val="000000"/>
                <w:sz w:val="24"/>
                <w:lang w:eastAsia="zh-CN"/>
              </w:rPr>
            </w:pPr>
            <w:r>
              <w:rPr>
                <w:rFonts w:hint="eastAsia" w:ascii="宋体" w:hAnsi="宋体" w:cs="宋体"/>
                <w:color w:val="000000"/>
                <w:sz w:val="24"/>
                <w:lang w:val="en-US" w:eastAsia="zh-CN"/>
              </w:rPr>
              <w:t>5万元</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color w:val="000000"/>
                <w:sz w:val="24"/>
                <w:lang w:val="en-US" w:eastAsia="zh-CN"/>
              </w:rPr>
              <w:t>5万元</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color w:val="000000"/>
                <w:sz w:val="24"/>
                <w:lang w:eastAsia="zh-CN"/>
              </w:rPr>
            </w:pPr>
            <w:r>
              <w:rPr>
                <w:rFonts w:hint="eastAsia" w:ascii="宋体" w:hAnsi="宋体" w:cs="宋体"/>
                <w:color w:val="000000"/>
                <w:sz w:val="24"/>
                <w:lang w:val="en-US" w:eastAsia="zh-CN"/>
              </w:rPr>
              <w:t>5万元</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color w:val="000000"/>
                <w:sz w:val="24"/>
                <w:lang w:val="en-US" w:eastAsia="zh-CN"/>
              </w:rPr>
              <w:t>5万元</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完成年度目标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r>
              <w:rPr>
                <w:rFonts w:hint="eastAsia" w:ascii="仿宋_GB2312" w:hAnsi="宋体" w:cs="仿宋_GB2312"/>
                <w:szCs w:val="24"/>
              </w:rPr>
              <w:t>该资金已于2019年12月全部用于医保服务能力建设培训及制作医疗服务宣传手册支出。</w:t>
            </w:r>
          </w:p>
        </w:tc>
      </w:tr>
      <w:tr>
        <w:tblPrEx>
          <w:tblCellMar>
            <w:top w:w="15" w:type="dxa"/>
            <w:left w:w="15" w:type="dxa"/>
            <w:bottom w:w="15" w:type="dxa"/>
            <w:right w:w="15" w:type="dxa"/>
          </w:tblCellMar>
        </w:tblPrEx>
        <w:trPr>
          <w:trHeight w:val="312"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312"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312"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000000"/>
                <w:sz w:val="20"/>
                <w:szCs w:val="20"/>
                <w:lang w:eastAsia="zh-CN"/>
              </w:rPr>
            </w:pPr>
            <w:r>
              <w:rPr>
                <w:rFonts w:hint="eastAsia" w:ascii="仿宋_GB2312"/>
                <w:sz w:val="20"/>
                <w:szCs w:val="20"/>
              </w:rPr>
              <w:t>提升医疗保障经办和服务能力</w:t>
            </w:r>
            <w:r>
              <w:rPr>
                <w:rFonts w:hint="eastAsia" w:ascii="宋体" w:hAnsi="宋体" w:cs="宋体"/>
                <w:color w:val="000000"/>
                <w:sz w:val="20"/>
                <w:szCs w:val="20"/>
                <w:lang w:val="en-US" w:eastAsia="zh-CN"/>
              </w:rPr>
              <w:t xml:space="preserve"> </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000000"/>
                <w:sz w:val="20"/>
                <w:szCs w:val="20"/>
                <w:lang w:eastAsia="zh-CN"/>
              </w:rPr>
            </w:pPr>
            <w:r>
              <w:rPr>
                <w:rFonts w:hint="eastAsia" w:ascii="仿宋_GB2312"/>
                <w:sz w:val="20"/>
                <w:szCs w:val="20"/>
              </w:rPr>
              <w:t>提升医疗保障经办和服务能力</w:t>
            </w:r>
          </w:p>
        </w:tc>
      </w:tr>
      <w:tr>
        <w:tblPrEx>
          <w:tblCellMar>
            <w:top w:w="15" w:type="dxa"/>
            <w:left w:w="15" w:type="dxa"/>
            <w:bottom w:w="15" w:type="dxa"/>
            <w:right w:w="15" w:type="dxa"/>
          </w:tblCellMar>
        </w:tblPrEx>
        <w:trPr>
          <w:trHeight w:val="64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val="en-US" w:eastAsia="zh-CN"/>
              </w:rPr>
              <w:t>已完成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已完成</w:t>
            </w:r>
          </w:p>
        </w:tc>
      </w:tr>
      <w:tr>
        <w:tblPrEx>
          <w:tblCellMar>
            <w:top w:w="15" w:type="dxa"/>
            <w:left w:w="15" w:type="dxa"/>
            <w:bottom w:w="15" w:type="dxa"/>
            <w:right w:w="15" w:type="dxa"/>
          </w:tblCellMar>
        </w:tblPrEx>
        <w:trPr>
          <w:trHeight w:val="69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76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15" w:type="dxa"/>
            <w:left w:w="15" w:type="dxa"/>
            <w:bottom w:w="15" w:type="dxa"/>
            <w:right w:w="15" w:type="dxa"/>
          </w:tblCellMar>
        </w:tblPrEx>
        <w:trPr>
          <w:trHeight w:val="75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2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 xml:space="preserve">是 </w:t>
            </w:r>
          </w:p>
        </w:tc>
      </w:tr>
      <w:tr>
        <w:tblPrEx>
          <w:tblCellMar>
            <w:top w:w="15" w:type="dxa"/>
            <w:left w:w="15" w:type="dxa"/>
            <w:bottom w:w="15" w:type="dxa"/>
            <w:right w:w="15" w:type="dxa"/>
          </w:tblCellMar>
        </w:tblPrEx>
        <w:trPr>
          <w:trHeight w:val="76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 xml:space="preserve"> 1</w:t>
            </w:r>
          </w:p>
        </w:tc>
      </w:tr>
      <w:tr>
        <w:tblPrEx>
          <w:tblCellMar>
            <w:top w:w="15" w:type="dxa"/>
            <w:left w:w="15" w:type="dxa"/>
            <w:bottom w:w="15" w:type="dxa"/>
            <w:right w:w="15" w:type="dxa"/>
          </w:tblCellMar>
        </w:tblPrEx>
        <w:trPr>
          <w:trHeight w:val="102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3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54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73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15" w:type="dxa"/>
            <w:left w:w="15" w:type="dxa"/>
            <w:bottom w:w="15" w:type="dxa"/>
            <w:right w:w="15" w:type="dxa"/>
          </w:tblCellMar>
        </w:tblPrEx>
        <w:trPr>
          <w:trHeight w:val="85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15" w:type="dxa"/>
            <w:left w:w="15" w:type="dxa"/>
            <w:bottom w:w="15" w:type="dxa"/>
            <w:right w:w="15" w:type="dxa"/>
          </w:tblCellMar>
        </w:tblPrEx>
        <w:trPr>
          <w:trHeight w:val="76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79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sz w:val="20"/>
                <w:szCs w:val="20"/>
              </w:rPr>
              <w:t>加大了医疗政策宣传，提高了群众医疗政策的知晓度</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sz w:val="20"/>
                <w:szCs w:val="20"/>
              </w:rPr>
              <w:t>加大了医疗政策宣传，提高了群众医疗政策的知晓度</w:t>
            </w:r>
          </w:p>
        </w:tc>
      </w:tr>
      <w:tr>
        <w:tblPrEx>
          <w:tblCellMar>
            <w:top w:w="15" w:type="dxa"/>
            <w:left w:w="15" w:type="dxa"/>
            <w:bottom w:w="15" w:type="dxa"/>
            <w:right w:w="15" w:type="dxa"/>
          </w:tblCellMar>
        </w:tblPrEx>
        <w:trPr>
          <w:trHeight w:val="73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sz w:val="20"/>
                <w:szCs w:val="20"/>
              </w:rPr>
              <w:t>加大了医疗政策宣传，提高了群众医疗政策的知晓度</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sz w:val="20"/>
                <w:szCs w:val="20"/>
              </w:rPr>
              <w:t>加大了医疗政策宣传，提高了群众医疗政策的知晓度</w:t>
            </w:r>
          </w:p>
        </w:tc>
      </w:tr>
      <w:tr>
        <w:tblPrEx>
          <w:tblCellMar>
            <w:top w:w="15" w:type="dxa"/>
            <w:left w:w="15" w:type="dxa"/>
            <w:bottom w:w="15" w:type="dxa"/>
            <w:right w:w="15" w:type="dxa"/>
          </w:tblCellMar>
        </w:tblPrEx>
        <w:trPr>
          <w:trHeight w:val="72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sz w:val="20"/>
                <w:szCs w:val="20"/>
              </w:rPr>
              <w:t>加大了医疗政策宣传，提高了群众医疗政策的知晓度</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sz w:val="20"/>
                <w:szCs w:val="20"/>
              </w:rPr>
              <w:t>加大了医疗政策宣传，提高了群众医疗政策的知晓度</w:t>
            </w:r>
          </w:p>
        </w:tc>
      </w:tr>
      <w:tr>
        <w:tblPrEx>
          <w:tblCellMar>
            <w:top w:w="15" w:type="dxa"/>
            <w:left w:w="15" w:type="dxa"/>
            <w:bottom w:w="15" w:type="dxa"/>
            <w:right w:w="15" w:type="dxa"/>
          </w:tblCellMar>
        </w:tblPrEx>
        <w:trPr>
          <w:trHeight w:val="75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仿宋_GB2312"/>
                <w:sz w:val="20"/>
                <w:szCs w:val="20"/>
              </w:rPr>
              <w:t>不断提升医保服务的精细度</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仿宋_GB2312"/>
                <w:sz w:val="20"/>
                <w:szCs w:val="20"/>
              </w:rPr>
              <w:t>不断提升医保服务的精细度</w:t>
            </w:r>
          </w:p>
        </w:tc>
      </w:tr>
      <w:tr>
        <w:tblPrEx>
          <w:tblCellMar>
            <w:top w:w="15" w:type="dxa"/>
            <w:left w:w="15" w:type="dxa"/>
            <w:bottom w:w="15" w:type="dxa"/>
            <w:right w:w="15" w:type="dxa"/>
          </w:tblCellMar>
        </w:tblPrEx>
        <w:trPr>
          <w:trHeight w:val="108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满意</w:t>
            </w:r>
          </w:p>
        </w:tc>
      </w:tr>
    </w:tbl>
    <w:p>
      <w:pPr>
        <w:spacing w:line="580" w:lineRule="exact"/>
        <w:ind w:left="630"/>
        <w:jc w:val="left"/>
        <w:rPr>
          <w:rFonts w:hint="eastAsia" w:ascii="楷体_GB2312" w:hAnsi="楷体_GB2312" w:eastAsia="楷体_GB2312" w:cs="楷体_GB2312"/>
          <w:sz w:val="32"/>
          <w:szCs w:val="32"/>
        </w:rPr>
      </w:pPr>
    </w:p>
    <w:p>
      <w:pPr>
        <w:spacing w:line="580" w:lineRule="exact"/>
        <w:ind w:left="630"/>
        <w:jc w:val="left"/>
        <w:rPr>
          <w:rFonts w:hint="eastAsia" w:ascii="楷体_GB2312" w:hAnsi="楷体_GB2312" w:eastAsia="楷体_GB2312" w:cs="楷体_GB2312"/>
          <w:sz w:val="32"/>
          <w:szCs w:val="32"/>
        </w:rPr>
      </w:pPr>
    </w:p>
    <w:p>
      <w:pPr>
        <w:spacing w:line="580" w:lineRule="exact"/>
        <w:ind w:left="630"/>
        <w:jc w:val="left"/>
        <w:rPr>
          <w:rFonts w:hint="eastAsia" w:ascii="楷体_GB2312" w:hAnsi="楷体_GB2312" w:eastAsia="楷体_GB2312" w:cs="楷体_GB2312"/>
          <w:sz w:val="32"/>
          <w:szCs w:val="32"/>
        </w:rPr>
      </w:pPr>
    </w:p>
    <w:p>
      <w:pPr>
        <w:spacing w:line="580" w:lineRule="exact"/>
        <w:ind w:left="63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lang w:eastAsia="zh-CN"/>
        </w:rPr>
        <w:t>单位</w:t>
      </w:r>
      <w:r>
        <w:rPr>
          <w:rFonts w:hint="eastAsia" w:ascii="楷体_GB2312" w:hAnsi="楷体_GB2312" w:eastAsia="楷体_GB2312" w:cs="楷体_GB2312"/>
          <w:sz w:val="32"/>
          <w:szCs w:val="32"/>
        </w:rPr>
        <w:t>绩效评价结果。</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按要求对2019年部门整体支出绩效评价情况开展自评，《</w:t>
      </w:r>
      <w:r>
        <w:rPr>
          <w:rFonts w:hint="eastAsia" w:ascii="仿宋_GB2312" w:hAnsi="仿宋_GB2312" w:eastAsia="仿宋_GB2312" w:cs="仿宋_GB2312"/>
          <w:sz w:val="32"/>
          <w:szCs w:val="32"/>
          <w:lang w:eastAsia="zh-CN"/>
        </w:rPr>
        <w:t>红原县医疗保障局</w:t>
      </w:r>
      <w:r>
        <w:rPr>
          <w:rFonts w:hint="eastAsia" w:ascii="仿宋_GB2312" w:hAnsi="仿宋_GB2312" w:eastAsia="仿宋_GB2312" w:cs="仿宋_GB2312"/>
          <w:sz w:val="32"/>
          <w:szCs w:val="32"/>
        </w:rPr>
        <w:t>2019年部门整体支出绩效评价报告》见附件（附件1）。</w:t>
      </w:r>
    </w:p>
    <w:p>
      <w:pPr>
        <w:spacing w:line="580" w:lineRule="exact"/>
        <w:ind w:firstLine="640" w:firstLineChars="200"/>
        <w:jc w:val="left"/>
        <w:rPr>
          <w:rFonts w:ascii="仿宋_GB2312" w:eastAsia="仿宋_GB2312"/>
          <w:b/>
          <w:color w:val="000000"/>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自行组织对</w:t>
      </w:r>
      <w:r>
        <w:rPr>
          <w:rFonts w:hint="eastAsia" w:ascii="仿宋_GB2312"/>
          <w:sz w:val="32"/>
          <w:szCs w:val="32"/>
        </w:rPr>
        <w:t>2</w:t>
      </w:r>
      <w:r>
        <w:rPr>
          <w:rFonts w:hint="eastAsia" w:ascii="仿宋_GB2312" w:hAnsi="仿宋_GB2312" w:eastAsia="仿宋_GB2312" w:cs="仿宋_GB2312"/>
          <w:sz w:val="32"/>
          <w:szCs w:val="32"/>
        </w:rPr>
        <w:t>019年医疗服务与保障能力提升中央财政补助资金项目开展了绩效评价，《</w:t>
      </w:r>
      <w:r>
        <w:rPr>
          <w:rFonts w:hint="eastAsia" w:ascii="仿宋_GB2312"/>
          <w:sz w:val="32"/>
          <w:szCs w:val="32"/>
        </w:rPr>
        <w:t>2</w:t>
      </w:r>
      <w:r>
        <w:rPr>
          <w:rFonts w:hint="eastAsia" w:ascii="仿宋_GB2312" w:hAnsi="仿宋_GB2312" w:eastAsia="仿宋_GB2312" w:cs="仿宋_GB2312"/>
          <w:sz w:val="32"/>
          <w:szCs w:val="32"/>
        </w:rPr>
        <w:t>019年医疗服务与保障能力提升中央财政补助资金绩效评价报告》见附件（附件2）。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0" w:firstLineChars="150"/>
        <w:jc w:val="center"/>
        <w:outlineLvl w:val="0"/>
        <w:rPr>
          <w:rStyle w:val="25"/>
          <w:rFonts w:ascii="黑体" w:hAnsi="黑体" w:eastAsia="黑体"/>
          <w:b w:val="0"/>
        </w:rPr>
      </w:pPr>
      <w:bookmarkStart w:id="118" w:name="_Toc15377225"/>
      <w:bookmarkStart w:id="119" w:name="_Toc30794_WPSOffice_Level1"/>
      <w:bookmarkStart w:id="120" w:name="_Toc15396613"/>
      <w:r>
        <w:rPr>
          <w:rFonts w:hint="eastAsia" w:ascii="黑体" w:hAnsi="黑体" w:eastAsia="黑体"/>
          <w:color w:val="000000"/>
          <w:sz w:val="44"/>
          <w:szCs w:val="44"/>
        </w:rPr>
        <w:t>名</w:t>
      </w:r>
      <w:r>
        <w:rPr>
          <w:rStyle w:val="25"/>
          <w:rFonts w:hint="eastAsia" w:ascii="黑体" w:hAnsi="黑体" w:eastAsia="黑体"/>
          <w:b w:val="0"/>
        </w:rPr>
        <w:t>词解释</w:t>
      </w:r>
      <w:bookmarkEnd w:id="118"/>
      <w:bookmarkEnd w:id="119"/>
      <w:bookmarkEnd w:id="120"/>
    </w:p>
    <w:p>
      <w:pPr>
        <w:spacing w:line="600" w:lineRule="exact"/>
        <w:jc w:val="left"/>
        <w:rPr>
          <w:rFonts w:ascii="宋体"/>
          <w:b/>
          <w:color w:val="000000"/>
          <w:sz w:val="44"/>
          <w:szCs w:val="44"/>
        </w:rPr>
      </w:pPr>
    </w:p>
    <w:p>
      <w:pPr>
        <w:pStyle w:val="17"/>
        <w:spacing w:line="560" w:lineRule="exact"/>
        <w:ind w:firstLine="640" w:firstLineChars="200"/>
        <w:rPr>
          <w:rFonts w:ascii="仿宋_GB2312" w:eastAsia="仿宋_GB2312"/>
          <w:sz w:val="32"/>
          <w:szCs w:val="32"/>
        </w:rPr>
      </w:pPr>
      <w:bookmarkStart w:id="121"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wordWrap w:val="0"/>
        <w:spacing w:after="160"/>
        <w:ind w:firstLine="640"/>
        <w:rPr>
          <w:rFonts w:ascii="仿宋_GB2312" w:hAnsi="仿宋_GB2312" w:eastAsia="仿宋_GB2312"/>
          <w:color w:val="000000"/>
          <w:sz w:val="32"/>
          <w:szCs w:val="32"/>
        </w:rPr>
      </w:pPr>
      <w:r>
        <w:rPr>
          <w:rFonts w:hint="eastAsia" w:ascii="仿宋_GB2312" w:hAnsi="仿宋_GB2312" w:eastAsia="仿宋_GB2312"/>
          <w:color w:val="000000"/>
          <w:sz w:val="32"/>
          <w:szCs w:val="32"/>
          <w:lang w:val="en-US" w:eastAsia="zh-CN"/>
        </w:rPr>
        <w:t>社会保险经办机构2080109</w:t>
      </w:r>
      <w:r>
        <w:rPr>
          <w:rFonts w:ascii="仿宋_GB2312" w:hAnsi="仿宋_GB2312" w:eastAsia="仿宋_GB2312"/>
          <w:color w:val="000000"/>
          <w:sz w:val="32"/>
          <w:szCs w:val="32"/>
        </w:rPr>
        <w:t>指：反映</w:t>
      </w:r>
      <w:r>
        <w:rPr>
          <w:rFonts w:hint="eastAsia" w:ascii="仿宋_GB2312" w:hAnsi="仿宋_GB2312" w:eastAsia="仿宋_GB2312"/>
          <w:color w:val="000000"/>
          <w:sz w:val="32"/>
          <w:szCs w:val="32"/>
          <w:lang w:eastAsia="zh-CN"/>
        </w:rPr>
        <w:t>社会保险经办机构开展业务工作的支出</w:t>
      </w:r>
      <w:r>
        <w:rPr>
          <w:rFonts w:ascii="仿宋_GB2312" w:hAnsi="仿宋_GB2312" w:eastAsia="仿宋_GB2312"/>
          <w:color w:val="000000"/>
          <w:sz w:val="32"/>
          <w:szCs w:val="32"/>
        </w:rPr>
        <w:t>。</w:t>
      </w:r>
    </w:p>
    <w:p>
      <w:pPr>
        <w:wordWrap w:val="0"/>
        <w:spacing w:after="160"/>
        <w:ind w:firstLine="640" w:firstLineChars="200"/>
        <w:rPr>
          <w:rFonts w:ascii="仿宋_GB2312" w:hAnsi="仿宋_GB2312" w:eastAsia="仿宋_GB2312"/>
          <w:color w:val="000000"/>
          <w:sz w:val="32"/>
          <w:szCs w:val="32"/>
        </w:rPr>
      </w:pPr>
      <w:r>
        <w:rPr>
          <w:rFonts w:ascii="仿宋_GB2312" w:hAnsi="仿宋_GB2312" w:eastAsia="仿宋_GB2312"/>
          <w:color w:val="000000"/>
          <w:sz w:val="32"/>
          <w:szCs w:val="32"/>
        </w:rPr>
        <w:t>机关事业单位基本养老保险缴费支出</w:t>
      </w:r>
      <w:r>
        <w:rPr>
          <w:rFonts w:hint="eastAsia" w:ascii="仿宋_GB2312" w:hAnsi="仿宋_GB2312" w:eastAsia="仿宋_GB2312"/>
          <w:color w:val="000000"/>
          <w:sz w:val="32"/>
          <w:szCs w:val="32"/>
          <w:lang w:val="en-US" w:eastAsia="zh-CN"/>
        </w:rPr>
        <w:t>2080505</w:t>
      </w:r>
      <w:r>
        <w:rPr>
          <w:rFonts w:ascii="仿宋_GB2312" w:hAnsi="仿宋_GB2312" w:eastAsia="仿宋_GB2312"/>
          <w:color w:val="000000"/>
          <w:sz w:val="32"/>
          <w:szCs w:val="32"/>
        </w:rPr>
        <w:t>指</w:t>
      </w:r>
      <w:r>
        <w:rPr>
          <w:rFonts w:hint="eastAsia" w:ascii="仿宋_GB2312" w:hAnsi="仿宋_GB2312" w:eastAsia="仿宋_GB2312"/>
          <w:color w:val="000000"/>
          <w:sz w:val="32"/>
          <w:szCs w:val="32"/>
          <w:lang w:eastAsia="zh-CN"/>
        </w:rPr>
        <w:t>：</w:t>
      </w:r>
      <w:r>
        <w:rPr>
          <w:rFonts w:ascii="仿宋_GB2312" w:hAnsi="仿宋_GB2312" w:eastAsia="仿宋_GB2312"/>
          <w:color w:val="000000"/>
          <w:sz w:val="32"/>
          <w:szCs w:val="32"/>
        </w:rPr>
        <w:t>机关事业单位实施养老保险制度由单位实际缴纳的基本养老保险缴费支出。</w:t>
      </w:r>
    </w:p>
    <w:p>
      <w:pPr>
        <w:wordWrap w:val="0"/>
        <w:spacing w:after="160"/>
        <w:ind w:firstLine="640" w:firstLineChars="200"/>
        <w:rPr>
          <w:rFonts w:ascii="仿宋_GB2312" w:eastAsia="仿宋_GB2312"/>
          <w:color w:val="000000"/>
          <w:sz w:val="32"/>
          <w:szCs w:val="32"/>
        </w:rPr>
      </w:pPr>
      <w:r>
        <w:rPr>
          <w:rFonts w:ascii="仿宋_GB2312" w:hAnsi="仿宋_GB2312" w:eastAsia="仿宋_GB2312"/>
          <w:color w:val="000000"/>
          <w:sz w:val="32"/>
          <w:szCs w:val="32"/>
        </w:rPr>
        <w:t>机关事业单位职业年金</w:t>
      </w:r>
      <w:r>
        <w:rPr>
          <w:rFonts w:hint="eastAsia" w:ascii="仿宋_GB2312" w:hAnsi="仿宋_GB2312" w:eastAsia="仿宋_GB2312"/>
          <w:color w:val="000000"/>
          <w:sz w:val="32"/>
          <w:szCs w:val="32"/>
          <w:lang w:val="en-US" w:eastAsia="zh-CN"/>
        </w:rPr>
        <w:t>2080506：</w:t>
      </w:r>
      <w:r>
        <w:rPr>
          <w:rFonts w:ascii="仿宋_GB2312" w:hAnsi="仿宋_GB2312" w:eastAsia="仿宋_GB2312"/>
          <w:color w:val="000000"/>
          <w:sz w:val="32"/>
          <w:szCs w:val="32"/>
        </w:rPr>
        <w:t>反映机关事业单位实施养老保险制度由单位实际缴纳的职业年金缴费支出。</w:t>
      </w:r>
    </w:p>
    <w:p>
      <w:pPr>
        <w:tabs>
          <w:tab w:val="left" w:pos="312"/>
        </w:tabs>
        <w:wordWrap w:val="0"/>
        <w:spacing w:after="160"/>
        <w:ind w:firstLine="320"/>
        <w:rPr>
          <w:rFonts w:ascii="仿宋_GB2312" w:hAns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医疗卫生与计划生育支出：</w:t>
      </w:r>
      <w:r>
        <w:rPr>
          <w:rFonts w:ascii="仿宋_GB2312" w:hAnsi="仿宋_GB2312" w:eastAsia="仿宋_GB2312"/>
          <w:color w:val="000000"/>
          <w:sz w:val="32"/>
          <w:szCs w:val="32"/>
        </w:rPr>
        <w:t>反映医疗卫生与计划生育、中医等管理事务方面的支出。</w:t>
      </w:r>
    </w:p>
    <w:p>
      <w:pPr>
        <w:wordWrap w:val="0"/>
        <w:spacing w:after="160"/>
        <w:ind w:firstLine="640"/>
        <w:jc w:val="left"/>
        <w:rPr>
          <w:rFonts w:ascii="仿宋_GB2312" w:hAnsi="仿宋_GB2312" w:eastAsia="仿宋_GB2312"/>
          <w:color w:val="000000"/>
          <w:sz w:val="32"/>
          <w:szCs w:val="32"/>
        </w:rPr>
      </w:pPr>
      <w:r>
        <w:rPr>
          <w:rFonts w:ascii="仿宋_GB2312" w:hAnsi="仿宋_GB2312" w:eastAsia="仿宋_GB2312"/>
          <w:color w:val="000000"/>
          <w:sz w:val="32"/>
          <w:szCs w:val="32"/>
        </w:rPr>
        <w:t>行政单位医疗</w:t>
      </w:r>
      <w:r>
        <w:rPr>
          <w:rFonts w:hint="eastAsia" w:ascii="仿宋_GB2312" w:hAnsi="仿宋_GB2312" w:eastAsia="仿宋_GB2312"/>
          <w:color w:val="000000"/>
          <w:sz w:val="32"/>
          <w:szCs w:val="32"/>
          <w:lang w:val="en-US" w:eastAsia="zh-CN"/>
        </w:rPr>
        <w:t>2101101</w:t>
      </w:r>
      <w:r>
        <w:rPr>
          <w:rFonts w:ascii="仿宋_GB2312" w:hAnsi="仿宋_GB2312" w:eastAsia="仿宋_GB2312"/>
          <w:color w:val="000000"/>
          <w:sz w:val="32"/>
          <w:szCs w:val="32"/>
        </w:rPr>
        <w:t>：反映行政事业单位医疗方面的支出。反映财政部门集中安排的行政单位基本医疗保险缴费经费,未参加医疗保险的行政单位的公费医疗经费,按国家</w:t>
      </w:r>
    </w:p>
    <w:p>
      <w:pPr>
        <w:wordWrap w:val="0"/>
        <w:spacing w:after="160"/>
        <w:ind w:firstLine="640"/>
        <w:jc w:val="left"/>
        <w:rPr>
          <w:rFonts w:ascii="仿宋_GB2312" w:hAnsi="仿宋_GB2312" w:eastAsia="仿宋_GB2312"/>
          <w:color w:val="000000"/>
          <w:sz w:val="32"/>
          <w:szCs w:val="32"/>
        </w:rPr>
      </w:pPr>
      <w:r>
        <w:rPr>
          <w:rFonts w:ascii="仿宋_GB2312" w:hAnsi="仿宋_GB2312" w:eastAsia="仿宋_GB2312"/>
          <w:color w:val="000000"/>
          <w:sz w:val="32"/>
          <w:szCs w:val="32"/>
        </w:rPr>
        <w:t>公务员医疗补助</w:t>
      </w:r>
      <w:r>
        <w:rPr>
          <w:rFonts w:hint="eastAsia" w:ascii="仿宋_GB2312" w:hAnsi="仿宋_GB2312" w:eastAsia="仿宋_GB2312"/>
          <w:color w:val="000000"/>
          <w:sz w:val="32"/>
          <w:szCs w:val="32"/>
          <w:lang w:val="en-US" w:eastAsia="zh-CN"/>
        </w:rPr>
        <w:t>2101103</w:t>
      </w:r>
      <w:r>
        <w:rPr>
          <w:rFonts w:ascii="仿宋_GB2312" w:hAnsi="仿宋_GB2312" w:eastAsia="仿宋_GB2312"/>
          <w:color w:val="000000"/>
          <w:sz w:val="32"/>
          <w:szCs w:val="32"/>
        </w:rPr>
        <w:t>指：反映财政部门集中安排的公务员医疗补助经费。</w:t>
      </w:r>
    </w:p>
    <w:p>
      <w:pPr>
        <w:wordWrap w:val="0"/>
        <w:spacing w:after="160"/>
        <w:ind w:firstLine="640"/>
        <w:jc w:val="left"/>
        <w:rPr>
          <w:rFonts w:ascii="仿宋_GB2312" w:hAnsi="仿宋_GB2312" w:eastAsia="仿宋_GB2312"/>
          <w:color w:val="000000"/>
          <w:sz w:val="32"/>
          <w:szCs w:val="32"/>
        </w:rPr>
      </w:pPr>
      <w:r>
        <w:rPr>
          <w:rFonts w:hint="eastAsia" w:ascii="仿宋_GB2312" w:hAnsi="仿宋_GB2312" w:eastAsia="仿宋_GB2312"/>
          <w:color w:val="000000"/>
          <w:sz w:val="32"/>
          <w:szCs w:val="32"/>
          <w:lang w:eastAsia="zh-CN"/>
        </w:rPr>
        <w:t>住房公积金</w:t>
      </w:r>
      <w:r>
        <w:rPr>
          <w:rFonts w:hint="eastAsia" w:ascii="仿宋_GB2312" w:hAnsi="仿宋_GB2312" w:eastAsia="仿宋_GB2312"/>
          <w:color w:val="000000"/>
          <w:sz w:val="32"/>
          <w:szCs w:val="32"/>
          <w:lang w:val="en-US" w:eastAsia="zh-CN"/>
        </w:rPr>
        <w:t>2210201指：反应行政事业单位按人力资源和社会保障部、财政部规定的基本工资和津贴补贴以规定比列为职工缴纳的住房公积金</w:t>
      </w:r>
      <w:r>
        <w:rPr>
          <w:rFonts w:ascii="仿宋_GB2312" w:hAnsi="仿宋_GB2312" w:eastAsia="仿宋_GB2312"/>
          <w:color w:val="000000"/>
          <w:sz w:val="32"/>
          <w:szCs w:val="32"/>
        </w:rPr>
        <w:t>。</w:t>
      </w:r>
    </w:p>
    <w:p>
      <w:pPr>
        <w:ind w:firstLine="480" w:firstLineChars="15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基本支出：指为保障机构正常运转、完成日常工作任务而发生的人员支出和公用支出。</w:t>
      </w:r>
    </w:p>
    <w:p>
      <w:pPr>
        <w:ind w:firstLine="480" w:firstLineChars="15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项目支出：指在基本支出之外为完成特定行政任务和事业发展目标所发生的支出。</w:t>
      </w:r>
    </w:p>
    <w:p>
      <w:pPr>
        <w:ind w:firstLine="480" w:firstLineChars="15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经营支出：指事业单位在专业业务活动及其辅助活动之外开展非独立核算经营活动发生的支出。</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15.</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numPr>
          <w:ilvl w:val="0"/>
          <w:numId w:val="0"/>
        </w:numPr>
        <w:wordWrap w:val="0"/>
        <w:autoSpaceDE/>
        <w:autoSpaceDN/>
        <w:spacing w:before="0" w:after="160" w:line="240" w:lineRule="auto"/>
        <w:ind w:left="0" w:right="0" w:firstLine="643"/>
        <w:jc w:val="left"/>
        <w:rPr>
          <w:rFonts w:hint="default" w:ascii="仿宋" w:hAnsi="仿宋" w:eastAsia="仿宋"/>
          <w:b/>
          <w:color w:val="000000"/>
          <w:w w:val="100"/>
          <w:kern w:val="0"/>
          <w:position w:val="0"/>
          <w:sz w:val="32"/>
          <w:szCs w:val="32"/>
          <w:shd w:val="clear"/>
        </w:rPr>
      </w:pPr>
      <w:r>
        <w:rPr>
          <w:rFonts w:ascii="仿宋_GB2312" w:eastAsia="仿宋_GB2312"/>
          <w:sz w:val="32"/>
          <w:szCs w:val="32"/>
        </w:rPr>
        <w:t>16.</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w:t>
      </w:r>
    </w:p>
    <w:p>
      <w:pPr>
        <w:widowControl/>
        <w:numPr>
          <w:ilvl w:val="0"/>
          <w:numId w:val="0"/>
        </w:numPr>
        <w:wordWrap w:val="0"/>
        <w:autoSpaceDE/>
        <w:autoSpaceDN/>
        <w:spacing w:before="0" w:after="160" w:line="560" w:lineRule="exact"/>
        <w:ind w:left="0" w:right="0" w:firstLine="640"/>
        <w:jc w:val="left"/>
        <w:rPr>
          <w:rFonts w:hint="default" w:ascii="仿宋_GB2312" w:hAnsi="仿宋_GB2312" w:eastAsia="仿宋_GB2312"/>
          <w:color w:val="000000"/>
          <w:w w:val="100"/>
          <w:kern w:val="0"/>
          <w:position w:val="0"/>
          <w:sz w:val="32"/>
          <w:szCs w:val="32"/>
          <w:shd w:val="clear"/>
        </w:rPr>
      </w:pPr>
    </w:p>
    <w:p>
      <w:pPr>
        <w:spacing w:line="600" w:lineRule="exact"/>
        <w:jc w:val="center"/>
        <w:outlineLvl w:val="0"/>
        <w:rPr>
          <w:rStyle w:val="25"/>
          <w:rFonts w:ascii="黑体" w:hAnsi="黑体" w:eastAsia="黑体"/>
          <w:b w:val="0"/>
        </w:rPr>
      </w:pPr>
      <w:r>
        <w:rPr>
          <w:rFonts w:ascii="宋体"/>
          <w:b/>
          <w:color w:val="000000"/>
          <w:sz w:val="44"/>
          <w:szCs w:val="44"/>
        </w:rPr>
        <w:br w:type="page"/>
      </w:r>
      <w:bookmarkStart w:id="122" w:name="_Toc21812_WPSOffice_Level1"/>
      <w:bookmarkStart w:id="123"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122"/>
      <w:bookmarkEnd w:id="123"/>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left"/>
        <w:rPr>
          <w:rFonts w:ascii="方正小标宋简体" w:hAnsi="方正小标宋简体" w:eastAsia="方正小标宋简体" w:cs="方正小标宋简体"/>
          <w:sz w:val="44"/>
          <w:szCs w:val="44"/>
        </w:rPr>
      </w:pPr>
    </w:p>
    <w:p>
      <w:pPr>
        <w:spacing w:line="600" w:lineRule="exact"/>
        <w:jc w:val="center"/>
        <w:rPr>
          <w:rFonts w:hint="eastAsia" w:ascii="方正小标宋简体" w:hAnsi="宋体" w:eastAsia="方正小标宋简体"/>
          <w:color w:val="000000"/>
          <w:kern w:val="0"/>
          <w:sz w:val="40"/>
          <w:szCs w:val="44"/>
          <w:lang w:eastAsia="zh-CN"/>
        </w:rPr>
      </w:pPr>
      <w:bookmarkStart w:id="124" w:name="_Toc27046_WPSOffice_Level2"/>
      <w:r>
        <w:rPr>
          <w:rFonts w:hint="eastAsia" w:ascii="方正小标宋简体" w:hAnsi="宋体" w:eastAsia="方正小标宋简体"/>
          <w:color w:val="000000"/>
          <w:kern w:val="0"/>
          <w:sz w:val="40"/>
          <w:szCs w:val="44"/>
          <w:lang w:eastAsia="zh-CN"/>
        </w:rPr>
        <w:t>红原县医疗保障局</w:t>
      </w:r>
      <w:bookmarkEnd w:id="124"/>
    </w:p>
    <w:p>
      <w:pPr>
        <w:spacing w:line="600" w:lineRule="exact"/>
        <w:jc w:val="center"/>
        <w:rPr>
          <w:rFonts w:ascii="方正小标宋简体" w:hAnsi="宋体" w:eastAsia="方正小标宋简体"/>
          <w:color w:val="000000"/>
          <w:kern w:val="0"/>
          <w:sz w:val="40"/>
          <w:szCs w:val="44"/>
          <w:lang w:val="zh-CN"/>
        </w:rPr>
      </w:pPr>
      <w:bookmarkStart w:id="125" w:name="_Toc31503_WPSOffice_Level2"/>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bookmarkEnd w:id="125"/>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bookmarkStart w:id="126" w:name="_Toc25509_WPSOffice_Level2"/>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bookmarkEnd w:id="126"/>
    </w:p>
    <w:p>
      <w:pPr>
        <w:keepNext w:val="0"/>
        <w:keepLines w:val="0"/>
        <w:widowControl/>
        <w:suppressLineNumbers w:val="0"/>
        <w:ind w:firstLine="320" w:firstLineChars="100"/>
        <w:jc w:val="left"/>
        <w:rPr>
          <w:rFonts w:hint="eastAsia"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（一）机构组成。</w:t>
      </w:r>
      <w:r>
        <w:rPr>
          <w:rFonts w:ascii="仿宋_GB2312" w:hAnsi="宋体" w:eastAsia="仿宋_GB2312" w:cs="仿宋_GB2312"/>
          <w:color w:val="000000"/>
          <w:kern w:val="0"/>
          <w:sz w:val="32"/>
          <w:szCs w:val="32"/>
          <w:lang w:val="en-US" w:eastAsia="zh-CN" w:bidi="ar"/>
        </w:rPr>
        <w:t>红原县医疗保障局（简称县医保局）是红原县人民</w:t>
      </w:r>
      <w:r>
        <w:rPr>
          <w:rFonts w:hint="eastAsia" w:ascii="仿宋_GB2312" w:hAnsi="宋体" w:eastAsia="仿宋_GB2312" w:cs="仿宋_GB2312"/>
          <w:color w:val="000000"/>
          <w:kern w:val="0"/>
          <w:sz w:val="32"/>
          <w:szCs w:val="32"/>
          <w:lang w:val="en-US" w:eastAsia="zh-CN" w:bidi="ar"/>
        </w:rPr>
        <w:t>政府的工作部门，为正科级，</w:t>
      </w:r>
      <w:r>
        <w:rPr>
          <w:rFonts w:hint="eastAsia" w:ascii="仿宋_GB2312" w:hAnsi="仿宋_GB2312" w:eastAsia="仿宋_GB2312" w:cs="仿宋_GB2312"/>
          <w:sz w:val="32"/>
          <w:szCs w:val="32"/>
        </w:rPr>
        <w:t>内设办公室、</w:t>
      </w:r>
      <w:r>
        <w:rPr>
          <w:rFonts w:hint="eastAsia" w:ascii="楷体_GB2312" w:hAnsi="宋体" w:eastAsia="楷体_GB2312" w:cs="楷体_GB2312"/>
          <w:b w:val="0"/>
          <w:bCs/>
          <w:color w:val="000000"/>
          <w:kern w:val="0"/>
          <w:sz w:val="32"/>
          <w:szCs w:val="32"/>
          <w:lang w:val="en-US" w:eastAsia="zh-CN" w:bidi="ar"/>
        </w:rPr>
        <w:t>综合业务股</w:t>
      </w:r>
      <w:r>
        <w:rPr>
          <w:rFonts w:hint="eastAsia" w:ascii="仿宋_GB2312" w:hAnsi="仿宋_GB2312" w:eastAsia="仿宋_GB2312" w:cs="仿宋_GB2312"/>
          <w:sz w:val="32"/>
          <w:szCs w:val="32"/>
        </w:rPr>
        <w:t>、统筹股、审核结算股、稽核股等股室。</w:t>
      </w:r>
    </w:p>
    <w:p>
      <w:pPr>
        <w:snapToGrid w:val="0"/>
        <w:spacing w:line="520" w:lineRule="exact"/>
        <w:ind w:firstLine="320" w:firstLineChars="100"/>
        <w:jc w:val="left"/>
        <w:rPr>
          <w:rFonts w:hint="eastAsia"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（二）机构职能。</w:t>
      </w:r>
      <w:r>
        <w:rPr>
          <w:rFonts w:hint="eastAsia" w:ascii="仿宋_GB2312" w:hAnsi="仿宋_GB2312" w:eastAsia="仿宋_GB2312" w:cs="仿宋_GB2312"/>
          <w:sz w:val="32"/>
          <w:szCs w:val="32"/>
        </w:rPr>
        <w:t>全面贯彻执行基本医疗保险法律、法规和方针政策。按照有关政策和制度，负责对全县参保单位和职工、城镇居民缴纳医疗保险基金的核定、征收、管理；办理所有参保单位和居民参保手续；负责全县参保职工和城镇居民医疗费用的审核、报销、支付工作；承担医疗保险的各项调查、统计、上报工作。负责定点医院和定点药店的管理和监督。</w:t>
      </w:r>
    </w:p>
    <w:p>
      <w:pPr>
        <w:snapToGrid w:val="0"/>
        <w:spacing w:line="520" w:lineRule="exact"/>
        <w:ind w:firstLine="640" w:firstLineChars="200"/>
        <w:jc w:val="left"/>
        <w:rPr>
          <w:rFonts w:hint="default" w:ascii="仿宋_GB2312" w:hAnsi="仿宋_GB2312" w:eastAsia="仿宋_GB2312" w:cs="仿宋_GB2312"/>
          <w:sz w:val="32"/>
          <w:szCs w:val="32"/>
          <w:lang w:val="en-US"/>
        </w:rPr>
      </w:pPr>
      <w:r>
        <w:rPr>
          <w:rFonts w:hint="eastAsia" w:ascii="仿宋_GB2312" w:hAnsi="宋体" w:eastAsia="仿宋_GB2312" w:cs="宋体"/>
          <w:color w:val="000000"/>
          <w:kern w:val="0"/>
          <w:sz w:val="32"/>
          <w:szCs w:val="32"/>
          <w:shd w:val="clear" w:color="auto" w:fill="FFFFFF"/>
          <w:lang w:val="zh-CN"/>
        </w:rPr>
        <w:t>（三）人员概况。</w:t>
      </w:r>
      <w:r>
        <w:rPr>
          <w:rFonts w:hint="eastAsia" w:ascii="仿宋_GB2312" w:hAnsi="仿宋_GB2312" w:eastAsia="仿宋_GB2312" w:cs="仿宋_GB2312"/>
          <w:sz w:val="32"/>
          <w:szCs w:val="32"/>
        </w:rPr>
        <w:t>截止201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年底我单位共有编制</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个，其中公务员（参公）编制</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个，行政工勤编制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参公工勤</w:t>
      </w:r>
      <w:r>
        <w:rPr>
          <w:rFonts w:hint="eastAsia" w:ascii="仿宋_GB2312" w:hAnsi="仿宋_GB2312" w:eastAsia="仿宋_GB2312" w:cs="仿宋_GB2312"/>
          <w:sz w:val="32"/>
          <w:szCs w:val="32"/>
          <w:lang w:val="en-US" w:eastAsia="zh-CN"/>
        </w:rPr>
        <w:t>1人，事业编制9人。</w:t>
      </w:r>
    </w:p>
    <w:p>
      <w:pPr>
        <w:widowControl/>
        <w:adjustRightInd w:val="0"/>
        <w:snapToGrid w:val="0"/>
        <w:spacing w:line="580" w:lineRule="exact"/>
        <w:ind w:firstLine="960" w:firstLineChars="300"/>
        <w:contextualSpacing/>
        <w:jc w:val="left"/>
        <w:rPr>
          <w:rFonts w:ascii="黑体" w:hAnsi="宋体" w:eastAsia="黑体" w:cs="宋体"/>
          <w:color w:val="000000"/>
          <w:kern w:val="0"/>
          <w:sz w:val="32"/>
          <w:szCs w:val="32"/>
          <w:shd w:val="clear" w:color="auto" w:fill="FFFFFF"/>
        </w:rPr>
      </w:pPr>
      <w:bookmarkStart w:id="127" w:name="_Toc1635_WPSOffice_Level2"/>
      <w:r>
        <w:rPr>
          <w:rFonts w:hint="eastAsia" w:ascii="黑体" w:hAnsi="宋体" w:eastAsia="黑体" w:cs="宋体"/>
          <w:color w:val="000000"/>
          <w:kern w:val="0"/>
          <w:sz w:val="32"/>
          <w:szCs w:val="32"/>
          <w:shd w:val="clear" w:color="auto" w:fill="FFFFFF"/>
        </w:rPr>
        <w:t>二、部门财政资金收支情况</w:t>
      </w:r>
      <w:bookmarkEnd w:id="127"/>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354.19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354.19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val="en-US" w:eastAsia="zh-CN"/>
        </w:rPr>
        <w:t xml:space="preserve"> 。</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355.83</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val="0"/>
          <w:bCs/>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307.18</w:t>
      </w:r>
      <w:r>
        <w:rPr>
          <w:rFonts w:hint="eastAsia" w:ascii="仿宋" w:hAnsi="仿宋" w:eastAsia="仿宋"/>
          <w:color w:val="000000"/>
          <w:sz w:val="32"/>
          <w:szCs w:val="32"/>
        </w:rPr>
        <w:t>万元，；</w:t>
      </w:r>
      <w:r>
        <w:rPr>
          <w:rFonts w:hint="eastAsia" w:ascii="仿宋" w:hAnsi="仿宋" w:eastAsia="仿宋"/>
          <w:b w:val="0"/>
          <w:bCs w:val="0"/>
          <w:color w:val="000000"/>
          <w:sz w:val="32"/>
          <w:szCs w:val="32"/>
        </w:rPr>
        <w:t>卫生健康支出</w:t>
      </w:r>
      <w:r>
        <w:rPr>
          <w:rFonts w:hint="eastAsia" w:ascii="仿宋" w:hAnsi="仿宋" w:eastAsia="仿宋"/>
          <w:color w:val="000000"/>
          <w:sz w:val="32"/>
          <w:szCs w:val="32"/>
          <w:lang w:val="en-US" w:eastAsia="zh-CN"/>
        </w:rPr>
        <w:t>22.41</w:t>
      </w:r>
      <w:r>
        <w:rPr>
          <w:rFonts w:hint="eastAsia" w:ascii="仿宋" w:hAnsi="仿宋" w:eastAsia="仿宋"/>
          <w:color w:val="000000"/>
          <w:sz w:val="32"/>
          <w:szCs w:val="32"/>
        </w:rPr>
        <w:t>万元，占；住房保障支出</w:t>
      </w:r>
      <w:r>
        <w:rPr>
          <w:rFonts w:hint="eastAsia" w:ascii="仿宋" w:hAnsi="仿宋" w:eastAsia="仿宋"/>
          <w:color w:val="000000"/>
          <w:sz w:val="32"/>
          <w:szCs w:val="32"/>
          <w:lang w:val="en-US" w:eastAsia="zh-CN"/>
        </w:rPr>
        <w:t>26.24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bookmarkStart w:id="128" w:name="_Toc12250_WPSOffice_Level2"/>
      <w:r>
        <w:rPr>
          <w:rFonts w:hint="eastAsia" w:ascii="黑体" w:hAnsi="宋体" w:eastAsia="黑体" w:cs="宋体"/>
          <w:color w:val="000000"/>
          <w:kern w:val="0"/>
          <w:sz w:val="32"/>
          <w:szCs w:val="32"/>
          <w:shd w:val="clear" w:color="auto" w:fill="FFFFFF"/>
        </w:rPr>
        <w:t>三、部门整体预算绩效管理情况</w:t>
      </w:r>
      <w:bookmarkEnd w:id="128"/>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pStyle w:val="12"/>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建立建全内部控制</w:t>
      </w:r>
      <w:r>
        <w:rPr>
          <w:rFonts w:hint="eastAsia" w:ascii="仿宋_GB2312" w:hAnsi="仿宋_GB2312" w:eastAsia="仿宋_GB2312" w:cs="仿宋_GB2312"/>
          <w:color w:val="000000" w:themeColor="text1"/>
          <w:sz w:val="32"/>
          <w:szCs w:val="32"/>
          <w14:textFill>
            <w14:solidFill>
              <w14:schemeClr w14:val="tx1"/>
            </w14:solidFill>
          </w14:textFill>
        </w:rPr>
        <w:t>制度：我</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加强和规范内部控制，提高内部管理水平和风险防范能力，杜绝违法违纪行为，推进廉政建设，维护社会公众利益，根据《中华人民共和国会计法》、《中华人民共和国预算法》、《行政事业单位内部控制规范》(试行)和其他有关法律法规。</w:t>
      </w:r>
    </w:p>
    <w:p>
      <w:pPr>
        <w:pStyle w:val="12"/>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 xml:space="preserve">资金使用合规性：资金支出符合国家财经法规和财务管理制度规定以及有关专项资金管理办法的规定；资金拨付有完整的审批程序和手续；符合部门预算批复的用途；资金使用无截留、挤占、挪用、虚列支出等情况。 </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预算信息公开：</w:t>
      </w:r>
      <w:r>
        <w:rPr>
          <w:rFonts w:hint="eastAsia" w:ascii="仿宋_GB2312" w:hAnsi="仿宋_GB2312" w:eastAsia="仿宋_GB2312" w:cs="仿宋_GB2312"/>
          <w:color w:val="000000" w:themeColor="text1"/>
          <w:sz w:val="32"/>
          <w:szCs w:val="32"/>
          <w:lang w:eastAsia="zh-CN"/>
          <w14:textFill>
            <w14:solidFill>
              <w14:schemeClr w14:val="tx1"/>
            </w14:solidFill>
          </w14:textFill>
        </w:rPr>
        <w:t>我单位</w:t>
      </w:r>
      <w:r>
        <w:rPr>
          <w:rFonts w:hint="eastAsia" w:ascii="仿宋_GB2312" w:hAnsi="仿宋_GB2312" w:eastAsia="仿宋_GB2312" w:cs="仿宋_GB2312"/>
          <w:color w:val="000000" w:themeColor="text1"/>
          <w:sz w:val="32"/>
          <w:szCs w:val="32"/>
          <w14:textFill>
            <w14:solidFill>
              <w14:schemeClr w14:val="tx1"/>
            </w14:solidFill>
          </w14:textFill>
        </w:rPr>
        <w:t xml:space="preserve">按规定内容公开预决算信息；按规定时限公开预决算信息；基础数据信息和会计信息资料真实；基础数据信息和会计信息资料完整；基础数据信息和汇集信息资料准确。 </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财务信息完善性：经核对</w:t>
      </w:r>
      <w:r>
        <w:rPr>
          <w:rFonts w:hint="eastAsia" w:ascii="仿宋_GB2312" w:hAnsi="仿宋_GB2312" w:eastAsia="仿宋_GB2312" w:cs="仿宋_GB2312"/>
          <w:color w:val="000000" w:themeColor="text1"/>
          <w:sz w:val="32"/>
          <w:szCs w:val="32"/>
          <w:lang w:eastAsia="zh-CN"/>
          <w14:textFill>
            <w14:solidFill>
              <w14:schemeClr w14:val="tx1"/>
            </w14:solidFill>
          </w14:textFill>
        </w:rPr>
        <w:t>我单位</w:t>
      </w:r>
      <w:r>
        <w:rPr>
          <w:rFonts w:hint="eastAsia" w:ascii="仿宋_GB2312" w:hAnsi="仿宋_GB2312" w:eastAsia="仿宋_GB2312" w:cs="仿宋_GB2312"/>
          <w:color w:val="000000" w:themeColor="text1"/>
          <w:sz w:val="32"/>
          <w:szCs w:val="32"/>
          <w14:textFill>
            <w14:solidFill>
              <w14:schemeClr w14:val="tx1"/>
            </w14:solidFill>
          </w14:textFill>
        </w:rPr>
        <w:t>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年度总账、明细账、决算报表，其结果账账、账表相符；财务信息资料真实、完整、准确</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numPr>
          <w:ilvl w:val="0"/>
          <w:numId w:val="0"/>
        </w:numPr>
        <w:wordWrap w:val="0"/>
        <w:autoSpaceDE/>
        <w:autoSpaceDN/>
        <w:spacing w:before="0" w:after="160" w:line="560" w:lineRule="exact"/>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201</w:t>
      </w:r>
      <w:r>
        <w:rPr>
          <w:rFonts w:hint="eastAsia" w:ascii="仿宋_GB2312" w:hAnsi="仿宋_GB2312" w:eastAsia="仿宋_GB2312"/>
          <w:color w:val="000000"/>
          <w:position w:val="0"/>
          <w:sz w:val="32"/>
          <w:szCs w:val="32"/>
          <w:lang w:val="en-US" w:eastAsia="zh-CN"/>
        </w:rPr>
        <w:t>9</w:t>
      </w:r>
      <w:r>
        <w:rPr>
          <w:rFonts w:hint="default" w:ascii="仿宋_GB2312" w:hAnsi="仿宋_GB2312" w:eastAsia="仿宋_GB2312"/>
          <w:color w:val="000000"/>
          <w:position w:val="0"/>
          <w:sz w:val="32"/>
          <w:szCs w:val="32"/>
        </w:rPr>
        <w:t>年度我单位年初根据工作规划和重点工作规划，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bookmarkStart w:id="129" w:name="_Toc18645_WPSOffice_Level2"/>
      <w:r>
        <w:rPr>
          <w:rFonts w:hint="eastAsia" w:ascii="黑体" w:hAnsi="宋体" w:eastAsia="黑体" w:cs="宋体"/>
          <w:color w:val="000000"/>
          <w:kern w:val="0"/>
          <w:sz w:val="32"/>
          <w:szCs w:val="32"/>
          <w:shd w:val="clear" w:color="auto" w:fill="FFFFFF"/>
        </w:rPr>
        <w:t>四、评价结论及建议</w:t>
      </w:r>
      <w:bookmarkEnd w:id="129"/>
    </w:p>
    <w:p>
      <w:pPr>
        <w:numPr>
          <w:ilvl w:val="0"/>
          <w:numId w:val="0"/>
        </w:numPr>
        <w:autoSpaceDE/>
        <w:autoSpaceDN/>
        <w:snapToGrid w:val="0"/>
        <w:spacing w:before="0" w:after="0" w:line="480" w:lineRule="exact"/>
        <w:ind w:left="0" w:right="0" w:firstLine="720"/>
        <w:jc w:val="left"/>
        <w:rPr>
          <w:rFonts w:hint="default" w:ascii="仿宋_GB2312" w:hAnsi="宋体" w:eastAsia="宋体"/>
          <w:color w:val="000000"/>
          <w:position w:val="0"/>
          <w:sz w:val="32"/>
          <w:szCs w:val="32"/>
        </w:rPr>
      </w:pPr>
      <w:r>
        <w:rPr>
          <w:rFonts w:hint="eastAsia" w:ascii="仿宋_GB2312" w:hAnsi="宋体" w:eastAsia="仿宋_GB2312" w:cs="宋体"/>
          <w:color w:val="000000"/>
          <w:kern w:val="0"/>
          <w:sz w:val="32"/>
          <w:szCs w:val="32"/>
          <w:shd w:val="clear" w:color="auto" w:fill="FFFFFF"/>
          <w:lang w:val="zh-CN"/>
        </w:rPr>
        <w:t>（一）评价结论。</w:t>
      </w:r>
    </w:p>
    <w:p>
      <w:pPr>
        <w:pageBreakBefore w:val="0"/>
        <w:numPr>
          <w:ilvl w:val="0"/>
          <w:numId w:val="0"/>
        </w:numPr>
        <w:shd w:val="clear" w:fill="FFFFFF"/>
        <w:wordWrap w:val="0"/>
        <w:autoSpaceDE/>
        <w:autoSpaceDN/>
        <w:bidi w:val="0"/>
        <w:snapToGrid/>
        <w:spacing w:before="0" w:after="0" w:line="540" w:lineRule="exact"/>
        <w:ind w:left="0" w:right="0" w:firstLine="640"/>
        <w:jc w:val="left"/>
        <w:rPr>
          <w:rFonts w:hint="default" w:ascii="仿宋_GB2312" w:hAnsi="宋体" w:eastAsia="宋体"/>
          <w:color w:val="000000"/>
          <w:position w:val="0"/>
          <w:sz w:val="21"/>
          <w:szCs w:val="21"/>
        </w:rPr>
      </w:pPr>
      <w:r>
        <w:rPr>
          <w:rFonts w:hint="default" w:ascii="仿宋_GB2312" w:hAnsi="仿宋_GB2312" w:eastAsia="仿宋_GB2312"/>
          <w:b w:val="0"/>
          <w:i w:val="0"/>
          <w:color w:val="000000" w:themeColor="text1"/>
          <w:spacing w:val="0"/>
          <w:position w:val="0"/>
          <w:sz w:val="32"/>
          <w:szCs w:val="32"/>
          <w:shd w:val="clear" w:fill="FFFFFF"/>
          <w14:textFill>
            <w14:solidFill>
              <w14:schemeClr w14:val="tx1"/>
            </w14:solidFill>
          </w14:textFill>
        </w:rPr>
        <w:t>能够严格执行《预算法》和各项财经纪律，机关制度健全，财务管理规范，预算编制合理;二是资金监管到位。经费开支按用途使用合理，做到专帐专管,专款专用；三是人员配备和</w:t>
      </w:r>
      <w:r>
        <w:rPr>
          <w:rFonts w:hint="eastAsia" w:ascii="仿宋_GB2312" w:hAnsi="仿宋_GB2312" w:eastAsia="仿宋_GB2312"/>
          <w:b w:val="0"/>
          <w:i w:val="0"/>
          <w:color w:val="000000" w:themeColor="text1"/>
          <w:spacing w:val="0"/>
          <w:position w:val="0"/>
          <w:sz w:val="32"/>
          <w:szCs w:val="32"/>
          <w:shd w:val="clear" w:fill="FFFFFF"/>
          <w:lang w:eastAsia="zh-CN"/>
          <w14:textFill>
            <w14:solidFill>
              <w14:schemeClr w14:val="tx1"/>
            </w14:solidFill>
          </w14:textFill>
        </w:rPr>
        <w:t>账务</w:t>
      </w:r>
      <w:r>
        <w:rPr>
          <w:rFonts w:hint="default" w:ascii="仿宋_GB2312" w:hAnsi="仿宋_GB2312" w:eastAsia="仿宋_GB2312"/>
          <w:b w:val="0"/>
          <w:i w:val="0"/>
          <w:color w:val="000000" w:themeColor="text1"/>
          <w:spacing w:val="0"/>
          <w:position w:val="0"/>
          <w:sz w:val="32"/>
          <w:szCs w:val="32"/>
          <w:shd w:val="clear" w:fill="FFFFFF"/>
          <w14:textFill>
            <w14:solidFill>
              <w14:schemeClr w14:val="tx1"/>
            </w14:solidFill>
          </w14:textFill>
        </w:rPr>
        <w:t>核算到位。财务人员</w:t>
      </w:r>
      <w:r>
        <w:rPr>
          <w:rFonts w:hint="eastAsia" w:ascii="仿宋_GB2312" w:hAnsi="仿宋_GB2312" w:eastAsia="仿宋_GB2312"/>
          <w:b w:val="0"/>
          <w:i w:val="0"/>
          <w:color w:val="000000" w:themeColor="text1"/>
          <w:spacing w:val="0"/>
          <w:position w:val="0"/>
          <w:sz w:val="32"/>
          <w:szCs w:val="32"/>
          <w:shd w:val="clear" w:fill="FFFFFF"/>
          <w:lang w:eastAsia="zh-CN"/>
          <w14:textFill>
            <w14:solidFill>
              <w14:schemeClr w14:val="tx1"/>
            </w14:solidFill>
          </w14:textFill>
        </w:rPr>
        <w:t>账务</w:t>
      </w:r>
      <w:r>
        <w:rPr>
          <w:rFonts w:hint="default" w:ascii="仿宋_GB2312" w:hAnsi="仿宋_GB2312" w:eastAsia="仿宋_GB2312"/>
          <w:b w:val="0"/>
          <w:i w:val="0"/>
          <w:color w:val="000000" w:themeColor="text1"/>
          <w:spacing w:val="0"/>
          <w:position w:val="0"/>
          <w:sz w:val="32"/>
          <w:szCs w:val="32"/>
          <w:shd w:val="clear" w:fill="FFFFFF"/>
          <w14:textFill>
            <w14:solidFill>
              <w14:schemeClr w14:val="tx1"/>
            </w14:solidFill>
          </w14:textFill>
        </w:rPr>
        <w:t>核算及时规范。</w:t>
      </w:r>
      <w:r>
        <w:rPr>
          <w:rFonts w:hint="default" w:ascii="仿宋_GB2312" w:hAnsi="仿宋_GB2312" w:eastAsia="仿宋_GB2312"/>
          <w:color w:val="000000" w:themeColor="text1"/>
          <w:position w:val="0"/>
          <w:sz w:val="32"/>
          <w:szCs w:val="32"/>
          <w14:textFill>
            <w14:solidFill>
              <w14:schemeClr w14:val="tx1"/>
            </w14:solidFill>
          </w14:textFill>
        </w:rPr>
        <w:t>我单位在财务上进行合理安排和运用，以“认真、严谨、细致”的精神，做好一切财务工作。</w:t>
      </w:r>
    </w:p>
    <w:p>
      <w:pPr>
        <w:pageBreakBefore w:val="0"/>
        <w:numPr>
          <w:ilvl w:val="0"/>
          <w:numId w:val="0"/>
        </w:numPr>
        <w:shd w:val="clear" w:fill="FFFFFF"/>
        <w:wordWrap w:val="0"/>
        <w:autoSpaceDE/>
        <w:autoSpaceDN/>
        <w:bidi w:val="0"/>
        <w:snapToGrid/>
        <w:spacing w:before="0" w:after="0" w:line="540" w:lineRule="exact"/>
        <w:ind w:right="0" w:rightChars="0" w:firstLine="640" w:firstLineChars="200"/>
        <w:jc w:val="left"/>
        <w:rPr>
          <w:rFonts w:hint="default" w:ascii="仿宋_GB2312" w:hAnsi="宋体" w:eastAsia="宋体"/>
          <w:color w:val="000000"/>
          <w:position w:val="0"/>
          <w:sz w:val="21"/>
          <w:szCs w:val="21"/>
        </w:rPr>
      </w:pPr>
      <w:r>
        <w:rPr>
          <w:rFonts w:hint="eastAsia" w:ascii="仿宋_GB2312" w:hAnsi="宋体" w:eastAsia="仿宋_GB2312" w:cs="宋体"/>
          <w:color w:val="000000"/>
          <w:kern w:val="0"/>
          <w:sz w:val="32"/>
          <w:szCs w:val="32"/>
          <w:shd w:val="clear" w:color="auto" w:fill="FFFFFF"/>
          <w:lang w:val="zh-CN"/>
        </w:rPr>
        <w:t>（二）存在问题。</w:t>
      </w:r>
      <w:r>
        <w:rPr>
          <w:rFonts w:hint="eastAsia" w:ascii="仿宋_GB2312" w:hAnsi="宋体" w:eastAsia="仿宋_GB2312" w:cs="宋体"/>
          <w:color w:val="000000"/>
          <w:kern w:val="0"/>
          <w:sz w:val="32"/>
          <w:szCs w:val="32"/>
          <w:shd w:val="clear" w:color="auto" w:fill="FFFFFF"/>
          <w:lang w:val="en-US" w:eastAsia="zh-CN"/>
        </w:rPr>
        <w:t>1、</w:t>
      </w:r>
      <w:r>
        <w:rPr>
          <w:rFonts w:hint="default" w:ascii="仿宋_GB2312" w:hAnsi="仿宋_GB2312" w:eastAsia="仿宋_GB2312"/>
          <w:color w:val="000000" w:themeColor="text1"/>
          <w:position w:val="0"/>
          <w:sz w:val="32"/>
          <w:szCs w:val="32"/>
          <w14:textFill>
            <w14:solidFill>
              <w14:schemeClr w14:val="tx1"/>
            </w14:solidFill>
          </w14:textFill>
        </w:rPr>
        <w:t>财务人员业务知识还稍有欠缺</w:t>
      </w:r>
      <w:r>
        <w:rPr>
          <w:rFonts w:hint="eastAsia" w:ascii="仿宋_GB2312" w:hAnsi="仿宋_GB2312" w:eastAsia="仿宋_GB2312"/>
          <w:color w:val="000000" w:themeColor="text1"/>
          <w:position w:val="0"/>
          <w:sz w:val="32"/>
          <w:szCs w:val="32"/>
          <w:lang w:eastAsia="zh-CN"/>
          <w14:textFill>
            <w14:solidFill>
              <w14:schemeClr w14:val="tx1"/>
            </w14:solidFill>
          </w14:textFill>
        </w:rPr>
        <w:t>；</w:t>
      </w:r>
      <w:r>
        <w:rPr>
          <w:rFonts w:hint="eastAsia" w:ascii="仿宋_GB2312" w:hAnsi="仿宋_GB2312" w:eastAsia="仿宋_GB2312"/>
          <w:color w:val="000000" w:themeColor="text1"/>
          <w:position w:val="0"/>
          <w:sz w:val="32"/>
          <w:szCs w:val="32"/>
          <w:lang w:val="en-US" w:eastAsia="zh-CN"/>
          <w14:textFill>
            <w14:solidFill>
              <w14:schemeClr w14:val="tx1"/>
            </w14:solidFill>
          </w14:textFill>
        </w:rPr>
        <w:t>2、报表上报类型多，相关的填报专业技术弱。</w:t>
      </w:r>
      <w:r>
        <w:rPr>
          <w:rStyle w:val="15"/>
          <w:rFonts w:hint="default" w:ascii="仿宋_GB2312" w:hAnsi="仿宋_GB2312" w:eastAsia="仿宋_GB2312"/>
          <w:b/>
          <w:i w:val="0"/>
          <w:color w:val="000000" w:themeColor="text1"/>
          <w:spacing w:val="0"/>
          <w:position w:val="0"/>
          <w:sz w:val="32"/>
          <w:szCs w:val="32"/>
          <w:shd w:val="clear" w:fill="FFFFFF"/>
          <w14:textFill>
            <w14:solidFill>
              <w14:schemeClr w14:val="tx1"/>
            </w14:solidFill>
          </w14:textFill>
        </w:rPr>
        <w:t>  </w:t>
      </w:r>
    </w:p>
    <w:p>
      <w:pPr>
        <w:pageBreakBefore w:val="0"/>
        <w:numPr>
          <w:ilvl w:val="0"/>
          <w:numId w:val="0"/>
        </w:numPr>
        <w:shd w:val="clear" w:fill="FFFFFF"/>
        <w:wordWrap w:val="0"/>
        <w:autoSpaceDE/>
        <w:autoSpaceDN/>
        <w:bidi w:val="0"/>
        <w:snapToGrid/>
        <w:spacing w:before="0" w:after="0" w:line="540" w:lineRule="exact"/>
        <w:ind w:right="0" w:firstLine="640" w:firstLineChars="200"/>
        <w:jc w:val="left"/>
        <w:rPr>
          <w:rFonts w:hint="default" w:ascii="仿宋_GB2312" w:hAnsi="仿宋_GB2312" w:eastAsia="仿宋_GB2312"/>
          <w:color w:val="auto"/>
          <w:position w:val="0"/>
          <w:sz w:val="21"/>
          <w:szCs w:val="21"/>
        </w:rPr>
      </w:pPr>
      <w:r>
        <w:rPr>
          <w:rFonts w:hint="eastAsia" w:ascii="仿宋_GB2312" w:hAnsi="宋体" w:eastAsia="仿宋_GB2312" w:cs="宋体"/>
          <w:color w:val="000000"/>
          <w:kern w:val="0"/>
          <w:sz w:val="32"/>
          <w:szCs w:val="32"/>
          <w:shd w:val="clear" w:color="auto" w:fill="FFFFFF"/>
          <w:lang w:val="zh-CN"/>
        </w:rPr>
        <w:t>（三）改进建议。</w:t>
      </w:r>
      <w:r>
        <w:rPr>
          <w:rFonts w:hint="default" w:ascii="仿宋_GB2312" w:hAnsi="仿宋_GB2312" w:eastAsia="仿宋_GB2312"/>
          <w:b w:val="0"/>
          <w:i w:val="0"/>
          <w:color w:val="000000" w:themeColor="text1"/>
          <w:spacing w:val="0"/>
          <w:position w:val="0"/>
          <w:sz w:val="32"/>
          <w:szCs w:val="32"/>
          <w:shd w:val="clear" w:fill="FFFFFF"/>
          <w14:textFill>
            <w14:solidFill>
              <w14:schemeClr w14:val="tx1"/>
            </w14:solidFill>
          </w14:textFill>
        </w:rPr>
        <w:t>建立长效机制，严格财务管理，加强财务监督，坚持厉行节约，严格杜绝现金支出。加强事业单位会计制度的学习，准且完整的核算部门全年收入支出，确保不漏记不多记收支。                   </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spacing w:line="580" w:lineRule="exact"/>
        <w:ind w:firstLine="640" w:firstLineChars="200"/>
        <w:jc w:val="left"/>
        <w:rPr>
          <w:rFonts w:ascii="仿宋_GB2312" w:hAnsi="仿宋_GB2312" w:eastAsia="仿宋_GB2312" w:cs="仿宋_GB2312"/>
          <w:sz w:val="32"/>
          <w:szCs w:val="32"/>
        </w:rPr>
      </w:pPr>
    </w:p>
    <w:p>
      <w:pPr>
        <w:spacing w:line="580" w:lineRule="exact"/>
        <w:ind w:firstLine="640" w:firstLineChars="200"/>
        <w:jc w:val="left"/>
        <w:rPr>
          <w:rFonts w:ascii="仿宋_GB2312" w:hAnsi="仿宋_GB2312" w:eastAsia="仿宋_GB2312" w:cs="仿宋_GB2312"/>
          <w:sz w:val="32"/>
          <w:szCs w:val="32"/>
        </w:rPr>
      </w:pPr>
    </w:p>
    <w:p>
      <w:pPr>
        <w:spacing w:line="580" w:lineRule="exact"/>
        <w:jc w:val="left"/>
        <w:rPr>
          <w:rFonts w:hint="eastAsia" w:ascii="黑体" w:hAnsi="黑体" w:eastAsia="黑体" w:cs="黑体"/>
          <w:sz w:val="32"/>
          <w:szCs w:val="32"/>
        </w:rPr>
      </w:pPr>
    </w:p>
    <w:p>
      <w:pPr>
        <w:spacing w:line="580" w:lineRule="exact"/>
        <w:jc w:val="left"/>
        <w:rPr>
          <w:rFonts w:hint="eastAsia" w:ascii="黑体" w:hAnsi="黑体" w:eastAsia="黑体" w:cs="黑体"/>
          <w:sz w:val="32"/>
          <w:szCs w:val="32"/>
        </w:rPr>
      </w:pPr>
    </w:p>
    <w:p>
      <w:pPr>
        <w:spacing w:line="580" w:lineRule="exact"/>
        <w:jc w:val="left"/>
        <w:rPr>
          <w:rFonts w:hint="eastAsia" w:ascii="黑体" w:hAnsi="黑体" w:eastAsia="黑体" w:cs="黑体"/>
          <w:sz w:val="32"/>
          <w:szCs w:val="32"/>
        </w:rPr>
      </w:pPr>
    </w:p>
    <w:p>
      <w:pPr>
        <w:spacing w:line="580" w:lineRule="exact"/>
        <w:jc w:val="left"/>
        <w:rPr>
          <w:rFonts w:hint="eastAsia" w:ascii="黑体" w:hAnsi="黑体" w:eastAsia="黑体" w:cs="黑体"/>
          <w:sz w:val="32"/>
          <w:szCs w:val="32"/>
        </w:rPr>
      </w:pPr>
    </w:p>
    <w:p>
      <w:pPr>
        <w:spacing w:line="580" w:lineRule="exact"/>
        <w:jc w:val="lef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600" w:lineRule="exact"/>
        <w:jc w:val="center"/>
        <w:rPr>
          <w:rFonts w:ascii="方正小标宋简体" w:hAnsi="宋体" w:eastAsia="方正小标宋简体"/>
          <w:color w:val="000000"/>
          <w:kern w:val="0"/>
          <w:sz w:val="44"/>
          <w:szCs w:val="44"/>
          <w:lang w:val="zh-CN"/>
        </w:rPr>
      </w:pPr>
      <w:bookmarkStart w:id="130" w:name="_Toc7795_WPSOffice_Level2"/>
      <w:r>
        <w:rPr>
          <w:rFonts w:hint="eastAsia" w:ascii="仿宋_GB2312" w:hAnsi="仿宋_GB2312" w:eastAsia="仿宋_GB2312" w:cs="仿宋_GB2312"/>
          <w:sz w:val="44"/>
          <w:szCs w:val="44"/>
        </w:rPr>
        <w:t>2019年医疗服务与保障能力提升中央财政补助资金</w:t>
      </w:r>
      <w:r>
        <w:rPr>
          <w:rFonts w:hint="eastAsia" w:ascii="方正小标宋简体" w:hAnsi="宋体" w:eastAsia="方正小标宋简体"/>
          <w:color w:val="000000"/>
          <w:kern w:val="0"/>
          <w:sz w:val="44"/>
          <w:szCs w:val="44"/>
          <w:lang w:val="zh-CN"/>
        </w:rPr>
        <w:t>绩效评价报告</w:t>
      </w:r>
      <w:bookmarkEnd w:id="130"/>
    </w:p>
    <w:p>
      <w:pPr>
        <w:spacing w:line="600" w:lineRule="exact"/>
        <w:jc w:val="left"/>
        <w:rPr>
          <w:rFonts w:ascii="宋体" w:hAnsi="宋体"/>
          <w:sz w:val="44"/>
          <w:szCs w:val="44"/>
          <w:lang w:val="zh-CN"/>
        </w:rPr>
      </w:pPr>
    </w:p>
    <w:p>
      <w:pPr>
        <w:adjustRightInd w:val="0"/>
        <w:snapToGrid w:val="0"/>
        <w:spacing w:line="600" w:lineRule="exact"/>
        <w:ind w:firstLine="720"/>
        <w:jc w:val="left"/>
        <w:rPr>
          <w:rFonts w:ascii="黑体" w:hAnsi="宋体" w:eastAsia="黑体"/>
          <w:sz w:val="32"/>
          <w:szCs w:val="32"/>
          <w:lang w:val="zh-CN"/>
        </w:rPr>
      </w:pPr>
      <w:bookmarkStart w:id="131" w:name="_Toc23005_WPSOffice_Level2"/>
      <w:r>
        <w:rPr>
          <w:rFonts w:hint="eastAsia" w:ascii="黑体" w:hAnsi="宋体" w:eastAsia="黑体"/>
          <w:sz w:val="32"/>
          <w:szCs w:val="32"/>
        </w:rPr>
        <w:t>一、</w:t>
      </w:r>
      <w:r>
        <w:rPr>
          <w:rFonts w:hint="eastAsia" w:ascii="黑体" w:hAnsi="宋体" w:eastAsia="黑体"/>
          <w:sz w:val="32"/>
          <w:szCs w:val="32"/>
          <w:lang w:val="zh-CN"/>
        </w:rPr>
        <w:t>项目概况</w:t>
      </w:r>
      <w:bookmarkEnd w:id="131"/>
    </w:p>
    <w:p>
      <w:pPr>
        <w:adjustRightInd w:val="0"/>
        <w:snapToGrid w:val="0"/>
        <w:spacing w:line="600" w:lineRule="exact"/>
        <w:ind w:firstLine="720"/>
        <w:jc w:val="left"/>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jc w:val="left"/>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b/>
          <w:sz w:val="32"/>
          <w:szCs w:val="32"/>
          <w:lang w:val="en-US" w:eastAsia="zh-CN"/>
        </w:rPr>
        <w:t>1、</w:t>
      </w:r>
      <w:r>
        <w:rPr>
          <w:rFonts w:hint="eastAsia" w:ascii="仿宋_GB2312" w:hAnsi="仿宋_GB2312" w:eastAsia="仿宋_GB2312" w:cs="仿宋_GB2312"/>
          <w:b/>
          <w:sz w:val="32"/>
          <w:szCs w:val="32"/>
          <w:lang w:val="zh-CN"/>
        </w:rPr>
        <w:t>项目资金申报及批复情况。</w:t>
      </w:r>
      <w:r>
        <w:rPr>
          <w:rFonts w:hint="eastAsia" w:ascii="仿宋_GB2312" w:hAnsi="仿宋_GB2312" w:eastAsia="仿宋_GB2312" w:cs="仿宋_GB2312"/>
          <w:sz w:val="32"/>
          <w:szCs w:val="32"/>
        </w:rPr>
        <w:t>2019年医疗服务与保障能力提升中央财政补助资金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总金额5万元，于2019年8月由州财政会同州医疗保障局下达资金，资金文号：阿州财社〔2019〕73号，资金来源属于中央财政补助资金。</w:t>
      </w:r>
      <w:r>
        <w:rPr>
          <w:rFonts w:hint="eastAsia" w:ascii="仿宋_GB2312" w:hAnsi="仿宋_GB2312" w:eastAsia="仿宋_GB2312" w:cs="仿宋_GB2312"/>
          <w:color w:val="333333"/>
          <w:sz w:val="32"/>
          <w:szCs w:val="32"/>
          <w:shd w:val="clear" w:color="auto" w:fill="FFFFFF"/>
        </w:rPr>
        <w:t>该项目申报内容与具体实施内容相符，申报目标合理可行。</w:t>
      </w:r>
    </w:p>
    <w:p>
      <w:pPr>
        <w:adjustRightInd w:val="0"/>
        <w:snapToGrid w:val="0"/>
        <w:spacing w:line="600" w:lineRule="exact"/>
        <w:ind w:firstLine="643" w:firstLineChars="200"/>
        <w:jc w:val="left"/>
        <w:rPr>
          <w:rFonts w:hint="eastAsia" w:ascii="仿宋_GB2312" w:hAnsi="仿宋_GB2312" w:eastAsia="仿宋_GB2312" w:cs="仿宋_GB2312"/>
          <w:color w:val="333333"/>
          <w:sz w:val="32"/>
          <w:szCs w:val="32"/>
          <w:shd w:val="clear" w:color="auto" w:fill="FFFFFF"/>
        </w:rPr>
      </w:pPr>
      <w:r>
        <w:rPr>
          <w:rFonts w:hint="eastAsia" w:ascii="楷体_GB2312" w:hAnsi="宋体" w:eastAsia="楷体_GB2312"/>
          <w:b/>
          <w:sz w:val="32"/>
          <w:szCs w:val="32"/>
          <w:lang w:val="zh-CN"/>
        </w:rPr>
        <w:t>（二）项目绩效目标。</w:t>
      </w:r>
      <w:r>
        <w:rPr>
          <w:rFonts w:hint="eastAsia" w:ascii="仿宋_GB2312" w:hAnsi="仿宋_GB2312" w:eastAsia="仿宋_GB2312" w:cs="仿宋_GB2312"/>
          <w:sz w:val="32"/>
          <w:szCs w:val="32"/>
        </w:rPr>
        <w:t>2019年医疗服务与保障能力提升中央财政补助资金，重点用于支持医保信息化、基金监督和支付方式改革等方面工作。我局结合本地实际，统筹安排并使用好中央财政补助资金，提升医疗保障经办和服务能力，提高资金使用绩效。同时，切实加强资金管理，提高资金使用效益</w:t>
      </w:r>
      <w:r>
        <w:rPr>
          <w:rFonts w:hint="eastAsia" w:ascii="仿宋_GB2312" w:hAnsi="仿宋_GB2312" w:eastAsia="仿宋_GB2312" w:cs="仿宋_GB2312"/>
          <w:sz w:val="32"/>
          <w:szCs w:val="32"/>
          <w:lang w:eastAsia="zh-CN"/>
        </w:rPr>
        <w:t>。</w:t>
      </w:r>
    </w:p>
    <w:p>
      <w:pPr>
        <w:adjustRightInd w:val="0"/>
        <w:snapToGrid w:val="0"/>
        <w:spacing w:line="600" w:lineRule="exact"/>
        <w:ind w:firstLine="643" w:firstLineChars="200"/>
        <w:jc w:val="left"/>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Style w:val="2"/>
        <w:ind w:firstLine="640" w:firstLineChars="200"/>
        <w:jc w:val="left"/>
        <w:rPr>
          <w:rFonts w:ascii="仿宋_GB2312" w:hAnsi="宋体" w:cs="仿宋_GB2312"/>
          <w:sz w:val="32"/>
          <w:szCs w:val="32"/>
        </w:rPr>
      </w:pPr>
      <w:r>
        <w:rPr>
          <w:rFonts w:hint="eastAsia" w:ascii="仿宋_GB2312" w:hAnsi="宋体" w:cs="仿宋_GB2312"/>
          <w:sz w:val="32"/>
          <w:szCs w:val="32"/>
        </w:rPr>
        <w:t>该资金由红原县医疗保障局负责具体使用，县财政局负责监管使用资金。项目实施严格按照相关流程进行，包括：资金下达、资金拨付、资料归档。</w:t>
      </w:r>
    </w:p>
    <w:p>
      <w:pPr>
        <w:adjustRightInd w:val="0"/>
        <w:snapToGrid w:val="0"/>
        <w:spacing w:line="600" w:lineRule="exact"/>
        <w:ind w:firstLine="720"/>
        <w:jc w:val="left"/>
        <w:rPr>
          <w:rFonts w:ascii="仿宋_GB2312" w:hAnsi="宋体" w:eastAsia="仿宋_GB2312"/>
          <w:sz w:val="32"/>
          <w:szCs w:val="32"/>
          <w:lang w:val="zh-CN"/>
        </w:rPr>
      </w:pPr>
    </w:p>
    <w:p>
      <w:pPr>
        <w:adjustRightInd w:val="0"/>
        <w:snapToGrid w:val="0"/>
        <w:spacing w:line="600" w:lineRule="exact"/>
        <w:ind w:firstLine="720"/>
        <w:jc w:val="left"/>
        <w:rPr>
          <w:rFonts w:hint="eastAsia" w:ascii="黑体" w:hAnsi="宋体" w:eastAsia="黑体"/>
          <w:sz w:val="32"/>
          <w:szCs w:val="32"/>
        </w:rPr>
      </w:pPr>
    </w:p>
    <w:p>
      <w:pPr>
        <w:adjustRightInd w:val="0"/>
        <w:snapToGrid w:val="0"/>
        <w:spacing w:line="600" w:lineRule="exact"/>
        <w:ind w:firstLine="720"/>
        <w:jc w:val="left"/>
        <w:rPr>
          <w:rFonts w:ascii="黑体" w:hAnsi="宋体" w:eastAsia="黑体"/>
          <w:sz w:val="32"/>
          <w:szCs w:val="32"/>
        </w:rPr>
      </w:pPr>
      <w:bookmarkStart w:id="132" w:name="_Toc22786_WPSOffice_Level2"/>
      <w:r>
        <w:rPr>
          <w:rFonts w:hint="eastAsia" w:ascii="黑体" w:hAnsi="宋体" w:eastAsia="黑体"/>
          <w:sz w:val="32"/>
          <w:szCs w:val="32"/>
        </w:rPr>
        <w:t>二、项目资金申报及使用情况</w:t>
      </w:r>
      <w:bookmarkEnd w:id="132"/>
    </w:p>
    <w:p>
      <w:pPr>
        <w:adjustRightInd w:val="0"/>
        <w:snapToGrid w:val="0"/>
        <w:spacing w:line="600" w:lineRule="exact"/>
        <w:ind w:firstLine="720"/>
        <w:jc w:val="left"/>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jc w:val="left"/>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该项目申报内容与具体实施内容相符，申报目标合理可行。</w:t>
      </w:r>
    </w:p>
    <w:p>
      <w:pPr>
        <w:adjustRightInd w:val="0"/>
        <w:snapToGrid w:val="0"/>
        <w:spacing w:line="600" w:lineRule="exact"/>
        <w:ind w:firstLine="720"/>
        <w:jc w:val="left"/>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580" w:lineRule="exact"/>
        <w:ind w:firstLine="720"/>
        <w:jc w:val="left"/>
        <w:rPr>
          <w:rFonts w:hint="eastAsia" w:ascii="仿宋_GB2312" w:hAnsi="仿宋_GB2312" w:eastAsia="仿宋_GB2312" w:cs="仿宋_GB2312"/>
          <w:sz w:val="32"/>
          <w:szCs w:val="32"/>
        </w:rPr>
      </w:pPr>
      <w:r>
        <w:rPr>
          <w:rFonts w:hint="eastAsia" w:ascii="楷体_GB2312" w:hAnsi="宋体" w:eastAsia="楷体_GB2312"/>
          <w:sz w:val="32"/>
          <w:szCs w:val="32"/>
          <w:lang w:val="zh-CN"/>
        </w:rPr>
        <w:t>1．资金计划及到位情况。</w:t>
      </w:r>
      <w:r>
        <w:rPr>
          <w:rFonts w:hint="eastAsia" w:ascii="仿宋_GB2312" w:hAnsi="仿宋_GB2312" w:eastAsia="仿宋_GB2312" w:cs="仿宋_GB2312"/>
          <w:sz w:val="32"/>
          <w:szCs w:val="32"/>
        </w:rPr>
        <w:t>2019年中央财政医疗服务与保障能力提升补助资金共5万元，全部为中央财政补助资金，且资金于2019年10月14日下达，资金到位率100%。</w:t>
      </w:r>
    </w:p>
    <w:p>
      <w:pPr>
        <w:adjustRightInd w:val="0"/>
        <w:snapToGrid w:val="0"/>
        <w:spacing w:line="580" w:lineRule="exact"/>
        <w:ind w:firstLine="720"/>
        <w:jc w:val="left"/>
        <w:rPr>
          <w:rFonts w:hint="eastAsia" w:ascii="仿宋_GB2312" w:hAnsi="仿宋_GB2312" w:eastAsia="仿宋_GB2312" w:cs="仿宋_GB2312"/>
          <w:b/>
          <w:bCs/>
          <w:sz w:val="32"/>
          <w:szCs w:val="32"/>
        </w:rPr>
      </w:pPr>
      <w:r>
        <w:rPr>
          <w:rFonts w:hint="eastAsia" w:ascii="楷体_GB2312" w:hAnsi="宋体" w:eastAsia="楷体_GB2312"/>
          <w:sz w:val="32"/>
          <w:szCs w:val="32"/>
          <w:lang w:val="en-US" w:eastAsia="zh-CN"/>
        </w:rPr>
        <w:t>2</w:t>
      </w:r>
      <w:r>
        <w:rPr>
          <w:rFonts w:hint="eastAsia" w:ascii="楷体_GB2312" w:hAnsi="宋体" w:eastAsia="楷体_GB2312"/>
          <w:sz w:val="32"/>
          <w:szCs w:val="32"/>
          <w:lang w:val="zh-CN"/>
        </w:rPr>
        <w:t>．资金使用。</w:t>
      </w:r>
      <w:r>
        <w:rPr>
          <w:rFonts w:hint="eastAsia" w:ascii="仿宋_GB2312" w:hAnsi="仿宋_GB2312" w:eastAsia="仿宋_GB2312" w:cs="仿宋_GB2312"/>
          <w:sz w:val="32"/>
          <w:szCs w:val="32"/>
        </w:rPr>
        <w:t>该资金严格按照相关规程进行拨付，资金实际支付5万元，支付金额在预算范围内，支付过程符合程序和规范。不存在违规操作、拖延拨付的情况。</w:t>
      </w:r>
    </w:p>
    <w:p>
      <w:pPr>
        <w:adjustRightInd w:val="0"/>
        <w:snapToGrid w:val="0"/>
        <w:spacing w:line="600" w:lineRule="exact"/>
        <w:ind w:firstLine="643" w:firstLineChars="200"/>
        <w:jc w:val="left"/>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580" w:lineRule="exact"/>
        <w:ind w:firstLine="72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019年中央财政医疗服务与保障能力提升补助资金，</w:t>
      </w:r>
      <w:r>
        <w:rPr>
          <w:rFonts w:hint="eastAsia" w:ascii="仿宋_GB2312" w:hAnsi="仿宋_GB2312" w:eastAsia="仿宋_GB2312" w:cs="仿宋_GB2312"/>
          <w:sz w:val="32"/>
          <w:szCs w:val="32"/>
          <w:lang w:val="zh-CN"/>
        </w:rPr>
        <w:t>实施单位</w:t>
      </w:r>
      <w:r>
        <w:rPr>
          <w:rFonts w:hint="eastAsia" w:ascii="仿宋_GB2312" w:hAnsi="仿宋_GB2312" w:eastAsia="仿宋_GB2312" w:cs="仿宋_GB2312"/>
          <w:sz w:val="32"/>
          <w:szCs w:val="32"/>
        </w:rPr>
        <w:t>是红原县医疗保障局，</w:t>
      </w:r>
      <w:r>
        <w:rPr>
          <w:rFonts w:hint="eastAsia" w:ascii="仿宋_GB2312" w:hAnsi="仿宋_GB2312" w:eastAsia="仿宋_GB2312" w:cs="仿宋_GB2312"/>
          <w:sz w:val="32"/>
          <w:szCs w:val="32"/>
          <w:lang w:val="zh-CN"/>
        </w:rPr>
        <w:t>财务管理制度健全，严格</w:t>
      </w:r>
      <w:r>
        <w:rPr>
          <w:rFonts w:hint="eastAsia" w:ascii="仿宋_GB2312" w:hAnsi="仿宋_GB2312" w:eastAsia="仿宋_GB2312" w:cs="仿宋_GB2312"/>
          <w:sz w:val="32"/>
          <w:szCs w:val="32"/>
        </w:rPr>
        <w:t>按</w:t>
      </w:r>
      <w:r>
        <w:rPr>
          <w:rFonts w:hint="eastAsia" w:ascii="仿宋_GB2312" w:hAnsi="仿宋_GB2312" w:eastAsia="仿宋_GB2312" w:cs="仿宋_GB2312"/>
          <w:sz w:val="32"/>
          <w:szCs w:val="32"/>
          <w:lang w:val="zh-CN"/>
        </w:rPr>
        <w:t>财务管理制度</w:t>
      </w:r>
      <w:r>
        <w:rPr>
          <w:rFonts w:hint="eastAsia" w:ascii="仿宋_GB2312" w:hAnsi="仿宋_GB2312" w:eastAsia="仿宋_GB2312" w:cs="仿宋_GB2312"/>
          <w:sz w:val="32"/>
          <w:szCs w:val="32"/>
        </w:rPr>
        <w:t>执行</w:t>
      </w:r>
      <w:r>
        <w:rPr>
          <w:rFonts w:hint="eastAsia" w:ascii="仿宋_GB2312" w:hAnsi="仿宋_GB2312" w:eastAsia="仿宋_GB2312" w:cs="仿宋_GB2312"/>
          <w:sz w:val="32"/>
          <w:szCs w:val="32"/>
          <w:lang w:val="zh-CN"/>
        </w:rPr>
        <w:t>，账务处理及时，会计、</w:t>
      </w:r>
      <w:r>
        <w:rPr>
          <w:rFonts w:hint="eastAsia" w:ascii="仿宋_GB2312" w:hAnsi="仿宋_GB2312" w:eastAsia="仿宋_GB2312" w:cs="仿宋_GB2312"/>
          <w:sz w:val="32"/>
          <w:szCs w:val="32"/>
        </w:rPr>
        <w:t>出纳</w:t>
      </w:r>
      <w:r>
        <w:rPr>
          <w:rFonts w:hint="eastAsia" w:ascii="仿宋_GB2312" w:hAnsi="仿宋_GB2312" w:eastAsia="仿宋_GB2312" w:cs="仿宋_GB2312"/>
          <w:sz w:val="32"/>
          <w:szCs w:val="32"/>
          <w:lang w:val="zh-CN"/>
        </w:rPr>
        <w:t>核算</w:t>
      </w:r>
      <w:r>
        <w:rPr>
          <w:rFonts w:hint="eastAsia" w:ascii="仿宋_GB2312" w:hAnsi="仿宋_GB2312" w:eastAsia="仿宋_GB2312" w:cs="仿宋_GB2312"/>
          <w:sz w:val="32"/>
          <w:szCs w:val="32"/>
        </w:rPr>
        <w:t>较为准确规范。</w:t>
      </w:r>
    </w:p>
    <w:p>
      <w:pPr>
        <w:adjustRightInd w:val="0"/>
        <w:snapToGrid w:val="0"/>
        <w:spacing w:line="600" w:lineRule="exact"/>
        <w:ind w:firstLine="720"/>
        <w:jc w:val="left"/>
        <w:rPr>
          <w:rFonts w:ascii="黑体" w:hAnsi="宋体" w:eastAsia="黑体"/>
          <w:sz w:val="32"/>
          <w:szCs w:val="32"/>
        </w:rPr>
      </w:pPr>
      <w:bookmarkStart w:id="133" w:name="_Toc21717_WPSOffice_Level2"/>
      <w:r>
        <w:rPr>
          <w:rFonts w:hint="eastAsia" w:ascii="黑体" w:hAnsi="宋体" w:eastAsia="黑体"/>
          <w:sz w:val="32"/>
          <w:szCs w:val="32"/>
        </w:rPr>
        <w:t>三、项目实施及管理情况</w:t>
      </w:r>
      <w:bookmarkEnd w:id="133"/>
    </w:p>
    <w:p>
      <w:pPr>
        <w:pStyle w:val="2"/>
        <w:ind w:firstLine="640" w:firstLineChars="200"/>
        <w:jc w:val="left"/>
        <w:rPr>
          <w:rFonts w:ascii="仿宋_GB2312" w:hAnsi="宋体" w:cs="仿宋_GB2312"/>
          <w:sz w:val="32"/>
          <w:szCs w:val="32"/>
        </w:rPr>
      </w:pPr>
      <w:r>
        <w:rPr>
          <w:rFonts w:hint="eastAsia" w:ascii="仿宋_GB2312" w:hAnsi="宋体" w:cs="仿宋_GB2312"/>
          <w:sz w:val="32"/>
          <w:szCs w:val="32"/>
        </w:rPr>
        <w:t>该资金由红原县医疗保障局负责具体使用，县财政局负责监管使用资金。项目实施严格按照相关流程进行，包括：资金下达、资金拨付、资料归档。</w:t>
      </w:r>
    </w:p>
    <w:p>
      <w:pPr>
        <w:adjustRightInd w:val="0"/>
        <w:snapToGrid w:val="0"/>
        <w:spacing w:line="600" w:lineRule="exact"/>
        <w:ind w:firstLine="720"/>
        <w:jc w:val="left"/>
        <w:rPr>
          <w:rFonts w:ascii="仿宋_GB2312" w:hAnsi="宋体" w:eastAsia="仿宋_GB2312"/>
          <w:sz w:val="32"/>
          <w:szCs w:val="32"/>
          <w:lang w:val="zh-CN"/>
        </w:rPr>
      </w:pPr>
      <w:bookmarkStart w:id="134" w:name="_Toc3399_WPSOffice_Level2"/>
      <w:r>
        <w:rPr>
          <w:rFonts w:hint="eastAsia" w:ascii="黑体" w:hAnsi="宋体" w:eastAsia="黑体"/>
          <w:sz w:val="32"/>
          <w:szCs w:val="32"/>
        </w:rPr>
        <w:t>四、项目绩效情况</w:t>
      </w:r>
      <w:bookmarkEnd w:id="134"/>
      <w:r>
        <w:rPr>
          <w:rFonts w:hint="eastAsia" w:ascii="仿宋_GB2312" w:hAnsi="宋体" w:eastAsia="仿宋_GB2312"/>
          <w:sz w:val="32"/>
          <w:szCs w:val="32"/>
          <w:lang w:val="zh-CN"/>
        </w:rPr>
        <w:tab/>
      </w:r>
    </w:p>
    <w:p>
      <w:pPr>
        <w:adjustRightInd w:val="0"/>
        <w:snapToGrid w:val="0"/>
        <w:spacing w:line="600" w:lineRule="exact"/>
        <w:ind w:firstLine="720"/>
        <w:jc w:val="left"/>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580"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该资金已于2019年12月全部用于医保服务能力建设培训及制作医疗服务宣传手册支出。</w:t>
      </w:r>
    </w:p>
    <w:p>
      <w:pPr>
        <w:adjustRightInd w:val="0"/>
        <w:snapToGrid w:val="0"/>
        <w:spacing w:line="600" w:lineRule="exact"/>
        <w:ind w:firstLine="643" w:firstLineChars="200"/>
        <w:jc w:val="left"/>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pStyle w:val="2"/>
        <w:numPr>
          <w:ilvl w:val="0"/>
          <w:numId w:val="0"/>
        </w:numPr>
        <w:ind w:firstLine="640" w:firstLineChars="200"/>
        <w:jc w:val="left"/>
        <w:rPr>
          <w:sz w:val="32"/>
          <w:szCs w:val="32"/>
        </w:rPr>
      </w:pPr>
      <w:r>
        <w:rPr>
          <w:rFonts w:hint="eastAsia"/>
          <w:sz w:val="32"/>
          <w:szCs w:val="32"/>
          <w:lang w:val="en-US" w:eastAsia="zh-CN"/>
        </w:rPr>
        <w:t>1、</w:t>
      </w:r>
      <w:r>
        <w:rPr>
          <w:rFonts w:hint="eastAsia"/>
          <w:sz w:val="32"/>
          <w:szCs w:val="32"/>
        </w:rPr>
        <w:t>社会效益</w:t>
      </w:r>
    </w:p>
    <w:p>
      <w:pPr>
        <w:pStyle w:val="2"/>
        <w:jc w:val="left"/>
        <w:rPr>
          <w:rFonts w:ascii="仿宋_GB2312"/>
          <w:sz w:val="32"/>
          <w:szCs w:val="32"/>
        </w:rPr>
      </w:pPr>
      <w:r>
        <w:rPr>
          <w:rFonts w:hint="eastAsia"/>
          <w:sz w:val="32"/>
          <w:szCs w:val="32"/>
        </w:rPr>
        <w:t xml:space="preserve"> 该项目资金</w:t>
      </w:r>
      <w:r>
        <w:rPr>
          <w:rFonts w:hint="eastAsia" w:ascii="仿宋_GB2312"/>
          <w:sz w:val="32"/>
          <w:szCs w:val="32"/>
        </w:rPr>
        <w:t>重点用于支持医保信息化、基金监督和支付方式改革，提高了干部业务能力水平，提升医保信息化水平，加强网络、信息安全，基础等方面建设，加强了打击欺诈骗保工作力度，切实保障了医保基金合理有效使用，有效地提升了综合监管，宣传引导，经办服务，人才队伍建设等医疗保障服务能力。同时加大了医疗政策宣传，提高了群众医疗政策的知晓度。</w:t>
      </w:r>
    </w:p>
    <w:p>
      <w:pPr>
        <w:pStyle w:val="2"/>
        <w:numPr>
          <w:ilvl w:val="0"/>
          <w:numId w:val="0"/>
        </w:numPr>
        <w:ind w:firstLine="640" w:firstLineChars="200"/>
        <w:jc w:val="left"/>
        <w:rPr>
          <w:rFonts w:ascii="仿宋_GB2312"/>
          <w:sz w:val="32"/>
          <w:szCs w:val="32"/>
        </w:rPr>
      </w:pPr>
      <w:r>
        <w:rPr>
          <w:rFonts w:hint="eastAsia"/>
          <w:sz w:val="32"/>
          <w:szCs w:val="32"/>
          <w:lang w:val="en-US" w:eastAsia="zh-CN"/>
        </w:rPr>
        <w:t>2、</w:t>
      </w:r>
      <w:r>
        <w:rPr>
          <w:rFonts w:hint="eastAsia" w:ascii="仿宋_GB2312"/>
          <w:sz w:val="32"/>
          <w:szCs w:val="32"/>
        </w:rPr>
        <w:t>群众满意度</w:t>
      </w:r>
    </w:p>
    <w:p>
      <w:pPr>
        <w:pStyle w:val="2"/>
        <w:jc w:val="left"/>
        <w:rPr>
          <w:rFonts w:hint="eastAsia" w:ascii="仿宋_GB2312" w:eastAsia="仿宋_GB2312"/>
          <w:sz w:val="32"/>
          <w:szCs w:val="32"/>
          <w:lang w:eastAsia="zh-CN"/>
        </w:rPr>
      </w:pPr>
      <w:r>
        <w:rPr>
          <w:rFonts w:hint="eastAsia" w:ascii="仿宋_GB2312"/>
          <w:sz w:val="32"/>
          <w:szCs w:val="32"/>
        </w:rPr>
        <w:t xml:space="preserve"> 红原县医疗保障局以群众需求为导向，积极回应社会社会关切，在优化经办流程、创新服务方式的基础上，不断提升医保服务的精细度。经过我局组织医疗政策宣讲，发放医疗政策宣传手册，群众对医保政策有了更好地了解，做到群众少跑一次，办事增量不减质，进一步提高群众满意度</w:t>
      </w:r>
      <w:r>
        <w:rPr>
          <w:rFonts w:hint="eastAsia"/>
          <w:sz w:val="32"/>
          <w:szCs w:val="32"/>
          <w:lang w:eastAsia="zh-CN"/>
        </w:rPr>
        <w:t>。</w:t>
      </w:r>
    </w:p>
    <w:p>
      <w:pPr>
        <w:adjustRightInd w:val="0"/>
        <w:snapToGrid w:val="0"/>
        <w:spacing w:line="600" w:lineRule="exact"/>
        <w:ind w:firstLine="720"/>
        <w:jc w:val="left"/>
        <w:rPr>
          <w:rFonts w:ascii="黑体" w:hAnsi="宋体" w:eastAsia="黑体"/>
          <w:sz w:val="32"/>
          <w:szCs w:val="32"/>
        </w:rPr>
      </w:pPr>
      <w:bookmarkStart w:id="135" w:name="_Toc22821_WPSOffice_Level2"/>
      <w:r>
        <w:rPr>
          <w:rFonts w:hint="eastAsia" w:ascii="黑体" w:hAnsi="宋体" w:eastAsia="黑体"/>
          <w:sz w:val="32"/>
          <w:szCs w:val="32"/>
        </w:rPr>
        <w:t>五、评价结论及建议</w:t>
      </w:r>
      <w:bookmarkEnd w:id="135"/>
    </w:p>
    <w:p>
      <w:pPr>
        <w:adjustRightInd w:val="0"/>
        <w:snapToGrid w:val="0"/>
        <w:spacing w:line="600" w:lineRule="exact"/>
        <w:ind w:firstLine="720"/>
        <w:jc w:val="left"/>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720"/>
        <w:jc w:val="left"/>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该项目严格按照相关流程实施管理，项目拨付及使用中无相关问题，项目完成率100%。</w:t>
      </w:r>
    </w:p>
    <w:p>
      <w:pPr>
        <w:adjustRightInd w:val="0"/>
        <w:snapToGrid w:val="0"/>
        <w:spacing w:line="600" w:lineRule="exact"/>
        <w:ind w:firstLine="720"/>
        <w:jc w:val="left"/>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960" w:firstLineChars="300"/>
        <w:jc w:val="left"/>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jc w:val="left"/>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72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进一步加强预算绩效管理，切实提高财政资金使用效益，在组织预算执行中对绩效目标做好绩效监控，确保年度绩效目标如期实施。</w:t>
      </w:r>
    </w:p>
    <w:p>
      <w:pPr>
        <w:spacing w:line="580" w:lineRule="exact"/>
        <w:ind w:firstLine="640"/>
        <w:jc w:val="left"/>
        <w:rPr>
          <w:rFonts w:hint="eastAsia" w:ascii="仿宋_GB2312" w:hAnsi="仿宋_GB2312" w:eastAsia="仿宋_GB2312" w:cs="仿宋_GB2312"/>
          <w:sz w:val="32"/>
          <w:szCs w:val="32"/>
        </w:rPr>
      </w:pPr>
    </w:p>
    <w:p>
      <w:pPr>
        <w:spacing w:line="580" w:lineRule="exact"/>
        <w:ind w:firstLine="640"/>
        <w:jc w:val="left"/>
        <w:rPr>
          <w:rFonts w:ascii="仿宋_GB2312" w:hAnsi="仿宋_GB2312" w:eastAsia="仿宋_GB2312" w:cs="仿宋_GB2312"/>
          <w:sz w:val="32"/>
          <w:szCs w:val="32"/>
        </w:rPr>
      </w:pP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left"/>
        <w:outlineLvl w:val="0"/>
        <w:rPr>
          <w:rStyle w:val="25"/>
          <w:rFonts w:ascii="黑体" w:hAnsi="黑体" w:eastAsia="黑体"/>
          <w:b w:val="0"/>
        </w:rPr>
      </w:pPr>
    </w:p>
    <w:p>
      <w:pPr>
        <w:spacing w:line="600" w:lineRule="exact"/>
        <w:jc w:val="center"/>
        <w:outlineLvl w:val="0"/>
        <w:rPr>
          <w:rStyle w:val="25"/>
          <w:rFonts w:ascii="黑体" w:hAnsi="黑体" w:eastAsia="黑体"/>
          <w:b w:val="0"/>
        </w:rPr>
      </w:pPr>
      <w:bookmarkStart w:id="136" w:name="_Toc15396618"/>
      <w:bookmarkStart w:id="137" w:name="_Toc7475_WPSOffice_Level1"/>
      <w:r>
        <w:rPr>
          <w:rFonts w:hint="eastAsia" w:ascii="黑体" w:hAnsi="黑体" w:eastAsia="黑体"/>
          <w:color w:val="000000"/>
          <w:sz w:val="44"/>
          <w:szCs w:val="44"/>
        </w:rPr>
        <w:t>第</w:t>
      </w:r>
      <w:r>
        <w:rPr>
          <w:rStyle w:val="25"/>
          <w:rFonts w:hint="eastAsia" w:ascii="黑体" w:hAnsi="黑体" w:eastAsia="黑体"/>
          <w:b w:val="0"/>
        </w:rPr>
        <w:t>五部分 附表</w:t>
      </w:r>
      <w:bookmarkEnd w:id="121"/>
      <w:bookmarkEnd w:id="136"/>
      <w:bookmarkEnd w:id="137"/>
    </w:p>
    <w:p>
      <w:pPr>
        <w:spacing w:line="600" w:lineRule="exact"/>
        <w:jc w:val="left"/>
        <w:outlineLvl w:val="0"/>
        <w:rPr>
          <w:rFonts w:ascii="仿宋" w:hAnsi="仿宋" w:eastAsia="仿宋"/>
          <w:b/>
          <w:color w:val="000000"/>
          <w:sz w:val="44"/>
          <w:szCs w:val="44"/>
        </w:rPr>
      </w:pPr>
    </w:p>
    <w:p>
      <w:pPr>
        <w:pStyle w:val="4"/>
        <w:jc w:val="left"/>
        <w:rPr>
          <w:rFonts w:ascii="仿宋" w:hAnsi="仿宋" w:eastAsia="仿宋"/>
          <w:color w:val="000000"/>
        </w:rPr>
      </w:pPr>
      <w:bookmarkStart w:id="138" w:name="_Toc15396619"/>
      <w:bookmarkStart w:id="139" w:name="_Toc27423_WPSOffice_Level2"/>
      <w:r>
        <w:rPr>
          <w:rFonts w:hint="eastAsia" w:ascii="仿宋" w:hAnsi="仿宋" w:eastAsia="仿宋"/>
          <w:b w:val="0"/>
          <w:color w:val="000000"/>
        </w:rPr>
        <w:t>一、收</w:t>
      </w:r>
      <w:r>
        <w:rPr>
          <w:rStyle w:val="27"/>
          <w:rFonts w:hint="eastAsia" w:ascii="仿宋" w:hAnsi="仿宋" w:eastAsia="仿宋"/>
          <w:b w:val="0"/>
          <w:bCs w:val="0"/>
        </w:rPr>
        <w:t>入支出决算总表</w:t>
      </w:r>
      <w:bookmarkEnd w:id="138"/>
      <w:bookmarkEnd w:id="139"/>
    </w:p>
    <w:p>
      <w:pPr>
        <w:pStyle w:val="4"/>
        <w:jc w:val="left"/>
        <w:rPr>
          <w:rFonts w:ascii="仿宋" w:hAnsi="仿宋" w:eastAsia="仿宋"/>
          <w:color w:val="000000"/>
        </w:rPr>
      </w:pPr>
      <w:bookmarkStart w:id="140" w:name="_Toc5344_WPSOffice_Level2"/>
      <w:bookmarkStart w:id="141"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140"/>
      <w:bookmarkEnd w:id="141"/>
    </w:p>
    <w:p>
      <w:pPr>
        <w:pStyle w:val="4"/>
        <w:jc w:val="left"/>
        <w:rPr>
          <w:rFonts w:ascii="仿宋" w:hAnsi="仿宋" w:eastAsia="仿宋"/>
          <w:color w:val="000000"/>
        </w:rPr>
      </w:pPr>
      <w:bookmarkStart w:id="142" w:name="_Toc15396621"/>
      <w:bookmarkStart w:id="143" w:name="_Toc30526_WPSOffice_Level2"/>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42"/>
      <w:bookmarkEnd w:id="143"/>
    </w:p>
    <w:p>
      <w:pPr>
        <w:pStyle w:val="4"/>
        <w:jc w:val="left"/>
        <w:rPr>
          <w:rFonts w:ascii="仿宋" w:hAnsi="仿宋" w:eastAsia="仿宋"/>
          <w:b w:val="0"/>
          <w:color w:val="000000"/>
        </w:rPr>
      </w:pPr>
      <w:bookmarkStart w:id="144" w:name="_Toc15396622"/>
      <w:bookmarkStart w:id="145" w:name="_Toc30002_WPSOffice_Level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44"/>
      <w:bookmarkEnd w:id="145"/>
    </w:p>
    <w:p>
      <w:pPr>
        <w:pStyle w:val="4"/>
        <w:jc w:val="left"/>
        <w:rPr>
          <w:rStyle w:val="27"/>
          <w:rFonts w:ascii="仿宋" w:hAnsi="仿宋" w:eastAsia="仿宋"/>
          <w:b w:val="0"/>
          <w:bCs w:val="0"/>
        </w:rPr>
      </w:pPr>
      <w:bookmarkStart w:id="146" w:name="_Toc89_WPSOffice_Level2"/>
      <w:bookmarkStart w:id="147"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46"/>
      <w:bookmarkEnd w:id="147"/>
      <w:bookmarkStart w:id="148" w:name="_Toc15396624"/>
    </w:p>
    <w:p>
      <w:pPr>
        <w:pStyle w:val="4"/>
        <w:jc w:val="left"/>
        <w:rPr>
          <w:rFonts w:ascii="仿宋" w:hAnsi="仿宋" w:eastAsia="仿宋"/>
          <w:color w:val="000000"/>
        </w:rPr>
      </w:pPr>
      <w:bookmarkStart w:id="149" w:name="_Toc13134_WPSOffice_Level2"/>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48"/>
      <w:bookmarkEnd w:id="149"/>
    </w:p>
    <w:p>
      <w:pPr>
        <w:pStyle w:val="4"/>
        <w:jc w:val="left"/>
        <w:rPr>
          <w:rFonts w:ascii="仿宋" w:hAnsi="仿宋" w:eastAsia="仿宋"/>
          <w:color w:val="000000"/>
        </w:rPr>
      </w:pPr>
      <w:bookmarkStart w:id="150" w:name="_Toc13026_WPSOffice_Level2"/>
      <w:bookmarkStart w:id="151"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50"/>
      <w:bookmarkEnd w:id="151"/>
    </w:p>
    <w:p>
      <w:pPr>
        <w:pStyle w:val="4"/>
        <w:jc w:val="left"/>
        <w:rPr>
          <w:rFonts w:ascii="仿宋" w:hAnsi="仿宋" w:eastAsia="仿宋"/>
          <w:color w:val="000000"/>
        </w:rPr>
      </w:pPr>
      <w:bookmarkStart w:id="152" w:name="_Toc27070_WPSOffice_Level2"/>
      <w:bookmarkStart w:id="153"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52"/>
      <w:bookmarkEnd w:id="153"/>
    </w:p>
    <w:p>
      <w:pPr>
        <w:pStyle w:val="4"/>
        <w:jc w:val="left"/>
        <w:rPr>
          <w:rFonts w:ascii="仿宋" w:hAnsi="仿宋" w:eastAsia="仿宋"/>
          <w:color w:val="000000"/>
        </w:rPr>
      </w:pPr>
      <w:bookmarkStart w:id="154" w:name="_Toc26515_WPSOffice_Level2"/>
      <w:bookmarkStart w:id="155"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54"/>
      <w:bookmarkEnd w:id="155"/>
    </w:p>
    <w:p>
      <w:pPr>
        <w:pStyle w:val="4"/>
        <w:jc w:val="left"/>
        <w:rPr>
          <w:rFonts w:ascii="仿宋" w:hAnsi="仿宋" w:eastAsia="仿宋"/>
          <w:color w:val="000000"/>
        </w:rPr>
      </w:pPr>
      <w:bookmarkStart w:id="156" w:name="_Toc15396628"/>
      <w:bookmarkStart w:id="157" w:name="_Toc32067_WPSOffice_Level2"/>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56"/>
      <w:bookmarkEnd w:id="157"/>
    </w:p>
    <w:p>
      <w:pPr>
        <w:pStyle w:val="4"/>
        <w:jc w:val="left"/>
        <w:rPr>
          <w:rFonts w:ascii="仿宋" w:hAnsi="仿宋" w:eastAsia="仿宋"/>
          <w:color w:val="000000"/>
        </w:rPr>
      </w:pPr>
      <w:bookmarkStart w:id="158" w:name="_Toc27478_WPSOffice_Level2"/>
      <w:bookmarkStart w:id="159"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58"/>
      <w:bookmarkEnd w:id="159"/>
    </w:p>
    <w:p>
      <w:pPr>
        <w:pStyle w:val="4"/>
        <w:jc w:val="left"/>
        <w:rPr>
          <w:rFonts w:ascii="仿宋" w:hAnsi="仿宋" w:eastAsia="仿宋"/>
          <w:color w:val="000000"/>
        </w:rPr>
      </w:pPr>
      <w:bookmarkStart w:id="160" w:name="_Toc15783_WPSOffice_Level2"/>
      <w:bookmarkStart w:id="161"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60"/>
      <w:bookmarkEnd w:id="161"/>
    </w:p>
    <w:p>
      <w:pPr>
        <w:pStyle w:val="4"/>
        <w:jc w:val="left"/>
        <w:rPr>
          <w:rFonts w:ascii="仿宋" w:hAnsi="仿宋" w:eastAsia="仿宋"/>
          <w:color w:val="000000"/>
        </w:rPr>
      </w:pPr>
      <w:bookmarkStart w:id="162" w:name="_Toc15396631"/>
      <w:bookmarkStart w:id="163" w:name="_Toc13123_WPSOffice_Level2"/>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162"/>
      <w:bookmarkEnd w:id="16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DC927058"/>
    <w:multiLevelType w:val="singleLevel"/>
    <w:tmpl w:val="DC927058"/>
    <w:lvl w:ilvl="0" w:tentative="0">
      <w:start w:val="1"/>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61C8B2A6"/>
    <w:multiLevelType w:val="singleLevel"/>
    <w:tmpl w:val="61C8B2A6"/>
    <w:lvl w:ilvl="0" w:tentative="0">
      <w:start w:val="1"/>
      <w:numFmt w:val="decimal"/>
      <w:suff w:val="nothing"/>
      <w:lvlText w:val="（%1）"/>
      <w:lvlJc w:val="left"/>
    </w:lvl>
  </w:abstractNum>
  <w:abstractNum w:abstractNumId="5">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1D25"/>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6B53B3"/>
    <w:rsid w:val="0195748B"/>
    <w:rsid w:val="01DE0273"/>
    <w:rsid w:val="02214D17"/>
    <w:rsid w:val="02877568"/>
    <w:rsid w:val="03154E97"/>
    <w:rsid w:val="04CF4EE5"/>
    <w:rsid w:val="0545355B"/>
    <w:rsid w:val="06290666"/>
    <w:rsid w:val="06B927B6"/>
    <w:rsid w:val="07E5419B"/>
    <w:rsid w:val="084801C7"/>
    <w:rsid w:val="092C7A0A"/>
    <w:rsid w:val="0A664485"/>
    <w:rsid w:val="0ABC1E26"/>
    <w:rsid w:val="0C177C84"/>
    <w:rsid w:val="0C9B545B"/>
    <w:rsid w:val="0CD81D25"/>
    <w:rsid w:val="0D76268B"/>
    <w:rsid w:val="0DB155C0"/>
    <w:rsid w:val="10C055FF"/>
    <w:rsid w:val="1187691C"/>
    <w:rsid w:val="128C29E4"/>
    <w:rsid w:val="12A33345"/>
    <w:rsid w:val="135079B4"/>
    <w:rsid w:val="14561CF6"/>
    <w:rsid w:val="167471C0"/>
    <w:rsid w:val="16980DAD"/>
    <w:rsid w:val="16BB723D"/>
    <w:rsid w:val="17BB6036"/>
    <w:rsid w:val="17FC5E90"/>
    <w:rsid w:val="1824248F"/>
    <w:rsid w:val="1A776AB9"/>
    <w:rsid w:val="1A960FD2"/>
    <w:rsid w:val="1CC15E25"/>
    <w:rsid w:val="1DB27401"/>
    <w:rsid w:val="1DBE709F"/>
    <w:rsid w:val="1ED0469B"/>
    <w:rsid w:val="1FEC0F6F"/>
    <w:rsid w:val="20BA21BE"/>
    <w:rsid w:val="20DC2090"/>
    <w:rsid w:val="210C7F85"/>
    <w:rsid w:val="22A6361E"/>
    <w:rsid w:val="240371BF"/>
    <w:rsid w:val="25803C61"/>
    <w:rsid w:val="25CC4505"/>
    <w:rsid w:val="26D12C47"/>
    <w:rsid w:val="27A33DCF"/>
    <w:rsid w:val="288715D2"/>
    <w:rsid w:val="29ED7AFE"/>
    <w:rsid w:val="29FD04D3"/>
    <w:rsid w:val="2AFB0F6A"/>
    <w:rsid w:val="2C441296"/>
    <w:rsid w:val="2C682082"/>
    <w:rsid w:val="2CB4703D"/>
    <w:rsid w:val="2CF21956"/>
    <w:rsid w:val="2D484504"/>
    <w:rsid w:val="2F244DEE"/>
    <w:rsid w:val="2F4369BA"/>
    <w:rsid w:val="2F7F52F0"/>
    <w:rsid w:val="2F81244D"/>
    <w:rsid w:val="30391389"/>
    <w:rsid w:val="30855E6E"/>
    <w:rsid w:val="309022BB"/>
    <w:rsid w:val="30C42417"/>
    <w:rsid w:val="310B5149"/>
    <w:rsid w:val="313D4AE7"/>
    <w:rsid w:val="318810FF"/>
    <w:rsid w:val="319F7F4E"/>
    <w:rsid w:val="326117E7"/>
    <w:rsid w:val="33042193"/>
    <w:rsid w:val="33215301"/>
    <w:rsid w:val="34266F9A"/>
    <w:rsid w:val="343C5290"/>
    <w:rsid w:val="35B70AAB"/>
    <w:rsid w:val="35BE3976"/>
    <w:rsid w:val="35D05595"/>
    <w:rsid w:val="368548E8"/>
    <w:rsid w:val="36D35C46"/>
    <w:rsid w:val="37857D60"/>
    <w:rsid w:val="38737AD2"/>
    <w:rsid w:val="397C3212"/>
    <w:rsid w:val="39C234FA"/>
    <w:rsid w:val="3A7230DD"/>
    <w:rsid w:val="3AE231C8"/>
    <w:rsid w:val="3B03522F"/>
    <w:rsid w:val="3B1428F7"/>
    <w:rsid w:val="3B6F2BA6"/>
    <w:rsid w:val="3CBE2739"/>
    <w:rsid w:val="3CDC53AC"/>
    <w:rsid w:val="3CE21F83"/>
    <w:rsid w:val="3D2A3DA2"/>
    <w:rsid w:val="3D906CD7"/>
    <w:rsid w:val="3E094FB4"/>
    <w:rsid w:val="3E0D4AF0"/>
    <w:rsid w:val="3EFA7B47"/>
    <w:rsid w:val="3FEF614E"/>
    <w:rsid w:val="401D1600"/>
    <w:rsid w:val="4024444D"/>
    <w:rsid w:val="43ED54B2"/>
    <w:rsid w:val="44A06C0F"/>
    <w:rsid w:val="44E95235"/>
    <w:rsid w:val="44FC12D1"/>
    <w:rsid w:val="45E45794"/>
    <w:rsid w:val="47CD7D58"/>
    <w:rsid w:val="4AD24FB2"/>
    <w:rsid w:val="4B1931D8"/>
    <w:rsid w:val="4BF804AA"/>
    <w:rsid w:val="4C2F77E7"/>
    <w:rsid w:val="4C5C3B3F"/>
    <w:rsid w:val="4D5932EE"/>
    <w:rsid w:val="4D7C18D8"/>
    <w:rsid w:val="4EB95901"/>
    <w:rsid w:val="4ECE2238"/>
    <w:rsid w:val="4F0A2DC1"/>
    <w:rsid w:val="4F9E2CB8"/>
    <w:rsid w:val="514E4377"/>
    <w:rsid w:val="51C464A4"/>
    <w:rsid w:val="52445FC4"/>
    <w:rsid w:val="530D3610"/>
    <w:rsid w:val="54335BFF"/>
    <w:rsid w:val="561B3E82"/>
    <w:rsid w:val="56393DFC"/>
    <w:rsid w:val="577C1E49"/>
    <w:rsid w:val="57A70DE1"/>
    <w:rsid w:val="57D657B1"/>
    <w:rsid w:val="58BB2187"/>
    <w:rsid w:val="59053CF9"/>
    <w:rsid w:val="59FC7B02"/>
    <w:rsid w:val="5AD643C8"/>
    <w:rsid w:val="5B7B614B"/>
    <w:rsid w:val="5C027149"/>
    <w:rsid w:val="5C593DC5"/>
    <w:rsid w:val="5E6602B0"/>
    <w:rsid w:val="5F665F05"/>
    <w:rsid w:val="63C75E5A"/>
    <w:rsid w:val="63D214A3"/>
    <w:rsid w:val="644164DC"/>
    <w:rsid w:val="65EE0B63"/>
    <w:rsid w:val="674E4CA2"/>
    <w:rsid w:val="67E550F9"/>
    <w:rsid w:val="689E22DA"/>
    <w:rsid w:val="692757F3"/>
    <w:rsid w:val="699D7B21"/>
    <w:rsid w:val="6A982E53"/>
    <w:rsid w:val="6AF42F0D"/>
    <w:rsid w:val="6B220E65"/>
    <w:rsid w:val="6B2345FA"/>
    <w:rsid w:val="6BCB1D22"/>
    <w:rsid w:val="6CE6355C"/>
    <w:rsid w:val="6D053EA3"/>
    <w:rsid w:val="6D246424"/>
    <w:rsid w:val="6FBD6685"/>
    <w:rsid w:val="704B4CDB"/>
    <w:rsid w:val="70FF53C9"/>
    <w:rsid w:val="72734D90"/>
    <w:rsid w:val="72751382"/>
    <w:rsid w:val="72EE1E38"/>
    <w:rsid w:val="73A75F9F"/>
    <w:rsid w:val="74644E89"/>
    <w:rsid w:val="75CE7613"/>
    <w:rsid w:val="76B303B0"/>
    <w:rsid w:val="773773F7"/>
    <w:rsid w:val="795E1240"/>
    <w:rsid w:val="795E3ED3"/>
    <w:rsid w:val="7A903FA7"/>
    <w:rsid w:val="7AE04DF0"/>
    <w:rsid w:val="7B494036"/>
    <w:rsid w:val="7B5F3EFD"/>
    <w:rsid w:val="7C6458A5"/>
    <w:rsid w:val="7F81635A"/>
    <w:rsid w:val="A2F62D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w:basedOn w:val="1"/>
    <w:link w:val="29"/>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1"/>
    <w:unhideWhenUsed/>
    <w:qFormat/>
    <w:uiPriority w:val="99"/>
    <w:rPr>
      <w:sz w:val="18"/>
      <w:szCs w:val="18"/>
    </w:rPr>
  </w:style>
  <w:style w:type="paragraph" w:styleId="8">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u w:val="single"/>
    </w:rPr>
  </w:style>
  <w:style w:type="paragraph" w:customStyle="1" w:styleId="1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TOC Heading"/>
    <w:basedOn w:val="3"/>
    <w:next w:val="1"/>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19">
    <w:name w:val="TOC 标题1"/>
    <w:basedOn w:val="3"/>
    <w:next w:val="1"/>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20">
    <w:name w:val="List Paragraph"/>
    <w:basedOn w:val="1"/>
    <w:qFormat/>
    <w:uiPriority w:val="34"/>
    <w:pPr>
      <w:ind w:firstLine="420" w:firstLineChars="200"/>
    </w:pPr>
  </w:style>
  <w:style w:type="character" w:customStyle="1" w:styleId="21">
    <w:name w:val="批注框文本 字符"/>
    <w:basedOn w:val="14"/>
    <w:link w:val="7"/>
    <w:semiHidden/>
    <w:qFormat/>
    <w:uiPriority w:val="99"/>
    <w:rPr>
      <w:rFonts w:ascii="Times New Roman" w:hAnsi="Times New Roman"/>
      <w:kern w:val="2"/>
      <w:sz w:val="18"/>
      <w:szCs w:val="18"/>
    </w:rPr>
  </w:style>
  <w:style w:type="character" w:customStyle="1" w:styleId="22">
    <w:name w:val="Body Text Char"/>
    <w:basedOn w:val="14"/>
    <w:semiHidden/>
    <w:qFormat/>
    <w:uiPriority w:val="99"/>
    <w:rPr>
      <w:rFonts w:ascii="Times New Roman" w:hAnsi="Times New Roman"/>
      <w:szCs w:val="24"/>
    </w:rPr>
  </w:style>
  <w:style w:type="character" w:customStyle="1" w:styleId="23">
    <w:name w:val="页眉 字符"/>
    <w:link w:val="9"/>
    <w:semiHidden/>
    <w:qFormat/>
    <w:locked/>
    <w:uiPriority w:val="99"/>
    <w:rPr>
      <w:sz w:val="18"/>
    </w:rPr>
  </w:style>
  <w:style w:type="character" w:customStyle="1" w:styleId="24">
    <w:name w:val="Header Char"/>
    <w:basedOn w:val="14"/>
    <w:semiHidden/>
    <w:qFormat/>
    <w:uiPriority w:val="99"/>
    <w:rPr>
      <w:rFonts w:ascii="Times New Roman" w:hAnsi="Times New Roman"/>
      <w:sz w:val="18"/>
      <w:szCs w:val="18"/>
    </w:rPr>
  </w:style>
  <w:style w:type="character" w:customStyle="1" w:styleId="25">
    <w:name w:val="标题 1 字符"/>
    <w:basedOn w:val="14"/>
    <w:link w:val="3"/>
    <w:qFormat/>
    <w:uiPriority w:val="9"/>
    <w:rPr>
      <w:rFonts w:ascii="Times New Roman" w:hAnsi="Times New Roman"/>
      <w:b/>
      <w:bCs/>
      <w:kern w:val="44"/>
      <w:sz w:val="44"/>
      <w:szCs w:val="44"/>
    </w:rPr>
  </w:style>
  <w:style w:type="character" w:customStyle="1" w:styleId="26">
    <w:name w:val="Footer Char"/>
    <w:basedOn w:val="14"/>
    <w:semiHidden/>
    <w:qFormat/>
    <w:uiPriority w:val="99"/>
    <w:rPr>
      <w:rFonts w:ascii="Times New Roman" w:hAnsi="Times New Roman"/>
      <w:sz w:val="18"/>
      <w:szCs w:val="18"/>
    </w:rPr>
  </w:style>
  <w:style w:type="character" w:customStyle="1" w:styleId="27">
    <w:name w:val="标题 2 字符"/>
    <w:basedOn w:val="14"/>
    <w:link w:val="4"/>
    <w:qFormat/>
    <w:uiPriority w:val="9"/>
    <w:rPr>
      <w:rFonts w:ascii="Cambria" w:hAnsi="Cambria" w:eastAsia="宋体" w:cs="Times New Roman"/>
      <w:b/>
      <w:bCs/>
      <w:kern w:val="2"/>
      <w:sz w:val="32"/>
      <w:szCs w:val="32"/>
    </w:rPr>
  </w:style>
  <w:style w:type="character" w:customStyle="1" w:styleId="28">
    <w:name w:val="页脚 字符"/>
    <w:link w:val="8"/>
    <w:qFormat/>
    <w:locked/>
    <w:uiPriority w:val="99"/>
    <w:rPr>
      <w:sz w:val="18"/>
    </w:rPr>
  </w:style>
  <w:style w:type="character" w:customStyle="1" w:styleId="29">
    <w:name w:val="正文文本 字符"/>
    <w:link w:val="2"/>
    <w:qFormat/>
    <w:locked/>
    <w:uiPriority w:val="99"/>
    <w:rPr>
      <w:rFonts w:ascii="仿宋_GB2312" w:hAnsi="Times New Roman" w:eastAsia="仿宋_GB2312"/>
      <w:sz w:val="24"/>
    </w:rPr>
  </w:style>
  <w:style w:type="character" w:customStyle="1" w:styleId="30">
    <w:name w:val="标题 3 字符"/>
    <w:basedOn w:val="14"/>
    <w:link w:val="5"/>
    <w:qFormat/>
    <w:uiPriority w:val="9"/>
    <w:rPr>
      <w:rFonts w:ascii="Times New Roman" w:hAnsi="Times New Roman"/>
      <w:b/>
      <w:bCs/>
      <w:kern w:val="2"/>
      <w:sz w:val="32"/>
      <w:szCs w:val="32"/>
    </w:r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paragraph" w:customStyle="1" w:styleId="32">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2" Type="http://schemas.openxmlformats.org/officeDocument/2006/relationships/themeOverride" Target="../theme/themeOverrid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charset="-122"/>
                <a:ea typeface="宋体" charset="-122"/>
                <a:cs typeface="+mn-cs"/>
              </a:defRPr>
            </a:pPr>
            <a:r>
              <a:rPr lang="ko-KR" altLang="en-US" sz="1400" b="0" i="0" u="none" baseline="0">
                <a:solidFill>
                  <a:srgbClr val="333333"/>
                </a:solidFill>
                <a:latin typeface="宋体" charset="-122"/>
                <a:ea typeface="宋体" charset="-122"/>
              </a:rPr>
              <a:t>201</a:t>
            </a:r>
            <a:r>
              <a:rPr lang="en-US" altLang="ko-KR" sz="1400" b="0" i="0" u="none" baseline="0">
                <a:solidFill>
                  <a:srgbClr val="333333"/>
                </a:solidFill>
                <a:latin typeface="宋体" charset="-122"/>
                <a:ea typeface="宋体" charset="-122"/>
              </a:rPr>
              <a:t>8</a:t>
            </a:r>
            <a:r>
              <a:rPr lang="ko-KR" altLang="en-US" sz="1400" b="0" i="0" u="none" baseline="0">
                <a:solidFill>
                  <a:srgbClr val="333333"/>
                </a:solidFill>
                <a:latin typeface="宋体" charset="-122"/>
                <a:ea typeface="宋体" charset="-122"/>
              </a:rPr>
              <a:t>-201</a:t>
            </a:r>
            <a:r>
              <a:rPr lang="en-US" altLang="ko-KR" sz="1400" b="0" i="0" u="none" baseline="0">
                <a:solidFill>
                  <a:srgbClr val="333333"/>
                </a:solidFill>
                <a:latin typeface="宋体" charset="-122"/>
                <a:ea typeface="宋体" charset="-122"/>
              </a:rPr>
              <a:t>9</a:t>
            </a:r>
            <a:r>
              <a:rPr lang="ko-KR" altLang="en-US" sz="1400" b="0" i="0" u="none" baseline="0">
                <a:solidFill>
                  <a:srgbClr val="333333"/>
                </a:solidFill>
                <a:latin typeface="宋体" charset="-122"/>
                <a:ea typeface="宋体" charset="-122"/>
              </a:rPr>
              <a:t>年部门决算收入、支出柱状图</a:t>
            </a:r>
            <a:r>
              <a:rPr altLang="ko-KR" sz="1400" b="0" i="0" u="none" baseline="0">
                <a:solidFill>
                  <a:srgbClr val="333333"/>
                </a:solidFill>
                <a:latin typeface="宋体" charset="-122"/>
                <a:ea typeface="宋体" charset="-122"/>
              </a:rPr>
              <a:t>（单位：万元）</a:t>
            </a:r>
            <a:endParaRPr altLang="ko-KR" sz="1400" b="0" i="0" u="none" baseline="0">
              <a:solidFill>
                <a:srgbClr val="333333"/>
              </a:solidFill>
              <a:latin typeface="宋体" charset="-122"/>
              <a:ea typeface="宋体" charset="-122"/>
            </a:endParaRPr>
          </a:p>
        </c:rich>
      </c:tx>
      <c:layout>
        <c:manualLayout>
          <c:xMode val="edge"/>
          <c:yMode val="edge"/>
          <c:x val="0.167113095238095"/>
          <c:y val="0.0722475231703419"/>
        </c:manualLayout>
      </c:layout>
      <c:overlay val="0"/>
      <c:spPr>
        <a:noFill/>
        <a:ln>
          <a:noFill/>
          <a:round/>
        </a:ln>
      </c:spPr>
    </c:title>
    <c:autoTitleDeleted val="0"/>
    <c:plotArea>
      <c:layout>
        <c:manualLayout>
          <c:layoutTarget val="inner"/>
          <c:xMode val="edge"/>
          <c:yMode val="edge"/>
          <c:x val="0.0912268518518519"/>
          <c:y val="0.291071428571429"/>
          <c:w val="0.904143518518518"/>
          <c:h val="0.64265873015873"/>
        </c:manualLayout>
      </c:layout>
      <c:barChart>
        <c:barDir val="col"/>
        <c:grouping val="clustered"/>
        <c:varyColors val="0"/>
        <c:ser>
          <c:idx val="0"/>
          <c:order val="0"/>
          <c:tx>
            <c:strRef>
              <c:f>电子表格9!$B$1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电子表格9!$A$2:$A$3</c:f>
              <c:strCache>
                <c:ptCount val="2"/>
                <c:pt idx="0">
                  <c:v>决算收入</c:v>
                </c:pt>
                <c:pt idx="1">
                  <c:v>决算支出</c:v>
                </c:pt>
              </c:strCache>
            </c:strRef>
          </c:cat>
          <c:val>
            <c:numRef>
              <c:f>电子表格9!$B$2:$B$3</c:f>
              <c:numCache>
                <c:formatCode>General</c:formatCode>
                <c:ptCount val="2"/>
                <c:pt idx="0">
                  <c:v>330.05</c:v>
                </c:pt>
                <c:pt idx="1">
                  <c:v>334.78</c:v>
                </c:pt>
              </c:numCache>
            </c:numRef>
          </c:val>
        </c:ser>
        <c:ser>
          <c:idx val="1"/>
          <c:order val="1"/>
          <c:tx>
            <c:strRef>
              <c:f>电子表格9!$C$1</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电子表格9!$A$2:$A$3</c:f>
              <c:strCache>
                <c:ptCount val="2"/>
                <c:pt idx="0">
                  <c:v>决算收入</c:v>
                </c:pt>
                <c:pt idx="1">
                  <c:v>决算支出</c:v>
                </c:pt>
              </c:strCache>
            </c:strRef>
          </c:cat>
          <c:val>
            <c:numRef>
              <c:f>电子表格9!$C$2:$C$3</c:f>
              <c:numCache>
                <c:formatCode>General</c:formatCode>
                <c:ptCount val="2"/>
                <c:pt idx="0">
                  <c:v>354.19</c:v>
                </c:pt>
                <c:pt idx="1">
                  <c:v>355.83</c:v>
                </c:pt>
              </c:numCache>
            </c:numRef>
          </c:val>
        </c:ser>
        <c:dLbls>
          <c:showLegendKey val="0"/>
          <c:showVal val="1"/>
          <c:showCatName val="0"/>
          <c:showSerName val="0"/>
          <c:showPercent val="0"/>
          <c:showBubbleSize val="0"/>
        </c:dLbls>
        <c:gapWidth val="219"/>
        <c:overlap val="-27"/>
        <c:axId val="1111"/>
        <c:axId val="2222"/>
      </c:barChart>
      <c:catAx>
        <c:axId val="1111"/>
        <c:scaling>
          <c:orientation val="minMax"/>
        </c:scaling>
        <c:delete val="0"/>
        <c:axPos val="b"/>
        <c:majorTickMark val="none"/>
        <c:minorTickMark val="none"/>
        <c:tickLblPos val="nextTo"/>
        <c:spPr>
          <a:noFill/>
          <a:ln w="9525" cap="flat" cmpd="sng" algn="ctr">
            <a:no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222"/>
        <c:crosses val="autoZero"/>
        <c:auto val="1"/>
        <c:lblAlgn val="ctr"/>
        <c:lblOffset val="100"/>
        <c:noMultiLvlLbl val="0"/>
      </c:catAx>
      <c:valAx>
        <c:axId val="2222"/>
        <c:scaling>
          <c:orientation val="minMax"/>
        </c:scaling>
        <c:delete val="0"/>
        <c:axPos val="l"/>
        <c:majorGridlines>
          <c:spPr>
            <a:ln w="635" cap="flat" cmpd="sng" algn="ctr">
              <a:solidFill>
                <a:srgbClr val="D9D9D9">
                  <a:alpha val="100000"/>
                </a:srgbClr>
              </a:solidFill>
              <a:prstDash val="solid"/>
              <a:round/>
            </a:ln>
          </c:spPr>
        </c:majorGridlines>
        <c:numFmt formatCode="General" sourceLinked="1"/>
        <c:majorTickMark val="none"/>
        <c:minorTickMark val="none"/>
        <c:tickLblPos val="nextTo"/>
        <c:spPr>
          <a:noFill/>
          <a:ln w="9525" cap="flat" cmpd="sng" algn="ctr">
            <a:noFill/>
            <a:prstDash val="solid"/>
            <a:round/>
          </a:ln>
        </c:spPr>
        <c:txPr>
          <a:bodyPr rot="0" spcFirstLastPara="0" vertOverflow="ellipsis" vert="horz" wrap="square" anchor="ctr" anchorCtr="1"/>
          <a:lstStyle/>
          <a:p>
            <a:pPr>
              <a:defRPr lang="zh-CN" sz="1050" b="0" i="0" u="none" strike="noStrike" kern="1200" baseline="0">
                <a:solidFill>
                  <a:srgbClr val="333333"/>
                </a:solidFill>
                <a:latin typeface="宋体" charset="-122"/>
                <a:ea typeface="宋体" charset="-122"/>
                <a:cs typeface="+mn-cs"/>
              </a:defRPr>
            </a:pPr>
          </a:p>
        </c:txPr>
        <c:crossAx val="1111"/>
        <c:crosses val="autoZero"/>
        <c:crossBetween val="between"/>
      </c:valAx>
      <c:spPr>
        <a:noFill/>
        <a:ln>
          <a:noFill/>
          <a:round/>
        </a:ln>
      </c:spPr>
    </c:plotArea>
    <c:legend>
      <c:legendPos val="b"/>
      <c:layout>
        <c:manualLayout>
          <c:xMode val="edge"/>
          <c:yMode val="edge"/>
          <c:x val="0.36335666023166"/>
          <c:y val="0.927063425041113"/>
          <c:w val="0.254826254826255"/>
          <c:h val="0.0662251655629139"/>
        </c:manualLayout>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charset="-122"/>
              <a:ea typeface="宋体"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lgn="ctr">
              <a:defRPr lang="zh-CN" sz="1400" b="0" i="0" u="none" strike="noStrike" kern="1200" baseline="0">
                <a:solidFill>
                  <a:srgbClr val="000000"/>
                </a:solidFill>
                <a:latin typeface="宋体" charset="-122"/>
                <a:ea typeface="宋体" charset="-122"/>
                <a:cs typeface="+mn-cs"/>
              </a:defRPr>
            </a:pPr>
            <a:r>
              <a:rPr lang="ko-KR" altLang="en-US" sz="1400" b="0" i="0" u="none" baseline="0">
                <a:solidFill>
                  <a:srgbClr val="333333"/>
                </a:solidFill>
                <a:latin typeface="宋体" charset="-122"/>
                <a:ea typeface="宋体" charset="-122"/>
              </a:rPr>
              <a:t>201</a:t>
            </a:r>
            <a:r>
              <a:rPr lang="en-US" altLang="ko-KR" sz="1400" b="0" i="0" u="none" baseline="0">
                <a:solidFill>
                  <a:srgbClr val="333333"/>
                </a:solidFill>
                <a:latin typeface="宋体" charset="-122"/>
                <a:ea typeface="宋体" charset="-122"/>
              </a:rPr>
              <a:t>9</a:t>
            </a:r>
            <a:r>
              <a:rPr lang="ko-KR" altLang="en-US" sz="1400" b="0" i="0" u="none" baseline="0">
                <a:solidFill>
                  <a:srgbClr val="333333"/>
                </a:solidFill>
                <a:latin typeface="宋体" charset="-122"/>
                <a:ea typeface="宋体" charset="-122"/>
              </a:rPr>
              <a:t>年收入合计</a:t>
            </a:r>
            <a:r>
              <a:rPr altLang="ko-KR" sz="1400" b="0" i="0" u="none" baseline="0">
                <a:solidFill>
                  <a:srgbClr val="333333"/>
                </a:solidFill>
                <a:latin typeface="宋体" charset="-122"/>
                <a:ea typeface="宋体" charset="-122"/>
              </a:rPr>
              <a:t>（单位：万元）</a:t>
            </a:r>
            <a:endParaRPr altLang="ko-KR" sz="1400" b="0" i="0" u="none" baseline="0">
              <a:solidFill>
                <a:srgbClr val="333333"/>
              </a:solidFill>
              <a:latin typeface="宋体" charset="-122"/>
              <a:ea typeface="宋体" charset="-122"/>
            </a:endParaRPr>
          </a:p>
        </c:rich>
      </c:tx>
      <c:layout/>
      <c:overlay val="0"/>
      <c:spPr>
        <a:noFill/>
        <a:ln>
          <a:noFill/>
          <a:round/>
        </a:ln>
      </c:spPr>
    </c:title>
    <c:autoTitleDeleted val="0"/>
    <c:plotArea>
      <c:layout/>
      <c:pieChart>
        <c:varyColors val="1"/>
        <c:ser>
          <c:idx val="0"/>
          <c:order val="0"/>
          <c:tx>
            <c:strRef>
              <c:f>电子表格11!$B$1</c:f>
              <c:strCache>
                <c:ptCount val="1"/>
                <c:pt idx="0">
                  <c:v>2019年收入合计</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ysClr val="windowText" lastClr="000000"/>
                    </a:solidFill>
                    <a:latin typeface="+mn-lt"/>
                    <a:ea typeface="+mn-ea"/>
                    <a:cs typeface="+mn-cs"/>
                  </a:defRPr>
                </a:pPr>
              </a:p>
            </c:txPr>
            <c:dLblPos val="ctr"/>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电子表格11!$A$2:$A$2</c:f>
              <c:strCache>
                <c:ptCount val="1"/>
                <c:pt idx="0">
                  <c:v>一般公共预算财政拨款</c:v>
                </c:pt>
              </c:strCache>
            </c:strRef>
          </c:cat>
          <c:val>
            <c:numRef>
              <c:f>电子表格11!$B$2:$B$2</c:f>
              <c:numCache>
                <c:formatCode>General</c:formatCode>
                <c:ptCount val="1"/>
                <c:pt idx="0">
                  <c:v>354.19</c:v>
                </c:pt>
              </c:numCache>
            </c:numRef>
          </c:val>
        </c:ser>
        <c:dLbls>
          <c:showLegendKey val="1"/>
          <c:showVal val="1"/>
          <c:showCatName val="1"/>
          <c:showSerName val="1"/>
          <c:showPercent val="1"/>
          <c:showBubbleSize val="1"/>
          <c:showLeaderLines val="1"/>
        </c:dLbls>
        <c:firstSliceAng val="0"/>
      </c:pieChart>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charset="-122"/>
              <a:ea typeface="宋体"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lgn="ctr">
              <a:defRPr lang="zh-CN" sz="1400" b="0" i="0" u="none" strike="noStrike" kern="1200" baseline="0">
                <a:solidFill>
                  <a:srgbClr val="000000"/>
                </a:solidFill>
                <a:latin typeface="宋体" charset="-122"/>
                <a:ea typeface="宋体" charset="-122"/>
                <a:cs typeface="+mn-cs"/>
              </a:defRPr>
            </a:pPr>
            <a:r>
              <a:rPr lang="ko-KR" altLang="en-US" sz="1400" b="0" i="0" u="none" baseline="0">
                <a:solidFill>
                  <a:srgbClr val="333333"/>
                </a:solidFill>
                <a:latin typeface="宋体" charset="-122"/>
                <a:ea typeface="宋体" charset="-122"/>
              </a:rPr>
              <a:t>201</a:t>
            </a:r>
            <a:r>
              <a:rPr lang="en-US" altLang="ko-KR" sz="1400" b="0" i="0" u="none" baseline="0">
                <a:solidFill>
                  <a:srgbClr val="333333"/>
                </a:solidFill>
                <a:latin typeface="宋体" charset="-122"/>
                <a:ea typeface="宋体" charset="-122"/>
              </a:rPr>
              <a:t>9</a:t>
            </a:r>
            <a:r>
              <a:rPr lang="ko-KR" altLang="en-US" sz="1400" b="0" i="0" u="none" baseline="0">
                <a:solidFill>
                  <a:srgbClr val="333333"/>
                </a:solidFill>
                <a:latin typeface="宋体" charset="-122"/>
                <a:ea typeface="宋体" charset="-122"/>
              </a:rPr>
              <a:t>年总支出</a:t>
            </a:r>
            <a:r>
              <a:rPr altLang="ko-KR" sz="1400" b="0" i="0" u="none" baseline="0">
                <a:solidFill>
                  <a:srgbClr val="333333"/>
                </a:solidFill>
                <a:latin typeface="宋体" charset="-122"/>
                <a:ea typeface="宋体" charset="-122"/>
              </a:rPr>
              <a:t>（单位：万元）</a:t>
            </a:r>
            <a:endParaRPr altLang="ko-KR" sz="1400" b="0" i="0" u="none" baseline="0">
              <a:solidFill>
                <a:srgbClr val="333333"/>
              </a:solidFill>
              <a:latin typeface="宋体" charset="-122"/>
              <a:ea typeface="宋体" charset="-122"/>
            </a:endParaRPr>
          </a:p>
        </c:rich>
      </c:tx>
      <c:layout/>
      <c:overlay val="0"/>
      <c:spPr>
        <a:noFill/>
        <a:ln>
          <a:noFill/>
          <a:round/>
        </a:ln>
      </c:spPr>
    </c:title>
    <c:autoTitleDeleted val="0"/>
    <c:plotArea>
      <c:layout/>
      <c:pieChart>
        <c:varyColors val="1"/>
        <c:ser>
          <c:idx val="0"/>
          <c:order val="0"/>
          <c:tx>
            <c:strRef>
              <c:f>电子表格27!$B$1</c:f>
              <c:strCache>
                <c:ptCount val="1"/>
                <c:pt idx="0">
                  <c:v>2019年总支出</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ysClr val="windowText" lastClr="000000"/>
                    </a:solidFill>
                    <a:latin typeface="+mn-lt"/>
                    <a:ea typeface="+mn-ea"/>
                    <a:cs typeface="+mn-cs"/>
                  </a:defRPr>
                </a:pPr>
              </a:p>
            </c:txPr>
            <c:dLblPos val="ctr"/>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电子表格27!$A$2:$A$3</c:f>
              <c:strCache>
                <c:ptCount val="2"/>
                <c:pt idx="0">
                  <c:v>基本支出</c:v>
                </c:pt>
                <c:pt idx="1">
                  <c:v>项目支出</c:v>
                </c:pt>
              </c:strCache>
            </c:strRef>
          </c:cat>
          <c:val>
            <c:numRef>
              <c:f>电子表格27!$B$2:$B$3</c:f>
              <c:numCache>
                <c:formatCode>General</c:formatCode>
                <c:ptCount val="2"/>
                <c:pt idx="0">
                  <c:v>350.83</c:v>
                </c:pt>
                <c:pt idx="1">
                  <c:v>5</c:v>
                </c:pt>
              </c:numCache>
            </c:numRef>
          </c:val>
        </c:ser>
        <c:dLbls>
          <c:showLegendKey val="1"/>
          <c:showVal val="1"/>
          <c:showCatName val="1"/>
          <c:showSerName val="1"/>
          <c:showPercent val="1"/>
          <c:showBubbleSize val="1"/>
          <c:showLeaderLines val="1"/>
        </c:dLbls>
        <c:firstSliceAng val="0"/>
      </c:pieChart>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charset="-122"/>
              <a:ea typeface="宋体"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lgn="ctr">
              <a:defRPr lang="zh-CN" sz="1400" b="0" i="0" u="none" strike="noStrike" kern="1200" baseline="0">
                <a:solidFill>
                  <a:srgbClr val="000000"/>
                </a:solidFill>
                <a:latin typeface="宋体" charset="-122"/>
                <a:ea typeface="宋体" charset="-122"/>
                <a:cs typeface="+mn-cs"/>
              </a:defRPr>
            </a:pPr>
            <a:r>
              <a:rPr lang="ko-KR" altLang="en-US" sz="1400" b="0" i="0" u="none" baseline="0">
                <a:solidFill>
                  <a:srgbClr val="333333"/>
                </a:solidFill>
                <a:latin typeface="宋体" charset="-122"/>
                <a:ea typeface="宋体" charset="-122"/>
              </a:rPr>
              <a:t>201</a:t>
            </a:r>
            <a:r>
              <a:rPr lang="en-US" altLang="ko-KR" sz="1400" b="0" i="0" u="none" baseline="0">
                <a:solidFill>
                  <a:srgbClr val="333333"/>
                </a:solidFill>
                <a:latin typeface="宋体" charset="-122"/>
                <a:ea typeface="宋体" charset="-122"/>
              </a:rPr>
              <a:t>8</a:t>
            </a:r>
            <a:r>
              <a:rPr lang="ko-KR" altLang="en-US" sz="1400" b="0" i="0" u="none" baseline="0">
                <a:solidFill>
                  <a:srgbClr val="333333"/>
                </a:solidFill>
                <a:latin typeface="宋体" charset="-122"/>
                <a:ea typeface="宋体" charset="-122"/>
              </a:rPr>
              <a:t>-201</a:t>
            </a:r>
            <a:r>
              <a:rPr lang="en-US" altLang="ko-KR" sz="1400" b="0" i="0" u="none" baseline="0">
                <a:solidFill>
                  <a:srgbClr val="333333"/>
                </a:solidFill>
                <a:latin typeface="宋体" charset="-122"/>
                <a:ea typeface="宋体" charset="-122"/>
              </a:rPr>
              <a:t>9</a:t>
            </a:r>
            <a:r>
              <a:rPr lang="ko-KR" altLang="en-US" sz="1400" b="0" i="0" u="none" baseline="0">
                <a:solidFill>
                  <a:srgbClr val="333333"/>
                </a:solidFill>
                <a:latin typeface="宋体" charset="-122"/>
                <a:ea typeface="宋体" charset="-122"/>
              </a:rPr>
              <a:t>年财政收入、支出</a:t>
            </a:r>
            <a:r>
              <a:rPr lang="en-US" altLang="ko-KR" sz="1400" b="0" i="0" u="none" baseline="0">
                <a:solidFill>
                  <a:srgbClr val="333333"/>
                </a:solidFill>
                <a:latin typeface="宋体" charset="-122"/>
                <a:ea typeface="宋体" charset="-122"/>
              </a:rPr>
              <a:t>(</a:t>
            </a:r>
            <a:r>
              <a:rPr altLang="ko-KR" sz="1400" b="0" i="0" u="none" baseline="0">
                <a:solidFill>
                  <a:srgbClr val="333333"/>
                </a:solidFill>
                <a:latin typeface="宋体" charset="-122"/>
                <a:ea typeface="宋体" charset="-122"/>
              </a:rPr>
              <a:t>单位：万元）</a:t>
            </a:r>
            <a:endParaRPr altLang="ko-KR" sz="1400" b="0" i="0" u="none" baseline="0">
              <a:solidFill>
                <a:srgbClr val="333333"/>
              </a:solidFill>
              <a:latin typeface="宋体" charset="-122"/>
              <a:ea typeface="宋体" charset="-122"/>
            </a:endParaRPr>
          </a:p>
        </c:rich>
      </c:tx>
      <c:layout/>
      <c:overlay val="0"/>
      <c:spPr>
        <a:noFill/>
        <a:ln>
          <a:noFill/>
          <a:round/>
        </a:ln>
      </c:spPr>
    </c:title>
    <c:autoTitleDeleted val="0"/>
    <c:plotArea>
      <c:layout/>
      <c:barChart>
        <c:barDir val="col"/>
        <c:grouping val="clustered"/>
        <c:varyColors val="0"/>
        <c:ser>
          <c:idx val="0"/>
          <c:order val="0"/>
          <c:tx>
            <c:strRef>
              <c:f>电子表格33!$B$1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ysClr val="windowText" lastClr="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电子表格33!$A$2:$A$3</c:f>
              <c:strCache>
                <c:ptCount val="2"/>
                <c:pt idx="0">
                  <c:v>财政拨款收入</c:v>
                </c:pt>
                <c:pt idx="1">
                  <c:v>财政拨款支出</c:v>
                </c:pt>
              </c:strCache>
            </c:strRef>
          </c:cat>
          <c:val>
            <c:numRef>
              <c:f>电子表格33!$B$2:$B$3</c:f>
              <c:numCache>
                <c:formatCode>General</c:formatCode>
                <c:ptCount val="2"/>
                <c:pt idx="0">
                  <c:v>330.05</c:v>
                </c:pt>
                <c:pt idx="1">
                  <c:v>334.78</c:v>
                </c:pt>
              </c:numCache>
            </c:numRef>
          </c:val>
        </c:ser>
        <c:ser>
          <c:idx val="1"/>
          <c:order val="1"/>
          <c:tx>
            <c:strRef>
              <c:f>电子表格33!$C$1</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ysClr val="windowText" lastClr="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电子表格33!$A$2:$A$3</c:f>
              <c:strCache>
                <c:ptCount val="2"/>
                <c:pt idx="0">
                  <c:v>财政拨款收入</c:v>
                </c:pt>
                <c:pt idx="1">
                  <c:v>财政拨款支出</c:v>
                </c:pt>
              </c:strCache>
            </c:strRef>
          </c:cat>
          <c:val>
            <c:numRef>
              <c:f>电子表格33!$C$2:$C$3</c:f>
              <c:numCache>
                <c:formatCode>General</c:formatCode>
                <c:ptCount val="2"/>
                <c:pt idx="0">
                  <c:v>354.19</c:v>
                </c:pt>
                <c:pt idx="1">
                  <c:v>355.83</c:v>
                </c:pt>
              </c:numCache>
            </c:numRef>
          </c:val>
        </c:ser>
        <c:dLbls>
          <c:showLegendKey val="0"/>
          <c:showVal val="1"/>
          <c:showCatName val="0"/>
          <c:showSerName val="0"/>
          <c:showPercent val="0"/>
          <c:showBubbleSize val="0"/>
        </c:dLbls>
        <c:gapWidth val="219"/>
        <c:overlap val="-27"/>
        <c:axId val="1111"/>
        <c:axId val="2222"/>
      </c:barChart>
      <c:catAx>
        <c:axId val="1111"/>
        <c:scaling>
          <c:orientation val="minMax"/>
        </c:scaling>
        <c:delete val="0"/>
        <c:axPos val="b"/>
        <c:majorTickMark val="none"/>
        <c:minorTickMark val="none"/>
        <c:tickLblPos val="nextTo"/>
        <c:spPr>
          <a:noFill/>
          <a:ln w="9525" cap="flat" cmpd="sng" algn="ctr">
            <a:noFill/>
            <a:prstDash val="solid"/>
            <a:round/>
          </a:ln>
        </c:spPr>
        <c:txPr>
          <a:bodyPr rot="-60000000" spcFirstLastPara="0" vertOverflow="ellipsis" vert="horz" wrap="square" anchor="ctr" anchorCtr="1"/>
          <a:lstStyle/>
          <a:p>
            <a:pPr>
              <a:defRPr lang="zh-CN" sz="1000" b="0" i="0" u="none" strike="noStrike" kern="1200" baseline="0">
                <a:solidFill>
                  <a:sysClr val="windowText" lastClr="000000"/>
                </a:solidFill>
                <a:latin typeface="+mn-lt"/>
                <a:ea typeface="+mn-ea"/>
                <a:cs typeface="+mn-cs"/>
              </a:defRPr>
            </a:pPr>
          </a:p>
        </c:txPr>
        <c:crossAx val="2222"/>
        <c:crosses val="autoZero"/>
        <c:auto val="1"/>
        <c:lblAlgn val="ctr"/>
        <c:lblOffset val="100"/>
        <c:noMultiLvlLbl val="0"/>
      </c:catAx>
      <c:valAx>
        <c:axId val="2222"/>
        <c:scaling>
          <c:orientation val="minMax"/>
        </c:scaling>
        <c:delete val="0"/>
        <c:axPos val="l"/>
        <c:majorGridlines>
          <c:spPr>
            <a:ln w="635" cap="flat" cmpd="sng" algn="ctr">
              <a:solidFill>
                <a:srgbClr val="D9D9D9">
                  <a:alpha val="100000"/>
                </a:srgbClr>
              </a:solidFill>
              <a:prstDash val="solid"/>
              <a:round/>
            </a:ln>
          </c:spPr>
        </c:majorGridlines>
        <c:numFmt formatCode="General" sourceLinked="1"/>
        <c:majorTickMark val="none"/>
        <c:minorTickMark val="none"/>
        <c:tickLblPos val="nextTo"/>
        <c:spPr>
          <a:noFill/>
          <a:ln w="9525" cap="flat" cmpd="sng" algn="ctr">
            <a:noFill/>
            <a:prstDash val="solid"/>
            <a:round/>
          </a:ln>
        </c:spPr>
        <c:txPr>
          <a:bodyPr rot="0" spcFirstLastPara="0" vertOverflow="ellipsis" vert="horz" wrap="square" anchor="ctr" anchorCtr="1"/>
          <a:lstStyle/>
          <a:p>
            <a:pPr>
              <a:defRPr lang="zh-CN" sz="1050" b="0" i="0" u="none" strike="noStrike" kern="1200" baseline="0">
                <a:solidFill>
                  <a:srgbClr val="333333"/>
                </a:solidFill>
                <a:latin typeface="宋体" charset="-122"/>
                <a:ea typeface="宋体" charset="-122"/>
                <a:cs typeface="+mn-cs"/>
              </a:defRPr>
            </a:pPr>
          </a:p>
        </c:txPr>
        <c:crossAx val="1111"/>
        <c:crosses val="autoZero"/>
        <c:crossBetween val="between"/>
      </c:valAx>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charset="-122"/>
              <a:ea typeface="宋体"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lgn="ctr">
              <a:defRPr lang="zh-CN" sz="1400" b="0" i="0" u="none" strike="noStrike" kern="1200" baseline="0">
                <a:solidFill>
                  <a:srgbClr val="000000"/>
                </a:solidFill>
                <a:latin typeface="宋体" charset="-122"/>
                <a:ea typeface="宋体" charset="-122"/>
                <a:cs typeface="+mn-cs"/>
              </a:defRPr>
            </a:pPr>
            <a:r>
              <a:rPr lang="ko-KR" altLang="en-US" sz="1400" b="0" i="0" u="none" baseline="0">
                <a:solidFill>
                  <a:srgbClr val="333333"/>
                </a:solidFill>
                <a:latin typeface="宋体" charset="-122"/>
                <a:ea typeface="宋体" charset="-122"/>
              </a:rPr>
              <a:t>201</a:t>
            </a:r>
            <a:r>
              <a:rPr lang="en-US" altLang="ko-KR" sz="1400" b="0" i="0" u="none" baseline="0">
                <a:solidFill>
                  <a:srgbClr val="333333"/>
                </a:solidFill>
                <a:latin typeface="宋体" charset="-122"/>
                <a:ea typeface="宋体" charset="-122"/>
              </a:rPr>
              <a:t>8</a:t>
            </a:r>
            <a:r>
              <a:rPr lang="ko-KR" altLang="en-US" sz="1400" b="0" i="0" u="none" baseline="0">
                <a:solidFill>
                  <a:srgbClr val="333333"/>
                </a:solidFill>
                <a:latin typeface="宋体" charset="-122"/>
                <a:ea typeface="宋体" charset="-122"/>
              </a:rPr>
              <a:t>、201</a:t>
            </a:r>
            <a:r>
              <a:rPr lang="en-US" altLang="ko-KR" sz="1400" b="0" i="0" u="none" baseline="0">
                <a:solidFill>
                  <a:srgbClr val="333333"/>
                </a:solidFill>
                <a:latin typeface="宋体" charset="-122"/>
                <a:ea typeface="宋体" charset="-122"/>
              </a:rPr>
              <a:t>9</a:t>
            </a:r>
            <a:r>
              <a:rPr lang="ko-KR" altLang="en-US" sz="1400" b="0" i="0" u="none" baseline="0">
                <a:solidFill>
                  <a:srgbClr val="333333"/>
                </a:solidFill>
                <a:latin typeface="宋体" charset="-122"/>
                <a:ea typeface="宋体" charset="-122"/>
              </a:rPr>
              <a:t>年财政拨款支出</a:t>
            </a:r>
            <a:r>
              <a:rPr altLang="ko-KR" sz="1400" b="0" i="0" u="none" baseline="0">
                <a:solidFill>
                  <a:srgbClr val="333333"/>
                </a:solidFill>
                <a:latin typeface="宋体" charset="-122"/>
                <a:ea typeface="宋体" charset="-122"/>
              </a:rPr>
              <a:t>（单位：万元）</a:t>
            </a:r>
            <a:endParaRPr altLang="ko-KR" sz="1400" b="0" i="0" u="none" baseline="0">
              <a:solidFill>
                <a:srgbClr val="333333"/>
              </a:solidFill>
              <a:latin typeface="宋体" charset="-122"/>
              <a:ea typeface="宋体" charset="-122"/>
            </a:endParaRPr>
          </a:p>
        </c:rich>
      </c:tx>
      <c:layout/>
      <c:overlay val="0"/>
      <c:spPr>
        <a:noFill/>
        <a:ln>
          <a:noFill/>
          <a:round/>
        </a:ln>
      </c:spPr>
    </c:title>
    <c:autoTitleDeleted val="0"/>
    <c:plotArea>
      <c:layout/>
      <c:barChart>
        <c:barDir val="col"/>
        <c:grouping val="stacked"/>
        <c:varyColors val="0"/>
        <c:ser>
          <c:idx val="0"/>
          <c:order val="0"/>
          <c:tx>
            <c:strRef>
              <c:f>电子表格35!$B$1</c:f>
              <c:strCache>
                <c:ptCount val="1"/>
                <c:pt idx="0">
                  <c:v>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ysClr val="windowText" lastClr="000000"/>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电子表格35!$A$2:$A$3</c:f>
              <c:strCache>
                <c:ptCount val="2"/>
                <c:pt idx="0">
                  <c:v>2018年</c:v>
                </c:pt>
                <c:pt idx="1">
                  <c:v>2019年</c:v>
                </c:pt>
              </c:strCache>
            </c:strRef>
          </c:cat>
          <c:val>
            <c:numRef>
              <c:f>电子表格35!$B$2:$B$3</c:f>
              <c:numCache>
                <c:formatCode>General</c:formatCode>
                <c:ptCount val="2"/>
                <c:pt idx="0">
                  <c:v>334.78</c:v>
                </c:pt>
                <c:pt idx="1">
                  <c:v>355.83</c:v>
                </c:pt>
              </c:numCache>
            </c:numRef>
          </c:val>
        </c:ser>
        <c:dLbls>
          <c:showLegendKey val="0"/>
          <c:showVal val="1"/>
          <c:showCatName val="0"/>
          <c:showSerName val="0"/>
          <c:showPercent val="0"/>
          <c:showBubbleSize val="0"/>
        </c:dLbls>
        <c:gapWidth val="150"/>
        <c:overlap val="100"/>
        <c:axId val="1111"/>
        <c:axId val="2222"/>
      </c:barChart>
      <c:catAx>
        <c:axId val="1111"/>
        <c:scaling>
          <c:orientation val="minMax"/>
        </c:scaling>
        <c:delete val="0"/>
        <c:axPos val="b"/>
        <c:majorTickMark val="none"/>
        <c:minorTickMark val="none"/>
        <c:tickLblPos val="nextTo"/>
        <c:spPr>
          <a:noFill/>
          <a:ln w="9525" cap="flat" cmpd="sng" algn="ctr">
            <a:noFill/>
            <a:prstDash val="solid"/>
            <a:round/>
          </a:ln>
        </c:spPr>
        <c:txPr>
          <a:bodyPr rot="-60000000" spcFirstLastPara="0" vertOverflow="ellipsis" vert="horz" wrap="square" anchor="ctr" anchorCtr="1"/>
          <a:lstStyle/>
          <a:p>
            <a:pPr>
              <a:defRPr lang="zh-CN" sz="1000" b="0" i="0" u="none" strike="noStrike" kern="1200" baseline="0">
                <a:solidFill>
                  <a:sysClr val="windowText" lastClr="000000"/>
                </a:solidFill>
                <a:latin typeface="+mn-lt"/>
                <a:ea typeface="+mn-ea"/>
                <a:cs typeface="+mn-cs"/>
              </a:defRPr>
            </a:pPr>
          </a:p>
        </c:txPr>
        <c:crossAx val="2222"/>
        <c:crosses val="autoZero"/>
        <c:auto val="1"/>
        <c:lblAlgn val="ctr"/>
        <c:lblOffset val="100"/>
        <c:noMultiLvlLbl val="0"/>
      </c:catAx>
      <c:valAx>
        <c:axId val="2222"/>
        <c:scaling>
          <c:orientation val="minMax"/>
        </c:scaling>
        <c:delete val="0"/>
        <c:axPos val="l"/>
        <c:majorGridlines>
          <c:spPr>
            <a:ln w="635" cap="flat" cmpd="sng" algn="ctr">
              <a:solidFill>
                <a:srgbClr val="D9D9D9">
                  <a:alpha val="100000"/>
                </a:srgbClr>
              </a:solidFill>
              <a:prstDash val="solid"/>
              <a:round/>
            </a:ln>
          </c:spPr>
        </c:majorGridlines>
        <c:numFmt formatCode="General" sourceLinked="1"/>
        <c:majorTickMark val="none"/>
        <c:minorTickMark val="none"/>
        <c:tickLblPos val="nextTo"/>
        <c:spPr>
          <a:noFill/>
          <a:ln w="9525" cap="flat" cmpd="sng" algn="ctr">
            <a:noFill/>
            <a:prstDash val="solid"/>
            <a:round/>
          </a:ln>
        </c:spPr>
        <c:txPr>
          <a:bodyPr rot="0" spcFirstLastPara="0" vertOverflow="ellipsis" vert="horz" wrap="square" anchor="ctr" anchorCtr="1"/>
          <a:lstStyle/>
          <a:p>
            <a:pPr>
              <a:defRPr lang="zh-CN" sz="1050" b="0" i="0" u="none" strike="noStrike" kern="1200" baseline="0">
                <a:solidFill>
                  <a:srgbClr val="333333"/>
                </a:solidFill>
                <a:latin typeface="宋体" charset="-122"/>
                <a:ea typeface="宋体" charset="-122"/>
                <a:cs typeface="+mn-cs"/>
              </a:defRPr>
            </a:pPr>
          </a:p>
        </c:txPr>
        <c:crossAx val="1111"/>
        <c:crosses val="autoZero"/>
        <c:crossBetween val="between"/>
      </c:valAx>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charset="-122"/>
              <a:ea typeface="宋体"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lgn="ctr">
              <a:defRPr lang="zh-CN" sz="1400" b="0" i="0" u="none" strike="noStrike" kern="1200" baseline="0">
                <a:solidFill>
                  <a:srgbClr val="000000"/>
                </a:solidFill>
                <a:latin typeface="宋体" charset="-122"/>
                <a:ea typeface="宋体" charset="-122"/>
                <a:cs typeface="+mn-cs"/>
              </a:defRPr>
            </a:pPr>
            <a:r>
              <a:rPr lang="en-US" altLang="ko-KR" sz="1400" b="0" i="0" u="none" baseline="0">
                <a:solidFill>
                  <a:srgbClr val="333333"/>
                </a:solidFill>
                <a:latin typeface="宋体" charset="-122"/>
                <a:ea typeface="宋体" charset="-122"/>
              </a:rPr>
              <a:t>2019</a:t>
            </a:r>
            <a:r>
              <a:rPr altLang="en-US" sz="1400" b="0" i="0" u="none" baseline="0">
                <a:solidFill>
                  <a:srgbClr val="333333"/>
                </a:solidFill>
                <a:latin typeface="宋体" charset="-122"/>
                <a:ea typeface="宋体" charset="-122"/>
              </a:rPr>
              <a:t>年支出（单位：万元）</a:t>
            </a:r>
            <a:endParaRPr lang="en-US" altLang="ko-KR" sz="1400" b="0" i="0" u="none" baseline="0">
              <a:solidFill>
                <a:srgbClr val="333333"/>
              </a:solidFill>
              <a:latin typeface="宋体" charset="-122"/>
              <a:ea typeface="宋体" charset="-122"/>
            </a:endParaRPr>
          </a:p>
        </c:rich>
      </c:tx>
      <c:layout/>
      <c:overlay val="0"/>
      <c:spPr>
        <a:noFill/>
        <a:ln>
          <a:noFill/>
          <a:round/>
        </a:ln>
      </c:spPr>
    </c:title>
    <c:autoTitleDeleted val="0"/>
    <c:plotArea>
      <c:layout/>
      <c:pieChart>
        <c:varyColors val="1"/>
        <c:ser>
          <c:idx val="0"/>
          <c:order val="0"/>
          <c:tx>
            <c:strRef>
              <c:f>电子表格37!$B$1</c:f>
              <c:strCache>
                <c:ptCount val="1"/>
                <c:pt idx="0">
                  <c:v>2019支出</c:v>
                </c:pt>
              </c:strCache>
            </c:strRef>
          </c:tx>
          <c:explosion val="0"/>
          <c:dPt>
            <c:idx val="0"/>
            <c:bubble3D val="0"/>
          </c:dPt>
          <c:dPt>
            <c:idx val="1"/>
            <c:bubble3D val="0"/>
          </c:dPt>
          <c:dPt>
            <c:idx val="2"/>
            <c:bubble3D val="0"/>
          </c:dPt>
          <c:dLbls>
            <c:dLbl>
              <c:idx val="1"/>
              <c:layout>
                <c:manualLayout>
                  <c:x val="-0.00473099502343286"/>
                  <c:y val="0.161746526414547"/>
                </c:manualLayout>
              </c:layout>
              <c:dLblPos val="bestFit"/>
              <c:showLegendKey val="1"/>
              <c:showVal val="1"/>
              <c:showCatName val="1"/>
              <c:showSerName val="1"/>
              <c:showPercent val="1"/>
              <c:showBubbleSize val="1"/>
              <c:extLst>
                <c:ext xmlns:c15="http://schemas.microsoft.com/office/drawing/2012/chart" uri="{CE6537A1-D6FC-4f65-9D91-7224C49458BB}">
                  <c15:layout/>
                </c:ext>
              </c:extLst>
            </c:dLbl>
            <c:dLbl>
              <c:idx val="2"/>
              <c:layout>
                <c:manualLayout>
                  <c:x val="0.104523013050131"/>
                  <c:y val="0.12262228023349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700" b="0" i="0" u="none" strike="noStrike" kern="1200" cap="none" spc="0" normalizeH="0" baseline="0">
                      <a:solidFill>
                        <a:sysClr val="windowText" lastClr="000000"/>
                      </a:solidFill>
                      <a:uFill>
                        <a:solidFill>
                          <a:sysClr val="windowText" lastClr="000000"/>
                        </a:solidFill>
                      </a:uFill>
                      <a:latin typeface="+mn-lt"/>
                      <a:ea typeface="+mn-ea"/>
                      <a:cs typeface="+mn-cs"/>
                    </a:defRPr>
                  </a:pPr>
                </a:p>
              </c:txPr>
              <c:dLblPos val="bestFit"/>
              <c:showLegendKey val="1"/>
              <c:showVal val="1"/>
              <c:showCatName val="1"/>
              <c:showSerName val="1"/>
              <c:showPercent val="1"/>
              <c:showBubbleSize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ysClr val="windowText" lastClr="000000"/>
                    </a:solidFill>
                    <a:uFill>
                      <a:solidFill>
                        <a:sysClr val="windowText" lastClr="000000"/>
                      </a:solidFill>
                    </a:uFill>
                    <a:latin typeface="+mn-lt"/>
                    <a:ea typeface="+mn-ea"/>
                    <a:cs typeface="+mn-cs"/>
                  </a:defRPr>
                </a:pPr>
              </a:p>
            </c:txPr>
            <c:dLblPos val="ctr"/>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电子表格37!$A$2:$A$4</c:f>
              <c:strCache>
                <c:ptCount val="3"/>
                <c:pt idx="0">
                  <c:v>社会保障和就业支出</c:v>
                </c:pt>
                <c:pt idx="1">
                  <c:v>医疗卫生和计划生育支出</c:v>
                </c:pt>
                <c:pt idx="2">
                  <c:v>住房保障支出</c:v>
                </c:pt>
              </c:strCache>
            </c:strRef>
          </c:cat>
          <c:val>
            <c:numRef>
              <c:f>电子表格37!$B$2:$B$4</c:f>
              <c:numCache>
                <c:formatCode>General</c:formatCode>
                <c:ptCount val="3"/>
                <c:pt idx="0">
                  <c:v>307.18</c:v>
                </c:pt>
                <c:pt idx="1">
                  <c:v>22.41</c:v>
                </c:pt>
                <c:pt idx="2">
                  <c:v>26.24</c:v>
                </c:pt>
              </c:numCache>
            </c:numRef>
          </c:val>
        </c:ser>
        <c:dLbls>
          <c:showLegendKey val="1"/>
          <c:showVal val="1"/>
          <c:showCatName val="1"/>
          <c:showSerName val="1"/>
          <c:showPercent val="1"/>
          <c:showBubbleSize val="1"/>
          <c:showLeaderLines val="1"/>
        </c:dLbls>
        <c:firstSliceAng val="0"/>
      </c:pieChart>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charset="-122"/>
              <a:ea typeface="宋体"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729594d-9f9d-4981-91fb-3b489f992f45}"/>
        <w:style w:val=""/>
        <w:category>
          <w:name w:val="常规"/>
          <w:gallery w:val="placeholder"/>
        </w:category>
        <w:types>
          <w:type w:val="bbPlcHdr"/>
        </w:types>
        <w:behaviors>
          <w:behavior w:val="content"/>
        </w:behaviors>
        <w:description w:val=""/>
        <w:guid w:val="{b729594d-9f9d-4981-91fb-3b489f992f45}"/>
      </w:docPartPr>
      <w:docPartBody>
        <w:p>
          <w:r>
            <w:rPr>
              <w:color w:val="808080"/>
            </w:rPr>
            <w:t>单击此处输入文字。</w:t>
          </w:r>
        </w:p>
      </w:docPartBody>
    </w:docPart>
    <w:docPart>
      <w:docPartPr>
        <w:name w:val="{8979a9f6-da0e-4e9d-9913-dfb0c36dd2ac}"/>
        <w:style w:val=""/>
        <w:category>
          <w:name w:val="常规"/>
          <w:gallery w:val="placeholder"/>
        </w:category>
        <w:types>
          <w:type w:val="bbPlcHdr"/>
        </w:types>
        <w:behaviors>
          <w:behavior w:val="content"/>
        </w:behaviors>
        <w:description w:val=""/>
        <w:guid w:val="{8979a9f6-da0e-4e9d-9913-dfb0c36dd2ac}"/>
      </w:docPartPr>
      <w:docPartBody>
        <w:p>
          <w:r>
            <w:rPr>
              <w:color w:val="808080"/>
            </w:rPr>
            <w:t>单击此处输入文字。</w:t>
          </w:r>
        </w:p>
      </w:docPartBody>
    </w:docPart>
    <w:docPart>
      <w:docPartPr>
        <w:name w:val="{0b9ab75e-cb76-4b5c-be9d-8cad45774a36}"/>
        <w:style w:val=""/>
        <w:category>
          <w:name w:val="常规"/>
          <w:gallery w:val="placeholder"/>
        </w:category>
        <w:types>
          <w:type w:val="bbPlcHdr"/>
        </w:types>
        <w:behaviors>
          <w:behavior w:val="content"/>
        </w:behaviors>
        <w:description w:val=""/>
        <w:guid w:val="{0b9ab75e-cb76-4b5c-be9d-8cad45774a36}"/>
      </w:docPartPr>
      <w:docPartBody>
        <w:p>
          <w:r>
            <w:rPr>
              <w:color w:val="808080"/>
            </w:rPr>
            <w:t>单击此处输入文字。</w:t>
          </w:r>
        </w:p>
      </w:docPartBody>
    </w:docPart>
    <w:docPart>
      <w:docPartPr>
        <w:name w:val="{9c3bda11-bc69-4040-a6f6-6d200ea8bb90}"/>
        <w:style w:val=""/>
        <w:category>
          <w:name w:val="常规"/>
          <w:gallery w:val="placeholder"/>
        </w:category>
        <w:types>
          <w:type w:val="bbPlcHdr"/>
        </w:types>
        <w:behaviors>
          <w:behavior w:val="content"/>
        </w:behaviors>
        <w:description w:val=""/>
        <w:guid w:val="{9c3bda11-bc69-4040-a6f6-6d200ea8bb90}"/>
      </w:docPartPr>
      <w:docPartBody>
        <w:p>
          <w:r>
            <w:rPr>
              <w:color w:val="808080"/>
            </w:rPr>
            <w:t>单击此处输入文字。</w:t>
          </w:r>
        </w:p>
      </w:docPartBody>
    </w:docPart>
    <w:docPart>
      <w:docPartPr>
        <w:name w:val="{f00b21db-13e5-4d95-8993-83166affb601}"/>
        <w:style w:val=""/>
        <w:category>
          <w:name w:val="常规"/>
          <w:gallery w:val="placeholder"/>
        </w:category>
        <w:types>
          <w:type w:val="bbPlcHdr"/>
        </w:types>
        <w:behaviors>
          <w:behavior w:val="content"/>
        </w:behaviors>
        <w:description w:val=""/>
        <w:guid w:val="{f00b21db-13e5-4d95-8993-83166affb601}"/>
      </w:docPartPr>
      <w:docPartBody>
        <w:p>
          <w:r>
            <w:rPr>
              <w:color w:val="808080"/>
            </w:rPr>
            <w:t>单击此处输入文字。</w:t>
          </w:r>
        </w:p>
      </w:docPartBody>
    </w:docPart>
    <w:docPart>
      <w:docPartPr>
        <w:name w:val="{5f87f0d5-50d4-4aeb-9cbe-dbc40b0126ce}"/>
        <w:style w:val=""/>
        <w:category>
          <w:name w:val="常规"/>
          <w:gallery w:val="placeholder"/>
        </w:category>
        <w:types>
          <w:type w:val="bbPlcHdr"/>
        </w:types>
        <w:behaviors>
          <w:behavior w:val="content"/>
        </w:behaviors>
        <w:description w:val=""/>
        <w:guid w:val="{5f87f0d5-50d4-4aeb-9cbe-dbc40b0126ce}"/>
      </w:docPartPr>
      <w:docPartBody>
        <w:p>
          <w:r>
            <w:rPr>
              <w:color w:val="808080"/>
            </w:rPr>
            <w:t>单击此处输入文字。</w:t>
          </w:r>
        </w:p>
      </w:docPartBody>
    </w:docPart>
    <w:docPart>
      <w:docPartPr>
        <w:name w:val="{87e8240e-5780-4c69-8acf-3abe14c7fa7c}"/>
        <w:style w:val=""/>
        <w:category>
          <w:name w:val="常规"/>
          <w:gallery w:val="placeholder"/>
        </w:category>
        <w:types>
          <w:type w:val="bbPlcHdr"/>
        </w:types>
        <w:behaviors>
          <w:behavior w:val="content"/>
        </w:behaviors>
        <w:description w:val=""/>
        <w:guid w:val="{87e8240e-5780-4c69-8acf-3abe14c7fa7c}"/>
      </w:docPartPr>
      <w:docPartBody>
        <w:p>
          <w:r>
            <w:rPr>
              <w:color w:val="808080"/>
            </w:rPr>
            <w:t>单击此处输入文字。</w:t>
          </w:r>
        </w:p>
      </w:docPartBody>
    </w:docPart>
    <w:docPart>
      <w:docPartPr>
        <w:name w:val="{1341e7b1-ae1d-4771-a414-fc94cb87657d}"/>
        <w:style w:val=""/>
        <w:category>
          <w:name w:val="常规"/>
          <w:gallery w:val="placeholder"/>
        </w:category>
        <w:types>
          <w:type w:val="bbPlcHdr"/>
        </w:types>
        <w:behaviors>
          <w:behavior w:val="content"/>
        </w:behaviors>
        <w:description w:val=""/>
        <w:guid w:val="{1341e7b1-ae1d-4771-a414-fc94cb87657d}"/>
      </w:docPartPr>
      <w:docPartBody>
        <w:p>
          <w:r>
            <w:rPr>
              <w:color w:val="808080"/>
            </w:rPr>
            <w:t>单击此处输入文字。</w:t>
          </w:r>
        </w:p>
      </w:docPartBody>
    </w:docPart>
    <w:docPart>
      <w:docPartPr>
        <w:name w:val="{1dc12371-3c60-4ec5-be16-4158fd674d01}"/>
        <w:style w:val=""/>
        <w:category>
          <w:name w:val="常规"/>
          <w:gallery w:val="placeholder"/>
        </w:category>
        <w:types>
          <w:type w:val="bbPlcHdr"/>
        </w:types>
        <w:behaviors>
          <w:behavior w:val="content"/>
        </w:behaviors>
        <w:description w:val=""/>
        <w:guid w:val="{1dc12371-3c60-4ec5-be16-4158fd674d01}"/>
      </w:docPartPr>
      <w:docPartBody>
        <w:p>
          <w:r>
            <w:rPr>
              <w:color w:val="808080"/>
            </w:rPr>
            <w:t>单击此处输入文字。</w:t>
          </w:r>
        </w:p>
      </w:docPartBody>
    </w:docPart>
    <w:docPart>
      <w:docPartPr>
        <w:name w:val="{4604991f-86ac-43aa-87c9-fbf3e0a254ec}"/>
        <w:style w:val=""/>
        <w:category>
          <w:name w:val="常规"/>
          <w:gallery w:val="placeholder"/>
        </w:category>
        <w:types>
          <w:type w:val="bbPlcHdr"/>
        </w:types>
        <w:behaviors>
          <w:behavior w:val="content"/>
        </w:behaviors>
        <w:description w:val=""/>
        <w:guid w:val="{4604991f-86ac-43aa-87c9-fbf3e0a254ec}"/>
      </w:docPartPr>
      <w:docPartBody>
        <w:p>
          <w:r>
            <w:rPr>
              <w:color w:val="808080"/>
            </w:rPr>
            <w:t>单击此处输入文字。</w:t>
          </w:r>
        </w:p>
      </w:docPartBody>
    </w:docPart>
    <w:docPart>
      <w:docPartPr>
        <w:name w:val="{5ac74abf-5d2f-4b2f-90b3-17c431fcd3cc}"/>
        <w:style w:val=""/>
        <w:category>
          <w:name w:val="常规"/>
          <w:gallery w:val="placeholder"/>
        </w:category>
        <w:types>
          <w:type w:val="bbPlcHdr"/>
        </w:types>
        <w:behaviors>
          <w:behavior w:val="content"/>
        </w:behaviors>
        <w:description w:val=""/>
        <w:guid w:val="{5ac74abf-5d2f-4b2f-90b3-17c431fcd3cc}"/>
      </w:docPartPr>
      <w:docPartBody>
        <w:p>
          <w:r>
            <w:rPr>
              <w:color w:val="808080"/>
            </w:rPr>
            <w:t>单击此处输入文字。</w:t>
          </w:r>
        </w:p>
      </w:docPartBody>
    </w:docPart>
    <w:docPart>
      <w:docPartPr>
        <w:name w:val="{88a5cb8f-0d21-44d3-892e-340754e9d473}"/>
        <w:style w:val=""/>
        <w:category>
          <w:name w:val="常规"/>
          <w:gallery w:val="placeholder"/>
        </w:category>
        <w:types>
          <w:type w:val="bbPlcHdr"/>
        </w:types>
        <w:behaviors>
          <w:behavior w:val="content"/>
        </w:behaviors>
        <w:description w:val=""/>
        <w:guid w:val="{88a5cb8f-0d21-44d3-892e-340754e9d473}"/>
      </w:docPartPr>
      <w:docPartBody>
        <w:p>
          <w:r>
            <w:rPr>
              <w:color w:val="808080"/>
            </w:rPr>
            <w:t>单击此处输入文字。</w:t>
          </w:r>
        </w:p>
      </w:docPartBody>
    </w:docPart>
    <w:docPart>
      <w:docPartPr>
        <w:name w:val="{68d99fbb-571f-4d93-9d56-2b04aad65088}"/>
        <w:style w:val=""/>
        <w:category>
          <w:name w:val="常规"/>
          <w:gallery w:val="placeholder"/>
        </w:category>
        <w:types>
          <w:type w:val="bbPlcHdr"/>
        </w:types>
        <w:behaviors>
          <w:behavior w:val="content"/>
        </w:behaviors>
        <w:description w:val=""/>
        <w:guid w:val="{68d99fbb-571f-4d93-9d56-2b04aad65088}"/>
      </w:docPartPr>
      <w:docPartBody>
        <w:p>
          <w:r>
            <w:rPr>
              <w:color w:val="808080"/>
            </w:rPr>
            <w:t>单击此处输入文字。</w:t>
          </w:r>
        </w:p>
      </w:docPartBody>
    </w:docPart>
    <w:docPart>
      <w:docPartPr>
        <w:name w:val="{14f901b4-a108-4f8c-b0a1-694fbd5622b0}"/>
        <w:style w:val=""/>
        <w:category>
          <w:name w:val="常规"/>
          <w:gallery w:val="placeholder"/>
        </w:category>
        <w:types>
          <w:type w:val="bbPlcHdr"/>
        </w:types>
        <w:behaviors>
          <w:behavior w:val="content"/>
        </w:behaviors>
        <w:description w:val=""/>
        <w:guid w:val="{14f901b4-a108-4f8c-b0a1-694fbd5622b0}"/>
      </w:docPartPr>
      <w:docPartBody>
        <w:p>
          <w:r>
            <w:rPr>
              <w:color w:val="808080"/>
            </w:rPr>
            <w:t>单击此处输入文字。</w:t>
          </w:r>
        </w:p>
      </w:docPartBody>
    </w:docPart>
    <w:docPart>
      <w:docPartPr>
        <w:name w:val="{3927194f-37e8-4535-abb5-3be91517ca06}"/>
        <w:style w:val=""/>
        <w:category>
          <w:name w:val="常规"/>
          <w:gallery w:val="placeholder"/>
        </w:category>
        <w:types>
          <w:type w:val="bbPlcHdr"/>
        </w:types>
        <w:behaviors>
          <w:behavior w:val="content"/>
        </w:behaviors>
        <w:description w:val=""/>
        <w:guid w:val="{3927194f-37e8-4535-abb5-3be91517ca06}"/>
      </w:docPartPr>
      <w:docPartBody>
        <w:p>
          <w:r>
            <w:rPr>
              <w:color w:val="808080"/>
            </w:rPr>
            <w:t>单击此处输入文字。</w:t>
          </w:r>
        </w:p>
      </w:docPartBody>
    </w:docPart>
    <w:docPart>
      <w:docPartPr>
        <w:name w:val="{3791b7d1-688c-40e4-8e6e-b303ba43a78c}"/>
        <w:style w:val=""/>
        <w:category>
          <w:name w:val="常规"/>
          <w:gallery w:val="placeholder"/>
        </w:category>
        <w:types>
          <w:type w:val="bbPlcHdr"/>
        </w:types>
        <w:behaviors>
          <w:behavior w:val="content"/>
        </w:behaviors>
        <w:description w:val=""/>
        <w:guid w:val="{3791b7d1-688c-40e4-8e6e-b303ba43a78c}"/>
      </w:docPartPr>
      <w:docPartBody>
        <w:p>
          <w:r>
            <w:rPr>
              <w:color w:val="808080"/>
            </w:rPr>
            <w:t>单击此处输入文字。</w:t>
          </w:r>
        </w:p>
      </w:docPartBody>
    </w:docPart>
    <w:docPart>
      <w:docPartPr>
        <w:name w:val="{b37c4fe7-418f-45f1-8bc2-ca771a489450}"/>
        <w:style w:val=""/>
        <w:category>
          <w:name w:val="常规"/>
          <w:gallery w:val="placeholder"/>
        </w:category>
        <w:types>
          <w:type w:val="bbPlcHdr"/>
        </w:types>
        <w:behaviors>
          <w:behavior w:val="content"/>
        </w:behaviors>
        <w:description w:val=""/>
        <w:guid w:val="{b37c4fe7-418f-45f1-8bc2-ca771a489450}"/>
      </w:docPartPr>
      <w:docPartBody>
        <w:p>
          <w:r>
            <w:rPr>
              <w:color w:val="808080"/>
            </w:rPr>
            <w:t>单击此处输入文字。</w:t>
          </w:r>
        </w:p>
      </w:docPartBody>
    </w:docPart>
    <w:docPart>
      <w:docPartPr>
        <w:name w:val="{50b0a7cd-44e2-403b-ad98-d743c9ff265e}"/>
        <w:style w:val=""/>
        <w:category>
          <w:name w:val="常规"/>
          <w:gallery w:val="placeholder"/>
        </w:category>
        <w:types>
          <w:type w:val="bbPlcHdr"/>
        </w:types>
        <w:behaviors>
          <w:behavior w:val="content"/>
        </w:behaviors>
        <w:description w:val=""/>
        <w:guid w:val="{50b0a7cd-44e2-403b-ad98-d743c9ff265e}"/>
      </w:docPartPr>
      <w:docPartBody>
        <w:p>
          <w:r>
            <w:rPr>
              <w:color w:val="808080"/>
            </w:rPr>
            <w:t>单击此处输入文字。</w:t>
          </w:r>
        </w:p>
      </w:docPartBody>
    </w:docPart>
    <w:docPart>
      <w:docPartPr>
        <w:name w:val="{ae3e0291-d4e2-4ae8-a070-ffb468723474}"/>
        <w:style w:val=""/>
        <w:category>
          <w:name w:val="常规"/>
          <w:gallery w:val="placeholder"/>
        </w:category>
        <w:types>
          <w:type w:val="bbPlcHdr"/>
        </w:types>
        <w:behaviors>
          <w:behavior w:val="content"/>
        </w:behaviors>
        <w:description w:val=""/>
        <w:guid w:val="{ae3e0291-d4e2-4ae8-a070-ffb468723474}"/>
      </w:docPartPr>
      <w:docPartBody>
        <w:p>
          <w:r>
            <w:rPr>
              <w:color w:val="808080"/>
            </w:rPr>
            <w:t>单击此处输入文字。</w:t>
          </w:r>
        </w:p>
      </w:docPartBody>
    </w:docPart>
    <w:docPart>
      <w:docPartPr>
        <w:name w:val="{65e1aa1a-0549-4173-9ab9-64ad482e8468}"/>
        <w:style w:val=""/>
        <w:category>
          <w:name w:val="常规"/>
          <w:gallery w:val="placeholder"/>
        </w:category>
        <w:types>
          <w:type w:val="bbPlcHdr"/>
        </w:types>
        <w:behaviors>
          <w:behavior w:val="content"/>
        </w:behaviors>
        <w:description w:val=""/>
        <w:guid w:val="{65e1aa1a-0549-4173-9ab9-64ad482e8468}"/>
      </w:docPartPr>
      <w:docPartBody>
        <w:p>
          <w:r>
            <w:rPr>
              <w:color w:val="808080"/>
            </w:rPr>
            <w:t>单击此处输入文字。</w:t>
          </w:r>
        </w:p>
      </w:docPartBody>
    </w:docPart>
    <w:docPart>
      <w:docPartPr>
        <w:name w:val="{6eab2aab-c297-41a7-be69-0bdbb7b56f58}"/>
        <w:style w:val=""/>
        <w:category>
          <w:name w:val="常规"/>
          <w:gallery w:val="placeholder"/>
        </w:category>
        <w:types>
          <w:type w:val="bbPlcHdr"/>
        </w:types>
        <w:behaviors>
          <w:behavior w:val="content"/>
        </w:behaviors>
        <w:description w:val=""/>
        <w:guid w:val="{6eab2aab-c297-41a7-be69-0bdbb7b56f58}"/>
      </w:docPartPr>
      <w:docPartBody>
        <w:p>
          <w:r>
            <w:rPr>
              <w:color w:val="808080"/>
            </w:rPr>
            <w:t>单击此处输入文字。</w:t>
          </w:r>
        </w:p>
      </w:docPartBody>
    </w:docPart>
    <w:docPart>
      <w:docPartPr>
        <w:name w:val="{317e7d21-3942-4502-b081-0b1455b89cef}"/>
        <w:style w:val=""/>
        <w:category>
          <w:name w:val="常规"/>
          <w:gallery w:val="placeholder"/>
        </w:category>
        <w:types>
          <w:type w:val="bbPlcHdr"/>
        </w:types>
        <w:behaviors>
          <w:behavior w:val="content"/>
        </w:behaviors>
        <w:description w:val=""/>
        <w:guid w:val="{317e7d21-3942-4502-b081-0b1455b89cef}"/>
      </w:docPartPr>
      <w:docPartBody>
        <w:p>
          <w:r>
            <w:rPr>
              <w:color w:val="808080"/>
            </w:rPr>
            <w:t>单击此处输入文字。</w:t>
          </w:r>
        </w:p>
      </w:docPartBody>
    </w:docPart>
    <w:docPart>
      <w:docPartPr>
        <w:name w:val="{f41b4bb7-112a-4091-899f-7e032d68afa5}"/>
        <w:style w:val=""/>
        <w:category>
          <w:name w:val="常规"/>
          <w:gallery w:val="placeholder"/>
        </w:category>
        <w:types>
          <w:type w:val="bbPlcHdr"/>
        </w:types>
        <w:behaviors>
          <w:behavior w:val="content"/>
        </w:behaviors>
        <w:description w:val=""/>
        <w:guid w:val="{f41b4bb7-112a-4091-899f-7e032d68afa5}"/>
      </w:docPartPr>
      <w:docPartBody>
        <w:p>
          <w:r>
            <w:rPr>
              <w:color w:val="808080"/>
            </w:rPr>
            <w:t>单击此处输入文字。</w:t>
          </w:r>
        </w:p>
      </w:docPartBody>
    </w:docPart>
    <w:docPart>
      <w:docPartPr>
        <w:name w:val="{9af1afdc-29c1-407c-9274-5e3ce0c80135}"/>
        <w:style w:val=""/>
        <w:category>
          <w:name w:val="常规"/>
          <w:gallery w:val="placeholder"/>
        </w:category>
        <w:types>
          <w:type w:val="bbPlcHdr"/>
        </w:types>
        <w:behaviors>
          <w:behavior w:val="content"/>
        </w:behaviors>
        <w:description w:val=""/>
        <w:guid w:val="{9af1afdc-29c1-407c-9274-5e3ce0c80135}"/>
      </w:docPartPr>
      <w:docPartBody>
        <w:p>
          <w:r>
            <w:rPr>
              <w:color w:val="808080"/>
            </w:rPr>
            <w:t>单击此处输入文字。</w:t>
          </w:r>
        </w:p>
      </w:docPartBody>
    </w:docPart>
    <w:docPart>
      <w:docPartPr>
        <w:name w:val="{5968600a-83b0-4e93-9ceb-216c34825b6c}"/>
        <w:style w:val=""/>
        <w:category>
          <w:name w:val="常规"/>
          <w:gallery w:val="placeholder"/>
        </w:category>
        <w:types>
          <w:type w:val="bbPlcHdr"/>
        </w:types>
        <w:behaviors>
          <w:behavior w:val="content"/>
        </w:behaviors>
        <w:description w:val=""/>
        <w:guid w:val="{5968600a-83b0-4e93-9ceb-216c34825b6c}"/>
      </w:docPartPr>
      <w:docPartBody>
        <w:p>
          <w:r>
            <w:rPr>
              <w:color w:val="808080"/>
            </w:rPr>
            <w:t>单击此处输入文字。</w:t>
          </w:r>
        </w:p>
      </w:docPartBody>
    </w:docPart>
    <w:docPart>
      <w:docPartPr>
        <w:name w:val="{66d6510d-82a9-4167-bf79-d4ca8df3e7cf}"/>
        <w:style w:val=""/>
        <w:category>
          <w:name w:val="常规"/>
          <w:gallery w:val="placeholder"/>
        </w:category>
        <w:types>
          <w:type w:val="bbPlcHdr"/>
        </w:types>
        <w:behaviors>
          <w:behavior w:val="content"/>
        </w:behaviors>
        <w:description w:val=""/>
        <w:guid w:val="{66d6510d-82a9-4167-bf79-d4ca8df3e7cf}"/>
      </w:docPartPr>
      <w:docPartBody>
        <w:p>
          <w:r>
            <w:rPr>
              <w:color w:val="808080"/>
            </w:rPr>
            <w:t>单击此处输入文字。</w:t>
          </w:r>
        </w:p>
      </w:docPartBody>
    </w:docPart>
    <w:docPart>
      <w:docPartPr>
        <w:name w:val="{e5a632e5-07d5-4748-b01a-564dab49b07a}"/>
        <w:style w:val=""/>
        <w:category>
          <w:name w:val="常规"/>
          <w:gallery w:val="placeholder"/>
        </w:category>
        <w:types>
          <w:type w:val="bbPlcHdr"/>
        </w:types>
        <w:behaviors>
          <w:behavior w:val="content"/>
        </w:behaviors>
        <w:description w:val=""/>
        <w:guid w:val="{e5a632e5-07d5-4748-b01a-564dab49b07a}"/>
      </w:docPartPr>
      <w:docPartBody>
        <w:p>
          <w:r>
            <w:rPr>
              <w:color w:val="808080"/>
            </w:rPr>
            <w:t>单击此处输入文字。</w:t>
          </w:r>
        </w:p>
      </w:docPartBody>
    </w:docPart>
    <w:docPart>
      <w:docPartPr>
        <w:name w:val="{697a10cb-536c-4f29-b607-a79dbe7b206e}"/>
        <w:style w:val=""/>
        <w:category>
          <w:name w:val="常规"/>
          <w:gallery w:val="placeholder"/>
        </w:category>
        <w:types>
          <w:type w:val="bbPlcHdr"/>
        </w:types>
        <w:behaviors>
          <w:behavior w:val="content"/>
        </w:behaviors>
        <w:description w:val=""/>
        <w:guid w:val="{697a10cb-536c-4f29-b607-a79dbe7b206e}"/>
      </w:docPartPr>
      <w:docPartBody>
        <w:p>
          <w:r>
            <w:rPr>
              <w:color w:val="808080"/>
            </w:rPr>
            <w:t>单击此处输入文字。</w:t>
          </w:r>
        </w:p>
      </w:docPartBody>
    </w:docPart>
    <w:docPart>
      <w:docPartPr>
        <w:name w:val="{284a03a9-6fb8-472a-8038-c3dc8ed5a47e}"/>
        <w:style w:val=""/>
        <w:category>
          <w:name w:val="常规"/>
          <w:gallery w:val="placeholder"/>
        </w:category>
        <w:types>
          <w:type w:val="bbPlcHdr"/>
        </w:types>
        <w:behaviors>
          <w:behavior w:val="content"/>
        </w:behaviors>
        <w:description w:val=""/>
        <w:guid w:val="{284a03a9-6fb8-472a-8038-c3dc8ed5a47e}"/>
      </w:docPartPr>
      <w:docPartBody>
        <w:p>
          <w:r>
            <w:rPr>
              <w:color w:val="808080"/>
            </w:rPr>
            <w:t>单击此处输入文字。</w:t>
          </w:r>
        </w:p>
      </w:docPartBody>
    </w:docPart>
    <w:docPart>
      <w:docPartPr>
        <w:name w:val="{e9b6490f-7306-42a3-b149-f2c3fdd9e4ae}"/>
        <w:style w:val=""/>
        <w:category>
          <w:name w:val="常规"/>
          <w:gallery w:val="placeholder"/>
        </w:category>
        <w:types>
          <w:type w:val="bbPlcHdr"/>
        </w:types>
        <w:behaviors>
          <w:behavior w:val="content"/>
        </w:behaviors>
        <w:description w:val=""/>
        <w:guid w:val="{e9b6490f-7306-42a3-b149-f2c3fdd9e4ae}"/>
      </w:docPartPr>
      <w:docPartBody>
        <w:p>
          <w:r>
            <w:rPr>
              <w:color w:val="808080"/>
            </w:rPr>
            <w:t>单击此处输入文字。</w:t>
          </w:r>
        </w:p>
      </w:docPartBody>
    </w:docPart>
    <w:docPart>
      <w:docPartPr>
        <w:name w:val="{c2341021-e1ec-44f7-bf93-c22d7593b6fa}"/>
        <w:style w:val=""/>
        <w:category>
          <w:name w:val="常规"/>
          <w:gallery w:val="placeholder"/>
        </w:category>
        <w:types>
          <w:type w:val="bbPlcHdr"/>
        </w:types>
        <w:behaviors>
          <w:behavior w:val="content"/>
        </w:behaviors>
        <w:description w:val=""/>
        <w:guid w:val="{c2341021-e1ec-44f7-bf93-c22d7593b6fa}"/>
      </w:docPartPr>
      <w:docPartBody>
        <w:p>
          <w:r>
            <w:rPr>
              <w:color w:val="808080"/>
            </w:rPr>
            <w:t>单击此处输入文字。</w:t>
          </w:r>
        </w:p>
      </w:docPartBody>
    </w:docPart>
    <w:docPart>
      <w:docPartPr>
        <w:name w:val="{ea7515df-d29b-46ae-aa47-8f0258ba5ce4}"/>
        <w:style w:val=""/>
        <w:category>
          <w:name w:val="常规"/>
          <w:gallery w:val="placeholder"/>
        </w:category>
        <w:types>
          <w:type w:val="bbPlcHdr"/>
        </w:types>
        <w:behaviors>
          <w:behavior w:val="content"/>
        </w:behaviors>
        <w:description w:val=""/>
        <w:guid w:val="{ea7515df-d29b-46ae-aa47-8f0258ba5ce4}"/>
      </w:docPartPr>
      <w:docPartBody>
        <w:p>
          <w:r>
            <w:rPr>
              <w:color w:val="808080"/>
            </w:rPr>
            <w:t>单击此处输入文字。</w:t>
          </w:r>
        </w:p>
      </w:docPartBody>
    </w:docPart>
    <w:docPart>
      <w:docPartPr>
        <w:name w:val="{4f685fa4-81f1-4a94-9ac5-7a662f70039a}"/>
        <w:style w:val=""/>
        <w:category>
          <w:name w:val="常规"/>
          <w:gallery w:val="placeholder"/>
        </w:category>
        <w:types>
          <w:type w:val="bbPlcHdr"/>
        </w:types>
        <w:behaviors>
          <w:behavior w:val="content"/>
        </w:behaviors>
        <w:description w:val=""/>
        <w:guid w:val="{4f685fa4-81f1-4a94-9ac5-7a662f70039a}"/>
      </w:docPartPr>
      <w:docPartBody>
        <w:p>
          <w:r>
            <w:rPr>
              <w:color w:val="808080"/>
            </w:rPr>
            <w:t>单击此处输入文字。</w:t>
          </w:r>
        </w:p>
      </w:docPartBody>
    </w:docPart>
    <w:docPart>
      <w:docPartPr>
        <w:name w:val="{bd624c45-5542-46ad-bb1c-005d4d186411}"/>
        <w:style w:val=""/>
        <w:category>
          <w:name w:val="常规"/>
          <w:gallery w:val="placeholder"/>
        </w:category>
        <w:types>
          <w:type w:val="bbPlcHdr"/>
        </w:types>
        <w:behaviors>
          <w:behavior w:val="content"/>
        </w:behaviors>
        <w:description w:val=""/>
        <w:guid w:val="{bd624c45-5542-46ad-bb1c-005d4d186411}"/>
      </w:docPartPr>
      <w:docPartBody>
        <w:p>
          <w:r>
            <w:rPr>
              <w:color w:val="808080"/>
            </w:rPr>
            <w:t>单击此处输入文字。</w:t>
          </w:r>
        </w:p>
      </w:docPartBody>
    </w:docPart>
    <w:docPart>
      <w:docPartPr>
        <w:name w:val="{57f5ed47-58e5-4e51-b75a-641d0cc5a08e}"/>
        <w:style w:val=""/>
        <w:category>
          <w:name w:val="常规"/>
          <w:gallery w:val="placeholder"/>
        </w:category>
        <w:types>
          <w:type w:val="bbPlcHdr"/>
        </w:types>
        <w:behaviors>
          <w:behavior w:val="content"/>
        </w:behaviors>
        <w:description w:val=""/>
        <w:guid w:val="{57f5ed47-58e5-4e51-b75a-641d0cc5a08e}"/>
      </w:docPartPr>
      <w:docPartBody>
        <w:p>
          <w:r>
            <w:rPr>
              <w:color w:val="808080"/>
            </w:rPr>
            <w:t>单击此处输入文字。</w:t>
          </w:r>
        </w:p>
      </w:docPartBody>
    </w:docPart>
    <w:docPart>
      <w:docPartPr>
        <w:name w:val="{9af66ca9-be8a-439c-859d-5f2caab1fd43}"/>
        <w:style w:val=""/>
        <w:category>
          <w:name w:val="常规"/>
          <w:gallery w:val="placeholder"/>
        </w:category>
        <w:types>
          <w:type w:val="bbPlcHdr"/>
        </w:types>
        <w:behaviors>
          <w:behavior w:val="content"/>
        </w:behaviors>
        <w:description w:val=""/>
        <w:guid w:val="{9af66ca9-be8a-439c-859d-5f2caab1fd43}"/>
      </w:docPartPr>
      <w:docPartBody>
        <w:p>
          <w:r>
            <w:rPr>
              <w:color w:val="808080"/>
            </w:rPr>
            <w:t>单击此处输入文字。</w:t>
          </w:r>
        </w:p>
      </w:docPartBody>
    </w:docPart>
    <w:docPart>
      <w:docPartPr>
        <w:name w:val="{bbad435e-b8c8-4470-a8f2-6d0f46d1f3e6}"/>
        <w:style w:val=""/>
        <w:category>
          <w:name w:val="常规"/>
          <w:gallery w:val="placeholder"/>
        </w:category>
        <w:types>
          <w:type w:val="bbPlcHdr"/>
        </w:types>
        <w:behaviors>
          <w:behavior w:val="content"/>
        </w:behaviors>
        <w:description w:val=""/>
        <w:guid w:val="{bbad435e-b8c8-4470-a8f2-6d0f46d1f3e6}"/>
      </w:docPartPr>
      <w:docPartBody>
        <w:p>
          <w:r>
            <w:rPr>
              <w:color w:val="808080"/>
            </w:rPr>
            <w:t>单击此处输入文字。</w:t>
          </w:r>
        </w:p>
      </w:docPartBody>
    </w:docPart>
    <w:docPart>
      <w:docPartPr>
        <w:name w:val="{9abf204d-e3cc-49e8-a6a6-34a377635b58}"/>
        <w:style w:val=""/>
        <w:category>
          <w:name w:val="常规"/>
          <w:gallery w:val="placeholder"/>
        </w:category>
        <w:types>
          <w:type w:val="bbPlcHdr"/>
        </w:types>
        <w:behaviors>
          <w:behavior w:val="content"/>
        </w:behaviors>
        <w:description w:val=""/>
        <w:guid w:val="{9abf204d-e3cc-49e8-a6a6-34a377635b58}"/>
      </w:docPartPr>
      <w:docPartBody>
        <w:p>
          <w:r>
            <w:rPr>
              <w:color w:val="808080"/>
            </w:rPr>
            <w:t>单击此处输入文字。</w:t>
          </w:r>
        </w:p>
      </w:docPartBody>
    </w:docPart>
    <w:docPart>
      <w:docPartPr>
        <w:name w:val="{de3b5288-c1d5-4706-8fdb-93c3ecd09d19}"/>
        <w:style w:val=""/>
        <w:category>
          <w:name w:val="常规"/>
          <w:gallery w:val="placeholder"/>
        </w:category>
        <w:types>
          <w:type w:val="bbPlcHdr"/>
        </w:types>
        <w:behaviors>
          <w:behavior w:val="content"/>
        </w:behaviors>
        <w:description w:val=""/>
        <w:guid w:val="{de3b5288-c1d5-4706-8fdb-93c3ecd09d19}"/>
      </w:docPartPr>
      <w:docPartBody>
        <w:p>
          <w:r>
            <w:rPr>
              <w:color w:val="808080"/>
            </w:rPr>
            <w:t>单击此处输入文字。</w:t>
          </w:r>
        </w:p>
      </w:docPartBody>
    </w:docPart>
    <w:docPart>
      <w:docPartPr>
        <w:name w:val="{6dfa979b-7e51-4869-9609-708c2f7a60df}"/>
        <w:style w:val=""/>
        <w:category>
          <w:name w:val="常规"/>
          <w:gallery w:val="placeholder"/>
        </w:category>
        <w:types>
          <w:type w:val="bbPlcHdr"/>
        </w:types>
        <w:behaviors>
          <w:behavior w:val="content"/>
        </w:behaviors>
        <w:description w:val=""/>
        <w:guid w:val="{6dfa979b-7e51-4869-9609-708c2f7a60df}"/>
      </w:docPartPr>
      <w:docPartBody>
        <w:p>
          <w:r>
            <w:rPr>
              <w:color w:val="808080"/>
            </w:rPr>
            <w:t>单击此处输入文字。</w:t>
          </w:r>
        </w:p>
      </w:docPartBody>
    </w:docPart>
    <w:docPart>
      <w:docPartPr>
        <w:name w:val="{4638dc41-f31a-45a6-8fd7-727ab0bc9cde}"/>
        <w:style w:val=""/>
        <w:category>
          <w:name w:val="常规"/>
          <w:gallery w:val="placeholder"/>
        </w:category>
        <w:types>
          <w:type w:val="bbPlcHdr"/>
        </w:types>
        <w:behaviors>
          <w:behavior w:val="content"/>
        </w:behaviors>
        <w:description w:val=""/>
        <w:guid w:val="{4638dc41-f31a-45a6-8fd7-727ab0bc9cde}"/>
      </w:docPartPr>
      <w:docPartBody>
        <w:p>
          <w:r>
            <w:rPr>
              <w:color w:val="808080"/>
            </w:rPr>
            <w:t>单击此处输入文字。</w:t>
          </w:r>
        </w:p>
      </w:docPartBody>
    </w:docPart>
    <w:docPart>
      <w:docPartPr>
        <w:name w:val="{cfd9bff9-529f-47e2-ac1f-92490f346748}"/>
        <w:style w:val=""/>
        <w:category>
          <w:name w:val="常规"/>
          <w:gallery w:val="placeholder"/>
        </w:category>
        <w:types>
          <w:type w:val="bbPlcHdr"/>
        </w:types>
        <w:behaviors>
          <w:behavior w:val="content"/>
        </w:behaviors>
        <w:description w:val=""/>
        <w:guid w:val="{cfd9bff9-529f-47e2-ac1f-92490f346748}"/>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3</TotalTime>
  <ScaleCrop>false</ScaleCrop>
  <LinksUpToDate>false</LinksUpToDate>
  <CharactersWithSpaces>8587</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ruijie</cp:lastModifiedBy>
  <cp:lastPrinted>2020-07-23T10:58:00Z</cp:lastPrinted>
  <dcterms:modified xsi:type="dcterms:W3CDTF">2025-04-11T15:03:51Z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C9559927BB10F168D7BEF86754A5F6E5</vt:lpwstr>
  </property>
</Properties>
</file>