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4" w:name="_GoBack"/>
      <w:bookmarkEnd w:id="74"/>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475"/>
      <w:bookmarkStart w:id="3" w:name="_Toc15378441"/>
      <w:bookmarkStart w:id="4" w:name="_Toc15377425"/>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8442"/>
      <w:bookmarkStart w:id="7" w:name="_Toc15396476"/>
      <w:bookmarkStart w:id="8" w:name="_Toc15377194"/>
      <w:bookmarkStart w:id="9" w:name="_Toc15396598"/>
      <w:bookmarkStart w:id="10" w:name="_Toc1537742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阿坝州红原县</w:t>
      </w:r>
    </w:p>
    <w:p>
      <w:pPr>
        <w:tabs>
          <w:tab w:val="left" w:pos="4410"/>
        </w:tabs>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医疗保险管理局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pStyle w:val="2"/>
        <w:jc w:val="center"/>
        <w:rPr>
          <w:rFonts w:ascii="黑体" w:hAnsi="黑体" w:eastAsia="黑体" w:cstheme="minorBidi"/>
          <w:sz w:val="28"/>
          <w:szCs w:val="2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ind w:firstLine="280" w:firstLineChars="100"/>
        <w:jc w:val="both"/>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fldChar w:fldCharType="end"/>
      </w:r>
    </w:p>
    <w:p>
      <w:pPr>
        <w:pStyle w:val="10"/>
        <w:ind w:firstLine="280" w:firstLineChars="100"/>
        <w:jc w:val="both"/>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ind w:firstLine="280" w:firstLineChars="100"/>
        <w:jc w:val="both"/>
        <w:rPr>
          <w:rFonts w:hint="eastAsia" w:eastAsia="仿宋" w:cstheme="minorBidi"/>
          <w:lang w:val="en-US" w:eastAsia="zh-CN"/>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fldChar w:fldCharType="end"/>
      </w:r>
    </w:p>
    <w:p>
      <w:pPr>
        <w:pStyle w:val="10"/>
        <w:ind w:firstLine="280" w:firstLineChars="100"/>
        <w:jc w:val="both"/>
        <w:rPr>
          <w:rFonts w:hint="eastAsia" w:eastAsia="仿宋" w:cstheme="minorBidi"/>
          <w:lang w:val="en-US" w:eastAsia="zh-CN"/>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fldChar w:fldCharType="end"/>
      </w:r>
    </w:p>
    <w:p>
      <w:pPr>
        <w:pStyle w:val="11"/>
        <w:ind w:left="0" w:leftChars="0" w:firstLine="210" w:firstLineChars="100"/>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fldChar w:fldCharType="end"/>
      </w:r>
    </w:p>
    <w:p>
      <w:pPr>
        <w:pStyle w:val="10"/>
        <w:ind w:firstLine="280" w:firstLineChars="100"/>
        <w:jc w:val="both"/>
        <w:rPr>
          <w:rFonts w:hint="eastAsia" w:eastAsia="仿宋" w:cstheme="minorBidi"/>
          <w:lang w:val="en-US" w:eastAsia="zh-CN"/>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fldChar w:fldCharType="end"/>
      </w:r>
    </w:p>
    <w:p>
      <w:pPr>
        <w:pStyle w:val="11"/>
        <w:ind w:left="0" w:leftChars="0" w:firstLine="280" w:firstLineChars="100"/>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jc w:val="left"/>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fldChar w:fldCharType="end"/>
      </w:r>
    </w:p>
    <w:p>
      <w:pPr>
        <w:ind w:firstLine="320" w:firstLineChars="100"/>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十四、整体支出绩效评价打分表</w:t>
      </w:r>
    </w:p>
    <w:p>
      <w:pPr>
        <w:rPr>
          <w:rFonts w:hint="eastAsia" w:eastAsia="仿宋"/>
          <w:lang w:val="en-US" w:eastAsia="zh-CN"/>
        </w:rPr>
      </w:pP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pPr>
        <w:snapToGrid w:val="0"/>
        <w:spacing w:line="520" w:lineRule="exact"/>
        <w:ind w:firstLine="640" w:firstLineChars="200"/>
        <w:rPr>
          <w:rFonts w:hint="eastAsia" w:ascii="仿宋_GB2312" w:hAnsi="仿宋" w:eastAsia="仿宋_GB2312"/>
          <w:sz w:val="32"/>
          <w:szCs w:val="32"/>
        </w:rPr>
      </w:pPr>
      <w:bookmarkStart w:id="18" w:name="_Toc15377199"/>
      <w:bookmarkStart w:id="19" w:name="_Toc15378446"/>
      <w:r>
        <w:rPr>
          <w:rFonts w:hint="eastAsia" w:ascii="仿宋_GB2312" w:hAnsi="仿宋" w:eastAsia="仿宋_GB2312"/>
          <w:sz w:val="32"/>
          <w:szCs w:val="32"/>
        </w:rPr>
        <w:t>1．主要职能。</w:t>
      </w:r>
      <w:r>
        <w:rPr>
          <w:rFonts w:hint="eastAsia" w:ascii="仿宋_GB2312" w:hAnsi="宋体" w:eastAsia="仿宋_GB2312" w:cs="宋体"/>
          <w:sz w:val="30"/>
          <w:szCs w:val="30"/>
        </w:rPr>
        <w:t>全面贯彻执行基本医疗保险法律、法规和方针政策。按照有关政策和制度，负责对全县参保单位和职工、城镇居民缴纳医疗保险基金的核定、征收、管理；办理所有参保单位和居民参保手续；负责全县参保职工和城镇居民医疗费用的审核、报销、支付工作；承担医疗保险的各项调查、统计、上报工作。负责定点医院和定点药店的管理和监督。</w:t>
      </w:r>
    </w:p>
    <w:p>
      <w:pPr>
        <w:pStyle w:val="5"/>
        <w:adjustRightInd w:val="0"/>
        <w:snapToGrid w:val="0"/>
        <w:spacing w:before="93" w:line="600" w:lineRule="exact"/>
        <w:ind w:firstLine="320" w:firstLineChars="10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numPr>
          <w:ilvl w:val="0"/>
          <w:numId w:val="1"/>
        </w:numPr>
        <w:snapToGrid w:val="0"/>
        <w:spacing w:line="520" w:lineRule="exact"/>
        <w:ind w:firstLine="600" w:firstLineChars="200"/>
        <w:rPr>
          <w:rFonts w:hint="eastAsia" w:ascii="仿宋_GB2312" w:hAnsi="宋体" w:eastAsia="仿宋_GB2312" w:cs="宋体"/>
          <w:sz w:val="30"/>
          <w:szCs w:val="30"/>
        </w:rPr>
      </w:pPr>
      <w:bookmarkStart w:id="20" w:name="_Toc15396601"/>
      <w:bookmarkStart w:id="21" w:name="_Toc15377200"/>
      <w:r>
        <w:rPr>
          <w:rFonts w:hint="eastAsia" w:ascii="仿宋_GB2312" w:hAnsi="宋体" w:eastAsia="仿宋_GB2312" w:cs="宋体"/>
          <w:sz w:val="30"/>
          <w:szCs w:val="30"/>
        </w:rPr>
        <w:t>加大城乡居民医疗保险政策宣传力度，努力引导广大牧民群众提高参保意识，全面完成了2018年城乡居民基本医疗保险征收任务。</w:t>
      </w:r>
    </w:p>
    <w:p>
      <w:pPr>
        <w:numPr>
          <w:ilvl w:val="0"/>
          <w:numId w:val="1"/>
        </w:numPr>
        <w:snapToGrid w:val="0"/>
        <w:spacing w:line="520" w:lineRule="exact"/>
        <w:ind w:firstLine="600" w:firstLineChars="200"/>
        <w:rPr>
          <w:rFonts w:hint="eastAsia" w:ascii="仿宋_GB2312" w:hAnsi="仿宋" w:eastAsia="仿宋_GB2312"/>
          <w:sz w:val="32"/>
          <w:szCs w:val="32"/>
        </w:rPr>
      </w:pPr>
      <w:r>
        <w:rPr>
          <w:rFonts w:hint="eastAsia" w:ascii="仿宋_GB2312" w:hAnsi="宋体" w:eastAsia="仿宋_GB2312" w:cs="宋体"/>
          <w:sz w:val="30"/>
          <w:szCs w:val="30"/>
        </w:rPr>
        <w:t>加强学习，不断提升经办人员业务素质，在熟练准确掌握和运用医疗保险知识及政策的同时，增强工作责任心，实事求是，秉公办事，不断提高办事效率。</w:t>
      </w:r>
    </w:p>
    <w:p>
      <w:pPr>
        <w:numPr>
          <w:ilvl w:val="0"/>
          <w:numId w:val="1"/>
        </w:numPr>
        <w:snapToGrid w:val="0"/>
        <w:spacing w:line="520" w:lineRule="exact"/>
        <w:ind w:firstLine="600" w:firstLineChars="200"/>
        <w:rPr>
          <w:rFonts w:hint="eastAsia" w:ascii="仿宋_GB2312" w:hAnsi="仿宋" w:eastAsia="仿宋_GB2312"/>
          <w:sz w:val="32"/>
          <w:szCs w:val="32"/>
        </w:rPr>
      </w:pPr>
      <w:r>
        <w:rPr>
          <w:rFonts w:hint="eastAsia" w:ascii="仿宋_GB2312" w:hAnsi="宋体" w:eastAsia="仿宋_GB2312" w:cs="宋体"/>
          <w:sz w:val="30"/>
          <w:szCs w:val="30"/>
        </w:rPr>
        <w:t>落实“两定”监管工作，进一步加强对县内定点医疗机构的监督管理工作，认真签订“两定协议”，严格控制医疗费用的不合理增长，规范医疗服务行为，确保参保人员的合法权益。</w:t>
      </w:r>
    </w:p>
    <w:p>
      <w:pPr>
        <w:pStyle w:val="3"/>
        <w:ind w:firstLine="640" w:firstLineChars="200"/>
        <w:rPr>
          <w:rStyle w:val="27"/>
          <w:b w:val="0"/>
          <w:bCs w:val="0"/>
        </w:rPr>
      </w:pPr>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snapToGrid w:val="0"/>
        <w:spacing w:line="520" w:lineRule="exact"/>
        <w:ind w:firstLine="900" w:firstLineChars="300"/>
        <w:rPr>
          <w:rFonts w:hint="eastAsia" w:ascii="仿宋_GB2312" w:hAnsi="仿宋" w:eastAsia="仿宋_GB2312"/>
          <w:sz w:val="32"/>
          <w:szCs w:val="32"/>
        </w:rPr>
      </w:pPr>
      <w:r>
        <w:rPr>
          <w:rFonts w:hint="eastAsia" w:ascii="仿宋_GB2312" w:hAnsi="宋体" w:eastAsia="仿宋_GB2312" w:cs="宋体"/>
          <w:sz w:val="30"/>
          <w:szCs w:val="30"/>
        </w:rPr>
        <w:t>我单位为独立核算财政全额拨款参公单位，内设办公室、财务股、统筹股、审核结算股、稽核股等股室。</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人员情况，</w:t>
      </w:r>
      <w:r>
        <w:rPr>
          <w:rFonts w:hint="eastAsia" w:ascii="仿宋_GB2312" w:hAnsi="宋体" w:eastAsia="仿宋_GB2312" w:cs="宋体"/>
          <w:sz w:val="30"/>
          <w:szCs w:val="30"/>
        </w:rPr>
        <w:t>截止2018年底我单位共有编制</w:t>
      </w:r>
      <w:r>
        <w:rPr>
          <w:rFonts w:hint="eastAsia" w:ascii="仿宋_GB2312" w:hAnsi="宋体" w:eastAsia="仿宋_GB2312" w:cs="宋体"/>
          <w:sz w:val="30"/>
          <w:szCs w:val="30"/>
          <w:lang w:val="en-US" w:eastAsia="zh-CN"/>
        </w:rPr>
        <w:t>22</w:t>
      </w:r>
      <w:r>
        <w:rPr>
          <w:rFonts w:hint="eastAsia" w:ascii="仿宋_GB2312" w:hAnsi="宋体" w:eastAsia="仿宋_GB2312" w:cs="宋体"/>
          <w:sz w:val="30"/>
          <w:szCs w:val="30"/>
        </w:rPr>
        <w:t>个，其中公务员（参公）编制11个，行政工勤编制0个，在职</w:t>
      </w:r>
      <w:r>
        <w:rPr>
          <w:rFonts w:hint="eastAsia" w:ascii="仿宋_GB2312" w:hAnsi="宋体" w:eastAsia="仿宋_GB2312" w:cs="宋体"/>
          <w:sz w:val="30"/>
          <w:szCs w:val="30"/>
          <w:lang w:val="en-US" w:eastAsia="zh-CN"/>
        </w:rPr>
        <w:t>21</w:t>
      </w:r>
      <w:r>
        <w:rPr>
          <w:rFonts w:hint="eastAsia" w:ascii="仿宋_GB2312" w:hAnsi="宋体" w:eastAsia="仿宋_GB2312" w:cs="宋体"/>
          <w:sz w:val="30"/>
          <w:szCs w:val="30"/>
        </w:rPr>
        <w:t>人，其中参公</w:t>
      </w:r>
      <w:r>
        <w:rPr>
          <w:rFonts w:hint="eastAsia" w:ascii="仿宋_GB2312" w:hAnsi="宋体" w:eastAsia="仿宋_GB2312" w:cs="宋体"/>
          <w:sz w:val="30"/>
          <w:szCs w:val="30"/>
          <w:lang w:val="en-US" w:eastAsia="zh-CN"/>
        </w:rPr>
        <w:t>11</w:t>
      </w:r>
      <w:r>
        <w:rPr>
          <w:rFonts w:hint="eastAsia" w:ascii="仿宋_GB2312" w:hAnsi="宋体" w:eastAsia="仿宋_GB2312" w:cs="宋体"/>
          <w:sz w:val="30"/>
          <w:szCs w:val="30"/>
        </w:rPr>
        <w:t>人，工勤1个，</w:t>
      </w:r>
      <w:r>
        <w:rPr>
          <w:rFonts w:hint="eastAsia" w:ascii="仿宋_GB2312" w:hAnsi="宋体" w:eastAsia="仿宋_GB2312" w:cs="宋体"/>
          <w:sz w:val="30"/>
          <w:szCs w:val="30"/>
          <w:lang w:eastAsia="zh-CN"/>
        </w:rPr>
        <w:t>事业</w:t>
      </w:r>
      <w:r>
        <w:rPr>
          <w:rFonts w:hint="eastAsia" w:ascii="仿宋_GB2312" w:hAnsi="宋体" w:eastAsia="仿宋_GB2312" w:cs="宋体"/>
          <w:sz w:val="30"/>
          <w:szCs w:val="30"/>
          <w:lang w:val="en-US" w:eastAsia="zh-CN"/>
        </w:rPr>
        <w:t>10人</w:t>
      </w:r>
      <w:r>
        <w:rPr>
          <w:rFonts w:hint="eastAsia" w:ascii="仿宋_GB2312" w:hAnsi="宋体" w:eastAsia="仿宋_GB2312" w:cs="宋体"/>
          <w:sz w:val="30"/>
          <w:szCs w:val="30"/>
        </w:rPr>
        <w:t>。2018年新招录两名参公人员</w:t>
      </w:r>
      <w:r>
        <w:rPr>
          <w:rFonts w:hint="eastAsia" w:ascii="仿宋_GB2312" w:hAnsi="仿宋" w:eastAsia="仿宋_GB2312"/>
          <w:sz w:val="32"/>
          <w:szCs w:val="32"/>
        </w:rPr>
        <w:t>。</w:t>
      </w:r>
    </w:p>
    <w:p>
      <w:pPr>
        <w:snapToGrid w:val="0"/>
        <w:spacing w:line="520" w:lineRule="exact"/>
        <w:ind w:firstLine="640" w:firstLineChars="200"/>
        <w:rPr>
          <w:rFonts w:hint="eastAsia" w:ascii="仿宋_GB2312" w:hAnsi="仿宋" w:eastAsia="仿宋_GB2312"/>
          <w:sz w:val="32"/>
          <w:szCs w:val="32"/>
        </w:rPr>
      </w:pPr>
    </w:p>
    <w:p>
      <w:pPr>
        <w:pStyle w:val="2"/>
        <w:ind w:right="440"/>
        <w:jc w:val="right"/>
        <w:rPr>
          <w:rStyle w:val="26"/>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2"/>
      <w:bookmarkEnd w:id="23"/>
    </w:p>
    <w:p/>
    <w:p>
      <w:pPr>
        <w:pStyle w:val="25"/>
        <w:numPr>
          <w:ilvl w:val="0"/>
          <w:numId w:val="2"/>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2018年度我单位</w:t>
      </w:r>
      <w:r>
        <w:rPr>
          <w:rFonts w:hint="eastAsia" w:ascii="仿宋_GB2312" w:hAnsi="仿宋" w:eastAsia="仿宋_GB2312"/>
          <w:sz w:val="32"/>
          <w:szCs w:val="32"/>
          <w:lang w:eastAsia="zh-CN"/>
        </w:rPr>
        <w:t>总</w:t>
      </w:r>
      <w:r>
        <w:rPr>
          <w:rFonts w:hint="eastAsia" w:ascii="仿宋_GB2312" w:hAnsi="仿宋" w:eastAsia="仿宋_GB2312"/>
          <w:sz w:val="32"/>
          <w:szCs w:val="32"/>
        </w:rPr>
        <w:t>收入共计</w:t>
      </w:r>
      <w:r>
        <w:rPr>
          <w:rFonts w:hint="eastAsia" w:ascii="仿宋_GB2312" w:hAnsi="仿宋" w:eastAsia="仿宋_GB2312"/>
          <w:sz w:val="32"/>
          <w:szCs w:val="32"/>
          <w:lang w:val="en-US" w:eastAsia="zh-CN"/>
        </w:rPr>
        <w:t>330.05万</w:t>
      </w:r>
      <w:r>
        <w:rPr>
          <w:rFonts w:hint="eastAsia" w:ascii="仿宋_GB2312" w:hAnsi="仿宋" w:eastAsia="仿宋_GB2312"/>
          <w:sz w:val="32"/>
          <w:szCs w:val="32"/>
        </w:rPr>
        <w:t>元，</w:t>
      </w:r>
      <w:r>
        <w:rPr>
          <w:rFonts w:hint="eastAsia" w:ascii="仿宋_GB2312" w:hAnsi="仿宋" w:eastAsia="仿宋_GB2312"/>
          <w:sz w:val="32"/>
          <w:szCs w:val="32"/>
          <w:lang w:eastAsia="zh-CN"/>
        </w:rPr>
        <w:t>与</w:t>
      </w:r>
      <w:r>
        <w:rPr>
          <w:rFonts w:hint="eastAsia" w:ascii="仿宋_GB2312" w:hAnsi="仿宋" w:eastAsia="仿宋_GB2312"/>
          <w:sz w:val="32"/>
          <w:szCs w:val="32"/>
          <w:lang w:val="en-US" w:eastAsia="zh-CN"/>
        </w:rPr>
        <w:t>2017年相比，收入</w:t>
      </w:r>
      <w:r>
        <w:rPr>
          <w:rFonts w:hint="eastAsia" w:ascii="仿宋_GB2312" w:hAnsi="仿宋" w:eastAsia="仿宋_GB2312"/>
          <w:sz w:val="32"/>
          <w:szCs w:val="32"/>
          <w:lang w:eastAsia="zh-CN"/>
        </w:rPr>
        <w:t>增加了</w:t>
      </w:r>
      <w:r>
        <w:rPr>
          <w:rFonts w:hint="eastAsia" w:ascii="仿宋_GB2312" w:hAnsi="仿宋" w:eastAsia="仿宋_GB2312"/>
          <w:sz w:val="32"/>
          <w:szCs w:val="32"/>
          <w:lang w:val="en-US" w:eastAsia="zh-CN"/>
        </w:rPr>
        <w:t>78.38万元，增长率31.14%。</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人员增加，经费增加</w:t>
      </w:r>
      <w:r>
        <w:rPr>
          <w:rFonts w:hint="eastAsia" w:ascii="仿宋" w:hAnsi="仿宋" w:eastAsia="仿宋"/>
          <w:color w:val="000000"/>
          <w:sz w:val="32"/>
          <w:szCs w:val="32"/>
          <w:lang w:val="en-US" w:eastAsia="zh-CN"/>
        </w:rPr>
        <w:t>。2018年我单位</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334.78万元，</w:t>
      </w:r>
      <w:r>
        <w:rPr>
          <w:rFonts w:hint="eastAsia" w:ascii="仿宋" w:hAnsi="仿宋" w:eastAsia="仿宋"/>
          <w:color w:val="000000"/>
          <w:sz w:val="32"/>
          <w:szCs w:val="32"/>
        </w:rPr>
        <w:t>与2017年相比，支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89.24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36.34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2018年红原县医保局人员增加，人员经费标准提高，经费支出增加。</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ind w:firstLine="420" w:firstLineChars="200"/>
        <w:rPr>
          <w:rFonts w:hint="default" w:ascii="仿宋" w:hAnsi="仿宋" w:eastAsia="仿宋"/>
          <w:color w:val="000000"/>
          <w:sz w:val="32"/>
          <w:szCs w:val="32"/>
          <w:lang w:val="en-US" w:eastAsia="zh-CN"/>
        </w:rPr>
      </w:pPr>
      <w:r>
        <w:drawing>
          <wp:inline distT="0" distB="0" distL="114300" distR="114300">
            <wp:extent cx="4572635" cy="2743200"/>
            <wp:effectExtent l="4445" t="4445" r="13970" b="14605"/>
            <wp:docPr id="102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rPr>
          <w:rFonts w:hint="default" w:ascii="仿宋" w:hAnsi="仿宋" w:eastAsia="仿宋"/>
          <w:color w:val="000000"/>
          <w:sz w:val="32"/>
          <w:szCs w:val="32"/>
          <w:lang w:val="en-US"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5"/>
        <w:numPr>
          <w:ilvl w:val="0"/>
          <w:numId w:val="2"/>
        </w:numPr>
        <w:spacing w:line="600"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330.05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330.05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年初收入结转结余6.38万元。</w:t>
      </w:r>
    </w:p>
    <w:p>
      <w:pPr>
        <w:spacing w:line="600" w:lineRule="exact"/>
        <w:ind w:firstLine="640" w:firstLineChars="200"/>
        <w:outlineLvl w:val="1"/>
        <w:rPr>
          <w:rFonts w:hint="eastAsia" w:ascii="仿宋" w:hAnsi="仿宋" w:eastAsia="仿宋"/>
          <w:color w:val="000000"/>
          <w:sz w:val="32"/>
          <w:szCs w:val="32"/>
          <w:lang w:eastAsia="zh-CN"/>
        </w:rPr>
      </w:pPr>
    </w:p>
    <w:p>
      <w:pPr>
        <w:spacing w:line="240" w:lineRule="auto"/>
        <w:ind w:firstLine="420" w:firstLineChars="200"/>
        <w:outlineLvl w:val="1"/>
        <w:rPr>
          <w:rFonts w:hint="eastAsia" w:ascii="仿宋" w:hAnsi="仿宋" w:eastAsia="仿宋"/>
          <w:color w:val="000000"/>
          <w:sz w:val="32"/>
          <w:szCs w:val="32"/>
          <w:lang w:eastAsia="zh-CN"/>
        </w:rPr>
      </w:pPr>
      <w:r>
        <w:drawing>
          <wp:inline distT="0" distB="0" distL="114300" distR="114300">
            <wp:extent cx="4572000" cy="2743200"/>
            <wp:effectExtent l="4445" t="4445" r="14605" b="1460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5"/>
        <w:numPr>
          <w:ilvl w:val="0"/>
          <w:numId w:val="2"/>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334.78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334.78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2018年年末支出结转和结余1.65万元。</w:t>
      </w:r>
    </w:p>
    <w:p>
      <w:pPr>
        <w:spacing w:line="240" w:lineRule="auto"/>
        <w:ind w:firstLine="640"/>
        <w:rPr>
          <w:rFonts w:hint="eastAsia" w:ascii="仿宋" w:hAnsi="仿宋" w:eastAsia="仿宋"/>
          <w:color w:val="000000" w:themeColor="text1"/>
          <w:sz w:val="32"/>
          <w:szCs w:val="32"/>
          <w14:textFill>
            <w14:solidFill>
              <w14:schemeClr w14:val="tx1"/>
            </w14:solidFill>
          </w14:textFill>
        </w:rPr>
      </w:pPr>
      <w:r>
        <w:drawing>
          <wp:inline distT="0" distB="0" distL="114300" distR="114300">
            <wp:extent cx="4572000" cy="2743200"/>
            <wp:effectExtent l="4445" t="4445" r="14605" b="14605"/>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（图3：支出决算结构图）（饼状图）</w:t>
      </w:r>
    </w:p>
    <w:p>
      <w:pPr>
        <w:numPr>
          <w:ilvl w:val="0"/>
          <w:numId w:val="2"/>
        </w:numPr>
        <w:spacing w:line="600" w:lineRule="exact"/>
        <w:ind w:left="1360" w:leftChars="0" w:hanging="720" w:firstLineChars="0"/>
        <w:outlineLvl w:val="1"/>
        <w:rPr>
          <w:rStyle w:val="27"/>
          <w:rFonts w:hint="eastAsia" w:ascii="黑体" w:hAnsi="黑体" w:eastAsia="黑体"/>
          <w:b w:val="0"/>
        </w:rPr>
      </w:pPr>
      <w:bookmarkStart w:id="30" w:name="_Toc15396606"/>
      <w:bookmarkStart w:id="31" w:name="_Toc15377208"/>
      <w:r>
        <w:rPr>
          <w:rFonts w:hint="eastAsia" w:ascii="黑体" w:hAnsi="黑体" w:eastAsia="黑体"/>
          <w:color w:val="000000"/>
          <w:sz w:val="32"/>
          <w:szCs w:val="32"/>
        </w:rPr>
        <w:t>财</w:t>
      </w:r>
      <w:r>
        <w:rPr>
          <w:rStyle w:val="27"/>
          <w:rFonts w:hint="eastAsia" w:ascii="黑体" w:hAnsi="黑体" w:eastAsia="黑体"/>
          <w:b w:val="0"/>
        </w:rPr>
        <w:t>政拨款收入支出决算总体情况说明</w:t>
      </w:r>
      <w:bookmarkEnd w:id="30"/>
      <w:bookmarkEnd w:id="31"/>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2018年度我单位</w:t>
      </w:r>
      <w:r>
        <w:rPr>
          <w:rFonts w:hint="eastAsia" w:ascii="仿宋_GB2312" w:hAnsi="仿宋" w:eastAsia="仿宋_GB2312"/>
          <w:sz w:val="32"/>
          <w:szCs w:val="32"/>
          <w:lang w:eastAsia="zh-CN"/>
        </w:rPr>
        <w:t>总</w:t>
      </w:r>
      <w:r>
        <w:rPr>
          <w:rFonts w:hint="eastAsia" w:ascii="仿宋_GB2312" w:hAnsi="仿宋" w:eastAsia="仿宋_GB2312"/>
          <w:sz w:val="32"/>
          <w:szCs w:val="32"/>
        </w:rPr>
        <w:t>收入共计</w:t>
      </w:r>
      <w:r>
        <w:rPr>
          <w:rFonts w:hint="eastAsia" w:ascii="仿宋_GB2312" w:hAnsi="仿宋" w:eastAsia="仿宋_GB2312"/>
          <w:sz w:val="32"/>
          <w:szCs w:val="32"/>
          <w:lang w:val="en-US" w:eastAsia="zh-CN"/>
        </w:rPr>
        <w:t>330.05万</w:t>
      </w:r>
      <w:r>
        <w:rPr>
          <w:rFonts w:hint="eastAsia" w:ascii="仿宋_GB2312" w:hAnsi="仿宋" w:eastAsia="仿宋_GB2312"/>
          <w:sz w:val="32"/>
          <w:szCs w:val="32"/>
        </w:rPr>
        <w:t>元，</w:t>
      </w:r>
      <w:r>
        <w:rPr>
          <w:rFonts w:hint="eastAsia" w:ascii="仿宋_GB2312" w:hAnsi="仿宋" w:eastAsia="仿宋_GB2312"/>
          <w:sz w:val="32"/>
          <w:szCs w:val="32"/>
          <w:lang w:eastAsia="zh-CN"/>
        </w:rPr>
        <w:t>与</w:t>
      </w:r>
      <w:r>
        <w:rPr>
          <w:rFonts w:hint="eastAsia" w:ascii="仿宋_GB2312" w:hAnsi="仿宋" w:eastAsia="仿宋_GB2312"/>
          <w:sz w:val="32"/>
          <w:szCs w:val="32"/>
          <w:lang w:val="en-US" w:eastAsia="zh-CN"/>
        </w:rPr>
        <w:t>2017年相比，收入</w:t>
      </w:r>
      <w:r>
        <w:rPr>
          <w:rFonts w:hint="eastAsia" w:ascii="仿宋_GB2312" w:hAnsi="仿宋" w:eastAsia="仿宋_GB2312"/>
          <w:sz w:val="32"/>
          <w:szCs w:val="32"/>
          <w:lang w:eastAsia="zh-CN"/>
        </w:rPr>
        <w:t>增加了</w:t>
      </w:r>
      <w:r>
        <w:rPr>
          <w:rFonts w:hint="eastAsia" w:ascii="仿宋_GB2312" w:hAnsi="仿宋" w:eastAsia="仿宋_GB2312"/>
          <w:sz w:val="32"/>
          <w:szCs w:val="32"/>
          <w:lang w:val="en-US" w:eastAsia="zh-CN"/>
        </w:rPr>
        <w:t>78.38万元，增长率31.14%。</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人员增加，经费增加</w:t>
      </w:r>
      <w:r>
        <w:rPr>
          <w:rFonts w:hint="eastAsia" w:ascii="仿宋" w:hAnsi="仿宋" w:eastAsia="仿宋"/>
          <w:color w:val="000000"/>
          <w:sz w:val="32"/>
          <w:szCs w:val="32"/>
          <w:lang w:val="en-US" w:eastAsia="zh-CN"/>
        </w:rPr>
        <w:t>。2018年我单位</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334.78万元，</w:t>
      </w:r>
      <w:r>
        <w:rPr>
          <w:rFonts w:hint="eastAsia" w:ascii="仿宋" w:hAnsi="仿宋" w:eastAsia="仿宋"/>
          <w:color w:val="000000"/>
          <w:sz w:val="32"/>
          <w:szCs w:val="32"/>
        </w:rPr>
        <w:t>与2017年相比，支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89.24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36.34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2018年红原县医保局人员增加，人员经费标准提高，经费支出增加。</w:t>
      </w:r>
    </w:p>
    <w:p>
      <w:pPr>
        <w:numPr>
          <w:ilvl w:val="0"/>
          <w:numId w:val="0"/>
        </w:numPr>
        <w:spacing w:line="600" w:lineRule="exact"/>
        <w:outlineLvl w:val="1"/>
        <w:rPr>
          <w:rStyle w:val="27"/>
          <w:rFonts w:hint="eastAsia" w:ascii="黑体" w:hAnsi="黑体" w:eastAsia="黑体"/>
          <w:b w:val="0"/>
        </w:rPr>
      </w:pPr>
    </w:p>
    <w:p>
      <w:pPr>
        <w:numPr>
          <w:ilvl w:val="0"/>
          <w:numId w:val="0"/>
        </w:numPr>
        <w:spacing w:line="240" w:lineRule="auto"/>
        <w:outlineLvl w:val="1"/>
        <w:rPr>
          <w:rStyle w:val="27"/>
          <w:rFonts w:hint="eastAsia" w:ascii="黑体" w:hAnsi="黑体" w:eastAsia="黑体"/>
          <w:b w:val="0"/>
        </w:rPr>
      </w:pPr>
      <w:r>
        <w:drawing>
          <wp:inline distT="0" distB="0" distL="114300" distR="114300">
            <wp:extent cx="4572000" cy="2743200"/>
            <wp:effectExtent l="4445" t="4445" r="14605" b="14605"/>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hAnsi="仿宋" w:eastAsia="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334.78</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89.24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36.34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2018年红原县医保局人员增加，人员经费标准提高，经费支出增加。</w:t>
      </w:r>
    </w:p>
    <w:p>
      <w:pPr>
        <w:spacing w:line="240" w:lineRule="auto"/>
        <w:ind w:firstLine="420" w:firstLineChars="200"/>
        <w:rPr>
          <w:rFonts w:hint="eastAsia" w:ascii="仿宋" w:hAnsi="仿宋" w:eastAsia="仿宋"/>
          <w:color w:val="000000"/>
          <w:sz w:val="32"/>
          <w:szCs w:val="32"/>
          <w:lang w:val="en-US" w:eastAsia="zh-CN"/>
        </w:rPr>
      </w:pPr>
      <w:r>
        <w:drawing>
          <wp:inline distT="0" distB="0" distL="114300" distR="114300">
            <wp:extent cx="4572000" cy="2743200"/>
            <wp:effectExtent l="4445" t="4445" r="14605" b="1460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334.79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299.31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89.4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13.69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21.79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240" w:lineRule="auto"/>
        <w:rPr>
          <w:rFonts w:hint="eastAsia" w:ascii="仿宋" w:hAnsi="仿宋" w:eastAsia="仿宋"/>
          <w:color w:val="000000" w:themeColor="text1"/>
          <w:sz w:val="32"/>
          <w:szCs w:val="32"/>
          <w:lang w:eastAsia="zh-CN"/>
          <w14:textFill>
            <w14:solidFill>
              <w14:schemeClr w14:val="tx1"/>
            </w14:solidFill>
          </w14:textFill>
        </w:rPr>
      </w:pPr>
      <w:r>
        <w:drawing>
          <wp:inline distT="0" distB="0" distL="114300" distR="114300">
            <wp:extent cx="4572000" cy="2743200"/>
            <wp:effectExtent l="4445" t="4445" r="14605" b="14605"/>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240" w:lineRule="auto"/>
        <w:rPr>
          <w:rFonts w:hint="eastAsia" w:ascii="仿宋" w:hAnsi="仿宋" w:eastAsia="仿宋"/>
          <w:color w:val="000000" w:themeColor="text1"/>
          <w:sz w:val="32"/>
          <w:szCs w:val="32"/>
          <w:lang w:eastAsia="zh-CN"/>
          <w14:textFill>
            <w14:solidFill>
              <w14:schemeClr w14:val="tx1"/>
            </w14:solidFill>
          </w14:textFill>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444"/>
      <w:bookmarkStart w:id="39" w:name="_Toc15377213"/>
      <w:r>
        <w:rPr>
          <w:rFonts w:hint="eastAsia" w:ascii="仿宋" w:hAnsi="仿宋" w:eastAsia="仿宋"/>
          <w:b/>
          <w:color w:val="000000" w:themeColor="text1"/>
          <w:sz w:val="32"/>
          <w:szCs w:val="32"/>
          <w14:textFill>
            <w14:solidFill>
              <w14:schemeClr w14:val="tx1"/>
            </w14:solidFill>
          </w14:textFill>
        </w:rPr>
        <w:t>2018年般公共预算支出决算数为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334.79</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321" w:firstLineChars="1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p>
    <w:p>
      <w:pPr>
        <w:numPr>
          <w:ilvl w:val="0"/>
          <w:numId w:val="0"/>
        </w:numPr>
        <w:spacing w:line="600" w:lineRule="exact"/>
        <w:ind w:firstLine="640" w:firstLineChars="200"/>
        <w:rPr>
          <w:rFonts w:ascii="仿宋" w:hAnsi="仿宋" w:eastAsia="仿宋"/>
          <w:b/>
          <w:color w:val="000000"/>
          <w:sz w:val="32"/>
          <w:szCs w:val="32"/>
        </w:rPr>
      </w:pPr>
      <w:r>
        <w:rPr>
          <w:rStyle w:val="15"/>
          <w:rFonts w:hint="eastAsia" w:ascii="仿宋" w:hAnsi="仿宋" w:eastAsia="仿宋"/>
          <w:b w:val="0"/>
          <w:bCs/>
          <w:color w:val="000000"/>
          <w:sz w:val="32"/>
          <w:szCs w:val="32"/>
          <w:lang w:val="en-US" w:eastAsia="zh-CN"/>
        </w:rPr>
        <w:t>2080505</w:t>
      </w:r>
      <w:r>
        <w:rPr>
          <w:rStyle w:val="15"/>
          <w:rFonts w:hint="eastAsia" w:ascii="仿宋" w:hAnsi="仿宋" w:eastAsia="仿宋"/>
          <w:b w:val="0"/>
          <w:bCs/>
          <w:color w:val="000000"/>
          <w:sz w:val="32"/>
          <w:szCs w:val="32"/>
          <w:lang w:eastAsia="zh-CN"/>
        </w:rPr>
        <w:t>机关事业单位基本养老保险缴费支出</w:t>
      </w:r>
      <w:r>
        <w:rPr>
          <w:rStyle w:val="15"/>
          <w:rFonts w:hint="eastAsia" w:ascii="仿宋" w:hAnsi="仿宋" w:eastAsia="仿宋"/>
          <w:b w:val="0"/>
          <w:bCs/>
          <w:color w:val="000000"/>
          <w:sz w:val="32"/>
          <w:szCs w:val="32"/>
          <w:lang w:val="en-US" w:eastAsia="zh-CN"/>
        </w:rPr>
        <w:t>33.41万元，</w:t>
      </w:r>
      <w:r>
        <w:rPr>
          <w:rStyle w:val="15"/>
          <w:rFonts w:hint="eastAsia" w:ascii="仿宋" w:hAnsi="仿宋" w:eastAsia="仿宋"/>
          <w:b w:val="0"/>
          <w:bCs w:val="0"/>
          <w:color w:val="000000"/>
          <w:sz w:val="32"/>
          <w:szCs w:val="32"/>
        </w:rPr>
        <w:t>完成预算</w:t>
      </w:r>
      <w:r>
        <w:rPr>
          <w:rStyle w:val="15"/>
          <w:rFonts w:hint="eastAsia" w:ascii="仿宋" w:hAnsi="仿宋" w:eastAsia="仿宋"/>
          <w:b w:val="0"/>
          <w:bCs w:val="0"/>
          <w:color w:val="000000"/>
          <w:sz w:val="32"/>
          <w:szCs w:val="32"/>
          <w:lang w:val="en-US" w:eastAsia="zh-CN"/>
        </w:rPr>
        <w:t>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r>
        <w:rPr>
          <w:rStyle w:val="15"/>
          <w:rFonts w:hint="eastAsia" w:ascii="仿宋" w:hAnsi="仿宋" w:eastAsia="仿宋"/>
          <w:b w:val="0"/>
          <w:bCs w:val="0"/>
          <w:color w:val="000000"/>
          <w:sz w:val="32"/>
          <w:szCs w:val="32"/>
          <w:lang w:val="en-US" w:eastAsia="zh-CN"/>
        </w:rPr>
        <w:t>2080506</w:t>
      </w:r>
      <w:r>
        <w:rPr>
          <w:rStyle w:val="15"/>
          <w:rFonts w:hint="eastAsia" w:ascii="仿宋" w:hAnsi="仿宋" w:eastAsia="仿宋"/>
          <w:b w:val="0"/>
          <w:bCs/>
          <w:color w:val="000000"/>
          <w:sz w:val="32"/>
          <w:szCs w:val="32"/>
          <w:lang w:eastAsia="zh-CN"/>
        </w:rPr>
        <w:t>机关事业单位职业年金缴费支出</w:t>
      </w:r>
      <w:r>
        <w:rPr>
          <w:rStyle w:val="15"/>
          <w:rFonts w:hint="eastAsia" w:ascii="仿宋" w:hAnsi="仿宋" w:eastAsia="仿宋"/>
          <w:b w:val="0"/>
          <w:bCs/>
          <w:color w:val="000000"/>
          <w:sz w:val="32"/>
          <w:szCs w:val="32"/>
          <w:lang w:val="en-US" w:eastAsia="zh-CN"/>
        </w:rPr>
        <w:t>12.16万元，完成预算100%。20801人力资源和社会保障管理事务253.74万元，</w:t>
      </w:r>
      <w:r>
        <w:rPr>
          <w:rStyle w:val="15"/>
          <w:rFonts w:hint="eastAsia" w:ascii="仿宋" w:hAnsi="仿宋" w:eastAsia="仿宋"/>
          <w:b w:val="0"/>
          <w:bCs w:val="0"/>
          <w:color w:val="000000"/>
          <w:sz w:val="32"/>
          <w:szCs w:val="32"/>
          <w:lang w:eastAsia="zh-CN"/>
        </w:rPr>
        <w:t>合计</w:t>
      </w:r>
      <w:r>
        <w:rPr>
          <w:rStyle w:val="15"/>
          <w:rFonts w:hint="eastAsia" w:ascii="仿宋" w:hAnsi="仿宋" w:eastAsia="仿宋"/>
          <w:b w:val="0"/>
          <w:bCs w:val="0"/>
          <w:color w:val="000000"/>
          <w:sz w:val="32"/>
          <w:szCs w:val="32"/>
        </w:rPr>
        <w:t>支出决算为</w:t>
      </w:r>
      <w:r>
        <w:rPr>
          <w:rStyle w:val="15"/>
          <w:rFonts w:hint="eastAsia" w:ascii="仿宋" w:hAnsi="仿宋" w:eastAsia="仿宋"/>
          <w:b w:val="0"/>
          <w:bCs w:val="0"/>
          <w:color w:val="000000"/>
          <w:sz w:val="32"/>
          <w:szCs w:val="32"/>
          <w:lang w:val="en-US" w:eastAsia="zh-CN"/>
        </w:rPr>
        <w:t>299.31</w:t>
      </w:r>
      <w:r>
        <w:rPr>
          <w:rStyle w:val="15"/>
          <w:rFonts w:hint="eastAsia" w:ascii="仿宋" w:hAnsi="仿宋" w:eastAsia="仿宋"/>
          <w:b w:val="0"/>
          <w:bCs w:val="0"/>
          <w:color w:val="000000"/>
          <w:sz w:val="32"/>
          <w:szCs w:val="32"/>
        </w:rPr>
        <w:t>万元</w:t>
      </w:r>
      <w:r>
        <w:rPr>
          <w:rStyle w:val="15"/>
          <w:rFonts w:hint="eastAsia" w:ascii="仿宋" w:hAnsi="仿宋" w:eastAsia="仿宋"/>
          <w:b w:val="0"/>
          <w:bCs w:val="0"/>
          <w:color w:val="000000"/>
          <w:sz w:val="32"/>
          <w:szCs w:val="32"/>
          <w:lang w:val="en-US" w:eastAsia="zh-CN"/>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严格按照财政拨款支出要求严格控制相关支出</w:t>
      </w:r>
      <w:r>
        <w:rPr>
          <w:rStyle w:val="15"/>
          <w:rFonts w:hint="eastAsia" w:ascii="仿宋" w:hAnsi="仿宋" w:eastAsia="仿宋"/>
          <w:b w:val="0"/>
          <w:bCs/>
          <w:color w:val="000000"/>
          <w:sz w:val="32"/>
          <w:szCs w:val="32"/>
        </w:rPr>
        <w:t>。</w:t>
      </w:r>
    </w:p>
    <w:p>
      <w:pPr>
        <w:spacing w:line="600" w:lineRule="exact"/>
        <w:ind w:firstLine="321" w:firstLineChars="100"/>
        <w:rPr>
          <w:rStyle w:val="15"/>
          <w:rFonts w:hint="eastAsia" w:ascii="仿宋" w:hAnsi="仿宋" w:eastAsia="仿宋"/>
          <w:bCs/>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医疗卫生与计划生育</w:t>
      </w:r>
    </w:p>
    <w:p>
      <w:pPr>
        <w:numPr>
          <w:ilvl w:val="0"/>
          <w:numId w:val="0"/>
        </w:numPr>
        <w:spacing w:line="600" w:lineRule="exact"/>
        <w:ind w:firstLine="640" w:firstLineChars="200"/>
        <w:rPr>
          <w:rFonts w:ascii="仿宋" w:hAnsi="仿宋" w:eastAsia="仿宋"/>
          <w:b/>
          <w:color w:val="000000"/>
          <w:sz w:val="32"/>
          <w:szCs w:val="32"/>
        </w:rPr>
      </w:pPr>
      <w:r>
        <w:rPr>
          <w:rStyle w:val="15"/>
          <w:rFonts w:hint="eastAsia" w:ascii="仿宋" w:hAnsi="仿宋" w:eastAsia="仿宋"/>
          <w:b w:val="0"/>
          <w:bCs w:val="0"/>
          <w:color w:val="000000"/>
          <w:sz w:val="32"/>
          <w:szCs w:val="32"/>
          <w:lang w:val="en-US" w:eastAsia="zh-CN"/>
        </w:rPr>
        <w:t>2101101</w:t>
      </w:r>
      <w:r>
        <w:rPr>
          <w:rStyle w:val="15"/>
          <w:rFonts w:hint="eastAsia" w:ascii="仿宋" w:hAnsi="仿宋" w:eastAsia="仿宋"/>
          <w:b w:val="0"/>
          <w:bCs w:val="0"/>
          <w:color w:val="000000"/>
          <w:sz w:val="32"/>
          <w:szCs w:val="32"/>
          <w:lang w:eastAsia="zh-CN"/>
        </w:rPr>
        <w:t>行政单位医疗支出</w:t>
      </w:r>
      <w:r>
        <w:rPr>
          <w:rStyle w:val="15"/>
          <w:rFonts w:hint="eastAsia" w:ascii="仿宋" w:hAnsi="仿宋" w:eastAsia="仿宋"/>
          <w:b w:val="0"/>
          <w:bCs w:val="0"/>
          <w:color w:val="000000"/>
          <w:sz w:val="32"/>
          <w:szCs w:val="32"/>
          <w:lang w:val="en-US" w:eastAsia="zh-CN"/>
        </w:rPr>
        <w:t>5.85万元，完成预算100%；2101102事业</w:t>
      </w:r>
      <w:r>
        <w:rPr>
          <w:rStyle w:val="15"/>
          <w:rFonts w:hint="eastAsia" w:ascii="仿宋" w:hAnsi="仿宋" w:eastAsia="仿宋"/>
          <w:b w:val="0"/>
          <w:bCs w:val="0"/>
          <w:color w:val="000000"/>
          <w:sz w:val="32"/>
          <w:szCs w:val="32"/>
          <w:lang w:eastAsia="zh-CN"/>
        </w:rPr>
        <w:t>单位医疗支出</w:t>
      </w:r>
      <w:r>
        <w:rPr>
          <w:rStyle w:val="15"/>
          <w:rFonts w:hint="eastAsia" w:ascii="仿宋" w:hAnsi="仿宋" w:eastAsia="仿宋"/>
          <w:b w:val="0"/>
          <w:bCs w:val="0"/>
          <w:color w:val="000000"/>
          <w:sz w:val="32"/>
          <w:szCs w:val="32"/>
          <w:lang w:val="en-US" w:eastAsia="zh-CN"/>
        </w:rPr>
        <w:t>5.32万元，完成预算100%；2101103</w:t>
      </w:r>
      <w:r>
        <w:rPr>
          <w:rStyle w:val="15"/>
          <w:rFonts w:hint="eastAsia" w:ascii="仿宋" w:hAnsi="仿宋" w:eastAsia="仿宋"/>
          <w:b w:val="0"/>
          <w:bCs w:val="0"/>
          <w:color w:val="000000"/>
          <w:sz w:val="32"/>
          <w:szCs w:val="32"/>
          <w:lang w:eastAsia="zh-CN"/>
        </w:rPr>
        <w:t>公务员医疗补助支出</w:t>
      </w:r>
      <w:r>
        <w:rPr>
          <w:rStyle w:val="15"/>
          <w:rFonts w:hint="eastAsia" w:ascii="仿宋" w:hAnsi="仿宋" w:eastAsia="仿宋"/>
          <w:b w:val="0"/>
          <w:bCs w:val="0"/>
          <w:color w:val="000000"/>
          <w:sz w:val="32"/>
          <w:szCs w:val="32"/>
          <w:lang w:val="en-US" w:eastAsia="zh-CN"/>
        </w:rPr>
        <w:t>1.32万元，完成预算100%；2101199其他</w:t>
      </w:r>
      <w:r>
        <w:rPr>
          <w:rStyle w:val="15"/>
          <w:rFonts w:hint="eastAsia" w:ascii="仿宋" w:hAnsi="仿宋" w:eastAsia="仿宋"/>
          <w:b w:val="0"/>
          <w:bCs w:val="0"/>
          <w:color w:val="000000"/>
          <w:sz w:val="32"/>
          <w:szCs w:val="32"/>
          <w:lang w:eastAsia="zh-CN"/>
        </w:rPr>
        <w:t>行政事业单位医疗支</w:t>
      </w:r>
      <w:r>
        <w:rPr>
          <w:rStyle w:val="15"/>
          <w:rFonts w:hint="eastAsia" w:ascii="仿宋" w:hAnsi="仿宋" w:eastAsia="仿宋"/>
          <w:b w:val="0"/>
          <w:bCs w:val="0"/>
          <w:color w:val="000000"/>
          <w:sz w:val="32"/>
          <w:szCs w:val="32"/>
          <w:lang w:val="en-US" w:eastAsia="zh-CN"/>
        </w:rPr>
        <w:t>1.2万元，完成预算100%；</w:t>
      </w:r>
      <w:r>
        <w:rPr>
          <w:rStyle w:val="15"/>
          <w:rFonts w:hint="eastAsia" w:ascii="仿宋" w:hAnsi="仿宋" w:eastAsia="仿宋"/>
          <w:b w:val="0"/>
          <w:bCs w:val="0"/>
          <w:color w:val="000000"/>
          <w:sz w:val="32"/>
          <w:szCs w:val="32"/>
          <w:lang w:eastAsia="zh-CN"/>
        </w:rPr>
        <w:t>合计</w:t>
      </w:r>
      <w:r>
        <w:rPr>
          <w:rStyle w:val="15"/>
          <w:rFonts w:hint="eastAsia" w:ascii="仿宋" w:hAnsi="仿宋" w:eastAsia="仿宋"/>
          <w:b w:val="0"/>
          <w:bCs w:val="0"/>
          <w:color w:val="000000"/>
          <w:sz w:val="32"/>
          <w:szCs w:val="32"/>
        </w:rPr>
        <w:t>支出决算为</w:t>
      </w:r>
      <w:r>
        <w:rPr>
          <w:rStyle w:val="15"/>
          <w:rFonts w:hint="eastAsia" w:ascii="仿宋" w:hAnsi="仿宋" w:eastAsia="仿宋"/>
          <w:b w:val="0"/>
          <w:bCs w:val="0"/>
          <w:color w:val="000000"/>
          <w:sz w:val="32"/>
          <w:szCs w:val="32"/>
          <w:lang w:val="en-US" w:eastAsia="zh-CN"/>
        </w:rPr>
        <w:t>13.69</w:t>
      </w:r>
      <w:r>
        <w:rPr>
          <w:rStyle w:val="15"/>
          <w:rFonts w:hint="eastAsia" w:ascii="仿宋" w:hAnsi="仿宋" w:eastAsia="仿宋"/>
          <w:b w:val="0"/>
          <w:bCs w:val="0"/>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严格按照财政拨款支出要求严格控制相关支出</w:t>
      </w:r>
      <w:r>
        <w:rPr>
          <w:rStyle w:val="15"/>
          <w:rFonts w:hint="eastAsia" w:ascii="仿宋" w:hAnsi="仿宋" w:eastAsia="仿宋"/>
          <w:b w:val="0"/>
          <w:bCs/>
          <w:color w:val="000000"/>
          <w:sz w:val="32"/>
          <w:szCs w:val="32"/>
        </w:rPr>
        <w:t>。</w:t>
      </w:r>
    </w:p>
    <w:p>
      <w:pPr>
        <w:numPr>
          <w:ilvl w:val="0"/>
          <w:numId w:val="0"/>
        </w:numPr>
        <w:spacing w:line="600" w:lineRule="exact"/>
        <w:ind w:firstLine="643" w:firstLineChars="200"/>
        <w:rPr>
          <w:rStyle w:val="15"/>
          <w:rFonts w:hint="eastAsia" w:ascii="仿宋" w:hAnsi="仿宋" w:eastAsia="仿宋"/>
          <w:bCs/>
          <w:color w:val="000000"/>
          <w:sz w:val="32"/>
          <w:szCs w:val="32"/>
          <w:lang w:eastAsia="zh-CN"/>
        </w:rPr>
      </w:pPr>
      <w:r>
        <w:rPr>
          <w:rStyle w:val="15"/>
          <w:rFonts w:hint="eastAsia" w:ascii="仿宋" w:hAnsi="仿宋" w:eastAsia="仿宋"/>
          <w:bCs/>
          <w:color w:val="000000"/>
          <w:sz w:val="32"/>
          <w:szCs w:val="32"/>
          <w:lang w:val="en-US" w:eastAsia="zh-CN"/>
        </w:rPr>
        <w:t>3.</w:t>
      </w:r>
      <w:r>
        <w:rPr>
          <w:rStyle w:val="15"/>
          <w:rFonts w:hint="eastAsia" w:ascii="仿宋" w:hAnsi="仿宋" w:eastAsia="仿宋"/>
          <w:bCs/>
          <w:color w:val="000000"/>
          <w:sz w:val="32"/>
          <w:szCs w:val="32"/>
          <w:lang w:eastAsia="zh-CN"/>
        </w:rPr>
        <w:t>住房保障支出</w:t>
      </w:r>
    </w:p>
    <w:p>
      <w:pPr>
        <w:numPr>
          <w:ilvl w:val="0"/>
          <w:numId w:val="0"/>
        </w:numPr>
        <w:spacing w:line="600" w:lineRule="exact"/>
        <w:ind w:firstLine="640" w:firstLineChars="200"/>
        <w:rPr>
          <w:rFonts w:ascii="仿宋" w:hAnsi="仿宋" w:eastAsia="仿宋"/>
          <w:b/>
          <w:color w:val="000000"/>
          <w:sz w:val="32"/>
          <w:szCs w:val="32"/>
        </w:rPr>
      </w:pPr>
      <w:r>
        <w:rPr>
          <w:rStyle w:val="15"/>
          <w:rFonts w:hint="eastAsia" w:ascii="仿宋" w:hAnsi="仿宋" w:eastAsia="仿宋"/>
          <w:b w:val="0"/>
          <w:bCs w:val="0"/>
          <w:color w:val="000000"/>
          <w:sz w:val="32"/>
          <w:szCs w:val="32"/>
          <w:lang w:val="en-US" w:eastAsia="zh-CN"/>
        </w:rPr>
        <w:t>2210201</w:t>
      </w:r>
      <w:r>
        <w:rPr>
          <w:rStyle w:val="15"/>
          <w:rFonts w:hint="eastAsia" w:ascii="仿宋" w:hAnsi="仿宋" w:eastAsia="仿宋"/>
          <w:b w:val="0"/>
          <w:bCs w:val="0"/>
          <w:color w:val="000000"/>
          <w:sz w:val="32"/>
          <w:szCs w:val="32"/>
          <w:lang w:eastAsia="zh-CN"/>
        </w:rPr>
        <w:t>住房公积金支出</w:t>
      </w:r>
      <w:r>
        <w:rPr>
          <w:rStyle w:val="15"/>
          <w:rFonts w:hint="eastAsia" w:ascii="仿宋" w:hAnsi="仿宋" w:eastAsia="仿宋"/>
          <w:b w:val="0"/>
          <w:bCs w:val="0"/>
          <w:color w:val="000000"/>
          <w:sz w:val="32"/>
          <w:szCs w:val="32"/>
          <w:lang w:val="en-US" w:eastAsia="zh-CN"/>
        </w:rPr>
        <w:t>21.79万元，</w:t>
      </w:r>
      <w:r>
        <w:rPr>
          <w:rStyle w:val="15"/>
          <w:rFonts w:hint="eastAsia" w:ascii="仿宋" w:hAnsi="仿宋" w:eastAsia="仿宋"/>
          <w:b w:val="0"/>
          <w:bCs w:val="0"/>
          <w:color w:val="000000"/>
          <w:sz w:val="32"/>
          <w:szCs w:val="32"/>
        </w:rPr>
        <w:t>完成预算</w:t>
      </w:r>
      <w:r>
        <w:rPr>
          <w:rStyle w:val="15"/>
          <w:rFonts w:hint="eastAsia" w:ascii="仿宋" w:hAnsi="仿宋" w:eastAsia="仿宋"/>
          <w:b w:val="0"/>
          <w:bCs w:val="0"/>
          <w:color w:val="000000"/>
          <w:sz w:val="32"/>
          <w:szCs w:val="32"/>
          <w:lang w:val="en-US" w:eastAsia="zh-CN"/>
        </w:rPr>
        <w:t>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rPr>
        <w:t>，决算数等于预算数的主要原因是</w:t>
      </w:r>
      <w:r>
        <w:rPr>
          <w:rStyle w:val="15"/>
          <w:rFonts w:hint="eastAsia" w:ascii="仿宋" w:hAnsi="仿宋" w:eastAsia="仿宋"/>
          <w:b w:val="0"/>
          <w:bCs w:val="0"/>
          <w:color w:val="000000"/>
          <w:sz w:val="32"/>
          <w:szCs w:val="32"/>
          <w:lang w:eastAsia="zh-CN"/>
        </w:rPr>
        <w:t>严格按照财</w:t>
      </w:r>
      <w:r>
        <w:rPr>
          <w:rStyle w:val="15"/>
          <w:rFonts w:hint="eastAsia" w:ascii="仿宋" w:hAnsi="仿宋" w:eastAsia="仿宋"/>
          <w:b w:val="0"/>
          <w:bCs/>
          <w:color w:val="000000"/>
          <w:sz w:val="32"/>
          <w:szCs w:val="32"/>
          <w:lang w:eastAsia="zh-CN"/>
        </w:rPr>
        <w:t>政拨款支出要求严格控制相关支出</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334.79</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310.79</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56.07万元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125.23万元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32.46万元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13.35万元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33.41万元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12.16万元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11.17万元、公务员医疗补助1.32万元、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1.13万元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2.7万元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21.79万元</w:t>
      </w:r>
      <w:r>
        <w:rPr>
          <w:rFonts w:hint="eastAsia" w:ascii="仿宋" w:hAnsi="仿宋" w:eastAsia="仿宋"/>
          <w:color w:val="000000"/>
          <w:sz w:val="32"/>
          <w:szCs w:val="32"/>
        </w:rPr>
        <w:t>支出。</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23.97</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11.42万元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2.29万元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0.16万元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9.05万元、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0.72万元、手续费0.11万元、劳务费0.22万元</w:t>
      </w:r>
      <w:r>
        <w:rPr>
          <w:rFonts w:hint="eastAsia" w:ascii="仿宋" w:hAnsi="仿宋" w:eastAsia="仿宋"/>
          <w:color w:val="000000"/>
          <w:sz w:val="32"/>
          <w:szCs w:val="32"/>
        </w:rPr>
        <w:t>。</w:t>
      </w:r>
    </w:p>
    <w:p>
      <w:pPr>
        <w:spacing w:line="600" w:lineRule="exact"/>
        <w:ind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240" w:lineRule="auto"/>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w:t>
      </w:r>
    </w:p>
    <w:p>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r>
        <w:rPr>
          <w:rFonts w:hint="eastAsia" w:ascii="仿宋_GB2312" w:eastAsia="仿宋_GB2312"/>
          <w:color w:val="000000"/>
          <w:sz w:val="32"/>
          <w:szCs w:val="32"/>
          <w:lang w:eastAsia="zh-CN"/>
        </w:rPr>
        <w:t>，与上年持平。</w:t>
      </w:r>
    </w:p>
    <w:p>
      <w:pPr>
        <w:numPr>
          <w:ilvl w:val="0"/>
          <w:numId w:val="0"/>
        </w:numPr>
        <w:spacing w:line="600" w:lineRule="exact"/>
        <w:ind w:firstLine="643" w:firstLineChars="200"/>
        <w:rPr>
          <w:rFonts w:hint="eastAsia" w:ascii="仿宋_GB2312" w:eastAsia="仿宋_GB2312"/>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0万</w:t>
      </w:r>
      <w:r>
        <w:rPr>
          <w:rFonts w:hint="eastAsia" w:ascii="仿宋_GB2312" w:eastAsia="仿宋_GB2312"/>
          <w:color w:val="000000"/>
          <w:sz w:val="32"/>
          <w:szCs w:val="32"/>
        </w:rPr>
        <w:t>元</w:t>
      </w:r>
      <w:r>
        <w:rPr>
          <w:rFonts w:hint="eastAsia" w:ascii="仿宋_GB2312" w:eastAsia="仿宋_GB2312"/>
          <w:color w:val="000000"/>
          <w:sz w:val="32"/>
          <w:szCs w:val="32"/>
          <w:lang w:eastAsia="zh-CN"/>
        </w:rPr>
        <w:t>，与上年持平。</w:t>
      </w:r>
    </w:p>
    <w:p>
      <w:p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，与上年持平。</w:t>
      </w:r>
    </w:p>
    <w:p>
      <w:pPr>
        <w:spacing w:line="600" w:lineRule="exact"/>
        <w:ind w:firstLine="643"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3.</w:t>
      </w:r>
      <w:r>
        <w:rPr>
          <w:rFonts w:hint="eastAsia" w:ascii="仿宋_GB2312" w:eastAsia="仿宋_GB2312"/>
          <w:b/>
          <w:color w:val="000000" w:themeColor="text1"/>
          <w:sz w:val="32"/>
          <w:szCs w:val="32"/>
          <w14:textFill>
            <w14:solidFill>
              <w14:schemeClr w14:val="tx1"/>
            </w14:solidFill>
          </w14:textFill>
        </w:rPr>
        <w:t>公务接待费</w:t>
      </w:r>
      <w:r>
        <w:rPr>
          <w:rFonts w:hint="eastAsia" w:ascii="仿宋_GB2312" w:eastAsia="仿宋_GB2312"/>
          <w:b/>
          <w:color w:val="000000" w:themeColor="text1"/>
          <w:sz w:val="32"/>
          <w:szCs w:val="32"/>
          <w:lang w:val="en-US" w:eastAsia="zh-CN"/>
          <w14:textFill>
            <w14:solidFill>
              <w14:schemeClr w14:val="tx1"/>
            </w14:solidFill>
          </w14:textFill>
        </w:rPr>
        <w:t>2018年</w:t>
      </w:r>
      <w:r>
        <w:rPr>
          <w:rFonts w:hint="eastAsia" w:ascii="仿宋_GB2312" w:eastAsia="仿宋_GB2312"/>
          <w:b/>
          <w:color w:val="000000" w:themeColor="text1"/>
          <w:sz w:val="32"/>
          <w:szCs w:val="32"/>
          <w14:textFill>
            <w14:solidFill>
              <w14:schemeClr w14:val="tx1"/>
            </w14:solidFill>
          </w14:textFill>
        </w:rPr>
        <w:t>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较2017年0.1万元，减少100%，原因2018年无接待，未产生费用</w:t>
      </w:r>
    </w:p>
    <w:p>
      <w:pPr>
        <w:spacing w:line="600" w:lineRule="exact"/>
        <w:ind w:firstLine="640"/>
        <w:outlineLvl w:val="1"/>
        <w:rPr>
          <w:rFonts w:hint="eastAsia" w:ascii="仿宋_GB2312" w:eastAsia="仿宋_GB2312"/>
          <w:color w:val="000000"/>
          <w:sz w:val="32"/>
          <w:szCs w:val="32"/>
          <w:lang w:eastAsia="zh-CN"/>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bookmarkStart w:id="46" w:name="_Toc15377218"/>
      <w:bookmarkStart w:id="47" w:name="_Toc15396610"/>
      <w:r>
        <w:rPr>
          <w:rFonts w:hint="eastAsia" w:ascii="仿宋_GB2312" w:eastAsia="仿宋_GB2312"/>
          <w:color w:val="000000"/>
          <w:sz w:val="32"/>
          <w:szCs w:val="32"/>
          <w:lang w:eastAsia="zh-CN"/>
        </w:rPr>
        <w:t>。与上年持平。</w:t>
      </w:r>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5"/>
        <w:numPr>
          <w:ilvl w:val="0"/>
          <w:numId w:val="5"/>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numPr>
          <w:ilvl w:val="0"/>
          <w:numId w:val="0"/>
        </w:numPr>
        <w:spacing w:line="580" w:lineRule="exact"/>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auto"/>
          <w:sz w:val="32"/>
          <w:szCs w:val="32"/>
        </w:rPr>
        <w:t>本部门按要求对2018年部门整体支出开展绩效自评，从评价情况来看</w:t>
      </w:r>
      <w:r>
        <w:rPr>
          <w:rFonts w:hint="eastAsia" w:ascii="仿宋_GB2312" w:hAnsi="仿宋_GB2312" w:eastAsia="仿宋_GB2312" w:cs="仿宋_GB2312"/>
          <w:color w:val="000000"/>
          <w:sz w:val="32"/>
          <w:szCs w:val="32"/>
          <w:lang w:val="zh-CN"/>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val="zh-CN"/>
        </w:rPr>
        <w:t>年度我单位年初</w:t>
      </w: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sz w:val="32"/>
          <w:szCs w:val="32"/>
          <w:lang w:val="zh-CN"/>
        </w:rPr>
        <w:t>工作规划和重点工作</w:t>
      </w:r>
      <w:r>
        <w:rPr>
          <w:rFonts w:hint="eastAsia" w:ascii="仿宋_GB2312" w:hAnsi="仿宋_GB2312" w:eastAsia="仿宋_GB2312" w:cs="仿宋_GB2312"/>
          <w:color w:val="000000"/>
          <w:sz w:val="32"/>
          <w:szCs w:val="32"/>
        </w:rPr>
        <w:t>规划</w:t>
      </w:r>
      <w:r>
        <w:rPr>
          <w:rFonts w:hint="eastAsia" w:ascii="仿宋_GB2312" w:hAnsi="仿宋_GB2312" w:eastAsia="仿宋_GB2312" w:cs="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numPr>
          <w:ilvl w:val="0"/>
          <w:numId w:val="0"/>
        </w:numPr>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lang w:eastAsia="zh-CN"/>
        </w:rPr>
        <w:t>（二）</w:t>
      </w: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红原县医疗保险管理局</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018年部门整体支出绩效评价报告》见附件。</w:t>
      </w:r>
    </w:p>
    <w:p>
      <w:pPr>
        <w:spacing w:line="600" w:lineRule="exact"/>
        <w:ind w:firstLine="800" w:firstLineChars="250"/>
        <w:outlineLvl w:val="1"/>
        <w:rPr>
          <w:rFonts w:hint="eastAsia" w:ascii="仿宋_GB2312" w:hAnsi="仿宋_GB2312" w:eastAsia="仿宋_GB2312" w:cs="仿宋_GB2312"/>
          <w:sz w:val="32"/>
          <w:szCs w:val="32"/>
          <w:lang w:val="en-US" w:eastAsia="zh-CN"/>
        </w:rPr>
      </w:pPr>
      <w:bookmarkStart w:id="50" w:name="_Toc15377221"/>
      <w:bookmarkStart w:id="51" w:name="_Toc15396612"/>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2018年无项目预算拨款</w:t>
      </w:r>
    </w:p>
    <w:p>
      <w:pPr>
        <w:spacing w:line="600" w:lineRule="exact"/>
        <w:ind w:firstLine="800" w:firstLineChars="250"/>
        <w:outlineLvl w:val="1"/>
        <w:rPr>
          <w:rStyle w:val="27"/>
          <w:rFonts w:ascii="黑体" w:hAnsi="黑体" w:eastAsia="黑体"/>
        </w:rPr>
      </w:pPr>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numPr>
          <w:ilvl w:val="0"/>
          <w:numId w:val="0"/>
        </w:num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红原县医疗保险管理局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23.97</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9.97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41.59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w:t>
      </w:r>
      <w:r>
        <w:rPr>
          <w:rFonts w:hint="eastAsia" w:ascii="仿宋_GB2312" w:hAnsi="仿宋_GB2312" w:eastAsia="仿宋_GB2312" w:cs="仿宋_GB2312"/>
          <w:color w:val="000000" w:themeColor="text1"/>
          <w:sz w:val="32"/>
          <w:szCs w:val="32"/>
          <w14:textFill>
            <w14:solidFill>
              <w14:schemeClr w14:val="tx1"/>
            </w14:solidFill>
          </w14:textFill>
        </w:rPr>
        <w:t>是</w:t>
      </w:r>
      <w:r>
        <w:rPr>
          <w:rStyle w:val="15"/>
          <w:rFonts w:hint="eastAsia" w:ascii="仿宋" w:hAnsi="仿宋" w:eastAsia="仿宋"/>
          <w:b w:val="0"/>
          <w:bCs w:val="0"/>
          <w:color w:val="000000"/>
          <w:sz w:val="32"/>
          <w:szCs w:val="32"/>
          <w:lang w:eastAsia="zh-CN"/>
        </w:rPr>
        <w:t>严格按照财</w:t>
      </w:r>
      <w:r>
        <w:rPr>
          <w:rStyle w:val="15"/>
          <w:rFonts w:hint="eastAsia" w:ascii="仿宋" w:hAnsi="仿宋" w:eastAsia="仿宋"/>
          <w:b w:val="0"/>
          <w:bCs/>
          <w:color w:val="000000"/>
          <w:sz w:val="32"/>
          <w:szCs w:val="32"/>
          <w:lang w:eastAsia="zh-CN"/>
        </w:rPr>
        <w:t>政拨款支出要求严格控制相关支出，厉行节约</w:t>
      </w:r>
      <w:r>
        <w:rPr>
          <w:rStyle w:val="15"/>
          <w:rFonts w:hint="eastAsia" w:ascii="仿宋" w:hAnsi="仿宋" w:eastAsia="仿宋"/>
          <w:b w:val="0"/>
          <w:bCs/>
          <w:color w:val="000000"/>
          <w:sz w:val="32"/>
          <w:szCs w:val="32"/>
        </w:rPr>
        <w:t>。</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红原县医疗保险管理局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default" w:ascii="仿宋_GB2312" w:eastAsia="仿宋_GB2312"/>
          <w:color w:val="auto"/>
          <w:sz w:val="32"/>
          <w:szCs w:val="32"/>
          <w:lang w:val="en-US" w:eastAsia="zh-CN"/>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8年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红原县医疗保险管理无占有国有资产，</w:t>
      </w:r>
      <w:r>
        <w:rPr>
          <w:rFonts w:hint="eastAsia" w:ascii="仿宋_GB2312" w:eastAsia="仿宋_GB2312"/>
          <w:color w:val="auto"/>
          <w:sz w:val="32"/>
          <w:szCs w:val="32"/>
          <w:lang w:val="en-US" w:eastAsia="zh-CN"/>
        </w:rPr>
        <w:t>其他固定资产28.50万元。</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7"/>
        </w:numPr>
        <w:spacing w:line="600" w:lineRule="exact"/>
        <w:ind w:firstLine="663" w:firstLineChars="150"/>
        <w:jc w:val="center"/>
        <w:outlineLvl w:val="0"/>
        <w:rPr>
          <w:rStyle w:val="26"/>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：指反映各级人民团体、社会团体、群众团体以及工会、妇联、共青团组织(包括中华青年联合会)等方面的支出</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行政运行指：反映行政单位(包括实行公务员管理的事业单位)的基支本支出。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事业运行指：反映事业单位的基支本支出，不包括行政单位(包括实行公务员管理的事业单位)后勤服务中心、医务室等附属事业单位。</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其他群众团体事务支出：反映除上述项目外其他用于群众团体事务方面的支出。</w:t>
      </w:r>
    </w:p>
    <w:p>
      <w:pPr>
        <w:numPr>
          <w:ilvl w:val="0"/>
          <w:numId w:val="0"/>
        </w:numPr>
        <w:ind w:leftChars="200" w:firstLine="320" w:firstLineChars="1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10.社会保障和就业支出指：反映政府在社会保障与就业方面的支出。</w:t>
      </w:r>
    </w:p>
    <w:p>
      <w:pPr>
        <w:numPr>
          <w:ilvl w:val="0"/>
          <w:numId w:val="0"/>
        </w:numPr>
        <w:ind w:left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机关事业单位基本养老保险缴费支出指机关事业单位实施养老保险制度由单位实际缴纳的基本养老保险缴费支出。</w:t>
      </w:r>
    </w:p>
    <w:p>
      <w:pPr>
        <w:numPr>
          <w:ilvl w:val="0"/>
          <w:numId w:val="0"/>
        </w:numPr>
        <w:ind w:left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机关事业单位职业年金反映机关事业单位实施养老保险制度由单位实际缴纳的职业年金缴费支出。</w:t>
      </w:r>
    </w:p>
    <w:p>
      <w:pPr>
        <w:numPr>
          <w:ilvl w:val="0"/>
          <w:numId w:val="0"/>
        </w:numPr>
        <w:ind w:left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11.医疗卫生与计划生育支出：反映医疗卫生与计划生育、中医等管理事务方面的支出。</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行政单位医疗：反映行政事业单位医疗方面的支出。反映财政部门集中安排的行政单位基本医疗保险缴费经费,未参加医疗保险的行政单位的公费医疗经费,按国家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规定享受离休人员、红军老战士待遇人员的医疗经费。</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事业单位医疗：反映财政部门集中安排的事业单位基本医疗保险缴费经费,未参加医疗保险的事业单位的公费医疗经费,按国家规定享受离休人员待遇的医疗经费。</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公务员医疗补助指：反映财政部门集中安排的公务员医疗补助经费。</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40" w:firstLineChars="200"/>
        <w:jc w:val="left"/>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其他行政事业单位医疗支出：反映除上述项目以外的其他用于行政事业单位医疗方面的支出。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color w:val="000000"/>
          <w:sz w:val="32"/>
          <w:szCs w:val="32"/>
        </w:rPr>
      </w:pPr>
    </w:p>
    <w:p>
      <w:pPr>
        <w:spacing w:line="600" w:lineRule="exact"/>
        <w:jc w:val="both"/>
        <w:outlineLvl w:val="0"/>
        <w:rPr>
          <w:rStyle w:val="26"/>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spacing w:line="600" w:lineRule="exact"/>
        <w:jc w:val="center"/>
        <w:outlineLvl w:val="0"/>
        <w:rPr>
          <w:rStyle w:val="26"/>
        </w:rPr>
      </w:pPr>
    </w:p>
    <w:p>
      <w:pPr>
        <w:pStyle w:val="3"/>
        <w:rPr>
          <w:rFonts w:hint="eastAsia" w:ascii="仿宋_GB2312" w:hAnsi="仿宋_GB2312" w:eastAsia="仿宋_GB2312" w:cs="仿宋_GB2312"/>
          <w:sz w:val="30"/>
          <w:szCs w:val="30"/>
          <w:lang w:val="en-US"/>
        </w:rPr>
      </w:pPr>
      <w:bookmarkStart w:id="59" w:name="_Toc15396615"/>
      <w:r>
        <w:rPr>
          <w:rStyle w:val="26"/>
          <w:rFonts w:hint="eastAsia" w:ascii="仿宋" w:hAnsi="仿宋" w:eastAsia="仿宋"/>
          <w:b w:val="0"/>
          <w:bCs w:val="0"/>
          <w:sz w:val="32"/>
          <w:szCs w:val="32"/>
        </w:rPr>
        <w:t>附件1</w:t>
      </w:r>
      <w:bookmarkEnd w:id="59"/>
      <w:bookmarkStart w:id="60" w:name="_Toc15396617"/>
    </w:p>
    <w:p>
      <w:pPr>
        <w:keepNext w:val="0"/>
        <w:keepLines w:val="0"/>
        <w:widowControl/>
        <w:suppressLineNumbers w:val="0"/>
        <w:spacing w:before="0" w:beforeAutospacing="0" w:after="0" w:afterAutospacing="0" w:line="480" w:lineRule="exact"/>
        <w:ind w:left="0" w:right="0"/>
        <w:jc w:val="center"/>
        <w:rPr>
          <w:rFonts w:hint="eastAsia" w:ascii="仿宋_GB2312" w:hAnsi="仿宋_GB2312" w:eastAsia="仿宋_GB2312" w:cs="仿宋_GB2312"/>
          <w:sz w:val="30"/>
          <w:szCs w:val="30"/>
          <w:lang w:val="en-US"/>
        </w:rPr>
      </w:pPr>
      <w:r>
        <w:rPr>
          <w:rFonts w:hint="eastAsia" w:ascii="仿宋_GB2312" w:hAnsi="仿宋_GB2312" w:eastAsia="仿宋_GB2312" w:cs="仿宋_GB2312"/>
          <w:kern w:val="2"/>
          <w:sz w:val="32"/>
          <w:szCs w:val="32"/>
          <w:lang w:val="en-US" w:eastAsia="zh-CN" w:bidi="ar"/>
        </w:rPr>
        <w:t>2018年红原县医疗保险管理局整体支出绩效报告</w:t>
      </w:r>
    </w:p>
    <w:p>
      <w:pPr>
        <w:keepNext w:val="0"/>
        <w:keepLines w:val="0"/>
        <w:widowControl/>
        <w:suppressLineNumbers w:val="0"/>
        <w:spacing w:before="0" w:beforeAutospacing="0" w:after="0" w:afterAutospacing="0" w:line="480" w:lineRule="exact"/>
        <w:ind w:left="0" w:right="0"/>
        <w:jc w:val="center"/>
        <w:rPr>
          <w:rFonts w:hint="eastAsia" w:ascii="仿宋_GB2312" w:hAnsi="仿宋_GB2312" w:eastAsia="仿宋_GB2312" w:cs="仿宋_GB2312"/>
          <w:color w:val="000000"/>
          <w:kern w:val="0"/>
          <w:sz w:val="30"/>
          <w:szCs w:val="30"/>
          <w:lang w:val="en-US"/>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en-US" w:eastAsia="zh-CN" w:bidi="ar"/>
        </w:rPr>
        <w:t>一、</w:t>
      </w:r>
      <w:r>
        <w:rPr>
          <w:rFonts w:hint="eastAsia" w:ascii="仿宋_GB2312" w:hAnsi="仿宋_GB2312" w:eastAsia="仿宋_GB2312" w:cs="仿宋_GB2312"/>
          <w:color w:val="000000"/>
          <w:kern w:val="0"/>
          <w:sz w:val="32"/>
          <w:szCs w:val="32"/>
          <w:lang w:val="zh-CN" w:eastAsia="zh-CN" w:bidi="ar"/>
        </w:rPr>
        <w:t>部门概况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（一）机构组成。</w:t>
      </w:r>
    </w:p>
    <w:p>
      <w:pPr>
        <w:snapToGrid w:val="0"/>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我单位为独立核算财政全额拨款参公单位，内设办公室、财务股、统筹股、审核结算股、稽核股等股室。</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（二）机构职能。</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sz w:val="32"/>
          <w:szCs w:val="32"/>
        </w:rPr>
        <w:t>1．主要职能。全面贯彻执行基本医疗保险法律、法规和方针政策。按照有关政策和制度，负责对全县参保单位和职工、城镇居民缴纳医疗保险基金的核定、征收、管理；办理所有参保单位和居民参保手续；负责全县参保职工和城镇居民医疗费用的审核、报销、支付工作；承担医疗保险的各项调查、统计、上报工作。负责定点医院和定点药店的管理和监督。</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2" w:lineRule="atLeast"/>
        <w:ind w:left="0" w:right="0"/>
        <w:rPr>
          <w:rFonts w:hint="eastAsia" w:ascii="仿宋_GB2312" w:hAnsi="仿宋_GB2312" w:eastAsia="仿宋_GB2312" w:cs="仿宋_GB2312"/>
          <w:color w:val="000000"/>
          <w:kern w:val="0"/>
          <w:sz w:val="32"/>
          <w:szCs w:val="32"/>
          <w:lang w:val="en-US" w:eastAsia="zh-CN" w:bidi="ar"/>
        </w:rPr>
      </w:pPr>
    </w:p>
    <w:p>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人员概况。</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人员情况，截止2018年底我单位共有编制11个，其中公务员（参公）编制11个，行政工勤编制0个，在职11人，其中参公10人，工勤1个，公务员0人。2018年新招录两名参公人员。</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2018年红原县医疗保险管理局收入330.05万元，均为财政拨款收入。</w:t>
      </w:r>
    </w:p>
    <w:p>
      <w:pPr>
        <w:keepNext w:val="0"/>
        <w:keepLines w:val="0"/>
        <w:widowControl/>
        <w:numPr>
          <w:ilvl w:val="0"/>
          <w:numId w:val="9"/>
        </w:numPr>
        <w:suppressLineNumbers w:val="0"/>
        <w:tabs>
          <w:tab w:val="left" w:pos="801"/>
        </w:tabs>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部门财政资金支出情况。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2018年红原县医疗保险管理局总支出334.78万元。社会保障和就业支出299.31万元；医疗卫生和计划生育支出13.69万元；住房保障支出21.79万元。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b/>
          <w:bCs/>
          <w:color w:val="000000"/>
          <w:kern w:val="0"/>
          <w:sz w:val="32"/>
          <w:szCs w:val="32"/>
          <w:lang w:val="zh-CN" w:eastAsia="zh-CN" w:bidi="ar"/>
        </w:rPr>
      </w:pPr>
      <w:r>
        <w:rPr>
          <w:rFonts w:hint="eastAsia" w:ascii="仿宋_GB2312" w:hAnsi="仿宋_GB2312" w:eastAsia="仿宋_GB2312" w:cs="仿宋_GB2312"/>
          <w:b/>
          <w:bCs/>
          <w:color w:val="000000"/>
          <w:kern w:val="0"/>
          <w:sz w:val="32"/>
          <w:szCs w:val="32"/>
          <w:lang w:val="zh-CN" w:eastAsia="zh-CN" w:bidi="ar"/>
        </w:rPr>
        <w:t>（一）预算编制情况。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仿宋_GB2312" w:hAnsi="仿宋_GB2312" w:eastAsia="仿宋_GB2312" w:cs="仿宋_GB2312"/>
          <w:b w:val="0"/>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根据《中华人民共和国预算法》及</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红原县</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财政局印发的《关于</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下达</w:t>
      </w:r>
      <w:r>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t>2018年</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部门预算的通知》要求，结合本单位实际，按照增收节支、厉行节约、绩效优化的原则，从严从紧编制预算。细化支出预算编制，推进预算信息公开，深化预算绩效管理，提高资金使用效益。</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仿宋_GB2312" w:hAnsi="仿宋_GB2312" w:eastAsia="仿宋_GB2312" w:cs="仿宋_GB2312"/>
          <w:b w:val="0"/>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201</w:t>
      </w:r>
      <w:r>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t>8</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年预算人员支出对照201</w:t>
      </w:r>
      <w:r>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t>7</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年12月份人员及工资信息编制，日常公用支出按照“经费包干、明细编报”的原则进行编制，重点做好培训费等预算编制。</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left="0" w:right="0" w:firstLine="645"/>
        <w:textAlignment w:val="auto"/>
        <w:rPr>
          <w:rFonts w:hint="eastAsia" w:ascii="仿宋_GB2312" w:hAnsi="仿宋_GB2312" w:eastAsia="仿宋_GB2312" w:cs="仿宋_GB2312"/>
          <w:b w:val="0"/>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对照年初的预算，通过编制部门决算报表，全面、真实、准确的反映了201</w:t>
      </w:r>
      <w:r>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t>8</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年度财政资金的使用情况。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红原县</w:t>
      </w:r>
      <w:r>
        <w:rPr>
          <w:rFonts w:hint="eastAsia" w:ascii="仿宋_GB2312" w:hAnsi="仿宋_GB2312" w:eastAsia="仿宋_GB2312" w:cs="仿宋_GB2312"/>
          <w:i w:val="0"/>
          <w:caps w:val="0"/>
          <w:color w:val="333333"/>
          <w:spacing w:val="0"/>
          <w:sz w:val="32"/>
          <w:szCs w:val="32"/>
          <w:shd w:val="clear" w:fill="FFFFFF"/>
          <w:lang w:eastAsia="zh-CN"/>
        </w:rPr>
        <w:t>医疗保险管理局</w:t>
      </w:r>
      <w:r>
        <w:rPr>
          <w:rFonts w:hint="eastAsia" w:ascii="仿宋_GB2312" w:hAnsi="仿宋_GB2312" w:eastAsia="仿宋_GB2312" w:cs="仿宋_GB2312"/>
          <w:i w:val="0"/>
          <w:caps w:val="0"/>
          <w:color w:val="333333"/>
          <w:spacing w:val="0"/>
          <w:sz w:val="32"/>
          <w:szCs w:val="32"/>
          <w:shd w:val="clear" w:fill="FFFFFF"/>
        </w:rPr>
        <w:t>预算安排支出主要用于保障该部门机构正常运转、完成日常工作任务以及承担工运事业发展相关工作。</w:t>
      </w:r>
    </w:p>
    <w:p>
      <w:pPr>
        <w:spacing w:line="600" w:lineRule="exact"/>
        <w:ind w:firstLine="645"/>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color w:val="000000"/>
          <w:sz w:val="32"/>
          <w:szCs w:val="32"/>
        </w:rPr>
        <w:t>基本支出</w:t>
      </w:r>
      <w:r>
        <w:rPr>
          <w:rFonts w:hint="eastAsia" w:ascii="仿宋_GB2312" w:hAnsi="仿宋_GB2312" w:eastAsia="仿宋_GB2312" w:cs="仿宋_GB2312"/>
          <w:color w:val="000000"/>
          <w:sz w:val="32"/>
          <w:szCs w:val="32"/>
          <w:lang w:val="en-US" w:eastAsia="zh-CN"/>
        </w:rPr>
        <w:t>334.78</w:t>
      </w:r>
      <w:r>
        <w:rPr>
          <w:rFonts w:hint="eastAsia" w:ascii="仿宋_GB2312" w:hAnsi="仿宋_GB2312" w:eastAsia="仿宋_GB2312" w:cs="仿宋_GB2312"/>
          <w:color w:val="000000"/>
          <w:sz w:val="32"/>
          <w:szCs w:val="32"/>
        </w:rPr>
        <w:t>万元，其中：人员经费</w:t>
      </w:r>
      <w:r>
        <w:rPr>
          <w:rFonts w:hint="eastAsia" w:ascii="仿宋_GB2312" w:hAnsi="仿宋_GB2312" w:eastAsia="仿宋_GB2312" w:cs="仿宋_GB2312"/>
          <w:color w:val="000000"/>
          <w:sz w:val="32"/>
          <w:szCs w:val="32"/>
          <w:lang w:val="en-US" w:eastAsia="zh-CN"/>
        </w:rPr>
        <w:t>310.79</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56.07万元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125.23万元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32.46万元</w:t>
      </w:r>
      <w:r>
        <w:rPr>
          <w:rFonts w:hint="eastAsia" w:ascii="仿宋_GB2312" w:hAnsi="仿宋_GB2312" w:eastAsia="仿宋_GB2312" w:cs="仿宋_GB2312"/>
          <w:color w:val="000000"/>
          <w:sz w:val="32"/>
          <w:szCs w:val="32"/>
        </w:rPr>
        <w:t>、绩效工资</w:t>
      </w:r>
      <w:r>
        <w:rPr>
          <w:rFonts w:hint="eastAsia" w:ascii="仿宋_GB2312" w:hAnsi="仿宋_GB2312" w:eastAsia="仿宋_GB2312" w:cs="仿宋_GB2312"/>
          <w:color w:val="000000"/>
          <w:sz w:val="32"/>
          <w:szCs w:val="32"/>
          <w:lang w:val="en-US" w:eastAsia="zh-CN"/>
        </w:rPr>
        <w:t>13.35万元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33.41万元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12.16万元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职工基本医疗保险缴费</w:t>
      </w:r>
      <w:r>
        <w:rPr>
          <w:rFonts w:hint="eastAsia" w:ascii="仿宋_GB2312" w:hAnsi="仿宋_GB2312" w:eastAsia="仿宋_GB2312" w:cs="仿宋_GB2312"/>
          <w:color w:val="000000"/>
          <w:sz w:val="32"/>
          <w:szCs w:val="32"/>
          <w:lang w:val="en-US" w:eastAsia="zh-CN"/>
        </w:rPr>
        <w:t>11.17万元、公务员医疗补助1.32万元、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1.13万元</w:t>
      </w:r>
      <w:r>
        <w:rPr>
          <w:rFonts w:hint="eastAsia" w:ascii="仿宋_GB2312" w:hAnsi="仿宋_GB2312" w:eastAsia="仿宋_GB2312" w:cs="仿宋_GB2312"/>
          <w:color w:val="000000"/>
          <w:sz w:val="32"/>
          <w:szCs w:val="32"/>
        </w:rPr>
        <w:t>、医疗费</w:t>
      </w:r>
      <w:r>
        <w:rPr>
          <w:rFonts w:hint="eastAsia" w:ascii="仿宋_GB2312" w:hAnsi="仿宋_GB2312" w:eastAsia="仿宋_GB2312" w:cs="仿宋_GB2312"/>
          <w:color w:val="000000"/>
          <w:sz w:val="32"/>
          <w:szCs w:val="32"/>
          <w:lang w:val="en-US" w:eastAsia="zh-CN"/>
        </w:rPr>
        <w:t>2.7万元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21.79万元</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hint="eastAsia" w:ascii="仿宋_GB2312" w:hAnsi="仿宋_GB2312" w:eastAsia="仿宋_GB2312" w:cs="仿宋_GB2312"/>
          <w:color w:val="000000"/>
          <w:sz w:val="32"/>
          <w:szCs w:val="32"/>
          <w:lang w:val="en-US" w:eastAsia="zh-CN"/>
        </w:rPr>
        <w:t>23.97</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11.42万元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2.29万元</w:t>
      </w:r>
      <w:r>
        <w:rPr>
          <w:rFonts w:hint="eastAsia" w:ascii="仿宋_GB2312" w:hAnsi="仿宋_GB2312" w:eastAsia="仿宋_GB2312" w:cs="仿宋_GB2312"/>
          <w:color w:val="000000"/>
          <w:sz w:val="32"/>
          <w:szCs w:val="32"/>
        </w:rPr>
        <w:t>、邮电费</w:t>
      </w:r>
      <w:r>
        <w:rPr>
          <w:rFonts w:hint="eastAsia" w:ascii="仿宋_GB2312" w:hAnsi="仿宋_GB2312" w:eastAsia="仿宋_GB2312" w:cs="仿宋_GB2312"/>
          <w:color w:val="000000"/>
          <w:sz w:val="32"/>
          <w:szCs w:val="32"/>
          <w:lang w:val="en-US" w:eastAsia="zh-CN"/>
        </w:rPr>
        <w:t>0.16万元</w:t>
      </w:r>
      <w:r>
        <w:rPr>
          <w:rFonts w:hint="eastAsia" w:ascii="仿宋_GB2312" w:hAnsi="仿宋_GB2312" w:eastAsia="仿宋_GB2312" w:cs="仿宋_GB2312"/>
          <w:color w:val="000000"/>
          <w:sz w:val="32"/>
          <w:szCs w:val="32"/>
        </w:rPr>
        <w:t>、差旅费</w:t>
      </w:r>
      <w:r>
        <w:rPr>
          <w:rFonts w:hint="eastAsia" w:ascii="仿宋_GB2312" w:hAnsi="仿宋_GB2312" w:eastAsia="仿宋_GB2312" w:cs="仿宋_GB2312"/>
          <w:color w:val="000000"/>
          <w:sz w:val="32"/>
          <w:szCs w:val="32"/>
          <w:lang w:val="en-US" w:eastAsia="zh-CN"/>
        </w:rPr>
        <w:t>9.05万元、</w:t>
      </w:r>
      <w:r>
        <w:rPr>
          <w:rFonts w:hint="eastAsia" w:ascii="仿宋_GB2312" w:hAnsi="仿宋_GB2312" w:eastAsia="仿宋_GB2312" w:cs="仿宋_GB2312"/>
          <w:color w:val="000000"/>
          <w:sz w:val="32"/>
          <w:szCs w:val="32"/>
        </w:rPr>
        <w:t>培训费</w:t>
      </w:r>
      <w:r>
        <w:rPr>
          <w:rFonts w:hint="eastAsia" w:ascii="仿宋_GB2312" w:hAnsi="仿宋_GB2312" w:eastAsia="仿宋_GB2312" w:cs="仿宋_GB2312"/>
          <w:color w:val="000000"/>
          <w:sz w:val="32"/>
          <w:szCs w:val="32"/>
          <w:lang w:val="en-US" w:eastAsia="zh-CN"/>
        </w:rPr>
        <w:t>0.72万元、手续费0.11万元、劳务费0.22万元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i w:val="0"/>
          <w:caps w:val="0"/>
          <w:color w:val="333333"/>
          <w:spacing w:val="0"/>
          <w:sz w:val="32"/>
          <w:szCs w:val="32"/>
          <w:shd w:val="clear" w:fill="FFFFFF"/>
        </w:rPr>
        <w:t>　　按支出功能分类主要用于以下方面:</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　　（</w:t>
      </w:r>
      <w:r>
        <w:rPr>
          <w:rFonts w:hint="eastAsia" w:ascii="仿宋_GB2312" w:hAnsi="仿宋_GB2312" w:eastAsia="仿宋_GB2312" w:cs="仿宋_GB2312"/>
          <w:i w:val="0"/>
          <w:caps w:val="0"/>
          <w:color w:val="333333"/>
          <w:spacing w:val="0"/>
          <w:sz w:val="32"/>
          <w:szCs w:val="32"/>
          <w:shd w:val="clear" w:fill="FFFFFF"/>
          <w:lang w:eastAsia="zh-CN"/>
        </w:rPr>
        <w:t>一</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val="en-US" w:eastAsia="zh-CN"/>
        </w:rPr>
        <w:t>208</w:t>
      </w:r>
      <w:r>
        <w:rPr>
          <w:rFonts w:hint="eastAsia" w:ascii="仿宋_GB2312" w:hAnsi="仿宋_GB2312" w:eastAsia="仿宋_GB2312" w:cs="仿宋_GB2312"/>
          <w:i w:val="0"/>
          <w:caps w:val="0"/>
          <w:color w:val="333333"/>
          <w:spacing w:val="0"/>
          <w:sz w:val="32"/>
          <w:szCs w:val="32"/>
          <w:shd w:val="clear" w:fill="FFFFFF"/>
        </w:rPr>
        <w:t>社会保障和就业</w:t>
      </w:r>
      <w:r>
        <w:rPr>
          <w:rFonts w:hint="eastAsia" w:ascii="仿宋_GB2312" w:hAnsi="仿宋_GB2312" w:eastAsia="仿宋_GB2312" w:cs="仿宋_GB2312"/>
          <w:i w:val="0"/>
          <w:caps w:val="0"/>
          <w:color w:val="333333"/>
          <w:spacing w:val="0"/>
          <w:sz w:val="32"/>
          <w:szCs w:val="32"/>
          <w:shd w:val="clear" w:fill="FFFFFF"/>
          <w:lang w:eastAsia="zh-CN"/>
        </w:rPr>
        <w:t>支出</w:t>
      </w:r>
      <w:r>
        <w:rPr>
          <w:rFonts w:hint="eastAsia" w:ascii="仿宋_GB2312" w:hAnsi="仿宋_GB2312" w:eastAsia="仿宋_GB2312" w:cs="仿宋_GB2312"/>
          <w:color w:val="000000"/>
          <w:kern w:val="0"/>
          <w:sz w:val="32"/>
          <w:szCs w:val="32"/>
          <w:lang w:val="en-US" w:eastAsia="zh-CN" w:bidi="ar"/>
        </w:rPr>
        <w:t>299.30</w:t>
      </w:r>
      <w:r>
        <w:rPr>
          <w:rFonts w:hint="eastAsia" w:ascii="仿宋_GB2312" w:hAnsi="仿宋_GB2312" w:eastAsia="仿宋_GB2312" w:cs="仿宋_GB2312"/>
          <w:i w:val="0"/>
          <w:caps w:val="0"/>
          <w:color w:val="333333"/>
          <w:spacing w:val="0"/>
          <w:sz w:val="32"/>
          <w:szCs w:val="32"/>
          <w:shd w:val="clear" w:fill="FFFFFF"/>
        </w:rPr>
        <w:t>万元，主要用于机关及下属事业单位养老保险及职业年金缴费支出。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　　（</w:t>
      </w:r>
      <w:r>
        <w:rPr>
          <w:rFonts w:hint="eastAsia" w:ascii="仿宋_GB2312" w:hAnsi="仿宋_GB2312" w:eastAsia="仿宋_GB2312" w:cs="仿宋_GB2312"/>
          <w:i w:val="0"/>
          <w:caps w:val="0"/>
          <w:color w:val="333333"/>
          <w:spacing w:val="0"/>
          <w:sz w:val="32"/>
          <w:szCs w:val="32"/>
          <w:shd w:val="clear" w:fill="FFFFFF"/>
          <w:lang w:eastAsia="zh-CN"/>
        </w:rPr>
        <w:t>二</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val="en-US" w:eastAsia="zh-CN"/>
        </w:rPr>
        <w:t>210</w:t>
      </w:r>
      <w:r>
        <w:rPr>
          <w:rFonts w:hint="eastAsia" w:ascii="仿宋_GB2312" w:hAnsi="仿宋_GB2312" w:eastAsia="仿宋_GB2312" w:cs="仿宋_GB2312"/>
          <w:i w:val="0"/>
          <w:caps w:val="0"/>
          <w:color w:val="333333"/>
          <w:spacing w:val="0"/>
          <w:sz w:val="32"/>
          <w:szCs w:val="32"/>
          <w:shd w:val="clear" w:fill="FFFFFF"/>
        </w:rPr>
        <w:t>医疗卫生</w:t>
      </w:r>
      <w:r>
        <w:rPr>
          <w:rFonts w:hint="eastAsia" w:ascii="仿宋_GB2312" w:hAnsi="仿宋_GB2312" w:eastAsia="仿宋_GB2312" w:cs="仿宋_GB2312"/>
          <w:i w:val="0"/>
          <w:caps w:val="0"/>
          <w:color w:val="333333"/>
          <w:spacing w:val="0"/>
          <w:sz w:val="32"/>
          <w:szCs w:val="32"/>
          <w:shd w:val="clear" w:fill="FFFFFF"/>
          <w:lang w:eastAsia="zh-CN"/>
        </w:rPr>
        <w:t>和计划生育支出</w:t>
      </w:r>
      <w:r>
        <w:rPr>
          <w:rFonts w:hint="eastAsia" w:ascii="仿宋_GB2312" w:hAnsi="仿宋_GB2312" w:eastAsia="仿宋_GB2312" w:cs="仿宋_GB2312"/>
          <w:color w:val="000000"/>
          <w:kern w:val="0"/>
          <w:sz w:val="32"/>
          <w:szCs w:val="32"/>
          <w:lang w:val="en-US" w:eastAsia="zh-CN" w:bidi="ar"/>
        </w:rPr>
        <w:t>13.69</w:t>
      </w:r>
      <w:r>
        <w:rPr>
          <w:rFonts w:hint="eastAsia" w:ascii="仿宋_GB2312" w:hAnsi="仿宋_GB2312" w:eastAsia="仿宋_GB2312" w:cs="仿宋_GB2312"/>
          <w:i w:val="0"/>
          <w:caps w:val="0"/>
          <w:color w:val="333333"/>
          <w:spacing w:val="0"/>
          <w:sz w:val="32"/>
          <w:szCs w:val="32"/>
          <w:shd w:val="clear" w:fill="FFFFFF"/>
        </w:rPr>
        <w:t>万元，主要用于机关及下属事业单位按照规定标准为职工缴纳的基本医疗保险及公务员医疗补助等支出。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　　（</w:t>
      </w:r>
      <w:r>
        <w:rPr>
          <w:rFonts w:hint="eastAsia" w:ascii="仿宋_GB2312" w:hAnsi="仿宋_GB2312" w:eastAsia="仿宋_GB2312" w:cs="仿宋_GB2312"/>
          <w:i w:val="0"/>
          <w:caps w:val="0"/>
          <w:color w:val="333333"/>
          <w:spacing w:val="0"/>
          <w:sz w:val="32"/>
          <w:szCs w:val="32"/>
          <w:shd w:val="clear" w:fill="FFFFFF"/>
          <w:lang w:eastAsia="zh-CN"/>
        </w:rPr>
        <w:t>三</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val="en-US" w:eastAsia="zh-CN"/>
        </w:rPr>
        <w:t>221</w:t>
      </w:r>
      <w:r>
        <w:rPr>
          <w:rFonts w:hint="eastAsia" w:ascii="仿宋_GB2312" w:hAnsi="仿宋_GB2312" w:eastAsia="仿宋_GB2312" w:cs="仿宋_GB2312"/>
          <w:i w:val="0"/>
          <w:caps w:val="0"/>
          <w:color w:val="333333"/>
          <w:spacing w:val="0"/>
          <w:sz w:val="32"/>
          <w:szCs w:val="32"/>
          <w:shd w:val="clear" w:fill="FFFFFF"/>
        </w:rPr>
        <w:t>住房保障支出</w:t>
      </w:r>
      <w:r>
        <w:rPr>
          <w:rFonts w:hint="eastAsia" w:ascii="仿宋_GB2312" w:hAnsi="仿宋_GB2312" w:eastAsia="仿宋_GB2312" w:cs="仿宋_GB2312"/>
          <w:color w:val="000000"/>
          <w:kern w:val="0"/>
          <w:sz w:val="32"/>
          <w:szCs w:val="32"/>
          <w:lang w:val="en-US" w:eastAsia="zh-CN" w:bidi="ar"/>
        </w:rPr>
        <w:t>21.79</w:t>
      </w:r>
      <w:r>
        <w:rPr>
          <w:rFonts w:hint="eastAsia" w:ascii="仿宋_GB2312" w:hAnsi="仿宋_GB2312" w:eastAsia="仿宋_GB2312" w:cs="仿宋_GB2312"/>
          <w:i w:val="0"/>
          <w:caps w:val="0"/>
          <w:color w:val="333333"/>
          <w:spacing w:val="0"/>
          <w:sz w:val="32"/>
          <w:szCs w:val="32"/>
          <w:shd w:val="clear" w:fill="FFFFFF"/>
        </w:rPr>
        <w:t>万元，用于机关及下属事业单位按照规定标准为职工缴纳住房公积金等支出。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i w:val="0"/>
          <w:caps w:val="0"/>
          <w:color w:val="333333"/>
          <w:spacing w:val="0"/>
          <w:sz w:val="32"/>
          <w:szCs w:val="32"/>
          <w:lang w:eastAsia="zh-CN"/>
        </w:rPr>
      </w:pPr>
      <w:r>
        <w:rPr>
          <w:rFonts w:hint="eastAsia" w:ascii="仿宋_GB2312" w:hAnsi="仿宋_GB2312" w:eastAsia="仿宋_GB2312" w:cs="仿宋_GB2312"/>
          <w:i w:val="0"/>
          <w:caps w:val="0"/>
          <w:color w:val="333333"/>
          <w:spacing w:val="0"/>
          <w:sz w:val="32"/>
          <w:szCs w:val="32"/>
          <w:shd w:val="clear" w:fill="FFFFFF"/>
        </w:rPr>
        <w:t>　</w:t>
      </w:r>
      <w:r>
        <w:rPr>
          <w:rFonts w:hint="eastAsia" w:ascii="仿宋_GB2312" w:hAnsi="仿宋_GB2312" w:eastAsia="仿宋_GB2312" w:cs="仿宋_GB2312"/>
          <w:b w:val="0"/>
          <w:bCs w:val="0"/>
          <w:i w:val="0"/>
          <w:caps w:val="0"/>
          <w:color w:val="333333"/>
          <w:spacing w:val="0"/>
          <w:sz w:val="32"/>
          <w:szCs w:val="32"/>
          <w:shd w:val="clear" w:fill="FFFFFF"/>
        </w:rPr>
        <w:t>　</w:t>
      </w:r>
      <w:r>
        <w:rPr>
          <w:rStyle w:val="15"/>
          <w:rFonts w:hint="eastAsia" w:ascii="仿宋_GB2312" w:hAnsi="仿宋_GB2312" w:eastAsia="仿宋_GB2312" w:cs="仿宋_GB2312"/>
          <w:b w:val="0"/>
          <w:bCs w:val="0"/>
          <w:i w:val="0"/>
          <w:caps w:val="0"/>
          <w:color w:val="333333"/>
          <w:spacing w:val="0"/>
          <w:sz w:val="32"/>
          <w:szCs w:val="32"/>
          <w:shd w:val="clear" w:fill="FFFFFF"/>
        </w:rPr>
        <w:t>较上年度</w:t>
      </w:r>
      <w:r>
        <w:rPr>
          <w:rStyle w:val="15"/>
          <w:rFonts w:hint="eastAsia" w:ascii="仿宋_GB2312" w:hAnsi="仿宋_GB2312" w:eastAsia="仿宋_GB2312" w:cs="仿宋_GB2312"/>
          <w:b w:val="0"/>
          <w:bCs w:val="0"/>
          <w:i w:val="0"/>
          <w:caps w:val="0"/>
          <w:color w:val="333333"/>
          <w:spacing w:val="0"/>
          <w:sz w:val="32"/>
          <w:szCs w:val="32"/>
          <w:shd w:val="clear" w:fill="FFFFFF"/>
          <w:lang w:eastAsia="zh-CN"/>
        </w:rPr>
        <w:t>增减变化</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仿宋_GB2312" w:hAnsi="仿宋_GB2312" w:eastAsia="仿宋_GB2312" w:cs="仿宋_GB2312"/>
          <w:i w:val="0"/>
          <w:caps w:val="0"/>
          <w:color w:val="333333"/>
          <w:spacing w:val="0"/>
          <w:sz w:val="32"/>
          <w:szCs w:val="32"/>
          <w:shd w:val="clear" w:fill="FFFFFF"/>
        </w:rPr>
      </w:pPr>
      <w:r>
        <w:rPr>
          <w:rFonts w:hint="eastAsia" w:ascii="仿宋_GB2312" w:hAnsi="仿宋_GB2312" w:eastAsia="仿宋_GB2312" w:cs="仿宋_GB2312"/>
          <w:i w:val="0"/>
          <w:caps w:val="0"/>
          <w:color w:val="333333"/>
          <w:spacing w:val="0"/>
          <w:sz w:val="32"/>
          <w:szCs w:val="32"/>
          <w:shd w:val="clear" w:fill="FFFFFF"/>
        </w:rPr>
        <w:t>本年度预算拨款收入</w:t>
      </w:r>
      <w:r>
        <w:rPr>
          <w:rFonts w:hint="eastAsia" w:ascii="仿宋_GB2312" w:hAnsi="仿宋_GB2312" w:eastAsia="仿宋_GB2312" w:cs="仿宋_GB2312"/>
          <w:i w:val="0"/>
          <w:caps w:val="0"/>
          <w:color w:val="333333"/>
          <w:spacing w:val="0"/>
          <w:sz w:val="32"/>
          <w:szCs w:val="32"/>
          <w:shd w:val="clear" w:fill="FFFFFF"/>
          <w:lang w:val="en-US" w:eastAsia="zh-CN"/>
        </w:rPr>
        <w:t>330.05</w:t>
      </w:r>
      <w:r>
        <w:rPr>
          <w:rFonts w:hint="eastAsia" w:ascii="仿宋_GB2312" w:hAnsi="仿宋_GB2312" w:eastAsia="仿宋_GB2312" w:cs="仿宋_GB2312"/>
          <w:i w:val="0"/>
          <w:caps w:val="0"/>
          <w:color w:val="333333"/>
          <w:spacing w:val="0"/>
          <w:sz w:val="32"/>
          <w:szCs w:val="32"/>
          <w:shd w:val="clear" w:fill="FFFFFF"/>
        </w:rPr>
        <w:t>万元较上年度预算</w:t>
      </w:r>
      <w:r>
        <w:rPr>
          <w:rFonts w:hint="eastAsia" w:ascii="仿宋_GB2312" w:hAnsi="仿宋_GB2312" w:eastAsia="仿宋_GB2312" w:cs="仿宋_GB2312"/>
          <w:i w:val="0"/>
          <w:caps w:val="0"/>
          <w:color w:val="333333"/>
          <w:spacing w:val="0"/>
          <w:sz w:val="32"/>
          <w:szCs w:val="32"/>
          <w:shd w:val="clear" w:fill="FFFFFF"/>
          <w:lang w:val="en-US" w:eastAsia="zh-CN"/>
        </w:rPr>
        <w:t>251.67</w:t>
      </w:r>
      <w:r>
        <w:rPr>
          <w:rFonts w:hint="eastAsia" w:ascii="仿宋_GB2312" w:hAnsi="仿宋_GB2312" w:eastAsia="仿宋_GB2312" w:cs="仿宋_GB2312"/>
          <w:i w:val="0"/>
          <w:caps w:val="0"/>
          <w:color w:val="333333"/>
          <w:spacing w:val="0"/>
          <w:sz w:val="32"/>
          <w:szCs w:val="32"/>
          <w:shd w:val="clear" w:fill="FFFFFF"/>
        </w:rPr>
        <w:t>万元增加了</w:t>
      </w:r>
      <w:r>
        <w:rPr>
          <w:rFonts w:hint="eastAsia" w:ascii="仿宋_GB2312" w:hAnsi="仿宋_GB2312" w:eastAsia="仿宋_GB2312" w:cs="仿宋_GB2312"/>
          <w:i w:val="0"/>
          <w:caps w:val="0"/>
          <w:color w:val="333333"/>
          <w:spacing w:val="0"/>
          <w:sz w:val="32"/>
          <w:szCs w:val="32"/>
          <w:shd w:val="clear" w:fill="FFFFFF"/>
          <w:lang w:val="en-US" w:eastAsia="zh-CN"/>
        </w:rPr>
        <w:t>31.14</w:t>
      </w:r>
      <w:r>
        <w:rPr>
          <w:rFonts w:hint="eastAsia" w:ascii="仿宋_GB2312" w:hAnsi="仿宋_GB2312" w:eastAsia="仿宋_GB2312" w:cs="仿宋_GB2312"/>
          <w:i w:val="0"/>
          <w:caps w:val="0"/>
          <w:color w:val="333333"/>
          <w:spacing w:val="0"/>
          <w:sz w:val="32"/>
          <w:szCs w:val="32"/>
          <w:shd w:val="clear" w:fill="FFFFFF"/>
        </w:rPr>
        <w:t>%</w:t>
      </w:r>
      <w:r>
        <w:rPr>
          <w:rFonts w:hint="eastAsia" w:ascii="仿宋_GB2312" w:hAnsi="仿宋_GB2312" w:eastAsia="仿宋_GB2312" w:cs="仿宋_GB2312"/>
          <w:i w:val="0"/>
          <w:caps w:val="0"/>
          <w:color w:val="333333"/>
          <w:spacing w:val="0"/>
          <w:sz w:val="32"/>
          <w:szCs w:val="32"/>
          <w:shd w:val="clear" w:fill="FFFFFF"/>
          <w:lang w:eastAsia="zh-CN"/>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left="0" w:right="0" w:firstLine="643" w:firstLineChars="200"/>
        <w:textAlignment w:val="auto"/>
        <w:rPr>
          <w:rFonts w:hint="eastAsia" w:ascii="仿宋_GB2312" w:hAnsi="仿宋_GB2312" w:eastAsia="仿宋_GB2312" w:cs="仿宋_GB2312"/>
          <w:b/>
          <w:bCs w:val="0"/>
          <w:i w:val="0"/>
          <w:caps w:val="0"/>
          <w:color w:val="000000" w:themeColor="text1"/>
          <w:spacing w:val="0"/>
          <w:sz w:val="32"/>
          <w:szCs w:val="32"/>
          <w14:textFill>
            <w14:solidFill>
              <w14:schemeClr w14:val="tx1"/>
            </w14:solidFill>
          </w14:textFill>
        </w:rPr>
      </w:pPr>
      <w:r>
        <w:rPr>
          <w:rStyle w:val="15"/>
          <w:rFonts w:hint="eastAsia" w:ascii="仿宋_GB2312" w:hAnsi="仿宋_GB2312" w:eastAsia="仿宋_GB2312" w:cs="仿宋_GB2312"/>
          <w:b/>
          <w:bCs w:val="0"/>
          <w:i w:val="0"/>
          <w:caps w:val="0"/>
          <w:color w:val="000000" w:themeColor="text1"/>
          <w:spacing w:val="0"/>
          <w:sz w:val="32"/>
          <w:szCs w:val="32"/>
          <w:shd w:val="clear" w:fill="FFFFFF"/>
          <w14:textFill>
            <w14:solidFill>
              <w14:schemeClr w14:val="tx1"/>
            </w14:solidFill>
          </w14:textFill>
        </w:rPr>
        <w:t>（二）执行管理情况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仿宋_GB2312" w:hAnsi="仿宋_GB2312" w:eastAsia="仿宋_GB2312" w:cs="仿宋_GB2312"/>
          <w:b w:val="0"/>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本着少花钱、多办事、办好事、遵循有预算才支出的原则，201</w:t>
      </w:r>
      <w:r>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t>8</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年财政预算支出全面落实到位，均按规定的用途支付</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left="0" w:right="0" w:firstLine="645"/>
        <w:textAlignment w:val="auto"/>
        <w:rPr>
          <w:rFonts w:hint="eastAsia" w:ascii="仿宋_GB2312" w:hAnsi="仿宋_GB2312" w:eastAsia="仿宋_GB2312" w:cs="仿宋_GB2312"/>
          <w:b w:val="0"/>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基本支出，是用于保障本单位正常运转的日常支出，包括基本工资、津贴补贴等人员经费以及办公费、印刷费、水电费、办公设备购置等日常公用经费。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2" w:lineRule="atLeast"/>
        <w:ind w:right="0"/>
        <w:rPr>
          <w:rFonts w:hint="eastAsia" w:ascii="仿宋_GB2312" w:hAnsi="仿宋_GB2312" w:eastAsia="仿宋_GB2312" w:cs="仿宋_GB2312"/>
          <w:b w:val="0"/>
          <w:i w:val="0"/>
          <w:caps w:val="0"/>
          <w:color w:val="000000" w:themeColor="text1"/>
          <w:spacing w:val="0"/>
          <w:sz w:val="32"/>
          <w:szCs w:val="32"/>
          <w:lang w:eastAsia="zh-CN"/>
          <w14:textFill>
            <w14:solidFill>
              <w14:schemeClr w14:val="tx1"/>
            </w14:solidFill>
          </w14:textFill>
        </w:rPr>
      </w:pP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Style w:val="15"/>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Style w:val="15"/>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（三）综合管理情况</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建立建全内部控制</w:t>
      </w:r>
      <w:r>
        <w:rPr>
          <w:rFonts w:hint="eastAsia" w:ascii="仿宋_GB2312" w:hAnsi="仿宋_GB2312" w:eastAsia="仿宋_GB2312" w:cs="仿宋_GB2312"/>
          <w:color w:val="000000" w:themeColor="text1"/>
          <w:sz w:val="32"/>
          <w:szCs w:val="32"/>
          <w14:textFill>
            <w14:solidFill>
              <w14:schemeClr w14:val="tx1"/>
            </w14:solidFill>
          </w14:textFill>
        </w:rPr>
        <w:t>制度：我</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 xml:space="preserve">资金使用合规性：资金支出符合国家财经法规和财务管理制度规定以及有关专项资金管理办法的规定；资金拨付有完整的审批程序和手续；符合部门预算批复的用途；资金使用无截留、挤占、挪用、虚列支出等情况。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预算信息公开：</w:t>
      </w:r>
      <w:r>
        <w:rPr>
          <w:rFonts w:hint="eastAsia" w:ascii="仿宋_GB2312" w:hAnsi="仿宋_GB2312" w:eastAsia="仿宋_GB2312" w:cs="仿宋_GB2312"/>
          <w:color w:val="000000" w:themeColor="text1"/>
          <w:sz w:val="32"/>
          <w:szCs w:val="32"/>
          <w:lang w:eastAsia="zh-CN"/>
          <w14:textFill>
            <w14:solidFill>
              <w14:schemeClr w14:val="tx1"/>
            </w14:solidFill>
          </w14:textFill>
        </w:rPr>
        <w:t>我单位</w:t>
      </w:r>
      <w:r>
        <w:rPr>
          <w:rFonts w:hint="eastAsia" w:ascii="仿宋_GB2312" w:hAnsi="仿宋_GB2312" w:eastAsia="仿宋_GB2312" w:cs="仿宋_GB2312"/>
          <w:color w:val="000000" w:themeColor="text1"/>
          <w:sz w:val="32"/>
          <w:szCs w:val="32"/>
          <w14:textFill>
            <w14:solidFill>
              <w14:schemeClr w14:val="tx1"/>
            </w14:solidFill>
          </w14:textFill>
        </w:rPr>
        <w:t xml:space="preserve">按规定内容公开预决算信息；按规定时限公开预决算信息；基础数据信息和会计信息资料真实；基础数据信息和会计信息资料完整；基础数据信息和汇集信息资料准确。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财务信息完善性：经核对</w:t>
      </w:r>
      <w:r>
        <w:rPr>
          <w:rFonts w:hint="eastAsia" w:ascii="仿宋_GB2312" w:hAnsi="仿宋_GB2312" w:eastAsia="仿宋_GB2312" w:cs="仿宋_GB2312"/>
          <w:color w:val="000000" w:themeColor="text1"/>
          <w:sz w:val="32"/>
          <w:szCs w:val="32"/>
          <w:lang w:eastAsia="zh-CN"/>
          <w14:textFill>
            <w14:solidFill>
              <w14:schemeClr w14:val="tx1"/>
            </w14:solidFill>
          </w14:textFill>
        </w:rPr>
        <w:t>我单位</w:t>
      </w: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年度总账、明细账、决算报表，其结果账账、账表相符；财务信息资料真实、完整、准确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widowControl/>
        <w:adjustRightInd w:val="0"/>
        <w:snapToGrid w:val="0"/>
        <w:spacing w:line="560" w:lineRule="exact"/>
        <w:ind w:firstLine="643" w:firstLineChars="200"/>
        <w:jc w:val="left"/>
        <w:rPr>
          <w:rFonts w:hint="eastAsia" w:ascii="仿宋_GB2312" w:hAnsi="仿宋_GB2312" w:eastAsia="仿宋_GB2312" w:cs="仿宋_GB2312"/>
          <w:b/>
          <w:bCs/>
          <w:color w:val="000000"/>
          <w:kern w:val="0"/>
          <w:sz w:val="32"/>
          <w:szCs w:val="32"/>
          <w:lang w:val="zh-CN" w:bidi="ar"/>
        </w:rPr>
      </w:pPr>
      <w:r>
        <w:rPr>
          <w:rFonts w:hint="eastAsia" w:ascii="仿宋_GB2312" w:hAnsi="仿宋_GB2312" w:eastAsia="仿宋_GB2312" w:cs="仿宋_GB2312"/>
          <w:b/>
          <w:bCs/>
          <w:color w:val="000000"/>
          <w:kern w:val="0"/>
          <w:sz w:val="32"/>
          <w:szCs w:val="32"/>
          <w:lang w:val="zh-CN" w:bidi="ar"/>
        </w:rPr>
        <w:t>（四）整体绩效</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val="zh-CN"/>
        </w:rPr>
        <w:t>年度我单位年初</w:t>
      </w: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sz w:val="32"/>
          <w:szCs w:val="32"/>
          <w:lang w:val="zh-CN"/>
        </w:rPr>
        <w:t>工作规划和重点工作</w:t>
      </w:r>
      <w:r>
        <w:rPr>
          <w:rFonts w:hint="eastAsia" w:ascii="仿宋_GB2312" w:hAnsi="仿宋_GB2312" w:eastAsia="仿宋_GB2312" w:cs="仿宋_GB2312"/>
          <w:color w:val="000000"/>
          <w:sz w:val="32"/>
          <w:szCs w:val="32"/>
        </w:rPr>
        <w:t>规划</w:t>
      </w:r>
      <w:r>
        <w:rPr>
          <w:rFonts w:hint="eastAsia" w:ascii="仿宋_GB2312" w:hAnsi="仿宋_GB2312" w:eastAsia="仿宋_GB2312" w:cs="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sz w:val="32"/>
          <w:szCs w:val="32"/>
          <w:lang w:val="zh-CN" w:eastAsia="zh-CN"/>
        </w:rPr>
      </w:pPr>
    </w:p>
    <w:p>
      <w:pPr>
        <w:keepNext w:val="0"/>
        <w:keepLines w:val="0"/>
        <w:pageBreakBefore w:val="0"/>
        <w:kinsoku/>
        <w:wordWrap/>
        <w:overflowPunct/>
        <w:topLinePunct w:val="0"/>
        <w:autoSpaceDE/>
        <w:autoSpaceDN/>
        <w:bidi w:val="0"/>
        <w:adjustRightInd/>
        <w:spacing w:beforeAutospacing="0" w:afterAutospacing="0" w:line="540" w:lineRule="exact"/>
        <w:textAlignment w:val="auto"/>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四、本年度部门</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bCs/>
          <w:color w:val="000000" w:themeColor="text1"/>
          <w:sz w:val="32"/>
          <w:szCs w:val="32"/>
          <w14:textFill>
            <w14:solidFill>
              <w14:schemeClr w14:val="tx1"/>
            </w14:solidFill>
          </w14:textFill>
        </w:rPr>
        <w:t>财务工作开展</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评价结论及建议</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02" w:firstLineChars="200"/>
        <w:textAlignment w:val="auto"/>
        <w:rPr>
          <w:rFonts w:hint="eastAsia" w:ascii="仿宋_GB2312" w:hAnsi="仿宋_GB2312" w:eastAsia="仿宋_GB2312" w:cs="仿宋_GB2312"/>
          <w:b/>
          <w:bCs/>
          <w:i w:val="0"/>
          <w:caps w:val="0"/>
          <w:color w:val="000000" w:themeColor="text1"/>
          <w:spacing w:val="0"/>
          <w:sz w:val="30"/>
          <w:szCs w:val="30"/>
          <w:shd w:val="clear" w:fill="FFFFFF"/>
          <w14:textFill>
            <w14:solidFill>
              <w14:schemeClr w14:val="tx1"/>
            </w14:solidFill>
          </w14:textFill>
        </w:rPr>
      </w:pPr>
      <w:r>
        <w:rPr>
          <w:rFonts w:hint="eastAsia" w:ascii="仿宋_GB2312" w:hAnsi="仿宋_GB2312" w:eastAsia="仿宋_GB2312" w:cs="仿宋_GB2312"/>
          <w:b/>
          <w:bCs/>
          <w:i w:val="0"/>
          <w:caps w:val="0"/>
          <w:color w:val="000000" w:themeColor="text1"/>
          <w:spacing w:val="0"/>
          <w:sz w:val="30"/>
          <w:szCs w:val="30"/>
          <w:shd w:val="clear" w:fill="FFFFFF"/>
          <w:lang w:eastAsia="zh-CN"/>
          <w14:textFill>
            <w14:solidFill>
              <w14:schemeClr w14:val="tx1"/>
            </w14:solidFill>
          </w14:textFill>
        </w:rPr>
        <w:t>（一）</w:t>
      </w:r>
      <w:r>
        <w:rPr>
          <w:rFonts w:hint="eastAsia" w:ascii="仿宋_GB2312" w:hAnsi="仿宋_GB2312" w:eastAsia="仿宋_GB2312" w:cs="仿宋_GB2312"/>
          <w:b/>
          <w:bCs/>
          <w:i w:val="0"/>
          <w:caps w:val="0"/>
          <w:color w:val="000000" w:themeColor="text1"/>
          <w:spacing w:val="0"/>
          <w:sz w:val="30"/>
          <w:szCs w:val="30"/>
          <w:shd w:val="clear" w:fill="FFFFFF"/>
          <w14:textFill>
            <w14:solidFill>
              <w14:schemeClr w14:val="tx1"/>
            </w14:solidFill>
          </w14:textFill>
        </w:rPr>
        <w:t>执行预算制度到位</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能够严格执行《预算法》和各项财经纪律，机关制度健全，财务管理规范，预算编制合理;二是资金监管到位。经费开支按用途使用合理，做到专帐专管,专款专用；三是人员配备和</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账务</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核算到位。财务人员</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账务</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核算及时规范。</w:t>
      </w:r>
      <w:r>
        <w:rPr>
          <w:rFonts w:hint="eastAsia" w:ascii="仿宋_GB2312" w:hAnsi="仿宋_GB2312" w:eastAsia="仿宋_GB2312" w:cs="仿宋_GB2312"/>
          <w:color w:val="000000" w:themeColor="text1"/>
          <w:sz w:val="32"/>
          <w:szCs w:val="32"/>
          <w14:textFill>
            <w14:solidFill>
              <w14:schemeClr w14:val="tx1"/>
            </w14:solidFill>
          </w14:textFill>
        </w:rPr>
        <w:t>我单位在财务上进行合理安排和运用，以“认真、严谨、细致”</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精神，做好一切财务工作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firstLine="643" w:firstLineChars="200"/>
        <w:textAlignment w:val="auto"/>
        <w:rPr>
          <w:rFonts w:hint="eastAsia" w:ascii="仿宋_GB2312" w:hAnsi="仿宋_GB2312" w:eastAsia="仿宋_GB2312" w:cs="仿宋_GB2312"/>
          <w:b w:val="0"/>
          <w:i w:val="0"/>
          <w:caps w:val="0"/>
          <w:color w:val="000000" w:themeColor="text1"/>
          <w:spacing w:val="0"/>
          <w:sz w:val="32"/>
          <w:szCs w:val="32"/>
          <w14:textFill>
            <w14:solidFill>
              <w14:schemeClr w14:val="tx1"/>
            </w14:solidFill>
          </w14:textFill>
        </w:rPr>
      </w:pPr>
      <w:r>
        <w:rPr>
          <w:rStyle w:val="15"/>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（二）存在问题 </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left="0" w:right="0" w:firstLine="640" w:firstLineChars="200"/>
        <w:textAlignment w:val="auto"/>
        <w:rPr>
          <w:rFonts w:hint="eastAsia" w:ascii="仿宋_GB2312" w:hAnsi="仿宋_GB2312" w:eastAsia="仿宋_GB2312" w:cs="仿宋_GB2312"/>
          <w:b w:val="0"/>
          <w:i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主要是公务卡使用力度</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不够，</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还应加强，</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避免</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现金支付。</w:t>
      </w:r>
      <w:r>
        <w:rPr>
          <w:rFonts w:hint="eastAsia" w:ascii="仿宋_GB2312" w:hAnsi="仿宋_GB2312" w:eastAsia="仿宋_GB2312" w:cs="仿宋_GB2312"/>
          <w:color w:val="000000" w:themeColor="text1"/>
          <w:sz w:val="32"/>
          <w:szCs w:val="32"/>
          <w:lang w:eastAsia="zh-CN"/>
          <w14:textFill>
            <w14:solidFill>
              <w14:schemeClr w14:val="tx1"/>
            </w14:solidFill>
          </w14:textFill>
        </w:rPr>
        <w:t>财务人员业务知识还稍有欠缺。</w:t>
      </w:r>
      <w:r>
        <w:rPr>
          <w:rStyle w:val="15"/>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仿宋_GB2312" w:hAnsi="仿宋_GB2312" w:eastAsia="仿宋_GB2312" w:cs="仿宋_GB2312"/>
          <w:b/>
          <w:bCs w:val="0"/>
          <w:i w:val="0"/>
          <w:caps w:val="0"/>
          <w:color w:val="000000" w:themeColor="text1"/>
          <w:spacing w:val="0"/>
          <w:sz w:val="32"/>
          <w:szCs w:val="32"/>
          <w:shd w:val="clear" w:fill="FFFFFF"/>
          <w14:textFill>
            <w14:solidFill>
              <w14:schemeClr w14:val="tx1"/>
            </w14:solidFill>
          </w14:textFill>
        </w:rPr>
      </w:pPr>
      <w:r>
        <w:rPr>
          <w:rStyle w:val="15"/>
          <w:rFonts w:hint="eastAsia" w:ascii="仿宋_GB2312" w:hAnsi="仿宋_GB2312" w:eastAsia="仿宋_GB2312" w:cs="仿宋_GB2312"/>
          <w:b/>
          <w:bCs w:val="0"/>
          <w:i w:val="0"/>
          <w:caps w:val="0"/>
          <w:color w:val="000000" w:themeColor="text1"/>
          <w:spacing w:val="0"/>
          <w:sz w:val="32"/>
          <w:szCs w:val="32"/>
          <w:shd w:val="clear" w:fill="FFFFFF"/>
          <w:lang w:eastAsia="zh-CN"/>
          <w14:textFill>
            <w14:solidFill>
              <w14:schemeClr w14:val="tx1"/>
            </w14:solidFill>
          </w14:textFill>
        </w:rPr>
        <w:t>（三）</w:t>
      </w:r>
      <w:r>
        <w:rPr>
          <w:rStyle w:val="15"/>
          <w:rFonts w:hint="eastAsia" w:ascii="仿宋_GB2312" w:hAnsi="仿宋_GB2312" w:eastAsia="仿宋_GB2312" w:cs="仿宋_GB2312"/>
          <w:b/>
          <w:bCs w:val="0"/>
          <w:i w:val="0"/>
          <w:caps w:val="0"/>
          <w:color w:val="000000" w:themeColor="text1"/>
          <w:spacing w:val="0"/>
          <w:sz w:val="32"/>
          <w:szCs w:val="32"/>
          <w:shd w:val="clear" w:fill="FFFFFF"/>
          <w14:textFill>
            <w14:solidFill>
              <w14:schemeClr w14:val="tx1"/>
            </w14:solidFill>
          </w14:textFill>
        </w:rPr>
        <w:t>改进建议</w:t>
      </w:r>
      <w:r>
        <w:rPr>
          <w:rFonts w:hint="eastAsia" w:ascii="仿宋_GB2312" w:hAnsi="仿宋_GB2312" w:eastAsia="仿宋_GB2312" w:cs="仿宋_GB2312"/>
          <w:b/>
          <w:bCs w:val="0"/>
          <w:i w:val="0"/>
          <w:caps w:val="0"/>
          <w:color w:val="000000" w:themeColor="text1"/>
          <w:spacing w:val="0"/>
          <w:sz w:val="32"/>
          <w:szCs w:val="32"/>
          <w:shd w:val="clear" w:fill="FFFFFF"/>
          <w14:textFill>
            <w14:solidFill>
              <w14:schemeClr w14:val="tx1"/>
            </w14:solidFill>
          </w14:textFill>
        </w:rPr>
        <w:t>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建立长效机制，严格财务管理，加强财务监督，坚持厉行节约，严格</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杜绝</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现金支出。加强事业单位会计制度的学习，准且完整的核算部门全年收入支出，确保不漏记</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不多记收支。</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                     </w:t>
      </w:r>
      <w:bookmarkEnd w:id="60"/>
      <w:bookmarkStart w:id="61" w:name="_Toc15396618"/>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00" w:firstLineChars="200"/>
        <w:textAlignment w:val="auto"/>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40" w:lineRule="exact"/>
        <w:ind w:right="0" w:rightChars="0" w:firstLine="600" w:firstLineChars="200"/>
        <w:textAlignment w:val="auto"/>
        <w:rPr>
          <w:rFonts w:hint="eastAsia" w:ascii="仿宋_GB2312" w:hAnsi="仿宋_GB2312" w:eastAsia="仿宋_GB2312" w:cs="仿宋_GB2312"/>
          <w:b w:val="0"/>
          <w:i w:val="0"/>
          <w:caps w:val="0"/>
          <w:color w:val="000000" w:themeColor="text1"/>
          <w:spacing w:val="0"/>
          <w:sz w:val="30"/>
          <w:szCs w:val="30"/>
          <w:shd w:val="clear" w:fill="FFFFFF"/>
          <w14:textFill>
            <w14:solidFill>
              <w14:schemeClr w14:val="tx1"/>
            </w14:solidFill>
          </w14:textFill>
        </w:rPr>
      </w:pPr>
    </w:p>
    <w:p>
      <w:pPr>
        <w:spacing w:line="600" w:lineRule="exact"/>
        <w:jc w:val="center"/>
        <w:outlineLvl w:val="0"/>
        <w:rPr>
          <w:rFonts w:ascii="仿宋" w:hAnsi="仿宋" w:eastAsia="仿宋"/>
          <w:b/>
          <w:color w:val="000000"/>
          <w:sz w:val="44"/>
          <w:szCs w:val="44"/>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61"/>
    </w:p>
    <w:p>
      <w:pPr>
        <w:pStyle w:val="3"/>
        <w:numPr>
          <w:ilvl w:val="0"/>
          <w:numId w:val="10"/>
        </w:numPr>
        <w:rPr>
          <w:rFonts w:hint="eastAsia"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2"/>
    </w:p>
    <w:p>
      <w:pPr>
        <w:pStyle w:val="3"/>
        <w:rPr>
          <w:rStyle w:val="27"/>
          <w:rFonts w:hint="eastAsia" w:ascii="仿宋" w:hAnsi="仿宋" w:eastAsia="仿宋"/>
          <w:b w:val="0"/>
          <w:bCs w:val="0"/>
        </w:rPr>
      </w:pPr>
      <w:bookmarkStart w:id="73"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3"/>
    </w:p>
    <w:p>
      <w:pPr>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十四、整体支出绩效评价打分表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D7582"/>
    <w:multiLevelType w:val="singleLevel"/>
    <w:tmpl w:val="A7ED7582"/>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E1DB4AA"/>
    <w:multiLevelType w:val="singleLevel"/>
    <w:tmpl w:val="DE1DB4AA"/>
    <w:lvl w:ilvl="0" w:tentative="0">
      <w:start w:val="3"/>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084ADE2D"/>
    <w:multiLevelType w:val="singleLevel"/>
    <w:tmpl w:val="084ADE2D"/>
    <w:lvl w:ilvl="0" w:tentative="0">
      <w:start w:val="1"/>
      <w:numFmt w:val="decimal"/>
      <w:suff w:val="nothing"/>
      <w:lvlText w:val="%1、"/>
      <w:lvlJc w:val="left"/>
    </w:lvl>
  </w:abstractNum>
  <w:abstractNum w:abstractNumId="6">
    <w:nsid w:val="0C29153E"/>
    <w:multiLevelType w:val="singleLevel"/>
    <w:tmpl w:val="0C29153E"/>
    <w:lvl w:ilvl="0" w:tentative="0">
      <w:start w:val="2"/>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5D5382B5"/>
    <w:multiLevelType w:val="singleLevel"/>
    <w:tmpl w:val="5D5382B5"/>
    <w:lvl w:ilvl="0" w:tentative="0">
      <w:start w:val="1"/>
      <w:numFmt w:val="chineseCounting"/>
      <w:suff w:val="nothing"/>
      <w:lvlText w:val="%1、"/>
      <w:lvlJc w:val="left"/>
    </w:lvl>
  </w:abstractNum>
  <w:num w:numId="1">
    <w:abstractNumId w:val="5"/>
  </w:num>
  <w:num w:numId="2">
    <w:abstractNumId w:val="7"/>
  </w:num>
  <w:num w:numId="3">
    <w:abstractNumId w:val="0"/>
  </w:num>
  <w:num w:numId="4">
    <w:abstractNumId w:val="1"/>
  </w:num>
  <w:num w:numId="5">
    <w:abstractNumId w:val="8"/>
  </w:num>
  <w:num w:numId="6">
    <w:abstractNumId w:val="4"/>
  </w:num>
  <w:num w:numId="7">
    <w:abstractNumId w:val="3"/>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065DC"/>
    <w:rsid w:val="00F1361C"/>
    <w:rsid w:val="00F160C7"/>
    <w:rsid w:val="00F36D8F"/>
    <w:rsid w:val="00F417B1"/>
    <w:rsid w:val="00F602DF"/>
    <w:rsid w:val="00F81FD9"/>
    <w:rsid w:val="00F841AA"/>
    <w:rsid w:val="00FA23E8"/>
    <w:rsid w:val="00FD3CC1"/>
    <w:rsid w:val="00FF1E02"/>
    <w:rsid w:val="00FF30B4"/>
    <w:rsid w:val="04836B9E"/>
    <w:rsid w:val="059E5A6E"/>
    <w:rsid w:val="06696D14"/>
    <w:rsid w:val="0997476E"/>
    <w:rsid w:val="0A7D58C3"/>
    <w:rsid w:val="0AC918FE"/>
    <w:rsid w:val="0C7971C9"/>
    <w:rsid w:val="0CC90B8A"/>
    <w:rsid w:val="0D4E2366"/>
    <w:rsid w:val="0ED62A80"/>
    <w:rsid w:val="0F4C09F4"/>
    <w:rsid w:val="10C055FF"/>
    <w:rsid w:val="10F529AD"/>
    <w:rsid w:val="10F663AE"/>
    <w:rsid w:val="110B1365"/>
    <w:rsid w:val="121D4BA5"/>
    <w:rsid w:val="126808D0"/>
    <w:rsid w:val="140738D5"/>
    <w:rsid w:val="14E67C5F"/>
    <w:rsid w:val="15F52727"/>
    <w:rsid w:val="16645B38"/>
    <w:rsid w:val="16797461"/>
    <w:rsid w:val="16AE08F9"/>
    <w:rsid w:val="16BB723D"/>
    <w:rsid w:val="17536A5F"/>
    <w:rsid w:val="17FF3B8F"/>
    <w:rsid w:val="19255919"/>
    <w:rsid w:val="197928C2"/>
    <w:rsid w:val="1EFB5901"/>
    <w:rsid w:val="1F083FC2"/>
    <w:rsid w:val="200757B2"/>
    <w:rsid w:val="220D3B7A"/>
    <w:rsid w:val="22294750"/>
    <w:rsid w:val="23197808"/>
    <w:rsid w:val="240371BF"/>
    <w:rsid w:val="246A74FA"/>
    <w:rsid w:val="25B46BBD"/>
    <w:rsid w:val="25F15222"/>
    <w:rsid w:val="25F9279B"/>
    <w:rsid w:val="26F02EDF"/>
    <w:rsid w:val="298B01C9"/>
    <w:rsid w:val="29FD04D3"/>
    <w:rsid w:val="2A5D4829"/>
    <w:rsid w:val="2ADB4369"/>
    <w:rsid w:val="2ADD6F6C"/>
    <w:rsid w:val="2D153CC4"/>
    <w:rsid w:val="2D661A39"/>
    <w:rsid w:val="2DF93A84"/>
    <w:rsid w:val="2EBC13D5"/>
    <w:rsid w:val="2F0114A5"/>
    <w:rsid w:val="2FFE484A"/>
    <w:rsid w:val="306742BB"/>
    <w:rsid w:val="30CE7648"/>
    <w:rsid w:val="313441FC"/>
    <w:rsid w:val="31562309"/>
    <w:rsid w:val="319F7F4E"/>
    <w:rsid w:val="32CD3630"/>
    <w:rsid w:val="33C23E31"/>
    <w:rsid w:val="33DC7BED"/>
    <w:rsid w:val="3530218F"/>
    <w:rsid w:val="35D304DD"/>
    <w:rsid w:val="35EC2D6A"/>
    <w:rsid w:val="38AA2EF7"/>
    <w:rsid w:val="3B390C7E"/>
    <w:rsid w:val="3B982B0F"/>
    <w:rsid w:val="3D7E5277"/>
    <w:rsid w:val="3E503A48"/>
    <w:rsid w:val="40BD455E"/>
    <w:rsid w:val="41CC4E10"/>
    <w:rsid w:val="41EE48AD"/>
    <w:rsid w:val="420608DC"/>
    <w:rsid w:val="42FF5DBB"/>
    <w:rsid w:val="432A0826"/>
    <w:rsid w:val="44312E3B"/>
    <w:rsid w:val="453E098F"/>
    <w:rsid w:val="45571531"/>
    <w:rsid w:val="460873A0"/>
    <w:rsid w:val="46285436"/>
    <w:rsid w:val="464169D0"/>
    <w:rsid w:val="485B06DA"/>
    <w:rsid w:val="48674214"/>
    <w:rsid w:val="48F36E95"/>
    <w:rsid w:val="4968493B"/>
    <w:rsid w:val="497F2F3F"/>
    <w:rsid w:val="499810E0"/>
    <w:rsid w:val="4B2439A2"/>
    <w:rsid w:val="4B3014A6"/>
    <w:rsid w:val="4BB85F97"/>
    <w:rsid w:val="4CC25BDA"/>
    <w:rsid w:val="4D3C0ABF"/>
    <w:rsid w:val="4DE27E1A"/>
    <w:rsid w:val="4FB825E2"/>
    <w:rsid w:val="51423743"/>
    <w:rsid w:val="525E4D4F"/>
    <w:rsid w:val="531D1F16"/>
    <w:rsid w:val="538E68ED"/>
    <w:rsid w:val="56D97548"/>
    <w:rsid w:val="572B24C1"/>
    <w:rsid w:val="582E412B"/>
    <w:rsid w:val="587727F8"/>
    <w:rsid w:val="59B262AD"/>
    <w:rsid w:val="5A634195"/>
    <w:rsid w:val="5AA529B8"/>
    <w:rsid w:val="5C0C6324"/>
    <w:rsid w:val="5C8103D7"/>
    <w:rsid w:val="5D241293"/>
    <w:rsid w:val="5D433820"/>
    <w:rsid w:val="5D8906CC"/>
    <w:rsid w:val="5E1B3C07"/>
    <w:rsid w:val="5F38466C"/>
    <w:rsid w:val="5FC47871"/>
    <w:rsid w:val="60C26C28"/>
    <w:rsid w:val="617112EA"/>
    <w:rsid w:val="625D4C42"/>
    <w:rsid w:val="635142CF"/>
    <w:rsid w:val="63D55D6C"/>
    <w:rsid w:val="6755565D"/>
    <w:rsid w:val="68B5307E"/>
    <w:rsid w:val="68BB7C88"/>
    <w:rsid w:val="6A9B6CBC"/>
    <w:rsid w:val="6B7F3207"/>
    <w:rsid w:val="6BC903EE"/>
    <w:rsid w:val="6CB132FB"/>
    <w:rsid w:val="6D031AC8"/>
    <w:rsid w:val="6D044875"/>
    <w:rsid w:val="6E4E786B"/>
    <w:rsid w:val="6F382B78"/>
    <w:rsid w:val="6F977A9F"/>
    <w:rsid w:val="6FA47168"/>
    <w:rsid w:val="72851505"/>
    <w:rsid w:val="7425073C"/>
    <w:rsid w:val="74A9052C"/>
    <w:rsid w:val="74E87A16"/>
    <w:rsid w:val="74EB6745"/>
    <w:rsid w:val="75282356"/>
    <w:rsid w:val="75733570"/>
    <w:rsid w:val="77162CED"/>
    <w:rsid w:val="7C3E1F48"/>
    <w:rsid w:val="7C89323A"/>
    <w:rsid w:val="7C94109A"/>
    <w:rsid w:val="7D577E86"/>
    <w:rsid w:val="7DB146BC"/>
    <w:rsid w:val="7DC20D1A"/>
    <w:rsid w:val="7DCE360C"/>
    <w:rsid w:val="7EB64FC4"/>
    <w:rsid w:val="7F6395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page number"/>
    <w:basedOn w:val="14"/>
    <w:qFormat/>
    <w:uiPriority w:val="0"/>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4"/>
    <w:link w:val="7"/>
    <w:semiHidden/>
    <w:qFormat/>
    <w:uiPriority w:val="99"/>
    <w:rPr>
      <w:rFonts w:ascii="Times New Roman" w:hAnsi="Times New Roman"/>
      <w:kern w:val="2"/>
      <w:sz w:val="18"/>
      <w:szCs w:val="18"/>
    </w:rPr>
  </w:style>
  <w:style w:type="character" w:customStyle="1" w:styleId="30">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oleObject" Target="file:///C:\Users\Administrator\Desktop\&#24037;&#20316;&#31807;1.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4037;&#20316;&#31807;1.et"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oleObject" Target="file:///C:\Users\Administrator\Desktop\&#24037;&#20316;&#31807;1.et"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4.xml"/><Relationship Id="rId1" Type="http://schemas.openxmlformats.org/officeDocument/2006/relationships/oleObject" Target="file:///C:\Users\Administrator\Desktop\&#24037;&#20316;&#31807;1.et"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4037;&#20316;&#31807;1.et"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1.xml"/><Relationship Id="rId1" Type="http://schemas.openxmlformats.org/officeDocument/2006/relationships/oleObject" Target="file:///C:\Users\Administrator\Desktop\&#24037;&#20316;&#31807;1.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rPr lang="en-US" altLang="zh-CN" sz="14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2017-2018</a:t>
            </a:r>
            <a:r>
              <a:rPr altLang="en-US" sz="1400" b="0" i="0" u="none" strike="noStrike" baseline="0">
                <a:solidFill>
                  <a:srgbClr val="333333"/>
                </a:solidFill>
                <a:latin typeface="宋体" charset="-122"/>
                <a:ea typeface="宋体" charset="-122"/>
                <a:cs typeface="宋体" charset="-122"/>
              </a:rPr>
              <a:t>年部门决算收入、支出柱状图</a:t>
            </a:r>
            <a:endParaRPr altLang="en-US" sz="1100" b="0" i="0" u="none" strike="noStrike" baseline="0">
              <a:solidFill>
                <a:srgbClr val="000000"/>
              </a:solidFill>
              <a:latin typeface="宋体" charset="-122"/>
              <a:ea typeface="宋体" charset="-122"/>
              <a:cs typeface="宋体" charset="-122"/>
            </a:endParaRPr>
          </a:p>
        </c:rich>
      </c:tx>
      <c:layout/>
      <c:overlay val="0"/>
      <c:spPr>
        <a:noFill/>
        <a:ln>
          <a:noFill/>
        </a:ln>
        <a:effectLst/>
      </c:spPr>
    </c:title>
    <c:autoTitleDeleted val="0"/>
    <c:plotArea>
      <c:layout/>
      <c:barChart>
        <c:barDir val="col"/>
        <c:grouping val="clustered"/>
        <c:varyColors val="0"/>
        <c:ser>
          <c:idx val="0"/>
          <c:order val="0"/>
          <c:tx>
            <c:strRef>
              <c:f>[工作簿1.et]Sheet1!$A$2</c:f>
              <c:strCache>
                <c:ptCount val="1"/>
                <c:pt idx="0">
                  <c:v>2017年</c:v>
                </c:pt>
              </c:strCache>
            </c:strRef>
          </c:tx>
          <c:spPr>
            <a:solidFill>
              <a:srgbClr val="5B9BD5"/>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BarType val="both"/>
            <c:errValType val="stdErr"/>
            <c:noEndCap val="0"/>
            <c:spPr>
              <a:noFill/>
              <a:ln w="9525" cap="flat" cmpd="sng" algn="ctr">
                <a:solidFill>
                  <a:sysClr val="windowText" lastClr="000000">
                    <a:lumMod val="65000"/>
                    <a:lumOff val="35000"/>
                  </a:sysClr>
                </a:solidFill>
                <a:prstDash val="solid"/>
                <a:round/>
              </a:ln>
              <a:effectLst/>
            </c:spPr>
          </c:errBars>
          <c:cat>
            <c:strRef>
              <c:f>[工作簿1.et]Sheet1!$B$1:$D$1</c:f>
              <c:strCache>
                <c:ptCount val="3"/>
                <c:pt idx="0">
                  <c:v>决算收入</c:v>
                </c:pt>
                <c:pt idx="1">
                  <c:v>决算支出</c:v>
                </c:pt>
              </c:strCache>
            </c:strRef>
          </c:cat>
          <c:val>
            <c:numRef>
              <c:f>[工作簿1.et]Sheet1!$B$2:$D$2</c:f>
              <c:numCache>
                <c:formatCode>General</c:formatCode>
                <c:ptCount val="3"/>
                <c:pt idx="0">
                  <c:v>251.67</c:v>
                </c:pt>
                <c:pt idx="1">
                  <c:v>245.54</c:v>
                </c:pt>
              </c:numCache>
            </c:numRef>
          </c:val>
        </c:ser>
        <c:ser>
          <c:idx val="1"/>
          <c:order val="1"/>
          <c:tx>
            <c:strRef>
              <c:f>[工作簿1.et]Sheet1!$A$3</c:f>
              <c:strCache>
                <c:ptCount val="1"/>
                <c:pt idx="0">
                  <c:v>2018年</c:v>
                </c:pt>
              </c:strCache>
            </c:strRef>
          </c:tx>
          <c:spPr>
            <a:solidFill>
              <a:srgbClr val="ED7D3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errBars>
            <c:errBarType val="both"/>
            <c:errValType val="stdErr"/>
            <c:noEndCap val="0"/>
            <c:spPr>
              <a:noFill/>
              <a:ln w="9525" cap="flat" cmpd="sng" algn="ctr">
                <a:solidFill>
                  <a:sysClr val="windowText" lastClr="000000">
                    <a:lumMod val="65000"/>
                    <a:lumOff val="35000"/>
                  </a:sysClr>
                </a:solidFill>
                <a:prstDash val="solid"/>
                <a:round/>
              </a:ln>
              <a:effectLst/>
            </c:spPr>
          </c:errBars>
          <c:cat>
            <c:strRef>
              <c:f>[工作簿1.et]Sheet1!$B$1:$D$1</c:f>
              <c:strCache>
                <c:ptCount val="3"/>
                <c:pt idx="0">
                  <c:v>决算收入</c:v>
                </c:pt>
                <c:pt idx="1">
                  <c:v>决算支出</c:v>
                </c:pt>
              </c:strCache>
            </c:strRef>
          </c:cat>
          <c:val>
            <c:numRef>
              <c:f>[工作簿1.et]Sheet1!$B$3:$D$3</c:f>
              <c:numCache>
                <c:formatCode>General</c:formatCode>
                <c:ptCount val="3"/>
                <c:pt idx="0">
                  <c:v>330.05</c:v>
                </c:pt>
                <c:pt idx="1">
                  <c:v>334.78</c:v>
                </c:pt>
              </c:numCache>
            </c:numRef>
          </c:val>
        </c:ser>
        <c:dLbls>
          <c:showLegendKey val="0"/>
          <c:showVal val="0"/>
          <c:showCatName val="0"/>
          <c:showSerName val="0"/>
          <c:showPercent val="0"/>
          <c:showBubbleSize val="0"/>
        </c:dLbls>
        <c:gapWidth val="219"/>
        <c:overlap val="-27"/>
        <c:axId val="307969760"/>
        <c:axId val="201864995"/>
      </c:barChart>
      <c:catAx>
        <c:axId val="307969760"/>
        <c:scaling>
          <c:orientation val="minMax"/>
        </c:scaling>
        <c:delete val="0"/>
        <c:axPos val="b"/>
        <c:majorTickMark val="none"/>
        <c:minorTickMark val="none"/>
        <c:tickLblPos val="nextTo"/>
        <c:spPr>
          <a:noFill/>
          <a:ln w="9525" cap="flat" cmpd="sng" algn="ctr">
            <a:solidFill>
              <a:sysClr val="windowText" lastClr="000000">
                <a:lumMod val="15000"/>
                <a:lumOff val="85000"/>
              </a:sysClr>
            </a:solidFill>
            <a:prstDash val="solid"/>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201864995"/>
        <c:crosses val="autoZero"/>
        <c:auto val="1"/>
        <c:lblAlgn val="ctr"/>
        <c:lblOffset val="100"/>
        <c:noMultiLvlLbl val="0"/>
      </c:catAx>
      <c:valAx>
        <c:axId val="201864995"/>
        <c:scaling>
          <c:orientation val="minMax"/>
        </c:scaling>
        <c:delete val="0"/>
        <c:axPos val="l"/>
        <c:majorGridlines>
          <c:spPr>
            <a:ln w="9525" cap="flat" cmpd="sng" algn="ctr">
              <a:solidFill>
                <a:sysClr val="windowText" lastClr="000000">
                  <a:lumMod val="15000"/>
                  <a:lumOff val="85000"/>
                </a:sys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307969760"/>
        <c:crosses val="autoZero"/>
        <c:crossBetween val="between"/>
      </c:valAx>
      <c:dTable>
        <c:showHorzBorder val="1"/>
        <c:showVertBorder val="1"/>
        <c:showOutline val="1"/>
        <c:showKeys val="1"/>
        <c:spPr>
          <a:noFill/>
          <a:ln w="9525" cap="flat" cmpd="sng" algn="ctr">
            <a:solidFill>
              <a:sysClr val="windowText" lastClr="000000">
                <a:lumMod val="15000"/>
                <a:lumOff val="85000"/>
              </a:sysClr>
            </a:solidFill>
            <a:prstDash val="solid"/>
            <a:round/>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6111111111111"/>
          <c:y val="0.0208333333333333"/>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[工作簿1.et]Sheet1!$F$12</c:f>
              <c:strCache>
                <c:ptCount val="1"/>
                <c:pt idx="0">
                  <c:v>一般公共预算财政拨款</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[工作簿1.et]Sheet1!$F$13</c:f>
              <c:numCache>
                <c:formatCode>General</c:formatCode>
                <c:ptCount val="1"/>
                <c:pt idx="0">
                  <c:v>330.05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ysClr val="windowText" lastClr="000000">
                  <a:lumMod val="65000"/>
                  <a:lumOff val="35000"/>
                </a:sysClr>
              </a:solidFill>
              <a:latin typeface="+mn-lt"/>
              <a:ea typeface="+mn-ea"/>
              <a:cs typeface="+mn-cs"/>
            </a:defRPr>
          </a:pPr>
        </a:p>
      </c:txPr>
    </c:title>
    <c:autoTitleDeleted val="0"/>
    <c:plotArea>
      <c:layout/>
      <c:pieChart>
        <c:varyColors val="1"/>
        <c:ser>
          <c:idx val="0"/>
          <c:order val="0"/>
          <c:tx>
            <c:strRef>
              <c:f>[工作簿1.et]Sheet1!$B$28</c:f>
              <c:strCache>
                <c:ptCount val="1"/>
                <c:pt idx="0">
                  <c:v>2018年支出</c:v>
                </c:pt>
              </c:strCache>
            </c:strRef>
          </c:tx>
          <c:spPr/>
          <c:explosion val="0"/>
          <c:dPt>
            <c:idx val="0"/>
            <c:bubble3D val="0"/>
            <c:spPr>
              <a:solidFill>
                <a:srgbClr val="5B9BD5"/>
              </a:solidFill>
              <a:ln w="19050">
                <a:solidFill>
                  <a:sysClr val="window" lastClr="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ysClr val="windowText" lastClr="000000">
                          <a:lumMod val="35000"/>
                          <a:lumOff val="65000"/>
                        </a:sysClr>
                      </a:solidFill>
                      <a:round/>
                    </a:ln>
                    <a:effectLst/>
                  </c:spPr>
                </c15:leaderLines>
              </c:ext>
            </c:extLst>
          </c:dLbls>
          <c:val>
            <c:numRef>
              <c:f>[工作簿1.et]Sheet1!$B$29</c:f>
              <c:numCache>
                <c:formatCode>General</c:formatCode>
                <c:ptCount val="1"/>
                <c:pt idx="0">
                  <c:v>334.78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rPr lang="en-US" altLang="zh-CN"/>
              <a:t>2017-2018</a:t>
            </a:r>
            <a:r>
              <a:rPr altLang="en-US"/>
              <a:t>年财政收入、支出</a:t>
            </a:r>
            <a:endParaRPr altLang="en-US"/>
          </a:p>
        </c:rich>
      </c:tx>
      <c:layout/>
      <c:overlay val="0"/>
      <c:spPr>
        <a:noFill/>
        <a:ln>
          <a:noFill/>
        </a:ln>
        <a:effectLst/>
      </c:spPr>
    </c:title>
    <c:autoTitleDeleted val="0"/>
    <c:plotArea>
      <c:layout/>
      <c:barChart>
        <c:barDir val="col"/>
        <c:grouping val="clustered"/>
        <c:varyColors val="0"/>
        <c:ser>
          <c:idx val="0"/>
          <c:order val="0"/>
          <c:tx>
            <c:strRef>
              <c:f>[工作簿1.et]Sheet1!$A$53</c:f>
              <c:strCache>
                <c:ptCount val="1"/>
                <c:pt idx="0">
                  <c:v>2017年</c:v>
                </c:pt>
              </c:strCache>
            </c:strRef>
          </c:tx>
          <c:spPr>
            <a:solidFill>
              <a:srgbClr val="5B9BD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ysClr val="windowText" lastClr="000000">
                          <a:lumMod val="35000"/>
                          <a:lumOff val="65000"/>
                        </a:sysClr>
                      </a:solidFill>
                      <a:round/>
                    </a:ln>
                    <a:effectLst/>
                  </c:spPr>
                </c15:leaderLines>
              </c:ext>
            </c:extLst>
          </c:dLbls>
          <c:cat>
            <c:strRef>
              <c:f>[工作簿1.et]Sheet1!$B$52:$C$52</c:f>
              <c:strCache>
                <c:ptCount val="2"/>
                <c:pt idx="0">
                  <c:v>财政拨款收入</c:v>
                </c:pt>
                <c:pt idx="1">
                  <c:v>财政拨款支出</c:v>
                </c:pt>
              </c:strCache>
            </c:strRef>
          </c:cat>
          <c:val>
            <c:numRef>
              <c:f>[工作簿1.et]Sheet1!$B$53:$C$53</c:f>
              <c:numCache>
                <c:formatCode>General</c:formatCode>
                <c:ptCount val="2"/>
                <c:pt idx="0">
                  <c:v>251.67</c:v>
                </c:pt>
                <c:pt idx="1">
                  <c:v>245.54</c:v>
                </c:pt>
              </c:numCache>
            </c:numRef>
          </c:val>
        </c:ser>
        <c:ser>
          <c:idx val="1"/>
          <c:order val="1"/>
          <c:tx>
            <c:strRef>
              <c:f>[工作簿1.et]Sheet1!$A$54</c:f>
              <c:strCache>
                <c:ptCount val="1"/>
                <c:pt idx="0">
                  <c:v>2018年</c:v>
                </c:pt>
              </c:strCache>
            </c:strRef>
          </c:tx>
          <c:spPr>
            <a:solidFill>
              <a:srgbClr val="ED7D3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ysClr val="windowText" lastClr="000000">
                          <a:lumMod val="35000"/>
                          <a:lumOff val="65000"/>
                        </a:sysClr>
                      </a:solidFill>
                      <a:round/>
                    </a:ln>
                    <a:effectLst/>
                  </c:spPr>
                </c15:leaderLines>
              </c:ext>
            </c:extLst>
          </c:dLbls>
          <c:cat>
            <c:strRef>
              <c:f>[工作簿1.et]Sheet1!$B$52:$C$52</c:f>
              <c:strCache>
                <c:ptCount val="2"/>
                <c:pt idx="0">
                  <c:v>财政拨款收入</c:v>
                </c:pt>
                <c:pt idx="1">
                  <c:v>财政拨款支出</c:v>
                </c:pt>
              </c:strCache>
            </c:strRef>
          </c:cat>
          <c:val>
            <c:numRef>
              <c:f>[工作簿1.et]Sheet1!$B$54:$C$54</c:f>
              <c:numCache>
                <c:formatCode>General</c:formatCode>
                <c:ptCount val="2"/>
                <c:pt idx="0">
                  <c:v>330.05</c:v>
                </c:pt>
                <c:pt idx="1">
                  <c:v>334.78</c:v>
                </c:pt>
              </c:numCache>
            </c:numRef>
          </c:val>
        </c:ser>
        <c:dLbls>
          <c:showLegendKey val="0"/>
          <c:showVal val="1"/>
          <c:showCatName val="0"/>
          <c:showSerName val="0"/>
          <c:showPercent val="0"/>
          <c:showBubbleSize val="0"/>
        </c:dLbls>
        <c:gapWidth val="219"/>
        <c:overlap val="-27"/>
        <c:axId val="810398212"/>
        <c:axId val="797452498"/>
      </c:barChart>
      <c:catAx>
        <c:axId val="810398212"/>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ysClr val="windowText" lastClr="000000">
                      <a:lumMod val="65000"/>
                      <a:lumOff val="35000"/>
                    </a:sysClr>
                  </a:solidFill>
                  <a:latin typeface="+mn-lt"/>
                  <a:ea typeface="+mn-ea"/>
                  <a:cs typeface="+mn-cs"/>
                </a:defRPr>
              </a:pPr>
            </a:p>
          </c:txPr>
        </c:title>
        <c:majorTickMark val="none"/>
        <c:minorTickMark val="none"/>
        <c:tickLblPos val="nextTo"/>
        <c:spPr>
          <a:noFill/>
          <a:ln w="9525" cap="flat" cmpd="sng" algn="ctr">
            <a:solidFill>
              <a:sysClr val="windowText" lastClr="000000">
                <a:lumMod val="15000"/>
                <a:lumOff val="85000"/>
              </a:sys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797452498"/>
        <c:crosses val="autoZero"/>
        <c:auto val="1"/>
        <c:lblAlgn val="ctr"/>
        <c:lblOffset val="100"/>
        <c:noMultiLvlLbl val="0"/>
      </c:catAx>
      <c:valAx>
        <c:axId val="797452498"/>
        <c:scaling>
          <c:orientation val="minMax"/>
        </c:scaling>
        <c:delete val="0"/>
        <c:axPos val="l"/>
        <c:majorGridlines>
          <c:spPr>
            <a:ln w="9525" cap="flat" cmpd="sng" algn="ctr">
              <a:solidFill>
                <a:sysClr val="windowText" lastClr="000000">
                  <a:lumMod val="15000"/>
                  <a:lumOff val="85000"/>
                </a:sys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ysClr val="windowText" lastClr="000000">
                      <a:lumMod val="65000"/>
                      <a:lumOff val="35000"/>
                    </a:sys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8103982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2017</a:t>
            </a:r>
            <a:r>
              <a:rPr altLang="en-US"/>
              <a:t>、</a:t>
            </a:r>
            <a:r>
              <a:rPr lang="en-US" altLang="zh-CN"/>
              <a:t>2018</a:t>
            </a:r>
            <a:r>
              <a:rPr altLang="en-US"/>
              <a:t>年</a:t>
            </a:r>
            <a:r>
              <a:t>财政拨款支出</a:t>
            </a:r>
          </a:p>
        </c:rich>
      </c:tx>
      <c:layout/>
      <c:overlay val="0"/>
      <c:spPr>
        <a:noFill/>
        <a:ln>
          <a:noFill/>
        </a:ln>
        <a:effectLst/>
      </c:spPr>
    </c:title>
    <c:autoTitleDeleted val="0"/>
    <c:plotArea>
      <c:layout/>
      <c:barChart>
        <c:barDir val="col"/>
        <c:grouping val="clustered"/>
        <c:varyColors val="0"/>
        <c:ser>
          <c:idx val="0"/>
          <c:order val="0"/>
          <c:tx>
            <c:strRef>
              <c:f>[工作簿1.et]Sheet1!$B$72</c:f>
              <c:strCache>
                <c:ptCount val="1"/>
                <c:pt idx="0">
                  <c:v>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[工作簿1.et]Sheet1!$A$73:$A$74</c:f>
              <c:strCache>
                <c:ptCount val="2"/>
                <c:pt idx="0">
                  <c:v>2017年</c:v>
                </c:pt>
                <c:pt idx="1">
                  <c:v>2018年</c:v>
                </c:pt>
              </c:strCache>
            </c:strRef>
          </c:cat>
          <c:val>
            <c:numRef>
              <c:f>[工作簿1.et]Sheet1!$B$73:$B$74</c:f>
              <c:numCache>
                <c:formatCode>General</c:formatCode>
                <c:ptCount val="2"/>
                <c:pt idx="0">
                  <c:v>245.54</c:v>
                </c:pt>
                <c:pt idx="1">
                  <c:v>334.78</c:v>
                </c:pt>
              </c:numCache>
            </c:numRef>
          </c:val>
        </c:ser>
        <c:dLbls>
          <c:showLegendKey val="0"/>
          <c:showVal val="1"/>
          <c:showCatName val="0"/>
          <c:showSerName val="0"/>
          <c:showPercent val="0"/>
          <c:showBubbleSize val="0"/>
        </c:dLbls>
        <c:gapWidth val="219"/>
        <c:overlap val="-27"/>
        <c:axId val="733566256"/>
        <c:axId val="674819167"/>
      </c:barChart>
      <c:catAx>
        <c:axId val="7335662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4819167"/>
        <c:crosses val="autoZero"/>
        <c:auto val="1"/>
        <c:lblAlgn val="ctr"/>
        <c:lblOffset val="100"/>
        <c:noMultiLvlLbl val="0"/>
      </c:catAx>
      <c:valAx>
        <c:axId val="67481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35662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rPr altLang="en-US"/>
              <a:t>一般公共预算财政拨款支出决算结构情况</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rgbClr val="5B9BD5"/>
              </a:solidFill>
              <a:ln w="19050">
                <a:solidFill>
                  <a:sysClr val="window" lastClr="FFFFFF"/>
                </a:solidFill>
              </a:ln>
              <a:effectLst/>
            </c:spPr>
          </c:dPt>
          <c:dPt>
            <c:idx val="1"/>
            <c:bubble3D val="0"/>
            <c:spPr>
              <a:solidFill>
                <a:srgbClr val="ED7D31"/>
              </a:solidFill>
              <a:ln w="19050">
                <a:solidFill>
                  <a:sysClr val="window" lastClr="FFFFFF"/>
                </a:solidFill>
              </a:ln>
              <a:effectLst/>
            </c:spPr>
          </c:dPt>
          <c:dPt>
            <c:idx val="2"/>
            <c:bubble3D val="0"/>
            <c:spPr>
              <a:solidFill>
                <a:srgbClr val="A5A5A5"/>
              </a:solidFill>
              <a:ln w="19050">
                <a:solidFill>
                  <a:sysClr val="window" lastClr="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ysClr val="windowText" lastClr="000000">
                          <a:lumMod val="35000"/>
                          <a:lumOff val="65000"/>
                        </a:sysClr>
                      </a:solidFill>
                      <a:round/>
                    </a:ln>
                    <a:effectLst/>
                  </c:spPr>
                </c15:leaderLines>
              </c:ext>
            </c:extLst>
          </c:dLbls>
          <c:cat>
            <c:strRef>
              <c:f>[工作簿1.et]Sheet1!$B$105:$D$105</c:f>
              <c:strCache>
                <c:ptCount val="3"/>
                <c:pt idx="0">
                  <c:v>社会保障和就业出</c:v>
                </c:pt>
                <c:pt idx="1">
                  <c:v>医疗卫生和计划生育支出</c:v>
                </c:pt>
                <c:pt idx="2">
                  <c:v>住房保障支出</c:v>
                </c:pt>
              </c:strCache>
            </c:strRef>
          </c:cat>
          <c:val>
            <c:numRef>
              <c:f>[工作簿1.et]Sheet1!$B$106:$D$106</c:f>
              <c:numCache>
                <c:formatCode>0.00%</c:formatCode>
                <c:ptCount val="3"/>
                <c:pt idx="0">
                  <c:v>0.894</c:v>
                </c:pt>
                <c:pt idx="1">
                  <c:v>0.041</c:v>
                </c:pt>
                <c:pt idx="2">
                  <c:v>0.065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9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spPr>
      <a:ln w="19050">
        <a:solidFill>
          <a:sysClr val="window" lastClr="FFFFFF"/>
        </a:solidFill>
      </a:ln>
    </cs:spPr>
  </cs:dataPoint>
  <cs:dataPoint3D>
    <cs:lnRef idx="0"/>
    <cs:fillRef idx="1">
      <cs:styleClr val="auto"/>
    </cs:fillRef>
    <cs:effectRef idx="0"/>
    <cs:fontRef idx="minor">
      <a:sysClr val="windowText" lastClr="000000"/>
    </cs:fontRef>
    <cs:spPr>
      <a:ln w="25400">
        <a:solidFill>
          <a:sysClr val="window" lastClr="FFFFFF"/>
        </a:solidFill>
      </a:ln>
    </cs:spPr>
  </cs:dataPoint3D>
  <cs:dataPointLine>
    <cs:lnRef idx="0">
      <cs:styleClr val="auto"/>
    </cs:lnRef>
    <cs:fillRef idx="0"/>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9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spPr>
      <a:ln w="19050">
        <a:solidFill>
          <a:sysClr val="window" lastClr="FFFFFF"/>
        </a:solidFill>
      </a:ln>
    </cs:spPr>
  </cs:dataPoint>
  <cs:dataPoint3D>
    <cs:lnRef idx="0"/>
    <cs:fillRef idx="1">
      <cs:styleClr val="auto"/>
    </cs:fillRef>
    <cs:effectRef idx="0"/>
    <cs:fontRef idx="minor">
      <a:sysClr val="windowText" lastClr="000000"/>
    </cs:fontRef>
    <cs:spPr>
      <a:ln w="25400">
        <a:solidFill>
          <a:sysClr val="window" lastClr="FFFFFF"/>
        </a:solidFill>
      </a:ln>
    </cs:spPr>
  </cs:dataPoint3D>
  <cs:dataPointLine>
    <cs:lnRef idx="0">
      <cs:styleClr val="auto"/>
    </cs:lnRef>
    <cs:fillRef idx="0"/>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1"/>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65000"/>
          <a:lumOff val="35000"/>
        </a:sysClr>
      </a:solidFill>
      <a:ln w="9525">
        <a:solidFill>
          <a:sysClr val="windowText" lastClr="000000">
            <a:lumMod val="65000"/>
            <a:lumOff val="35000"/>
          </a:sysClr>
        </a:solidFill>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75000"/>
            <a:lumOff val="25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a:solidFill>
          <a:sysClr val="windowText" lastClr="000000">
            <a:lumMod val="15000"/>
            <a:lumOff val="85000"/>
          </a:sysClr>
        </a:solidFill>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0</TotalTime>
  <ScaleCrop>false</ScaleCrop>
  <LinksUpToDate>false</LinksUpToDate>
  <CharactersWithSpaces>9641</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ruijie</cp:lastModifiedBy>
  <cp:lastPrinted>2019-08-19T11:42:00Z</cp:lastPrinted>
  <dcterms:modified xsi:type="dcterms:W3CDTF">2025-04-10T17:15:47Z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D3545AD20828FDE0438CF767CD7F158E</vt:lpwstr>
  </property>
</Properties>
</file>