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96475"/>
      <w:bookmarkStart w:id="2" w:name="_Toc15377425"/>
      <w:bookmarkStart w:id="3" w:name="_Toc15377193"/>
      <w:bookmarkStart w:id="4" w:name="_Toc15396597"/>
      <w:bookmarkStart w:id="5" w:name="_Toc15378441"/>
      <w:r>
        <w:rPr>
          <w:rFonts w:ascii="黑体" w:hAnsi="黑体" w:eastAsia="黑体"/>
          <w:color w:val="000000"/>
          <w:sz w:val="72"/>
          <w:szCs w:val="72"/>
        </w:rPr>
        <w:t>201</w:t>
      </w:r>
      <w:r>
        <w:rPr>
          <w:rFonts w:hint="eastAsia" w:ascii="黑体" w:hAnsi="黑体" w:eastAsia="黑体"/>
          <w:color w:val="000000"/>
          <w:sz w:val="72"/>
          <w:szCs w:val="72"/>
        </w:rPr>
        <w:t>9</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ascii="方正小标宋简体" w:hAnsi="宋体" w:eastAsia="方正小标宋简体"/>
          <w:color w:val="000000"/>
          <w:sz w:val="72"/>
          <w:szCs w:val="72"/>
        </w:rPr>
      </w:pPr>
      <w:bookmarkStart w:id="6" w:name="_Toc15377194"/>
      <w:bookmarkStart w:id="7" w:name="_Toc15396598"/>
      <w:bookmarkStart w:id="8" w:name="_Toc15377426"/>
      <w:bookmarkStart w:id="9" w:name="_Toc15378442"/>
      <w:bookmarkStart w:id="10" w:name="_Toc15396476"/>
      <w:r>
        <w:rPr>
          <w:rFonts w:hint="eastAsia" w:ascii="方正小标宋简体" w:hAnsi="宋体" w:eastAsia="方正小标宋简体"/>
          <w:color w:val="000000"/>
          <w:sz w:val="72"/>
          <w:szCs w:val="72"/>
        </w:rPr>
        <w:t>四川省阿坝州</w:t>
      </w:r>
      <w:r>
        <w:rPr>
          <w:rFonts w:hint="eastAsia" w:ascii="方正小标宋简体" w:hAnsi="宋体" w:eastAsia="方正小标宋简体"/>
          <w:color w:val="000000"/>
          <w:sz w:val="72"/>
          <w:szCs w:val="72"/>
          <w:lang w:eastAsia="zh-CN"/>
        </w:rPr>
        <w:t>红原县</w:t>
      </w:r>
      <w:bookmarkEnd w:id="0"/>
      <w:bookmarkStart w:id="11" w:name="_Toc15306268"/>
      <w:r>
        <w:rPr>
          <w:rFonts w:hint="eastAsia" w:ascii="方正小标宋简体" w:hAnsi="宋体" w:eastAsia="方正小标宋简体"/>
          <w:color w:val="000000"/>
          <w:sz w:val="72"/>
          <w:szCs w:val="72"/>
          <w:lang w:eastAsia="zh-CN"/>
        </w:rPr>
        <w:t>供销合作社联合社</w:t>
      </w: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widowControl/>
        <w:jc w:val="center"/>
        <w:rPr>
          <w:rFonts w:ascii="方正小标宋简体" w:hAnsi="宋体" w:eastAsia="方正小标宋简体"/>
          <w:color w:val="000000"/>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widowControl/>
        <w:jc w:val="center"/>
        <w:rPr>
          <w:rFonts w:ascii="方正小标宋简体" w:hAnsi="宋体" w:eastAsia="方正小标宋简体"/>
          <w:sz w:val="36"/>
          <w:szCs w:val="36"/>
        </w:rPr>
      </w:pPr>
    </w:p>
    <w:p>
      <w:pPr>
        <w:widowControl/>
        <w:jc w:val="center"/>
        <w:rPr>
          <w:rFonts w:ascii="黑体" w:hAnsi="黑体" w:eastAsia="黑体"/>
          <w:color w:val="000000"/>
          <w:sz w:val="48"/>
          <w:szCs w:val="48"/>
        </w:rPr>
      </w:pPr>
      <w:r>
        <w:rPr>
          <w:rFonts w:ascii="方正小标宋简体" w:hAnsi="宋体" w:eastAsia="方正小标宋简体"/>
          <w:sz w:val="36"/>
          <w:szCs w:val="36"/>
        </w:rPr>
        <w:br w:type="page"/>
      </w:r>
      <w:r>
        <w:rPr>
          <w:rFonts w:hint="eastAsia" w:ascii="黑体" w:hAnsi="黑体" w:eastAsia="黑体"/>
          <w:color w:val="000000"/>
          <w:sz w:val="48"/>
          <w:szCs w:val="48"/>
        </w:rPr>
        <w:t>目录</w:t>
      </w:r>
    </w:p>
    <w:p>
      <w:pPr>
        <w:widowControl/>
        <w:jc w:val="center"/>
        <w:rPr>
          <w:rFonts w:ascii="黑体" w:hAnsi="黑体" w:eastAsia="黑体" w:cstheme="minorBidi"/>
          <w:sz w:val="28"/>
          <w:szCs w:val="28"/>
        </w:rPr>
      </w:pPr>
    </w:p>
    <w:p/>
    <w:p>
      <w:pPr>
        <w:pStyle w:val="10"/>
        <w:adjustRightInd w:val="0"/>
        <w:snapToGrid w:val="0"/>
        <w:spacing w:before="0" w:line="440" w:lineRule="exact"/>
        <w:jc w:val="left"/>
        <w:rPr>
          <w:rFonts w:hint="default" w:eastAsia="仿宋" w:cstheme="minorBidi"/>
          <w:sz w:val="24"/>
          <w:szCs w:val="24"/>
          <w:lang w:val="en-US" w:eastAsia="zh-CN"/>
        </w:rPr>
      </w:pPr>
      <w:r>
        <w:rPr>
          <w:rFonts w:hint="eastAsia"/>
          <w:sz w:val="24"/>
        </w:rPr>
        <w:t>第一部分</w:t>
      </w:r>
      <w:r>
        <w:rPr>
          <w:sz w:val="24"/>
        </w:rPr>
        <w:t xml:space="preserve"> </w:t>
      </w:r>
      <w:r>
        <w:rPr>
          <w:rFonts w:hint="eastAsia"/>
          <w:sz w:val="24"/>
        </w:rPr>
        <w:t>部门概况</w:t>
      </w:r>
      <w:r>
        <w:rPr>
          <w:rFonts w:hint="default" w:ascii="Arial" w:hAnsi="Arial" w:cs="Arial"/>
          <w:sz w:val="24"/>
        </w:rPr>
        <w:t>……………………………………………………………</w:t>
      </w:r>
      <w:r>
        <w:rPr>
          <w:rFonts w:hint="eastAsia" w:ascii="Arial" w:hAnsi="Arial" w:cs="Arial"/>
          <w:sz w:val="24"/>
          <w:lang w:val="en-US" w:eastAsia="zh-CN"/>
        </w:rPr>
        <w:t>4</w:t>
      </w:r>
    </w:p>
    <w:p>
      <w:pPr>
        <w:pStyle w:val="11"/>
        <w:adjustRightInd w:val="0"/>
        <w:snapToGrid w:val="0"/>
        <w:spacing w:line="440" w:lineRule="exact"/>
        <w:jc w:val="left"/>
        <w:rPr>
          <w:rFonts w:hint="default" w:ascii="仿宋" w:hAnsi="仿宋" w:eastAsia="宋体"/>
          <w:sz w:val="24"/>
          <w:lang w:val="en-US" w:eastAsia="zh-CN"/>
        </w:rPr>
      </w:pPr>
      <w:r>
        <w:rPr>
          <w:rFonts w:hint="eastAsia"/>
          <w:sz w:val="24"/>
        </w:rPr>
        <w:t>一、基本职能及主要工作</w:t>
      </w:r>
      <w:r>
        <w:rPr>
          <w:rFonts w:hint="default" w:ascii="Arial" w:hAnsi="Arial" w:cs="Arial"/>
          <w:sz w:val="24"/>
        </w:rPr>
        <w:t>…………………………………………………</w:t>
      </w:r>
      <w:r>
        <w:rPr>
          <w:rFonts w:hint="eastAsia" w:ascii="Arial" w:hAnsi="Arial" w:cs="Arial"/>
          <w:sz w:val="24"/>
          <w:lang w:val="en-US" w:eastAsia="zh-CN"/>
        </w:rPr>
        <w:t>4</w:t>
      </w:r>
    </w:p>
    <w:p>
      <w:pPr>
        <w:pStyle w:val="11"/>
        <w:adjustRightInd w:val="0"/>
        <w:snapToGrid w:val="0"/>
        <w:spacing w:line="440" w:lineRule="exact"/>
        <w:jc w:val="left"/>
        <w:rPr>
          <w:rFonts w:hint="eastAsia" w:ascii="仿宋" w:hAnsi="仿宋" w:eastAsia="宋体" w:cstheme="minorBidi"/>
          <w:sz w:val="24"/>
          <w:lang w:val="en-US" w:eastAsia="zh-CN"/>
        </w:rPr>
      </w:pPr>
      <w:r>
        <w:rPr>
          <w:rFonts w:hint="eastAsia"/>
          <w:sz w:val="24"/>
        </w:rPr>
        <w:t>二、机构设置</w:t>
      </w:r>
      <w:r>
        <w:rPr>
          <w:rFonts w:hint="default" w:ascii="Arial" w:hAnsi="Arial" w:cs="Arial"/>
          <w:sz w:val="24"/>
        </w:rPr>
        <w:t>………………………………………………………………</w:t>
      </w:r>
      <w:r>
        <w:rPr>
          <w:rFonts w:hint="eastAsia" w:ascii="Arial" w:hAnsi="Arial" w:cs="Arial"/>
          <w:sz w:val="24"/>
          <w:lang w:val="en-US" w:eastAsia="zh-CN"/>
        </w:rPr>
        <w:t>7</w:t>
      </w:r>
    </w:p>
    <w:p>
      <w:pPr>
        <w:pStyle w:val="10"/>
        <w:adjustRightInd w:val="0"/>
        <w:snapToGrid w:val="0"/>
        <w:spacing w:before="0" w:line="440" w:lineRule="exact"/>
        <w:jc w:val="left"/>
        <w:rPr>
          <w:rFonts w:hint="default" w:eastAsia="仿宋"/>
          <w:sz w:val="24"/>
          <w:szCs w:val="24"/>
          <w:lang w:val="en-US" w:eastAsia="zh-CN"/>
        </w:rPr>
      </w:pPr>
      <w:r>
        <w:rPr>
          <w:rFonts w:hint="eastAsia"/>
          <w:sz w:val="24"/>
        </w:rPr>
        <w:t>第二部分度部门决算情况说明</w:t>
      </w:r>
      <w:r>
        <w:rPr>
          <w:rFonts w:hint="default" w:ascii="Arial" w:hAnsi="Arial" w:cs="Arial"/>
          <w:sz w:val="24"/>
        </w:rPr>
        <w:t>…………………………………………………</w:t>
      </w:r>
      <w:r>
        <w:rPr>
          <w:rFonts w:hint="eastAsia" w:ascii="Arial" w:hAnsi="Arial" w:cs="Arial"/>
          <w:sz w:val="24"/>
          <w:lang w:val="en-US" w:eastAsia="zh-CN"/>
        </w:rPr>
        <w:t>7</w:t>
      </w:r>
    </w:p>
    <w:p>
      <w:pPr>
        <w:pStyle w:val="11"/>
        <w:adjustRightInd w:val="0"/>
        <w:snapToGrid w:val="0"/>
        <w:spacing w:line="440" w:lineRule="exact"/>
        <w:jc w:val="left"/>
        <w:rPr>
          <w:rFonts w:hint="eastAsia" w:ascii="仿宋" w:hAnsi="仿宋" w:eastAsia="宋体" w:cstheme="minorBidi"/>
          <w:sz w:val="24"/>
          <w:lang w:val="en-US" w:eastAsia="zh-CN"/>
        </w:rPr>
      </w:pPr>
      <w:r>
        <w:rPr>
          <w:rFonts w:hint="eastAsia"/>
          <w:sz w:val="24"/>
        </w:rPr>
        <w:t>一、收入支出决算总体情况说明</w:t>
      </w:r>
      <w:r>
        <w:rPr>
          <w:rFonts w:hint="default" w:ascii="Arial" w:hAnsi="Arial" w:cs="Arial"/>
          <w:sz w:val="24"/>
        </w:rPr>
        <w:t>…………………………………………</w:t>
      </w:r>
      <w:r>
        <w:rPr>
          <w:rFonts w:hint="eastAsia" w:ascii="Arial" w:hAnsi="Arial" w:cs="Arial"/>
          <w:sz w:val="24"/>
          <w:lang w:val="en-US" w:eastAsia="zh-CN"/>
        </w:rPr>
        <w:t>7</w:t>
      </w:r>
    </w:p>
    <w:p>
      <w:pPr>
        <w:pStyle w:val="11"/>
        <w:adjustRightInd w:val="0"/>
        <w:snapToGrid w:val="0"/>
        <w:spacing w:line="440" w:lineRule="exact"/>
        <w:jc w:val="left"/>
        <w:rPr>
          <w:rFonts w:hint="eastAsia" w:ascii="仿宋" w:hAnsi="仿宋" w:eastAsia="宋体" w:cstheme="minorBidi"/>
          <w:sz w:val="24"/>
          <w:lang w:val="en-US" w:eastAsia="zh-CN"/>
        </w:rPr>
      </w:pPr>
      <w:r>
        <w:rPr>
          <w:rFonts w:hint="eastAsia"/>
          <w:sz w:val="24"/>
        </w:rPr>
        <w:t>二、收入决算情况说明</w:t>
      </w:r>
      <w:r>
        <w:rPr>
          <w:rFonts w:hint="default" w:ascii="Arial" w:hAnsi="Arial" w:cs="Arial"/>
          <w:sz w:val="24"/>
        </w:rPr>
        <w:t>……………………………………………………</w:t>
      </w:r>
      <w:r>
        <w:rPr>
          <w:rFonts w:hint="eastAsia" w:ascii="Arial" w:hAnsi="Arial" w:cs="Arial"/>
          <w:sz w:val="24"/>
          <w:lang w:val="en-US" w:eastAsia="zh-CN"/>
        </w:rPr>
        <w:t>8</w:t>
      </w:r>
    </w:p>
    <w:p>
      <w:pPr>
        <w:pStyle w:val="11"/>
        <w:adjustRightInd w:val="0"/>
        <w:snapToGrid w:val="0"/>
        <w:spacing w:line="440" w:lineRule="exact"/>
        <w:jc w:val="left"/>
        <w:rPr>
          <w:rFonts w:hint="eastAsia" w:ascii="仿宋" w:hAnsi="仿宋" w:eastAsia="宋体" w:cstheme="minorBidi"/>
          <w:sz w:val="24"/>
          <w:lang w:val="en-US" w:eastAsia="zh-CN"/>
        </w:rPr>
      </w:pPr>
      <w:r>
        <w:rPr>
          <w:rFonts w:hint="eastAsia"/>
          <w:sz w:val="24"/>
        </w:rPr>
        <w:t>三、支出决算情况说明</w:t>
      </w:r>
      <w:r>
        <w:rPr>
          <w:rFonts w:hint="default" w:ascii="Arial" w:hAnsi="Arial" w:cs="Arial"/>
          <w:sz w:val="24"/>
        </w:rPr>
        <w:t>……………………………………………………</w:t>
      </w:r>
      <w:r>
        <w:rPr>
          <w:rFonts w:hint="eastAsia" w:ascii="Arial" w:hAnsi="Arial" w:cs="Arial"/>
          <w:sz w:val="24"/>
          <w:lang w:val="en-US" w:eastAsia="zh-CN"/>
        </w:rPr>
        <w:t>8</w:t>
      </w:r>
    </w:p>
    <w:p>
      <w:pPr>
        <w:pStyle w:val="11"/>
        <w:adjustRightInd w:val="0"/>
        <w:snapToGrid w:val="0"/>
        <w:spacing w:line="440" w:lineRule="exact"/>
        <w:jc w:val="left"/>
        <w:rPr>
          <w:rFonts w:hint="eastAsia" w:ascii="仿宋" w:hAnsi="仿宋" w:eastAsia="宋体" w:cstheme="minorBidi"/>
          <w:sz w:val="24"/>
          <w:lang w:val="en-US" w:eastAsia="zh-CN"/>
        </w:rPr>
      </w:pPr>
      <w:r>
        <w:rPr>
          <w:rFonts w:hint="eastAsia"/>
          <w:sz w:val="24"/>
        </w:rPr>
        <w:t>四、财政拨款收入支出决算总体情况说明</w:t>
      </w:r>
      <w:r>
        <w:rPr>
          <w:rFonts w:hint="default" w:ascii="Arial" w:hAnsi="Arial" w:cs="Arial"/>
          <w:sz w:val="24"/>
        </w:rPr>
        <w:t>………………………………</w:t>
      </w:r>
      <w:r>
        <w:rPr>
          <w:rFonts w:hint="eastAsia" w:ascii="Arial" w:hAnsi="Arial" w:cs="Arial"/>
          <w:sz w:val="24"/>
          <w:lang w:val="en-US" w:eastAsia="zh-CN"/>
        </w:rPr>
        <w:t>9</w:t>
      </w:r>
    </w:p>
    <w:p>
      <w:pPr>
        <w:pStyle w:val="11"/>
        <w:adjustRightInd w:val="0"/>
        <w:snapToGrid w:val="0"/>
        <w:spacing w:line="440" w:lineRule="exact"/>
        <w:jc w:val="left"/>
        <w:rPr>
          <w:rFonts w:hint="eastAsia" w:ascii="仿宋" w:hAnsi="仿宋" w:eastAsia="宋体" w:cstheme="minorBidi"/>
          <w:sz w:val="24"/>
          <w:lang w:val="en-US" w:eastAsia="zh-CN"/>
        </w:rPr>
      </w:pPr>
      <w:r>
        <w:rPr>
          <w:rFonts w:hint="eastAsia"/>
          <w:sz w:val="24"/>
        </w:rPr>
        <w:t>五、一般公共预算财政拨款支出决算情况说明</w:t>
      </w:r>
      <w:r>
        <w:rPr>
          <w:rFonts w:hint="default" w:ascii="Arial" w:hAnsi="Arial" w:cs="Arial"/>
          <w:sz w:val="24"/>
        </w:rPr>
        <w:t>…………………………</w:t>
      </w:r>
      <w:r>
        <w:rPr>
          <w:rFonts w:hint="eastAsia" w:ascii="Arial" w:hAnsi="Arial" w:cs="Arial"/>
          <w:sz w:val="24"/>
          <w:lang w:val="en-US" w:eastAsia="zh-CN"/>
        </w:rPr>
        <w:t>9</w:t>
      </w:r>
    </w:p>
    <w:p>
      <w:pPr>
        <w:pStyle w:val="11"/>
        <w:adjustRightInd w:val="0"/>
        <w:snapToGrid w:val="0"/>
        <w:spacing w:line="440" w:lineRule="exact"/>
        <w:jc w:val="left"/>
        <w:rPr>
          <w:rFonts w:hint="default" w:ascii="仿宋" w:hAnsi="仿宋" w:eastAsia="宋体" w:cstheme="minorBidi"/>
          <w:sz w:val="24"/>
          <w:lang w:val="en-US" w:eastAsia="zh-CN"/>
        </w:rPr>
      </w:pPr>
      <w:r>
        <w:rPr>
          <w:rFonts w:hint="eastAsia"/>
          <w:sz w:val="24"/>
        </w:rPr>
        <w:t>六、一般公共预算财政拨款基本支出决算情况说明</w:t>
      </w:r>
      <w:r>
        <w:rPr>
          <w:rFonts w:hint="default" w:ascii="Arial" w:hAnsi="Arial" w:cs="Arial"/>
          <w:sz w:val="24"/>
        </w:rPr>
        <w:t>……………………</w:t>
      </w:r>
      <w:r>
        <w:rPr>
          <w:rFonts w:hint="eastAsia" w:ascii="Arial" w:hAnsi="Arial" w:cs="Arial"/>
          <w:sz w:val="24"/>
          <w:lang w:val="en-US" w:eastAsia="zh-CN"/>
        </w:rPr>
        <w:t>13</w:t>
      </w:r>
    </w:p>
    <w:p>
      <w:pPr>
        <w:pStyle w:val="11"/>
        <w:adjustRightInd w:val="0"/>
        <w:snapToGrid w:val="0"/>
        <w:spacing w:line="440" w:lineRule="exact"/>
        <w:jc w:val="left"/>
        <w:rPr>
          <w:rFonts w:hint="default" w:ascii="仿宋" w:hAnsi="仿宋" w:eastAsia="宋体" w:cstheme="minorBidi"/>
          <w:sz w:val="24"/>
          <w:lang w:val="en-US" w:eastAsia="zh-CN"/>
        </w:rPr>
      </w:pPr>
      <w:r>
        <w:rPr>
          <w:rFonts w:hint="eastAsia"/>
          <w:sz w:val="24"/>
        </w:rPr>
        <w:t>七、</w:t>
      </w:r>
      <w:r>
        <w:rPr>
          <w:sz w:val="24"/>
        </w:rPr>
        <w:t>“</w:t>
      </w:r>
      <w:r>
        <w:rPr>
          <w:rFonts w:hint="eastAsia"/>
          <w:sz w:val="24"/>
        </w:rPr>
        <w:t>三公”经费财政拨款支出决算情况说明</w:t>
      </w:r>
      <w:r>
        <w:rPr>
          <w:rFonts w:hint="default" w:ascii="Arial" w:hAnsi="Arial" w:cs="Arial"/>
          <w:sz w:val="24"/>
        </w:rPr>
        <w:t>…………………………</w:t>
      </w:r>
      <w:r>
        <w:rPr>
          <w:rFonts w:hint="eastAsia" w:ascii="Arial" w:hAnsi="Arial" w:cs="Arial"/>
          <w:sz w:val="24"/>
          <w:lang w:val="en-US" w:eastAsia="zh-CN"/>
        </w:rPr>
        <w:t>...13</w:t>
      </w:r>
    </w:p>
    <w:p>
      <w:pPr>
        <w:pStyle w:val="11"/>
        <w:adjustRightInd w:val="0"/>
        <w:snapToGrid w:val="0"/>
        <w:spacing w:line="440" w:lineRule="exact"/>
        <w:jc w:val="left"/>
        <w:rPr>
          <w:rFonts w:hint="default" w:ascii="仿宋" w:hAnsi="仿宋" w:eastAsia="宋体" w:cstheme="minorBidi"/>
          <w:sz w:val="24"/>
          <w:lang w:val="en-US" w:eastAsia="zh-CN"/>
        </w:rPr>
      </w:pPr>
      <w:r>
        <w:rPr>
          <w:rFonts w:hint="eastAsia"/>
          <w:sz w:val="24"/>
        </w:rPr>
        <w:t>八、政府性基金预算支出决算情况说明</w:t>
      </w:r>
      <w:r>
        <w:rPr>
          <w:rFonts w:hint="default" w:ascii="Arial" w:hAnsi="Arial" w:cs="Arial"/>
          <w:sz w:val="24"/>
        </w:rPr>
        <w:t>………………………………</w:t>
      </w:r>
      <w:r>
        <w:rPr>
          <w:rFonts w:hint="eastAsia" w:ascii="Arial" w:hAnsi="Arial" w:cs="Arial"/>
          <w:sz w:val="24"/>
          <w:lang w:val="en-US" w:eastAsia="zh-CN"/>
        </w:rPr>
        <w:t>....15</w:t>
      </w:r>
    </w:p>
    <w:p>
      <w:pPr>
        <w:pStyle w:val="11"/>
        <w:adjustRightInd w:val="0"/>
        <w:snapToGrid w:val="0"/>
        <w:spacing w:line="440" w:lineRule="exact"/>
        <w:ind w:leftChars="0"/>
        <w:jc w:val="left"/>
        <w:rPr>
          <w:rFonts w:hint="default" w:ascii="仿宋" w:hAnsi="仿宋" w:eastAsia="宋体"/>
          <w:sz w:val="24"/>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rPr>
          <w:rFonts w:hint="default" w:ascii="Arial" w:hAnsi="Arial" w:cs="Arial"/>
          <w:sz w:val="24"/>
        </w:rPr>
        <w:t>……………………………</w:t>
      </w:r>
      <w:r>
        <w:rPr>
          <w:rFonts w:hint="eastAsia" w:ascii="Arial" w:hAnsi="Arial" w:cs="Arial"/>
          <w:sz w:val="24"/>
          <w:lang w:val="en-US" w:eastAsia="zh-CN"/>
        </w:rPr>
        <w:t>..15</w:t>
      </w:r>
    </w:p>
    <w:p>
      <w:pPr>
        <w:adjustRightInd w:val="0"/>
        <w:snapToGrid w:val="0"/>
        <w:spacing w:line="440" w:lineRule="exact"/>
        <w:ind w:firstLine="480" w:firstLineChars="200"/>
        <w:jc w:val="left"/>
        <w:rPr>
          <w:rFonts w:ascii="仿宋" w:hAnsi="仿宋" w:eastAsia="仿宋" w:cstheme="minorBidi"/>
          <w:sz w:val="24"/>
        </w:rPr>
      </w:pPr>
      <w:r>
        <w:rPr>
          <w:rStyle w:val="15"/>
          <w:rFonts w:hint="eastAsia" w:ascii="仿宋" w:hAnsi="仿宋" w:eastAsia="仿宋"/>
          <w:color w:val="000000" w:themeColor="text1"/>
          <w:sz w:val="24"/>
          <w:u w:val="none"/>
        </w:rPr>
        <w:t>十、</w:t>
      </w:r>
      <w:r>
        <w:rPr>
          <w:rFonts w:hint="eastAsia"/>
          <w:sz w:val="24"/>
        </w:rPr>
        <w:t>其他重要事项的情况说明</w:t>
      </w:r>
      <w:r>
        <w:rPr>
          <w:rFonts w:hint="default" w:ascii="Arial" w:hAnsi="Arial" w:cs="Arial"/>
          <w:sz w:val="24"/>
        </w:rPr>
        <w:t>……………………………………………</w:t>
      </w:r>
      <w:r>
        <w:rPr>
          <w:rFonts w:hint="eastAsia" w:ascii="Arial" w:hAnsi="Arial" w:cs="Arial"/>
          <w:sz w:val="24"/>
          <w:lang w:val="en-US" w:eastAsia="zh-CN"/>
        </w:rPr>
        <w:t>15</w:t>
      </w:r>
      <w:r>
        <w:rPr>
          <w:rFonts w:ascii="仿宋" w:hAnsi="仿宋" w:eastAsia="仿宋"/>
          <w:sz w:val="24"/>
        </w:rPr>
        <w:tab/>
      </w:r>
    </w:p>
    <w:p>
      <w:pPr>
        <w:pStyle w:val="10"/>
        <w:adjustRightInd w:val="0"/>
        <w:snapToGrid w:val="0"/>
        <w:spacing w:before="0" w:line="440" w:lineRule="exact"/>
        <w:jc w:val="left"/>
        <w:rPr>
          <w:rFonts w:hint="default" w:eastAsia="仿宋" w:cstheme="minorBidi"/>
          <w:sz w:val="24"/>
          <w:szCs w:val="24"/>
          <w:lang w:val="en-US" w:eastAsia="zh-CN"/>
        </w:rPr>
      </w:pPr>
      <w:r>
        <w:rPr>
          <w:rFonts w:hint="eastAsia"/>
          <w:sz w:val="24"/>
        </w:rPr>
        <w:t>第三部分</w:t>
      </w:r>
      <w:r>
        <w:rPr>
          <w:sz w:val="24"/>
        </w:rPr>
        <w:t xml:space="preserve"> </w:t>
      </w:r>
      <w:r>
        <w:rPr>
          <w:rFonts w:hint="eastAsia"/>
          <w:sz w:val="24"/>
        </w:rPr>
        <w:t>名词解释</w:t>
      </w:r>
      <w:r>
        <w:rPr>
          <w:rFonts w:hint="default" w:ascii="Arial" w:hAnsi="Arial" w:cs="Arial"/>
          <w:sz w:val="24"/>
        </w:rPr>
        <w:t>……………………………………………………</w:t>
      </w:r>
      <w:r>
        <w:rPr>
          <w:rFonts w:hint="eastAsia" w:ascii="Arial" w:hAnsi="Arial" w:cs="Arial"/>
          <w:sz w:val="24"/>
          <w:lang w:val="en-US" w:eastAsia="zh-CN"/>
        </w:rPr>
        <w:t>............32</w:t>
      </w:r>
    </w:p>
    <w:p>
      <w:pPr>
        <w:pStyle w:val="10"/>
        <w:adjustRightInd w:val="0"/>
        <w:snapToGrid w:val="0"/>
        <w:spacing w:before="0" w:line="440" w:lineRule="exact"/>
        <w:jc w:val="left"/>
        <w:rPr>
          <w:rFonts w:hint="default" w:cstheme="minorBidi"/>
          <w:sz w:val="24"/>
          <w:szCs w:val="24"/>
          <w:lang w:val="en-US"/>
        </w:rPr>
      </w:pPr>
      <w:r>
        <w:rPr>
          <w:rFonts w:hint="eastAsia"/>
          <w:sz w:val="24"/>
        </w:rPr>
        <w:t>第四部分</w:t>
      </w:r>
      <w:r>
        <w:rPr>
          <w:sz w:val="24"/>
        </w:rPr>
        <w:t xml:space="preserve"> </w:t>
      </w:r>
      <w:r>
        <w:rPr>
          <w:rFonts w:hint="eastAsia"/>
          <w:sz w:val="24"/>
        </w:rPr>
        <w:t>附件</w:t>
      </w:r>
      <w:r>
        <w:rPr>
          <w:rFonts w:hint="default" w:ascii="Arial" w:hAnsi="Arial" w:cs="Arial"/>
          <w:sz w:val="24"/>
        </w:rPr>
        <w:t>……………………………………………………</w:t>
      </w:r>
      <w:r>
        <w:rPr>
          <w:rFonts w:hint="eastAsia" w:ascii="Arial" w:hAnsi="Arial" w:cs="Arial"/>
          <w:sz w:val="24"/>
          <w:lang w:val="en-US" w:eastAsia="zh-CN"/>
        </w:rPr>
        <w:t>...................34</w:t>
      </w:r>
    </w:p>
    <w:p>
      <w:pPr>
        <w:pStyle w:val="11"/>
        <w:adjustRightInd w:val="0"/>
        <w:snapToGrid w:val="0"/>
        <w:spacing w:line="440" w:lineRule="exact"/>
        <w:jc w:val="left"/>
        <w:rPr>
          <w:rFonts w:hint="default" w:ascii="仿宋" w:hAnsi="仿宋" w:eastAsia="仿宋" w:cstheme="minorBidi"/>
          <w:sz w:val="24"/>
          <w:lang w:val="en-US"/>
        </w:rPr>
      </w:pPr>
      <w:r>
        <w:rPr>
          <w:rFonts w:hint="eastAsia"/>
          <w:sz w:val="24"/>
        </w:rPr>
        <w:t>附件</w:t>
      </w:r>
      <w:r>
        <w:rPr>
          <w:sz w:val="24"/>
        </w:rPr>
        <w:t>1</w:t>
      </w:r>
      <w:r>
        <w:rPr>
          <w:rFonts w:hint="default" w:ascii="Arial" w:hAnsi="Arial" w:cs="Arial"/>
          <w:sz w:val="24"/>
        </w:rPr>
        <w:t>……………………………………………………</w:t>
      </w:r>
      <w:r>
        <w:rPr>
          <w:rFonts w:hint="eastAsia" w:ascii="Arial" w:hAnsi="Arial" w:cs="Arial"/>
          <w:sz w:val="24"/>
          <w:lang w:val="en-US" w:eastAsia="zh-CN"/>
        </w:rPr>
        <w:t>..........................34</w:t>
      </w:r>
    </w:p>
    <w:p>
      <w:pPr>
        <w:pStyle w:val="11"/>
        <w:adjustRightInd w:val="0"/>
        <w:snapToGrid w:val="0"/>
        <w:spacing w:line="440" w:lineRule="exact"/>
        <w:jc w:val="left"/>
        <w:rPr>
          <w:rFonts w:hint="default" w:ascii="仿宋" w:hAnsi="仿宋" w:eastAsia="仿宋" w:cstheme="minorBidi"/>
          <w:sz w:val="24"/>
          <w:lang w:val="en-US"/>
        </w:rPr>
      </w:pPr>
      <w:r>
        <w:rPr>
          <w:rFonts w:hint="eastAsia"/>
          <w:sz w:val="24"/>
        </w:rPr>
        <w:t>附件</w:t>
      </w:r>
      <w:r>
        <w:rPr>
          <w:sz w:val="24"/>
        </w:rPr>
        <w:t>2</w:t>
      </w:r>
      <w:r>
        <w:rPr>
          <w:rFonts w:hint="default" w:ascii="Arial" w:hAnsi="Arial" w:cs="Arial"/>
          <w:sz w:val="24"/>
        </w:rPr>
        <w:t>……………………………………………………</w:t>
      </w:r>
      <w:r>
        <w:rPr>
          <w:rFonts w:hint="eastAsia" w:ascii="Arial" w:hAnsi="Arial" w:cs="Arial"/>
          <w:sz w:val="24"/>
          <w:lang w:val="en-US" w:eastAsia="zh-CN"/>
        </w:rPr>
        <w:t>..........................38</w:t>
      </w:r>
    </w:p>
    <w:p>
      <w:pPr>
        <w:pStyle w:val="10"/>
        <w:adjustRightInd w:val="0"/>
        <w:snapToGrid w:val="0"/>
        <w:spacing w:before="0" w:line="440" w:lineRule="exact"/>
        <w:jc w:val="left"/>
        <w:rPr>
          <w:rFonts w:hint="default" w:cstheme="minorBidi"/>
          <w:sz w:val="24"/>
          <w:szCs w:val="24"/>
          <w:lang w:val="en-US"/>
        </w:rPr>
      </w:pPr>
      <w:r>
        <w:rPr>
          <w:rFonts w:hint="eastAsia"/>
          <w:sz w:val="24"/>
        </w:rPr>
        <w:t>第五部分</w:t>
      </w:r>
      <w:r>
        <w:rPr>
          <w:sz w:val="24"/>
        </w:rPr>
        <w:t xml:space="preserve"> </w:t>
      </w:r>
      <w:r>
        <w:rPr>
          <w:rFonts w:hint="eastAsia"/>
          <w:sz w:val="24"/>
        </w:rPr>
        <w:t>附表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一、</w:t>
      </w:r>
      <w:r>
        <w:rPr>
          <w:rFonts w:hint="eastAsia"/>
          <w:sz w:val="24"/>
        </w:rPr>
        <w:t>收入支出决算总表</w:t>
      </w:r>
      <w:r>
        <w:rPr>
          <w:rFonts w:hint="default" w:ascii="Arial" w:hAnsi="Arial" w:cs="Arial"/>
          <w:sz w:val="24"/>
        </w:rPr>
        <w:t>…………………………………</w:t>
      </w:r>
      <w:bookmarkStart w:id="73" w:name="_GoBack"/>
      <w:bookmarkEnd w:id="73"/>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二、</w:t>
      </w:r>
      <w:r>
        <w:rPr>
          <w:rFonts w:hint="eastAsia"/>
          <w:sz w:val="24"/>
        </w:rPr>
        <w:t>收入</w:t>
      </w:r>
      <w:r>
        <w:rPr>
          <w:rFonts w:hint="eastAsia" w:ascii="仿宋" w:hAnsi="仿宋" w:eastAsia="仿宋"/>
          <w:sz w:val="24"/>
        </w:rPr>
        <w:t>决算</w:t>
      </w:r>
      <w:r>
        <w:rPr>
          <w:rFonts w:hint="eastAsia"/>
          <w:sz w:val="24"/>
        </w:rPr>
        <w:t>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三、</w:t>
      </w:r>
      <w:r>
        <w:rPr>
          <w:rFonts w:hint="eastAsia"/>
          <w:sz w:val="24"/>
        </w:rPr>
        <w:t>支出</w:t>
      </w:r>
      <w:r>
        <w:rPr>
          <w:rFonts w:hint="eastAsia" w:ascii="仿宋" w:hAnsi="仿宋" w:eastAsia="仿宋"/>
          <w:sz w:val="24"/>
        </w:rPr>
        <w:t>决算</w:t>
      </w:r>
      <w:r>
        <w:rPr>
          <w:rFonts w:hint="eastAsia"/>
          <w:sz w:val="24"/>
        </w:rPr>
        <w:t>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四、</w:t>
      </w:r>
      <w:r>
        <w:rPr>
          <w:rFonts w:hint="eastAsia"/>
          <w:sz w:val="24"/>
        </w:rPr>
        <w:t>财政拨款收入支出决算总表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sz w:val="24"/>
          <w:lang w:val="en-US"/>
        </w:rPr>
      </w:pPr>
      <w:r>
        <w:rPr>
          <w:rFonts w:hint="eastAsia" w:ascii="仿宋" w:hAnsi="仿宋" w:eastAsia="仿宋"/>
          <w:sz w:val="24"/>
        </w:rPr>
        <w:t>五、财政拨款支出决算明细表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六、</w:t>
      </w:r>
      <w:r>
        <w:rPr>
          <w:rFonts w:hint="eastAsia"/>
          <w:sz w:val="24"/>
        </w:rPr>
        <w:t>一般公共预算财政拨款支出决算表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七、</w:t>
      </w:r>
      <w:r>
        <w:rPr>
          <w:rFonts w:hint="eastAsia"/>
          <w:sz w:val="24"/>
        </w:rPr>
        <w:t>一般公共预算财政拨款支出决算明细表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八、</w:t>
      </w:r>
      <w:r>
        <w:rPr>
          <w:rFonts w:hint="eastAsia"/>
          <w:sz w:val="24"/>
        </w:rPr>
        <w:t>一般公共预算财政拨款基本支出决算表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九、</w:t>
      </w:r>
      <w:r>
        <w:rPr>
          <w:rFonts w:hint="eastAsia"/>
          <w:sz w:val="24"/>
        </w:rPr>
        <w:t>一般公共预算财政拨款项目支出决算表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十、</w:t>
      </w:r>
      <w:r>
        <w:rPr>
          <w:rFonts w:hint="eastAsia"/>
          <w:sz w:val="24"/>
        </w:rPr>
        <w:t>一般公共预算财政拨款“三公”经费支出决算表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十一、</w:t>
      </w:r>
      <w:r>
        <w:rPr>
          <w:rFonts w:hint="eastAsia"/>
          <w:sz w:val="24"/>
        </w:rPr>
        <w:t>政府性基金预算财政拨款收入支出决算表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十二、</w:t>
      </w:r>
      <w:r>
        <w:rPr>
          <w:rFonts w:hint="eastAsia"/>
          <w:sz w:val="24"/>
        </w:rPr>
        <w:t>政府性基金预算财政拨款“三公”经费支出决算表</w:t>
      </w:r>
      <w:r>
        <w:rPr>
          <w:rFonts w:hint="default" w:ascii="Arial" w:hAnsi="Arial" w:cs="Arial"/>
          <w:sz w:val="24"/>
        </w:rPr>
        <w:t>…………</w:t>
      </w:r>
      <w:r>
        <w:rPr>
          <w:rFonts w:hint="eastAsia" w:ascii="Arial" w:hAnsi="Arial" w:cs="Arial"/>
          <w:sz w:val="24"/>
          <w:lang w:val="en-US" w:eastAsia="zh-CN"/>
        </w:rPr>
        <w:t>.......45</w:t>
      </w:r>
    </w:p>
    <w:p>
      <w:pPr>
        <w:pStyle w:val="11"/>
        <w:adjustRightInd w:val="0"/>
        <w:snapToGrid w:val="0"/>
        <w:spacing w:line="440" w:lineRule="exact"/>
        <w:jc w:val="left"/>
        <w:rPr>
          <w:rFonts w:hint="default" w:ascii="仿宋" w:hAnsi="仿宋" w:eastAsia="仿宋" w:cstheme="minorBidi"/>
          <w:sz w:val="24"/>
          <w:lang w:val="en-US"/>
        </w:rPr>
      </w:pPr>
      <w:r>
        <w:rPr>
          <w:rFonts w:hint="eastAsia" w:ascii="仿宋" w:hAnsi="仿宋" w:eastAsia="仿宋"/>
          <w:sz w:val="24"/>
        </w:rPr>
        <w:t>十三、</w:t>
      </w:r>
      <w:r>
        <w:rPr>
          <w:rFonts w:hint="eastAsia"/>
          <w:sz w:val="24"/>
        </w:rPr>
        <w:t>国有资本经营预算支出决算表</w:t>
      </w:r>
      <w:r>
        <w:rPr>
          <w:rFonts w:hint="default" w:ascii="Arial" w:hAnsi="Arial" w:cs="Arial"/>
          <w:sz w:val="24"/>
        </w:rPr>
        <w:t>…………</w:t>
      </w:r>
      <w:r>
        <w:rPr>
          <w:rFonts w:hint="eastAsia" w:ascii="Arial" w:hAnsi="Arial" w:cs="Arial"/>
          <w:sz w:val="24"/>
          <w:lang w:val="en-US" w:eastAsia="zh-CN"/>
        </w:rPr>
        <w:t>........................................45</w:t>
      </w:r>
    </w:p>
    <w:p>
      <w:pPr>
        <w:widowControl/>
        <w:spacing w:line="440" w:lineRule="exact"/>
        <w:jc w:val="left"/>
        <w:rPr>
          <w:rFonts w:ascii="仿宋" w:hAnsi="仿宋" w:eastAsia="仿宋"/>
          <w:bCs/>
          <w:kern w:val="44"/>
          <w:sz w:val="24"/>
        </w:rPr>
      </w:pPr>
      <w:bookmarkStart w:id="12" w:name="_Toc15396599"/>
      <w:bookmarkStart w:id="13" w:name="_Toc15377196"/>
      <w:r>
        <w:rPr>
          <w:rFonts w:ascii="仿宋" w:hAnsi="仿宋" w:eastAsia="仿宋"/>
          <w:b/>
          <w:sz w:val="24"/>
        </w:rPr>
        <w:br w:type="page"/>
      </w:r>
    </w:p>
    <w:p>
      <w:pPr>
        <w:pStyle w:val="2"/>
        <w:jc w:val="center"/>
        <w:rPr>
          <w:rStyle w:val="24"/>
          <w:rFonts w:ascii="黑体" w:hAnsi="黑体" w:eastAsia="黑体"/>
          <w:b/>
          <w:bCs w:val="0"/>
        </w:rPr>
      </w:pPr>
      <w:r>
        <w:rPr>
          <w:rFonts w:hint="eastAsia" w:ascii="黑体" w:hAnsi="黑体" w:eastAsia="黑体"/>
          <w:b w:val="0"/>
        </w:rPr>
        <w:t xml:space="preserve">第一部分 </w:t>
      </w:r>
      <w:r>
        <w:rPr>
          <w:rStyle w:val="24"/>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3"/>
        <w:rPr>
          <w:rStyle w:val="25"/>
          <w:rFonts w:ascii="仿宋" w:hAnsi="仿宋" w:eastAsia="仿宋"/>
          <w:b w:val="0"/>
          <w:bCs w:val="0"/>
        </w:rPr>
      </w:pPr>
      <w:bookmarkStart w:id="14" w:name="_Toc15377197"/>
      <w:bookmarkStart w:id="15" w:name="_Toc15396600"/>
      <w:r>
        <w:rPr>
          <w:rFonts w:hint="eastAsia" w:ascii="黑体" w:hAnsi="黑体" w:eastAsia="黑体"/>
          <w:b w:val="0"/>
          <w:color w:val="000000"/>
        </w:rPr>
        <w:t>一、基</w:t>
      </w:r>
      <w:r>
        <w:rPr>
          <w:rStyle w:val="25"/>
          <w:rFonts w:hint="eastAsia" w:ascii="黑体" w:hAnsi="黑体" w:eastAsia="黑体"/>
          <w:b w:val="0"/>
          <w:bCs w:val="0"/>
        </w:rPr>
        <w:t>本职能及主要工作</w:t>
      </w:r>
      <w:bookmarkEnd w:id="14"/>
      <w:bookmarkEnd w:id="15"/>
    </w:p>
    <w:p>
      <w:pPr>
        <w:pStyle w:val="5"/>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6" w:name="_Toc15377198"/>
      <w:bookmarkStart w:id="17" w:name="_Toc15378445"/>
      <w:r>
        <w:rPr>
          <w:rFonts w:hint="eastAsia" w:ascii="仿宋" w:hAnsi="仿宋" w:eastAsia="仿宋"/>
          <w:bCs/>
          <w:color w:val="000000"/>
          <w:sz w:val="32"/>
          <w:szCs w:val="32"/>
        </w:rPr>
        <w:t>（一）主要职能。</w:t>
      </w:r>
      <w:bookmarkEnd w:id="16"/>
      <w:bookmarkEnd w:id="17"/>
      <w:bookmarkStart w:id="18" w:name="_Toc15377199"/>
      <w:bookmarkStart w:id="19" w:name="_Toc15378446"/>
    </w:p>
    <w:p>
      <w:pPr>
        <w:spacing w:line="560" w:lineRule="exact"/>
        <w:ind w:firstLine="640" w:firstLineChars="200"/>
        <w:rPr>
          <w:rFonts w:hint="eastAsia" w:ascii="仿宋" w:hAnsi="仿宋" w:eastAsia="仿宋"/>
          <w:bCs/>
          <w:color w:val="000000"/>
          <w:sz w:val="32"/>
          <w:szCs w:val="32"/>
        </w:rPr>
      </w:pPr>
      <w:r>
        <w:rPr>
          <w:rFonts w:hint="eastAsia" w:ascii="仿宋_GB2312" w:hAnsi="Calibri" w:eastAsia="仿宋_GB2312"/>
          <w:sz w:val="32"/>
          <w:szCs w:val="32"/>
        </w:rPr>
        <w:t>按照社会主义市场经济的要求，县供销社由过去行使政府管理职能逐步转向对系统进行行业管理、指导、协调和服务上来，对直属企业由直接管理转为以出资人身份行使对社有资产的监督管理。主要宗旨是立足三农，服务三农。宣传贯彻和实施农村经济工作的方针政策，指导农村社会化服务体系建设。</w:t>
      </w:r>
    </w:p>
    <w:p>
      <w:pPr>
        <w:pStyle w:val="5"/>
        <w:adjustRightInd w:val="0"/>
        <w:snapToGrid w:val="0"/>
        <w:spacing w:before="93" w:line="600" w:lineRule="exact"/>
        <w:ind w:firstLine="672" w:firstLineChars="210"/>
        <w:outlineLvl w:val="2"/>
        <w:rPr>
          <w:rFonts w:hint="eastAsia" w:ascii="仿宋" w:hAnsi="仿宋" w:eastAsia="仿宋"/>
          <w:bCs/>
          <w:color w:val="000000"/>
          <w:sz w:val="32"/>
          <w:szCs w:val="32"/>
        </w:rPr>
      </w:pPr>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9年重点工作完成情况。</w:t>
      </w:r>
      <w:bookmarkEnd w:id="18"/>
      <w:bookmarkEnd w:id="19"/>
    </w:p>
    <w:p>
      <w:pPr>
        <w:spacing w:line="560" w:lineRule="exact"/>
        <w:ind w:firstLine="790" w:firstLineChars="247"/>
        <w:rPr>
          <w:rFonts w:hint="eastAsia" w:ascii="楷体_GB2312" w:eastAsia="楷体_GB2312"/>
          <w:sz w:val="32"/>
          <w:szCs w:val="32"/>
        </w:rPr>
      </w:pPr>
      <w:r>
        <w:rPr>
          <w:rFonts w:hint="eastAsia" w:ascii="楷体_GB2312" w:hAnsi="仿宋_GB2312" w:eastAsia="楷体_GB2312" w:cs="仿宋_GB2312"/>
          <w:bCs/>
          <w:sz w:val="32"/>
          <w:szCs w:val="32"/>
        </w:rPr>
        <w:t>1.</w:t>
      </w:r>
      <w:r>
        <w:rPr>
          <w:rFonts w:hint="eastAsia" w:ascii="楷体_GB2312" w:eastAsia="楷体_GB2312"/>
          <w:sz w:val="32"/>
          <w:szCs w:val="32"/>
        </w:rPr>
        <w:t>做好农资供应保障工作。</w:t>
      </w:r>
    </w:p>
    <w:p>
      <w:pPr>
        <w:spacing w:line="560" w:lineRule="exact"/>
        <w:ind w:firstLine="470" w:firstLineChars="147"/>
        <w:rPr>
          <w:rFonts w:hint="eastAsia" w:ascii="仿宋_GB2312" w:eastAsia="仿宋_GB2312"/>
          <w:sz w:val="32"/>
          <w:szCs w:val="32"/>
        </w:rPr>
      </w:pPr>
      <w:r>
        <w:rPr>
          <w:rFonts w:hint="eastAsia" w:ascii="仿宋_GB2312" w:hAnsi="仿宋_GB2312" w:eastAsia="仿宋_GB2312" w:cs="仿宋_GB2312"/>
          <w:bCs/>
          <w:sz w:val="32"/>
          <w:szCs w:val="32"/>
        </w:rPr>
        <w:t>3月底前</w:t>
      </w:r>
      <w:r>
        <w:rPr>
          <w:rFonts w:hint="eastAsia" w:ascii="仿宋_GB2312" w:eastAsia="仿宋_GB2312"/>
          <w:sz w:val="32"/>
          <w:szCs w:val="32"/>
        </w:rPr>
        <w:t>储备和供应农资肥料420吨。全年销售农资694吨，244.26万元。其中有机肥340吨、尿素14吨、复合肥280吨、钾肥40吨，农用薄膜20吨，保障了农牧民群众耕种生产。加强农资和烟花爆竹市场的监管，严厉打击假冒伪劣农资产品、农药、烟花爆竹在市场上的非法经营和销售，确保了市场的安全。</w:t>
      </w:r>
    </w:p>
    <w:p>
      <w:pPr>
        <w:pStyle w:val="30"/>
        <w:spacing w:line="560" w:lineRule="exact"/>
        <w:ind w:firstLine="470" w:firstLineChars="147"/>
        <w:rPr>
          <w:rFonts w:hint="eastAsia" w:ascii="楷体_GB2312" w:hAnsi="仿宋_GB2312" w:eastAsia="楷体_GB2312" w:cs="仿宋_GB2312"/>
          <w:bCs/>
          <w:kern w:val="2"/>
          <w:sz w:val="32"/>
          <w:szCs w:val="32"/>
        </w:rPr>
      </w:pPr>
      <w:r>
        <w:rPr>
          <w:rFonts w:hint="eastAsia" w:ascii="楷体_GB2312" w:hAnsi="仿宋_GB2312" w:eastAsia="楷体_GB2312" w:cs="仿宋_GB2312"/>
          <w:bCs/>
          <w:kern w:val="2"/>
          <w:sz w:val="32"/>
          <w:szCs w:val="32"/>
        </w:rPr>
        <w:t>2.全面推进供销社综合改革试点工作。</w:t>
      </w:r>
    </w:p>
    <w:p>
      <w:pPr>
        <w:pStyle w:val="30"/>
        <w:spacing w:line="560" w:lineRule="exact"/>
        <w:ind w:firstLine="464" w:firstLineChars="145"/>
        <w:rPr>
          <w:rFonts w:hint="eastAsia" w:ascii="仿宋_GB2312" w:hAnsi="Calibri" w:eastAsia="仿宋_GB2312"/>
          <w:kern w:val="2"/>
          <w:sz w:val="32"/>
          <w:szCs w:val="32"/>
        </w:rPr>
      </w:pPr>
      <w:r>
        <w:rPr>
          <w:rFonts w:hint="eastAsia" w:ascii="仿宋_GB2312" w:hAnsi="Calibri" w:eastAsia="仿宋_GB2312"/>
          <w:kern w:val="2"/>
          <w:sz w:val="32"/>
          <w:szCs w:val="32"/>
        </w:rPr>
        <w:t>加快实施“两中心一体系”建设。为构建供销社基层经营服务网络体系，实现中心乡镇和中心村供销社经营服务网路全覆盖。投入供销系统综合改革专项资金30万元，完成了壤口乡、龙日乡、查尔玛乡等3个乡镇的基层供销社恢复建设工作。目前全县所有乡镇及村民居住点的基层社和基层为农服务中心有23个，覆盖率已达95%，全面改善了农村消费环境。</w:t>
      </w:r>
    </w:p>
    <w:p>
      <w:pPr>
        <w:spacing w:line="560" w:lineRule="exact"/>
        <w:ind w:firstLine="640" w:firstLineChars="200"/>
        <w:rPr>
          <w:rFonts w:hint="eastAsia" w:ascii="楷体_GB2312" w:hAnsi="仿宋_GB2312" w:eastAsia="楷体_GB2312" w:cs="仿宋_GB2312"/>
          <w:bCs/>
          <w:sz w:val="32"/>
          <w:szCs w:val="32"/>
        </w:rPr>
      </w:pPr>
      <w:r>
        <w:rPr>
          <w:rFonts w:hint="eastAsia" w:ascii="楷体_GB2312" w:hAnsi="仿宋_GB2312" w:eastAsia="楷体_GB2312" w:cs="仿宋_GB2312"/>
          <w:bCs/>
          <w:sz w:val="32"/>
          <w:szCs w:val="32"/>
        </w:rPr>
        <w:t>3.完善产业转型升级和完善投产合作机制。</w:t>
      </w:r>
    </w:p>
    <w:p>
      <w:pPr>
        <w:spacing w:line="560" w:lineRule="exact"/>
        <w:ind w:left="160" w:leftChars="76" w:firstLine="464" w:firstLineChars="145"/>
        <w:rPr>
          <w:rFonts w:hint="eastAsia" w:ascii="仿宋_GB2312" w:hAnsi="仿宋" w:eastAsia="仿宋_GB2312"/>
          <w:sz w:val="32"/>
          <w:szCs w:val="32"/>
        </w:rPr>
      </w:pPr>
      <w:r>
        <w:rPr>
          <w:rFonts w:hint="eastAsia" w:ascii="仿宋_GB2312" w:hAnsi="仿宋" w:eastAsia="仿宋_GB2312"/>
          <w:sz w:val="32"/>
          <w:szCs w:val="32"/>
        </w:rPr>
        <w:t>a、今年完成更攀合作社基础建设项目，共计9个，项目资金下拔到位5858元，更攀合作社技术改造、厂房改造、严格按照企业管理体系进行企业化管理，规范了管理，理清了机制，完善了各项规章制度及人员管理。</w:t>
      </w:r>
    </w:p>
    <w:p>
      <w:pPr>
        <w:spacing w:line="560" w:lineRule="exact"/>
        <w:ind w:firstLine="627" w:firstLineChars="196"/>
        <w:rPr>
          <w:rFonts w:hint="eastAsia" w:ascii="仿宋_GB2312" w:hAnsi="宋体" w:eastAsia="仿宋_GB2312" w:cs="宋体"/>
          <w:color w:val="333333"/>
          <w:kern w:val="0"/>
          <w:sz w:val="32"/>
          <w:szCs w:val="32"/>
        </w:rPr>
      </w:pPr>
      <w:r>
        <w:rPr>
          <w:rFonts w:hint="eastAsia" w:ascii="仿宋_GB2312" w:hAnsi="仿宋" w:eastAsia="仿宋_GB2312"/>
          <w:sz w:val="32"/>
          <w:szCs w:val="32"/>
        </w:rPr>
        <w:t>b、</w:t>
      </w:r>
      <w:r>
        <w:rPr>
          <w:rFonts w:hint="eastAsia" w:ascii="仿宋_GB2312" w:hAnsi="宋体" w:eastAsia="仿宋_GB2312" w:cs="宋体"/>
          <w:color w:val="333333"/>
          <w:kern w:val="0"/>
          <w:sz w:val="32"/>
          <w:szCs w:val="32"/>
        </w:rPr>
        <w:t>完成更攀合作社畜特产生产线的设备安装调试工作并投入生产，一是乳制品生产线，可生产牦牛酸奶、牦牛奶渣、牦牛黄油、牦牛乳饮料、牦牛冰激凌等产品；二是肉制品生产线，可生产牦牛肉肠、牦牛血肠、牦牛风干肉、牦牛冷鲜肉等产品；三是化妆品生产线，可生产唇膏、面膜、手霜、面霜、洗护品等产品；四牦牛毛、藏绵羊毛加工生产线一套，以及各类生产所需附属设施设备。</w:t>
      </w:r>
    </w:p>
    <w:p>
      <w:pPr>
        <w:spacing w:line="560" w:lineRule="exact"/>
        <w:ind w:firstLine="627" w:firstLineChars="196"/>
        <w:rPr>
          <w:rFonts w:hint="eastAsia"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c、</w:t>
      </w:r>
      <w:r>
        <w:rPr>
          <w:rFonts w:hint="eastAsia" w:ascii="仿宋_GB2312" w:hAnsi="仿宋" w:eastAsia="仿宋_GB2312"/>
          <w:sz w:val="32"/>
          <w:szCs w:val="32"/>
        </w:rPr>
        <w:t>完成了牦牛奶5类的送检申请，正式获得SC产品认证，标志着更攀合作社正式生产经营。</w:t>
      </w:r>
      <w:r>
        <w:rPr>
          <w:rFonts w:hint="eastAsia" w:ascii="仿宋_GB2312" w:hAnsi="宋体" w:eastAsia="仿宋_GB2312" w:cs="宋体"/>
          <w:color w:val="333333"/>
          <w:kern w:val="0"/>
          <w:sz w:val="32"/>
          <w:szCs w:val="32"/>
        </w:rPr>
        <w:t>确定了主导产品和主导品牌生产牦牛肉肠、牦牛血肠；牦牛酸奶、酥油、奶酪、奶渣、冰淇淋、黄油、大包奶；牦牛奶乳清饮料等。</w:t>
      </w:r>
      <w:r>
        <w:rPr>
          <w:rFonts w:hint="eastAsia" w:ascii="仿宋_GB2312" w:hAnsi="仿宋" w:eastAsia="仿宋_GB2312"/>
          <w:sz w:val="32"/>
          <w:szCs w:val="32"/>
        </w:rPr>
        <w:t>在</w:t>
      </w:r>
      <w:r>
        <w:rPr>
          <w:rFonts w:hint="eastAsia" w:ascii="仿宋_GB2312" w:hAnsi="宋体" w:eastAsia="仿宋_GB2312" w:cs="宋体"/>
          <w:color w:val="333333"/>
          <w:kern w:val="0"/>
          <w:sz w:val="32"/>
          <w:szCs w:val="32"/>
        </w:rPr>
        <w:t>绵阳雪宝乳业公司的帮助下更攀生产牦牛酸奶进入市场销售。</w:t>
      </w:r>
      <w:r>
        <w:rPr>
          <w:rFonts w:hint="eastAsia" w:ascii="仿宋_GB2312" w:hAnsi="仿宋" w:eastAsia="仿宋_GB2312"/>
          <w:sz w:val="32"/>
          <w:szCs w:val="32"/>
        </w:rPr>
        <w:t>目前巳与我县各大超市及学校签定了销售协议，已完成销售金额300万元</w:t>
      </w:r>
      <w:r>
        <w:rPr>
          <w:rFonts w:hint="eastAsia" w:ascii="仿宋_GB2312" w:hAnsi="宋体" w:eastAsia="仿宋_GB2312" w:cs="宋体"/>
          <w:color w:val="333333"/>
          <w:kern w:val="0"/>
          <w:sz w:val="32"/>
          <w:szCs w:val="32"/>
        </w:rPr>
        <w:t>。</w:t>
      </w:r>
    </w:p>
    <w:p>
      <w:pPr>
        <w:widowControl/>
        <w:shd w:val="clear" w:color="auto" w:fill="FFFFFF"/>
        <w:spacing w:line="560" w:lineRule="exact"/>
        <w:ind w:firstLine="630" w:firstLineChars="197"/>
        <w:jc w:val="left"/>
        <w:rPr>
          <w:rFonts w:hint="eastAsia" w:ascii="楷体_GB2312" w:hAnsi="仿宋_GB2312" w:eastAsia="楷体_GB2312" w:cs="仿宋_GB2312"/>
          <w:bCs/>
          <w:sz w:val="32"/>
          <w:szCs w:val="32"/>
        </w:rPr>
      </w:pPr>
      <w:r>
        <w:rPr>
          <w:rFonts w:hint="eastAsia" w:ascii="楷体_GB2312" w:hAnsi="仿宋_GB2312" w:eastAsia="楷体_GB2312" w:cs="仿宋_GB2312"/>
          <w:bCs/>
          <w:sz w:val="32"/>
          <w:szCs w:val="32"/>
        </w:rPr>
        <w:t>4.完成脱贫攻坚成效考核反馈问题整改工作和乡村振兴的实施方案。</w:t>
      </w:r>
    </w:p>
    <w:p>
      <w:pPr>
        <w:spacing w:line="560" w:lineRule="exact"/>
        <w:ind w:firstLine="470" w:firstLineChars="147"/>
        <w:rPr>
          <w:rFonts w:hint="eastAsia" w:ascii="仿宋_GB2312" w:hAnsi="仿宋_GB2312" w:eastAsia="仿宋_GB2312" w:cs="仿宋_GB2312"/>
          <w:b/>
          <w:bCs/>
          <w:sz w:val="32"/>
          <w:szCs w:val="32"/>
        </w:rPr>
      </w:pPr>
      <w:r>
        <w:rPr>
          <w:rFonts w:hint="eastAsia" w:ascii="仿宋_GB2312" w:eastAsia="仿宋_GB2312"/>
          <w:sz w:val="32"/>
          <w:szCs w:val="32"/>
        </w:rPr>
        <w:t>一是立足当前脱贫攻坚主要任务和形势，结合前期已开展的整改工作，逐项分析研究，成立脱贫攻坚</w:t>
      </w:r>
      <w:r>
        <w:rPr>
          <w:rFonts w:ascii="仿宋_GB2312" w:eastAsia="仿宋_GB2312"/>
          <w:sz w:val="32"/>
          <w:szCs w:val="32"/>
        </w:rPr>
        <w:t>反馈问题整改工作领导小组</w:t>
      </w:r>
      <w:r>
        <w:rPr>
          <w:rFonts w:hint="eastAsia" w:ascii="仿宋_GB2312" w:eastAsia="仿宋_GB2312"/>
          <w:sz w:val="32"/>
          <w:szCs w:val="32"/>
        </w:rPr>
        <w:t>，整改完成中央层面指出供销社存在1个具体问题，涉及更攀合作总社管理混乱、投资盲目，存在风险资金投入后，缺乏后期监管、资产不详细、股权不清的问题。</w:t>
      </w:r>
      <w:r>
        <w:rPr>
          <w:rFonts w:hint="eastAsia" w:ascii="仿宋_GB2312" w:hAnsi="宋体" w:eastAsia="仿宋_GB2312" w:cs="宋体"/>
          <w:color w:val="333333"/>
          <w:kern w:val="0"/>
          <w:sz w:val="32"/>
          <w:szCs w:val="32"/>
        </w:rPr>
        <w:t>二是</w:t>
      </w:r>
      <w:r>
        <w:rPr>
          <w:rFonts w:hint="eastAsia" w:ascii="仿宋_GB2312" w:hAnsi="微软雅黑" w:eastAsia="仿宋_GB2312"/>
          <w:color w:val="000000"/>
          <w:sz w:val="32"/>
          <w:szCs w:val="32"/>
          <w:shd w:val="clear" w:color="auto" w:fill="FFFFFF"/>
        </w:rPr>
        <w:t>全面贯彻落实党的十九大精神，以习近平新时代中国特色社会主义思想为指导，紧紧围绕“三农”工作大局，坚持稳中求进工作总基调，牢固树立新发展理念，落实高质量发展要求，完成了</w:t>
      </w:r>
      <w:r>
        <w:rPr>
          <w:rFonts w:hint="eastAsia" w:ascii="仿宋_GB2312" w:hAnsi="宋体" w:eastAsia="仿宋_GB2312" w:cs="宋体"/>
          <w:color w:val="333333"/>
          <w:kern w:val="0"/>
          <w:sz w:val="32"/>
          <w:szCs w:val="32"/>
        </w:rPr>
        <w:t>乡村振兴的实施方案</w:t>
      </w:r>
      <w:r>
        <w:rPr>
          <w:rFonts w:hint="eastAsia" w:ascii="仿宋_GB2312" w:hAnsi="微软雅黑" w:eastAsia="仿宋_GB2312"/>
          <w:color w:val="000000"/>
          <w:sz w:val="32"/>
          <w:szCs w:val="32"/>
          <w:shd w:val="clear" w:color="auto" w:fill="FFFFFF"/>
        </w:rPr>
        <w:t>制定。</w:t>
      </w:r>
      <w:r>
        <w:rPr>
          <w:rFonts w:ascii="仿宋_GB2312" w:hAnsi="微软雅黑" w:eastAsia="仿宋_GB2312"/>
          <w:color w:val="000000"/>
          <w:sz w:val="32"/>
          <w:szCs w:val="32"/>
          <w:shd w:val="clear" w:color="auto" w:fill="FFFFFF"/>
        </w:rPr>
        <w:br w:type="textWrapping"/>
      </w:r>
      <w:r>
        <w:rPr>
          <w:rFonts w:hint="eastAsia" w:ascii="仿宋_GB2312" w:hAnsi="宋体" w:eastAsia="仿宋_GB2312" w:cs="宋体"/>
          <w:color w:val="333333"/>
          <w:kern w:val="0"/>
          <w:sz w:val="32"/>
          <w:szCs w:val="32"/>
        </w:rPr>
        <w:t>　</w:t>
      </w:r>
      <w:r>
        <w:rPr>
          <w:rFonts w:hint="eastAsia" w:ascii="楷体_GB2312" w:hAnsi="仿宋_GB2312" w:eastAsia="楷体_GB2312" w:cs="仿宋_GB2312"/>
          <w:b/>
          <w:bCs/>
          <w:sz w:val="32"/>
          <w:szCs w:val="32"/>
        </w:rPr>
        <w:t>　</w:t>
      </w:r>
      <w:r>
        <w:rPr>
          <w:rFonts w:hint="eastAsia" w:ascii="楷体_GB2312" w:hAnsi="仿宋_GB2312" w:eastAsia="楷体_GB2312" w:cs="仿宋_GB2312"/>
          <w:bCs/>
          <w:sz w:val="32"/>
          <w:szCs w:val="32"/>
        </w:rPr>
        <w:t>5.安全生产工作。</w:t>
      </w:r>
    </w:p>
    <w:p>
      <w:pPr>
        <w:spacing w:line="560" w:lineRule="exact"/>
        <w:ind w:firstLine="627" w:firstLineChars="196"/>
        <w:rPr>
          <w:rFonts w:hint="eastAsia" w:ascii="仿宋_GB2312" w:hAnsi="仿宋" w:eastAsia="仿宋_GB2312" w:cs="仿宋_GB2312"/>
          <w:sz w:val="32"/>
          <w:szCs w:val="32"/>
        </w:rPr>
      </w:pPr>
      <w:r>
        <w:rPr>
          <w:rFonts w:hint="eastAsia" w:ascii="仿宋_GB2312" w:hAnsi="仿宋" w:eastAsia="仿宋_GB2312" w:cs="仿宋_GB2312"/>
          <w:sz w:val="32"/>
          <w:szCs w:val="32"/>
        </w:rPr>
        <w:t>深入贯彻落实红原县人民政府办公室关于开展安全生产文件精神，全面落实安全生产责任，保证经营安全。</w:t>
      </w:r>
      <w:r>
        <w:rPr>
          <w:rFonts w:hint="eastAsia" w:ascii="仿宋_GB2312" w:hAnsi="微软雅黑" w:eastAsia="仿宋_GB2312" w:cs="宋体"/>
          <w:color w:val="2B2B2B"/>
          <w:kern w:val="0"/>
          <w:sz w:val="32"/>
          <w:szCs w:val="32"/>
        </w:rPr>
        <w:t>6月13日与县安委会在县城银珠广场举行的2019年第十八个安全生产月宣传咨询日活动，印发了形式新颖的《燃放烟花爆竹安全提示》、《农药化肥常识》、《供销社十问十答》等宣传手册200余份。</w:t>
      </w:r>
      <w:r>
        <w:rPr>
          <w:rFonts w:hint="eastAsia" w:ascii="仿宋_GB2312" w:hAnsi="仿宋" w:eastAsia="仿宋_GB2312" w:cs="仿宋_GB2312"/>
          <w:sz w:val="32"/>
          <w:szCs w:val="32"/>
        </w:rPr>
        <w:t>我社对全县烟花爆竹专卖店进行了集中专项大检查，并签定了《红原县烟花爆竹专营零售点安全经营责任书》，以确保我县烟花爆竹经营安全。同时，开展春节市场烟花爆竹专业检查，清理非法售卖烟花爆竹，加强了市场监管。全年没有发生一起烟花爆竹安全生产事故。</w:t>
      </w:r>
    </w:p>
    <w:p>
      <w:pPr>
        <w:spacing w:line="560" w:lineRule="exact"/>
        <w:ind w:firstLine="320" w:firstLineChars="200"/>
        <w:rPr>
          <w:rFonts w:hint="eastAsia" w:ascii="微软雅黑" w:hAnsi="微软雅黑"/>
          <w:color w:val="333333"/>
          <w:sz w:val="16"/>
          <w:szCs w:val="16"/>
          <w:shd w:val="clear" w:color="auto" w:fill="FFFFFF"/>
        </w:rPr>
      </w:pPr>
      <w:r>
        <w:rPr>
          <w:rFonts w:hint="eastAsia" w:ascii="微软雅黑" w:hAnsi="微软雅黑"/>
          <w:color w:val="333333"/>
          <w:sz w:val="16"/>
          <w:szCs w:val="16"/>
          <w:shd w:val="clear" w:color="auto" w:fill="FFFFFF"/>
        </w:rPr>
        <w:t xml:space="preserve">　  </w:t>
      </w:r>
      <w:r>
        <w:rPr>
          <w:rFonts w:hint="eastAsia" w:ascii="楷体_GB2312" w:hAnsi="仿宋_GB2312" w:eastAsia="楷体_GB2312" w:cs="仿宋_GB2312"/>
          <w:bCs/>
          <w:sz w:val="32"/>
          <w:szCs w:val="32"/>
        </w:rPr>
        <w:t>6.</w:t>
      </w:r>
      <w:r>
        <w:rPr>
          <w:rFonts w:ascii="楷体_GB2312" w:hAnsi="仿宋_GB2312" w:eastAsia="楷体_GB2312" w:cs="仿宋_GB2312"/>
          <w:bCs/>
          <w:sz w:val="32"/>
          <w:szCs w:val="32"/>
        </w:rPr>
        <w:t>开展清廉供销建设。</w:t>
      </w:r>
    </w:p>
    <w:p>
      <w:pPr>
        <w:spacing w:line="560" w:lineRule="exact"/>
        <w:ind w:firstLine="640" w:firstLineChars="200"/>
        <w:rPr>
          <w:rFonts w:hint="eastAsia" w:ascii="仿宋" w:hAnsi="仿宋" w:eastAsia="仿宋"/>
          <w:bCs/>
          <w:color w:val="000000"/>
          <w:sz w:val="32"/>
          <w:szCs w:val="32"/>
        </w:rPr>
      </w:pPr>
      <w:r>
        <w:rPr>
          <w:rFonts w:ascii="仿宋_GB2312" w:hAnsi="仿宋" w:eastAsia="仿宋_GB2312" w:cs="仿宋_GB2312"/>
          <w:sz w:val="32"/>
          <w:szCs w:val="32"/>
        </w:rPr>
        <w:t>严格落实</w:t>
      </w:r>
      <w:r>
        <w:rPr>
          <w:rFonts w:hint="eastAsia" w:ascii="仿宋_GB2312" w:hAnsi="仿宋" w:eastAsia="仿宋_GB2312" w:cs="仿宋_GB2312"/>
          <w:sz w:val="32"/>
          <w:szCs w:val="32"/>
        </w:rPr>
        <w:t>县</w:t>
      </w:r>
      <w:r>
        <w:rPr>
          <w:rFonts w:ascii="仿宋_GB2312" w:hAnsi="仿宋" w:eastAsia="仿宋_GB2312" w:cs="仿宋_GB2312"/>
          <w:sz w:val="32"/>
          <w:szCs w:val="32"/>
        </w:rPr>
        <w:t>委关于推进</w:t>
      </w:r>
      <w:r>
        <w:rPr>
          <w:rFonts w:hint="eastAsia" w:ascii="仿宋_GB2312" w:hAnsi="仿宋" w:eastAsia="仿宋_GB2312" w:cs="仿宋_GB2312"/>
          <w:sz w:val="32"/>
          <w:szCs w:val="32"/>
        </w:rPr>
        <w:t>“不忘初心，牢记使命”主题教育活动</w:t>
      </w:r>
      <w:r>
        <w:rPr>
          <w:rFonts w:ascii="仿宋_GB2312" w:hAnsi="仿宋" w:eastAsia="仿宋_GB2312" w:cs="仿宋_GB2312"/>
          <w:sz w:val="32"/>
          <w:szCs w:val="32"/>
        </w:rPr>
        <w:t>要求，积极开展清廉供销建设，营造风清气正的政治生态。严明政治纪律和政治规矩，严查</w:t>
      </w:r>
      <w:r>
        <w:rPr>
          <w:rFonts w:hint="eastAsia" w:ascii="仿宋_GB2312" w:hAnsi="仿宋" w:eastAsia="仿宋_GB2312" w:cs="仿宋_GB2312"/>
          <w:sz w:val="32"/>
          <w:szCs w:val="32"/>
        </w:rPr>
        <w:t>个人</w:t>
      </w:r>
      <w:r>
        <w:rPr>
          <w:rFonts w:ascii="仿宋_GB2312" w:hAnsi="仿宋" w:eastAsia="仿宋_GB2312" w:cs="仿宋_GB2312"/>
          <w:sz w:val="32"/>
          <w:szCs w:val="32"/>
        </w:rPr>
        <w:t>问题，杜绝“四风”新表现。</w:t>
      </w:r>
    </w:p>
    <w:p>
      <w:pPr>
        <w:pStyle w:val="3"/>
        <w:rPr>
          <w:rStyle w:val="25"/>
          <w:b w:val="0"/>
          <w:bCs w:val="0"/>
        </w:rPr>
      </w:pPr>
      <w:bookmarkStart w:id="20" w:name="_Toc15377200"/>
      <w:bookmarkStart w:id="21" w:name="_Toc15396601"/>
      <w:r>
        <w:rPr>
          <w:rFonts w:hint="eastAsia" w:ascii="黑体" w:eastAsia="黑体"/>
          <w:b w:val="0"/>
          <w:color w:val="000000"/>
        </w:rPr>
        <w:t>二、</w:t>
      </w:r>
      <w:r>
        <w:rPr>
          <w:rFonts w:hint="eastAsia" w:ascii="黑体" w:hAnsi="黑体" w:eastAsia="黑体"/>
          <w:b w:val="0"/>
          <w:color w:val="000000"/>
        </w:rPr>
        <w:t>机</w:t>
      </w:r>
      <w:r>
        <w:rPr>
          <w:rStyle w:val="25"/>
          <w:rFonts w:hint="eastAsia" w:ascii="黑体" w:hAnsi="黑体" w:eastAsia="黑体"/>
          <w:b w:val="0"/>
          <w:bCs w:val="0"/>
        </w:rPr>
        <w:t>构设置</w:t>
      </w:r>
      <w:bookmarkEnd w:id="20"/>
      <w:bookmarkEnd w:id="21"/>
    </w:p>
    <w:p>
      <w:pPr>
        <w:keepNext w:val="0"/>
        <w:keepLines w:val="0"/>
        <w:pageBreakBefore w:val="0"/>
        <w:widowControl/>
        <w:kinsoku/>
        <w:wordWrap/>
        <w:overflowPunct/>
        <w:topLinePunct w:val="0"/>
        <w:autoSpaceDE/>
        <w:autoSpaceDN/>
        <w:bidi w:val="0"/>
        <w:adjustRightInd/>
        <w:snapToGrid/>
        <w:ind w:firstLine="640" w:firstLineChars="200"/>
        <w:jc w:val="left"/>
        <w:textAlignment w:val="auto"/>
        <w:rPr>
          <w:rFonts w:ascii="仿宋" w:hAnsi="仿宋" w:eastAsia="仿宋"/>
          <w:color w:val="000000"/>
          <w:kern w:val="0"/>
          <w:sz w:val="32"/>
          <w:szCs w:val="32"/>
        </w:rPr>
      </w:pPr>
      <w:r>
        <w:rPr>
          <w:rFonts w:hint="eastAsia" w:ascii="仿宋_GB2312" w:hAnsi="仿宋_GB2312" w:eastAsia="仿宋_GB2312"/>
          <w:sz w:val="32"/>
        </w:rPr>
        <w:t>本单位属于一级预算单位，其中内设机构1个。</w:t>
      </w:r>
    </w:p>
    <w:p>
      <w:pPr>
        <w:pStyle w:val="2"/>
        <w:ind w:right="440"/>
        <w:jc w:val="right"/>
      </w:pPr>
      <w:bookmarkStart w:id="22" w:name="_Toc15396602"/>
      <w:bookmarkStart w:id="23" w:name="_Toc15377204"/>
      <w:r>
        <w:rPr>
          <w:rFonts w:hint="eastAsia" w:ascii="黑体" w:hAnsi="黑体" w:eastAsia="黑体"/>
          <w:b w:val="0"/>
          <w:color w:val="000000"/>
        </w:rPr>
        <w:t>第二部分</w:t>
      </w:r>
      <w:r>
        <w:rPr>
          <w:rFonts w:hint="eastAsia" w:ascii="黑体" w:hAnsi="黑体" w:eastAsia="黑体"/>
          <w:color w:val="000000"/>
        </w:rPr>
        <w:t xml:space="preserve"> </w:t>
      </w:r>
      <w:r>
        <w:rPr>
          <w:rStyle w:val="24"/>
          <w:rFonts w:hint="eastAsia" w:ascii="黑体" w:hAnsi="黑体" w:eastAsia="黑体"/>
          <w:b w:val="0"/>
          <w:bCs w:val="0"/>
        </w:rPr>
        <w:t>2019年度部门决算情况说明</w:t>
      </w:r>
      <w:bookmarkEnd w:id="22"/>
      <w:bookmarkEnd w:id="23"/>
    </w:p>
    <w:p>
      <w:pPr>
        <w:pStyle w:val="23"/>
        <w:numPr>
          <w:ilvl w:val="0"/>
          <w:numId w:val="1"/>
        </w:numPr>
        <w:spacing w:line="600" w:lineRule="exact"/>
        <w:ind w:firstLineChars="0"/>
        <w:outlineLvl w:val="1"/>
        <w:rPr>
          <w:rStyle w:val="25"/>
          <w:rFonts w:ascii="黑体" w:hAnsi="黑体" w:eastAsia="黑体"/>
          <w:b w:val="0"/>
        </w:rPr>
      </w:pPr>
      <w:bookmarkStart w:id="24" w:name="_Toc15396603"/>
      <w:bookmarkStart w:id="25" w:name="_Toc15377205"/>
      <w:r>
        <w:rPr>
          <w:rFonts w:hint="eastAsia" w:ascii="黑体" w:hAnsi="黑体" w:eastAsia="黑体"/>
          <w:color w:val="000000"/>
          <w:sz w:val="32"/>
          <w:szCs w:val="32"/>
        </w:rPr>
        <w:t>收</w:t>
      </w:r>
      <w:r>
        <w:rPr>
          <w:rStyle w:val="25"/>
          <w:rFonts w:hint="eastAsia" w:ascii="黑体" w:hAnsi="黑体" w:eastAsia="黑体"/>
          <w:b w:val="0"/>
        </w:rPr>
        <w:t>入支出决算总体情况说明</w:t>
      </w:r>
      <w:bookmarkEnd w:id="24"/>
      <w:bookmarkEnd w:id="25"/>
    </w:p>
    <w:p>
      <w:pPr>
        <w:spacing w:line="600" w:lineRule="exact"/>
        <w:ind w:firstLine="640" w:firstLineChars="200"/>
        <w:rPr>
          <w:rFonts w:hint="eastAsia" w:ascii="仿宋" w:hAnsi="仿宋" w:eastAsia="仿宋"/>
          <w:color w:val="000000" w:themeColor="text1"/>
          <w:sz w:val="32"/>
          <w:szCs w:val="32"/>
        </w:rPr>
      </w:pPr>
      <w:r>
        <w:rPr>
          <w:rFonts w:hint="eastAsia" w:ascii="仿宋" w:hAnsi="仿宋" w:eastAsia="仿宋"/>
          <w:color w:val="000000"/>
          <w:sz w:val="32"/>
          <w:szCs w:val="32"/>
        </w:rPr>
        <w:t>2019年度收总计</w:t>
      </w:r>
      <w:r>
        <w:rPr>
          <w:rFonts w:hint="eastAsia" w:ascii="仿宋" w:hAnsi="仿宋" w:eastAsia="仿宋"/>
          <w:color w:val="000000"/>
          <w:sz w:val="32"/>
          <w:szCs w:val="32"/>
          <w:lang w:val="en-US" w:eastAsia="zh-CN"/>
        </w:rPr>
        <w:t>1837.92</w:t>
      </w:r>
      <w:r>
        <w:rPr>
          <w:rFonts w:hint="eastAsia" w:ascii="仿宋" w:hAnsi="仿宋" w:eastAsia="仿宋"/>
          <w:color w:val="000000"/>
          <w:sz w:val="32"/>
          <w:szCs w:val="32"/>
        </w:rPr>
        <w:t>万元。与2018年相比，收总计减少</w:t>
      </w:r>
      <w:r>
        <w:rPr>
          <w:rFonts w:hint="eastAsia" w:ascii="仿宋" w:hAnsi="仿宋" w:eastAsia="仿宋"/>
          <w:color w:val="000000"/>
          <w:sz w:val="32"/>
          <w:szCs w:val="32"/>
          <w:lang w:val="en-US" w:eastAsia="zh-CN"/>
        </w:rPr>
        <w:t>224.33</w:t>
      </w:r>
      <w:r>
        <w:rPr>
          <w:rFonts w:hint="eastAsia" w:ascii="仿宋" w:hAnsi="仿宋" w:eastAsia="仿宋"/>
          <w:color w:val="000000"/>
          <w:sz w:val="32"/>
          <w:szCs w:val="32"/>
        </w:rPr>
        <w:t>万元，下降</w:t>
      </w:r>
      <w:r>
        <w:rPr>
          <w:rFonts w:hint="eastAsia" w:ascii="仿宋" w:hAnsi="仿宋" w:eastAsia="仿宋"/>
          <w:color w:val="000000"/>
          <w:sz w:val="32"/>
          <w:szCs w:val="32"/>
          <w:lang w:val="en-US" w:eastAsia="zh-CN"/>
        </w:rPr>
        <w:t>89.12</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2018年结余的项目资金较多，项目预算减少</w:t>
      </w:r>
      <w:r>
        <w:rPr>
          <w:rFonts w:hint="eastAsia" w:ascii="仿宋" w:hAnsi="仿宋" w:eastAsia="仿宋"/>
          <w:color w:val="000000"/>
          <w:sz w:val="32"/>
          <w:szCs w:val="32"/>
          <w:lang w:eastAsia="zh-CN"/>
        </w:rPr>
        <w:t>。</w:t>
      </w:r>
      <w:r>
        <w:rPr>
          <w:rFonts w:hint="eastAsia" w:ascii="仿宋" w:hAnsi="仿宋" w:eastAsia="仿宋"/>
          <w:color w:val="000000" w:themeColor="text1"/>
          <w:sz w:val="32"/>
          <w:szCs w:val="32"/>
        </w:rPr>
        <w:t>支出总计</w:t>
      </w:r>
      <w:r>
        <w:rPr>
          <w:rFonts w:hint="eastAsia" w:ascii="仿宋" w:hAnsi="仿宋" w:eastAsia="仿宋"/>
          <w:color w:val="000000" w:themeColor="text1"/>
          <w:sz w:val="32"/>
          <w:szCs w:val="32"/>
          <w:lang w:val="en-US" w:eastAsia="zh-CN"/>
        </w:rPr>
        <w:t>4102.71</w:t>
      </w:r>
      <w:r>
        <w:rPr>
          <w:rFonts w:hint="eastAsia" w:ascii="仿宋" w:hAnsi="仿宋" w:eastAsia="仿宋"/>
          <w:color w:val="000000" w:themeColor="text1"/>
          <w:sz w:val="32"/>
          <w:szCs w:val="32"/>
        </w:rPr>
        <w:t>万元。与201</w:t>
      </w:r>
      <w:r>
        <w:rPr>
          <w:rFonts w:hint="eastAsia" w:ascii="仿宋" w:hAnsi="仿宋" w:eastAsia="仿宋"/>
          <w:color w:val="000000" w:themeColor="text1"/>
          <w:sz w:val="32"/>
          <w:szCs w:val="32"/>
          <w:lang w:val="en-US" w:eastAsia="zh-CN"/>
        </w:rPr>
        <w:t>8</w:t>
      </w:r>
      <w:r>
        <w:rPr>
          <w:rFonts w:hint="eastAsia" w:ascii="仿宋" w:hAnsi="仿宋" w:eastAsia="仿宋"/>
          <w:color w:val="000000" w:themeColor="text1"/>
          <w:sz w:val="32"/>
          <w:szCs w:val="32"/>
        </w:rPr>
        <w:t>年相比，增加</w:t>
      </w:r>
      <w:r>
        <w:rPr>
          <w:rFonts w:hint="eastAsia" w:ascii="仿宋" w:hAnsi="仿宋" w:eastAsia="仿宋"/>
          <w:color w:val="000000" w:themeColor="text1"/>
          <w:sz w:val="32"/>
          <w:szCs w:val="32"/>
          <w:lang w:val="en-US" w:eastAsia="zh-CN"/>
        </w:rPr>
        <w:t>2379.5</w:t>
      </w:r>
      <w:r>
        <w:rPr>
          <w:rFonts w:hint="eastAsia" w:ascii="仿宋" w:hAnsi="仿宋" w:eastAsia="仿宋"/>
          <w:color w:val="000000" w:themeColor="text1"/>
          <w:sz w:val="32"/>
          <w:szCs w:val="32"/>
        </w:rPr>
        <w:t>万元，增长</w:t>
      </w:r>
      <w:r>
        <w:rPr>
          <w:rFonts w:hint="eastAsia" w:ascii="仿宋" w:hAnsi="仿宋" w:eastAsia="仿宋"/>
          <w:color w:val="000000" w:themeColor="text1"/>
          <w:sz w:val="32"/>
          <w:szCs w:val="32"/>
          <w:lang w:val="en-US" w:eastAsia="zh-CN"/>
        </w:rPr>
        <w:t>238.08</w:t>
      </w:r>
      <w:r>
        <w:rPr>
          <w:rFonts w:ascii="仿宋" w:hAnsi="仿宋" w:eastAsia="仿宋"/>
          <w:color w:val="000000" w:themeColor="text1"/>
          <w:sz w:val="32"/>
          <w:szCs w:val="32"/>
        </w:rPr>
        <w:t>%</w:t>
      </w:r>
      <w:r>
        <w:rPr>
          <w:rFonts w:hint="eastAsia" w:ascii="仿宋" w:hAnsi="仿宋" w:eastAsia="仿宋"/>
          <w:color w:val="000000" w:themeColor="text1"/>
          <w:sz w:val="32"/>
          <w:szCs w:val="32"/>
        </w:rPr>
        <w:t>。主要变动原因是项目</w:t>
      </w:r>
      <w:r>
        <w:rPr>
          <w:rFonts w:hint="eastAsia" w:ascii="仿宋" w:hAnsi="仿宋" w:eastAsia="仿宋"/>
          <w:color w:val="000000" w:themeColor="text1"/>
          <w:sz w:val="32"/>
          <w:szCs w:val="32"/>
          <w:lang w:eastAsia="zh-CN"/>
        </w:rPr>
        <w:t>支出</w:t>
      </w:r>
      <w:r>
        <w:rPr>
          <w:rFonts w:hint="eastAsia" w:ascii="仿宋" w:hAnsi="仿宋" w:eastAsia="仿宋"/>
          <w:color w:val="000000" w:themeColor="text1"/>
          <w:sz w:val="32"/>
          <w:szCs w:val="32"/>
        </w:rPr>
        <w:t>增加。</w:t>
      </w:r>
    </w:p>
    <w:p>
      <w:pPr>
        <w:spacing w:line="600" w:lineRule="exact"/>
        <w:ind w:firstLine="640" w:firstLineChars="200"/>
        <w:rPr>
          <w:rFonts w:hint="eastAsia" w:ascii="仿宋" w:hAnsi="仿宋" w:eastAsia="仿宋"/>
          <w:color w:val="000000" w:themeColor="text1"/>
          <w:sz w:val="32"/>
          <w:szCs w:val="32"/>
        </w:rPr>
      </w:pPr>
      <w:r>
        <w:rPr>
          <w:rFonts w:hint="eastAsia" w:ascii="仿宋" w:hAnsi="仿宋" w:eastAsia="仿宋"/>
          <w:color w:val="000000" w:themeColor="text1"/>
          <w:sz w:val="32"/>
          <w:szCs w:val="32"/>
        </w:rPr>
        <w:t>（图</w:t>
      </w:r>
      <w:r>
        <w:rPr>
          <w:rFonts w:ascii="仿宋" w:hAnsi="仿宋" w:eastAsia="仿宋"/>
          <w:color w:val="000000" w:themeColor="text1"/>
          <w:sz w:val="32"/>
          <w:szCs w:val="32"/>
        </w:rPr>
        <w:t>1</w:t>
      </w:r>
      <w:r>
        <w:rPr>
          <w:rFonts w:hint="eastAsia" w:ascii="仿宋" w:hAnsi="仿宋" w:eastAsia="仿宋"/>
          <w:color w:val="000000" w:themeColor="text1"/>
          <w:sz w:val="32"/>
          <w:szCs w:val="32"/>
        </w:rPr>
        <w:t>：收、支决算总计变动情况图）（柱状图）</w:t>
      </w:r>
    </w:p>
    <w:p>
      <w:pPr>
        <w:spacing w:line="600" w:lineRule="exact"/>
        <w:jc w:val="left"/>
        <w:rPr>
          <w:rFonts w:ascii="仿宋_GB2312" w:eastAsia="仿宋_GB2312"/>
          <w:color w:val="000000"/>
          <w:sz w:val="32"/>
          <w:szCs w:val="32"/>
        </w:rPr>
      </w:pPr>
      <w:r>
        <w:rPr>
          <w:rFonts w:hint="eastAsia" w:ascii="仿宋" w:hAnsi="仿宋" w:eastAsia="仿宋"/>
          <w:color w:val="000000" w:themeColor="text1"/>
          <w:sz w:val="32"/>
          <w:szCs w:val="32"/>
          <w:lang w:eastAsia="zh-CN"/>
        </w:rPr>
        <w:drawing>
          <wp:anchor distT="0" distB="0" distL="114300" distR="114300" simplePos="0" relativeHeight="251658240" behindDoc="0" locked="0" layoutInCell="1" allowOverlap="1">
            <wp:simplePos x="0" y="0"/>
            <wp:positionH relativeFrom="column">
              <wp:posOffset>80645</wp:posOffset>
            </wp:positionH>
            <wp:positionV relativeFrom="paragraph">
              <wp:posOffset>184785</wp:posOffset>
            </wp:positionV>
            <wp:extent cx="5080000" cy="2464435"/>
            <wp:effectExtent l="4445" t="4445" r="20955" b="64770"/>
            <wp:wrapTopAndBottom/>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pStyle w:val="23"/>
        <w:numPr>
          <w:ilvl w:val="0"/>
          <w:numId w:val="1"/>
        </w:numPr>
        <w:spacing w:line="600" w:lineRule="exact"/>
        <w:ind w:firstLineChars="0"/>
        <w:outlineLvl w:val="1"/>
        <w:rPr>
          <w:rStyle w:val="25"/>
          <w:rFonts w:ascii="黑体" w:hAnsi="黑体" w:eastAsia="黑体"/>
          <w:b w:val="0"/>
        </w:rPr>
      </w:pPr>
      <w:bookmarkStart w:id="26" w:name="_Toc15377206"/>
      <w:bookmarkStart w:id="27" w:name="_Toc15396604"/>
      <w:r>
        <w:rPr>
          <w:rFonts w:hint="eastAsia" w:ascii="黑体" w:hAnsi="黑体" w:eastAsia="黑体"/>
          <w:color w:val="000000"/>
          <w:sz w:val="32"/>
          <w:szCs w:val="32"/>
        </w:rPr>
        <w:t>收</w:t>
      </w:r>
      <w:r>
        <w:rPr>
          <w:rStyle w:val="25"/>
          <w:rFonts w:hint="eastAsia" w:ascii="黑体" w:hAnsi="黑体" w:eastAsia="黑体"/>
          <w:b w:val="0"/>
        </w:rPr>
        <w:t>入决算情况说明</w:t>
      </w:r>
      <w:bookmarkEnd w:id="26"/>
      <w:bookmarkEnd w:id="27"/>
    </w:p>
    <w:p>
      <w:pPr>
        <w:spacing w:line="600" w:lineRule="exact"/>
        <w:ind w:firstLine="640" w:firstLineChars="200"/>
        <w:rPr>
          <w:rFonts w:hint="eastAsia"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9年本年收入合计</w:t>
      </w:r>
      <w:r>
        <w:rPr>
          <w:rFonts w:hint="eastAsia" w:ascii="仿宋" w:hAnsi="仿宋" w:eastAsia="仿宋"/>
          <w:color w:val="000000"/>
          <w:sz w:val="32"/>
          <w:szCs w:val="32"/>
          <w:lang w:val="en-US" w:eastAsia="zh-CN"/>
        </w:rPr>
        <w:t>1837.92</w:t>
      </w:r>
      <w:r>
        <w:rPr>
          <w:rFonts w:hint="eastAsia" w:ascii="仿宋" w:hAnsi="仿宋" w:eastAsia="仿宋"/>
          <w:color w:val="000000"/>
          <w:sz w:val="32"/>
          <w:szCs w:val="32"/>
        </w:rPr>
        <w:t>万元，其中：一般公共预算财政拨款收入</w:t>
      </w:r>
      <w:r>
        <w:rPr>
          <w:rFonts w:hint="eastAsia" w:ascii="仿宋" w:hAnsi="仿宋" w:eastAsia="仿宋"/>
          <w:color w:val="000000"/>
          <w:sz w:val="32"/>
          <w:szCs w:val="32"/>
          <w:lang w:val="en-US" w:eastAsia="zh-CN"/>
        </w:rPr>
        <w:t>1837.92</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firstLineChars="200"/>
        <w:rPr>
          <w:rFonts w:ascii="仿宋_GB2312" w:eastAsia="仿宋_GB2312"/>
          <w:color w:val="FF0000"/>
          <w:sz w:val="32"/>
          <w:szCs w:val="32"/>
        </w:rPr>
      </w:pPr>
      <w:r>
        <w:rPr>
          <w:rFonts w:hint="eastAsia" w:ascii="仿宋" w:hAnsi="仿宋" w:eastAsia="仿宋"/>
          <w:color w:val="000000" w:themeColor="text1"/>
          <w:sz w:val="32"/>
          <w:szCs w:val="32"/>
        </w:rPr>
        <w:t>（图2：收入决算结构图）（饼状图）</w:t>
      </w:r>
    </w:p>
    <w:p>
      <w:pPr>
        <w:spacing w:line="600" w:lineRule="exact"/>
        <w:rPr>
          <w:rFonts w:hint="eastAsia" w:ascii="仿宋_GB2312" w:eastAsia="仿宋_GB2312"/>
          <w:color w:val="FF0000"/>
          <w:sz w:val="32"/>
          <w:szCs w:val="32"/>
          <w:lang w:eastAsia="zh-CN"/>
        </w:rPr>
      </w:pPr>
      <w:r>
        <w:rPr>
          <w:rFonts w:hint="eastAsia" w:ascii="仿宋_GB2312" w:eastAsia="仿宋_GB2312"/>
          <w:color w:val="FF0000"/>
          <w:sz w:val="32"/>
          <w:szCs w:val="32"/>
          <w:lang w:eastAsia="zh-CN"/>
        </w:rPr>
        <w:drawing>
          <wp:anchor distT="0" distB="0" distL="114300" distR="114300" simplePos="0" relativeHeight="251659264" behindDoc="0" locked="0" layoutInCell="1" allowOverlap="1">
            <wp:simplePos x="0" y="0"/>
            <wp:positionH relativeFrom="column">
              <wp:posOffset>234950</wp:posOffset>
            </wp:positionH>
            <wp:positionV relativeFrom="paragraph">
              <wp:posOffset>151765</wp:posOffset>
            </wp:positionV>
            <wp:extent cx="5080000" cy="2192020"/>
            <wp:effectExtent l="5080" t="4445" r="20320" b="1333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pStyle w:val="23"/>
        <w:numPr>
          <w:ilvl w:val="0"/>
          <w:numId w:val="1"/>
        </w:numPr>
        <w:spacing w:line="600" w:lineRule="exact"/>
        <w:ind w:firstLineChars="0"/>
        <w:outlineLvl w:val="1"/>
        <w:rPr>
          <w:rStyle w:val="25"/>
          <w:rFonts w:ascii="黑体" w:hAnsi="黑体" w:eastAsia="黑体"/>
          <w:b w:val="0"/>
        </w:rPr>
      </w:pPr>
      <w:bookmarkStart w:id="28" w:name="_Toc15396605"/>
      <w:bookmarkStart w:id="29" w:name="_Toc15377207"/>
      <w:r>
        <w:rPr>
          <w:rFonts w:hint="eastAsia" w:ascii="黑体" w:hAnsi="黑体" w:eastAsia="黑体"/>
          <w:color w:val="000000"/>
          <w:sz w:val="32"/>
          <w:szCs w:val="32"/>
        </w:rPr>
        <w:t>支</w:t>
      </w:r>
      <w:r>
        <w:rPr>
          <w:rStyle w:val="25"/>
          <w:rFonts w:hint="eastAsia" w:ascii="黑体" w:hAnsi="黑体" w:eastAsia="黑体"/>
          <w:b w:val="0"/>
        </w:rPr>
        <w:t>出决算情况说明</w:t>
      </w:r>
      <w:bookmarkEnd w:id="28"/>
      <w:bookmarkEnd w:id="29"/>
    </w:p>
    <w:p>
      <w:pPr>
        <w:spacing w:line="600" w:lineRule="exact"/>
        <w:ind w:firstLine="640" w:firstLineChars="200"/>
        <w:outlineLvl w:val="1"/>
        <w:rPr>
          <w:rFonts w:ascii="仿宋" w:hAnsi="仿宋" w:eastAsia="仿宋"/>
          <w:color w:val="000000" w:themeColor="text1"/>
          <w:sz w:val="32"/>
          <w:szCs w:val="32"/>
        </w:rPr>
      </w:pPr>
      <w:r>
        <w:rPr>
          <w:rFonts w:ascii="仿宋" w:hAnsi="仿宋" w:eastAsia="仿宋"/>
          <w:color w:val="000000"/>
          <w:sz w:val="32"/>
          <w:szCs w:val="32"/>
        </w:rPr>
        <w:t>201</w:t>
      </w:r>
      <w:r>
        <w:rPr>
          <w:rFonts w:hint="eastAsia" w:ascii="仿宋" w:hAnsi="仿宋" w:eastAsia="仿宋"/>
          <w:color w:val="000000"/>
          <w:sz w:val="32"/>
          <w:szCs w:val="32"/>
        </w:rPr>
        <w:t>9年本年支出合计</w:t>
      </w:r>
      <w:r>
        <w:rPr>
          <w:rFonts w:hint="eastAsia" w:ascii="仿宋" w:hAnsi="仿宋" w:eastAsia="仿宋"/>
          <w:color w:val="000000"/>
          <w:sz w:val="32"/>
          <w:szCs w:val="32"/>
          <w:lang w:val="en-US" w:eastAsia="zh-CN"/>
        </w:rPr>
        <w:t>4102.71</w:t>
      </w:r>
      <w:r>
        <w:rPr>
          <w:rFonts w:hint="eastAsia" w:ascii="仿宋" w:hAnsi="仿宋" w:eastAsia="仿宋"/>
          <w:color w:val="000000"/>
          <w:sz w:val="32"/>
          <w:szCs w:val="32"/>
        </w:rPr>
        <w:t>万元，其中：基本支出129.32万元，占</w:t>
      </w:r>
      <w:r>
        <w:rPr>
          <w:rFonts w:hint="eastAsia" w:ascii="仿宋" w:hAnsi="仿宋" w:eastAsia="仿宋"/>
          <w:color w:val="000000"/>
          <w:sz w:val="32"/>
          <w:szCs w:val="32"/>
          <w:lang w:val="en-US" w:eastAsia="zh-CN"/>
        </w:rPr>
        <w:t>3.15</w:t>
      </w:r>
      <w:r>
        <w:rPr>
          <w:rFonts w:ascii="仿宋" w:hAnsi="仿宋" w:eastAsia="仿宋"/>
          <w:color w:val="000000"/>
          <w:sz w:val="32"/>
          <w:szCs w:val="32"/>
        </w:rPr>
        <w:t>%</w:t>
      </w:r>
      <w:r>
        <w:rPr>
          <w:rFonts w:hint="eastAsia" w:ascii="仿宋" w:hAnsi="仿宋" w:eastAsia="仿宋"/>
          <w:color w:val="000000"/>
          <w:sz w:val="32"/>
          <w:szCs w:val="32"/>
        </w:rPr>
        <w:t>；项目支出3973.39万元，占</w:t>
      </w:r>
      <w:r>
        <w:rPr>
          <w:rFonts w:hint="eastAsia" w:ascii="仿宋" w:hAnsi="仿宋" w:eastAsia="仿宋"/>
          <w:color w:val="000000"/>
          <w:sz w:val="32"/>
          <w:szCs w:val="32"/>
          <w:lang w:val="en-US" w:eastAsia="zh-CN"/>
        </w:rPr>
        <w:t>96.85</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color w:val="000000" w:themeColor="text1"/>
          <w:sz w:val="32"/>
          <w:szCs w:val="32"/>
        </w:rPr>
        <w:t>（图3：支出决算结构图）（饼状图）</w:t>
      </w:r>
    </w:p>
    <w:p>
      <w:pPr>
        <w:spacing w:line="600" w:lineRule="exact"/>
        <w:rPr>
          <w:rFonts w:ascii="仿宋_GB2312" w:eastAsia="仿宋_GB2312"/>
          <w:color w:val="FF0000"/>
          <w:sz w:val="32"/>
          <w:szCs w:val="32"/>
        </w:rPr>
      </w:pPr>
      <w:r>
        <w:rPr>
          <w:rFonts w:hint="eastAsia" w:ascii="仿宋_GB2312" w:eastAsia="仿宋_GB2312"/>
          <w:color w:val="FF0000"/>
          <w:sz w:val="32"/>
          <w:szCs w:val="32"/>
          <w:lang w:eastAsia="zh-CN"/>
        </w:rPr>
        <w:drawing>
          <wp:anchor distT="0" distB="0" distL="114300" distR="114300" simplePos="0" relativeHeight="251660288" behindDoc="0" locked="0" layoutInCell="1" allowOverlap="1">
            <wp:simplePos x="0" y="0"/>
            <wp:positionH relativeFrom="column">
              <wp:posOffset>194310</wp:posOffset>
            </wp:positionH>
            <wp:positionV relativeFrom="paragraph">
              <wp:posOffset>170815</wp:posOffset>
            </wp:positionV>
            <wp:extent cx="5080000" cy="2454910"/>
            <wp:effectExtent l="4445" t="4445" r="20955" b="1714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spacing w:line="600" w:lineRule="exact"/>
        <w:ind w:firstLine="640" w:firstLineChars="200"/>
        <w:outlineLvl w:val="1"/>
        <w:rPr>
          <w:rStyle w:val="25"/>
          <w:rFonts w:ascii="黑体" w:hAnsi="黑体" w:eastAsia="黑体"/>
          <w:b w:val="0"/>
        </w:rPr>
      </w:pPr>
      <w:bookmarkStart w:id="30" w:name="_Toc15396606"/>
      <w:bookmarkStart w:id="31" w:name="_Toc15377208"/>
      <w:r>
        <w:rPr>
          <w:rFonts w:hint="eastAsia" w:ascii="黑体" w:hAnsi="黑体" w:eastAsia="黑体"/>
          <w:color w:val="000000"/>
          <w:sz w:val="32"/>
          <w:szCs w:val="32"/>
        </w:rPr>
        <w:t>四、财</w:t>
      </w:r>
      <w:r>
        <w:rPr>
          <w:rStyle w:val="25"/>
          <w:rFonts w:hint="eastAsia" w:ascii="黑体" w:hAnsi="黑体" w:eastAsia="黑体"/>
          <w:b w:val="0"/>
        </w:rPr>
        <w:t>政拨款收入支出决算总体情况说明</w:t>
      </w:r>
      <w:bookmarkEnd w:id="30"/>
      <w:bookmarkEnd w:id="31"/>
    </w:p>
    <w:p>
      <w:pPr>
        <w:spacing w:line="600" w:lineRule="exact"/>
        <w:ind w:firstLine="640" w:firstLineChars="200"/>
        <w:rPr>
          <w:rFonts w:hint="eastAsia" w:ascii="仿宋" w:hAnsi="仿宋" w:eastAsia="仿宋"/>
          <w:color w:val="000000" w:themeColor="text1"/>
          <w:sz w:val="32"/>
          <w:szCs w:val="32"/>
        </w:rPr>
      </w:pPr>
      <w:r>
        <w:rPr>
          <w:rFonts w:ascii="仿宋" w:hAnsi="仿宋" w:eastAsia="仿宋"/>
          <w:color w:val="000000"/>
          <w:sz w:val="32"/>
          <w:szCs w:val="32"/>
        </w:rPr>
        <w:t>201</w:t>
      </w:r>
      <w:r>
        <w:rPr>
          <w:rFonts w:hint="eastAsia" w:ascii="仿宋" w:hAnsi="仿宋" w:eastAsia="仿宋"/>
          <w:color w:val="000000"/>
          <w:sz w:val="32"/>
          <w:szCs w:val="32"/>
        </w:rPr>
        <w:t>9年财政拨款</w:t>
      </w:r>
      <w:r>
        <w:rPr>
          <w:rFonts w:hint="eastAsia" w:ascii="仿宋" w:hAnsi="仿宋" w:eastAsia="仿宋"/>
          <w:color w:val="000000"/>
          <w:sz w:val="32"/>
          <w:szCs w:val="32"/>
          <w:lang w:eastAsia="zh-CN"/>
        </w:rPr>
        <w:t>收入</w:t>
      </w:r>
      <w:r>
        <w:rPr>
          <w:rFonts w:hint="eastAsia" w:ascii="仿宋" w:hAnsi="仿宋" w:eastAsia="仿宋"/>
          <w:color w:val="000000"/>
          <w:sz w:val="32"/>
          <w:szCs w:val="32"/>
          <w:lang w:val="en-US" w:eastAsia="zh-CN"/>
        </w:rPr>
        <w:t>1837.92</w:t>
      </w:r>
      <w:r>
        <w:rPr>
          <w:rFonts w:hint="eastAsia" w:ascii="仿宋" w:hAnsi="仿宋" w:eastAsia="仿宋"/>
          <w:color w:val="000000"/>
          <w:sz w:val="32"/>
          <w:szCs w:val="32"/>
        </w:rPr>
        <w:t>万元。与2018年相比，收总计减少</w:t>
      </w:r>
      <w:r>
        <w:rPr>
          <w:rFonts w:hint="eastAsia" w:ascii="仿宋" w:hAnsi="仿宋" w:eastAsia="仿宋"/>
          <w:color w:val="000000"/>
          <w:sz w:val="32"/>
          <w:szCs w:val="32"/>
          <w:lang w:val="en-US" w:eastAsia="zh-CN"/>
        </w:rPr>
        <w:t>224.33</w:t>
      </w:r>
      <w:r>
        <w:rPr>
          <w:rFonts w:hint="eastAsia" w:ascii="仿宋" w:hAnsi="仿宋" w:eastAsia="仿宋"/>
          <w:color w:val="000000"/>
          <w:sz w:val="32"/>
          <w:szCs w:val="32"/>
        </w:rPr>
        <w:t>万元，下降</w:t>
      </w:r>
      <w:r>
        <w:rPr>
          <w:rFonts w:hint="eastAsia" w:ascii="仿宋" w:hAnsi="仿宋" w:eastAsia="仿宋"/>
          <w:color w:val="000000"/>
          <w:sz w:val="32"/>
          <w:szCs w:val="32"/>
          <w:lang w:val="en-US" w:eastAsia="zh-CN"/>
        </w:rPr>
        <w:t>89.12</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2018年结余的项目资金较多，项目预算减少</w:t>
      </w:r>
      <w:r>
        <w:rPr>
          <w:rFonts w:hint="eastAsia" w:ascii="仿宋" w:hAnsi="仿宋" w:eastAsia="仿宋"/>
          <w:color w:val="000000"/>
          <w:sz w:val="32"/>
          <w:szCs w:val="32"/>
          <w:lang w:eastAsia="zh-CN"/>
        </w:rPr>
        <w:t>。财政拨款</w:t>
      </w:r>
      <w:r>
        <w:rPr>
          <w:rFonts w:hint="eastAsia" w:ascii="仿宋" w:hAnsi="仿宋" w:eastAsia="仿宋"/>
          <w:color w:val="000000" w:themeColor="text1"/>
          <w:sz w:val="32"/>
          <w:szCs w:val="32"/>
        </w:rPr>
        <w:t>支出</w:t>
      </w:r>
      <w:r>
        <w:rPr>
          <w:rFonts w:hint="eastAsia" w:ascii="仿宋" w:hAnsi="仿宋" w:eastAsia="仿宋"/>
          <w:color w:val="000000" w:themeColor="text1"/>
          <w:sz w:val="32"/>
          <w:szCs w:val="32"/>
          <w:lang w:val="en-US" w:eastAsia="zh-CN"/>
        </w:rPr>
        <w:t>4102.71</w:t>
      </w:r>
      <w:r>
        <w:rPr>
          <w:rFonts w:hint="eastAsia" w:ascii="仿宋" w:hAnsi="仿宋" w:eastAsia="仿宋"/>
          <w:color w:val="000000" w:themeColor="text1"/>
          <w:sz w:val="32"/>
          <w:szCs w:val="32"/>
        </w:rPr>
        <w:t>万元。与201</w:t>
      </w:r>
      <w:r>
        <w:rPr>
          <w:rFonts w:hint="eastAsia" w:ascii="仿宋" w:hAnsi="仿宋" w:eastAsia="仿宋"/>
          <w:color w:val="000000" w:themeColor="text1"/>
          <w:sz w:val="32"/>
          <w:szCs w:val="32"/>
          <w:lang w:val="en-US" w:eastAsia="zh-CN"/>
        </w:rPr>
        <w:t>8</w:t>
      </w:r>
      <w:r>
        <w:rPr>
          <w:rFonts w:hint="eastAsia" w:ascii="仿宋" w:hAnsi="仿宋" w:eastAsia="仿宋"/>
          <w:color w:val="000000" w:themeColor="text1"/>
          <w:sz w:val="32"/>
          <w:szCs w:val="32"/>
        </w:rPr>
        <w:t>年相比，增加</w:t>
      </w:r>
      <w:r>
        <w:rPr>
          <w:rFonts w:hint="eastAsia" w:ascii="仿宋" w:hAnsi="仿宋" w:eastAsia="仿宋"/>
          <w:color w:val="000000" w:themeColor="text1"/>
          <w:sz w:val="32"/>
          <w:szCs w:val="32"/>
          <w:lang w:val="en-US" w:eastAsia="zh-CN"/>
        </w:rPr>
        <w:t>2379.5</w:t>
      </w:r>
      <w:r>
        <w:rPr>
          <w:rFonts w:hint="eastAsia" w:ascii="仿宋" w:hAnsi="仿宋" w:eastAsia="仿宋"/>
          <w:color w:val="000000" w:themeColor="text1"/>
          <w:sz w:val="32"/>
          <w:szCs w:val="32"/>
        </w:rPr>
        <w:t>万元，增长</w:t>
      </w:r>
      <w:r>
        <w:rPr>
          <w:rFonts w:hint="eastAsia" w:ascii="仿宋" w:hAnsi="仿宋" w:eastAsia="仿宋"/>
          <w:color w:val="000000" w:themeColor="text1"/>
          <w:sz w:val="32"/>
          <w:szCs w:val="32"/>
          <w:lang w:val="en-US" w:eastAsia="zh-CN"/>
        </w:rPr>
        <w:t>238.08</w:t>
      </w:r>
      <w:r>
        <w:rPr>
          <w:rFonts w:ascii="仿宋" w:hAnsi="仿宋" w:eastAsia="仿宋"/>
          <w:color w:val="000000" w:themeColor="text1"/>
          <w:sz w:val="32"/>
          <w:szCs w:val="32"/>
        </w:rPr>
        <w:t>%</w:t>
      </w:r>
      <w:r>
        <w:rPr>
          <w:rFonts w:hint="eastAsia" w:ascii="仿宋" w:hAnsi="仿宋" w:eastAsia="仿宋"/>
          <w:color w:val="000000" w:themeColor="text1"/>
          <w:sz w:val="32"/>
          <w:szCs w:val="32"/>
        </w:rPr>
        <w:t>。主要变动原因是项目</w:t>
      </w:r>
      <w:r>
        <w:rPr>
          <w:rFonts w:hint="eastAsia" w:ascii="仿宋" w:hAnsi="仿宋" w:eastAsia="仿宋"/>
          <w:color w:val="000000" w:themeColor="text1"/>
          <w:sz w:val="32"/>
          <w:szCs w:val="32"/>
          <w:lang w:eastAsia="zh-CN"/>
        </w:rPr>
        <w:t>支出</w:t>
      </w:r>
      <w:r>
        <w:rPr>
          <w:rFonts w:hint="eastAsia" w:ascii="仿宋" w:hAnsi="仿宋" w:eastAsia="仿宋"/>
          <w:color w:val="000000" w:themeColor="text1"/>
          <w:sz w:val="32"/>
          <w:szCs w:val="32"/>
        </w:rPr>
        <w:t>增加。</w:t>
      </w:r>
    </w:p>
    <w:p>
      <w:pPr>
        <w:spacing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（图4：财政拨款收、支决算总计变动情况）（柱状图）</w:t>
      </w:r>
    </w:p>
    <w:p>
      <w:pPr>
        <w:spacing w:line="600" w:lineRule="exact"/>
        <w:ind w:firstLine="640"/>
        <w:rPr>
          <w:rFonts w:hint="eastAsia" w:ascii="黑体" w:hAnsi="黑体" w:eastAsia="黑体"/>
          <w:color w:val="000000"/>
          <w:sz w:val="32"/>
          <w:szCs w:val="32"/>
        </w:rPr>
      </w:pPr>
      <w:r>
        <w:rPr>
          <w:rFonts w:hint="eastAsia" w:ascii="仿宋" w:hAnsi="仿宋" w:eastAsia="仿宋"/>
          <w:color w:val="000000" w:themeColor="text1"/>
          <w:sz w:val="32"/>
          <w:szCs w:val="32"/>
          <w:lang w:eastAsia="zh-CN"/>
        </w:rPr>
        <w:drawing>
          <wp:anchor distT="0" distB="0" distL="114300" distR="114300" simplePos="0" relativeHeight="251661312" behindDoc="0" locked="0" layoutInCell="1" allowOverlap="1">
            <wp:simplePos x="0" y="0"/>
            <wp:positionH relativeFrom="column">
              <wp:posOffset>41275</wp:posOffset>
            </wp:positionH>
            <wp:positionV relativeFrom="paragraph">
              <wp:posOffset>123825</wp:posOffset>
            </wp:positionV>
            <wp:extent cx="5080000" cy="2464435"/>
            <wp:effectExtent l="4445" t="4445" r="20955" b="7620"/>
            <wp:wrapTopAndBottom/>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bookmarkStart w:id="32" w:name="_Toc15396607"/>
      <w:bookmarkStart w:id="33" w:name="_Toc15377209"/>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Style w:val="25"/>
          <w:rFonts w:ascii="黑体" w:hAnsi="黑体" w:eastAsia="黑体"/>
          <w:b w:val="0"/>
        </w:rPr>
      </w:pPr>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5"/>
          <w:rFonts w:hint="eastAsia" w:ascii="黑体" w:hAnsi="黑体" w:eastAsia="黑体"/>
          <w:b w:val="0"/>
        </w:rPr>
        <w:t>般公共预算财政拨款支出决算情况说明</w:t>
      </w:r>
      <w:bookmarkEnd w:id="32"/>
      <w:bookmarkEnd w:id="33"/>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2"/>
        <w:rPr>
          <w:rFonts w:ascii="仿宋" w:hAnsi="仿宋" w:eastAsia="仿宋"/>
          <w:b/>
          <w:color w:val="000000"/>
          <w:sz w:val="32"/>
          <w:szCs w:val="32"/>
        </w:rPr>
      </w:pPr>
      <w:bookmarkStart w:id="34" w:name="_Toc15377210"/>
      <w:r>
        <w:rPr>
          <w:rFonts w:hint="eastAsia" w:ascii="仿宋" w:hAnsi="仿宋" w:eastAsia="仿宋"/>
          <w:b/>
          <w:color w:val="000000"/>
          <w:sz w:val="32"/>
          <w:szCs w:val="32"/>
        </w:rPr>
        <w:t>（一）一般公共预算财政拨款支出决算总体情况</w:t>
      </w:r>
      <w:bookmarkEnd w:id="34"/>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olor w:val="000000" w:themeColor="text1"/>
          <w:sz w:val="32"/>
          <w:szCs w:val="32"/>
        </w:rPr>
      </w:pPr>
      <w:r>
        <w:rPr>
          <w:rFonts w:ascii="仿宋" w:hAnsi="仿宋" w:eastAsia="仿宋"/>
          <w:color w:val="000000"/>
          <w:sz w:val="32"/>
          <w:szCs w:val="32"/>
        </w:rPr>
        <w:t>201</w:t>
      </w:r>
      <w:r>
        <w:rPr>
          <w:rFonts w:hint="eastAsia" w:ascii="仿宋" w:hAnsi="仿宋" w:eastAsia="仿宋"/>
          <w:color w:val="000000"/>
          <w:sz w:val="32"/>
          <w:szCs w:val="32"/>
        </w:rPr>
        <w:t>9年一般公共预算财政拨款支出3729.49万元，占本年支出合计的</w:t>
      </w:r>
      <w:r>
        <w:rPr>
          <w:rFonts w:hint="eastAsia" w:ascii="仿宋" w:hAnsi="仿宋" w:eastAsia="仿宋"/>
          <w:color w:val="000000"/>
          <w:sz w:val="32"/>
          <w:szCs w:val="32"/>
          <w:lang w:val="en-US" w:eastAsia="zh-CN"/>
        </w:rPr>
        <w:t>90.9</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w:t>
      </w:r>
      <w:r>
        <w:rPr>
          <w:rFonts w:hint="eastAsia" w:ascii="仿宋" w:hAnsi="仿宋" w:eastAsia="仿宋"/>
          <w:color w:val="000000"/>
          <w:sz w:val="32"/>
          <w:szCs w:val="32"/>
        </w:rPr>
        <w:t>8年相比，一般公共预算财政拨款增加</w:t>
      </w:r>
      <w:r>
        <w:rPr>
          <w:rFonts w:hint="eastAsia" w:ascii="仿宋" w:hAnsi="仿宋" w:eastAsia="仿宋"/>
          <w:color w:val="000000"/>
          <w:sz w:val="32"/>
          <w:szCs w:val="32"/>
          <w:lang w:val="en-US" w:eastAsia="zh-CN"/>
        </w:rPr>
        <w:t>2006.28</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216.43</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项目支出增加。</w:t>
      </w:r>
      <w:r>
        <w:rPr>
          <w:rFonts w:hint="eastAsia" w:ascii="仿宋" w:hAnsi="仿宋" w:eastAsia="仿宋"/>
          <w:color w:val="000000" w:themeColor="text1"/>
          <w:sz w:val="32"/>
          <w:szCs w:val="32"/>
        </w:rPr>
        <w:t>（图5：一般公共预算财政拨款支出决算变动情况）（柱状图）</w:t>
      </w:r>
    </w:p>
    <w:p>
      <w:pPr>
        <w:spacing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lang w:eastAsia="zh-CN"/>
        </w:rPr>
        <w:drawing>
          <wp:anchor distT="0" distB="0" distL="114300" distR="114300" simplePos="0" relativeHeight="251662336" behindDoc="0" locked="0" layoutInCell="1" allowOverlap="1">
            <wp:simplePos x="0" y="0"/>
            <wp:positionH relativeFrom="column">
              <wp:posOffset>191135</wp:posOffset>
            </wp:positionH>
            <wp:positionV relativeFrom="paragraph">
              <wp:posOffset>282575</wp:posOffset>
            </wp:positionV>
            <wp:extent cx="5080000" cy="4183380"/>
            <wp:effectExtent l="5080" t="4445" r="20320" b="2222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2"/>
        <w:rPr>
          <w:rFonts w:ascii="仿宋" w:hAnsi="仿宋" w:eastAsia="仿宋"/>
          <w:b/>
          <w:color w:val="000000"/>
          <w:sz w:val="32"/>
          <w:szCs w:val="32"/>
        </w:rPr>
      </w:pPr>
      <w:bookmarkStart w:id="35" w:name="_Toc15377211"/>
      <w:r>
        <w:rPr>
          <w:rFonts w:hint="eastAsia" w:ascii="仿宋" w:hAnsi="仿宋" w:eastAsia="仿宋"/>
          <w:b/>
          <w:color w:val="000000"/>
          <w:sz w:val="32"/>
          <w:szCs w:val="32"/>
        </w:rPr>
        <w:t>（二）一般公共预算财政拨款支出决算结构情况</w:t>
      </w:r>
      <w:bookmarkEnd w:id="35"/>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9年一般公共预算财</w:t>
      </w:r>
      <w:r>
        <w:rPr>
          <w:rFonts w:hint="eastAsia" w:ascii="仿宋" w:hAnsi="仿宋" w:eastAsia="仿宋"/>
          <w:color w:val="000000" w:themeColor="text1"/>
          <w:sz w:val="32"/>
          <w:szCs w:val="32"/>
        </w:rPr>
        <w:t>政拨款支出3729.49万元，主要用于以下方面</w:t>
      </w:r>
      <w:r>
        <w:rPr>
          <w:rFonts w:ascii="仿宋" w:hAnsi="仿宋" w:eastAsia="仿宋"/>
          <w:color w:val="000000" w:themeColor="text1"/>
          <w:sz w:val="32"/>
          <w:szCs w:val="32"/>
        </w:rPr>
        <w:t>:</w:t>
      </w:r>
      <w:r>
        <w:rPr>
          <w:rFonts w:hint="eastAsia" w:ascii="仿宋" w:hAnsi="仿宋" w:eastAsia="仿宋"/>
          <w:b/>
          <w:color w:val="000000" w:themeColor="text1"/>
          <w:sz w:val="32"/>
          <w:szCs w:val="32"/>
        </w:rPr>
        <w:t>科学技术（类）</w:t>
      </w:r>
      <w:r>
        <w:rPr>
          <w:rFonts w:hint="eastAsia" w:ascii="仿宋" w:hAnsi="仿宋" w:eastAsia="仿宋"/>
          <w:color w:val="000000" w:themeColor="text1"/>
          <w:sz w:val="32"/>
          <w:szCs w:val="32"/>
        </w:rPr>
        <w:t>支出1156.32万元，占</w:t>
      </w:r>
      <w:r>
        <w:rPr>
          <w:rFonts w:hint="eastAsia" w:ascii="仿宋" w:hAnsi="仿宋" w:eastAsia="仿宋"/>
          <w:color w:val="000000" w:themeColor="text1"/>
          <w:sz w:val="32"/>
          <w:szCs w:val="32"/>
          <w:lang w:val="en-US" w:eastAsia="zh-CN"/>
        </w:rPr>
        <w:t>31</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color w:val="000000" w:themeColor="text1"/>
          <w:sz w:val="32"/>
          <w:szCs w:val="32"/>
        </w:rPr>
        <w:t>社会保障和就业（类）</w:t>
      </w:r>
      <w:r>
        <w:rPr>
          <w:rFonts w:hint="eastAsia" w:ascii="仿宋" w:hAnsi="仿宋" w:eastAsia="仿宋"/>
          <w:color w:val="000000" w:themeColor="text1"/>
          <w:sz w:val="32"/>
          <w:szCs w:val="32"/>
        </w:rPr>
        <w:t>支出15.55万元，占</w:t>
      </w:r>
      <w:r>
        <w:rPr>
          <w:rFonts w:hint="eastAsia" w:ascii="仿宋" w:hAnsi="仿宋" w:eastAsia="仿宋"/>
          <w:color w:val="000000" w:themeColor="text1"/>
          <w:sz w:val="32"/>
          <w:szCs w:val="32"/>
          <w:lang w:val="en-US" w:eastAsia="zh-CN"/>
        </w:rPr>
        <w:t>0.42</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bCs/>
          <w:color w:val="000000" w:themeColor="text1"/>
          <w:sz w:val="32"/>
          <w:szCs w:val="32"/>
        </w:rPr>
        <w:t>卫生健康支出</w:t>
      </w:r>
      <w:r>
        <w:rPr>
          <w:rFonts w:hint="eastAsia" w:ascii="仿宋" w:hAnsi="仿宋" w:eastAsia="仿宋"/>
          <w:color w:val="000000" w:themeColor="text1"/>
          <w:sz w:val="32"/>
          <w:szCs w:val="32"/>
        </w:rPr>
        <w:t>9.57万元，占</w:t>
      </w:r>
      <w:r>
        <w:rPr>
          <w:rFonts w:hint="eastAsia" w:ascii="仿宋" w:hAnsi="仿宋" w:eastAsia="仿宋"/>
          <w:color w:val="000000" w:themeColor="text1"/>
          <w:sz w:val="32"/>
          <w:szCs w:val="32"/>
          <w:lang w:val="en-US" w:eastAsia="zh-CN"/>
        </w:rPr>
        <w:t>0.26</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bCs/>
          <w:color w:val="000000" w:themeColor="text1"/>
          <w:sz w:val="32"/>
          <w:szCs w:val="32"/>
        </w:rPr>
        <w:t>住房保障支出</w:t>
      </w:r>
      <w:r>
        <w:rPr>
          <w:rFonts w:hint="eastAsia" w:ascii="仿宋" w:hAnsi="仿宋" w:eastAsia="仿宋"/>
          <w:color w:val="000000" w:themeColor="text1"/>
          <w:sz w:val="32"/>
          <w:szCs w:val="32"/>
        </w:rPr>
        <w:t>8.65万元，占</w:t>
      </w:r>
      <w:r>
        <w:rPr>
          <w:rFonts w:hint="eastAsia" w:ascii="仿宋" w:hAnsi="仿宋" w:eastAsia="仿宋"/>
          <w:color w:val="000000" w:themeColor="text1"/>
          <w:sz w:val="32"/>
          <w:szCs w:val="32"/>
          <w:lang w:val="en-US" w:eastAsia="zh-CN"/>
        </w:rPr>
        <w:t>0.23</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bCs/>
          <w:color w:val="000000" w:themeColor="text1"/>
          <w:sz w:val="32"/>
          <w:szCs w:val="32"/>
        </w:rPr>
        <w:t>城乡社区</w:t>
      </w:r>
      <w:r>
        <w:rPr>
          <w:rFonts w:hint="eastAsia" w:ascii="仿宋" w:hAnsi="仿宋" w:eastAsia="仿宋"/>
          <w:color w:val="000000" w:themeColor="text1"/>
          <w:sz w:val="32"/>
          <w:szCs w:val="32"/>
        </w:rPr>
        <w:t>支出256.27</w:t>
      </w:r>
      <w:r>
        <w:rPr>
          <w:rFonts w:hint="eastAsia" w:ascii="仿宋" w:hAnsi="仿宋" w:eastAsia="仿宋"/>
          <w:color w:val="000000" w:themeColor="text1"/>
          <w:sz w:val="32"/>
          <w:szCs w:val="32"/>
          <w:lang w:eastAsia="zh-CN"/>
        </w:rPr>
        <w:t>万元</w:t>
      </w:r>
      <w:r>
        <w:rPr>
          <w:rFonts w:hint="eastAsia" w:ascii="仿宋" w:hAnsi="仿宋" w:eastAsia="仿宋"/>
          <w:color w:val="000000" w:themeColor="text1"/>
          <w:sz w:val="32"/>
          <w:szCs w:val="32"/>
        </w:rPr>
        <w:t>，占</w:t>
      </w:r>
      <w:r>
        <w:rPr>
          <w:rFonts w:hint="eastAsia" w:ascii="仿宋" w:hAnsi="仿宋" w:eastAsia="仿宋"/>
          <w:color w:val="000000" w:themeColor="text1"/>
          <w:sz w:val="32"/>
          <w:szCs w:val="32"/>
          <w:lang w:val="en-US" w:eastAsia="zh-CN"/>
        </w:rPr>
        <w:t>6.87</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bCs/>
          <w:color w:val="000000" w:themeColor="text1"/>
          <w:sz w:val="32"/>
          <w:szCs w:val="32"/>
        </w:rPr>
        <w:t>农林水支</w:t>
      </w:r>
      <w:r>
        <w:rPr>
          <w:rFonts w:hint="eastAsia" w:ascii="仿宋" w:hAnsi="仿宋" w:eastAsia="仿宋"/>
          <w:color w:val="000000" w:themeColor="text1"/>
          <w:sz w:val="32"/>
          <w:szCs w:val="32"/>
        </w:rPr>
        <w:t>出1628.84万元，占</w:t>
      </w:r>
      <w:r>
        <w:rPr>
          <w:rFonts w:hint="eastAsia" w:ascii="仿宋" w:hAnsi="仿宋" w:eastAsia="仿宋"/>
          <w:color w:val="000000" w:themeColor="text1"/>
          <w:sz w:val="32"/>
          <w:szCs w:val="32"/>
          <w:lang w:val="en-US" w:eastAsia="zh-CN"/>
        </w:rPr>
        <w:t>43.67</w:t>
      </w:r>
      <w:r>
        <w:rPr>
          <w:rFonts w:ascii="仿宋" w:hAnsi="仿宋" w:eastAsia="仿宋"/>
          <w:color w:val="000000" w:themeColor="text1"/>
          <w:sz w:val="32"/>
          <w:szCs w:val="32"/>
        </w:rPr>
        <w:t>%</w:t>
      </w:r>
      <w:r>
        <w:rPr>
          <w:rFonts w:hint="eastAsia" w:ascii="仿宋" w:hAnsi="仿宋" w:eastAsia="仿宋"/>
          <w:color w:val="000000" w:themeColor="text1"/>
          <w:sz w:val="32"/>
          <w:szCs w:val="32"/>
          <w:lang w:eastAsia="zh-CN"/>
        </w:rPr>
        <w:t>；商业服务业等支出654.29万元</w:t>
      </w:r>
      <w:r>
        <w:rPr>
          <w:rFonts w:hint="eastAsia" w:ascii="仿宋" w:hAnsi="仿宋" w:eastAsia="仿宋"/>
          <w:color w:val="000000" w:themeColor="text1"/>
          <w:sz w:val="32"/>
          <w:szCs w:val="32"/>
        </w:rPr>
        <w:t>，占</w:t>
      </w:r>
      <w:r>
        <w:rPr>
          <w:rFonts w:hint="eastAsia" w:ascii="仿宋" w:hAnsi="仿宋" w:eastAsia="仿宋"/>
          <w:color w:val="000000" w:themeColor="text1"/>
          <w:sz w:val="32"/>
          <w:szCs w:val="32"/>
          <w:lang w:val="en-US" w:eastAsia="zh-CN"/>
        </w:rPr>
        <w:t>17.55</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color w:val="000000"/>
          <w:sz w:val="32"/>
          <w:szCs w:val="32"/>
        </w:rPr>
        <w:t>（图6：一般公共预算财政拨款支出决算结构）（饼状图）</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 w:hAnsi="仿宋" w:eastAsia="仿宋"/>
          <w:color w:val="000000" w:themeColor="text1"/>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olor w:val="000000"/>
          <w:sz w:val="32"/>
          <w:szCs w:val="32"/>
        </w:rPr>
      </w:pPr>
    </w:p>
    <w:p>
      <w:pPr>
        <w:spacing w:line="600" w:lineRule="exact"/>
        <w:ind w:firstLine="640" w:firstLineChars="200"/>
        <w:rPr>
          <w:rFonts w:ascii="仿宋" w:hAnsi="仿宋" w:eastAsia="仿宋"/>
          <w:b/>
          <w:color w:val="000000"/>
          <w:sz w:val="32"/>
          <w:szCs w:val="32"/>
        </w:rPr>
      </w:pPr>
      <w:r>
        <w:rPr>
          <w:rFonts w:hint="eastAsia" w:ascii="仿宋" w:hAnsi="仿宋" w:eastAsia="仿宋"/>
          <w:color w:val="000000"/>
          <w:sz w:val="32"/>
          <w:szCs w:val="32"/>
          <w:lang w:eastAsia="zh-CN"/>
        </w:rPr>
        <w:drawing>
          <wp:anchor distT="0" distB="0" distL="114300" distR="114300" simplePos="0" relativeHeight="251663360" behindDoc="0" locked="0" layoutInCell="1" allowOverlap="1">
            <wp:simplePos x="0" y="0"/>
            <wp:positionH relativeFrom="column">
              <wp:posOffset>146685</wp:posOffset>
            </wp:positionH>
            <wp:positionV relativeFrom="paragraph">
              <wp:posOffset>268605</wp:posOffset>
            </wp:positionV>
            <wp:extent cx="5080000" cy="4760595"/>
            <wp:effectExtent l="4445" t="4445" r="20955" b="16510"/>
            <wp:wrapSquare wrapText="bothSides"/>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bookmarkStart w:id="36" w:name="_Toc15377212"/>
      <w:r>
        <w:rPr>
          <w:rFonts w:hint="eastAsia" w:ascii="仿宋" w:hAnsi="仿宋" w:eastAsia="仿宋"/>
          <w:b/>
          <w:color w:val="000000"/>
          <w:sz w:val="32"/>
          <w:szCs w:val="32"/>
        </w:rPr>
        <w:t>（三）一般公共预算财政拨款支出决算具体情况</w:t>
      </w:r>
      <w:bookmarkEnd w:id="36"/>
    </w:p>
    <w:p>
      <w:pPr>
        <w:spacing w:line="600" w:lineRule="exact"/>
        <w:ind w:firstLine="643" w:firstLineChars="200"/>
        <w:outlineLvl w:val="2"/>
        <w:rPr>
          <w:rFonts w:ascii="仿宋" w:hAnsi="仿宋" w:eastAsia="仿宋"/>
          <w:color w:val="FF0000"/>
          <w:sz w:val="32"/>
          <w:szCs w:val="32"/>
        </w:rPr>
      </w:pPr>
      <w:bookmarkStart w:id="37" w:name="_Toc15377444"/>
      <w:bookmarkStart w:id="38" w:name="_Toc15377213"/>
      <w:bookmarkStart w:id="39" w:name="_Toc15378460"/>
      <w:r>
        <w:rPr>
          <w:rFonts w:hint="eastAsia" w:ascii="仿宋" w:hAnsi="仿宋" w:eastAsia="仿宋"/>
          <w:b/>
          <w:color w:val="000000" w:themeColor="text1"/>
          <w:sz w:val="32"/>
          <w:szCs w:val="32"/>
        </w:rPr>
        <w:t>2019年般公共预算支出决算数为3729.49</w:t>
      </w:r>
      <w:r>
        <w:rPr>
          <w:rFonts w:hint="eastAsia" w:ascii="仿宋" w:hAnsi="仿宋" w:eastAsia="仿宋"/>
          <w:b/>
          <w:color w:val="000000" w:themeColor="text1"/>
          <w:sz w:val="32"/>
          <w:szCs w:val="32"/>
          <w:lang w:eastAsia="zh-CN"/>
        </w:rPr>
        <w:t>万元</w:t>
      </w:r>
      <w:r>
        <w:rPr>
          <w:rFonts w:hint="eastAsia" w:ascii="仿宋" w:hAnsi="仿宋" w:eastAsia="仿宋"/>
          <w:color w:val="000000" w:themeColor="text1"/>
          <w:sz w:val="32"/>
          <w:szCs w:val="32"/>
        </w:rPr>
        <w:t>，</w:t>
      </w:r>
      <w:r>
        <w:rPr>
          <w:rStyle w:val="14"/>
          <w:rFonts w:hint="eastAsia" w:ascii="仿宋" w:hAnsi="仿宋" w:eastAsia="仿宋"/>
          <w:bCs/>
          <w:color w:val="000000" w:themeColor="text1"/>
          <w:sz w:val="32"/>
          <w:szCs w:val="32"/>
        </w:rPr>
        <w:t>完成</w:t>
      </w:r>
      <w:r>
        <w:rPr>
          <w:rStyle w:val="14"/>
          <w:rFonts w:hint="eastAsia" w:ascii="仿宋" w:hAnsi="仿宋" w:eastAsia="仿宋"/>
          <w:bCs/>
          <w:color w:val="000000"/>
          <w:sz w:val="32"/>
          <w:szCs w:val="32"/>
        </w:rPr>
        <w:t>预算</w:t>
      </w:r>
      <w:r>
        <w:rPr>
          <w:rStyle w:val="14"/>
          <w:rFonts w:hint="eastAsia" w:ascii="仿宋" w:hAnsi="仿宋" w:eastAsia="仿宋"/>
          <w:bCs/>
          <w:color w:val="000000"/>
          <w:sz w:val="32"/>
          <w:szCs w:val="32"/>
          <w:lang w:val="en-US" w:eastAsia="zh-CN"/>
        </w:rPr>
        <w:t>202.92</w:t>
      </w:r>
      <w:r>
        <w:rPr>
          <w:rStyle w:val="14"/>
          <w:rFonts w:ascii="仿宋" w:hAnsi="仿宋" w:eastAsia="仿宋"/>
          <w:bCs/>
          <w:color w:val="000000"/>
          <w:sz w:val="32"/>
          <w:szCs w:val="32"/>
        </w:rPr>
        <w:t>%</w:t>
      </w:r>
      <w:r>
        <w:rPr>
          <w:rStyle w:val="14"/>
          <w:rFonts w:hint="eastAsia" w:ascii="仿宋" w:hAnsi="仿宋" w:eastAsia="仿宋"/>
          <w:bCs/>
          <w:color w:val="000000"/>
          <w:sz w:val="32"/>
          <w:szCs w:val="32"/>
        </w:rPr>
        <w:t>。其中：</w:t>
      </w:r>
      <w:bookmarkEnd w:id="37"/>
      <w:bookmarkEnd w:id="38"/>
      <w:bookmarkEnd w:id="39"/>
    </w:p>
    <w:p>
      <w:pPr>
        <w:spacing w:line="600" w:lineRule="exact"/>
        <w:ind w:firstLine="643" w:firstLineChars="200"/>
        <w:rPr>
          <w:rFonts w:ascii="仿宋" w:hAnsi="仿宋" w:eastAsia="仿宋"/>
          <w:b/>
          <w:color w:val="000000"/>
          <w:sz w:val="32"/>
          <w:szCs w:val="32"/>
        </w:rPr>
      </w:pPr>
      <w:r>
        <w:rPr>
          <w:rStyle w:val="14"/>
          <w:rFonts w:ascii="仿宋" w:hAnsi="仿宋" w:eastAsia="仿宋"/>
          <w:bCs/>
          <w:color w:val="000000"/>
          <w:sz w:val="32"/>
          <w:szCs w:val="32"/>
        </w:rPr>
        <w:t>1.</w:t>
      </w:r>
      <w:r>
        <w:rPr>
          <w:rStyle w:val="14"/>
          <w:rFonts w:hint="eastAsia" w:ascii="仿宋" w:hAnsi="仿宋" w:eastAsia="仿宋"/>
          <w:bCs/>
          <w:color w:val="000000"/>
          <w:sz w:val="32"/>
          <w:szCs w:val="32"/>
        </w:rPr>
        <w:t>科学技术支出（类）</w:t>
      </w:r>
      <w:r>
        <w:rPr>
          <w:rStyle w:val="14"/>
          <w:rFonts w:hint="eastAsia" w:ascii="仿宋" w:hAnsi="仿宋" w:eastAsia="仿宋"/>
          <w:bCs/>
          <w:color w:val="000000"/>
          <w:sz w:val="32"/>
          <w:szCs w:val="32"/>
          <w:lang w:val="en-US" w:eastAsia="zh-CN"/>
        </w:rPr>
        <w:t>20699-</w:t>
      </w:r>
      <w:r>
        <w:rPr>
          <w:rStyle w:val="14"/>
          <w:rFonts w:hint="eastAsia" w:ascii="仿宋" w:hAnsi="仿宋" w:eastAsia="仿宋"/>
          <w:bCs/>
          <w:color w:val="000000"/>
          <w:sz w:val="32"/>
          <w:szCs w:val="32"/>
        </w:rPr>
        <w:t>其他科学技术支出（款）</w:t>
      </w:r>
      <w:r>
        <w:rPr>
          <w:rStyle w:val="14"/>
          <w:rFonts w:hint="eastAsia" w:ascii="仿宋" w:hAnsi="仿宋" w:eastAsia="仿宋"/>
          <w:bCs/>
          <w:color w:val="000000"/>
          <w:sz w:val="32"/>
          <w:szCs w:val="32"/>
          <w:lang w:val="en-US" w:eastAsia="zh-CN"/>
        </w:rPr>
        <w:t>2069999-</w:t>
      </w:r>
      <w:r>
        <w:rPr>
          <w:rStyle w:val="14"/>
          <w:rFonts w:hint="eastAsia" w:ascii="仿宋" w:hAnsi="仿宋" w:eastAsia="仿宋"/>
          <w:bCs/>
          <w:color w:val="000000"/>
          <w:sz w:val="32"/>
          <w:szCs w:val="32"/>
        </w:rPr>
        <w:t>其他科学技术支出（项）</w:t>
      </w:r>
      <w:r>
        <w:rPr>
          <w:rStyle w:val="14"/>
          <w:rFonts w:ascii="仿宋" w:hAnsi="仿宋" w:eastAsia="仿宋"/>
          <w:bCs/>
          <w:color w:val="000000"/>
          <w:sz w:val="32"/>
          <w:szCs w:val="32"/>
        </w:rPr>
        <w:t>:</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支出决算为1156.32万元，完成预算</w:t>
      </w:r>
      <w:r>
        <w:rPr>
          <w:rStyle w:val="14"/>
          <w:rFonts w:hint="eastAsia" w:ascii="仿宋" w:hAnsi="仿宋" w:eastAsia="仿宋"/>
          <w:b w:val="0"/>
          <w:bCs/>
          <w:color w:val="000000"/>
          <w:sz w:val="32"/>
          <w:szCs w:val="32"/>
          <w:lang w:val="en-US" w:eastAsia="zh-CN"/>
        </w:rPr>
        <w:t>68.02</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，决算数小于预算数的主要原因是</w:t>
      </w:r>
      <w:r>
        <w:rPr>
          <w:rStyle w:val="14"/>
          <w:rFonts w:hint="eastAsia" w:ascii="仿宋" w:hAnsi="仿宋" w:eastAsia="仿宋"/>
          <w:b w:val="0"/>
          <w:bCs/>
          <w:color w:val="000000"/>
          <w:sz w:val="32"/>
          <w:szCs w:val="32"/>
          <w:lang w:eastAsia="zh-CN"/>
        </w:rPr>
        <w:t>项目未完工</w:t>
      </w:r>
      <w:r>
        <w:rPr>
          <w:rStyle w:val="14"/>
          <w:rFonts w:hint="eastAsia" w:ascii="仿宋" w:hAnsi="仿宋" w:eastAsia="仿宋"/>
          <w:b w:val="0"/>
          <w:bCs/>
          <w:color w:val="000000"/>
          <w:sz w:val="32"/>
          <w:szCs w:val="32"/>
        </w:rPr>
        <w:t>。</w:t>
      </w:r>
    </w:p>
    <w:p>
      <w:pPr>
        <w:spacing w:line="600" w:lineRule="exact"/>
        <w:ind w:firstLine="643" w:firstLineChars="200"/>
        <w:rPr>
          <w:rStyle w:val="14"/>
          <w:rFonts w:hint="eastAsia" w:ascii="仿宋" w:hAnsi="仿宋" w:eastAsia="仿宋"/>
          <w:bCs/>
          <w:color w:val="000000"/>
          <w:sz w:val="32"/>
          <w:szCs w:val="32"/>
        </w:rPr>
      </w:pPr>
      <w:r>
        <w:rPr>
          <w:rStyle w:val="14"/>
          <w:rFonts w:ascii="仿宋" w:hAnsi="仿宋" w:eastAsia="仿宋"/>
          <w:bCs/>
          <w:color w:val="000000"/>
          <w:sz w:val="32"/>
          <w:szCs w:val="32"/>
        </w:rPr>
        <w:t>2.</w:t>
      </w:r>
      <w:r>
        <w:rPr>
          <w:rStyle w:val="14"/>
          <w:rFonts w:hint="eastAsia" w:ascii="仿宋" w:hAnsi="仿宋" w:eastAsia="仿宋"/>
          <w:bCs/>
          <w:color w:val="000000"/>
          <w:sz w:val="32"/>
          <w:szCs w:val="32"/>
        </w:rPr>
        <w:t>社会保障和就业支出</w:t>
      </w:r>
    </w:p>
    <w:p>
      <w:pPr>
        <w:spacing w:line="600" w:lineRule="exact"/>
        <w:ind w:firstLine="643" w:firstLineChars="200"/>
        <w:rPr>
          <w:rStyle w:val="14"/>
          <w:rFonts w:ascii="仿宋" w:hAnsi="仿宋" w:eastAsia="仿宋"/>
          <w:bCs/>
          <w:color w:val="000000"/>
          <w:sz w:val="32"/>
          <w:szCs w:val="32"/>
        </w:rPr>
      </w:pPr>
      <w:r>
        <w:rPr>
          <w:rStyle w:val="14"/>
          <w:rFonts w:hint="eastAsia" w:ascii="仿宋" w:hAnsi="仿宋" w:eastAsia="仿宋"/>
          <w:bCs/>
          <w:color w:val="000000"/>
          <w:sz w:val="32"/>
          <w:szCs w:val="32"/>
        </w:rPr>
        <w:t>①</w:t>
      </w:r>
      <w:r>
        <w:rPr>
          <w:rStyle w:val="14"/>
          <w:rFonts w:ascii="仿宋" w:hAnsi="仿宋" w:eastAsia="仿宋"/>
          <w:bCs/>
          <w:color w:val="000000"/>
          <w:sz w:val="32"/>
          <w:szCs w:val="32"/>
        </w:rPr>
        <w:t>20805</w:t>
      </w:r>
      <w:r>
        <w:rPr>
          <w:rStyle w:val="14"/>
          <w:rFonts w:hint="eastAsia" w:ascii="仿宋" w:hAnsi="仿宋" w:eastAsia="仿宋"/>
          <w:bCs/>
          <w:color w:val="000000"/>
          <w:sz w:val="32"/>
          <w:szCs w:val="32"/>
        </w:rPr>
        <w:t>-行政事业单位离退休（款）</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Style w:val="14"/>
          <w:rFonts w:ascii="仿宋" w:hAnsi="仿宋" w:eastAsia="仿宋"/>
          <w:b w:val="0"/>
          <w:bCs/>
          <w:color w:val="000000"/>
          <w:sz w:val="32"/>
          <w:szCs w:val="32"/>
        </w:rPr>
      </w:pPr>
      <w:r>
        <w:rPr>
          <w:rStyle w:val="14"/>
          <w:rFonts w:hint="eastAsia" w:ascii="仿宋" w:hAnsi="仿宋" w:eastAsia="仿宋"/>
          <w:bCs/>
          <w:color w:val="000000"/>
          <w:sz w:val="32"/>
          <w:szCs w:val="32"/>
        </w:rPr>
        <w:t>a.</w:t>
      </w:r>
      <w:r>
        <w:rPr>
          <w:rStyle w:val="14"/>
          <w:rFonts w:ascii="仿宋" w:hAnsi="仿宋" w:eastAsia="仿宋"/>
          <w:bCs/>
          <w:color w:val="000000"/>
          <w:sz w:val="32"/>
          <w:szCs w:val="32"/>
        </w:rPr>
        <w:t>2080505</w:t>
      </w:r>
      <w:r>
        <w:rPr>
          <w:rStyle w:val="14"/>
          <w:rFonts w:hint="eastAsia" w:ascii="仿宋" w:hAnsi="仿宋" w:eastAsia="仿宋"/>
          <w:bCs/>
          <w:color w:val="000000"/>
          <w:sz w:val="32"/>
          <w:szCs w:val="32"/>
        </w:rPr>
        <w:t>-机关事业单位基本养老保险缴费支出★（项）</w:t>
      </w:r>
      <w:r>
        <w:rPr>
          <w:rStyle w:val="14"/>
          <w:rFonts w:ascii="仿宋" w:hAnsi="仿宋" w:eastAsia="仿宋"/>
          <w:bCs/>
          <w:color w:val="000000"/>
          <w:sz w:val="32"/>
          <w:szCs w:val="32"/>
        </w:rPr>
        <w:t>:</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支出决算为10.64万元，完成预算100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Style w:val="14"/>
          <w:rFonts w:hint="eastAsia" w:ascii="仿宋" w:hAnsi="仿宋" w:eastAsia="仿宋"/>
          <w:b w:val="0"/>
          <w:bCs/>
          <w:color w:val="000000"/>
          <w:sz w:val="32"/>
          <w:szCs w:val="32"/>
        </w:rPr>
      </w:pPr>
      <w:r>
        <w:rPr>
          <w:rStyle w:val="14"/>
          <w:rFonts w:hint="eastAsia" w:ascii="仿宋" w:hAnsi="仿宋" w:eastAsia="仿宋"/>
          <w:bCs/>
          <w:color w:val="000000"/>
          <w:sz w:val="32"/>
          <w:szCs w:val="32"/>
        </w:rPr>
        <w:t>b.</w:t>
      </w:r>
      <w:r>
        <w:rPr>
          <w:rStyle w:val="14"/>
          <w:rFonts w:ascii="仿宋" w:hAnsi="仿宋" w:eastAsia="仿宋"/>
          <w:bCs/>
          <w:color w:val="000000"/>
          <w:sz w:val="32"/>
          <w:szCs w:val="32"/>
        </w:rPr>
        <w:t>208050</w:t>
      </w:r>
      <w:r>
        <w:rPr>
          <w:rStyle w:val="14"/>
          <w:rFonts w:hint="eastAsia" w:ascii="仿宋" w:hAnsi="仿宋" w:eastAsia="仿宋"/>
          <w:bCs/>
          <w:color w:val="000000"/>
          <w:sz w:val="32"/>
          <w:szCs w:val="32"/>
        </w:rPr>
        <w:t>6-机关事业单位职业年金缴费支出★（项）</w:t>
      </w:r>
      <w:r>
        <w:rPr>
          <w:rStyle w:val="14"/>
          <w:rFonts w:ascii="仿宋" w:hAnsi="仿宋" w:eastAsia="仿宋"/>
          <w:bCs/>
          <w:color w:val="000000"/>
          <w:sz w:val="32"/>
          <w:szCs w:val="32"/>
        </w:rPr>
        <w:t>:</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支出决算为4.91万元，完成预算100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Style w:val="14"/>
          <w:rFonts w:ascii="仿宋" w:hAnsi="仿宋" w:eastAsia="仿宋"/>
          <w:bCs/>
          <w:color w:val="000000"/>
          <w:sz w:val="32"/>
          <w:szCs w:val="32"/>
        </w:rPr>
      </w:pPr>
      <w:r>
        <w:rPr>
          <w:rStyle w:val="14"/>
          <w:rFonts w:ascii="仿宋" w:hAnsi="仿宋" w:eastAsia="仿宋"/>
          <w:bCs/>
          <w:color w:val="000000"/>
          <w:sz w:val="32"/>
          <w:szCs w:val="32"/>
        </w:rPr>
        <w:t>3.</w:t>
      </w:r>
      <w:r>
        <w:rPr>
          <w:rStyle w:val="14"/>
          <w:rFonts w:hint="eastAsia" w:ascii="仿宋" w:hAnsi="仿宋" w:eastAsia="仿宋"/>
          <w:bCs/>
          <w:color w:val="000000"/>
          <w:sz w:val="32"/>
          <w:szCs w:val="32"/>
        </w:rPr>
        <w:t>卫生健康支出（类）</w:t>
      </w:r>
      <w:r>
        <w:rPr>
          <w:rStyle w:val="14"/>
          <w:rFonts w:ascii="仿宋" w:hAnsi="仿宋" w:eastAsia="仿宋"/>
          <w:bCs/>
          <w:color w:val="000000"/>
          <w:sz w:val="32"/>
          <w:szCs w:val="32"/>
        </w:rPr>
        <w:t>21011</w:t>
      </w:r>
      <w:r>
        <w:rPr>
          <w:rStyle w:val="14"/>
          <w:rFonts w:hint="eastAsia" w:ascii="仿宋" w:hAnsi="仿宋" w:eastAsia="仿宋"/>
          <w:bCs/>
          <w:color w:val="000000"/>
          <w:sz w:val="32"/>
          <w:szCs w:val="32"/>
        </w:rPr>
        <w:t>-行政事业单位医疗★（款）</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 w:hAnsi="仿宋" w:eastAsia="仿宋"/>
          <w:b/>
          <w:bCs/>
          <w:color w:val="000000"/>
          <w:sz w:val="32"/>
          <w:szCs w:val="32"/>
        </w:rPr>
      </w:pPr>
      <w:r>
        <w:rPr>
          <w:rStyle w:val="14"/>
          <w:rFonts w:hint="eastAsia" w:ascii="仿宋" w:hAnsi="仿宋" w:eastAsia="仿宋"/>
          <w:bCs/>
          <w:color w:val="000000"/>
          <w:sz w:val="32"/>
          <w:szCs w:val="32"/>
        </w:rPr>
        <w:t>a.</w:t>
      </w:r>
      <w:r>
        <w:t xml:space="preserve"> </w:t>
      </w:r>
      <w:r>
        <w:rPr>
          <w:rStyle w:val="14"/>
          <w:rFonts w:ascii="仿宋" w:hAnsi="仿宋" w:eastAsia="仿宋"/>
          <w:bCs/>
          <w:color w:val="000000"/>
          <w:sz w:val="32"/>
          <w:szCs w:val="32"/>
        </w:rPr>
        <w:t>2101101</w:t>
      </w:r>
      <w:r>
        <w:rPr>
          <w:rStyle w:val="14"/>
          <w:rFonts w:hint="eastAsia" w:ascii="仿宋" w:hAnsi="仿宋" w:eastAsia="仿宋"/>
          <w:bCs/>
          <w:color w:val="000000"/>
          <w:sz w:val="32"/>
          <w:szCs w:val="32"/>
        </w:rPr>
        <w:t>-行政单位医疗★（项）</w:t>
      </w:r>
      <w:r>
        <w:rPr>
          <w:rStyle w:val="14"/>
          <w:rFonts w:ascii="仿宋" w:hAnsi="仿宋" w:eastAsia="仿宋"/>
          <w:bCs/>
          <w:color w:val="000000"/>
          <w:sz w:val="32"/>
          <w:szCs w:val="32"/>
        </w:rPr>
        <w:t>:</w:t>
      </w:r>
      <w:r>
        <w:rPr>
          <w:rStyle w:val="14"/>
          <w:rFonts w:hint="eastAsia" w:ascii="仿宋" w:hAnsi="仿宋" w:eastAsia="仿宋"/>
          <w:b w:val="0"/>
          <w:bCs/>
          <w:color w:val="000000"/>
          <w:sz w:val="32"/>
          <w:szCs w:val="32"/>
        </w:rPr>
        <w:t>支出决算为5.02万元，完成预算100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Style w:val="14"/>
          <w:rFonts w:ascii="仿宋" w:hAnsi="仿宋" w:eastAsia="仿宋"/>
          <w:b w:val="0"/>
          <w:bCs/>
          <w:color w:val="000000"/>
          <w:sz w:val="32"/>
          <w:szCs w:val="32"/>
        </w:rPr>
      </w:pPr>
      <w:r>
        <w:rPr>
          <w:rStyle w:val="14"/>
          <w:rFonts w:hint="eastAsia" w:ascii="仿宋" w:hAnsi="仿宋" w:eastAsia="仿宋"/>
          <w:bCs/>
          <w:color w:val="000000"/>
          <w:sz w:val="32"/>
          <w:szCs w:val="32"/>
        </w:rPr>
        <w:t>b.</w:t>
      </w:r>
      <w:r>
        <w:t xml:space="preserve"> </w:t>
      </w:r>
      <w:r>
        <w:rPr>
          <w:rStyle w:val="14"/>
          <w:rFonts w:ascii="仿宋" w:hAnsi="仿宋" w:eastAsia="仿宋"/>
          <w:bCs/>
          <w:color w:val="000000"/>
          <w:sz w:val="32"/>
          <w:szCs w:val="32"/>
        </w:rPr>
        <w:t>2101103</w:t>
      </w:r>
      <w:r>
        <w:rPr>
          <w:rStyle w:val="14"/>
          <w:rFonts w:hint="eastAsia" w:ascii="仿宋" w:hAnsi="仿宋" w:eastAsia="仿宋"/>
          <w:bCs/>
          <w:color w:val="000000"/>
          <w:sz w:val="32"/>
          <w:szCs w:val="32"/>
        </w:rPr>
        <w:t>-公务员医疗补助★（项）</w:t>
      </w:r>
      <w:r>
        <w:rPr>
          <w:rStyle w:val="14"/>
          <w:rFonts w:ascii="仿宋" w:hAnsi="仿宋" w:eastAsia="仿宋"/>
          <w:bCs/>
          <w:color w:val="000000"/>
          <w:sz w:val="32"/>
          <w:szCs w:val="32"/>
        </w:rPr>
        <w:t>:</w:t>
      </w:r>
      <w:r>
        <w:rPr>
          <w:rStyle w:val="14"/>
          <w:rFonts w:hint="eastAsia" w:ascii="仿宋" w:hAnsi="仿宋" w:eastAsia="仿宋"/>
          <w:b w:val="0"/>
          <w:bCs/>
          <w:color w:val="000000"/>
          <w:sz w:val="32"/>
          <w:szCs w:val="32"/>
        </w:rPr>
        <w:t>支出决算为4.55万元，完成预算100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 w:hAnsi="仿宋" w:eastAsia="仿宋"/>
          <w:b/>
          <w:color w:val="000000"/>
          <w:sz w:val="32"/>
          <w:szCs w:val="32"/>
        </w:rPr>
      </w:pPr>
      <w:r>
        <w:rPr>
          <w:rStyle w:val="14"/>
          <w:rFonts w:ascii="仿宋" w:hAnsi="仿宋" w:eastAsia="仿宋"/>
          <w:bCs/>
          <w:color w:val="000000"/>
          <w:sz w:val="32"/>
          <w:szCs w:val="32"/>
        </w:rPr>
        <w:t>4.</w:t>
      </w:r>
      <w:r>
        <w:rPr>
          <w:rStyle w:val="14"/>
          <w:rFonts w:hint="eastAsia" w:ascii="仿宋" w:hAnsi="仿宋" w:eastAsia="仿宋"/>
          <w:bCs/>
          <w:color w:val="000000"/>
          <w:sz w:val="32"/>
          <w:szCs w:val="32"/>
        </w:rPr>
        <w:t>城乡社区支出（类）21299</w:t>
      </w:r>
      <w:r>
        <w:rPr>
          <w:rStyle w:val="14"/>
          <w:rFonts w:hint="eastAsia" w:ascii="仿宋" w:hAnsi="仿宋" w:eastAsia="仿宋"/>
          <w:bCs/>
          <w:color w:val="000000"/>
          <w:sz w:val="32"/>
          <w:szCs w:val="32"/>
          <w:lang w:val="en-US" w:eastAsia="zh-CN"/>
        </w:rPr>
        <w:t>-其他城乡社区支出</w:t>
      </w:r>
      <w:r>
        <w:rPr>
          <w:rStyle w:val="14"/>
          <w:rFonts w:hint="eastAsia" w:ascii="仿宋" w:hAnsi="仿宋" w:eastAsia="仿宋"/>
          <w:bCs/>
          <w:color w:val="000000"/>
          <w:sz w:val="32"/>
          <w:szCs w:val="32"/>
        </w:rPr>
        <w:t>（款）</w:t>
      </w:r>
      <w:r>
        <w:rPr>
          <w:rStyle w:val="14"/>
          <w:rFonts w:hint="eastAsia" w:ascii="仿宋" w:hAnsi="仿宋" w:eastAsia="仿宋"/>
          <w:bCs/>
          <w:color w:val="000000"/>
          <w:sz w:val="32"/>
          <w:szCs w:val="32"/>
          <w:lang w:val="en-US" w:eastAsia="zh-CN"/>
        </w:rPr>
        <w:t>2129901-其他城乡社区支出</w:t>
      </w:r>
      <w:r>
        <w:rPr>
          <w:rStyle w:val="14"/>
          <w:rFonts w:hint="eastAsia" w:ascii="仿宋" w:hAnsi="仿宋" w:eastAsia="仿宋"/>
          <w:bCs/>
          <w:color w:val="000000"/>
          <w:sz w:val="32"/>
          <w:szCs w:val="32"/>
        </w:rPr>
        <w:t>（项）</w:t>
      </w:r>
      <w:r>
        <w:rPr>
          <w:rStyle w:val="14"/>
          <w:rFonts w:ascii="仿宋" w:hAnsi="仿宋" w:eastAsia="仿宋"/>
          <w:bCs/>
          <w:color w:val="000000"/>
          <w:sz w:val="32"/>
          <w:szCs w:val="32"/>
        </w:rPr>
        <w:t>:</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支出决算为256.27万元，完成预算</w:t>
      </w:r>
      <w:r>
        <w:rPr>
          <w:rStyle w:val="14"/>
          <w:rFonts w:hint="eastAsia" w:ascii="仿宋" w:hAnsi="仿宋" w:eastAsia="仿宋"/>
          <w:b w:val="0"/>
          <w:bCs/>
          <w:color w:val="000000"/>
          <w:sz w:val="32"/>
          <w:szCs w:val="32"/>
          <w:lang w:val="en-US" w:eastAsia="zh-CN"/>
        </w:rPr>
        <w:t>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Style w:val="14"/>
          <w:rFonts w:ascii="仿宋" w:hAnsi="仿宋" w:eastAsia="仿宋"/>
          <w:bCs/>
          <w:color w:val="000000"/>
          <w:sz w:val="32"/>
          <w:szCs w:val="32"/>
        </w:rPr>
      </w:pPr>
      <w:r>
        <w:rPr>
          <w:rStyle w:val="14"/>
          <w:rFonts w:ascii="仿宋" w:hAnsi="仿宋" w:eastAsia="仿宋"/>
          <w:bCs/>
          <w:color w:val="000000"/>
          <w:sz w:val="32"/>
          <w:szCs w:val="32"/>
        </w:rPr>
        <w:t>5.</w:t>
      </w:r>
      <w:r>
        <w:rPr>
          <w:rStyle w:val="14"/>
          <w:rFonts w:hint="eastAsia" w:ascii="仿宋" w:hAnsi="仿宋" w:eastAsia="仿宋"/>
          <w:bCs/>
          <w:color w:val="000000"/>
          <w:sz w:val="32"/>
          <w:szCs w:val="32"/>
        </w:rPr>
        <w:t>农林水</w:t>
      </w:r>
      <w:r>
        <w:rPr>
          <w:rStyle w:val="14"/>
          <w:rFonts w:hint="eastAsia" w:ascii="仿宋" w:hAnsi="仿宋" w:eastAsia="仿宋"/>
          <w:bCs/>
          <w:color w:val="000000"/>
          <w:sz w:val="32"/>
          <w:szCs w:val="32"/>
          <w:lang w:eastAsia="zh-CN"/>
        </w:rPr>
        <w:t>支出</w:t>
      </w:r>
      <w:r>
        <w:rPr>
          <w:rStyle w:val="14"/>
          <w:rFonts w:hint="eastAsia" w:ascii="仿宋" w:hAnsi="仿宋" w:eastAsia="仿宋"/>
          <w:bCs/>
          <w:color w:val="000000"/>
          <w:sz w:val="32"/>
          <w:szCs w:val="32"/>
        </w:rPr>
        <w:t>（类）</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Style w:val="14"/>
          <w:rFonts w:ascii="仿宋" w:hAnsi="仿宋" w:eastAsia="仿宋"/>
          <w:b w:val="0"/>
          <w:bCs/>
          <w:color w:val="000000"/>
          <w:sz w:val="32"/>
          <w:szCs w:val="32"/>
        </w:rPr>
      </w:pPr>
      <w:r>
        <w:rPr>
          <w:rStyle w:val="14"/>
          <w:rFonts w:hint="eastAsia" w:ascii="仿宋" w:hAnsi="仿宋" w:eastAsia="仿宋"/>
          <w:bCs/>
          <w:color w:val="000000"/>
          <w:sz w:val="32"/>
          <w:szCs w:val="32"/>
        </w:rPr>
        <w:t>①</w:t>
      </w:r>
      <w:r>
        <w:rPr>
          <w:rStyle w:val="14"/>
          <w:rFonts w:ascii="仿宋" w:hAnsi="仿宋" w:eastAsia="仿宋"/>
          <w:bCs/>
          <w:color w:val="000000"/>
          <w:sz w:val="32"/>
          <w:szCs w:val="32"/>
        </w:rPr>
        <w:t>2130</w:t>
      </w:r>
      <w:r>
        <w:rPr>
          <w:rStyle w:val="14"/>
          <w:rFonts w:hint="eastAsia" w:ascii="仿宋" w:hAnsi="仿宋" w:eastAsia="仿宋"/>
          <w:bCs/>
          <w:color w:val="000000"/>
          <w:sz w:val="32"/>
          <w:szCs w:val="32"/>
        </w:rPr>
        <w:t>1-农业（款）</w:t>
      </w:r>
      <w:r>
        <w:rPr>
          <w:rStyle w:val="14"/>
          <w:rFonts w:ascii="仿宋" w:hAnsi="仿宋" w:eastAsia="仿宋"/>
          <w:bCs/>
          <w:color w:val="000000"/>
          <w:sz w:val="32"/>
          <w:szCs w:val="32"/>
        </w:rPr>
        <w:t>2130122</w:t>
      </w:r>
      <w:r>
        <w:rPr>
          <w:rStyle w:val="14"/>
          <w:rFonts w:hint="eastAsia" w:ascii="仿宋" w:hAnsi="仿宋" w:eastAsia="仿宋"/>
          <w:bCs/>
          <w:color w:val="000000"/>
          <w:sz w:val="32"/>
          <w:szCs w:val="32"/>
        </w:rPr>
        <w:t>-农业生产支持补贴（项）</w:t>
      </w:r>
      <w:r>
        <w:rPr>
          <w:rStyle w:val="14"/>
          <w:rFonts w:ascii="仿宋" w:hAnsi="仿宋" w:eastAsia="仿宋"/>
          <w:bCs/>
          <w:color w:val="000000"/>
          <w:sz w:val="32"/>
          <w:szCs w:val="32"/>
        </w:rPr>
        <w:t>:</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支出决算为8.6万元，完成预算100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 w:hAnsi="仿宋" w:eastAsia="仿宋"/>
          <w:b/>
          <w:color w:val="000000"/>
          <w:sz w:val="32"/>
          <w:szCs w:val="32"/>
        </w:rPr>
      </w:pPr>
      <w:r>
        <w:rPr>
          <w:rStyle w:val="14"/>
          <w:rFonts w:hint="eastAsia" w:ascii="仿宋" w:hAnsi="仿宋" w:eastAsia="仿宋"/>
          <w:bCs/>
          <w:color w:val="000000"/>
          <w:sz w:val="32"/>
          <w:szCs w:val="32"/>
        </w:rPr>
        <w:t>②</w:t>
      </w:r>
      <w:r>
        <w:rPr>
          <w:rStyle w:val="14"/>
          <w:rFonts w:ascii="仿宋" w:hAnsi="仿宋" w:eastAsia="仿宋"/>
          <w:bCs/>
          <w:color w:val="000000"/>
          <w:sz w:val="32"/>
          <w:szCs w:val="32"/>
        </w:rPr>
        <w:t>21305</w:t>
      </w:r>
      <w:r>
        <w:rPr>
          <w:rStyle w:val="14"/>
          <w:rFonts w:hint="eastAsia" w:ascii="仿宋" w:hAnsi="仿宋" w:eastAsia="仿宋"/>
          <w:bCs/>
          <w:color w:val="000000"/>
          <w:sz w:val="32"/>
          <w:szCs w:val="32"/>
        </w:rPr>
        <w:t>-扶贫（款）</w:t>
      </w:r>
      <w:r>
        <w:t xml:space="preserve"> </w:t>
      </w:r>
      <w:r>
        <w:rPr>
          <w:rStyle w:val="14"/>
          <w:rFonts w:ascii="仿宋" w:hAnsi="仿宋" w:eastAsia="仿宋"/>
          <w:bCs/>
          <w:color w:val="000000"/>
          <w:sz w:val="32"/>
          <w:szCs w:val="32"/>
        </w:rPr>
        <w:t>2130505</w:t>
      </w:r>
      <w:r>
        <w:rPr>
          <w:rStyle w:val="14"/>
          <w:rFonts w:hint="eastAsia" w:ascii="仿宋" w:hAnsi="仿宋" w:eastAsia="仿宋"/>
          <w:bCs/>
          <w:color w:val="000000"/>
          <w:sz w:val="32"/>
          <w:szCs w:val="32"/>
        </w:rPr>
        <w:t>-生产发展（项）</w:t>
      </w:r>
      <w:r>
        <w:rPr>
          <w:rStyle w:val="14"/>
          <w:rFonts w:ascii="仿宋" w:hAnsi="仿宋" w:eastAsia="仿宋"/>
          <w:bCs/>
          <w:color w:val="000000"/>
          <w:sz w:val="32"/>
          <w:szCs w:val="32"/>
        </w:rPr>
        <w:t>:</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支出决算为1620.24万元，完成预算</w:t>
      </w:r>
      <w:r>
        <w:rPr>
          <w:rStyle w:val="14"/>
          <w:rFonts w:hint="eastAsia" w:ascii="仿宋" w:hAnsi="仿宋" w:eastAsia="仿宋"/>
          <w:b w:val="0"/>
          <w:bCs/>
          <w:color w:val="000000"/>
          <w:sz w:val="32"/>
          <w:szCs w:val="32"/>
          <w:lang w:val="en-US" w:eastAsia="zh-CN"/>
        </w:rPr>
        <w:t>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Style w:val="14"/>
          <w:rFonts w:ascii="仿宋" w:hAnsi="仿宋" w:eastAsia="仿宋"/>
          <w:bCs/>
          <w:color w:val="000000"/>
          <w:sz w:val="32"/>
          <w:szCs w:val="32"/>
        </w:rPr>
      </w:pPr>
      <w:r>
        <w:rPr>
          <w:rStyle w:val="14"/>
          <w:rFonts w:ascii="仿宋" w:hAnsi="仿宋" w:eastAsia="仿宋"/>
          <w:bCs/>
          <w:color w:val="000000"/>
          <w:sz w:val="32"/>
          <w:szCs w:val="32"/>
        </w:rPr>
        <w:t>6.</w:t>
      </w:r>
      <w:r>
        <w:rPr>
          <w:rStyle w:val="14"/>
          <w:rFonts w:hint="eastAsia" w:ascii="仿宋" w:hAnsi="仿宋" w:eastAsia="仿宋"/>
          <w:bCs/>
          <w:color w:val="000000"/>
          <w:sz w:val="32"/>
          <w:szCs w:val="32"/>
        </w:rPr>
        <w:t>商业服务业等（类）</w:t>
      </w:r>
      <w:r>
        <w:rPr>
          <w:rStyle w:val="14"/>
          <w:rFonts w:ascii="仿宋" w:hAnsi="仿宋" w:eastAsia="仿宋"/>
          <w:bCs/>
          <w:color w:val="000000"/>
          <w:sz w:val="32"/>
          <w:szCs w:val="32"/>
        </w:rPr>
        <w:t>21602</w:t>
      </w:r>
      <w:r>
        <w:rPr>
          <w:rStyle w:val="14"/>
          <w:rFonts w:hint="eastAsia" w:ascii="仿宋" w:hAnsi="仿宋" w:eastAsia="仿宋"/>
          <w:bCs/>
          <w:color w:val="000000"/>
          <w:sz w:val="32"/>
          <w:szCs w:val="32"/>
        </w:rPr>
        <w:t>-商业流通事务（款）</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Style w:val="14"/>
          <w:rFonts w:ascii="仿宋" w:hAnsi="仿宋" w:eastAsia="仿宋"/>
          <w:b w:val="0"/>
          <w:bCs/>
          <w:color w:val="000000"/>
          <w:sz w:val="32"/>
          <w:szCs w:val="32"/>
        </w:rPr>
      </w:pPr>
      <w:r>
        <w:rPr>
          <w:rStyle w:val="14"/>
          <w:rFonts w:hint="eastAsia" w:ascii="仿宋" w:hAnsi="仿宋" w:eastAsia="仿宋"/>
          <w:bCs/>
          <w:color w:val="000000"/>
          <w:sz w:val="32"/>
          <w:szCs w:val="32"/>
        </w:rPr>
        <w:t>a.</w:t>
      </w:r>
      <w:r>
        <w:t xml:space="preserve"> </w:t>
      </w:r>
      <w:r>
        <w:rPr>
          <w:rStyle w:val="14"/>
          <w:rFonts w:ascii="仿宋" w:hAnsi="仿宋" w:eastAsia="仿宋"/>
          <w:bCs/>
          <w:color w:val="000000"/>
          <w:sz w:val="32"/>
          <w:szCs w:val="32"/>
        </w:rPr>
        <w:t>2160201</w:t>
      </w:r>
      <w:r>
        <w:rPr>
          <w:rStyle w:val="14"/>
          <w:rFonts w:hint="eastAsia" w:ascii="仿宋" w:hAnsi="仿宋" w:eastAsia="仿宋"/>
          <w:bCs/>
          <w:color w:val="000000"/>
          <w:sz w:val="32"/>
          <w:szCs w:val="32"/>
        </w:rPr>
        <w:t>-行政运行（项）</w:t>
      </w:r>
      <w:r>
        <w:rPr>
          <w:rStyle w:val="14"/>
          <w:rFonts w:ascii="仿宋" w:hAnsi="仿宋" w:eastAsia="仿宋"/>
          <w:bCs/>
          <w:color w:val="000000"/>
          <w:sz w:val="32"/>
          <w:szCs w:val="32"/>
        </w:rPr>
        <w:t>:</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支出决算为95.54万元，完成预算100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Style w:val="14"/>
          <w:rFonts w:hint="eastAsia" w:ascii="仿宋" w:hAnsi="仿宋" w:eastAsia="仿宋"/>
          <w:b w:val="0"/>
          <w:bCs/>
          <w:color w:val="000000"/>
          <w:sz w:val="32"/>
          <w:szCs w:val="32"/>
        </w:rPr>
      </w:pPr>
      <w:r>
        <w:rPr>
          <w:rStyle w:val="14"/>
          <w:rFonts w:hint="eastAsia" w:ascii="仿宋" w:hAnsi="仿宋" w:eastAsia="仿宋"/>
          <w:bCs/>
          <w:color w:val="000000"/>
          <w:sz w:val="32"/>
          <w:szCs w:val="32"/>
        </w:rPr>
        <w:t>b.</w:t>
      </w:r>
      <w:r>
        <w:t xml:space="preserve"> </w:t>
      </w:r>
      <w:r>
        <w:rPr>
          <w:rStyle w:val="14"/>
          <w:rFonts w:ascii="仿宋" w:hAnsi="仿宋" w:eastAsia="仿宋"/>
          <w:bCs/>
          <w:color w:val="000000"/>
          <w:sz w:val="32"/>
          <w:szCs w:val="32"/>
        </w:rPr>
        <w:t>2160299</w:t>
      </w:r>
      <w:r>
        <w:rPr>
          <w:rStyle w:val="14"/>
          <w:rFonts w:hint="eastAsia" w:ascii="仿宋" w:hAnsi="仿宋" w:eastAsia="仿宋"/>
          <w:bCs/>
          <w:color w:val="000000"/>
          <w:sz w:val="32"/>
          <w:szCs w:val="32"/>
        </w:rPr>
        <w:t>-其他商业流通事务支出（项）</w:t>
      </w:r>
      <w:r>
        <w:rPr>
          <w:rStyle w:val="14"/>
          <w:rFonts w:ascii="仿宋" w:hAnsi="仿宋" w:eastAsia="仿宋"/>
          <w:bCs/>
          <w:color w:val="000000"/>
          <w:sz w:val="32"/>
          <w:szCs w:val="32"/>
        </w:rPr>
        <w:t>:</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支出决算为558.75万元，完成预算</w:t>
      </w:r>
      <w:r>
        <w:rPr>
          <w:rStyle w:val="14"/>
          <w:rFonts w:hint="eastAsia" w:ascii="仿宋" w:hAnsi="仿宋" w:eastAsia="仿宋"/>
          <w:b w:val="0"/>
          <w:bCs/>
          <w:color w:val="000000"/>
          <w:sz w:val="32"/>
          <w:szCs w:val="32"/>
          <w:lang w:val="en-US" w:eastAsia="zh-CN"/>
        </w:rPr>
        <w:t>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olor w:val="000000"/>
          <w:sz w:val="32"/>
          <w:szCs w:val="32"/>
        </w:rPr>
      </w:pPr>
      <w:r>
        <w:rPr>
          <w:rStyle w:val="14"/>
          <w:rFonts w:hint="eastAsia" w:ascii="仿宋" w:hAnsi="仿宋" w:eastAsia="仿宋"/>
          <w:b w:val="0"/>
          <w:bCs/>
          <w:color w:val="000000"/>
          <w:sz w:val="32"/>
          <w:szCs w:val="32"/>
          <w:lang w:val="en-US" w:eastAsia="zh-CN"/>
        </w:rPr>
        <w:t>7.</w:t>
      </w:r>
      <w:r>
        <w:rPr>
          <w:rStyle w:val="14"/>
          <w:rFonts w:hint="eastAsia" w:ascii="仿宋" w:hAnsi="仿宋" w:eastAsia="仿宋"/>
          <w:bCs/>
          <w:color w:val="000000"/>
          <w:sz w:val="32"/>
          <w:szCs w:val="32"/>
        </w:rPr>
        <w:t>住房保障（类）</w:t>
      </w:r>
      <w:r>
        <w:rPr>
          <w:rStyle w:val="14"/>
          <w:rFonts w:ascii="仿宋" w:hAnsi="仿宋" w:eastAsia="仿宋"/>
          <w:bCs/>
          <w:color w:val="000000"/>
          <w:sz w:val="32"/>
          <w:szCs w:val="32"/>
        </w:rPr>
        <w:t>22102</w:t>
      </w:r>
      <w:r>
        <w:rPr>
          <w:rStyle w:val="14"/>
          <w:rFonts w:hint="eastAsia" w:ascii="仿宋" w:hAnsi="仿宋" w:eastAsia="仿宋"/>
          <w:bCs/>
          <w:color w:val="000000"/>
          <w:sz w:val="32"/>
          <w:szCs w:val="32"/>
        </w:rPr>
        <w:t>-住房改革支出（款）</w:t>
      </w:r>
      <w:r>
        <w:rPr>
          <w:rStyle w:val="14"/>
          <w:rFonts w:ascii="仿宋" w:hAnsi="仿宋" w:eastAsia="仿宋"/>
          <w:bCs/>
          <w:color w:val="000000"/>
          <w:sz w:val="32"/>
          <w:szCs w:val="32"/>
        </w:rPr>
        <w:t>2210201</w:t>
      </w:r>
      <w:r>
        <w:rPr>
          <w:rStyle w:val="14"/>
          <w:rFonts w:hint="eastAsia" w:ascii="仿宋" w:hAnsi="仿宋" w:eastAsia="仿宋"/>
          <w:bCs/>
          <w:color w:val="000000"/>
          <w:sz w:val="32"/>
          <w:szCs w:val="32"/>
        </w:rPr>
        <w:t>-住房公积金（项）</w:t>
      </w:r>
      <w:r>
        <w:rPr>
          <w:rStyle w:val="14"/>
          <w:rFonts w:ascii="仿宋" w:hAnsi="仿宋" w:eastAsia="仿宋"/>
          <w:bCs/>
          <w:color w:val="000000"/>
          <w:sz w:val="32"/>
          <w:szCs w:val="32"/>
        </w:rPr>
        <w:t>:</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支出决算为8.65万元，完成预算100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r>
        <w:rPr>
          <w:rFonts w:ascii="仿宋" w:hAnsi="仿宋" w:eastAsia="仿宋"/>
          <w:b/>
          <w:color w:val="000000"/>
          <w:sz w:val="32"/>
          <w:szCs w:val="32"/>
        </w:rPr>
        <w:t xml:space="preserve"> </w:t>
      </w:r>
    </w:p>
    <w:p>
      <w:pPr>
        <w:tabs>
          <w:tab w:val="right" w:pos="8306"/>
        </w:tabs>
        <w:spacing w:line="600" w:lineRule="exact"/>
        <w:ind w:firstLine="640"/>
        <w:outlineLvl w:val="1"/>
        <w:rPr>
          <w:rStyle w:val="25"/>
        </w:rPr>
      </w:pPr>
      <w:bookmarkStart w:id="40" w:name="_Toc15377214"/>
      <w:bookmarkStart w:id="41"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5"/>
          <w:rFonts w:hint="eastAsia" w:ascii="黑体" w:hAnsi="黑体" w:eastAsia="黑体"/>
          <w:b w:val="0"/>
        </w:rPr>
        <w:t>般公共预算财政拨款基本支出决算情况说明</w:t>
      </w:r>
      <w:bookmarkEnd w:id="40"/>
      <w:bookmarkEnd w:id="41"/>
      <w:r>
        <w:rPr>
          <w:rStyle w:val="25"/>
          <w:rFonts w:ascii="黑体" w:hAnsi="黑体" w:eastAsia="黑体"/>
          <w:b w:val="0"/>
        </w:rPr>
        <w:tab/>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9年一般公共预算财政拨款基本支出3729.49万元，其中：</w:t>
      </w:r>
    </w:p>
    <w:p>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人员经费</w:t>
      </w:r>
      <w:r>
        <w:rPr>
          <w:rFonts w:hint="eastAsia" w:ascii="仿宋" w:hAnsi="仿宋" w:eastAsia="仿宋"/>
          <w:color w:val="000000"/>
          <w:sz w:val="32"/>
          <w:szCs w:val="32"/>
          <w:lang w:val="en-US" w:eastAsia="zh-CN"/>
        </w:rPr>
        <w:t>120.07</w:t>
      </w:r>
      <w:r>
        <w:rPr>
          <w:rFonts w:hint="eastAsia" w:ascii="仿宋" w:hAnsi="仿宋" w:eastAsia="仿宋"/>
          <w:color w:val="000000"/>
          <w:sz w:val="32"/>
          <w:szCs w:val="32"/>
        </w:rPr>
        <w:t>万元，主要包括：基本工资21.84万元、津贴补贴38.14万元、奖金23.63万元、机关事业单位基本养老保险缴费10.64万元、职业年金缴费4.91万元、职工基本医疗保险费5.02万元、公务员医疗补助缴费4.55万元、其他社会保障缴费1.11万元、生活补0.2万元、医疗费1.37万元、住房公积金8.65万元。</w:t>
      </w:r>
      <w:r>
        <w:rPr>
          <w:rFonts w:ascii="仿宋" w:hAnsi="仿宋" w:eastAsia="仿宋"/>
          <w:color w:val="000000"/>
          <w:sz w:val="32"/>
          <w:szCs w:val="32"/>
        </w:rPr>
        <w:br w:type="textWrapping"/>
      </w:r>
      <w:r>
        <w:rPr>
          <w:rFonts w:hint="eastAsia" w:ascii="仿宋" w:hAnsi="仿宋" w:eastAsia="仿宋"/>
          <w:color w:val="000000"/>
          <w:sz w:val="32"/>
          <w:szCs w:val="32"/>
        </w:rPr>
        <w:t>　　日常公用经费9.25万元，主要包括：办公费1.24万元、印刷费0.75万元、</w:t>
      </w:r>
      <w:r>
        <w:rPr>
          <w:rFonts w:hint="eastAsia" w:ascii="仿宋" w:hAnsi="仿宋" w:eastAsia="仿宋"/>
          <w:color w:val="000000"/>
          <w:sz w:val="32"/>
          <w:szCs w:val="32"/>
          <w:lang w:eastAsia="zh-CN"/>
        </w:rPr>
        <w:t>水费</w:t>
      </w:r>
      <w:r>
        <w:rPr>
          <w:rFonts w:hint="eastAsia" w:ascii="仿宋" w:hAnsi="仿宋" w:eastAsia="仿宋"/>
          <w:color w:val="000000"/>
          <w:sz w:val="32"/>
          <w:szCs w:val="32"/>
          <w:lang w:val="en-US" w:eastAsia="zh-CN"/>
        </w:rPr>
        <w:t>0.07万元、电费0.4万元、</w:t>
      </w:r>
      <w:r>
        <w:rPr>
          <w:rFonts w:hint="eastAsia" w:ascii="仿宋" w:hAnsi="仿宋" w:eastAsia="仿宋"/>
          <w:color w:val="000000"/>
          <w:sz w:val="32"/>
          <w:szCs w:val="32"/>
        </w:rPr>
        <w:t>邮电费1.92万元、</w:t>
      </w:r>
      <w:r>
        <w:rPr>
          <w:rFonts w:hint="eastAsia" w:ascii="仿宋" w:hAnsi="仿宋" w:eastAsia="仿宋"/>
          <w:color w:val="000000"/>
          <w:sz w:val="32"/>
          <w:szCs w:val="32"/>
          <w:lang w:eastAsia="zh-CN"/>
        </w:rPr>
        <w:t>取暖费0.19万元、</w:t>
      </w:r>
      <w:r>
        <w:rPr>
          <w:rFonts w:hint="eastAsia" w:ascii="仿宋" w:hAnsi="仿宋" w:eastAsia="仿宋"/>
          <w:color w:val="000000"/>
          <w:sz w:val="32"/>
          <w:szCs w:val="32"/>
        </w:rPr>
        <w:t>差旅费3.51万元、租赁费</w:t>
      </w:r>
      <w:r>
        <w:rPr>
          <w:rFonts w:hint="eastAsia" w:ascii="仿宋" w:hAnsi="仿宋" w:eastAsia="仿宋"/>
          <w:color w:val="000000"/>
          <w:sz w:val="32"/>
          <w:szCs w:val="32"/>
          <w:lang w:val="en-US" w:eastAsia="zh-CN"/>
        </w:rPr>
        <w:t>0.09万元、</w:t>
      </w:r>
      <w:r>
        <w:rPr>
          <w:rFonts w:hint="eastAsia" w:ascii="仿宋" w:hAnsi="仿宋" w:eastAsia="仿宋"/>
          <w:color w:val="000000"/>
          <w:sz w:val="32"/>
          <w:szCs w:val="32"/>
        </w:rPr>
        <w:t>培训费</w:t>
      </w:r>
      <w:r>
        <w:rPr>
          <w:rFonts w:hint="eastAsia" w:ascii="仿宋" w:hAnsi="仿宋" w:eastAsia="仿宋"/>
          <w:color w:val="000000"/>
          <w:sz w:val="32"/>
          <w:szCs w:val="32"/>
          <w:lang w:val="en-US" w:eastAsia="zh-CN"/>
        </w:rPr>
        <w:t>0.11</w:t>
      </w:r>
      <w:r>
        <w:rPr>
          <w:rFonts w:hint="eastAsia" w:ascii="仿宋" w:hAnsi="仿宋" w:eastAsia="仿宋"/>
          <w:color w:val="000000"/>
          <w:sz w:val="32"/>
          <w:szCs w:val="32"/>
        </w:rPr>
        <w:t>万元、公务接待费0.1万元、公务用车运行维护费</w:t>
      </w:r>
      <w:r>
        <w:rPr>
          <w:rFonts w:hint="eastAsia" w:ascii="仿宋" w:hAnsi="仿宋" w:eastAsia="仿宋"/>
          <w:color w:val="000000"/>
          <w:sz w:val="32"/>
          <w:szCs w:val="32"/>
          <w:lang w:val="en-US" w:eastAsia="zh-CN"/>
        </w:rPr>
        <w:t>0.86</w:t>
      </w:r>
      <w:r>
        <w:rPr>
          <w:rFonts w:hint="eastAsia" w:ascii="仿宋" w:hAnsi="仿宋" w:eastAsia="仿宋"/>
          <w:color w:val="000000"/>
          <w:sz w:val="32"/>
          <w:szCs w:val="32"/>
        </w:rPr>
        <w:t>万元。</w:t>
      </w:r>
    </w:p>
    <w:p>
      <w:pPr>
        <w:spacing w:line="600" w:lineRule="exact"/>
        <w:ind w:firstLine="640"/>
        <w:outlineLvl w:val="1"/>
        <w:rPr>
          <w:rStyle w:val="25"/>
          <w:rFonts w:ascii="黑体" w:hAnsi="黑体" w:eastAsia="黑体"/>
          <w:b w:val="0"/>
        </w:rPr>
      </w:pPr>
      <w:bookmarkStart w:id="42" w:name="_Toc15396609"/>
      <w:bookmarkStart w:id="43" w:name="_Toc15377215"/>
      <w:r>
        <w:rPr>
          <w:rFonts w:hint="eastAsia" w:ascii="黑体" w:eastAsia="黑体"/>
          <w:color w:val="000000"/>
          <w:sz w:val="32"/>
          <w:szCs w:val="32"/>
        </w:rPr>
        <w:t>七、</w:t>
      </w:r>
      <w:r>
        <w:rPr>
          <w:rStyle w:val="25"/>
          <w:rFonts w:hint="eastAsia" w:ascii="黑体" w:hAnsi="黑体" w:eastAsia="黑体"/>
        </w:rPr>
        <w:t>“</w:t>
      </w:r>
      <w:r>
        <w:rPr>
          <w:rStyle w:val="25"/>
          <w:rFonts w:hint="eastAsia" w:ascii="黑体" w:hAnsi="黑体" w:eastAsia="黑体"/>
          <w:b w:val="0"/>
        </w:rPr>
        <w:t>三公”经费财政拨款支出决算情况说明</w:t>
      </w:r>
      <w:bookmarkEnd w:id="42"/>
      <w:bookmarkEnd w:id="43"/>
    </w:p>
    <w:p>
      <w:pPr>
        <w:spacing w:line="600" w:lineRule="exact"/>
        <w:ind w:firstLine="640"/>
        <w:outlineLvl w:val="2"/>
        <w:rPr>
          <w:rFonts w:ascii="仿宋" w:hAnsi="仿宋" w:eastAsia="仿宋"/>
          <w:b/>
          <w:color w:val="000000"/>
          <w:sz w:val="32"/>
          <w:szCs w:val="32"/>
        </w:rPr>
      </w:pPr>
      <w:bookmarkStart w:id="44" w:name="_Toc15377216"/>
      <w:r>
        <w:rPr>
          <w:rFonts w:hint="eastAsia" w:ascii="仿宋" w:hAnsi="仿宋" w:eastAsia="仿宋"/>
          <w:b/>
          <w:color w:val="000000"/>
          <w:sz w:val="32"/>
          <w:szCs w:val="32"/>
        </w:rPr>
        <w:t>（一）“三公”经费财政拨款支出决算总体情况说明</w:t>
      </w:r>
      <w:bookmarkEnd w:id="44"/>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9年“三公”经费财政拨款支出决算为</w:t>
      </w:r>
      <w:r>
        <w:rPr>
          <w:rFonts w:hint="eastAsia" w:ascii="仿宋" w:hAnsi="仿宋" w:eastAsia="仿宋"/>
          <w:color w:val="000000"/>
          <w:sz w:val="32"/>
          <w:szCs w:val="32"/>
          <w:lang w:val="en-US" w:eastAsia="zh-CN"/>
        </w:rPr>
        <w:t>0.96</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35.29</w:t>
      </w:r>
      <w:r>
        <w:rPr>
          <w:rFonts w:ascii="仿宋" w:hAnsi="仿宋" w:eastAsia="仿宋"/>
          <w:color w:val="000000"/>
          <w:sz w:val="32"/>
          <w:szCs w:val="32"/>
        </w:rPr>
        <w:t>%</w:t>
      </w:r>
      <w:r>
        <w:rPr>
          <w:rFonts w:hint="eastAsia" w:ascii="仿宋" w:hAnsi="仿宋" w:eastAsia="仿宋"/>
          <w:color w:val="000000"/>
          <w:sz w:val="32"/>
          <w:szCs w:val="32"/>
        </w:rPr>
        <w:t>，决算数小于预算数</w:t>
      </w:r>
      <w:r>
        <w:rPr>
          <w:rFonts w:hint="eastAsia" w:ascii="仿宋" w:hAnsi="仿宋" w:eastAsia="仿宋"/>
          <w:color w:val="000000"/>
          <w:sz w:val="32"/>
          <w:szCs w:val="32"/>
          <w:lang w:eastAsia="zh-CN"/>
        </w:rPr>
        <w:t>，</w:t>
      </w:r>
      <w:r>
        <w:rPr>
          <w:rFonts w:hint="eastAsia" w:ascii="仿宋" w:hAnsi="仿宋" w:eastAsia="仿宋"/>
          <w:color w:val="000000"/>
          <w:sz w:val="32"/>
          <w:szCs w:val="32"/>
        </w:rPr>
        <w:t>主要原因是</w:t>
      </w:r>
      <w:r>
        <w:rPr>
          <w:rFonts w:hint="eastAsia" w:ascii="仿宋" w:hAnsi="仿宋" w:eastAsia="仿宋"/>
          <w:color w:val="000000"/>
          <w:sz w:val="32"/>
          <w:szCs w:val="32"/>
          <w:lang w:eastAsia="zh-CN"/>
        </w:rPr>
        <w:t>厉行节约</w:t>
      </w:r>
      <w:r>
        <w:rPr>
          <w:rFonts w:hint="eastAsia" w:ascii="仿宋" w:hAnsi="仿宋" w:eastAsia="仿宋"/>
          <w:color w:val="000000"/>
          <w:sz w:val="32"/>
          <w:szCs w:val="32"/>
        </w:rPr>
        <w:t>。</w:t>
      </w:r>
    </w:p>
    <w:p>
      <w:pPr>
        <w:spacing w:line="600" w:lineRule="exact"/>
        <w:ind w:firstLine="640"/>
        <w:outlineLvl w:val="2"/>
        <w:rPr>
          <w:rFonts w:ascii="仿宋" w:hAnsi="仿宋" w:eastAsia="仿宋"/>
          <w:b/>
          <w:color w:val="000000"/>
          <w:sz w:val="32"/>
          <w:szCs w:val="32"/>
        </w:rPr>
      </w:pPr>
      <w:bookmarkStart w:id="45" w:name="_Toc15377217"/>
      <w:r>
        <w:rPr>
          <w:rFonts w:hint="eastAsia" w:ascii="仿宋" w:hAnsi="仿宋" w:eastAsia="仿宋"/>
          <w:b/>
          <w:color w:val="000000"/>
          <w:sz w:val="32"/>
          <w:szCs w:val="32"/>
        </w:rPr>
        <w:t>（二）“三公”经费财政拨款支出决算具体情况说明</w:t>
      </w:r>
      <w:bookmarkEnd w:id="45"/>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9年“三公”经费财政拨款支出决算中，公务用车购置及运行维护费支出决算</w:t>
      </w:r>
      <w:r>
        <w:rPr>
          <w:rFonts w:hint="eastAsia" w:ascii="仿宋" w:hAnsi="仿宋" w:eastAsia="仿宋"/>
          <w:color w:val="000000"/>
          <w:sz w:val="32"/>
          <w:szCs w:val="32"/>
          <w:lang w:val="en-US" w:eastAsia="zh-CN"/>
        </w:rPr>
        <w:t>0.86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89.58</w:t>
      </w:r>
      <w:r>
        <w:rPr>
          <w:rFonts w:ascii="仿宋" w:hAnsi="仿宋" w:eastAsia="仿宋"/>
          <w:color w:val="000000"/>
          <w:sz w:val="32"/>
          <w:szCs w:val="32"/>
        </w:rPr>
        <w:t>%</w:t>
      </w:r>
      <w:r>
        <w:rPr>
          <w:rFonts w:hint="eastAsia" w:ascii="仿宋" w:hAnsi="仿宋" w:eastAsia="仿宋"/>
          <w:color w:val="000000"/>
          <w:sz w:val="32"/>
          <w:szCs w:val="32"/>
        </w:rPr>
        <w:t>；公务接待费支出决算</w:t>
      </w:r>
      <w:r>
        <w:rPr>
          <w:rFonts w:hint="eastAsia" w:ascii="仿宋" w:hAnsi="仿宋" w:eastAsia="仿宋"/>
          <w:color w:val="000000"/>
          <w:sz w:val="32"/>
          <w:szCs w:val="32"/>
          <w:lang w:val="en-US" w:eastAsia="zh-CN"/>
        </w:rPr>
        <w:t>0.1</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10.42</w:t>
      </w:r>
      <w:r>
        <w:rPr>
          <w:rFonts w:ascii="仿宋" w:hAnsi="仿宋" w:eastAsia="仿宋"/>
          <w:color w:val="000000"/>
          <w:sz w:val="32"/>
          <w:szCs w:val="32"/>
        </w:rPr>
        <w:t>%</w:t>
      </w:r>
      <w:r>
        <w:rPr>
          <w:rFonts w:hint="eastAsia" w:ascii="仿宋" w:hAnsi="仿宋" w:eastAsia="仿宋"/>
          <w:color w:val="000000"/>
          <w:sz w:val="32"/>
          <w:szCs w:val="32"/>
        </w:rPr>
        <w:t>。具体情况如下：</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（图7：“三公”经费财政拨款支出结构）（饼状图）</w:t>
      </w:r>
    </w:p>
    <w:p>
      <w:pPr>
        <w:spacing w:line="600" w:lineRule="exact"/>
        <w:ind w:firstLine="640"/>
        <w:rPr>
          <w:rFonts w:hint="default" w:ascii="仿宋_GB2312" w:eastAsia="仿宋_GB2312"/>
          <w:b/>
          <w:color w:val="000000"/>
          <w:sz w:val="32"/>
          <w:szCs w:val="32"/>
          <w:lang w:val="en-US" w:eastAsia="zh-CN"/>
        </w:rPr>
      </w:pPr>
      <w:r>
        <w:rPr>
          <w:rFonts w:hint="eastAsia" w:ascii="仿宋_GB2312" w:eastAsia="仿宋_GB2312"/>
          <w:b/>
          <w:color w:val="000000"/>
          <w:sz w:val="32"/>
          <w:szCs w:val="32"/>
          <w:lang w:eastAsia="zh-CN"/>
        </w:rPr>
        <w:drawing>
          <wp:anchor distT="0" distB="0" distL="114300" distR="114300" simplePos="0" relativeHeight="251664384" behindDoc="0" locked="0" layoutInCell="1" allowOverlap="1">
            <wp:simplePos x="0" y="0"/>
            <wp:positionH relativeFrom="column">
              <wp:posOffset>286385</wp:posOffset>
            </wp:positionH>
            <wp:positionV relativeFrom="paragraph">
              <wp:posOffset>6985</wp:posOffset>
            </wp:positionV>
            <wp:extent cx="5080000" cy="2873375"/>
            <wp:effectExtent l="4445" t="4445" r="20955" b="17780"/>
            <wp:wrapSquare wrapText="bothSides"/>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仿宋_GB2312" w:eastAsia="仿宋_GB2312"/>
          <w:b/>
          <w:color w:val="000000"/>
          <w:sz w:val="32"/>
          <w:szCs w:val="32"/>
          <w:lang w:val="en-US" w:eastAsia="zh-CN"/>
        </w:rPr>
        <w:t>1</w:t>
      </w:r>
      <w:r>
        <w:rPr>
          <w:rFonts w:ascii="仿宋_GB2312" w:eastAsia="仿宋_GB2312"/>
          <w:b/>
          <w:color w:val="000000"/>
          <w:sz w:val="32"/>
          <w:szCs w:val="32"/>
        </w:rPr>
        <w:t>.</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lang w:val="en-US" w:eastAsia="zh-CN"/>
        </w:rPr>
        <w:t>0.86</w:t>
      </w:r>
      <w:r>
        <w:rPr>
          <w:rFonts w:hint="eastAsia" w:ascii="仿宋_GB2312" w:eastAsia="仿宋_GB2312"/>
          <w:color w:val="000000"/>
          <w:sz w:val="32"/>
          <w:szCs w:val="32"/>
        </w:rPr>
        <w:t>万元,</w:t>
      </w:r>
      <w:r>
        <w:rPr>
          <w:rStyle w:val="14"/>
          <w:rFonts w:hint="eastAsia" w:ascii="仿宋" w:hAnsi="仿宋" w:eastAsia="仿宋"/>
          <w:b w:val="0"/>
          <w:bCs/>
          <w:color w:val="000000"/>
          <w:sz w:val="32"/>
          <w:szCs w:val="32"/>
        </w:rPr>
        <w:t>完成预算</w:t>
      </w:r>
      <w:r>
        <w:rPr>
          <w:rStyle w:val="14"/>
          <w:rFonts w:hint="eastAsia" w:ascii="仿宋" w:hAnsi="仿宋" w:eastAsia="仿宋"/>
          <w:b w:val="0"/>
          <w:bCs/>
          <w:color w:val="000000"/>
          <w:sz w:val="32"/>
          <w:szCs w:val="32"/>
          <w:lang w:val="en-US" w:eastAsia="zh-CN"/>
        </w:rPr>
        <w:t>32.82</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8年增加</w:t>
      </w:r>
      <w:r>
        <w:rPr>
          <w:rFonts w:hint="eastAsia" w:ascii="仿宋_GB2312" w:eastAsia="仿宋_GB2312"/>
          <w:color w:val="000000"/>
          <w:sz w:val="32"/>
          <w:szCs w:val="32"/>
          <w:lang w:val="en-US" w:eastAsia="zh-CN"/>
        </w:rPr>
        <w:t>0.86</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100</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val="en-US" w:eastAsia="zh-CN"/>
        </w:rPr>
        <w:t>2018年单位公务用车报废，无公务用车运行维护费支出，2019年县政府分配一辆公务用车。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0.86</w:t>
      </w:r>
      <w:r>
        <w:rPr>
          <w:rFonts w:hint="eastAsia" w:ascii="仿宋_GB2312" w:eastAsia="仿宋_GB2312"/>
          <w:color w:val="000000"/>
          <w:sz w:val="32"/>
          <w:szCs w:val="32"/>
        </w:rPr>
        <w:t>万元。主要用于</w:t>
      </w:r>
      <w:r>
        <w:rPr>
          <w:rFonts w:hint="eastAsia" w:ascii="仿宋_GB2312" w:eastAsia="仿宋_GB2312"/>
          <w:color w:val="000000"/>
          <w:sz w:val="32"/>
          <w:szCs w:val="32"/>
          <w:lang w:eastAsia="zh-CN"/>
        </w:rPr>
        <w:t>下乡、出差、办事</w:t>
      </w:r>
      <w:r>
        <w:rPr>
          <w:rFonts w:hint="eastAsia" w:ascii="仿宋_GB2312" w:eastAsia="仿宋_GB2312"/>
          <w:color w:val="000000"/>
          <w:sz w:val="32"/>
          <w:szCs w:val="32"/>
        </w:rPr>
        <w:t>等所需的公务用车燃料费、维修费、过路过桥费、保险费等支出。</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万元，</w:t>
      </w:r>
      <w:r>
        <w:rPr>
          <w:rStyle w:val="14"/>
          <w:rFonts w:hint="eastAsia" w:ascii="仿宋" w:hAnsi="仿宋" w:eastAsia="仿宋"/>
          <w:b w:val="0"/>
          <w:bCs/>
          <w:color w:val="000000"/>
          <w:sz w:val="32"/>
          <w:szCs w:val="32"/>
        </w:rPr>
        <w:t>完成预算</w:t>
      </w:r>
      <w:r>
        <w:rPr>
          <w:rStyle w:val="14"/>
          <w:rFonts w:hint="eastAsia" w:ascii="仿宋" w:hAnsi="仿宋" w:eastAsia="仿宋"/>
          <w:b w:val="0"/>
          <w:bCs/>
          <w:color w:val="000000"/>
          <w:sz w:val="32"/>
          <w:szCs w:val="32"/>
          <w:lang w:val="en-US" w:eastAsia="zh-CN"/>
        </w:rPr>
        <w:t>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8年减少</w:t>
      </w:r>
      <w:r>
        <w:rPr>
          <w:rFonts w:hint="eastAsia" w:ascii="仿宋_GB2312" w:eastAsia="仿宋_GB2312"/>
          <w:color w:val="000000"/>
          <w:sz w:val="32"/>
          <w:szCs w:val="32"/>
          <w:lang w:val="en-US" w:eastAsia="zh-CN"/>
        </w:rPr>
        <w:t>0.01</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0.91</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厉行节约</w:t>
      </w:r>
      <w:r>
        <w:rPr>
          <w:rFonts w:hint="eastAsia" w:ascii="仿宋_GB2312" w:eastAsia="仿宋_GB2312"/>
          <w:color w:val="000000"/>
          <w:sz w:val="32"/>
          <w:szCs w:val="32"/>
        </w:rPr>
        <w:t>其中：</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_GB2312" w:eastAsia="仿宋_GB2312"/>
          <w:color w:val="000000"/>
          <w:sz w:val="32"/>
          <w:szCs w:val="32"/>
        </w:rPr>
      </w:pPr>
      <w:r>
        <w:rPr>
          <w:rFonts w:hint="eastAsia" w:ascii="仿宋" w:hAnsi="仿宋" w:eastAsia="仿宋"/>
          <w:b/>
          <w:color w:val="000000"/>
          <w:sz w:val="32"/>
          <w:szCs w:val="32"/>
        </w:rPr>
        <w:t>国内公务接待支出</w:t>
      </w:r>
      <w:r>
        <w:rPr>
          <w:rFonts w:hint="eastAsia" w:ascii="仿宋" w:hAnsi="仿宋" w:eastAsia="仿宋"/>
          <w:color w:val="000000"/>
          <w:sz w:val="32"/>
          <w:szCs w:val="32"/>
          <w:lang w:val="en-US" w:eastAsia="zh-CN"/>
        </w:rPr>
        <w:t>0.1</w:t>
      </w:r>
      <w:r>
        <w:rPr>
          <w:rFonts w:hint="eastAsia" w:ascii="仿宋_GB2312" w:eastAsia="仿宋_GB2312"/>
          <w:color w:val="000000"/>
          <w:sz w:val="32"/>
          <w:szCs w:val="32"/>
        </w:rPr>
        <w:t>万元，主要用于执行公务、住宿费、用餐费等。国内公务接待</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15</w:t>
      </w:r>
      <w:r>
        <w:rPr>
          <w:rFonts w:hint="eastAsia" w:ascii="仿宋_GB2312" w:eastAsia="仿宋_GB2312"/>
          <w:color w:val="000000"/>
          <w:sz w:val="32"/>
          <w:szCs w:val="32"/>
        </w:rPr>
        <w:t>人次（不包括陪同人员），共计支出</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万元，具体内容包括：</w:t>
      </w:r>
      <w:r>
        <w:rPr>
          <w:rFonts w:hint="eastAsia" w:ascii="仿宋_GB2312" w:eastAsia="仿宋_GB2312"/>
          <w:color w:val="000000"/>
          <w:sz w:val="32"/>
          <w:szCs w:val="32"/>
          <w:lang w:eastAsia="zh-CN"/>
        </w:rPr>
        <w:t>用餐费</w:t>
      </w:r>
      <w:r>
        <w:rPr>
          <w:rFonts w:hint="eastAsia" w:ascii="仿宋_GB2312" w:eastAsia="仿宋_GB2312"/>
          <w:color w:val="000000"/>
          <w:sz w:val="32"/>
          <w:szCs w:val="32"/>
          <w:lang w:val="en-US" w:eastAsia="zh-CN"/>
        </w:rPr>
        <w:t>0.1万元</w:t>
      </w:r>
      <w:r>
        <w:rPr>
          <w:rFonts w:hint="eastAsia" w:ascii="仿宋_GB2312" w:eastAsia="仿宋_GB2312"/>
          <w:color w:val="000000"/>
          <w:sz w:val="32"/>
          <w:szCs w:val="32"/>
        </w:rPr>
        <w:t>。</w:t>
      </w:r>
    </w:p>
    <w:p>
      <w:pPr>
        <w:spacing w:line="600" w:lineRule="exact"/>
        <w:ind w:firstLine="640"/>
        <w:outlineLvl w:val="1"/>
        <w:rPr>
          <w:rStyle w:val="25"/>
          <w:rFonts w:ascii="黑体" w:hAnsi="黑体" w:eastAsia="黑体"/>
        </w:rPr>
      </w:pPr>
      <w:bookmarkStart w:id="46" w:name="_Toc15396610"/>
      <w:bookmarkStart w:id="47" w:name="_Toc15377218"/>
      <w:r>
        <w:rPr>
          <w:rFonts w:hint="eastAsia" w:ascii="黑体" w:eastAsia="黑体"/>
          <w:color w:val="000000"/>
          <w:sz w:val="32"/>
          <w:szCs w:val="32"/>
        </w:rPr>
        <w:t>八、</w:t>
      </w:r>
      <w:r>
        <w:rPr>
          <w:rStyle w:val="25"/>
          <w:rFonts w:hint="eastAsia" w:ascii="黑体" w:hAnsi="黑体" w:eastAsia="黑体"/>
          <w:b w:val="0"/>
        </w:rPr>
        <w:t>政府性基金预算支出决算情况说明</w:t>
      </w:r>
      <w:bookmarkEnd w:id="46"/>
      <w:bookmarkEnd w:id="47"/>
    </w:p>
    <w:p>
      <w:pPr>
        <w:spacing w:line="600" w:lineRule="exact"/>
        <w:ind w:firstLine="640"/>
        <w:rPr>
          <w:rFonts w:hint="eastAsia"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9年政府性基金预算拨款支出373.22万元。</w:t>
      </w:r>
    </w:p>
    <w:p>
      <w:pPr>
        <w:spacing w:line="600" w:lineRule="exact"/>
        <w:ind w:firstLine="640"/>
        <w:rPr>
          <w:rFonts w:ascii="仿宋_GB2312" w:eastAsia="仿宋_GB2312"/>
          <w:color w:val="000000"/>
          <w:sz w:val="32"/>
          <w:szCs w:val="32"/>
        </w:rPr>
      </w:pPr>
      <w:r>
        <w:rPr>
          <w:rStyle w:val="14"/>
          <w:rFonts w:hint="eastAsia" w:ascii="仿宋" w:hAnsi="仿宋" w:eastAsia="仿宋"/>
          <w:bCs/>
          <w:color w:val="000000"/>
          <w:sz w:val="32"/>
          <w:szCs w:val="32"/>
        </w:rPr>
        <w:t>城乡社区支出（类）</w:t>
      </w:r>
      <w:r>
        <w:rPr>
          <w:rStyle w:val="14"/>
          <w:rFonts w:hint="eastAsia" w:ascii="仿宋" w:hAnsi="仿宋" w:eastAsia="仿宋"/>
          <w:bCs/>
          <w:color w:val="000000"/>
          <w:sz w:val="32"/>
          <w:szCs w:val="32"/>
          <w:lang w:val="en-US" w:eastAsia="zh-CN"/>
        </w:rPr>
        <w:t>21208</w:t>
      </w:r>
      <w:r>
        <w:rPr>
          <w:rStyle w:val="14"/>
          <w:rFonts w:hint="eastAsia" w:ascii="仿宋" w:hAnsi="仿宋" w:eastAsia="仿宋"/>
          <w:bCs/>
          <w:color w:val="000000"/>
          <w:sz w:val="32"/>
          <w:szCs w:val="32"/>
        </w:rPr>
        <w:t>-国有土地使用权出让收入及对应专项债务收入安排的支出（款）</w:t>
      </w:r>
      <w:r>
        <w:rPr>
          <w:rStyle w:val="14"/>
          <w:rFonts w:hint="eastAsia" w:ascii="仿宋" w:hAnsi="仿宋" w:eastAsia="仿宋"/>
          <w:bCs/>
          <w:color w:val="000000"/>
          <w:sz w:val="32"/>
          <w:szCs w:val="32"/>
          <w:lang w:val="en-US" w:eastAsia="zh-CN"/>
        </w:rPr>
        <w:t>2120899</w:t>
      </w:r>
      <w:r>
        <w:rPr>
          <w:rStyle w:val="14"/>
          <w:rFonts w:hint="eastAsia" w:ascii="仿宋" w:hAnsi="仿宋" w:eastAsia="仿宋"/>
          <w:bCs/>
          <w:color w:val="000000"/>
          <w:sz w:val="32"/>
          <w:szCs w:val="32"/>
        </w:rPr>
        <w:t>-他国有土地使用权出让收入安排的支出（项）</w:t>
      </w:r>
      <w:r>
        <w:rPr>
          <w:rStyle w:val="14"/>
          <w:rFonts w:ascii="仿宋" w:hAnsi="仿宋" w:eastAsia="仿宋"/>
          <w:bCs/>
          <w:color w:val="000000"/>
          <w:sz w:val="32"/>
          <w:szCs w:val="32"/>
        </w:rPr>
        <w:t>:</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w:t>
      </w:r>
      <w:r>
        <w:rPr>
          <w:rFonts w:hint="eastAsia" w:ascii="仿宋_GB2312" w:eastAsia="仿宋_GB2312"/>
          <w:color w:val="000000"/>
          <w:sz w:val="32"/>
          <w:szCs w:val="32"/>
        </w:rPr>
        <w:t>373.22</w:t>
      </w:r>
      <w:r>
        <w:rPr>
          <w:rStyle w:val="14"/>
          <w:rFonts w:hint="eastAsia" w:ascii="仿宋" w:hAnsi="仿宋" w:eastAsia="仿宋"/>
          <w:b w:val="0"/>
          <w:bCs/>
          <w:color w:val="000000"/>
          <w:sz w:val="32"/>
          <w:szCs w:val="32"/>
        </w:rPr>
        <w:t>万元，完成预算100</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r>
        <w:rPr>
          <w:rFonts w:ascii="仿宋" w:hAnsi="仿宋" w:eastAsia="仿宋"/>
          <w:b/>
          <w:color w:val="000000"/>
          <w:sz w:val="32"/>
          <w:szCs w:val="32"/>
        </w:rPr>
        <w:t xml:space="preserve"> </w:t>
      </w:r>
    </w:p>
    <w:p>
      <w:pPr>
        <w:numPr>
          <w:ilvl w:val="0"/>
          <w:numId w:val="2"/>
        </w:numPr>
        <w:spacing w:line="600" w:lineRule="exact"/>
        <w:ind w:firstLine="640"/>
        <w:outlineLvl w:val="1"/>
        <w:rPr>
          <w:rStyle w:val="25"/>
          <w:rFonts w:ascii="黑体" w:hAnsi="黑体" w:eastAsia="黑体"/>
          <w:b w:val="0"/>
        </w:rPr>
      </w:pPr>
      <w:bookmarkStart w:id="48" w:name="_Toc15396611"/>
      <w:bookmarkStart w:id="49" w:name="_Toc15377219"/>
      <w:r>
        <w:rPr>
          <w:rStyle w:val="25"/>
          <w:rFonts w:hint="eastAsia" w:ascii="黑体" w:hAnsi="黑体" w:eastAsia="黑体"/>
          <w:b w:val="0"/>
        </w:rPr>
        <w:t>国有资本经营预算支出决算情况说明</w:t>
      </w:r>
      <w:bookmarkEnd w:id="48"/>
      <w:bookmarkEnd w:id="49"/>
    </w:p>
    <w:p>
      <w:pPr>
        <w:spacing w:line="600" w:lineRule="exact"/>
        <w:ind w:firstLine="640"/>
        <w:rPr>
          <w:rFonts w:ascii="方正小标宋简体" w:hAnsi="方正小标宋简体" w:eastAsia="方正小标宋简体" w:cs="方正小标宋简体"/>
          <w:sz w:val="44"/>
          <w:szCs w:val="44"/>
        </w:rPr>
      </w:pPr>
      <w:r>
        <w:rPr>
          <w:rFonts w:ascii="仿宋_GB2312" w:eastAsia="仿宋_GB2312"/>
          <w:color w:val="000000"/>
          <w:sz w:val="32"/>
          <w:szCs w:val="32"/>
        </w:rPr>
        <w:t>201</w:t>
      </w:r>
      <w:r>
        <w:rPr>
          <w:rFonts w:hint="eastAsia" w:ascii="仿宋_GB2312" w:eastAsia="仿宋_GB2312"/>
          <w:color w:val="000000"/>
          <w:sz w:val="32"/>
          <w:szCs w:val="32"/>
        </w:rPr>
        <w:t>9年国有资本经营预算拨款支出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spacing w:line="600" w:lineRule="exact"/>
        <w:ind w:firstLine="800" w:firstLineChars="250"/>
        <w:outlineLvl w:val="1"/>
        <w:rPr>
          <w:rStyle w:val="25"/>
          <w:rFonts w:ascii="黑体" w:hAnsi="黑体" w:eastAsia="黑体"/>
        </w:rPr>
      </w:pPr>
      <w:bookmarkStart w:id="50" w:name="_Toc15396612"/>
      <w:bookmarkStart w:id="51" w:name="_Toc15377221"/>
      <w:r>
        <w:rPr>
          <w:rFonts w:hint="eastAsia" w:ascii="黑体" w:hAnsi="黑体" w:eastAsia="黑体"/>
          <w:color w:val="000000"/>
          <w:sz w:val="32"/>
          <w:szCs w:val="32"/>
        </w:rPr>
        <w:t>十</w:t>
      </w:r>
      <w:r>
        <w:rPr>
          <w:rStyle w:val="25"/>
          <w:rFonts w:hint="eastAsia" w:ascii="黑体" w:hAnsi="黑体" w:eastAsia="黑体"/>
        </w:rPr>
        <w:t>、</w:t>
      </w:r>
      <w:r>
        <w:rPr>
          <w:rStyle w:val="25"/>
          <w:rFonts w:hint="eastAsia" w:ascii="黑体" w:hAnsi="黑体" w:eastAsia="黑体"/>
          <w:b w:val="0"/>
        </w:rPr>
        <w:t>其他重要事项的情况说明</w:t>
      </w:r>
      <w:bookmarkEnd w:id="50"/>
      <w:bookmarkEnd w:id="51"/>
    </w:p>
    <w:p>
      <w:pPr>
        <w:spacing w:line="600" w:lineRule="exact"/>
        <w:ind w:firstLine="643" w:firstLineChars="200"/>
        <w:outlineLvl w:val="2"/>
        <w:rPr>
          <w:rFonts w:ascii="仿宋" w:hAnsi="仿宋" w:eastAsia="仿宋"/>
          <w:color w:val="000000"/>
          <w:sz w:val="32"/>
          <w:szCs w:val="32"/>
        </w:rPr>
      </w:pPr>
      <w:bookmarkStart w:id="52" w:name="_Toc15377222"/>
      <w:r>
        <w:rPr>
          <w:rFonts w:hint="eastAsia" w:ascii="仿宋" w:hAnsi="仿宋" w:eastAsia="仿宋"/>
          <w:b/>
          <w:color w:val="000000"/>
          <w:sz w:val="32"/>
          <w:szCs w:val="32"/>
        </w:rPr>
        <w:t>（一）机关运行经费支出情况</w:t>
      </w:r>
      <w:bookmarkEnd w:id="52"/>
    </w:p>
    <w:p>
      <w:pPr>
        <w:spacing w:line="600" w:lineRule="exact"/>
        <w:ind w:firstLine="640" w:firstLineChars="200"/>
        <w:rPr>
          <w:rFonts w:hint="eastAsia" w:ascii="仿宋_GB2312" w:eastAsia="仿宋_GB2312"/>
          <w:color w:val="000000" w:themeColor="text1"/>
          <w:sz w:val="32"/>
          <w:szCs w:val="32"/>
          <w:lang w:eastAsia="zh-CN"/>
        </w:rPr>
      </w:pPr>
      <w:r>
        <w:rPr>
          <w:rFonts w:ascii="仿宋_GB2312" w:eastAsia="仿宋_GB2312"/>
          <w:color w:val="000000"/>
          <w:sz w:val="32"/>
          <w:szCs w:val="32"/>
        </w:rPr>
        <w:t>201</w:t>
      </w:r>
      <w:r>
        <w:rPr>
          <w:rFonts w:hint="eastAsia" w:ascii="仿宋_GB2312" w:eastAsia="仿宋_GB2312"/>
          <w:color w:val="000000"/>
          <w:sz w:val="32"/>
          <w:szCs w:val="32"/>
        </w:rPr>
        <w:t>9年，</w:t>
      </w:r>
      <w:r>
        <w:rPr>
          <w:rFonts w:hint="eastAsia" w:ascii="仿宋_GB2312" w:eastAsia="仿宋_GB2312"/>
          <w:color w:val="000000"/>
          <w:sz w:val="32"/>
          <w:szCs w:val="32"/>
          <w:lang w:eastAsia="zh-CN"/>
        </w:rPr>
        <w:t>供销社</w:t>
      </w:r>
      <w:r>
        <w:rPr>
          <w:rFonts w:hint="eastAsia" w:ascii="仿宋_GB2312" w:eastAsia="仿宋_GB2312"/>
          <w:color w:val="000000"/>
          <w:sz w:val="32"/>
          <w:szCs w:val="32"/>
        </w:rPr>
        <w:t>机关运行经费支出95.54万元，比</w:t>
      </w:r>
      <w:r>
        <w:rPr>
          <w:rFonts w:ascii="仿宋_GB2312" w:eastAsia="仿宋_GB2312"/>
          <w:color w:val="000000"/>
          <w:sz w:val="32"/>
          <w:szCs w:val="32"/>
        </w:rPr>
        <w:t>201</w:t>
      </w:r>
      <w:r>
        <w:rPr>
          <w:rFonts w:hint="eastAsia" w:ascii="仿宋_GB2312" w:eastAsia="仿宋_GB2312"/>
          <w:color w:val="000000"/>
          <w:sz w:val="32"/>
          <w:szCs w:val="32"/>
        </w:rPr>
        <w:t>8年减少</w:t>
      </w:r>
      <w:r>
        <w:rPr>
          <w:rFonts w:hint="eastAsia" w:ascii="仿宋_GB2312" w:eastAsia="仿宋_GB2312"/>
          <w:color w:val="000000"/>
          <w:sz w:val="32"/>
          <w:szCs w:val="32"/>
          <w:lang w:val="en-US" w:eastAsia="zh-CN"/>
        </w:rPr>
        <w:t>9.21</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8.79</w:t>
      </w:r>
      <w:r>
        <w:rPr>
          <w:rFonts w:ascii="仿宋_GB2312" w:eastAsia="仿宋_GB2312"/>
          <w:color w:val="000000"/>
          <w:sz w:val="32"/>
          <w:szCs w:val="32"/>
        </w:rPr>
        <w:t>%</w:t>
      </w:r>
      <w:r>
        <w:rPr>
          <w:rFonts w:hint="eastAsia" w:ascii="仿宋_GB2312" w:eastAsia="仿宋_GB2312"/>
          <w:color w:val="000000"/>
          <w:sz w:val="32"/>
          <w:szCs w:val="32"/>
        </w:rPr>
        <w:t>。</w:t>
      </w:r>
      <w:r>
        <w:rPr>
          <w:rFonts w:hint="eastAsia" w:ascii="仿宋_GB2312" w:eastAsia="仿宋_GB2312"/>
          <w:color w:val="000000" w:themeColor="text1"/>
          <w:sz w:val="32"/>
          <w:szCs w:val="32"/>
        </w:rPr>
        <w:t>主要原因是</w:t>
      </w:r>
      <w:r>
        <w:rPr>
          <w:rFonts w:hint="eastAsia" w:ascii="仿宋_GB2312" w:eastAsia="仿宋_GB2312"/>
          <w:color w:val="000000" w:themeColor="text1"/>
          <w:sz w:val="32"/>
          <w:szCs w:val="32"/>
          <w:lang w:eastAsia="zh-CN"/>
        </w:rPr>
        <w:t>厉行节约</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r>
        <w:rPr>
          <w:rFonts w:hint="eastAsia" w:ascii="仿宋" w:hAnsi="仿宋" w:eastAsia="仿宋"/>
          <w:b/>
          <w:color w:val="000000"/>
          <w:sz w:val="32"/>
          <w:szCs w:val="32"/>
        </w:rPr>
        <w:t>（四）预算绩效管理情况。</w:t>
      </w:r>
    </w:p>
    <w:p>
      <w:pPr>
        <w:numPr>
          <w:ilvl w:val="0"/>
          <w:numId w:val="3"/>
        </w:numPr>
        <w:spacing w:line="580" w:lineRule="exact"/>
        <w:ind w:firstLine="643" w:firstLineChars="200"/>
        <w:rPr>
          <w:rFonts w:ascii="仿宋" w:hAnsi="仿宋" w:eastAsia="仿宋" w:cs="楷体_GB2312"/>
          <w:b/>
          <w:bCs/>
          <w:sz w:val="32"/>
          <w:szCs w:val="32"/>
        </w:rPr>
      </w:pPr>
      <w:bookmarkStart w:id="53" w:name="_Toc15377225"/>
      <w:bookmarkStart w:id="54" w:name="_Toc15396613"/>
      <w:r>
        <w:rPr>
          <w:rFonts w:hint="eastAsia" w:ascii="仿宋" w:hAnsi="仿宋" w:eastAsia="仿宋" w:cs="楷体_GB2312"/>
          <w:b/>
          <w:bCs/>
          <w:sz w:val="32"/>
          <w:szCs w:val="32"/>
        </w:rPr>
        <w:t>预算绩效管理工作开展情况。</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单位）在年初预算编制阶段，组织对5个项目开展了预算事前绩效评估，对5个项目编制了绩效目标，预算执行过程中，选取5个项目开展绩效监控，年终执行完毕后，对5个项目开展了绩效目标完成情况梳理填报。</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本部门按要求对2018年部门整体支出开展绩效自评，从评价情况来看完成情况较好，资金管理合规。本部门还自行组织了5个项目绩效评价，从评价情况来看项目完成情况较好，资金管理合规。</w:t>
      </w:r>
    </w:p>
    <w:p>
      <w:pPr>
        <w:numPr>
          <w:ilvl w:val="0"/>
          <w:numId w:val="3"/>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本部门在2018年度部门决算中反映“</w:t>
      </w:r>
      <w:r>
        <w:rPr>
          <w:rFonts w:hint="eastAsia" w:ascii="仿宋_GB2312" w:hAnsi="宋体" w:cs="仿宋_GB2312"/>
          <w:b/>
          <w:lang w:val="zh-CN"/>
        </w:rPr>
        <w:t>（</w:t>
      </w:r>
      <w:r>
        <w:rPr>
          <w:rFonts w:hint="eastAsia" w:ascii="仿宋_GB2312" w:hAnsi="仿宋_GB2312" w:eastAsia="仿宋_GB2312" w:cs="仿宋_GB2312"/>
          <w:sz w:val="32"/>
          <w:szCs w:val="32"/>
        </w:rPr>
        <w:t>阿州财建[2018]103号）2018年第二批新增地方政府一般债券资金(红原牦牛毛、藏绵毛技工创富增收项目)</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（阿州财建[2018]103号）更攀合作社基础设施及设备采购项目</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宋体" w:cs="仿宋_GB2312"/>
          <w:b/>
          <w:lang w:val="zh-CN"/>
        </w:rPr>
        <w:t xml:space="preserve"> </w:t>
      </w:r>
      <w:r>
        <w:rPr>
          <w:rFonts w:hint="eastAsia" w:ascii="仿宋_GB2312" w:hAnsi="仿宋_GB2312" w:eastAsia="仿宋_GB2312" w:cs="仿宋_GB2312"/>
          <w:sz w:val="32"/>
          <w:szCs w:val="32"/>
        </w:rPr>
        <w:t>（阿州财建 [2018]-46号）更攀合作社厂房标准化建设项目”等5个项目绩效目标实际完成情况。（本单位部门项目绩效目标个数在5个以上的，选取5个项目进行公开，目标个数在5个以下的，全部进行公开，公开内容包括完成情况综述和完成情况表）。</w:t>
      </w:r>
    </w:p>
    <w:p>
      <w:pPr>
        <w:numPr>
          <w:ilvl w:val="0"/>
          <w:numId w:val="4"/>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阿州财建[2018]103号）2018年第二批新增地方政府一般债券资金(红原牦牛毛、藏绵毛技工创富增收项目)绩效目标完成情况综述。项目全年预算数800万元，执行数为0万元，完成预算的0%。通过项目实施，提高老百姓经济来源收入，达到减畜不减收的目的，更好的推广减畜，为人与生态相和谐做出贡献。</w:t>
      </w:r>
    </w:p>
    <w:tbl>
      <w:tblPr>
        <w:tblStyle w:val="12"/>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CellMar>
            <w:top w:w="15" w:type="dxa"/>
            <w:left w:w="15" w:type="dxa"/>
            <w:bottom w:w="15" w:type="dxa"/>
            <w:right w:w="15" w:type="dxa"/>
          </w:tblCellMar>
        </w:tblPrEx>
        <w:trPr>
          <w:trHeight w:val="285" w:hRule="atLeast"/>
        </w:trPr>
        <w:tc>
          <w:tcPr>
            <w:tcW w:w="9522" w:type="dxa"/>
            <w:gridSpan w:val="8"/>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项目支出绩效目标完成情况表</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color w:val="000000"/>
                <w:kern w:val="0"/>
                <w:sz w:val="20"/>
              </w:rPr>
              <w:t>（阿州财建[2018]103号）2018年第二批新增地方政府一般债券资金(红原牦牛毛、藏绵毛技工创富增收项目)</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红原县供销社</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800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800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0</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实际完成目标</w:t>
            </w:r>
          </w:p>
        </w:tc>
      </w:tr>
      <w:tr>
        <w:tblPrEx>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仿宋_GB2312" w:cs="仿宋_GB2312"/>
                <w:kern w:val="0"/>
                <w:szCs w:val="32"/>
                <w:lang w:val="zh-CN"/>
              </w:rPr>
              <w:t>新建生产车间</w:t>
            </w:r>
            <w:r>
              <w:rPr>
                <w:rFonts w:ascii="仿宋_GB2312" w:cs="仿宋_GB2312"/>
                <w:kern w:val="0"/>
                <w:szCs w:val="32"/>
                <w:lang w:val="zh-CN"/>
              </w:rPr>
              <w:t>1F</w:t>
            </w:r>
            <w:r>
              <w:rPr>
                <w:rFonts w:hint="eastAsia" w:ascii="仿宋_GB2312" w:cs="仿宋_GB2312"/>
                <w:kern w:val="0"/>
                <w:szCs w:val="32"/>
                <w:lang w:val="zh-CN"/>
              </w:rPr>
              <w:t>：</w:t>
            </w:r>
            <w:r>
              <w:rPr>
                <w:rFonts w:ascii="仿宋_GB2312" w:cs="仿宋_GB2312"/>
                <w:kern w:val="0"/>
                <w:szCs w:val="32"/>
                <w:lang w:val="zh-CN"/>
              </w:rPr>
              <w:t>2590</w:t>
            </w:r>
            <w:r>
              <w:rPr>
                <w:rFonts w:hint="eastAsia" w:ascii="仿宋_GB2312" w:cs="仿宋_GB2312"/>
                <w:kern w:val="0"/>
                <w:szCs w:val="32"/>
                <w:lang w:val="zh-CN"/>
              </w:rPr>
              <w:t>平方米、新建综合楼</w:t>
            </w:r>
            <w:r>
              <w:rPr>
                <w:rFonts w:ascii="仿宋_GB2312" w:cs="仿宋_GB2312"/>
                <w:kern w:val="0"/>
                <w:szCs w:val="32"/>
                <w:lang w:val="zh-CN"/>
              </w:rPr>
              <w:t>1F</w:t>
            </w:r>
            <w:r>
              <w:rPr>
                <w:rFonts w:hint="eastAsia" w:ascii="仿宋_GB2312" w:cs="仿宋_GB2312"/>
                <w:kern w:val="0"/>
                <w:szCs w:val="32"/>
                <w:lang w:val="zh-CN"/>
              </w:rPr>
              <w:t>：</w:t>
            </w:r>
            <w:r>
              <w:rPr>
                <w:rFonts w:ascii="仿宋_GB2312" w:cs="仿宋_GB2312"/>
                <w:kern w:val="0"/>
                <w:szCs w:val="32"/>
                <w:lang w:val="zh-CN"/>
              </w:rPr>
              <w:t>750</w:t>
            </w:r>
            <w:r>
              <w:rPr>
                <w:rFonts w:hint="eastAsia" w:ascii="仿宋_GB2312" w:cs="仿宋_GB2312"/>
                <w:kern w:val="0"/>
                <w:szCs w:val="32"/>
                <w:lang w:val="zh-CN"/>
              </w:rPr>
              <w:t>平方米、公共卫生间</w:t>
            </w:r>
            <w:r>
              <w:rPr>
                <w:rFonts w:ascii="仿宋_GB2312" w:cs="仿宋_GB2312"/>
                <w:kern w:val="0"/>
                <w:szCs w:val="32"/>
                <w:lang w:val="zh-CN"/>
              </w:rPr>
              <w:t>1F</w:t>
            </w:r>
            <w:r>
              <w:rPr>
                <w:rFonts w:hint="eastAsia" w:ascii="仿宋_GB2312" w:cs="仿宋_GB2312"/>
                <w:kern w:val="0"/>
                <w:szCs w:val="32"/>
                <w:lang w:val="zh-CN"/>
              </w:rPr>
              <w:t>：</w:t>
            </w:r>
            <w:r>
              <w:rPr>
                <w:rFonts w:ascii="仿宋_GB2312" w:cs="仿宋_GB2312"/>
                <w:kern w:val="0"/>
                <w:szCs w:val="32"/>
                <w:lang w:val="zh-CN"/>
              </w:rPr>
              <w:t>126</w:t>
            </w:r>
            <w:r>
              <w:rPr>
                <w:rFonts w:hint="eastAsia" w:ascii="仿宋_GB2312" w:cs="仿宋_GB2312"/>
                <w:kern w:val="0"/>
                <w:szCs w:val="32"/>
                <w:lang w:val="zh-CN"/>
              </w:rPr>
              <w:t>平方米。采购机器设备一套。计划2019年11月完工。</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r>
              <w:rPr>
                <w:rFonts w:hint="eastAsia" w:ascii="仿宋_GB2312" w:cs="仿宋_GB2312"/>
                <w:kern w:val="0"/>
                <w:szCs w:val="32"/>
                <w:lang w:val="zh-CN"/>
              </w:rPr>
              <w:t>新建生产车间</w:t>
            </w:r>
            <w:r>
              <w:rPr>
                <w:rFonts w:ascii="仿宋_GB2312" w:cs="仿宋_GB2312"/>
                <w:kern w:val="0"/>
                <w:szCs w:val="32"/>
                <w:lang w:val="zh-CN"/>
              </w:rPr>
              <w:t>1F</w:t>
            </w:r>
            <w:r>
              <w:rPr>
                <w:rFonts w:hint="eastAsia" w:ascii="仿宋_GB2312" w:cs="仿宋_GB2312"/>
                <w:kern w:val="0"/>
                <w:szCs w:val="32"/>
                <w:lang w:val="zh-CN"/>
              </w:rPr>
              <w:t>：</w:t>
            </w:r>
            <w:r>
              <w:rPr>
                <w:rFonts w:ascii="仿宋_GB2312" w:cs="仿宋_GB2312"/>
                <w:kern w:val="0"/>
                <w:szCs w:val="32"/>
                <w:lang w:val="zh-CN"/>
              </w:rPr>
              <w:t>2590</w:t>
            </w:r>
            <w:r>
              <w:rPr>
                <w:rFonts w:hint="eastAsia" w:ascii="仿宋_GB2312" w:cs="仿宋_GB2312"/>
                <w:kern w:val="0"/>
                <w:szCs w:val="32"/>
                <w:lang w:val="zh-CN"/>
              </w:rPr>
              <w:t>平方米、新建综合楼</w:t>
            </w:r>
            <w:r>
              <w:rPr>
                <w:rFonts w:ascii="仿宋_GB2312" w:cs="仿宋_GB2312"/>
                <w:kern w:val="0"/>
                <w:szCs w:val="32"/>
                <w:lang w:val="zh-CN"/>
              </w:rPr>
              <w:t>1F</w:t>
            </w:r>
            <w:r>
              <w:rPr>
                <w:rFonts w:hint="eastAsia" w:ascii="仿宋_GB2312" w:cs="仿宋_GB2312"/>
                <w:kern w:val="0"/>
                <w:szCs w:val="32"/>
                <w:lang w:val="zh-CN"/>
              </w:rPr>
              <w:t>：</w:t>
            </w:r>
            <w:r>
              <w:rPr>
                <w:rFonts w:ascii="仿宋_GB2312" w:cs="仿宋_GB2312"/>
                <w:kern w:val="0"/>
                <w:szCs w:val="32"/>
                <w:lang w:val="zh-CN"/>
              </w:rPr>
              <w:t>750</w:t>
            </w:r>
            <w:r>
              <w:rPr>
                <w:rFonts w:hint="eastAsia" w:ascii="仿宋_GB2312" w:cs="仿宋_GB2312"/>
                <w:kern w:val="0"/>
                <w:szCs w:val="32"/>
                <w:lang w:val="zh-CN"/>
              </w:rPr>
              <w:t>平方米、公共卫生间</w:t>
            </w:r>
            <w:r>
              <w:rPr>
                <w:rFonts w:ascii="仿宋_GB2312" w:cs="仿宋_GB2312"/>
                <w:kern w:val="0"/>
                <w:szCs w:val="32"/>
                <w:lang w:val="zh-CN"/>
              </w:rPr>
              <w:t>1F</w:t>
            </w:r>
            <w:r>
              <w:rPr>
                <w:rFonts w:hint="eastAsia" w:ascii="仿宋_GB2312" w:cs="仿宋_GB2312"/>
                <w:kern w:val="0"/>
                <w:szCs w:val="32"/>
                <w:lang w:val="zh-CN"/>
              </w:rPr>
              <w:t>：</w:t>
            </w:r>
            <w:r>
              <w:rPr>
                <w:rFonts w:ascii="仿宋_GB2312" w:cs="仿宋_GB2312"/>
                <w:kern w:val="0"/>
                <w:szCs w:val="32"/>
                <w:lang w:val="zh-CN"/>
              </w:rPr>
              <w:t>126</w:t>
            </w:r>
            <w:r>
              <w:rPr>
                <w:rFonts w:hint="eastAsia" w:ascii="仿宋_GB2312" w:cs="仿宋_GB2312"/>
                <w:kern w:val="0"/>
                <w:szCs w:val="32"/>
                <w:lang w:val="zh-CN"/>
              </w:rPr>
              <w:t>平方米。采购机器设备一套。计划2019年11月完工。</w:t>
            </w:r>
          </w:p>
        </w:tc>
      </w:tr>
      <w:tr>
        <w:tblPrEx>
          <w:tblCellMar>
            <w:top w:w="15" w:type="dxa"/>
            <w:left w:w="15" w:type="dxa"/>
            <w:bottom w:w="15" w:type="dxa"/>
            <w:right w:w="15" w:type="dxa"/>
          </w:tblCellMar>
        </w:tblPrEx>
        <w:trPr>
          <w:trHeight w:val="312"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rPr>
              <w:t>实际完成指标值(包含数字及文字描述)</w:t>
            </w: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明确</w:t>
            </w:r>
          </w:p>
        </w:tc>
      </w:tr>
      <w:tr>
        <w:tblPrEx>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有中长期实施规划</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有中长期实施规划</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符合实际并根据实际调整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符合实际并根据实际调整</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有</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明确</w:t>
            </w:r>
          </w:p>
        </w:tc>
      </w:tr>
      <w:tr>
        <w:tblPrEx>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合理</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已制定</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已制定</w:t>
            </w:r>
          </w:p>
        </w:tc>
      </w:tr>
      <w:tr>
        <w:tblPrEx>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及时拨付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及时拨付</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合规</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合规</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健全、规范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健全、规范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规范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严格履行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严格履行</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严格执行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严格执行</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2019年12 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2019年12月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扩宽农牧民收入渠道，增加收入。</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扩宽农牧民收入渠道，增加收入。</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带动农牧民增收，增加贫困户、残疾人员工岗位。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带动农牧民增收，增加贫困户、残疾人员工岗位。</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cs="宋体"/>
                <w:color w:val="000000"/>
                <w:sz w:val="20"/>
                <w:szCs w:val="20"/>
              </w:rPr>
            </w:pPr>
            <w:r>
              <w:rPr>
                <w:rFonts w:hint="eastAsia" w:ascii="宋体" w:hAnsi="宋体" w:cs="宋体"/>
                <w:color w:val="000000"/>
                <w:sz w:val="20"/>
              </w:rPr>
              <w:t>减畜不减收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rPr>
              <w:t>减畜不减收</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ascii="宋体" w:hAnsi="宋体" w:cs="宋体"/>
                <w:color w:val="000000"/>
                <w:sz w:val="20"/>
                <w:szCs w:val="20"/>
              </w:rPr>
            </w:pPr>
            <w:r>
              <w:rPr>
                <w:rFonts w:hint="eastAsia" w:ascii="宋体" w:hAnsi="宋体" w:cs="宋体"/>
                <w:color w:val="000000"/>
                <w:sz w:val="20"/>
              </w:rPr>
              <w:t>带动农牧民增收，增加贫困户、残疾人员工岗位。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ascii="宋体" w:hAnsi="宋体" w:cs="宋体"/>
                <w:color w:val="000000"/>
                <w:sz w:val="20"/>
                <w:szCs w:val="20"/>
              </w:rPr>
            </w:pPr>
            <w:r>
              <w:rPr>
                <w:rFonts w:hint="eastAsia" w:ascii="宋体" w:hAnsi="宋体" w:cs="宋体"/>
                <w:color w:val="000000"/>
                <w:sz w:val="20"/>
              </w:rPr>
              <w:t>带动农牧民增收，增加贫困户、残疾人员工岗位。</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对本项目事实满意度好。无异议。</w:t>
            </w:r>
          </w:p>
        </w:tc>
      </w:tr>
    </w:tbl>
    <w:p>
      <w:pPr>
        <w:numPr>
          <w:ilvl w:val="0"/>
          <w:numId w:val="4"/>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（阿州财建 [2018]-46号）更攀合作社厂房标准化建设项目绩效目标完成情况综述。项目全年预算数353万元，执行数为3.5万元，完成预算的0.99%。通过项目实施，每年可为全县建档立卡贫困户人均增收190元。农畜产品达到县内可销售，销售价格高的目的，达到人均收入增收600元。</w:t>
      </w:r>
    </w:p>
    <w:p>
      <w:pPr>
        <w:rPr>
          <w:rFonts w:ascii="Calibri" w:hAnsi="Calibri"/>
        </w:rPr>
      </w:pPr>
    </w:p>
    <w:tbl>
      <w:tblPr>
        <w:tblStyle w:val="12"/>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CellMar>
            <w:top w:w="15" w:type="dxa"/>
            <w:left w:w="15" w:type="dxa"/>
            <w:bottom w:w="15" w:type="dxa"/>
            <w:right w:w="15" w:type="dxa"/>
          </w:tblCellMar>
        </w:tblPrEx>
        <w:trPr>
          <w:trHeight w:val="285" w:hRule="atLeast"/>
        </w:trPr>
        <w:tc>
          <w:tcPr>
            <w:tcW w:w="9522" w:type="dxa"/>
            <w:gridSpan w:val="8"/>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项目支出绩效目标完成情况表</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color w:val="000000"/>
                <w:kern w:val="0"/>
                <w:sz w:val="20"/>
              </w:rPr>
              <w:t>（阿州财建 [2018]-46号）更攀合作社厂房标准化建设项目</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红原县供销社</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353</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353</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3.5</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实际完成目标</w:t>
            </w:r>
          </w:p>
        </w:tc>
      </w:tr>
      <w:tr>
        <w:tblPrEx>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color w:val="000000"/>
                <w:kern w:val="0"/>
                <w:sz w:val="20"/>
              </w:rPr>
              <w:t>新建倒班房1层，建筑面积649.17m2；奶制品厂房简易改造1503.36m2（包括拆除清理、地面、墙面等）；肉制品厂房简易改造1756.64m2（包括拆除清理、地面、墙面和吊顶等）；新建雕塑1座；联合社场区填方300m3。</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r>
              <w:rPr>
                <w:rFonts w:hint="eastAsia" w:ascii="宋体" w:hAnsi="宋体" w:cs="宋体"/>
                <w:color w:val="000000"/>
                <w:kern w:val="0"/>
                <w:sz w:val="20"/>
              </w:rPr>
              <w:t>新建倒班房1层，建筑面积649.17m2；奶制品厂房简易改造1503.36m2（包括拆除清理、地面、墙面等）；肉制品厂房简易改造1756.64m2（包括拆除清理、地面、墙面和吊顶等）；新建雕塑1座；联合社场区填方300m3。</w:t>
            </w:r>
          </w:p>
        </w:tc>
      </w:tr>
      <w:tr>
        <w:tblPrEx>
          <w:tblCellMar>
            <w:top w:w="15" w:type="dxa"/>
            <w:left w:w="15" w:type="dxa"/>
            <w:bottom w:w="15" w:type="dxa"/>
            <w:right w:w="15" w:type="dxa"/>
          </w:tblCellMar>
        </w:tblPrEx>
        <w:trPr>
          <w:trHeight w:val="312"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实际完成指标值(包含数字及文字描述)</w:t>
            </w: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r>
      <w:tr>
        <w:tblPrEx>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有中长期实施规划</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有中长期实施规划</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符合实际并根据实际调整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符合实际并根据实际调整</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r>
      <w:tr>
        <w:tblPrEx>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合理</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已制定</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已制定</w:t>
            </w:r>
          </w:p>
        </w:tc>
      </w:tr>
      <w:tr>
        <w:tblPrEx>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及时拨付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及时拨付</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合规</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合规</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健全、规范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健全、规范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规范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严格履行</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严格执行</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2019年12 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2019年12月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扩宽农牧民收入渠道，增加收入。</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扩宽农牧民收入渠道，增加收入。</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cs="宋体"/>
                <w:color w:val="000000"/>
                <w:sz w:val="20"/>
              </w:rPr>
            </w:pPr>
            <w:r>
              <w:rPr>
                <w:rFonts w:hint="eastAsia" w:ascii="宋体" w:hAnsi="宋体" w:cs="宋体"/>
                <w:color w:val="000000"/>
                <w:sz w:val="20"/>
              </w:rPr>
              <w:t>减畜不减收，减少草原载畜量，达到生态保护的效果。</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减畜不减收，减少草原载畜量，达到生态保护的效果。</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szCs w:val="20"/>
              </w:rPr>
              <w:t>对本项目事实满意度好。无异议。</w:t>
            </w:r>
          </w:p>
        </w:tc>
      </w:tr>
      <w:tr>
        <w:tblPrEx>
          <w:tblCellMar>
            <w:top w:w="15" w:type="dxa"/>
            <w:left w:w="15" w:type="dxa"/>
            <w:bottom w:w="15" w:type="dxa"/>
            <w:right w:w="15" w:type="dxa"/>
          </w:tblCellMar>
        </w:tblPrEx>
        <w:trPr>
          <w:trHeight w:val="285" w:hRule="atLeast"/>
        </w:trPr>
        <w:tc>
          <w:tcPr>
            <w:tcW w:w="9522" w:type="dxa"/>
            <w:gridSpan w:val="8"/>
            <w:shd w:val="clear" w:color="auto" w:fill="auto"/>
            <w:vAlign w:val="center"/>
          </w:tcPr>
          <w:p>
            <w:pPr>
              <w:numPr>
                <w:ilvl w:val="0"/>
                <w:numId w:val="4"/>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阿州财建2018-46号）更攀合作社标准化建设项目绩效目标完成情况综述。项目全年预算数450万元，执行数为450万元，完成预算的100%。通过项目实施，每年可为全县建档立卡贫困户人均增收190元。农畜产品达到县内可销售，销售价格高的目的，达到人均收入增收600元。</w:t>
            </w:r>
          </w:p>
          <w:p>
            <w:pPr>
              <w:widowControl/>
              <w:jc w:val="center"/>
              <w:textAlignment w:val="center"/>
              <w:rPr>
                <w:rFonts w:ascii="宋体" w:hAnsi="宋体" w:cs="宋体"/>
                <w:b/>
                <w:color w:val="000000"/>
                <w:kern w:val="0"/>
                <w:sz w:val="24"/>
              </w:rPr>
            </w:pPr>
          </w:p>
          <w:p>
            <w:pPr>
              <w:widowControl/>
              <w:jc w:val="center"/>
              <w:textAlignment w:val="center"/>
              <w:rPr>
                <w:rFonts w:ascii="宋体" w:hAnsi="宋体" w:cs="宋体"/>
                <w:b/>
                <w:color w:val="000000"/>
                <w:sz w:val="24"/>
              </w:rPr>
            </w:pPr>
            <w:r>
              <w:rPr>
                <w:rFonts w:hint="eastAsia" w:ascii="宋体" w:hAnsi="宋体" w:cs="宋体"/>
                <w:b/>
                <w:color w:val="000000"/>
                <w:kern w:val="0"/>
                <w:sz w:val="24"/>
              </w:rPr>
              <w:t>项目支出绩效目标完成情况表</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color w:val="000000"/>
                <w:kern w:val="0"/>
                <w:sz w:val="20"/>
              </w:rPr>
              <w:t>（阿州财建2018-46号）更攀合作社标准化建设项目</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红原县供销社</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450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450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450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实际完成目标</w:t>
            </w:r>
          </w:p>
        </w:tc>
      </w:tr>
      <w:tr>
        <w:tblPrEx>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color w:val="000000"/>
                <w:sz w:val="24"/>
              </w:rPr>
              <w:t>采购更攀联合社乳制品生产线采购项目缺口资金</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r>
              <w:rPr>
                <w:rFonts w:hint="eastAsia" w:ascii="宋体" w:hAnsi="宋体" w:cs="宋体"/>
                <w:color w:val="000000"/>
                <w:sz w:val="24"/>
              </w:rPr>
              <w:t>采购更攀联合社乳制品生产线采购项目缺口资金</w:t>
            </w:r>
          </w:p>
        </w:tc>
      </w:tr>
      <w:tr>
        <w:tblPrEx>
          <w:tblCellMar>
            <w:top w:w="15" w:type="dxa"/>
            <w:left w:w="15" w:type="dxa"/>
            <w:bottom w:w="15" w:type="dxa"/>
            <w:right w:w="15" w:type="dxa"/>
          </w:tblCellMar>
        </w:tblPrEx>
        <w:trPr>
          <w:trHeight w:val="312"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实际完成指标值(包含数字及文字描述)</w:t>
            </w: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r>
      <w:tr>
        <w:tblPrEx>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有中长期实施规划</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有中长期实施规划</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符合实际并根据实际调整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符合实际并根据实际调整</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r>
      <w:tr>
        <w:tblPrEx>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合理</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已制定</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已制定</w:t>
            </w:r>
          </w:p>
        </w:tc>
      </w:tr>
      <w:tr>
        <w:tblPrEx>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及时拨付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及时拨付</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合规</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合规</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健全、规范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健全、规范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规范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严格履行</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严格执行</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2018年12 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2018年12月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扩宽农牧民收入渠道，增加收入。</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扩宽农牧民收入渠道，增加收入。</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cs="宋体"/>
                <w:color w:val="000000"/>
                <w:sz w:val="20"/>
              </w:rPr>
            </w:pPr>
            <w:r>
              <w:rPr>
                <w:rFonts w:hint="eastAsia" w:ascii="宋体" w:hAnsi="宋体" w:cs="宋体"/>
                <w:color w:val="000000"/>
                <w:sz w:val="20"/>
              </w:rPr>
              <w:t>减畜不减收，减少草原载畜量，达到生态保护的效果。</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减畜不减收，减少草原载畜量，达到生态保护的效果。</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szCs w:val="20"/>
              </w:rPr>
              <w:t>对本项目事实满意度好。无异议。</w:t>
            </w:r>
          </w:p>
        </w:tc>
      </w:tr>
      <w:tr>
        <w:tblPrEx>
          <w:tblCellMar>
            <w:top w:w="15" w:type="dxa"/>
            <w:left w:w="15" w:type="dxa"/>
            <w:bottom w:w="15" w:type="dxa"/>
            <w:right w:w="15" w:type="dxa"/>
          </w:tblCellMar>
        </w:tblPrEx>
        <w:trPr>
          <w:trHeight w:val="285" w:hRule="atLeast"/>
        </w:trPr>
        <w:tc>
          <w:tcPr>
            <w:tcW w:w="9522" w:type="dxa"/>
            <w:gridSpan w:val="8"/>
            <w:shd w:val="clear" w:color="auto" w:fill="auto"/>
            <w:vAlign w:val="center"/>
          </w:tcPr>
          <w:p>
            <w:pPr>
              <w:widowControl/>
              <w:jc w:val="center"/>
              <w:textAlignment w:val="center"/>
              <w:rPr>
                <w:rFonts w:ascii="宋体" w:hAnsi="宋体" w:cs="宋体"/>
                <w:b/>
                <w:color w:val="000000"/>
                <w:kern w:val="0"/>
                <w:sz w:val="24"/>
              </w:rPr>
            </w:pPr>
          </w:p>
          <w:p>
            <w:pPr>
              <w:numPr>
                <w:ilvl w:val="0"/>
                <w:numId w:val="4"/>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（红府办发2018-8号援建）更攀合作社产业发展项目绩效目标完成情况综述。项目全年预算数360万元，执行数为347.4万元，完成预算的96.5%。通过项目实施，通过在当地收购原材料，增加农牧民收入。</w:t>
            </w:r>
          </w:p>
          <w:p>
            <w:pPr>
              <w:widowControl/>
              <w:jc w:val="center"/>
              <w:textAlignment w:val="center"/>
              <w:rPr>
                <w:rFonts w:ascii="宋体" w:hAnsi="宋体" w:cs="宋体"/>
                <w:b/>
                <w:color w:val="000000"/>
                <w:kern w:val="0"/>
                <w:sz w:val="24"/>
              </w:rPr>
            </w:pPr>
          </w:p>
          <w:p>
            <w:pPr>
              <w:widowControl/>
              <w:jc w:val="center"/>
              <w:textAlignment w:val="center"/>
              <w:rPr>
                <w:rFonts w:ascii="宋体" w:hAnsi="宋体" w:cs="宋体"/>
                <w:b/>
                <w:color w:val="000000"/>
                <w:sz w:val="24"/>
              </w:rPr>
            </w:pPr>
            <w:r>
              <w:rPr>
                <w:rFonts w:hint="eastAsia" w:ascii="宋体" w:hAnsi="宋体" w:cs="宋体"/>
                <w:b/>
                <w:color w:val="000000"/>
                <w:kern w:val="0"/>
                <w:sz w:val="24"/>
              </w:rPr>
              <w:t>项目支出绩效目标完成情况表</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（红府办发2018-8号援建）更攀合作社产业发展项目</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红原县供销社</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360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360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347.4</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实际完成目标</w:t>
            </w:r>
          </w:p>
        </w:tc>
      </w:tr>
      <w:tr>
        <w:tblPrEx>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color w:val="000000"/>
                <w:sz w:val="24"/>
              </w:rPr>
              <w:t>用于更攀联合社下属公司，云尚日化设备采购建设</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r>
              <w:rPr>
                <w:rFonts w:hint="eastAsia" w:ascii="宋体" w:hAnsi="宋体" w:cs="宋体"/>
                <w:color w:val="000000"/>
                <w:sz w:val="24"/>
              </w:rPr>
              <w:t>用于更攀联合社下属公司，云尚日化设备采购建设</w:t>
            </w:r>
          </w:p>
        </w:tc>
      </w:tr>
      <w:tr>
        <w:tblPrEx>
          <w:tblCellMar>
            <w:top w:w="15" w:type="dxa"/>
            <w:left w:w="15" w:type="dxa"/>
            <w:bottom w:w="15" w:type="dxa"/>
            <w:right w:w="15" w:type="dxa"/>
          </w:tblCellMar>
        </w:tblPrEx>
        <w:trPr>
          <w:trHeight w:val="312"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实际完成指标值(包含数字及文字描述)</w:t>
            </w: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r>
      <w:tr>
        <w:tblPrEx>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有中长期实施规划</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有中长期实施规划</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符合实际并根据实际调整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符合实际并根据实际调整</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r>
      <w:tr>
        <w:tblPrEx>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合理</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已制定</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已制定</w:t>
            </w:r>
          </w:p>
        </w:tc>
      </w:tr>
      <w:tr>
        <w:tblPrEx>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及时拨付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及时拨付</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合规</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合规</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健全、规范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健全、规范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规范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严格履行</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严格执行</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2018年12 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2018年12月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扩宽农牧民收入渠道，增加收入。</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扩宽农牧民收入渠道，增加收入。</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cs="宋体"/>
                <w:color w:val="000000"/>
                <w:sz w:val="20"/>
              </w:rPr>
            </w:pPr>
            <w:r>
              <w:rPr>
                <w:rFonts w:hint="eastAsia" w:ascii="宋体" w:hAnsi="宋体" w:cs="宋体"/>
                <w:color w:val="000000"/>
                <w:sz w:val="20"/>
              </w:rPr>
              <w:t>减畜不减收，减少草原载畜量，达到生态保护的效果。</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减畜不减收，减少草原载畜量，达到生态保护的效果。</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szCs w:val="20"/>
              </w:rPr>
              <w:t>对本项目事实满意度好。无异议。</w:t>
            </w:r>
          </w:p>
        </w:tc>
      </w:tr>
      <w:tr>
        <w:tblPrEx>
          <w:tblCellMar>
            <w:top w:w="15" w:type="dxa"/>
            <w:left w:w="15" w:type="dxa"/>
            <w:bottom w:w="15" w:type="dxa"/>
            <w:right w:w="15" w:type="dxa"/>
          </w:tblCellMar>
        </w:tblPrEx>
        <w:trPr>
          <w:trHeight w:val="285" w:hRule="atLeast"/>
        </w:trPr>
        <w:tc>
          <w:tcPr>
            <w:tcW w:w="9522" w:type="dxa"/>
            <w:gridSpan w:val="8"/>
            <w:shd w:val="clear" w:color="auto" w:fill="auto"/>
            <w:vAlign w:val="center"/>
          </w:tcPr>
          <w:p>
            <w:pPr>
              <w:widowControl/>
              <w:jc w:val="center"/>
              <w:textAlignment w:val="center"/>
              <w:rPr>
                <w:rFonts w:ascii="宋体" w:hAnsi="宋体" w:cs="宋体"/>
                <w:b/>
                <w:color w:val="000000"/>
                <w:kern w:val="0"/>
                <w:sz w:val="24"/>
              </w:rPr>
            </w:pPr>
          </w:p>
          <w:p>
            <w:pPr>
              <w:widowControl/>
              <w:jc w:val="left"/>
              <w:textAlignment w:val="center"/>
              <w:rPr>
                <w:rFonts w:ascii="宋体" w:hAnsi="宋体" w:cs="宋体"/>
                <w:b/>
                <w:color w:val="000000"/>
                <w:kern w:val="0"/>
                <w:sz w:val="24"/>
              </w:rPr>
            </w:pPr>
            <w:r>
              <w:rPr>
                <w:rFonts w:hint="eastAsia" w:ascii="仿宋_GB2312" w:hAnsi="仿宋_GB2312" w:eastAsia="仿宋_GB2312" w:cs="仿宋_GB2312"/>
                <w:sz w:val="32"/>
                <w:szCs w:val="32"/>
              </w:rPr>
              <w:t>5.（阿州财建[2018]103号）更攀合作社基础设施及设备采购项目绩效目标完成情况综述。项目全年预算数653万元，执行数为163.88万元，完成预算的25.1%。通过项目实施，为老百姓增加经济来源收入，达到减畜不减收的目的，更好的推广减畜。</w:t>
            </w:r>
          </w:p>
          <w:p>
            <w:pPr>
              <w:widowControl/>
              <w:jc w:val="center"/>
              <w:textAlignment w:val="center"/>
              <w:rPr>
                <w:rFonts w:ascii="宋体" w:hAnsi="宋体" w:cs="宋体"/>
                <w:b/>
                <w:color w:val="000000"/>
                <w:sz w:val="24"/>
              </w:rPr>
            </w:pPr>
            <w:r>
              <w:rPr>
                <w:rFonts w:hint="eastAsia" w:ascii="宋体" w:hAnsi="宋体" w:cs="宋体"/>
                <w:b/>
                <w:color w:val="000000"/>
                <w:kern w:val="0"/>
                <w:sz w:val="24"/>
              </w:rPr>
              <w:t>项目支出绩效目标完成情况表</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（阿州财建[2018]103号）更攀合作社基础设施及设备采购项目</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红原县供销社</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653</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653</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163.88</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rPr>
              <w:t>实际完成目标</w:t>
            </w:r>
          </w:p>
        </w:tc>
      </w:tr>
      <w:tr>
        <w:tblPrEx>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Cs/>
                <w:color w:val="000000"/>
                <w:sz w:val="24"/>
              </w:rPr>
              <w:t>更攀联合社厂房改造、蒸汽管道、天然气管道、展示展销中心装修、为农服务中心装饰装修、特色农产品销售心中装饰装修等建设</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Cs/>
                <w:color w:val="000000"/>
                <w:sz w:val="24"/>
              </w:rPr>
              <w:t>更攀联合社厂房改造、蒸汽管道、天然气管道、展示展销中心装修、为农服务中心装饰装修、特色农产品销售心中装饰装修等建设</w:t>
            </w:r>
          </w:p>
        </w:tc>
      </w:tr>
      <w:tr>
        <w:tblPrEx>
          <w:tblCellMar>
            <w:top w:w="15" w:type="dxa"/>
            <w:left w:w="15" w:type="dxa"/>
            <w:bottom w:w="15" w:type="dxa"/>
            <w:right w:w="15" w:type="dxa"/>
          </w:tblCellMar>
        </w:tblPrEx>
        <w:trPr>
          <w:trHeight w:val="312"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rPr>
            </w:pPr>
            <w:r>
              <w:rPr>
                <w:rFonts w:hint="eastAsia" w:ascii="宋体" w:hAnsi="宋体" w:cs="宋体"/>
                <w:b/>
                <w:color w:val="000000"/>
                <w:kern w:val="0"/>
                <w:sz w:val="20"/>
              </w:rPr>
              <w:t>实际完成指标值(包含数字及文字描述)</w:t>
            </w: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rPr>
            </w:pP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r>
      <w:tr>
        <w:tblPrEx>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有中长期实施规划</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有中长期实施规划</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符合实际并根据实际调整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符合实际并根据实际调整</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有</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明确</w:t>
            </w:r>
          </w:p>
        </w:tc>
      </w:tr>
      <w:tr>
        <w:tblPrEx>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合理</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已制定</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已制定</w:t>
            </w:r>
          </w:p>
        </w:tc>
      </w:tr>
      <w:tr>
        <w:tblPrEx>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及时拨付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及时拨付</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合规</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合规</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健全、规范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健全、规范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规范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严格履行</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严格执行</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符合</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2018年12 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2018年12月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100%</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扩宽农牧民收入渠道，增加收入。</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扩宽农牧民收入渠道，增加收入。</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rPr>
            </w:pPr>
            <w:r>
              <w:rPr>
                <w:rFonts w:hint="eastAsia" w:ascii="宋体" w:hAnsi="宋体" w:cs="宋体"/>
                <w:color w:val="000000"/>
                <w:kern w:val="0"/>
                <w:sz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cs="宋体"/>
                <w:color w:val="000000"/>
                <w:sz w:val="20"/>
              </w:rPr>
            </w:pPr>
            <w:r>
              <w:rPr>
                <w:rFonts w:hint="eastAsia" w:ascii="宋体" w:hAnsi="宋体" w:cs="宋体"/>
                <w:color w:val="000000"/>
                <w:sz w:val="20"/>
              </w:rPr>
              <w:t>减畜不减收，减少草原载畜量，达到生态保护的效果。</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rPr>
              <w:t>减畜不减收，减少草原载畜量，达到生态保护的效果。</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rPr>
            </w:pPr>
            <w:r>
              <w:rPr>
                <w:rFonts w:hint="eastAsia" w:ascii="宋体" w:hAnsi="宋体" w:cs="宋体"/>
                <w:color w:val="000000"/>
                <w:kern w:val="0"/>
                <w:sz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ascii="宋体" w:hAnsi="宋体" w:cs="宋体"/>
                <w:color w:val="000000"/>
                <w:sz w:val="20"/>
              </w:rPr>
            </w:pPr>
            <w:r>
              <w:rPr>
                <w:rFonts w:hint="eastAsia" w:ascii="宋体" w:hAnsi="宋体" w:cs="宋体"/>
                <w:color w:val="000000"/>
                <w:sz w:val="20"/>
              </w:rPr>
              <w:t>带动农牧民增收，增加贫困户员工岗位，生产红原县特色乳制品，打造品牌。</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rPr>
            </w:pPr>
            <w:r>
              <w:rPr>
                <w:rFonts w:hint="eastAsia" w:ascii="宋体" w:hAnsi="宋体" w:cs="宋体"/>
                <w:color w:val="000000"/>
                <w:kern w:val="0"/>
                <w:sz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rPr>
            </w:pPr>
            <w:r>
              <w:rPr>
                <w:rFonts w:hint="eastAsia" w:ascii="宋体" w:hAnsi="宋体" w:cs="宋体"/>
                <w:color w:val="000000"/>
                <w:kern w:val="0"/>
                <w:sz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rPr>
            </w:pPr>
            <w:r>
              <w:rPr>
                <w:rFonts w:hint="eastAsia" w:ascii="宋体" w:hAnsi="宋体" w:cs="宋体"/>
                <w:color w:val="000000"/>
                <w:sz w:val="20"/>
                <w:szCs w:val="20"/>
              </w:rPr>
              <w:t>对本项目事实满意度好。无异议。</w:t>
            </w:r>
          </w:p>
        </w:tc>
      </w:tr>
    </w:tbl>
    <w:p>
      <w:pPr>
        <w:rPr>
          <w:rFonts w:ascii="Calibri" w:hAnsi="Calibri"/>
        </w:rPr>
      </w:pPr>
    </w:p>
    <w:p>
      <w:pPr>
        <w:rPr>
          <w:rFonts w:ascii="Calibri" w:hAnsi="Calibri"/>
        </w:rPr>
      </w:pPr>
    </w:p>
    <w:p>
      <w:pPr>
        <w:rPr>
          <w:rFonts w:ascii="Calibri" w:hAnsi="Calibri"/>
        </w:rPr>
      </w:pPr>
    </w:p>
    <w:p>
      <w:pPr>
        <w:rPr>
          <w:rFonts w:ascii="Calibri" w:hAnsi="Calibri"/>
        </w:rPr>
      </w:pPr>
    </w:p>
    <w:p>
      <w:pPr>
        <w:rPr>
          <w:rFonts w:ascii="Calibri" w:hAnsi="Calibri"/>
        </w:rPr>
      </w:pPr>
    </w:p>
    <w:p>
      <w:pPr>
        <w:numPr>
          <w:ilvl w:val="0"/>
          <w:numId w:val="3"/>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本部门按要求对2018年部门整体支出绩效评价情况开展自评，《红原县供销合作社联合社2018年部门整体支出绩效评价报告》见附件。</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本部门自行组织对“</w:t>
      </w:r>
      <w:r>
        <w:rPr>
          <w:rFonts w:hint="eastAsia" w:ascii="仿宋_GB2312" w:hAnsi="宋体" w:cs="仿宋_GB2312"/>
          <w:b/>
          <w:lang w:val="zh-CN"/>
        </w:rPr>
        <w:t>（</w:t>
      </w:r>
      <w:r>
        <w:rPr>
          <w:rFonts w:hint="eastAsia" w:ascii="仿宋_GB2312" w:hAnsi="仿宋_GB2312" w:eastAsia="仿宋_GB2312" w:cs="仿宋_GB2312"/>
          <w:sz w:val="32"/>
          <w:szCs w:val="32"/>
        </w:rPr>
        <w:t>阿州财建[2018]103号）2018年第二批新增地方政府一般债券资金(红原牦牛毛、藏绵毛技工创富增收项目)</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（阿州财建[2018]103号）更攀合作社基础设施及设备采购项目</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宋体" w:cs="仿宋_GB2312"/>
          <w:b/>
          <w:lang w:val="zh-CN"/>
        </w:rPr>
        <w:t xml:space="preserve"> </w:t>
      </w:r>
      <w:r>
        <w:rPr>
          <w:rFonts w:hint="eastAsia" w:ascii="仿宋_GB2312" w:hAnsi="仿宋_GB2312" w:eastAsia="仿宋_GB2312" w:cs="仿宋_GB2312"/>
          <w:sz w:val="32"/>
          <w:szCs w:val="32"/>
        </w:rPr>
        <w:t>（阿州财建 [2018]-46号）更攀合作社厂房标准化建设项目”等开展了绩效评价，《红原县供销合作社联合社项目2018年绩效评价报告》见附件。</w:t>
      </w:r>
    </w:p>
    <w:p>
      <w:pPr>
        <w:spacing w:line="580" w:lineRule="exact"/>
        <w:jc w:val="center"/>
        <w:rPr>
          <w:rFonts w:ascii="方正小标宋简体" w:hAnsi="方正小标宋简体" w:eastAsia="方正小标宋简体" w:cs="方正小标宋简体"/>
          <w:sz w:val="44"/>
          <w:szCs w:val="44"/>
        </w:rPr>
      </w:pPr>
    </w:p>
    <w:p>
      <w:pPr>
        <w:spacing w:line="600" w:lineRule="exact"/>
        <w:ind w:firstLine="800" w:firstLineChars="250"/>
        <w:outlineLvl w:val="1"/>
        <w:rPr>
          <w:rStyle w:val="31"/>
          <w:rFonts w:ascii="黑体" w:hAnsi="黑体" w:eastAsia="黑体"/>
        </w:rPr>
      </w:pPr>
      <w:r>
        <w:rPr>
          <w:rFonts w:hint="eastAsia" w:ascii="黑体" w:hAnsi="黑体" w:eastAsia="黑体"/>
          <w:color w:val="000000"/>
          <w:sz w:val="32"/>
          <w:szCs w:val="32"/>
        </w:rPr>
        <w:t>十</w:t>
      </w:r>
      <w:r>
        <w:rPr>
          <w:rStyle w:val="31"/>
          <w:rFonts w:hint="eastAsia" w:ascii="黑体" w:hAnsi="黑体" w:eastAsia="黑体"/>
        </w:rPr>
        <w:t>一、</w:t>
      </w:r>
      <w:r>
        <w:rPr>
          <w:rStyle w:val="31"/>
          <w:rFonts w:hint="eastAsia" w:ascii="黑体" w:hAnsi="黑体" w:eastAsia="黑体"/>
          <w:b w:val="0"/>
        </w:rPr>
        <w:t>其他重要事项的情况说明</w:t>
      </w:r>
    </w:p>
    <w:p>
      <w:pPr>
        <w:spacing w:line="600" w:lineRule="exact"/>
        <w:ind w:firstLine="643" w:firstLineChars="200"/>
        <w:outlineLvl w:val="2"/>
        <w:rPr>
          <w:rFonts w:ascii="仿宋" w:hAnsi="仿宋" w:eastAsia="仿宋"/>
          <w:color w:val="000000"/>
          <w:sz w:val="32"/>
          <w:szCs w:val="32"/>
        </w:rPr>
      </w:pPr>
      <w:r>
        <w:rPr>
          <w:rFonts w:hint="eastAsia" w:ascii="仿宋" w:hAnsi="仿宋" w:eastAsia="仿宋"/>
          <w:b/>
          <w:color w:val="000000"/>
          <w:sz w:val="32"/>
          <w:szCs w:val="32"/>
        </w:rPr>
        <w:t>（一）机关运行经费支出情况</w:t>
      </w:r>
    </w:p>
    <w:p>
      <w:pPr>
        <w:spacing w:line="600" w:lineRule="exact"/>
        <w:ind w:firstLine="640" w:firstLineChars="200"/>
        <w:rPr>
          <w:rFonts w:ascii="仿宋_GB2312" w:eastAsia="仿宋_GB2312"/>
          <w:color w:val="000000" w:themeColor="text1"/>
          <w:sz w:val="32"/>
          <w:szCs w:val="32"/>
        </w:rPr>
      </w:pPr>
      <w:r>
        <w:rPr>
          <w:rFonts w:ascii="仿宋_GB2312" w:eastAsia="仿宋_GB2312"/>
          <w:color w:val="000000"/>
          <w:sz w:val="32"/>
          <w:szCs w:val="32"/>
        </w:rPr>
        <w:t>201</w:t>
      </w:r>
      <w:r>
        <w:rPr>
          <w:rFonts w:hint="eastAsia" w:ascii="仿宋_GB2312" w:eastAsia="仿宋_GB2312"/>
          <w:color w:val="000000"/>
          <w:sz w:val="32"/>
          <w:szCs w:val="32"/>
        </w:rPr>
        <w:t>8年，行政机关运行经费支出12.75万元，比</w:t>
      </w:r>
      <w:r>
        <w:rPr>
          <w:rFonts w:ascii="仿宋_GB2312" w:eastAsia="仿宋_GB2312"/>
          <w:color w:val="000000"/>
          <w:sz w:val="32"/>
          <w:szCs w:val="32"/>
        </w:rPr>
        <w:t>201</w:t>
      </w:r>
      <w:r>
        <w:rPr>
          <w:rFonts w:hint="eastAsia" w:ascii="仿宋_GB2312" w:eastAsia="仿宋_GB2312"/>
          <w:color w:val="000000"/>
          <w:sz w:val="32"/>
          <w:szCs w:val="32"/>
        </w:rPr>
        <w:t>7年增加0.94万元，增长7.93</w:t>
      </w:r>
      <w:r>
        <w:rPr>
          <w:rFonts w:ascii="仿宋_GB2312" w:eastAsia="仿宋_GB2312"/>
          <w:color w:val="000000"/>
          <w:sz w:val="32"/>
          <w:szCs w:val="32"/>
        </w:rPr>
        <w:t>%</w:t>
      </w:r>
      <w:r>
        <w:rPr>
          <w:rFonts w:hint="eastAsia" w:ascii="仿宋_GB2312" w:eastAsia="仿宋_GB2312"/>
          <w:color w:val="000000"/>
          <w:sz w:val="32"/>
          <w:szCs w:val="32"/>
        </w:rPr>
        <w:t>。</w:t>
      </w:r>
      <w:r>
        <w:rPr>
          <w:rFonts w:hint="eastAsia" w:ascii="仿宋_GB2312" w:eastAsia="仿宋_GB2312"/>
          <w:color w:val="000000" w:themeColor="text1"/>
          <w:sz w:val="32"/>
          <w:szCs w:val="32"/>
        </w:rPr>
        <w:t>主要原因是调资。</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5" w:name="_Toc15377223"/>
      <w:r>
        <w:rPr>
          <w:rFonts w:hint="eastAsia" w:ascii="仿宋" w:hAnsi="仿宋" w:eastAsia="仿宋"/>
          <w:b/>
          <w:color w:val="000000"/>
          <w:sz w:val="32"/>
          <w:szCs w:val="32"/>
        </w:rPr>
        <w:t>（二）政府采购支出情况</w:t>
      </w:r>
      <w:bookmarkEnd w:id="55"/>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8年，供销社政府采购支出总额1479.03万元，其中：政府采购货物支出565.68万元。主要用于采购牦牛毛、藏绵羊毛生产加工设备。授予中小企业合同金额942万元，占政府采购支出总额的38.25</w:t>
      </w:r>
      <w:r>
        <w:rPr>
          <w:rFonts w:ascii="仿宋_GB2312" w:eastAsia="仿宋_GB2312"/>
          <w:color w:val="000000"/>
          <w:sz w:val="32"/>
          <w:szCs w:val="32"/>
        </w:rPr>
        <w:t>%</w:t>
      </w:r>
      <w:r>
        <w:rPr>
          <w:rFonts w:hint="eastAsia" w:ascii="仿宋_GB2312" w:eastAsia="仿宋_GB2312"/>
          <w:color w:val="000000"/>
          <w:sz w:val="32"/>
          <w:szCs w:val="32"/>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6" w:name="_Toc15377224"/>
      <w:r>
        <w:rPr>
          <w:rFonts w:hint="eastAsia" w:ascii="仿宋" w:hAnsi="仿宋" w:eastAsia="仿宋"/>
          <w:b/>
          <w:color w:val="000000"/>
          <w:sz w:val="32"/>
          <w:szCs w:val="32"/>
        </w:rPr>
        <w:t>（三）国有资产占有使用情况</w:t>
      </w:r>
      <w:bookmarkEnd w:id="56"/>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日，其他固定资产3.4307万元，红原县供销社共有车辆0辆。</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numPr>
          <w:ilvl w:val="0"/>
          <w:numId w:val="5"/>
        </w:numPr>
        <w:spacing w:line="600" w:lineRule="exact"/>
        <w:ind w:firstLine="660" w:firstLineChars="150"/>
        <w:jc w:val="center"/>
        <w:outlineLvl w:val="0"/>
        <w:rPr>
          <w:rStyle w:val="24"/>
          <w:rFonts w:ascii="黑体" w:hAnsi="黑体" w:eastAsia="黑体"/>
          <w:b w:val="0"/>
        </w:rPr>
      </w:pPr>
      <w:r>
        <w:rPr>
          <w:rFonts w:hint="eastAsia" w:ascii="黑体" w:hAnsi="黑体" w:eastAsia="黑体"/>
          <w:color w:val="000000"/>
          <w:sz w:val="44"/>
          <w:szCs w:val="44"/>
        </w:rPr>
        <w:t>名</w:t>
      </w:r>
      <w:r>
        <w:rPr>
          <w:rStyle w:val="24"/>
          <w:rFonts w:hint="eastAsia" w:ascii="黑体" w:hAnsi="黑体" w:eastAsia="黑体"/>
          <w:b w:val="0"/>
        </w:rPr>
        <w:t>词解释</w:t>
      </w:r>
      <w:bookmarkEnd w:id="53"/>
      <w:bookmarkEnd w:id="54"/>
    </w:p>
    <w:p>
      <w:pPr>
        <w:spacing w:line="600" w:lineRule="exact"/>
        <w:jc w:val="left"/>
        <w:rPr>
          <w:rFonts w:ascii="宋体"/>
          <w:b/>
          <w:color w:val="000000"/>
          <w:sz w:val="44"/>
          <w:szCs w:val="44"/>
        </w:rPr>
      </w:pPr>
    </w:p>
    <w:p>
      <w:pPr>
        <w:pStyle w:val="22"/>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2"/>
        <w:spacing w:line="560" w:lineRule="exact"/>
        <w:ind w:firstLine="640" w:firstLineChars="200"/>
        <w:rPr>
          <w:rFonts w:ascii="仿宋_GB2312" w:eastAsia="仿宋_GB2312"/>
          <w:sz w:val="32"/>
          <w:szCs w:val="32"/>
        </w:rPr>
      </w:pPr>
      <w:r>
        <w:rPr>
          <w:rFonts w:hint="eastAsia" w:ascii="仿宋_GB2312" w:eastAsia="仿宋_GB2312"/>
          <w:sz w:val="32"/>
          <w:szCs w:val="32"/>
        </w:rPr>
        <w:t>2</w:t>
      </w:r>
      <w:r>
        <w:rPr>
          <w:rFonts w:ascii="仿宋_GB2312" w:eastAsia="仿宋_GB2312"/>
          <w:sz w:val="32"/>
          <w:szCs w:val="32"/>
        </w:rPr>
        <w:t>.</w:t>
      </w:r>
      <w:r>
        <w:rPr>
          <w:rFonts w:hint="eastAsia" w:ascii="仿宋_GB2312" w:eastAsia="仿宋_GB2312"/>
          <w:sz w:val="32"/>
          <w:szCs w:val="32"/>
        </w:rPr>
        <w:t>其他收入：指单位取得的除上述收入以外的各项收入。主要是利息收入等。</w:t>
      </w:r>
      <w:r>
        <w:rPr>
          <w:rFonts w:ascii="仿宋_GB2312" w:eastAsia="仿宋_GB2312"/>
          <w:sz w:val="32"/>
          <w:szCs w:val="32"/>
        </w:rPr>
        <w:t xml:space="preserve"> </w:t>
      </w:r>
    </w:p>
    <w:p>
      <w:pPr>
        <w:pStyle w:val="22"/>
        <w:spacing w:line="560" w:lineRule="exact"/>
        <w:ind w:firstLine="640" w:firstLineChars="200"/>
        <w:rPr>
          <w:rFonts w:ascii="仿宋_GB2312" w:eastAsia="仿宋_GB2312"/>
          <w:sz w:val="32"/>
          <w:szCs w:val="32"/>
        </w:rPr>
      </w:pPr>
      <w:r>
        <w:rPr>
          <w:rFonts w:hint="eastAsia" w:ascii="仿宋_GB2312" w:eastAsia="仿宋_GB2312"/>
          <w:sz w:val="32"/>
          <w:szCs w:val="32"/>
        </w:rPr>
        <w:t>3</w:t>
      </w:r>
      <w:r>
        <w:rPr>
          <w:rFonts w:ascii="仿宋_GB2312" w:eastAsia="仿宋_GB2312"/>
          <w:sz w:val="32"/>
          <w:szCs w:val="32"/>
        </w:rPr>
        <w:t>.</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2"/>
        <w:spacing w:line="560" w:lineRule="exact"/>
        <w:ind w:firstLine="640" w:firstLineChars="200"/>
        <w:rPr>
          <w:rFonts w:ascii="仿宋_GB2312" w:eastAsia="仿宋_GB2312"/>
          <w:color w:val="000000" w:themeColor="text1"/>
          <w:sz w:val="32"/>
          <w:szCs w:val="32"/>
        </w:rPr>
      </w:pPr>
      <w:r>
        <w:rPr>
          <w:rFonts w:hint="eastAsia" w:ascii="仿宋_GB2312" w:eastAsia="仿宋_GB2312"/>
          <w:sz w:val="32"/>
          <w:szCs w:val="32"/>
        </w:rPr>
        <w:t>4、年末结转和结余：指单位按有关规定结转到下年或以后</w:t>
      </w:r>
      <w:r>
        <w:rPr>
          <w:rFonts w:hint="eastAsia" w:ascii="仿宋_GB2312" w:eastAsia="仿宋_GB2312"/>
          <w:color w:val="000000" w:themeColor="text1"/>
          <w:sz w:val="32"/>
          <w:szCs w:val="32"/>
        </w:rPr>
        <w:t>年度继续使用的资金。</w:t>
      </w:r>
    </w:p>
    <w:p>
      <w:pPr>
        <w:ind w:firstLine="640" w:firstLineChars="200"/>
        <w:rPr>
          <w:rFonts w:ascii="仿宋_GB2312" w:eastAsia="仿宋_GB2312"/>
          <w:color w:val="000000" w:themeColor="text1"/>
          <w:sz w:val="32"/>
          <w:szCs w:val="32"/>
        </w:rPr>
      </w:pPr>
      <w:r>
        <w:rPr>
          <w:rFonts w:hint="eastAsia" w:ascii="仿宋_GB2312" w:eastAsia="仿宋_GB2312"/>
          <w:color w:val="000000" w:themeColor="text1"/>
          <w:sz w:val="32"/>
          <w:szCs w:val="32"/>
        </w:rPr>
        <w:t>5</w:t>
      </w:r>
      <w:r>
        <w:rPr>
          <w:rFonts w:ascii="仿宋_GB2312" w:eastAsia="仿宋_GB2312"/>
          <w:color w:val="000000" w:themeColor="text1"/>
          <w:sz w:val="32"/>
          <w:szCs w:val="32"/>
        </w:rPr>
        <w:t>.</w:t>
      </w:r>
      <w:r>
        <w:rPr>
          <w:rFonts w:hint="eastAsia" w:ascii="仿宋_GB2312" w:eastAsia="仿宋_GB2312"/>
          <w:color w:val="000000" w:themeColor="text1"/>
          <w:sz w:val="32"/>
          <w:szCs w:val="32"/>
        </w:rPr>
        <w:t>文化体育与传媒（类）文化（款）其他文化支出（项）：指制作雅克音乐季纪念品。</w:t>
      </w:r>
    </w:p>
    <w:p>
      <w:pPr>
        <w:ind w:firstLine="640" w:firstLineChars="200"/>
        <w:rPr>
          <w:rFonts w:ascii="仿宋_GB2312" w:eastAsia="仿宋_GB2312"/>
          <w:color w:val="000000" w:themeColor="text1"/>
          <w:sz w:val="32"/>
          <w:szCs w:val="32"/>
        </w:rPr>
      </w:pPr>
      <w:r>
        <w:rPr>
          <w:rFonts w:hint="eastAsia" w:ascii="仿宋_GB2312" w:eastAsia="仿宋_GB2312"/>
          <w:color w:val="000000" w:themeColor="text1"/>
          <w:sz w:val="32"/>
          <w:szCs w:val="32"/>
        </w:rPr>
        <w:t>6</w:t>
      </w:r>
      <w:r>
        <w:rPr>
          <w:rFonts w:ascii="仿宋_GB2312" w:eastAsia="仿宋_GB2312"/>
          <w:color w:val="000000" w:themeColor="text1"/>
          <w:sz w:val="32"/>
          <w:szCs w:val="32"/>
        </w:rPr>
        <w:t>.</w:t>
      </w:r>
      <w:r>
        <w:rPr>
          <w:rFonts w:hint="eastAsia" w:ascii="仿宋_GB2312" w:eastAsia="仿宋_GB2312"/>
          <w:color w:val="000000" w:themeColor="text1"/>
          <w:sz w:val="32"/>
          <w:szCs w:val="32"/>
        </w:rPr>
        <w:t>社会保障和就业（类）行政事业单位离退休（款）机关事业单位基本养老保险缴费支出★（项）：指养老保险。</w:t>
      </w:r>
    </w:p>
    <w:p>
      <w:pPr>
        <w:ind w:firstLine="640" w:firstLineChars="200"/>
        <w:rPr>
          <w:rFonts w:ascii="仿宋_GB2312" w:eastAsia="仿宋_GB2312"/>
          <w:color w:val="000000" w:themeColor="text1"/>
          <w:sz w:val="32"/>
          <w:szCs w:val="32"/>
        </w:rPr>
      </w:pPr>
      <w:r>
        <w:rPr>
          <w:rFonts w:hint="eastAsia" w:ascii="仿宋_GB2312" w:eastAsia="仿宋_GB2312"/>
          <w:color w:val="000000" w:themeColor="text1"/>
          <w:sz w:val="32"/>
          <w:szCs w:val="32"/>
        </w:rPr>
        <w:t>7</w:t>
      </w:r>
      <w:r>
        <w:rPr>
          <w:rFonts w:ascii="仿宋_GB2312" w:eastAsia="仿宋_GB2312"/>
          <w:color w:val="000000" w:themeColor="text1"/>
          <w:sz w:val="32"/>
          <w:szCs w:val="32"/>
        </w:rPr>
        <w:t>.</w:t>
      </w:r>
      <w:r>
        <w:rPr>
          <w:rFonts w:hint="eastAsia" w:ascii="仿宋_GB2312" w:eastAsia="仿宋_GB2312"/>
          <w:color w:val="000000" w:themeColor="text1"/>
          <w:sz w:val="32"/>
          <w:szCs w:val="32"/>
        </w:rPr>
        <w:t>医疗卫生与计划生育（类）行政事业单位医疗★（款）行政单位医疗★（项）：指行政单位医疗保险。</w:t>
      </w:r>
    </w:p>
    <w:p>
      <w:pPr>
        <w:ind w:firstLine="640" w:firstLineChars="200"/>
        <w:rPr>
          <w:rFonts w:ascii="仿宋_GB2312" w:eastAsia="仿宋_GB2312"/>
          <w:color w:val="000000" w:themeColor="text1"/>
          <w:sz w:val="32"/>
          <w:szCs w:val="32"/>
        </w:rPr>
      </w:pPr>
      <w:r>
        <w:rPr>
          <w:rFonts w:hint="eastAsia" w:ascii="仿宋_GB2312" w:eastAsia="仿宋_GB2312"/>
          <w:color w:val="000000" w:themeColor="text1"/>
          <w:sz w:val="32"/>
          <w:szCs w:val="32"/>
        </w:rPr>
        <w:t>8</w:t>
      </w:r>
      <w:r>
        <w:rPr>
          <w:rFonts w:ascii="仿宋_GB2312" w:eastAsia="仿宋_GB2312"/>
          <w:color w:val="000000" w:themeColor="text1"/>
          <w:sz w:val="32"/>
          <w:szCs w:val="32"/>
        </w:rPr>
        <w:t>.</w:t>
      </w:r>
      <w:r>
        <w:rPr>
          <w:rFonts w:hint="eastAsia" w:ascii="仿宋_GB2312" w:eastAsia="仿宋_GB2312"/>
          <w:color w:val="000000" w:themeColor="text1"/>
          <w:sz w:val="32"/>
          <w:szCs w:val="32"/>
        </w:rPr>
        <w:t>住房保障（类）住房改革支出（款）住房公积金（项）：指住房公积金。</w:t>
      </w:r>
    </w:p>
    <w:p>
      <w:pPr>
        <w:ind w:firstLine="640" w:firstLineChars="200"/>
        <w:rPr>
          <w:rFonts w:ascii="仿宋_GB2312" w:eastAsia="仿宋_GB2312"/>
          <w:color w:val="000000"/>
          <w:sz w:val="32"/>
          <w:szCs w:val="32"/>
        </w:rPr>
      </w:pPr>
      <w:r>
        <w:rPr>
          <w:rFonts w:hint="eastAsia" w:ascii="仿宋_GB2312" w:eastAsia="仿宋_GB2312"/>
          <w:color w:val="000000" w:themeColor="text1"/>
          <w:sz w:val="32"/>
          <w:szCs w:val="32"/>
        </w:rPr>
        <w:t>9</w:t>
      </w:r>
      <w:r>
        <w:rPr>
          <w:rFonts w:ascii="仿宋_GB2312" w:eastAsia="仿宋_GB2312"/>
          <w:color w:val="000000" w:themeColor="text1"/>
          <w:sz w:val="32"/>
          <w:szCs w:val="32"/>
        </w:rPr>
        <w:t>.</w:t>
      </w:r>
      <w:r>
        <w:rPr>
          <w:rFonts w:hint="eastAsia" w:ascii="仿宋_GB2312" w:eastAsia="仿宋_GB2312"/>
          <w:color w:val="000000" w:themeColor="text1"/>
          <w:sz w:val="32"/>
          <w:szCs w:val="32"/>
        </w:rPr>
        <w:t>基本支出：指为保障机构正常</w:t>
      </w:r>
      <w:r>
        <w:rPr>
          <w:rFonts w:hint="eastAsia" w:ascii="仿宋_GB2312" w:eastAsia="仿宋_GB2312"/>
          <w:color w:val="000000"/>
          <w:sz w:val="32"/>
          <w:szCs w:val="32"/>
        </w:rPr>
        <w:t>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pStyle w:val="22"/>
        <w:spacing w:line="560" w:lineRule="exact"/>
        <w:ind w:firstLine="640" w:firstLineChars="200"/>
        <w:rPr>
          <w:rFonts w:ascii="仿宋_GB2312" w:eastAsia="仿宋_GB2312"/>
          <w:sz w:val="32"/>
          <w:szCs w:val="32"/>
        </w:rPr>
      </w:pPr>
      <w:r>
        <w:rPr>
          <w:rFonts w:hint="eastAsia" w:ascii="仿宋_GB2312" w:eastAsia="仿宋_GB2312"/>
          <w:sz w:val="32"/>
          <w:szCs w:val="32"/>
        </w:rPr>
        <w:t>11</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2"/>
        <w:spacing w:line="560" w:lineRule="exact"/>
        <w:ind w:firstLine="640" w:firstLineChars="200"/>
        <w:rPr>
          <w:rFonts w:ascii="仿宋_GB2312" w:eastAsia="仿宋_GB2312"/>
          <w:sz w:val="32"/>
          <w:szCs w:val="32"/>
        </w:rPr>
      </w:pPr>
      <w:r>
        <w:rPr>
          <w:rFonts w:hint="eastAsia" w:ascii="仿宋_GB2312" w:eastAsia="仿宋_GB2312"/>
          <w:sz w:val="32"/>
          <w:szCs w:val="32"/>
        </w:rPr>
        <w:t>12</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rPr>
          <w:rFonts w:ascii="仿宋" w:hAnsi="仿宋" w:eastAsia="仿宋"/>
          <w:b/>
          <w:color w:val="000000"/>
          <w:sz w:val="32"/>
          <w:szCs w:val="32"/>
        </w:rPr>
      </w:pPr>
    </w:p>
    <w:p>
      <w:pPr>
        <w:spacing w:line="600" w:lineRule="exact"/>
        <w:jc w:val="center"/>
        <w:outlineLvl w:val="0"/>
        <w:rPr>
          <w:rStyle w:val="24"/>
          <w:rFonts w:ascii="黑体" w:hAnsi="黑体" w:eastAsia="黑体"/>
          <w:b w:val="0"/>
        </w:rPr>
      </w:pPr>
      <w:bookmarkStart w:id="57" w:name="_Toc15377226"/>
      <w:r>
        <w:rPr>
          <w:rFonts w:ascii="宋体"/>
          <w:b/>
          <w:color w:val="000000"/>
          <w:sz w:val="44"/>
          <w:szCs w:val="44"/>
        </w:rPr>
        <w:br w:type="page"/>
      </w:r>
      <w:bookmarkStart w:id="58" w:name="_Toc15396614"/>
      <w:r>
        <w:rPr>
          <w:rFonts w:hint="eastAsia" w:ascii="黑体" w:hAnsi="黑体" w:eastAsia="黑体"/>
          <w:color w:val="000000"/>
          <w:sz w:val="44"/>
          <w:szCs w:val="44"/>
        </w:rPr>
        <w:t>第</w:t>
      </w:r>
      <w:r>
        <w:rPr>
          <w:rStyle w:val="24"/>
          <w:rFonts w:hint="eastAsia" w:ascii="黑体" w:hAnsi="黑体" w:eastAsia="黑体"/>
          <w:b w:val="0"/>
        </w:rPr>
        <w:t>四部分 附件</w:t>
      </w:r>
      <w:bookmarkEnd w:id="58"/>
    </w:p>
    <w:p>
      <w:pPr>
        <w:spacing w:line="600" w:lineRule="exact"/>
        <w:jc w:val="left"/>
        <w:outlineLvl w:val="0"/>
        <w:rPr>
          <w:rFonts w:ascii="方正小标宋简体" w:hAnsi="方正小标宋简体" w:eastAsia="方正小标宋简体" w:cs="方正小标宋简体"/>
          <w:sz w:val="32"/>
          <w:szCs w:val="32"/>
        </w:rPr>
      </w:pPr>
      <w:r>
        <w:rPr>
          <w:rFonts w:hint="eastAsia" w:ascii="黑体" w:hAnsi="黑体" w:eastAsia="黑体" w:cs="黑体"/>
          <w:sz w:val="32"/>
          <w:szCs w:val="32"/>
        </w:rPr>
        <w:t>附件1</w:t>
      </w:r>
    </w:p>
    <w:p>
      <w:pPr>
        <w:spacing w:line="580" w:lineRule="exact"/>
        <w:jc w:val="center"/>
        <w:rPr>
          <w:rFonts w:ascii="方正小标宋简体" w:hAnsi="方正小标宋简体" w:eastAsia="方正小标宋简体" w:cs="方正小标宋简体"/>
          <w:sz w:val="44"/>
          <w:szCs w:val="44"/>
        </w:rPr>
      </w:pPr>
    </w:p>
    <w:p>
      <w:pPr>
        <w:spacing w:line="600" w:lineRule="exact"/>
        <w:jc w:val="center"/>
        <w:rPr>
          <w:rFonts w:hint="eastAsia" w:ascii="方正小标宋简体" w:hAnsi="宋体" w:eastAsia="方正小标宋简体"/>
          <w:color w:val="000000"/>
          <w:kern w:val="0"/>
          <w:sz w:val="40"/>
          <w:szCs w:val="44"/>
          <w:lang w:eastAsia="zh-CN"/>
        </w:rPr>
      </w:pPr>
      <w:r>
        <w:rPr>
          <w:rFonts w:hint="eastAsia" w:ascii="方正小标宋简体" w:hAnsi="宋体" w:eastAsia="方正小标宋简体"/>
          <w:color w:val="000000"/>
          <w:kern w:val="0"/>
          <w:sz w:val="40"/>
          <w:szCs w:val="44"/>
          <w:lang w:eastAsia="zh-CN"/>
        </w:rPr>
        <w:t>红原县供销合作社联合社</w:t>
      </w:r>
    </w:p>
    <w:p>
      <w:pPr>
        <w:spacing w:line="600" w:lineRule="exact"/>
        <w:jc w:val="center"/>
        <w:rPr>
          <w:rFonts w:ascii="方正小标宋简体" w:hAnsi="宋体" w:eastAsia="方正小标宋简体"/>
          <w:color w:val="000000"/>
          <w:kern w:val="0"/>
          <w:sz w:val="40"/>
          <w:szCs w:val="44"/>
          <w:lang w:val="zh-CN"/>
        </w:rPr>
      </w:pPr>
      <w:r>
        <w:rPr>
          <w:rFonts w:ascii="方正小标宋简体" w:hAnsi="宋体" w:eastAsia="方正小标宋简体"/>
          <w:color w:val="000000"/>
          <w:kern w:val="0"/>
          <w:sz w:val="40"/>
          <w:szCs w:val="44"/>
        </w:rPr>
        <w:t>2019年部门</w:t>
      </w:r>
      <w:r>
        <w:rPr>
          <w:rFonts w:hint="eastAsia" w:ascii="方正小标宋简体" w:hAnsi="宋体" w:eastAsia="方正小标宋简体"/>
          <w:color w:val="000000"/>
          <w:kern w:val="0"/>
          <w:sz w:val="40"/>
          <w:szCs w:val="44"/>
          <w:lang w:val="zh-CN"/>
        </w:rPr>
        <w:t>整体支出绩效评价报告</w:t>
      </w:r>
    </w:p>
    <w:p>
      <w:pPr>
        <w:widowControl/>
        <w:spacing w:line="580" w:lineRule="exact"/>
        <w:ind w:firstLine="640" w:firstLineChars="200"/>
        <w:contextualSpacing/>
        <w:jc w:val="center"/>
        <w:rPr>
          <w:rFonts w:ascii="仿宋_GB2312" w:hAnsi="宋体" w:eastAsia="仿宋_GB2312"/>
          <w:sz w:val="32"/>
          <w:szCs w:val="32"/>
          <w:shd w:val="clear" w:color="auto" w:fill="FFFFFF"/>
        </w:rPr>
      </w:pPr>
      <w:r>
        <w:rPr>
          <w:rFonts w:hint="eastAsia" w:ascii="仿宋_GB2312" w:hAnsi="宋体" w:eastAsia="仿宋_GB2312"/>
          <w:sz w:val="32"/>
          <w:szCs w:val="32"/>
          <w:shd w:val="clear" w:color="auto" w:fill="FFFFFF"/>
        </w:rPr>
        <w:t>（报告范围包括机关和下属单位）</w:t>
      </w:r>
    </w:p>
    <w:p>
      <w:pPr>
        <w:widowControl/>
        <w:adjustRightInd w:val="0"/>
        <w:snapToGrid w:val="0"/>
        <w:spacing w:line="580" w:lineRule="exact"/>
        <w:ind w:firstLine="480" w:firstLineChars="200"/>
        <w:contextualSpacing/>
        <w:jc w:val="left"/>
        <w:rPr>
          <w:rFonts w:ascii="黑体" w:hAnsi="宋体" w:eastAsia="黑体" w:cs="宋体"/>
          <w:color w:val="000000"/>
          <w:kern w:val="0"/>
          <w:sz w:val="24"/>
          <w:szCs w:val="32"/>
          <w:shd w:val="clear" w:color="auto" w:fill="FFFFFF"/>
        </w:rPr>
      </w:pPr>
    </w:p>
    <w:p>
      <w:pPr>
        <w:widowControl/>
        <w:adjustRightInd w:val="0"/>
        <w:snapToGrid w:val="0"/>
        <w:spacing w:line="600" w:lineRule="exact"/>
        <w:ind w:firstLine="720"/>
        <w:jc w:val="left"/>
        <w:rPr>
          <w:rFonts w:hint="eastAsia" w:ascii="黑体" w:hAnsi="黑体" w:eastAsia="黑体" w:cs="黑体"/>
          <w:color w:val="000000"/>
          <w:kern w:val="0"/>
          <w:sz w:val="32"/>
          <w:szCs w:val="32"/>
          <w:lang w:val="zh-CN"/>
        </w:rPr>
      </w:pPr>
      <w:r>
        <w:rPr>
          <w:rFonts w:hint="eastAsia" w:ascii="黑体" w:hAnsi="黑体" w:eastAsia="黑体" w:cs="黑体"/>
          <w:color w:val="000000"/>
          <w:kern w:val="0"/>
          <w:sz w:val="32"/>
          <w:szCs w:val="32"/>
        </w:rPr>
        <w:t>一、</w:t>
      </w:r>
      <w:r>
        <w:rPr>
          <w:rFonts w:hint="eastAsia" w:ascii="黑体" w:hAnsi="黑体" w:eastAsia="黑体" w:cs="黑体"/>
          <w:color w:val="000000"/>
          <w:kern w:val="0"/>
          <w:sz w:val="32"/>
          <w:szCs w:val="32"/>
          <w:lang w:val="zh-CN"/>
        </w:rPr>
        <w:t>单位概况</w:t>
      </w:r>
    </w:p>
    <w:p>
      <w:pPr>
        <w:widowControl/>
        <w:adjustRightInd w:val="0"/>
        <w:snapToGrid w:val="0"/>
        <w:spacing w:line="600" w:lineRule="exact"/>
        <w:ind w:firstLine="640" w:firstLineChars="200"/>
        <w:jc w:val="left"/>
        <w:rPr>
          <w:rFonts w:hint="eastAsia" w:ascii="楷体_GB2312" w:hAnsi="楷体_GB2312" w:eastAsia="楷体_GB2312" w:cs="楷体_GB2312"/>
          <w:color w:val="000000"/>
          <w:kern w:val="0"/>
          <w:sz w:val="32"/>
          <w:szCs w:val="32"/>
          <w:lang w:val="zh-CN"/>
        </w:rPr>
      </w:pPr>
      <w:r>
        <w:rPr>
          <w:rFonts w:hint="eastAsia" w:ascii="楷体_GB2312" w:hAnsi="楷体_GB2312" w:eastAsia="楷体_GB2312" w:cs="楷体_GB2312"/>
          <w:color w:val="000000"/>
          <w:kern w:val="0"/>
          <w:sz w:val="32"/>
          <w:szCs w:val="32"/>
          <w:lang w:val="zh-CN"/>
        </w:rPr>
        <w:t>（一）机构组成。</w:t>
      </w:r>
    </w:p>
    <w:p>
      <w:pPr>
        <w:spacing w:line="600" w:lineRule="exact"/>
        <w:ind w:firstLine="640" w:firstLineChars="200"/>
        <w:rPr>
          <w:rFonts w:hint="eastAsia" w:ascii="仿宋_GB2312" w:hAnsi="仿宋_GB2312" w:eastAsia="仿宋_GB2312" w:cs="仿宋_GB2312"/>
          <w:color w:val="000000"/>
          <w:kern w:val="0"/>
          <w:sz w:val="32"/>
          <w:szCs w:val="32"/>
          <w:lang w:val="zh-CN"/>
        </w:rPr>
      </w:pPr>
      <w:r>
        <w:rPr>
          <w:rFonts w:hint="eastAsia" w:ascii="仿宋_GB2312" w:hAnsi="仿宋_GB2312" w:eastAsia="仿宋_GB2312" w:cs="仿宋_GB2312"/>
          <w:color w:val="000000"/>
          <w:kern w:val="0"/>
          <w:sz w:val="32"/>
          <w:szCs w:val="32"/>
          <w:lang w:val="zh-CN"/>
        </w:rPr>
        <w:t>供销社属于一级预算单位，参公事业单位，下设两个股室：办公室、综合业务股。</w:t>
      </w:r>
    </w:p>
    <w:p>
      <w:pPr>
        <w:widowControl/>
        <w:adjustRightInd w:val="0"/>
        <w:snapToGrid w:val="0"/>
        <w:spacing w:line="600" w:lineRule="exact"/>
        <w:ind w:firstLine="640" w:firstLineChars="200"/>
        <w:jc w:val="left"/>
        <w:rPr>
          <w:rFonts w:hint="eastAsia" w:ascii="楷体_GB2312" w:hAnsi="楷体_GB2312" w:eastAsia="楷体_GB2312" w:cs="楷体_GB2312"/>
          <w:color w:val="000000"/>
          <w:kern w:val="0"/>
          <w:sz w:val="32"/>
          <w:szCs w:val="32"/>
          <w:lang w:val="zh-CN"/>
        </w:rPr>
      </w:pPr>
      <w:r>
        <w:rPr>
          <w:rFonts w:hint="eastAsia" w:ascii="楷体_GB2312" w:hAnsi="楷体_GB2312" w:eastAsia="楷体_GB2312" w:cs="楷体_GB2312"/>
          <w:color w:val="000000"/>
          <w:kern w:val="0"/>
          <w:sz w:val="32"/>
          <w:szCs w:val="32"/>
          <w:lang w:val="zh-CN"/>
        </w:rPr>
        <w:t>（二）机构职能。</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社会主义市场经济的要求，县供销社由过去行使政府管理职能逐步转向对系统进行行业管理、指导、协调和服务上来，对直属企业由直接管理转为以出资人身份行使对社有资产的监督管理。主要宗旨是立足三农，服务三农。宣传贯彻和实施农村经济工作的方针政策，指导农村社会化服务体系建设。</w:t>
      </w:r>
    </w:p>
    <w:p>
      <w:pPr>
        <w:widowControl/>
        <w:adjustRightInd w:val="0"/>
        <w:snapToGrid w:val="0"/>
        <w:spacing w:line="600" w:lineRule="exact"/>
        <w:ind w:firstLine="640" w:firstLineChars="200"/>
        <w:jc w:val="left"/>
        <w:rPr>
          <w:rFonts w:hint="eastAsia" w:ascii="楷体_GB2312" w:hAnsi="楷体_GB2312" w:eastAsia="楷体_GB2312" w:cs="楷体_GB2312"/>
          <w:color w:val="000000"/>
          <w:kern w:val="0"/>
          <w:sz w:val="32"/>
          <w:szCs w:val="32"/>
          <w:lang w:val="zh-CN"/>
        </w:rPr>
      </w:pPr>
      <w:r>
        <w:rPr>
          <w:rFonts w:hint="eastAsia" w:ascii="楷体_GB2312" w:hAnsi="楷体_GB2312" w:eastAsia="楷体_GB2312" w:cs="楷体_GB2312"/>
          <w:color w:val="000000"/>
          <w:kern w:val="0"/>
          <w:sz w:val="32"/>
          <w:szCs w:val="32"/>
          <w:lang w:val="zh-CN"/>
        </w:rPr>
        <w:t>（三）人员概况。</w:t>
      </w:r>
    </w:p>
    <w:p>
      <w:pPr>
        <w:widowControl/>
        <w:adjustRightInd w:val="0"/>
        <w:snapToGrid w:val="0"/>
        <w:spacing w:line="600" w:lineRule="exact"/>
        <w:ind w:firstLine="640" w:firstLineChars="200"/>
        <w:jc w:val="left"/>
        <w:rPr>
          <w:rFonts w:hint="eastAsia" w:ascii="仿宋_GB2312" w:hAnsi="仿宋_GB2312" w:eastAsia="仿宋_GB2312" w:cs="仿宋_GB2312"/>
          <w:color w:val="000000"/>
          <w:kern w:val="0"/>
          <w:sz w:val="32"/>
          <w:szCs w:val="32"/>
          <w:lang w:val="zh-CN"/>
        </w:rPr>
      </w:pPr>
      <w:r>
        <w:rPr>
          <w:rFonts w:hint="eastAsia" w:ascii="仿宋_GB2312" w:hAnsi="仿宋_GB2312" w:eastAsia="仿宋_GB2312" w:cs="仿宋_GB2312"/>
          <w:color w:val="000000"/>
          <w:kern w:val="0"/>
          <w:sz w:val="32"/>
          <w:szCs w:val="32"/>
          <w:lang w:val="zh-CN"/>
        </w:rPr>
        <w:t>红原县供销社2018年底参公编制6个.在职职工6人，参公6人。</w:t>
      </w:r>
    </w:p>
    <w:p>
      <w:pPr>
        <w:widowControl/>
        <w:adjustRightInd w:val="0"/>
        <w:snapToGrid w:val="0"/>
        <w:spacing w:line="600" w:lineRule="exact"/>
        <w:ind w:firstLine="720"/>
        <w:jc w:val="lef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二、部门财政资金收支情况</w:t>
      </w:r>
    </w:p>
    <w:p>
      <w:pPr>
        <w:spacing w:line="600" w:lineRule="exact"/>
        <w:ind w:firstLine="640" w:firstLineChars="200"/>
        <w:rPr>
          <w:rFonts w:hint="eastAsia" w:ascii="楷体_GB2312" w:hAnsi="楷体_GB2312" w:eastAsia="楷体_GB2312" w:cs="楷体_GB2312"/>
          <w:color w:val="000000"/>
          <w:kern w:val="0"/>
          <w:sz w:val="32"/>
          <w:szCs w:val="32"/>
          <w:lang w:val="zh-CN"/>
        </w:rPr>
      </w:pPr>
      <w:r>
        <w:rPr>
          <w:rFonts w:hint="eastAsia" w:ascii="楷体_GB2312" w:hAnsi="楷体_GB2312" w:eastAsia="楷体_GB2312" w:cs="楷体_GB2312"/>
          <w:color w:val="000000"/>
          <w:kern w:val="0"/>
          <w:sz w:val="32"/>
          <w:szCs w:val="32"/>
          <w:lang w:val="zh-CN"/>
        </w:rPr>
        <w:t>（一）部门财政资金收入情况。</w:t>
      </w:r>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2018年总收入合计28，896，223.62元，本年收入20,622,503.62元，占总收入71.37%，其中：其中财政拨款收入20,622,471.64元，占99.99%；其他收入31.98元，占0.0001%，年初结转结余8,273,720元，占总收入28.63%。 2018年底结转结余合计11664165.19元，其中项目支出结转结余11664165.19元，占100%。</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2019我单位收入为48817603.92元</w:t>
      </w:r>
      <w:r>
        <w:rPr>
          <w:rFonts w:hint="eastAsia" w:ascii="仿宋_GB2312" w:hAnsi="仿宋_GB2312" w:eastAsia="仿宋_GB2312" w:cs="仿宋_GB2312"/>
          <w:sz w:val="32"/>
          <w:szCs w:val="32"/>
        </w:rPr>
        <w:t>，其中一般公共预算财政收入1570240.92元，项目收入47247363元。</w:t>
      </w:r>
    </w:p>
    <w:p>
      <w:pPr>
        <w:spacing w:line="600" w:lineRule="exact"/>
        <w:ind w:left="420" w:left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（二）部门财政资金支出情况。</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2018一般公共预算财政拨款支出17232058.43元，主要用于以下方面:文化体育与传媒支出90000元，占0.52%；完成预算100%。社会保障和就业支出245123.76元，占1.42%；完成预算100%。医疗卫生与计划生育94789.12元，占0.55%；完成预算100%。城乡社区支出4733499.81元，占27.47%；完成预算65.27%。农林水支出10216800元，占59.29%；完成预算70.17%。商业服务业等支出1774973.74元，占10.30%；完成预算58.24%。住房保障支出76872元，占0.45%；完成预算100%。</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2019年1至6月支出为16001568.13元，其中：项目支出14986617.66元，基本支出1014950.47元</w:t>
      </w:r>
    </w:p>
    <w:p>
      <w:pPr>
        <w:widowControl/>
        <w:adjustRightInd w:val="0"/>
        <w:snapToGrid w:val="0"/>
        <w:spacing w:line="600" w:lineRule="exact"/>
        <w:ind w:firstLine="720"/>
        <w:jc w:val="lef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三、部门财政支出管理情况</w:t>
      </w:r>
    </w:p>
    <w:p>
      <w:pPr>
        <w:widowControl/>
        <w:adjustRightInd w:val="0"/>
        <w:snapToGrid w:val="0"/>
        <w:spacing w:line="600" w:lineRule="exact"/>
        <w:ind w:firstLine="720"/>
        <w:jc w:val="left"/>
        <w:rPr>
          <w:rFonts w:hint="eastAsia" w:ascii="楷体_GB2312" w:hAnsi="楷体_GB2312" w:eastAsia="楷体_GB2312" w:cs="楷体_GB2312"/>
          <w:color w:val="000000"/>
          <w:kern w:val="0"/>
          <w:sz w:val="32"/>
          <w:szCs w:val="32"/>
          <w:lang w:val="zh-CN"/>
        </w:rPr>
      </w:pPr>
      <w:r>
        <w:rPr>
          <w:rFonts w:hint="eastAsia" w:ascii="楷体_GB2312" w:hAnsi="楷体_GB2312" w:eastAsia="楷体_GB2312" w:cs="楷体_GB2312"/>
          <w:color w:val="000000"/>
          <w:kern w:val="0"/>
          <w:sz w:val="32"/>
          <w:szCs w:val="32"/>
          <w:lang w:val="zh-CN"/>
        </w:rPr>
        <w:t>（一）预算编制情况。</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单位严格按照《预算法》及相关财经法规和政策编制本年度预算，严格控制编报质量，保证所有资金合法合规，严格按照相关规定进行预算编制，中央转移支付资金按照文件要求执行，专项转移支付严格根据分地区分项目进行编制。</w:t>
      </w:r>
    </w:p>
    <w:p>
      <w:pPr>
        <w:widowControl/>
        <w:adjustRightInd w:val="0"/>
        <w:snapToGrid w:val="0"/>
        <w:spacing w:line="600" w:lineRule="exact"/>
        <w:ind w:firstLine="720"/>
        <w:jc w:val="left"/>
        <w:rPr>
          <w:rFonts w:hint="eastAsia" w:ascii="仿宋_GB2312" w:hAnsi="仿宋_GB2312" w:eastAsia="仿宋_GB2312" w:cs="仿宋_GB2312"/>
          <w:color w:val="000000"/>
          <w:kern w:val="0"/>
          <w:sz w:val="32"/>
          <w:szCs w:val="32"/>
          <w:lang w:val="zh-CN"/>
        </w:rPr>
      </w:pPr>
      <w:r>
        <w:rPr>
          <w:rFonts w:hint="eastAsia" w:ascii="楷体_GB2312" w:hAnsi="楷体_GB2312" w:eastAsia="楷体_GB2312" w:cs="楷体_GB2312"/>
          <w:color w:val="000000"/>
          <w:kern w:val="0"/>
          <w:sz w:val="32"/>
          <w:szCs w:val="32"/>
          <w:lang w:val="zh-CN"/>
        </w:rPr>
        <w:t>（二）执行管理情况。</w:t>
      </w:r>
      <w:r>
        <w:rPr>
          <w:rFonts w:hint="eastAsia" w:ascii="仿宋_GB2312" w:hAnsi="仿宋_GB2312" w:eastAsia="仿宋_GB2312" w:cs="仿宋_GB2312"/>
          <w:color w:val="000000"/>
          <w:kern w:val="0"/>
          <w:sz w:val="32"/>
          <w:szCs w:val="32"/>
          <w:lang w:val="zh-CN"/>
        </w:rPr>
        <w:tab/>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部门预算执行到位，严格按照预算管理进行支付并做到节能降耗，“三公”经费严格按照年初预算执行。2018年度“三公”经费财政拨款支出决算中，因公出国（境）费支出决算0元，占0%；公务用车购置及运行维护费支出决算26200元，占96.14%；公务接待费支出决算1056元，占3.86%。</w:t>
      </w:r>
    </w:p>
    <w:p>
      <w:pPr>
        <w:widowControl/>
        <w:adjustRightInd w:val="0"/>
        <w:snapToGrid w:val="0"/>
        <w:spacing w:line="600" w:lineRule="exact"/>
        <w:ind w:firstLine="720"/>
        <w:jc w:val="left"/>
        <w:rPr>
          <w:rFonts w:hint="eastAsia" w:ascii="楷体_GB2312" w:hAnsi="楷体_GB2312" w:eastAsia="楷体_GB2312" w:cs="楷体_GB2312"/>
          <w:color w:val="000000"/>
          <w:kern w:val="0"/>
          <w:sz w:val="32"/>
          <w:szCs w:val="32"/>
          <w:lang w:val="zh-CN"/>
        </w:rPr>
      </w:pPr>
      <w:r>
        <w:rPr>
          <w:rFonts w:hint="eastAsia" w:ascii="楷体_GB2312" w:hAnsi="楷体_GB2312" w:eastAsia="楷体_GB2312" w:cs="楷体_GB2312"/>
          <w:color w:val="000000"/>
          <w:kern w:val="0"/>
          <w:sz w:val="32"/>
          <w:szCs w:val="32"/>
          <w:lang w:val="zh-CN"/>
        </w:rPr>
        <w:t>（三）综合管理情况。</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财务管理过程中建立健全财务核算制度、严格执行国家相关财经法规，加强了会计基础工作、逐渐规范了财务管理行为。严格按照《新政府会计制度》的规定设置的会计科目，建立了科学有效的会计核算方式，均真实、合法、准确的反映各项收支活动；建立健全了内控制度，加强和完善了经费收支和财务管理，积极配合各级财政部门开展相关经费的考评工作；本单位在资金使用过程中，合理使用各项资金，严格执行各项经费开支范围和标准。对项目资金，确保专款专用；在账务报销过程中贯彻执行国家颁布的有关财务制度，严格按照《会计法》规定以完整、合法的原始凭证及财务报销手续进行报账、核算，做到了手续齐备、内容真实、数据准确、账目清晰，认真及时的填报了各项年度统计报表；在整个财务收支管理中做到了会计核算与财政收支账一致，实现了会计电算化；严格落实《党政机关厉行节约反对浪费条例》的相关规定，进一步规范了“三公经费”的管理并严格控制了“三公经费”的支出。</w:t>
      </w:r>
    </w:p>
    <w:p>
      <w:pPr>
        <w:widowControl/>
        <w:adjustRightInd w:val="0"/>
        <w:snapToGrid w:val="0"/>
        <w:spacing w:line="600" w:lineRule="exact"/>
        <w:ind w:firstLine="720"/>
        <w:jc w:val="left"/>
        <w:rPr>
          <w:rFonts w:hint="eastAsia" w:ascii="楷体_GB2312" w:hAnsi="楷体_GB2312" w:eastAsia="楷体_GB2312" w:cs="楷体_GB2312"/>
          <w:color w:val="000000"/>
          <w:kern w:val="0"/>
          <w:sz w:val="32"/>
          <w:szCs w:val="32"/>
          <w:lang w:val="zh-CN"/>
        </w:rPr>
      </w:pPr>
      <w:r>
        <w:rPr>
          <w:rFonts w:hint="eastAsia" w:ascii="楷体_GB2312" w:hAnsi="楷体_GB2312" w:eastAsia="楷体_GB2312" w:cs="楷体_GB2312"/>
          <w:color w:val="000000"/>
          <w:kern w:val="0"/>
          <w:sz w:val="32"/>
          <w:szCs w:val="32"/>
          <w:lang w:val="zh-CN"/>
        </w:rPr>
        <w:t>（四）整体绩效。</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我单位在全面贯彻落实党的十九大精神,坚持以习近平新时代中国特色社会主义思想为指导,努力实现人民群众满意。</w:t>
      </w:r>
    </w:p>
    <w:p>
      <w:pPr>
        <w:widowControl/>
        <w:adjustRightInd w:val="0"/>
        <w:snapToGrid w:val="0"/>
        <w:spacing w:line="600" w:lineRule="exact"/>
        <w:ind w:firstLine="720"/>
        <w:jc w:val="lef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四、评价结论及建议</w:t>
      </w:r>
    </w:p>
    <w:p>
      <w:pPr>
        <w:widowControl/>
        <w:adjustRightInd w:val="0"/>
        <w:snapToGrid w:val="0"/>
        <w:spacing w:line="600" w:lineRule="exact"/>
        <w:ind w:firstLine="720"/>
        <w:jc w:val="left"/>
        <w:rPr>
          <w:rFonts w:hint="eastAsia" w:ascii="楷体_GB2312" w:hAnsi="楷体_GB2312" w:eastAsia="楷体_GB2312" w:cs="楷体_GB2312"/>
          <w:color w:val="000000"/>
          <w:kern w:val="0"/>
          <w:sz w:val="32"/>
          <w:szCs w:val="32"/>
          <w:lang w:val="zh-CN"/>
        </w:rPr>
      </w:pPr>
      <w:r>
        <w:rPr>
          <w:rFonts w:hint="eastAsia" w:ascii="楷体_GB2312" w:hAnsi="楷体_GB2312" w:eastAsia="楷体_GB2312" w:cs="楷体_GB2312"/>
          <w:color w:val="000000"/>
          <w:kern w:val="0"/>
          <w:sz w:val="32"/>
          <w:szCs w:val="32"/>
          <w:lang w:val="zh-CN"/>
        </w:rPr>
        <w:t>（一）评价结论。</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按照预算绩效管理要求，本单位对2018年整体支出开展绩效自评，自评得分96分，部门整体支出绩效为“好”。</w:t>
      </w:r>
    </w:p>
    <w:p>
      <w:pPr>
        <w:widowControl/>
        <w:adjustRightInd w:val="0"/>
        <w:snapToGrid w:val="0"/>
        <w:spacing w:line="600" w:lineRule="exact"/>
        <w:ind w:firstLine="720"/>
        <w:jc w:val="left"/>
        <w:rPr>
          <w:rFonts w:hint="eastAsia" w:ascii="楷体_GB2312" w:hAnsi="楷体_GB2312" w:eastAsia="楷体_GB2312" w:cs="楷体_GB2312"/>
          <w:color w:val="000000"/>
          <w:kern w:val="0"/>
          <w:sz w:val="32"/>
          <w:szCs w:val="32"/>
          <w:lang w:val="zh-CN"/>
        </w:rPr>
      </w:pPr>
      <w:r>
        <w:rPr>
          <w:rFonts w:hint="eastAsia" w:ascii="楷体_GB2312" w:hAnsi="楷体_GB2312" w:eastAsia="楷体_GB2312" w:cs="楷体_GB2312"/>
          <w:color w:val="000000"/>
          <w:kern w:val="0"/>
          <w:sz w:val="32"/>
          <w:szCs w:val="32"/>
          <w:lang w:val="zh-CN"/>
        </w:rPr>
        <w:t>（二）存在问题。</w:t>
      </w:r>
    </w:p>
    <w:p>
      <w:pPr>
        <w:widowControl/>
        <w:adjustRightInd w:val="0"/>
        <w:snapToGrid w:val="0"/>
        <w:spacing w:line="600" w:lineRule="exact"/>
        <w:ind w:firstLine="720"/>
        <w:jc w:val="left"/>
        <w:rPr>
          <w:rFonts w:hint="eastAsia" w:ascii="仿宋_GB2312" w:hAnsi="仿宋_GB2312" w:eastAsia="仿宋_GB2312" w:cs="仿宋_GB2312"/>
          <w:color w:val="000000"/>
          <w:kern w:val="0"/>
          <w:sz w:val="32"/>
          <w:szCs w:val="32"/>
          <w:lang w:val="zh-CN"/>
        </w:rPr>
      </w:pPr>
      <w:r>
        <w:rPr>
          <w:rFonts w:hint="eastAsia" w:ascii="仿宋_GB2312" w:hAnsi="仿宋_GB2312" w:eastAsia="仿宋_GB2312" w:cs="仿宋_GB2312"/>
          <w:sz w:val="32"/>
          <w:szCs w:val="32"/>
        </w:rPr>
        <w:t>对资金管理缺乏时效性和长久监督性。</w:t>
      </w:r>
    </w:p>
    <w:p>
      <w:pPr>
        <w:widowControl/>
        <w:adjustRightInd w:val="0"/>
        <w:snapToGrid w:val="0"/>
        <w:spacing w:line="600" w:lineRule="exact"/>
        <w:ind w:firstLine="720"/>
        <w:jc w:val="left"/>
        <w:rPr>
          <w:rFonts w:hint="eastAsia" w:ascii="楷体_GB2312" w:hAnsi="楷体_GB2312" w:eastAsia="楷体_GB2312" w:cs="楷体_GB2312"/>
          <w:sz w:val="32"/>
          <w:szCs w:val="32"/>
        </w:rPr>
      </w:pPr>
      <w:r>
        <w:rPr>
          <w:rFonts w:hint="eastAsia" w:ascii="楷体_GB2312" w:hAnsi="楷体_GB2312" w:eastAsia="楷体_GB2312" w:cs="楷体_GB2312"/>
          <w:color w:val="000000"/>
          <w:kern w:val="0"/>
          <w:sz w:val="32"/>
          <w:szCs w:val="32"/>
          <w:lang w:val="zh-CN"/>
        </w:rPr>
        <w:t>（三）改进建议。</w:t>
      </w:r>
    </w:p>
    <w:p>
      <w:pPr>
        <w:spacing w:line="600" w:lineRule="exact"/>
        <w:ind w:firstLine="640" w:firstLineChars="200"/>
        <w:rPr>
          <w:rFonts w:ascii="黑体" w:hAnsi="宋体" w:eastAsia="黑体" w:cs="黑体"/>
          <w:sz w:val="30"/>
          <w:szCs w:val="30"/>
        </w:rPr>
      </w:pPr>
      <w:r>
        <w:rPr>
          <w:rFonts w:hint="eastAsia" w:ascii="仿宋_GB2312" w:hAnsi="仿宋_GB2312" w:eastAsia="仿宋_GB2312" w:cs="仿宋_GB2312"/>
          <w:sz w:val="32"/>
          <w:szCs w:val="32"/>
        </w:rPr>
        <w:t>下一步改进措施：针对存在的问题进行经常性的监督和自查</w:t>
      </w:r>
      <w:r>
        <w:rPr>
          <w:rFonts w:hint="eastAsia" w:ascii="仿宋_GB2312" w:hAnsi="仿宋_GB2312" w:cs="仿宋_GB2312"/>
          <w:szCs w:val="32"/>
        </w:rPr>
        <w:t>。</w:t>
      </w:r>
    </w:p>
    <w:p>
      <w:pPr>
        <w:spacing w:line="580" w:lineRule="exact"/>
        <w:ind w:firstLine="640" w:firstLineChars="200"/>
        <w:rPr>
          <w:rFonts w:ascii="仿宋_GB2312" w:hAnsi="仿宋_GB2312" w:eastAsia="仿宋_GB2312" w:cs="仿宋_GB2312"/>
          <w:sz w:val="32"/>
          <w:szCs w:val="32"/>
        </w:rPr>
      </w:pPr>
    </w:p>
    <w:p>
      <w:pPr>
        <w:spacing w:line="580" w:lineRule="exact"/>
        <w:ind w:firstLine="640" w:firstLineChars="200"/>
        <w:rPr>
          <w:rFonts w:ascii="仿宋_GB2312" w:hAnsi="仿宋_GB2312" w:eastAsia="仿宋_GB2312" w:cs="仿宋_GB2312"/>
          <w:sz w:val="32"/>
          <w:szCs w:val="32"/>
        </w:rPr>
      </w:pPr>
    </w:p>
    <w:p>
      <w:pPr>
        <w:spacing w:line="580" w:lineRule="exact"/>
        <w:rPr>
          <w:rFonts w:hint="eastAsia" w:ascii="黑体" w:hAnsi="黑体" w:eastAsia="黑体" w:cs="黑体"/>
          <w:sz w:val="32"/>
          <w:szCs w:val="32"/>
        </w:rPr>
      </w:pPr>
    </w:p>
    <w:p>
      <w:pPr>
        <w:spacing w:line="580" w:lineRule="exact"/>
        <w:rPr>
          <w:rFonts w:hint="eastAsia" w:ascii="黑体" w:hAnsi="黑体" w:eastAsia="黑体" w:cs="黑体"/>
          <w:sz w:val="32"/>
          <w:szCs w:val="32"/>
        </w:rPr>
      </w:pPr>
    </w:p>
    <w:p>
      <w:pPr>
        <w:spacing w:line="580" w:lineRule="exact"/>
        <w:rPr>
          <w:rFonts w:hint="eastAsia" w:ascii="黑体" w:hAnsi="黑体" w:eastAsia="黑体" w:cs="黑体"/>
          <w:sz w:val="32"/>
          <w:szCs w:val="32"/>
        </w:rPr>
      </w:pPr>
    </w:p>
    <w:p>
      <w:pPr>
        <w:spacing w:line="580" w:lineRule="exact"/>
        <w:rPr>
          <w:rFonts w:hint="eastAsia" w:ascii="黑体" w:hAnsi="黑体" w:eastAsia="黑体" w:cs="黑体"/>
          <w:sz w:val="32"/>
          <w:szCs w:val="32"/>
        </w:rPr>
      </w:pPr>
    </w:p>
    <w:p>
      <w:pPr>
        <w:spacing w:line="580" w:lineRule="exact"/>
        <w:rPr>
          <w:rFonts w:hint="eastAsia" w:ascii="黑体" w:hAnsi="黑体" w:eastAsia="黑体" w:cs="黑体"/>
          <w:sz w:val="32"/>
          <w:szCs w:val="32"/>
        </w:rPr>
      </w:pPr>
    </w:p>
    <w:p>
      <w:pPr>
        <w:spacing w:line="580" w:lineRule="exact"/>
        <w:rPr>
          <w:rFonts w:ascii="仿宋_GB2312" w:hAnsi="仿宋_GB2312" w:eastAsia="仿宋_GB2312" w:cs="仿宋_GB2312"/>
          <w:sz w:val="32"/>
          <w:szCs w:val="32"/>
        </w:rPr>
      </w:pPr>
      <w:r>
        <w:rPr>
          <w:rFonts w:hint="eastAsia" w:ascii="黑体" w:hAnsi="黑体" w:eastAsia="黑体" w:cs="黑体"/>
          <w:sz w:val="32"/>
          <w:szCs w:val="32"/>
        </w:rPr>
        <w:t>附件2</w:t>
      </w:r>
    </w:p>
    <w:p>
      <w:pPr>
        <w:spacing w:line="580" w:lineRule="exact"/>
        <w:ind w:firstLine="640" w:firstLineChars="200"/>
        <w:rPr>
          <w:rFonts w:ascii="仿宋_GB2312" w:hAnsi="仿宋_GB2312" w:eastAsia="仿宋_GB2312" w:cs="仿宋_GB2312"/>
          <w:sz w:val="32"/>
          <w:szCs w:val="32"/>
        </w:rPr>
      </w:pPr>
    </w:p>
    <w:p>
      <w:pPr>
        <w:spacing w:line="600" w:lineRule="exact"/>
        <w:jc w:val="center"/>
        <w:rPr>
          <w:rFonts w:hint="eastAsia" w:ascii="方正小标宋简体" w:hAnsi="宋体" w:eastAsia="方正小标宋简体"/>
          <w:color w:val="000000"/>
          <w:kern w:val="0"/>
          <w:sz w:val="44"/>
          <w:szCs w:val="44"/>
          <w:lang w:eastAsia="zh-CN"/>
        </w:rPr>
      </w:pPr>
      <w:r>
        <w:rPr>
          <w:rFonts w:hint="eastAsia" w:ascii="方正小标宋简体" w:hAnsi="宋体" w:eastAsia="方正小标宋简体"/>
          <w:color w:val="000000"/>
          <w:kern w:val="0"/>
          <w:sz w:val="44"/>
          <w:szCs w:val="44"/>
          <w:lang w:eastAsia="zh-CN"/>
        </w:rPr>
        <w:t>红原县供销合作社联合社</w:t>
      </w:r>
    </w:p>
    <w:p>
      <w:pPr>
        <w:spacing w:line="600" w:lineRule="exact"/>
        <w:jc w:val="center"/>
        <w:rPr>
          <w:rFonts w:ascii="方正小标宋简体" w:hAnsi="宋体" w:eastAsia="方正小标宋简体"/>
          <w:color w:val="000000"/>
          <w:kern w:val="0"/>
          <w:sz w:val="44"/>
          <w:szCs w:val="44"/>
          <w:lang w:val="zh-CN"/>
        </w:rPr>
      </w:pPr>
      <w:r>
        <w:rPr>
          <w:rFonts w:hint="eastAsia" w:ascii="方正小标宋简体" w:hAnsi="宋体" w:eastAsia="方正小标宋简体"/>
          <w:color w:val="000000"/>
          <w:kern w:val="0"/>
          <w:sz w:val="44"/>
          <w:szCs w:val="44"/>
          <w:lang w:val="zh-CN"/>
        </w:rPr>
        <w:t>项目</w:t>
      </w:r>
      <w:r>
        <w:rPr>
          <w:rFonts w:hint="eastAsia" w:ascii="方正小标宋简体" w:hAnsi="宋体" w:eastAsia="方正小标宋简体"/>
          <w:color w:val="000000"/>
          <w:kern w:val="0"/>
          <w:sz w:val="44"/>
          <w:szCs w:val="44"/>
        </w:rPr>
        <w:t>2019年</w:t>
      </w:r>
      <w:r>
        <w:rPr>
          <w:rFonts w:hint="eastAsia" w:ascii="方正小标宋简体" w:hAnsi="宋体" w:eastAsia="方正小标宋简体"/>
          <w:color w:val="000000"/>
          <w:kern w:val="0"/>
          <w:sz w:val="44"/>
          <w:szCs w:val="44"/>
          <w:lang w:val="zh-CN"/>
        </w:rPr>
        <w:t>绩效评价报告</w:t>
      </w:r>
    </w:p>
    <w:p>
      <w:pPr>
        <w:spacing w:line="600" w:lineRule="exact"/>
        <w:rPr>
          <w:rFonts w:ascii="宋体" w:hAnsi="宋体"/>
          <w:sz w:val="32"/>
          <w:szCs w:val="32"/>
          <w:lang w:val="zh-CN"/>
        </w:rPr>
      </w:pPr>
    </w:p>
    <w:p>
      <w:pPr>
        <w:adjustRightInd w:val="0"/>
        <w:snapToGrid w:val="0"/>
        <w:spacing w:line="560" w:lineRule="exact"/>
        <w:ind w:firstLine="720"/>
        <w:rPr>
          <w:rFonts w:hint="eastAsia" w:ascii="黑体" w:hAnsi="黑体" w:eastAsia="黑体" w:cs="黑体"/>
          <w:sz w:val="32"/>
          <w:szCs w:val="32"/>
          <w:lang w:val="zh-CN"/>
        </w:rPr>
      </w:pPr>
      <w:r>
        <w:rPr>
          <w:rFonts w:hint="eastAsia" w:ascii="黑体" w:hAnsi="黑体" w:eastAsia="黑体" w:cs="黑体"/>
          <w:sz w:val="32"/>
          <w:szCs w:val="32"/>
        </w:rPr>
        <w:t>一、</w:t>
      </w:r>
      <w:r>
        <w:rPr>
          <w:rFonts w:hint="eastAsia" w:ascii="黑体" w:hAnsi="黑体" w:eastAsia="黑体" w:cs="黑体"/>
          <w:sz w:val="32"/>
          <w:szCs w:val="32"/>
          <w:lang w:val="zh-CN"/>
        </w:rPr>
        <w:t>项目概况</w:t>
      </w:r>
    </w:p>
    <w:p>
      <w:pPr>
        <w:pStyle w:val="23"/>
        <w:numPr>
          <w:ilvl w:val="0"/>
          <w:numId w:val="6"/>
        </w:numPr>
        <w:adjustRightInd w:val="0"/>
        <w:snapToGrid w:val="0"/>
        <w:spacing w:line="560" w:lineRule="exact"/>
        <w:ind w:firstLineChars="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项目资金申报及批复情况。</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b/>
          <w:sz w:val="32"/>
          <w:szCs w:val="32"/>
          <w:lang w:val="zh-CN"/>
        </w:rPr>
        <w:t>1.（阿州财建[2018]103号）2018年第二批新增地方政府一般债券资金(红原牦牛毛、藏绵毛技工创富增收项目)</w:t>
      </w:r>
      <w:r>
        <w:rPr>
          <w:rFonts w:hint="eastAsia" w:ascii="仿宋_GB2312" w:hAnsi="仿宋_GB2312" w:eastAsia="仿宋_GB2312" w:cs="仿宋_GB2312"/>
          <w:b/>
          <w:kern w:val="0"/>
          <w:sz w:val="32"/>
          <w:szCs w:val="32"/>
          <w:lang w:val="zh-CN"/>
        </w:rPr>
        <w:t>，</w:t>
      </w:r>
      <w:r>
        <w:rPr>
          <w:rFonts w:hint="eastAsia" w:ascii="仿宋_GB2312" w:hAnsi="仿宋_GB2312" w:eastAsia="仿宋_GB2312" w:cs="仿宋_GB2312"/>
          <w:kern w:val="0"/>
          <w:sz w:val="32"/>
          <w:szCs w:val="32"/>
          <w:lang w:val="zh-CN"/>
        </w:rPr>
        <w:t>项目资金2018年申报，所以程序符合资金管理办法等相关规定。</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2</w:t>
      </w:r>
      <w:r>
        <w:rPr>
          <w:rFonts w:hint="eastAsia" w:ascii="仿宋_GB2312" w:hAnsi="仿宋_GB2312" w:eastAsia="仿宋_GB2312" w:cs="仿宋_GB2312"/>
          <w:b/>
          <w:sz w:val="32"/>
          <w:szCs w:val="32"/>
          <w:lang w:val="zh-CN"/>
        </w:rPr>
        <w:t>.（阿州财建 [2018]-46号）更攀合作社厂房标准化建设项目，</w:t>
      </w:r>
      <w:r>
        <w:rPr>
          <w:rFonts w:hint="eastAsia" w:ascii="仿宋_GB2312" w:hAnsi="仿宋_GB2312" w:eastAsia="仿宋_GB2312" w:cs="仿宋_GB2312"/>
          <w:kern w:val="0"/>
          <w:sz w:val="32"/>
          <w:szCs w:val="32"/>
          <w:lang w:val="zh-CN"/>
        </w:rPr>
        <w:t>项目资金2018年申报，所有程序符合资金管理办法等相关规定。</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b/>
          <w:sz w:val="32"/>
          <w:szCs w:val="32"/>
          <w:lang w:val="zh-CN"/>
        </w:rPr>
        <w:t>3.（阿州财建2018-46号）更攀合作社标准化建设项目，</w:t>
      </w:r>
      <w:r>
        <w:rPr>
          <w:rFonts w:hint="eastAsia" w:ascii="仿宋_GB2312" w:hAnsi="仿宋_GB2312" w:eastAsia="仿宋_GB2312" w:cs="仿宋_GB2312"/>
          <w:kern w:val="0"/>
          <w:sz w:val="32"/>
          <w:szCs w:val="32"/>
          <w:lang w:val="zh-CN"/>
        </w:rPr>
        <w:t>项目资金2018年申报，所有程序符合资金管理办法等相关规定。</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b/>
          <w:sz w:val="32"/>
          <w:szCs w:val="32"/>
          <w:lang w:val="zh-CN"/>
        </w:rPr>
        <w:t>4.（红府办发2018-8号援建）更攀合作社产业发展项目，</w:t>
      </w:r>
      <w:r>
        <w:rPr>
          <w:rFonts w:hint="eastAsia" w:ascii="仿宋_GB2312" w:hAnsi="仿宋_GB2312" w:eastAsia="仿宋_GB2312" w:cs="仿宋_GB2312"/>
          <w:kern w:val="0"/>
          <w:sz w:val="32"/>
          <w:szCs w:val="32"/>
          <w:lang w:val="zh-CN"/>
        </w:rPr>
        <w:t>项目资金2018年申报，所有程序符合资金管理办法等相关规定。</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b/>
          <w:sz w:val="32"/>
          <w:szCs w:val="32"/>
          <w:lang w:val="zh-CN"/>
        </w:rPr>
        <w:t>5.（阿州财建[2018]103号）更攀合作社基础设施及设备采购项目，</w:t>
      </w:r>
      <w:r>
        <w:rPr>
          <w:rFonts w:hint="eastAsia" w:ascii="仿宋_GB2312" w:hAnsi="仿宋_GB2312" w:eastAsia="仿宋_GB2312" w:cs="仿宋_GB2312"/>
          <w:kern w:val="0"/>
          <w:sz w:val="32"/>
          <w:szCs w:val="32"/>
          <w:lang w:val="zh-CN"/>
        </w:rPr>
        <w:t>项目资金2018年申报，所有程序符合资金管理办法等相关规定。</w:t>
      </w:r>
    </w:p>
    <w:p>
      <w:pPr>
        <w:pStyle w:val="23"/>
        <w:numPr>
          <w:ilvl w:val="0"/>
          <w:numId w:val="6"/>
        </w:numPr>
        <w:adjustRightInd w:val="0"/>
        <w:snapToGrid w:val="0"/>
        <w:spacing w:line="560" w:lineRule="exact"/>
        <w:ind w:firstLineChars="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项目绩效目标。</w:t>
      </w:r>
    </w:p>
    <w:p>
      <w:pPr>
        <w:autoSpaceDE w:val="0"/>
        <w:autoSpaceDN w:val="0"/>
        <w:adjustRightInd w:val="0"/>
        <w:spacing w:line="560" w:lineRule="exact"/>
        <w:ind w:firstLine="643" w:firstLineChars="200"/>
        <w:rPr>
          <w:rFonts w:hint="eastAsia" w:ascii="仿宋_GB2312" w:hAnsi="仿宋_GB2312" w:eastAsia="仿宋_GB2312" w:cs="仿宋_GB2312"/>
          <w:b/>
          <w:kern w:val="0"/>
          <w:sz w:val="32"/>
          <w:szCs w:val="32"/>
          <w:lang w:val="zh-CN"/>
        </w:rPr>
      </w:pPr>
      <w:r>
        <w:rPr>
          <w:rFonts w:hint="eastAsia" w:ascii="仿宋_GB2312" w:hAnsi="仿宋_GB2312" w:eastAsia="仿宋_GB2312" w:cs="仿宋_GB2312"/>
          <w:b/>
          <w:sz w:val="32"/>
          <w:szCs w:val="32"/>
          <w:lang w:val="zh-CN"/>
        </w:rPr>
        <w:t>1.（阿州财建[2018]103号）2018年第二批新增地方政府一般债券资金(红原牦牛毛、藏绵毛技工创富增收项目)</w:t>
      </w:r>
      <w:r>
        <w:rPr>
          <w:rFonts w:hint="eastAsia" w:ascii="仿宋_GB2312" w:hAnsi="仿宋_GB2312" w:eastAsia="仿宋_GB2312" w:cs="仿宋_GB2312"/>
          <w:b/>
          <w:kern w:val="0"/>
          <w:sz w:val="32"/>
          <w:szCs w:val="32"/>
          <w:lang w:val="zh-CN"/>
        </w:rPr>
        <w:t xml:space="preserve">，      </w:t>
      </w:r>
    </w:p>
    <w:p>
      <w:pPr>
        <w:autoSpaceDE w:val="0"/>
        <w:autoSpaceDN w:val="0"/>
        <w:adjustRightInd w:val="0"/>
        <w:spacing w:line="560" w:lineRule="exact"/>
        <w:ind w:firstLine="640" w:firstLineChars="20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项目建设内容：新建生产车间1F：2590平方米、新建综合楼1F：750平方米、公共卫生间1F：126平方米。采购机器设备一套。</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项目总投入资金2800万元，2019年实施该项目第一期1800万元建设内容，计划2019年11月完成建设。</w:t>
      </w:r>
    </w:p>
    <w:p>
      <w:pPr>
        <w:adjustRightInd w:val="0"/>
        <w:snapToGrid w:val="0"/>
        <w:spacing w:line="560" w:lineRule="exact"/>
        <w:ind w:firstLine="640"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kern w:val="0"/>
          <w:sz w:val="32"/>
          <w:szCs w:val="32"/>
          <w:lang w:val="zh-CN"/>
        </w:rPr>
        <w:t>2</w:t>
      </w:r>
      <w:r>
        <w:rPr>
          <w:rFonts w:hint="eastAsia" w:ascii="仿宋_GB2312" w:hAnsi="仿宋_GB2312" w:eastAsia="仿宋_GB2312" w:cs="仿宋_GB2312"/>
          <w:b/>
          <w:sz w:val="32"/>
          <w:szCs w:val="32"/>
          <w:lang w:val="zh-CN"/>
        </w:rPr>
        <w:t>.（阿州财建 [2018]-46号）更攀合作社厂房标准化建设项目</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建设内容：新建倒班房1层，建筑面积649.17m2；奶制品厂房简易改造1503.36m2（包括拆除清理、地面、墙面等）；肉制品厂房简易改造1756.64m2（包括拆除清理、地面、墙面和吊顶等）；新建雕塑1座；联合社场区填方300m3。</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项目总投入资金353万元，2019年实施完成该项目建设内容。2019年7月20日完成图纸设计、地勘等工作，7月31日完成项目造价。8月1日送财评。</w:t>
      </w:r>
    </w:p>
    <w:p>
      <w:pPr>
        <w:adjustRightInd w:val="0"/>
        <w:snapToGrid w:val="0"/>
        <w:spacing w:line="560" w:lineRule="exact"/>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3.（阿州财建2018-46号）更攀合作社标准化建设项目，</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项目建设内容：采购更攀联合社乳制品生产线采购项目缺口资金。</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项目总投入资金450万元，2018年实施完成该项目建设内容。</w:t>
      </w:r>
    </w:p>
    <w:p>
      <w:pPr>
        <w:spacing w:line="560" w:lineRule="exact"/>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4.（红府办发2018-8号援建）更攀合作社产业发展项目，</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项目建设内容：用于更攀联合社下属公司，云尚日化设备采购建设。</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项目总投入资金360万元，2018年实施完成该项目建设内容。</w:t>
      </w:r>
    </w:p>
    <w:p>
      <w:pPr>
        <w:spacing w:line="560" w:lineRule="exact"/>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5.（阿州财建[2018]103号）更攀合作社基础设施及设备采购项目</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项目建设内容：更攀联合社厂房改造、蒸汽管道、天然气管道、展示展销中心装修、为农服务中心装饰装修、特色农产品销售心中装饰装修等建设。</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项目总投入资金653万元，已经完成蒸汽管道、展示展销中心装饰、厂房改造、天然气管道安装、特色农特产品销售中心建设工作。厂房改造采购需求论证公示。。</w:t>
      </w:r>
    </w:p>
    <w:p>
      <w:pPr>
        <w:pStyle w:val="23"/>
        <w:numPr>
          <w:ilvl w:val="0"/>
          <w:numId w:val="6"/>
        </w:numPr>
        <w:adjustRightInd w:val="0"/>
        <w:snapToGrid w:val="0"/>
        <w:spacing w:line="560" w:lineRule="exact"/>
        <w:ind w:firstLineChars="0"/>
        <w:rPr>
          <w:rFonts w:hint="eastAsia" w:ascii="仿宋_GB2312" w:hAnsi="仿宋_GB2312" w:eastAsia="仿宋_GB2312" w:cs="仿宋_GB2312"/>
          <w:sz w:val="32"/>
          <w:szCs w:val="32"/>
          <w:lang w:val="zh-CN"/>
        </w:rPr>
      </w:pPr>
      <w:r>
        <w:rPr>
          <w:rFonts w:hint="eastAsia" w:ascii="仿宋_GB2312" w:hAnsi="仿宋_GB2312" w:eastAsia="仿宋_GB2312" w:cs="仿宋_GB2312"/>
          <w:b/>
          <w:sz w:val="32"/>
          <w:szCs w:val="32"/>
          <w:lang w:val="zh-CN"/>
        </w:rPr>
        <w:t>项目资金申报相符性。</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sz w:val="32"/>
          <w:szCs w:val="32"/>
          <w:lang w:val="zh-CN"/>
        </w:rPr>
        <w:t>1.（</w:t>
      </w:r>
      <w:r>
        <w:rPr>
          <w:rFonts w:hint="eastAsia" w:ascii="仿宋_GB2312" w:hAnsi="仿宋_GB2312" w:eastAsia="仿宋_GB2312" w:cs="仿宋_GB2312"/>
          <w:b/>
          <w:sz w:val="32"/>
          <w:szCs w:val="32"/>
          <w:lang w:val="zh-CN"/>
        </w:rPr>
        <w:t>阿州财建[2018]103号）2018年第二批新增地方政府一般债券资金(红原牦牛毛、藏绵毛技工创富增收项目)</w:t>
      </w:r>
      <w:r>
        <w:rPr>
          <w:rFonts w:hint="eastAsia" w:ascii="仿宋_GB2312" w:hAnsi="仿宋_GB2312" w:eastAsia="仿宋_GB2312" w:cs="仿宋_GB2312"/>
          <w:b/>
          <w:kern w:val="0"/>
          <w:sz w:val="32"/>
          <w:szCs w:val="32"/>
          <w:lang w:val="zh-CN"/>
        </w:rPr>
        <w:t>，</w:t>
      </w:r>
      <w:r>
        <w:rPr>
          <w:rFonts w:hint="eastAsia" w:ascii="仿宋_GB2312" w:hAnsi="仿宋_GB2312" w:eastAsia="仿宋_GB2312" w:cs="仿宋_GB2312"/>
          <w:kern w:val="0"/>
          <w:sz w:val="32"/>
          <w:szCs w:val="32"/>
          <w:lang w:val="zh-CN"/>
        </w:rPr>
        <w:t>项目建设内容与实际建设相符，所申报目标有可研报告为依托。</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2</w:t>
      </w:r>
      <w:r>
        <w:rPr>
          <w:rFonts w:hint="eastAsia" w:ascii="仿宋_GB2312" w:hAnsi="仿宋_GB2312" w:eastAsia="仿宋_GB2312" w:cs="仿宋_GB2312"/>
          <w:b/>
          <w:sz w:val="32"/>
          <w:szCs w:val="32"/>
          <w:lang w:val="zh-CN"/>
        </w:rPr>
        <w:t>.（阿州财建 [2018]-46号）更攀合作社厂房标准化建设项目</w:t>
      </w:r>
      <w:r>
        <w:rPr>
          <w:rFonts w:hint="eastAsia" w:ascii="仿宋_GB2312" w:hAnsi="仿宋_GB2312" w:eastAsia="仿宋_GB2312" w:cs="仿宋_GB2312"/>
          <w:kern w:val="0"/>
          <w:sz w:val="32"/>
          <w:szCs w:val="32"/>
          <w:lang w:val="zh-CN"/>
        </w:rPr>
        <w:t>项目建设内容与实际建设相符，所申报目标有可研报告为依托。</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b/>
          <w:sz w:val="32"/>
          <w:szCs w:val="32"/>
          <w:lang w:val="zh-CN"/>
        </w:rPr>
        <w:t>3.（阿州财建2018-46号）更攀合作社标准化建设项目，</w:t>
      </w:r>
      <w:r>
        <w:rPr>
          <w:rFonts w:hint="eastAsia" w:ascii="仿宋_GB2312" w:hAnsi="仿宋_GB2312" w:eastAsia="仿宋_GB2312" w:cs="仿宋_GB2312"/>
          <w:kern w:val="0"/>
          <w:sz w:val="32"/>
          <w:szCs w:val="32"/>
          <w:lang w:val="zh-CN"/>
        </w:rPr>
        <w:t>项目建设内容与实际建设相符，所申报目标有可研报告为依托。</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b/>
          <w:sz w:val="32"/>
          <w:szCs w:val="32"/>
          <w:lang w:val="zh-CN"/>
        </w:rPr>
        <w:t>4.（红府办发2018-8号援建）更攀合作社产业发展项目，</w:t>
      </w:r>
      <w:r>
        <w:rPr>
          <w:rFonts w:hint="eastAsia" w:ascii="仿宋_GB2312" w:hAnsi="仿宋_GB2312" w:eastAsia="仿宋_GB2312" w:cs="仿宋_GB2312"/>
          <w:kern w:val="0"/>
          <w:sz w:val="32"/>
          <w:szCs w:val="32"/>
          <w:lang w:val="zh-CN"/>
        </w:rPr>
        <w:t>项目建设内容与实际建设相符，所申报目标有可研报告为依托。</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b/>
          <w:sz w:val="32"/>
          <w:szCs w:val="32"/>
          <w:lang w:val="zh-CN"/>
        </w:rPr>
        <w:t>5.（阿州财建[2018]103号）更攀合作社基础设施及设备采购项目，</w:t>
      </w:r>
      <w:r>
        <w:rPr>
          <w:rFonts w:hint="eastAsia" w:ascii="仿宋_GB2312" w:hAnsi="仿宋_GB2312" w:eastAsia="仿宋_GB2312" w:cs="仿宋_GB2312"/>
          <w:kern w:val="0"/>
          <w:sz w:val="32"/>
          <w:szCs w:val="32"/>
          <w:lang w:val="zh-CN"/>
        </w:rPr>
        <w:t>项目建设内容与实际建设相符，所申报目标有可研报告为依托。</w:t>
      </w:r>
    </w:p>
    <w:p>
      <w:pPr>
        <w:adjustRightInd w:val="0"/>
        <w:snapToGrid w:val="0"/>
        <w:spacing w:line="560" w:lineRule="exact"/>
        <w:ind w:firstLine="720"/>
        <w:rPr>
          <w:rFonts w:hint="eastAsia" w:ascii="黑体" w:hAnsi="黑体" w:eastAsia="黑体" w:cs="黑体"/>
          <w:sz w:val="32"/>
          <w:szCs w:val="32"/>
        </w:rPr>
      </w:pPr>
      <w:r>
        <w:rPr>
          <w:rFonts w:hint="eastAsia" w:ascii="黑体" w:hAnsi="黑体" w:eastAsia="黑体" w:cs="黑体"/>
          <w:sz w:val="32"/>
          <w:szCs w:val="32"/>
        </w:rPr>
        <w:t>二、项目实施及管理情况</w:t>
      </w:r>
    </w:p>
    <w:p>
      <w:pPr>
        <w:adjustRightInd w:val="0"/>
        <w:snapToGrid w:val="0"/>
        <w:spacing w:line="56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（一）资金计划、到位及使用情况。</w:t>
      </w:r>
    </w:p>
    <w:p>
      <w:pPr>
        <w:autoSpaceDE w:val="0"/>
        <w:autoSpaceDN w:val="0"/>
        <w:adjustRightInd w:val="0"/>
        <w:spacing w:line="560" w:lineRule="exact"/>
        <w:ind w:firstLine="643" w:firstLineChars="20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b/>
          <w:sz w:val="32"/>
          <w:szCs w:val="32"/>
          <w:lang w:val="zh-CN"/>
        </w:rPr>
        <w:t>1.（阿州财建[2018]103号）2018年第二批新增地方政府一般债券资金(红原牦牛毛、藏绵毛技工创富增收项目)</w:t>
      </w:r>
      <w:r>
        <w:rPr>
          <w:rFonts w:hint="eastAsia" w:ascii="仿宋_GB2312" w:hAnsi="仿宋_GB2312" w:eastAsia="仿宋_GB2312" w:cs="仿宋_GB2312"/>
          <w:b/>
          <w:kern w:val="0"/>
          <w:sz w:val="32"/>
          <w:szCs w:val="32"/>
          <w:lang w:val="zh-CN"/>
        </w:rPr>
        <w:t>，</w:t>
      </w:r>
      <w:r>
        <w:rPr>
          <w:rFonts w:hint="eastAsia" w:ascii="仿宋_GB2312" w:hAnsi="仿宋_GB2312" w:eastAsia="仿宋_GB2312" w:cs="仿宋_GB2312"/>
          <w:kern w:val="0"/>
          <w:sz w:val="32"/>
          <w:szCs w:val="32"/>
          <w:lang w:val="zh-CN"/>
        </w:rPr>
        <w:t>项目总投资2800万元，其中到位资金：2018年浙江援建资金1000万元，2018年第二期债券资金800万元，剩余资金正在争取。所有支付合理合法。项目8月16日开标，截止目前为止暂未支付资金。</w:t>
      </w:r>
    </w:p>
    <w:p>
      <w:pPr>
        <w:autoSpaceDE w:val="0"/>
        <w:autoSpaceDN w:val="0"/>
        <w:adjustRightInd w:val="0"/>
        <w:spacing w:line="560" w:lineRule="exact"/>
        <w:ind w:firstLine="7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2</w:t>
      </w:r>
      <w:r>
        <w:rPr>
          <w:rFonts w:hint="eastAsia" w:ascii="仿宋_GB2312" w:hAnsi="仿宋_GB2312" w:eastAsia="仿宋_GB2312" w:cs="仿宋_GB2312"/>
          <w:b/>
          <w:sz w:val="32"/>
          <w:szCs w:val="32"/>
          <w:lang w:val="zh-CN"/>
        </w:rPr>
        <w:t>.（阿州财建 [2018]-46号）更攀合作社厂房标准化建设项目</w:t>
      </w:r>
      <w:r>
        <w:rPr>
          <w:rFonts w:hint="eastAsia" w:ascii="仿宋_GB2312" w:hAnsi="仿宋_GB2312" w:eastAsia="仿宋_GB2312" w:cs="仿宋_GB2312"/>
          <w:kern w:val="0"/>
          <w:sz w:val="32"/>
          <w:szCs w:val="32"/>
          <w:lang w:val="zh-CN"/>
        </w:rPr>
        <w:t>，项目投入353万元，所有支付合理合法。项目2018年完成可研编制，截止目前为止支付资金3.5万元。</w:t>
      </w:r>
    </w:p>
    <w:p>
      <w:pPr>
        <w:autoSpaceDE w:val="0"/>
        <w:autoSpaceDN w:val="0"/>
        <w:adjustRightInd w:val="0"/>
        <w:spacing w:line="560" w:lineRule="exact"/>
        <w:ind w:firstLine="7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b/>
          <w:sz w:val="32"/>
          <w:szCs w:val="32"/>
          <w:lang w:val="zh-CN"/>
        </w:rPr>
        <w:t>3.（阿州财建2018-46号）更攀合作社标准化建设项目，</w:t>
      </w:r>
      <w:r>
        <w:rPr>
          <w:rFonts w:hint="eastAsia" w:ascii="仿宋_GB2312" w:hAnsi="仿宋_GB2312" w:eastAsia="仿宋_GB2312" w:cs="仿宋_GB2312"/>
          <w:kern w:val="0"/>
          <w:sz w:val="32"/>
          <w:szCs w:val="32"/>
          <w:lang w:val="zh-CN"/>
        </w:rPr>
        <w:t>项目投入450万元，所有支付合理合法。项目2018年完成建设并验收，截止目前为止支付资金450万元。</w:t>
      </w:r>
    </w:p>
    <w:p>
      <w:pPr>
        <w:spacing w:line="560" w:lineRule="exact"/>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4.（红府办发2018-8号援建）更攀合作社产业发展项目，</w:t>
      </w:r>
    </w:p>
    <w:p>
      <w:pPr>
        <w:autoSpaceDE w:val="0"/>
        <w:autoSpaceDN w:val="0"/>
        <w:adjustRightInd w:val="0"/>
        <w:spacing w:line="560" w:lineRule="exact"/>
        <w:ind w:firstLine="7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项目总投资360万元，所有支付合理合法。项目2018年完成建设并验收，截止目前为止支付资金347.4万元，剩余12.6万元为质保金。</w:t>
      </w:r>
    </w:p>
    <w:p>
      <w:pPr>
        <w:spacing w:line="560" w:lineRule="exact"/>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5.（阿州财建[2018]103号）更攀合作社基础设施及设备采购项目</w:t>
      </w:r>
    </w:p>
    <w:p>
      <w:pPr>
        <w:autoSpaceDE w:val="0"/>
        <w:autoSpaceDN w:val="0"/>
        <w:adjustRightInd w:val="0"/>
        <w:spacing w:line="560" w:lineRule="exact"/>
        <w:ind w:firstLine="7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项目总投资653万元，所有支付合理合法。项目正在建设。</w:t>
      </w:r>
    </w:p>
    <w:p>
      <w:pPr>
        <w:adjustRightInd w:val="0"/>
        <w:snapToGrid w:val="0"/>
        <w:spacing w:line="56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（二）项目财务管理情况。</w:t>
      </w:r>
    </w:p>
    <w:p>
      <w:pPr>
        <w:autoSpaceDE w:val="0"/>
        <w:autoSpaceDN w:val="0"/>
        <w:adjustRightInd w:val="0"/>
        <w:spacing w:line="560" w:lineRule="exact"/>
        <w:ind w:firstLine="7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项目财务管理制度建设、机构设置、会计核算及账务处理符合相关法律法规，严格执行财务管理制度、财务处理及时、会计核算规范。</w:t>
      </w:r>
    </w:p>
    <w:p>
      <w:pPr>
        <w:adjustRightInd w:val="0"/>
        <w:snapToGrid w:val="0"/>
        <w:spacing w:line="56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（三）项目组织实施情况。</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成立项目建设领导小组，统筹协调项目建设的推进方式，规范管理程序，解决各方面的困难问题。开展全程技术指导和项目督导，确保项目规范建设，确保项目质量和实施进度。</w:t>
      </w:r>
    </w:p>
    <w:p>
      <w:pPr>
        <w:autoSpaceDE w:val="0"/>
        <w:autoSpaceDN w:val="0"/>
        <w:adjustRightInd w:val="0"/>
        <w:spacing w:line="560" w:lineRule="exact"/>
        <w:ind w:firstLine="7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组  长：阿 云 峰    县供销社主任</w:t>
      </w:r>
    </w:p>
    <w:p>
      <w:pPr>
        <w:autoSpaceDE w:val="0"/>
        <w:autoSpaceDN w:val="0"/>
        <w:adjustRightInd w:val="0"/>
        <w:spacing w:line="560" w:lineRule="exact"/>
        <w:ind w:firstLine="7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副组长：阿    塔    县供销社副主任</w:t>
      </w:r>
    </w:p>
    <w:p>
      <w:pPr>
        <w:autoSpaceDE w:val="0"/>
        <w:autoSpaceDN w:val="0"/>
        <w:adjustRightInd w:val="0"/>
        <w:spacing w:line="560" w:lineRule="exact"/>
        <w:ind w:firstLine="7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成  员：金 祥 琼    县供销办公室主任</w:t>
      </w:r>
    </w:p>
    <w:p>
      <w:pPr>
        <w:autoSpaceDE w:val="0"/>
        <w:autoSpaceDN w:val="0"/>
        <w:adjustRightInd w:val="0"/>
        <w:spacing w:line="560" w:lineRule="exact"/>
        <w:ind w:firstLine="19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门    理    县供销干部</w:t>
      </w:r>
    </w:p>
    <w:p>
      <w:pPr>
        <w:autoSpaceDE w:val="0"/>
        <w:autoSpaceDN w:val="0"/>
        <w:adjustRightInd w:val="0"/>
        <w:spacing w:line="560" w:lineRule="exact"/>
        <w:ind w:firstLine="1920" w:firstLineChars="60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洪 庭 祥    县供销干部</w:t>
      </w:r>
    </w:p>
    <w:p>
      <w:pPr>
        <w:autoSpaceDE w:val="0"/>
        <w:autoSpaceDN w:val="0"/>
        <w:adjustRightInd w:val="0"/>
        <w:spacing w:line="560" w:lineRule="exact"/>
        <w:ind w:firstLine="7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项目严格执行相关管理制度，执行招投标、政府采购、项目公示。</w:t>
      </w:r>
    </w:p>
    <w:p>
      <w:pPr>
        <w:adjustRightInd w:val="0"/>
        <w:snapToGrid w:val="0"/>
        <w:spacing w:line="560" w:lineRule="exact"/>
        <w:ind w:firstLine="720"/>
        <w:rPr>
          <w:rFonts w:hint="eastAsia" w:ascii="黑体" w:hAnsi="黑体" w:eastAsia="黑体" w:cs="黑体"/>
          <w:sz w:val="32"/>
          <w:szCs w:val="32"/>
          <w:lang w:val="zh-CN"/>
        </w:rPr>
      </w:pPr>
      <w:r>
        <w:rPr>
          <w:rFonts w:hint="eastAsia" w:ascii="黑体" w:hAnsi="黑体" w:eastAsia="黑体" w:cs="黑体"/>
          <w:sz w:val="32"/>
          <w:szCs w:val="32"/>
        </w:rPr>
        <w:t>四、项目绩效情况</w:t>
      </w:r>
      <w:r>
        <w:rPr>
          <w:rFonts w:hint="eastAsia" w:ascii="黑体" w:hAnsi="黑体" w:eastAsia="黑体" w:cs="黑体"/>
          <w:sz w:val="32"/>
          <w:szCs w:val="32"/>
          <w:lang w:val="zh-CN"/>
        </w:rPr>
        <w:tab/>
      </w:r>
    </w:p>
    <w:p>
      <w:pPr>
        <w:adjustRightInd w:val="0"/>
        <w:snapToGrid w:val="0"/>
        <w:spacing w:line="56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（一）项目完成情况。</w:t>
      </w:r>
    </w:p>
    <w:p>
      <w:pPr>
        <w:adjustRightInd w:val="0"/>
        <w:snapToGrid w:val="0"/>
        <w:spacing w:line="560" w:lineRule="exact"/>
        <w:ind w:firstLine="72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b/>
          <w:sz w:val="32"/>
          <w:szCs w:val="32"/>
          <w:lang w:val="zh-CN"/>
        </w:rPr>
        <w:t>1.（阿州财建[2018]103号）项目</w:t>
      </w:r>
      <w:r>
        <w:rPr>
          <w:rFonts w:hint="eastAsia" w:ascii="仿宋_GB2312" w:hAnsi="仿宋_GB2312" w:eastAsia="仿宋_GB2312" w:cs="仿宋_GB2312"/>
          <w:b/>
          <w:kern w:val="0"/>
          <w:sz w:val="32"/>
          <w:szCs w:val="32"/>
          <w:lang w:val="zh-CN"/>
        </w:rPr>
        <w:t>，</w:t>
      </w:r>
      <w:r>
        <w:rPr>
          <w:rFonts w:hint="eastAsia" w:ascii="仿宋_GB2312" w:hAnsi="仿宋_GB2312" w:eastAsia="仿宋_GB2312" w:cs="仿宋_GB2312"/>
          <w:kern w:val="0"/>
          <w:sz w:val="32"/>
          <w:szCs w:val="32"/>
          <w:lang w:val="zh-CN"/>
        </w:rPr>
        <w:t>现设备已采购完成，正在进行基础建设挂网招标程序，8月16日开标。预计2019年11月完成项目一期建设。</w:t>
      </w:r>
    </w:p>
    <w:p>
      <w:pPr>
        <w:autoSpaceDE w:val="0"/>
        <w:autoSpaceDN w:val="0"/>
        <w:adjustRightInd w:val="0"/>
        <w:spacing w:line="560" w:lineRule="exact"/>
        <w:ind w:firstLine="720"/>
        <w:rPr>
          <w:rFonts w:hint="eastAsia" w:ascii="仿宋_GB2312" w:hAnsi="仿宋_GB2312" w:eastAsia="仿宋_GB2312" w:cs="仿宋_GB2312"/>
          <w:b/>
          <w:bCs/>
          <w:kern w:val="0"/>
          <w:sz w:val="32"/>
          <w:szCs w:val="32"/>
          <w:lang w:val="zh-CN"/>
        </w:rPr>
      </w:pPr>
      <w:r>
        <w:rPr>
          <w:rFonts w:hint="eastAsia" w:ascii="仿宋_GB2312" w:hAnsi="仿宋_GB2312" w:eastAsia="仿宋_GB2312" w:cs="仿宋_GB2312"/>
          <w:kern w:val="0"/>
          <w:sz w:val="32"/>
          <w:szCs w:val="32"/>
          <w:lang w:val="zh-CN"/>
        </w:rPr>
        <w:t>2</w:t>
      </w:r>
      <w:r>
        <w:rPr>
          <w:rFonts w:hint="eastAsia" w:ascii="仿宋_GB2312" w:hAnsi="仿宋_GB2312" w:eastAsia="仿宋_GB2312" w:cs="仿宋_GB2312"/>
          <w:b/>
          <w:sz w:val="32"/>
          <w:szCs w:val="32"/>
          <w:lang w:val="zh-CN"/>
        </w:rPr>
        <w:t>.（阿州财建 [2018]-46号）更攀合作社厂房标准化建设项目，</w:t>
      </w:r>
      <w:r>
        <w:rPr>
          <w:rFonts w:hint="eastAsia" w:ascii="仿宋_GB2312" w:hAnsi="仿宋_GB2312" w:eastAsia="仿宋_GB2312" w:cs="仿宋_GB2312"/>
          <w:kern w:val="0"/>
          <w:sz w:val="32"/>
          <w:szCs w:val="32"/>
          <w:lang w:val="zh-CN"/>
        </w:rPr>
        <w:t>该项目已建设完成。</w:t>
      </w:r>
    </w:p>
    <w:p>
      <w:pPr>
        <w:adjustRightInd w:val="0"/>
        <w:snapToGrid w:val="0"/>
        <w:spacing w:line="560" w:lineRule="exact"/>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3.（阿州财建2018-46号）更攀合作社标准化建设项目，</w:t>
      </w:r>
      <w:r>
        <w:rPr>
          <w:rFonts w:hint="eastAsia" w:ascii="仿宋_GB2312" w:hAnsi="仿宋_GB2312" w:eastAsia="仿宋_GB2312" w:cs="仿宋_GB2312"/>
          <w:kern w:val="0"/>
          <w:sz w:val="32"/>
          <w:szCs w:val="32"/>
          <w:lang w:val="zh-CN"/>
        </w:rPr>
        <w:t>该项目已建设完成。</w:t>
      </w:r>
    </w:p>
    <w:p>
      <w:pPr>
        <w:autoSpaceDE w:val="0"/>
        <w:autoSpaceDN w:val="0"/>
        <w:adjustRightInd w:val="0"/>
        <w:spacing w:line="560" w:lineRule="exact"/>
        <w:ind w:firstLine="720"/>
        <w:rPr>
          <w:rFonts w:hint="eastAsia" w:ascii="仿宋_GB2312" w:hAnsi="仿宋_GB2312" w:eastAsia="仿宋_GB2312" w:cs="仿宋_GB2312"/>
          <w:b/>
          <w:bCs/>
          <w:kern w:val="0"/>
          <w:sz w:val="32"/>
          <w:szCs w:val="32"/>
          <w:lang w:val="zh-CN"/>
        </w:rPr>
      </w:pPr>
      <w:r>
        <w:rPr>
          <w:rFonts w:hint="eastAsia" w:ascii="仿宋_GB2312" w:hAnsi="仿宋_GB2312" w:eastAsia="仿宋_GB2312" w:cs="仿宋_GB2312"/>
          <w:b/>
          <w:sz w:val="32"/>
          <w:szCs w:val="32"/>
          <w:lang w:val="zh-CN"/>
        </w:rPr>
        <w:t>4.（红府办发2018-8号援建）更攀合作社产业发展项目，</w:t>
      </w:r>
      <w:r>
        <w:rPr>
          <w:rFonts w:hint="eastAsia" w:ascii="仿宋_GB2312" w:hAnsi="仿宋_GB2312" w:eastAsia="仿宋_GB2312" w:cs="仿宋_GB2312"/>
          <w:kern w:val="0"/>
          <w:sz w:val="32"/>
          <w:szCs w:val="32"/>
          <w:lang w:val="zh-CN"/>
        </w:rPr>
        <w:t>该项目已建设完成。</w:t>
      </w:r>
    </w:p>
    <w:p>
      <w:pPr>
        <w:spacing w:line="560" w:lineRule="exact"/>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5.（阿州财建[2018]103号）更攀合作社基础设施及设备采购项目，</w:t>
      </w:r>
      <w:r>
        <w:rPr>
          <w:rFonts w:hint="eastAsia" w:ascii="仿宋_GB2312" w:hAnsi="仿宋_GB2312" w:eastAsia="仿宋_GB2312" w:cs="仿宋_GB2312"/>
          <w:kern w:val="0"/>
          <w:sz w:val="32"/>
          <w:szCs w:val="32"/>
          <w:lang w:val="zh-CN"/>
        </w:rPr>
        <w:t>已经完成蒸汽管道、展示展销中心装饰、厂房改造、天然气管道安装、特色农特产品销售中心建设工作。厂房改造采购需求论证公示。</w:t>
      </w:r>
    </w:p>
    <w:p>
      <w:pPr>
        <w:adjustRightInd w:val="0"/>
        <w:snapToGrid w:val="0"/>
        <w:spacing w:line="56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（二）项目效益情况。</w:t>
      </w:r>
    </w:p>
    <w:p>
      <w:pPr>
        <w:adjustRightInd w:val="0"/>
        <w:snapToGrid w:val="0"/>
        <w:spacing w:line="56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1.（阿州财建[2018]103号）项目</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经济效益：按照2018年牦牛存栏计算，直接经济效益为480万元，增加牦牛毛产业相关就业岗位700个，增加季节性临时收入140万元，贫困人口人均增收600元。</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生态效益：为老百姓打通行的经济来源收入，达到减畜不减收的目的，更好的推广减畜，为人与生态相和谐做出贡献。</w:t>
      </w:r>
    </w:p>
    <w:p>
      <w:pPr>
        <w:adjustRightInd w:val="0"/>
        <w:snapToGrid w:val="0"/>
        <w:spacing w:line="560" w:lineRule="exact"/>
        <w:ind w:firstLine="640"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kern w:val="0"/>
          <w:sz w:val="32"/>
          <w:szCs w:val="32"/>
          <w:lang w:val="zh-CN"/>
        </w:rPr>
        <w:t>2</w:t>
      </w:r>
      <w:r>
        <w:rPr>
          <w:rFonts w:hint="eastAsia" w:ascii="仿宋_GB2312" w:hAnsi="仿宋_GB2312" w:eastAsia="仿宋_GB2312" w:cs="仿宋_GB2312"/>
          <w:b/>
          <w:sz w:val="32"/>
          <w:szCs w:val="32"/>
          <w:lang w:val="zh-CN"/>
        </w:rPr>
        <w:t>.（阿州财建 [2018]-46号）更攀合作社厂房标准化建设项目</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经济效益：项目投产后每年生产乳类产品1000余吨，每年可为全县建档立卡贫困户人均增收190元。农畜产品达到县内可销售，销售价格高的目的，达到人均收入增收600元。</w:t>
      </w:r>
    </w:p>
    <w:p>
      <w:pPr>
        <w:autoSpaceDE w:val="0"/>
        <w:autoSpaceDN w:val="0"/>
        <w:adjustRightInd w:val="0"/>
        <w:spacing w:line="560" w:lineRule="exact"/>
        <w:ind w:firstLine="64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3.（阿州财建2018-46号）更攀合作社标准化建设项目，</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经济效益：项目投产后每年生产乳类产品1000余吨，每年可为全县建档立卡贫困户人均增收190元。农畜产品达到县内可销售，销售价格高的目的，达到人均收入增收600元。</w:t>
      </w:r>
    </w:p>
    <w:p>
      <w:pPr>
        <w:spacing w:line="560" w:lineRule="exact"/>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4.（红府办发2018-8号援建）更攀合作社产业发展项目</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经济效益：使用更攀联合社生产酸奶、黄油、奶渣等农产品所剩原料：乳清、黄油等生产原生态化妆品。预计每年销售金额为800万。</w:t>
      </w:r>
    </w:p>
    <w:p>
      <w:pPr>
        <w:spacing w:line="560" w:lineRule="exact"/>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5.（阿州财建[2018]103号）更攀合作社基础设施及设备采购项目</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经济效益：项目投产后每年生产乳类产品1000余吨，每年可为全县建档立卡贫困户人均增收190元。农畜产品达到县内可销售，销售价格高的目的，达到人均收入增收600元。</w:t>
      </w:r>
    </w:p>
    <w:p>
      <w:pPr>
        <w:autoSpaceDE w:val="0"/>
        <w:autoSpaceDN w:val="0"/>
        <w:adjustRightInd w:val="0"/>
        <w:spacing w:line="560" w:lineRule="exact"/>
        <w:ind w:firstLine="64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lang w:val="zh-CN"/>
        </w:rPr>
        <w:t>生态效益：为老百姓打通行的经济来源收入，达到减畜不减收的目的，更好的推广减畜，为人与生态相和谐做出贡献。</w:t>
      </w:r>
    </w:p>
    <w:p>
      <w:pPr>
        <w:widowControl/>
        <w:adjustRightInd w:val="0"/>
        <w:snapToGrid w:val="0"/>
        <w:spacing w:line="600" w:lineRule="exact"/>
        <w:ind w:firstLine="720"/>
        <w:jc w:val="lef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五、评价结论及建议</w:t>
      </w:r>
    </w:p>
    <w:p>
      <w:pPr>
        <w:spacing w:line="58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zh-CN"/>
        </w:rPr>
        <w:t>评价结论：</w:t>
      </w:r>
      <w:r>
        <w:rPr>
          <w:rFonts w:hint="eastAsia" w:ascii="仿宋_GB2312" w:hAnsi="仿宋_GB2312" w:eastAsia="仿宋_GB2312" w:cs="仿宋_GB2312"/>
          <w:sz w:val="32"/>
          <w:szCs w:val="32"/>
        </w:rPr>
        <w:t>按照预算绩效管理要求，本单位对2018年项目支出开展绩效自评，自评得分92分，部门整体支出绩效为“好”。</w:t>
      </w:r>
    </w:p>
    <w:p>
      <w:pPr>
        <w:spacing w:line="580" w:lineRule="exact"/>
        <w:ind w:firstLine="640"/>
        <w:rPr>
          <w:rFonts w:ascii="仿宋_GB2312" w:hAnsi="仿宋_GB2312" w:eastAsia="仿宋_GB2312" w:cs="仿宋_GB2312"/>
          <w:sz w:val="32"/>
          <w:szCs w:val="32"/>
        </w:rPr>
      </w:pPr>
    </w:p>
    <w:p>
      <w:pPr>
        <w:widowControl/>
        <w:jc w:val="left"/>
        <w:rPr>
          <w:rStyle w:val="24"/>
          <w:rFonts w:ascii="黑体" w:hAnsi="黑体" w:eastAsia="黑体"/>
          <w:b w:val="0"/>
        </w:rPr>
      </w:pPr>
    </w:p>
    <w:p>
      <w:pPr>
        <w:widowControl/>
        <w:jc w:val="left"/>
        <w:rPr>
          <w:rStyle w:val="24"/>
          <w:rFonts w:ascii="黑体" w:hAnsi="黑体" w:eastAsia="黑体"/>
          <w:b w:val="0"/>
        </w:rPr>
      </w:pPr>
      <w:r>
        <w:rPr>
          <w:rStyle w:val="24"/>
          <w:rFonts w:ascii="黑体" w:hAnsi="黑体" w:eastAsia="黑体"/>
          <w:b w:val="0"/>
        </w:rPr>
        <w:br w:type="page"/>
      </w:r>
    </w:p>
    <w:p>
      <w:pPr>
        <w:spacing w:line="600" w:lineRule="exact"/>
        <w:jc w:val="center"/>
        <w:outlineLvl w:val="0"/>
        <w:rPr>
          <w:rStyle w:val="24"/>
          <w:rFonts w:ascii="黑体" w:hAnsi="黑体" w:eastAsia="黑体"/>
          <w:b w:val="0"/>
        </w:rPr>
      </w:pPr>
    </w:p>
    <w:p>
      <w:pPr>
        <w:spacing w:line="600" w:lineRule="exact"/>
        <w:jc w:val="center"/>
        <w:outlineLvl w:val="0"/>
        <w:rPr>
          <w:rStyle w:val="24"/>
          <w:rFonts w:ascii="黑体" w:hAnsi="黑体" w:eastAsia="黑体"/>
          <w:b w:val="0"/>
        </w:rPr>
      </w:pPr>
      <w:bookmarkStart w:id="59" w:name="_Toc15396618"/>
      <w:r>
        <w:rPr>
          <w:rFonts w:hint="eastAsia" w:ascii="黑体" w:hAnsi="黑体" w:eastAsia="黑体"/>
          <w:color w:val="000000"/>
          <w:sz w:val="44"/>
          <w:szCs w:val="44"/>
        </w:rPr>
        <w:t>第</w:t>
      </w:r>
      <w:r>
        <w:rPr>
          <w:rStyle w:val="24"/>
          <w:rFonts w:hint="eastAsia" w:ascii="黑体" w:hAnsi="黑体" w:eastAsia="黑体"/>
          <w:b w:val="0"/>
        </w:rPr>
        <w:t>五部分 附表</w:t>
      </w:r>
      <w:bookmarkEnd w:id="57"/>
      <w:bookmarkEnd w:id="59"/>
    </w:p>
    <w:p>
      <w:pPr>
        <w:spacing w:line="600" w:lineRule="exact"/>
        <w:jc w:val="center"/>
        <w:outlineLvl w:val="0"/>
        <w:rPr>
          <w:rFonts w:ascii="仿宋" w:hAnsi="仿宋" w:eastAsia="仿宋"/>
          <w:b/>
          <w:color w:val="000000"/>
          <w:sz w:val="44"/>
          <w:szCs w:val="44"/>
        </w:rPr>
      </w:pPr>
    </w:p>
    <w:p>
      <w:pPr>
        <w:pStyle w:val="3"/>
        <w:rPr>
          <w:rFonts w:ascii="仿宋" w:hAnsi="仿宋" w:eastAsia="仿宋"/>
          <w:color w:val="000000"/>
        </w:rPr>
      </w:pPr>
      <w:bookmarkStart w:id="60" w:name="_Toc15396619"/>
      <w:r>
        <w:rPr>
          <w:rFonts w:hint="eastAsia" w:ascii="仿宋" w:hAnsi="仿宋" w:eastAsia="仿宋"/>
          <w:b w:val="0"/>
          <w:color w:val="000000"/>
        </w:rPr>
        <w:t>一、收</w:t>
      </w:r>
      <w:r>
        <w:rPr>
          <w:rStyle w:val="25"/>
          <w:rFonts w:hint="eastAsia" w:ascii="仿宋" w:hAnsi="仿宋" w:eastAsia="仿宋"/>
          <w:b w:val="0"/>
          <w:bCs w:val="0"/>
        </w:rPr>
        <w:t>入支出决算总表</w:t>
      </w:r>
      <w:bookmarkEnd w:id="60"/>
    </w:p>
    <w:p>
      <w:pPr>
        <w:pStyle w:val="3"/>
        <w:rPr>
          <w:rFonts w:ascii="仿宋" w:hAnsi="仿宋" w:eastAsia="仿宋"/>
          <w:color w:val="000000"/>
        </w:rPr>
      </w:pPr>
      <w:bookmarkStart w:id="61" w:name="_Toc15396620"/>
      <w:r>
        <w:rPr>
          <w:rFonts w:hint="eastAsia" w:ascii="仿宋" w:hAnsi="仿宋" w:eastAsia="仿宋"/>
          <w:b w:val="0"/>
          <w:color w:val="000000"/>
        </w:rPr>
        <w:t>二、收</w:t>
      </w:r>
      <w:r>
        <w:rPr>
          <w:rStyle w:val="25"/>
          <w:rFonts w:hint="eastAsia" w:ascii="仿宋" w:hAnsi="仿宋" w:eastAsia="仿宋"/>
          <w:b w:val="0"/>
          <w:bCs w:val="0"/>
        </w:rPr>
        <w:t>入决算表</w:t>
      </w:r>
      <w:bookmarkEnd w:id="61"/>
    </w:p>
    <w:p>
      <w:pPr>
        <w:pStyle w:val="3"/>
        <w:rPr>
          <w:rFonts w:ascii="仿宋" w:hAnsi="仿宋" w:eastAsia="仿宋"/>
          <w:color w:val="000000"/>
        </w:rPr>
      </w:pPr>
      <w:bookmarkStart w:id="62" w:name="_Toc15396621"/>
      <w:r>
        <w:rPr>
          <w:rStyle w:val="25"/>
          <w:rFonts w:hint="eastAsia" w:ascii="仿宋" w:hAnsi="仿宋" w:eastAsia="仿宋"/>
          <w:b w:val="0"/>
          <w:bCs w:val="0"/>
        </w:rPr>
        <w:t>三、</w:t>
      </w:r>
      <w:r>
        <w:rPr>
          <w:rFonts w:hint="eastAsia" w:ascii="仿宋" w:hAnsi="仿宋" w:eastAsia="仿宋"/>
          <w:b w:val="0"/>
          <w:color w:val="000000"/>
        </w:rPr>
        <w:t>支</w:t>
      </w:r>
      <w:r>
        <w:rPr>
          <w:rStyle w:val="25"/>
          <w:rFonts w:hint="eastAsia" w:ascii="仿宋" w:hAnsi="仿宋" w:eastAsia="仿宋"/>
          <w:b w:val="0"/>
          <w:bCs w:val="0"/>
        </w:rPr>
        <w:t>出决算表</w:t>
      </w:r>
      <w:bookmarkEnd w:id="62"/>
    </w:p>
    <w:p>
      <w:pPr>
        <w:pStyle w:val="3"/>
        <w:rPr>
          <w:rFonts w:ascii="仿宋" w:hAnsi="仿宋" w:eastAsia="仿宋"/>
          <w:b w:val="0"/>
          <w:color w:val="000000"/>
        </w:rPr>
      </w:pPr>
      <w:bookmarkStart w:id="63" w:name="_Toc15396622"/>
      <w:r>
        <w:rPr>
          <w:rStyle w:val="25"/>
          <w:rFonts w:hint="eastAsia" w:ascii="仿宋" w:hAnsi="仿宋" w:eastAsia="仿宋"/>
          <w:b w:val="0"/>
          <w:bCs w:val="0"/>
        </w:rPr>
        <w:t>四、</w:t>
      </w:r>
      <w:r>
        <w:rPr>
          <w:rFonts w:hint="eastAsia" w:ascii="仿宋" w:hAnsi="仿宋" w:eastAsia="仿宋"/>
          <w:b w:val="0"/>
          <w:color w:val="000000"/>
        </w:rPr>
        <w:t>财</w:t>
      </w:r>
      <w:r>
        <w:rPr>
          <w:rStyle w:val="25"/>
          <w:rFonts w:hint="eastAsia" w:ascii="仿宋" w:hAnsi="仿宋" w:eastAsia="仿宋"/>
          <w:b w:val="0"/>
          <w:bCs w:val="0"/>
        </w:rPr>
        <w:t>政拨款收入支出决算总表</w:t>
      </w:r>
      <w:bookmarkEnd w:id="63"/>
    </w:p>
    <w:p>
      <w:pPr>
        <w:pStyle w:val="3"/>
        <w:rPr>
          <w:rStyle w:val="25"/>
          <w:rFonts w:ascii="仿宋" w:hAnsi="仿宋" w:eastAsia="仿宋"/>
          <w:b w:val="0"/>
          <w:bCs w:val="0"/>
        </w:rPr>
      </w:pPr>
      <w:bookmarkStart w:id="64" w:name="_Toc15396623"/>
      <w:r>
        <w:rPr>
          <w:rStyle w:val="25"/>
          <w:rFonts w:hint="eastAsia" w:ascii="仿宋" w:hAnsi="仿宋" w:eastAsia="仿宋"/>
          <w:b w:val="0"/>
          <w:bCs w:val="0"/>
        </w:rPr>
        <w:t>五、</w:t>
      </w:r>
      <w:r>
        <w:rPr>
          <w:rFonts w:hint="eastAsia" w:ascii="仿宋" w:hAnsi="仿宋" w:eastAsia="仿宋"/>
          <w:b w:val="0"/>
          <w:color w:val="000000"/>
        </w:rPr>
        <w:t>财</w:t>
      </w:r>
      <w:r>
        <w:rPr>
          <w:rStyle w:val="25"/>
          <w:rFonts w:hint="eastAsia" w:ascii="仿宋" w:hAnsi="仿宋" w:eastAsia="仿宋"/>
          <w:b w:val="0"/>
          <w:bCs w:val="0"/>
        </w:rPr>
        <w:t>政拨款支出决算明细表</w:t>
      </w:r>
      <w:bookmarkEnd w:id="64"/>
      <w:bookmarkStart w:id="65" w:name="_Toc15396624"/>
    </w:p>
    <w:p>
      <w:pPr>
        <w:pStyle w:val="3"/>
        <w:rPr>
          <w:rFonts w:ascii="仿宋" w:hAnsi="仿宋" w:eastAsia="仿宋"/>
          <w:color w:val="000000"/>
        </w:rPr>
      </w:pPr>
      <w:r>
        <w:rPr>
          <w:rStyle w:val="25"/>
          <w:rFonts w:hint="eastAsia" w:ascii="仿宋" w:hAnsi="仿宋" w:eastAsia="仿宋"/>
          <w:b w:val="0"/>
          <w:bCs w:val="0"/>
        </w:rPr>
        <w:t>六、</w:t>
      </w:r>
      <w:r>
        <w:rPr>
          <w:rFonts w:hint="eastAsia" w:ascii="仿宋" w:hAnsi="仿宋" w:eastAsia="仿宋"/>
          <w:b w:val="0"/>
          <w:color w:val="000000"/>
        </w:rPr>
        <w:t>一</w:t>
      </w:r>
      <w:r>
        <w:rPr>
          <w:rStyle w:val="25"/>
          <w:rFonts w:hint="eastAsia" w:ascii="仿宋" w:hAnsi="仿宋" w:eastAsia="仿宋"/>
          <w:b w:val="0"/>
          <w:bCs w:val="0"/>
        </w:rPr>
        <w:t>般公共预算财政拨款支出决算表</w:t>
      </w:r>
      <w:bookmarkEnd w:id="65"/>
    </w:p>
    <w:p>
      <w:pPr>
        <w:pStyle w:val="3"/>
        <w:rPr>
          <w:rFonts w:ascii="仿宋" w:hAnsi="仿宋" w:eastAsia="仿宋"/>
          <w:color w:val="000000"/>
        </w:rPr>
      </w:pPr>
      <w:bookmarkStart w:id="66" w:name="_Toc15396625"/>
      <w:r>
        <w:rPr>
          <w:rStyle w:val="25"/>
          <w:rFonts w:hint="eastAsia" w:ascii="仿宋" w:hAnsi="仿宋" w:eastAsia="仿宋"/>
          <w:b w:val="0"/>
          <w:bCs w:val="0"/>
        </w:rPr>
        <w:t>七、</w:t>
      </w:r>
      <w:r>
        <w:rPr>
          <w:rFonts w:hint="eastAsia" w:ascii="仿宋" w:hAnsi="仿宋" w:eastAsia="仿宋"/>
          <w:b w:val="0"/>
          <w:color w:val="000000"/>
        </w:rPr>
        <w:t>一</w:t>
      </w:r>
      <w:r>
        <w:rPr>
          <w:rStyle w:val="25"/>
          <w:rFonts w:hint="eastAsia" w:ascii="仿宋" w:hAnsi="仿宋" w:eastAsia="仿宋"/>
          <w:b w:val="0"/>
          <w:bCs w:val="0"/>
        </w:rPr>
        <w:t>般公共预算财政拨款支出决算明细表</w:t>
      </w:r>
      <w:bookmarkEnd w:id="66"/>
    </w:p>
    <w:p>
      <w:pPr>
        <w:pStyle w:val="3"/>
        <w:rPr>
          <w:rFonts w:ascii="仿宋" w:hAnsi="仿宋" w:eastAsia="仿宋"/>
          <w:color w:val="000000"/>
        </w:rPr>
      </w:pPr>
      <w:bookmarkStart w:id="67" w:name="_Toc15396626"/>
      <w:r>
        <w:rPr>
          <w:rStyle w:val="25"/>
          <w:rFonts w:hint="eastAsia" w:ascii="仿宋" w:hAnsi="仿宋" w:eastAsia="仿宋"/>
          <w:b w:val="0"/>
          <w:bCs w:val="0"/>
        </w:rPr>
        <w:t>八、</w:t>
      </w:r>
      <w:r>
        <w:rPr>
          <w:rFonts w:hint="eastAsia" w:ascii="仿宋" w:hAnsi="仿宋" w:eastAsia="仿宋"/>
          <w:b w:val="0"/>
          <w:color w:val="000000"/>
        </w:rPr>
        <w:t>一</w:t>
      </w:r>
      <w:r>
        <w:rPr>
          <w:rStyle w:val="25"/>
          <w:rFonts w:hint="eastAsia" w:ascii="仿宋" w:hAnsi="仿宋" w:eastAsia="仿宋"/>
          <w:b w:val="0"/>
          <w:bCs w:val="0"/>
        </w:rPr>
        <w:t>般公共预算财政拨款基本支出决算表</w:t>
      </w:r>
      <w:bookmarkEnd w:id="67"/>
    </w:p>
    <w:p>
      <w:pPr>
        <w:pStyle w:val="3"/>
        <w:rPr>
          <w:rFonts w:ascii="仿宋" w:hAnsi="仿宋" w:eastAsia="仿宋"/>
          <w:color w:val="000000"/>
        </w:rPr>
      </w:pPr>
      <w:bookmarkStart w:id="68" w:name="_Toc15396627"/>
      <w:r>
        <w:rPr>
          <w:rStyle w:val="25"/>
          <w:rFonts w:hint="eastAsia" w:ascii="仿宋" w:hAnsi="仿宋" w:eastAsia="仿宋"/>
          <w:b w:val="0"/>
          <w:bCs w:val="0"/>
        </w:rPr>
        <w:t>九、</w:t>
      </w:r>
      <w:r>
        <w:rPr>
          <w:rFonts w:hint="eastAsia" w:ascii="仿宋" w:hAnsi="仿宋" w:eastAsia="仿宋"/>
          <w:b w:val="0"/>
          <w:color w:val="000000"/>
        </w:rPr>
        <w:t>一</w:t>
      </w:r>
      <w:r>
        <w:rPr>
          <w:rStyle w:val="25"/>
          <w:rFonts w:hint="eastAsia" w:ascii="仿宋" w:hAnsi="仿宋" w:eastAsia="仿宋"/>
          <w:b w:val="0"/>
          <w:bCs w:val="0"/>
        </w:rPr>
        <w:t>般公共预算财政拨款项目支出决算表</w:t>
      </w:r>
      <w:bookmarkEnd w:id="68"/>
    </w:p>
    <w:p>
      <w:pPr>
        <w:pStyle w:val="3"/>
        <w:rPr>
          <w:rFonts w:ascii="仿宋" w:hAnsi="仿宋" w:eastAsia="仿宋"/>
          <w:color w:val="000000"/>
        </w:rPr>
      </w:pPr>
      <w:bookmarkStart w:id="69" w:name="_Toc15396628"/>
      <w:r>
        <w:rPr>
          <w:rStyle w:val="25"/>
          <w:rFonts w:hint="eastAsia" w:ascii="仿宋" w:hAnsi="仿宋" w:eastAsia="仿宋"/>
          <w:b w:val="0"/>
          <w:bCs w:val="0"/>
        </w:rPr>
        <w:t>十、</w:t>
      </w:r>
      <w:r>
        <w:rPr>
          <w:rFonts w:hint="eastAsia" w:ascii="仿宋" w:hAnsi="仿宋" w:eastAsia="仿宋"/>
          <w:b w:val="0"/>
          <w:color w:val="000000"/>
        </w:rPr>
        <w:t>一</w:t>
      </w:r>
      <w:r>
        <w:rPr>
          <w:rStyle w:val="25"/>
          <w:rFonts w:hint="eastAsia" w:ascii="仿宋" w:hAnsi="仿宋" w:eastAsia="仿宋"/>
          <w:b w:val="0"/>
          <w:bCs w:val="0"/>
        </w:rPr>
        <w:t>般公共预算财政拨款“三公”经费支出决算表</w:t>
      </w:r>
      <w:bookmarkEnd w:id="69"/>
    </w:p>
    <w:p>
      <w:pPr>
        <w:pStyle w:val="3"/>
        <w:rPr>
          <w:rFonts w:ascii="仿宋" w:hAnsi="仿宋" w:eastAsia="仿宋"/>
          <w:color w:val="000000"/>
        </w:rPr>
      </w:pPr>
      <w:bookmarkStart w:id="70" w:name="_Toc15396629"/>
      <w:r>
        <w:rPr>
          <w:rStyle w:val="25"/>
          <w:rFonts w:hint="eastAsia" w:ascii="仿宋" w:hAnsi="仿宋" w:eastAsia="仿宋"/>
          <w:b w:val="0"/>
          <w:bCs w:val="0"/>
        </w:rPr>
        <w:t>十一、</w:t>
      </w:r>
      <w:r>
        <w:rPr>
          <w:rFonts w:hint="eastAsia" w:ascii="仿宋" w:hAnsi="仿宋" w:eastAsia="仿宋"/>
          <w:b w:val="0"/>
          <w:color w:val="000000"/>
        </w:rPr>
        <w:t>政</w:t>
      </w:r>
      <w:r>
        <w:rPr>
          <w:rStyle w:val="25"/>
          <w:rFonts w:hint="eastAsia" w:ascii="仿宋" w:hAnsi="仿宋" w:eastAsia="仿宋"/>
          <w:b w:val="0"/>
          <w:bCs w:val="0"/>
        </w:rPr>
        <w:t>府性基金预算财政拨款收入支出决算表</w:t>
      </w:r>
      <w:bookmarkEnd w:id="70"/>
    </w:p>
    <w:p>
      <w:pPr>
        <w:pStyle w:val="3"/>
        <w:rPr>
          <w:rFonts w:ascii="仿宋" w:hAnsi="仿宋" w:eastAsia="仿宋"/>
          <w:color w:val="000000"/>
        </w:rPr>
      </w:pPr>
      <w:bookmarkStart w:id="71" w:name="_Toc15396630"/>
      <w:r>
        <w:rPr>
          <w:rStyle w:val="25"/>
          <w:rFonts w:hint="eastAsia" w:ascii="仿宋" w:hAnsi="仿宋" w:eastAsia="仿宋"/>
          <w:b w:val="0"/>
          <w:bCs w:val="0"/>
        </w:rPr>
        <w:t>十二、</w:t>
      </w:r>
      <w:r>
        <w:rPr>
          <w:rFonts w:hint="eastAsia" w:ascii="仿宋" w:hAnsi="仿宋" w:eastAsia="仿宋"/>
          <w:b w:val="0"/>
          <w:color w:val="000000"/>
        </w:rPr>
        <w:t>政</w:t>
      </w:r>
      <w:r>
        <w:rPr>
          <w:rStyle w:val="25"/>
          <w:rFonts w:hint="eastAsia" w:ascii="仿宋" w:hAnsi="仿宋" w:eastAsia="仿宋"/>
          <w:b w:val="0"/>
          <w:bCs w:val="0"/>
        </w:rPr>
        <w:t>府性基金预算财政拨款“三公”经费支出决算表</w:t>
      </w:r>
      <w:bookmarkEnd w:id="71"/>
    </w:p>
    <w:p>
      <w:pPr>
        <w:pStyle w:val="3"/>
        <w:rPr>
          <w:rFonts w:ascii="仿宋" w:hAnsi="仿宋" w:eastAsia="仿宋"/>
          <w:color w:val="000000" w:themeColor="text1"/>
        </w:rPr>
      </w:pPr>
      <w:bookmarkStart w:id="72" w:name="_Toc15396631"/>
      <w:r>
        <w:rPr>
          <w:rStyle w:val="25"/>
          <w:rFonts w:hint="eastAsia" w:ascii="仿宋" w:hAnsi="仿宋" w:eastAsia="仿宋"/>
          <w:b w:val="0"/>
          <w:bCs w:val="0"/>
        </w:rPr>
        <w:t>十三、</w:t>
      </w:r>
      <w:r>
        <w:rPr>
          <w:rFonts w:hint="eastAsia" w:ascii="仿宋" w:hAnsi="仿宋" w:eastAsia="仿宋"/>
          <w:b w:val="0"/>
          <w:color w:val="000000"/>
        </w:rPr>
        <w:t>国</w:t>
      </w:r>
      <w:r>
        <w:rPr>
          <w:rStyle w:val="25"/>
          <w:rFonts w:hint="eastAsia" w:ascii="仿宋" w:hAnsi="仿宋" w:eastAsia="仿宋"/>
          <w:b w:val="0"/>
          <w:bCs w:val="0"/>
        </w:rPr>
        <w:t>有资本经营预算支出决算表</w:t>
      </w:r>
      <w:bookmarkEnd w:id="72"/>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roman"/>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8"/>
          <w:jc w:val="center"/>
        </w:pPr>
        <w:r>
          <w:fldChar w:fldCharType="begin"/>
        </w:r>
        <w:r>
          <w:instrText xml:space="preserve">PAGE   \* MERGEFORMAT</w:instrText>
        </w:r>
        <w:r>
          <w:fldChar w:fldCharType="separate"/>
        </w:r>
        <w:r>
          <w:rPr>
            <w:lang w:val="zh-CN"/>
          </w:rPr>
          <w:t>2</w:t>
        </w:r>
        <w: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26C66B"/>
    <w:multiLevelType w:val="singleLevel"/>
    <w:tmpl w:val="B026C66B"/>
    <w:lvl w:ilvl="0" w:tentative="0">
      <w:start w:val="1"/>
      <w:numFmt w:val="decimal"/>
      <w:lvlText w:val="%1."/>
      <w:lvlJc w:val="left"/>
      <w:pPr>
        <w:tabs>
          <w:tab w:val="left" w:pos="312"/>
        </w:tabs>
      </w:pPr>
    </w:lvl>
  </w:abstractNum>
  <w:abstractNum w:abstractNumId="1">
    <w:nsid w:val="CF652CEC"/>
    <w:multiLevelType w:val="singleLevel"/>
    <w:tmpl w:val="CF652CEC"/>
    <w:lvl w:ilvl="0" w:tentative="0">
      <w:start w:val="9"/>
      <w:numFmt w:val="chineseCounting"/>
      <w:suff w:val="nothing"/>
      <w:lvlText w:val="%1、"/>
      <w:lvlJc w:val="left"/>
      <w:rPr>
        <w:rFonts w:hint="eastAsia"/>
      </w:rPr>
    </w:lvl>
  </w:abstractNum>
  <w:abstractNum w:abstractNumId="2">
    <w:nsid w:val="E2FA047D"/>
    <w:multiLevelType w:val="singleLevel"/>
    <w:tmpl w:val="E2FA047D"/>
    <w:lvl w:ilvl="0" w:tentative="0">
      <w:start w:val="3"/>
      <w:numFmt w:val="chineseCounting"/>
      <w:suff w:val="space"/>
      <w:lvlText w:val="第%1部分"/>
      <w:lvlJc w:val="left"/>
      <w:rPr>
        <w:rFonts w:hint="eastAsia"/>
      </w:rPr>
    </w:lvl>
  </w:abstractNum>
  <w:abstractNum w:abstractNumId="3">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4">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5">
    <w:nsid w:val="686D64AD"/>
    <w:multiLevelType w:val="multilevel"/>
    <w:tmpl w:val="686D64AD"/>
    <w:lvl w:ilvl="0" w:tentative="0">
      <w:start w:val="1"/>
      <w:numFmt w:val="japaneseCounting"/>
      <w:lvlText w:val="（%1）"/>
      <w:lvlJc w:val="left"/>
      <w:pPr>
        <w:ind w:left="1725" w:hanging="1005"/>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19B0"/>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3F6619"/>
    <w:rsid w:val="00406254"/>
    <w:rsid w:val="00416CD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4F403E"/>
    <w:rsid w:val="00505A47"/>
    <w:rsid w:val="00512FDA"/>
    <w:rsid w:val="00520DA0"/>
    <w:rsid w:val="005664BB"/>
    <w:rsid w:val="00566FFA"/>
    <w:rsid w:val="0057481D"/>
    <w:rsid w:val="00575F0B"/>
    <w:rsid w:val="0058486E"/>
    <w:rsid w:val="00585B33"/>
    <w:rsid w:val="0059014D"/>
    <w:rsid w:val="005B5C64"/>
    <w:rsid w:val="005C6BD0"/>
    <w:rsid w:val="005C6C4C"/>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27533"/>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F1991"/>
    <w:rsid w:val="007F2C2F"/>
    <w:rsid w:val="007F55FC"/>
    <w:rsid w:val="007F5665"/>
    <w:rsid w:val="00800112"/>
    <w:rsid w:val="00813348"/>
    <w:rsid w:val="008253BB"/>
    <w:rsid w:val="00833962"/>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E98"/>
    <w:rsid w:val="009C37FB"/>
    <w:rsid w:val="009D3447"/>
    <w:rsid w:val="009D4711"/>
    <w:rsid w:val="009F1185"/>
    <w:rsid w:val="009F18CD"/>
    <w:rsid w:val="009F2A13"/>
    <w:rsid w:val="009F7527"/>
    <w:rsid w:val="00A039ED"/>
    <w:rsid w:val="00A04EB0"/>
    <w:rsid w:val="00A13CC1"/>
    <w:rsid w:val="00A16847"/>
    <w:rsid w:val="00A237D8"/>
    <w:rsid w:val="00A268C4"/>
    <w:rsid w:val="00A307CD"/>
    <w:rsid w:val="00A331C8"/>
    <w:rsid w:val="00A35117"/>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0F83"/>
    <w:rsid w:val="00AD5620"/>
    <w:rsid w:val="00AD656B"/>
    <w:rsid w:val="00AD7C1B"/>
    <w:rsid w:val="00AE16BA"/>
    <w:rsid w:val="00AE1EBE"/>
    <w:rsid w:val="00AF37A0"/>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0E69"/>
    <w:rsid w:val="00C33E72"/>
    <w:rsid w:val="00C354B2"/>
    <w:rsid w:val="00C35554"/>
    <w:rsid w:val="00C42709"/>
    <w:rsid w:val="00C533CC"/>
    <w:rsid w:val="00C5751C"/>
    <w:rsid w:val="00C61BFC"/>
    <w:rsid w:val="00C62B85"/>
    <w:rsid w:val="00C65438"/>
    <w:rsid w:val="00C91CBB"/>
    <w:rsid w:val="00CB4E70"/>
    <w:rsid w:val="00CC09B6"/>
    <w:rsid w:val="00CC666F"/>
    <w:rsid w:val="00CD1E3F"/>
    <w:rsid w:val="00CE44F6"/>
    <w:rsid w:val="00CE49DA"/>
    <w:rsid w:val="00CE7B61"/>
    <w:rsid w:val="00D00095"/>
    <w:rsid w:val="00D114F0"/>
    <w:rsid w:val="00D179F5"/>
    <w:rsid w:val="00D20620"/>
    <w:rsid w:val="00D2207C"/>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DF7548"/>
    <w:rsid w:val="00E01053"/>
    <w:rsid w:val="00E07ACF"/>
    <w:rsid w:val="00E331A1"/>
    <w:rsid w:val="00E33202"/>
    <w:rsid w:val="00E336A9"/>
    <w:rsid w:val="00E472B1"/>
    <w:rsid w:val="00E50624"/>
    <w:rsid w:val="00E568DF"/>
    <w:rsid w:val="00E64269"/>
    <w:rsid w:val="00E66797"/>
    <w:rsid w:val="00E82267"/>
    <w:rsid w:val="00E853CE"/>
    <w:rsid w:val="00E867B6"/>
    <w:rsid w:val="00E87F08"/>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87072E"/>
    <w:rsid w:val="0631535B"/>
    <w:rsid w:val="08F50A15"/>
    <w:rsid w:val="0B7A7B18"/>
    <w:rsid w:val="0D001A36"/>
    <w:rsid w:val="10C055FF"/>
    <w:rsid w:val="1455673D"/>
    <w:rsid w:val="16BB723D"/>
    <w:rsid w:val="17C41413"/>
    <w:rsid w:val="181346B2"/>
    <w:rsid w:val="1985014F"/>
    <w:rsid w:val="1C0B5617"/>
    <w:rsid w:val="1D810BF8"/>
    <w:rsid w:val="207106CC"/>
    <w:rsid w:val="211B3397"/>
    <w:rsid w:val="240371BF"/>
    <w:rsid w:val="29FD04D3"/>
    <w:rsid w:val="2F5611CF"/>
    <w:rsid w:val="2FBB5991"/>
    <w:rsid w:val="319F7F4E"/>
    <w:rsid w:val="34C154F3"/>
    <w:rsid w:val="37632200"/>
    <w:rsid w:val="39F205E7"/>
    <w:rsid w:val="3E0D38A6"/>
    <w:rsid w:val="42D67848"/>
    <w:rsid w:val="4385147F"/>
    <w:rsid w:val="478401C2"/>
    <w:rsid w:val="4ACF154D"/>
    <w:rsid w:val="4B1931D8"/>
    <w:rsid w:val="4E221EE7"/>
    <w:rsid w:val="4ECE2238"/>
    <w:rsid w:val="4F5A7551"/>
    <w:rsid w:val="57382C1A"/>
    <w:rsid w:val="57A70DE1"/>
    <w:rsid w:val="5DF62D82"/>
    <w:rsid w:val="615B0A92"/>
    <w:rsid w:val="66D72E7F"/>
    <w:rsid w:val="6B4920A7"/>
    <w:rsid w:val="6BF36343"/>
    <w:rsid w:val="6C2F098D"/>
    <w:rsid w:val="708E7CE0"/>
    <w:rsid w:val="72734D90"/>
    <w:rsid w:val="785605DD"/>
    <w:rsid w:val="786B3235"/>
    <w:rsid w:val="79481134"/>
    <w:rsid w:val="7B3420D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unhideWhenUsed/>
    <w:qFormat/>
    <w:uiPriority w:val="9"/>
    <w:pPr>
      <w:keepNext/>
      <w:keepLines/>
      <w:spacing w:before="260" w:after="260" w:line="416" w:lineRule="auto"/>
      <w:outlineLvl w:val="2"/>
    </w:pPr>
    <w:rPr>
      <w:b/>
      <w:bCs/>
      <w:sz w:val="32"/>
      <w:szCs w:val="32"/>
    </w:rPr>
  </w:style>
  <w:style w:type="character" w:default="1" w:styleId="13">
    <w:name w:val="Default Paragraph Font"/>
    <w:unhideWhenUsed/>
    <w:qFormat/>
    <w:uiPriority w:val="1"/>
  </w:style>
  <w:style w:type="table" w:default="1" w:styleId="12">
    <w:name w:val="Normal Table"/>
    <w:unhideWhenUsed/>
    <w:uiPriority w:val="99"/>
    <w:tblPr>
      <w:tblCellMar>
        <w:top w:w="0" w:type="dxa"/>
        <w:left w:w="108" w:type="dxa"/>
        <w:bottom w:w="0" w:type="dxa"/>
        <w:right w:w="108" w:type="dxa"/>
      </w:tblCellMar>
    </w:tblPr>
  </w:style>
  <w:style w:type="paragraph" w:styleId="5">
    <w:name w:val="Body Text"/>
    <w:basedOn w:val="1"/>
    <w:link w:val="21"/>
    <w:qFormat/>
    <w:uiPriority w:val="99"/>
    <w:pPr>
      <w:spacing w:beforeLines="30"/>
    </w:pPr>
    <w:rPr>
      <w:rFonts w:ascii="仿宋_GB2312" w:eastAsia="仿宋_GB2312"/>
      <w:kern w:val="0"/>
      <w:sz w:val="30"/>
    </w:rPr>
  </w:style>
  <w:style w:type="paragraph" w:styleId="6">
    <w:name w:val="toc 3"/>
    <w:basedOn w:val="1"/>
    <w:next w:val="1"/>
    <w:unhideWhenUsed/>
    <w:qFormat/>
    <w:uiPriority w:val="39"/>
    <w:pPr>
      <w:tabs>
        <w:tab w:val="right" w:leader="dot" w:pos="8296"/>
      </w:tabs>
      <w:ind w:left="840" w:leftChars="400"/>
    </w:pPr>
  </w:style>
  <w:style w:type="paragraph" w:styleId="7">
    <w:name w:val="Balloon Text"/>
    <w:basedOn w:val="1"/>
    <w:link w:val="27"/>
    <w:unhideWhenUsed/>
    <w:qFormat/>
    <w:uiPriority w:val="99"/>
    <w:rPr>
      <w:sz w:val="18"/>
      <w:szCs w:val="18"/>
    </w:rPr>
  </w:style>
  <w:style w:type="paragraph" w:styleId="8">
    <w:name w:val="footer"/>
    <w:basedOn w:val="1"/>
    <w:link w:val="19"/>
    <w:qFormat/>
    <w:uiPriority w:val="99"/>
    <w:pPr>
      <w:tabs>
        <w:tab w:val="center" w:pos="4153"/>
        <w:tab w:val="right" w:pos="8306"/>
      </w:tabs>
      <w:snapToGrid w:val="0"/>
      <w:jc w:val="left"/>
    </w:pPr>
    <w:rPr>
      <w:rFonts w:ascii="Calibri" w:hAnsi="Calibri"/>
      <w:kern w:val="0"/>
      <w:sz w:val="18"/>
      <w:szCs w:val="18"/>
    </w:rPr>
  </w:style>
  <w:style w:type="paragraph" w:styleId="9">
    <w:name w:val="header"/>
    <w:basedOn w:val="1"/>
    <w:link w:val="17"/>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toc 2"/>
    <w:basedOn w:val="1"/>
    <w:next w:val="1"/>
    <w:unhideWhenUsed/>
    <w:qFormat/>
    <w:uiPriority w:val="39"/>
    <w:pPr>
      <w:tabs>
        <w:tab w:val="right" w:leader="dot" w:pos="8296"/>
      </w:tabs>
      <w:ind w:left="420" w:leftChars="200"/>
    </w:pPr>
  </w:style>
  <w:style w:type="character" w:styleId="14">
    <w:name w:val="Strong"/>
    <w:basedOn w:val="13"/>
    <w:qFormat/>
    <w:uiPriority w:val="99"/>
    <w:rPr>
      <w:b/>
    </w:rPr>
  </w:style>
  <w:style w:type="character" w:styleId="15">
    <w:name w:val="Hyperlink"/>
    <w:basedOn w:val="13"/>
    <w:unhideWhenUsed/>
    <w:qFormat/>
    <w:uiPriority w:val="99"/>
    <w:rPr>
      <w:color w:val="0000FF" w:themeColor="hyperlink"/>
      <w:u w:val="single"/>
    </w:rPr>
  </w:style>
  <w:style w:type="character" w:customStyle="1" w:styleId="16">
    <w:name w:val="Header Char"/>
    <w:basedOn w:val="13"/>
    <w:semiHidden/>
    <w:qFormat/>
    <w:uiPriority w:val="99"/>
    <w:rPr>
      <w:rFonts w:ascii="Times New Roman" w:hAnsi="Times New Roman"/>
      <w:sz w:val="18"/>
      <w:szCs w:val="18"/>
    </w:rPr>
  </w:style>
  <w:style w:type="character" w:customStyle="1" w:styleId="17">
    <w:name w:val="页眉 字符"/>
    <w:link w:val="9"/>
    <w:semiHidden/>
    <w:qFormat/>
    <w:locked/>
    <w:uiPriority w:val="99"/>
    <w:rPr>
      <w:sz w:val="18"/>
    </w:rPr>
  </w:style>
  <w:style w:type="character" w:customStyle="1" w:styleId="18">
    <w:name w:val="Footer Char"/>
    <w:basedOn w:val="13"/>
    <w:semiHidden/>
    <w:qFormat/>
    <w:uiPriority w:val="99"/>
    <w:rPr>
      <w:rFonts w:ascii="Times New Roman" w:hAnsi="Times New Roman"/>
      <w:sz w:val="18"/>
      <w:szCs w:val="18"/>
    </w:rPr>
  </w:style>
  <w:style w:type="character" w:customStyle="1" w:styleId="19">
    <w:name w:val="页脚 字符"/>
    <w:link w:val="8"/>
    <w:qFormat/>
    <w:locked/>
    <w:uiPriority w:val="99"/>
    <w:rPr>
      <w:sz w:val="18"/>
    </w:rPr>
  </w:style>
  <w:style w:type="character" w:customStyle="1" w:styleId="20">
    <w:name w:val="Body Text Char"/>
    <w:basedOn w:val="13"/>
    <w:semiHidden/>
    <w:qFormat/>
    <w:uiPriority w:val="99"/>
    <w:rPr>
      <w:rFonts w:ascii="Times New Roman" w:hAnsi="Times New Roman"/>
      <w:szCs w:val="24"/>
    </w:rPr>
  </w:style>
  <w:style w:type="character" w:customStyle="1" w:styleId="21">
    <w:name w:val="正文文本 字符"/>
    <w:link w:val="5"/>
    <w:qFormat/>
    <w:locked/>
    <w:uiPriority w:val="99"/>
    <w:rPr>
      <w:rFonts w:ascii="仿宋_GB2312" w:hAnsi="Times New Roman" w:eastAsia="仿宋_GB2312"/>
      <w:sz w:val="24"/>
    </w:rPr>
  </w:style>
  <w:style w:type="paragraph" w:customStyle="1" w:styleId="2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3">
    <w:name w:val="List Paragraph"/>
    <w:basedOn w:val="1"/>
    <w:qFormat/>
    <w:uiPriority w:val="34"/>
    <w:pPr>
      <w:ind w:firstLine="420" w:firstLineChars="200"/>
    </w:pPr>
  </w:style>
  <w:style w:type="character" w:customStyle="1" w:styleId="24">
    <w:name w:val="标题 1 字符"/>
    <w:basedOn w:val="13"/>
    <w:link w:val="2"/>
    <w:qFormat/>
    <w:uiPriority w:val="9"/>
    <w:rPr>
      <w:rFonts w:ascii="Times New Roman" w:hAnsi="Times New Roman"/>
      <w:b/>
      <w:bCs/>
      <w:kern w:val="44"/>
      <w:sz w:val="44"/>
      <w:szCs w:val="44"/>
    </w:rPr>
  </w:style>
  <w:style w:type="character" w:customStyle="1" w:styleId="25">
    <w:name w:val="标题 2 字符"/>
    <w:basedOn w:val="13"/>
    <w:link w:val="3"/>
    <w:qFormat/>
    <w:uiPriority w:val="9"/>
    <w:rPr>
      <w:rFonts w:asciiTheme="majorHAnsi" w:hAnsiTheme="majorHAnsi" w:eastAsiaTheme="majorEastAsia" w:cstheme="majorBidi"/>
      <w:b/>
      <w:bCs/>
      <w:kern w:val="2"/>
      <w:sz w:val="32"/>
      <w:szCs w:val="32"/>
    </w:rPr>
  </w:style>
  <w:style w:type="paragraph" w:customStyle="1" w:styleId="26">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27">
    <w:name w:val="批注框文本 字符"/>
    <w:basedOn w:val="13"/>
    <w:link w:val="7"/>
    <w:semiHidden/>
    <w:qFormat/>
    <w:uiPriority w:val="99"/>
    <w:rPr>
      <w:rFonts w:ascii="Times New Roman" w:hAnsi="Times New Roman"/>
      <w:kern w:val="2"/>
      <w:sz w:val="18"/>
      <w:szCs w:val="18"/>
    </w:rPr>
  </w:style>
  <w:style w:type="character" w:customStyle="1" w:styleId="28">
    <w:name w:val="标题 3 字符"/>
    <w:basedOn w:val="13"/>
    <w:link w:val="4"/>
    <w:qFormat/>
    <w:uiPriority w:val="9"/>
    <w:rPr>
      <w:rFonts w:ascii="Times New Roman" w:hAnsi="Times New Roman"/>
      <w:b/>
      <w:bCs/>
      <w:kern w:val="2"/>
      <w:sz w:val="32"/>
      <w:szCs w:val="32"/>
    </w:rPr>
  </w:style>
  <w:style w:type="paragraph" w:customStyle="1" w:styleId="29">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0">
    <w:name w:val="p0"/>
    <w:basedOn w:val="1"/>
    <w:qFormat/>
    <w:uiPriority w:val="0"/>
    <w:pPr>
      <w:widowControl/>
    </w:pPr>
    <w:rPr>
      <w:kern w:val="0"/>
      <w:szCs w:val="21"/>
    </w:rPr>
  </w:style>
  <w:style w:type="character" w:customStyle="1" w:styleId="31">
    <w:name w:val="标题 2 Char"/>
    <w:basedOn w:val="13"/>
    <w:link w:val="3"/>
    <w:qFormat/>
    <w:uiPriority w:val="9"/>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7" Type="http://schemas.microsoft.com/office/2011/relationships/chartColorStyle" Target="colors5.xml"/><Relationship Id="rId6" Type="http://schemas.microsoft.com/office/2011/relationships/chartStyle" Target="style5.xml"/><Relationship Id="rId5" Type="http://schemas.openxmlformats.org/officeDocument/2006/relationships/image" Target="../media/image3.png"/><Relationship Id="rId4" Type="http://schemas.openxmlformats.org/officeDocument/2006/relationships/image" Target="../media/image2.png"/><Relationship Id="rId3" Type="http://schemas.openxmlformats.org/officeDocument/2006/relationships/image" Target="../media/image1.png"/><Relationship Id="rId2" Type="http://schemas.openxmlformats.org/officeDocument/2006/relationships/themeOverride" Target="../theme/themeOverride1.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7.xml.rels><?xml version="1.0" encoding="UTF-8" standalone="yes"?>
<Relationships xmlns="http://schemas.openxmlformats.org/package/2006/relationships"><Relationship Id="rId4" Type="http://schemas.microsoft.com/office/2011/relationships/chartColorStyle" Target="colors6.xml"/><Relationship Id="rId3" Type="http://schemas.microsoft.com/office/2011/relationships/chartStyle" Target="style6.xml"/><Relationship Id="rId2" Type="http://schemas.openxmlformats.org/officeDocument/2006/relationships/themeOverride" Target="../theme/themeOverride2.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收、支决算变动情况</a:t>
            </a:r>
          </a:p>
        </c:rich>
      </c:tx>
      <c:layout/>
      <c:overlay val="0"/>
      <c:spPr>
        <a:noFill/>
        <a:ln>
          <a:noFill/>
        </a:ln>
        <a:effectLst/>
      </c:spPr>
    </c:title>
    <c:autoTitleDeleted val="0"/>
    <c:plotArea>
      <c:layout>
        <c:manualLayout>
          <c:layoutTarget val="inner"/>
          <c:xMode val="edge"/>
          <c:yMode val="edge"/>
          <c:x val="0.020825"/>
          <c:y val="0.00641711229946524"/>
          <c:w val="0.927925"/>
          <c:h val="0.636235294117647"/>
        </c:manualLayout>
      </c:layout>
      <c:barChart>
        <c:barDir val="col"/>
        <c:grouping val="clustered"/>
        <c:varyColors val="0"/>
        <c:ser>
          <c:idx val="0"/>
          <c:order val="0"/>
          <c:tx>
            <c:strRef>
              <c:f>Sheet1!$B$1</c:f>
              <c:strCache>
                <c:ptCount val="1"/>
                <c:pt idx="0">
                  <c:v>2018年</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2062.25</c:v>
                </c:pt>
                <c:pt idx="1">
                  <c:v>1723.21</c:v>
                </c:pt>
              </c:numCache>
            </c:numRef>
          </c:val>
        </c:ser>
        <c:ser>
          <c:idx val="1"/>
          <c:order val="1"/>
          <c:tx>
            <c:strRef>
              <c:f>Sheet1!$C$1</c:f>
              <c:strCache>
                <c:ptCount val="1"/>
                <c:pt idx="0">
                  <c:v>2019年</c:v>
                </c:pt>
              </c:strCache>
            </c:strRef>
          </c:tx>
          <c:spPr>
            <a:solidFill>
              <a:schemeClr val="accent2"/>
            </a:solidFill>
            <a:ln>
              <a:noFill/>
            </a:ln>
            <a:effectLst/>
          </c:spPr>
          <c:invertIfNegative val="0"/>
          <c:dLbls>
            <c:delete val="1"/>
          </c:dLbls>
          <c:cat>
            <c:strRef>
              <c:f>Sheet1!$A$2:$A$3</c:f>
              <c:strCache>
                <c:ptCount val="2"/>
                <c:pt idx="0">
                  <c:v>收入</c:v>
                </c:pt>
                <c:pt idx="1">
                  <c:v>支出</c:v>
                </c:pt>
              </c:strCache>
            </c:strRef>
          </c:cat>
          <c:val>
            <c:numRef>
              <c:f>Sheet1!$C$2:$C$3</c:f>
              <c:numCache>
                <c:formatCode>General</c:formatCode>
                <c:ptCount val="2"/>
                <c:pt idx="0">
                  <c:v>1837.92</c:v>
                </c:pt>
                <c:pt idx="1">
                  <c:v>4102.71</c:v>
                </c:pt>
              </c:numCache>
            </c:numRef>
          </c:val>
        </c:ser>
        <c:dLbls>
          <c:showLegendKey val="0"/>
          <c:showVal val="0"/>
          <c:showCatName val="0"/>
          <c:showSerName val="0"/>
          <c:showPercent val="0"/>
          <c:showBubbleSize val="0"/>
        </c:dLbls>
        <c:gapWidth val="219"/>
        <c:overlap val="-27"/>
        <c:axId val="533214121"/>
        <c:axId val="597956601"/>
      </c:barChart>
      <c:catAx>
        <c:axId val="53321412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97956601"/>
        <c:crosses val="autoZero"/>
        <c:auto val="1"/>
        <c:lblAlgn val="ctr"/>
        <c:lblOffset val="100"/>
        <c:noMultiLvlLbl val="0"/>
      </c:catAx>
      <c:valAx>
        <c:axId val="59795660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3321412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Sheet1!#REF!</c:f>
              <c:strCache>
                <c:ptCount val="1"/>
                <c:pt idx="0">
                  <c:v/>
                </c:pt>
              </c:strCache>
            </c:strRef>
          </c:tx>
          <c:spPr/>
          <c:explosion val="0"/>
          <c:dPt>
            <c:idx val="0"/>
            <c:bubble3D val="0"/>
            <c:spPr>
              <a:solidFill>
                <a:schemeClr val="accent1"/>
              </a:solidFill>
              <a:ln w="19050">
                <a:solidFill>
                  <a:schemeClr val="lt1"/>
                </a:solidFill>
              </a:ln>
              <a:effectLst/>
            </c:spPr>
          </c:dPt>
          <c:dLbls>
            <c:delete val="1"/>
          </c:dLbls>
          <c:cat>
            <c:numRef>
              <c:f>Sheet1!#REF!</c:f>
              <c:numCache>
                <c:ptCount val="0"/>
              </c:numCache>
            </c:numRef>
          </c:cat>
          <c:val>
            <c:numRef>
              <c:f>Sheet1!#REF!</c:f>
              <c:numCache>
                <c:formatCode>General</c:formatCode>
                <c:ptCount val="1"/>
                <c:pt idx="0">
                  <c:v>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3330625"/>
          <c:y val="0.175012036591237"/>
          <c:w val="0.339875"/>
          <c:h val="0.654549831487723"/>
        </c:manualLayout>
      </c:layout>
      <c:pieChart>
        <c:varyColors val="1"/>
        <c:ser>
          <c:idx val="0"/>
          <c:order val="0"/>
          <c:tx>
            <c:strRef>
              <c:f>Sheet1!$B$1</c:f>
              <c:strCache>
                <c:ptCount val="1"/>
                <c:pt idx="0">
                  <c:v>本年支出情况</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Sheet1!$A$2:$A$3</c:f>
              <c:strCache>
                <c:ptCount val="2"/>
                <c:pt idx="0">
                  <c:v>基本支出</c:v>
                </c:pt>
                <c:pt idx="1">
                  <c:v>项目支出</c:v>
                </c:pt>
              </c:strCache>
            </c:strRef>
          </c:cat>
          <c:val>
            <c:numRef>
              <c:f>Sheet1!$B$2:$B$3</c:f>
              <c:numCache>
                <c:formatCode>General</c:formatCode>
                <c:ptCount val="2"/>
                <c:pt idx="0">
                  <c:v>129.32</c:v>
                </c:pt>
                <c:pt idx="1">
                  <c:v>3973.39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531875"/>
          <c:y val="0.91261434761675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财政拨款收、支决算变动情况</a:t>
            </a:r>
          </a:p>
        </c:rich>
      </c:tx>
      <c:layout/>
      <c:overlay val="0"/>
      <c:spPr>
        <a:noFill/>
        <a:ln>
          <a:noFill/>
        </a:ln>
        <a:effectLst/>
      </c:spPr>
    </c:title>
    <c:autoTitleDeleted val="0"/>
    <c:plotArea>
      <c:layout>
        <c:manualLayout>
          <c:layoutTarget val="inner"/>
          <c:xMode val="edge"/>
          <c:yMode val="edge"/>
          <c:x val="0.020825"/>
          <c:y val="0.00641711229946524"/>
          <c:w val="0.927925"/>
          <c:h val="0.636235294117647"/>
        </c:manualLayout>
      </c:layout>
      <c:barChart>
        <c:barDir val="col"/>
        <c:grouping val="clustered"/>
        <c:varyColors val="0"/>
        <c:ser>
          <c:idx val="0"/>
          <c:order val="0"/>
          <c:tx>
            <c:strRef>
              <c:f>Sheet1!$B$1</c:f>
              <c:strCache>
                <c:ptCount val="1"/>
                <c:pt idx="0">
                  <c:v>2018年</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2062.25</c:v>
                </c:pt>
                <c:pt idx="1">
                  <c:v>1723.21</c:v>
                </c:pt>
              </c:numCache>
            </c:numRef>
          </c:val>
        </c:ser>
        <c:ser>
          <c:idx val="1"/>
          <c:order val="1"/>
          <c:tx>
            <c:strRef>
              <c:f>Sheet1!$C$1</c:f>
              <c:strCache>
                <c:ptCount val="1"/>
                <c:pt idx="0">
                  <c:v>2019年</c:v>
                </c:pt>
              </c:strCache>
            </c:strRef>
          </c:tx>
          <c:spPr>
            <a:solidFill>
              <a:schemeClr val="accent2"/>
            </a:solidFill>
            <a:ln>
              <a:noFill/>
            </a:ln>
            <a:effectLst/>
          </c:spPr>
          <c:invertIfNegative val="0"/>
          <c:dLbls>
            <c:delete val="1"/>
          </c:dLbls>
          <c:cat>
            <c:strRef>
              <c:f>Sheet1!$A$2:$A$3</c:f>
              <c:strCache>
                <c:ptCount val="2"/>
                <c:pt idx="0">
                  <c:v>收入</c:v>
                </c:pt>
                <c:pt idx="1">
                  <c:v>支出</c:v>
                </c:pt>
              </c:strCache>
            </c:strRef>
          </c:cat>
          <c:val>
            <c:numRef>
              <c:f>Sheet1!$C$2:$C$3</c:f>
              <c:numCache>
                <c:formatCode>General</c:formatCode>
                <c:ptCount val="2"/>
                <c:pt idx="0">
                  <c:v>1837.92</c:v>
                </c:pt>
                <c:pt idx="1">
                  <c:v>4102.71</c:v>
                </c:pt>
              </c:numCache>
            </c:numRef>
          </c:val>
        </c:ser>
        <c:dLbls>
          <c:showLegendKey val="0"/>
          <c:showVal val="0"/>
          <c:showCatName val="0"/>
          <c:showSerName val="0"/>
          <c:showPercent val="0"/>
          <c:showBubbleSize val="0"/>
        </c:dLbls>
        <c:gapWidth val="219"/>
        <c:overlap val="-27"/>
        <c:axId val="533214121"/>
        <c:axId val="597956601"/>
      </c:barChart>
      <c:catAx>
        <c:axId val="53321412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97956601"/>
        <c:crosses val="autoZero"/>
        <c:auto val="1"/>
        <c:lblAlgn val="ctr"/>
        <c:lblOffset val="100"/>
        <c:noMultiLvlLbl val="0"/>
      </c:catAx>
      <c:valAx>
        <c:axId val="59795660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33214121"/>
        <c:crosses val="autoZero"/>
        <c:crossBetween val="between"/>
      </c:valAx>
      <c:spPr>
        <a:noFill/>
        <a:ln>
          <a:noFill/>
        </a:ln>
        <a:effectLst/>
      </c:spPr>
    </c:plotArea>
    <c:legend>
      <c:legendPos val="b"/>
      <c:layout>
        <c:manualLayout>
          <c:xMode val="edge"/>
          <c:yMode val="edge"/>
          <c:x val="0.4061875"/>
          <c:y val="0.897706776603968"/>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spc="0" baseline="0">
                <a:solidFill>
                  <a:srgbClr val="91908C"/>
                </a:solidFill>
                <a:latin typeface="微软雅黑" panose="020B0503020204020204" pitchFamily="1" charset="-122"/>
                <a:ea typeface="微软雅黑" panose="020B0503020204020204" pitchFamily="1" charset="-122"/>
                <a:cs typeface="微软雅黑" panose="020B0503020204020204" pitchFamily="1" charset="-122"/>
                <a:sym typeface="微软雅黑" panose="020B0503020204020204" pitchFamily="1" charset="-122"/>
              </a:defRPr>
            </a:pPr>
            <a:r>
              <a:t>一般公共预算财政拨款支出情况</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2018年</c:v>
                </c:pt>
              </c:strCache>
            </c:strRef>
          </c:tx>
          <c:spPr>
            <a:blipFill rotWithShape="1">
              <a:blip xmlns:r="http://schemas.openxmlformats.org/officeDocument/2006/relationships" r:embed="rId3"/>
              <a:stretch>
                <a:fillRect/>
              </a:stretch>
            </a:blipFill>
            <a:ln>
              <a:noFill/>
            </a:ln>
            <a:effectLst>
              <a:outerShdw blurRad="76200" dir="18900000" sy="23000" kx="-1200000" algn="bl" rotWithShape="0">
                <a:prstClr val="black">
                  <a:alpha val="10000"/>
                </a:prstClr>
              </a:outerShdw>
            </a:effectLst>
          </c:spPr>
          <c:invertIfNegative val="0"/>
          <c:dLbls>
            <c:delete val="1"/>
          </c:dLbls>
          <c:cat>
            <c:strRef>
              <c:f>Sheet1!$A$2</c:f>
              <c:strCache>
                <c:ptCount val="1"/>
                <c:pt idx="0">
                  <c:v>一般公共预算财政拨款支出</c:v>
                </c:pt>
              </c:strCache>
            </c:strRef>
          </c:cat>
          <c:val>
            <c:numRef>
              <c:f>Sheet1!$B$2</c:f>
              <c:numCache>
                <c:formatCode>General</c:formatCode>
                <c:ptCount val="1"/>
                <c:pt idx="0">
                  <c:v>1723.21</c:v>
                </c:pt>
              </c:numCache>
            </c:numRef>
          </c:val>
        </c:ser>
        <c:ser>
          <c:idx val="1"/>
          <c:order val="1"/>
          <c:tx>
            <c:strRef>
              <c:f>Sheet1!$C$1</c:f>
              <c:strCache>
                <c:ptCount val="1"/>
                <c:pt idx="0">
                  <c:v>2019年</c:v>
                </c:pt>
              </c:strCache>
            </c:strRef>
          </c:tx>
          <c:spPr>
            <a:blipFill rotWithShape="1">
              <a:blip xmlns:r="http://schemas.openxmlformats.org/officeDocument/2006/relationships" r:embed="rId4"/>
              <a:stretch>
                <a:fillRect/>
              </a:stretch>
            </a:blipFill>
            <a:ln>
              <a:noFill/>
            </a:ln>
            <a:effectLst>
              <a:outerShdw blurRad="76200" dir="18900000" sy="23000" kx="-1200000" algn="bl" rotWithShape="0">
                <a:prstClr val="black">
                  <a:alpha val="10000"/>
                </a:prstClr>
              </a:outerShdw>
            </a:effectLst>
          </c:spPr>
          <c:invertIfNegative val="0"/>
          <c:dLbls>
            <c:delete val="1"/>
          </c:dLbls>
          <c:cat>
            <c:strRef>
              <c:f>Sheet1!$A$2</c:f>
              <c:strCache>
                <c:ptCount val="1"/>
                <c:pt idx="0">
                  <c:v>一般公共预算财政拨款支出</c:v>
                </c:pt>
              </c:strCache>
            </c:strRef>
          </c:cat>
          <c:val>
            <c:numRef>
              <c:f>Sheet1!$C$2</c:f>
              <c:numCache>
                <c:formatCode>General</c:formatCode>
                <c:ptCount val="1"/>
                <c:pt idx="0">
                  <c:v>3729.49</c:v>
                </c:pt>
              </c:numCache>
            </c:numRef>
          </c:val>
        </c:ser>
        <c:ser>
          <c:idx val="2"/>
          <c:order val="2"/>
          <c:tx>
            <c:strRef>
              <c:f>Sheet1!#REF!</c:f>
              <c:strCache>
                <c:ptCount val="1"/>
                <c:pt idx="0">
                  <c:v/>
                </c:pt>
              </c:strCache>
            </c:strRef>
          </c:tx>
          <c:spPr>
            <a:blipFill rotWithShape="1">
              <a:blip xmlns:r="http://schemas.openxmlformats.org/officeDocument/2006/relationships" r:embed="rId5"/>
              <a:stretch>
                <a:fillRect/>
              </a:stretch>
            </a:blipFill>
            <a:ln>
              <a:noFill/>
            </a:ln>
            <a:effectLst>
              <a:outerShdw blurRad="76200" dir="18900000" sy="23000" kx="-1200000" algn="bl" rotWithShape="0">
                <a:prstClr val="black">
                  <a:alpha val="10000"/>
                </a:prstClr>
              </a:outerShdw>
            </a:effectLst>
          </c:spPr>
          <c:invertIfNegative val="0"/>
          <c:dLbls>
            <c:delete val="1"/>
          </c:dLbls>
          <c:cat>
            <c:strRef>
              <c:f>Sheet1!$A$2</c:f>
              <c:strCache>
                <c:ptCount val="1"/>
                <c:pt idx="0">
                  <c:v>一般公共预算财政拨款支出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500"/>
        <c:overlap val="-40"/>
        <c:axId val="434435637"/>
        <c:axId val="772032909"/>
      </c:barChart>
      <c:catAx>
        <c:axId val="434435637"/>
        <c:scaling>
          <c:orientation val="minMax"/>
        </c:scaling>
        <c:delete val="0"/>
        <c:axPos val="b"/>
        <c:minorGridlines>
          <c:spPr>
            <a:ln w="9525" cap="flat" cmpd="sng" algn="ctr">
              <a:solidFill>
                <a:schemeClr val="tx1">
                  <a:lumMod val="5000"/>
                  <a:lumOff val="95000"/>
                </a:schemeClr>
              </a:solidFill>
              <a:round/>
            </a:ln>
            <a:effectLst/>
          </c:spPr>
        </c:minorGridlines>
        <c:numFmt formatCode="General" sourceLinked="0"/>
        <c:majorTickMark val="none"/>
        <c:minorTickMark val="none"/>
        <c:tickLblPos val="nextTo"/>
        <c:spPr>
          <a:noFill/>
          <a:ln w="9525" cap="flat" cmpd="sng" algn="ctr">
            <a:noFill/>
            <a:round/>
          </a:ln>
          <a:effectLst/>
        </c:spPr>
        <c:txPr>
          <a:bodyPr rot="-60000000" spcFirstLastPara="0" vertOverflow="ellipsis" vert="horz" wrap="square" anchor="ctr" anchorCtr="1" forceAA="0"/>
          <a:lstStyle/>
          <a:p>
            <a:pPr>
              <a:defRPr lang="zh-CN" sz="900" b="0" i="0" u="none" strike="noStrike" kern="1200" baseline="0">
                <a:solidFill>
                  <a:srgbClr val="91908C"/>
                </a:solidFill>
                <a:latin typeface="微软雅黑" panose="020B0503020204020204" pitchFamily="1" charset="-122"/>
                <a:ea typeface="微软雅黑" panose="020B0503020204020204" pitchFamily="1" charset="-122"/>
                <a:cs typeface="微软雅黑" panose="020B0503020204020204" pitchFamily="1" charset="-122"/>
                <a:sym typeface="微软雅黑" panose="020B0503020204020204" pitchFamily="1" charset="-122"/>
              </a:defRPr>
            </a:pPr>
          </a:p>
        </c:txPr>
        <c:crossAx val="772032909"/>
        <c:crosses val="autoZero"/>
        <c:auto val="1"/>
        <c:lblAlgn val="ctr"/>
        <c:lblOffset val="100"/>
        <c:noMultiLvlLbl val="0"/>
      </c:catAx>
      <c:valAx>
        <c:axId val="772032909"/>
        <c:scaling>
          <c:orientation val="minMax"/>
        </c:scaling>
        <c:delete val="0"/>
        <c:axPos val="l"/>
        <c:majorGridlines>
          <c:spPr>
            <a:ln w="3175" cap="flat" cmpd="sng" algn="ctr">
              <a:solidFill>
                <a:srgbClr val="EAEAEA"/>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rgbClr val="91908C"/>
                </a:solidFill>
                <a:latin typeface="微软雅黑" panose="020B0503020204020204" pitchFamily="1" charset="-122"/>
                <a:ea typeface="微软雅黑" panose="020B0503020204020204" pitchFamily="1" charset="-122"/>
                <a:cs typeface="微软雅黑" panose="020B0503020204020204" pitchFamily="1" charset="-122"/>
                <a:sym typeface="微软雅黑" panose="020B0503020204020204" pitchFamily="1" charset="-122"/>
              </a:defRPr>
            </a:pPr>
          </a:p>
        </c:txPr>
        <c:crossAx val="434435637"/>
        <c:crosses val="autoZero"/>
        <c:crossBetween val="between"/>
      </c:valAx>
      <c:spPr>
        <a:noFill/>
        <a:ln>
          <a:noFill/>
        </a:ln>
        <a:effectLst/>
      </c:spPr>
    </c:plotArea>
    <c:legend>
      <c:legendPos val="b"/>
      <c:layout>
        <c:manualLayout>
          <c:xMode val="edge"/>
          <c:yMode val="edge"/>
          <c:x val="0.3520625"/>
          <c:y val="0.899652375434531"/>
        </c:manualLayout>
      </c:layout>
      <c:overlay val="0"/>
      <c:spPr>
        <a:noFill/>
        <a:ln>
          <a:noFill/>
        </a:ln>
        <a:effectLst/>
      </c:spPr>
      <c:txPr>
        <a:bodyPr rot="0" spcFirstLastPara="0" vertOverflow="ellipsis" vert="horz" wrap="square" anchor="ctr" anchorCtr="1" forceAA="0"/>
        <a:lstStyle/>
        <a:p>
          <a:pPr>
            <a:defRPr lang="zh-CN" sz="900" b="0" i="0" u="none" strike="noStrike" kern="1200" baseline="0">
              <a:solidFill>
                <a:srgbClr val="91908C"/>
              </a:solidFill>
              <a:latin typeface="微软雅黑" panose="020B0503020204020204" pitchFamily="1" charset="-122"/>
              <a:ea typeface="微软雅黑" panose="020B0503020204020204" pitchFamily="1" charset="-122"/>
              <a:cs typeface="微软雅黑" panose="020B0503020204020204" pitchFamily="1" charset="-122"/>
              <a:sym typeface="微软雅黑" panose="020B0503020204020204" pitchFamily="1" charset="-122"/>
            </a:defRPr>
          </a:pPr>
        </a:p>
      </c:txPr>
    </c:legend>
    <c:plotVisOnly val="1"/>
    <c:dispBlanksAs val="gap"/>
    <c:showDLblsOverMax val="0"/>
  </c:chart>
  <c:spPr>
    <a:solidFill>
      <a:schemeClr val="bg1"/>
    </a:solidFill>
    <a:ln w="9525" cap="flat" cmpd="sng" algn="ctr">
      <a:solidFill>
        <a:srgbClr val="EAEAEA"/>
      </a:solidFill>
      <a:round/>
    </a:ln>
    <a:effectLst/>
  </c:spPr>
  <c:txPr>
    <a:bodyPr/>
    <a:lstStyle/>
    <a:p>
      <a:pPr>
        <a:defRPr lang="zh-CN">
          <a:latin typeface="微软雅黑" panose="020B0503020204020204" pitchFamily="1" charset="-122"/>
          <a:ea typeface="微软雅黑" panose="020B0503020204020204" pitchFamily="1" charset="-122"/>
          <a:cs typeface="微软雅黑" panose="020B0503020204020204" pitchFamily="1" charset="-122"/>
          <a:sym typeface="微软雅黑" panose="020B0503020204020204" pitchFamily="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052"/>
          <c:y val="0.127584367080165"/>
          <c:w val="0.80325"/>
          <c:h val="0.857142857142857"/>
        </c:manualLayout>
      </c:layout>
      <c:pieChart>
        <c:varyColors val="1"/>
        <c:ser>
          <c:idx val="0"/>
          <c:order val="0"/>
          <c:tx>
            <c:strRef>
              <c:f>Sheet1!$B$1</c:f>
              <c:strCache>
                <c:ptCount val="1"/>
                <c:pt idx="0">
                  <c:v>一般公共预算财政拨款支出明细</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gradFill>
                <a:gsLst>
                  <a:gs pos="0">
                    <a:srgbClr val="14CD68"/>
                  </a:gs>
                  <a:gs pos="100000">
                    <a:srgbClr val="035C7D"/>
                  </a:gs>
                </a:gsLst>
                <a:lin ang="5400000" scaled="0"/>
              </a:gra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bg2">
                  <a:lumMod val="50000"/>
                </a:schemeClr>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delete val="1"/>
          </c:dLbls>
          <c:cat>
            <c:strRef>
              <c:f>Sheet1!$A$2:$A$8</c:f>
              <c:strCache>
                <c:ptCount val="7"/>
                <c:pt idx="0">
                  <c:v>科学技术支出</c:v>
                </c:pt>
                <c:pt idx="1">
                  <c:v>社会保障和就业支出</c:v>
                </c:pt>
                <c:pt idx="2">
                  <c:v>卫生健康支出</c:v>
                </c:pt>
                <c:pt idx="3">
                  <c:v>住房保障支出</c:v>
                </c:pt>
                <c:pt idx="4">
                  <c:v>城乡社区支出</c:v>
                </c:pt>
                <c:pt idx="5">
                  <c:v>农林水支出</c:v>
                </c:pt>
                <c:pt idx="6">
                  <c:v>商业服务业等支出</c:v>
                </c:pt>
              </c:strCache>
            </c:strRef>
          </c:cat>
          <c:val>
            <c:numRef>
              <c:f>Sheet1!$B$2:$B$8</c:f>
              <c:numCache>
                <c:formatCode>General</c:formatCode>
                <c:ptCount val="7"/>
                <c:pt idx="0">
                  <c:v>1156.32</c:v>
                </c:pt>
                <c:pt idx="1">
                  <c:v>15.55</c:v>
                </c:pt>
                <c:pt idx="2">
                  <c:v>9.57</c:v>
                </c:pt>
                <c:pt idx="3">
                  <c:v>8.65</c:v>
                </c:pt>
                <c:pt idx="4">
                  <c:v>256.72</c:v>
                </c:pt>
                <c:pt idx="5">
                  <c:v>1628.84</c:v>
                </c:pt>
                <c:pt idx="6">
                  <c:v>654.29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85825"/>
          <c:y val="0.005"/>
          <c:w val="0.12675"/>
          <c:h val="0.93783333333333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1" i="0" u="none" strike="noStrike" kern="1200" spc="0" normalizeH="0" baseline="0">
                <a:solidFill>
                  <a:schemeClr val="dk1">
                    <a:lumMod val="50000"/>
                    <a:lumOff val="50000"/>
                  </a:schemeClr>
                </a:solidFill>
                <a:latin typeface="+mj-lt"/>
                <a:ea typeface="+mj-ea"/>
                <a:cs typeface="+mj-cs"/>
              </a:defRPr>
            </a:pPr>
            <a:r>
              <a:t>图表标题</a:t>
            </a:r>
          </a:p>
        </c:rich>
      </c:tx>
      <c:layout/>
      <c:overlay val="0"/>
      <c:spPr>
        <a:noFill/>
        <a:ln>
          <a:noFill/>
        </a:ln>
        <a:effectLst/>
      </c:spPr>
    </c:title>
    <c:autoTitleDeleted val="0"/>
    <c:plotArea>
      <c:layout/>
      <c:pieChart>
        <c:varyColors val="1"/>
        <c:ser>
          <c:idx val="0"/>
          <c:order val="0"/>
          <c:tx>
            <c:strRef>
              <c:f>Sheet1!$B$1</c:f>
              <c:strCache>
                <c:ptCount val="1"/>
                <c:pt idx="0">
                  <c:v>三公经费支出情况</c:v>
                </c:pt>
              </c:strCache>
            </c:strRef>
          </c:tx>
          <c:spPr/>
          <c:explosion val="0"/>
          <c:dPt>
            <c:idx val="0"/>
            <c:bubble3D val="0"/>
            <c:spPr>
              <a:gradFill>
                <a:gsLst>
                  <a:gs pos="100000">
                    <a:schemeClr val="accent3">
                      <a:tint val="53333"/>
                      <a:lumMod val="60000"/>
                      <a:lumOff val="40000"/>
                    </a:schemeClr>
                  </a:gs>
                  <a:gs pos="0">
                    <a:schemeClr val="accent3">
                      <a:tint val="53333"/>
                    </a:schemeClr>
                  </a:gs>
                </a:gsLst>
                <a:lin ang="5400000" scaled="0"/>
              </a:gradFill>
              <a:ln w="19050">
                <a:solidFill>
                  <a:schemeClr val="lt1"/>
                </a:solidFill>
              </a:ln>
              <a:effectLst/>
            </c:spPr>
          </c:dPt>
          <c:dPt>
            <c:idx val="1"/>
            <c:bubble3D val="0"/>
            <c:spPr>
              <a:gradFill>
                <a:gsLst>
                  <a:gs pos="100000">
                    <a:schemeClr val="accent3">
                      <a:tint val="76667"/>
                      <a:lumMod val="60000"/>
                      <a:lumOff val="40000"/>
                    </a:schemeClr>
                  </a:gs>
                  <a:gs pos="0">
                    <a:schemeClr val="accent3">
                      <a:tint val="76667"/>
                    </a:schemeClr>
                  </a:gs>
                </a:gsLst>
                <a:lin ang="5400000" scaled="0"/>
              </a:gradFill>
              <a:ln w="19050">
                <a:solidFill>
                  <a:schemeClr val="lt1"/>
                </a:solidFill>
              </a:ln>
              <a:effectLst/>
            </c:spPr>
          </c:dPt>
          <c:dLbls>
            <c:delete val="1"/>
          </c:dLbls>
          <c:cat>
            <c:strRef>
              <c:f>Sheet1!$A$2:$A$3</c:f>
              <c:strCache>
                <c:ptCount val="2"/>
                <c:pt idx="0">
                  <c:v>公务用车运行维护费</c:v>
                </c:pt>
                <c:pt idx="1">
                  <c:v>接待费</c:v>
                </c:pt>
              </c:strCache>
            </c:strRef>
          </c:cat>
          <c:val>
            <c:numRef>
              <c:f>Sheet1!$B$2:$B$3</c:f>
              <c:numCache>
                <c:formatCode>General</c:formatCode>
                <c:ptCount val="2"/>
                <c:pt idx="0">
                  <c:v>0.86</c:v>
                </c:pt>
                <c:pt idx="1">
                  <c:v>0.1</c:v>
                </c:pt>
              </c:numCache>
            </c:numRef>
          </c:val>
        </c:ser>
        <c:ser>
          <c:idx val="1"/>
          <c:order val="1"/>
          <c:tx>
            <c:strRef>
              <c:f>Sheet1!#REF!</c:f>
              <c:strCache>
                <c:ptCount val="1"/>
                <c:pt idx="0">
                  <c:v/>
                </c:pt>
              </c:strCache>
            </c:strRef>
          </c:tx>
          <c:spPr/>
          <c:explosion val="0"/>
          <c:dPt>
            <c:idx val="0"/>
            <c:bubble3D val="0"/>
            <c:spPr>
              <a:gradFill>
                <a:gsLst>
                  <a:gs pos="100000">
                    <a:schemeClr val="accent3">
                      <a:tint val="58000"/>
                      <a:lumMod val="60000"/>
                      <a:lumOff val="40000"/>
                    </a:schemeClr>
                  </a:gs>
                  <a:gs pos="0">
                    <a:schemeClr val="accent3">
                      <a:tint val="58000"/>
                    </a:schemeClr>
                  </a:gs>
                </a:gsLst>
                <a:lin ang="5400000" scaled="0"/>
              </a:gra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dk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dk1">
                          <a:lumMod val="35000"/>
                          <a:lumOff val="65000"/>
                        </a:schemeClr>
                      </a:solidFill>
                      <a:round/>
                    </a:ln>
                    <a:effectLst/>
                  </c:spPr>
                </c15:leaderLines>
              </c:ext>
            </c:extLst>
          </c:dLbls>
          <c:cat>
            <c:strRef>
              <c:f>Sheet1!$A$2:$A$3</c:f>
              <c:strCache>
                <c:ptCount val="2"/>
                <c:pt idx="0">
                  <c:v>公务用车运行维护费</c:v>
                </c:pt>
                <c:pt idx="1">
                  <c:v>接待费</c:v>
                </c:pt>
              </c:strCache>
            </c:strRef>
          </c:cat>
          <c:val>
            <c:numRef>
              <c:f>Sheet1!#REF!</c:f>
              <c:numCache>
                <c:formatCode>General</c:formatCode>
                <c:ptCount val="1"/>
                <c:pt idx="0">
                  <c:v>1</c:v>
                </c:pt>
              </c:numCache>
            </c:numRef>
          </c:val>
        </c:ser>
        <c:ser>
          <c:idx val="2"/>
          <c:order val="2"/>
          <c:tx>
            <c:strRef>
              <c:f>Sheet1!#REF!</c:f>
              <c:strCache>
                <c:ptCount val="1"/>
                <c:pt idx="0">
                  <c:v/>
                </c:pt>
              </c:strCache>
            </c:strRef>
          </c:tx>
          <c:spPr/>
          <c:explosion val="0"/>
          <c:dPt>
            <c:idx val="0"/>
            <c:bubble3D val="0"/>
            <c:spPr>
              <a:gradFill>
                <a:gsLst>
                  <a:gs pos="100000">
                    <a:schemeClr val="accent3">
                      <a:tint val="58000"/>
                      <a:lumMod val="60000"/>
                      <a:lumOff val="40000"/>
                    </a:schemeClr>
                  </a:gs>
                  <a:gs pos="0">
                    <a:schemeClr val="accent3">
                      <a:tint val="58000"/>
                    </a:schemeClr>
                  </a:gs>
                </a:gsLst>
                <a:lin ang="5400000" scaled="0"/>
              </a:gra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dk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dk1">
                          <a:lumMod val="35000"/>
                          <a:lumOff val="65000"/>
                        </a:schemeClr>
                      </a:solidFill>
                      <a:round/>
                    </a:ln>
                    <a:effectLst/>
                  </c:spPr>
                </c15:leaderLines>
              </c:ext>
            </c:extLst>
          </c:dLbls>
          <c:cat>
            <c:strRef>
              <c:f>Sheet1!$A$2:$A$3</c:f>
              <c:strCache>
                <c:ptCount val="2"/>
                <c:pt idx="0">
                  <c:v>公务用车运行维护费</c:v>
                </c:pt>
                <c:pt idx="1">
                  <c:v>接待费</c:v>
                </c:pt>
              </c:strCache>
            </c:strRef>
          </c:cat>
          <c:val>
            <c:numRef>
              <c:f>Sheet1!#REF!</c:f>
              <c:numCache>
                <c:formatCode>General</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solidFill>
          <a:schemeClr val="lt1">
            <a:alpha val="50000"/>
          </a:schemeClr>
        </a:solidFill>
        <a:ln>
          <a:noFill/>
        </a:ln>
        <a:effectLst/>
      </c:spPr>
      <c:txPr>
        <a:bodyPr rot="0" spcFirstLastPara="0" vertOverflow="ellipsis" vert="horz" wrap="square" anchor="ctr" anchorCtr="1" forceAA="0"/>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3">
  <a:schemeClr val="accent3"/>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21FA5C-FBC4-4E0C-90C9-F7AB8D53FD89}">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24</Pages>
  <Words>1284</Words>
  <Characters>7320</Characters>
  <Lines>61</Lines>
  <Paragraphs>17</Paragraphs>
  <TotalTime>6</TotalTime>
  <ScaleCrop>false</ScaleCrop>
  <LinksUpToDate>false</LinksUpToDate>
  <CharactersWithSpaces>8587</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2020-08-04T01:49:00Z</dcterms:created>
  <dc:creator>曹颖</dc:creator>
  <cp:lastModifiedBy>R.u.n 2</cp:lastModifiedBy>
  <cp:lastPrinted>2020-09-28T08:30:00Z</cp:lastPrinted>
  <dcterms:modified xsi:type="dcterms:W3CDTF">2020-10-10T02:12:16Z</dcterms:modified>
  <dc:title>四川省***</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