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8441"/>
      <w:bookmarkStart w:id="4" w:name="_Toc15396475"/>
      <w:bookmarkStart w:id="5" w:name="_Toc15377193"/>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598"/>
      <w:bookmarkStart w:id="8" w:name="_Toc15377194"/>
      <w:bookmarkStart w:id="9" w:name="_Toc15378442"/>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红原县供销合作社联合社决算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widowControl/>
      </w:pPr>
    </w:p>
    <w:p>
      <w:pPr>
        <w:pStyle w:val="10"/>
        <w:widowControl/>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Style w:val="15"/>
          <w:rFonts w:hint="eastAsia"/>
        </w:rPr>
        <w:fldChar w:fldCharType="end"/>
      </w:r>
    </w:p>
    <w:p>
      <w:pPr>
        <w:pStyle w:val="11"/>
        <w:widowControl/>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Style w:val="15"/>
          <w:rFonts w:hint="eastAsia" w:ascii="仿宋" w:hAnsi="仿宋" w:eastAsia="仿宋"/>
          <w:sz w:val="28"/>
          <w:szCs w:val="28"/>
        </w:rPr>
        <w:fldChar w:fldCharType="end"/>
      </w:r>
    </w:p>
    <w:p>
      <w:pPr>
        <w:pStyle w:val="10"/>
        <w:widowControl/>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rPr>
          <w:rStyle w:val="15"/>
          <w:rFonts w:hint="eastAsia"/>
        </w:rPr>
        <w:fldChar w:fldCharType="end"/>
      </w:r>
    </w:p>
    <w:p>
      <w:pPr>
        <w:pStyle w:val="11"/>
        <w:widowControl/>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Style w:val="15"/>
          <w:rFonts w:hint="eastAsia" w:ascii="仿宋" w:hAnsi="仿宋" w:eastAsia="仿宋" w:cstheme="majorBidi"/>
          <w:bCs/>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Style w:val="15"/>
          <w:rFonts w:hint="eastAsia" w:ascii="仿宋" w:hAnsi="仿宋" w:eastAsia="仿宋" w:cstheme="majorBidi"/>
          <w:bCs/>
          <w:sz w:val="28"/>
          <w:szCs w:val="28"/>
        </w:rPr>
        <w:fldChar w:fldCharType="end"/>
      </w:r>
    </w:p>
    <w:p>
      <w:pPr>
        <w:pStyle w:val="10"/>
        <w:widowControl/>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rPr>
          <w:rStyle w:val="15"/>
          <w:rFonts w:hint="eastAsia"/>
          <w:bCs/>
          <w:kern w:val="44"/>
        </w:rPr>
        <w:fldChar w:fldCharType="end"/>
      </w:r>
    </w:p>
    <w:p>
      <w:pPr>
        <w:pStyle w:val="10"/>
        <w:widowControl/>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rPr>
          <w:rStyle w:val="15"/>
          <w:rFonts w:hint="eastAsia"/>
          <w:bCs/>
          <w:kern w:val="44"/>
        </w:rPr>
        <w:fldChar w:fldCharType="end"/>
      </w:r>
    </w:p>
    <w:p>
      <w:pPr>
        <w:pStyle w:val="11"/>
        <w:widowControl/>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Style w:val="15"/>
          <w:rFonts w:ascii="仿宋" w:hAnsi="仿宋" w:eastAsia="仿宋"/>
          <w:kern w:val="44"/>
          <w:sz w:val="28"/>
          <w:szCs w:val="28"/>
        </w:rPr>
        <w:fldChar w:fldCharType="end"/>
      </w:r>
    </w:p>
    <w:p>
      <w:pPr>
        <w:pStyle w:val="11"/>
        <w:widowControl/>
        <w:rPr>
          <w:rFonts w:ascii="仿宋" w:hAnsi="仿宋" w:eastAsia="仿宋" w:cstheme="minorBidi"/>
          <w:sz w:val="28"/>
          <w:szCs w:val="28"/>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Style w:val="15"/>
          <w:rFonts w:ascii="仿宋" w:hAnsi="仿宋" w:eastAsia="仿宋"/>
          <w:kern w:val="44"/>
          <w:sz w:val="28"/>
          <w:szCs w:val="28"/>
        </w:rPr>
        <w:fldChar w:fldCharType="end"/>
      </w:r>
    </w:p>
    <w:p>
      <w:pPr>
        <w:pStyle w:val="10"/>
        <w:widowControl/>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rPr>
          <w:rStyle w:val="15"/>
          <w:rFonts w:hint="eastAsia"/>
          <w:bCs/>
          <w:kern w:val="44"/>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Style w:val="15"/>
          <w:rFonts w:hint="eastAsia" w:ascii="仿宋" w:hAnsi="仿宋" w:eastAsia="仿宋"/>
          <w:sz w:val="28"/>
          <w:szCs w:val="28"/>
        </w:rPr>
        <w:fldChar w:fldCharType="end"/>
      </w:r>
    </w:p>
    <w:p>
      <w:pPr>
        <w:pStyle w:val="11"/>
        <w:widowControl/>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Style w:val="15"/>
          <w:rFonts w:hint="eastAsia" w:ascii="仿宋" w:hAnsi="仿宋" w:eastAsia="仿宋"/>
          <w:sz w:val="28"/>
          <w:szCs w:val="28"/>
        </w:rPr>
        <w:fldChar w:fldCharType="end"/>
      </w:r>
    </w:p>
    <w:p>
      <w:pPr>
        <w:pStyle w:val="11"/>
        <w:widowControl/>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Style w:val="15"/>
          <w:rFonts w:hint="eastAsia" w:ascii="仿宋" w:hAnsi="仿宋" w:eastAsia="仿宋"/>
          <w:sz w:val="28"/>
          <w:szCs w:val="28"/>
        </w:rPr>
        <w:fldChar w:fldCharType="end"/>
      </w:r>
    </w:p>
    <w:p>
      <w:pPr>
        <w:pStyle w:val="11"/>
        <w:widowControl/>
        <w:rPr>
          <w:rStyle w:val="15"/>
          <w:rFonts w:hint="eastAsia"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Style w:val="15"/>
          <w:rFonts w:hint="eastAsia" w:ascii="仿宋" w:hAnsi="仿宋" w:eastAsia="仿宋"/>
          <w:sz w:val="28"/>
          <w:szCs w:val="28"/>
        </w:rPr>
        <w:fldChar w:fldCharType="end"/>
      </w:r>
    </w:p>
    <w:p>
      <w:pPr>
        <w:ind w:firstLine="640"/>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十四、整体支出绩效评价打分表</w:t>
      </w:r>
    </w:p>
    <w:p>
      <w:pPr>
        <w:ind w:firstLine="640"/>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十五、项目支出绩效评价打分表</w:t>
      </w: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spacing w:before="93" w:line="560" w:lineRule="exact"/>
        <w:ind w:firstLine="672"/>
        <w:rPr>
          <w:rFonts w:ascii="仿宋" w:hAnsi="仿宋" w:eastAsia="仿宋" w:cs="仿宋"/>
          <w:color w:val="000000"/>
          <w:sz w:val="32"/>
        </w:rPr>
      </w:pPr>
      <w:bookmarkStart w:id="16" w:name="_Toc15396602"/>
      <w:bookmarkStart w:id="17" w:name="_Toc15377204"/>
      <w:r>
        <w:rPr>
          <w:rFonts w:ascii="仿宋" w:hAnsi="仿宋" w:eastAsia="仿宋" w:cs="仿宋"/>
          <w:color w:val="000000"/>
          <w:sz w:val="32"/>
        </w:rPr>
        <w:t>（一）主要职能。</w:t>
      </w:r>
    </w:p>
    <w:p>
      <w:pPr>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按照社会主义市场经济的要求，县供销社由过去行使政府管理职能逐步转向对系统进行行业管理、指导、协调和服务上来，对直属企业由直接管理转为以出资人身份行使对社有资产的监督管理。主要宗旨是立足三农，服务三农。宣传贯彻和实施农村经济工作的方针政策，指导农村社会化服务体系建设。</w:t>
      </w:r>
    </w:p>
    <w:p>
      <w:pPr>
        <w:spacing w:before="93" w:line="560" w:lineRule="exact"/>
        <w:ind w:firstLine="672"/>
        <w:rPr>
          <w:rFonts w:ascii="仿宋" w:hAnsi="仿宋" w:eastAsia="仿宋" w:cs="仿宋"/>
          <w:color w:val="000000"/>
          <w:sz w:val="32"/>
        </w:rPr>
      </w:pPr>
      <w:r>
        <w:rPr>
          <w:rFonts w:ascii="仿宋" w:hAnsi="仿宋" w:eastAsia="仿宋" w:cs="仿宋"/>
          <w:color w:val="000000"/>
          <w:sz w:val="32"/>
        </w:rPr>
        <w:t>（二）2018年重点工作完成情况。</w:t>
      </w:r>
    </w:p>
    <w:p>
      <w:pPr>
        <w:spacing w:line="560" w:lineRule="exact"/>
        <w:ind w:firstLine="643" w:firstLineChars="200"/>
        <w:rPr>
          <w:rFonts w:ascii="仿宋_GB2312" w:eastAsia="仿宋_GB2312" w:cs="仿宋_GB2312"/>
          <w:b/>
          <w:sz w:val="32"/>
          <w:szCs w:val="32"/>
        </w:rPr>
      </w:pPr>
      <w:r>
        <w:rPr>
          <w:rFonts w:hint="eastAsia" w:ascii="仿宋_GB2312" w:eastAsia="仿宋_GB2312" w:cs="仿宋_GB2312"/>
          <w:b/>
          <w:sz w:val="32"/>
          <w:szCs w:val="32"/>
        </w:rPr>
        <w:t>【基层供销社基本情况】</w:t>
      </w:r>
    </w:p>
    <w:p>
      <w:pPr>
        <w:spacing w:line="560" w:lineRule="exact"/>
        <w:ind w:firstLine="640" w:firstLineChars="200"/>
        <w:rPr>
          <w:rFonts w:ascii="仿宋_GB2312" w:hAnsi="黑体" w:eastAsia="仿宋_GB2312"/>
          <w:b/>
          <w:bCs/>
          <w:sz w:val="32"/>
          <w:szCs w:val="32"/>
        </w:rPr>
      </w:pPr>
      <w:r>
        <w:rPr>
          <w:rFonts w:hint="eastAsia" w:ascii="仿宋_GB2312" w:eastAsia="仿宋_GB2312" w:cs="仿宋_GB2312"/>
          <w:sz w:val="32"/>
          <w:szCs w:val="32"/>
        </w:rPr>
        <w:t>全县辖</w:t>
      </w:r>
      <w:r>
        <w:rPr>
          <w:rFonts w:ascii="仿宋_GB2312" w:eastAsia="仿宋_GB2312" w:cs="仿宋_GB2312"/>
          <w:sz w:val="32"/>
          <w:szCs w:val="32"/>
        </w:rPr>
        <w:t>11</w:t>
      </w:r>
      <w:r>
        <w:rPr>
          <w:rFonts w:hint="eastAsia" w:ascii="仿宋_GB2312" w:eastAsia="仿宋_GB2312" w:cs="仿宋_GB2312"/>
          <w:sz w:val="32"/>
          <w:szCs w:val="32"/>
        </w:rPr>
        <w:t>个乡镇</w:t>
      </w:r>
      <w:r>
        <w:rPr>
          <w:rFonts w:ascii="仿宋_GB2312" w:eastAsia="仿宋_GB2312" w:cs="仿宋_GB2312"/>
          <w:sz w:val="32"/>
          <w:szCs w:val="32"/>
        </w:rPr>
        <w:t>34</w:t>
      </w:r>
      <w:r>
        <w:rPr>
          <w:rFonts w:hint="eastAsia" w:ascii="仿宋_GB2312" w:eastAsia="仿宋_GB2312" w:cs="仿宋_GB2312"/>
          <w:sz w:val="32"/>
          <w:szCs w:val="32"/>
        </w:rPr>
        <w:t>个村</w:t>
      </w:r>
      <w:r>
        <w:rPr>
          <w:rFonts w:ascii="仿宋_GB2312" w:eastAsia="仿宋_GB2312" w:cs="仿宋_GB2312"/>
          <w:sz w:val="32"/>
          <w:szCs w:val="32"/>
        </w:rPr>
        <w:t>4</w:t>
      </w:r>
      <w:r>
        <w:rPr>
          <w:rFonts w:hint="eastAsia" w:ascii="仿宋_GB2312" w:eastAsia="仿宋_GB2312" w:cs="仿宋_GB2312"/>
          <w:sz w:val="32"/>
          <w:szCs w:val="32"/>
        </w:rPr>
        <w:t>个社区，全县共有</w:t>
      </w:r>
      <w:r>
        <w:rPr>
          <w:rFonts w:ascii="仿宋_GB2312" w:eastAsia="仿宋_GB2312" w:cs="仿宋_GB2312"/>
          <w:sz w:val="32"/>
          <w:szCs w:val="32"/>
        </w:rPr>
        <w:t>4</w:t>
      </w:r>
      <w:r>
        <w:rPr>
          <w:rFonts w:hint="eastAsia" w:ascii="仿宋_GB2312" w:eastAsia="仿宋_GB2312" w:cs="仿宋_GB2312"/>
          <w:sz w:val="32"/>
          <w:szCs w:val="32"/>
        </w:rPr>
        <w:t>个中心乡镇，邛溪镇（覆盖阿木乡）、色地镇（覆盖麦洼乡）、安曲镇（覆盖江茸乡、查尔玛乡、龙日乡）、刷经寺镇（覆盖壤口乡），乡村基层社及服务网点</w:t>
      </w:r>
      <w:r>
        <w:rPr>
          <w:rFonts w:ascii="仿宋_GB2312" w:eastAsia="仿宋_GB2312" w:cs="仿宋_GB2312"/>
          <w:sz w:val="32"/>
          <w:szCs w:val="32"/>
        </w:rPr>
        <w:t>21</w:t>
      </w:r>
      <w:r>
        <w:rPr>
          <w:rFonts w:hint="eastAsia" w:ascii="仿宋_GB2312" w:eastAsia="仿宋_GB2312" w:cs="仿宋_GB2312"/>
          <w:sz w:val="32"/>
          <w:szCs w:val="32"/>
        </w:rPr>
        <w:t>个，计划于</w:t>
      </w:r>
      <w:r>
        <w:rPr>
          <w:rFonts w:ascii="仿宋_GB2312" w:eastAsia="仿宋_GB2312" w:cs="仿宋_GB2312"/>
          <w:sz w:val="32"/>
          <w:szCs w:val="32"/>
        </w:rPr>
        <w:t>2019</w:t>
      </w:r>
      <w:r>
        <w:rPr>
          <w:rFonts w:hint="eastAsia" w:ascii="仿宋_GB2312" w:eastAsia="仿宋_GB2312" w:cs="仿宋_GB2312"/>
          <w:sz w:val="32"/>
          <w:szCs w:val="32"/>
        </w:rPr>
        <w:t>年全面完成乡镇基层供销社建设，到</w:t>
      </w:r>
      <w:r>
        <w:rPr>
          <w:rFonts w:ascii="仿宋_GB2312" w:eastAsia="仿宋_GB2312" w:cs="仿宋_GB2312"/>
          <w:sz w:val="32"/>
          <w:szCs w:val="32"/>
        </w:rPr>
        <w:t>2020</w:t>
      </w:r>
      <w:r>
        <w:rPr>
          <w:rFonts w:hint="eastAsia" w:ascii="仿宋_GB2312" w:eastAsia="仿宋_GB2312" w:cs="仿宋_GB2312"/>
          <w:sz w:val="32"/>
          <w:szCs w:val="32"/>
        </w:rPr>
        <w:t>年辐射全县所有村及居民居住点。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b/>
          <w:sz w:val="32"/>
          <w:szCs w:val="32"/>
        </w:rPr>
        <w:t>完善更攀合作社的提升</w:t>
      </w:r>
      <w:r>
        <w:rPr>
          <w:rFonts w:hint="eastAsia" w:ascii="仿宋_GB2312" w:eastAsia="仿宋_GB2312" w:cs="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一是及时成立红原县更攀农特产品开发有限公司紧紧抓住与国航签订合作协议历史契机生产航空员工及航空食品为主的高端安全消费生产的产品有鲜奶、酸奶、牛奶冰糕，牛奶冰淇淋，黄油、酥油牦牛乳脂产品。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二是与企业进行股份制合作，形成混合制股份公司；与红原县遛遛牛食品公司生产牦牛系列香辣酱产品及颗粒牦牛肉干产品；与云尚化妆品公司合资建立是以牦牛乳原料生产的化妆品。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三是依托建立红原县冷链物流中心建设及管理将与青海、甘肃、西藏、云南等地营销对接，积极开展市场调研并在需求大的地方建立了销售直供店</w:t>
      </w:r>
    </w:p>
    <w:p>
      <w:pPr>
        <w:spacing w:line="560" w:lineRule="exact"/>
        <w:ind w:firstLine="640" w:firstLineChars="200"/>
        <w:rPr>
          <w:rFonts w:ascii="仿宋_GB2312" w:hAnsi="仿宋_GB2312" w:eastAsia="仿宋_GB2312" w:cs="仿宋_GB2312"/>
          <w:sz w:val="32"/>
          <w:szCs w:val="32"/>
        </w:rPr>
      </w:pPr>
      <w:r>
        <w:rPr>
          <w:rFonts w:hint="eastAsia" w:ascii="仿宋_GB2312" w:eastAsia="仿宋_GB2312" w:cs="仿宋_GB2312"/>
          <w:sz w:val="32"/>
          <w:szCs w:val="32"/>
        </w:rPr>
        <w:t>四</w:t>
      </w:r>
      <w:r>
        <w:rPr>
          <w:rFonts w:hint="eastAsia" w:ascii="仿宋_GB2312" w:eastAsia="仿宋_GB2312"/>
          <w:sz w:val="32"/>
          <w:szCs w:val="32"/>
        </w:rPr>
        <w:t>是</w:t>
      </w:r>
      <w:r>
        <w:rPr>
          <w:rFonts w:hint="eastAsia" w:ascii="仿宋_GB2312" w:hAnsi="仿宋_GB2312" w:eastAsia="仿宋_GB2312" w:cs="仿宋_GB2312"/>
          <w:sz w:val="32"/>
          <w:szCs w:val="32"/>
        </w:rPr>
        <w:t>藏绵羊毛绒加工创富增收项目，目前已经完成项目的基建土地规划正在进行可研评审工作，设备采购工作已启动。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基层供销社的建设</w:t>
      </w:r>
      <w:r>
        <w:rPr>
          <w:rFonts w:hint="eastAsia" w:ascii="仿宋_GB2312" w:hAnsi="仿宋_GB2312" w:eastAsia="仿宋_GB2312" w:cs="仿宋_GB2312"/>
          <w:sz w:val="32"/>
          <w:szCs w:val="32"/>
        </w:rPr>
        <w:t>】</w:t>
      </w:r>
    </w:p>
    <w:p>
      <w:pPr>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年新建“牧区基层供销社</w:t>
      </w:r>
      <w:r>
        <w:rPr>
          <w:rFonts w:ascii="仿宋_GB2312" w:eastAsia="仿宋_GB2312" w:cs="仿宋_GB2312"/>
          <w:sz w:val="32"/>
          <w:szCs w:val="32"/>
        </w:rPr>
        <w:t>3</w:t>
      </w:r>
      <w:r>
        <w:rPr>
          <w:rFonts w:hint="eastAsia" w:ascii="仿宋_GB2312" w:eastAsia="仿宋_GB2312" w:cs="仿宋_GB2312"/>
          <w:sz w:val="32"/>
          <w:szCs w:val="32"/>
        </w:rPr>
        <w:t>个投入资金</w:t>
      </w:r>
      <w:r>
        <w:rPr>
          <w:rFonts w:ascii="仿宋_GB2312" w:eastAsia="仿宋_GB2312" w:cs="仿宋_GB2312"/>
          <w:sz w:val="32"/>
          <w:szCs w:val="32"/>
        </w:rPr>
        <w:t>25</w:t>
      </w:r>
      <w:r>
        <w:rPr>
          <w:rFonts w:hint="eastAsia" w:ascii="仿宋_GB2312" w:eastAsia="仿宋_GB2312" w:cs="仿宋_GB2312"/>
          <w:sz w:val="32"/>
          <w:szCs w:val="32"/>
        </w:rPr>
        <w:t>万元，其中壤口乡基层供销社投入</w:t>
      </w:r>
      <w:r>
        <w:rPr>
          <w:rFonts w:ascii="仿宋_GB2312" w:eastAsia="仿宋_GB2312" w:cs="仿宋_GB2312"/>
          <w:sz w:val="32"/>
          <w:szCs w:val="32"/>
        </w:rPr>
        <w:t>10</w:t>
      </w:r>
      <w:r>
        <w:rPr>
          <w:rFonts w:hint="eastAsia" w:ascii="仿宋_GB2312" w:eastAsia="仿宋_GB2312" w:cs="仿宋_GB2312"/>
          <w:sz w:val="32"/>
          <w:szCs w:val="32"/>
        </w:rPr>
        <w:t>万元，龙日乡基层供销社投入</w:t>
      </w:r>
      <w:r>
        <w:rPr>
          <w:rFonts w:ascii="仿宋_GB2312" w:eastAsia="仿宋_GB2312" w:cs="仿宋_GB2312"/>
          <w:sz w:val="32"/>
          <w:szCs w:val="32"/>
        </w:rPr>
        <w:t>10</w:t>
      </w:r>
      <w:r>
        <w:rPr>
          <w:rFonts w:hint="eastAsia" w:ascii="仿宋_GB2312" w:eastAsia="仿宋_GB2312" w:cs="仿宋_GB2312"/>
          <w:sz w:val="32"/>
          <w:szCs w:val="32"/>
        </w:rPr>
        <w:t>万元，瓦切基层供销社投入</w:t>
      </w:r>
      <w:r>
        <w:rPr>
          <w:rFonts w:ascii="仿宋_GB2312" w:eastAsia="仿宋_GB2312" w:cs="仿宋_GB2312"/>
          <w:sz w:val="32"/>
          <w:szCs w:val="32"/>
        </w:rPr>
        <w:t>5</w:t>
      </w:r>
      <w:r>
        <w:rPr>
          <w:rFonts w:hint="eastAsia" w:ascii="仿宋_GB2312" w:eastAsia="仿宋_GB2312" w:cs="仿宋_GB2312"/>
          <w:sz w:val="32"/>
          <w:szCs w:val="32"/>
        </w:rPr>
        <w:t>万元</w:t>
      </w:r>
      <w:r>
        <w:rPr>
          <w:rFonts w:hint="eastAsia" w:ascii="仿宋_GB2312" w:eastAsia="仿宋_GB2312"/>
          <w:sz w:val="32"/>
          <w:szCs w:val="32"/>
        </w:rPr>
        <w:t>。进一步</w:t>
      </w:r>
      <w:r>
        <w:rPr>
          <w:rFonts w:hint="eastAsia" w:ascii="仿宋_GB2312" w:hAnsi="宋体" w:eastAsia="仿宋_GB2312"/>
          <w:color w:val="000000"/>
          <w:sz w:val="32"/>
          <w:szCs w:val="32"/>
        </w:rPr>
        <w:t>规范基层社发展，</w:t>
      </w:r>
      <w:r>
        <w:rPr>
          <w:rFonts w:hint="eastAsia" w:ascii="仿宋_GB2312" w:eastAsia="仿宋_GB2312" w:cs="仿宋_GB2312"/>
          <w:sz w:val="32"/>
          <w:szCs w:val="32"/>
        </w:rPr>
        <w:t>强化内部管理。抓好队伍建设、建立健全组织制度、经营管理制度和财务制度。加强农资现代经营服务网络建设。完善农资仓储物流基础设施，加快发展农村日用消费品现代经营服务网络。通过改造升级、新建扩建等形式，着力提高网络运营水平，顺应农村向全面小康迈进过程中消费层次的转换，创新流通业态，优化流通环境，提升流通服务水平。</w:t>
      </w:r>
    </w:p>
    <w:p>
      <w:pPr>
        <w:spacing w:line="560" w:lineRule="exact"/>
        <w:ind w:firstLine="643" w:firstLineChars="200"/>
        <w:rPr>
          <w:rFonts w:ascii="仿宋_GB2312" w:hAnsi="仿宋" w:eastAsia="仿宋_GB2312"/>
          <w:sz w:val="32"/>
          <w:szCs w:val="32"/>
        </w:rPr>
      </w:pPr>
      <w:r>
        <w:rPr>
          <w:rFonts w:hint="eastAsia" w:ascii="仿宋_GB2312" w:hAnsi="仿宋" w:eastAsia="仿宋_GB2312" w:cs="黑体"/>
          <w:b/>
          <w:sz w:val="32"/>
          <w:szCs w:val="32"/>
        </w:rPr>
        <w:t>【改革工作】</w:t>
      </w:r>
      <w:r>
        <w:rPr>
          <w:rFonts w:ascii="仿宋_GB2312" w:hAnsi="仿宋" w:eastAsia="仿宋_GB2312"/>
          <w:sz w:val="32"/>
          <w:szCs w:val="32"/>
        </w:rPr>
        <w:t xml:space="preserve">  </w:t>
      </w:r>
    </w:p>
    <w:p>
      <w:pPr>
        <w:spacing w:line="560" w:lineRule="exact"/>
        <w:ind w:firstLine="640" w:firstLineChars="200"/>
        <w:rPr>
          <w:rFonts w:ascii="仿宋_GB2312" w:hAnsi="黑体" w:eastAsia="仿宋_GB2312"/>
          <w:bCs/>
          <w:sz w:val="32"/>
          <w:szCs w:val="32"/>
        </w:rPr>
      </w:pPr>
      <w:r>
        <w:rPr>
          <w:rFonts w:hint="eastAsia" w:ascii="仿宋_GB2312" w:hAnsi="宋体" w:eastAsia="仿宋_GB2312"/>
          <w:color w:val="000000"/>
          <w:sz w:val="32"/>
          <w:szCs w:val="32"/>
        </w:rPr>
        <w:t>规范基层社发展工作。</w:t>
      </w:r>
      <w:r>
        <w:rPr>
          <w:rFonts w:hint="eastAsia" w:ascii="仿宋_GB2312" w:eastAsia="仿宋_GB2312" w:cs="仿宋_GB2312"/>
          <w:sz w:val="32"/>
          <w:szCs w:val="32"/>
        </w:rPr>
        <w:t>一是规范内部管理。抓好队伍建设、建立健全组织制度、经营管理制度和财务制度。二是加强农资现代经营服务网络建设。继续完善农资仓储物流基础设施，建设区域农资配送中心，大力发展农资连锁经营，做好农资储备和调剂，保障农资供应和质量安全。三是加快发展农村日用消费品现代经营服务网络。通过改造升级、新建扩建等形式，着力提高网络运营水平，顺应农村向全面小康迈进过程中消费层次的转换，创新流通业态，优化流通环境，提升流通服务水平；</w:t>
      </w:r>
      <w:r>
        <w:rPr>
          <w:rFonts w:hint="eastAsia" w:ascii="仿宋_GB2312" w:hAnsi="宋体" w:eastAsia="仿宋_GB2312"/>
          <w:color w:val="000000"/>
          <w:sz w:val="32"/>
          <w:szCs w:val="32"/>
        </w:rPr>
        <w:t>推进基层社升级改造情况。按照本县实际，结合乡村振兴、综合改革等与所在乡镇合作，利用电商平台，推销、展销本地特色农产品。四是</w:t>
      </w:r>
      <w:r>
        <w:rPr>
          <w:rFonts w:hint="eastAsia" w:ascii="仿宋_GB2312" w:hAnsi="仿宋_GB2312" w:eastAsia="仿宋_GB2312" w:cs="仿宋_GB2312"/>
          <w:sz w:val="32"/>
          <w:szCs w:val="32"/>
        </w:rPr>
        <w:t>加快建设供销社基层社经营服务网络体系，切实解决为民服务最后一公里，构建全方位为农服务体系。我们紧紧抓住综合改革机遇，积极拓宽销售渠道，主动与中国电信、中国移动、中国邮政、中国农行、国家电网各方商定合作，依托县发改委建设乡镇电子商务中心，整合资源</w:t>
      </w:r>
      <w:r>
        <w:rPr>
          <w:rFonts w:hint="eastAsia" w:ascii="仿宋_GB2312" w:hAnsi="宋体" w:eastAsia="仿宋_GB2312"/>
          <w:color w:val="000000"/>
          <w:sz w:val="32"/>
          <w:szCs w:val="32"/>
        </w:rPr>
        <w:t>拓展基层社服务功能，打造全方位为农服务中心。</w:t>
      </w:r>
      <w:r>
        <w:rPr>
          <w:rFonts w:hint="eastAsia" w:ascii="仿宋_GB2312" w:hAnsi="仿宋_GB2312" w:eastAsia="仿宋_GB2312" w:cs="仿宋_GB2312"/>
          <w:sz w:val="32"/>
          <w:szCs w:val="32"/>
        </w:rPr>
        <w:t>供应农资、农牧民生活用品，农产品电商销售，设置充费、存取款、交通罚款缴费、帮助不识字的农牧民收取寄送快递包裹，政策咨询、帮助代写简单的申请等服务，切实为农牧民提供便利，实现全范围的综合服务。同时也将乡镇干部从繁琐的琐事中解放出来。五是积极开展“帮村理财、帮社记账、帮民办事”三帮双代工作，我们积极与省社财务公司四川省农村资金互助服务有限责任公司函接达成合作协议，省财务公司通过政府出资购买服务，帮助解决红原县全县</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个生态管护合作社、</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家村集体产权的产业合作社（包括更攀合作社），</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家乡镇供销社共记</w:t>
      </w:r>
      <w:r>
        <w:rPr>
          <w:rFonts w:ascii="仿宋_GB2312" w:hAnsi="仿宋_GB2312" w:eastAsia="仿宋_GB2312" w:cs="仿宋_GB2312"/>
          <w:sz w:val="32"/>
          <w:szCs w:val="32"/>
        </w:rPr>
        <w:t>110</w:t>
      </w:r>
      <w:r>
        <w:rPr>
          <w:rFonts w:hint="eastAsia" w:ascii="仿宋_GB2312" w:hAnsi="仿宋_GB2312" w:eastAsia="仿宋_GB2312" w:cs="仿宋_GB2312"/>
          <w:sz w:val="32"/>
          <w:szCs w:val="32"/>
        </w:rPr>
        <w:t>家合作社村集体经济的三资监管（资产、资金、资源）、三务服务（党务、村务、财务）服务工作及村社清产核资协助村集体改革股权量化成股份制合作社工作，提供国家相关政策咨询，乡村合作社财务人员培训，建立乡村合作社规范化管理工作。同时积极帮助我们梳理红原县更攀合作总社制度建设，按照现代企业管理进行规范化建立，确保红原县更攀合作总社按照市场化运作。</w:t>
      </w:r>
    </w:p>
    <w:p>
      <w:pPr>
        <w:pStyle w:val="29"/>
        <w:spacing w:line="560" w:lineRule="exact"/>
        <w:ind w:left="643"/>
        <w:rPr>
          <w:rFonts w:hint="default" w:ascii="仿宋_GB2312" w:eastAsia="仿宋_GB2312"/>
          <w:b/>
          <w:sz w:val="32"/>
        </w:rPr>
      </w:pPr>
      <w:r>
        <w:rPr>
          <w:rFonts w:ascii="方正黑体简体" w:hAnsi="方正黑体简体" w:eastAsia="方正黑体简体" w:cs="方正黑体简体"/>
          <w:b/>
          <w:sz w:val="32"/>
        </w:rPr>
        <w:t>【</w:t>
      </w:r>
      <w:r>
        <w:rPr>
          <w:rFonts w:ascii="仿宋_GB2312" w:eastAsia="仿宋_GB2312"/>
          <w:b/>
          <w:sz w:val="32"/>
        </w:rPr>
        <w:t>党风廉政、作风建设</w:t>
      </w:r>
      <w:r>
        <w:rPr>
          <w:rFonts w:ascii="方正黑体简体" w:hAnsi="方正黑体简体" w:eastAsia="方正黑体简体" w:cs="方正黑体简体"/>
          <w:b/>
          <w:sz w:val="32"/>
        </w:rPr>
        <w:t>】</w:t>
      </w:r>
    </w:p>
    <w:p>
      <w:pPr>
        <w:pStyle w:val="29"/>
        <w:spacing w:line="560" w:lineRule="exact"/>
        <w:ind w:left="0" w:firstLine="640" w:firstLineChars="200"/>
        <w:rPr>
          <w:rFonts w:hint="default" w:ascii="仿宋_GB2312" w:eastAsia="仿宋_GB2312"/>
          <w:sz w:val="32"/>
        </w:rPr>
      </w:pPr>
      <w:r>
        <w:rPr>
          <w:rFonts w:ascii="仿宋_GB2312" w:eastAsia="仿宋_GB2312"/>
          <w:sz w:val="32"/>
        </w:rPr>
        <w:t>供销社严格按照县委政府的要求，积极努力完成党风廉政、反腐败工作、严格遵守《八项规定》《中国共产党纪律处分条例》《廉政准则》深入治理庸、懒、散、浮、拖现象，全局没有发生一起吃、拿、卡、要、腐败现象。</w:t>
      </w:r>
      <w:r>
        <w:rPr>
          <w:rFonts w:ascii="仿宋_GB2312" w:hAnsi="仿宋_GB2312" w:eastAsia="仿宋_GB2312"/>
          <w:sz w:val="32"/>
        </w:rPr>
        <w:t>深入贯彻落实“</w:t>
      </w:r>
      <w:r>
        <w:rPr>
          <w:rFonts w:ascii="仿宋_GB2312" w:eastAsia="仿宋_GB2312"/>
          <w:sz w:val="32"/>
        </w:rPr>
        <w:t>党的群众路线教育实践活动，走基层、办实事、解难事，惠民生”积极完成教育实践活动各项工作，确保教育实践活动工作落到实处。</w:t>
      </w:r>
    </w:p>
    <w:p>
      <w:pPr>
        <w:keepNext/>
        <w:keepLines/>
        <w:spacing w:before="260" w:after="260" w:line="560" w:lineRule="exact"/>
        <w:rPr>
          <w:rFonts w:ascii="Cambria" w:hAnsi="Cambria" w:eastAsia="Cambria" w:cs="Cambria"/>
          <w:sz w:val="32"/>
        </w:rPr>
      </w:pPr>
      <w:r>
        <w:rPr>
          <w:rFonts w:ascii="黑体" w:hAnsi="黑体" w:eastAsia="黑体" w:cs="黑体"/>
          <w:color w:val="000000"/>
          <w:sz w:val="32"/>
        </w:rPr>
        <w:t>二、机</w:t>
      </w:r>
      <w:r>
        <w:rPr>
          <w:rFonts w:ascii="黑体" w:hAnsi="黑体" w:eastAsia="黑体" w:cs="黑体"/>
          <w:sz w:val="32"/>
        </w:rPr>
        <w:t>构设置</w:t>
      </w:r>
    </w:p>
    <w:p>
      <w:pPr>
        <w:keepNext/>
        <w:keepLines/>
        <w:spacing w:before="340" w:after="330" w:line="560" w:lineRule="exact"/>
        <w:ind w:right="1077" w:firstLine="640" w:firstLineChars="200"/>
        <w:rPr>
          <w:rFonts w:ascii="仿宋_GB2312" w:hAnsi="仿宋_GB2312" w:eastAsia="仿宋_GB2312"/>
          <w:sz w:val="32"/>
        </w:rPr>
      </w:pPr>
      <w:r>
        <w:rPr>
          <w:rFonts w:hint="eastAsia" w:ascii="仿宋_GB2312" w:hAnsi="仿宋_GB2312" w:eastAsia="仿宋_GB2312"/>
          <w:sz w:val="32"/>
        </w:rPr>
        <w:t>本单位属于一级预算单位，其中内设机构1个。</w:t>
      </w:r>
    </w:p>
    <w:p>
      <w:pPr>
        <w:pStyle w:val="2"/>
        <w:ind w:right="440"/>
        <w:jc w:val="right"/>
        <w:rPr>
          <w:rStyle w:val="24"/>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2018年度部门决算情况说明</w:t>
      </w:r>
      <w:bookmarkEnd w:id="16"/>
      <w:bookmarkEnd w:id="17"/>
    </w:p>
    <w:p/>
    <w:p>
      <w:pPr>
        <w:pStyle w:val="23"/>
        <w:numPr>
          <w:ilvl w:val="0"/>
          <w:numId w:val="1"/>
        </w:numPr>
        <w:spacing w:line="600" w:lineRule="exact"/>
        <w:ind w:firstLineChars="0"/>
        <w:outlineLvl w:val="1"/>
        <w:rPr>
          <w:rStyle w:val="25"/>
          <w:rFonts w:ascii="黑体" w:hAnsi="黑体" w:eastAsia="黑体"/>
          <w:b w:val="0"/>
        </w:rPr>
      </w:pPr>
      <w:bookmarkStart w:id="18" w:name="_Toc15377205"/>
      <w:bookmarkStart w:id="19"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18"/>
      <w:bookmarkEnd w:id="19"/>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2018年度收入总计</w:t>
      </w:r>
      <w:r>
        <w:rPr>
          <w:rFonts w:ascii="仿宋" w:hAnsi="仿宋" w:eastAsia="仿宋"/>
          <w:color w:val="000000" w:themeColor="text1"/>
          <w:sz w:val="32"/>
          <w:szCs w:val="32"/>
        </w:rPr>
        <w:t>2062.25</w:t>
      </w:r>
      <w:r>
        <w:rPr>
          <w:rFonts w:hint="eastAsia" w:ascii="仿宋" w:hAnsi="仿宋" w:eastAsia="仿宋"/>
          <w:color w:val="000000" w:themeColor="text1"/>
          <w:sz w:val="32"/>
          <w:szCs w:val="32"/>
        </w:rPr>
        <w:t>万元，与2017年相比，增加835.89万元，增长68.16</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。主要变动原因是调资及项目增加。支出总计</w:t>
      </w:r>
      <w:r>
        <w:rPr>
          <w:rFonts w:ascii="仿宋" w:hAnsi="仿宋" w:eastAsia="仿宋"/>
          <w:color w:val="000000" w:themeColor="text1"/>
          <w:sz w:val="32"/>
          <w:szCs w:val="32"/>
        </w:rPr>
        <w:t>1723.21</w:t>
      </w:r>
      <w:r>
        <w:rPr>
          <w:rFonts w:hint="eastAsia" w:ascii="仿宋" w:hAnsi="仿宋" w:eastAsia="仿宋"/>
          <w:color w:val="000000" w:themeColor="text1"/>
          <w:sz w:val="32"/>
          <w:szCs w:val="32"/>
        </w:rPr>
        <w:t>万元。与2017年相比，增加861.79万元，增长49.98</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。主要变动原因是调资及项目增加。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58240" behindDoc="1" locked="0" layoutInCell="1" allowOverlap="1">
            <wp:simplePos x="0" y="0"/>
            <wp:positionH relativeFrom="column">
              <wp:posOffset>266700</wp:posOffset>
            </wp:positionH>
            <wp:positionV relativeFrom="paragraph">
              <wp:posOffset>381000</wp:posOffset>
            </wp:positionV>
            <wp:extent cx="4616450" cy="3067050"/>
            <wp:effectExtent l="0" t="0" r="0" b="0"/>
            <wp:wrapTight wrapText="bothSides">
              <wp:wrapPolygon>
                <wp:start x="1515" y="2147"/>
                <wp:lineTo x="1515" y="2415"/>
                <wp:lineTo x="2763" y="4293"/>
                <wp:lineTo x="1604" y="5232"/>
                <wp:lineTo x="1604" y="5635"/>
                <wp:lineTo x="2941" y="6440"/>
                <wp:lineTo x="1515" y="8452"/>
                <wp:lineTo x="1604" y="8720"/>
                <wp:lineTo x="2852" y="10733"/>
                <wp:lineTo x="1604" y="11270"/>
                <wp:lineTo x="1604" y="11806"/>
                <wp:lineTo x="2941" y="12880"/>
                <wp:lineTo x="1783" y="14355"/>
                <wp:lineTo x="1783" y="14892"/>
                <wp:lineTo x="2941" y="15026"/>
                <wp:lineTo x="2941" y="17173"/>
                <wp:lineTo x="2228" y="17441"/>
                <wp:lineTo x="2317" y="17843"/>
                <wp:lineTo x="4011" y="18917"/>
                <wp:lineTo x="8289" y="18917"/>
                <wp:lineTo x="10250" y="18917"/>
                <wp:lineTo x="15866" y="17575"/>
                <wp:lineTo x="15777" y="15026"/>
                <wp:lineTo x="18361" y="15026"/>
                <wp:lineTo x="21481" y="13819"/>
                <wp:lineTo x="21570" y="7781"/>
                <wp:lineTo x="20412" y="7379"/>
                <wp:lineTo x="15777" y="6440"/>
                <wp:lineTo x="15777" y="2147"/>
                <wp:lineTo x="1515" y="2147"/>
              </wp:wrapPolygon>
            </wp:wrapTight>
            <wp:docPr id="11"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0" w:name="_Toc15396604"/>
      <w:bookmarkStart w:id="21"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0"/>
      <w:bookmarkEnd w:id="21"/>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ascii="仿宋" w:hAnsi="仿宋" w:eastAsia="仿宋"/>
          <w:color w:val="000000"/>
          <w:sz w:val="32"/>
          <w:szCs w:val="32"/>
        </w:rPr>
        <w:t>2062.25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2062.25</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1" locked="0" layoutInCell="1" allowOverlap="1">
            <wp:simplePos x="0" y="0"/>
            <wp:positionH relativeFrom="column">
              <wp:posOffset>266700</wp:posOffset>
            </wp:positionH>
            <wp:positionV relativeFrom="paragraph">
              <wp:posOffset>0</wp:posOffset>
            </wp:positionV>
            <wp:extent cx="4185920" cy="2781300"/>
            <wp:effectExtent l="0" t="0" r="0" b="0"/>
            <wp:wrapTight wrapText="bothSides">
              <wp:wrapPolygon>
                <wp:start x="15237" y="4734"/>
                <wp:lineTo x="14647" y="5030"/>
                <wp:lineTo x="15138" y="5474"/>
                <wp:lineTo x="21036" y="5474"/>
                <wp:lineTo x="21430" y="5474"/>
                <wp:lineTo x="21233" y="4734"/>
                <wp:lineTo x="15237" y="4734"/>
              </wp:wrapPolygon>
            </wp:wrapTight>
            <wp:docPr id="12"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2" w:name="_Toc15377207"/>
      <w:bookmarkStart w:id="23"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2"/>
      <w:bookmarkEnd w:id="23"/>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ascii="仿宋" w:hAnsi="仿宋" w:eastAsia="仿宋"/>
          <w:color w:val="000000"/>
          <w:sz w:val="32"/>
          <w:szCs w:val="32"/>
        </w:rPr>
        <w:t>1723.21</w:t>
      </w:r>
      <w:r>
        <w:rPr>
          <w:rFonts w:hint="eastAsia" w:ascii="仿宋" w:hAnsi="仿宋" w:eastAsia="仿宋"/>
          <w:color w:val="000000"/>
          <w:sz w:val="32"/>
          <w:szCs w:val="32"/>
        </w:rPr>
        <w:t>万元，其中：基本支出</w:t>
      </w:r>
      <w:r>
        <w:rPr>
          <w:rFonts w:ascii="仿宋" w:hAnsi="仿宋" w:eastAsia="仿宋"/>
          <w:color w:val="000000"/>
          <w:sz w:val="32"/>
          <w:szCs w:val="32"/>
        </w:rPr>
        <w:t>138.25</w:t>
      </w:r>
      <w:r>
        <w:rPr>
          <w:rFonts w:hint="eastAsia" w:ascii="仿宋" w:hAnsi="仿宋" w:eastAsia="仿宋"/>
          <w:color w:val="000000"/>
          <w:sz w:val="32"/>
          <w:szCs w:val="32"/>
        </w:rPr>
        <w:t>万元，占8.02</w:t>
      </w:r>
      <w:r>
        <w:rPr>
          <w:rFonts w:ascii="仿宋" w:hAnsi="仿宋" w:eastAsia="仿宋"/>
          <w:color w:val="000000"/>
          <w:sz w:val="32"/>
          <w:szCs w:val="32"/>
        </w:rPr>
        <w:t>%</w:t>
      </w:r>
      <w:r>
        <w:rPr>
          <w:rFonts w:hint="eastAsia" w:ascii="仿宋" w:hAnsi="仿宋" w:eastAsia="仿宋"/>
          <w:color w:val="000000"/>
          <w:sz w:val="32"/>
          <w:szCs w:val="32"/>
        </w:rPr>
        <w:t>；项目支出</w:t>
      </w:r>
      <w:r>
        <w:rPr>
          <w:rFonts w:ascii="仿宋" w:hAnsi="仿宋" w:eastAsia="仿宋"/>
          <w:color w:val="000000"/>
          <w:sz w:val="32"/>
          <w:szCs w:val="32"/>
        </w:rPr>
        <w:t>1584.95</w:t>
      </w:r>
      <w:r>
        <w:rPr>
          <w:rFonts w:hint="eastAsia" w:ascii="仿宋" w:hAnsi="仿宋" w:eastAsia="仿宋"/>
          <w:color w:val="000000"/>
          <w:sz w:val="32"/>
          <w:szCs w:val="32"/>
        </w:rPr>
        <w:t>万元，占91.98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60288" behindDoc="0" locked="0" layoutInCell="1" allowOverlap="1">
            <wp:simplePos x="0" y="0"/>
            <wp:positionH relativeFrom="column">
              <wp:posOffset>266700</wp:posOffset>
            </wp:positionH>
            <wp:positionV relativeFrom="paragraph">
              <wp:posOffset>381000</wp:posOffset>
            </wp:positionV>
            <wp:extent cx="3880485" cy="2581275"/>
            <wp:effectExtent l="0" t="0" r="0" b="0"/>
            <wp:wrapSquare wrapText="bothSides"/>
            <wp:docPr id="13" name="对象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24" w:name="_Toc15377208"/>
      <w:bookmarkStart w:id="25"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8年财政拨款收入2062.25万元，与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7年相比，财政拨款收入增加835.89万元，增长68.16</w:t>
      </w:r>
      <w:r>
        <w:rPr>
          <w:rFonts w:ascii="仿宋" w:hAnsi="仿宋" w:eastAsia="仿宋"/>
          <w:color w:val="000000"/>
          <w:sz w:val="32"/>
          <w:szCs w:val="32"/>
        </w:rPr>
        <w:t>%</w:t>
      </w:r>
      <w:r>
        <w:rPr>
          <w:rFonts w:hint="eastAsia" w:ascii="仿宋" w:hAnsi="仿宋" w:eastAsia="仿宋"/>
          <w:color w:val="000000"/>
          <w:sz w:val="32"/>
          <w:szCs w:val="32"/>
        </w:rPr>
        <w:t>，主要变动原因是项目增加。支出1723.21万元。与</w:t>
      </w:r>
      <w:r>
        <w:rPr>
          <w:rFonts w:ascii="仿宋" w:hAnsi="仿宋" w:eastAsia="仿宋"/>
          <w:color w:val="000000"/>
          <w:sz w:val="32"/>
          <w:szCs w:val="32"/>
        </w:rPr>
        <w:t>201</w:t>
      </w:r>
      <w:r>
        <w:rPr>
          <w:rFonts w:hint="eastAsia" w:ascii="仿宋" w:hAnsi="仿宋" w:eastAsia="仿宋"/>
          <w:color w:val="000000"/>
          <w:sz w:val="32"/>
          <w:szCs w:val="32"/>
        </w:rPr>
        <w:t>7年相比，增加861.8万元，增长49.98%。主要变动原因是项目增加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rPr>
          <w:rFonts w:hint="eastAsia" w:ascii="仿宋" w:hAnsi="仿宋" w:eastAsia="仿宋"/>
          <w:b/>
          <w:color w:val="00B050"/>
          <w:sz w:val="32"/>
          <w:szCs w:val="32"/>
        </w:rPr>
        <w:drawing>
          <wp:anchor distT="0" distB="0" distL="114300" distR="114300" simplePos="0" relativeHeight="251662336" behindDoc="1" locked="0" layoutInCell="1" allowOverlap="1">
            <wp:simplePos x="0" y="0"/>
            <wp:positionH relativeFrom="column">
              <wp:posOffset>419100</wp:posOffset>
            </wp:positionH>
            <wp:positionV relativeFrom="paragraph">
              <wp:posOffset>9525</wp:posOffset>
            </wp:positionV>
            <wp:extent cx="3181350" cy="2108835"/>
            <wp:effectExtent l="0" t="0" r="0" b="0"/>
            <wp:wrapTight wrapText="bothSides">
              <wp:wrapPolygon>
                <wp:start x="776" y="2146"/>
                <wp:lineTo x="905" y="11512"/>
                <wp:lineTo x="1293" y="14634"/>
                <wp:lineTo x="1940" y="17756"/>
                <wp:lineTo x="3622" y="19317"/>
                <wp:lineTo x="3751" y="19317"/>
                <wp:lineTo x="8537" y="19317"/>
                <wp:lineTo x="8795" y="18341"/>
                <wp:lineTo x="14874" y="17756"/>
                <wp:lineTo x="16038" y="17561"/>
                <wp:lineTo x="15780" y="14634"/>
                <wp:lineTo x="20048" y="14634"/>
                <wp:lineTo x="21600" y="13854"/>
                <wp:lineTo x="21600" y="7805"/>
                <wp:lineTo x="15780" y="5268"/>
                <wp:lineTo x="16038" y="2341"/>
                <wp:lineTo x="2587" y="2146"/>
                <wp:lineTo x="776" y="2146"/>
              </wp:wrapPolygon>
            </wp:wrapTight>
            <wp:docPr id="16"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ascii="黑体" w:hAnsi="黑体" w:eastAsia="黑体"/>
          <w:color w:val="000000"/>
          <w:sz w:val="32"/>
          <w:szCs w:val="32"/>
        </w:rPr>
      </w:pPr>
      <w:bookmarkStart w:id="26" w:name="_Toc15377209"/>
      <w:bookmarkStart w:id="27" w:name="_Toc15396607"/>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26"/>
      <w:bookmarkEnd w:id="27"/>
    </w:p>
    <w:p>
      <w:pPr>
        <w:spacing w:line="600" w:lineRule="exact"/>
        <w:ind w:firstLine="643" w:firstLineChars="200"/>
        <w:outlineLvl w:val="2"/>
        <w:rPr>
          <w:rFonts w:ascii="仿宋" w:hAnsi="仿宋" w:eastAsia="仿宋"/>
          <w:b/>
          <w:color w:val="000000"/>
          <w:sz w:val="32"/>
          <w:szCs w:val="32"/>
        </w:rPr>
      </w:pPr>
      <w:bookmarkStart w:id="28" w:name="_Toc15377210"/>
      <w:r>
        <w:rPr>
          <w:rFonts w:hint="eastAsia" w:ascii="仿宋" w:hAnsi="仿宋" w:eastAsia="仿宋"/>
          <w:b/>
          <w:color w:val="000000"/>
          <w:sz w:val="32"/>
          <w:szCs w:val="32"/>
        </w:rPr>
        <w:t>（一）一般公共预算财政拨款支出决算总体情况</w:t>
      </w:r>
      <w:bookmarkEnd w:id="2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8年一般公共预算财政拨款支出1723.21万元，占本年支出合计的100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7年相比，一般公共预算财政拨款增加861.8万元，增长49.98</w:t>
      </w:r>
      <w:r>
        <w:rPr>
          <w:rFonts w:ascii="仿宋" w:hAnsi="仿宋" w:eastAsia="仿宋"/>
          <w:color w:val="000000"/>
          <w:sz w:val="32"/>
          <w:szCs w:val="32"/>
        </w:rPr>
        <w:t>%</w:t>
      </w:r>
      <w:r>
        <w:rPr>
          <w:rFonts w:hint="eastAsia" w:ascii="仿宋" w:hAnsi="仿宋" w:eastAsia="仿宋"/>
          <w:color w:val="000000"/>
          <w:sz w:val="32"/>
          <w:szCs w:val="32"/>
        </w:rPr>
        <w:t>。主要变动原因是调资及项目增加。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3360" behindDoc="1" locked="0" layoutInCell="1" allowOverlap="1">
            <wp:simplePos x="0" y="0"/>
            <wp:positionH relativeFrom="column">
              <wp:posOffset>266700</wp:posOffset>
            </wp:positionH>
            <wp:positionV relativeFrom="paragraph">
              <wp:posOffset>-1524000</wp:posOffset>
            </wp:positionV>
            <wp:extent cx="2752725" cy="1828800"/>
            <wp:effectExtent l="0" t="0" r="0" b="0"/>
            <wp:wrapTight wrapText="bothSides">
              <wp:wrapPolygon>
                <wp:start x="1345" y="2025"/>
                <wp:lineTo x="1345" y="2475"/>
                <wp:lineTo x="3588" y="5625"/>
                <wp:lineTo x="1495" y="5625"/>
                <wp:lineTo x="1495" y="6525"/>
                <wp:lineTo x="3887" y="9225"/>
                <wp:lineTo x="1495" y="9450"/>
                <wp:lineTo x="1495" y="10575"/>
                <wp:lineTo x="3887" y="12825"/>
                <wp:lineTo x="2093" y="13050"/>
                <wp:lineTo x="2093" y="13950"/>
                <wp:lineTo x="3887" y="16425"/>
                <wp:lineTo x="598" y="18675"/>
                <wp:lineTo x="598" y="19575"/>
                <wp:lineTo x="10763" y="19575"/>
                <wp:lineTo x="12855" y="19575"/>
                <wp:lineTo x="16891" y="17550"/>
                <wp:lineTo x="16742" y="16425"/>
                <wp:lineTo x="21077" y="16425"/>
                <wp:lineTo x="21525" y="15975"/>
                <wp:lineTo x="21525" y="5625"/>
                <wp:lineTo x="16742" y="2025"/>
                <wp:lineTo x="1345" y="2025"/>
              </wp:wrapPolygon>
            </wp:wrapTight>
            <wp:docPr id="17" name="对象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3" w:firstLineChars="200"/>
        <w:outlineLvl w:val="2"/>
        <w:rPr>
          <w:rFonts w:ascii="仿宋" w:hAnsi="仿宋" w:eastAsia="仿宋"/>
          <w:b/>
          <w:color w:val="000000"/>
          <w:sz w:val="32"/>
          <w:szCs w:val="32"/>
        </w:rPr>
      </w:pPr>
      <w:bookmarkStart w:id="29" w:name="_Toc15377211"/>
      <w:r>
        <w:rPr>
          <w:rFonts w:hint="eastAsia" w:ascii="仿宋" w:hAnsi="仿宋" w:eastAsia="仿宋"/>
          <w:b/>
          <w:color w:val="000000"/>
          <w:sz w:val="32"/>
          <w:szCs w:val="32"/>
        </w:rPr>
        <w:t>（二）一般公共预算财政拨款支出决算结构情况</w:t>
      </w:r>
      <w:bookmarkEnd w:id="29"/>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政拨款支出1723.21万元，主要用于以下方面</w:t>
      </w:r>
      <w:r>
        <w:rPr>
          <w:rFonts w:ascii="仿宋" w:hAnsi="仿宋" w:eastAsia="仿宋"/>
          <w:color w:val="000000" w:themeColor="text1"/>
          <w:sz w:val="32"/>
          <w:szCs w:val="32"/>
        </w:rPr>
        <w:t>:</w:t>
      </w:r>
      <w:r>
        <w:rPr>
          <w:rFonts w:hint="eastAsia"/>
        </w:rPr>
        <w:t xml:space="preserve"> </w:t>
      </w:r>
      <w:r>
        <w:rPr>
          <w:rFonts w:hint="eastAsia" w:ascii="仿宋" w:hAnsi="仿宋" w:eastAsia="仿宋"/>
          <w:b/>
          <w:color w:val="000000" w:themeColor="text1"/>
          <w:sz w:val="32"/>
          <w:szCs w:val="32"/>
        </w:rPr>
        <w:t>文化体育与传媒</w:t>
      </w:r>
      <w:r>
        <w:rPr>
          <w:rFonts w:hint="eastAsia" w:ascii="仿宋" w:hAnsi="仿宋" w:eastAsia="仿宋"/>
          <w:color w:val="000000" w:themeColor="text1"/>
          <w:sz w:val="32"/>
          <w:szCs w:val="32"/>
        </w:rPr>
        <w:t>支出9万元，占0.52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城乡社区（类）</w:t>
      </w:r>
      <w:r>
        <w:rPr>
          <w:rFonts w:ascii="仿宋" w:hAnsi="仿宋" w:eastAsia="仿宋"/>
          <w:color w:val="000000" w:themeColor="text1"/>
          <w:sz w:val="32"/>
          <w:szCs w:val="32"/>
        </w:rPr>
        <w:t>473.35</w:t>
      </w:r>
      <w:r>
        <w:rPr>
          <w:rFonts w:hint="eastAsia" w:ascii="仿宋" w:hAnsi="仿宋" w:eastAsia="仿宋"/>
          <w:color w:val="000000" w:themeColor="text1"/>
          <w:sz w:val="32"/>
          <w:szCs w:val="32"/>
        </w:rPr>
        <w:t>万元，占27.47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1021.68</w:t>
      </w:r>
      <w:r>
        <w:rPr>
          <w:rFonts w:hint="eastAsia" w:ascii="仿宋" w:hAnsi="仿宋" w:eastAsia="仿宋"/>
          <w:color w:val="000000" w:themeColor="text1"/>
          <w:sz w:val="32"/>
          <w:szCs w:val="32"/>
        </w:rPr>
        <w:t>万元，占59.29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24.51</w:t>
      </w:r>
      <w:r>
        <w:rPr>
          <w:rFonts w:hint="eastAsia" w:ascii="仿宋" w:hAnsi="仿宋" w:eastAsia="仿宋"/>
          <w:color w:val="000000" w:themeColor="text1"/>
          <w:sz w:val="32"/>
          <w:szCs w:val="32"/>
        </w:rPr>
        <w:t>万元，占1.42</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w:t>
      </w:r>
      <w:r>
        <w:rPr>
          <w:rFonts w:ascii="仿宋" w:hAnsi="仿宋" w:eastAsia="仿宋"/>
          <w:color w:val="000000" w:themeColor="text1"/>
          <w:sz w:val="32"/>
          <w:szCs w:val="32"/>
        </w:rPr>
        <w:t>9.48</w:t>
      </w:r>
      <w:r>
        <w:rPr>
          <w:rFonts w:hint="eastAsia" w:ascii="仿宋" w:hAnsi="仿宋" w:eastAsia="仿宋"/>
          <w:color w:val="000000" w:themeColor="text1"/>
          <w:sz w:val="32"/>
          <w:szCs w:val="32"/>
        </w:rPr>
        <w:t>万元，占0.55</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ascii="仿宋" w:hAnsi="仿宋" w:eastAsia="仿宋"/>
          <w:color w:val="000000" w:themeColor="text1"/>
          <w:sz w:val="32"/>
          <w:szCs w:val="32"/>
        </w:rPr>
        <w:t>7.69</w:t>
      </w:r>
      <w:r>
        <w:rPr>
          <w:rFonts w:hint="eastAsia" w:ascii="仿宋" w:hAnsi="仿宋" w:eastAsia="仿宋"/>
          <w:color w:val="000000" w:themeColor="text1"/>
          <w:sz w:val="32"/>
          <w:szCs w:val="32"/>
        </w:rPr>
        <w:t>万元，占0.45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商业服务业等（类）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177.</w:t>
      </w:r>
      <w:r>
        <w:rPr>
          <w:rFonts w:hint="eastAsia" w:ascii="仿宋" w:hAnsi="仿宋" w:eastAsia="仿宋"/>
          <w:color w:val="000000" w:themeColor="text1"/>
          <w:sz w:val="32"/>
          <w:szCs w:val="32"/>
        </w:rPr>
        <w:t>50万元，占10.3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266700</wp:posOffset>
            </wp:positionH>
            <wp:positionV relativeFrom="paragraph">
              <wp:posOffset>-635</wp:posOffset>
            </wp:positionV>
            <wp:extent cx="4516120" cy="3000375"/>
            <wp:effectExtent l="0" t="0" r="0" b="0"/>
            <wp:wrapTight wrapText="bothSides">
              <wp:wrapPolygon>
                <wp:start x="15489" y="6583"/>
                <wp:lineTo x="11936" y="8366"/>
                <wp:lineTo x="10751" y="8777"/>
                <wp:lineTo x="15307" y="10971"/>
                <wp:lineTo x="15398" y="15086"/>
                <wp:lineTo x="18769" y="15086"/>
                <wp:lineTo x="19043" y="15086"/>
                <wp:lineTo x="19863" y="13577"/>
                <wp:lineTo x="19863" y="13166"/>
                <wp:lineTo x="18769" y="10971"/>
                <wp:lineTo x="21412" y="9874"/>
                <wp:lineTo x="21138" y="9051"/>
                <wp:lineTo x="20501" y="8503"/>
                <wp:lineTo x="20227" y="6583"/>
                <wp:lineTo x="15489" y="6583"/>
              </wp:wrapPolygon>
            </wp:wrapTight>
            <wp:docPr id="18" name="对象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0" w:name="_Toc15377212"/>
      <w:r>
        <w:rPr>
          <w:rFonts w:hint="eastAsia" w:ascii="仿宋" w:hAnsi="仿宋" w:eastAsia="仿宋"/>
          <w:b/>
          <w:color w:val="000000"/>
          <w:sz w:val="32"/>
          <w:szCs w:val="32"/>
        </w:rPr>
        <w:t>（三）一般公共预算财政拨款支出决算具体情况</w:t>
      </w:r>
      <w:bookmarkEnd w:id="30"/>
    </w:p>
    <w:p>
      <w:pPr>
        <w:spacing w:line="600" w:lineRule="exact"/>
        <w:ind w:firstLine="643" w:firstLineChars="200"/>
        <w:outlineLvl w:val="2"/>
        <w:rPr>
          <w:rFonts w:ascii="仿宋" w:hAnsi="仿宋" w:eastAsia="仿宋"/>
          <w:color w:val="FF0000"/>
          <w:sz w:val="32"/>
          <w:szCs w:val="32"/>
        </w:rPr>
      </w:pPr>
      <w:bookmarkStart w:id="31" w:name="_Toc15377444"/>
      <w:bookmarkStart w:id="32" w:name="_Toc15378460"/>
      <w:bookmarkStart w:id="33" w:name="_Toc15377213"/>
      <w:r>
        <w:rPr>
          <w:rFonts w:hint="eastAsia" w:ascii="仿宋" w:hAnsi="仿宋" w:eastAsia="仿宋"/>
          <w:b/>
          <w:color w:val="000000" w:themeColor="text1"/>
          <w:sz w:val="32"/>
          <w:szCs w:val="32"/>
        </w:rPr>
        <w:t>2018年般公共预算支出决算数为</w:t>
      </w:r>
      <w:r>
        <w:rPr>
          <w:rFonts w:ascii="仿宋" w:hAnsi="仿宋" w:eastAsia="仿宋"/>
          <w:b/>
          <w:color w:val="000000" w:themeColor="text1"/>
          <w:sz w:val="32"/>
          <w:szCs w:val="32"/>
        </w:rPr>
        <w:t>1723.2</w:t>
      </w:r>
      <w:r>
        <w:rPr>
          <w:rFonts w:hint="eastAsia" w:ascii="仿宋" w:hAnsi="仿宋" w:eastAsia="仿宋"/>
          <w:b/>
          <w:color w:val="000000" w:themeColor="text1"/>
          <w:sz w:val="32"/>
          <w:szCs w:val="32"/>
        </w:rPr>
        <w:t>万元</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预算83.56</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1"/>
      <w:bookmarkEnd w:id="32"/>
      <w:bookmarkEnd w:id="33"/>
    </w:p>
    <w:p>
      <w:pPr>
        <w:spacing w:line="600" w:lineRule="exact"/>
        <w:ind w:firstLine="643" w:firstLineChars="200"/>
        <w:rPr>
          <w:rStyle w:val="14"/>
          <w:rFonts w:ascii="仿宋" w:hAnsi="仿宋" w:eastAsia="仿宋"/>
          <w:bCs/>
          <w:color w:val="000000"/>
          <w:sz w:val="32"/>
          <w:szCs w:val="32"/>
        </w:rPr>
      </w:pPr>
      <w:r>
        <w:rPr>
          <w:rStyle w:val="14"/>
          <w:rFonts w:ascii="仿宋" w:hAnsi="仿宋" w:eastAsia="仿宋"/>
          <w:bCs/>
          <w:color w:val="000000"/>
          <w:sz w:val="32"/>
          <w:szCs w:val="32"/>
        </w:rPr>
        <w:t>1.</w:t>
      </w:r>
      <w:r>
        <w:rPr>
          <w:rFonts w:hint="eastAsia"/>
        </w:rPr>
        <w:t xml:space="preserve"> </w:t>
      </w:r>
      <w:r>
        <w:rPr>
          <w:rStyle w:val="14"/>
          <w:rFonts w:hint="eastAsia" w:ascii="仿宋" w:hAnsi="仿宋" w:eastAsia="仿宋"/>
          <w:bCs/>
          <w:color w:val="000000"/>
          <w:sz w:val="32"/>
          <w:szCs w:val="32"/>
        </w:rPr>
        <w:t>城乡社区（类）</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①</w:t>
      </w:r>
      <w:r>
        <w:rPr>
          <w:rStyle w:val="14"/>
          <w:rFonts w:ascii="仿宋" w:hAnsi="仿宋" w:eastAsia="仿宋"/>
          <w:bCs/>
          <w:color w:val="000000"/>
          <w:sz w:val="32"/>
          <w:szCs w:val="32"/>
        </w:rPr>
        <w:t>21203</w:t>
      </w:r>
      <w:r>
        <w:rPr>
          <w:rStyle w:val="14"/>
          <w:rFonts w:hint="eastAsia" w:ascii="仿宋" w:hAnsi="仿宋" w:eastAsia="仿宋"/>
          <w:bCs/>
          <w:color w:val="000000"/>
          <w:sz w:val="32"/>
          <w:szCs w:val="32"/>
        </w:rPr>
        <w:t>-城乡社区公共设施（款）</w:t>
      </w:r>
      <w:r>
        <w:rPr>
          <w:rStyle w:val="14"/>
          <w:rFonts w:ascii="仿宋" w:hAnsi="仿宋" w:eastAsia="仿宋"/>
          <w:bCs/>
          <w:color w:val="000000"/>
          <w:sz w:val="32"/>
          <w:szCs w:val="32"/>
        </w:rPr>
        <w:t>2120399</w:t>
      </w:r>
      <w:r>
        <w:rPr>
          <w:rStyle w:val="14"/>
          <w:rFonts w:hint="eastAsia" w:ascii="仿宋" w:hAnsi="仿宋" w:eastAsia="仿宋"/>
          <w:bCs/>
          <w:color w:val="000000"/>
          <w:sz w:val="32"/>
          <w:szCs w:val="32"/>
        </w:rPr>
        <w:t>-其他城乡社区公共设施支出（项）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347.4</w:t>
      </w:r>
      <w:r>
        <w:rPr>
          <w:rStyle w:val="14"/>
          <w:rFonts w:hint="eastAsia" w:ascii="仿宋" w:hAnsi="仿宋" w:eastAsia="仿宋"/>
          <w:b w:val="0"/>
          <w:bCs/>
          <w:color w:val="000000"/>
          <w:sz w:val="32"/>
          <w:szCs w:val="32"/>
        </w:rPr>
        <w:t>万元，完成预算96.5</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，决算数小于预算数的主要原因是项目剩余质保金。</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②</w:t>
      </w:r>
      <w:r>
        <w:rPr>
          <w:rStyle w:val="14"/>
          <w:rFonts w:ascii="仿宋" w:hAnsi="仿宋" w:eastAsia="仿宋"/>
          <w:bCs/>
          <w:color w:val="000000"/>
          <w:sz w:val="32"/>
          <w:szCs w:val="32"/>
        </w:rPr>
        <w:t>21299</w:t>
      </w:r>
      <w:r>
        <w:rPr>
          <w:rStyle w:val="14"/>
          <w:rFonts w:hint="eastAsia" w:ascii="仿宋" w:hAnsi="仿宋" w:eastAsia="仿宋"/>
          <w:bCs/>
          <w:color w:val="000000"/>
          <w:sz w:val="32"/>
          <w:szCs w:val="32"/>
        </w:rPr>
        <w:t>-其他城乡社区（款）</w:t>
      </w:r>
      <w:r>
        <w:rPr>
          <w:rStyle w:val="14"/>
          <w:rFonts w:ascii="仿宋" w:hAnsi="仿宋" w:eastAsia="仿宋"/>
          <w:bCs/>
          <w:color w:val="000000"/>
          <w:sz w:val="32"/>
          <w:szCs w:val="32"/>
        </w:rPr>
        <w:t>2129999</w:t>
      </w:r>
      <w:r>
        <w:rPr>
          <w:rStyle w:val="14"/>
          <w:rFonts w:hint="eastAsia" w:ascii="仿宋" w:hAnsi="仿宋" w:eastAsia="仿宋"/>
          <w:bCs/>
          <w:color w:val="000000"/>
          <w:sz w:val="32"/>
          <w:szCs w:val="32"/>
        </w:rPr>
        <w:t>-其他城乡社区支出（项）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125.95</w:t>
      </w:r>
      <w:r>
        <w:rPr>
          <w:rStyle w:val="14"/>
          <w:rFonts w:hint="eastAsia" w:ascii="仿宋" w:hAnsi="仿宋" w:eastAsia="仿宋"/>
          <w:b w:val="0"/>
          <w:bCs/>
          <w:color w:val="000000"/>
          <w:sz w:val="32"/>
          <w:szCs w:val="32"/>
        </w:rPr>
        <w:t>万元，完成预算34.49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，决算数小于预算数的主要原因是项目未完工。</w:t>
      </w:r>
    </w:p>
    <w:p>
      <w:pPr>
        <w:spacing w:line="600" w:lineRule="exact"/>
        <w:ind w:firstLine="643" w:firstLineChars="200"/>
        <w:rPr>
          <w:rStyle w:val="14"/>
          <w:rFonts w:ascii="仿宋" w:hAnsi="仿宋" w:eastAsia="仿宋"/>
          <w:bCs/>
          <w:color w:val="000000"/>
          <w:sz w:val="32"/>
          <w:szCs w:val="32"/>
        </w:rPr>
      </w:pPr>
      <w:r>
        <w:rPr>
          <w:rStyle w:val="14"/>
          <w:rFonts w:ascii="仿宋" w:hAnsi="仿宋" w:eastAsia="仿宋"/>
          <w:bCs/>
          <w:color w:val="000000"/>
          <w:sz w:val="32"/>
          <w:szCs w:val="32"/>
        </w:rPr>
        <w:t>2.</w:t>
      </w:r>
      <w:r>
        <w:rPr>
          <w:rFonts w:hint="eastAsia"/>
        </w:rPr>
        <w:t xml:space="preserve"> </w:t>
      </w:r>
      <w:r>
        <w:rPr>
          <w:rStyle w:val="14"/>
          <w:rFonts w:hint="eastAsia" w:ascii="仿宋" w:hAnsi="仿宋" w:eastAsia="仿宋"/>
          <w:bCs/>
          <w:color w:val="000000"/>
          <w:sz w:val="32"/>
          <w:szCs w:val="32"/>
        </w:rPr>
        <w:t>农林水（类）</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①</w:t>
      </w:r>
      <w:r>
        <w:rPr>
          <w:rStyle w:val="14"/>
          <w:rFonts w:ascii="仿宋" w:hAnsi="仿宋" w:eastAsia="仿宋"/>
          <w:bCs/>
          <w:color w:val="000000"/>
          <w:sz w:val="32"/>
          <w:szCs w:val="32"/>
        </w:rPr>
        <w:t>2130</w:t>
      </w:r>
      <w:r>
        <w:rPr>
          <w:rStyle w:val="14"/>
          <w:rFonts w:hint="eastAsia" w:ascii="仿宋" w:hAnsi="仿宋" w:eastAsia="仿宋"/>
          <w:bCs/>
          <w:color w:val="000000"/>
          <w:sz w:val="32"/>
          <w:szCs w:val="32"/>
        </w:rPr>
        <w:t>1-农业（款）</w:t>
      </w:r>
      <w:r>
        <w:rPr>
          <w:rStyle w:val="14"/>
          <w:rFonts w:ascii="仿宋" w:hAnsi="仿宋" w:eastAsia="仿宋"/>
          <w:bCs/>
          <w:color w:val="000000"/>
          <w:sz w:val="32"/>
          <w:szCs w:val="32"/>
        </w:rPr>
        <w:t>2130122</w:t>
      </w:r>
      <w:r>
        <w:rPr>
          <w:rStyle w:val="14"/>
          <w:rFonts w:hint="eastAsia" w:ascii="仿宋" w:hAnsi="仿宋" w:eastAsia="仿宋"/>
          <w:bCs/>
          <w:color w:val="000000"/>
          <w:sz w:val="32"/>
          <w:szCs w:val="32"/>
        </w:rPr>
        <w:t>-农业生产支持补贴（项）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Cs/>
          <w:color w:val="000000"/>
          <w:sz w:val="32"/>
          <w:szCs w:val="32"/>
        </w:rPr>
      </w:pPr>
      <w:r>
        <w:rPr>
          <w:rStyle w:val="14"/>
          <w:rFonts w:hint="eastAsia" w:ascii="仿宋" w:hAnsi="仿宋" w:eastAsia="仿宋"/>
          <w:bCs/>
          <w:color w:val="000000"/>
          <w:sz w:val="32"/>
          <w:szCs w:val="32"/>
        </w:rPr>
        <w:t>②</w:t>
      </w:r>
      <w:r>
        <w:rPr>
          <w:rStyle w:val="14"/>
          <w:rFonts w:ascii="仿宋" w:hAnsi="仿宋" w:eastAsia="仿宋"/>
          <w:bCs/>
          <w:color w:val="000000"/>
          <w:sz w:val="32"/>
          <w:szCs w:val="32"/>
        </w:rPr>
        <w:t>21305</w:t>
      </w:r>
      <w:r>
        <w:rPr>
          <w:rStyle w:val="14"/>
          <w:rFonts w:hint="eastAsia" w:ascii="仿宋" w:hAnsi="仿宋" w:eastAsia="仿宋"/>
          <w:bCs/>
          <w:color w:val="000000"/>
          <w:sz w:val="32"/>
          <w:szCs w:val="32"/>
        </w:rPr>
        <w:t>-扶贫（款）</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a.</w:t>
      </w:r>
      <w:r>
        <w:rPr>
          <w:rStyle w:val="14"/>
          <w:rFonts w:ascii="仿宋" w:hAnsi="仿宋" w:eastAsia="仿宋"/>
          <w:bCs/>
          <w:color w:val="000000"/>
          <w:sz w:val="32"/>
          <w:szCs w:val="32"/>
        </w:rPr>
        <w:t>2130504</w:t>
      </w:r>
      <w:r>
        <w:rPr>
          <w:rStyle w:val="14"/>
          <w:rFonts w:hint="eastAsia" w:ascii="仿宋" w:hAnsi="仿宋" w:eastAsia="仿宋"/>
          <w:bCs/>
          <w:color w:val="000000"/>
          <w:sz w:val="32"/>
          <w:szCs w:val="32"/>
        </w:rPr>
        <w:t>-农村基础设施建设（项）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450</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b.</w:t>
      </w:r>
      <w:r>
        <w:t xml:space="preserve"> </w:t>
      </w:r>
      <w:r>
        <w:rPr>
          <w:rStyle w:val="14"/>
          <w:rFonts w:ascii="仿宋" w:hAnsi="仿宋" w:eastAsia="仿宋"/>
          <w:bCs/>
          <w:color w:val="000000"/>
          <w:sz w:val="32"/>
          <w:szCs w:val="32"/>
        </w:rPr>
        <w:t>2130505</w:t>
      </w:r>
      <w:r>
        <w:rPr>
          <w:rStyle w:val="14"/>
          <w:rFonts w:hint="eastAsia" w:ascii="仿宋" w:hAnsi="仿宋" w:eastAsia="仿宋"/>
          <w:bCs/>
          <w:color w:val="000000"/>
          <w:sz w:val="32"/>
          <w:szCs w:val="32"/>
        </w:rPr>
        <w:t>-生产发展（项）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565.68</w:t>
      </w:r>
      <w:r>
        <w:rPr>
          <w:rStyle w:val="14"/>
          <w:rFonts w:hint="eastAsia" w:ascii="仿宋" w:hAnsi="仿宋" w:eastAsia="仿宋"/>
          <w:b w:val="0"/>
          <w:bCs/>
          <w:color w:val="000000"/>
          <w:sz w:val="32"/>
          <w:szCs w:val="32"/>
        </w:rPr>
        <w:t>万元，完成预算56.57</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，决算数小于预算数的主要原因是项目未完工。</w:t>
      </w:r>
    </w:p>
    <w:p>
      <w:pPr>
        <w:spacing w:line="600" w:lineRule="exact"/>
        <w:ind w:firstLine="643" w:firstLineChars="200"/>
        <w:rPr>
          <w:rStyle w:val="14"/>
          <w:rFonts w:ascii="仿宋" w:hAnsi="仿宋" w:eastAsia="仿宋"/>
          <w:bCs/>
          <w:color w:val="000000"/>
          <w:sz w:val="32"/>
          <w:szCs w:val="32"/>
        </w:rPr>
      </w:pPr>
      <w:r>
        <w:rPr>
          <w:rStyle w:val="14"/>
          <w:rFonts w:ascii="仿宋" w:hAnsi="仿宋" w:eastAsia="仿宋"/>
          <w:bCs/>
          <w:color w:val="000000"/>
          <w:sz w:val="32"/>
          <w:szCs w:val="32"/>
        </w:rPr>
        <w:t>3.</w:t>
      </w:r>
      <w:r>
        <w:rPr>
          <w:rFonts w:hint="eastAsia"/>
        </w:rPr>
        <w:t xml:space="preserve"> </w:t>
      </w:r>
      <w:r>
        <w:rPr>
          <w:rStyle w:val="14"/>
          <w:rFonts w:hint="eastAsia" w:ascii="仿宋" w:hAnsi="仿宋" w:eastAsia="仿宋"/>
          <w:bCs/>
          <w:color w:val="000000"/>
          <w:sz w:val="32"/>
          <w:szCs w:val="32"/>
        </w:rPr>
        <w:t>商业服务业等（类）</w:t>
      </w:r>
      <w:r>
        <w:rPr>
          <w:rStyle w:val="14"/>
          <w:rFonts w:ascii="仿宋" w:hAnsi="仿宋" w:eastAsia="仿宋"/>
          <w:bCs/>
          <w:color w:val="000000"/>
          <w:sz w:val="32"/>
          <w:szCs w:val="32"/>
        </w:rPr>
        <w:t>21602</w:t>
      </w:r>
      <w:r>
        <w:rPr>
          <w:rStyle w:val="14"/>
          <w:rFonts w:hint="eastAsia" w:ascii="仿宋" w:hAnsi="仿宋" w:eastAsia="仿宋"/>
          <w:bCs/>
          <w:color w:val="000000"/>
          <w:sz w:val="32"/>
          <w:szCs w:val="32"/>
        </w:rPr>
        <w:t>-商业流通事务（款）</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a.</w:t>
      </w:r>
      <w:r>
        <w:t xml:space="preserve"> </w:t>
      </w:r>
      <w:r>
        <w:rPr>
          <w:rStyle w:val="14"/>
          <w:rFonts w:ascii="仿宋" w:hAnsi="仿宋" w:eastAsia="仿宋"/>
          <w:bCs/>
          <w:color w:val="000000"/>
          <w:sz w:val="32"/>
          <w:szCs w:val="32"/>
        </w:rPr>
        <w:t>2160201</w:t>
      </w:r>
      <w:r>
        <w:rPr>
          <w:rStyle w:val="14"/>
          <w:rFonts w:hint="eastAsia" w:ascii="仿宋" w:hAnsi="仿宋" w:eastAsia="仿宋"/>
          <w:bCs/>
          <w:color w:val="000000"/>
          <w:sz w:val="32"/>
          <w:szCs w:val="32"/>
        </w:rPr>
        <w:t>-行政运行（项）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104.75</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b.</w:t>
      </w:r>
      <w:r>
        <w:t xml:space="preserve"> </w:t>
      </w:r>
      <w:r>
        <w:rPr>
          <w:rStyle w:val="14"/>
          <w:rFonts w:ascii="仿宋" w:hAnsi="仿宋" w:eastAsia="仿宋"/>
          <w:bCs/>
          <w:color w:val="000000"/>
          <w:sz w:val="32"/>
          <w:szCs w:val="32"/>
        </w:rPr>
        <w:t>2160299</w:t>
      </w:r>
      <w:r>
        <w:rPr>
          <w:rStyle w:val="14"/>
          <w:rFonts w:hint="eastAsia" w:ascii="仿宋" w:hAnsi="仿宋" w:eastAsia="仿宋"/>
          <w:bCs/>
          <w:color w:val="000000"/>
          <w:sz w:val="32"/>
          <w:szCs w:val="32"/>
        </w:rPr>
        <w:t>-其他商业流通事务支出（项）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72.75</w:t>
      </w:r>
      <w:r>
        <w:rPr>
          <w:rStyle w:val="14"/>
          <w:rFonts w:hint="eastAsia" w:ascii="仿宋" w:hAnsi="仿宋" w:eastAsia="仿宋"/>
          <w:b w:val="0"/>
          <w:bCs/>
          <w:color w:val="000000"/>
          <w:sz w:val="32"/>
          <w:szCs w:val="32"/>
        </w:rPr>
        <w:t>万元，完成预算36.38</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，决算数小于预算数的主要原因是项目未完工。</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文化体育与传媒（类）</w:t>
      </w:r>
      <w:r>
        <w:rPr>
          <w:rStyle w:val="14"/>
          <w:rFonts w:ascii="仿宋" w:hAnsi="仿宋" w:eastAsia="仿宋"/>
          <w:bCs/>
          <w:color w:val="000000"/>
          <w:sz w:val="32"/>
          <w:szCs w:val="32"/>
        </w:rPr>
        <w:t>20701</w:t>
      </w:r>
      <w:r>
        <w:rPr>
          <w:rStyle w:val="14"/>
          <w:rFonts w:hint="eastAsia" w:ascii="仿宋" w:hAnsi="仿宋" w:eastAsia="仿宋"/>
          <w:bCs/>
          <w:color w:val="000000"/>
          <w:sz w:val="32"/>
          <w:szCs w:val="32"/>
        </w:rPr>
        <w:t>-文化（款）</w:t>
      </w:r>
      <w:r>
        <w:rPr>
          <w:rStyle w:val="14"/>
          <w:rFonts w:ascii="仿宋" w:hAnsi="仿宋" w:eastAsia="仿宋"/>
          <w:bCs/>
          <w:color w:val="000000"/>
          <w:sz w:val="32"/>
          <w:szCs w:val="32"/>
        </w:rPr>
        <w:t>2070199</w:t>
      </w:r>
      <w:r>
        <w:rPr>
          <w:rStyle w:val="14"/>
          <w:rFonts w:hint="eastAsia" w:ascii="仿宋" w:hAnsi="仿宋" w:eastAsia="仿宋"/>
          <w:bCs/>
          <w:color w:val="000000"/>
          <w:sz w:val="32"/>
          <w:szCs w:val="32"/>
        </w:rPr>
        <w:t>-其他文化（项）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支出决算为9万元，完成预算100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Cs/>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社会保障和就业（类）</w:t>
      </w:r>
    </w:p>
    <w:p>
      <w:pPr>
        <w:spacing w:line="600" w:lineRule="exact"/>
        <w:ind w:firstLine="643" w:firstLineChars="200"/>
        <w:rPr>
          <w:rStyle w:val="14"/>
          <w:rFonts w:ascii="仿宋" w:hAnsi="仿宋" w:eastAsia="仿宋"/>
          <w:bCs/>
          <w:color w:val="000000"/>
          <w:sz w:val="32"/>
          <w:szCs w:val="32"/>
        </w:rPr>
      </w:pPr>
      <w:r>
        <w:rPr>
          <w:rStyle w:val="14"/>
          <w:rFonts w:hint="eastAsia" w:ascii="仿宋" w:hAnsi="仿宋" w:eastAsia="仿宋"/>
          <w:bCs/>
          <w:color w:val="000000"/>
          <w:sz w:val="32"/>
          <w:szCs w:val="32"/>
        </w:rPr>
        <w:t>①</w:t>
      </w:r>
      <w:r>
        <w:rPr>
          <w:rStyle w:val="14"/>
          <w:rFonts w:ascii="仿宋" w:hAnsi="仿宋" w:eastAsia="仿宋"/>
          <w:bCs/>
          <w:color w:val="000000"/>
          <w:sz w:val="32"/>
          <w:szCs w:val="32"/>
        </w:rPr>
        <w:t>20805</w:t>
      </w:r>
      <w:r>
        <w:rPr>
          <w:rStyle w:val="14"/>
          <w:rFonts w:hint="eastAsia" w:ascii="仿宋" w:hAnsi="仿宋" w:eastAsia="仿宋"/>
          <w:bCs/>
          <w:color w:val="000000"/>
          <w:sz w:val="32"/>
          <w:szCs w:val="32"/>
        </w:rPr>
        <w:t>-行政事业单位离退休（款）</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a.</w:t>
      </w:r>
      <w:r>
        <w:rPr>
          <w:rStyle w:val="14"/>
          <w:rFonts w:ascii="仿宋" w:hAnsi="仿宋" w:eastAsia="仿宋"/>
          <w:bCs/>
          <w:color w:val="000000"/>
          <w:sz w:val="32"/>
          <w:szCs w:val="32"/>
        </w:rPr>
        <w:t>2080505</w:t>
      </w:r>
      <w:r>
        <w:rPr>
          <w:rStyle w:val="14"/>
          <w:rFonts w:hint="eastAsia" w:ascii="仿宋" w:hAnsi="仿宋" w:eastAsia="仿宋"/>
          <w:bCs/>
          <w:color w:val="000000"/>
          <w:sz w:val="32"/>
          <w:szCs w:val="32"/>
        </w:rPr>
        <w:t>-机关事业单位基本养老保险缴费支出★（项）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11.67</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b.</w:t>
      </w:r>
      <w:r>
        <w:rPr>
          <w:rStyle w:val="14"/>
          <w:rFonts w:ascii="仿宋" w:hAnsi="仿宋" w:eastAsia="仿宋"/>
          <w:bCs/>
          <w:color w:val="000000"/>
          <w:sz w:val="32"/>
          <w:szCs w:val="32"/>
        </w:rPr>
        <w:t>208050</w:t>
      </w:r>
      <w:r>
        <w:rPr>
          <w:rStyle w:val="14"/>
          <w:rFonts w:hint="eastAsia" w:ascii="仿宋" w:hAnsi="仿宋" w:eastAsia="仿宋"/>
          <w:bCs/>
          <w:color w:val="000000"/>
          <w:sz w:val="32"/>
          <w:szCs w:val="32"/>
        </w:rPr>
        <w:t>6-机关事业单位职业年金缴费支出★（项）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4.67</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bCs/>
          <w:color w:val="000000"/>
          <w:sz w:val="32"/>
          <w:szCs w:val="32"/>
        </w:rPr>
      </w:pPr>
      <w:r>
        <w:rPr>
          <w:rStyle w:val="14"/>
          <w:rFonts w:hint="eastAsia" w:ascii="仿宋" w:hAnsi="仿宋" w:eastAsia="仿宋"/>
          <w:bCs/>
          <w:color w:val="000000"/>
          <w:sz w:val="32"/>
          <w:szCs w:val="32"/>
        </w:rPr>
        <w:t>②</w:t>
      </w:r>
      <w:r>
        <w:rPr>
          <w:rStyle w:val="14"/>
          <w:rFonts w:ascii="仿宋" w:hAnsi="仿宋" w:eastAsia="仿宋"/>
          <w:bCs/>
          <w:color w:val="000000"/>
          <w:sz w:val="32"/>
          <w:szCs w:val="32"/>
        </w:rPr>
        <w:t>20808</w:t>
      </w:r>
      <w:r>
        <w:rPr>
          <w:rStyle w:val="14"/>
          <w:rFonts w:hint="eastAsia" w:ascii="仿宋" w:hAnsi="仿宋" w:eastAsia="仿宋"/>
          <w:bCs/>
          <w:color w:val="000000"/>
          <w:sz w:val="32"/>
          <w:szCs w:val="32"/>
        </w:rPr>
        <w:t>-抚恤（款）</w:t>
      </w:r>
      <w:r>
        <w:rPr>
          <w:rStyle w:val="14"/>
          <w:rFonts w:ascii="仿宋" w:hAnsi="仿宋" w:eastAsia="仿宋"/>
          <w:bCs/>
          <w:color w:val="000000"/>
          <w:sz w:val="32"/>
          <w:szCs w:val="32"/>
        </w:rPr>
        <w:t>2080801</w:t>
      </w:r>
      <w:r>
        <w:rPr>
          <w:rStyle w:val="14"/>
          <w:rFonts w:hint="eastAsia" w:ascii="仿宋" w:hAnsi="仿宋" w:eastAsia="仿宋"/>
          <w:bCs/>
          <w:color w:val="000000"/>
          <w:sz w:val="32"/>
          <w:szCs w:val="32"/>
        </w:rPr>
        <w:t>- 死亡抚恤（项）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8.17</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Cs/>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医疗卫生与计划生育（类）</w:t>
      </w:r>
      <w:r>
        <w:rPr>
          <w:rStyle w:val="14"/>
          <w:rFonts w:ascii="仿宋" w:hAnsi="仿宋" w:eastAsia="仿宋"/>
          <w:bCs/>
          <w:color w:val="000000"/>
          <w:sz w:val="32"/>
          <w:szCs w:val="32"/>
        </w:rPr>
        <w:t>21011</w:t>
      </w:r>
      <w:r>
        <w:rPr>
          <w:rStyle w:val="14"/>
          <w:rFonts w:hint="eastAsia" w:ascii="仿宋" w:hAnsi="仿宋" w:eastAsia="仿宋"/>
          <w:bCs/>
          <w:color w:val="000000"/>
          <w:sz w:val="32"/>
          <w:szCs w:val="32"/>
        </w:rPr>
        <w:t>-行政事业单位医疗★（款）</w:t>
      </w:r>
    </w:p>
    <w:p>
      <w:pPr>
        <w:spacing w:line="600" w:lineRule="exact"/>
        <w:ind w:firstLine="643" w:firstLineChars="200"/>
        <w:rPr>
          <w:rFonts w:ascii="仿宋" w:hAnsi="仿宋" w:eastAsia="仿宋"/>
          <w:b/>
          <w:bCs/>
          <w:color w:val="000000"/>
          <w:sz w:val="32"/>
          <w:szCs w:val="32"/>
        </w:rPr>
      </w:pPr>
      <w:r>
        <w:rPr>
          <w:rStyle w:val="14"/>
          <w:rFonts w:hint="eastAsia" w:ascii="仿宋" w:hAnsi="仿宋" w:eastAsia="仿宋"/>
          <w:bCs/>
          <w:color w:val="000000"/>
          <w:sz w:val="32"/>
          <w:szCs w:val="32"/>
        </w:rPr>
        <w:t>a.</w:t>
      </w:r>
      <w:r>
        <w:t xml:space="preserve"> </w:t>
      </w:r>
      <w:r>
        <w:rPr>
          <w:rStyle w:val="14"/>
          <w:rFonts w:ascii="仿宋" w:hAnsi="仿宋" w:eastAsia="仿宋"/>
          <w:bCs/>
          <w:color w:val="000000"/>
          <w:sz w:val="32"/>
          <w:szCs w:val="32"/>
        </w:rPr>
        <w:t>2101101</w:t>
      </w:r>
      <w:r>
        <w:rPr>
          <w:rStyle w:val="14"/>
          <w:rFonts w:hint="eastAsia" w:ascii="仿宋" w:hAnsi="仿宋" w:eastAsia="仿宋"/>
          <w:bCs/>
          <w:color w:val="000000"/>
          <w:sz w:val="32"/>
          <w:szCs w:val="32"/>
        </w:rPr>
        <w:t>-行政单位医疗★（项）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5.09</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b.</w:t>
      </w:r>
      <w:r>
        <w:t xml:space="preserve"> </w:t>
      </w:r>
      <w:r>
        <w:rPr>
          <w:rStyle w:val="14"/>
          <w:rFonts w:ascii="仿宋" w:hAnsi="仿宋" w:eastAsia="仿宋"/>
          <w:bCs/>
          <w:color w:val="000000"/>
          <w:sz w:val="32"/>
          <w:szCs w:val="32"/>
        </w:rPr>
        <w:t>2101103</w:t>
      </w:r>
      <w:r>
        <w:rPr>
          <w:rStyle w:val="14"/>
          <w:rFonts w:hint="eastAsia" w:ascii="仿宋" w:hAnsi="仿宋" w:eastAsia="仿宋"/>
          <w:bCs/>
          <w:color w:val="000000"/>
          <w:sz w:val="32"/>
          <w:szCs w:val="32"/>
        </w:rPr>
        <w:t>-公务员医疗补助★（项）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4.39</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7</w:t>
      </w:r>
      <w:r>
        <w:rPr>
          <w:rStyle w:val="14"/>
          <w:rFonts w:ascii="仿宋" w:hAnsi="仿宋" w:eastAsia="仿宋"/>
          <w:bCs/>
          <w:color w:val="000000"/>
          <w:sz w:val="32"/>
          <w:szCs w:val="32"/>
        </w:rPr>
        <w:t>.</w:t>
      </w:r>
      <w:r>
        <w:rPr>
          <w:rFonts w:hint="eastAsia"/>
        </w:rPr>
        <w:t xml:space="preserve"> </w:t>
      </w:r>
      <w:r>
        <w:rPr>
          <w:rStyle w:val="14"/>
          <w:rFonts w:hint="eastAsia" w:ascii="仿宋" w:hAnsi="仿宋" w:eastAsia="仿宋"/>
          <w:bCs/>
          <w:color w:val="000000"/>
          <w:sz w:val="32"/>
          <w:szCs w:val="32"/>
        </w:rPr>
        <w:t>住房保障（类）</w:t>
      </w:r>
      <w:r>
        <w:rPr>
          <w:rStyle w:val="14"/>
          <w:rFonts w:ascii="仿宋" w:hAnsi="仿宋" w:eastAsia="仿宋"/>
          <w:bCs/>
          <w:color w:val="000000"/>
          <w:sz w:val="32"/>
          <w:szCs w:val="32"/>
        </w:rPr>
        <w:t>22102</w:t>
      </w:r>
      <w:r>
        <w:rPr>
          <w:rStyle w:val="14"/>
          <w:rFonts w:hint="eastAsia" w:ascii="仿宋" w:hAnsi="仿宋" w:eastAsia="仿宋"/>
          <w:bCs/>
          <w:color w:val="000000"/>
          <w:sz w:val="32"/>
          <w:szCs w:val="32"/>
        </w:rPr>
        <w:t>-住房改革支出（款）</w:t>
      </w:r>
      <w:r>
        <w:rPr>
          <w:rStyle w:val="14"/>
          <w:rFonts w:ascii="仿宋" w:hAnsi="仿宋" w:eastAsia="仿宋"/>
          <w:bCs/>
          <w:color w:val="000000"/>
          <w:sz w:val="32"/>
          <w:szCs w:val="32"/>
        </w:rPr>
        <w:t>2210201</w:t>
      </w:r>
      <w:r>
        <w:rPr>
          <w:rStyle w:val="14"/>
          <w:rFonts w:hint="eastAsia" w:ascii="仿宋" w:hAnsi="仿宋" w:eastAsia="仿宋"/>
          <w:bCs/>
          <w:color w:val="000000"/>
          <w:sz w:val="32"/>
          <w:szCs w:val="32"/>
        </w:rPr>
        <w:t>-住房公积金（项）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7.69</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ascii="仿宋" w:hAnsi="仿宋" w:eastAsia="仿宋"/>
          <w:b/>
          <w:color w:val="000000"/>
          <w:sz w:val="32"/>
          <w:szCs w:val="32"/>
        </w:rPr>
        <w:t xml:space="preserve"> </w:t>
      </w:r>
    </w:p>
    <w:p>
      <w:pPr>
        <w:tabs>
          <w:tab w:val="right" w:pos="8306"/>
        </w:tabs>
        <w:spacing w:line="600" w:lineRule="exact"/>
        <w:ind w:firstLine="640"/>
        <w:outlineLvl w:val="1"/>
        <w:rPr>
          <w:rStyle w:val="25"/>
        </w:rPr>
      </w:pPr>
      <w:bookmarkStart w:id="34" w:name="_Toc15377214"/>
      <w:bookmarkStart w:id="3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4"/>
      <w:bookmarkEnd w:id="35"/>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8年一般公共预算财政拨款基本支出138.25万元，其中：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125.5万元，主要包括：基本工资19.57万元、津贴补贴44.32万元、奖金20.78万元、机关事业单位基本养老保险缴费11.67万元、职业年金缴费4.67万元、职工基本医疗保险费5.09万元、公务员医疗补助缴费4.39万元、其他社会保障缴费2.09万元、生活补3.6万元、医疗费1.5万元、住房公积金7.69万元、救济费0.13万元。</w:t>
      </w:r>
      <w:r>
        <w:rPr>
          <w:rFonts w:ascii="仿宋" w:hAnsi="仿宋" w:eastAsia="仿宋"/>
          <w:color w:val="000000"/>
          <w:sz w:val="32"/>
          <w:szCs w:val="32"/>
        </w:rPr>
        <w:br w:type="textWrapping"/>
      </w:r>
      <w:r>
        <w:rPr>
          <w:rFonts w:hint="eastAsia" w:ascii="仿宋" w:hAnsi="仿宋" w:eastAsia="仿宋"/>
          <w:color w:val="000000"/>
          <w:sz w:val="32"/>
          <w:szCs w:val="32"/>
        </w:rPr>
        <w:t>　　公用经费12.75万元，主要包括：办公费6.36万元、印刷费0.75万元、邮电费1.16万元、差旅费1.37万元、培训费0.38万元、公务接待费0.11万元、其他交通费2.62万元。</w:t>
      </w:r>
    </w:p>
    <w:p>
      <w:pPr>
        <w:spacing w:line="600" w:lineRule="exact"/>
        <w:ind w:firstLine="640"/>
        <w:outlineLvl w:val="1"/>
        <w:rPr>
          <w:rStyle w:val="25"/>
          <w:rFonts w:ascii="黑体" w:hAnsi="黑体" w:eastAsia="黑体"/>
          <w:b w:val="0"/>
        </w:rPr>
      </w:pPr>
      <w:bookmarkStart w:id="36" w:name="_Toc15396609"/>
      <w:bookmarkStart w:id="37"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6"/>
      <w:bookmarkEnd w:id="37"/>
    </w:p>
    <w:p>
      <w:pPr>
        <w:spacing w:line="600" w:lineRule="exact"/>
        <w:ind w:firstLine="640"/>
        <w:outlineLvl w:val="2"/>
        <w:rPr>
          <w:rFonts w:ascii="仿宋" w:hAnsi="仿宋" w:eastAsia="仿宋"/>
          <w:b/>
          <w:color w:val="000000"/>
          <w:sz w:val="32"/>
          <w:szCs w:val="32"/>
        </w:rPr>
      </w:pPr>
      <w:bookmarkStart w:id="38" w:name="_Toc15377216"/>
      <w:r>
        <w:rPr>
          <w:rFonts w:hint="eastAsia" w:ascii="仿宋" w:hAnsi="仿宋" w:eastAsia="仿宋"/>
          <w:b/>
          <w:color w:val="000000"/>
          <w:sz w:val="32"/>
          <w:szCs w:val="32"/>
        </w:rPr>
        <w:t>（一）“三公”经费财政拨款支出决算总体情况说明</w:t>
      </w:r>
      <w:bookmarkEnd w:id="3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8年“三公”经费财政拨款支出决算为0.11万元，完成预算100</w:t>
      </w:r>
      <w:r>
        <w:rPr>
          <w:rFonts w:ascii="仿宋" w:hAnsi="仿宋" w:eastAsia="仿宋"/>
          <w:color w:val="000000"/>
          <w:sz w:val="32"/>
          <w:szCs w:val="32"/>
        </w:rPr>
        <w:t>%</w:t>
      </w:r>
      <w:r>
        <w:rPr>
          <w:rFonts w:hint="eastAsia" w:ascii="仿宋" w:hAnsi="仿宋" w:eastAsia="仿宋"/>
          <w:color w:val="000000"/>
          <w:sz w:val="32"/>
          <w:szCs w:val="32"/>
        </w:rPr>
        <w:t>，决算数等于预算数。</w:t>
      </w:r>
    </w:p>
    <w:p>
      <w:pPr>
        <w:spacing w:line="600" w:lineRule="exact"/>
        <w:ind w:firstLine="640"/>
        <w:outlineLvl w:val="2"/>
        <w:rPr>
          <w:rFonts w:ascii="仿宋" w:hAnsi="仿宋" w:eastAsia="仿宋"/>
          <w:b/>
          <w:color w:val="000000"/>
          <w:sz w:val="32"/>
          <w:szCs w:val="32"/>
        </w:rPr>
      </w:pPr>
      <w:bookmarkStart w:id="39" w:name="_Toc15377217"/>
      <w:r>
        <w:rPr>
          <w:rFonts w:hint="eastAsia" w:ascii="仿宋" w:hAnsi="仿宋" w:eastAsia="仿宋"/>
          <w:b/>
          <w:color w:val="000000"/>
          <w:sz w:val="32"/>
          <w:szCs w:val="32"/>
        </w:rPr>
        <w:t>（二）“三公”经费财政拨款支出决算具体情况说明</w:t>
      </w:r>
      <w:bookmarkEnd w:id="3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14.21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90.97</w:t>
      </w:r>
      <w:r>
        <w:rPr>
          <w:rFonts w:ascii="仿宋" w:hAnsi="仿宋" w:eastAsia="仿宋"/>
          <w:color w:val="000000"/>
          <w:sz w:val="32"/>
          <w:szCs w:val="32"/>
        </w:rPr>
        <w:t>%</w:t>
      </w:r>
      <w:r>
        <w:rPr>
          <w:rFonts w:hint="eastAsia" w:ascii="仿宋" w:hAnsi="仿宋" w:eastAsia="仿宋"/>
          <w:color w:val="000000"/>
          <w:sz w:val="32"/>
          <w:szCs w:val="32"/>
        </w:rPr>
        <w:t>；公务接待费支出决算0.11万元，占100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drawing>
          <wp:anchor distT="0" distB="0" distL="114300" distR="114300" simplePos="0" relativeHeight="251665408" behindDoc="1" locked="0" layoutInCell="1" allowOverlap="1">
            <wp:simplePos x="0" y="0"/>
            <wp:positionH relativeFrom="column">
              <wp:posOffset>409575</wp:posOffset>
            </wp:positionH>
            <wp:positionV relativeFrom="paragraph">
              <wp:posOffset>-1524000</wp:posOffset>
            </wp:positionV>
            <wp:extent cx="2752725" cy="1828800"/>
            <wp:effectExtent l="0" t="0" r="0" b="0"/>
            <wp:wrapTight wrapText="bothSides">
              <wp:wrapPolygon>
                <wp:start x="16443" y="4050"/>
                <wp:lineTo x="16293" y="5175"/>
                <wp:lineTo x="20927" y="5175"/>
                <wp:lineTo x="21077" y="5175"/>
                <wp:lineTo x="20927" y="4050"/>
                <wp:lineTo x="16443" y="4050"/>
              </wp:wrapPolygon>
            </wp:wrapTight>
            <wp:docPr id="19" name="对象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0万元，因公出国（境）支出决算与</w:t>
      </w:r>
      <w:r>
        <w:rPr>
          <w:rFonts w:ascii="仿宋_GB2312" w:eastAsia="仿宋_GB2312"/>
          <w:color w:val="000000"/>
          <w:sz w:val="32"/>
          <w:szCs w:val="32"/>
        </w:rPr>
        <w:t>201</w:t>
      </w:r>
      <w:r>
        <w:rPr>
          <w:rFonts w:hint="eastAsia" w:ascii="仿宋_GB2312" w:eastAsia="仿宋_GB2312"/>
          <w:color w:val="000000"/>
          <w:sz w:val="32"/>
          <w:szCs w:val="32"/>
        </w:rPr>
        <w:t>7年相等。</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7年减少2.47万元，下降100</w:t>
      </w:r>
      <w:r>
        <w:rPr>
          <w:rFonts w:ascii="仿宋_GB2312" w:eastAsia="仿宋_GB2312"/>
          <w:color w:val="000000"/>
          <w:sz w:val="32"/>
          <w:szCs w:val="32"/>
        </w:rPr>
        <w:t>%</w:t>
      </w:r>
      <w:r>
        <w:rPr>
          <w:rFonts w:hint="eastAsia" w:ascii="仿宋_GB2312" w:eastAsia="仿宋_GB2312"/>
          <w:color w:val="000000"/>
          <w:sz w:val="32"/>
          <w:szCs w:val="32"/>
        </w:rPr>
        <w:t>。主要原因是公务用车报废。</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0.11万元，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7年增加0.02万元，增长18.18</w:t>
      </w:r>
      <w:r>
        <w:rPr>
          <w:rFonts w:ascii="仿宋_GB2312" w:eastAsia="仿宋_GB2312"/>
          <w:color w:val="000000"/>
          <w:sz w:val="32"/>
          <w:szCs w:val="32"/>
        </w:rPr>
        <w:t>%</w:t>
      </w:r>
      <w:r>
        <w:rPr>
          <w:rFonts w:hint="eastAsia" w:ascii="仿宋_GB2312" w:eastAsia="仿宋_GB2312"/>
          <w:color w:val="000000"/>
          <w:sz w:val="32"/>
          <w:szCs w:val="32"/>
        </w:rPr>
        <w:t>。主要原因是2017年上级对更攀合作社的调研增加，导致接待支出增加。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主要用于执行公务、开展业务活动开支的交通费、住宿费、用餐费等。国内公务接待2批次，16人次，共计支出0.11万元，具体内容包括。</w:t>
      </w:r>
    </w:p>
    <w:p>
      <w:pPr>
        <w:spacing w:line="600" w:lineRule="exact"/>
        <w:ind w:firstLine="640"/>
        <w:outlineLvl w:val="1"/>
        <w:rPr>
          <w:rFonts w:ascii="黑体" w:eastAsia="黑体"/>
          <w:color w:val="000000"/>
          <w:sz w:val="32"/>
          <w:szCs w:val="32"/>
        </w:rPr>
      </w:pPr>
      <w:bookmarkStart w:id="40" w:name="_Toc15396610"/>
      <w:bookmarkStart w:id="41" w:name="_Toc15377218"/>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8年供销社无政府性基金预算拨款支出。</w:t>
      </w:r>
    </w:p>
    <w:p>
      <w:pPr>
        <w:numPr>
          <w:ilvl w:val="0"/>
          <w:numId w:val="2"/>
        </w:numPr>
        <w:spacing w:line="600" w:lineRule="exact"/>
        <w:ind w:firstLine="640"/>
        <w:outlineLvl w:val="1"/>
        <w:rPr>
          <w:rStyle w:val="25"/>
          <w:rFonts w:ascii="黑体" w:hAnsi="黑体" w:eastAsia="黑体"/>
          <w:b w:val="0"/>
        </w:rPr>
      </w:pPr>
      <w:bookmarkStart w:id="42" w:name="_Toc15396611"/>
      <w:bookmarkStart w:id="43" w:name="_Toc15377219"/>
      <w:r>
        <w:rPr>
          <w:rStyle w:val="25"/>
          <w:rFonts w:hint="eastAsia" w:ascii="黑体" w:hAnsi="黑体" w:eastAsia="黑体"/>
          <w:b w:val="0"/>
        </w:rPr>
        <w:t>国有资本经营预算支出决算情况说明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8年供销社无国有资本经营预算拨款支出。</w:t>
      </w:r>
    </w:p>
    <w:p>
      <w:pPr>
        <w:pStyle w:val="23"/>
        <w:numPr>
          <w:ilvl w:val="0"/>
          <w:numId w:val="3"/>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5个项目开展了预算事前绩效评估，对5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本部门按要求对2018年部门整体支出开展绩效自评，从评价情况来看完成情况较好，资金管理合规。本部门还自行组织了5个项目绩效评价，从评价情况来看项目完成情况较好，资金管理合规。</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宋体" w:cs="仿宋_GB2312"/>
          <w:b/>
          <w:lang w:val="zh-CN"/>
        </w:rPr>
        <w:t>（</w:t>
      </w:r>
      <w:r>
        <w:rPr>
          <w:rFonts w:hint="eastAsia" w:ascii="仿宋_GB2312" w:hAnsi="仿宋_GB2312" w:eastAsia="仿宋_GB2312" w:cs="仿宋_GB2312"/>
          <w:sz w:val="32"/>
          <w:szCs w:val="32"/>
        </w:rPr>
        <w:t>阿州财建[2018]103号）2018年第二批新增地方政府一般债券资金(红原牦牛毛、藏绵毛技工创富增收项目)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（阿州财建[2018]103号）更攀合作社基础设施及设备采购项目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宋体" w:cs="仿宋_GB2312"/>
          <w:b/>
          <w:lang w:val="zh-CN"/>
        </w:rPr>
        <w:t xml:space="preserve"> </w:t>
      </w:r>
      <w:r>
        <w:rPr>
          <w:rFonts w:hint="eastAsia" w:ascii="仿宋_GB2312" w:hAnsi="仿宋_GB2312" w:eastAsia="仿宋_GB2312" w:cs="仿宋_GB2312"/>
          <w:sz w:val="32"/>
          <w:szCs w:val="32"/>
        </w:rPr>
        <w:t>（阿州财建 [2018]-46号）更攀合作社厂房标准化建设项目”等5个项目绩效目标实际完成情况。（本单位部门项目绩效目标个数在5个以上的，选取5个项目进行公开，目标个数在5个以下的，全部进行公开，公开内容包括完成情况综述和完成情况表）。</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阿州财建[2018]103号）2018年第二批新增地方政府一般债券资金(红原牦牛毛、藏绵毛技工创富增收项目)绩效目标完成情况综述。项目全年预算数800万元，执行数为0万元，完成预算的0%。通过项目实施，提高老百姓经济来源收入，达到减畜不减收的目的，更好</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推广减畜，为人与生态相和谐做出贡献。</w:t>
      </w: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color w:val="000000"/>
                <w:kern w:val="0"/>
                <w:sz w:val="20"/>
              </w:rPr>
              <w:t>（阿州财建[2018]103号）2018年第二批新增地方政府一般债券资金(红原牦牛毛、藏绵毛技工创富增收项目)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红原县供销社</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800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800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cs="仿宋_GB2312"/>
                <w:kern w:val="0"/>
                <w:szCs w:val="32"/>
                <w:lang w:val="zh-CN"/>
              </w:rPr>
              <w:t>新建生产车间</w:t>
            </w:r>
            <w:r>
              <w:rPr>
                <w:rFonts w:ascii="仿宋_GB2312" w:cs="仿宋_GB2312"/>
                <w:kern w:val="0"/>
                <w:szCs w:val="32"/>
                <w:lang w:val="zh-CN"/>
              </w:rPr>
              <w:t>1F</w:t>
            </w:r>
            <w:r>
              <w:rPr>
                <w:rFonts w:hint="eastAsia" w:ascii="仿宋_GB2312" w:cs="仿宋_GB2312"/>
                <w:kern w:val="0"/>
                <w:szCs w:val="32"/>
                <w:lang w:val="zh-CN"/>
              </w:rPr>
              <w:t>：</w:t>
            </w:r>
            <w:r>
              <w:rPr>
                <w:rFonts w:ascii="仿宋_GB2312" w:cs="仿宋_GB2312"/>
                <w:kern w:val="0"/>
                <w:szCs w:val="32"/>
                <w:lang w:val="zh-CN"/>
              </w:rPr>
              <w:t>2590</w:t>
            </w:r>
            <w:r>
              <w:rPr>
                <w:rFonts w:hint="eastAsia" w:ascii="仿宋_GB2312" w:cs="仿宋_GB2312"/>
                <w:kern w:val="0"/>
                <w:szCs w:val="32"/>
                <w:lang w:val="zh-CN"/>
              </w:rPr>
              <w:t>平方米、新建综合楼</w:t>
            </w:r>
            <w:r>
              <w:rPr>
                <w:rFonts w:ascii="仿宋_GB2312" w:cs="仿宋_GB2312"/>
                <w:kern w:val="0"/>
                <w:szCs w:val="32"/>
                <w:lang w:val="zh-CN"/>
              </w:rPr>
              <w:t>1F</w:t>
            </w:r>
            <w:r>
              <w:rPr>
                <w:rFonts w:hint="eastAsia" w:ascii="仿宋_GB2312" w:cs="仿宋_GB2312"/>
                <w:kern w:val="0"/>
                <w:szCs w:val="32"/>
                <w:lang w:val="zh-CN"/>
              </w:rPr>
              <w:t>：</w:t>
            </w:r>
            <w:r>
              <w:rPr>
                <w:rFonts w:ascii="仿宋_GB2312" w:cs="仿宋_GB2312"/>
                <w:kern w:val="0"/>
                <w:szCs w:val="32"/>
                <w:lang w:val="zh-CN"/>
              </w:rPr>
              <w:t>750</w:t>
            </w:r>
            <w:r>
              <w:rPr>
                <w:rFonts w:hint="eastAsia" w:ascii="仿宋_GB2312" w:cs="仿宋_GB2312"/>
                <w:kern w:val="0"/>
                <w:szCs w:val="32"/>
                <w:lang w:val="zh-CN"/>
              </w:rPr>
              <w:t>平方米、公共卫生间</w:t>
            </w:r>
            <w:r>
              <w:rPr>
                <w:rFonts w:ascii="仿宋_GB2312" w:cs="仿宋_GB2312"/>
                <w:kern w:val="0"/>
                <w:szCs w:val="32"/>
                <w:lang w:val="zh-CN"/>
              </w:rPr>
              <w:t>1F</w:t>
            </w:r>
            <w:r>
              <w:rPr>
                <w:rFonts w:hint="eastAsia" w:ascii="仿宋_GB2312" w:cs="仿宋_GB2312"/>
                <w:kern w:val="0"/>
                <w:szCs w:val="32"/>
                <w:lang w:val="zh-CN"/>
              </w:rPr>
              <w:t>：</w:t>
            </w:r>
            <w:r>
              <w:rPr>
                <w:rFonts w:ascii="仿宋_GB2312" w:cs="仿宋_GB2312"/>
                <w:kern w:val="0"/>
                <w:szCs w:val="32"/>
                <w:lang w:val="zh-CN"/>
              </w:rPr>
              <w:t>126</w:t>
            </w:r>
            <w:r>
              <w:rPr>
                <w:rFonts w:hint="eastAsia" w:ascii="仿宋_GB2312" w:cs="仿宋_GB2312"/>
                <w:kern w:val="0"/>
                <w:szCs w:val="32"/>
                <w:lang w:val="zh-CN"/>
              </w:rPr>
              <w:t>平方米。采购机器设备一套。计划2019年11月完工。</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r>
              <w:rPr>
                <w:rFonts w:hint="eastAsia" w:ascii="仿宋_GB2312" w:cs="仿宋_GB2312"/>
                <w:kern w:val="0"/>
                <w:szCs w:val="32"/>
                <w:lang w:val="zh-CN"/>
              </w:rPr>
              <w:t>新建生产车间</w:t>
            </w:r>
            <w:r>
              <w:rPr>
                <w:rFonts w:ascii="仿宋_GB2312" w:cs="仿宋_GB2312"/>
                <w:kern w:val="0"/>
                <w:szCs w:val="32"/>
                <w:lang w:val="zh-CN"/>
              </w:rPr>
              <w:t>1F</w:t>
            </w:r>
            <w:r>
              <w:rPr>
                <w:rFonts w:hint="eastAsia" w:ascii="仿宋_GB2312" w:cs="仿宋_GB2312"/>
                <w:kern w:val="0"/>
                <w:szCs w:val="32"/>
                <w:lang w:val="zh-CN"/>
              </w:rPr>
              <w:t>：</w:t>
            </w:r>
            <w:r>
              <w:rPr>
                <w:rFonts w:ascii="仿宋_GB2312" w:cs="仿宋_GB2312"/>
                <w:kern w:val="0"/>
                <w:szCs w:val="32"/>
                <w:lang w:val="zh-CN"/>
              </w:rPr>
              <w:t>2590</w:t>
            </w:r>
            <w:r>
              <w:rPr>
                <w:rFonts w:hint="eastAsia" w:ascii="仿宋_GB2312" w:cs="仿宋_GB2312"/>
                <w:kern w:val="0"/>
                <w:szCs w:val="32"/>
                <w:lang w:val="zh-CN"/>
              </w:rPr>
              <w:t>平方米、新建综合楼</w:t>
            </w:r>
            <w:r>
              <w:rPr>
                <w:rFonts w:ascii="仿宋_GB2312" w:cs="仿宋_GB2312"/>
                <w:kern w:val="0"/>
                <w:szCs w:val="32"/>
                <w:lang w:val="zh-CN"/>
              </w:rPr>
              <w:t>1F</w:t>
            </w:r>
            <w:r>
              <w:rPr>
                <w:rFonts w:hint="eastAsia" w:ascii="仿宋_GB2312" w:cs="仿宋_GB2312"/>
                <w:kern w:val="0"/>
                <w:szCs w:val="32"/>
                <w:lang w:val="zh-CN"/>
              </w:rPr>
              <w:t>：</w:t>
            </w:r>
            <w:r>
              <w:rPr>
                <w:rFonts w:ascii="仿宋_GB2312" w:cs="仿宋_GB2312"/>
                <w:kern w:val="0"/>
                <w:szCs w:val="32"/>
                <w:lang w:val="zh-CN"/>
              </w:rPr>
              <w:t>750</w:t>
            </w:r>
            <w:r>
              <w:rPr>
                <w:rFonts w:hint="eastAsia" w:ascii="仿宋_GB2312" w:cs="仿宋_GB2312"/>
                <w:kern w:val="0"/>
                <w:szCs w:val="32"/>
                <w:lang w:val="zh-CN"/>
              </w:rPr>
              <w:t>平方米、公共卫生间</w:t>
            </w:r>
            <w:r>
              <w:rPr>
                <w:rFonts w:ascii="仿宋_GB2312" w:cs="仿宋_GB2312"/>
                <w:kern w:val="0"/>
                <w:szCs w:val="32"/>
                <w:lang w:val="zh-CN"/>
              </w:rPr>
              <w:t>1F</w:t>
            </w:r>
            <w:r>
              <w:rPr>
                <w:rFonts w:hint="eastAsia" w:ascii="仿宋_GB2312" w:cs="仿宋_GB2312"/>
                <w:kern w:val="0"/>
                <w:szCs w:val="32"/>
                <w:lang w:val="zh-CN"/>
              </w:rPr>
              <w:t>：</w:t>
            </w:r>
            <w:r>
              <w:rPr>
                <w:rFonts w:ascii="仿宋_GB2312" w:cs="仿宋_GB2312"/>
                <w:kern w:val="0"/>
                <w:szCs w:val="32"/>
                <w:lang w:val="zh-CN"/>
              </w:rPr>
              <w:t>126</w:t>
            </w:r>
            <w:r>
              <w:rPr>
                <w:rFonts w:hint="eastAsia" w:ascii="仿宋_GB2312" w:cs="仿宋_GB2312"/>
                <w:kern w:val="0"/>
                <w:szCs w:val="32"/>
                <w:lang w:val="zh-CN"/>
              </w:rPr>
              <w:t>平方米。采购机器设备一套。计划2019年11月完工。</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有中长期实施规划</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有中长期实施规划</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符合实际并根据实际调整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符合实际并根据实际调整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已制定</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及时拨付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及时拨付</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健全、规范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健全、规范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严格履行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严格履行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严格执行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严格执行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2019年12 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2019年12月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扩宽农牧民收入渠道，增加收入。</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扩宽农牧民收入渠道，增加收入。</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带动农牧民增收，增加贫困户、残疾人员工岗位。</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带动农牧民增收，增加贫困户、残疾人员工岗位。</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rPr>
              <w:t>减畜不减收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rPr>
              <w:t>减畜不减收</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rPr>
              <w:t>带动农牧民增收，增加贫困户、残疾人员工岗位。</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rPr>
              <w:t>带动农牧民增收，增加贫困户、残疾人员工岗位。</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（阿州财建 [2018]-46号）更攀合作社厂房标准化建设项目绩效目标完成情况综述。项目全年预算数353万元，执行数为3.5万元，完成预算的0.99%。通过项目实施，每年可为全县建档立卡贫困户人均增收190元。农畜产品达到县内可销售，销售价格高的目的，达到人均收入增收600元。</w:t>
      </w: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color w:val="000000"/>
                <w:kern w:val="0"/>
                <w:sz w:val="20"/>
              </w:rPr>
              <w:t>（阿州财建 [2018]-46号）更攀合作社厂房标准化建设项目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红原县供销社</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353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353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color w:val="000000"/>
                <w:kern w:val="0"/>
                <w:sz w:val="20"/>
              </w:rPr>
              <w:t>新建倒班房1层，建筑面积649.17m2；奶制品厂房简易改造1503.36m2（包括拆除清理、地面、墙面等）；肉制品厂房简易改造1756.64m2（包括拆除清理、地面、墙面和吊顶等）；新建雕塑1座；联合社场区填方300m3。</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r>
              <w:rPr>
                <w:rFonts w:hint="eastAsia" w:ascii="宋体" w:hAnsi="宋体" w:cs="宋体"/>
                <w:color w:val="000000"/>
                <w:kern w:val="0"/>
                <w:sz w:val="20"/>
              </w:rPr>
              <w:t>新建倒班房1层，建筑面积649.17m2；奶制品厂房简易改造1503.36m2（包括拆除清理、地面、墙面等）；肉制品厂房简易改造1756.64m2（包括拆除清理、地面、墙面和吊顶等）；新建雕塑1座；联合社场区填方300m3。</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2019年12 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2019年12月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rPr>
            </w:pPr>
            <w:r>
              <w:rPr>
                <w:rFonts w:hint="eastAsia" w:ascii="宋体" w:hAnsi="宋体" w:cs="宋体"/>
                <w:color w:val="000000"/>
                <w:sz w:val="20"/>
              </w:rPr>
              <w:t>减畜不减收，减少草原载畜量，达到生态保护的效果。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减畜不减收，减少草原载畜量，达到生态保护的效果。</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r>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阿州财建2018-46号）更攀合作社标准化建设项目绩效目标完成情况综述。项目全年预算数450万元，执行数为450万元，完成预算的100%。通过项目实施，每年可为全县建档立卡贫困户人均增收190元。农畜产品达到县内可销售，销售价格高的目的，达到人均收入增收600元。</w:t>
            </w:r>
          </w:p>
          <w:p>
            <w:pPr>
              <w:widowControl/>
              <w:jc w:val="center"/>
              <w:textAlignment w:val="center"/>
              <w:rPr>
                <w:rFonts w:ascii="宋体" w:hAnsi="宋体" w:cs="宋体"/>
                <w:b/>
                <w:color w:val="000000"/>
                <w:kern w:val="0"/>
                <w:sz w:val="24"/>
              </w:rPr>
            </w:pPr>
          </w:p>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color w:val="000000"/>
                <w:kern w:val="0"/>
                <w:sz w:val="20"/>
              </w:rPr>
              <w:t>（阿州财建2018-46号）更攀合作社标准化建设项目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红原县供销社</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450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450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450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color w:val="000000"/>
                <w:sz w:val="24"/>
              </w:rPr>
              <w:t>采购更攀联合社乳制品生产线采购项目缺口资金</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r>
              <w:rPr>
                <w:rFonts w:hint="eastAsia" w:ascii="宋体" w:hAnsi="宋体" w:cs="宋体"/>
                <w:color w:val="000000"/>
                <w:sz w:val="24"/>
              </w:rPr>
              <w:t>采购更攀联合社乳制品生产线采购项目缺口资金</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2018年12 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2018年12月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rPr>
            </w:pPr>
            <w:r>
              <w:rPr>
                <w:rFonts w:hint="eastAsia" w:ascii="宋体" w:hAnsi="宋体" w:cs="宋体"/>
                <w:color w:val="000000"/>
                <w:sz w:val="20"/>
              </w:rPr>
              <w:t>减畜不减收，减少草原载畜量，达到生态保护的效果。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减畜不减收，减少草原载畜量，达到生态保护的效果。</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r>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kern w:val="0"/>
                <w:sz w:val="24"/>
              </w:rPr>
            </w:pP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（红府办发2018-8号援建）更攀合作社产业发展项目绩效目标完成情况综述。项目全年预算数360万元，执行数为347.4万元，完成预算的96.5%。通过项目实施，通过在当地收购原材料，增加农牧民收入。</w:t>
            </w:r>
          </w:p>
          <w:p>
            <w:pPr>
              <w:widowControl/>
              <w:jc w:val="center"/>
              <w:textAlignment w:val="center"/>
              <w:rPr>
                <w:rFonts w:ascii="宋体" w:hAnsi="宋体" w:cs="宋体"/>
                <w:b/>
                <w:color w:val="000000"/>
                <w:kern w:val="0"/>
                <w:sz w:val="24"/>
              </w:rPr>
            </w:pPr>
          </w:p>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（红府办发2018-8号援建）更攀合作社产业发展项目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红原县供销社</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360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360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347.4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color w:val="000000"/>
                <w:sz w:val="24"/>
              </w:rPr>
              <w:t>用于更攀联合社下属公司，云尚日化设备采购建设</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r>
              <w:rPr>
                <w:rFonts w:hint="eastAsia" w:ascii="宋体" w:hAnsi="宋体" w:cs="宋体"/>
                <w:color w:val="000000"/>
                <w:sz w:val="24"/>
              </w:rPr>
              <w:t>用于更攀联合社下属公司，云尚日化设备采购建设</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2018年12 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2018年12月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rPr>
            </w:pPr>
            <w:r>
              <w:rPr>
                <w:rFonts w:hint="eastAsia" w:ascii="宋体" w:hAnsi="宋体" w:cs="宋体"/>
                <w:color w:val="000000"/>
                <w:sz w:val="20"/>
              </w:rPr>
              <w:t>减畜不减收，减少草原载畜量，达到生态保护的效果。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减畜不减收，减少草原载畜量，达到生态保护的效果。</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r>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kern w:val="0"/>
                <w:sz w:val="24"/>
              </w:rPr>
            </w:pPr>
          </w:p>
          <w:p>
            <w:pPr>
              <w:widowControl/>
              <w:jc w:val="left"/>
              <w:textAlignment w:val="center"/>
              <w:rPr>
                <w:rFonts w:ascii="宋体" w:hAnsi="宋体" w:cs="宋体"/>
                <w:b/>
                <w:color w:val="000000"/>
                <w:kern w:val="0"/>
                <w:sz w:val="24"/>
              </w:rPr>
            </w:pPr>
            <w:r>
              <w:rPr>
                <w:rFonts w:hint="eastAsia" w:ascii="仿宋_GB2312" w:hAnsi="仿宋_GB2312" w:eastAsia="仿宋_GB2312" w:cs="仿宋_GB2312"/>
                <w:sz w:val="32"/>
                <w:szCs w:val="32"/>
              </w:rPr>
              <w:t>5.（阿州财建[2018]103号）更攀合作社基础设施及设备采购项目绩效目标完成情况综述。项目全年预算数653万元，执行数为163.88万元，完成预算的25.1%。通过项目实施，为老百姓增加经济来源收入，达到减畜不减收的目的，更好</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推广减畜。</w:t>
            </w:r>
          </w:p>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（阿州财建[2018]103号）更攀合作社基础设施及设备采购项目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红原县供销社</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653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653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163.88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eastAsia="zh-CN"/>
              </w:rPr>
              <w:t>其他资金</w:t>
            </w:r>
            <w:r>
              <w:rPr>
                <w:rFonts w:hint="eastAsia"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Cs/>
                <w:color w:val="000000"/>
                <w:sz w:val="24"/>
              </w:rPr>
              <w:t>更攀联合社厂房改造、蒸汽管道、天然气管道、展示展销中心装修、为农服务中心装饰装修、特色农产品销售心中装饰装修等建设</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Cs/>
                <w:color w:val="000000"/>
                <w:sz w:val="24"/>
              </w:rPr>
              <w:t>更攀联合社厂房改造、蒸汽管道、天然气管道、展示展销中心装修、为农服务中心装饰装修、特色农产品销售心中装饰装修等建设</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rPr>
            </w:pPr>
            <w:r>
              <w:rPr>
                <w:rFonts w:hint="eastAsia" w:ascii="宋体" w:hAnsi="宋体" w:cs="宋体"/>
                <w:b/>
                <w:color w:val="000000"/>
                <w:kern w:val="0"/>
                <w:sz w:val="20"/>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有中长期实施规划</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符合实际并根据实际调整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已制定</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及时拨付</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健全、规范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严格执行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2018年12 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2018年12月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扩宽农牧民收入渠道，增加收入。</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rPr>
            </w:pPr>
            <w:r>
              <w:rPr>
                <w:rFonts w:hint="eastAsia" w:ascii="宋体" w:hAnsi="宋体" w:cs="宋体"/>
                <w:color w:val="000000"/>
                <w:kern w:val="0"/>
                <w:sz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rPr>
            </w:pPr>
            <w:r>
              <w:rPr>
                <w:rFonts w:hint="eastAsia" w:ascii="宋体" w:hAnsi="宋体" w:cs="宋体"/>
                <w:color w:val="000000"/>
                <w:sz w:val="20"/>
              </w:rPr>
              <w:t>减畜不减收，减少草原载畜量，达到生态保护的效果。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rPr>
              <w:t>减畜不减收，减少草原载畜量，达到生态保护的效果。</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rPr>
            </w:pPr>
            <w:r>
              <w:rPr>
                <w:rFonts w:hint="eastAsia" w:ascii="宋体" w:hAnsi="宋体" w:cs="宋体"/>
                <w:color w:val="000000"/>
                <w:kern w:val="0"/>
                <w:sz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rPr>
            </w:pPr>
            <w:r>
              <w:rPr>
                <w:rFonts w:hint="eastAsia" w:ascii="宋体" w:hAnsi="宋体" w:cs="宋体"/>
                <w:color w:val="000000"/>
                <w:sz w:val="20"/>
              </w:rPr>
              <w:t>带动农牧民增收，增加贫困户员工岗位，生产红原县特色乳制品，打造品牌。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rPr>
            </w:pPr>
            <w:r>
              <w:rPr>
                <w:rFonts w:hint="eastAsia" w:ascii="宋体" w:hAnsi="宋体" w:cs="宋体"/>
                <w:color w:val="000000"/>
                <w:kern w:val="0"/>
                <w:sz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rPr>
            </w:pPr>
            <w:r>
              <w:rPr>
                <w:rFonts w:hint="eastAsia" w:ascii="宋体" w:hAnsi="宋体" w:cs="宋体"/>
                <w:color w:val="000000"/>
                <w:sz w:val="20"/>
                <w:szCs w:val="20"/>
              </w:rPr>
              <w:t>对本项目事实满意度好。无异议。</w:t>
            </w:r>
          </w:p>
        </w:tc>
      </w:tr>
    </w:tbl>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本部门按要求对2018年部门整体支出绩效评价情况开展自评，《红原县供销合作社联合社2018年部门整体支出绩效评价报告》见附件。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宋体" w:cs="仿宋_GB2312"/>
          <w:b/>
          <w:lang w:val="zh-CN"/>
        </w:rPr>
        <w:t>（</w:t>
      </w:r>
      <w:r>
        <w:rPr>
          <w:rFonts w:hint="eastAsia" w:ascii="仿宋_GB2312" w:hAnsi="仿宋_GB2312" w:eastAsia="仿宋_GB2312" w:cs="仿宋_GB2312"/>
          <w:sz w:val="32"/>
          <w:szCs w:val="32"/>
        </w:rPr>
        <w:t>阿州财建[2018]103号）2018年第二批新增地方政府一般债券资金(红原牦牛毛、藏绵毛技工创富增收项目)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（阿州财建[2018]103号）更攀合作社基础设施及设备采购项目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宋体" w:cs="仿宋_GB2312"/>
          <w:b/>
          <w:lang w:val="zh-CN"/>
        </w:rPr>
        <w:t xml:space="preserve"> </w:t>
      </w:r>
      <w:r>
        <w:rPr>
          <w:rFonts w:hint="eastAsia" w:ascii="仿宋_GB2312" w:hAnsi="仿宋_GB2312" w:eastAsia="仿宋_GB2312" w:cs="仿宋_GB2312"/>
          <w:sz w:val="32"/>
          <w:szCs w:val="32"/>
        </w:rPr>
        <w:t>（阿州财建 [2018]-46号）更攀合作社厂房标准化建设项目”等开展了绩效评价，《红原县供销合作社联合社项目2018年绩效评价报告》见附件。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44" w:name="_Toc15377221"/>
      <w:bookmarkStart w:id="45" w:name="_Toc15396612"/>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color w:val="000000"/>
          <w:sz w:val="32"/>
          <w:szCs w:val="32"/>
        </w:rPr>
      </w:pPr>
      <w:bookmarkStart w:id="46" w:name="_Toc15377222"/>
      <w:r>
        <w:rPr>
          <w:rFonts w:hint="eastAsia" w:ascii="仿宋" w:hAnsi="仿宋" w:eastAsia="仿宋"/>
          <w:b/>
          <w:color w:val="000000"/>
          <w:sz w:val="32"/>
          <w:szCs w:val="32"/>
        </w:rPr>
        <w:t>（一）机关运行经费支出情况</w:t>
      </w:r>
      <w:bookmarkEnd w:id="46"/>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8年，行政机关运行经费支出12.75万元，比</w:t>
      </w:r>
      <w:r>
        <w:rPr>
          <w:rFonts w:ascii="仿宋_GB2312" w:eastAsia="仿宋_GB2312"/>
          <w:color w:val="000000"/>
          <w:sz w:val="32"/>
          <w:szCs w:val="32"/>
        </w:rPr>
        <w:t>201</w:t>
      </w:r>
      <w:r>
        <w:rPr>
          <w:rFonts w:hint="eastAsia" w:ascii="仿宋_GB2312" w:eastAsia="仿宋_GB2312"/>
          <w:color w:val="000000"/>
          <w:sz w:val="32"/>
          <w:szCs w:val="32"/>
        </w:rPr>
        <w:t>7年增加0.94万元，增长7.93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主要原因是调资。</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7" w:name="_Toc15377223"/>
      <w:r>
        <w:rPr>
          <w:rFonts w:hint="eastAsia" w:ascii="仿宋" w:hAnsi="仿宋" w:eastAsia="仿宋"/>
          <w:b/>
          <w:color w:val="000000"/>
          <w:sz w:val="32"/>
          <w:szCs w:val="32"/>
        </w:rPr>
        <w:t>（二）政府采购支出情况</w:t>
      </w:r>
      <w:bookmarkEnd w:id="4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8年，供销社政府采购支出总额1479.03万元，其中：政府采购货物支出565.68万元。主要用于采购牦牛毛、藏绵羊毛生产加工设备。授予中小企业合同金额942万元，占政府采购支出总额的38.25</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8" w:name="_Toc15377224"/>
      <w:r>
        <w:rPr>
          <w:rFonts w:hint="eastAsia" w:ascii="仿宋" w:hAnsi="仿宋" w:eastAsia="仿宋"/>
          <w:b/>
          <w:color w:val="000000"/>
          <w:sz w:val="32"/>
          <w:szCs w:val="32"/>
        </w:rPr>
        <w:t>（三）国有资产占有使用情况</w:t>
      </w:r>
      <w:bookmarkEnd w:id="4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日，其他固定资产3.4307万元，红原县供销社共有车辆0辆。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4"/>
          <w:rFonts w:ascii="黑体" w:hAnsi="黑体" w:eastAsia="黑体"/>
          <w:b w:val="0"/>
        </w:rPr>
      </w:pPr>
      <w:bookmarkStart w:id="49" w:name="_Toc15396613"/>
      <w:bookmarkStart w:id="50" w:name="_Toc15377225"/>
      <w:r>
        <w:rPr>
          <w:rFonts w:hint="eastAsia" w:ascii="黑体" w:hAnsi="黑体" w:eastAsia="黑体"/>
          <w:b/>
          <w:color w:val="000000"/>
          <w:sz w:val="44"/>
          <w:szCs w:val="44"/>
        </w:rPr>
        <w:t>名</w:t>
      </w:r>
      <w:r>
        <w:rPr>
          <w:rStyle w:val="24"/>
          <w:rFonts w:hint="eastAsia" w:ascii="黑体" w:hAnsi="黑体" w:eastAsia="黑体"/>
          <w:b w:val="0"/>
        </w:rPr>
        <w:t>词解释</w:t>
      </w:r>
      <w:bookmarkEnd w:id="49"/>
      <w:bookmarkEnd w:id="50"/>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9</w:t>
      </w:r>
      <w:r>
        <w:rPr>
          <w:rFonts w:ascii="仿宋_GB2312" w:eastAsia="仿宋_GB2312"/>
          <w:color w:val="000000" w:themeColor="text1"/>
          <w:sz w:val="32"/>
          <w:szCs w:val="32"/>
        </w:rPr>
        <w:t>.</w:t>
      </w:r>
      <w:r>
        <w:rPr>
          <w:rFonts w:hint="eastAsia" w:ascii="仿宋_GB2312" w:eastAsia="仿宋_GB2312"/>
          <w:color w:val="000000" w:themeColor="text1"/>
          <w:sz w:val="32"/>
          <w:szCs w:val="32"/>
        </w:rPr>
        <w:t>文化体育与传媒（类）文化（款）其他文化支出（项）：指制作雅克音乐季纪念品。</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10</w:t>
      </w:r>
      <w:r>
        <w:rPr>
          <w:rFonts w:ascii="仿宋_GB2312" w:eastAsia="仿宋_GB2312"/>
          <w:color w:val="000000" w:themeColor="text1"/>
          <w:sz w:val="32"/>
          <w:szCs w:val="32"/>
        </w:rPr>
        <w:t>.</w:t>
      </w:r>
      <w:r>
        <w:rPr>
          <w:rFonts w:hint="eastAsia" w:ascii="仿宋_GB2312" w:eastAsia="仿宋_GB2312"/>
          <w:color w:val="000000" w:themeColor="text1"/>
          <w:sz w:val="32"/>
          <w:szCs w:val="32"/>
        </w:rPr>
        <w:t>社会保障和就业（类）行政事业单位离退休（款）机关事业单位基本养老保险缴费支出★（项）：指养老保险。</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11</w:t>
      </w:r>
      <w:r>
        <w:rPr>
          <w:rFonts w:ascii="仿宋_GB2312" w:eastAsia="仿宋_GB2312"/>
          <w:color w:val="000000" w:themeColor="text1"/>
          <w:sz w:val="32"/>
          <w:szCs w:val="32"/>
        </w:rPr>
        <w:t>.</w:t>
      </w:r>
      <w:r>
        <w:rPr>
          <w:rFonts w:hint="eastAsia" w:ascii="仿宋_GB2312" w:eastAsia="仿宋_GB2312"/>
          <w:color w:val="000000" w:themeColor="text1"/>
          <w:sz w:val="32"/>
          <w:szCs w:val="32"/>
        </w:rPr>
        <w:t>医疗卫生与计划生育（类）行政事业单位医疗★（款）行政单位医疗★（项）：指行政单位医疗保险。</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12</w:t>
      </w:r>
      <w:r>
        <w:rPr>
          <w:rFonts w:ascii="仿宋_GB2312" w:eastAsia="仿宋_GB2312"/>
          <w:color w:val="000000" w:themeColor="text1"/>
          <w:sz w:val="32"/>
          <w:szCs w:val="32"/>
        </w:rPr>
        <w:t>.</w:t>
      </w:r>
      <w:r>
        <w:rPr>
          <w:rFonts w:hint="eastAsia" w:ascii="仿宋_GB2312" w:eastAsia="仿宋_GB2312"/>
          <w:color w:val="000000" w:themeColor="text1"/>
          <w:sz w:val="32"/>
          <w:szCs w:val="32"/>
        </w:rPr>
        <w:t>住房保障（类）住房改革支出（款）住房公积金（项）：指住房公积金。</w:t>
      </w:r>
    </w:p>
    <w:p>
      <w:pPr>
        <w:ind w:firstLine="640" w:firstLineChars="200"/>
        <w:rPr>
          <w:rFonts w:ascii="仿宋_GB2312" w:eastAsia="仿宋_GB2312"/>
          <w:color w:val="000000"/>
          <w:sz w:val="32"/>
          <w:szCs w:val="32"/>
        </w:rPr>
      </w:pPr>
      <w:bookmarkStart w:id="51" w:name="_Toc15377226"/>
      <w:r>
        <w:rPr>
          <w:rFonts w:hint="eastAsia" w:ascii="仿宋_GB2312" w:eastAsia="仿宋_GB2312"/>
          <w:color w:val="000000" w:themeColor="text1"/>
          <w:sz w:val="32"/>
          <w:szCs w:val="32"/>
          <w:lang w:val="en-US" w:eastAsia="zh-CN"/>
        </w:rPr>
        <w:t>13</w:t>
      </w:r>
      <w:r>
        <w:rPr>
          <w:rFonts w:ascii="仿宋_GB2312" w:eastAsia="仿宋_GB2312"/>
          <w:color w:val="000000" w:themeColor="text1"/>
          <w:sz w:val="32"/>
          <w:szCs w:val="32"/>
        </w:rPr>
        <w:t>.</w:t>
      </w:r>
      <w:r>
        <w:rPr>
          <w:rFonts w:hint="eastAsia" w:ascii="仿宋_GB2312" w:eastAsia="仿宋_GB2312"/>
          <w:color w:val="000000" w:themeColor="text1"/>
          <w:sz w:val="32"/>
          <w:szCs w:val="32"/>
        </w:rPr>
        <w:t>基本支出：指为保障机构正常</w:t>
      </w:r>
      <w:r>
        <w:rPr>
          <w:rFonts w:hint="eastAsia" w:ascii="仿宋_GB2312" w:eastAsia="仿宋_GB2312"/>
          <w:color w:val="000000"/>
          <w:sz w:val="32"/>
          <w:szCs w:val="32"/>
        </w:rPr>
        <w:t>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bookmarkStart w:id="52"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2"/>
    </w:p>
    <w:p>
      <w:pPr>
        <w:spacing w:line="600" w:lineRule="exact"/>
        <w:jc w:val="center"/>
        <w:outlineLvl w:val="0"/>
        <w:rPr>
          <w:rStyle w:val="24"/>
        </w:rPr>
      </w:pPr>
    </w:p>
    <w:p>
      <w:pPr>
        <w:pStyle w:val="3"/>
        <w:rPr>
          <w:rStyle w:val="24"/>
          <w:rFonts w:ascii="仿宋" w:hAnsi="仿宋" w:eastAsia="仿宋"/>
          <w:b w:val="0"/>
          <w:bCs w:val="0"/>
          <w:sz w:val="32"/>
          <w:szCs w:val="32"/>
        </w:rPr>
      </w:pPr>
      <w:bookmarkStart w:id="53" w:name="_Toc15396615"/>
      <w:r>
        <w:rPr>
          <w:rStyle w:val="24"/>
          <w:rFonts w:hint="eastAsia" w:ascii="仿宋" w:hAnsi="仿宋" w:eastAsia="仿宋"/>
          <w:b w:val="0"/>
          <w:bCs w:val="0"/>
          <w:sz w:val="32"/>
          <w:szCs w:val="32"/>
        </w:rPr>
        <w:t>附件1</w:t>
      </w:r>
      <w:bookmarkEnd w:id="53"/>
    </w:p>
    <w:p>
      <w:pPr>
        <w:widowControl/>
        <w:spacing w:line="480" w:lineRule="exact"/>
        <w:jc w:val="center"/>
        <w:rPr>
          <w:rFonts w:ascii="方正小标宋简体" w:hAnsi="宋体" w:eastAsia="方正小标宋简体" w:cs="方正小标宋简体"/>
          <w:sz w:val="44"/>
          <w:szCs w:val="44"/>
        </w:rPr>
      </w:pPr>
      <w:bookmarkStart w:id="54" w:name="_Toc15396617"/>
      <w:r>
        <w:rPr>
          <w:rFonts w:hint="eastAsia" w:ascii="方正小标宋简体" w:hAnsi="宋体" w:eastAsia="方正小标宋简体" w:cs="方正小标宋简体"/>
          <w:sz w:val="44"/>
          <w:szCs w:val="44"/>
        </w:rPr>
        <w:t>红原县供销合作社联合社</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整体支出绩效报告</w:t>
      </w:r>
    </w:p>
    <w:p>
      <w:pPr>
        <w:widowControl/>
        <w:adjustRightInd w:val="0"/>
        <w:snapToGrid w:val="0"/>
        <w:spacing w:line="600" w:lineRule="exact"/>
        <w:ind w:firstLine="720"/>
        <w:jc w:val="left"/>
        <w:rPr>
          <w:rFonts w:ascii="黑体" w:hAnsi="黑体" w:eastAsia="黑体" w:cs="宋体"/>
          <w:color w:val="000000"/>
          <w:kern w:val="0"/>
          <w:sz w:val="32"/>
          <w:szCs w:val="32"/>
          <w:lang w:val="zh-CN"/>
        </w:rPr>
      </w:pPr>
      <w:r>
        <w:rPr>
          <w:rFonts w:hint="eastAsia" w:ascii="黑体" w:hAnsi="黑体" w:eastAsia="黑体" w:cs="宋体"/>
          <w:color w:val="000000"/>
          <w:kern w:val="0"/>
          <w:sz w:val="32"/>
          <w:szCs w:val="32"/>
        </w:rPr>
        <w:t>一、</w:t>
      </w:r>
      <w:r>
        <w:rPr>
          <w:rFonts w:hint="eastAsia" w:ascii="黑体" w:hAnsi="黑体" w:eastAsia="黑体" w:cs="宋体"/>
          <w:color w:val="000000"/>
          <w:kern w:val="0"/>
          <w:sz w:val="32"/>
          <w:szCs w:val="32"/>
          <w:lang w:val="zh-CN"/>
        </w:rPr>
        <w:t>单位概况</w:t>
      </w:r>
    </w:p>
    <w:p>
      <w:pPr>
        <w:widowControl/>
        <w:adjustRightInd w:val="0"/>
        <w:snapToGrid w:val="0"/>
        <w:spacing w:line="60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（一）机构组成。</w:t>
      </w:r>
    </w:p>
    <w:p>
      <w:pPr>
        <w:spacing w:line="6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供销社属于一级预算单位，参公事业单位，下设两个股室：办公室、综合业务股。</w:t>
      </w:r>
    </w:p>
    <w:p>
      <w:pPr>
        <w:widowControl/>
        <w:adjustRightInd w:val="0"/>
        <w:snapToGrid w:val="0"/>
        <w:spacing w:line="60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（二）机构职能。</w:t>
      </w:r>
    </w:p>
    <w:p>
      <w:pPr>
        <w:spacing w:line="600" w:lineRule="exact"/>
        <w:ind w:firstLine="640" w:firstLineChars="200"/>
        <w:rPr>
          <w:rFonts w:ascii="仿宋_GB2312" w:hAnsi="Calibri" w:eastAsia="仿宋_GB2312"/>
          <w:sz w:val="32"/>
          <w:szCs w:val="32"/>
        </w:rPr>
      </w:pPr>
      <w:r>
        <w:rPr>
          <w:rFonts w:hint="eastAsia" w:ascii="仿宋_GB2312" w:hAnsi="Calibri" w:eastAsia="仿宋_GB2312"/>
          <w:sz w:val="32"/>
          <w:szCs w:val="32"/>
        </w:rPr>
        <w:t>按照社会主义市场经济的要求，县供销社由过去行使政府管理职能逐步转向对系统进行行业管理、指导、协调和服务上来，对直属企业由直接管理转为以出资人身份行使对社有资产的监督管理。主要宗旨是立足三农，服务三农。宣传贯彻和实施农村经济工作的方针政策，指导农村社会化服务体系建设。</w:t>
      </w:r>
    </w:p>
    <w:p>
      <w:pPr>
        <w:widowControl/>
        <w:adjustRightInd w:val="0"/>
        <w:snapToGrid w:val="0"/>
        <w:spacing w:line="60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（三）人员概况。</w:t>
      </w:r>
    </w:p>
    <w:p>
      <w:pPr>
        <w:widowControl/>
        <w:adjustRightInd w:val="0"/>
        <w:snapToGrid w:val="0"/>
        <w:spacing w:line="60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红原县供销社2018年底参公编制6个.在职职工6人，参公6人。</w:t>
      </w:r>
    </w:p>
    <w:p>
      <w:pPr>
        <w:widowControl/>
        <w:adjustRightInd w:val="0"/>
        <w:snapToGrid w:val="0"/>
        <w:spacing w:line="600" w:lineRule="exact"/>
        <w:ind w:firstLine="72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二、部门财政资金收支情况</w:t>
      </w:r>
    </w:p>
    <w:p>
      <w:pPr>
        <w:spacing w:line="6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（一）部门财政资金收入情况。</w:t>
      </w:r>
    </w:p>
    <w:p>
      <w:pPr>
        <w:spacing w:line="60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2018年总收入合计28，896，223.62元，本年收入20,622,503.62元，占总收入71.37%，其中：其中财政拨款收入20,622,471.64元，占99.99%；其他收入31.98元，占0.0001%，年初结转结余8,273,720元，占总收入28.63%。 2018年底结转结余合计11664165.19元，其中项目支出结转结余11664165.19元，占100%。</w:t>
      </w:r>
    </w:p>
    <w:p>
      <w:pPr>
        <w:spacing w:line="600" w:lineRule="exact"/>
        <w:ind w:firstLine="640" w:firstLineChars="200"/>
        <w:rPr>
          <w:rFonts w:ascii="仿宋_GB2312" w:hAnsi="仿宋_GB2312" w:eastAsia="仿宋_GB2312" w:cs="仿宋_GB2312"/>
          <w:sz w:val="32"/>
          <w:szCs w:val="32"/>
        </w:rPr>
      </w:pPr>
      <w:r>
        <w:rPr>
          <w:rFonts w:hint="eastAsia" w:ascii="仿宋_GB2312" w:hAnsi="仿宋" w:eastAsia="仿宋_GB2312" w:cs="仿宋"/>
          <w:color w:val="000000"/>
          <w:sz w:val="32"/>
          <w:szCs w:val="32"/>
        </w:rPr>
        <w:t>2019我单位收入为48817603.92元</w:t>
      </w:r>
      <w:r>
        <w:rPr>
          <w:rFonts w:hint="eastAsia" w:ascii="仿宋_GB2312" w:hAnsi="仿宋_GB2312" w:eastAsia="仿宋_GB2312" w:cs="仿宋_GB2312"/>
          <w:sz w:val="32"/>
          <w:szCs w:val="32"/>
        </w:rPr>
        <w:t>，其中一般公共预算财政收入1570240.92元，项目收入47247363元。</w:t>
      </w:r>
    </w:p>
    <w:p>
      <w:pPr>
        <w:spacing w:line="600" w:lineRule="exact"/>
        <w:ind w:left="420" w:leftChars="200"/>
        <w:rPr>
          <w:rFonts w:ascii="仿宋_GB2312" w:hAnsi="楷体" w:eastAsia="仿宋_GB2312" w:cs="楷体"/>
          <w:bCs/>
          <w:sz w:val="32"/>
          <w:szCs w:val="32"/>
        </w:rPr>
      </w:pPr>
      <w:r>
        <w:rPr>
          <w:rFonts w:hint="eastAsia" w:ascii="仿宋_GB2312" w:hAnsi="楷体" w:eastAsia="仿宋_GB2312" w:cs="楷体"/>
          <w:bCs/>
          <w:sz w:val="32"/>
          <w:szCs w:val="32"/>
        </w:rPr>
        <w:t>（二）部门财政资金支出情况。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一般公共预算财政拨款支出17232058.43元，主要用于以下方面:文化体育与传媒支出90000元，占0.52%；完成预算100%。社会保障和就业支出245123.76元，占1.42%；完成预算100%。医疗卫生与计划生育94789.12元，占0.55%；完成预算100%。城乡社区支出4733499.81元，占27.47%；完成预算65.27%。农林水支出10216800元，占59.29%；完成预算70.17%。商业服务业等支出1774973.74元，占10.30%；完成预算58.24%。住房保障支出76872元，占0.45%；完成预算100%。</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2019年1至6月支出为16001568.13元，其中：项目支出14986617.66元，基本支出1014950.47元</w:t>
      </w:r>
    </w:p>
    <w:p>
      <w:pPr>
        <w:widowControl/>
        <w:adjustRightInd w:val="0"/>
        <w:snapToGrid w:val="0"/>
        <w:spacing w:line="600" w:lineRule="exact"/>
        <w:ind w:firstLine="72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三、部门财政支出管理情况</w:t>
      </w:r>
    </w:p>
    <w:p>
      <w:pPr>
        <w:widowControl/>
        <w:adjustRightInd w:val="0"/>
        <w:snapToGrid w:val="0"/>
        <w:spacing w:line="600" w:lineRule="exact"/>
        <w:ind w:firstLine="720"/>
        <w:jc w:val="left"/>
        <w:rPr>
          <w:rFonts w:ascii="仿宋_GB2312" w:hAnsi="楷体" w:eastAsia="仿宋_GB2312" w:cs="宋体"/>
          <w:color w:val="000000"/>
          <w:kern w:val="0"/>
          <w:sz w:val="32"/>
          <w:szCs w:val="32"/>
          <w:lang w:val="zh-CN"/>
        </w:rPr>
      </w:pPr>
      <w:r>
        <w:rPr>
          <w:rFonts w:hint="eastAsia" w:ascii="仿宋_GB2312" w:hAnsi="楷体" w:eastAsia="仿宋_GB2312" w:cs="宋体"/>
          <w:color w:val="000000"/>
          <w:kern w:val="0"/>
          <w:sz w:val="32"/>
          <w:szCs w:val="32"/>
          <w:lang w:val="zh-CN"/>
        </w:rPr>
        <w:t>（一）预算编制情况。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严格按照《预算法》及相关财经法规和政策编制本年度预算，严格控制编报质量，保证所有资金合法合规，严格按照相关规定进行预算编制，中央转移支付资金按照文件要求执行，专项转移支付严格根据分地区分项目进行编制。</w:t>
      </w:r>
    </w:p>
    <w:p>
      <w:pPr>
        <w:widowControl/>
        <w:adjustRightInd w:val="0"/>
        <w:snapToGrid w:val="0"/>
        <w:spacing w:line="600" w:lineRule="exact"/>
        <w:ind w:firstLine="720"/>
        <w:jc w:val="left"/>
        <w:rPr>
          <w:rFonts w:ascii="仿宋_GB2312" w:hAnsi="楷体" w:eastAsia="仿宋_GB2312" w:cs="宋体"/>
          <w:color w:val="000000"/>
          <w:kern w:val="0"/>
          <w:sz w:val="32"/>
          <w:szCs w:val="32"/>
          <w:lang w:val="zh-CN"/>
        </w:rPr>
      </w:pPr>
      <w:r>
        <w:rPr>
          <w:rFonts w:hint="eastAsia" w:ascii="仿宋_GB2312" w:hAnsi="楷体" w:eastAsia="仿宋_GB2312" w:cs="宋体"/>
          <w:color w:val="000000"/>
          <w:kern w:val="0"/>
          <w:sz w:val="32"/>
          <w:szCs w:val="32"/>
          <w:lang w:val="zh-CN"/>
        </w:rPr>
        <w:t>（二）执行管理情况。</w:t>
      </w:r>
      <w:r>
        <w:rPr>
          <w:rFonts w:hint="eastAsia" w:ascii="仿宋_GB2312" w:hAnsi="楷体" w:eastAsia="仿宋_GB2312" w:cs="宋体"/>
          <w:color w:val="000000"/>
          <w:kern w:val="0"/>
          <w:sz w:val="32"/>
          <w:szCs w:val="32"/>
          <w:lang w:val="zh-CN"/>
        </w:rPr>
        <w:tab/>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执行到位，严格按照预算管理进行支付并做到节能降耗，“三公”经费严格按照年初预算执行。2018年度“三公”经费财政拨款支出决算中，因公出国（境）费支出决算0元，占0%；公务用车购置及运行维护费支出决算26200元，占96.14%；公务接待费支出决算1056元，占3.86%。</w:t>
      </w:r>
    </w:p>
    <w:p>
      <w:pPr>
        <w:widowControl/>
        <w:adjustRightInd w:val="0"/>
        <w:snapToGrid w:val="0"/>
        <w:spacing w:line="600" w:lineRule="exact"/>
        <w:ind w:firstLine="720"/>
        <w:jc w:val="left"/>
        <w:rPr>
          <w:rFonts w:ascii="仿宋_GB2312" w:hAnsi="楷体" w:eastAsia="仿宋_GB2312" w:cs="宋体"/>
          <w:color w:val="000000"/>
          <w:kern w:val="0"/>
          <w:sz w:val="32"/>
          <w:szCs w:val="32"/>
          <w:lang w:val="zh-CN"/>
        </w:rPr>
      </w:pPr>
      <w:r>
        <w:rPr>
          <w:rFonts w:hint="eastAsia" w:ascii="仿宋_GB2312" w:hAnsi="楷体" w:eastAsia="仿宋_GB2312" w:cs="宋体"/>
          <w:color w:val="000000"/>
          <w:kern w:val="0"/>
          <w:sz w:val="32"/>
          <w:szCs w:val="32"/>
          <w:lang w:val="zh-CN"/>
        </w:rPr>
        <w:t>（三）综合管理情况。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财务管理过程中建立健全财务核算制度、严格执行国家相关财经法规，加强了会计基础工作、逐渐规范了财务管理行为。严格按照《新政府会计制度》的规定设置的会计科目，建立了科学有效的会计核算方式，均真实、合法、准确的反映各项收支活动；建立健全了内控制度，加强和完善了经费收支和财务管理，积极配合各级财政部门开展相关经费的考评工作；本单位在资金使用过程中，合理使用各项资金，严格执行各项经费开支范围和标准。对项目资金，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严格落实《党政机关厉行节约反对浪费条例》的相关规定，进一步规范了“三公经费”的管理并严格控制了“三公经费”的支出。</w:t>
      </w:r>
    </w:p>
    <w:p>
      <w:pPr>
        <w:widowControl/>
        <w:adjustRightInd w:val="0"/>
        <w:snapToGrid w:val="0"/>
        <w:spacing w:line="600" w:lineRule="exact"/>
        <w:ind w:firstLine="720"/>
        <w:jc w:val="left"/>
        <w:rPr>
          <w:rFonts w:ascii="仿宋_GB2312" w:hAnsi="楷体" w:eastAsia="仿宋_GB2312" w:cs="宋体"/>
          <w:color w:val="000000"/>
          <w:kern w:val="0"/>
          <w:sz w:val="32"/>
          <w:szCs w:val="32"/>
          <w:lang w:val="zh-CN"/>
        </w:rPr>
      </w:pPr>
      <w:r>
        <w:rPr>
          <w:rFonts w:hint="eastAsia" w:ascii="仿宋_GB2312" w:hAnsi="楷体" w:eastAsia="仿宋_GB2312" w:cs="宋体"/>
          <w:color w:val="000000"/>
          <w:kern w:val="0"/>
          <w:sz w:val="32"/>
          <w:szCs w:val="32"/>
          <w:lang w:val="zh-CN"/>
        </w:rPr>
        <w:t>（四）整体绩效。</w:t>
      </w:r>
    </w:p>
    <w:p>
      <w:pPr>
        <w:widowControl/>
        <w:adjustRightInd w:val="0"/>
        <w:snapToGrid w:val="0"/>
        <w:spacing w:line="600" w:lineRule="exact"/>
        <w:ind w:firstLine="720"/>
        <w:jc w:val="left"/>
        <w:rPr>
          <w:rFonts w:ascii="仿宋_GB2312" w:hAnsi="仿宋_GB2312" w:eastAsia="仿宋_GB2312"/>
          <w:sz w:val="32"/>
        </w:rPr>
      </w:pPr>
      <w:r>
        <w:rPr>
          <w:rFonts w:hint="eastAsia" w:ascii="仿宋_GB2312" w:eastAsia="仿宋_GB2312"/>
          <w:bCs/>
          <w:sz w:val="32"/>
        </w:rPr>
        <w:t>供销社严格按照县委、政府</w:t>
      </w:r>
      <w:r>
        <w:rPr>
          <w:rFonts w:hint="eastAsia" w:ascii="仿宋_GB2312" w:hAnsi="仿宋_GB2312" w:eastAsia="仿宋_GB2312"/>
          <w:sz w:val="32"/>
        </w:rPr>
        <w:t>2018年经济发展目标以及全县经济工作会议的总体部署和</w:t>
      </w:r>
      <w:r>
        <w:rPr>
          <w:rFonts w:hint="eastAsia" w:ascii="仿宋_GB2312" w:hAnsi="仿宋" w:eastAsia="仿宋_GB2312"/>
          <w:color w:val="000000"/>
          <w:sz w:val="32"/>
          <w:szCs w:val="32"/>
          <w:lang w:val="zh-CN"/>
        </w:rPr>
        <w:t>州供销社综合改革工作安排</w:t>
      </w:r>
      <w:r>
        <w:rPr>
          <w:rFonts w:hint="eastAsia" w:ascii="仿宋_GB2312" w:hAnsi="仿宋_GB2312" w:eastAsia="仿宋_GB2312"/>
          <w:sz w:val="32"/>
        </w:rPr>
        <w:t>,</w:t>
      </w:r>
      <w:r>
        <w:rPr>
          <w:rFonts w:hint="eastAsia" w:ascii="仿宋_GB2312" w:hAnsi="??" w:eastAsia="仿宋_GB2312"/>
          <w:sz w:val="32"/>
        </w:rPr>
        <w:t>坚持以人为本，</w:t>
      </w:r>
      <w:r>
        <w:rPr>
          <w:rFonts w:hint="eastAsia" w:ascii="仿宋_GB2312" w:hAnsi="仿宋_GB2312" w:eastAsia="仿宋_GB2312"/>
          <w:sz w:val="32"/>
        </w:rPr>
        <w:t>“立足三农，服务三农”的宗旨，不断开拓进取，求真务实，充分发挥供销社在促进农村经济发展、社会政治和谐稳定中的重要作用，完成各项经济工作目标，把“富民惠民，改善民生”政策贯彻落实到广大农牧民之中，使我社的各项工作不断稳步推进。</w:t>
      </w:r>
    </w:p>
    <w:p>
      <w:pPr>
        <w:widowControl/>
        <w:adjustRightInd w:val="0"/>
        <w:snapToGrid w:val="0"/>
        <w:spacing w:line="600" w:lineRule="exact"/>
        <w:ind w:firstLine="72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四、评价结论及建议</w:t>
      </w:r>
    </w:p>
    <w:p>
      <w:pPr>
        <w:widowControl/>
        <w:adjustRightInd w:val="0"/>
        <w:snapToGrid w:val="0"/>
        <w:spacing w:line="6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（一）评价结论。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按照预算绩效管理要求，本单位对2018年整体支出开展绩效自评，自评得分96.5分，部门整体支出绩效为“好”。</w:t>
      </w:r>
    </w:p>
    <w:p>
      <w:pPr>
        <w:widowControl/>
        <w:adjustRightInd w:val="0"/>
        <w:snapToGrid w:val="0"/>
        <w:spacing w:line="6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（二）存在问题。</w:t>
      </w:r>
    </w:p>
    <w:p>
      <w:pPr>
        <w:widowControl/>
        <w:adjustRightInd w:val="0"/>
        <w:snapToGrid w:val="0"/>
        <w:spacing w:line="600" w:lineRule="exact"/>
        <w:ind w:firstLine="720"/>
        <w:jc w:val="left"/>
        <w:rPr>
          <w:rFonts w:ascii="仿宋_GB2312" w:hAnsi="宋体" w:eastAsia="仿宋_GB2312" w:cs="宋体"/>
          <w:color w:val="000000"/>
          <w:kern w:val="0"/>
          <w:sz w:val="32"/>
          <w:szCs w:val="32"/>
          <w:lang w:val="zh-CN"/>
        </w:rPr>
      </w:pPr>
      <w:r>
        <w:rPr>
          <w:rFonts w:hint="eastAsia" w:ascii="仿宋_GB2312" w:hAnsi="仿宋_GB2312" w:eastAsia="仿宋_GB2312" w:cs="仿宋_GB2312"/>
          <w:sz w:val="32"/>
          <w:szCs w:val="32"/>
        </w:rPr>
        <w:t>对资金管理缺乏时效性和长久监督性。</w:t>
      </w:r>
    </w:p>
    <w:p>
      <w:pPr>
        <w:widowControl/>
        <w:adjustRightInd w:val="0"/>
        <w:snapToGrid w:val="0"/>
        <w:spacing w:line="600" w:lineRule="exact"/>
        <w:ind w:firstLine="720"/>
        <w:jc w:val="left"/>
        <w:rPr>
          <w:rFonts w:ascii="仿宋_GB2312" w:eastAsia="仿宋_GB2312" w:cs="仿宋_GB2312"/>
          <w:sz w:val="32"/>
          <w:szCs w:val="32"/>
        </w:rPr>
      </w:pPr>
      <w:r>
        <w:rPr>
          <w:rFonts w:hint="eastAsia" w:ascii="仿宋_GB2312" w:hAnsi="宋体" w:eastAsia="仿宋_GB2312" w:cs="宋体"/>
          <w:color w:val="000000"/>
          <w:kern w:val="0"/>
          <w:sz w:val="32"/>
          <w:szCs w:val="32"/>
          <w:lang w:val="zh-CN"/>
        </w:rPr>
        <w:t>（三）改进建议。</w:t>
      </w:r>
    </w:p>
    <w:p>
      <w:pPr>
        <w:spacing w:line="600" w:lineRule="exact"/>
        <w:ind w:firstLine="640" w:firstLineChars="200"/>
        <w:rPr>
          <w:rFonts w:ascii="仿宋_GB2312" w:hAnsi="宋体" w:eastAsia="仿宋_GB2312" w:cs="黑体"/>
          <w:sz w:val="32"/>
          <w:szCs w:val="32"/>
        </w:rPr>
      </w:pPr>
      <w:r>
        <w:rPr>
          <w:rFonts w:hint="eastAsia" w:ascii="仿宋_GB2312" w:hAnsi="仿宋_GB2312" w:eastAsia="仿宋_GB2312" w:cs="仿宋_GB2312"/>
          <w:sz w:val="32"/>
          <w:szCs w:val="32"/>
        </w:rPr>
        <w:t>下一步改进措施：针对存在的问题进行经常性的监督和自查。</w:t>
      </w:r>
    </w:p>
    <w:p>
      <w:pPr>
        <w:spacing w:line="600" w:lineRule="exact"/>
        <w:rPr>
          <w:rFonts w:ascii="仿宋_GB2312" w:hAnsi="宋体" w:eastAsia="仿宋_GB2312" w:cs="黑体"/>
          <w:sz w:val="32"/>
          <w:szCs w:val="32"/>
        </w:rPr>
      </w:pPr>
    </w:p>
    <w:p>
      <w:pPr>
        <w:spacing w:line="600" w:lineRule="exact"/>
        <w:rPr>
          <w:rFonts w:ascii="仿宋_GB2312" w:hAnsi="宋体" w:eastAsia="仿宋_GB2312" w:cs="黑体"/>
          <w:sz w:val="32"/>
          <w:szCs w:val="32"/>
        </w:rPr>
      </w:pPr>
    </w:p>
    <w:p>
      <w:pPr>
        <w:spacing w:line="600" w:lineRule="exact"/>
        <w:jc w:val="right"/>
        <w:rPr>
          <w:rFonts w:ascii="仿宋_GB2312"/>
        </w:rPr>
      </w:pPr>
    </w:p>
    <w:bookmarkEnd w:id="54"/>
    <w:p>
      <w:pPr>
        <w:widowControl/>
        <w:spacing w:line="580" w:lineRule="exact"/>
        <w:jc w:val="center"/>
        <w:rPr>
          <w:rFonts w:ascii="方正小标宋简体" w:hAnsi="宋体" w:eastAsia="方正小标宋简体" w:cs="方正小标宋简体"/>
          <w:color w:val="000000"/>
          <w:kern w:val="0"/>
          <w:sz w:val="44"/>
          <w:szCs w:val="44"/>
        </w:rPr>
      </w:pPr>
      <w:bookmarkStart w:id="55" w:name="_Toc15396618"/>
      <w:r>
        <w:rPr>
          <w:rFonts w:hint="eastAsia" w:ascii="方正小标宋简体" w:hAnsi="宋体" w:eastAsia="方正小标宋简体" w:cs="方正小标宋简体"/>
          <w:color w:val="000000"/>
          <w:kern w:val="0"/>
          <w:sz w:val="44"/>
          <w:szCs w:val="44"/>
        </w:rPr>
        <w:t>红原县供销合作社联合社</w:t>
      </w:r>
    </w:p>
    <w:p>
      <w:pPr>
        <w:pStyle w:val="30"/>
        <w:widowControl/>
        <w:spacing w:line="580" w:lineRule="exact"/>
        <w:jc w:val="center"/>
        <w:rPr>
          <w:rFonts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仿宋_GB2312" w:hAnsi="宋体" w:eastAsia="仿宋_GB2312" w:cs="仿宋_GB2312"/>
        </w:rPr>
      </w:pPr>
      <w:r>
        <w:rPr>
          <w:rFonts w:hint="eastAsia" w:ascii="仿宋_GB2312" w:hAnsi="宋体" w:eastAsia="仿宋_GB2312" w:cs="仿宋_GB2312"/>
          <w:sz w:val="32"/>
        </w:rPr>
        <w:t>（红原牦牛毛、藏绵毛技工创富增收项目）</w:t>
      </w:r>
    </w:p>
    <w:p>
      <w:pPr>
        <w:pStyle w:val="30"/>
        <w:widowControl/>
        <w:spacing w:line="580" w:lineRule="exact"/>
        <w:jc w:val="center"/>
        <w:rPr>
          <w:rFonts w:ascii="宋体" w:hAns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介绍项目基本情况，重点说明以下内容：</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项目资金2018年申报，所以程序符合资金管理办法等相关规定。</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项目绩效目标。</w:t>
      </w:r>
    </w:p>
    <w:p>
      <w:pPr>
        <w:adjustRightInd w:val="0"/>
        <w:snapToGrid w:val="0"/>
        <w:spacing w:line="580" w:lineRule="exact"/>
        <w:ind w:firstLine="640" w:firstLineChars="200"/>
        <w:rPr>
          <w:rFonts w:ascii="仿宋_GB2312" w:hAnsi="宋体" w:eastAsia="仿宋_GB2312" w:cs="仿宋_GB2312"/>
          <w:sz w:val="32"/>
          <w:lang w:val="zh-CN"/>
        </w:rPr>
      </w:pPr>
      <w:r>
        <w:rPr>
          <w:rFonts w:hint="eastAsia" w:ascii="仿宋_GB2312" w:hAnsi="宋体" w:eastAsia="仿宋_GB2312" w:cs="仿宋_GB2312"/>
          <w:sz w:val="32"/>
        </w:rPr>
        <w:t>项目建设内容：</w:t>
      </w:r>
      <w:r>
        <w:rPr>
          <w:rFonts w:hint="eastAsia" w:ascii="仿宋_GB2312" w:hAnsi="宋体" w:eastAsia="仿宋_GB2312" w:cs="仿宋_GB2312"/>
          <w:sz w:val="32"/>
          <w:lang w:val="zh-CN"/>
        </w:rPr>
        <w:t>新建生产车间1F：2590平方米、新建综合楼1F：750平方米、公共卫生间1F：126平方米。采购机器设备一套。</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项目总投入资金2800万元，2019年实施该项目第一期1800万元建设内容，计划2019年11月完成建设。</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项目资金申报相符性。</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项目建设内容与实际建设相符，所申报目标有可研报告为依托。</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lang w:val="zh-CN"/>
        </w:rPr>
        <w:t>1．</w:t>
      </w:r>
      <w:r>
        <w:rPr>
          <w:rFonts w:hint="eastAsia" w:ascii="仿宋_GB2312" w:hAnsi="宋体" w:eastAsia="仿宋_GB2312" w:cs="仿宋_GB2312"/>
          <w:sz w:val="32"/>
        </w:rPr>
        <w:t>项目总投资2800万元，其中到位资金：2018年浙江援建资金1000万元，2018年第二期债券资金800万元，剩余资金正在争取。所有支付合理合法。</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lang w:val="zh-CN"/>
        </w:rPr>
        <w:t>2．</w:t>
      </w:r>
      <w:r>
        <w:rPr>
          <w:rFonts w:hint="eastAsia" w:ascii="仿宋_GB2312" w:hAnsi="宋体" w:eastAsia="仿宋_GB2312" w:cs="仿宋_GB2312"/>
          <w:sz w:val="32"/>
        </w:rPr>
        <w:t>项目8月16日开标，现已挖掘基础，8月27日完成基础验槽工作。截止目前为止暂未支付资金。</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项目财务管理制度建设、机构设置、会计核算及账务处理</w:t>
      </w:r>
      <w:r>
        <w:rPr>
          <w:rFonts w:hint="eastAsia" w:ascii="仿宋_GB2312" w:hAnsi="宋体" w:eastAsia="仿宋_GB2312" w:cs="仿宋_GB2312"/>
          <w:sz w:val="32"/>
        </w:rPr>
        <w:t>符合相关法律法规</w:t>
      </w:r>
      <w:r>
        <w:rPr>
          <w:rFonts w:hint="eastAsia" w:ascii="仿宋_GB2312" w:hAnsi="宋体" w:eastAsia="仿宋_GB2312" w:cs="仿宋_GB2312"/>
          <w:sz w:val="32"/>
          <w:lang w:val="zh-CN"/>
        </w:rPr>
        <w:t>，严格执行财务管理制度、财务处理及时、会计核算规范。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60" w:lineRule="exact"/>
        <w:ind w:firstLine="640"/>
        <w:rPr>
          <w:rFonts w:ascii="仿宋_GB2312" w:hAnsi="宋体" w:eastAsia="仿宋_GB2312" w:cs="仿宋_GB2312"/>
          <w:sz w:val="32"/>
          <w:lang w:val="zh-CN"/>
        </w:rPr>
      </w:pPr>
      <w:r>
        <w:rPr>
          <w:rFonts w:hint="eastAsia" w:ascii="仿宋_GB2312" w:hAnsi="宋体" w:eastAsia="仿宋_GB2312" w:cs="仿宋_GB2312"/>
          <w:sz w:val="32"/>
          <w:lang w:val="zh-CN"/>
        </w:rPr>
        <w:t>成立项目建设领导小组，统筹协调项目建设的推进方式，规范管理程序，解决各方面的困难问题。</w:t>
      </w:r>
      <w:r>
        <w:rPr>
          <w:rFonts w:hint="eastAsia" w:ascii="仿宋" w:hAnsi="仿宋" w:eastAsia="仿宋" w:cs="黑体"/>
          <w:sz w:val="32"/>
          <w:szCs w:val="32"/>
        </w:rPr>
        <w:t>开展全程技术指导和项目督导，确保项目规范建设，确保项目质量和实施进度。</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组  长：阿 云 峰    县供销社主任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副组长：阿    塔    县供销社副主任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成  员：金 祥 琼    县供销办公室主任</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门    理    县供销干部</w:t>
      </w:r>
    </w:p>
    <w:p>
      <w:pPr>
        <w:adjustRightInd w:val="0"/>
        <w:snapToGrid w:val="0"/>
        <w:spacing w:line="580" w:lineRule="exact"/>
        <w:ind w:firstLine="2054" w:firstLineChars="642"/>
        <w:rPr>
          <w:rFonts w:ascii="仿宋_GB2312" w:hAnsi="宋体" w:eastAsia="仿宋_GB2312" w:cs="仿宋_GB2312"/>
          <w:sz w:val="32"/>
          <w:lang w:val="zh-CN"/>
        </w:rPr>
      </w:pPr>
      <w:r>
        <w:rPr>
          <w:rFonts w:hint="eastAsia" w:ascii="仿宋_GB2312" w:hAnsi="宋体" w:eastAsia="仿宋_GB2312" w:cs="仿宋_GB2312"/>
          <w:sz w:val="32"/>
          <w:lang w:val="zh-CN"/>
        </w:rPr>
        <w:t>洪 庭 祥    县供销干部</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w:t>
      </w:r>
      <w:r>
        <w:rPr>
          <w:rFonts w:hint="eastAsia" w:ascii="仿宋_GB2312" w:hAnsi="宋体" w:eastAsia="仿宋_GB2312" w:cs="仿宋_GB2312"/>
          <w:sz w:val="32"/>
        </w:rPr>
        <w:t>严格</w:t>
      </w:r>
      <w:r>
        <w:rPr>
          <w:rFonts w:hint="eastAsia" w:ascii="仿宋_GB2312" w:hAnsi="宋体" w:eastAsia="仿宋_GB2312" w:cs="仿宋_GB2312"/>
          <w:sz w:val="32"/>
          <w:lang w:val="zh-CN"/>
        </w:rPr>
        <w:t>执行相关管理制度，</w:t>
      </w:r>
      <w:r>
        <w:rPr>
          <w:rFonts w:hint="eastAsia" w:ascii="仿宋_GB2312" w:hAnsi="宋体" w:eastAsia="仿宋_GB2312" w:cs="仿宋_GB2312"/>
          <w:sz w:val="32"/>
        </w:rPr>
        <w:t>执行</w:t>
      </w:r>
      <w:r>
        <w:rPr>
          <w:rFonts w:hint="eastAsia" w:ascii="仿宋_GB2312" w:hAnsi="宋体" w:eastAsia="仿宋_GB2312" w:cs="仿宋_GB2312"/>
          <w:sz w:val="32"/>
          <w:lang w:val="zh-CN"/>
        </w:rPr>
        <w:t>招投标、政府采购、项目公示。</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楷体_GB2312" w:hAnsi="宋体" w:eastAsia="楷体_GB2312" w:cs="楷体_GB2312"/>
          <w:b/>
        </w:rPr>
      </w:pPr>
      <w:r>
        <w:rPr>
          <w:rFonts w:hint="eastAsia" w:ascii="仿宋_GB2312" w:hAnsi="宋体" w:eastAsia="仿宋_GB2312" w:cs="仿宋_GB2312"/>
          <w:sz w:val="32"/>
        </w:rPr>
        <w:t>现设备已采购完成，正在进行基础建设挂网招标程序，8月16日开标。预计2019年11月完成项目一期建设。</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ind w:firstLine="640" w:firstLineChars="200"/>
        <w:rPr>
          <w:rFonts w:ascii="仿宋_GB2312" w:eastAsia="仿宋_GB2312"/>
          <w:sz w:val="32"/>
          <w:szCs w:val="32"/>
        </w:rPr>
      </w:pPr>
      <w:r>
        <w:rPr>
          <w:rFonts w:hint="eastAsia" w:ascii="仿宋_GB2312" w:eastAsia="仿宋_GB2312"/>
          <w:sz w:val="32"/>
          <w:szCs w:val="32"/>
        </w:rPr>
        <w:t>经济效益：按照2018年牦牛存栏计算，直接经济效益为480万元，增加牦牛毛产业相关就业岗位700个，增加季节性临时收入140万元，贫困人口人均增收600元。</w:t>
      </w:r>
    </w:p>
    <w:p>
      <w:pPr>
        <w:ind w:firstLine="640" w:firstLineChars="200"/>
        <w:rPr>
          <w:rFonts w:ascii="仿宋_GB2312" w:eastAsia="仿宋_GB2312"/>
          <w:sz w:val="32"/>
          <w:szCs w:val="32"/>
        </w:rPr>
      </w:pPr>
      <w:r>
        <w:rPr>
          <w:rFonts w:hint="eastAsia" w:ascii="仿宋_GB2312" w:eastAsia="仿宋_GB2312"/>
          <w:sz w:val="32"/>
          <w:szCs w:val="32"/>
        </w:rPr>
        <w:t>生态效益：为老百姓打通行的经济来源收入，达到减畜不减收的目的，更好</w:t>
      </w:r>
      <w:r>
        <w:rPr>
          <w:rFonts w:hint="eastAsia" w:ascii="仿宋_GB2312" w:eastAsia="仿宋_GB2312"/>
          <w:sz w:val="32"/>
          <w:szCs w:val="32"/>
          <w:lang w:eastAsia="zh-CN"/>
        </w:rPr>
        <w:t>地</w:t>
      </w:r>
      <w:bookmarkStart w:id="68" w:name="_GoBack"/>
      <w:bookmarkEnd w:id="68"/>
      <w:r>
        <w:rPr>
          <w:rFonts w:hint="eastAsia" w:ascii="仿宋_GB2312" w:eastAsia="仿宋_GB2312"/>
          <w:sz w:val="32"/>
          <w:szCs w:val="32"/>
        </w:rPr>
        <w:t>推广减畜，为人与生态相和谐做出贡献。</w:t>
      </w:r>
    </w:p>
    <w:p>
      <w:pPr>
        <w:widowControl/>
        <w:spacing w:line="580" w:lineRule="exact"/>
        <w:jc w:val="center"/>
        <w:rPr>
          <w:rFonts w:ascii="方正小标宋简体" w:hAnsi="宋体" w:eastAsia="方正小标宋简体" w:cs="方正小标宋简体"/>
          <w:color w:val="000000"/>
          <w:kern w:val="0"/>
          <w:sz w:val="44"/>
          <w:szCs w:val="44"/>
        </w:rPr>
      </w:pPr>
      <w:r>
        <w:rPr>
          <w:rFonts w:hint="eastAsia" w:ascii="方正小标宋简体" w:hAnsi="宋体" w:eastAsia="方正小标宋简体" w:cs="方正小标宋简体"/>
          <w:color w:val="000000"/>
          <w:kern w:val="0"/>
          <w:sz w:val="44"/>
          <w:szCs w:val="44"/>
        </w:rPr>
        <w:t>红原县供销合作社联合社</w:t>
      </w:r>
    </w:p>
    <w:p>
      <w:pPr>
        <w:pStyle w:val="30"/>
        <w:widowControl/>
        <w:spacing w:line="580" w:lineRule="exact"/>
        <w:jc w:val="center"/>
        <w:rPr>
          <w:rFonts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宋体" w:hAnsi="宋体" w:cs="宋体"/>
          <w:sz w:val="32"/>
          <w:szCs w:val="32"/>
        </w:rPr>
      </w:pPr>
      <w:r>
        <w:rPr>
          <w:rFonts w:hint="eastAsia" w:ascii="仿宋_GB2312" w:hAnsi="宋体" w:eastAsia="仿宋_GB2312" w:cs="仿宋_GB2312"/>
          <w:sz w:val="32"/>
        </w:rPr>
        <w:t>（更攀合作社厂房标准化建设）</w:t>
      </w: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介绍项目基本情况，重点说明以下内容：</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项目资金2018年申报，所有程序符合资金管理办法等相关规定。</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项目绩效目标。</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新建倒班房1层，建筑面积649.17m2；奶制品厂房简易改造1503.36m2（包括拆除清理、地面、墙面等）；肉制品厂房简易改造1756.64m2（包括拆除清理、地面、墙面和吊顶等）；新建雕塑1座；联合社场区填方300m3。</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项目总投入资金353万元，2019年实施完成该项目建设内容。2019年7月20日完成图纸设计、地勘等工作，7月31日完成项目造价。8月1日送财评。</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项目资金申报相符性。</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项目建设内容与实际建设相符，所申报目标有可研报告为依托。</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1．</w:t>
      </w:r>
      <w:r>
        <w:rPr>
          <w:rFonts w:hint="eastAsia" w:ascii="楷体_GB2312" w:hAnsi="宋体" w:eastAsia="楷体_GB2312" w:cs="楷体_GB2312"/>
          <w:sz w:val="32"/>
        </w:rPr>
        <w:t>项目投入353万元，所有支付合理合法。</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2．</w:t>
      </w:r>
      <w:r>
        <w:rPr>
          <w:rFonts w:hint="eastAsia" w:ascii="楷体_GB2312" w:hAnsi="宋体" w:eastAsia="楷体_GB2312" w:cs="楷体_GB2312"/>
          <w:sz w:val="32"/>
        </w:rPr>
        <w:t>项目2018年完成可研编制，截止目前为止支付资金3.5万元。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项目财务管理制度建设、机构设置、会计核算及账务处理</w:t>
      </w:r>
      <w:r>
        <w:rPr>
          <w:rFonts w:hint="eastAsia" w:ascii="仿宋_GB2312" w:hAnsi="宋体" w:eastAsia="仿宋_GB2312" w:cs="仿宋_GB2312"/>
          <w:sz w:val="32"/>
        </w:rPr>
        <w:t>符合相关法律法规</w:t>
      </w:r>
      <w:r>
        <w:rPr>
          <w:rFonts w:hint="eastAsia" w:ascii="仿宋_GB2312" w:hAnsi="宋体" w:eastAsia="仿宋_GB2312" w:cs="仿宋_GB2312"/>
          <w:sz w:val="32"/>
          <w:lang w:val="zh-CN"/>
        </w:rPr>
        <w:t>，严格执行财务管理制度、财务处理及时、会计核算规范。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60" w:lineRule="exact"/>
        <w:ind w:firstLine="640"/>
        <w:rPr>
          <w:rFonts w:ascii="仿宋_GB2312" w:hAnsi="宋体" w:eastAsia="仿宋_GB2312" w:cs="仿宋_GB2312"/>
          <w:sz w:val="32"/>
          <w:lang w:val="zh-CN"/>
        </w:rPr>
      </w:pPr>
      <w:r>
        <w:rPr>
          <w:rFonts w:hint="eastAsia" w:ascii="仿宋_GB2312" w:hAnsi="宋体" w:eastAsia="仿宋_GB2312" w:cs="仿宋_GB2312"/>
          <w:sz w:val="32"/>
          <w:lang w:val="zh-CN"/>
        </w:rPr>
        <w:t>成立项目建设领导小组，统筹协调项目建设的推进方式，规范管理程序，解决各方面的困难问题。</w:t>
      </w:r>
      <w:r>
        <w:rPr>
          <w:rFonts w:hint="eastAsia" w:ascii="仿宋" w:hAnsi="仿宋" w:eastAsia="仿宋" w:cs="黑体"/>
          <w:sz w:val="32"/>
          <w:szCs w:val="32"/>
        </w:rPr>
        <w:t>开展全程技术指导和项目督导，确保项目规范建设，确保项目质量和实施进度。</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组  长：阿 云 峰    县供销社主任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副组长：阿    塔    县供销社副主任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成  员：金 祥 琼    县供销办公室主任</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门    理    县供销干部</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洪 庭 祥    县供销干部</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w:t>
      </w:r>
      <w:r>
        <w:rPr>
          <w:rFonts w:hint="eastAsia" w:ascii="仿宋_GB2312" w:hAnsi="宋体" w:eastAsia="仿宋_GB2312" w:cs="仿宋_GB2312"/>
          <w:sz w:val="32"/>
        </w:rPr>
        <w:t>严格</w:t>
      </w:r>
      <w:r>
        <w:rPr>
          <w:rFonts w:hint="eastAsia" w:ascii="仿宋_GB2312" w:hAnsi="宋体" w:eastAsia="仿宋_GB2312" w:cs="仿宋_GB2312"/>
          <w:sz w:val="32"/>
          <w:lang w:val="zh-CN"/>
        </w:rPr>
        <w:t>执行相关管理制度，</w:t>
      </w:r>
      <w:r>
        <w:rPr>
          <w:rFonts w:hint="eastAsia" w:ascii="仿宋_GB2312" w:hAnsi="宋体" w:eastAsia="仿宋_GB2312" w:cs="仿宋_GB2312"/>
          <w:sz w:val="32"/>
        </w:rPr>
        <w:t>执行</w:t>
      </w:r>
      <w:r>
        <w:rPr>
          <w:rFonts w:hint="eastAsia" w:ascii="仿宋_GB2312" w:hAnsi="宋体" w:eastAsia="仿宋_GB2312" w:cs="仿宋_GB2312"/>
          <w:sz w:val="32"/>
          <w:lang w:val="zh-CN"/>
        </w:rPr>
        <w:t>招投标、政府采购、项目公示。</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楷体_GB2312" w:hAnsi="宋体" w:eastAsia="楷体_GB2312" w:cs="楷体_GB2312"/>
          <w:b/>
        </w:rPr>
      </w:pPr>
      <w:r>
        <w:rPr>
          <w:rFonts w:hint="eastAsia" w:ascii="仿宋_GB2312" w:hAnsi="宋体" w:eastAsia="仿宋_GB2312" w:cs="仿宋_GB2312"/>
          <w:sz w:val="32"/>
        </w:rPr>
        <w:t>该项目已建设完成。</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ind w:firstLine="640" w:firstLineChars="200"/>
        <w:rPr>
          <w:rFonts w:ascii="仿宋_GB2312" w:eastAsia="仿宋_GB2312"/>
          <w:sz w:val="32"/>
          <w:szCs w:val="32"/>
        </w:rPr>
      </w:pPr>
      <w:r>
        <w:rPr>
          <w:rFonts w:hint="eastAsia" w:ascii="仿宋_GB2312" w:eastAsia="仿宋_GB2312"/>
          <w:sz w:val="32"/>
          <w:szCs w:val="32"/>
        </w:rPr>
        <w:t>经济效益：项目投产后每年生产乳类产品1000余吨，每年可为全县建档立卡贫困户人均增收190元。农畜产品达到县内可销售，销售价格高的目的，达到人均收入增收600元。</w:t>
      </w:r>
    </w:p>
    <w:p>
      <w:pPr>
        <w:widowControl/>
        <w:spacing w:line="580" w:lineRule="exact"/>
        <w:jc w:val="center"/>
        <w:rPr>
          <w:rFonts w:ascii="方正小标宋简体" w:hAnsi="宋体" w:eastAsia="方正小标宋简体" w:cs="方正小标宋简体"/>
          <w:color w:val="000000"/>
          <w:kern w:val="0"/>
          <w:sz w:val="44"/>
          <w:szCs w:val="44"/>
        </w:rPr>
      </w:pPr>
      <w:r>
        <w:rPr>
          <w:rFonts w:hint="eastAsia" w:ascii="方正小标宋简体" w:hAnsi="宋体" w:eastAsia="方正小标宋简体" w:cs="方正小标宋简体"/>
          <w:color w:val="000000"/>
          <w:kern w:val="0"/>
          <w:sz w:val="44"/>
          <w:szCs w:val="44"/>
        </w:rPr>
        <w:t>红原县供销合作社联合社</w:t>
      </w:r>
    </w:p>
    <w:p>
      <w:pPr>
        <w:pStyle w:val="30"/>
        <w:widowControl/>
        <w:spacing w:line="580" w:lineRule="exact"/>
        <w:jc w:val="center"/>
        <w:rPr>
          <w:rFonts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宋体" w:hAnsi="宋体" w:cs="宋体"/>
          <w:sz w:val="32"/>
          <w:szCs w:val="32"/>
        </w:rPr>
      </w:pPr>
      <w:r>
        <w:rPr>
          <w:rFonts w:hint="eastAsia" w:ascii="仿宋_GB2312" w:hAnsi="宋体" w:eastAsia="仿宋_GB2312" w:cs="仿宋_GB2312"/>
          <w:sz w:val="32"/>
        </w:rPr>
        <w:t>（更攀合作社标准化建设项目）</w:t>
      </w: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介绍项目基本情况，重点说明以下内容：</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项目资金2018年申报，所有程序符合资金管理办法等相关规定。</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项目绩效目标。</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项目建设内容：采购更攀联合社乳制品生产线采购项目缺口资金。</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项目总投入资金450万元，2018年实施完成该项目建设内容。</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项目资金申报相符性。</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项目建设内容与实际建设相符，所申报目标有可研报告为依托。</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1．</w:t>
      </w:r>
      <w:r>
        <w:rPr>
          <w:rFonts w:hint="eastAsia" w:ascii="楷体_GB2312" w:hAnsi="宋体" w:eastAsia="楷体_GB2312" w:cs="楷体_GB2312"/>
          <w:sz w:val="32"/>
        </w:rPr>
        <w:t>项目投入450万元，所有支付合理合法。</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2．</w:t>
      </w:r>
      <w:r>
        <w:rPr>
          <w:rFonts w:hint="eastAsia" w:ascii="楷体_GB2312" w:hAnsi="宋体" w:eastAsia="楷体_GB2312" w:cs="楷体_GB2312"/>
          <w:sz w:val="32"/>
        </w:rPr>
        <w:t>项目2018年完成建设并验收，截止目前为止支付资金450万元。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项目财务管理制度建设、机构设置、会计核算及账务处理</w:t>
      </w:r>
      <w:r>
        <w:rPr>
          <w:rFonts w:hint="eastAsia" w:ascii="仿宋_GB2312" w:hAnsi="宋体" w:eastAsia="仿宋_GB2312" w:cs="仿宋_GB2312"/>
          <w:sz w:val="32"/>
        </w:rPr>
        <w:t>符合相关法律法规</w:t>
      </w:r>
      <w:r>
        <w:rPr>
          <w:rFonts w:hint="eastAsia" w:ascii="仿宋_GB2312" w:hAnsi="宋体" w:eastAsia="仿宋_GB2312" w:cs="仿宋_GB2312"/>
          <w:sz w:val="32"/>
          <w:lang w:val="zh-CN"/>
        </w:rPr>
        <w:t>，严格执行财务管理制度、财务处理及时、会计核算规范。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60" w:lineRule="exact"/>
        <w:ind w:firstLine="640"/>
        <w:rPr>
          <w:rFonts w:ascii="仿宋_GB2312" w:hAnsi="宋体" w:eastAsia="仿宋_GB2312" w:cs="仿宋_GB2312"/>
          <w:sz w:val="32"/>
          <w:lang w:val="zh-CN"/>
        </w:rPr>
      </w:pPr>
      <w:r>
        <w:rPr>
          <w:rFonts w:hint="eastAsia" w:ascii="仿宋_GB2312" w:hAnsi="宋体" w:eastAsia="仿宋_GB2312" w:cs="仿宋_GB2312"/>
          <w:sz w:val="32"/>
          <w:lang w:val="zh-CN"/>
        </w:rPr>
        <w:t>成立项目建设领导小组，统筹协调项目建设的推进方式，规范管理程序，解决各方面的困难问题。</w:t>
      </w:r>
      <w:r>
        <w:rPr>
          <w:rFonts w:hint="eastAsia" w:ascii="仿宋" w:hAnsi="仿宋" w:eastAsia="仿宋" w:cs="黑体"/>
          <w:sz w:val="32"/>
          <w:szCs w:val="32"/>
        </w:rPr>
        <w:t>开展全程技术指导和项目督导，确保项目规范建设，确保项目质量和实施进度。</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组  长：阿 云 峰    县供销社主任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副组长：阿    塔    县供销社副主任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成  员：金 祥 琼    县供销办公室主任</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门    理    县供销干部</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洪 庭 祥    县供销干部</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w:t>
      </w:r>
      <w:r>
        <w:rPr>
          <w:rFonts w:hint="eastAsia" w:ascii="仿宋_GB2312" w:hAnsi="宋体" w:eastAsia="仿宋_GB2312" w:cs="仿宋_GB2312"/>
          <w:sz w:val="32"/>
        </w:rPr>
        <w:t>严格</w:t>
      </w:r>
      <w:r>
        <w:rPr>
          <w:rFonts w:hint="eastAsia" w:ascii="仿宋_GB2312" w:hAnsi="宋体" w:eastAsia="仿宋_GB2312" w:cs="仿宋_GB2312"/>
          <w:sz w:val="32"/>
          <w:lang w:val="zh-CN"/>
        </w:rPr>
        <w:t>执行相关管理制度，</w:t>
      </w:r>
      <w:r>
        <w:rPr>
          <w:rFonts w:hint="eastAsia" w:ascii="仿宋_GB2312" w:hAnsi="宋体" w:eastAsia="仿宋_GB2312" w:cs="仿宋_GB2312"/>
          <w:sz w:val="32"/>
        </w:rPr>
        <w:t>执行</w:t>
      </w:r>
      <w:r>
        <w:rPr>
          <w:rFonts w:hint="eastAsia" w:ascii="仿宋_GB2312" w:hAnsi="宋体" w:eastAsia="仿宋_GB2312" w:cs="仿宋_GB2312"/>
          <w:sz w:val="32"/>
          <w:lang w:val="zh-CN"/>
        </w:rPr>
        <w:t>招投标、政府采购、项目公示。</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楷体_GB2312" w:hAnsi="宋体" w:eastAsia="楷体_GB2312" w:cs="楷体_GB2312"/>
          <w:b/>
        </w:rPr>
      </w:pPr>
      <w:r>
        <w:rPr>
          <w:rFonts w:hint="eastAsia" w:ascii="仿宋_GB2312" w:hAnsi="宋体" w:eastAsia="仿宋_GB2312" w:cs="仿宋_GB2312"/>
          <w:sz w:val="32"/>
        </w:rPr>
        <w:t>该项目已建设完成。</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ind w:firstLine="640" w:firstLineChars="200"/>
        <w:rPr>
          <w:rFonts w:ascii="仿宋_GB2312" w:eastAsia="仿宋_GB2312"/>
          <w:sz w:val="32"/>
          <w:szCs w:val="32"/>
        </w:rPr>
      </w:pPr>
      <w:r>
        <w:rPr>
          <w:rFonts w:hint="eastAsia" w:ascii="仿宋_GB2312" w:eastAsia="仿宋_GB2312"/>
          <w:sz w:val="32"/>
          <w:szCs w:val="32"/>
        </w:rPr>
        <w:t>经济效益：项目投产后每年生产乳类产品1000余吨，每年可为全县建档立卡贫困户人均增收190元。农畜产品达到县内可销售，销售价格高的目的，达到人均收入增收600元。</w:t>
      </w:r>
    </w:p>
    <w:p>
      <w:pPr>
        <w:widowControl/>
        <w:spacing w:line="580" w:lineRule="exact"/>
        <w:jc w:val="center"/>
        <w:rPr>
          <w:rFonts w:ascii="方正小标宋简体" w:hAnsi="宋体" w:eastAsia="方正小标宋简体" w:cs="方正小标宋简体"/>
          <w:color w:val="000000"/>
          <w:kern w:val="0"/>
          <w:sz w:val="44"/>
          <w:szCs w:val="44"/>
        </w:rPr>
      </w:pPr>
      <w:r>
        <w:rPr>
          <w:rFonts w:hint="eastAsia" w:ascii="方正小标宋简体" w:hAnsi="宋体" w:eastAsia="方正小标宋简体" w:cs="方正小标宋简体"/>
          <w:color w:val="000000"/>
          <w:kern w:val="0"/>
          <w:sz w:val="44"/>
          <w:szCs w:val="44"/>
        </w:rPr>
        <w:t>红原县供销合作社联合社</w:t>
      </w:r>
    </w:p>
    <w:p>
      <w:pPr>
        <w:pStyle w:val="30"/>
        <w:widowControl/>
        <w:spacing w:line="580" w:lineRule="exact"/>
        <w:jc w:val="center"/>
        <w:rPr>
          <w:rFonts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仿宋_GB2312" w:hAnsi="宋体" w:eastAsia="仿宋_GB2312" w:cs="仿宋_GB2312"/>
        </w:rPr>
      </w:pPr>
      <w:r>
        <w:rPr>
          <w:rFonts w:hint="eastAsia" w:ascii="仿宋_GB2312" w:hAnsi="宋体" w:eastAsia="仿宋_GB2312" w:cs="仿宋_GB2312"/>
          <w:sz w:val="32"/>
        </w:rPr>
        <w:t>（更攀合作社产业发展项目）</w:t>
      </w:r>
    </w:p>
    <w:p>
      <w:pPr>
        <w:pStyle w:val="30"/>
        <w:widowControl/>
        <w:spacing w:line="580" w:lineRule="exact"/>
        <w:jc w:val="center"/>
        <w:rPr>
          <w:rFonts w:ascii="宋体" w:hAns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介绍项目基本情况，重点说明以下内容：</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项目资金2018年申报，所有程序符合资金管理办法等相关规定。</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项目绩效目标。</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项目建设内容：用于更攀联合社下属公司，云尚日化设备采购建设。</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项目总投入资金360万元，2018年实施完成该项目建设内容。</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项目资金申报相符性。</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项目建设内容与实际建设相符，所申报目标有可研报告为依托。</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1．</w:t>
      </w:r>
      <w:r>
        <w:rPr>
          <w:rFonts w:hint="eastAsia" w:ascii="楷体_GB2312" w:hAnsi="宋体" w:eastAsia="楷体_GB2312" w:cs="楷体_GB2312"/>
          <w:sz w:val="32"/>
        </w:rPr>
        <w:t>项目总投资360万元，所有支付合理合法。</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2．</w:t>
      </w:r>
      <w:r>
        <w:rPr>
          <w:rFonts w:hint="eastAsia" w:ascii="楷体_GB2312" w:hAnsi="宋体" w:eastAsia="楷体_GB2312" w:cs="楷体_GB2312"/>
          <w:sz w:val="32"/>
        </w:rPr>
        <w:t>项目2018年完成建设并验收，截止目前为止支付资金347.4万元，剩余12.6万元为质保金。</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项目财务管理制度建设、机构设置、会计核算及账务处理</w:t>
      </w:r>
      <w:r>
        <w:rPr>
          <w:rFonts w:hint="eastAsia" w:ascii="仿宋_GB2312" w:hAnsi="宋体" w:eastAsia="仿宋_GB2312" w:cs="仿宋_GB2312"/>
          <w:sz w:val="32"/>
        </w:rPr>
        <w:t>符合相关法律法规</w:t>
      </w:r>
      <w:r>
        <w:rPr>
          <w:rFonts w:hint="eastAsia" w:ascii="仿宋_GB2312" w:hAnsi="宋体" w:eastAsia="仿宋_GB2312" w:cs="仿宋_GB2312"/>
          <w:sz w:val="32"/>
          <w:lang w:val="zh-CN"/>
        </w:rPr>
        <w:t>，严格执行财务管理制度、财务处理及时、会计核算规范。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60" w:lineRule="exact"/>
        <w:ind w:firstLine="640"/>
        <w:rPr>
          <w:rFonts w:ascii="仿宋_GB2312" w:hAnsi="宋体" w:eastAsia="仿宋_GB2312" w:cs="仿宋_GB2312"/>
          <w:sz w:val="32"/>
          <w:lang w:val="zh-CN"/>
        </w:rPr>
      </w:pPr>
      <w:r>
        <w:rPr>
          <w:rFonts w:hint="eastAsia" w:ascii="仿宋_GB2312" w:hAnsi="宋体" w:eastAsia="仿宋_GB2312" w:cs="仿宋_GB2312"/>
          <w:sz w:val="32"/>
          <w:lang w:val="zh-CN"/>
        </w:rPr>
        <w:t>成立项目建设领导小组，统筹协调项目建设的推进方式，规范管理程序，解决各方面的困难问题。</w:t>
      </w:r>
      <w:r>
        <w:rPr>
          <w:rFonts w:hint="eastAsia" w:ascii="仿宋" w:hAnsi="仿宋" w:eastAsia="仿宋" w:cs="黑体"/>
          <w:sz w:val="32"/>
          <w:szCs w:val="32"/>
        </w:rPr>
        <w:t>开展全程技术指导和项目督导，确保项目规范建设，确保项目质量和实施进度。</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组  长：阿 云 峰    县供销社主任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副组长：阿    塔    县供销社副主任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成  员：金 祥 琼    县供销办公室主任</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门    理    县供销干部</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洪 庭 祥    县供销干部</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w:t>
      </w:r>
      <w:r>
        <w:rPr>
          <w:rFonts w:hint="eastAsia" w:ascii="仿宋_GB2312" w:hAnsi="宋体" w:eastAsia="仿宋_GB2312" w:cs="仿宋_GB2312"/>
          <w:sz w:val="32"/>
        </w:rPr>
        <w:t>严格</w:t>
      </w:r>
      <w:r>
        <w:rPr>
          <w:rFonts w:hint="eastAsia" w:ascii="仿宋_GB2312" w:hAnsi="宋体" w:eastAsia="仿宋_GB2312" w:cs="仿宋_GB2312"/>
          <w:sz w:val="32"/>
          <w:lang w:val="zh-CN"/>
        </w:rPr>
        <w:t>执行相关管理制度，</w:t>
      </w:r>
      <w:r>
        <w:rPr>
          <w:rFonts w:hint="eastAsia" w:ascii="仿宋_GB2312" w:hAnsi="宋体" w:eastAsia="仿宋_GB2312" w:cs="仿宋_GB2312"/>
          <w:sz w:val="32"/>
        </w:rPr>
        <w:t>执行</w:t>
      </w:r>
      <w:r>
        <w:rPr>
          <w:rFonts w:hint="eastAsia" w:ascii="仿宋_GB2312" w:hAnsi="宋体" w:eastAsia="仿宋_GB2312" w:cs="仿宋_GB2312"/>
          <w:sz w:val="32"/>
          <w:lang w:val="zh-CN"/>
        </w:rPr>
        <w:t>招投标、政府采购、项目公示。</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楷体_GB2312" w:hAnsi="宋体" w:eastAsia="楷体_GB2312" w:cs="楷体_GB2312"/>
          <w:b/>
        </w:rPr>
      </w:pPr>
      <w:r>
        <w:rPr>
          <w:rFonts w:hint="eastAsia" w:ascii="仿宋_GB2312" w:hAnsi="宋体" w:eastAsia="仿宋_GB2312" w:cs="仿宋_GB2312"/>
          <w:sz w:val="32"/>
        </w:rPr>
        <w:t>该项目已建设完成。</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ind w:firstLine="640" w:firstLineChars="200"/>
        <w:rPr>
          <w:rFonts w:ascii="仿宋_GB2312" w:eastAsia="仿宋_GB2312"/>
          <w:sz w:val="32"/>
          <w:szCs w:val="32"/>
        </w:rPr>
      </w:pPr>
      <w:r>
        <w:rPr>
          <w:rFonts w:hint="eastAsia" w:ascii="仿宋_GB2312" w:eastAsia="仿宋_GB2312"/>
          <w:sz w:val="32"/>
          <w:szCs w:val="32"/>
        </w:rPr>
        <w:t>经济效益：使用更攀联合社生产酸奶、黄油、奶渣等农产品所剩原料：乳清、黄油等生产原生态化妆品。预计每年销售金额为800万。</w:t>
      </w:r>
    </w:p>
    <w:p>
      <w:pPr>
        <w:widowControl/>
        <w:spacing w:line="580" w:lineRule="exact"/>
        <w:jc w:val="center"/>
        <w:rPr>
          <w:rFonts w:ascii="方正小标宋简体" w:hAnsi="宋体" w:eastAsia="方正小标宋简体" w:cs="方正小标宋简体"/>
          <w:color w:val="000000"/>
          <w:kern w:val="0"/>
          <w:sz w:val="44"/>
          <w:szCs w:val="44"/>
        </w:rPr>
      </w:pPr>
      <w:r>
        <w:rPr>
          <w:rFonts w:hint="eastAsia" w:ascii="方正小标宋简体" w:hAnsi="宋体" w:eastAsia="方正小标宋简体" w:cs="方正小标宋简体"/>
          <w:color w:val="000000"/>
          <w:kern w:val="0"/>
          <w:sz w:val="44"/>
          <w:szCs w:val="44"/>
        </w:rPr>
        <w:t>红原县供销合作社联合社</w:t>
      </w:r>
    </w:p>
    <w:p>
      <w:pPr>
        <w:pStyle w:val="30"/>
        <w:widowControl/>
        <w:spacing w:line="580" w:lineRule="exact"/>
        <w:jc w:val="center"/>
        <w:rPr>
          <w:rFonts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仿宋_GB2312" w:hAnsi="宋体" w:eastAsia="仿宋_GB2312" w:cs="仿宋_GB2312"/>
        </w:rPr>
      </w:pPr>
      <w:r>
        <w:rPr>
          <w:rFonts w:hint="eastAsia" w:ascii="仿宋_GB2312" w:hAnsi="宋体" w:eastAsia="仿宋_GB2312" w:cs="仿宋_GB2312"/>
          <w:sz w:val="32"/>
        </w:rPr>
        <w:t>（更攀合作社基础设施及设备采购项目）</w:t>
      </w:r>
    </w:p>
    <w:p>
      <w:pPr>
        <w:pStyle w:val="30"/>
        <w:widowControl/>
        <w:spacing w:line="580" w:lineRule="exact"/>
        <w:jc w:val="center"/>
        <w:rPr>
          <w:rFonts w:ascii="宋体" w:hAns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介绍项目基本情况，重点说明以下内容：</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项目资金2018年申报，所以程序符合资金管理办法等相关规定。</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项目绩效目标。</w:t>
      </w:r>
    </w:p>
    <w:p>
      <w:pPr>
        <w:adjustRightInd w:val="0"/>
        <w:snapToGrid w:val="0"/>
        <w:spacing w:line="580" w:lineRule="exact"/>
        <w:ind w:firstLine="640" w:firstLineChars="200"/>
        <w:rPr>
          <w:rFonts w:ascii="仿宋_GB2312" w:hAnsi="宋体" w:eastAsia="仿宋_GB2312" w:cs="仿宋_GB2312"/>
          <w:sz w:val="32"/>
          <w:lang w:val="zh-CN"/>
        </w:rPr>
      </w:pPr>
      <w:r>
        <w:rPr>
          <w:rFonts w:hint="eastAsia" w:ascii="仿宋_GB2312" w:hAnsi="宋体" w:eastAsia="仿宋_GB2312" w:cs="仿宋_GB2312"/>
          <w:sz w:val="32"/>
        </w:rPr>
        <w:t>项目建设内容：</w:t>
      </w:r>
      <w:r>
        <w:rPr>
          <w:rFonts w:hint="eastAsia" w:ascii="仿宋_GB2312" w:hAnsi="宋体" w:eastAsia="仿宋_GB2312" w:cs="仿宋_GB2312"/>
          <w:sz w:val="32"/>
          <w:lang w:val="zh-CN"/>
        </w:rPr>
        <w:t>更攀联合社厂房改造、蒸汽管道、天然气管道、展示展销中心装修、为农服务中心装饰装修、特色农产品销售心中装饰装修</w:t>
      </w:r>
      <w:r>
        <w:rPr>
          <w:rFonts w:hint="eastAsia" w:ascii="仿宋_GB2312" w:hAnsi="宋体" w:eastAsia="仿宋_GB2312" w:cs="仿宋_GB2312"/>
          <w:sz w:val="32"/>
        </w:rPr>
        <w:t>等建设</w:t>
      </w:r>
      <w:r>
        <w:rPr>
          <w:rFonts w:hint="eastAsia" w:ascii="仿宋_GB2312" w:hAnsi="宋体" w:eastAsia="仿宋_GB2312" w:cs="仿宋_GB2312"/>
          <w:sz w:val="32"/>
          <w:lang w:val="zh-CN"/>
        </w:rPr>
        <w:t>。</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项目总投入资金653万元，已经完成蒸汽管道、展示展销中心装饰、厂房改造、天然气管道安装、特色农特产品销售中心建设工作。厂房改造采购需求论证公示。。</w:t>
      </w:r>
    </w:p>
    <w:p>
      <w:pPr>
        <w:numPr>
          <w:ilvl w:val="0"/>
          <w:numId w:val="7"/>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项目资金申报相符性。</w:t>
      </w:r>
    </w:p>
    <w:p>
      <w:pPr>
        <w:adjustRightInd w:val="0"/>
        <w:snapToGrid w:val="0"/>
        <w:spacing w:line="580" w:lineRule="exact"/>
        <w:ind w:firstLine="640" w:firstLineChars="200"/>
        <w:rPr>
          <w:rFonts w:ascii="仿宋_GB2312" w:hAnsi="宋体" w:eastAsia="仿宋_GB2312" w:cs="仿宋_GB2312"/>
          <w:sz w:val="32"/>
        </w:rPr>
      </w:pPr>
      <w:r>
        <w:rPr>
          <w:rFonts w:hint="eastAsia" w:ascii="仿宋_GB2312" w:hAnsi="宋体" w:eastAsia="仿宋_GB2312" w:cs="仿宋_GB2312"/>
          <w:sz w:val="32"/>
        </w:rPr>
        <w:t>项目建设内容与实际建设相符，所申报目标有可研报告为依托。</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1．</w:t>
      </w:r>
      <w:r>
        <w:rPr>
          <w:rFonts w:hint="eastAsia" w:ascii="楷体_GB2312" w:hAnsi="宋体" w:eastAsia="楷体_GB2312" w:cs="楷体_GB2312"/>
          <w:sz w:val="32"/>
        </w:rPr>
        <w:t>项目总投资653万元，所有支付合理合法。</w:t>
      </w:r>
    </w:p>
    <w:p>
      <w:pPr>
        <w:adjustRightInd w:val="0"/>
        <w:snapToGrid w:val="0"/>
        <w:spacing w:line="580" w:lineRule="exact"/>
        <w:ind w:firstLine="720"/>
        <w:rPr>
          <w:rFonts w:ascii="楷体_GB2312" w:hAnsi="宋体" w:eastAsia="楷体_GB2312" w:cs="楷体_GB2312"/>
          <w:sz w:val="32"/>
        </w:rPr>
      </w:pPr>
      <w:r>
        <w:rPr>
          <w:rFonts w:hint="eastAsia" w:ascii="楷体_GB2312" w:hAnsi="宋体" w:eastAsia="楷体_GB2312" w:cs="楷体_GB2312"/>
          <w:sz w:val="32"/>
          <w:lang w:val="zh-CN"/>
        </w:rPr>
        <w:t>2．</w:t>
      </w:r>
      <w:r>
        <w:rPr>
          <w:rFonts w:hint="eastAsia" w:ascii="楷体_GB2312" w:hAnsi="宋体" w:eastAsia="楷体_GB2312" w:cs="楷体_GB2312"/>
          <w:sz w:val="32"/>
        </w:rPr>
        <w:t>项目正在建设。</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项目财务管理制度建设、机构设置、会计核算及账务处理</w:t>
      </w:r>
      <w:r>
        <w:rPr>
          <w:rFonts w:hint="eastAsia" w:ascii="仿宋_GB2312" w:hAnsi="宋体" w:eastAsia="仿宋_GB2312" w:cs="仿宋_GB2312"/>
          <w:sz w:val="32"/>
        </w:rPr>
        <w:t>符合相关法律法规</w:t>
      </w:r>
      <w:r>
        <w:rPr>
          <w:rFonts w:hint="eastAsia" w:ascii="仿宋_GB2312" w:hAnsi="宋体" w:eastAsia="仿宋_GB2312" w:cs="仿宋_GB2312"/>
          <w:sz w:val="32"/>
          <w:lang w:val="zh-CN"/>
        </w:rPr>
        <w:t>，严格执行财务管理制度、财务处理及时、会计核算规范。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60" w:lineRule="exact"/>
        <w:ind w:firstLine="640"/>
        <w:rPr>
          <w:rFonts w:ascii="仿宋_GB2312" w:hAnsi="宋体" w:eastAsia="仿宋_GB2312" w:cs="仿宋_GB2312"/>
          <w:sz w:val="32"/>
          <w:lang w:val="zh-CN"/>
        </w:rPr>
      </w:pPr>
      <w:r>
        <w:rPr>
          <w:rFonts w:hint="eastAsia" w:ascii="仿宋_GB2312" w:hAnsi="宋体" w:eastAsia="仿宋_GB2312" w:cs="仿宋_GB2312"/>
          <w:sz w:val="32"/>
          <w:lang w:val="zh-CN"/>
        </w:rPr>
        <w:t>成立项目建设领导小组，统筹协调项目建设的推进方式，规范管理程序，解决各方面的困难问题。</w:t>
      </w:r>
      <w:r>
        <w:rPr>
          <w:rFonts w:hint="eastAsia" w:ascii="仿宋" w:hAnsi="仿宋" w:eastAsia="仿宋" w:cs="黑体"/>
          <w:sz w:val="32"/>
          <w:szCs w:val="32"/>
        </w:rPr>
        <w:t>开展全程技术指导和项目督导，确保项目规范建设，确保项目质量和实施进度。</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组  长：阿 云 峰    县供销社主任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副组长：阿    塔    县供销社副主任</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成  员：金 祥 琼    县供销办公室主任</w:t>
      </w:r>
    </w:p>
    <w:p>
      <w:pPr>
        <w:adjustRightInd w:val="0"/>
        <w:snapToGrid w:val="0"/>
        <w:spacing w:line="580" w:lineRule="exact"/>
        <w:ind w:firstLine="1920" w:firstLineChars="600"/>
        <w:rPr>
          <w:rFonts w:ascii="仿宋_GB2312" w:hAnsi="宋体" w:eastAsia="仿宋_GB2312" w:cs="仿宋_GB2312"/>
          <w:sz w:val="32"/>
          <w:lang w:val="zh-CN"/>
        </w:rPr>
      </w:pPr>
      <w:r>
        <w:rPr>
          <w:rFonts w:hint="eastAsia" w:ascii="仿宋_GB2312" w:hAnsi="宋体" w:eastAsia="仿宋_GB2312" w:cs="仿宋_GB2312"/>
          <w:sz w:val="32"/>
          <w:lang w:val="zh-CN"/>
        </w:rPr>
        <w:t>门    理    县供销干部</w:t>
      </w:r>
    </w:p>
    <w:p>
      <w:pPr>
        <w:adjustRightInd w:val="0"/>
        <w:snapToGrid w:val="0"/>
        <w:spacing w:line="580" w:lineRule="exact"/>
        <w:ind w:firstLine="2054" w:firstLineChars="642"/>
        <w:rPr>
          <w:rFonts w:ascii="仿宋_GB2312" w:hAnsi="宋体" w:eastAsia="仿宋_GB2312" w:cs="仿宋_GB2312"/>
          <w:sz w:val="32"/>
          <w:lang w:val="zh-CN"/>
        </w:rPr>
      </w:pPr>
      <w:r>
        <w:rPr>
          <w:rFonts w:hint="eastAsia" w:ascii="仿宋_GB2312" w:hAnsi="宋体" w:eastAsia="仿宋_GB2312" w:cs="仿宋_GB2312"/>
          <w:sz w:val="32"/>
          <w:lang w:val="zh-CN"/>
        </w:rPr>
        <w:t>洪 庭 祥    县供销干部</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w:t>
      </w:r>
      <w:r>
        <w:rPr>
          <w:rFonts w:hint="eastAsia" w:ascii="仿宋_GB2312" w:hAnsi="宋体" w:eastAsia="仿宋_GB2312" w:cs="仿宋_GB2312"/>
          <w:sz w:val="32"/>
        </w:rPr>
        <w:t>严格</w:t>
      </w:r>
      <w:r>
        <w:rPr>
          <w:rFonts w:hint="eastAsia" w:ascii="仿宋_GB2312" w:hAnsi="宋体" w:eastAsia="仿宋_GB2312" w:cs="仿宋_GB2312"/>
          <w:sz w:val="32"/>
          <w:lang w:val="zh-CN"/>
        </w:rPr>
        <w:t>执行相关管理制度，</w:t>
      </w:r>
      <w:r>
        <w:rPr>
          <w:rFonts w:hint="eastAsia" w:ascii="仿宋_GB2312" w:hAnsi="宋体" w:eastAsia="仿宋_GB2312" w:cs="仿宋_GB2312"/>
          <w:sz w:val="32"/>
        </w:rPr>
        <w:t>执行</w:t>
      </w:r>
      <w:r>
        <w:rPr>
          <w:rFonts w:hint="eastAsia" w:ascii="仿宋_GB2312" w:hAnsi="宋体" w:eastAsia="仿宋_GB2312" w:cs="仿宋_GB2312"/>
          <w:sz w:val="32"/>
          <w:lang w:val="zh-CN"/>
        </w:rPr>
        <w:t>招投标、政府采购、项目公示。</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640" w:firstLineChars="200"/>
        <w:rPr>
          <w:rFonts w:ascii="楷体_GB2312" w:hAnsi="宋体" w:eastAsia="楷体_GB2312" w:cs="楷体_GB2312"/>
          <w:b/>
        </w:rPr>
      </w:pPr>
      <w:r>
        <w:rPr>
          <w:rFonts w:hint="eastAsia" w:ascii="仿宋_GB2312" w:hAnsi="宋体" w:eastAsia="仿宋_GB2312" w:cs="仿宋_GB2312"/>
          <w:sz w:val="32"/>
        </w:rPr>
        <w:t>已经完成蒸汽管道、展示展销中心装饰、厂房改造、天然气管道安装、特色农特产品销售中心建设工作。厂房改造采购需求论证公示。。</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ind w:firstLine="640" w:firstLineChars="200"/>
        <w:rPr>
          <w:rFonts w:ascii="仿宋_GB2312" w:eastAsia="仿宋_GB2312"/>
          <w:sz w:val="32"/>
          <w:szCs w:val="32"/>
        </w:rPr>
      </w:pPr>
      <w:r>
        <w:rPr>
          <w:rFonts w:hint="eastAsia" w:ascii="仿宋_GB2312" w:eastAsia="仿宋_GB2312"/>
          <w:sz w:val="32"/>
          <w:szCs w:val="32"/>
        </w:rPr>
        <w:t>经济效益：项目投产后每年生产乳类产品1000余吨，每年可为全县建档立卡贫困户人均增收190元。农畜产品达到县内可销售，销售价格高的目的，达到人均收入增收600元。</w:t>
      </w:r>
    </w:p>
    <w:p>
      <w:pPr>
        <w:ind w:firstLine="640" w:firstLineChars="200"/>
        <w:rPr>
          <w:rFonts w:ascii="仿宋_GB2312" w:eastAsia="仿宋_GB2312"/>
          <w:sz w:val="32"/>
          <w:szCs w:val="32"/>
        </w:rPr>
      </w:pPr>
      <w:r>
        <w:rPr>
          <w:rFonts w:hint="eastAsia" w:ascii="仿宋_GB2312" w:eastAsia="仿宋_GB2312"/>
          <w:sz w:val="32"/>
          <w:szCs w:val="32"/>
        </w:rPr>
        <w:t>生态效益：为老百姓打通行的经济来源收入，达到减畜不减收的目的，更好的推广减畜，为人与生态相和谐做出贡献。</w:t>
      </w: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1"/>
      <w:bookmarkEnd w:id="55"/>
    </w:p>
    <w:p>
      <w:pPr>
        <w:spacing w:line="600" w:lineRule="exact"/>
        <w:jc w:val="center"/>
        <w:outlineLvl w:val="0"/>
        <w:rPr>
          <w:rFonts w:ascii="仿宋" w:hAnsi="仿宋" w:eastAsia="仿宋"/>
          <w:b/>
          <w:color w:val="000000"/>
          <w:sz w:val="44"/>
          <w:szCs w:val="44"/>
        </w:rPr>
      </w:pPr>
    </w:p>
    <w:p>
      <w:pPr>
        <w:pStyle w:val="3"/>
        <w:numPr>
          <w:ilvl w:val="0"/>
          <w:numId w:val="8"/>
        </w:numPr>
        <w:rPr>
          <w:rFonts w:ascii="仿宋" w:hAnsi="仿宋" w:eastAsia="仿宋"/>
          <w:b w:val="0"/>
          <w:color w:val="000000"/>
        </w:rPr>
      </w:pPr>
      <w:bookmarkStart w:id="56"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25"/>
          <w:rFonts w:hint="eastAsia" w:ascii="仿宋" w:hAnsi="仿宋" w:eastAsia="仿宋"/>
          <w:b w:val="0"/>
          <w:bCs w:val="0"/>
        </w:rPr>
        <w:t>入总表</w:t>
      </w:r>
      <w:bookmarkEnd w:id="56"/>
    </w:p>
    <w:p>
      <w:pPr>
        <w:pStyle w:val="3"/>
        <w:rPr>
          <w:rFonts w:ascii="仿宋" w:hAnsi="仿宋" w:eastAsia="仿宋"/>
          <w:color w:val="000000"/>
        </w:rPr>
      </w:pPr>
      <w:bookmarkStart w:id="57"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57"/>
    </w:p>
    <w:p>
      <w:pPr>
        <w:pStyle w:val="3"/>
        <w:rPr>
          <w:rFonts w:ascii="仿宋" w:hAnsi="仿宋" w:eastAsia="仿宋"/>
          <w:b w:val="0"/>
          <w:color w:val="000000"/>
        </w:rPr>
      </w:pPr>
      <w:bookmarkStart w:id="58"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58"/>
    </w:p>
    <w:p>
      <w:pPr>
        <w:pStyle w:val="3"/>
        <w:rPr>
          <w:rFonts w:ascii="仿宋" w:hAnsi="仿宋" w:eastAsia="仿宋"/>
          <w:color w:val="000000"/>
        </w:rPr>
      </w:pPr>
      <w:bookmarkStart w:id="59"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59"/>
    </w:p>
    <w:p>
      <w:pPr>
        <w:pStyle w:val="3"/>
        <w:rPr>
          <w:rFonts w:ascii="仿宋" w:hAnsi="仿宋" w:eastAsia="仿宋"/>
          <w:color w:val="000000"/>
        </w:rPr>
      </w:pPr>
      <w:bookmarkStart w:id="60"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0"/>
    </w:p>
    <w:p>
      <w:pPr>
        <w:pStyle w:val="3"/>
        <w:rPr>
          <w:rFonts w:ascii="仿宋" w:hAnsi="仿宋" w:eastAsia="仿宋"/>
          <w:color w:val="000000"/>
        </w:rPr>
      </w:pPr>
      <w:bookmarkStart w:id="61"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1"/>
    </w:p>
    <w:p>
      <w:pPr>
        <w:pStyle w:val="3"/>
        <w:rPr>
          <w:rFonts w:ascii="仿宋" w:hAnsi="仿宋" w:eastAsia="仿宋"/>
          <w:color w:val="000000"/>
        </w:rPr>
      </w:pPr>
      <w:bookmarkStart w:id="62"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2"/>
    </w:p>
    <w:p>
      <w:pPr>
        <w:pStyle w:val="3"/>
        <w:rPr>
          <w:rFonts w:ascii="仿宋" w:hAnsi="仿宋" w:eastAsia="仿宋"/>
          <w:color w:val="000000"/>
        </w:rPr>
      </w:pPr>
      <w:bookmarkStart w:id="63"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3"/>
    </w:p>
    <w:p>
      <w:pPr>
        <w:pStyle w:val="3"/>
        <w:rPr>
          <w:rFonts w:ascii="仿宋" w:hAnsi="仿宋" w:eastAsia="仿宋"/>
          <w:color w:val="000000"/>
        </w:rPr>
      </w:pPr>
      <w:bookmarkStart w:id="64"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4"/>
    </w:p>
    <w:p>
      <w:pPr>
        <w:pStyle w:val="3"/>
        <w:rPr>
          <w:rFonts w:ascii="仿宋" w:hAnsi="仿宋" w:eastAsia="仿宋"/>
          <w:color w:val="000000"/>
        </w:rPr>
      </w:pPr>
      <w:bookmarkStart w:id="65"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5"/>
    </w:p>
    <w:p>
      <w:pPr>
        <w:pStyle w:val="3"/>
        <w:rPr>
          <w:rFonts w:ascii="仿宋" w:hAnsi="仿宋" w:eastAsia="仿宋"/>
          <w:color w:val="000000"/>
        </w:rPr>
      </w:pPr>
      <w:bookmarkStart w:id="66"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6"/>
    </w:p>
    <w:p>
      <w:pPr>
        <w:pStyle w:val="3"/>
        <w:rPr>
          <w:rStyle w:val="25"/>
          <w:rFonts w:hint="eastAsia" w:ascii="仿宋" w:hAnsi="仿宋" w:eastAsia="仿宋"/>
          <w:b w:val="0"/>
          <w:bCs w:val="0"/>
        </w:rPr>
      </w:pPr>
      <w:bookmarkStart w:id="67"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67"/>
    </w:p>
    <w:p>
      <w:pPr>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十四、整体支出绩效评价打分表</w:t>
      </w:r>
    </w:p>
    <w:p>
      <w:pPr>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十五、项目支出绩效评价打分表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37</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88429CA"/>
    <w:multiLevelType w:val="singleLevel"/>
    <w:tmpl w:val="C88429CA"/>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5D5382B5"/>
    <w:multiLevelType w:val="singleLevel"/>
    <w:tmpl w:val="5D5382B5"/>
    <w:lvl w:ilvl="0" w:tentative="0">
      <w:start w:val="1"/>
      <w:numFmt w:val="chineseCounting"/>
      <w:suff w:val="nothing"/>
      <w:lvlText w:val="%1、"/>
      <w:lvlJc w:val="left"/>
    </w:lvl>
  </w:abstractNum>
  <w:num w:numId="1">
    <w:abstractNumId w:val="5"/>
  </w:num>
  <w:num w:numId="2">
    <w:abstractNumId w:val="2"/>
  </w:num>
  <w:num w:numId="3">
    <w:abstractNumId w:val="6"/>
  </w:num>
  <w:num w:numId="4">
    <w:abstractNumId w:val="4"/>
  </w:num>
  <w:num w:numId="5">
    <w:abstractNumId w:val="0"/>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6487A"/>
    <w:rsid w:val="00065F8F"/>
    <w:rsid w:val="000665CA"/>
    <w:rsid w:val="000768F2"/>
    <w:rsid w:val="00077CDA"/>
    <w:rsid w:val="00087FF3"/>
    <w:rsid w:val="0009184B"/>
    <w:rsid w:val="0009593C"/>
    <w:rsid w:val="000A0D81"/>
    <w:rsid w:val="000B047F"/>
    <w:rsid w:val="000B5923"/>
    <w:rsid w:val="000B5A48"/>
    <w:rsid w:val="000B6FF3"/>
    <w:rsid w:val="000B7402"/>
    <w:rsid w:val="000C3467"/>
    <w:rsid w:val="000C3CA6"/>
    <w:rsid w:val="000D1267"/>
    <w:rsid w:val="000D1D50"/>
    <w:rsid w:val="000D5782"/>
    <w:rsid w:val="000E6613"/>
    <w:rsid w:val="000E6A51"/>
    <w:rsid w:val="000E6AF1"/>
    <w:rsid w:val="000E7119"/>
    <w:rsid w:val="00114E9B"/>
    <w:rsid w:val="001239A9"/>
    <w:rsid w:val="0014729F"/>
    <w:rsid w:val="00157BAB"/>
    <w:rsid w:val="001654D1"/>
    <w:rsid w:val="00174201"/>
    <w:rsid w:val="0018106D"/>
    <w:rsid w:val="001877A7"/>
    <w:rsid w:val="00191536"/>
    <w:rsid w:val="00196687"/>
    <w:rsid w:val="001C0962"/>
    <w:rsid w:val="001C4EA2"/>
    <w:rsid w:val="001D7531"/>
    <w:rsid w:val="001E5EBE"/>
    <w:rsid w:val="001E737D"/>
    <w:rsid w:val="001F0592"/>
    <w:rsid w:val="001F7506"/>
    <w:rsid w:val="002006CD"/>
    <w:rsid w:val="00202B36"/>
    <w:rsid w:val="00204B7A"/>
    <w:rsid w:val="0021101A"/>
    <w:rsid w:val="00211FD1"/>
    <w:rsid w:val="00220536"/>
    <w:rsid w:val="00235629"/>
    <w:rsid w:val="00251860"/>
    <w:rsid w:val="0025535C"/>
    <w:rsid w:val="00256E4B"/>
    <w:rsid w:val="00260C38"/>
    <w:rsid w:val="002616C0"/>
    <w:rsid w:val="002662AA"/>
    <w:rsid w:val="00267039"/>
    <w:rsid w:val="00280496"/>
    <w:rsid w:val="002806CA"/>
    <w:rsid w:val="00294613"/>
    <w:rsid w:val="00295495"/>
    <w:rsid w:val="002A65D5"/>
    <w:rsid w:val="002B0672"/>
    <w:rsid w:val="002B2613"/>
    <w:rsid w:val="002F1818"/>
    <w:rsid w:val="002F567B"/>
    <w:rsid w:val="003216A9"/>
    <w:rsid w:val="003442BC"/>
    <w:rsid w:val="00352E5C"/>
    <w:rsid w:val="00352FE4"/>
    <w:rsid w:val="0037013F"/>
    <w:rsid w:val="00380C92"/>
    <w:rsid w:val="00384634"/>
    <w:rsid w:val="003A3BFB"/>
    <w:rsid w:val="003A484F"/>
    <w:rsid w:val="003B0BE0"/>
    <w:rsid w:val="003B0C1B"/>
    <w:rsid w:val="003B688C"/>
    <w:rsid w:val="003C0291"/>
    <w:rsid w:val="003C39AE"/>
    <w:rsid w:val="003C7B60"/>
    <w:rsid w:val="003D1FB2"/>
    <w:rsid w:val="003D66DA"/>
    <w:rsid w:val="003D6C42"/>
    <w:rsid w:val="003E1310"/>
    <w:rsid w:val="003E6F55"/>
    <w:rsid w:val="00400D1D"/>
    <w:rsid w:val="00406254"/>
    <w:rsid w:val="004223DE"/>
    <w:rsid w:val="00434489"/>
    <w:rsid w:val="00437085"/>
    <w:rsid w:val="00443880"/>
    <w:rsid w:val="004464F4"/>
    <w:rsid w:val="00464A6A"/>
    <w:rsid w:val="00466C2D"/>
    <w:rsid w:val="00471401"/>
    <w:rsid w:val="00473F31"/>
    <w:rsid w:val="0048263A"/>
    <w:rsid w:val="00487E5D"/>
    <w:rsid w:val="004A711F"/>
    <w:rsid w:val="004B199D"/>
    <w:rsid w:val="004B4690"/>
    <w:rsid w:val="004B6DF4"/>
    <w:rsid w:val="004E0A2D"/>
    <w:rsid w:val="004E206B"/>
    <w:rsid w:val="004E6DF7"/>
    <w:rsid w:val="004F0FBD"/>
    <w:rsid w:val="00504080"/>
    <w:rsid w:val="005052B3"/>
    <w:rsid w:val="00505A47"/>
    <w:rsid w:val="0050749C"/>
    <w:rsid w:val="00512FDA"/>
    <w:rsid w:val="00516B1B"/>
    <w:rsid w:val="00520DA0"/>
    <w:rsid w:val="00532879"/>
    <w:rsid w:val="00553C68"/>
    <w:rsid w:val="005664BB"/>
    <w:rsid w:val="0057481D"/>
    <w:rsid w:val="0058428B"/>
    <w:rsid w:val="0058486E"/>
    <w:rsid w:val="005D1C8B"/>
    <w:rsid w:val="005D5CED"/>
    <w:rsid w:val="005F1A4C"/>
    <w:rsid w:val="00604952"/>
    <w:rsid w:val="00605688"/>
    <w:rsid w:val="006070AF"/>
    <w:rsid w:val="00607E6C"/>
    <w:rsid w:val="006101B1"/>
    <w:rsid w:val="00614E44"/>
    <w:rsid w:val="00622830"/>
    <w:rsid w:val="00630AEF"/>
    <w:rsid w:val="006325F8"/>
    <w:rsid w:val="00634C9A"/>
    <w:rsid w:val="0064075E"/>
    <w:rsid w:val="006440E4"/>
    <w:rsid w:val="006448A3"/>
    <w:rsid w:val="0066343B"/>
    <w:rsid w:val="00664777"/>
    <w:rsid w:val="00667295"/>
    <w:rsid w:val="006748A4"/>
    <w:rsid w:val="00683E73"/>
    <w:rsid w:val="006A3141"/>
    <w:rsid w:val="006A40FD"/>
    <w:rsid w:val="006A5E34"/>
    <w:rsid w:val="006B2422"/>
    <w:rsid w:val="006B2B9A"/>
    <w:rsid w:val="006C1937"/>
    <w:rsid w:val="006F020C"/>
    <w:rsid w:val="006F75F7"/>
    <w:rsid w:val="007127B7"/>
    <w:rsid w:val="007416B6"/>
    <w:rsid w:val="00746F48"/>
    <w:rsid w:val="0075404D"/>
    <w:rsid w:val="0076182A"/>
    <w:rsid w:val="00767B7E"/>
    <w:rsid w:val="00776E79"/>
    <w:rsid w:val="007770C3"/>
    <w:rsid w:val="00784D24"/>
    <w:rsid w:val="00785FBA"/>
    <w:rsid w:val="00786E4A"/>
    <w:rsid w:val="007875EB"/>
    <w:rsid w:val="0079426B"/>
    <w:rsid w:val="00796746"/>
    <w:rsid w:val="007D312A"/>
    <w:rsid w:val="007D3F19"/>
    <w:rsid w:val="007E17A2"/>
    <w:rsid w:val="007E23B0"/>
    <w:rsid w:val="007F1991"/>
    <w:rsid w:val="007F2C2F"/>
    <w:rsid w:val="007F55FC"/>
    <w:rsid w:val="007F5665"/>
    <w:rsid w:val="00800112"/>
    <w:rsid w:val="008253BB"/>
    <w:rsid w:val="0083706E"/>
    <w:rsid w:val="008423A5"/>
    <w:rsid w:val="00850625"/>
    <w:rsid w:val="00853718"/>
    <w:rsid w:val="008540F1"/>
    <w:rsid w:val="00855221"/>
    <w:rsid w:val="00860645"/>
    <w:rsid w:val="008642A7"/>
    <w:rsid w:val="00871F71"/>
    <w:rsid w:val="00885AF4"/>
    <w:rsid w:val="00887CC1"/>
    <w:rsid w:val="008939CD"/>
    <w:rsid w:val="008A22B1"/>
    <w:rsid w:val="008A66E0"/>
    <w:rsid w:val="008B768C"/>
    <w:rsid w:val="008C4DB1"/>
    <w:rsid w:val="008C4EAF"/>
    <w:rsid w:val="008C5176"/>
    <w:rsid w:val="008C7FD0"/>
    <w:rsid w:val="008E1DE7"/>
    <w:rsid w:val="008E707C"/>
    <w:rsid w:val="00900B08"/>
    <w:rsid w:val="0090137E"/>
    <w:rsid w:val="00902155"/>
    <w:rsid w:val="00902FA3"/>
    <w:rsid w:val="009104B4"/>
    <w:rsid w:val="00923564"/>
    <w:rsid w:val="0092392E"/>
    <w:rsid w:val="009315F9"/>
    <w:rsid w:val="00946945"/>
    <w:rsid w:val="00951248"/>
    <w:rsid w:val="0095152F"/>
    <w:rsid w:val="00954C49"/>
    <w:rsid w:val="0097099F"/>
    <w:rsid w:val="00971997"/>
    <w:rsid w:val="00971FFC"/>
    <w:rsid w:val="00975B97"/>
    <w:rsid w:val="0098660A"/>
    <w:rsid w:val="009931C3"/>
    <w:rsid w:val="009B2C43"/>
    <w:rsid w:val="009B4EAE"/>
    <w:rsid w:val="009B7573"/>
    <w:rsid w:val="009C22F4"/>
    <w:rsid w:val="009C2E98"/>
    <w:rsid w:val="009D3447"/>
    <w:rsid w:val="009D3AC2"/>
    <w:rsid w:val="009D4711"/>
    <w:rsid w:val="009D4772"/>
    <w:rsid w:val="009E1DDA"/>
    <w:rsid w:val="009F1185"/>
    <w:rsid w:val="009F18CD"/>
    <w:rsid w:val="009F2A13"/>
    <w:rsid w:val="00A04EB0"/>
    <w:rsid w:val="00A0598E"/>
    <w:rsid w:val="00A13CC1"/>
    <w:rsid w:val="00A16847"/>
    <w:rsid w:val="00A237D8"/>
    <w:rsid w:val="00A268C4"/>
    <w:rsid w:val="00A307CD"/>
    <w:rsid w:val="00A40A00"/>
    <w:rsid w:val="00A4142F"/>
    <w:rsid w:val="00A526D5"/>
    <w:rsid w:val="00A55BF8"/>
    <w:rsid w:val="00A56DF2"/>
    <w:rsid w:val="00A61641"/>
    <w:rsid w:val="00A67AB5"/>
    <w:rsid w:val="00A84CF3"/>
    <w:rsid w:val="00A91760"/>
    <w:rsid w:val="00A93B00"/>
    <w:rsid w:val="00A93C21"/>
    <w:rsid w:val="00AC3C6A"/>
    <w:rsid w:val="00AD5620"/>
    <w:rsid w:val="00AD7C1B"/>
    <w:rsid w:val="00AE16BA"/>
    <w:rsid w:val="00AE1EBE"/>
    <w:rsid w:val="00AF0DB6"/>
    <w:rsid w:val="00AF5590"/>
    <w:rsid w:val="00B03C9D"/>
    <w:rsid w:val="00B03F93"/>
    <w:rsid w:val="00B052F9"/>
    <w:rsid w:val="00B060AE"/>
    <w:rsid w:val="00B10517"/>
    <w:rsid w:val="00B14E76"/>
    <w:rsid w:val="00B161B8"/>
    <w:rsid w:val="00B2048C"/>
    <w:rsid w:val="00B244BA"/>
    <w:rsid w:val="00B310B9"/>
    <w:rsid w:val="00B35F3F"/>
    <w:rsid w:val="00B36CBB"/>
    <w:rsid w:val="00B4229B"/>
    <w:rsid w:val="00B425E0"/>
    <w:rsid w:val="00B440AA"/>
    <w:rsid w:val="00B44B70"/>
    <w:rsid w:val="00B53C56"/>
    <w:rsid w:val="00B77EA6"/>
    <w:rsid w:val="00B81598"/>
    <w:rsid w:val="00B841F1"/>
    <w:rsid w:val="00B8459C"/>
    <w:rsid w:val="00B944D6"/>
    <w:rsid w:val="00BA0054"/>
    <w:rsid w:val="00BB4DF0"/>
    <w:rsid w:val="00BC289F"/>
    <w:rsid w:val="00BC5361"/>
    <w:rsid w:val="00BC5460"/>
    <w:rsid w:val="00BC6B50"/>
    <w:rsid w:val="00BD0E25"/>
    <w:rsid w:val="00BE57C4"/>
    <w:rsid w:val="00BF5BD6"/>
    <w:rsid w:val="00C01878"/>
    <w:rsid w:val="00C03E31"/>
    <w:rsid w:val="00C252CD"/>
    <w:rsid w:val="00C33E72"/>
    <w:rsid w:val="00C354B2"/>
    <w:rsid w:val="00C35554"/>
    <w:rsid w:val="00C42709"/>
    <w:rsid w:val="00C4724A"/>
    <w:rsid w:val="00C533CC"/>
    <w:rsid w:val="00C5751C"/>
    <w:rsid w:val="00C61BFC"/>
    <w:rsid w:val="00C62B85"/>
    <w:rsid w:val="00C65438"/>
    <w:rsid w:val="00C91CBB"/>
    <w:rsid w:val="00CC09B6"/>
    <w:rsid w:val="00CC4365"/>
    <w:rsid w:val="00CC666F"/>
    <w:rsid w:val="00CD1E3F"/>
    <w:rsid w:val="00CD6428"/>
    <w:rsid w:val="00CE44F6"/>
    <w:rsid w:val="00CE49DA"/>
    <w:rsid w:val="00CE7B61"/>
    <w:rsid w:val="00D00095"/>
    <w:rsid w:val="00D20620"/>
    <w:rsid w:val="00D26091"/>
    <w:rsid w:val="00D34E7C"/>
    <w:rsid w:val="00D35489"/>
    <w:rsid w:val="00D468C6"/>
    <w:rsid w:val="00D51276"/>
    <w:rsid w:val="00D63554"/>
    <w:rsid w:val="00D66D26"/>
    <w:rsid w:val="00D7035F"/>
    <w:rsid w:val="00D80D87"/>
    <w:rsid w:val="00DA65AC"/>
    <w:rsid w:val="00DB1913"/>
    <w:rsid w:val="00DC3B01"/>
    <w:rsid w:val="00DC410D"/>
    <w:rsid w:val="00DC68CA"/>
    <w:rsid w:val="00DC7CBA"/>
    <w:rsid w:val="00DD73B7"/>
    <w:rsid w:val="00DF28BC"/>
    <w:rsid w:val="00DF34B9"/>
    <w:rsid w:val="00E01053"/>
    <w:rsid w:val="00E07ACF"/>
    <w:rsid w:val="00E331A1"/>
    <w:rsid w:val="00E33202"/>
    <w:rsid w:val="00E336A9"/>
    <w:rsid w:val="00E403BB"/>
    <w:rsid w:val="00E50624"/>
    <w:rsid w:val="00E568DF"/>
    <w:rsid w:val="00E64269"/>
    <w:rsid w:val="00E80130"/>
    <w:rsid w:val="00E82267"/>
    <w:rsid w:val="00EA010F"/>
    <w:rsid w:val="00EB3C97"/>
    <w:rsid w:val="00ED1B63"/>
    <w:rsid w:val="00ED3C1F"/>
    <w:rsid w:val="00ED4085"/>
    <w:rsid w:val="00ED420E"/>
    <w:rsid w:val="00EE2F57"/>
    <w:rsid w:val="00EF4C34"/>
    <w:rsid w:val="00EF77C6"/>
    <w:rsid w:val="00F05438"/>
    <w:rsid w:val="00F1361C"/>
    <w:rsid w:val="00F160C7"/>
    <w:rsid w:val="00F36D8F"/>
    <w:rsid w:val="00F4129A"/>
    <w:rsid w:val="00F417B1"/>
    <w:rsid w:val="00F502AF"/>
    <w:rsid w:val="00F602DF"/>
    <w:rsid w:val="00F714AF"/>
    <w:rsid w:val="00F81FD9"/>
    <w:rsid w:val="00F841AA"/>
    <w:rsid w:val="00FA23E8"/>
    <w:rsid w:val="00FC2E85"/>
    <w:rsid w:val="00FD3CC1"/>
    <w:rsid w:val="00FF1E02"/>
    <w:rsid w:val="00FF30B4"/>
    <w:rsid w:val="03D77767"/>
    <w:rsid w:val="047D654F"/>
    <w:rsid w:val="09783EAA"/>
    <w:rsid w:val="0B2B46C7"/>
    <w:rsid w:val="0BBF0531"/>
    <w:rsid w:val="0D2E46E4"/>
    <w:rsid w:val="0ED62A80"/>
    <w:rsid w:val="10C055FF"/>
    <w:rsid w:val="10F529AD"/>
    <w:rsid w:val="128C0123"/>
    <w:rsid w:val="13974BA2"/>
    <w:rsid w:val="15473FC9"/>
    <w:rsid w:val="16BB723D"/>
    <w:rsid w:val="18F04B48"/>
    <w:rsid w:val="1F4770E1"/>
    <w:rsid w:val="20897161"/>
    <w:rsid w:val="240371BF"/>
    <w:rsid w:val="25B46BBD"/>
    <w:rsid w:val="29FD04D3"/>
    <w:rsid w:val="319F7F4E"/>
    <w:rsid w:val="366165E2"/>
    <w:rsid w:val="3813706C"/>
    <w:rsid w:val="3ABF06FE"/>
    <w:rsid w:val="3AE02DB6"/>
    <w:rsid w:val="3EB079F2"/>
    <w:rsid w:val="3FCE2CD5"/>
    <w:rsid w:val="453E098F"/>
    <w:rsid w:val="459D23EF"/>
    <w:rsid w:val="4800269C"/>
    <w:rsid w:val="4BAC074C"/>
    <w:rsid w:val="4DE4339D"/>
    <w:rsid w:val="524B64EE"/>
    <w:rsid w:val="5495186E"/>
    <w:rsid w:val="5F536B5F"/>
    <w:rsid w:val="5FAC181B"/>
    <w:rsid w:val="62BE3291"/>
    <w:rsid w:val="63D40484"/>
    <w:rsid w:val="6A471BD7"/>
    <w:rsid w:val="6AF241A0"/>
    <w:rsid w:val="6B7F3207"/>
    <w:rsid w:val="70D35E58"/>
    <w:rsid w:val="75282356"/>
    <w:rsid w:val="7DB146BC"/>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列出段落1"/>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0"/>
    <w:basedOn w:val="1"/>
    <w:qFormat/>
    <w:uiPriority w:val="0"/>
    <w:pPr>
      <w:widowControl/>
      <w:spacing w:line="365" w:lineRule="atLeast"/>
      <w:ind w:left="1"/>
      <w:textAlignment w:val="bottom"/>
    </w:pPr>
    <w:rPr>
      <w:rFonts w:hint="eastAsia"/>
      <w:sz w:val="20"/>
    </w:rPr>
  </w:style>
  <w:style w:type="paragraph" w:customStyle="1" w:styleId="30">
    <w:name w:val="四号正文"/>
    <w:basedOn w:val="1"/>
    <w:qFormat/>
    <w:uiPriority w:val="0"/>
    <w:pPr>
      <w:spacing w:line="360" w:lineRule="auto"/>
    </w:pPr>
    <w:rPr>
      <w:rFonts w:ascii="??" w:hAnsi="??"/>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93525179856"/>
          <c:y val="0.0879120879120879"/>
          <c:w val="0.611510791366906"/>
          <c:h val="0.736263736263737"/>
        </c:manualLayout>
      </c:layout>
      <c:barChart>
        <c:barDir val="col"/>
        <c:grouping val="clustered"/>
        <c:varyColors val="0"/>
        <c:ser>
          <c:idx val="0"/>
          <c:order val="0"/>
          <c:tx>
            <c:strRef>
              <c:f>Sheet1!$A$2</c:f>
              <c:strCache>
                <c:ptCount val="1"/>
                <c:pt idx="0">
                  <c:v>2018年</c:v>
                </c:pt>
              </c:strCache>
            </c:strRef>
          </c:tx>
          <c:spPr>
            <a:solidFill>
              <a:srgbClr val="9999FF"/>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Sheet1!$B$2:$E$2</c:f>
              <c:numCache>
                <c:formatCode>General</c:formatCode>
                <c:ptCount val="4"/>
                <c:pt idx="0">
                  <c:v>2062.25</c:v>
                </c:pt>
                <c:pt idx="1">
                  <c:v>1723.21</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Sheet1!$B$3:$E$3</c:f>
              <c:numCache>
                <c:formatCode>General</c:formatCode>
                <c:ptCount val="4"/>
                <c:pt idx="0">
                  <c:v>1226.36</c:v>
                </c:pt>
                <c:pt idx="1">
                  <c:v>861.41</c:v>
                </c:pt>
              </c:numCache>
            </c:numRef>
          </c:val>
        </c:ser>
        <c:ser>
          <c:idx val="2"/>
          <c:order val="2"/>
          <c:tx>
            <c:strRef>
              <c:f>Sheet1!$A$4</c:f>
              <c:strCache>
                <c:ptCount val="1"/>
                <c:pt idx="0">
                  <c:v/>
                </c:pt>
              </c:strCache>
            </c:strRef>
          </c:tx>
          <c:spPr>
            <a:solidFill>
              <a:srgbClr val="FFFFCC"/>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axId val="132388352"/>
        <c:axId val="150936576"/>
      </c:barChart>
      <c:catAx>
        <c:axId val="132388352"/>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0936576"/>
        <c:crosses val="autoZero"/>
        <c:auto val="1"/>
        <c:lblAlgn val="ctr"/>
        <c:lblOffset val="100"/>
        <c:tickLblSkip val="1"/>
        <c:noMultiLvlLbl val="0"/>
      </c:catAx>
      <c:valAx>
        <c:axId val="150936576"/>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32388352"/>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357142857142858"/>
          <c:w val="0.201438848920863"/>
          <c:h val="0.285714285714286"/>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7"/>
        </c:manualLayout>
      </c:layout>
      <c:pieChart>
        <c:varyColors val="1"/>
        <c:ser>
          <c:idx val="0"/>
          <c:order val="0"/>
          <c:tx>
            <c:strRef>
              <c:f>Sheet1!$A$2</c:f>
              <c:strCache>
                <c:ptCount val="1"/>
                <c:pt idx="0">
                  <c:v>2018年收入</c:v>
                </c:pt>
              </c:strCache>
            </c:strRef>
          </c:tx>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1"/>
                <c:pt idx="0">
                  <c:v>一般公共预算财政拨款收入</c:v>
                </c:pt>
              </c:strCache>
            </c:strRef>
          </c:cat>
          <c:val>
            <c:numRef>
              <c:f>Sheet1!$B$2:$E$2</c:f>
              <c:numCache>
                <c:formatCode>General</c:formatCode>
                <c:ptCount val="4"/>
                <c:pt idx="0">
                  <c:v>2062.25</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1"/>
                <c:pt idx="0">
                  <c:v>一般公共预算财政拨款收入</c:v>
                </c:pt>
              </c:strCache>
            </c:strRef>
          </c:cat>
          <c:val>
            <c:numRef>
              <c:f>Sheet1!$B$3:$E$3</c:f>
              <c:numCache>
                <c:formatCode>General</c:formatCode>
                <c:ptCount val="4"/>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1"/>
                <c:pt idx="0">
                  <c:v>一般公共预算财政拨款收入</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654676258992806"/>
          <c:y val="0.153846153846154"/>
          <c:w val="0.330935251798561"/>
          <c:h val="0.686813186813187"/>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107913669065"/>
          <c:y val="0.115384615384615"/>
          <c:w val="0.510791366906475"/>
          <c:h val="0.78021978021978"/>
        </c:manualLayout>
      </c:layout>
      <c:pieChart>
        <c:varyColors val="1"/>
        <c:ser>
          <c:idx val="0"/>
          <c:order val="0"/>
          <c:tx>
            <c:strRef>
              <c:f>Sheet1!$A$2</c:f>
              <c:strCache>
                <c:ptCount val="1"/>
                <c:pt idx="0">
                  <c:v>2018年支出</c:v>
                </c:pt>
              </c:strCache>
            </c:strRef>
          </c:tx>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2"/>
                <c:pt idx="0">
                  <c:v>基本支出</c:v>
                </c:pt>
                <c:pt idx="1">
                  <c:v>项目支出</c:v>
                </c:pt>
              </c:strCache>
            </c:strRef>
          </c:cat>
          <c:val>
            <c:numRef>
              <c:f>Sheet1!$B$2:$E$2</c:f>
              <c:numCache>
                <c:formatCode>General</c:formatCode>
                <c:ptCount val="4"/>
                <c:pt idx="0">
                  <c:v>138.25</c:v>
                </c:pt>
                <c:pt idx="1">
                  <c:v>1584.95</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2"/>
                <c:pt idx="0">
                  <c:v>基本支出</c:v>
                </c:pt>
                <c:pt idx="1">
                  <c:v>项目支出</c:v>
                </c:pt>
              </c:strCache>
            </c:strRef>
          </c:cat>
          <c:val>
            <c:numRef>
              <c:f>Sheet1!$B$3:$E$3</c:f>
              <c:numCache>
                <c:formatCode>General</c:formatCode>
                <c:ptCount val="4"/>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2"/>
                <c:pt idx="0">
                  <c:v>基本支出</c:v>
                </c:pt>
                <c:pt idx="1">
                  <c:v>项目支出</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741007194244605"/>
          <c:y val="0.313186813186814"/>
          <c:w val="0.244604316546763"/>
          <c:h val="0.37912087912088"/>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93525179856"/>
          <c:y val="0.0879120879120879"/>
          <c:w val="0.611510791366906"/>
          <c:h val="0.736263736263737"/>
        </c:manualLayout>
      </c:layout>
      <c:barChart>
        <c:barDir val="col"/>
        <c:grouping val="clustered"/>
        <c:varyColors val="0"/>
        <c:ser>
          <c:idx val="0"/>
          <c:order val="0"/>
          <c:tx>
            <c:strRef>
              <c:f>Sheet1!$A$2</c:f>
              <c:strCache>
                <c:ptCount val="1"/>
                <c:pt idx="0">
                  <c:v>2018年</c:v>
                </c:pt>
              </c:strCache>
            </c:strRef>
          </c:tx>
          <c:spPr>
            <a:solidFill>
              <a:srgbClr val="9999FF"/>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Sheet1!$B$2:$E$2</c:f>
              <c:numCache>
                <c:formatCode>General</c:formatCode>
                <c:ptCount val="4"/>
                <c:pt idx="0">
                  <c:v>2062.25</c:v>
                </c:pt>
                <c:pt idx="1">
                  <c:v>1723.21</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Sheet1!$B$3:$E$3</c:f>
              <c:numCache>
                <c:formatCode>General</c:formatCode>
                <c:ptCount val="4"/>
                <c:pt idx="0">
                  <c:v>1226.36</c:v>
                </c:pt>
                <c:pt idx="1">
                  <c:v>861.41</c:v>
                </c:pt>
              </c:numCache>
            </c:numRef>
          </c:val>
        </c:ser>
        <c:ser>
          <c:idx val="2"/>
          <c:order val="2"/>
          <c:tx>
            <c:strRef>
              <c:f>Sheet1!$A$4</c:f>
              <c:strCache>
                <c:ptCount val="1"/>
                <c:pt idx="0">
                  <c:v/>
                </c:pt>
              </c:strCache>
            </c:strRef>
          </c:tx>
          <c:spPr>
            <a:solidFill>
              <a:srgbClr val="FFFFCC"/>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axId val="153153536"/>
        <c:axId val="153155072"/>
      </c:barChart>
      <c:catAx>
        <c:axId val="153153536"/>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3155072"/>
        <c:crosses val="autoZero"/>
        <c:auto val="1"/>
        <c:lblAlgn val="ctr"/>
        <c:lblOffset val="100"/>
        <c:tickLblSkip val="1"/>
        <c:noMultiLvlLbl val="0"/>
      </c:catAx>
      <c:valAx>
        <c:axId val="153155072"/>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3153536"/>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357142857142858"/>
          <c:w val="0.201438848920863"/>
          <c:h val="0.285714285714286"/>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93525179856"/>
          <c:y val="0.0879120879120879"/>
          <c:w val="0.611510791366906"/>
          <c:h val="0.736263736263737"/>
        </c:manualLayout>
      </c:layout>
      <c:barChart>
        <c:barDir val="col"/>
        <c:grouping val="clustered"/>
        <c:varyColors val="0"/>
        <c:ser>
          <c:idx val="0"/>
          <c:order val="0"/>
          <c:tx>
            <c:strRef>
              <c:f>Sheet1!$A$2</c:f>
              <c:strCache>
                <c:ptCount val="1"/>
                <c:pt idx="0">
                  <c:v>东部</c:v>
                </c:pt>
              </c:strCache>
            </c:strRef>
          </c:tx>
          <c:spPr>
            <a:solidFill>
              <a:srgbClr val="9999FF"/>
            </a:solidFill>
            <a:ln w="12700">
              <a:solidFill>
                <a:srgbClr val="000000"/>
              </a:solidFill>
              <a:prstDash val="solid"/>
            </a:ln>
          </c:spPr>
          <c:invertIfNegative val="0"/>
          <c:dLbls>
            <c:delete val="1"/>
          </c:dLbls>
          <c:cat>
            <c:strRef>
              <c:f>Sheet1!$B$1:$E$1</c:f>
              <c:strCache>
                <c:ptCount val="1"/>
                <c:pt idx="0">
                  <c:v>般公共预算财政拨款支出</c:v>
                </c:pt>
              </c:strCache>
            </c:strRef>
          </c:cat>
          <c:val>
            <c:numRef>
              <c:f>Sheet1!$B$2:$E$2</c:f>
              <c:numCache>
                <c:formatCode>General</c:formatCode>
                <c:ptCount val="4"/>
                <c:pt idx="0">
                  <c:v>20.4</c:v>
                </c:pt>
                <c:pt idx="1">
                  <c:v>27.4</c:v>
                </c:pt>
                <c:pt idx="2">
                  <c:v>90</c:v>
                </c:pt>
                <c:pt idx="3">
                  <c:v>20.4</c:v>
                </c:pt>
              </c:numCache>
            </c:numRef>
          </c:val>
        </c:ser>
        <c:ser>
          <c:idx val="1"/>
          <c:order val="1"/>
          <c:tx>
            <c:strRef>
              <c:f>Sheet1!$A$3</c:f>
              <c:strCache>
                <c:ptCount val="1"/>
                <c:pt idx="0">
                  <c:v>西部</c:v>
                </c:pt>
              </c:strCache>
            </c:strRef>
          </c:tx>
          <c:spPr>
            <a:solidFill>
              <a:srgbClr val="993366"/>
            </a:solidFill>
            <a:ln w="12700">
              <a:solidFill>
                <a:srgbClr val="000000"/>
              </a:solidFill>
              <a:prstDash val="solid"/>
            </a:ln>
          </c:spPr>
          <c:invertIfNegative val="0"/>
          <c:dLbls>
            <c:delete val="1"/>
          </c:dLbls>
          <c:cat>
            <c:strRef>
              <c:f>Sheet1!$B$1:$E$1</c:f>
              <c:strCache>
                <c:ptCount val="1"/>
                <c:pt idx="0">
                  <c:v>般公共预算财政拨款支出</c:v>
                </c:pt>
              </c:strCache>
            </c:strRef>
          </c:cat>
          <c:val>
            <c:numRef>
              <c:f>Sheet1!$B$3:$E$3</c:f>
              <c:numCache>
                <c:formatCode>General</c:formatCode>
                <c:ptCount val="4"/>
                <c:pt idx="0">
                  <c:v>30.6</c:v>
                </c:pt>
                <c:pt idx="1">
                  <c:v>38.6</c:v>
                </c:pt>
                <c:pt idx="2">
                  <c:v>34.6</c:v>
                </c:pt>
                <c:pt idx="3">
                  <c:v>31.6</c:v>
                </c:pt>
              </c:numCache>
            </c:numRef>
          </c:val>
        </c:ser>
        <c:ser>
          <c:idx val="2"/>
          <c:order val="2"/>
          <c:tx>
            <c:strRef>
              <c:f>Sheet1!$A$4</c:f>
              <c:strCache>
                <c:ptCount val="1"/>
                <c:pt idx="0">
                  <c:v>北部</c:v>
                </c:pt>
              </c:strCache>
            </c:strRef>
          </c:tx>
          <c:spPr>
            <a:solidFill>
              <a:srgbClr val="FFFFCC"/>
            </a:solidFill>
            <a:ln w="12700">
              <a:solidFill>
                <a:srgbClr val="000000"/>
              </a:solidFill>
              <a:prstDash val="solid"/>
            </a:ln>
          </c:spPr>
          <c:invertIfNegative val="0"/>
          <c:dLbls>
            <c:delete val="1"/>
          </c:dLbls>
          <c:cat>
            <c:strRef>
              <c:f>Sheet1!$B$1:$E$1</c:f>
              <c:strCache>
                <c:ptCount val="1"/>
                <c:pt idx="0">
                  <c:v>般公共预算财政拨款支出</c:v>
                </c:pt>
              </c:strCache>
            </c:strRef>
          </c:cat>
          <c:val>
            <c:numRef>
              <c:f>Sheet1!$B$4:$E$4</c:f>
              <c:numCache>
                <c:formatCode>General</c:formatCode>
                <c:ptCount val="4"/>
                <c:pt idx="0">
                  <c:v>45.9</c:v>
                </c:pt>
                <c:pt idx="1">
                  <c:v>46.9</c:v>
                </c:pt>
                <c:pt idx="2">
                  <c:v>45</c:v>
                </c:pt>
                <c:pt idx="3">
                  <c:v>43.9</c:v>
                </c:pt>
              </c:numCache>
            </c:numRef>
          </c:val>
        </c:ser>
        <c:ser>
          <c:idx val="3"/>
          <c:order val="3"/>
          <c:tx>
            <c:strRef>
              <c:f>Sheet1!$A$5</c:f>
              <c:strCache>
                <c:ptCount val="1"/>
                <c:pt idx="0">
                  <c:v>2018年</c:v>
                </c:pt>
              </c:strCache>
            </c:strRef>
          </c:tx>
          <c:spPr>
            <a:solidFill>
              <a:srgbClr val="CCFFFF"/>
            </a:solidFill>
            <a:ln w="12700">
              <a:solidFill>
                <a:srgbClr val="000000"/>
              </a:solidFill>
              <a:prstDash val="solid"/>
            </a:ln>
          </c:spPr>
          <c:invertIfNegative val="0"/>
          <c:dLbls>
            <c:delete val="1"/>
          </c:dLbls>
          <c:cat>
            <c:strRef>
              <c:f>Sheet1!$B$1:$E$1</c:f>
              <c:strCache>
                <c:ptCount val="1"/>
                <c:pt idx="0">
                  <c:v>般公共预算财政拨款支出</c:v>
                </c:pt>
              </c:strCache>
            </c:strRef>
          </c:cat>
          <c:val>
            <c:numRef>
              <c:f>Sheet1!$B$5:$E$5</c:f>
              <c:numCache>
                <c:formatCode>General</c:formatCode>
                <c:ptCount val="4"/>
                <c:pt idx="0">
                  <c:v>1723.21</c:v>
                </c:pt>
              </c:numCache>
            </c:numRef>
          </c:val>
        </c:ser>
        <c:ser>
          <c:idx val="4"/>
          <c:order val="4"/>
          <c:tx>
            <c:strRef>
              <c:f>Sheet1!$A$6</c:f>
              <c:strCache>
                <c:ptCount val="1"/>
                <c:pt idx="0">
                  <c:v>2017年</c:v>
                </c:pt>
              </c:strCache>
            </c:strRef>
          </c:tx>
          <c:spPr>
            <a:solidFill>
              <a:srgbClr val="660066"/>
            </a:solidFill>
            <a:ln w="12700">
              <a:solidFill>
                <a:srgbClr val="000000"/>
              </a:solidFill>
              <a:prstDash val="solid"/>
            </a:ln>
          </c:spPr>
          <c:invertIfNegative val="0"/>
          <c:dLbls>
            <c:delete val="1"/>
          </c:dLbls>
          <c:cat>
            <c:strRef>
              <c:f>Sheet1!$B$1:$E$1</c:f>
              <c:strCache>
                <c:ptCount val="1"/>
                <c:pt idx="0">
                  <c:v>般公共预算财政拨款支出</c:v>
                </c:pt>
              </c:strCache>
            </c:strRef>
          </c:cat>
          <c:val>
            <c:numRef>
              <c:f>Sheet1!$B$6:$E$6</c:f>
              <c:numCache>
                <c:formatCode>General</c:formatCode>
                <c:ptCount val="4"/>
                <c:pt idx="0">
                  <c:v>861.41</c:v>
                </c:pt>
              </c:numCache>
            </c:numRef>
          </c:val>
        </c:ser>
        <c:dLbls>
          <c:showLegendKey val="0"/>
          <c:showVal val="0"/>
          <c:showCatName val="0"/>
          <c:showSerName val="0"/>
          <c:showPercent val="0"/>
          <c:showBubbleSize val="0"/>
        </c:dLbls>
        <c:gapWidth val="150"/>
        <c:axId val="159289728"/>
        <c:axId val="159291264"/>
      </c:barChart>
      <c:catAx>
        <c:axId val="159289728"/>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9291264"/>
        <c:crosses val="autoZero"/>
        <c:auto val="1"/>
        <c:lblAlgn val="ctr"/>
        <c:lblOffset val="100"/>
        <c:tickLblSkip val="4"/>
        <c:noMultiLvlLbl val="0"/>
      </c:catAx>
      <c:valAx>
        <c:axId val="159291264"/>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9289728"/>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263736263736264"/>
          <c:w val="0.201438848920863"/>
          <c:h val="0.472527472527473"/>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7"/>
        </c:manualLayout>
      </c:layout>
      <c:pieChart>
        <c:varyColors val="1"/>
        <c:ser>
          <c:idx val="0"/>
          <c:order val="0"/>
          <c:tx>
            <c:strRef>
              <c:f>Sheet1!$A$2</c:f>
              <c:strCache>
                <c:ptCount val="1"/>
                <c:pt idx="0">
                  <c:v>东部</c:v>
                </c:pt>
              </c:strCache>
            </c:strRef>
          </c:tx>
          <c:spPr>
            <a:solidFill>
              <a:srgbClr val="9999FF"/>
            </a:solidFill>
            <a:ln w="12700">
              <a:solidFill>
                <a:srgbClr val="000000"/>
              </a:solidFill>
              <a:prstDash val="solid"/>
            </a:ln>
          </c:spPr>
          <c:explosion val="0"/>
          <c:dPt>
            <c:idx val="0"/>
            <c:bubble3D val="0"/>
            <c:spPr>
              <a:solidFill>
                <a:srgbClr val="000000"/>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000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CC"/>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7"/>
                <c:pt idx="0">
                  <c:v>文化体育与传媒支出</c:v>
                </c:pt>
                <c:pt idx="1">
                  <c:v>社会保障和就业支出</c:v>
                </c:pt>
                <c:pt idx="2">
                  <c:v>医疗卫生与计划生育支出</c:v>
                </c:pt>
                <c:pt idx="3">
                  <c:v>城乡社区支出</c:v>
                </c:pt>
                <c:pt idx="4">
                  <c:v>农林水支出</c:v>
                </c:pt>
                <c:pt idx="5">
                  <c:v>商业服务业等支出</c:v>
                </c:pt>
                <c:pt idx="6">
                  <c:v>住房保障支出</c:v>
                </c:pt>
              </c:strCache>
            </c:strRef>
          </c:cat>
          <c:val>
            <c:numRef>
              <c:f>Sheet1!$B$2:$H$2</c:f>
              <c:numCache>
                <c:formatCode>General</c:formatCode>
                <c:ptCount val="7"/>
                <c:pt idx="0">
                  <c:v>9</c:v>
                </c:pt>
                <c:pt idx="1">
                  <c:v>24.51</c:v>
                </c:pt>
                <c:pt idx="2">
                  <c:v>9.48</c:v>
                </c:pt>
                <c:pt idx="3">
                  <c:v>473.35</c:v>
                </c:pt>
                <c:pt idx="4">
                  <c:v>1021.68</c:v>
                </c:pt>
                <c:pt idx="5">
                  <c:v>177.5</c:v>
                </c:pt>
                <c:pt idx="6">
                  <c:v>7.69</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7"/>
                <c:pt idx="0">
                  <c:v>文化体育与传媒支出</c:v>
                </c:pt>
                <c:pt idx="1">
                  <c:v>社会保障和就业支出</c:v>
                </c:pt>
                <c:pt idx="2">
                  <c:v>医疗卫生与计划生育支出</c:v>
                </c:pt>
                <c:pt idx="3">
                  <c:v>城乡社区支出</c:v>
                </c:pt>
                <c:pt idx="4">
                  <c:v>农林水支出</c:v>
                </c:pt>
                <c:pt idx="5">
                  <c:v>商业服务业等支出</c:v>
                </c:pt>
                <c:pt idx="6">
                  <c:v>住房保障支出</c:v>
                </c:pt>
              </c:strCache>
            </c:strRef>
          </c:cat>
          <c:val>
            <c:numRef>
              <c:f>Sheet1!$B$3:$H$3</c:f>
              <c:numCache>
                <c:formatCode>General</c:formatCode>
                <c:ptCount val="7"/>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7"/>
                <c:pt idx="0">
                  <c:v>文化体育与传媒支出</c:v>
                </c:pt>
                <c:pt idx="1">
                  <c:v>社会保障和就业支出</c:v>
                </c:pt>
                <c:pt idx="2">
                  <c:v>医疗卫生与计划生育支出</c:v>
                </c:pt>
                <c:pt idx="3">
                  <c:v>城乡社区支出</c:v>
                </c:pt>
                <c:pt idx="4">
                  <c:v>农林水支出</c:v>
                </c:pt>
                <c:pt idx="5">
                  <c:v>商业服务业等支出</c:v>
                </c:pt>
                <c:pt idx="6">
                  <c:v>住房保障支出</c:v>
                </c:pt>
              </c:strCache>
            </c:strRef>
          </c:cat>
          <c:val>
            <c:numRef>
              <c:f>Sheet1!$B$4:$H$4</c:f>
              <c:numCache>
                <c:formatCode>General</c:formatCode>
                <c:ptCount val="7"/>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35251798561152"/>
          <c:y val="0.115384615384615"/>
          <c:w val="0.510791366906475"/>
          <c:h val="0.78021978021978"/>
        </c:manualLayout>
      </c:layout>
      <c:pieChart>
        <c:varyColors val="1"/>
        <c:ser>
          <c:idx val="0"/>
          <c:order val="0"/>
          <c:tx>
            <c:strRef>
              <c:f>Sheet1!$A$2</c:f>
              <c:strCache>
                <c:ptCount val="1"/>
                <c:pt idx="0">
                  <c:v>东部</c:v>
                </c:pt>
              </c:strCache>
            </c:strRef>
          </c:tx>
          <c:spPr>
            <a:solidFill>
              <a:srgbClr val="9999FF"/>
            </a:solidFill>
            <a:ln w="12700">
              <a:solidFill>
                <a:srgbClr val="000000"/>
              </a:solidFill>
              <a:prstDash val="solid"/>
            </a:ln>
          </c:spPr>
          <c:explosion val="0"/>
          <c:dPt>
            <c:idx val="0"/>
            <c:bubble3D val="0"/>
            <c:spPr>
              <a:solidFill>
                <a:srgbClr val="000000"/>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000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CC"/>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1"/>
                <c:pt idx="0">
                  <c:v>公务接待费</c:v>
                </c:pt>
              </c:strCache>
            </c:strRef>
          </c:cat>
          <c:val>
            <c:numRef>
              <c:f>Sheet1!$B$2:$H$2</c:f>
              <c:numCache>
                <c:formatCode>General</c:formatCode>
                <c:ptCount val="7"/>
                <c:pt idx="0">
                  <c:v>0.11</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1"/>
                <c:pt idx="0">
                  <c:v>公务接待费</c:v>
                </c:pt>
              </c:strCache>
            </c:strRef>
          </c:cat>
          <c:val>
            <c:numRef>
              <c:f>Sheet1!$B$3:$H$3</c:f>
              <c:numCache>
                <c:formatCode>General</c:formatCode>
                <c:ptCount val="7"/>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1"/>
                <c:pt idx="0">
                  <c:v>公务接待费</c:v>
                </c:pt>
              </c:strCache>
            </c:strRef>
          </c:cat>
          <c:val>
            <c:numRef>
              <c:f>Sheet1!$B$4:$H$4</c:f>
              <c:numCache>
                <c:formatCode>General</c:formatCode>
                <c:ptCount val="7"/>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697841726618707"/>
          <c:y val="0.17032967032967"/>
          <c:w val="0.287769784172662"/>
          <c:h val="0.65934065934066"/>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8898D5-9CB9-4E73-9763-E6281ECFF39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49</Pages>
  <Words>19775</Words>
  <Characters>5146</Characters>
  <Lines>42</Lines>
  <Paragraphs>49</Paragraphs>
  <TotalTime>1</TotalTime>
  <ScaleCrop>false</ScaleCrop>
  <LinksUpToDate>false</LinksUpToDate>
  <CharactersWithSpaces>24872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2021-02-26T08:38:33Z</dcterms:modified>
  <dc:title>四川省***</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