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tabs>
          <w:tab w:val="right" w:leader="dot" w:pos="8306"/>
          <w:tab w:val="clear" w:pos="8296"/>
        </w:tabs>
      </w:pPr>
      <w:bookmarkStart w:id="0" w:name="_Toc15306267"/>
      <w:r>
        <w:rPr>
          <w:rFonts w:ascii="方正小标宋简体" w:hAnsi="宋体" w:eastAsia="方正小标宋简体"/>
          <w:color w:val="000000"/>
          <w:sz w:val="72"/>
          <w:szCs w:val="72"/>
        </w:rPr>
        <w:fldChar w:fldCharType="begin"/>
      </w:r>
      <w:r>
        <w:rPr>
          <w:rFonts w:ascii="方正小标宋简体" w:hAnsi="宋体" w:eastAsia="方正小标宋简体"/>
          <w:color w:val="000000"/>
          <w:sz w:val="72"/>
          <w:szCs w:val="72"/>
        </w:rPr>
        <w:instrText xml:space="preserve">TOC \o "1-3" \h \u </w:instrText>
      </w:r>
      <w:r>
        <w:rPr>
          <w:rFonts w:ascii="方正小标宋简体" w:hAnsi="宋体" w:eastAsia="方正小标宋简体"/>
          <w:color w:val="000000"/>
          <w:sz w:val="72"/>
          <w:szCs w:val="72"/>
        </w:rPr>
        <w:fldChar w:fldCharType="separate"/>
      </w:r>
    </w:p>
    <w:p>
      <w:pPr>
        <w:spacing w:line="600" w:lineRule="exact"/>
        <w:jc w:val="center"/>
        <w:outlineLvl w:val="0"/>
        <w:rPr>
          <w:rFonts w:ascii="方正小标宋简体" w:hAnsi="宋体" w:eastAsia="方正小标宋简体"/>
          <w:color w:val="000000"/>
          <w:sz w:val="72"/>
          <w:szCs w:val="72"/>
        </w:rPr>
      </w:pPr>
      <w:r>
        <w:rPr>
          <w:rFonts w:ascii="方正小标宋简体" w:hAnsi="宋体" w:eastAsia="方正小标宋简体"/>
          <w:color w:val="000000"/>
          <w:szCs w:val="72"/>
        </w:rPr>
        <w:fldChar w:fldCharType="end"/>
      </w: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7193"/>
      <w:bookmarkStart w:id="3" w:name="_Toc15396597"/>
      <w:bookmarkStart w:id="4" w:name="_Toc15396475"/>
      <w:bookmarkStart w:id="5" w:name="_Toc15378441"/>
      <w:bookmarkStart w:id="6" w:name="_Toc23089"/>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7" w:name="_Toc22299"/>
      <w:bookmarkStart w:id="8" w:name="_Toc15377426"/>
      <w:bookmarkStart w:id="9" w:name="_Toc15377194"/>
      <w:bookmarkStart w:id="10" w:name="_Toc15396476"/>
      <w:bookmarkStart w:id="11" w:name="_Toc15396598"/>
      <w:bookmarkStart w:id="12" w:name="_Toc15378442"/>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rPr>
        <w:t>红原县社会保险事业管理局</w:t>
      </w:r>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14" w:name="_Toc20985"/>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bookmarkStart w:id="125" w:name="_GoBack"/>
      <w:bookmarkEnd w:id="125"/>
    </w:p>
    <w:p>
      <w:pPr>
        <w:pStyle w:val="10"/>
        <w:tabs>
          <w:tab w:val="right" w:leader="dot" w:pos="8306"/>
          <w:tab w:val="clear" w:pos="8296"/>
        </w:tabs>
      </w:pPr>
      <w:bookmarkStart w:id="15" w:name="_Toc15377196"/>
      <w:bookmarkStart w:id="16" w:name="_Toc15396599"/>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_Toc29652 </w:instrText>
      </w:r>
      <w:r>
        <w:rPr>
          <w:rFonts w:ascii="方正小标宋简体" w:hAnsi="宋体" w:eastAsia="方正小标宋简体"/>
          <w:szCs w:val="72"/>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_Toc29652 </w:instrText>
      </w:r>
      <w:r>
        <w:fldChar w:fldCharType="separate"/>
      </w:r>
      <w:r>
        <w:t>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_Toc5785 </w:instrText>
      </w:r>
      <w:r>
        <w:rPr>
          <w:rFonts w:ascii="方正小标宋简体" w:hAnsi="宋体" w:eastAsia="方正小标宋简体"/>
          <w:szCs w:val="72"/>
        </w:rP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_Toc5785 </w:instrText>
      </w:r>
      <w:r>
        <w:fldChar w:fldCharType="separate"/>
      </w:r>
      <w:r>
        <w:t>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_Toc16412 </w:instrText>
      </w:r>
      <w:r>
        <w:rPr>
          <w:rFonts w:ascii="方正小标宋简体" w:hAnsi="宋体" w:eastAsia="方正小标宋简体"/>
          <w:szCs w:val="72"/>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_Toc16412 </w:instrText>
      </w:r>
      <w:r>
        <w:fldChar w:fldCharType="separate"/>
      </w:r>
      <w:r>
        <w:t>7</w:t>
      </w:r>
      <w:r>
        <w:fldChar w:fldCharType="end"/>
      </w:r>
      <w:r>
        <w:rPr>
          <w:rFonts w:ascii="方正小标宋简体" w:hAnsi="宋体" w:eastAsia="方正小标宋简体"/>
          <w:color w:val="000000"/>
          <w:szCs w:val="72"/>
        </w:rPr>
        <w:fldChar w:fldCharType="end"/>
      </w:r>
    </w:p>
    <w:p>
      <w:pPr>
        <w:pStyle w:val="10"/>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_Toc16388 </w:instrText>
      </w:r>
      <w:r>
        <w:rPr>
          <w:rFonts w:ascii="方正小标宋简体" w:hAnsi="宋体" w:eastAsia="方正小标宋简体"/>
          <w:szCs w:val="72"/>
        </w:rPr>
        <w:fldChar w:fldCharType="separate"/>
      </w:r>
      <w:r>
        <w:rPr>
          <w:rFonts w:hint="eastAsia" w:ascii="黑体" w:hAnsi="黑体" w:eastAsia="黑体"/>
        </w:rPr>
        <w:t>第二部分</w:t>
      </w:r>
      <w:r>
        <w:rPr>
          <w:rFonts w:hint="eastAsia" w:ascii="黑体" w:hAnsi="黑体" w:eastAsia="黑体"/>
          <w:bCs w:val="0"/>
        </w:rPr>
        <w:t>2019年度部门决算情况说明</w:t>
      </w:r>
      <w:r>
        <w:tab/>
      </w:r>
      <w:r>
        <w:fldChar w:fldCharType="begin"/>
      </w:r>
      <w:r>
        <w:instrText xml:space="preserve"> PAGEREF _Toc16388 </w:instrText>
      </w:r>
      <w:r>
        <w:fldChar w:fldCharType="separate"/>
      </w:r>
      <w:r>
        <w:t>8</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_Toc20450 </w:instrText>
      </w:r>
      <w:r>
        <w:rPr>
          <w:rFonts w:ascii="方正小标宋简体" w:hAnsi="宋体" w:eastAsia="方正小标宋简体"/>
          <w:szCs w:val="72"/>
        </w:rPr>
        <w:fldChar w:fldCharType="separate"/>
      </w:r>
      <w:r>
        <w:rPr>
          <w:rFonts w:hint="default" w:ascii="黑体" w:hAnsi="黑体" w:eastAsia="黑体"/>
          <w:lang w:val="en-US"/>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_Toc20450 </w:instrText>
      </w:r>
      <w:r>
        <w:fldChar w:fldCharType="separate"/>
      </w:r>
      <w:r>
        <w:t>8</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_Toc21494 </w:instrText>
      </w:r>
      <w:r>
        <w:rPr>
          <w:rFonts w:ascii="方正小标宋简体" w:hAnsi="宋体" w:eastAsia="方正小标宋简体"/>
          <w:szCs w:val="72"/>
        </w:rPr>
        <w:fldChar w:fldCharType="separate"/>
      </w:r>
      <w:r>
        <w:rPr>
          <w:rFonts w:hint="default" w:ascii="黑体" w:hAnsi="黑体" w:eastAsia="黑体"/>
          <w:lang w:val="en-US"/>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_Toc21494 </w:instrText>
      </w:r>
      <w:r>
        <w:fldChar w:fldCharType="separate"/>
      </w:r>
      <w:r>
        <w:t>8</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_Toc28194 </w:instrText>
      </w:r>
      <w:r>
        <w:rPr>
          <w:rFonts w:ascii="方正小标宋简体" w:hAnsi="宋体" w:eastAsia="方正小标宋简体"/>
          <w:szCs w:val="72"/>
        </w:rPr>
        <w:fldChar w:fldCharType="separate"/>
      </w:r>
      <w:r>
        <w:rPr>
          <w:rFonts w:hint="default" w:ascii="黑体" w:hAnsi="黑体" w:eastAsia="黑体"/>
          <w:lang w:val="en-US"/>
        </w:rPr>
        <w:t xml:space="preserve">四、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_Toc28194 </w:instrText>
      </w:r>
      <w:r>
        <w:fldChar w:fldCharType="separate"/>
      </w:r>
      <w:r>
        <w:t>9</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_Toc23305 </w:instrText>
      </w:r>
      <w:r>
        <w:rPr>
          <w:rFonts w:ascii="方正小标宋简体" w:hAnsi="宋体" w:eastAsia="方正小标宋简体"/>
          <w:szCs w:val="72"/>
        </w:rP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_Toc23305 </w:instrText>
      </w:r>
      <w:r>
        <w:fldChar w:fldCharType="separate"/>
      </w:r>
      <w:r>
        <w:t>10</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_Toc1092 </w:instrText>
      </w:r>
      <w:r>
        <w:rPr>
          <w:rFonts w:ascii="方正小标宋简体" w:hAnsi="宋体" w:eastAsia="方正小标宋简体"/>
          <w:szCs w:val="72"/>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_Toc1092 </w:instrText>
      </w:r>
      <w:r>
        <w:fldChar w:fldCharType="separate"/>
      </w:r>
      <w:r>
        <w:t>10</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_Toc20608 </w:instrText>
      </w:r>
      <w:r>
        <w:rPr>
          <w:rFonts w:ascii="方正小标宋简体" w:hAnsi="宋体" w:eastAsia="方正小标宋简体"/>
          <w:szCs w:val="72"/>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_Toc20608 </w:instrText>
      </w:r>
      <w:r>
        <w:fldChar w:fldCharType="separate"/>
      </w:r>
      <w:r>
        <w:t>13</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_Toc5644 </w:instrText>
      </w:r>
      <w:r>
        <w:rPr>
          <w:rFonts w:ascii="方正小标宋简体" w:hAnsi="宋体" w:eastAsia="方正小标宋简体"/>
          <w:szCs w:val="72"/>
        </w:rP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_Toc5644 </w:instrText>
      </w:r>
      <w:r>
        <w:fldChar w:fldCharType="separate"/>
      </w:r>
      <w:r>
        <w:t>14</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_Toc6596 </w:instrText>
      </w:r>
      <w:r>
        <w:rPr>
          <w:rFonts w:ascii="方正小标宋简体" w:hAnsi="宋体" w:eastAsia="方正小标宋简体"/>
          <w:szCs w:val="72"/>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_Toc6596 </w:instrText>
      </w:r>
      <w:r>
        <w:fldChar w:fldCharType="separate"/>
      </w:r>
      <w:r>
        <w:t>15</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_Toc23358 </w:instrText>
      </w:r>
      <w:r>
        <w:rPr>
          <w:rFonts w:ascii="方正小标宋简体" w:hAnsi="宋体" w:eastAsia="方正小标宋简体"/>
          <w:szCs w:val="72"/>
        </w:rPr>
        <w:fldChar w:fldCharType="separate"/>
      </w:r>
      <w:r>
        <w:rPr>
          <w:rFonts w:hint="eastAsia" w:ascii="黑体" w:hAnsi="黑体" w:eastAsia="黑体"/>
        </w:rPr>
        <w:t>九、 国有资本经营预算支出决算情况说明</w:t>
      </w:r>
      <w:r>
        <w:tab/>
      </w:r>
      <w:r>
        <w:fldChar w:fldCharType="begin"/>
      </w:r>
      <w:r>
        <w:instrText xml:space="preserve"> PAGEREF _Toc23358 </w:instrText>
      </w:r>
      <w:r>
        <w:fldChar w:fldCharType="separate"/>
      </w:r>
      <w:r>
        <w:t>15</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_Toc23202 </w:instrText>
      </w:r>
      <w:r>
        <w:rPr>
          <w:rFonts w:ascii="方正小标宋简体" w:hAnsi="宋体" w:eastAsia="方正小标宋简体"/>
          <w:szCs w:val="72"/>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_Toc23202 </w:instrText>
      </w:r>
      <w:r>
        <w:fldChar w:fldCharType="separate"/>
      </w:r>
      <w:r>
        <w:t>15</w:t>
      </w:r>
      <w:r>
        <w:fldChar w:fldCharType="end"/>
      </w:r>
      <w:r>
        <w:rPr>
          <w:rFonts w:ascii="方正小标宋简体" w:hAnsi="宋体" w:eastAsia="方正小标宋简体"/>
          <w:color w:val="000000"/>
          <w:szCs w:val="72"/>
        </w:rPr>
        <w:fldChar w:fldCharType="end"/>
      </w:r>
    </w:p>
    <w:p>
      <w:pPr>
        <w:pStyle w:val="10"/>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_Toc21888 </w:instrText>
      </w:r>
      <w:r>
        <w:rPr>
          <w:rFonts w:ascii="方正小标宋简体" w:hAnsi="宋体" w:eastAsia="方正小标宋简体"/>
          <w:szCs w:val="72"/>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_Toc21888 </w:instrText>
      </w:r>
      <w:r>
        <w:fldChar w:fldCharType="separate"/>
      </w:r>
      <w:r>
        <w:t>17</w:t>
      </w:r>
      <w:r>
        <w:fldChar w:fldCharType="end"/>
      </w:r>
      <w:r>
        <w:rPr>
          <w:rFonts w:ascii="方正小标宋简体" w:hAnsi="宋体" w:eastAsia="方正小标宋简体"/>
          <w:color w:val="000000"/>
          <w:szCs w:val="72"/>
        </w:rPr>
        <w:fldChar w:fldCharType="end"/>
      </w:r>
    </w:p>
    <w:p>
      <w:pPr>
        <w:pStyle w:val="10"/>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_Toc17481 </w:instrText>
      </w:r>
      <w:r>
        <w:rPr>
          <w:rFonts w:ascii="方正小标宋简体" w:hAnsi="宋体" w:eastAsia="方正小标宋简体"/>
          <w:szCs w:val="72"/>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_Toc17481 </w:instrText>
      </w:r>
      <w:r>
        <w:fldChar w:fldCharType="separate"/>
      </w:r>
      <w:r>
        <w:t>21</w:t>
      </w:r>
      <w:r>
        <w:fldChar w:fldCharType="end"/>
      </w:r>
      <w:r>
        <w:rPr>
          <w:rFonts w:ascii="方正小标宋简体" w:hAnsi="宋体" w:eastAsia="方正小标宋简体"/>
          <w:color w:val="000000"/>
          <w:szCs w:val="72"/>
        </w:rPr>
        <w:fldChar w:fldCharType="end"/>
      </w:r>
    </w:p>
    <w:p>
      <w:pPr>
        <w:pStyle w:val="10"/>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_Toc19780 </w:instrText>
      </w:r>
      <w:r>
        <w:rPr>
          <w:rFonts w:ascii="方正小标宋简体" w:hAnsi="宋体" w:eastAsia="方正小标宋简体"/>
          <w:szCs w:val="72"/>
        </w:rPr>
        <w:fldChar w:fldCharType="separate"/>
      </w:r>
      <w:r>
        <w:rPr>
          <w:rFonts w:hint="eastAsia" w:ascii="黑体" w:hAnsi="黑体" w:eastAsia="黑体" w:cs="黑体"/>
          <w:szCs w:val="32"/>
        </w:rPr>
        <w:t>附件1</w:t>
      </w:r>
      <w:r>
        <w:tab/>
      </w:r>
      <w:r>
        <w:fldChar w:fldCharType="begin"/>
      </w:r>
      <w:r>
        <w:instrText xml:space="preserve"> PAGEREF _Toc19780 </w:instrText>
      </w:r>
      <w:r>
        <w:fldChar w:fldCharType="separate"/>
      </w:r>
      <w:r>
        <w:t>21</w:t>
      </w:r>
      <w:r>
        <w:fldChar w:fldCharType="end"/>
      </w:r>
      <w:r>
        <w:rPr>
          <w:rFonts w:ascii="方正小标宋简体" w:hAnsi="宋体" w:eastAsia="方正小标宋简体"/>
          <w:color w:val="000000"/>
          <w:szCs w:val="72"/>
        </w:rPr>
        <w:fldChar w:fldCharType="end"/>
      </w:r>
    </w:p>
    <w:p>
      <w:pPr>
        <w:pStyle w:val="10"/>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_Toc8114 </w:instrText>
      </w:r>
      <w:r>
        <w:rPr>
          <w:rFonts w:ascii="方正小标宋简体" w:hAnsi="宋体" w:eastAsia="方正小标宋简体"/>
          <w:szCs w:val="72"/>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_Toc8114 </w:instrText>
      </w:r>
      <w:r>
        <w:fldChar w:fldCharType="separate"/>
      </w:r>
      <w:r>
        <w:t>25</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_Toc7315 </w:instrText>
      </w:r>
      <w:r>
        <w:rPr>
          <w:rFonts w:ascii="方正小标宋简体" w:hAnsi="宋体" w:eastAsia="方正小标宋简体"/>
          <w:szCs w:val="72"/>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_Toc7315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_Toc18178 </w:instrText>
      </w:r>
      <w:r>
        <w:rPr>
          <w:rFonts w:ascii="方正小标宋简体" w:hAnsi="宋体" w:eastAsia="方正小标宋简体"/>
          <w:szCs w:val="72"/>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_Toc18178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_Toc19437 </w:instrText>
      </w:r>
      <w:r>
        <w:rPr>
          <w:rFonts w:ascii="方正小标宋简体" w:hAnsi="宋体" w:eastAsia="方正小标宋简体"/>
          <w:szCs w:val="72"/>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_Toc19437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_Toc14903 </w:instrText>
      </w:r>
      <w:r>
        <w:rPr>
          <w:rFonts w:ascii="方正小标宋简体" w:hAnsi="宋体" w:eastAsia="方正小标宋简体"/>
          <w:szCs w:val="72"/>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_Toc14903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_Toc6950 </w:instrText>
      </w:r>
      <w:r>
        <w:rPr>
          <w:rFonts w:ascii="方正小标宋简体" w:hAnsi="宋体" w:eastAsia="方正小标宋简体"/>
          <w:szCs w:val="72"/>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_Toc6950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_Toc19492 </w:instrText>
      </w:r>
      <w:r>
        <w:rPr>
          <w:rFonts w:ascii="方正小标宋简体" w:hAnsi="宋体" w:eastAsia="方正小标宋简体"/>
          <w:szCs w:val="72"/>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_Toc19492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_Toc30775 </w:instrText>
      </w:r>
      <w:r>
        <w:rPr>
          <w:rFonts w:ascii="方正小标宋简体" w:hAnsi="宋体" w:eastAsia="方正小标宋简体"/>
          <w:szCs w:val="72"/>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_Toc30775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_Toc18312 </w:instrText>
      </w:r>
      <w:r>
        <w:rPr>
          <w:rFonts w:ascii="方正小标宋简体" w:hAnsi="宋体" w:eastAsia="方正小标宋简体"/>
          <w:szCs w:val="72"/>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_Toc18312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_Toc27879 </w:instrText>
      </w:r>
      <w:r>
        <w:rPr>
          <w:rFonts w:ascii="方正小标宋简体" w:hAnsi="宋体" w:eastAsia="方正小标宋简体"/>
          <w:szCs w:val="72"/>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_Toc27879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_Toc22793 </w:instrText>
      </w:r>
      <w:r>
        <w:rPr>
          <w:rFonts w:ascii="方正小标宋简体" w:hAnsi="宋体" w:eastAsia="方正小标宋简体"/>
          <w:szCs w:val="72"/>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_Toc22793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_Toc32081 </w:instrText>
      </w:r>
      <w:r>
        <w:rPr>
          <w:rFonts w:ascii="方正小标宋简体" w:hAnsi="宋体" w:eastAsia="方正小标宋简体"/>
          <w:szCs w:val="72"/>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_Toc32081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_Toc7711 </w:instrText>
      </w:r>
      <w:r>
        <w:rPr>
          <w:rFonts w:ascii="方正小标宋简体" w:hAnsi="宋体" w:eastAsia="方正小标宋简体"/>
          <w:szCs w:val="72"/>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_Toc7711 </w:instrText>
      </w:r>
      <w:r>
        <w:fldChar w:fldCharType="separate"/>
      </w:r>
      <w:r>
        <w:t>26</w:t>
      </w:r>
      <w:r>
        <w:fldChar w:fldCharType="end"/>
      </w:r>
      <w:r>
        <w:rPr>
          <w:rFonts w:ascii="方正小标宋简体" w:hAnsi="宋体" w:eastAsia="方正小标宋简体"/>
          <w:color w:val="000000"/>
          <w:szCs w:val="72"/>
        </w:rPr>
        <w:fldChar w:fldCharType="end"/>
      </w:r>
    </w:p>
    <w:p>
      <w:pPr>
        <w:pStyle w:val="11"/>
        <w:tabs>
          <w:tab w:val="right" w:leader="dot" w:pos="8306"/>
          <w:tab w:val="clear" w:pos="8296"/>
        </w:tabs>
      </w:pPr>
      <w:r>
        <w:rPr>
          <w:rFonts w:ascii="方正小标宋简体" w:hAnsi="宋体" w:eastAsia="方正小标宋简体"/>
          <w:color w:val="000000"/>
          <w:szCs w:val="72"/>
        </w:rPr>
        <w:fldChar w:fldCharType="begin"/>
      </w:r>
      <w:r>
        <w:rPr>
          <w:rFonts w:ascii="方正小标宋简体" w:hAnsi="宋体" w:eastAsia="方正小标宋简体"/>
          <w:szCs w:val="72"/>
        </w:rPr>
        <w:instrText xml:space="preserve"> HYPERLINK \l _Toc31669 </w:instrText>
      </w:r>
      <w:r>
        <w:rPr>
          <w:rFonts w:ascii="方正小标宋简体" w:hAnsi="宋体" w:eastAsia="方正小标宋简体"/>
          <w:szCs w:val="72"/>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_Toc31669 </w:instrText>
      </w:r>
      <w:r>
        <w:fldChar w:fldCharType="separate"/>
      </w:r>
      <w:r>
        <w:t>26</w:t>
      </w:r>
      <w:r>
        <w:fldChar w:fldCharType="end"/>
      </w:r>
      <w:r>
        <w:rPr>
          <w:rFonts w:ascii="方正小标宋简体" w:hAnsi="宋体" w:eastAsia="方正小标宋简体"/>
          <w:color w:val="000000"/>
          <w:szCs w:val="72"/>
        </w:rPr>
        <w:fldChar w:fldCharType="end"/>
      </w:r>
    </w:p>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2"/>
        <w:jc w:val="center"/>
        <w:rPr>
          <w:rStyle w:val="24"/>
          <w:rFonts w:ascii="黑体" w:hAnsi="黑体" w:eastAsia="黑体"/>
          <w:b/>
          <w:bCs w:val="0"/>
        </w:rPr>
      </w:pPr>
      <w:bookmarkStart w:id="17" w:name="_Toc29652"/>
      <w:r>
        <w:rPr>
          <w:rFonts w:hint="eastAsia" w:ascii="黑体" w:hAnsi="黑体" w:eastAsia="黑体"/>
          <w:b w:val="0"/>
        </w:rPr>
        <w:t xml:space="preserve">第一部分 </w:t>
      </w:r>
      <w:r>
        <w:rPr>
          <w:rStyle w:val="24"/>
          <w:rFonts w:hint="eastAsia" w:ascii="黑体" w:hAnsi="黑体" w:eastAsia="黑体"/>
          <w:b w:val="0"/>
          <w:bCs w:val="0"/>
        </w:rPr>
        <w:t>部门概况</w:t>
      </w:r>
      <w:bookmarkEnd w:id="15"/>
      <w:bookmarkEnd w:id="16"/>
      <w:bookmarkEnd w:id="17"/>
    </w:p>
    <w:p>
      <w:pPr>
        <w:widowControl/>
        <w:jc w:val="left"/>
        <w:rPr>
          <w:rFonts w:ascii="黑体" w:eastAsia="黑体"/>
          <w:color w:val="000000"/>
          <w:sz w:val="32"/>
          <w:szCs w:val="32"/>
        </w:rPr>
      </w:pPr>
    </w:p>
    <w:p>
      <w:pPr>
        <w:pStyle w:val="3"/>
        <w:rPr>
          <w:rStyle w:val="25"/>
          <w:rFonts w:ascii="仿宋" w:hAnsi="仿宋" w:eastAsia="仿宋"/>
          <w:b w:val="0"/>
          <w:bCs w:val="0"/>
        </w:rPr>
      </w:pPr>
      <w:bookmarkStart w:id="18" w:name="_Toc15377197"/>
      <w:bookmarkStart w:id="19" w:name="_Toc15396600"/>
      <w:bookmarkStart w:id="20" w:name="_Toc5785"/>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8"/>
      <w:bookmarkEnd w:id="19"/>
      <w:bookmarkEnd w:id="20"/>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21" w:name="_Toc15377198"/>
      <w:bookmarkStart w:id="22" w:name="_Toc15378445"/>
      <w:bookmarkStart w:id="23" w:name="_Toc2956"/>
      <w:r>
        <w:rPr>
          <w:rFonts w:hint="eastAsia" w:ascii="仿宋" w:hAnsi="仿宋" w:eastAsia="仿宋"/>
          <w:bCs/>
          <w:color w:val="000000"/>
          <w:sz w:val="32"/>
          <w:szCs w:val="32"/>
        </w:rPr>
        <w:t>（一）主要职能。</w:t>
      </w:r>
      <w:bookmarkEnd w:id="21"/>
      <w:bookmarkEnd w:id="22"/>
      <w:bookmarkEnd w:id="23"/>
      <w:bookmarkStart w:id="24" w:name="_Toc15378446"/>
      <w:bookmarkStart w:id="25" w:name="_Toc15377199"/>
    </w:p>
    <w:p>
      <w:pPr>
        <w:snapToGrid w:val="0"/>
        <w:spacing w:line="520" w:lineRule="exact"/>
        <w:ind w:firstLine="640" w:firstLineChars="200"/>
        <w:rPr>
          <w:rFonts w:ascii="仿宋" w:hAnsi="仿宋" w:eastAsia="仿宋"/>
          <w:bCs/>
          <w:color w:val="000000"/>
          <w:kern w:val="0"/>
          <w:sz w:val="32"/>
          <w:szCs w:val="32"/>
        </w:rPr>
      </w:pPr>
      <w:r>
        <w:rPr>
          <w:rFonts w:ascii="仿宋" w:hAnsi="仿宋" w:eastAsia="仿宋"/>
          <w:bCs/>
          <w:color w:val="000000"/>
          <w:kern w:val="0"/>
          <w:sz w:val="32"/>
          <w:szCs w:val="32"/>
        </w:rPr>
        <w:t xml:space="preserve">我局主要负责贯彻执行国家、省、州、县有关社会保险政策和法律、法规;负责全县企业基本养老保险、机关事业养老保险、工伤保险、生育保险等社会保险审核、核定、征缴、待遇发放等工作。 </w:t>
      </w:r>
    </w:p>
    <w:p>
      <w:pPr>
        <w:pStyle w:val="5"/>
        <w:adjustRightInd w:val="0"/>
        <w:snapToGrid w:val="0"/>
        <w:spacing w:before="93" w:line="600" w:lineRule="exact"/>
        <w:ind w:firstLine="480" w:firstLineChars="150"/>
        <w:outlineLvl w:val="2"/>
        <w:rPr>
          <w:rFonts w:ascii="仿宋" w:hAnsi="仿宋" w:eastAsia="仿宋"/>
          <w:bCs/>
          <w:color w:val="000000"/>
          <w:sz w:val="32"/>
          <w:szCs w:val="32"/>
        </w:rPr>
      </w:pPr>
      <w:bookmarkStart w:id="26" w:name="_Toc9435"/>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4"/>
      <w:bookmarkEnd w:id="25"/>
      <w:bookmarkEnd w:id="26"/>
    </w:p>
    <w:p>
      <w:pPr>
        <w:pStyle w:val="5"/>
        <w:snapToGrid w:val="0"/>
        <w:spacing w:before="93" w:after="160" w:line="600" w:lineRule="exact"/>
        <w:ind w:firstLine="672"/>
        <w:outlineLvl w:val="2"/>
        <w:rPr>
          <w:rFonts w:ascii="仿宋" w:hAnsi="仿宋" w:eastAsia="仿宋" w:cs="仿宋"/>
          <w:color w:val="000000"/>
          <w:sz w:val="32"/>
          <w:szCs w:val="32"/>
        </w:rPr>
      </w:pPr>
      <w:bookmarkStart w:id="27" w:name="_Toc171"/>
      <w:r>
        <w:rPr>
          <w:rFonts w:hint="eastAsia" w:ascii="仿宋" w:hAnsi="仿宋" w:eastAsia="仿宋" w:cs="仿宋"/>
          <w:color w:val="000000" w:themeColor="text1"/>
          <w:sz w:val="32"/>
          <w:szCs w:val="32"/>
        </w:rPr>
        <w:t>我局在县委、县政府、县人社局的正确领导和州社保局的具体指导下，</w:t>
      </w:r>
      <w:r>
        <w:rPr>
          <w:rFonts w:hint="eastAsia" w:ascii="仿宋" w:hAnsi="仿宋" w:eastAsia="仿宋" w:cs="仿宋"/>
          <w:color w:val="000000"/>
          <w:sz w:val="32"/>
          <w:szCs w:val="32"/>
        </w:rPr>
        <w:t>以围绕人社工作为中心，以防范化解社保经办风险为主线，以行风建设为抓手，以落实社保改革任务，持续提升社保经办服务供给能力，更好满足人民群众对美好生活的需要，为加快实现红原“三地一时代”和庆祝新中国成立70周年营造了良好社会的氛围。</w:t>
      </w:r>
      <w:bookmarkEnd w:id="27"/>
    </w:p>
    <w:p>
      <w:pPr>
        <w:pStyle w:val="5"/>
        <w:snapToGrid w:val="0"/>
        <w:spacing w:before="93" w:after="160" w:line="600" w:lineRule="exact"/>
        <w:ind w:firstLine="672"/>
        <w:outlineLvl w:val="2"/>
        <w:rPr>
          <w:rFonts w:ascii="仿宋" w:hAnsi="仿宋" w:eastAsia="仿宋"/>
          <w:color w:val="000000"/>
          <w:sz w:val="32"/>
          <w:szCs w:val="32"/>
        </w:rPr>
      </w:pPr>
      <w:bookmarkStart w:id="28" w:name="_Toc1397"/>
      <w:r>
        <w:rPr>
          <w:rFonts w:hint="eastAsia" w:ascii="仿宋" w:hAnsi="仿宋" w:eastAsia="仿宋" w:cs="仿宋"/>
          <w:color w:val="000000"/>
          <w:sz w:val="32"/>
          <w:szCs w:val="32"/>
        </w:rPr>
        <w:t>2019年内我局完成各险种征收任务，按时足额发放</w:t>
      </w:r>
      <w:r>
        <w:rPr>
          <w:rFonts w:hint="eastAsia" w:ascii="仿宋" w:hAnsi="仿宋" w:eastAsia="仿宋" w:cs="仿宋"/>
          <w:color w:val="000000" w:themeColor="text1"/>
          <w:sz w:val="32"/>
          <w:szCs w:val="32"/>
        </w:rPr>
        <w:t>基本养老保险、工伤保险</w:t>
      </w:r>
      <w:r>
        <w:rPr>
          <w:rFonts w:hint="eastAsia" w:ascii="仿宋" w:hAnsi="仿宋" w:eastAsia="仿宋" w:cs="仿宋"/>
          <w:color w:val="000000"/>
          <w:sz w:val="32"/>
          <w:szCs w:val="32"/>
        </w:rPr>
        <w:t>待遇。</w:t>
      </w:r>
      <w:r>
        <w:rPr>
          <w:rFonts w:hint="eastAsia" w:ascii="仿宋" w:hAnsi="仿宋" w:eastAsia="仿宋" w:cs="仿宋"/>
          <w:sz w:val="32"/>
          <w:szCs w:val="32"/>
        </w:rPr>
        <w:t>开展全民参保计划扩面专项行动工作，并按时完成所有数据回盘。开展企业降费减负工作，让企业切实感受到了改革的红利，也确保了我县能够刚性的执行降费减负政策。业务工作上</w:t>
      </w:r>
      <w:r>
        <w:rPr>
          <w:rFonts w:ascii="仿宋" w:hAnsi="仿宋" w:eastAsia="仿宋"/>
          <w:color w:val="000000"/>
          <w:sz w:val="32"/>
          <w:szCs w:val="32"/>
        </w:rPr>
        <w:t>加强学习，不断提升经办人员业务素质，在熟练准确掌握和运用社会保险知识及政策的同时，增强工作责任心，实事求是，秉公办事，不断提高办事效率。</w:t>
      </w:r>
      <w:bookmarkEnd w:id="28"/>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5"/>
          <w:b w:val="0"/>
          <w:bCs w:val="0"/>
        </w:rPr>
      </w:pPr>
      <w:bookmarkStart w:id="29" w:name="_Toc15396601"/>
      <w:bookmarkStart w:id="30" w:name="_Toc15377200"/>
      <w:bookmarkStart w:id="31" w:name="_Toc16412"/>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9"/>
      <w:bookmarkEnd w:id="30"/>
      <w:bookmarkEnd w:id="31"/>
    </w:p>
    <w:p>
      <w:pPr>
        <w:wordWrap w:val="0"/>
        <w:ind w:firstLine="600"/>
        <w:jc w:val="left"/>
        <w:rPr>
          <w:rFonts w:ascii="仿宋" w:hAnsi="仿宋" w:eastAsia="仿宋"/>
          <w:color w:val="000000"/>
          <w:kern w:val="0"/>
          <w:sz w:val="32"/>
          <w:szCs w:val="32"/>
        </w:rPr>
      </w:pPr>
      <w:r>
        <w:rPr>
          <w:rFonts w:ascii="仿宋" w:hAnsi="仿宋" w:eastAsia="仿宋"/>
          <w:color w:val="000000"/>
          <w:kern w:val="0"/>
          <w:sz w:val="32"/>
          <w:szCs w:val="32"/>
        </w:rPr>
        <w:t>我单位为独立核算财政全额拨款参公单位。内设7个股室，（办公室，财务股，统征股，退管股，机保股，工伤生育股，稽核股）。</w:t>
      </w:r>
    </w:p>
    <w:p>
      <w:pPr>
        <w:wordWrap w:val="0"/>
        <w:ind w:firstLine="600"/>
        <w:jc w:val="left"/>
        <w:rPr>
          <w:rFonts w:ascii="仿宋" w:hAnsi="仿宋" w:eastAsia="仿宋"/>
          <w:color w:val="000000"/>
          <w:kern w:val="0"/>
          <w:sz w:val="32"/>
          <w:szCs w:val="32"/>
        </w:rPr>
      </w:pPr>
      <w:r>
        <w:rPr>
          <w:rFonts w:ascii="仿宋" w:hAnsi="仿宋" w:eastAsia="仿宋"/>
          <w:color w:val="000000"/>
          <w:kern w:val="0"/>
          <w:sz w:val="32"/>
          <w:szCs w:val="32"/>
        </w:rPr>
        <w:t>人员情况，截止201</w:t>
      </w:r>
      <w:r>
        <w:rPr>
          <w:rFonts w:hint="eastAsia" w:ascii="仿宋" w:hAnsi="仿宋" w:eastAsia="仿宋"/>
          <w:color w:val="000000"/>
          <w:kern w:val="0"/>
          <w:sz w:val="32"/>
          <w:szCs w:val="32"/>
        </w:rPr>
        <w:t>9</w:t>
      </w:r>
      <w:r>
        <w:rPr>
          <w:rFonts w:ascii="仿宋" w:hAnsi="仿宋" w:eastAsia="仿宋"/>
          <w:color w:val="000000"/>
          <w:kern w:val="0"/>
          <w:sz w:val="32"/>
          <w:szCs w:val="32"/>
        </w:rPr>
        <w:t>年底我单位共有编制1</w:t>
      </w:r>
      <w:r>
        <w:rPr>
          <w:rFonts w:hint="eastAsia" w:ascii="仿宋" w:hAnsi="仿宋" w:eastAsia="仿宋"/>
          <w:color w:val="000000"/>
          <w:kern w:val="0"/>
          <w:sz w:val="32"/>
          <w:szCs w:val="32"/>
        </w:rPr>
        <w:t>8</w:t>
      </w:r>
      <w:r>
        <w:rPr>
          <w:rFonts w:ascii="仿宋" w:hAnsi="仿宋" w:eastAsia="仿宋"/>
          <w:color w:val="000000"/>
          <w:kern w:val="0"/>
          <w:sz w:val="32"/>
          <w:szCs w:val="32"/>
        </w:rPr>
        <w:t>个，其中公务员（参公）编制1</w:t>
      </w:r>
      <w:r>
        <w:rPr>
          <w:rFonts w:hint="eastAsia" w:ascii="仿宋" w:hAnsi="仿宋" w:eastAsia="仿宋"/>
          <w:color w:val="000000"/>
          <w:kern w:val="0"/>
          <w:sz w:val="32"/>
          <w:szCs w:val="32"/>
        </w:rPr>
        <w:t>7</w:t>
      </w:r>
      <w:r>
        <w:rPr>
          <w:rFonts w:ascii="仿宋" w:hAnsi="仿宋" w:eastAsia="仿宋"/>
          <w:color w:val="000000"/>
          <w:kern w:val="0"/>
          <w:sz w:val="32"/>
          <w:szCs w:val="32"/>
        </w:rPr>
        <w:t>个，行政工勤编制1个，在职1</w:t>
      </w:r>
      <w:r>
        <w:rPr>
          <w:rFonts w:hint="eastAsia" w:ascii="仿宋" w:hAnsi="仿宋" w:eastAsia="仿宋"/>
          <w:color w:val="000000"/>
          <w:kern w:val="0"/>
          <w:sz w:val="32"/>
          <w:szCs w:val="32"/>
        </w:rPr>
        <w:t>7</w:t>
      </w:r>
      <w:r>
        <w:rPr>
          <w:rFonts w:ascii="仿宋" w:hAnsi="仿宋" w:eastAsia="仿宋"/>
          <w:color w:val="000000"/>
          <w:kern w:val="0"/>
          <w:sz w:val="32"/>
          <w:szCs w:val="32"/>
        </w:rPr>
        <w:t>人，其中参公1</w:t>
      </w:r>
      <w:r>
        <w:rPr>
          <w:rFonts w:hint="eastAsia" w:ascii="仿宋" w:hAnsi="仿宋" w:eastAsia="仿宋"/>
          <w:color w:val="000000"/>
          <w:kern w:val="0"/>
          <w:sz w:val="32"/>
          <w:szCs w:val="32"/>
        </w:rPr>
        <w:t>6</w:t>
      </w:r>
      <w:r>
        <w:rPr>
          <w:rFonts w:ascii="仿宋" w:hAnsi="仿宋" w:eastAsia="仿宋"/>
          <w:color w:val="000000"/>
          <w:kern w:val="0"/>
          <w:sz w:val="32"/>
          <w:szCs w:val="32"/>
        </w:rPr>
        <w:t>人，行政工勤1人。2018年</w:t>
      </w:r>
      <w:r>
        <w:rPr>
          <w:rFonts w:hint="eastAsia" w:ascii="仿宋" w:hAnsi="仿宋" w:eastAsia="仿宋"/>
          <w:color w:val="000000"/>
          <w:kern w:val="0"/>
          <w:sz w:val="32"/>
          <w:szCs w:val="32"/>
        </w:rPr>
        <w:t>在职死亡一名，人员调离一名</w:t>
      </w:r>
      <w:r>
        <w:rPr>
          <w:rFonts w:ascii="仿宋" w:hAnsi="仿宋" w:eastAsia="仿宋"/>
          <w:color w:val="000000"/>
          <w:kern w:val="0"/>
          <w:sz w:val="32"/>
          <w:szCs w:val="32"/>
        </w:rPr>
        <w:t>。</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32" w:name="_Toc15377204"/>
      <w:bookmarkStart w:id="33" w:name="_Toc15396602"/>
      <w:bookmarkStart w:id="34" w:name="_Toc16388"/>
      <w:r>
        <w:rPr>
          <w:rFonts w:hint="eastAsia" w:ascii="黑体" w:hAnsi="黑体" w:eastAsia="黑体"/>
          <w:b w:val="0"/>
          <w:color w:val="000000"/>
        </w:rPr>
        <w:t>第二部分</w:t>
      </w:r>
      <w:r>
        <w:rPr>
          <w:rStyle w:val="24"/>
          <w:rFonts w:hint="eastAsia" w:ascii="黑体" w:hAnsi="黑体" w:eastAsia="黑体"/>
          <w:b w:val="0"/>
          <w:bCs w:val="0"/>
        </w:rPr>
        <w:t>2019年度部门决算情况说明</w:t>
      </w:r>
      <w:bookmarkEnd w:id="32"/>
      <w:bookmarkEnd w:id="33"/>
      <w:bookmarkEnd w:id="34"/>
    </w:p>
    <w:p/>
    <w:p>
      <w:pPr>
        <w:pStyle w:val="23"/>
        <w:numPr>
          <w:ilvl w:val="0"/>
          <w:numId w:val="1"/>
        </w:numPr>
        <w:spacing w:line="600" w:lineRule="exact"/>
        <w:ind w:firstLineChars="0"/>
        <w:outlineLvl w:val="1"/>
        <w:rPr>
          <w:rStyle w:val="25"/>
          <w:rFonts w:ascii="黑体" w:hAnsi="黑体" w:eastAsia="黑体"/>
          <w:b w:val="0"/>
        </w:rPr>
      </w:pPr>
      <w:bookmarkStart w:id="35" w:name="_Toc15396603"/>
      <w:bookmarkStart w:id="36" w:name="_Toc15377205"/>
      <w:bookmarkStart w:id="37" w:name="_Toc2045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5"/>
      <w:bookmarkEnd w:id="36"/>
      <w:bookmarkEnd w:id="37"/>
    </w:p>
    <w:p>
      <w:pPr>
        <w:widowControl/>
        <w:snapToGrid w:val="0"/>
        <w:spacing w:line="588" w:lineRule="exact"/>
        <w:ind w:firstLine="640"/>
        <w:jc w:val="left"/>
        <w:rPr>
          <w:rFonts w:ascii="仿宋" w:hAnsi="仿宋" w:eastAsia="仿宋"/>
          <w:sz w:val="32"/>
        </w:rPr>
      </w:pPr>
      <w:r>
        <w:rPr>
          <w:rFonts w:ascii="仿宋" w:hAnsi="仿宋" w:eastAsia="仿宋"/>
          <w:color w:val="000000"/>
          <w:sz w:val="32"/>
          <w:szCs w:val="32"/>
        </w:rPr>
        <w:t>2019年度收入总计309万元。与2018年比，收入增加5万元，增长率为1.64%。2019年我单位支出总计340万元，与2018年相比，支出总计增加33万元，增长率为10.75%。主要变动原因</w:t>
      </w:r>
      <w:r>
        <w:rPr>
          <w:rFonts w:ascii="仿宋" w:hAnsi="仿宋" w:eastAsia="仿宋"/>
          <w:sz w:val="32"/>
        </w:rPr>
        <w:t>是201</w:t>
      </w:r>
      <w:r>
        <w:rPr>
          <w:rFonts w:hint="eastAsia" w:ascii="仿宋" w:hAnsi="仿宋" w:eastAsia="仿宋"/>
          <w:sz w:val="32"/>
        </w:rPr>
        <w:t>9</w:t>
      </w:r>
      <w:r>
        <w:rPr>
          <w:rFonts w:ascii="仿宋" w:hAnsi="仿宋" w:eastAsia="仿宋"/>
          <w:sz w:val="32"/>
        </w:rPr>
        <w:t>年</w:t>
      </w:r>
      <w:r>
        <w:rPr>
          <w:rFonts w:hint="eastAsia" w:ascii="仿宋" w:hAnsi="仿宋" w:eastAsia="仿宋"/>
          <w:sz w:val="32"/>
        </w:rPr>
        <w:t>医疗保险及住房公积金基数上调</w:t>
      </w:r>
      <w:r>
        <w:rPr>
          <w:rFonts w:ascii="仿宋" w:hAnsi="仿宋" w:eastAsia="仿宋"/>
          <w:sz w:val="32"/>
        </w:rPr>
        <w:t>。</w:t>
      </w:r>
    </w:p>
    <w:p>
      <w:pPr>
        <w:spacing w:after="160" w:line="600" w:lineRule="exact"/>
        <w:ind w:left="709"/>
        <w:rPr>
          <w:rFonts w:ascii="仿宋" w:hAnsi="仿宋" w:eastAsia="仿宋"/>
          <w:color w:val="000000"/>
          <w:sz w:val="32"/>
          <w:szCs w:val="32"/>
        </w:rPr>
      </w:pPr>
      <w:r>
        <w:rPr>
          <w:rFonts w:ascii="仿宋" w:hAnsi="仿宋" w:eastAsia="仿宋"/>
          <w:color w:val="000000"/>
          <w:sz w:val="32"/>
          <w:szCs w:val="32"/>
        </w:rPr>
        <w:drawing>
          <wp:anchor distT="0" distB="0" distL="0" distR="0" simplePos="0" relativeHeight="251659264" behindDoc="0" locked="0" layoutInCell="1" allowOverlap="1">
            <wp:simplePos x="0" y="0"/>
            <wp:positionH relativeFrom="column">
              <wp:posOffset>431800</wp:posOffset>
            </wp:positionH>
            <wp:positionV relativeFrom="paragraph">
              <wp:posOffset>346075</wp:posOffset>
            </wp:positionV>
            <wp:extent cx="4267200" cy="2838450"/>
            <wp:effectExtent l="19050" t="0" r="19050" b="0"/>
            <wp:wrapSquare wrapText="bothSides"/>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3"/>
        <w:spacing w:line="600" w:lineRule="exact"/>
        <w:ind w:firstLineChars="0"/>
        <w:outlineLvl w:val="1"/>
        <w:rPr>
          <w:rStyle w:val="25"/>
          <w:rFonts w:ascii="黑体" w:hAnsi="黑体" w:eastAsia="黑体"/>
          <w:b w:val="0"/>
        </w:rPr>
      </w:pPr>
    </w:p>
    <w:p>
      <w:pPr>
        <w:pStyle w:val="23"/>
        <w:spacing w:line="600" w:lineRule="exact"/>
        <w:ind w:firstLineChars="0"/>
        <w:outlineLvl w:val="1"/>
        <w:rPr>
          <w:rStyle w:val="25"/>
          <w:rFonts w:ascii="黑体" w:hAnsi="黑体" w:eastAsia="黑体"/>
          <w:b w:val="0"/>
        </w:rPr>
      </w:pPr>
    </w:p>
    <w:p>
      <w:pPr>
        <w:pStyle w:val="23"/>
        <w:spacing w:line="600" w:lineRule="exact"/>
        <w:ind w:firstLineChars="0"/>
        <w:outlineLvl w:val="1"/>
        <w:rPr>
          <w:rStyle w:val="25"/>
          <w:rFonts w:ascii="黑体" w:hAnsi="黑体" w:eastAsia="黑体"/>
          <w:b w:val="0"/>
        </w:rPr>
      </w:pPr>
    </w:p>
    <w:p>
      <w:pPr>
        <w:pStyle w:val="23"/>
        <w:spacing w:line="600" w:lineRule="exact"/>
        <w:ind w:firstLineChars="0"/>
        <w:outlineLvl w:val="1"/>
        <w:rPr>
          <w:rStyle w:val="25"/>
          <w:rFonts w:ascii="黑体" w:hAnsi="黑体" w:eastAsia="黑体"/>
          <w:b w:val="0"/>
        </w:rPr>
      </w:pPr>
    </w:p>
    <w:p>
      <w:pPr>
        <w:pStyle w:val="23"/>
        <w:spacing w:line="600" w:lineRule="exact"/>
        <w:ind w:firstLineChars="0"/>
        <w:outlineLvl w:val="1"/>
        <w:rPr>
          <w:rStyle w:val="25"/>
          <w:rFonts w:ascii="黑体" w:hAnsi="黑体" w:eastAsia="黑体"/>
          <w:b w:val="0"/>
        </w:rPr>
      </w:pPr>
    </w:p>
    <w:p>
      <w:pPr>
        <w:pStyle w:val="23"/>
        <w:spacing w:line="600" w:lineRule="exact"/>
        <w:ind w:firstLineChars="0"/>
        <w:outlineLvl w:val="1"/>
        <w:rPr>
          <w:rStyle w:val="25"/>
          <w:rFonts w:ascii="黑体" w:hAnsi="黑体" w:eastAsia="黑体"/>
          <w:b w:val="0"/>
        </w:rPr>
      </w:pPr>
    </w:p>
    <w:p>
      <w:pPr>
        <w:pStyle w:val="23"/>
        <w:numPr>
          <w:ilvl w:val="0"/>
          <w:numId w:val="1"/>
        </w:numPr>
        <w:spacing w:line="600" w:lineRule="exact"/>
        <w:ind w:firstLineChars="0"/>
        <w:outlineLvl w:val="1"/>
        <w:rPr>
          <w:rStyle w:val="25"/>
          <w:rFonts w:ascii="黑体" w:hAnsi="黑体" w:eastAsia="黑体"/>
          <w:b w:val="0"/>
        </w:rPr>
      </w:pPr>
      <w:bookmarkStart w:id="38" w:name="_Toc15377206"/>
      <w:bookmarkStart w:id="39" w:name="_Toc15396604"/>
      <w:bookmarkStart w:id="40" w:name="_Toc21494"/>
      <w:r>
        <w:rPr>
          <w:rFonts w:hint="eastAsia" w:ascii="黑体" w:hAnsi="黑体" w:eastAsia="黑体"/>
          <w:color w:val="000000"/>
          <w:sz w:val="32"/>
          <w:szCs w:val="32"/>
        </w:rPr>
        <w:t>收</w:t>
      </w:r>
      <w:r>
        <w:rPr>
          <w:rStyle w:val="25"/>
          <w:rFonts w:hint="eastAsia" w:ascii="黑体" w:hAnsi="黑体" w:eastAsia="黑体"/>
          <w:b w:val="0"/>
        </w:rPr>
        <w:t>入决算情况说明</w:t>
      </w:r>
      <w:bookmarkEnd w:id="38"/>
      <w:bookmarkEnd w:id="39"/>
      <w:bookmarkEnd w:id="40"/>
    </w:p>
    <w:p>
      <w:pPr>
        <w:spacing w:after="160" w:line="600" w:lineRule="exact"/>
        <w:ind w:left="710" w:leftChars="338" w:firstLine="480" w:firstLineChars="150"/>
        <w:outlineLvl w:val="1"/>
        <w:rPr>
          <w:rFonts w:ascii="仿宋" w:hAnsi="仿宋" w:eastAsia="仿宋"/>
          <w:color w:val="000000"/>
          <w:sz w:val="32"/>
          <w:szCs w:val="32"/>
        </w:rPr>
      </w:pPr>
      <w:bookmarkStart w:id="41" w:name="_Toc17760"/>
      <w:r>
        <w:rPr>
          <w:rFonts w:ascii="仿宋" w:hAnsi="仿宋" w:eastAsia="仿宋"/>
          <w:color w:val="000000"/>
          <w:sz w:val="32"/>
          <w:szCs w:val="32"/>
        </w:rPr>
        <w:t>2019年本年收入合计309万元，其中：一般公共预算财政拨款收入309万元，占100%。年初收入结转结余38万元。</w:t>
      </w:r>
      <w:bookmarkEnd w:id="41"/>
    </w:p>
    <w:p>
      <w:pPr>
        <w:pStyle w:val="30"/>
        <w:numPr>
          <w:ilvl w:val="0"/>
          <w:numId w:val="1"/>
        </w:numPr>
        <w:spacing w:after="160" w:line="600" w:lineRule="exact"/>
        <w:ind w:firstLineChars="0"/>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0" distR="0" simplePos="0" relativeHeight="251661312" behindDoc="1" locked="0" layoutInCell="1" allowOverlap="1">
            <wp:simplePos x="0" y="0"/>
            <wp:positionH relativeFrom="column">
              <wp:posOffset>163195</wp:posOffset>
            </wp:positionH>
            <wp:positionV relativeFrom="paragraph">
              <wp:posOffset>-1754505</wp:posOffset>
            </wp:positionV>
            <wp:extent cx="4610100" cy="2581275"/>
            <wp:effectExtent l="19050" t="0" r="19050" b="0"/>
            <wp:wrapTight wrapText="bothSides">
              <wp:wrapPolygon>
                <wp:start x="-89" y="0"/>
                <wp:lineTo x="-89" y="21520"/>
                <wp:lineTo x="21689" y="21520"/>
                <wp:lineTo x="21689" y="0"/>
                <wp:lineTo x="-89" y="0"/>
              </wp:wrapPolygon>
            </wp:wrapTight>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42" w:name="_Toc28194"/>
      <w:bookmarkStart w:id="43" w:name="_Toc15396605"/>
      <w:bookmarkStart w:id="44"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42"/>
      <w:bookmarkEnd w:id="43"/>
      <w:bookmarkEnd w:id="44"/>
    </w:p>
    <w:p>
      <w:pPr>
        <w:spacing w:after="160" w:line="600" w:lineRule="exact"/>
        <w:ind w:left="567" w:leftChars="270" w:firstLine="480" w:firstLineChars="150"/>
        <w:rPr>
          <w:rFonts w:ascii="仿宋" w:hAnsi="仿宋" w:eastAsia="仿宋"/>
          <w:color w:val="000000"/>
          <w:sz w:val="32"/>
          <w:szCs w:val="32"/>
        </w:rPr>
      </w:pPr>
      <w:r>
        <w:rPr>
          <w:rFonts w:ascii="仿宋" w:hAnsi="仿宋" w:eastAsia="仿宋"/>
          <w:color w:val="000000"/>
          <w:sz w:val="32"/>
          <w:szCs w:val="32"/>
        </w:rPr>
        <w:t>2019年本年支出合计340万元，其中：基本支出340万元，占100%；2019年年末支出结转和结余6万元。</w:t>
      </w:r>
    </w:p>
    <w:p>
      <w:pPr>
        <w:spacing w:after="160" w:line="600" w:lineRule="exact"/>
        <w:rPr>
          <w:rFonts w:ascii="仿宋" w:hAnsi="仿宋" w:eastAsia="仿宋"/>
          <w:color w:val="000000"/>
          <w:sz w:val="32"/>
          <w:szCs w:val="32"/>
          <w:shd w:val="pct10" w:color="000000" w:fill="FFFFFF"/>
        </w:rPr>
      </w:pPr>
      <w:r>
        <w:drawing>
          <wp:anchor distT="0" distB="0" distL="0" distR="0" simplePos="0" relativeHeight="251663360" behindDoc="0" locked="0" layoutInCell="1" allowOverlap="1">
            <wp:simplePos x="0" y="0"/>
            <wp:positionH relativeFrom="column">
              <wp:posOffset>-123190</wp:posOffset>
            </wp:positionH>
            <wp:positionV relativeFrom="paragraph">
              <wp:posOffset>48260</wp:posOffset>
            </wp:positionV>
            <wp:extent cx="5486400" cy="3200400"/>
            <wp:effectExtent l="19050" t="0" r="19050" b="0"/>
            <wp:wrapSquare wrapText="bothSides"/>
            <wp:docPr id="1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45" w:name="_Toc23305"/>
      <w:bookmarkStart w:id="46" w:name="_Toc15396606"/>
      <w:bookmarkStart w:id="47"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5"/>
      <w:bookmarkEnd w:id="46"/>
      <w:bookmarkEnd w:id="47"/>
    </w:p>
    <w:p>
      <w:pPr>
        <w:spacing w:after="160" w:line="600" w:lineRule="exact"/>
        <w:ind w:firstLine="640"/>
        <w:rPr>
          <w:rFonts w:ascii="仿宋" w:hAnsi="仿宋" w:eastAsia="仿宋"/>
          <w:color w:val="000000"/>
          <w:sz w:val="32"/>
          <w:szCs w:val="32"/>
        </w:rPr>
      </w:pPr>
      <w:r>
        <w:rPr>
          <w:rFonts w:ascii="仿宋" w:hAnsi="仿宋" w:eastAsia="仿宋"/>
          <w:color w:val="000000"/>
          <w:sz w:val="32"/>
          <w:szCs w:val="32"/>
        </w:rPr>
        <w:t>2019年度收入总计309万元。与2017年比，收入增加5万元，增长率为1.64%。2019年我单位支出总计340万元，与2017年相比，支出总计增加33万元，增长率为10.75%。主要变动原因</w:t>
      </w:r>
      <w:r>
        <w:rPr>
          <w:rFonts w:ascii="仿宋" w:hAnsi="仿宋" w:eastAsia="仿宋"/>
          <w:sz w:val="32"/>
        </w:rPr>
        <w:t>是201</w:t>
      </w:r>
      <w:r>
        <w:rPr>
          <w:rFonts w:hint="eastAsia" w:ascii="仿宋" w:hAnsi="仿宋" w:eastAsia="仿宋"/>
          <w:sz w:val="32"/>
        </w:rPr>
        <w:t>9</w:t>
      </w:r>
      <w:r>
        <w:rPr>
          <w:rFonts w:ascii="仿宋" w:hAnsi="仿宋" w:eastAsia="仿宋"/>
          <w:sz w:val="32"/>
        </w:rPr>
        <w:t>年</w:t>
      </w:r>
      <w:r>
        <w:rPr>
          <w:rFonts w:hint="eastAsia" w:ascii="仿宋" w:hAnsi="仿宋" w:eastAsia="仿宋"/>
          <w:sz w:val="32"/>
        </w:rPr>
        <w:t>医疗保险及住房公积金基数上调</w:t>
      </w:r>
      <w:r>
        <w:rPr>
          <w:rFonts w:ascii="仿宋" w:hAnsi="仿宋" w:eastAsia="仿宋"/>
          <w:sz w:val="32"/>
        </w:rPr>
        <w:t>。</w:t>
      </w:r>
    </w:p>
    <w:p>
      <w:pPr>
        <w:spacing w:after="160" w:line="600" w:lineRule="exact"/>
        <w:ind w:firstLine="640"/>
        <w:rPr>
          <w:rFonts w:ascii="仿宋" w:hAnsi="仿宋" w:eastAsia="仿宋"/>
          <w:color w:val="000000" w:themeColor="text1"/>
          <w:sz w:val="32"/>
          <w:szCs w:val="32"/>
        </w:rPr>
      </w:pPr>
      <w:r>
        <w:drawing>
          <wp:anchor distT="0" distB="0" distL="0" distR="0" simplePos="0" relativeHeight="251665408" behindDoc="0" locked="0" layoutInCell="1" allowOverlap="1">
            <wp:simplePos x="0" y="0"/>
            <wp:positionH relativeFrom="column">
              <wp:posOffset>29210</wp:posOffset>
            </wp:positionH>
            <wp:positionV relativeFrom="paragraph">
              <wp:posOffset>135890</wp:posOffset>
            </wp:positionV>
            <wp:extent cx="5486400" cy="3200400"/>
            <wp:effectExtent l="15875" t="15875" r="15875" b="15875"/>
            <wp:wrapSquare wrapText="bothSides"/>
            <wp:docPr id="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hAnsi="仿宋" w:eastAsia="仿宋"/>
          <w:color w:val="000000" w:themeColor="text1"/>
          <w:sz w:val="32"/>
          <w:szCs w:val="32"/>
        </w:rPr>
        <w:t>（4：财政拨款收、支决算总计变动情况）（柱状图）</w:t>
      </w:r>
      <w:r>
        <w:rPr>
          <w:rFonts w:eastAsia="Times New Roman"/>
          <w:sz w:val="20"/>
          <w:szCs w:val="21"/>
        </w:rPr>
        <w:pict>
          <v:shape id="文本框 11" o:spid="_x0000_s2050" o:spt="202" type="#_x0000_t202" style="position:absolute;left:0pt;margin-left:2.3pt;margin-top:265.45pt;height:27.5pt;width:432pt;mso-wrap-distance-bottom:0pt;mso-wrap-distance-left:0pt;mso-wrap-distance-right:0pt;mso-wrap-distance-top:0pt;z-index:251666432;mso-width-relative:page;mso-height-relative:page;" stroked="f" coordsize="21600,21600" o:gfxdata="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Ds&#10;rz3YAAAACQEAAA8AAAAAAAAAAQAgAAAAIgAAAGRycy9kb3ducmV2LnhtbFBLAQIUABQAAAAIAIdO&#10;4kBulauPIwIAACAEAAAOAAAAAAAAAAEAIAAAACcBAABkcnMvZTJvRG9jLnhtbFBLBQYAAAAABgAG&#10;AFkBAAC8BQAAAAA=&#10;">
            <v:path/>
            <v:fill focussize="0,0"/>
            <v:stroke on="f" weight="0pt" joinstyle="miter"/>
            <v:imagedata o:title=""/>
            <o:lock v:ext="edit"/>
            <v:textbox inset="7.05pt,3.65pt,7.05pt,3.65pt">
              <w:txbxContent>
                <w:p>
                  <w:pPr>
                    <w:wordWrap w:val="0"/>
                    <w:jc w:val="left"/>
                    <w:rPr>
                      <w:rFonts w:ascii="宋体" w:hAnsi="宋体"/>
                      <w:color w:val="000000"/>
                      <w:sz w:val="20"/>
                      <w:szCs w:val="20"/>
                    </w:rPr>
                  </w:pPr>
                </w:p>
              </w:txbxContent>
            </v:textbox>
            <w10:wrap type="square"/>
          </v:shape>
        </w:pic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5"/>
          <w:rFonts w:ascii="黑体" w:hAnsi="黑体" w:eastAsia="黑体"/>
          <w:b w:val="0"/>
        </w:rPr>
      </w:pPr>
      <w:bookmarkStart w:id="48" w:name="_Toc15396607"/>
      <w:bookmarkStart w:id="49" w:name="_Toc15377209"/>
      <w:bookmarkStart w:id="50" w:name="_Toc109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8"/>
      <w:bookmarkEnd w:id="49"/>
      <w:bookmarkEnd w:id="50"/>
    </w:p>
    <w:p>
      <w:pPr>
        <w:spacing w:line="600" w:lineRule="exact"/>
        <w:ind w:firstLine="643" w:firstLineChars="200"/>
        <w:outlineLvl w:val="2"/>
        <w:rPr>
          <w:rFonts w:ascii="仿宋" w:hAnsi="仿宋" w:eastAsia="仿宋"/>
          <w:b/>
          <w:color w:val="000000"/>
          <w:sz w:val="32"/>
          <w:szCs w:val="32"/>
        </w:rPr>
      </w:pPr>
      <w:bookmarkStart w:id="51" w:name="_Toc15377210"/>
      <w:bookmarkStart w:id="52" w:name="_Toc2162"/>
      <w:r>
        <w:rPr>
          <w:rFonts w:hint="eastAsia" w:ascii="仿宋" w:hAnsi="仿宋" w:eastAsia="仿宋"/>
          <w:b/>
          <w:color w:val="000000"/>
          <w:sz w:val="32"/>
          <w:szCs w:val="32"/>
        </w:rPr>
        <w:t>（一）一般公共预算财政拨款支出决算总体情况</w:t>
      </w:r>
      <w:bookmarkEnd w:id="51"/>
      <w:bookmarkEnd w:id="52"/>
    </w:p>
    <w:p>
      <w:pPr>
        <w:spacing w:after="160" w:line="600" w:lineRule="exact"/>
        <w:ind w:firstLine="640"/>
        <w:rPr>
          <w:rFonts w:ascii="仿宋" w:hAnsi="仿宋" w:eastAsia="仿宋"/>
          <w:color w:val="000000"/>
          <w:sz w:val="32"/>
          <w:szCs w:val="32"/>
        </w:rPr>
      </w:pPr>
      <w:r>
        <w:rPr>
          <w:rFonts w:ascii="仿宋" w:hAnsi="仿宋" w:eastAsia="仿宋"/>
          <w:color w:val="000000"/>
          <w:sz w:val="32"/>
          <w:szCs w:val="32"/>
        </w:rPr>
        <w:t>2019年一般公共预算财政拨款支出340万元，</w:t>
      </w:r>
      <w:r>
        <w:rPr>
          <w:rFonts w:eastAsia="Times New Roman"/>
          <w:sz w:val="20"/>
          <w:szCs w:val="21"/>
        </w:rPr>
        <w:pict>
          <v:shape id="_x0000_s2051" o:spid="_x0000_s2051" o:spt="202" type="#_x0000_t202" style="position:absolute;left:0pt;margin-left:6.55pt;margin-top:382.65pt;height:27.75pt;width:432.25pt;mso-wrap-distance-bottom:0pt;mso-wrap-distance-left:0pt;mso-wrap-distance-right:0pt;mso-wrap-distance-top:0pt;z-index:251669504;mso-width-relative:page;mso-height-relative:page;" stroked="f" coordsize="21600,21600" o:gfxdata="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l54YnZAAAACgEAAA8AAAAAAAAAAQAgAAAAIgAAAGRycy9kb3ducmV2LnhtbFBLAQIUABQAAAAI&#10;AIdO4kBz0AWoJQIAAB8EAAAOAAAAAAAAAAEAIAAAACgBAABkcnMvZTJvRG9jLnhtbFBLBQYAAAAA&#10;BgAGAFkBAAC/BQAAAAA=&#10;">
            <v:path/>
            <v:fill focussize="0,0"/>
            <v:stroke on="f" weight="0pt" joinstyle="miter"/>
            <v:imagedata o:title=""/>
            <o:lock v:ext="edit"/>
            <v:textbox inset="7.05pt,3.65pt,7.05pt,3.65pt">
              <w:txbxContent>
                <w:p>
                  <w:pPr>
                    <w:wordWrap w:val="0"/>
                    <w:jc w:val="left"/>
                    <w:rPr>
                      <w:rFonts w:ascii="宋体" w:hAnsi="宋体"/>
                      <w:color w:val="000000"/>
                      <w:sz w:val="20"/>
                      <w:szCs w:val="20"/>
                    </w:rPr>
                  </w:pPr>
                </w:p>
              </w:txbxContent>
            </v:textbox>
            <w10:wrap type="square"/>
          </v:shape>
        </w:pict>
      </w:r>
      <w:r>
        <w:rPr>
          <w:rFonts w:ascii="仿宋" w:hAnsi="仿宋" w:eastAsia="仿宋"/>
          <w:color w:val="000000"/>
          <w:sz w:val="32"/>
          <w:szCs w:val="32"/>
        </w:rPr>
        <w:t>与2018年相比，一般公共预算财政拨款增加33万元，增加10.75%。主要变动原因</w:t>
      </w:r>
      <w:r>
        <w:rPr>
          <w:rFonts w:ascii="仿宋" w:hAnsi="仿宋" w:eastAsia="仿宋"/>
          <w:sz w:val="32"/>
        </w:rPr>
        <w:t>是201</w:t>
      </w:r>
      <w:r>
        <w:rPr>
          <w:rFonts w:hint="eastAsia" w:ascii="仿宋" w:hAnsi="仿宋" w:eastAsia="仿宋"/>
          <w:sz w:val="32"/>
        </w:rPr>
        <w:t>9</w:t>
      </w:r>
      <w:r>
        <w:rPr>
          <w:rFonts w:ascii="仿宋" w:hAnsi="仿宋" w:eastAsia="仿宋"/>
          <w:sz w:val="32"/>
        </w:rPr>
        <w:t>年</w:t>
      </w:r>
      <w:r>
        <w:rPr>
          <w:rFonts w:hint="eastAsia" w:ascii="仿宋" w:hAnsi="仿宋" w:eastAsia="仿宋"/>
          <w:sz w:val="32"/>
        </w:rPr>
        <w:t>医疗保险及住房公积金基数上调</w:t>
      </w:r>
      <w:r>
        <w:rPr>
          <w:rFonts w:ascii="仿宋" w:hAnsi="仿宋" w:eastAsia="仿宋"/>
          <w:sz w:val="32"/>
        </w:rPr>
        <w:t>。</w:t>
      </w:r>
    </w:p>
    <w:p>
      <w:pPr>
        <w:spacing w:after="160" w:line="600" w:lineRule="exact"/>
        <w:rPr>
          <w:rFonts w:ascii="仿宋" w:hAnsi="仿宋" w:eastAsia="仿宋"/>
          <w:color w:val="000000" w:themeColor="text1"/>
          <w:sz w:val="32"/>
          <w:szCs w:val="32"/>
        </w:rPr>
      </w:pPr>
      <w:r>
        <w:rPr>
          <w:rFonts w:eastAsia="Times New Roman"/>
          <w:sz w:val="20"/>
          <w:szCs w:val="21"/>
        </w:rPr>
        <w:pict>
          <v:shape id="文本框 10" o:spid="_x0000_s2052" o:spt="202" type="#_x0000_t202" style="position:absolute;left:0pt;margin-left:5.7pt;margin-top:254.7pt;height:27.75pt;width:432.25pt;mso-wrap-distance-bottom:0pt;mso-wrap-distance-left:0pt;mso-wrap-distance-right:0pt;mso-wrap-distance-top:0pt;z-index:251670528;mso-width-relative:page;mso-height-relative:page;" stroked="f" coordsize="21600,21600" o:gfxdata="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O&#10;+ESX2QAAAAoBAAAPAAAAAAAAAAEAIAAAACIAAABkcnMvZG93bnJldi54bWxQSwECFAAUAAAACACH&#10;TuJADEybvSMCAAAfBAAADgAAAAAAAAABACAAAAAoAQAAZHJzL2Uyb0RvYy54bWxQSwUGAAAAAAYA&#10;BgBZAQAAvQUAAAAA&#10;">
            <v:path/>
            <v:fill focussize="0,0"/>
            <v:stroke on="f" weight="0pt" joinstyle="miter"/>
            <v:imagedata o:title=""/>
            <o:lock v:ext="edit"/>
            <v:textbox inset="7.05pt,3.65pt,7.05pt,3.65pt">
              <w:txbxContent>
                <w:p>
                  <w:pPr>
                    <w:wordWrap w:val="0"/>
                    <w:jc w:val="left"/>
                    <w:rPr>
                      <w:rFonts w:ascii="宋体" w:hAnsi="宋体"/>
                      <w:color w:val="000000"/>
                      <w:sz w:val="20"/>
                      <w:szCs w:val="20"/>
                    </w:rPr>
                  </w:pPr>
                  <w:r>
                    <w:rPr>
                      <w:rFonts w:ascii="宋体" w:hAnsi="宋体"/>
                      <w:color w:val="000000"/>
                      <w:sz w:val="20"/>
                      <w:szCs w:val="20"/>
                    </w:rPr>
                    <w:t xml:space="preserve">图表 </w:t>
                  </w:r>
                  <w:r>
                    <w:rPr>
                      <w:rFonts w:eastAsia="Times New Roman"/>
                      <w:szCs w:val="21"/>
                    </w:rPr>
                    <w:fldChar w:fldCharType="begin"/>
                  </w:r>
                  <w:r>
                    <w:rPr>
                      <w:rFonts w:eastAsia="Times New Roman"/>
                      <w:szCs w:val="21"/>
                    </w:rPr>
                    <w:instrText xml:space="preserve"> SEQ 图表 \* ARABIC</w:instrText>
                  </w:r>
                  <w:r>
                    <w:rPr>
                      <w:rFonts w:eastAsia="Times New Roman"/>
                      <w:szCs w:val="21"/>
                    </w:rPr>
                    <w:fldChar w:fldCharType="separate"/>
                  </w:r>
                  <w:r>
                    <w:rPr>
                      <w:rFonts w:ascii="宋体" w:hAnsi="宋体"/>
                      <w:color w:val="000000"/>
                      <w:sz w:val="20"/>
                      <w:szCs w:val="20"/>
                    </w:rPr>
                    <w:t>2</w:t>
                  </w:r>
                  <w:r>
                    <w:rPr>
                      <w:rFonts w:ascii="宋体" w:hAnsi="宋体"/>
                      <w:color w:val="000000"/>
                      <w:sz w:val="20"/>
                      <w:szCs w:val="20"/>
                    </w:rPr>
                    <w:fldChar w:fldCharType="end"/>
                  </w:r>
                </w:p>
              </w:txbxContent>
            </v:textbox>
            <w10:wrap type="square"/>
          </v:shape>
        </w:pict>
      </w:r>
      <w:r>
        <w:drawing>
          <wp:anchor distT="0" distB="0" distL="0" distR="0" simplePos="0" relativeHeight="251668480" behindDoc="0" locked="0" layoutInCell="1" allowOverlap="1">
            <wp:simplePos x="0" y="0"/>
            <wp:positionH relativeFrom="column">
              <wp:posOffset>30480</wp:posOffset>
            </wp:positionH>
            <wp:positionV relativeFrom="paragraph">
              <wp:posOffset>19685</wp:posOffset>
            </wp:positionV>
            <wp:extent cx="5486400" cy="3200400"/>
            <wp:effectExtent l="19050" t="0" r="19050" b="0"/>
            <wp:wrapSquare wrapText="bothSides"/>
            <wp:docPr id="1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after="160"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53" w:name="_Toc15377211"/>
      <w:bookmarkStart w:id="54" w:name="_Toc19769"/>
      <w:r>
        <w:rPr>
          <w:rFonts w:hint="eastAsia" w:ascii="仿宋" w:hAnsi="仿宋" w:eastAsia="仿宋"/>
          <w:b/>
          <w:color w:val="000000"/>
          <w:sz w:val="32"/>
          <w:szCs w:val="32"/>
        </w:rPr>
        <w:t>（二）一般公共预算财政拨款支出决算结构情况</w:t>
      </w:r>
      <w:bookmarkEnd w:id="53"/>
      <w:bookmarkEnd w:id="54"/>
    </w:p>
    <w:p>
      <w:pPr>
        <w:spacing w:after="160" w:line="600" w:lineRule="exact"/>
        <w:ind w:firstLine="640"/>
        <w:rPr>
          <w:rFonts w:ascii="仿宋" w:hAnsi="仿宋" w:eastAsia="仿宋"/>
          <w:color w:val="000000" w:themeColor="text1"/>
          <w:sz w:val="32"/>
          <w:szCs w:val="32"/>
        </w:rPr>
      </w:pPr>
      <w:r>
        <w:rPr>
          <w:rFonts w:ascii="仿宋" w:hAnsi="仿宋" w:eastAsia="仿宋"/>
          <w:b/>
          <w:color w:val="000000" w:themeColor="text1"/>
          <w:sz w:val="32"/>
          <w:szCs w:val="32"/>
        </w:rPr>
        <w:t>2019年一般公共预算财政支出340.35万元，主要用于以下方面：社会保障和就业（类）支出302.38万元，占88.85%；</w:t>
      </w:r>
      <w:r>
        <w:rPr>
          <w:rFonts w:hint="eastAsia" w:ascii="仿宋" w:hAnsi="仿宋" w:eastAsia="仿宋"/>
          <w:b/>
          <w:color w:val="000000" w:themeColor="text1"/>
          <w:sz w:val="32"/>
          <w:szCs w:val="32"/>
        </w:rPr>
        <w:t>卫生健康</w:t>
      </w:r>
      <w:r>
        <w:rPr>
          <w:rFonts w:ascii="仿宋" w:hAnsi="仿宋" w:eastAsia="仿宋"/>
          <w:b/>
          <w:color w:val="000000" w:themeColor="text1"/>
          <w:sz w:val="32"/>
          <w:szCs w:val="32"/>
        </w:rPr>
        <w:t>支出16.08万元，占4.72%；住房保障支出21.89万元，占6.43%；</w:t>
      </w:r>
    </w:p>
    <w:p>
      <w:pPr>
        <w:spacing w:after="160" w:line="600" w:lineRule="exact"/>
        <w:ind w:firstLine="640"/>
        <w:rPr>
          <w:rFonts w:ascii="仿宋" w:hAnsi="仿宋" w:eastAsia="仿宋"/>
          <w:color w:val="000000"/>
          <w:sz w:val="32"/>
          <w:szCs w:val="32"/>
        </w:rPr>
      </w:pPr>
      <w:r>
        <w:drawing>
          <wp:anchor distT="0" distB="0" distL="0" distR="0" simplePos="0" relativeHeight="251672576" behindDoc="0" locked="0" layoutInCell="1" allowOverlap="1">
            <wp:simplePos x="0" y="0"/>
            <wp:positionH relativeFrom="column">
              <wp:posOffset>-170180</wp:posOffset>
            </wp:positionH>
            <wp:positionV relativeFrom="paragraph">
              <wp:posOffset>165100</wp:posOffset>
            </wp:positionV>
            <wp:extent cx="5486400" cy="3200400"/>
            <wp:effectExtent l="19050" t="0" r="19050" b="0"/>
            <wp:wrapSquare wrapText="bothSides"/>
            <wp:docPr id="19"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（图6：一般公共预算财政拨款支出决算结构）（饼状图）</w:t>
      </w:r>
    </w:p>
    <w:p>
      <w:pPr>
        <w:spacing w:line="600" w:lineRule="exact"/>
        <w:ind w:firstLine="64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5" w:name="_Toc22559"/>
      <w:bookmarkStart w:id="56" w:name="_Toc15377212"/>
      <w:r>
        <w:rPr>
          <w:rFonts w:hint="eastAsia" w:ascii="仿宋" w:hAnsi="仿宋" w:eastAsia="仿宋"/>
          <w:b/>
          <w:color w:val="000000"/>
          <w:sz w:val="32"/>
          <w:szCs w:val="32"/>
        </w:rPr>
        <w:t>（三）一般公共预算财政拨款支出决算具体情况</w:t>
      </w:r>
      <w:bookmarkEnd w:id="55"/>
      <w:bookmarkEnd w:id="56"/>
    </w:p>
    <w:p>
      <w:pPr>
        <w:spacing w:after="160" w:line="600" w:lineRule="exact"/>
        <w:ind w:firstLine="643"/>
        <w:outlineLvl w:val="2"/>
        <w:rPr>
          <w:rFonts w:ascii="仿宋" w:hAnsi="仿宋" w:eastAsia="仿宋"/>
          <w:color w:val="FF0000"/>
          <w:sz w:val="32"/>
          <w:szCs w:val="32"/>
        </w:rPr>
      </w:pPr>
      <w:bookmarkStart w:id="57" w:name="_Toc15378460"/>
      <w:bookmarkStart w:id="58" w:name="_Toc15377213"/>
      <w:bookmarkStart w:id="59" w:name="_Toc15377444"/>
      <w:bookmarkStart w:id="60" w:name="_Toc1066"/>
      <w:bookmarkStart w:id="61" w:name="_Toc15396608"/>
      <w:bookmarkStart w:id="62" w:name="_Toc15377214"/>
      <w:r>
        <w:rPr>
          <w:rFonts w:ascii="仿宋" w:hAnsi="仿宋" w:eastAsia="仿宋"/>
          <w:b/>
          <w:color w:val="000000" w:themeColor="text1"/>
          <w:sz w:val="32"/>
          <w:szCs w:val="32"/>
        </w:rPr>
        <w:t>2019年般公共预算支出决算数为340.35</w:t>
      </w:r>
      <w:r>
        <w:rPr>
          <w:rFonts w:ascii="仿宋" w:hAnsi="仿宋" w:eastAsia="仿宋"/>
          <w:color w:val="000000" w:themeColor="text1"/>
          <w:sz w:val="32"/>
          <w:szCs w:val="32"/>
        </w:rPr>
        <w:t>，</w:t>
      </w:r>
      <w:r>
        <w:rPr>
          <w:rStyle w:val="14"/>
          <w:rFonts w:ascii="仿宋" w:hAnsi="仿宋" w:eastAsia="仿宋"/>
          <w:b w:val="0"/>
          <w:color w:val="000000" w:themeColor="text1"/>
          <w:sz w:val="32"/>
          <w:szCs w:val="32"/>
        </w:rPr>
        <w:t>完成</w:t>
      </w:r>
      <w:r>
        <w:rPr>
          <w:rStyle w:val="14"/>
          <w:rFonts w:ascii="仿宋" w:hAnsi="仿宋" w:eastAsia="仿宋"/>
          <w:b w:val="0"/>
          <w:color w:val="000000"/>
          <w:sz w:val="32"/>
          <w:szCs w:val="32"/>
        </w:rPr>
        <w:t>预算100%。其中：</w:t>
      </w:r>
      <w:bookmarkEnd w:id="57"/>
      <w:bookmarkEnd w:id="58"/>
      <w:bookmarkEnd w:id="59"/>
      <w:bookmarkEnd w:id="60"/>
    </w:p>
    <w:p>
      <w:pPr>
        <w:spacing w:after="160" w:line="600" w:lineRule="exact"/>
        <w:ind w:firstLine="643"/>
        <w:rPr>
          <w:rStyle w:val="14"/>
          <w:rFonts w:ascii="仿宋" w:hAnsi="仿宋" w:eastAsia="仿宋"/>
          <w:b w:val="0"/>
          <w:color w:val="000000"/>
          <w:sz w:val="32"/>
          <w:szCs w:val="32"/>
        </w:rPr>
      </w:pPr>
      <w:r>
        <w:rPr>
          <w:rStyle w:val="14"/>
          <w:rFonts w:ascii="仿宋" w:hAnsi="仿宋" w:eastAsia="仿宋"/>
          <w:b w:val="0"/>
          <w:color w:val="000000"/>
          <w:sz w:val="32"/>
          <w:szCs w:val="32"/>
        </w:rPr>
        <w:t>1.社会保障和就业:</w:t>
      </w:r>
    </w:p>
    <w:p>
      <w:pPr>
        <w:spacing w:after="160" w:line="600" w:lineRule="exact"/>
        <w:ind w:firstLine="643"/>
        <w:rPr>
          <w:rFonts w:ascii="仿宋" w:hAnsi="仿宋" w:eastAsia="仿宋"/>
          <w:b/>
          <w:color w:val="000000"/>
          <w:sz w:val="32"/>
          <w:szCs w:val="32"/>
        </w:rPr>
      </w:pPr>
      <w:r>
        <w:rPr>
          <w:rStyle w:val="14"/>
          <w:rFonts w:ascii="仿宋" w:hAnsi="仿宋" w:eastAsia="仿宋"/>
          <w:color w:val="000000"/>
          <w:sz w:val="32"/>
          <w:szCs w:val="32"/>
        </w:rPr>
        <w:t>2080505机关事业单位基本养老保险缴费支出25.1万元，完成100%；2080506机关事业单位职业年金缴费支出11.83万元，完成100%。20801</w:t>
      </w:r>
      <w:r>
        <w:rPr>
          <w:rStyle w:val="14"/>
          <w:rFonts w:hint="eastAsia" w:ascii="仿宋" w:hAnsi="仿宋" w:eastAsia="仿宋"/>
          <w:color w:val="000000"/>
          <w:sz w:val="32"/>
          <w:szCs w:val="32"/>
        </w:rPr>
        <w:t>09</w:t>
      </w:r>
      <w:r>
        <w:rPr>
          <w:rStyle w:val="14"/>
          <w:rFonts w:ascii="仿宋" w:hAnsi="仿宋" w:eastAsia="仿宋"/>
          <w:color w:val="000000"/>
          <w:sz w:val="32"/>
          <w:szCs w:val="32"/>
        </w:rPr>
        <w:t>人力资源和社会保障管理事务265.46万元，合计支出302.39万元，决算数等于预算数的主要原因是严格按照财政拨款支出要求严格控制相关支出。</w:t>
      </w:r>
    </w:p>
    <w:p>
      <w:pPr>
        <w:spacing w:after="160" w:line="600" w:lineRule="exact"/>
        <w:ind w:firstLine="643"/>
        <w:rPr>
          <w:rStyle w:val="14"/>
          <w:rFonts w:ascii="仿宋" w:hAnsi="仿宋" w:eastAsia="仿宋"/>
          <w:b w:val="0"/>
          <w:color w:val="000000"/>
          <w:sz w:val="32"/>
          <w:szCs w:val="32"/>
        </w:rPr>
      </w:pPr>
      <w:r>
        <w:rPr>
          <w:rStyle w:val="14"/>
          <w:rFonts w:ascii="仿宋" w:hAnsi="仿宋" w:eastAsia="仿宋"/>
          <w:b w:val="0"/>
          <w:color w:val="000000"/>
          <w:sz w:val="32"/>
          <w:szCs w:val="32"/>
        </w:rPr>
        <w:t>2.医疗卫生与计划生育:</w:t>
      </w:r>
    </w:p>
    <w:p>
      <w:pPr>
        <w:spacing w:after="160" w:line="600" w:lineRule="exact"/>
        <w:ind w:firstLine="643"/>
        <w:rPr>
          <w:rFonts w:ascii="仿宋" w:hAnsi="仿宋" w:eastAsia="仿宋"/>
          <w:b/>
          <w:color w:val="000000"/>
          <w:sz w:val="32"/>
          <w:szCs w:val="32"/>
        </w:rPr>
      </w:pPr>
      <w:r>
        <w:rPr>
          <w:rStyle w:val="14"/>
          <w:rFonts w:ascii="仿宋" w:hAnsi="仿宋" w:eastAsia="仿宋"/>
          <w:color w:val="000000"/>
          <w:sz w:val="32"/>
          <w:szCs w:val="32"/>
        </w:rPr>
        <w:t>2101101行政单位医疗支出12.88万元，完成预算100%；2101103公务员医疗补助支出0.68万元，完成预算100%；合计支出决算数为13.56万元，完成预算100%，决算数等于预算数的主要原因是严格按照财政拨款支出要求严格控制相关支出。</w:t>
      </w:r>
    </w:p>
    <w:p>
      <w:pPr>
        <w:spacing w:after="160" w:line="600" w:lineRule="exact"/>
        <w:ind w:firstLine="640"/>
      </w:pPr>
      <w:r>
        <w:rPr>
          <w:rFonts w:ascii="仿宋" w:hAnsi="仿宋" w:eastAsia="仿宋"/>
          <w:b/>
          <w:color w:val="000000"/>
          <w:sz w:val="32"/>
          <w:szCs w:val="32"/>
        </w:rPr>
        <w:t>3.住房保障支出：</w:t>
      </w:r>
    </w:p>
    <w:p>
      <w:pPr>
        <w:spacing w:after="160" w:line="600" w:lineRule="exact"/>
        <w:ind w:firstLine="640"/>
        <w:rPr>
          <w:rFonts w:ascii="仿宋" w:hAnsi="仿宋" w:eastAsia="仿宋"/>
          <w:b/>
          <w:color w:val="000000"/>
          <w:sz w:val="32"/>
          <w:szCs w:val="32"/>
        </w:rPr>
      </w:pPr>
      <w:r>
        <w:rPr>
          <w:rFonts w:ascii="仿宋" w:hAnsi="仿宋" w:eastAsia="仿宋"/>
          <w:sz w:val="32"/>
          <w:szCs w:val="32"/>
        </w:rPr>
        <w:t>2210201住房公积金支出21.89万元，完成100%；决算数等于预算数的主要原因是严格按照财政拨款支出要求严格控制相关支出。</w:t>
      </w:r>
    </w:p>
    <w:p>
      <w:pPr>
        <w:tabs>
          <w:tab w:val="right" w:pos="8306"/>
        </w:tabs>
        <w:spacing w:line="600" w:lineRule="exact"/>
        <w:ind w:firstLine="640"/>
        <w:outlineLvl w:val="1"/>
        <w:rPr>
          <w:rFonts w:hint="eastAsia" w:ascii="仿宋" w:hAnsi="仿宋" w:eastAsia="仿宋"/>
          <w:b/>
          <w:color w:val="000000" w:themeColor="text1"/>
          <w:sz w:val="32"/>
          <w:szCs w:val="32"/>
        </w:rPr>
      </w:pPr>
    </w:p>
    <w:p>
      <w:pPr>
        <w:tabs>
          <w:tab w:val="right" w:pos="8306"/>
        </w:tabs>
        <w:spacing w:line="600" w:lineRule="exact"/>
        <w:ind w:firstLine="640"/>
        <w:outlineLvl w:val="1"/>
        <w:rPr>
          <w:rStyle w:val="25"/>
        </w:rPr>
      </w:pPr>
      <w:bookmarkStart w:id="63" w:name="_Toc20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1"/>
      <w:bookmarkEnd w:id="62"/>
      <w:bookmarkEnd w:id="63"/>
      <w:r>
        <w:rPr>
          <w:rStyle w:val="25"/>
          <w:rFonts w:ascii="黑体" w:hAnsi="黑体" w:eastAsia="黑体"/>
          <w:b w:val="0"/>
        </w:rPr>
        <w:tab/>
      </w:r>
    </w:p>
    <w:p>
      <w:pPr>
        <w:spacing w:after="160" w:line="600" w:lineRule="exact"/>
        <w:ind w:firstLine="645"/>
        <w:rPr>
          <w:rFonts w:ascii="仿宋" w:hAnsi="仿宋" w:eastAsia="仿宋"/>
          <w:color w:val="000000"/>
          <w:sz w:val="32"/>
          <w:szCs w:val="32"/>
        </w:rPr>
      </w:pPr>
      <w:r>
        <w:rPr>
          <w:rFonts w:ascii="仿宋" w:hAnsi="仿宋" w:eastAsia="仿宋"/>
          <w:color w:val="000000"/>
          <w:sz w:val="32"/>
          <w:szCs w:val="32"/>
        </w:rPr>
        <w:t>2018年一般公共预算财政拨款基本支出340.35万元，其中：</w:t>
      </w:r>
    </w:p>
    <w:p>
      <w:pPr>
        <w:spacing w:after="160" w:line="600" w:lineRule="exact"/>
        <w:ind w:firstLine="645"/>
        <w:rPr>
          <w:rFonts w:ascii="仿宋" w:hAnsi="仿宋" w:eastAsia="仿宋"/>
          <w:color w:val="000000"/>
          <w:sz w:val="32"/>
          <w:szCs w:val="32"/>
        </w:rPr>
      </w:pPr>
      <w:r>
        <w:rPr>
          <w:rFonts w:ascii="仿宋" w:hAnsi="仿宋" w:eastAsia="仿宋"/>
          <w:color w:val="000000"/>
          <w:sz w:val="32"/>
          <w:szCs w:val="32"/>
        </w:rPr>
        <w:t>人员经费318.22万元，主要包括：基本工资52.35万元、津贴补贴98.86万元、奖金45.8万元、机关事业单位基本养老保险缴费25.1万元、职业年金缴费11.83万元、其他社会保障缴费6.01万元、职工基本医疗保险缴费12.88万元、公务员医疗补助0.68万元、医疗费1.5万元、住房</w:t>
      </w:r>
      <w:r>
        <w:rPr>
          <w:rFonts w:hint="eastAsia" w:ascii="仿宋" w:hAnsi="仿宋" w:eastAsia="仿宋"/>
          <w:color w:val="000000"/>
          <w:sz w:val="32"/>
          <w:szCs w:val="32"/>
        </w:rPr>
        <w:t>公</w:t>
      </w:r>
      <w:r>
        <w:rPr>
          <w:rFonts w:ascii="仿宋" w:hAnsi="仿宋" w:eastAsia="仿宋"/>
          <w:color w:val="000000"/>
          <w:sz w:val="32"/>
          <w:szCs w:val="32"/>
        </w:rPr>
        <w:t>积金21.89万元。</w:t>
      </w:r>
      <w:r>
        <w:rPr>
          <w:rFonts w:ascii="仿宋" w:hAnsi="仿宋" w:eastAsia="仿宋"/>
          <w:color w:val="000000"/>
          <w:sz w:val="32"/>
          <w:szCs w:val="32"/>
        </w:rPr>
        <w:br w:type="textWrapping" w:clear="all"/>
      </w:r>
      <w:r>
        <w:rPr>
          <w:rFonts w:ascii="仿宋" w:hAnsi="仿宋" w:eastAsia="仿宋"/>
          <w:color w:val="000000"/>
          <w:sz w:val="32"/>
          <w:szCs w:val="32"/>
        </w:rPr>
        <w:t>　　公用经费22.13万元，主要包括：办公费11.2万元、电费0.3万元、邮电费0.4万元、差旅费3.9万元、维修（护）费0.86万元、培训费2万元、劳务费0.2万元、公务用车运行维护费2.62万元。</w:t>
      </w:r>
    </w:p>
    <w:p>
      <w:pPr>
        <w:spacing w:line="600" w:lineRule="exact"/>
        <w:ind w:firstLine="645"/>
        <w:rPr>
          <w:rFonts w:ascii="仿宋" w:hAnsi="仿宋" w:eastAsia="仿宋"/>
          <w:color w:val="000000"/>
          <w:sz w:val="32"/>
          <w:szCs w:val="32"/>
        </w:rPr>
      </w:pPr>
    </w:p>
    <w:p>
      <w:pPr>
        <w:spacing w:line="600" w:lineRule="exact"/>
        <w:ind w:firstLine="640"/>
        <w:outlineLvl w:val="1"/>
        <w:rPr>
          <w:rStyle w:val="25"/>
          <w:rFonts w:ascii="黑体" w:hAnsi="黑体" w:eastAsia="黑体"/>
          <w:b w:val="0"/>
        </w:rPr>
      </w:pPr>
      <w:bookmarkStart w:id="64" w:name="_Toc15396609"/>
      <w:bookmarkStart w:id="65" w:name="_Toc5644"/>
      <w:bookmarkStart w:id="66"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4"/>
      <w:bookmarkEnd w:id="65"/>
      <w:bookmarkEnd w:id="66"/>
    </w:p>
    <w:p>
      <w:pPr>
        <w:spacing w:line="600" w:lineRule="exact"/>
        <w:ind w:firstLine="640"/>
        <w:outlineLvl w:val="2"/>
        <w:rPr>
          <w:rFonts w:ascii="仿宋" w:hAnsi="仿宋" w:eastAsia="仿宋"/>
          <w:b/>
          <w:color w:val="000000"/>
          <w:sz w:val="32"/>
          <w:szCs w:val="32"/>
        </w:rPr>
      </w:pPr>
      <w:bookmarkStart w:id="67" w:name="_Toc15377216"/>
      <w:bookmarkStart w:id="68" w:name="_Toc12784"/>
      <w:r>
        <w:rPr>
          <w:rFonts w:hint="eastAsia" w:ascii="仿宋" w:hAnsi="仿宋" w:eastAsia="仿宋"/>
          <w:b/>
          <w:color w:val="000000"/>
          <w:sz w:val="32"/>
          <w:szCs w:val="32"/>
        </w:rPr>
        <w:t>（一）“三公”经费财政拨款支出决算总体情况说明</w:t>
      </w:r>
      <w:bookmarkEnd w:id="67"/>
      <w:bookmarkEnd w:id="68"/>
    </w:p>
    <w:p>
      <w:pPr>
        <w:spacing w:after="160" w:line="600" w:lineRule="exact"/>
        <w:ind w:firstLine="640"/>
        <w:rPr>
          <w:rFonts w:ascii="仿宋" w:hAnsi="仿宋" w:eastAsia="仿宋"/>
          <w:color w:val="000000"/>
          <w:sz w:val="32"/>
          <w:szCs w:val="32"/>
        </w:rPr>
      </w:pPr>
      <w:bookmarkStart w:id="69" w:name="_Toc15377217"/>
      <w:r>
        <w:rPr>
          <w:rFonts w:ascii="仿宋" w:hAnsi="仿宋" w:eastAsia="仿宋"/>
          <w:color w:val="000000"/>
          <w:sz w:val="32"/>
          <w:szCs w:val="32"/>
        </w:rPr>
        <w:t>2019年“三公”经费财政拨款支出决算为2.62万元，完成预算100%，决算数与预算数持平的主要原因是严格按照财政拨款支出要求严格控制相关支出。</w:t>
      </w:r>
    </w:p>
    <w:p>
      <w:pPr>
        <w:spacing w:line="600" w:lineRule="exact"/>
        <w:ind w:firstLine="640"/>
        <w:outlineLvl w:val="2"/>
        <w:rPr>
          <w:rFonts w:hint="eastAsia" w:ascii="仿宋" w:hAnsi="仿宋" w:eastAsia="仿宋"/>
          <w:color w:val="000000"/>
          <w:sz w:val="32"/>
          <w:szCs w:val="32"/>
        </w:rPr>
      </w:pPr>
    </w:p>
    <w:p>
      <w:pPr>
        <w:spacing w:line="600" w:lineRule="exact"/>
        <w:ind w:firstLine="640"/>
        <w:outlineLvl w:val="2"/>
        <w:rPr>
          <w:rFonts w:ascii="仿宋" w:hAnsi="仿宋" w:eastAsia="仿宋"/>
          <w:b/>
          <w:color w:val="000000"/>
          <w:sz w:val="32"/>
          <w:szCs w:val="32"/>
        </w:rPr>
      </w:pPr>
      <w:bookmarkStart w:id="70" w:name="_Toc5147"/>
      <w:r>
        <w:rPr>
          <w:rFonts w:hint="eastAsia" w:ascii="仿宋" w:hAnsi="仿宋" w:eastAsia="仿宋"/>
          <w:b/>
          <w:color w:val="000000"/>
          <w:sz w:val="32"/>
          <w:szCs w:val="32"/>
        </w:rPr>
        <w:t>（二）“三公”经费财政拨款支出决算具体情况说明</w:t>
      </w:r>
      <w:bookmarkEnd w:id="69"/>
      <w:bookmarkEnd w:id="70"/>
    </w:p>
    <w:p>
      <w:pPr>
        <w:spacing w:after="160" w:line="600" w:lineRule="exact"/>
        <w:rPr>
          <w:rFonts w:ascii="仿宋" w:hAnsi="仿宋" w:eastAsia="仿宋"/>
          <w:color w:val="000000"/>
          <w:sz w:val="32"/>
          <w:szCs w:val="32"/>
        </w:rPr>
      </w:pPr>
      <w:r>
        <w:drawing>
          <wp:anchor distT="0" distB="0" distL="0" distR="0" simplePos="0" relativeHeight="251674624" behindDoc="0" locked="0" layoutInCell="1" allowOverlap="1">
            <wp:simplePos x="0" y="0"/>
            <wp:positionH relativeFrom="column">
              <wp:posOffset>-138430</wp:posOffset>
            </wp:positionH>
            <wp:positionV relativeFrom="paragraph">
              <wp:posOffset>862330</wp:posOffset>
            </wp:positionV>
            <wp:extent cx="5486400" cy="3200400"/>
            <wp:effectExtent l="19050" t="0" r="19050" b="0"/>
            <wp:wrapSquare wrapText="bothSides"/>
            <wp:docPr id="20"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2019年“三公”经费财政拨款支出决算中，公务用车购置及运行维护费支出决算2.62万元，占100%；具体情况如下：（图8：“三公”经费财政拨款支出结构）（饼状图）</w:t>
      </w:r>
    </w:p>
    <w:p>
      <w:pPr>
        <w:spacing w:after="160" w:line="600" w:lineRule="exact"/>
        <w:ind w:firstLine="640"/>
        <w:rPr>
          <w:rFonts w:hint="eastAsia" w:ascii="仿宋_GB2312" w:hAnsi="仿宋_GB2312" w:eastAsia="仿宋_GB2312"/>
          <w:b/>
          <w:color w:val="000000"/>
          <w:sz w:val="32"/>
          <w:szCs w:val="32"/>
        </w:rPr>
      </w:pPr>
      <w:r>
        <w:rPr>
          <w:rFonts w:ascii="仿宋_GB2312" w:hAnsi="仿宋_GB2312" w:eastAsia="仿宋_GB2312"/>
          <w:b/>
          <w:color w:val="000000"/>
          <w:sz w:val="32"/>
          <w:szCs w:val="32"/>
        </w:rPr>
        <w:t>1.因公出国（境）经费支出</w:t>
      </w:r>
      <w:r>
        <w:rPr>
          <w:rFonts w:ascii="仿宋_GB2312" w:hAnsi="仿宋_GB2312" w:eastAsia="仿宋_GB2312"/>
          <w:color w:val="000000"/>
          <w:sz w:val="32"/>
          <w:szCs w:val="32"/>
        </w:rPr>
        <w:t>0万元。全年安排因公出国（境）团组0次，出国（境）0人，与上年持平。</w:t>
      </w:r>
    </w:p>
    <w:p>
      <w:pPr>
        <w:spacing w:after="160" w:line="600" w:lineRule="exact"/>
        <w:ind w:firstLine="640"/>
        <w:rPr>
          <w:rFonts w:ascii="仿宋_GB2312" w:hAnsi="仿宋_GB2312" w:eastAsia="仿宋_GB2312"/>
          <w:b/>
          <w:color w:val="000000"/>
          <w:sz w:val="32"/>
          <w:szCs w:val="32"/>
        </w:rPr>
      </w:pPr>
      <w:r>
        <w:rPr>
          <w:rFonts w:ascii="仿宋_GB2312" w:hAnsi="仿宋_GB2312" w:eastAsia="仿宋_GB2312"/>
          <w:b/>
          <w:color w:val="000000"/>
          <w:sz w:val="32"/>
          <w:szCs w:val="32"/>
        </w:rPr>
        <w:t>2.公务用车购置及运行维护费支出</w:t>
      </w:r>
      <w:r>
        <w:rPr>
          <w:rFonts w:ascii="仿宋_GB2312" w:hAnsi="仿宋_GB2312" w:eastAsia="仿宋_GB2312"/>
          <w:color w:val="000000"/>
          <w:sz w:val="32"/>
          <w:szCs w:val="32"/>
        </w:rPr>
        <w:t>2.62万元,</w:t>
      </w:r>
      <w:r>
        <w:rPr>
          <w:rStyle w:val="14"/>
          <w:rFonts w:ascii="仿宋" w:hAnsi="仿宋" w:eastAsia="仿宋"/>
          <w:color w:val="000000"/>
          <w:sz w:val="32"/>
          <w:szCs w:val="32"/>
        </w:rPr>
        <w:t>完成预算100%。</w:t>
      </w:r>
      <w:r>
        <w:rPr>
          <w:rFonts w:ascii="仿宋_GB2312" w:hAnsi="仿宋_GB2312" w:eastAsia="仿宋_GB2312"/>
          <w:color w:val="000000"/>
          <w:sz w:val="32"/>
          <w:szCs w:val="32"/>
        </w:rPr>
        <w:t>公务用车购置及运行维护费支出决算比2018年增</w:t>
      </w:r>
      <w:r>
        <w:rPr>
          <w:rFonts w:hint="eastAsia" w:ascii="仿宋_GB2312" w:hAnsi="仿宋_GB2312" w:eastAsia="仿宋_GB2312"/>
          <w:color w:val="000000"/>
          <w:sz w:val="32"/>
          <w:szCs w:val="32"/>
        </w:rPr>
        <w:t>加</w:t>
      </w:r>
      <w:r>
        <w:rPr>
          <w:rFonts w:ascii="仿宋_GB2312" w:hAnsi="仿宋_GB2312" w:eastAsia="仿宋_GB2312"/>
          <w:color w:val="000000"/>
          <w:sz w:val="32"/>
          <w:szCs w:val="32"/>
        </w:rPr>
        <w:t>1.67万元，</w:t>
      </w:r>
      <w:r>
        <w:rPr>
          <w:rFonts w:hint="eastAsia" w:ascii="仿宋_GB2312" w:hAnsi="仿宋_GB2312" w:eastAsia="仿宋_GB2312"/>
          <w:color w:val="000000"/>
          <w:sz w:val="32"/>
          <w:szCs w:val="32"/>
        </w:rPr>
        <w:t>上升</w:t>
      </w:r>
      <w:r>
        <w:rPr>
          <w:rFonts w:ascii="仿宋_GB2312" w:hAnsi="仿宋_GB2312" w:eastAsia="仿宋_GB2312"/>
          <w:color w:val="000000"/>
          <w:sz w:val="32"/>
          <w:szCs w:val="32"/>
        </w:rPr>
        <w:t>175.79%。主要原因是2019年出差、下乡次数较2018年多。</w:t>
      </w:r>
    </w:p>
    <w:p>
      <w:pPr>
        <w:spacing w:after="160" w:line="600" w:lineRule="exact"/>
        <w:ind w:firstLine="640"/>
        <w:rPr>
          <w:rFonts w:ascii="仿宋_GB2312" w:hAnsi="仿宋_GB2312" w:eastAsia="仿宋_GB2312"/>
          <w:color w:val="000000"/>
          <w:sz w:val="32"/>
          <w:szCs w:val="32"/>
        </w:rPr>
      </w:pPr>
      <w:r>
        <w:rPr>
          <w:rFonts w:ascii="仿宋_GB2312" w:hAnsi="仿宋_GB2312" w:eastAsia="仿宋_GB2312"/>
          <w:b/>
          <w:color w:val="000000"/>
          <w:sz w:val="32"/>
          <w:szCs w:val="32"/>
        </w:rPr>
        <w:t>公务用车运行维护费支出</w:t>
      </w:r>
      <w:r>
        <w:rPr>
          <w:rFonts w:ascii="仿宋_GB2312" w:hAnsi="仿宋_GB2312" w:eastAsia="仿宋_GB2312"/>
          <w:color w:val="000000"/>
          <w:sz w:val="32"/>
          <w:szCs w:val="32"/>
        </w:rPr>
        <w:t>2.62万元。主要用于出差、下乡所需的公务用车燃料费、维修费、过路过桥费、保险费等支出。</w:t>
      </w:r>
    </w:p>
    <w:p>
      <w:pPr>
        <w:spacing w:after="160" w:line="600" w:lineRule="exact"/>
        <w:ind w:firstLine="640"/>
        <w:rPr>
          <w:rFonts w:ascii="仿宋_GB2312" w:hAnsi="仿宋_GB2312" w:eastAsia="仿宋_GB2312"/>
          <w:color w:val="000000"/>
          <w:sz w:val="32"/>
          <w:szCs w:val="32"/>
        </w:rPr>
      </w:pPr>
      <w:r>
        <w:rPr>
          <w:rFonts w:ascii="仿宋_GB2312" w:hAnsi="仿宋_GB2312" w:eastAsia="仿宋_GB2312"/>
          <w:b/>
          <w:color w:val="000000"/>
          <w:sz w:val="32"/>
          <w:szCs w:val="32"/>
        </w:rPr>
        <w:t>3.公务接待费支出</w:t>
      </w:r>
      <w:r>
        <w:rPr>
          <w:rFonts w:ascii="仿宋_GB2312" w:hAnsi="仿宋_GB2312" w:eastAsia="仿宋_GB2312"/>
          <w:color w:val="000000"/>
          <w:sz w:val="32"/>
          <w:szCs w:val="32"/>
        </w:rPr>
        <w:t>0万元，与2017年持平。主要原因2018年无接待，未产生费用</w:t>
      </w:r>
      <w:bookmarkStart w:id="71" w:name="_Toc15396610"/>
      <w:bookmarkStart w:id="72" w:name="_Toc15377218"/>
      <w:r>
        <w:rPr>
          <w:rFonts w:hint="eastAsia" w:ascii="仿宋_GB2312" w:hAnsi="仿宋_GB2312" w:eastAsia="仿宋_GB2312"/>
          <w:color w:val="000000"/>
          <w:sz w:val="32"/>
          <w:szCs w:val="32"/>
        </w:rPr>
        <w:t>。</w:t>
      </w:r>
    </w:p>
    <w:p>
      <w:pPr>
        <w:spacing w:line="600" w:lineRule="exact"/>
        <w:ind w:firstLine="640"/>
        <w:outlineLvl w:val="1"/>
        <w:rPr>
          <w:rStyle w:val="25"/>
          <w:rFonts w:ascii="黑体" w:hAnsi="黑体" w:eastAsia="黑体"/>
        </w:rPr>
      </w:pPr>
      <w:bookmarkStart w:id="73" w:name="_Toc6596"/>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71"/>
      <w:bookmarkEnd w:id="72"/>
      <w:bookmarkEnd w:id="7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74" w:name="_Toc15396611"/>
      <w:bookmarkStart w:id="75" w:name="_Toc15377219"/>
      <w:bookmarkStart w:id="76" w:name="_Toc23358"/>
      <w:r>
        <w:rPr>
          <w:rStyle w:val="25"/>
          <w:rFonts w:hint="eastAsia" w:ascii="黑体" w:hAnsi="黑体" w:eastAsia="黑体"/>
          <w:b w:val="0"/>
        </w:rPr>
        <w:t>国有资本经营预算支出决算情况说明</w:t>
      </w:r>
      <w:bookmarkEnd w:id="74"/>
      <w:bookmarkEnd w:id="75"/>
      <w:bookmarkEnd w:id="7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77" w:name="_Toc23202"/>
      <w:bookmarkStart w:id="78" w:name="_Toc15377221"/>
      <w:bookmarkStart w:id="79"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77"/>
      <w:bookmarkEnd w:id="78"/>
      <w:bookmarkEnd w:id="79"/>
    </w:p>
    <w:p>
      <w:pPr>
        <w:spacing w:line="600" w:lineRule="exact"/>
        <w:ind w:firstLine="643" w:firstLineChars="200"/>
        <w:outlineLvl w:val="2"/>
        <w:rPr>
          <w:rFonts w:ascii="仿宋" w:hAnsi="仿宋" w:eastAsia="仿宋"/>
          <w:color w:val="000000"/>
          <w:sz w:val="32"/>
          <w:szCs w:val="32"/>
        </w:rPr>
      </w:pPr>
      <w:bookmarkStart w:id="80" w:name="_Toc8051"/>
      <w:bookmarkStart w:id="81" w:name="_Toc15377222"/>
      <w:r>
        <w:rPr>
          <w:rFonts w:hint="eastAsia" w:ascii="仿宋" w:hAnsi="仿宋" w:eastAsia="仿宋"/>
          <w:b/>
          <w:color w:val="000000"/>
          <w:sz w:val="32"/>
          <w:szCs w:val="32"/>
        </w:rPr>
        <w:t>（一）机关运行经费支出情况</w:t>
      </w:r>
      <w:bookmarkEnd w:id="80"/>
      <w:bookmarkEnd w:id="81"/>
    </w:p>
    <w:p>
      <w:pPr>
        <w:spacing w:after="160" w:line="600" w:lineRule="exact"/>
        <w:ind w:firstLine="640"/>
        <w:rPr>
          <w:rFonts w:ascii="仿宋_GB2312" w:hAnsi="仿宋_GB2312" w:eastAsia="仿宋_GB2312"/>
          <w:color w:val="000000" w:themeColor="text1"/>
          <w:sz w:val="32"/>
          <w:szCs w:val="32"/>
        </w:rPr>
      </w:pPr>
      <w:bookmarkStart w:id="82" w:name="_Toc15377223"/>
      <w:r>
        <w:rPr>
          <w:rFonts w:ascii="仿宋_GB2312" w:hAnsi="仿宋_GB2312" w:eastAsia="仿宋_GB2312"/>
          <w:color w:val="000000"/>
          <w:sz w:val="32"/>
          <w:szCs w:val="32"/>
        </w:rPr>
        <w:t>2019年，红原县社保局机关运行经费支出22.13万元，比2018年</w:t>
      </w:r>
      <w:r>
        <w:rPr>
          <w:rFonts w:hint="eastAsia" w:ascii="仿宋_GB2312" w:hAnsi="仿宋_GB2312" w:eastAsia="仿宋_GB2312"/>
          <w:color w:val="000000"/>
          <w:sz w:val="32"/>
          <w:szCs w:val="32"/>
        </w:rPr>
        <w:t>增加</w:t>
      </w:r>
      <w:r>
        <w:rPr>
          <w:rFonts w:ascii="仿宋_GB2312" w:hAnsi="仿宋_GB2312" w:eastAsia="仿宋_GB2312"/>
          <w:color w:val="000000"/>
          <w:sz w:val="32"/>
          <w:szCs w:val="32"/>
        </w:rPr>
        <w:t>0.57万元，</w:t>
      </w:r>
      <w:r>
        <w:rPr>
          <w:rFonts w:hint="eastAsia" w:ascii="仿宋_GB2312" w:hAnsi="仿宋_GB2312" w:eastAsia="仿宋_GB2312"/>
          <w:color w:val="000000"/>
          <w:sz w:val="32"/>
          <w:szCs w:val="32"/>
        </w:rPr>
        <w:t>上升</w:t>
      </w:r>
      <w:r>
        <w:rPr>
          <w:rFonts w:ascii="仿宋_GB2312" w:hAnsi="仿宋_GB2312" w:eastAsia="仿宋_GB2312"/>
          <w:color w:val="000000"/>
          <w:sz w:val="32"/>
          <w:szCs w:val="32"/>
        </w:rPr>
        <w:t>2.64%。</w:t>
      </w:r>
      <w:r>
        <w:rPr>
          <w:rFonts w:ascii="仿宋_GB2312" w:hAnsi="仿宋_GB2312" w:eastAsia="仿宋_GB2312"/>
          <w:color w:val="000000" w:themeColor="text1"/>
          <w:sz w:val="32"/>
          <w:szCs w:val="32"/>
        </w:rPr>
        <w:t>主要原因是2019</w:t>
      </w:r>
      <w:r>
        <w:rPr>
          <w:rFonts w:hint="eastAsia" w:ascii="仿宋_GB2312" w:hAnsi="仿宋_GB2312" w:eastAsia="仿宋_GB2312"/>
          <w:color w:val="000000" w:themeColor="text1"/>
          <w:sz w:val="32"/>
          <w:szCs w:val="32"/>
        </w:rPr>
        <w:t>年政策宣传力度加大。</w:t>
      </w:r>
    </w:p>
    <w:p>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3" w:name="_Toc7350"/>
      <w:r>
        <w:rPr>
          <w:rFonts w:hint="eastAsia" w:ascii="仿宋" w:hAnsi="仿宋" w:eastAsia="仿宋"/>
          <w:b/>
          <w:color w:val="000000"/>
          <w:sz w:val="32"/>
          <w:szCs w:val="32"/>
        </w:rPr>
        <w:t>（二）政府采购支出情况</w:t>
      </w:r>
      <w:bookmarkEnd w:id="82"/>
      <w:bookmarkEnd w:id="83"/>
    </w:p>
    <w:p>
      <w:pPr>
        <w:spacing w:after="160" w:line="600" w:lineRule="exact"/>
        <w:ind w:firstLine="640"/>
        <w:rPr>
          <w:rFonts w:ascii="仿宋_GB2312" w:hAnsi="仿宋_GB2312" w:eastAsia="仿宋_GB2312"/>
          <w:color w:val="000000"/>
          <w:sz w:val="32"/>
          <w:szCs w:val="32"/>
        </w:rPr>
      </w:pPr>
      <w:bookmarkStart w:id="84" w:name="_Toc15377224"/>
      <w:r>
        <w:rPr>
          <w:rFonts w:ascii="仿宋_GB2312" w:hAnsi="仿宋_GB2312" w:eastAsia="仿宋_GB2312"/>
          <w:color w:val="000000"/>
          <w:sz w:val="32"/>
          <w:szCs w:val="32"/>
        </w:rPr>
        <w:t>2019年，红原县社保局政府采购支出总额0万元，其中：政府采购货物支出</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万元、政府采购工程支出</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万元、政府采购</w:t>
      </w:r>
      <w:r>
        <w:rPr>
          <w:rFonts w:hint="eastAsia" w:ascii="仿宋_GB2312" w:hAnsi="仿宋_GB2312" w:eastAsia="仿宋_GB2312"/>
          <w:color w:val="000000"/>
          <w:sz w:val="32"/>
          <w:szCs w:val="32"/>
        </w:rPr>
        <w:t>办公</w:t>
      </w:r>
      <w:r>
        <w:rPr>
          <w:rFonts w:ascii="仿宋_GB2312" w:hAnsi="仿宋_GB2312" w:eastAsia="仿宋_GB2312"/>
          <w:color w:val="000000"/>
          <w:sz w:val="32"/>
          <w:szCs w:val="32"/>
        </w:rPr>
        <w:t>支出</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万元。授予中小企业合同金额</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万元，占政府采购支出总额的</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%，其中：授予小微企业合同金额</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万元，占政府采购支出总额的</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hint="eastAsia" w:ascii="仿宋" w:hAnsi="仿宋" w:eastAsia="仿宋"/>
          <w:b/>
          <w:color w:val="FF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5" w:name="_Toc17335"/>
      <w:r>
        <w:rPr>
          <w:rFonts w:hint="eastAsia" w:ascii="仿宋" w:hAnsi="仿宋" w:eastAsia="仿宋"/>
          <w:b/>
          <w:color w:val="000000"/>
          <w:sz w:val="32"/>
          <w:szCs w:val="32"/>
        </w:rPr>
        <w:t>（三）国有资产占有使用情况</w:t>
      </w:r>
      <w:bookmarkEnd w:id="84"/>
      <w:bookmarkEnd w:id="85"/>
    </w:p>
    <w:p>
      <w:pPr>
        <w:autoSpaceDE w:val="0"/>
        <w:autoSpaceDN w:val="0"/>
        <w:spacing w:after="160" w:line="600" w:lineRule="exact"/>
        <w:ind w:firstLine="640"/>
        <w:jc w:val="left"/>
        <w:rPr>
          <w:rFonts w:ascii="仿宋_GB2312" w:hAnsi="仿宋_GB2312" w:eastAsia="仿宋_GB2312"/>
          <w:color w:val="000000"/>
          <w:sz w:val="32"/>
          <w:szCs w:val="32"/>
        </w:rPr>
      </w:pPr>
      <w:r>
        <w:rPr>
          <w:rFonts w:ascii="仿宋_GB2312" w:hAnsi="仿宋_GB2312" w:eastAsia="仿宋_GB2312"/>
          <w:color w:val="000000"/>
          <w:sz w:val="32"/>
          <w:szCs w:val="32"/>
        </w:rPr>
        <w:t>截至2018年12月31日，红原县社保局共有车辆1辆，其中：其中：部级领导干部用车</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辆、一般公务用车</w:t>
      </w:r>
      <w:r>
        <w:rPr>
          <w:rFonts w:hint="eastAsia" w:ascii="仿宋_GB2312" w:hAnsi="仿宋_GB2312" w:eastAsia="仿宋_GB2312"/>
          <w:color w:val="000000"/>
          <w:sz w:val="32"/>
          <w:szCs w:val="32"/>
        </w:rPr>
        <w:t>1</w:t>
      </w:r>
      <w:r>
        <w:rPr>
          <w:rFonts w:ascii="仿宋_GB2312" w:hAnsi="仿宋_GB2312" w:eastAsia="仿宋_GB2312"/>
          <w:color w:val="000000"/>
          <w:sz w:val="32"/>
          <w:szCs w:val="32"/>
        </w:rPr>
        <w:t>辆、一般执法执勤用车</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辆、特种专业技术用车</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辆、其他用车</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辆，</w:t>
      </w:r>
      <w:r>
        <w:rPr>
          <w:rFonts w:ascii="仿宋_GB2312" w:hAnsi="仿宋_GB2312" w:eastAsia="仿宋_GB2312"/>
          <w:color w:val="000000" w:themeColor="text1"/>
          <w:sz w:val="32"/>
          <w:szCs w:val="32"/>
        </w:rPr>
        <w:t>单价50万元以上通用设备</w:t>
      </w:r>
      <w:r>
        <w:rPr>
          <w:rFonts w:hint="eastAsia" w:ascii="仿宋_GB2312" w:hAnsi="仿宋_GB2312" w:eastAsia="仿宋_GB2312"/>
          <w:color w:val="000000" w:themeColor="text1"/>
          <w:sz w:val="32"/>
          <w:szCs w:val="32"/>
        </w:rPr>
        <w:t>0</w:t>
      </w:r>
      <w:r>
        <w:rPr>
          <w:rFonts w:ascii="仿宋_GB2312" w:hAnsi="仿宋_GB2312" w:eastAsia="仿宋_GB2312"/>
          <w:color w:val="000000" w:themeColor="text1"/>
          <w:sz w:val="32"/>
          <w:szCs w:val="32"/>
        </w:rPr>
        <w:t>台（套），单价100</w:t>
      </w:r>
      <w:r>
        <w:rPr>
          <w:rFonts w:ascii="仿宋_GB2312" w:hAnsi="仿宋_GB2312" w:eastAsia="仿宋_GB2312"/>
          <w:color w:val="000000"/>
          <w:sz w:val="32"/>
          <w:szCs w:val="32"/>
        </w:rPr>
        <w:t>万元以上专用设备</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台（套）。</w:t>
      </w:r>
    </w:p>
    <w:p>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rPr>
      </w:pP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86" w:name="_Toc11402"/>
      <w:r>
        <w:rPr>
          <w:rFonts w:hint="eastAsia" w:ascii="仿宋" w:hAnsi="仿宋" w:eastAsia="仿宋"/>
          <w:b/>
          <w:color w:val="000000"/>
          <w:sz w:val="32"/>
          <w:szCs w:val="32"/>
        </w:rPr>
        <w:t>（四）预算绩效管理情况。</w:t>
      </w:r>
      <w:bookmarkEnd w:id="86"/>
    </w:p>
    <w:p>
      <w:pPr>
        <w:widowControl/>
        <w:numPr>
          <w:ilvl w:val="0"/>
          <w:numId w:val="3"/>
        </w:numPr>
        <w:spacing w:after="160" w:line="580" w:lineRule="exact"/>
        <w:ind w:firstLine="643"/>
        <w:rPr>
          <w:rFonts w:ascii="仿宋" w:hAnsi="楷体_GB2312" w:eastAsia="楷体_GB2312"/>
          <w:b/>
          <w:sz w:val="32"/>
          <w:szCs w:val="32"/>
        </w:rPr>
      </w:pPr>
      <w:r>
        <w:rPr>
          <w:rFonts w:ascii="仿宋" w:hAnsi="楷体_GB2312" w:eastAsia="楷体_GB2312"/>
          <w:b/>
          <w:sz w:val="32"/>
          <w:szCs w:val="32"/>
        </w:rPr>
        <w:t>预算绩效管理工作开展情况。</w:t>
      </w:r>
    </w:p>
    <w:p>
      <w:pPr>
        <w:spacing w:after="160" w:line="580" w:lineRule="exact"/>
        <w:ind w:firstLine="640"/>
        <w:rPr>
          <w:rFonts w:ascii="仿宋_GB2312" w:hAnsi="仿宋_GB2312" w:eastAsia="仿宋_GB2312"/>
          <w:sz w:val="32"/>
          <w:szCs w:val="32"/>
        </w:rPr>
      </w:pPr>
      <w:r>
        <w:rPr>
          <w:rFonts w:ascii="仿宋_GB2312" w:hAnsi="仿宋_GB2312" w:eastAsia="仿宋_GB2312"/>
          <w:sz w:val="32"/>
          <w:szCs w:val="32"/>
        </w:rPr>
        <w:t>本部门按照要求对2019年部门整体支出开展绩效自评、从评价情况来看2019年度我单位年初根据工作规划和重点工作规划，围绕全面建成小康社会的发展蓝图，积极履行职责，强化本单位预算管理，较好的完成了年初工作目标。通过加强预算收支管理，不断建立健全内部管理制度，梳理内部管理流程。部门整体预算支出管理情况得到提升。</w:t>
      </w:r>
    </w:p>
    <w:p>
      <w:pPr>
        <w:widowControl/>
        <w:numPr>
          <w:ilvl w:val="0"/>
          <w:numId w:val="3"/>
        </w:numPr>
        <w:spacing w:after="160" w:line="580" w:lineRule="exact"/>
        <w:ind w:firstLine="643"/>
        <w:rPr>
          <w:rFonts w:ascii="仿宋" w:hAnsi="仿宋_GB2312" w:eastAsia="仿宋_GB2312"/>
          <w:sz w:val="32"/>
          <w:szCs w:val="32"/>
        </w:rPr>
      </w:pPr>
      <w:r>
        <w:rPr>
          <w:rFonts w:ascii="仿宋" w:hAnsi="楷体_GB2312" w:eastAsia="楷体_GB2312"/>
          <w:b/>
          <w:sz w:val="32"/>
          <w:szCs w:val="32"/>
        </w:rPr>
        <w:t>部门开展绩效评价结果。</w:t>
      </w:r>
    </w:p>
    <w:p>
      <w:pPr>
        <w:spacing w:after="160" w:line="580" w:lineRule="exact"/>
        <w:ind w:firstLine="640"/>
        <w:rPr>
          <w:rFonts w:ascii="仿宋_GB2312" w:hAnsi="仿宋_GB2312" w:eastAsia="仿宋_GB2312"/>
          <w:sz w:val="32"/>
          <w:szCs w:val="32"/>
        </w:rPr>
      </w:pPr>
      <w:r>
        <w:rPr>
          <w:rFonts w:ascii="仿宋_GB2312" w:hAnsi="仿宋_GB2312" w:eastAsia="仿宋_GB2312"/>
          <w:sz w:val="32"/>
          <w:szCs w:val="32"/>
        </w:rPr>
        <w:t>本部门按要求对2019年部门整体支出绩效评价情况开展自评，《红原县社会保险事业管理局2019年部门整体支出绩效评价报告》见附件。</w:t>
      </w:r>
    </w:p>
    <w:p>
      <w:pPr>
        <w:autoSpaceDE w:val="0"/>
        <w:autoSpaceDN w:val="0"/>
        <w:adjustRightInd w:val="0"/>
        <w:spacing w:line="600" w:lineRule="exact"/>
        <w:ind w:firstLine="640" w:firstLineChars="200"/>
        <w:jc w:val="left"/>
        <w:outlineLvl w:val="2"/>
        <w:rPr>
          <w:rFonts w:ascii="仿宋" w:hAnsi="仿宋" w:eastAsia="仿宋"/>
          <w:b/>
          <w:color w:val="000000"/>
          <w:sz w:val="32"/>
          <w:szCs w:val="32"/>
        </w:rPr>
      </w:pPr>
      <w:bookmarkStart w:id="87" w:name="_Toc27136"/>
      <w:r>
        <w:rPr>
          <w:rFonts w:ascii="仿宋_GB2312" w:hAnsi="仿宋_GB2312" w:eastAsia="仿宋_GB2312"/>
          <w:sz w:val="32"/>
          <w:szCs w:val="32"/>
        </w:rPr>
        <w:t>本单位2019年无项目预算拨款。</w:t>
      </w:r>
      <w:bookmarkEnd w:id="87"/>
    </w:p>
    <w:p>
      <w:pPr>
        <w:numPr>
          <w:ilvl w:val="0"/>
          <w:numId w:val="4"/>
        </w:numPr>
        <w:spacing w:line="600" w:lineRule="exact"/>
        <w:ind w:firstLine="660" w:firstLineChars="150"/>
        <w:jc w:val="center"/>
        <w:outlineLvl w:val="0"/>
        <w:rPr>
          <w:rStyle w:val="24"/>
          <w:rFonts w:ascii="黑体" w:hAnsi="黑体" w:eastAsia="黑体"/>
          <w:b w:val="0"/>
        </w:rPr>
      </w:pPr>
      <w:bookmarkStart w:id="88" w:name="_Toc15377225"/>
      <w:bookmarkStart w:id="89" w:name="_Toc15396613"/>
      <w:bookmarkStart w:id="90" w:name="_Toc21888"/>
      <w:r>
        <w:rPr>
          <w:rFonts w:hint="eastAsia" w:ascii="黑体" w:hAnsi="黑体" w:eastAsia="黑体"/>
          <w:color w:val="000000"/>
          <w:sz w:val="44"/>
          <w:szCs w:val="44"/>
        </w:rPr>
        <w:t>名</w:t>
      </w:r>
      <w:r>
        <w:rPr>
          <w:rStyle w:val="24"/>
          <w:rFonts w:hint="eastAsia" w:ascii="黑体" w:hAnsi="黑体" w:eastAsia="黑体"/>
          <w:b w:val="0"/>
        </w:rPr>
        <w:t>词解释</w:t>
      </w:r>
      <w:bookmarkEnd w:id="88"/>
      <w:bookmarkEnd w:id="89"/>
      <w:bookmarkEnd w:id="90"/>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wordWrap w:val="0"/>
        <w:spacing w:after="160"/>
        <w:ind w:firstLine="640"/>
        <w:rPr>
          <w:rFonts w:ascii="仿宋_GB2312" w:hAnsi="仿宋_GB2312" w:eastAsia="仿宋_GB2312"/>
          <w:color w:val="000000"/>
          <w:sz w:val="32"/>
          <w:szCs w:val="32"/>
        </w:rPr>
      </w:pPr>
      <w:r>
        <w:rPr>
          <w:rFonts w:ascii="仿宋_GB2312" w:hAnsi="仿宋_GB2312" w:eastAsia="仿宋_GB2312"/>
          <w:color w:val="000000"/>
          <w:sz w:val="32"/>
          <w:szCs w:val="32"/>
        </w:rPr>
        <w:t>行政运行</w:t>
      </w:r>
      <w:r>
        <w:rPr>
          <w:rFonts w:hint="eastAsia" w:ascii="仿宋_GB2312" w:hAnsi="仿宋_GB2312" w:eastAsia="仿宋_GB2312"/>
          <w:color w:val="000000"/>
          <w:sz w:val="32"/>
          <w:szCs w:val="32"/>
          <w:lang w:val="en-US" w:eastAsia="zh-CN"/>
        </w:rPr>
        <w:t>2080101</w:t>
      </w:r>
      <w:r>
        <w:rPr>
          <w:rFonts w:ascii="仿宋_GB2312" w:hAnsi="仿宋_GB2312" w:eastAsia="仿宋_GB2312"/>
          <w:color w:val="000000"/>
          <w:sz w:val="32"/>
          <w:szCs w:val="32"/>
        </w:rPr>
        <w:t>指：反映行政单位(包括实行公务员管理的事业单位)的基支本支出。</w:t>
      </w:r>
    </w:p>
    <w:p>
      <w:pPr>
        <w:wordWrap w:val="0"/>
        <w:spacing w:after="160"/>
        <w:ind w:firstLine="640"/>
        <w:rPr>
          <w:rFonts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社会保险经办机构2080109</w:t>
      </w:r>
      <w:r>
        <w:rPr>
          <w:rFonts w:ascii="仿宋_GB2312" w:hAnsi="仿宋_GB2312" w:eastAsia="仿宋_GB2312"/>
          <w:color w:val="000000"/>
          <w:sz w:val="32"/>
          <w:szCs w:val="32"/>
        </w:rPr>
        <w:t>指：反映</w:t>
      </w:r>
      <w:r>
        <w:rPr>
          <w:rFonts w:hint="eastAsia" w:ascii="仿宋_GB2312" w:hAnsi="仿宋_GB2312" w:eastAsia="仿宋_GB2312"/>
          <w:color w:val="000000"/>
          <w:sz w:val="32"/>
          <w:szCs w:val="32"/>
          <w:lang w:eastAsia="zh-CN"/>
        </w:rPr>
        <w:t>社会保险经办机构开展业务工作的支出</w:t>
      </w:r>
      <w:r>
        <w:rPr>
          <w:rFonts w:ascii="仿宋_GB2312" w:hAnsi="仿宋_GB2312" w:eastAsia="仿宋_GB2312"/>
          <w:color w:val="000000"/>
          <w:sz w:val="32"/>
          <w:szCs w:val="32"/>
        </w:rPr>
        <w:t>。</w:t>
      </w:r>
    </w:p>
    <w:p>
      <w:pPr>
        <w:wordWrap w:val="0"/>
        <w:spacing w:after="160"/>
        <w:ind w:firstLine="640" w:firstLineChars="200"/>
        <w:rPr>
          <w:rFonts w:ascii="仿宋_GB2312" w:hAnsi="仿宋_GB2312" w:eastAsia="仿宋_GB2312"/>
          <w:color w:val="000000"/>
          <w:sz w:val="32"/>
          <w:szCs w:val="32"/>
        </w:rPr>
      </w:pPr>
      <w:r>
        <w:rPr>
          <w:rFonts w:ascii="仿宋_GB2312" w:hAnsi="仿宋_GB2312" w:eastAsia="仿宋_GB2312"/>
          <w:color w:val="000000"/>
          <w:sz w:val="32"/>
          <w:szCs w:val="32"/>
        </w:rPr>
        <w:t>机关事业单位基本养老保险缴费支出</w:t>
      </w:r>
      <w:r>
        <w:rPr>
          <w:rFonts w:hint="eastAsia" w:ascii="仿宋_GB2312" w:hAnsi="仿宋_GB2312" w:eastAsia="仿宋_GB2312"/>
          <w:color w:val="000000"/>
          <w:sz w:val="32"/>
          <w:szCs w:val="32"/>
          <w:lang w:val="en-US" w:eastAsia="zh-CN"/>
        </w:rPr>
        <w:t>2080505</w:t>
      </w:r>
      <w:r>
        <w:rPr>
          <w:rFonts w:ascii="仿宋_GB2312" w:hAnsi="仿宋_GB2312" w:eastAsia="仿宋_GB2312"/>
          <w:color w:val="000000"/>
          <w:sz w:val="32"/>
          <w:szCs w:val="32"/>
        </w:rPr>
        <w:t>指</w:t>
      </w:r>
      <w:r>
        <w:rPr>
          <w:rFonts w:hint="eastAsia" w:ascii="仿宋_GB2312" w:hAnsi="仿宋_GB2312" w:eastAsia="仿宋_GB2312"/>
          <w:color w:val="000000"/>
          <w:sz w:val="32"/>
          <w:szCs w:val="32"/>
          <w:lang w:eastAsia="zh-CN"/>
        </w:rPr>
        <w:t>：</w:t>
      </w:r>
      <w:r>
        <w:rPr>
          <w:rFonts w:ascii="仿宋_GB2312" w:hAnsi="仿宋_GB2312" w:eastAsia="仿宋_GB2312"/>
          <w:color w:val="000000"/>
          <w:sz w:val="32"/>
          <w:szCs w:val="32"/>
        </w:rPr>
        <w:t>机关事业单位实施养老保险制度由单位实际缴纳的基本养老保险缴费支出。</w:t>
      </w:r>
    </w:p>
    <w:p>
      <w:pPr>
        <w:wordWrap w:val="0"/>
        <w:spacing w:after="160"/>
        <w:ind w:firstLine="640" w:firstLineChars="200"/>
        <w:rPr>
          <w:rFonts w:ascii="仿宋_GB2312" w:eastAsia="仿宋_GB2312"/>
          <w:color w:val="000000"/>
          <w:sz w:val="32"/>
          <w:szCs w:val="32"/>
        </w:rPr>
      </w:pPr>
      <w:r>
        <w:rPr>
          <w:rFonts w:ascii="仿宋_GB2312" w:hAnsi="仿宋_GB2312" w:eastAsia="仿宋_GB2312"/>
          <w:color w:val="000000"/>
          <w:sz w:val="32"/>
          <w:szCs w:val="32"/>
        </w:rPr>
        <w:t>机关事业单位职业年金</w:t>
      </w:r>
      <w:r>
        <w:rPr>
          <w:rFonts w:hint="eastAsia" w:ascii="仿宋_GB2312" w:hAnsi="仿宋_GB2312" w:eastAsia="仿宋_GB2312"/>
          <w:color w:val="000000"/>
          <w:sz w:val="32"/>
          <w:szCs w:val="32"/>
          <w:lang w:val="en-US" w:eastAsia="zh-CN"/>
        </w:rPr>
        <w:t>2080506：</w:t>
      </w:r>
      <w:r>
        <w:rPr>
          <w:rFonts w:ascii="仿宋_GB2312" w:hAnsi="仿宋_GB2312" w:eastAsia="仿宋_GB2312"/>
          <w:color w:val="000000"/>
          <w:sz w:val="32"/>
          <w:szCs w:val="32"/>
        </w:rPr>
        <w:t>反映机关事业单位实施养老保险制度由单位实际缴纳的职业年金缴费支出。</w:t>
      </w:r>
    </w:p>
    <w:p>
      <w:pPr>
        <w:tabs>
          <w:tab w:val="left" w:pos="312"/>
        </w:tabs>
        <w:wordWrap w:val="0"/>
        <w:spacing w:after="160"/>
        <w:ind w:firstLine="320"/>
        <w:rPr>
          <w:rFonts w:ascii="仿宋_GB2312" w:hAns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w:t>
      </w:r>
      <w:r>
        <w:rPr>
          <w:rFonts w:ascii="仿宋_GB2312" w:hAnsi="仿宋_GB2312" w:eastAsia="仿宋_GB2312"/>
          <w:color w:val="000000"/>
          <w:sz w:val="32"/>
          <w:szCs w:val="32"/>
        </w:rPr>
        <w:t>反映医疗卫生与计划生育、中医等管理事务方面的支出。</w:t>
      </w:r>
    </w:p>
    <w:p>
      <w:pPr>
        <w:wordWrap w:val="0"/>
        <w:spacing w:after="160"/>
        <w:ind w:firstLine="640"/>
        <w:jc w:val="left"/>
        <w:rPr>
          <w:rFonts w:ascii="仿宋_GB2312" w:hAnsi="仿宋_GB2312" w:eastAsia="仿宋_GB2312"/>
          <w:color w:val="000000"/>
          <w:sz w:val="32"/>
          <w:szCs w:val="32"/>
        </w:rPr>
      </w:pPr>
      <w:r>
        <w:rPr>
          <w:rFonts w:ascii="仿宋_GB2312" w:hAnsi="仿宋_GB2312" w:eastAsia="仿宋_GB2312"/>
          <w:color w:val="000000"/>
          <w:sz w:val="32"/>
          <w:szCs w:val="32"/>
        </w:rPr>
        <w:t>行政单位医疗</w:t>
      </w:r>
      <w:r>
        <w:rPr>
          <w:rFonts w:hint="eastAsia" w:ascii="仿宋_GB2312" w:hAnsi="仿宋_GB2312" w:eastAsia="仿宋_GB2312"/>
          <w:color w:val="000000"/>
          <w:sz w:val="32"/>
          <w:szCs w:val="32"/>
          <w:lang w:val="en-US" w:eastAsia="zh-CN"/>
        </w:rPr>
        <w:t>2101101</w:t>
      </w:r>
      <w:r>
        <w:rPr>
          <w:rFonts w:ascii="仿宋_GB2312" w:hAnsi="仿宋_GB2312" w:eastAsia="仿宋_GB2312"/>
          <w:color w:val="000000"/>
          <w:sz w:val="32"/>
          <w:szCs w:val="32"/>
        </w:rPr>
        <w:t>：反映行政事业单位医疗方面的支出。反映财政部门集中安排的行政单位基本医疗保险缴费经费,未参加医疗保险的行政单位的公费医疗经费,按国家</w:t>
      </w:r>
    </w:p>
    <w:p>
      <w:pPr>
        <w:wordWrap w:val="0"/>
        <w:spacing w:after="160"/>
        <w:ind w:firstLine="640"/>
        <w:jc w:val="left"/>
        <w:rPr>
          <w:rFonts w:ascii="仿宋_GB2312" w:hAnsi="仿宋_GB2312" w:eastAsia="仿宋_GB2312"/>
          <w:color w:val="000000"/>
          <w:sz w:val="32"/>
          <w:szCs w:val="32"/>
        </w:rPr>
      </w:pPr>
      <w:r>
        <w:rPr>
          <w:rFonts w:ascii="仿宋_GB2312" w:hAnsi="仿宋_GB2312" w:eastAsia="仿宋_GB2312"/>
          <w:color w:val="000000"/>
          <w:sz w:val="32"/>
          <w:szCs w:val="32"/>
        </w:rPr>
        <w:t>公务员医疗补助</w:t>
      </w:r>
      <w:r>
        <w:rPr>
          <w:rFonts w:hint="eastAsia" w:ascii="仿宋_GB2312" w:hAnsi="仿宋_GB2312" w:eastAsia="仿宋_GB2312"/>
          <w:color w:val="000000"/>
          <w:sz w:val="32"/>
          <w:szCs w:val="32"/>
          <w:lang w:val="en-US" w:eastAsia="zh-CN"/>
        </w:rPr>
        <w:t>2101103</w:t>
      </w:r>
      <w:r>
        <w:rPr>
          <w:rFonts w:ascii="仿宋_GB2312" w:hAnsi="仿宋_GB2312" w:eastAsia="仿宋_GB2312"/>
          <w:color w:val="000000"/>
          <w:sz w:val="32"/>
          <w:szCs w:val="32"/>
        </w:rPr>
        <w:t>指：反映财政部门集中安排的公务员医疗补助经费。</w:t>
      </w:r>
    </w:p>
    <w:p>
      <w:pPr>
        <w:wordWrap w:val="0"/>
        <w:spacing w:after="160"/>
        <w:ind w:firstLine="640"/>
        <w:jc w:val="left"/>
        <w:rPr>
          <w:rFonts w:ascii="仿宋_GB2312" w:hAnsi="仿宋_GB2312" w:eastAsia="仿宋_GB2312"/>
          <w:color w:val="000000"/>
          <w:sz w:val="32"/>
          <w:szCs w:val="32"/>
        </w:rPr>
      </w:pPr>
      <w:r>
        <w:rPr>
          <w:rFonts w:hint="eastAsia" w:ascii="仿宋_GB2312" w:hAnsi="仿宋_GB2312" w:eastAsia="仿宋_GB2312"/>
          <w:color w:val="000000"/>
          <w:sz w:val="32"/>
          <w:szCs w:val="32"/>
          <w:lang w:eastAsia="zh-CN"/>
        </w:rPr>
        <w:t>住房公积金</w:t>
      </w:r>
      <w:r>
        <w:rPr>
          <w:rFonts w:hint="eastAsia" w:ascii="仿宋_GB2312" w:hAnsi="仿宋_GB2312" w:eastAsia="仿宋_GB2312"/>
          <w:color w:val="000000"/>
          <w:sz w:val="32"/>
          <w:szCs w:val="32"/>
          <w:lang w:val="en-US" w:eastAsia="zh-CN"/>
        </w:rPr>
        <w:t>2210201指：反应行政事业单位按人力资源和社会保障部、财政部规定的基本工资和津贴补贴以规定比列为职工缴纳的住房公积金</w:t>
      </w:r>
      <w:r>
        <w:rPr>
          <w:rFonts w:ascii="仿宋_GB2312" w:hAnsi="仿宋_GB2312" w:eastAsia="仿宋_GB2312"/>
          <w:color w:val="000000"/>
          <w:sz w:val="32"/>
          <w:szCs w:val="32"/>
        </w:rPr>
        <w:t>。</w:t>
      </w:r>
    </w:p>
    <w:p>
      <w:pPr>
        <w:ind w:firstLine="480" w:firstLineChars="15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基本支出：指为保障机构正常运转、完成日常工作任务而发生的人员支出和公用支出。</w:t>
      </w:r>
    </w:p>
    <w:p>
      <w:pPr>
        <w:ind w:firstLine="480" w:firstLineChars="15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项目支出：指在基本支出之外为完成特定行政任务和事业发展目标所发生的支出。</w:t>
      </w:r>
    </w:p>
    <w:p>
      <w:pPr>
        <w:ind w:firstLine="480" w:firstLineChars="15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91" w:name="_Toc15377226"/>
      <w:r>
        <w:rPr>
          <w:rFonts w:ascii="宋体"/>
          <w:b/>
          <w:color w:val="000000"/>
          <w:sz w:val="44"/>
          <w:szCs w:val="44"/>
        </w:rPr>
        <w:br w:type="page"/>
      </w:r>
      <w:bookmarkStart w:id="92" w:name="_Toc15396614"/>
      <w:bookmarkStart w:id="93" w:name="_Toc17481"/>
      <w:r>
        <w:rPr>
          <w:rFonts w:hint="eastAsia" w:ascii="黑体" w:hAnsi="黑体" w:eastAsia="黑体"/>
          <w:color w:val="000000"/>
          <w:sz w:val="44"/>
          <w:szCs w:val="44"/>
        </w:rPr>
        <w:t>第</w:t>
      </w:r>
      <w:r>
        <w:rPr>
          <w:rStyle w:val="24"/>
          <w:rFonts w:hint="eastAsia" w:ascii="黑体" w:hAnsi="黑体" w:eastAsia="黑体"/>
          <w:b w:val="0"/>
        </w:rPr>
        <w:t>四部分 附件</w:t>
      </w:r>
      <w:bookmarkEnd w:id="92"/>
      <w:bookmarkEnd w:id="93"/>
    </w:p>
    <w:p>
      <w:pPr>
        <w:spacing w:line="600" w:lineRule="exact"/>
        <w:jc w:val="left"/>
        <w:outlineLvl w:val="0"/>
        <w:rPr>
          <w:rFonts w:ascii="方正小标宋简体" w:hAnsi="方正小标宋简体" w:eastAsia="方正小标宋简体" w:cs="方正小标宋简体"/>
          <w:sz w:val="32"/>
          <w:szCs w:val="32"/>
        </w:rPr>
      </w:pPr>
      <w:bookmarkStart w:id="94" w:name="_Toc19780"/>
      <w:r>
        <w:rPr>
          <w:rFonts w:hint="eastAsia" w:ascii="黑体" w:hAnsi="黑体" w:eastAsia="黑体" w:cs="黑体"/>
          <w:sz w:val="32"/>
          <w:szCs w:val="32"/>
        </w:rPr>
        <w:t>附件1</w:t>
      </w:r>
      <w:bookmarkEnd w:id="9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红原县社会保险事业管理局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ordWrap w:val="0"/>
        <w:ind w:firstLine="600"/>
        <w:jc w:val="left"/>
        <w:rPr>
          <w:rFonts w:ascii="仿宋_GB2312" w:hAnsi="宋体"/>
          <w:color w:val="000000"/>
        </w:rPr>
      </w:pPr>
      <w:r>
        <w:rPr>
          <w:rFonts w:ascii="仿宋_GB2312" w:hAnsi="仿宋_GB2312" w:eastAsia="仿宋_GB2312"/>
          <w:sz w:val="30"/>
          <w:szCs w:val="30"/>
        </w:rPr>
        <w:t>我单位为独立核算财政全额拨款参公单位。内设7个股室，（办公室，财务股，统征股，退管股，机保股，工伤生育股，稽核股）。</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pStyle w:val="5"/>
        <w:snapToGrid w:val="0"/>
        <w:spacing w:before="93" w:after="160" w:line="600" w:lineRule="exact"/>
        <w:ind w:firstLine="672"/>
        <w:outlineLvl w:val="2"/>
        <w:rPr>
          <w:rFonts w:hAnsi="宋体" w:eastAsia="宋体"/>
          <w:color w:val="000000"/>
          <w:sz w:val="21"/>
          <w:szCs w:val="21"/>
        </w:rPr>
      </w:pPr>
      <w:bookmarkStart w:id="95" w:name="_Toc14017"/>
      <w:r>
        <w:rPr>
          <w:rFonts w:hAnsi="仿宋_GB2312"/>
          <w:szCs w:val="30"/>
        </w:rPr>
        <w:t>我局主要负责贯彻执行国家、省、州、县有关社会保险政策和法律、法规;负责全县企业基本养老保险、机关事业养老保险、工伤保险等社会保险审核、核定、征缴、待遇发放等工作。</w:t>
      </w:r>
      <w:bookmarkEnd w:id="95"/>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ordWrap w:val="0"/>
        <w:ind w:firstLine="600"/>
        <w:jc w:val="left"/>
        <w:rPr>
          <w:rFonts w:ascii="仿宋_GB2312" w:hAnsi="仿宋_GB2312" w:eastAsia="仿宋_GB2312"/>
          <w:sz w:val="30"/>
          <w:szCs w:val="30"/>
        </w:rPr>
      </w:pPr>
      <w:r>
        <w:rPr>
          <w:rFonts w:ascii="仿宋_GB2312" w:hAnsi="仿宋_GB2312" w:eastAsia="仿宋_GB2312"/>
          <w:sz w:val="30"/>
          <w:szCs w:val="30"/>
        </w:rPr>
        <w:t>人员情况，截止2019年底我单位共有编制18个，其中公务员（参公）编制17个，行政工勤编制1个，在职17人，其中参公16人，行政工勤1人。2019年</w:t>
      </w:r>
      <w:r>
        <w:rPr>
          <w:rFonts w:hint="eastAsia" w:ascii="仿宋_GB2312" w:hAnsi="仿宋_GB2312" w:eastAsia="仿宋_GB2312"/>
          <w:sz w:val="30"/>
          <w:szCs w:val="30"/>
        </w:rPr>
        <w:t>在职去世一名，人员调离一名</w:t>
      </w:r>
      <w:r>
        <w:rPr>
          <w:rFonts w:ascii="仿宋_GB2312" w:hAnsi="仿宋_GB2312" w:eastAsia="仿宋_GB2312"/>
          <w:sz w:val="30"/>
          <w:szCs w:val="30"/>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napToGrid w:val="0"/>
        <w:spacing w:line="480" w:lineRule="exact"/>
        <w:ind w:firstLine="720"/>
        <w:jc w:val="left"/>
        <w:rPr>
          <w:rFonts w:ascii="仿宋_GB2312" w:hAnsi="宋体"/>
          <w:color w:val="000000"/>
        </w:rPr>
      </w:pPr>
      <w:r>
        <w:rPr>
          <w:rFonts w:ascii="仿宋_GB2312" w:hAnsi="宋体"/>
          <w:color w:val="000000"/>
          <w:sz w:val="32"/>
          <w:szCs w:val="32"/>
        </w:rPr>
        <w:t>2019年红原县社保局收入308.87万元，均为财政拨款收入。</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snapToGrid w:val="0"/>
        <w:spacing w:line="480" w:lineRule="exact"/>
        <w:ind w:firstLine="720"/>
        <w:jc w:val="left"/>
        <w:rPr>
          <w:rFonts w:ascii="仿宋_GB2312" w:hAnsi="宋体"/>
          <w:color w:val="000000"/>
        </w:rPr>
      </w:pPr>
      <w:r>
        <w:rPr>
          <w:rFonts w:ascii="仿宋_GB2312" w:hAnsi="宋体"/>
          <w:color w:val="000000"/>
          <w:sz w:val="32"/>
          <w:szCs w:val="32"/>
        </w:rPr>
        <w:t>2019年红原县社保局总支出340.35万元。社会保障和就业支出302.38万元；医疗卫生和计划生育支出16.08万元；住房保障支出21.89万元。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snapToGrid w:val="0"/>
        <w:spacing w:line="480" w:lineRule="exact"/>
        <w:ind w:firstLine="720"/>
        <w:jc w:val="left"/>
        <w:rPr>
          <w:rFonts w:ascii="楷体" w:hAnsi="宋体"/>
          <w:color w:val="000000"/>
        </w:rPr>
      </w:pPr>
      <w:r>
        <w:rPr>
          <w:rFonts w:ascii="楷体" w:hAnsi="宋体"/>
          <w:color w:val="000000"/>
          <w:sz w:val="32"/>
          <w:szCs w:val="32"/>
        </w:rPr>
        <w:t>（一）预算编制情况。</w:t>
      </w:r>
    </w:p>
    <w:p>
      <w:pPr>
        <w:shd w:val="clear" w:color="auto" w:fill="FFFFFF"/>
        <w:wordWrap w:val="0"/>
        <w:spacing w:line="540" w:lineRule="exact"/>
        <w:ind w:firstLine="640"/>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shd w:val="clear" w:color="auto" w:fill="FFFFFF"/>
        </w:rPr>
        <w:t>根据《中华人民共和国预算法》及红原县财政局印发的《关于下达2019年部门预算的通知》要求，结合本单位实际，按照增收节支、厉行节约、绩效优化的原则，从严从紧编制预算。细化支出预算编制，推进预算信息公开，深化预算绩效管理，提高资金使用效益。</w:t>
      </w:r>
    </w:p>
    <w:p>
      <w:pPr>
        <w:shd w:val="clear" w:color="auto" w:fill="FFFFFF"/>
        <w:wordWrap w:val="0"/>
        <w:spacing w:line="540" w:lineRule="exact"/>
        <w:ind w:firstLine="640"/>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shd w:val="clear" w:color="auto" w:fill="FFFFFF"/>
        </w:rPr>
        <w:t>2019年预算人员支出对照2018年12月份人员及工资信息编制，日常公用支出按照“经费包干、明细编报”的原则进行编制，重点做好培训费等预算编制。</w:t>
      </w:r>
    </w:p>
    <w:p>
      <w:pPr>
        <w:shd w:val="clear" w:color="auto" w:fill="FFFFFF"/>
        <w:wordWrap w:val="0"/>
        <w:spacing w:line="540" w:lineRule="exact"/>
        <w:ind w:firstLine="645"/>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shd w:val="clear" w:color="auto" w:fill="FFFFFF"/>
        </w:rPr>
        <w:t>对照年初的预算，通过编制部门决算报表，全面、真实、准确的反映了2019年度财政资金的使用情况。</w:t>
      </w:r>
    </w:p>
    <w:p>
      <w:pPr>
        <w:shd w:val="clear" w:color="auto" w:fill="FFFFFF"/>
        <w:wordWrap w:val="0"/>
        <w:jc w:val="left"/>
        <w:rPr>
          <w:rFonts w:ascii="仿宋_GB2312" w:hAnsi="仿宋_GB2312" w:eastAsia="仿宋_GB2312"/>
          <w:color w:val="333333"/>
          <w:sz w:val="32"/>
          <w:szCs w:val="32"/>
          <w:shd w:val="clear" w:color="auto" w:fill="FFFFFF"/>
        </w:rPr>
      </w:pPr>
      <w:r>
        <w:rPr>
          <w:rFonts w:ascii="仿宋_GB2312" w:hAnsi="仿宋_GB2312" w:eastAsia="仿宋_GB2312"/>
          <w:color w:val="333333"/>
          <w:sz w:val="32"/>
          <w:szCs w:val="32"/>
          <w:shd w:val="clear" w:color="auto" w:fill="FFFFFF"/>
        </w:rPr>
        <w:t>红原县医疗保险管理局预算安排支出主要用于保障该部门机构正常运转、完成日常工作任务以及承担工运事业发展相关工作。</w:t>
      </w:r>
    </w:p>
    <w:p>
      <w:pPr>
        <w:wordWrap w:val="0"/>
        <w:spacing w:after="160" w:line="600" w:lineRule="exact"/>
        <w:ind w:firstLine="645"/>
        <w:rPr>
          <w:rFonts w:ascii="仿宋_GB2312" w:hAnsi="仿宋_GB2312" w:eastAsia="仿宋_GB2312"/>
          <w:color w:val="333333"/>
          <w:sz w:val="32"/>
          <w:szCs w:val="32"/>
        </w:rPr>
      </w:pPr>
      <w:r>
        <w:rPr>
          <w:rFonts w:ascii="仿宋_GB2312" w:hAnsi="仿宋_GB2312" w:eastAsia="仿宋_GB2312"/>
          <w:color w:val="000000"/>
          <w:sz w:val="32"/>
          <w:szCs w:val="32"/>
        </w:rPr>
        <w:t>基本支出340.35万元，其中：人员经费318.22万元，主要包括：基本工资52.35万元、津贴补贴98.86万元、奖金45.81万元、机关事业单位基本养老保险缴费25.1万元、职业年金缴费11.83万元、职工基本医疗保险缴费12.88万元、公务员医疗补助0.68万元、其他社会保障缴费6.01万元、医疗费1.5万元、住房公积金21.89万元支出。</w:t>
      </w:r>
      <w:r>
        <w:rPr>
          <w:rFonts w:ascii="仿宋_GB2312" w:hAnsi="仿宋_GB2312" w:eastAsia="仿宋_GB2312"/>
          <w:color w:val="000000"/>
          <w:sz w:val="32"/>
          <w:szCs w:val="32"/>
        </w:rPr>
        <w:br w:type="textWrapping" w:clear="all"/>
      </w:r>
      <w:r>
        <w:rPr>
          <w:rFonts w:ascii="仿宋_GB2312" w:hAnsi="仿宋_GB2312" w:eastAsia="仿宋_GB2312"/>
          <w:color w:val="000000"/>
          <w:sz w:val="32"/>
          <w:szCs w:val="32"/>
        </w:rPr>
        <w:t>　　公用经费22.13万元，主要包括：办公费11.2万元、电费0.3万元、邮电费0.4万元、差旅费3.9万元、培训费2万元、劳务费0.2万元。</w:t>
      </w:r>
      <w:r>
        <w:rPr>
          <w:rFonts w:ascii="仿宋_GB2312" w:hAnsi="仿宋_GB2312" w:eastAsia="仿宋_GB2312"/>
          <w:color w:val="333333"/>
          <w:sz w:val="32"/>
          <w:szCs w:val="32"/>
          <w:shd w:val="clear" w:color="auto" w:fill="FFFFFF"/>
        </w:rPr>
        <w:t>　　按支出功能分类主要用于以下方面:</w:t>
      </w:r>
    </w:p>
    <w:p>
      <w:pPr>
        <w:shd w:val="clear" w:color="auto" w:fill="FFFFFF"/>
        <w:wordWrap w:val="0"/>
        <w:jc w:val="left"/>
        <w:rPr>
          <w:rFonts w:ascii="仿宋_GB2312" w:hAnsi="仿宋_GB2312" w:eastAsia="仿宋_GB2312"/>
          <w:color w:val="333333"/>
          <w:sz w:val="32"/>
          <w:szCs w:val="32"/>
        </w:rPr>
      </w:pPr>
      <w:r>
        <w:rPr>
          <w:rFonts w:ascii="仿宋_GB2312" w:hAnsi="仿宋_GB2312" w:eastAsia="仿宋_GB2312"/>
          <w:color w:val="333333"/>
          <w:sz w:val="32"/>
          <w:szCs w:val="32"/>
          <w:shd w:val="clear" w:color="auto" w:fill="FFFFFF"/>
        </w:rPr>
        <w:t>　　（一）208社会保障和就业支出</w:t>
      </w:r>
      <w:r>
        <w:rPr>
          <w:rFonts w:ascii="仿宋_GB2312" w:hAnsi="仿宋_GB2312" w:eastAsia="仿宋_GB2312"/>
          <w:color w:val="000000"/>
          <w:sz w:val="32"/>
          <w:szCs w:val="32"/>
        </w:rPr>
        <w:t>302.39</w:t>
      </w:r>
      <w:r>
        <w:rPr>
          <w:rFonts w:ascii="仿宋_GB2312" w:hAnsi="仿宋_GB2312" w:eastAsia="仿宋_GB2312"/>
          <w:color w:val="333333"/>
          <w:sz w:val="32"/>
          <w:szCs w:val="32"/>
          <w:shd w:val="clear" w:color="auto" w:fill="FFFFFF"/>
        </w:rPr>
        <w:t>万元，主要用于机关及下属事业单位养老保险及职业年金缴费支出。</w:t>
      </w:r>
    </w:p>
    <w:p>
      <w:pPr>
        <w:shd w:val="clear" w:color="auto" w:fill="FFFFFF"/>
        <w:wordWrap w:val="0"/>
        <w:jc w:val="left"/>
        <w:rPr>
          <w:rFonts w:ascii="仿宋_GB2312" w:hAnsi="仿宋_GB2312" w:eastAsia="仿宋_GB2312"/>
          <w:color w:val="333333"/>
          <w:sz w:val="32"/>
          <w:szCs w:val="32"/>
        </w:rPr>
      </w:pPr>
      <w:r>
        <w:rPr>
          <w:rFonts w:ascii="仿宋_GB2312" w:hAnsi="仿宋_GB2312" w:eastAsia="仿宋_GB2312"/>
          <w:color w:val="333333"/>
          <w:sz w:val="32"/>
          <w:szCs w:val="32"/>
          <w:shd w:val="clear" w:color="auto" w:fill="FFFFFF"/>
        </w:rPr>
        <w:t>　　（二）210医疗卫生和计划生育支出</w:t>
      </w:r>
      <w:r>
        <w:rPr>
          <w:rFonts w:ascii="仿宋_GB2312" w:hAnsi="仿宋_GB2312" w:eastAsia="仿宋_GB2312"/>
          <w:color w:val="000000"/>
          <w:sz w:val="32"/>
          <w:szCs w:val="32"/>
        </w:rPr>
        <w:t>16.08</w:t>
      </w:r>
      <w:r>
        <w:rPr>
          <w:rFonts w:ascii="仿宋_GB2312" w:hAnsi="仿宋_GB2312" w:eastAsia="仿宋_GB2312"/>
          <w:color w:val="333333"/>
          <w:sz w:val="32"/>
          <w:szCs w:val="32"/>
          <w:shd w:val="clear" w:color="auto" w:fill="FFFFFF"/>
        </w:rPr>
        <w:t>万元，主要用于机关及下属事业单位按照规定标准为职工缴纳的基本医疗保险及公务员医疗补助等支出。</w:t>
      </w:r>
    </w:p>
    <w:p>
      <w:pPr>
        <w:shd w:val="clear" w:color="auto" w:fill="FFFFFF"/>
        <w:wordWrap w:val="0"/>
        <w:jc w:val="left"/>
        <w:rPr>
          <w:rFonts w:ascii="仿宋_GB2312" w:hAnsi="仿宋_GB2312" w:eastAsia="仿宋_GB2312"/>
          <w:color w:val="333333"/>
          <w:sz w:val="32"/>
          <w:szCs w:val="32"/>
        </w:rPr>
      </w:pPr>
      <w:r>
        <w:rPr>
          <w:rFonts w:ascii="仿宋_GB2312" w:hAnsi="仿宋_GB2312" w:eastAsia="仿宋_GB2312"/>
          <w:color w:val="333333"/>
          <w:sz w:val="32"/>
          <w:szCs w:val="32"/>
          <w:shd w:val="clear" w:color="auto" w:fill="FFFFFF"/>
        </w:rPr>
        <w:t>　　（三）221住房保障支出</w:t>
      </w:r>
      <w:r>
        <w:rPr>
          <w:rFonts w:ascii="仿宋_GB2312" w:hAnsi="仿宋_GB2312" w:eastAsia="仿宋_GB2312"/>
          <w:color w:val="000000"/>
          <w:sz w:val="32"/>
          <w:szCs w:val="32"/>
        </w:rPr>
        <w:t>21.89</w:t>
      </w:r>
      <w:r>
        <w:rPr>
          <w:rFonts w:ascii="仿宋_GB2312" w:hAnsi="仿宋_GB2312" w:eastAsia="仿宋_GB2312"/>
          <w:color w:val="333333"/>
          <w:sz w:val="32"/>
          <w:szCs w:val="32"/>
          <w:shd w:val="clear" w:color="auto" w:fill="FFFFFF"/>
        </w:rPr>
        <w:t>万元，用于机关及下属事业单位按照规定标准为职工缴纳住房公积金等支出。</w:t>
      </w:r>
    </w:p>
    <w:p>
      <w:pPr>
        <w:shd w:val="clear" w:color="auto" w:fill="FFFFFF"/>
        <w:wordWrap w:val="0"/>
        <w:jc w:val="left"/>
        <w:rPr>
          <w:rFonts w:ascii="仿宋_GB2312" w:hAnsi="仿宋_GB2312" w:eastAsia="仿宋_GB2312"/>
          <w:color w:val="333333"/>
          <w:sz w:val="32"/>
          <w:szCs w:val="32"/>
        </w:rPr>
      </w:pPr>
      <w:r>
        <w:rPr>
          <w:rFonts w:ascii="仿宋_GB2312" w:hAnsi="仿宋_GB2312" w:eastAsia="仿宋_GB2312"/>
          <w:color w:val="333333"/>
          <w:sz w:val="32"/>
          <w:szCs w:val="32"/>
          <w:shd w:val="clear" w:color="auto" w:fill="FFFFFF"/>
        </w:rPr>
        <w:t>　　</w:t>
      </w:r>
      <w:r>
        <w:rPr>
          <w:rStyle w:val="14"/>
          <w:rFonts w:ascii="仿宋_GB2312" w:hAnsi="仿宋_GB2312" w:eastAsia="仿宋_GB2312"/>
          <w:color w:val="333333"/>
          <w:sz w:val="32"/>
          <w:szCs w:val="32"/>
          <w:shd w:val="clear" w:color="auto" w:fill="FFFFFF"/>
        </w:rPr>
        <w:t>较上年度增减变化</w:t>
      </w:r>
    </w:p>
    <w:p>
      <w:pPr>
        <w:shd w:val="clear" w:color="auto" w:fill="FFFFFF"/>
        <w:wordWrap w:val="0"/>
        <w:ind w:firstLine="600"/>
        <w:jc w:val="left"/>
        <w:rPr>
          <w:rFonts w:ascii="仿宋_GB2312" w:hAnsi="宋体"/>
          <w:color w:val="000000"/>
        </w:rPr>
      </w:pPr>
      <w:r>
        <w:rPr>
          <w:rFonts w:ascii="仿宋_GB2312" w:hAnsi="仿宋_GB2312" w:eastAsia="仿宋_GB2312"/>
          <w:color w:val="333333"/>
          <w:sz w:val="32"/>
          <w:szCs w:val="32"/>
          <w:shd w:val="clear" w:color="auto" w:fill="FFFFFF"/>
        </w:rPr>
        <w:t>本年度预算拨款收入308.87万元较上年度预算304.42万元增加了1.46%。</w:t>
      </w:r>
    </w:p>
    <w:p>
      <w:pPr>
        <w:snapToGrid w:val="0"/>
        <w:spacing w:line="480" w:lineRule="exact"/>
        <w:ind w:firstLine="720"/>
        <w:jc w:val="left"/>
        <w:rPr>
          <w:rFonts w:ascii="楷体" w:hAnsi="宋体"/>
          <w:color w:val="000000"/>
        </w:rPr>
      </w:pPr>
      <w:r>
        <w:rPr>
          <w:rFonts w:ascii="楷体" w:hAnsi="宋体"/>
          <w:color w:val="000000"/>
          <w:sz w:val="32"/>
          <w:szCs w:val="32"/>
        </w:rPr>
        <w:t>（二）执行管理情况。</w:t>
      </w:r>
      <w:r>
        <w:rPr>
          <w:rFonts w:ascii="楷体" w:hAnsi="宋体"/>
          <w:color w:val="000000"/>
          <w:sz w:val="32"/>
          <w:szCs w:val="32"/>
        </w:rPr>
        <w:tab/>
      </w:r>
    </w:p>
    <w:p>
      <w:pPr>
        <w:shd w:val="clear" w:color="auto" w:fill="FFFFFF"/>
        <w:wordWrap w:val="0"/>
        <w:spacing w:line="540" w:lineRule="exact"/>
        <w:ind w:firstLine="640"/>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shd w:val="clear" w:color="auto" w:fill="FFFFFF"/>
        </w:rPr>
        <w:t>本着少花钱、多办事、办好事、遵循有预算才支出的原则，2019年财政预算支出全面落实到位，均按规定的用途支付</w:t>
      </w:r>
    </w:p>
    <w:p>
      <w:pPr>
        <w:shd w:val="clear" w:color="auto" w:fill="FFFFFF"/>
        <w:wordWrap w:val="0"/>
        <w:spacing w:line="540" w:lineRule="exact"/>
        <w:ind w:firstLine="645"/>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shd w:val="clear" w:color="auto" w:fill="FFFFFF"/>
        </w:rPr>
        <w:t>基本支出，是用于保障本单位正常运转的日常支出，包括基本工资、津贴补贴等人员经费以及办公费、印刷费、水电费、办公设备购置等日常公用经费。</w:t>
      </w:r>
    </w:p>
    <w:p>
      <w:pPr>
        <w:shd w:val="clear" w:color="auto" w:fill="FFFFFF"/>
        <w:wordWrap w:val="0"/>
        <w:spacing w:line="540" w:lineRule="exact"/>
        <w:ind w:firstLine="640"/>
        <w:jc w:val="left"/>
        <w:rPr>
          <w:rFonts w:ascii="仿宋_GB2312" w:hAnsi="宋体"/>
          <w:color w:val="000000"/>
        </w:rPr>
      </w:pPr>
    </w:p>
    <w:p>
      <w:pPr>
        <w:snapToGrid w:val="0"/>
        <w:spacing w:line="480" w:lineRule="exact"/>
        <w:ind w:firstLine="720"/>
        <w:jc w:val="left"/>
        <w:rPr>
          <w:rFonts w:ascii="楷体" w:hAnsi="宋体"/>
          <w:color w:val="000000"/>
        </w:rPr>
      </w:pPr>
      <w:r>
        <w:rPr>
          <w:rFonts w:ascii="楷体" w:hAnsi="宋体"/>
          <w:color w:val="000000"/>
          <w:sz w:val="32"/>
          <w:szCs w:val="32"/>
        </w:rPr>
        <w:t>（三）综合管理情况。</w:t>
      </w:r>
    </w:p>
    <w:p>
      <w:pPr>
        <w:wordWrap w:val="0"/>
        <w:spacing w:line="540" w:lineRule="exact"/>
        <w:ind w:firstLine="640"/>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rPr>
        <w:t>1.建立建全内部控制制度：我单位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wordWrap w:val="0"/>
        <w:spacing w:line="540" w:lineRule="exact"/>
        <w:ind w:firstLine="640"/>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rPr>
        <w:t xml:space="preserve">2.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wordWrap w:val="0"/>
        <w:spacing w:line="540" w:lineRule="exact"/>
        <w:ind w:firstLine="640"/>
        <w:jc w:val="left"/>
        <w:rPr>
          <w:rFonts w:ascii="仿宋_GB2312" w:hAnsi="仿宋_GB2312" w:eastAsia="仿宋_GB2312"/>
          <w:color w:val="000000" w:themeColor="text1"/>
          <w:sz w:val="32"/>
          <w:szCs w:val="32"/>
        </w:rPr>
      </w:pPr>
      <w:r>
        <w:rPr>
          <w:rFonts w:ascii="仿宋_GB2312" w:hAnsi="仿宋_GB2312" w:eastAsia="仿宋_GB2312"/>
          <w:color w:val="000000" w:themeColor="text1"/>
          <w:sz w:val="32"/>
          <w:szCs w:val="32"/>
        </w:rPr>
        <w:t xml:space="preserve">3.预算信息公开：我单位按规定内容公开预决算信息；按规定时限公开预决算信息；基础数据信息和会计信息资料真实；基础数据信息和会计信息资料完整；基础数据信息和汇集信息资料准确。 </w:t>
      </w:r>
    </w:p>
    <w:p>
      <w:pPr>
        <w:wordWrap w:val="0"/>
        <w:spacing w:line="540" w:lineRule="exact"/>
        <w:ind w:firstLine="640"/>
        <w:jc w:val="left"/>
        <w:rPr>
          <w:rFonts w:ascii="仿宋_GB2312" w:hAnsi="宋体"/>
          <w:color w:val="000000"/>
        </w:rPr>
      </w:pPr>
      <w:r>
        <w:rPr>
          <w:rFonts w:ascii="仿宋_GB2312" w:hAnsi="仿宋_GB2312" w:eastAsia="仿宋_GB2312"/>
          <w:color w:val="000000" w:themeColor="text1"/>
          <w:sz w:val="32"/>
          <w:szCs w:val="32"/>
        </w:rPr>
        <w:t>4.财务信息完善性：经核对我单位2019年度总账、明细账、决算报表，其结果账账、账表相符；财务信息资料真实、完整、准确。</w:t>
      </w:r>
    </w:p>
    <w:p>
      <w:pPr>
        <w:snapToGrid w:val="0"/>
        <w:spacing w:line="480" w:lineRule="exact"/>
        <w:ind w:firstLine="720"/>
        <w:jc w:val="left"/>
        <w:rPr>
          <w:rFonts w:ascii="楷体" w:hAnsi="宋体"/>
          <w:color w:val="000000"/>
        </w:rPr>
      </w:pPr>
      <w:r>
        <w:rPr>
          <w:rFonts w:ascii="楷体" w:hAnsi="宋体"/>
          <w:color w:val="000000"/>
          <w:sz w:val="32"/>
          <w:szCs w:val="32"/>
        </w:rPr>
        <w:t>（四）整体绩效。</w:t>
      </w:r>
    </w:p>
    <w:p>
      <w:pPr>
        <w:wordWrap w:val="0"/>
        <w:spacing w:after="160" w:line="560" w:lineRule="exact"/>
        <w:ind w:firstLine="640"/>
        <w:jc w:val="left"/>
        <w:rPr>
          <w:rFonts w:hint="eastAsia" w:ascii="仿宋_GB2312" w:hAnsi="仿宋_GB2312" w:eastAsia="仿宋_GB2312"/>
          <w:color w:val="000000"/>
          <w:sz w:val="32"/>
          <w:szCs w:val="32"/>
        </w:rPr>
      </w:pPr>
      <w:r>
        <w:rPr>
          <w:rFonts w:ascii="仿宋_GB2312" w:hAnsi="仿宋_GB2312" w:eastAsia="仿宋_GB2312"/>
          <w:color w:val="000000"/>
          <w:sz w:val="32"/>
          <w:szCs w:val="32"/>
        </w:rPr>
        <w:t>2019</w:t>
      </w:r>
    </w:p>
    <w:p>
      <w:pPr>
        <w:wordWrap w:val="0"/>
        <w:spacing w:after="160" w:line="560" w:lineRule="exact"/>
        <w:ind w:firstLine="640"/>
        <w:jc w:val="left"/>
        <w:rPr>
          <w:rFonts w:ascii="仿宋_GB2312" w:hAnsi="仿宋_GB2312" w:eastAsia="仿宋_GB2312"/>
          <w:color w:val="000000"/>
          <w:sz w:val="32"/>
          <w:szCs w:val="32"/>
        </w:rPr>
      </w:pPr>
      <w:r>
        <w:rPr>
          <w:rFonts w:ascii="仿宋_GB2312" w:hAnsi="仿宋_GB2312" w:eastAsia="仿宋_GB2312"/>
          <w:color w:val="000000"/>
          <w:sz w:val="32"/>
          <w:szCs w:val="32"/>
        </w:rPr>
        <w:t>年度我单位年初根据工作规划和重点工作规划，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ordWrap w:val="0"/>
        <w:spacing w:after="160" w:line="560" w:lineRule="exact"/>
        <w:ind w:firstLine="640"/>
        <w:jc w:val="left"/>
        <w:rPr>
          <w:rFonts w:ascii="仿宋_GB2312" w:hAnsi="仿宋_GB2312" w:eastAsia="仿宋_GB2312"/>
          <w:color w:val="000000"/>
          <w:sz w:val="32"/>
          <w:szCs w:val="32"/>
        </w:rPr>
      </w:pP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bookmarkStart w:id="96" w:name="_Toc10676_WPSOffice_Level2"/>
      <w:r>
        <w:rPr>
          <w:rFonts w:ascii="仿宋_GB2312" w:hAnsi="仿宋_GB2312" w:eastAsia="仿宋_GB2312"/>
          <w:color w:val="000000" w:themeColor="text1"/>
          <w:sz w:val="32"/>
          <w:szCs w:val="32"/>
        </w:rPr>
        <w:t>四、本年度部门支出财务工作开展评价结论及建议</w:t>
      </w:r>
      <w:bookmarkEnd w:id="96"/>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hd w:val="clear" w:color="auto" w:fill="FFFFFF"/>
        <w:wordWrap w:val="0"/>
        <w:spacing w:line="540" w:lineRule="exact"/>
        <w:ind w:firstLine="640"/>
        <w:jc w:val="left"/>
        <w:rPr>
          <w:rFonts w:ascii="仿宋_GB2312" w:hAnsi="宋体"/>
          <w:color w:val="000000"/>
        </w:rPr>
      </w:pPr>
      <w:r>
        <w:rPr>
          <w:rFonts w:ascii="仿宋_GB2312" w:hAnsi="仿宋_GB2312" w:eastAsia="仿宋_GB2312"/>
          <w:color w:val="000000" w:themeColor="text1"/>
          <w:sz w:val="32"/>
          <w:szCs w:val="32"/>
          <w:shd w:val="clear" w:color="auto" w:fill="FFFFFF"/>
        </w:rPr>
        <w:t>能够严格执行《预算法》和各项财经纪律，机关制度健全，财务管理规范，预算编制合理;二是资金监管到位。经费开支按用途使用合理，做到专帐专管,专款专用；三是人员配备和帐务核算到位。财务人员帐务核算及时规范。</w:t>
      </w:r>
      <w:r>
        <w:rPr>
          <w:rFonts w:ascii="仿宋_GB2312" w:hAnsi="仿宋_GB2312" w:eastAsia="仿宋_GB2312"/>
          <w:color w:val="000000" w:themeColor="text1"/>
          <w:sz w:val="32"/>
          <w:szCs w:val="32"/>
        </w:rPr>
        <w:t>我单位在财务上进行合理安排和运用，以“认真、严谨、细致”的精神，做好一切财务工作。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olor w:val="000000" w:themeColor="text1"/>
          <w:sz w:val="32"/>
          <w:szCs w:val="32"/>
        </w:rPr>
        <w:t>财务人员业务知识还稍有欠缺。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hd w:val="clear" w:color="auto" w:fill="FFFFFF"/>
        <w:wordWrap w:val="0"/>
        <w:spacing w:line="540" w:lineRule="exact"/>
        <w:ind w:firstLine="640"/>
        <w:jc w:val="left"/>
        <w:rPr>
          <w:rFonts w:ascii="仿宋_GB2312" w:hAnsi="仿宋_GB2312" w:eastAsia="仿宋_GB2312"/>
        </w:rPr>
      </w:pPr>
      <w:r>
        <w:rPr>
          <w:rFonts w:ascii="仿宋_GB2312" w:hAnsi="仿宋_GB2312" w:eastAsia="仿宋_GB2312"/>
          <w:color w:val="000000" w:themeColor="text1"/>
          <w:sz w:val="32"/>
          <w:szCs w:val="32"/>
          <w:shd w:val="clear" w:color="auto" w:fill="FFFFFF"/>
        </w:rPr>
        <w:t>建立长效机制，严格财务管理，加强财务监督，坚持厉行节约，严格杜绝现金支出。加强事业单位会计制度的学习，准且完整的核算部门全年收入支出，确保不漏记不多记收支。                   </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97" w:name="_Toc15396618"/>
      <w:bookmarkStart w:id="98" w:name="_Toc8114"/>
      <w:r>
        <w:rPr>
          <w:rFonts w:hint="eastAsia" w:ascii="黑体" w:hAnsi="黑体" w:eastAsia="黑体"/>
          <w:color w:val="000000"/>
          <w:sz w:val="44"/>
          <w:szCs w:val="44"/>
        </w:rPr>
        <w:t>第</w:t>
      </w:r>
      <w:r>
        <w:rPr>
          <w:rStyle w:val="24"/>
          <w:rFonts w:hint="eastAsia" w:ascii="黑体" w:hAnsi="黑体" w:eastAsia="黑体"/>
          <w:b w:val="0"/>
        </w:rPr>
        <w:t>五部分 附表</w:t>
      </w:r>
      <w:bookmarkEnd w:id="91"/>
      <w:bookmarkEnd w:id="97"/>
      <w:bookmarkEnd w:id="98"/>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99" w:name="_Toc7315"/>
      <w:bookmarkStart w:id="10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99"/>
      <w:bookmarkEnd w:id="100"/>
    </w:p>
    <w:p>
      <w:pPr>
        <w:pStyle w:val="3"/>
        <w:rPr>
          <w:rFonts w:ascii="仿宋" w:hAnsi="仿宋" w:eastAsia="仿宋"/>
          <w:color w:val="000000"/>
        </w:rPr>
      </w:pPr>
      <w:bookmarkStart w:id="101" w:name="_Toc18178"/>
      <w:bookmarkStart w:id="102"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101"/>
      <w:bookmarkEnd w:id="102"/>
    </w:p>
    <w:p>
      <w:pPr>
        <w:pStyle w:val="3"/>
        <w:rPr>
          <w:rFonts w:ascii="仿宋" w:hAnsi="仿宋" w:eastAsia="仿宋"/>
          <w:color w:val="000000"/>
        </w:rPr>
      </w:pPr>
      <w:bookmarkStart w:id="103" w:name="_Toc19437"/>
      <w:bookmarkStart w:id="104"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03"/>
      <w:bookmarkEnd w:id="104"/>
    </w:p>
    <w:p>
      <w:pPr>
        <w:pStyle w:val="3"/>
        <w:rPr>
          <w:rFonts w:ascii="仿宋" w:hAnsi="仿宋" w:eastAsia="仿宋"/>
          <w:b w:val="0"/>
          <w:color w:val="000000"/>
        </w:rPr>
      </w:pPr>
      <w:bookmarkStart w:id="105" w:name="_Toc15396622"/>
      <w:bookmarkStart w:id="106" w:name="_Toc14903"/>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05"/>
      <w:bookmarkEnd w:id="106"/>
    </w:p>
    <w:p>
      <w:pPr>
        <w:pStyle w:val="3"/>
        <w:rPr>
          <w:rStyle w:val="25"/>
          <w:rFonts w:ascii="仿宋" w:hAnsi="仿宋" w:eastAsia="仿宋"/>
          <w:b w:val="0"/>
          <w:bCs w:val="0"/>
        </w:rPr>
      </w:pPr>
      <w:bookmarkStart w:id="107" w:name="_Toc15396623"/>
      <w:bookmarkStart w:id="108" w:name="_Toc695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07"/>
      <w:bookmarkEnd w:id="108"/>
      <w:bookmarkStart w:id="109" w:name="_Toc15396624"/>
    </w:p>
    <w:p>
      <w:pPr>
        <w:pStyle w:val="3"/>
        <w:rPr>
          <w:rFonts w:ascii="仿宋" w:hAnsi="仿宋" w:eastAsia="仿宋"/>
          <w:color w:val="000000"/>
        </w:rPr>
      </w:pPr>
      <w:bookmarkStart w:id="110" w:name="_Toc19492"/>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09"/>
      <w:bookmarkEnd w:id="110"/>
    </w:p>
    <w:p>
      <w:pPr>
        <w:pStyle w:val="3"/>
        <w:rPr>
          <w:rFonts w:ascii="仿宋" w:hAnsi="仿宋" w:eastAsia="仿宋"/>
          <w:color w:val="000000"/>
        </w:rPr>
      </w:pPr>
      <w:bookmarkStart w:id="111" w:name="_Toc15396625"/>
      <w:bookmarkStart w:id="112" w:name="_Toc3077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11"/>
      <w:bookmarkEnd w:id="112"/>
    </w:p>
    <w:p>
      <w:pPr>
        <w:pStyle w:val="3"/>
        <w:rPr>
          <w:rFonts w:ascii="仿宋" w:hAnsi="仿宋" w:eastAsia="仿宋"/>
          <w:color w:val="000000"/>
        </w:rPr>
      </w:pPr>
      <w:bookmarkStart w:id="113" w:name="_Toc15396626"/>
      <w:bookmarkStart w:id="114" w:name="_Toc18312"/>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13"/>
      <w:bookmarkEnd w:id="114"/>
    </w:p>
    <w:p>
      <w:pPr>
        <w:pStyle w:val="3"/>
        <w:rPr>
          <w:rFonts w:ascii="仿宋" w:hAnsi="仿宋" w:eastAsia="仿宋"/>
          <w:color w:val="000000"/>
        </w:rPr>
      </w:pPr>
      <w:bookmarkStart w:id="115" w:name="_Toc15396627"/>
      <w:bookmarkStart w:id="116" w:name="_Toc27879"/>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15"/>
      <w:bookmarkEnd w:id="116"/>
    </w:p>
    <w:p>
      <w:pPr>
        <w:pStyle w:val="3"/>
        <w:rPr>
          <w:rFonts w:ascii="仿宋" w:hAnsi="仿宋" w:eastAsia="仿宋"/>
          <w:color w:val="000000"/>
        </w:rPr>
      </w:pPr>
      <w:bookmarkStart w:id="117" w:name="_Toc15396628"/>
      <w:bookmarkStart w:id="118" w:name="_Toc22793"/>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17"/>
      <w:bookmarkEnd w:id="118"/>
    </w:p>
    <w:p>
      <w:pPr>
        <w:pStyle w:val="3"/>
        <w:rPr>
          <w:rFonts w:ascii="仿宋" w:hAnsi="仿宋" w:eastAsia="仿宋"/>
          <w:color w:val="000000"/>
        </w:rPr>
      </w:pPr>
      <w:bookmarkStart w:id="119" w:name="_Toc15396629"/>
      <w:bookmarkStart w:id="120" w:name="_Toc32081"/>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19"/>
      <w:bookmarkEnd w:id="120"/>
    </w:p>
    <w:p>
      <w:pPr>
        <w:pStyle w:val="3"/>
        <w:rPr>
          <w:rFonts w:ascii="仿宋" w:hAnsi="仿宋" w:eastAsia="仿宋"/>
          <w:color w:val="000000"/>
        </w:rPr>
      </w:pPr>
      <w:bookmarkStart w:id="121" w:name="_Toc15396630"/>
      <w:bookmarkStart w:id="122" w:name="_Toc7711"/>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21"/>
      <w:bookmarkEnd w:id="122"/>
    </w:p>
    <w:p>
      <w:pPr>
        <w:pStyle w:val="3"/>
        <w:rPr>
          <w:rFonts w:ascii="仿宋" w:hAnsi="仿宋" w:eastAsia="仿宋"/>
          <w:color w:val="000000" w:themeColor="text1"/>
        </w:rPr>
      </w:pPr>
      <w:bookmarkStart w:id="123" w:name="_Toc15396631"/>
      <w:bookmarkStart w:id="124" w:name="_Toc31669"/>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23"/>
      <w:bookmarkEnd w:id="12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287" w:hanging="720"/>
      </w:pPr>
      <w:rPr>
        <w:rFonts w:hint="default"/>
        <w:b w:val="0"/>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F000003"/>
    <w:multiLevelType w:val="multilevel"/>
    <w:tmpl w:val="2F000003"/>
    <w:lvl w:ilvl="0" w:tentative="0">
      <w:start w:val="1"/>
      <w:numFmt w:val="decimal"/>
      <w:suff w:val="nothing"/>
      <w:lvlText w:val="（%1）"/>
      <w:lvlJc w:val="left"/>
      <w:rPr>
        <w:rFonts w:ascii="楷体_GB2312" w:hAnsi="楷体_GB2312" w:eastAsia="楷体_GB2312"/>
        <w:b/>
        <w:w w:val="100"/>
        <w:sz w:val="32"/>
        <w:szCs w:val="32"/>
        <w:shd w:val="clear" w:color="auto" w:fill="auto"/>
      </w:rPr>
    </w:lvl>
    <w:lvl w:ilvl="1" w:tentative="0">
      <w:start w:val="1"/>
      <w:numFmt w:val="decimal"/>
      <w:suff w:val="nothing"/>
      <w:lvlText w:val="（%1）"/>
      <w:lvlJc w:val="left"/>
      <w:rPr>
        <w:rFonts w:ascii="楷体_GB2312" w:hAnsi="楷体_GB2312" w:eastAsia="楷体_GB2312"/>
        <w:b/>
        <w:w w:val="100"/>
        <w:sz w:val="32"/>
        <w:szCs w:val="32"/>
        <w:shd w:val="clear" w:color="auto" w:fill="auto"/>
      </w:rPr>
    </w:lvl>
    <w:lvl w:ilvl="2" w:tentative="0">
      <w:start w:val="1"/>
      <w:numFmt w:val="decimal"/>
      <w:suff w:val="nothing"/>
      <w:lvlText w:val="（%1）"/>
      <w:lvlJc w:val="left"/>
      <w:rPr>
        <w:rFonts w:ascii="楷体_GB2312" w:hAnsi="楷体_GB2312" w:eastAsia="楷体_GB2312"/>
        <w:b/>
        <w:w w:val="100"/>
        <w:sz w:val="32"/>
        <w:szCs w:val="32"/>
        <w:shd w:val="clear" w:color="auto" w:fill="auto"/>
      </w:rPr>
    </w:lvl>
    <w:lvl w:ilvl="3" w:tentative="0">
      <w:start w:val="1"/>
      <w:numFmt w:val="decimal"/>
      <w:suff w:val="nothing"/>
      <w:lvlText w:val="（%1）"/>
      <w:lvlJc w:val="left"/>
      <w:rPr>
        <w:rFonts w:ascii="楷体_GB2312" w:hAnsi="楷体_GB2312" w:eastAsia="楷体_GB2312"/>
        <w:b/>
        <w:w w:val="100"/>
        <w:sz w:val="32"/>
        <w:szCs w:val="32"/>
        <w:shd w:val="clear" w:color="auto" w:fill="auto"/>
      </w:rPr>
    </w:lvl>
    <w:lvl w:ilvl="4" w:tentative="0">
      <w:start w:val="1"/>
      <w:numFmt w:val="decimal"/>
      <w:suff w:val="nothing"/>
      <w:lvlText w:val="（%1）"/>
      <w:lvlJc w:val="left"/>
      <w:rPr>
        <w:rFonts w:ascii="楷体_GB2312" w:hAnsi="楷体_GB2312" w:eastAsia="楷体_GB2312"/>
        <w:b/>
        <w:w w:val="100"/>
        <w:sz w:val="32"/>
        <w:szCs w:val="32"/>
        <w:shd w:val="clear" w:color="auto" w:fill="auto"/>
      </w:rPr>
    </w:lvl>
    <w:lvl w:ilvl="5" w:tentative="0">
      <w:start w:val="1"/>
      <w:numFmt w:val="decimal"/>
      <w:suff w:val="nothing"/>
      <w:lvlText w:val="（%1）"/>
      <w:lvlJc w:val="left"/>
      <w:rPr>
        <w:rFonts w:ascii="楷体_GB2312" w:hAnsi="楷体_GB2312" w:eastAsia="楷体_GB2312"/>
        <w:b/>
        <w:w w:val="100"/>
        <w:sz w:val="32"/>
        <w:szCs w:val="32"/>
        <w:shd w:val="clear" w:color="auto" w:fill="auto"/>
      </w:rPr>
    </w:lvl>
    <w:lvl w:ilvl="6" w:tentative="0">
      <w:start w:val="1"/>
      <w:numFmt w:val="decimal"/>
      <w:suff w:val="nothing"/>
      <w:lvlText w:val="（%1）"/>
      <w:lvlJc w:val="left"/>
      <w:rPr>
        <w:rFonts w:ascii="楷体_GB2312" w:hAnsi="楷体_GB2312" w:eastAsia="楷体_GB2312"/>
        <w:b/>
        <w:w w:val="100"/>
        <w:sz w:val="32"/>
        <w:szCs w:val="32"/>
        <w:shd w:val="clear" w:color="auto" w:fill="auto"/>
      </w:rPr>
    </w:lvl>
    <w:lvl w:ilvl="7" w:tentative="0">
      <w:start w:val="1"/>
      <w:numFmt w:val="decimal"/>
      <w:suff w:val="nothing"/>
      <w:lvlText w:val="（%1）"/>
      <w:lvlJc w:val="left"/>
      <w:rPr>
        <w:rFonts w:ascii="楷体_GB2312" w:hAnsi="楷体_GB2312" w:eastAsia="楷体_GB2312"/>
        <w:b/>
        <w:w w:val="100"/>
        <w:sz w:val="32"/>
        <w:szCs w:val="32"/>
        <w:shd w:val="clear" w:color="auto" w:fill="auto"/>
      </w:rPr>
    </w:lvl>
    <w:lvl w:ilvl="8" w:tentative="0">
      <w:start w:val="1"/>
      <w:numFmt w:val="decimal"/>
      <w:suff w:val="nothing"/>
      <w:lvlText w:val="（%1）"/>
      <w:lvlJc w:val="left"/>
      <w:rPr>
        <w:rFonts w:ascii="楷体_GB2312" w:hAnsi="楷体_GB2312" w:eastAsia="楷体_GB2312"/>
        <w:b/>
        <w:w w:val="100"/>
        <w:sz w:val="32"/>
        <w:szCs w:val="32"/>
        <w:shd w:val="clear" w:color="auto" w:fill="auto"/>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344C"/>
    <w:rsid w:val="000222C6"/>
    <w:rsid w:val="0002549F"/>
    <w:rsid w:val="000468DB"/>
    <w:rsid w:val="000544A8"/>
    <w:rsid w:val="0006487A"/>
    <w:rsid w:val="00065F8F"/>
    <w:rsid w:val="00070A43"/>
    <w:rsid w:val="000726B3"/>
    <w:rsid w:val="000768F2"/>
    <w:rsid w:val="0009184B"/>
    <w:rsid w:val="00094236"/>
    <w:rsid w:val="0009520D"/>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26F9"/>
    <w:rsid w:val="00114E9B"/>
    <w:rsid w:val="00142216"/>
    <w:rsid w:val="00144D6A"/>
    <w:rsid w:val="0014729F"/>
    <w:rsid w:val="00157BAB"/>
    <w:rsid w:val="001654D1"/>
    <w:rsid w:val="00174518"/>
    <w:rsid w:val="0018106D"/>
    <w:rsid w:val="001877A7"/>
    <w:rsid w:val="00191536"/>
    <w:rsid w:val="00196687"/>
    <w:rsid w:val="001A0903"/>
    <w:rsid w:val="001C026C"/>
    <w:rsid w:val="001C0962"/>
    <w:rsid w:val="001C647C"/>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C54BF"/>
    <w:rsid w:val="002D19B0"/>
    <w:rsid w:val="002D6D05"/>
    <w:rsid w:val="002F1818"/>
    <w:rsid w:val="002F567B"/>
    <w:rsid w:val="003202CC"/>
    <w:rsid w:val="003216A9"/>
    <w:rsid w:val="00335A74"/>
    <w:rsid w:val="00337B78"/>
    <w:rsid w:val="003643A0"/>
    <w:rsid w:val="0036561B"/>
    <w:rsid w:val="0037013F"/>
    <w:rsid w:val="00380C92"/>
    <w:rsid w:val="003A484F"/>
    <w:rsid w:val="003A4883"/>
    <w:rsid w:val="003B0BE0"/>
    <w:rsid w:val="003B0C1B"/>
    <w:rsid w:val="003B688C"/>
    <w:rsid w:val="003C0291"/>
    <w:rsid w:val="003C38CF"/>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C20D3"/>
    <w:rsid w:val="004C7587"/>
    <w:rsid w:val="004D6E53"/>
    <w:rsid w:val="004E0A2D"/>
    <w:rsid w:val="004E206B"/>
    <w:rsid w:val="004E6DF7"/>
    <w:rsid w:val="004F0FBD"/>
    <w:rsid w:val="004F403E"/>
    <w:rsid w:val="00505A47"/>
    <w:rsid w:val="00512FDA"/>
    <w:rsid w:val="00515FEE"/>
    <w:rsid w:val="00520DA0"/>
    <w:rsid w:val="0053656B"/>
    <w:rsid w:val="00554F0C"/>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08FF"/>
    <w:rsid w:val="00614E44"/>
    <w:rsid w:val="0062270A"/>
    <w:rsid w:val="00622830"/>
    <w:rsid w:val="00623DA0"/>
    <w:rsid w:val="006256A1"/>
    <w:rsid w:val="00627324"/>
    <w:rsid w:val="00630AEF"/>
    <w:rsid w:val="006325F8"/>
    <w:rsid w:val="00633463"/>
    <w:rsid w:val="00634C9A"/>
    <w:rsid w:val="006440E4"/>
    <w:rsid w:val="0066343B"/>
    <w:rsid w:val="00664777"/>
    <w:rsid w:val="006748A4"/>
    <w:rsid w:val="00676269"/>
    <w:rsid w:val="00681A31"/>
    <w:rsid w:val="00683E73"/>
    <w:rsid w:val="006A3141"/>
    <w:rsid w:val="006A5E34"/>
    <w:rsid w:val="006B2422"/>
    <w:rsid w:val="006B2B9A"/>
    <w:rsid w:val="006C1937"/>
    <w:rsid w:val="006C2815"/>
    <w:rsid w:val="006E4637"/>
    <w:rsid w:val="006F020C"/>
    <w:rsid w:val="0071020F"/>
    <w:rsid w:val="007127B7"/>
    <w:rsid w:val="0071798E"/>
    <w:rsid w:val="00726F73"/>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06238"/>
    <w:rsid w:val="00813348"/>
    <w:rsid w:val="008253BB"/>
    <w:rsid w:val="008302FA"/>
    <w:rsid w:val="00833962"/>
    <w:rsid w:val="0083706E"/>
    <w:rsid w:val="008408F6"/>
    <w:rsid w:val="008423A5"/>
    <w:rsid w:val="00850625"/>
    <w:rsid w:val="00853718"/>
    <w:rsid w:val="00855221"/>
    <w:rsid w:val="00860645"/>
    <w:rsid w:val="00871F71"/>
    <w:rsid w:val="00872FD8"/>
    <w:rsid w:val="00885AF4"/>
    <w:rsid w:val="00886611"/>
    <w:rsid w:val="008939CD"/>
    <w:rsid w:val="008B768C"/>
    <w:rsid w:val="008C4DB1"/>
    <w:rsid w:val="008C4EAF"/>
    <w:rsid w:val="008C5176"/>
    <w:rsid w:val="008C7FD0"/>
    <w:rsid w:val="008E1DE7"/>
    <w:rsid w:val="008E707C"/>
    <w:rsid w:val="00900B08"/>
    <w:rsid w:val="00902155"/>
    <w:rsid w:val="00902FA3"/>
    <w:rsid w:val="00904B2A"/>
    <w:rsid w:val="00917673"/>
    <w:rsid w:val="00923564"/>
    <w:rsid w:val="0092392E"/>
    <w:rsid w:val="009315F9"/>
    <w:rsid w:val="00933499"/>
    <w:rsid w:val="00935C98"/>
    <w:rsid w:val="00946945"/>
    <w:rsid w:val="00951248"/>
    <w:rsid w:val="0095152F"/>
    <w:rsid w:val="00954C49"/>
    <w:rsid w:val="00955E37"/>
    <w:rsid w:val="0097099F"/>
    <w:rsid w:val="00971997"/>
    <w:rsid w:val="00971FFC"/>
    <w:rsid w:val="00982636"/>
    <w:rsid w:val="00985BBC"/>
    <w:rsid w:val="0098660A"/>
    <w:rsid w:val="00990945"/>
    <w:rsid w:val="009931C3"/>
    <w:rsid w:val="009B2C43"/>
    <w:rsid w:val="009B4EAE"/>
    <w:rsid w:val="009B6FDB"/>
    <w:rsid w:val="009B7573"/>
    <w:rsid w:val="009C22F4"/>
    <w:rsid w:val="009C2E98"/>
    <w:rsid w:val="009C37FB"/>
    <w:rsid w:val="009C7EC4"/>
    <w:rsid w:val="009D3447"/>
    <w:rsid w:val="009D4711"/>
    <w:rsid w:val="009F1185"/>
    <w:rsid w:val="009F18CD"/>
    <w:rsid w:val="009F2A13"/>
    <w:rsid w:val="009F7527"/>
    <w:rsid w:val="009F7C1F"/>
    <w:rsid w:val="00A039ED"/>
    <w:rsid w:val="00A04EB0"/>
    <w:rsid w:val="00A13CC1"/>
    <w:rsid w:val="00A16847"/>
    <w:rsid w:val="00A237D8"/>
    <w:rsid w:val="00A268C4"/>
    <w:rsid w:val="00A307CD"/>
    <w:rsid w:val="00A331C8"/>
    <w:rsid w:val="00A35117"/>
    <w:rsid w:val="00A40A00"/>
    <w:rsid w:val="00A4142F"/>
    <w:rsid w:val="00A422EB"/>
    <w:rsid w:val="00A45BB7"/>
    <w:rsid w:val="00A50DE6"/>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E3FF1"/>
    <w:rsid w:val="00AF241A"/>
    <w:rsid w:val="00AF37A0"/>
    <w:rsid w:val="00B03C9D"/>
    <w:rsid w:val="00B060AE"/>
    <w:rsid w:val="00B10517"/>
    <w:rsid w:val="00B14E76"/>
    <w:rsid w:val="00B161B8"/>
    <w:rsid w:val="00B2048C"/>
    <w:rsid w:val="00B310B9"/>
    <w:rsid w:val="00B35F3F"/>
    <w:rsid w:val="00B36CBB"/>
    <w:rsid w:val="00B425E0"/>
    <w:rsid w:val="00B440AA"/>
    <w:rsid w:val="00B44B70"/>
    <w:rsid w:val="00B52F7F"/>
    <w:rsid w:val="00B53C56"/>
    <w:rsid w:val="00B57DAF"/>
    <w:rsid w:val="00B77EA6"/>
    <w:rsid w:val="00B81598"/>
    <w:rsid w:val="00B839E2"/>
    <w:rsid w:val="00B841F1"/>
    <w:rsid w:val="00B90483"/>
    <w:rsid w:val="00B944D6"/>
    <w:rsid w:val="00BA0445"/>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CF5808"/>
    <w:rsid w:val="00D00095"/>
    <w:rsid w:val="00D114F0"/>
    <w:rsid w:val="00D179F5"/>
    <w:rsid w:val="00D20620"/>
    <w:rsid w:val="00D2207C"/>
    <w:rsid w:val="00D254F7"/>
    <w:rsid w:val="00D26091"/>
    <w:rsid w:val="00D2685C"/>
    <w:rsid w:val="00D34E7C"/>
    <w:rsid w:val="00D35489"/>
    <w:rsid w:val="00D36AFE"/>
    <w:rsid w:val="00D51276"/>
    <w:rsid w:val="00D7035F"/>
    <w:rsid w:val="00D73BB3"/>
    <w:rsid w:val="00DA634F"/>
    <w:rsid w:val="00DA65AC"/>
    <w:rsid w:val="00DB1913"/>
    <w:rsid w:val="00DC410D"/>
    <w:rsid w:val="00DC5A81"/>
    <w:rsid w:val="00DC68CA"/>
    <w:rsid w:val="00DC7CBA"/>
    <w:rsid w:val="00DD73B7"/>
    <w:rsid w:val="00DD743D"/>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B2CEF"/>
    <w:rsid w:val="00ED1B63"/>
    <w:rsid w:val="00ED3C1F"/>
    <w:rsid w:val="00ED4085"/>
    <w:rsid w:val="00ED420E"/>
    <w:rsid w:val="00ED6FBE"/>
    <w:rsid w:val="00EE2F57"/>
    <w:rsid w:val="00EF4C34"/>
    <w:rsid w:val="00EF77C6"/>
    <w:rsid w:val="00F05438"/>
    <w:rsid w:val="00F1361C"/>
    <w:rsid w:val="00F156F0"/>
    <w:rsid w:val="00F160C7"/>
    <w:rsid w:val="00F2360C"/>
    <w:rsid w:val="00F2408F"/>
    <w:rsid w:val="00F240E9"/>
    <w:rsid w:val="00F3322A"/>
    <w:rsid w:val="00F36D8F"/>
    <w:rsid w:val="00F417B1"/>
    <w:rsid w:val="00F45853"/>
    <w:rsid w:val="00F602DF"/>
    <w:rsid w:val="00F754A1"/>
    <w:rsid w:val="00F81FD9"/>
    <w:rsid w:val="00F841AA"/>
    <w:rsid w:val="00F84A94"/>
    <w:rsid w:val="00F87E96"/>
    <w:rsid w:val="00F95943"/>
    <w:rsid w:val="00FA23E8"/>
    <w:rsid w:val="00FC3C6A"/>
    <w:rsid w:val="00FD3CC1"/>
    <w:rsid w:val="00FF1E02"/>
    <w:rsid w:val="00FF30B4"/>
    <w:rsid w:val="10C055FF"/>
    <w:rsid w:val="16BB723D"/>
    <w:rsid w:val="1CC7765B"/>
    <w:rsid w:val="240371BF"/>
    <w:rsid w:val="29FD04D3"/>
    <w:rsid w:val="319F7F4E"/>
    <w:rsid w:val="348F4C65"/>
    <w:rsid w:val="4ECE2238"/>
    <w:rsid w:val="51E306EC"/>
    <w:rsid w:val="72734D90"/>
    <w:rsid w:val="72CE15DA"/>
    <w:rsid w:val="7979146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20"/>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列出段落1"/>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mn-cs"/>
              </a:defRPr>
            </a:pPr>
            <a:r>
              <a:rPr lang="ko-KR" altLang="en-US"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8</a:t>
            </a:r>
            <a:r>
              <a:rPr lang="ko-KR" altLang="en-US"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9</a:t>
            </a:r>
            <a:r>
              <a:rPr lang="ko-KR" altLang="en-US" sz="1400" b="0" i="0" u="none" baseline="0">
                <a:solidFill>
                  <a:srgbClr val="333333"/>
                </a:solidFill>
                <a:latin typeface="宋体" panose="02010600030101010101" charset="-122"/>
                <a:ea typeface="宋体" panose="02010600030101010101" charset="-122"/>
              </a:rPr>
              <a:t>年部门决算收入、支出柱状图</a:t>
            </a:r>
            <a:endParaRPr lang="ko-KR" altLang="en-US" sz="1400" b="0" i="0" u="none" baseline="0">
              <a:solidFill>
                <a:srgbClr val="333333"/>
              </a:solidFill>
              <a:latin typeface="宋体" panose="02010600030101010101" charset="-122"/>
              <a:ea typeface="宋体" panose="02010600030101010101" charset="-122"/>
            </a:endParaRPr>
          </a:p>
        </c:rich>
      </c:tx>
      <c:layout>
        <c:manualLayout>
          <c:xMode val="edge"/>
          <c:yMode val="edge"/>
          <c:x val="0.251736111111111"/>
          <c:y val="0.0386904761904762"/>
        </c:manualLayout>
      </c:layout>
      <c:overlay val="0"/>
      <c:spPr>
        <a:noFill/>
        <a:ln>
          <a:noFill/>
          <a:round/>
        </a:ln>
      </c:spPr>
    </c:title>
    <c:autoTitleDeleted val="0"/>
    <c:plotArea>
      <c:layout>
        <c:manualLayout>
          <c:layoutTarget val="inner"/>
          <c:xMode val="edge"/>
          <c:yMode val="edge"/>
          <c:x val="0.0945188882639671"/>
          <c:y val="0.230827388187215"/>
          <c:w val="0.904143518518519"/>
          <c:h val="0.642658730158731"/>
        </c:manualLayout>
      </c:layout>
      <c:barChart>
        <c:barDir val="col"/>
        <c:grouping val="clustered"/>
        <c:varyColors val="0"/>
        <c:ser>
          <c:idx val="0"/>
          <c:order val="0"/>
          <c:tx>
            <c:strRef>
              <c:f>电子表格9!$B$1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电子表格9!$A$2:$A$3</c:f>
              <c:strCache>
                <c:ptCount val="2"/>
                <c:pt idx="0">
                  <c:v>决算收入</c:v>
                </c:pt>
                <c:pt idx="1">
                  <c:v>决算支出</c:v>
                </c:pt>
              </c:strCache>
            </c:strRef>
          </c:cat>
          <c:val>
            <c:numRef>
              <c:f>电子表格9!$B$2:$B$3</c:f>
              <c:numCache>
                <c:formatCode>General</c:formatCode>
                <c:ptCount val="2"/>
                <c:pt idx="0">
                  <c:v>304</c:v>
                </c:pt>
                <c:pt idx="1">
                  <c:v>307</c:v>
                </c:pt>
              </c:numCache>
            </c:numRef>
          </c:val>
        </c:ser>
        <c:ser>
          <c:idx val="1"/>
          <c:order val="1"/>
          <c:tx>
            <c:strRef>
              <c:f>电子表格9!$C$1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电子表格9!$A$2:$A$3</c:f>
              <c:strCache>
                <c:ptCount val="2"/>
                <c:pt idx="0">
                  <c:v>决算收入</c:v>
                </c:pt>
                <c:pt idx="1">
                  <c:v>决算支出</c:v>
                </c:pt>
              </c:strCache>
            </c:strRef>
          </c:cat>
          <c:val>
            <c:numRef>
              <c:f>电子表格9!$C$2:$C$3</c:f>
              <c:numCache>
                <c:formatCode>General</c:formatCode>
                <c:ptCount val="2"/>
                <c:pt idx="0">
                  <c:v>309</c:v>
                </c:pt>
                <c:pt idx="1">
                  <c:v>340</c:v>
                </c:pt>
              </c:numCache>
            </c:numRef>
          </c:val>
        </c:ser>
        <c:dLbls>
          <c:showLegendKey val="0"/>
          <c:showVal val="1"/>
          <c:showCatName val="0"/>
          <c:showSerName val="0"/>
          <c:showPercent val="0"/>
          <c:showBubbleSize val="0"/>
        </c:dLbls>
        <c:gapWidth val="219"/>
        <c:overlap val="-27"/>
        <c:axId val="182011008"/>
        <c:axId val="182012544"/>
      </c:barChart>
      <c:catAx>
        <c:axId val="182011008"/>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2012544"/>
        <c:crosses val="autoZero"/>
        <c:auto val="1"/>
        <c:lblAlgn val="ctr"/>
        <c:lblOffset val="100"/>
        <c:noMultiLvlLbl val="0"/>
      </c:catAx>
      <c:valAx>
        <c:axId val="182012544"/>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crossAx val="182011008"/>
        <c:crosses val="autoZero"/>
        <c:crossBetween val="between"/>
      </c:valAx>
      <c:spPr>
        <a:noFill/>
        <a:ln>
          <a:noFill/>
          <a:round/>
        </a:ln>
      </c:spPr>
    </c:plotArea>
    <c:legend>
      <c:legendPos val="b"/>
      <c:layout>
        <c:manualLayout>
          <c:xMode val="edge"/>
          <c:yMode val="edge"/>
          <c:x val="0.374517374517374"/>
          <c:y val="0.894039735099338"/>
          <c:w val="0.254826254826255"/>
          <c:h val="0.0662251655629138"/>
        </c:manualLayout>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mn-cs"/>
              </a:defRPr>
            </a:pPr>
            <a:r>
              <a:rPr lang="ko-KR" altLang="en-US"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9</a:t>
            </a:r>
            <a:r>
              <a:rPr lang="ko-KR" altLang="en-US" sz="1400" b="0" i="0" u="none" baseline="0">
                <a:solidFill>
                  <a:srgbClr val="333333"/>
                </a:solidFill>
                <a:latin typeface="宋体" panose="02010600030101010101" charset="-122"/>
                <a:ea typeface="宋体" panose="02010600030101010101" charset="-122"/>
              </a:rPr>
              <a:t>年收入合计</a:t>
            </a:r>
            <a:endParaRPr lang="ko-KR" altLang="en-US" sz="1400" b="0" i="0" u="none" baseline="0">
              <a:solidFill>
                <a:srgbClr val="333333"/>
              </a:solidFill>
              <a:latin typeface="宋体" panose="02010600030101010101" charset="-122"/>
              <a:ea typeface="宋体" panose="02010600030101010101" charset="-122"/>
            </a:endParaRPr>
          </a:p>
        </c:rich>
      </c:tx>
      <c:layout/>
      <c:overlay val="0"/>
      <c:spPr>
        <a:noFill/>
        <a:ln>
          <a:noFill/>
          <a:round/>
        </a:ln>
      </c:spPr>
    </c:title>
    <c:autoTitleDeleted val="0"/>
    <c:plotArea>
      <c:layout/>
      <c:pieChart>
        <c:varyColors val="1"/>
        <c:ser>
          <c:idx val="0"/>
          <c:order val="0"/>
          <c:tx>
            <c:strRef>
              <c:f>电子表格11!$B$1</c:f>
              <c:strCache>
                <c:ptCount val="1"/>
                <c:pt idx="0">
                  <c:v>2019年收入合计</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电子表格11!$A$2:$A$2</c:f>
              <c:strCache>
                <c:ptCount val="1"/>
                <c:pt idx="0">
                  <c:v>一般公共预算财政拨款</c:v>
                </c:pt>
              </c:strCache>
            </c:strRef>
          </c:cat>
          <c:val>
            <c:numRef>
              <c:f>电子表格11!$B$2:$B$2</c:f>
              <c:numCache>
                <c:formatCode>General</c:formatCode>
                <c:ptCount val="1"/>
                <c:pt idx="0">
                  <c:v>8.2</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legend>
    <c:plotVisOnly val="0"/>
    <c:dispBlanksAs val="zero"/>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mn-cs"/>
              </a:defRPr>
            </a:pPr>
            <a:r>
              <a:rPr lang="ko-KR" altLang="en-US"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9</a:t>
            </a:r>
            <a:r>
              <a:rPr lang="ko-KR" altLang="en-US" sz="1400" b="0" i="0" u="none" baseline="0">
                <a:solidFill>
                  <a:srgbClr val="333333"/>
                </a:solidFill>
                <a:latin typeface="宋体" panose="02010600030101010101" charset="-122"/>
                <a:ea typeface="宋体" panose="02010600030101010101" charset="-122"/>
              </a:rPr>
              <a:t>年总支出</a:t>
            </a:r>
            <a:endParaRPr lang="ko-KR" altLang="en-US" sz="1400" b="0" i="0" u="none" baseline="0">
              <a:solidFill>
                <a:srgbClr val="333333"/>
              </a:solidFill>
              <a:latin typeface="宋体" panose="02010600030101010101" charset="-122"/>
              <a:ea typeface="宋体" panose="02010600030101010101" charset="-122"/>
            </a:endParaRPr>
          </a:p>
        </c:rich>
      </c:tx>
      <c:layout/>
      <c:overlay val="0"/>
      <c:spPr>
        <a:noFill/>
        <a:ln>
          <a:noFill/>
          <a:round/>
        </a:ln>
      </c:spPr>
    </c:title>
    <c:autoTitleDeleted val="0"/>
    <c:plotArea>
      <c:layout/>
      <c:pieChart>
        <c:varyColors val="1"/>
        <c:ser>
          <c:idx val="0"/>
          <c:order val="0"/>
          <c:tx>
            <c:strRef>
              <c:f>电子表格27!$B$1</c:f>
              <c:strCache>
                <c:ptCount val="1"/>
                <c:pt idx="0">
                  <c:v>2019年总支出</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电子表格27!$A$2:$A$2</c:f>
              <c:strCache>
                <c:ptCount val="1"/>
                <c:pt idx="0">
                  <c:v>基本支出</c:v>
                </c:pt>
              </c:strCache>
            </c:strRef>
          </c:cat>
          <c:val>
            <c:numRef>
              <c:f>电子表格27!$B$2:$B$2</c:f>
              <c:numCache>
                <c:formatCode>General</c:formatCode>
                <c:ptCount val="1"/>
                <c:pt idx="0">
                  <c:v>340</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legend>
    <c:plotVisOnly val="0"/>
    <c:dispBlanksAs val="zero"/>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mn-cs"/>
              </a:defRPr>
            </a:pPr>
            <a:r>
              <a:rPr lang="ko-KR" altLang="en-US" sz="1400" b="0" i="0" u="none" baseline="0">
                <a:solidFill>
                  <a:srgbClr val="333333"/>
                </a:solidFill>
                <a:latin typeface="宋体" panose="02010600030101010101" charset="-122"/>
                <a:ea typeface="宋体" panose="02010600030101010101" charset="-122"/>
              </a:rPr>
              <a:t>2017-2018年财政收入、支出</a:t>
            </a:r>
            <a:endParaRPr lang="ko-KR" altLang="en-US" sz="1400" b="0" i="0" u="none" baseline="0">
              <a:solidFill>
                <a:srgbClr val="333333"/>
              </a:solidFill>
              <a:latin typeface="宋体" panose="02010600030101010101" charset="-122"/>
              <a:ea typeface="宋体" panose="02010600030101010101" charset="-122"/>
            </a:endParaRPr>
          </a:p>
        </c:rich>
      </c:tx>
      <c:layout/>
      <c:overlay val="0"/>
      <c:spPr>
        <a:noFill/>
        <a:ln>
          <a:noFill/>
          <a:round/>
        </a:ln>
      </c:spPr>
    </c:title>
    <c:autoTitleDeleted val="0"/>
    <c:plotArea>
      <c:layout/>
      <c:barChart>
        <c:barDir val="col"/>
        <c:grouping val="clustered"/>
        <c:varyColors val="0"/>
        <c:ser>
          <c:idx val="0"/>
          <c:order val="0"/>
          <c:tx>
            <c:strRef>
              <c:f>电子表格33!$B$1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电子表格33!$A$2:$A$3</c:f>
              <c:strCache>
                <c:ptCount val="2"/>
                <c:pt idx="0">
                  <c:v>财政拨款收入</c:v>
                </c:pt>
                <c:pt idx="1">
                  <c:v>财政拨款支出</c:v>
                </c:pt>
              </c:strCache>
            </c:strRef>
          </c:cat>
          <c:val>
            <c:numRef>
              <c:f>电子表格33!$B$2:$B$3</c:f>
              <c:numCache>
                <c:formatCode>General</c:formatCode>
                <c:ptCount val="2"/>
                <c:pt idx="0">
                  <c:v>304</c:v>
                </c:pt>
                <c:pt idx="1">
                  <c:v>307</c:v>
                </c:pt>
              </c:numCache>
            </c:numRef>
          </c:val>
        </c:ser>
        <c:ser>
          <c:idx val="1"/>
          <c:order val="1"/>
          <c:tx>
            <c:strRef>
              <c:f>电子表格33!$C$1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电子表格33!$A$2:$A$3</c:f>
              <c:strCache>
                <c:ptCount val="2"/>
                <c:pt idx="0">
                  <c:v>财政拨款收入</c:v>
                </c:pt>
                <c:pt idx="1">
                  <c:v>财政拨款支出</c:v>
                </c:pt>
              </c:strCache>
            </c:strRef>
          </c:cat>
          <c:val>
            <c:numRef>
              <c:f>电子表格33!$C$2:$C$3</c:f>
              <c:numCache>
                <c:formatCode>General</c:formatCode>
                <c:ptCount val="2"/>
                <c:pt idx="0">
                  <c:v>309</c:v>
                </c:pt>
                <c:pt idx="1">
                  <c:v>340</c:v>
                </c:pt>
              </c:numCache>
            </c:numRef>
          </c:val>
        </c:ser>
        <c:dLbls>
          <c:showLegendKey val="0"/>
          <c:showVal val="1"/>
          <c:showCatName val="0"/>
          <c:showSerName val="0"/>
          <c:showPercent val="0"/>
          <c:showBubbleSize val="0"/>
        </c:dLbls>
        <c:gapWidth val="219"/>
        <c:overlap val="-27"/>
        <c:axId val="332758400"/>
        <c:axId val="337839232"/>
      </c:barChart>
      <c:catAx>
        <c:axId val="332758400"/>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37839232"/>
        <c:crosses val="autoZero"/>
        <c:auto val="1"/>
        <c:lblAlgn val="ctr"/>
        <c:lblOffset val="100"/>
        <c:noMultiLvlLbl val="0"/>
      </c:catAx>
      <c:valAx>
        <c:axId val="337839232"/>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crossAx val="332758400"/>
        <c:crosses val="autoZero"/>
        <c:crossBetween val="between"/>
      </c:valAx>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mn-cs"/>
              </a:defRPr>
            </a:pPr>
            <a:r>
              <a:rPr lang="ko-KR" altLang="en-US"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8</a:t>
            </a:r>
            <a:r>
              <a:rPr lang="ko-KR" altLang="en-US"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9</a:t>
            </a:r>
            <a:r>
              <a:rPr lang="ko-KR" altLang="en-US" sz="1400" b="0" i="0" u="none" baseline="0">
                <a:solidFill>
                  <a:srgbClr val="333333"/>
                </a:solidFill>
                <a:latin typeface="宋体" panose="02010600030101010101" charset="-122"/>
                <a:ea typeface="宋体" panose="02010600030101010101" charset="-122"/>
              </a:rPr>
              <a:t>年财政拨款支出</a:t>
            </a:r>
            <a:endParaRPr lang="ko-KR" altLang="en-US" sz="1400" b="0" i="0" u="none" baseline="0">
              <a:solidFill>
                <a:srgbClr val="333333"/>
              </a:solidFill>
              <a:latin typeface="宋体" panose="02010600030101010101" charset="-122"/>
              <a:ea typeface="宋体" panose="02010600030101010101" charset="-122"/>
            </a:endParaRPr>
          </a:p>
        </c:rich>
      </c:tx>
      <c:layout/>
      <c:overlay val="0"/>
      <c:spPr>
        <a:noFill/>
        <a:ln>
          <a:noFill/>
          <a:round/>
        </a:ln>
      </c:spPr>
    </c:title>
    <c:autoTitleDeleted val="0"/>
    <c:plotArea>
      <c:layout/>
      <c:barChart>
        <c:barDir val="col"/>
        <c:grouping val="stacked"/>
        <c:varyColors val="0"/>
        <c:ser>
          <c:idx val="0"/>
          <c:order val="0"/>
          <c:tx>
            <c:strRef>
              <c:f>电子表格35!$B$1</c:f>
              <c:strCache>
                <c:ptCount val="1"/>
                <c:pt idx="0">
                  <c:v>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电子表格35!$A$2:$A$3</c:f>
              <c:strCache>
                <c:ptCount val="2"/>
                <c:pt idx="0">
                  <c:v>2018年</c:v>
                </c:pt>
                <c:pt idx="1">
                  <c:v>2019年</c:v>
                </c:pt>
              </c:strCache>
            </c:strRef>
          </c:cat>
          <c:val>
            <c:numRef>
              <c:f>电子表格35!$B$2:$B$3</c:f>
              <c:numCache>
                <c:formatCode>General</c:formatCode>
                <c:ptCount val="2"/>
                <c:pt idx="0">
                  <c:v>307</c:v>
                </c:pt>
                <c:pt idx="1">
                  <c:v>306.86</c:v>
                </c:pt>
              </c:numCache>
            </c:numRef>
          </c:val>
        </c:ser>
        <c:dLbls>
          <c:showLegendKey val="0"/>
          <c:showVal val="1"/>
          <c:showCatName val="0"/>
          <c:showSerName val="0"/>
          <c:showPercent val="0"/>
          <c:showBubbleSize val="0"/>
        </c:dLbls>
        <c:gapWidth val="150"/>
        <c:overlap val="100"/>
        <c:axId val="300050304"/>
        <c:axId val="300051840"/>
      </c:barChart>
      <c:catAx>
        <c:axId val="300050304"/>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00051840"/>
        <c:crosses val="autoZero"/>
        <c:auto val="1"/>
        <c:lblAlgn val="ctr"/>
        <c:lblOffset val="100"/>
        <c:noMultiLvlLbl val="0"/>
      </c:catAx>
      <c:valAx>
        <c:axId val="300051840"/>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crossAx val="300050304"/>
        <c:crosses val="autoZero"/>
        <c:crossBetween val="between"/>
      </c:valAx>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mn-cs"/>
              </a:defRPr>
            </a:pPr>
            <a:r>
              <a:rPr lang="en-US" altLang="ko-KR"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9</a:t>
            </a:r>
            <a:r>
              <a:rPr altLang="en-US" sz="1400" b="0" i="0" u="none" baseline="0">
                <a:solidFill>
                  <a:srgbClr val="333333"/>
                </a:solidFill>
                <a:latin typeface="宋体" panose="02010600030101010101" charset="-122"/>
                <a:ea typeface="宋体" panose="02010600030101010101" charset="-122"/>
              </a:rPr>
              <a:t>年支出</a:t>
            </a:r>
            <a:endParaRPr lang="en-US" altLang="ko-KR" sz="1400" b="0" i="0" u="none" baseline="0">
              <a:solidFill>
                <a:srgbClr val="333333"/>
              </a:solidFill>
              <a:latin typeface="宋体" panose="02010600030101010101" charset="-122"/>
              <a:ea typeface="宋体" panose="02010600030101010101" charset="-122"/>
            </a:endParaRPr>
          </a:p>
        </c:rich>
      </c:tx>
      <c:layout/>
      <c:overlay val="0"/>
      <c:spPr>
        <a:noFill/>
        <a:ln>
          <a:noFill/>
          <a:round/>
        </a:ln>
      </c:spPr>
    </c:title>
    <c:autoTitleDeleted val="0"/>
    <c:plotArea>
      <c:layout/>
      <c:pieChart>
        <c:varyColors val="1"/>
        <c:ser>
          <c:idx val="0"/>
          <c:order val="0"/>
          <c:tx>
            <c:strRef>
              <c:f>电子表格37!$B$1</c:f>
              <c:strCache>
                <c:ptCount val="1"/>
                <c:pt idx="0">
                  <c:v>2018支出</c:v>
                </c:pt>
              </c:strCache>
            </c:strRef>
          </c:tx>
          <c:explosion val="0"/>
          <c:dPt>
            <c:idx val="0"/>
            <c:bubble3D val="0"/>
          </c:dPt>
          <c:dPt>
            <c:idx val="1"/>
            <c:bubble3D val="0"/>
          </c:dPt>
          <c:dPt>
            <c:idx val="2"/>
            <c:bubble3D val="0"/>
          </c:dPt>
          <c:dLbls>
            <c:dLbl>
              <c:idx val="0"/>
              <c:layout/>
              <c:tx>
                <c:rich>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mn-lt"/>
                        <a:ea typeface="+mn-ea"/>
                        <a:cs typeface="+mn-cs"/>
                      </a:defRPr>
                    </a:pPr>
                    <a:r>
                      <a:rPr altLang="en-US"/>
                      <a:t>201</a:t>
                    </a:r>
                    <a:r>
                      <a:rPr lang="en-US" altLang="zh-CN"/>
                      <a:t>9</a:t>
                    </a:r>
                    <a:r>
                      <a:rPr altLang="en-US"/>
                      <a:t>支出
社会保障和就业支出
88.85</a:t>
                    </a:r>
                    <a:r>
                      <a:rPr lang="en-US" altLang="zh-CN"/>
                      <a:t>%</a:t>
                    </a:r>
                    <a:r>
                      <a:rPr altLang="en-US"/>
                      <a:t>
</a:t>
                    </a:r>
                    <a:endParaRPr altLang="en-US"/>
                  </a:p>
                </c:rich>
              </c:tx>
              <c:dLblPos val="ctr"/>
              <c:showLegendKey val="1"/>
              <c:showVal val="1"/>
              <c:showCatName val="1"/>
              <c:showSerName val="1"/>
              <c:showPercent val="1"/>
              <c:showBubbleSize val="1"/>
              <c:extLst>
                <c:ext xmlns:c15="http://schemas.microsoft.com/office/drawing/2012/chart" uri="{CE6537A1-D6FC-4f65-9D91-7224C49458BB}"/>
              </c:extLst>
            </c:dLbl>
            <c:dLbl>
              <c:idx val="1"/>
              <c:layout>
                <c:manualLayout>
                  <c:x val="-0.00473099502343287"/>
                  <c:y val="0.161746526414547"/>
                </c:manualLayout>
              </c:layout>
              <c:tx>
                <c:rich>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mn-lt"/>
                        <a:ea typeface="+mn-ea"/>
                        <a:cs typeface="+mn-cs"/>
                      </a:defRPr>
                    </a:pPr>
                    <a:r>
                      <a:rPr altLang="en-US"/>
                      <a:t>201</a:t>
                    </a:r>
                    <a:r>
                      <a:rPr lang="en-US" altLang="zh-CN"/>
                      <a:t>9</a:t>
                    </a:r>
                    <a:r>
                      <a:rPr altLang="en-US"/>
                      <a:t>支出
卫生健康支出
4.72</a:t>
                    </a:r>
                    <a:r>
                      <a:rPr lang="en-US" altLang="zh-CN"/>
                      <a:t>%</a:t>
                    </a:r>
                    <a:r>
                      <a:rPr altLang="en-US"/>
                      <a:t>
</a:t>
                    </a:r>
                    <a:endParaRPr altLang="en-US"/>
                  </a:p>
                </c:rich>
              </c:tx>
              <c:dLblPos val="bestFi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0.104523013050131"/>
                  <c:y val="0.122622280233499"/>
                </c:manualLayout>
              </c:layout>
              <c:tx>
                <c:rich>
                  <a:bodyPr rot="0" spcFirstLastPara="0" vertOverflow="ellipsis" vert="horz" wrap="square" lIns="38100" tIns="19050" rIns="38100" bIns="19050" anchor="ctr" anchorCtr="1"/>
                  <a:lstStyle/>
                  <a:p>
                    <a:pPr>
                      <a:defRPr lang="zh-CN" sz="700" b="0" i="0" u="none" strike="noStrike" kern="1200" cap="none" spc="0" normalizeH="0" baseline="0">
                        <a:solidFill>
                          <a:schemeClr val="tx1"/>
                        </a:solidFill>
                        <a:uFill>
                          <a:solidFill>
                            <a:schemeClr val="tx1"/>
                          </a:solidFill>
                        </a:uFill>
                        <a:latin typeface="+mn-lt"/>
                        <a:ea typeface="+mn-ea"/>
                        <a:cs typeface="+mn-cs"/>
                      </a:defRPr>
                    </a:pPr>
                    <a:r>
                      <a:rPr altLang="en-US"/>
                      <a:t>201</a:t>
                    </a:r>
                    <a:r>
                      <a:rPr lang="en-US" altLang="zh-CN"/>
                      <a:t>9</a:t>
                    </a:r>
                    <a:r>
                      <a:rPr altLang="en-US"/>
                      <a:t>支出
住房保障支出
6.43</a:t>
                    </a:r>
                    <a:r>
                      <a:rPr lang="en-US" altLang="zh-CN"/>
                      <a:t>%</a:t>
                    </a:r>
                    <a:r>
                      <a:rPr altLang="en-US"/>
                      <a:t>
</a:t>
                    </a:r>
                    <a:endParaRPr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700" b="0" i="0" u="none" strike="noStrike" kern="1200" cap="none" spc="0" normalizeH="0" baseline="0">
                      <a:solidFill>
                        <a:schemeClr val="tx1"/>
                      </a:solidFill>
                      <a:uFill>
                        <a:solidFill>
                          <a:schemeClr val="tx1"/>
                        </a:solidFill>
                      </a:uFill>
                      <a:latin typeface="+mn-lt"/>
                      <a:ea typeface="+mn-ea"/>
                      <a:cs typeface="+mn-cs"/>
                    </a:defRPr>
                  </a:pPr>
                </a:p>
              </c:txPr>
              <c:dLblPos val="bestFit"/>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电子表格37!$A$2:$A$4</c:f>
              <c:strCache>
                <c:ptCount val="3"/>
                <c:pt idx="0">
                  <c:v>社会保障和就业支出</c:v>
                </c:pt>
                <c:pt idx="1">
                  <c:v>卫生健康支出</c:v>
                </c:pt>
                <c:pt idx="2">
                  <c:v>住房保障支出</c:v>
                </c:pt>
              </c:strCache>
            </c:strRef>
          </c:cat>
          <c:val>
            <c:numRef>
              <c:f>电子表格37!$B$2:$B$4</c:f>
              <c:numCache>
                <c:formatCode>General</c:formatCode>
                <c:ptCount val="3"/>
                <c:pt idx="0">
                  <c:v>88.85</c:v>
                </c:pt>
                <c:pt idx="1">
                  <c:v>4.72</c:v>
                </c:pt>
                <c:pt idx="2">
                  <c:v>6.43</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legend>
    <c:plotVisOnly val="0"/>
    <c:dispBlanksAs val="zero"/>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mn-cs"/>
              </a:defRPr>
            </a:pPr>
            <a:r>
              <a:rPr lang="ko-KR" altLang="en-US" sz="1400" b="0" i="0" u="none" baseline="0">
                <a:solidFill>
                  <a:srgbClr val="333333"/>
                </a:solidFill>
                <a:latin typeface="宋体" panose="02010600030101010101" charset="-122"/>
                <a:ea typeface="宋体" panose="02010600030101010101" charset="-122"/>
              </a:rPr>
              <a:t>201</a:t>
            </a:r>
            <a:r>
              <a:rPr lang="en-US" altLang="zh-CN" sz="1400" b="0" i="0" u="none" baseline="0">
                <a:solidFill>
                  <a:srgbClr val="333333"/>
                </a:solidFill>
                <a:latin typeface="宋体" panose="02010600030101010101" charset="-122"/>
                <a:ea typeface="宋体" panose="02010600030101010101" charset="-122"/>
              </a:rPr>
              <a:t>9</a:t>
            </a:r>
            <a:r>
              <a:rPr lang="ko-KR" altLang="en-US" sz="1400" b="0" i="0" u="none" baseline="0">
                <a:solidFill>
                  <a:srgbClr val="333333"/>
                </a:solidFill>
                <a:latin typeface="宋体" panose="02010600030101010101" charset="-122"/>
                <a:ea typeface="宋体" panose="02010600030101010101" charset="-122"/>
              </a:rPr>
              <a:t>年三公经费支出</a:t>
            </a:r>
            <a:endParaRPr lang="ko-KR" altLang="en-US" sz="1400" b="0" i="0" u="none" baseline="0">
              <a:solidFill>
                <a:srgbClr val="333333"/>
              </a:solidFill>
              <a:latin typeface="宋体" panose="02010600030101010101" charset="-122"/>
              <a:ea typeface="宋体" panose="02010600030101010101" charset="-122"/>
            </a:endParaRPr>
          </a:p>
        </c:rich>
      </c:tx>
      <c:layout/>
      <c:overlay val="0"/>
      <c:spPr>
        <a:noFill/>
        <a:ln>
          <a:noFill/>
          <a:round/>
        </a:ln>
      </c:spPr>
    </c:title>
    <c:autoTitleDeleted val="0"/>
    <c:plotArea>
      <c:layout/>
      <c:pieChart>
        <c:varyColors val="1"/>
        <c:ser>
          <c:idx val="0"/>
          <c:order val="0"/>
          <c:tx>
            <c:strRef>
              <c:f>电子表格2!$B$1</c:f>
              <c:strCache>
                <c:ptCount val="1"/>
                <c:pt idx="0">
                  <c:v>2019年三公经费支出</c:v>
                </c:pt>
              </c:strCache>
            </c:strRef>
          </c:tx>
          <c:explosion val="0"/>
          <c:dPt>
            <c:idx val="0"/>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201</a:t>
                    </a:r>
                    <a:r>
                      <a:rPr lang="en-US" altLang="zh-CN"/>
                      <a:t>9</a:t>
                    </a:r>
                    <a:r>
                      <a:rPr altLang="en-US"/>
                      <a:t>年三公经费支出
公务用车购置及运行维护费支出
</a:t>
                    </a:r>
                    <a:r>
                      <a:rPr lang="en-US" altLang="zh-CN"/>
                      <a:t>2.62</a:t>
                    </a:r>
                    <a:r>
                      <a:rPr altLang="en-US"/>
                      <a:t>
100%</a:t>
                    </a:r>
                    <a:endParaRPr altLang="en-US"/>
                  </a:p>
                </c:rich>
              </c:tx>
              <c:dLblPos val="ctr"/>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电子表格2!$A$2:$A$2</c:f>
              <c:strCache>
                <c:ptCount val="1"/>
                <c:pt idx="0">
                  <c:v>公务用车购置及运行维护费支出</c:v>
                </c:pt>
              </c:strCache>
            </c:strRef>
          </c:cat>
          <c:val>
            <c:numRef>
              <c:f>电子表格2!$B$2:$B$2</c:f>
              <c:numCache>
                <c:formatCode>General</c:formatCode>
                <c:ptCount val="1"/>
                <c:pt idx="0">
                  <c:v>0.95</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panose="02010600030101010101" charset="-122"/>
              <a:ea typeface="宋体" panose="02010600030101010101" charset="-122"/>
              <a:cs typeface="+mn-cs"/>
            </a:defRPr>
          </a:pPr>
        </a:p>
      </c:txPr>
    </c:legend>
    <c:plotVisOnly val="0"/>
    <c:dispBlanksAs val="zero"/>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1385</Words>
  <Characters>7895</Characters>
  <Lines>65</Lines>
  <Paragraphs>18</Paragraphs>
  <TotalTime>0</TotalTime>
  <ScaleCrop>false</ScaleCrop>
  <LinksUpToDate>false</LinksUpToDate>
  <CharactersWithSpaces>9262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2020-10-26T08:57:47Z</dcterms:modified>
  <dc:title>四川省***</dc:title>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