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autoSpaceDE/>
        <w:autoSpaceDN/>
        <w:spacing w:before="0" w:after="160" w:line="600" w:lineRule="exact"/>
        <w:ind w:left="0" w:right="0" w:firstLine="0"/>
        <w:jc w:val="center"/>
        <w:outlineLvl w:val="0"/>
        <w:rPr>
          <w:rFonts w:hint="default" w:ascii="方正小标宋简体" w:hAnsi="方正小标宋简体" w:eastAsia="方正小标宋简体"/>
          <w:color w:val="000000"/>
          <w:position w:val="0"/>
          <w:sz w:val="72"/>
          <w:szCs w:val="72"/>
        </w:rPr>
      </w:pPr>
      <w:bookmarkStart w:id="152" w:name="_GoBack"/>
      <w:bookmarkEnd w:id="152"/>
      <w:bookmarkStart w:id="0" w:name="_Toc15306267"/>
    </w:p>
    <w:p>
      <w:pPr>
        <w:numPr>
          <w:ilvl w:val="0"/>
          <w:numId w:val="0"/>
        </w:numPr>
        <w:autoSpaceDE/>
        <w:autoSpaceDN/>
        <w:spacing w:before="0" w:after="160" w:line="600" w:lineRule="exact"/>
        <w:ind w:left="0" w:right="0" w:firstLine="0"/>
        <w:jc w:val="center"/>
        <w:outlineLvl w:val="0"/>
        <w:rPr>
          <w:rFonts w:hint="default" w:ascii="方正小标宋简体" w:hAnsi="方正小标宋简体" w:eastAsia="方正小标宋简体"/>
          <w:color w:val="000000"/>
          <w:position w:val="0"/>
          <w:sz w:val="72"/>
          <w:szCs w:val="72"/>
        </w:rPr>
      </w:pPr>
    </w:p>
    <w:p>
      <w:pPr>
        <w:numPr>
          <w:ilvl w:val="0"/>
          <w:numId w:val="0"/>
        </w:numPr>
        <w:autoSpaceDE/>
        <w:autoSpaceDN/>
        <w:spacing w:before="0" w:after="160" w:line="600" w:lineRule="exact"/>
        <w:ind w:left="0" w:right="0" w:firstLine="0"/>
        <w:jc w:val="center"/>
        <w:outlineLvl w:val="0"/>
        <w:rPr>
          <w:rFonts w:hint="default" w:ascii="方正小标宋简体" w:hAnsi="方正小标宋简体" w:eastAsia="方正小标宋简体"/>
          <w:color w:val="000000"/>
          <w:position w:val="0"/>
          <w:sz w:val="72"/>
          <w:szCs w:val="72"/>
        </w:rPr>
      </w:pPr>
    </w:p>
    <w:p>
      <w:pPr>
        <w:numPr>
          <w:ilvl w:val="0"/>
          <w:numId w:val="0"/>
        </w:numPr>
        <w:autoSpaceDE/>
        <w:autoSpaceDN/>
        <w:spacing w:before="0" w:after="160" w:line="600" w:lineRule="exact"/>
        <w:ind w:left="0" w:right="0" w:firstLine="0"/>
        <w:jc w:val="center"/>
        <w:outlineLvl w:val="0"/>
        <w:rPr>
          <w:rFonts w:hint="default" w:ascii="方正小标宋简体" w:hAnsi="方正小标宋简体" w:eastAsia="方正小标宋简体"/>
          <w:color w:val="000000"/>
          <w:position w:val="0"/>
          <w:sz w:val="72"/>
          <w:szCs w:val="72"/>
        </w:rPr>
      </w:pPr>
    </w:p>
    <w:p>
      <w:pPr>
        <w:numPr>
          <w:ilvl w:val="0"/>
          <w:numId w:val="0"/>
        </w:numPr>
        <w:autoSpaceDE/>
        <w:autoSpaceDN/>
        <w:snapToGrid w:val="0"/>
        <w:spacing w:before="0" w:after="160" w:line="360" w:lineRule="auto"/>
        <w:ind w:left="0" w:right="0" w:firstLine="0"/>
        <w:jc w:val="center"/>
        <w:outlineLvl w:val="0"/>
        <w:rPr>
          <w:rFonts w:hint="default" w:ascii="方正小标宋简体" w:hAnsi="方正小标宋简体" w:eastAsia="方正小标宋简体"/>
          <w:color w:val="000000"/>
          <w:position w:val="0"/>
          <w:sz w:val="72"/>
          <w:szCs w:val="72"/>
        </w:rPr>
      </w:pPr>
      <w:bookmarkStart w:id="1" w:name="_Toc15377425"/>
      <w:bookmarkStart w:id="2" w:name="_Toc15378441"/>
      <w:bookmarkStart w:id="3" w:name="_Toc15377193"/>
      <w:bookmarkStart w:id="4" w:name="_Toc15396597"/>
      <w:bookmarkStart w:id="5" w:name="_Toc15396475"/>
      <w:r>
        <w:rPr>
          <w:rFonts w:hint="default" w:ascii="黑体" w:hAnsi="黑体" w:eastAsia="黑体"/>
          <w:color w:val="000000"/>
          <w:position w:val="0"/>
          <w:sz w:val="72"/>
          <w:szCs w:val="72"/>
        </w:rPr>
        <w:t>2018</w:t>
      </w:r>
      <w:r>
        <w:rPr>
          <w:rFonts w:hint="default" w:ascii="方正小标宋简体" w:hAnsi="方正小标宋简体" w:eastAsia="方正小标宋简体"/>
          <w:color w:val="000000"/>
          <w:position w:val="0"/>
          <w:sz w:val="72"/>
          <w:szCs w:val="72"/>
        </w:rPr>
        <w:t>年度</w:t>
      </w:r>
      <w:bookmarkEnd w:id="1"/>
      <w:bookmarkEnd w:id="2"/>
      <w:bookmarkEnd w:id="3"/>
      <w:bookmarkEnd w:id="4"/>
      <w:bookmarkEnd w:id="5"/>
    </w:p>
    <w:p>
      <w:pPr>
        <w:numPr>
          <w:ilvl w:val="0"/>
          <w:numId w:val="0"/>
        </w:numPr>
        <w:autoSpaceDE/>
        <w:autoSpaceDN/>
        <w:snapToGrid w:val="0"/>
        <w:spacing w:before="0" w:after="160" w:line="360" w:lineRule="auto"/>
        <w:ind w:left="0" w:right="0" w:firstLine="0"/>
        <w:jc w:val="center"/>
        <w:outlineLvl w:val="0"/>
        <w:rPr>
          <w:rFonts w:hint="default" w:ascii="方正小标宋简体" w:hAnsi="方正小标宋简体" w:eastAsia="方正小标宋简体"/>
          <w:color w:val="000000"/>
          <w:position w:val="0"/>
          <w:sz w:val="72"/>
          <w:szCs w:val="72"/>
        </w:rPr>
      </w:pPr>
      <w:bookmarkStart w:id="6" w:name="_Toc15396476"/>
      <w:bookmarkStart w:id="7" w:name="_Toc15396598"/>
      <w:bookmarkStart w:id="8" w:name="_Toc15377194"/>
      <w:bookmarkStart w:id="9" w:name="_Toc15378442"/>
      <w:bookmarkStart w:id="10" w:name="_Toc15377426"/>
      <w:r>
        <w:rPr>
          <w:rFonts w:hint="default" w:ascii="方正小标宋简体" w:hAnsi="方正小标宋简体" w:eastAsia="方正小标宋简体"/>
          <w:color w:val="000000"/>
          <w:position w:val="0"/>
          <w:sz w:val="72"/>
          <w:szCs w:val="72"/>
        </w:rPr>
        <w:t>四川省阿坝州红原县</w:t>
      </w:r>
    </w:p>
    <w:p>
      <w:pPr>
        <w:numPr>
          <w:ilvl w:val="0"/>
          <w:numId w:val="0"/>
        </w:numPr>
        <w:autoSpaceDE/>
        <w:autoSpaceDN/>
        <w:snapToGrid w:val="0"/>
        <w:spacing w:before="0" w:after="160" w:line="360" w:lineRule="auto"/>
        <w:ind w:left="0" w:right="0" w:firstLine="0"/>
        <w:jc w:val="center"/>
        <w:outlineLvl w:val="0"/>
        <w:rPr>
          <w:rFonts w:hint="default" w:ascii="方正小标宋简体" w:hAnsi="方正小标宋简体" w:eastAsia="方正小标宋简体"/>
          <w:color w:val="000000"/>
          <w:position w:val="0"/>
          <w:sz w:val="72"/>
          <w:szCs w:val="72"/>
        </w:rPr>
      </w:pPr>
      <w:r>
        <w:rPr>
          <w:rFonts w:hint="default" w:ascii="方正小标宋简体" w:hAnsi="方正小标宋简体" w:eastAsia="方正小标宋简体"/>
          <w:color w:val="000000"/>
          <w:position w:val="0"/>
          <w:sz w:val="72"/>
          <w:szCs w:val="72"/>
        </w:rPr>
        <w:t>社会保险事业管理局</w:t>
      </w:r>
      <w:bookmarkEnd w:id="0"/>
    </w:p>
    <w:p>
      <w:pPr>
        <w:numPr>
          <w:ilvl w:val="0"/>
          <w:numId w:val="0"/>
        </w:numPr>
        <w:autoSpaceDE/>
        <w:autoSpaceDN/>
        <w:snapToGrid w:val="0"/>
        <w:spacing w:before="0" w:after="160" w:line="360" w:lineRule="auto"/>
        <w:ind w:left="0" w:right="0" w:firstLine="0"/>
        <w:jc w:val="center"/>
        <w:outlineLvl w:val="0"/>
        <w:rPr>
          <w:rFonts w:hint="default" w:ascii="方正小标宋简体" w:hAnsi="方正小标宋简体" w:eastAsia="方正小标宋简体"/>
          <w:color w:val="000000"/>
          <w:position w:val="0"/>
          <w:sz w:val="72"/>
          <w:szCs w:val="72"/>
        </w:rPr>
      </w:pPr>
      <w:bookmarkStart w:id="11" w:name="_Toc15306268"/>
      <w:r>
        <w:rPr>
          <w:rFonts w:hint="default" w:ascii="方正小标宋简体" w:hAnsi="方正小标宋简体" w:eastAsia="方正小标宋简体"/>
          <w:color w:val="000000"/>
          <w:position w:val="0"/>
          <w:sz w:val="72"/>
          <w:szCs w:val="72"/>
        </w:rPr>
        <w:t>部门决算</w:t>
      </w:r>
      <w:bookmarkEnd w:id="6"/>
      <w:bookmarkEnd w:id="7"/>
      <w:bookmarkEnd w:id="8"/>
      <w:bookmarkEnd w:id="9"/>
      <w:bookmarkEnd w:id="10"/>
      <w:bookmarkEnd w:id="11"/>
    </w:p>
    <w:p>
      <w:pPr>
        <w:numPr>
          <w:ilvl w:val="0"/>
          <w:numId w:val="0"/>
        </w:numPr>
        <w:autoSpaceDE/>
        <w:autoSpaceDN/>
        <w:spacing w:before="0" w:after="160" w:line="240" w:lineRule="auto"/>
        <w:ind w:left="0" w:right="0" w:firstLine="0"/>
        <w:jc w:val="center"/>
        <w:rPr>
          <w:rFonts w:hint="default" w:ascii="黑体" w:hAnsi="黑体" w:eastAsia="黑体"/>
          <w:color w:val="000000"/>
          <w:position w:val="0"/>
          <w:sz w:val="48"/>
          <w:szCs w:val="48"/>
        </w:rPr>
      </w:pPr>
      <w:r>
        <w:br w:type="page"/>
      </w:r>
      <w:r>
        <w:rPr>
          <w:rFonts w:hint="default" w:ascii="黑体" w:hAnsi="黑体" w:eastAsia="黑体"/>
          <w:color w:val="000000"/>
          <w:position w:val="0"/>
          <w:sz w:val="48"/>
          <w:szCs w:val="48"/>
        </w:rPr>
        <w:t>目录</w:t>
      </w:r>
    </w:p>
    <w:sdt>
      <w:sdtPr>
        <w:rPr>
          <w:rFonts w:ascii="宋体" w:hAnsi="宋体" w:eastAsia="宋体" w:cstheme="minorBidi"/>
          <w:w w:val="100"/>
          <w:sz w:val="21"/>
          <w:szCs w:val="21"/>
          <w:shd w:val="clear"/>
        </w:rPr>
        <w:id w:val="147460634"/>
        <w:docPartObj>
          <w:docPartGallery w:val="Table of Contents"/>
          <w:docPartUnique/>
        </w:docPartObj>
      </w:sdtPr>
      <w:sdtEndPr>
        <w:rPr>
          <w:rFonts w:ascii="宋体" w:hAnsi="宋体" w:eastAsia="宋体" w:cstheme="minorBidi"/>
          <w:w w:val="100"/>
          <w:sz w:val="20"/>
          <w:szCs w:val="20"/>
          <w:shd w:val="clear"/>
        </w:rPr>
      </w:sdtEndPr>
      <w:sdtContent>
        <w:p>
          <w:pPr>
            <w:spacing w:before="0" w:beforeLines="0" w:after="0" w:afterLines="0" w:line="240" w:lineRule="auto"/>
            <w:ind w:left="0" w:leftChars="0" w:right="0" w:rightChars="0" w:firstLine="0" w:firstLineChars="0"/>
            <w:jc w:val="center"/>
          </w:pPr>
          <w:bookmarkStart w:id="12" w:name="_Toc31308_WPSOffice_Type2"/>
          <w:r>
            <w:rPr>
              <w:rFonts w:ascii="宋体" w:hAnsi="宋体" w:eastAsia="宋体"/>
              <w:sz w:val="21"/>
            </w:rPr>
            <w:t>目录</w:t>
          </w:r>
        </w:p>
        <w:p>
          <w:pPr>
            <w:pStyle w:val="53"/>
            <w:tabs>
              <w:tab w:val="right" w:leader="dot" w:pos="8306"/>
            </w:tabs>
          </w:pPr>
          <w:r>
            <w:rPr>
              <w:b/>
              <w:bCs/>
            </w:rPr>
            <w:fldChar w:fldCharType="begin"/>
          </w:r>
          <w:r>
            <w:instrText xml:space="preserve"> HYPERLINK \l _Toc19442_WPSOffice_Level1 </w:instrText>
          </w:r>
          <w:r>
            <w:rPr>
              <w:b/>
              <w:bCs/>
            </w:rPr>
            <w:fldChar w:fldCharType="separate"/>
          </w:r>
          <w:sdt>
            <w:sdtPr>
              <w:rPr>
                <w:rFonts w:ascii="Times New Roman" w:hAnsi="Times New Roman" w:eastAsia="Times New Roman" w:cstheme="minorBidi"/>
                <w:b/>
                <w:bCs/>
                <w:w w:val="100"/>
                <w:sz w:val="21"/>
                <w:szCs w:val="21"/>
                <w:shd w:val="clear"/>
              </w:rPr>
              <w:id w:val="147460634"/>
              <w:placeholder>
                <w:docPart w:val="{e0f5cba9-24c9-4f24-b386-81ec2e070ee4}"/>
              </w:placeholder>
            </w:sdtPr>
            <w:sdtEndPr>
              <w:rPr>
                <w:rFonts w:ascii="Times New Roman" w:hAnsi="Times New Roman" w:eastAsia="Times New Roman" w:cstheme="minorBidi"/>
                <w:b/>
                <w:bCs/>
                <w:w w:val="100"/>
                <w:sz w:val="21"/>
                <w:szCs w:val="21"/>
                <w:shd w:val="clear"/>
              </w:rPr>
            </w:sdtEndPr>
            <w:sdtContent>
              <w:r>
                <w:rPr>
                  <w:rFonts w:hint="default" w:ascii="黑体" w:hAnsi="黑体" w:eastAsia="黑体" w:cstheme="minorBidi"/>
                  <w:b/>
                  <w:bCs/>
                </w:rPr>
                <w:t>第一部分 部门概况</w:t>
              </w:r>
            </w:sdtContent>
          </w:sdt>
          <w:r>
            <w:rPr>
              <w:b/>
              <w:bCs/>
            </w:rPr>
            <w:tab/>
          </w:r>
          <w:bookmarkStart w:id="13" w:name="_Toc19442_WPSOffice_Level1Page"/>
          <w:r>
            <w:rPr>
              <w:b/>
              <w:bCs/>
            </w:rPr>
            <w:t>3</w:t>
          </w:r>
          <w:bookmarkEnd w:id="13"/>
          <w:r>
            <w:rPr>
              <w:b/>
              <w:bCs/>
            </w:rPr>
            <w:fldChar w:fldCharType="end"/>
          </w:r>
        </w:p>
        <w:p>
          <w:pPr>
            <w:pStyle w:val="54"/>
            <w:tabs>
              <w:tab w:val="right" w:leader="dot" w:pos="8306"/>
            </w:tabs>
          </w:pPr>
          <w:r>
            <w:fldChar w:fldCharType="begin"/>
          </w:r>
          <w:r>
            <w:instrText xml:space="preserve"> HYPERLINK \l _Toc31308_WPSOffice_Level2 </w:instrText>
          </w:r>
          <w:r>
            <w:fldChar w:fldCharType="separate"/>
          </w:r>
          <w:sdt>
            <w:sdtPr>
              <w:rPr>
                <w:rFonts w:ascii="Times New Roman" w:hAnsi="Times New Roman" w:eastAsia="Times New Roman" w:cstheme="minorBidi"/>
                <w:w w:val="100"/>
                <w:sz w:val="21"/>
                <w:szCs w:val="21"/>
                <w:shd w:val="clear"/>
              </w:rPr>
              <w:id w:val="147460634"/>
              <w:placeholder>
                <w:docPart w:val="{8124a252-9f44-4984-a67c-92e9fb23ec6e}"/>
              </w:placeholder>
            </w:sdtPr>
            <w:sdtEndPr>
              <w:rPr>
                <w:rFonts w:ascii="Times New Roman" w:hAnsi="Times New Roman" w:eastAsia="Times New Roman" w:cstheme="minorBidi"/>
                <w:w w:val="100"/>
                <w:sz w:val="21"/>
                <w:szCs w:val="21"/>
                <w:shd w:val="clear"/>
              </w:rPr>
            </w:sdtEndPr>
            <w:sdtContent>
              <w:r>
                <w:rPr>
                  <w:rFonts w:hint="default" w:ascii="黑体" w:hAnsi="黑体" w:eastAsia="黑体" w:cstheme="minorBidi"/>
                </w:rPr>
                <w:t>一、基本职能及主要工作</w:t>
              </w:r>
            </w:sdtContent>
          </w:sdt>
          <w:r>
            <w:tab/>
          </w:r>
          <w:bookmarkStart w:id="14" w:name="_Toc31308_WPSOffice_Level2Page"/>
          <w:r>
            <w:t>3</w:t>
          </w:r>
          <w:bookmarkEnd w:id="14"/>
          <w:r>
            <w:fldChar w:fldCharType="end"/>
          </w:r>
        </w:p>
        <w:p>
          <w:pPr>
            <w:pStyle w:val="54"/>
            <w:tabs>
              <w:tab w:val="right" w:leader="dot" w:pos="8306"/>
            </w:tabs>
          </w:pPr>
          <w:r>
            <w:fldChar w:fldCharType="begin"/>
          </w:r>
          <w:r>
            <w:instrText xml:space="preserve"> HYPERLINK \l _Toc17376_WPSOffice_Level2 </w:instrText>
          </w:r>
          <w:r>
            <w:fldChar w:fldCharType="separate"/>
          </w:r>
          <w:sdt>
            <w:sdtPr>
              <w:rPr>
                <w:rFonts w:ascii="Times New Roman" w:hAnsi="Times New Roman" w:eastAsia="Times New Roman" w:cstheme="minorBidi"/>
                <w:w w:val="100"/>
                <w:sz w:val="21"/>
                <w:szCs w:val="21"/>
                <w:shd w:val="clear"/>
              </w:rPr>
              <w:id w:val="147460634"/>
              <w:placeholder>
                <w:docPart w:val="{8fd41307-4120-4e87-b3f0-c77f47e595d2}"/>
              </w:placeholder>
            </w:sdtPr>
            <w:sdtEndPr>
              <w:rPr>
                <w:rFonts w:ascii="Times New Roman" w:hAnsi="Times New Roman" w:eastAsia="Times New Roman" w:cstheme="minorBidi"/>
                <w:w w:val="100"/>
                <w:sz w:val="21"/>
                <w:szCs w:val="21"/>
                <w:shd w:val="clear"/>
              </w:rPr>
            </w:sdtEndPr>
            <w:sdtContent>
              <w:r>
                <w:rPr>
                  <w:rFonts w:hint="default" w:ascii="黑体" w:hAnsi="黑体" w:eastAsia="黑体" w:cstheme="minorBidi"/>
                </w:rPr>
                <w:t>二、机构设置</w:t>
              </w:r>
            </w:sdtContent>
          </w:sdt>
          <w:r>
            <w:tab/>
          </w:r>
          <w:bookmarkStart w:id="15" w:name="_Toc17376_WPSOffice_Level2Page"/>
          <w:r>
            <w:t>3</w:t>
          </w:r>
          <w:bookmarkEnd w:id="15"/>
          <w:r>
            <w:fldChar w:fldCharType="end"/>
          </w:r>
        </w:p>
        <w:p>
          <w:pPr>
            <w:pStyle w:val="53"/>
            <w:tabs>
              <w:tab w:val="right" w:leader="dot" w:pos="8306"/>
            </w:tabs>
          </w:pPr>
          <w:r>
            <w:rPr>
              <w:b/>
              <w:bCs/>
            </w:rPr>
            <w:fldChar w:fldCharType="begin"/>
          </w:r>
          <w:r>
            <w:instrText xml:space="preserve"> HYPERLINK \l _Toc31308_WPSOffice_Level1 </w:instrText>
          </w:r>
          <w:r>
            <w:rPr>
              <w:b/>
              <w:bCs/>
            </w:rPr>
            <w:fldChar w:fldCharType="separate"/>
          </w:r>
          <w:sdt>
            <w:sdtPr>
              <w:rPr>
                <w:rFonts w:ascii="Times New Roman" w:hAnsi="Times New Roman" w:eastAsia="Times New Roman" w:cstheme="minorBidi"/>
                <w:b/>
                <w:bCs/>
                <w:w w:val="100"/>
                <w:sz w:val="21"/>
                <w:szCs w:val="21"/>
                <w:shd w:val="clear"/>
              </w:rPr>
              <w:id w:val="147460634"/>
              <w:placeholder>
                <w:docPart w:val="{a45bac99-ce82-4659-8f03-7c2aba8d9ba7}"/>
              </w:placeholder>
            </w:sdtPr>
            <w:sdtEndPr>
              <w:rPr>
                <w:rFonts w:ascii="Times New Roman" w:hAnsi="Times New Roman" w:eastAsia="Times New Roman" w:cstheme="minorBidi"/>
                <w:b/>
                <w:bCs/>
                <w:w w:val="100"/>
                <w:sz w:val="21"/>
                <w:szCs w:val="21"/>
                <w:shd w:val="clear"/>
              </w:rPr>
            </w:sdtEndPr>
            <w:sdtContent>
              <w:r>
                <w:rPr>
                  <w:rFonts w:hint="default" w:ascii="黑体" w:hAnsi="黑体" w:eastAsia="黑体" w:cstheme="minorBidi"/>
                  <w:b/>
                  <w:bCs/>
                </w:rPr>
                <w:t>第二部分 2018年度部门决算情况说明</w:t>
              </w:r>
            </w:sdtContent>
          </w:sdt>
          <w:r>
            <w:rPr>
              <w:b/>
              <w:bCs/>
            </w:rPr>
            <w:tab/>
          </w:r>
          <w:bookmarkStart w:id="16" w:name="_Toc31308_WPSOffice_Level1Page"/>
          <w:r>
            <w:rPr>
              <w:b/>
              <w:bCs/>
            </w:rPr>
            <w:t>4</w:t>
          </w:r>
          <w:bookmarkEnd w:id="16"/>
          <w:r>
            <w:rPr>
              <w:b/>
              <w:bCs/>
            </w:rPr>
            <w:fldChar w:fldCharType="end"/>
          </w:r>
        </w:p>
        <w:p>
          <w:pPr>
            <w:pStyle w:val="54"/>
            <w:tabs>
              <w:tab w:val="right" w:leader="dot" w:pos="8306"/>
            </w:tabs>
          </w:pPr>
          <w:r>
            <w:fldChar w:fldCharType="begin"/>
          </w:r>
          <w:r>
            <w:instrText xml:space="preserve"> HYPERLINK \l _Toc25146_WPSOffice_Level2 </w:instrText>
          </w:r>
          <w:r>
            <w:fldChar w:fldCharType="separate"/>
          </w:r>
          <w:sdt>
            <w:sdtPr>
              <w:rPr>
                <w:rFonts w:ascii="Times New Roman" w:hAnsi="Times New Roman" w:eastAsia="Times New Roman" w:cstheme="minorBidi"/>
                <w:w w:val="100"/>
                <w:sz w:val="21"/>
                <w:szCs w:val="21"/>
                <w:shd w:val="clear"/>
              </w:rPr>
              <w:id w:val="147460634"/>
              <w:placeholder>
                <w:docPart w:val="{b5dd6f2e-86a7-42b3-9e0f-eb14478ae2f0}"/>
              </w:placeholder>
            </w:sdtPr>
            <w:sdtEndPr>
              <w:rPr>
                <w:rFonts w:ascii="Times New Roman" w:hAnsi="Times New Roman" w:eastAsia="Times New Roman" w:cstheme="minorBidi"/>
                <w:w w:val="100"/>
                <w:sz w:val="21"/>
                <w:szCs w:val="21"/>
                <w:shd w:val="clear"/>
              </w:rPr>
            </w:sdtEndPr>
            <w:sdtContent>
              <w:r>
                <w:rPr>
                  <w:rFonts w:hint="default" w:ascii="黑体" w:hAnsi="黑体" w:eastAsia="黑体" w:cstheme="minorBidi"/>
                </w:rPr>
                <w:t>一、 收入支出决算总体情况说明</w:t>
              </w:r>
            </w:sdtContent>
          </w:sdt>
          <w:r>
            <w:tab/>
          </w:r>
          <w:bookmarkStart w:id="17" w:name="_Toc25146_WPSOffice_Level2Page"/>
          <w:r>
            <w:t>4</w:t>
          </w:r>
          <w:bookmarkEnd w:id="17"/>
          <w:r>
            <w:fldChar w:fldCharType="end"/>
          </w:r>
        </w:p>
        <w:p>
          <w:pPr>
            <w:pStyle w:val="54"/>
            <w:tabs>
              <w:tab w:val="right" w:leader="dot" w:pos="8306"/>
            </w:tabs>
          </w:pPr>
          <w:r>
            <w:fldChar w:fldCharType="begin"/>
          </w:r>
          <w:r>
            <w:instrText xml:space="preserve"> HYPERLINK \l _Toc25494_WPSOffice_Level2 </w:instrText>
          </w:r>
          <w:r>
            <w:fldChar w:fldCharType="separate"/>
          </w:r>
          <w:sdt>
            <w:sdtPr>
              <w:rPr>
                <w:rFonts w:ascii="Times New Roman" w:hAnsi="Times New Roman" w:eastAsia="Times New Roman" w:cstheme="minorBidi"/>
                <w:w w:val="100"/>
                <w:sz w:val="21"/>
                <w:szCs w:val="21"/>
                <w:shd w:val="clear"/>
              </w:rPr>
              <w:id w:val="147460634"/>
              <w:placeholder>
                <w:docPart w:val="{5c3166fc-2c4b-43ae-8593-45dcbbefd379}"/>
              </w:placeholder>
            </w:sdtPr>
            <w:sdtEndPr>
              <w:rPr>
                <w:rFonts w:ascii="Times New Roman" w:hAnsi="Times New Roman" w:eastAsia="Times New Roman" w:cstheme="minorBidi"/>
                <w:w w:val="100"/>
                <w:sz w:val="21"/>
                <w:szCs w:val="21"/>
                <w:shd w:val="clear"/>
              </w:rPr>
            </w:sdtEndPr>
            <w:sdtContent>
              <w:r>
                <w:rPr>
                  <w:rFonts w:hint="default" w:ascii="黑体" w:hAnsi="黑体" w:eastAsia="黑体" w:cstheme="minorBidi"/>
                </w:rPr>
                <w:t>二、 收入决算情况说明</w:t>
              </w:r>
            </w:sdtContent>
          </w:sdt>
          <w:r>
            <w:tab/>
          </w:r>
          <w:bookmarkStart w:id="18" w:name="_Toc25494_WPSOffice_Level2Page"/>
          <w:r>
            <w:t>5</w:t>
          </w:r>
          <w:bookmarkEnd w:id="18"/>
          <w:r>
            <w:fldChar w:fldCharType="end"/>
          </w:r>
        </w:p>
        <w:p>
          <w:pPr>
            <w:pStyle w:val="54"/>
            <w:tabs>
              <w:tab w:val="right" w:leader="dot" w:pos="8306"/>
            </w:tabs>
          </w:pPr>
          <w:r>
            <w:fldChar w:fldCharType="begin"/>
          </w:r>
          <w:r>
            <w:instrText xml:space="preserve"> HYPERLINK \l _Toc8503_WPSOffice_Level2 </w:instrText>
          </w:r>
          <w:r>
            <w:fldChar w:fldCharType="separate"/>
          </w:r>
          <w:sdt>
            <w:sdtPr>
              <w:rPr>
                <w:rFonts w:ascii="Times New Roman" w:hAnsi="Times New Roman" w:eastAsia="Times New Roman" w:cstheme="minorBidi"/>
                <w:w w:val="100"/>
                <w:sz w:val="21"/>
                <w:szCs w:val="21"/>
                <w:shd w:val="clear"/>
              </w:rPr>
              <w:id w:val="147460634"/>
              <w:placeholder>
                <w:docPart w:val="{3e72f9cf-d236-4ec8-b3ce-2021c7d51c7a}"/>
              </w:placeholder>
            </w:sdtPr>
            <w:sdtEndPr>
              <w:rPr>
                <w:rFonts w:ascii="Times New Roman" w:hAnsi="Times New Roman" w:eastAsia="Times New Roman" w:cstheme="minorBidi"/>
                <w:w w:val="100"/>
                <w:sz w:val="21"/>
                <w:szCs w:val="21"/>
                <w:shd w:val="clear"/>
              </w:rPr>
            </w:sdtEndPr>
            <w:sdtContent>
              <w:r>
                <w:rPr>
                  <w:rFonts w:hint="default" w:ascii="黑体" w:hAnsi="黑体" w:eastAsia="黑体" w:cstheme="minorBidi"/>
                </w:rPr>
                <w:t>三、 支出决算情况说明</w:t>
              </w:r>
            </w:sdtContent>
          </w:sdt>
          <w:r>
            <w:tab/>
          </w:r>
          <w:bookmarkStart w:id="19" w:name="_Toc8503_WPSOffice_Level2Page"/>
          <w:r>
            <w:t>5</w:t>
          </w:r>
          <w:bookmarkEnd w:id="19"/>
          <w:r>
            <w:fldChar w:fldCharType="end"/>
          </w:r>
        </w:p>
        <w:p>
          <w:pPr>
            <w:pStyle w:val="54"/>
            <w:tabs>
              <w:tab w:val="right" w:leader="dot" w:pos="8306"/>
            </w:tabs>
          </w:pPr>
          <w:r>
            <w:fldChar w:fldCharType="begin"/>
          </w:r>
          <w:r>
            <w:instrText xml:space="preserve"> HYPERLINK \l _Toc24165_WPSOffice_Level2 </w:instrText>
          </w:r>
          <w:r>
            <w:fldChar w:fldCharType="separate"/>
          </w:r>
          <w:sdt>
            <w:sdtPr>
              <w:rPr>
                <w:rFonts w:ascii="Times New Roman" w:hAnsi="Times New Roman" w:eastAsia="Times New Roman" w:cstheme="minorBidi"/>
                <w:w w:val="100"/>
                <w:sz w:val="21"/>
                <w:szCs w:val="21"/>
                <w:shd w:val="clear"/>
              </w:rPr>
              <w:id w:val="147460634"/>
              <w:placeholder>
                <w:docPart w:val="{5ec6924e-031a-4b5a-a821-0b5751861e3f}"/>
              </w:placeholder>
            </w:sdtPr>
            <w:sdtEndPr>
              <w:rPr>
                <w:rFonts w:ascii="Times New Roman" w:hAnsi="Times New Roman" w:eastAsia="Times New Roman" w:cstheme="minorBidi"/>
                <w:w w:val="100"/>
                <w:sz w:val="21"/>
                <w:szCs w:val="21"/>
                <w:shd w:val="clear"/>
              </w:rPr>
            </w:sdtEndPr>
            <w:sdtContent>
              <w:r>
                <w:rPr>
                  <w:rFonts w:hint="default" w:ascii="黑体" w:hAnsi="黑体" w:eastAsia="黑体" w:cstheme="minorBidi"/>
                </w:rPr>
                <w:t>四、财政拨款收入支出决算总体情况说明</w:t>
              </w:r>
            </w:sdtContent>
          </w:sdt>
          <w:r>
            <w:tab/>
          </w:r>
          <w:bookmarkStart w:id="20" w:name="_Toc24165_WPSOffice_Level2Page"/>
          <w:r>
            <w:t>6</w:t>
          </w:r>
          <w:bookmarkEnd w:id="20"/>
          <w:r>
            <w:fldChar w:fldCharType="end"/>
          </w:r>
        </w:p>
        <w:p>
          <w:pPr>
            <w:pStyle w:val="54"/>
            <w:tabs>
              <w:tab w:val="right" w:leader="dot" w:pos="8306"/>
            </w:tabs>
          </w:pPr>
          <w:r>
            <w:fldChar w:fldCharType="begin"/>
          </w:r>
          <w:r>
            <w:instrText xml:space="preserve"> HYPERLINK \l _Toc21274_WPSOffice_Level2 </w:instrText>
          </w:r>
          <w:r>
            <w:fldChar w:fldCharType="separate"/>
          </w:r>
          <w:sdt>
            <w:sdtPr>
              <w:rPr>
                <w:rFonts w:ascii="Times New Roman" w:hAnsi="Times New Roman" w:eastAsia="Times New Roman" w:cstheme="minorBidi"/>
                <w:w w:val="100"/>
                <w:sz w:val="21"/>
                <w:szCs w:val="21"/>
                <w:shd w:val="clear"/>
              </w:rPr>
              <w:id w:val="147460634"/>
              <w:placeholder>
                <w:docPart w:val="{c6979d9d-91e2-49d1-906b-90f4475f42c2}"/>
              </w:placeholder>
            </w:sdtPr>
            <w:sdtEndPr>
              <w:rPr>
                <w:rFonts w:ascii="Times New Roman" w:hAnsi="Times New Roman" w:eastAsia="Times New Roman" w:cstheme="minorBidi"/>
                <w:w w:val="100"/>
                <w:sz w:val="21"/>
                <w:szCs w:val="21"/>
                <w:shd w:val="clear"/>
              </w:rPr>
            </w:sdtEndPr>
            <w:sdtContent>
              <w:r>
                <w:rPr>
                  <w:rFonts w:hint="default" w:ascii="黑体" w:hAnsi="黑体" w:eastAsia="黑体" w:cstheme="minorBidi"/>
                </w:rPr>
                <w:t>五、一般公共预算财政拨款支出决算情况说明</w:t>
              </w:r>
            </w:sdtContent>
          </w:sdt>
          <w:r>
            <w:tab/>
          </w:r>
          <w:bookmarkStart w:id="21" w:name="_Toc21274_WPSOffice_Level2Page"/>
          <w:r>
            <w:t>7</w:t>
          </w:r>
          <w:bookmarkEnd w:id="21"/>
          <w:r>
            <w:fldChar w:fldCharType="end"/>
          </w:r>
        </w:p>
        <w:p>
          <w:pPr>
            <w:pStyle w:val="54"/>
            <w:tabs>
              <w:tab w:val="right" w:leader="dot" w:pos="8306"/>
            </w:tabs>
          </w:pPr>
          <w:r>
            <w:fldChar w:fldCharType="begin"/>
          </w:r>
          <w:r>
            <w:instrText xml:space="preserve"> HYPERLINK \l _Toc1265_WPSOffice_Level2 </w:instrText>
          </w:r>
          <w:r>
            <w:fldChar w:fldCharType="separate"/>
          </w:r>
          <w:sdt>
            <w:sdtPr>
              <w:rPr>
                <w:rFonts w:ascii="Times New Roman" w:hAnsi="Times New Roman" w:eastAsia="Times New Roman" w:cstheme="minorBidi"/>
                <w:w w:val="100"/>
                <w:sz w:val="21"/>
                <w:szCs w:val="21"/>
                <w:shd w:val="clear"/>
              </w:rPr>
              <w:id w:val="147460634"/>
              <w:placeholder>
                <w:docPart w:val="{dcbdc9c9-e96e-40c8-8907-d5c601a8249b}"/>
              </w:placeholder>
            </w:sdtPr>
            <w:sdtEndPr>
              <w:rPr>
                <w:rFonts w:ascii="Times New Roman" w:hAnsi="Times New Roman" w:eastAsia="Times New Roman" w:cstheme="minorBidi"/>
                <w:w w:val="100"/>
                <w:sz w:val="21"/>
                <w:szCs w:val="21"/>
                <w:shd w:val="clear"/>
              </w:rPr>
            </w:sdtEndPr>
            <w:sdtContent>
              <w:r>
                <w:rPr>
                  <w:rFonts w:hint="default" w:ascii="黑体" w:hAnsi="黑体" w:eastAsia="黑体" w:cstheme="minorBidi"/>
                </w:rPr>
                <w:t>六、一般公共预算财政拨款基本支出决算情况说明</w:t>
              </w:r>
            </w:sdtContent>
          </w:sdt>
          <w:r>
            <w:tab/>
          </w:r>
          <w:bookmarkStart w:id="22" w:name="_Toc1265_WPSOffice_Level2Page"/>
          <w:r>
            <w:t>10</w:t>
          </w:r>
          <w:bookmarkEnd w:id="22"/>
          <w:r>
            <w:fldChar w:fldCharType="end"/>
          </w:r>
        </w:p>
        <w:p>
          <w:pPr>
            <w:pStyle w:val="54"/>
            <w:tabs>
              <w:tab w:val="right" w:leader="dot" w:pos="8306"/>
            </w:tabs>
          </w:pPr>
          <w:r>
            <w:fldChar w:fldCharType="begin"/>
          </w:r>
          <w:r>
            <w:instrText xml:space="preserve"> HYPERLINK \l _Toc16758_WPSOffice_Level2 </w:instrText>
          </w:r>
          <w:r>
            <w:fldChar w:fldCharType="separate"/>
          </w:r>
          <w:sdt>
            <w:sdtPr>
              <w:rPr>
                <w:rFonts w:ascii="Times New Roman" w:hAnsi="Times New Roman" w:eastAsia="Times New Roman" w:cstheme="minorBidi"/>
                <w:w w:val="100"/>
                <w:sz w:val="21"/>
                <w:szCs w:val="21"/>
                <w:shd w:val="clear"/>
              </w:rPr>
              <w:id w:val="147460634"/>
              <w:placeholder>
                <w:docPart w:val="{55615f3f-456e-49b2-b97b-584e3b9dd3b0}"/>
              </w:placeholder>
            </w:sdtPr>
            <w:sdtEndPr>
              <w:rPr>
                <w:rFonts w:ascii="Times New Roman" w:hAnsi="Times New Roman" w:eastAsia="Times New Roman" w:cstheme="minorBidi"/>
                <w:w w:val="100"/>
                <w:sz w:val="21"/>
                <w:szCs w:val="21"/>
                <w:shd w:val="clear"/>
              </w:rPr>
            </w:sdtEndPr>
            <w:sdtContent>
              <w:r>
                <w:rPr>
                  <w:rFonts w:hint="default" w:ascii="黑体" w:hAnsi="黑体" w:eastAsia="黑体" w:cstheme="minorBidi"/>
                </w:rPr>
                <w:t>七、“三公”经费财政拨款支出决算情况说明</w:t>
              </w:r>
            </w:sdtContent>
          </w:sdt>
          <w:r>
            <w:tab/>
          </w:r>
          <w:bookmarkStart w:id="23" w:name="_Toc16758_WPSOffice_Level2Page"/>
          <w:r>
            <w:t>11</w:t>
          </w:r>
          <w:bookmarkEnd w:id="23"/>
          <w:r>
            <w:fldChar w:fldCharType="end"/>
          </w:r>
        </w:p>
        <w:p>
          <w:pPr>
            <w:pStyle w:val="54"/>
            <w:tabs>
              <w:tab w:val="right" w:leader="dot" w:pos="8306"/>
            </w:tabs>
          </w:pPr>
          <w:r>
            <w:fldChar w:fldCharType="begin"/>
          </w:r>
          <w:r>
            <w:instrText xml:space="preserve"> HYPERLINK \l _Toc20475_WPSOffice_Level2 </w:instrText>
          </w:r>
          <w:r>
            <w:fldChar w:fldCharType="separate"/>
          </w:r>
          <w:sdt>
            <w:sdtPr>
              <w:rPr>
                <w:rFonts w:ascii="Times New Roman" w:hAnsi="Times New Roman" w:eastAsia="Times New Roman" w:cstheme="minorBidi"/>
                <w:w w:val="100"/>
                <w:sz w:val="21"/>
                <w:szCs w:val="21"/>
                <w:shd w:val="clear"/>
              </w:rPr>
              <w:id w:val="147460634"/>
              <w:placeholder>
                <w:docPart w:val="{5d326ace-d049-4a67-a0b6-f9adfd66e37f}"/>
              </w:placeholder>
            </w:sdtPr>
            <w:sdtEndPr>
              <w:rPr>
                <w:rFonts w:ascii="Times New Roman" w:hAnsi="Times New Roman" w:eastAsia="Times New Roman" w:cstheme="minorBidi"/>
                <w:w w:val="100"/>
                <w:sz w:val="21"/>
                <w:szCs w:val="21"/>
                <w:shd w:val="clear"/>
              </w:rPr>
            </w:sdtEndPr>
            <w:sdtContent>
              <w:r>
                <w:rPr>
                  <w:rFonts w:hint="default" w:ascii="黑体" w:hAnsi="黑体" w:eastAsia="黑体" w:cstheme="minorBidi"/>
                </w:rPr>
                <w:t>八、政府性基金预算支出决算情况说明</w:t>
              </w:r>
            </w:sdtContent>
          </w:sdt>
          <w:r>
            <w:tab/>
          </w:r>
          <w:bookmarkStart w:id="24" w:name="_Toc20475_WPSOffice_Level2Page"/>
          <w:r>
            <w:t>12</w:t>
          </w:r>
          <w:bookmarkEnd w:id="24"/>
          <w:r>
            <w:fldChar w:fldCharType="end"/>
          </w:r>
        </w:p>
        <w:p>
          <w:pPr>
            <w:pStyle w:val="54"/>
            <w:tabs>
              <w:tab w:val="right" w:leader="dot" w:pos="8306"/>
            </w:tabs>
          </w:pPr>
          <w:r>
            <w:fldChar w:fldCharType="begin"/>
          </w:r>
          <w:r>
            <w:instrText xml:space="preserve"> HYPERLINK \l _Toc27035_WPSOffice_Level2 </w:instrText>
          </w:r>
          <w:r>
            <w:fldChar w:fldCharType="separate"/>
          </w:r>
          <w:sdt>
            <w:sdtPr>
              <w:rPr>
                <w:rFonts w:ascii="Times New Roman" w:hAnsi="Times New Roman" w:eastAsia="Times New Roman" w:cstheme="minorBidi"/>
                <w:w w:val="100"/>
                <w:sz w:val="21"/>
                <w:szCs w:val="21"/>
                <w:shd w:val="clear"/>
              </w:rPr>
              <w:id w:val="147460634"/>
              <w:placeholder>
                <w:docPart w:val="{a0761b35-22b9-4a39-a3ec-53324ac8ad84}"/>
              </w:placeholder>
            </w:sdtPr>
            <w:sdtEndPr>
              <w:rPr>
                <w:rFonts w:ascii="Times New Roman" w:hAnsi="Times New Roman" w:eastAsia="Times New Roman" w:cstheme="minorBidi"/>
                <w:w w:val="100"/>
                <w:sz w:val="21"/>
                <w:szCs w:val="21"/>
                <w:shd w:val="clear"/>
              </w:rPr>
            </w:sdtEndPr>
            <w:sdtContent>
              <w:r>
                <w:rPr>
                  <w:rFonts w:hint="default" w:ascii="黑体" w:hAnsi="黑体" w:eastAsia="黑体" w:cstheme="minorBidi"/>
                </w:rPr>
                <w:t>九、国有资本经营预算支出决算情况说明</w:t>
              </w:r>
            </w:sdtContent>
          </w:sdt>
          <w:r>
            <w:tab/>
          </w:r>
          <w:bookmarkStart w:id="25" w:name="_Toc27035_WPSOffice_Level2Page"/>
          <w:r>
            <w:t>12</w:t>
          </w:r>
          <w:bookmarkEnd w:id="25"/>
          <w:r>
            <w:fldChar w:fldCharType="end"/>
          </w:r>
        </w:p>
        <w:p>
          <w:pPr>
            <w:pStyle w:val="54"/>
            <w:tabs>
              <w:tab w:val="right" w:leader="dot" w:pos="8306"/>
            </w:tabs>
          </w:pPr>
          <w:r>
            <w:fldChar w:fldCharType="begin"/>
          </w:r>
          <w:r>
            <w:instrText xml:space="preserve"> HYPERLINK \l _Toc22751_WPSOffice_Level2 </w:instrText>
          </w:r>
          <w:r>
            <w:fldChar w:fldCharType="separate"/>
          </w:r>
          <w:sdt>
            <w:sdtPr>
              <w:rPr>
                <w:rFonts w:ascii="Times New Roman" w:hAnsi="Times New Roman" w:eastAsia="Times New Roman" w:cstheme="minorBidi"/>
                <w:w w:val="100"/>
                <w:sz w:val="21"/>
                <w:szCs w:val="21"/>
                <w:shd w:val="clear"/>
              </w:rPr>
              <w:id w:val="147460634"/>
              <w:placeholder>
                <w:docPart w:val="{4b93e897-a5ae-4af2-a706-ca9a4a94ec7c}"/>
              </w:placeholder>
            </w:sdtPr>
            <w:sdtEndPr>
              <w:rPr>
                <w:rFonts w:ascii="Times New Roman" w:hAnsi="Times New Roman" w:eastAsia="Times New Roman" w:cstheme="minorBidi"/>
                <w:w w:val="100"/>
                <w:sz w:val="21"/>
                <w:szCs w:val="21"/>
                <w:shd w:val="clear"/>
              </w:rPr>
            </w:sdtEndPr>
            <w:sdtContent>
              <w:r>
                <w:rPr>
                  <w:rFonts w:hint="default" w:ascii="黑体" w:hAnsi="黑体" w:eastAsia="黑体" w:cstheme="minorBidi"/>
                </w:rPr>
                <w:t>十、预算绩效情况说明</w:t>
              </w:r>
            </w:sdtContent>
          </w:sdt>
          <w:r>
            <w:tab/>
          </w:r>
          <w:bookmarkStart w:id="26" w:name="_Toc22751_WPSOffice_Level2Page"/>
          <w:r>
            <w:t>12</w:t>
          </w:r>
          <w:bookmarkEnd w:id="26"/>
          <w:r>
            <w:fldChar w:fldCharType="end"/>
          </w:r>
        </w:p>
        <w:p>
          <w:pPr>
            <w:pStyle w:val="54"/>
            <w:tabs>
              <w:tab w:val="right" w:leader="dot" w:pos="8306"/>
            </w:tabs>
          </w:pPr>
          <w:r>
            <w:fldChar w:fldCharType="begin"/>
          </w:r>
          <w:r>
            <w:instrText xml:space="preserve"> HYPERLINK \l _Toc29594_WPSOffice_Level2 </w:instrText>
          </w:r>
          <w:r>
            <w:fldChar w:fldCharType="separate"/>
          </w:r>
          <w:sdt>
            <w:sdtPr>
              <w:rPr>
                <w:rFonts w:ascii="Times New Roman" w:hAnsi="Times New Roman" w:eastAsia="Times New Roman" w:cstheme="minorBidi"/>
                <w:w w:val="100"/>
                <w:sz w:val="21"/>
                <w:szCs w:val="21"/>
                <w:shd w:val="clear"/>
              </w:rPr>
              <w:id w:val="147460634"/>
              <w:placeholder>
                <w:docPart w:val="{caae9f62-8d40-479e-abf4-1d0e7d62487b}"/>
              </w:placeholder>
            </w:sdtPr>
            <w:sdtEndPr>
              <w:rPr>
                <w:rFonts w:ascii="Times New Roman" w:hAnsi="Times New Roman" w:eastAsia="Times New Roman" w:cstheme="minorBidi"/>
                <w:w w:val="100"/>
                <w:sz w:val="21"/>
                <w:szCs w:val="21"/>
                <w:shd w:val="clear"/>
              </w:rPr>
            </w:sdtEndPr>
            <w:sdtContent>
              <w:r>
                <w:rPr>
                  <w:rFonts w:hint="default" w:ascii="黑体" w:hAnsi="黑体" w:eastAsia="黑体" w:cstheme="minorBidi"/>
                </w:rPr>
                <w:t>十一、其他重要事项的情况说明</w:t>
              </w:r>
            </w:sdtContent>
          </w:sdt>
          <w:r>
            <w:tab/>
          </w:r>
          <w:bookmarkStart w:id="27" w:name="_Toc29594_WPSOffice_Level2Page"/>
          <w:r>
            <w:t>13</w:t>
          </w:r>
          <w:bookmarkEnd w:id="27"/>
          <w:r>
            <w:fldChar w:fldCharType="end"/>
          </w:r>
        </w:p>
        <w:p>
          <w:pPr>
            <w:pStyle w:val="53"/>
            <w:tabs>
              <w:tab w:val="right" w:leader="dot" w:pos="8306"/>
            </w:tabs>
          </w:pPr>
          <w:r>
            <w:rPr>
              <w:b/>
              <w:bCs/>
            </w:rPr>
            <w:fldChar w:fldCharType="begin"/>
          </w:r>
          <w:r>
            <w:instrText xml:space="preserve"> HYPERLINK \l _Toc17376_WPSOffice_Level1 </w:instrText>
          </w:r>
          <w:r>
            <w:rPr>
              <w:b/>
              <w:bCs/>
            </w:rPr>
            <w:fldChar w:fldCharType="separate"/>
          </w:r>
          <w:sdt>
            <w:sdtPr>
              <w:rPr>
                <w:rFonts w:ascii="Times New Roman" w:hAnsi="Times New Roman" w:eastAsia="Times New Roman" w:cstheme="minorBidi"/>
                <w:b/>
                <w:bCs/>
                <w:w w:val="100"/>
                <w:sz w:val="21"/>
                <w:szCs w:val="21"/>
                <w:shd w:val="clear"/>
              </w:rPr>
              <w:id w:val="147460634"/>
              <w:placeholder>
                <w:docPart w:val="{64928a44-d144-4568-8e93-d06ab8e5c5de}"/>
              </w:placeholder>
            </w:sdtPr>
            <w:sdtEndPr>
              <w:rPr>
                <w:rFonts w:ascii="Times New Roman" w:hAnsi="Times New Roman" w:eastAsia="Times New Roman" w:cstheme="minorBidi"/>
                <w:b/>
                <w:bCs/>
                <w:w w:val="100"/>
                <w:sz w:val="21"/>
                <w:szCs w:val="21"/>
                <w:shd w:val="clear"/>
              </w:rPr>
            </w:sdtEndPr>
            <w:sdtContent>
              <w:r>
                <w:rPr>
                  <w:rFonts w:hint="default" w:ascii="黑体" w:hAnsi="黑体" w:eastAsia="黑体" w:cstheme="minorBidi"/>
                  <w:b/>
                  <w:bCs/>
                </w:rPr>
                <w:t>第三部分 名词解释</w:t>
              </w:r>
            </w:sdtContent>
          </w:sdt>
          <w:r>
            <w:rPr>
              <w:b/>
              <w:bCs/>
            </w:rPr>
            <w:tab/>
          </w:r>
          <w:bookmarkStart w:id="28" w:name="_Toc17376_WPSOffice_Level1Page"/>
          <w:r>
            <w:rPr>
              <w:b/>
              <w:bCs/>
            </w:rPr>
            <w:t>15</w:t>
          </w:r>
          <w:bookmarkEnd w:id="28"/>
          <w:r>
            <w:rPr>
              <w:b/>
              <w:bCs/>
            </w:rPr>
            <w:fldChar w:fldCharType="end"/>
          </w:r>
        </w:p>
        <w:p>
          <w:pPr>
            <w:pStyle w:val="53"/>
            <w:tabs>
              <w:tab w:val="right" w:leader="dot" w:pos="8306"/>
            </w:tabs>
          </w:pPr>
          <w:r>
            <w:rPr>
              <w:b/>
              <w:bCs/>
            </w:rPr>
            <w:fldChar w:fldCharType="begin"/>
          </w:r>
          <w:r>
            <w:instrText xml:space="preserve"> HYPERLINK \l _Toc25146_WPSOffice_Level1 </w:instrText>
          </w:r>
          <w:r>
            <w:rPr>
              <w:b/>
              <w:bCs/>
            </w:rPr>
            <w:fldChar w:fldCharType="separate"/>
          </w:r>
          <w:sdt>
            <w:sdtPr>
              <w:rPr>
                <w:rFonts w:ascii="Times New Roman" w:hAnsi="Times New Roman" w:eastAsia="Times New Roman" w:cstheme="minorBidi"/>
                <w:b/>
                <w:bCs/>
                <w:w w:val="100"/>
                <w:sz w:val="21"/>
                <w:szCs w:val="21"/>
                <w:shd w:val="clear"/>
              </w:rPr>
              <w:id w:val="147460634"/>
              <w:placeholder>
                <w:docPart w:val="{486cf77b-3784-403a-8f25-f2f4ec162848}"/>
              </w:placeholder>
            </w:sdtPr>
            <w:sdtEndPr>
              <w:rPr>
                <w:rFonts w:ascii="Times New Roman" w:hAnsi="Times New Roman" w:eastAsia="Times New Roman" w:cstheme="minorBidi"/>
                <w:b/>
                <w:bCs/>
                <w:w w:val="100"/>
                <w:sz w:val="21"/>
                <w:szCs w:val="21"/>
                <w:shd w:val="clear"/>
              </w:rPr>
            </w:sdtEndPr>
            <w:sdtContent>
              <w:r>
                <w:rPr>
                  <w:rFonts w:hint="default" w:ascii="黑体" w:hAnsi="黑体" w:eastAsia="黑体" w:cstheme="minorBidi"/>
                  <w:b/>
                  <w:bCs/>
                </w:rPr>
                <w:t>第四部分 附件</w:t>
              </w:r>
            </w:sdtContent>
          </w:sdt>
          <w:r>
            <w:rPr>
              <w:b/>
              <w:bCs/>
            </w:rPr>
            <w:tab/>
          </w:r>
          <w:bookmarkStart w:id="29" w:name="_Toc25146_WPSOffice_Level1Page"/>
          <w:r>
            <w:rPr>
              <w:b/>
              <w:bCs/>
            </w:rPr>
            <w:t>19</w:t>
          </w:r>
          <w:bookmarkEnd w:id="29"/>
          <w:r>
            <w:rPr>
              <w:b/>
              <w:bCs/>
            </w:rPr>
            <w:fldChar w:fldCharType="end"/>
          </w:r>
        </w:p>
        <w:p>
          <w:pPr>
            <w:pStyle w:val="54"/>
            <w:tabs>
              <w:tab w:val="right" w:leader="dot" w:pos="8306"/>
            </w:tabs>
          </w:pPr>
          <w:r>
            <w:fldChar w:fldCharType="begin"/>
          </w:r>
          <w:r>
            <w:instrText xml:space="preserve"> HYPERLINK \l _Toc21248_WPSOffice_Level2 </w:instrText>
          </w:r>
          <w:r>
            <w:fldChar w:fldCharType="separate"/>
          </w:r>
          <w:sdt>
            <w:sdtPr>
              <w:rPr>
                <w:rFonts w:ascii="Times New Roman" w:hAnsi="Times New Roman" w:eastAsia="Times New Roman" w:cstheme="minorBidi"/>
                <w:w w:val="100"/>
                <w:sz w:val="21"/>
                <w:szCs w:val="21"/>
                <w:shd w:val="clear"/>
              </w:rPr>
              <w:id w:val="147460634"/>
              <w:placeholder>
                <w:docPart w:val="{807f7daf-5dbb-4f44-bb24-5a33853c9925}"/>
              </w:placeholder>
            </w:sdtPr>
            <w:sdtEndPr>
              <w:rPr>
                <w:rFonts w:ascii="Times New Roman" w:hAnsi="Times New Roman" w:eastAsia="Times New Roman" w:cstheme="minorBidi"/>
                <w:w w:val="100"/>
                <w:sz w:val="21"/>
                <w:szCs w:val="21"/>
                <w:shd w:val="clear"/>
              </w:rPr>
            </w:sdtEndPr>
            <w:sdtContent>
              <w:r>
                <w:rPr>
                  <w:rFonts w:hint="default" w:ascii="方正小标宋简体" w:hAnsi="方正小标宋简体" w:eastAsia="方正小标宋简体" w:cstheme="minorBidi"/>
                </w:rPr>
                <w:t>红原县社会保险事业管理局整体支出绩效报告范本</w:t>
              </w:r>
            </w:sdtContent>
          </w:sdt>
          <w:r>
            <w:tab/>
          </w:r>
          <w:bookmarkStart w:id="30" w:name="_Toc21248_WPSOffice_Level2Page"/>
          <w:r>
            <w:t>19</w:t>
          </w:r>
          <w:bookmarkEnd w:id="30"/>
          <w:r>
            <w:fldChar w:fldCharType="end"/>
          </w:r>
        </w:p>
        <w:p>
          <w:pPr>
            <w:pStyle w:val="54"/>
            <w:tabs>
              <w:tab w:val="right" w:leader="dot" w:pos="8306"/>
            </w:tabs>
          </w:pPr>
          <w:r>
            <w:fldChar w:fldCharType="begin"/>
          </w:r>
          <w:r>
            <w:instrText xml:space="preserve"> HYPERLINK \l _Toc10876_WPSOffice_Level2 </w:instrText>
          </w:r>
          <w:r>
            <w:fldChar w:fldCharType="separate"/>
          </w:r>
          <w:sdt>
            <w:sdtPr>
              <w:rPr>
                <w:rFonts w:ascii="Times New Roman" w:hAnsi="Times New Roman" w:eastAsia="Times New Roman" w:cstheme="minorBidi"/>
                <w:w w:val="100"/>
                <w:sz w:val="21"/>
                <w:szCs w:val="21"/>
                <w:shd w:val="clear"/>
              </w:rPr>
              <w:id w:val="147460634"/>
              <w:placeholder>
                <w:docPart w:val="{9bc22c75-78a9-4d1d-a661-f4606431bd4a}"/>
              </w:placeholder>
            </w:sdtPr>
            <w:sdtEndPr>
              <w:rPr>
                <w:rFonts w:ascii="Times New Roman" w:hAnsi="Times New Roman" w:eastAsia="Times New Roman" w:cstheme="minorBidi"/>
                <w:w w:val="100"/>
                <w:sz w:val="21"/>
                <w:szCs w:val="21"/>
                <w:shd w:val="clear"/>
              </w:rPr>
            </w:sdtEndPr>
            <w:sdtContent>
              <w:r>
                <w:rPr>
                  <w:rFonts w:hint="default" w:ascii="仿宋_GB2312" w:hAnsi="仿宋_GB2312" w:eastAsia="仿宋_GB2312" w:cstheme="minorBidi"/>
                </w:rPr>
                <w:t>（报告范围包括机关和下属单位）</w:t>
              </w:r>
            </w:sdtContent>
          </w:sdt>
          <w:r>
            <w:tab/>
          </w:r>
          <w:bookmarkStart w:id="31" w:name="_Toc10876_WPSOffice_Level2Page"/>
          <w:r>
            <w:t>19</w:t>
          </w:r>
          <w:bookmarkEnd w:id="31"/>
          <w:r>
            <w:fldChar w:fldCharType="end"/>
          </w:r>
        </w:p>
        <w:p>
          <w:pPr>
            <w:pStyle w:val="54"/>
            <w:tabs>
              <w:tab w:val="right" w:leader="dot" w:pos="8306"/>
            </w:tabs>
          </w:pPr>
          <w:r>
            <w:fldChar w:fldCharType="begin"/>
          </w:r>
          <w:r>
            <w:instrText xml:space="preserve"> HYPERLINK \l _Toc30130_WPSOffice_Level2 </w:instrText>
          </w:r>
          <w:r>
            <w:fldChar w:fldCharType="separate"/>
          </w:r>
          <w:sdt>
            <w:sdtPr>
              <w:rPr>
                <w:rFonts w:ascii="Times New Roman" w:hAnsi="Times New Roman" w:eastAsia="Times New Roman" w:cstheme="minorBidi"/>
                <w:w w:val="100"/>
                <w:sz w:val="21"/>
                <w:szCs w:val="21"/>
                <w:shd w:val="clear"/>
              </w:rPr>
              <w:id w:val="147460634"/>
              <w:placeholder>
                <w:docPart w:val="{01e8d9dd-7a82-4520-ab89-3c14072fef1d}"/>
              </w:placeholder>
            </w:sdtPr>
            <w:sdtEndPr>
              <w:rPr>
                <w:rFonts w:ascii="Times New Roman" w:hAnsi="Times New Roman" w:eastAsia="Times New Roman" w:cstheme="minorBidi"/>
                <w:w w:val="100"/>
                <w:sz w:val="21"/>
                <w:szCs w:val="21"/>
                <w:shd w:val="clear"/>
              </w:rPr>
            </w:sdtEndPr>
            <w:sdtContent>
              <w:r>
                <w:rPr>
                  <w:rFonts w:hint="default" w:ascii="黑体" w:hAnsi="宋体" w:eastAsia="宋体" w:cstheme="minorBidi"/>
                </w:rPr>
                <w:t>一、部门（单位）概况</w:t>
              </w:r>
            </w:sdtContent>
          </w:sdt>
          <w:r>
            <w:tab/>
          </w:r>
          <w:bookmarkStart w:id="32" w:name="_Toc30130_WPSOffice_Level2Page"/>
          <w:r>
            <w:t>19</w:t>
          </w:r>
          <w:bookmarkEnd w:id="32"/>
          <w:r>
            <w:fldChar w:fldCharType="end"/>
          </w:r>
        </w:p>
        <w:p>
          <w:pPr>
            <w:pStyle w:val="54"/>
            <w:tabs>
              <w:tab w:val="right" w:leader="dot" w:pos="8306"/>
            </w:tabs>
          </w:pPr>
          <w:r>
            <w:fldChar w:fldCharType="begin"/>
          </w:r>
          <w:r>
            <w:instrText xml:space="preserve"> HYPERLINK \l _Toc18178_WPSOffice_Level2 </w:instrText>
          </w:r>
          <w:r>
            <w:fldChar w:fldCharType="separate"/>
          </w:r>
          <w:sdt>
            <w:sdtPr>
              <w:rPr>
                <w:rFonts w:ascii="Times New Roman" w:hAnsi="Times New Roman" w:eastAsia="Times New Roman" w:cstheme="minorBidi"/>
                <w:w w:val="100"/>
                <w:sz w:val="21"/>
                <w:szCs w:val="21"/>
                <w:shd w:val="clear"/>
              </w:rPr>
              <w:id w:val="147460634"/>
              <w:placeholder>
                <w:docPart w:val="{a39abcf7-c4c4-48ee-b476-3ea2c4647581}"/>
              </w:placeholder>
            </w:sdtPr>
            <w:sdtEndPr>
              <w:rPr>
                <w:rFonts w:ascii="Times New Roman" w:hAnsi="Times New Roman" w:eastAsia="Times New Roman" w:cstheme="minorBidi"/>
                <w:w w:val="100"/>
                <w:sz w:val="21"/>
                <w:szCs w:val="21"/>
                <w:shd w:val="clear"/>
              </w:rPr>
            </w:sdtEndPr>
            <w:sdtContent>
              <w:r>
                <w:rPr>
                  <w:rFonts w:hint="default" w:ascii="黑体" w:hAnsi="宋体" w:eastAsia="宋体" w:cstheme="minorBidi"/>
                </w:rPr>
                <w:t>二、部门财政资金收支情况</w:t>
              </w:r>
            </w:sdtContent>
          </w:sdt>
          <w:r>
            <w:tab/>
          </w:r>
          <w:bookmarkStart w:id="33" w:name="_Toc18178_WPSOffice_Level2Page"/>
          <w:r>
            <w:t>19</w:t>
          </w:r>
          <w:bookmarkEnd w:id="33"/>
          <w:r>
            <w:fldChar w:fldCharType="end"/>
          </w:r>
        </w:p>
        <w:p>
          <w:pPr>
            <w:pStyle w:val="54"/>
            <w:tabs>
              <w:tab w:val="right" w:leader="dot" w:pos="8306"/>
            </w:tabs>
          </w:pPr>
          <w:r>
            <w:fldChar w:fldCharType="begin"/>
          </w:r>
          <w:r>
            <w:instrText xml:space="preserve"> HYPERLINK \l _Toc613_WPSOffice_Level2 </w:instrText>
          </w:r>
          <w:r>
            <w:fldChar w:fldCharType="separate"/>
          </w:r>
          <w:sdt>
            <w:sdtPr>
              <w:rPr>
                <w:rFonts w:ascii="Times New Roman" w:hAnsi="Times New Roman" w:eastAsia="Times New Roman" w:cstheme="minorBidi"/>
                <w:w w:val="100"/>
                <w:sz w:val="21"/>
                <w:szCs w:val="21"/>
                <w:shd w:val="clear"/>
              </w:rPr>
              <w:id w:val="147460634"/>
              <w:placeholder>
                <w:docPart w:val="{0bb53dfe-7dcb-4b83-8805-add45bf745c1}"/>
              </w:placeholder>
            </w:sdtPr>
            <w:sdtEndPr>
              <w:rPr>
                <w:rFonts w:ascii="Times New Roman" w:hAnsi="Times New Roman" w:eastAsia="Times New Roman" w:cstheme="minorBidi"/>
                <w:w w:val="100"/>
                <w:sz w:val="21"/>
                <w:szCs w:val="21"/>
                <w:shd w:val="clear"/>
              </w:rPr>
            </w:sdtEndPr>
            <w:sdtContent>
              <w:r>
                <w:rPr>
                  <w:rFonts w:hint="default" w:ascii="黑体" w:hAnsi="宋体" w:eastAsia="宋体" w:cstheme="minorBidi"/>
                </w:rPr>
                <w:t>三、部门财政支出管理情况</w:t>
              </w:r>
            </w:sdtContent>
          </w:sdt>
          <w:r>
            <w:tab/>
          </w:r>
          <w:bookmarkStart w:id="34" w:name="_Toc613_WPSOffice_Level2Page"/>
          <w:r>
            <w:t>20</w:t>
          </w:r>
          <w:bookmarkEnd w:id="34"/>
          <w:r>
            <w:fldChar w:fldCharType="end"/>
          </w:r>
        </w:p>
        <w:p>
          <w:pPr>
            <w:pStyle w:val="54"/>
            <w:tabs>
              <w:tab w:val="right" w:leader="dot" w:pos="8306"/>
            </w:tabs>
          </w:pPr>
          <w:r>
            <w:fldChar w:fldCharType="begin"/>
          </w:r>
          <w:r>
            <w:instrText xml:space="preserve"> HYPERLINK \l _Toc10676_WPSOffice_Level2 </w:instrText>
          </w:r>
          <w:r>
            <w:fldChar w:fldCharType="separate"/>
          </w:r>
          <w:sdt>
            <w:sdtPr>
              <w:rPr>
                <w:rFonts w:ascii="Times New Roman" w:hAnsi="Times New Roman" w:eastAsia="Times New Roman" w:cstheme="minorBidi"/>
                <w:w w:val="100"/>
                <w:sz w:val="21"/>
                <w:szCs w:val="21"/>
                <w:shd w:val="clear"/>
              </w:rPr>
              <w:id w:val="147460634"/>
              <w:placeholder>
                <w:docPart w:val="{4cd37e72-604b-46de-afca-1a85fd15d3c8}"/>
              </w:placeholder>
            </w:sdtPr>
            <w:sdtEndPr>
              <w:rPr>
                <w:rFonts w:ascii="Times New Roman" w:hAnsi="Times New Roman" w:eastAsia="Times New Roman" w:cstheme="minorBidi"/>
                <w:w w:val="100"/>
                <w:sz w:val="21"/>
                <w:szCs w:val="21"/>
                <w:shd w:val="clear"/>
              </w:rPr>
            </w:sdtEndPr>
            <w:sdtContent>
              <w:r>
                <w:rPr>
                  <w:rFonts w:hint="default" w:ascii="仿宋_GB2312" w:hAnsi="仿宋_GB2312" w:eastAsia="仿宋_GB2312" w:cstheme="minorBidi"/>
                </w:rPr>
                <w:t>四、本年度部门支出财务工作开展评价结论及建议</w:t>
              </w:r>
            </w:sdtContent>
          </w:sdt>
          <w:r>
            <w:tab/>
          </w:r>
          <w:bookmarkStart w:id="35" w:name="_Toc10676_WPSOffice_Level2Page"/>
          <w:r>
            <w:t>23</w:t>
          </w:r>
          <w:bookmarkEnd w:id="35"/>
          <w:r>
            <w:fldChar w:fldCharType="end"/>
          </w:r>
        </w:p>
        <w:p>
          <w:pPr>
            <w:pStyle w:val="54"/>
            <w:tabs>
              <w:tab w:val="right" w:leader="dot" w:pos="8306"/>
            </w:tabs>
          </w:pPr>
          <w:r>
            <w:fldChar w:fldCharType="begin"/>
          </w:r>
          <w:r>
            <w:instrText xml:space="preserve"> HYPERLINK \l _Toc12564_WPSOffice_Level2 </w:instrText>
          </w:r>
          <w:r>
            <w:fldChar w:fldCharType="separate"/>
          </w:r>
          <w:sdt>
            <w:sdtPr>
              <w:rPr>
                <w:rFonts w:ascii="Times New Roman" w:hAnsi="Times New Roman" w:eastAsia="Times New Roman" w:cstheme="minorBidi"/>
                <w:w w:val="100"/>
                <w:sz w:val="21"/>
                <w:szCs w:val="21"/>
                <w:shd w:val="clear"/>
              </w:rPr>
              <w:id w:val="147460634"/>
              <w:placeholder>
                <w:docPart w:val="{76ff5642-e6d8-4f21-aaef-13c28daca098}"/>
              </w:placeholder>
            </w:sdtPr>
            <w:sdtEndPr>
              <w:rPr>
                <w:rFonts w:ascii="Times New Roman" w:hAnsi="Times New Roman" w:eastAsia="Times New Roman" w:cstheme="minorBidi"/>
                <w:w w:val="100"/>
                <w:sz w:val="21"/>
                <w:szCs w:val="21"/>
                <w:shd w:val="clear"/>
              </w:rPr>
            </w:sdtEndPr>
            <w:sdtContent>
              <w:r>
                <w:rPr>
                  <w:rFonts w:hint="default" w:ascii="黑体" w:hAnsi="宋体" w:eastAsia="宋体" w:cstheme="minorBidi"/>
                </w:rPr>
                <w:t>四、评价结论及建议</w:t>
              </w:r>
            </w:sdtContent>
          </w:sdt>
          <w:r>
            <w:tab/>
          </w:r>
          <w:bookmarkStart w:id="36" w:name="_Toc12564_WPSOffice_Level2Page"/>
          <w:r>
            <w:t>23</w:t>
          </w:r>
          <w:bookmarkEnd w:id="36"/>
          <w:r>
            <w:fldChar w:fldCharType="end"/>
          </w:r>
        </w:p>
        <w:p>
          <w:pPr>
            <w:pStyle w:val="53"/>
            <w:tabs>
              <w:tab w:val="right" w:leader="dot" w:pos="8306"/>
            </w:tabs>
          </w:pPr>
          <w:r>
            <w:rPr>
              <w:b/>
              <w:bCs/>
            </w:rPr>
            <w:fldChar w:fldCharType="begin"/>
          </w:r>
          <w:r>
            <w:instrText xml:space="preserve"> HYPERLINK \l _Toc25494_WPSOffice_Level1 </w:instrText>
          </w:r>
          <w:r>
            <w:rPr>
              <w:b/>
              <w:bCs/>
            </w:rPr>
            <w:fldChar w:fldCharType="separate"/>
          </w:r>
          <w:sdt>
            <w:sdtPr>
              <w:rPr>
                <w:rFonts w:ascii="Times New Roman" w:hAnsi="Times New Roman" w:eastAsia="Times New Roman" w:cstheme="minorBidi"/>
                <w:b/>
                <w:bCs/>
                <w:w w:val="100"/>
                <w:sz w:val="21"/>
                <w:szCs w:val="21"/>
                <w:shd w:val="clear"/>
              </w:rPr>
              <w:id w:val="147460634"/>
              <w:placeholder>
                <w:docPart w:val="{e7fb2b01-d470-44c3-83b9-6d3ca9275e64}"/>
              </w:placeholder>
            </w:sdtPr>
            <w:sdtEndPr>
              <w:rPr>
                <w:rFonts w:ascii="Times New Roman" w:hAnsi="Times New Roman" w:eastAsia="Times New Roman" w:cstheme="minorBidi"/>
                <w:b/>
                <w:bCs/>
                <w:w w:val="100"/>
                <w:sz w:val="21"/>
                <w:szCs w:val="21"/>
                <w:shd w:val="clear"/>
              </w:rPr>
            </w:sdtEndPr>
            <w:sdtContent>
              <w:r>
                <w:rPr>
                  <w:rFonts w:hint="default" w:ascii="黑体" w:hAnsi="黑体" w:eastAsia="黑体" w:cstheme="minorBidi"/>
                  <w:b/>
                  <w:bCs/>
                </w:rPr>
                <w:t>第五部分 附表</w:t>
              </w:r>
            </w:sdtContent>
          </w:sdt>
          <w:r>
            <w:rPr>
              <w:b/>
              <w:bCs/>
            </w:rPr>
            <w:tab/>
          </w:r>
          <w:bookmarkStart w:id="37" w:name="_Toc25494_WPSOffice_Level1Page"/>
          <w:r>
            <w:rPr>
              <w:b/>
              <w:bCs/>
            </w:rPr>
            <w:t>24</w:t>
          </w:r>
          <w:bookmarkEnd w:id="37"/>
          <w:r>
            <w:rPr>
              <w:b/>
              <w:bCs/>
            </w:rPr>
            <w:fldChar w:fldCharType="end"/>
          </w:r>
        </w:p>
        <w:p>
          <w:pPr>
            <w:pStyle w:val="54"/>
            <w:tabs>
              <w:tab w:val="right" w:leader="dot" w:pos="8306"/>
            </w:tabs>
          </w:pPr>
          <w:r>
            <w:fldChar w:fldCharType="begin"/>
          </w:r>
          <w:r>
            <w:instrText xml:space="preserve"> HYPERLINK \l _Toc17919_WPSOffice_Level2 </w:instrText>
          </w:r>
          <w:r>
            <w:fldChar w:fldCharType="separate"/>
          </w:r>
          <w:sdt>
            <w:sdtPr>
              <w:rPr>
                <w:rFonts w:ascii="Times New Roman" w:hAnsi="Times New Roman" w:eastAsia="Times New Roman" w:cstheme="minorBidi"/>
                <w:w w:val="100"/>
                <w:sz w:val="21"/>
                <w:szCs w:val="21"/>
                <w:shd w:val="clear"/>
              </w:rPr>
              <w:id w:val="147460634"/>
              <w:placeholder>
                <w:docPart w:val="{64460996-8a95-41f7-a78d-a2251e9ae866}"/>
              </w:placeholder>
            </w:sdtPr>
            <w:sdtEndPr>
              <w:rPr>
                <w:rFonts w:ascii="Times New Roman" w:hAnsi="Times New Roman" w:eastAsia="Times New Roman" w:cstheme="minorBidi"/>
                <w:w w:val="100"/>
                <w:sz w:val="21"/>
                <w:szCs w:val="21"/>
                <w:shd w:val="clear"/>
              </w:rPr>
            </w:sdtEndPr>
            <w:sdtContent>
              <w:r>
                <w:rPr>
                  <w:rFonts w:hint="default" w:ascii="仿宋" w:hAnsi="仿宋" w:eastAsia="仿宋" w:cstheme="minorBidi"/>
                </w:rPr>
                <w:t>1、 收入支出决算总表</w:t>
              </w:r>
            </w:sdtContent>
          </w:sdt>
          <w:r>
            <w:tab/>
          </w:r>
          <w:bookmarkStart w:id="38" w:name="_Toc17919_WPSOffice_Level2Page"/>
          <w:r>
            <w:t>24</w:t>
          </w:r>
          <w:bookmarkEnd w:id="38"/>
          <w:r>
            <w:fldChar w:fldCharType="end"/>
          </w:r>
        </w:p>
        <w:p>
          <w:pPr>
            <w:pStyle w:val="54"/>
            <w:tabs>
              <w:tab w:val="right" w:leader="dot" w:pos="8306"/>
            </w:tabs>
          </w:pPr>
          <w:r>
            <w:fldChar w:fldCharType="begin"/>
          </w:r>
          <w:r>
            <w:instrText xml:space="preserve"> HYPERLINK \l _Toc23882_WPSOffice_Level2 </w:instrText>
          </w:r>
          <w:r>
            <w:fldChar w:fldCharType="separate"/>
          </w:r>
          <w:sdt>
            <w:sdtPr>
              <w:rPr>
                <w:rFonts w:ascii="Times New Roman" w:hAnsi="Times New Roman" w:eastAsia="Times New Roman" w:cstheme="minorBidi"/>
                <w:w w:val="100"/>
                <w:sz w:val="21"/>
                <w:szCs w:val="21"/>
                <w:shd w:val="clear"/>
              </w:rPr>
              <w:id w:val="147460634"/>
              <w:placeholder>
                <w:docPart w:val="{b95b6a19-7272-4c26-80a1-b47e40f28020}"/>
              </w:placeholder>
            </w:sdtPr>
            <w:sdtEndPr>
              <w:rPr>
                <w:rFonts w:ascii="Times New Roman" w:hAnsi="Times New Roman" w:eastAsia="Times New Roman" w:cstheme="minorBidi"/>
                <w:w w:val="100"/>
                <w:sz w:val="21"/>
                <w:szCs w:val="21"/>
                <w:shd w:val="clear"/>
              </w:rPr>
            </w:sdtEndPr>
            <w:sdtContent>
              <w:r>
                <w:rPr>
                  <w:rFonts w:hint="default" w:ascii="仿宋" w:hAnsi="仿宋" w:eastAsia="仿宋" w:cstheme="minorBidi"/>
                </w:rPr>
                <w:t>二、收入总表</w:t>
              </w:r>
            </w:sdtContent>
          </w:sdt>
          <w:r>
            <w:tab/>
          </w:r>
          <w:bookmarkStart w:id="39" w:name="_Toc23882_WPSOffice_Level2Page"/>
          <w:r>
            <w:t>24</w:t>
          </w:r>
          <w:bookmarkEnd w:id="39"/>
          <w:r>
            <w:fldChar w:fldCharType="end"/>
          </w:r>
        </w:p>
        <w:p>
          <w:pPr>
            <w:pStyle w:val="54"/>
            <w:tabs>
              <w:tab w:val="right" w:leader="dot" w:pos="8306"/>
            </w:tabs>
          </w:pPr>
          <w:r>
            <w:fldChar w:fldCharType="begin"/>
          </w:r>
          <w:r>
            <w:instrText xml:space="preserve"> HYPERLINK \l _Toc20405_WPSOffice_Level2 </w:instrText>
          </w:r>
          <w:r>
            <w:fldChar w:fldCharType="separate"/>
          </w:r>
          <w:sdt>
            <w:sdtPr>
              <w:rPr>
                <w:rFonts w:ascii="Times New Roman" w:hAnsi="Times New Roman" w:eastAsia="Times New Roman" w:cstheme="minorBidi"/>
                <w:w w:val="100"/>
                <w:sz w:val="21"/>
                <w:szCs w:val="21"/>
                <w:shd w:val="clear"/>
              </w:rPr>
              <w:id w:val="147460634"/>
              <w:placeholder>
                <w:docPart w:val="{4a68e5a7-41aa-4231-8ba3-396daca6e4fe}"/>
              </w:placeholder>
            </w:sdtPr>
            <w:sdtEndPr>
              <w:rPr>
                <w:rFonts w:ascii="Times New Roman" w:hAnsi="Times New Roman" w:eastAsia="Times New Roman" w:cstheme="minorBidi"/>
                <w:w w:val="100"/>
                <w:sz w:val="21"/>
                <w:szCs w:val="21"/>
                <w:shd w:val="clear"/>
              </w:rPr>
            </w:sdtEndPr>
            <w:sdtContent>
              <w:r>
                <w:rPr>
                  <w:rFonts w:hint="default" w:ascii="仿宋" w:hAnsi="仿宋" w:eastAsia="仿宋" w:cstheme="minorBidi"/>
                </w:rPr>
                <w:t>三、支出总表</w:t>
              </w:r>
            </w:sdtContent>
          </w:sdt>
          <w:r>
            <w:tab/>
          </w:r>
          <w:bookmarkStart w:id="40" w:name="_Toc20405_WPSOffice_Level2Page"/>
          <w:r>
            <w:t>24</w:t>
          </w:r>
          <w:bookmarkEnd w:id="40"/>
          <w:r>
            <w:fldChar w:fldCharType="end"/>
          </w:r>
        </w:p>
        <w:p>
          <w:pPr>
            <w:pStyle w:val="54"/>
            <w:tabs>
              <w:tab w:val="right" w:leader="dot" w:pos="8306"/>
            </w:tabs>
          </w:pPr>
          <w:r>
            <w:fldChar w:fldCharType="begin"/>
          </w:r>
          <w:r>
            <w:instrText xml:space="preserve"> HYPERLINK \l _Toc24637_WPSOffice_Level2 </w:instrText>
          </w:r>
          <w:r>
            <w:fldChar w:fldCharType="separate"/>
          </w:r>
          <w:sdt>
            <w:sdtPr>
              <w:rPr>
                <w:rFonts w:ascii="Times New Roman" w:hAnsi="Times New Roman" w:eastAsia="Times New Roman" w:cstheme="minorBidi"/>
                <w:w w:val="100"/>
                <w:sz w:val="21"/>
                <w:szCs w:val="21"/>
                <w:shd w:val="clear"/>
              </w:rPr>
              <w:id w:val="147460634"/>
              <w:placeholder>
                <w:docPart w:val="{077ad21c-7f2e-4594-a940-90bbfa55976e}"/>
              </w:placeholder>
            </w:sdtPr>
            <w:sdtEndPr>
              <w:rPr>
                <w:rFonts w:ascii="Times New Roman" w:hAnsi="Times New Roman" w:eastAsia="Times New Roman" w:cstheme="minorBidi"/>
                <w:w w:val="100"/>
                <w:sz w:val="21"/>
                <w:szCs w:val="21"/>
                <w:shd w:val="clear"/>
              </w:rPr>
            </w:sdtEndPr>
            <w:sdtContent>
              <w:r>
                <w:rPr>
                  <w:rFonts w:hint="default" w:ascii="仿宋" w:hAnsi="仿宋" w:eastAsia="仿宋" w:cstheme="minorBidi"/>
                </w:rPr>
                <w:t>四、财政拨款收入支出决算总表</w:t>
              </w:r>
            </w:sdtContent>
          </w:sdt>
          <w:r>
            <w:tab/>
          </w:r>
          <w:bookmarkStart w:id="41" w:name="_Toc24637_WPSOffice_Level2Page"/>
          <w:r>
            <w:t>24</w:t>
          </w:r>
          <w:bookmarkEnd w:id="41"/>
          <w:r>
            <w:fldChar w:fldCharType="end"/>
          </w:r>
        </w:p>
        <w:p>
          <w:pPr>
            <w:pStyle w:val="54"/>
            <w:tabs>
              <w:tab w:val="right" w:leader="dot" w:pos="8306"/>
            </w:tabs>
          </w:pPr>
          <w:r>
            <w:fldChar w:fldCharType="begin"/>
          </w:r>
          <w:r>
            <w:instrText xml:space="preserve"> HYPERLINK \l _Toc1333_WPSOffice_Level2 </w:instrText>
          </w:r>
          <w:r>
            <w:fldChar w:fldCharType="separate"/>
          </w:r>
          <w:sdt>
            <w:sdtPr>
              <w:rPr>
                <w:rFonts w:ascii="Times New Roman" w:hAnsi="Times New Roman" w:eastAsia="Times New Roman" w:cstheme="minorBidi"/>
                <w:w w:val="100"/>
                <w:sz w:val="21"/>
                <w:szCs w:val="21"/>
                <w:shd w:val="clear"/>
              </w:rPr>
              <w:id w:val="147460634"/>
              <w:placeholder>
                <w:docPart w:val="{7902739f-64e7-41c3-8b08-a00e055fea0b}"/>
              </w:placeholder>
            </w:sdtPr>
            <w:sdtEndPr>
              <w:rPr>
                <w:rFonts w:ascii="Times New Roman" w:hAnsi="Times New Roman" w:eastAsia="Times New Roman" w:cstheme="minorBidi"/>
                <w:w w:val="100"/>
                <w:sz w:val="21"/>
                <w:szCs w:val="21"/>
                <w:shd w:val="clear"/>
              </w:rPr>
            </w:sdtEndPr>
            <w:sdtContent>
              <w:r>
                <w:rPr>
                  <w:rFonts w:hint="default" w:ascii="仿宋" w:hAnsi="仿宋" w:eastAsia="仿宋" w:cstheme="minorBidi"/>
                </w:rPr>
                <w:t>五、财政拨款支出决算明细表（政府经济分类科目）</w:t>
              </w:r>
            </w:sdtContent>
          </w:sdt>
          <w:r>
            <w:tab/>
          </w:r>
          <w:bookmarkStart w:id="42" w:name="_Toc1333_WPSOffice_Level2Page"/>
          <w:r>
            <w:t>24</w:t>
          </w:r>
          <w:bookmarkEnd w:id="42"/>
          <w:r>
            <w:fldChar w:fldCharType="end"/>
          </w:r>
        </w:p>
        <w:p>
          <w:pPr>
            <w:pStyle w:val="54"/>
            <w:tabs>
              <w:tab w:val="right" w:leader="dot" w:pos="8306"/>
            </w:tabs>
          </w:pPr>
          <w:r>
            <w:fldChar w:fldCharType="begin"/>
          </w:r>
          <w:r>
            <w:instrText xml:space="preserve"> HYPERLINK \l _Toc10446_WPSOffice_Level2 </w:instrText>
          </w:r>
          <w:r>
            <w:fldChar w:fldCharType="separate"/>
          </w:r>
          <w:sdt>
            <w:sdtPr>
              <w:rPr>
                <w:rFonts w:ascii="Times New Roman" w:hAnsi="Times New Roman" w:eastAsia="Times New Roman" w:cstheme="minorBidi"/>
                <w:w w:val="100"/>
                <w:sz w:val="21"/>
                <w:szCs w:val="21"/>
                <w:shd w:val="clear"/>
              </w:rPr>
              <w:id w:val="147460634"/>
              <w:placeholder>
                <w:docPart w:val="{293c2d35-b492-4674-9c19-97523cf13bfb}"/>
              </w:placeholder>
            </w:sdtPr>
            <w:sdtEndPr>
              <w:rPr>
                <w:rFonts w:ascii="Times New Roman" w:hAnsi="Times New Roman" w:eastAsia="Times New Roman" w:cstheme="minorBidi"/>
                <w:w w:val="100"/>
                <w:sz w:val="21"/>
                <w:szCs w:val="21"/>
                <w:shd w:val="clear"/>
              </w:rPr>
            </w:sdtEndPr>
            <w:sdtContent>
              <w:r>
                <w:rPr>
                  <w:rFonts w:hint="default" w:ascii="仿宋" w:hAnsi="仿宋" w:eastAsia="仿宋" w:cstheme="minorBidi"/>
                </w:rPr>
                <w:t>六、一般公共预算财政拨款支出决算表</w:t>
              </w:r>
            </w:sdtContent>
          </w:sdt>
          <w:r>
            <w:tab/>
          </w:r>
          <w:bookmarkStart w:id="43" w:name="_Toc10446_WPSOffice_Level2Page"/>
          <w:r>
            <w:t>24</w:t>
          </w:r>
          <w:bookmarkEnd w:id="43"/>
          <w:r>
            <w:fldChar w:fldCharType="end"/>
          </w:r>
        </w:p>
        <w:p>
          <w:pPr>
            <w:pStyle w:val="54"/>
            <w:tabs>
              <w:tab w:val="right" w:leader="dot" w:pos="8306"/>
            </w:tabs>
          </w:pPr>
          <w:r>
            <w:fldChar w:fldCharType="begin"/>
          </w:r>
          <w:r>
            <w:instrText xml:space="preserve"> HYPERLINK \l _Toc1011_WPSOffice_Level2 </w:instrText>
          </w:r>
          <w:r>
            <w:fldChar w:fldCharType="separate"/>
          </w:r>
          <w:sdt>
            <w:sdtPr>
              <w:rPr>
                <w:rFonts w:ascii="Times New Roman" w:hAnsi="Times New Roman" w:eastAsia="Times New Roman" w:cstheme="minorBidi"/>
                <w:w w:val="100"/>
                <w:sz w:val="21"/>
                <w:szCs w:val="21"/>
                <w:shd w:val="clear"/>
              </w:rPr>
              <w:id w:val="147460634"/>
              <w:placeholder>
                <w:docPart w:val="{54241f76-0af9-46e2-b904-4ca454adba35}"/>
              </w:placeholder>
            </w:sdtPr>
            <w:sdtEndPr>
              <w:rPr>
                <w:rFonts w:ascii="Times New Roman" w:hAnsi="Times New Roman" w:eastAsia="Times New Roman" w:cstheme="minorBidi"/>
                <w:w w:val="100"/>
                <w:sz w:val="21"/>
                <w:szCs w:val="21"/>
                <w:shd w:val="clear"/>
              </w:rPr>
            </w:sdtEndPr>
            <w:sdtContent>
              <w:r>
                <w:rPr>
                  <w:rFonts w:hint="default" w:ascii="仿宋" w:hAnsi="仿宋" w:eastAsia="仿宋" w:cstheme="minorBidi"/>
                </w:rPr>
                <w:t>七、一般公共预算财政拨款支出决算明细表</w:t>
              </w:r>
            </w:sdtContent>
          </w:sdt>
          <w:r>
            <w:tab/>
          </w:r>
          <w:bookmarkStart w:id="44" w:name="_Toc1011_WPSOffice_Level2Page"/>
          <w:r>
            <w:t>24</w:t>
          </w:r>
          <w:bookmarkEnd w:id="44"/>
          <w:r>
            <w:fldChar w:fldCharType="end"/>
          </w:r>
        </w:p>
        <w:p>
          <w:pPr>
            <w:pStyle w:val="54"/>
            <w:tabs>
              <w:tab w:val="right" w:leader="dot" w:pos="8306"/>
            </w:tabs>
          </w:pPr>
          <w:r>
            <w:fldChar w:fldCharType="begin"/>
          </w:r>
          <w:r>
            <w:instrText xml:space="preserve"> HYPERLINK \l _Toc26730_WPSOffice_Level2 </w:instrText>
          </w:r>
          <w:r>
            <w:fldChar w:fldCharType="separate"/>
          </w:r>
          <w:sdt>
            <w:sdtPr>
              <w:rPr>
                <w:rFonts w:ascii="Times New Roman" w:hAnsi="Times New Roman" w:eastAsia="Times New Roman" w:cstheme="minorBidi"/>
                <w:w w:val="100"/>
                <w:sz w:val="21"/>
                <w:szCs w:val="21"/>
                <w:shd w:val="clear"/>
              </w:rPr>
              <w:id w:val="147460634"/>
              <w:placeholder>
                <w:docPart w:val="{dcc79135-5e22-4e17-ace4-34ad500159f3}"/>
              </w:placeholder>
            </w:sdtPr>
            <w:sdtEndPr>
              <w:rPr>
                <w:rFonts w:ascii="Times New Roman" w:hAnsi="Times New Roman" w:eastAsia="Times New Roman" w:cstheme="minorBidi"/>
                <w:w w:val="100"/>
                <w:sz w:val="21"/>
                <w:szCs w:val="21"/>
                <w:shd w:val="clear"/>
              </w:rPr>
            </w:sdtEndPr>
            <w:sdtContent>
              <w:r>
                <w:rPr>
                  <w:rFonts w:hint="default" w:ascii="仿宋" w:hAnsi="仿宋" w:eastAsia="仿宋" w:cstheme="minorBidi"/>
                </w:rPr>
                <w:t>八、一般公共预算财政拨款基本支出决算表</w:t>
              </w:r>
            </w:sdtContent>
          </w:sdt>
          <w:r>
            <w:tab/>
          </w:r>
          <w:bookmarkStart w:id="45" w:name="_Toc26730_WPSOffice_Level2Page"/>
          <w:r>
            <w:t>24</w:t>
          </w:r>
          <w:bookmarkEnd w:id="45"/>
          <w:r>
            <w:fldChar w:fldCharType="end"/>
          </w:r>
        </w:p>
        <w:p>
          <w:pPr>
            <w:pStyle w:val="54"/>
            <w:tabs>
              <w:tab w:val="right" w:leader="dot" w:pos="8306"/>
            </w:tabs>
          </w:pPr>
          <w:r>
            <w:fldChar w:fldCharType="begin"/>
          </w:r>
          <w:r>
            <w:instrText xml:space="preserve"> HYPERLINK \l _Toc16965_WPSOffice_Level2 </w:instrText>
          </w:r>
          <w:r>
            <w:fldChar w:fldCharType="separate"/>
          </w:r>
          <w:sdt>
            <w:sdtPr>
              <w:rPr>
                <w:rFonts w:ascii="Times New Roman" w:hAnsi="Times New Roman" w:eastAsia="Times New Roman" w:cstheme="minorBidi"/>
                <w:w w:val="100"/>
                <w:sz w:val="21"/>
                <w:szCs w:val="21"/>
                <w:shd w:val="clear"/>
              </w:rPr>
              <w:id w:val="147460634"/>
              <w:placeholder>
                <w:docPart w:val="{bf4e5d0e-0f8a-4957-8af1-edc1068a97e8}"/>
              </w:placeholder>
            </w:sdtPr>
            <w:sdtEndPr>
              <w:rPr>
                <w:rFonts w:ascii="Times New Roman" w:hAnsi="Times New Roman" w:eastAsia="Times New Roman" w:cstheme="minorBidi"/>
                <w:w w:val="100"/>
                <w:sz w:val="21"/>
                <w:szCs w:val="21"/>
                <w:shd w:val="clear"/>
              </w:rPr>
            </w:sdtEndPr>
            <w:sdtContent>
              <w:r>
                <w:rPr>
                  <w:rFonts w:hint="default" w:ascii="仿宋" w:hAnsi="仿宋" w:eastAsia="仿宋" w:cstheme="minorBidi"/>
                </w:rPr>
                <w:t>九、一般公共预算财政拨款项目支出决算表</w:t>
              </w:r>
            </w:sdtContent>
          </w:sdt>
          <w:r>
            <w:tab/>
          </w:r>
          <w:bookmarkStart w:id="46" w:name="_Toc16965_WPSOffice_Level2Page"/>
          <w:r>
            <w:t>24</w:t>
          </w:r>
          <w:bookmarkEnd w:id="46"/>
          <w:r>
            <w:fldChar w:fldCharType="end"/>
          </w:r>
        </w:p>
        <w:p>
          <w:pPr>
            <w:pStyle w:val="54"/>
            <w:tabs>
              <w:tab w:val="right" w:leader="dot" w:pos="8306"/>
            </w:tabs>
          </w:pPr>
          <w:r>
            <w:fldChar w:fldCharType="begin"/>
          </w:r>
          <w:r>
            <w:instrText xml:space="preserve"> HYPERLINK \l _Toc9253_WPSOffice_Level2 </w:instrText>
          </w:r>
          <w:r>
            <w:fldChar w:fldCharType="separate"/>
          </w:r>
          <w:sdt>
            <w:sdtPr>
              <w:rPr>
                <w:rFonts w:ascii="Times New Roman" w:hAnsi="Times New Roman" w:eastAsia="Times New Roman" w:cstheme="minorBidi"/>
                <w:w w:val="100"/>
                <w:sz w:val="21"/>
                <w:szCs w:val="21"/>
                <w:shd w:val="clear"/>
              </w:rPr>
              <w:id w:val="147460634"/>
              <w:placeholder>
                <w:docPart w:val="{86770dd4-62bd-4ebf-90c4-b40d10e54968}"/>
              </w:placeholder>
            </w:sdtPr>
            <w:sdtEndPr>
              <w:rPr>
                <w:rFonts w:ascii="Times New Roman" w:hAnsi="Times New Roman" w:eastAsia="Times New Roman" w:cstheme="minorBidi"/>
                <w:w w:val="100"/>
                <w:sz w:val="21"/>
                <w:szCs w:val="21"/>
                <w:shd w:val="clear"/>
              </w:rPr>
            </w:sdtEndPr>
            <w:sdtContent>
              <w:r>
                <w:rPr>
                  <w:rFonts w:hint="default" w:ascii="仿宋" w:hAnsi="仿宋" w:eastAsia="仿宋" w:cstheme="minorBidi"/>
                </w:rPr>
                <w:t>十、一般公共预算财政拨款“三公”经费支出决算表</w:t>
              </w:r>
            </w:sdtContent>
          </w:sdt>
          <w:r>
            <w:tab/>
          </w:r>
          <w:bookmarkStart w:id="47" w:name="_Toc9253_WPSOffice_Level2Page"/>
          <w:r>
            <w:t>24</w:t>
          </w:r>
          <w:bookmarkEnd w:id="47"/>
          <w:r>
            <w:fldChar w:fldCharType="end"/>
          </w:r>
        </w:p>
        <w:p>
          <w:pPr>
            <w:pStyle w:val="54"/>
            <w:tabs>
              <w:tab w:val="right" w:leader="dot" w:pos="8306"/>
            </w:tabs>
          </w:pPr>
          <w:r>
            <w:fldChar w:fldCharType="begin"/>
          </w:r>
          <w:r>
            <w:instrText xml:space="preserve"> HYPERLINK \l _Toc24736_WPSOffice_Level2 </w:instrText>
          </w:r>
          <w:r>
            <w:fldChar w:fldCharType="separate"/>
          </w:r>
          <w:sdt>
            <w:sdtPr>
              <w:rPr>
                <w:rFonts w:ascii="Times New Roman" w:hAnsi="Times New Roman" w:eastAsia="Times New Roman" w:cstheme="minorBidi"/>
                <w:w w:val="100"/>
                <w:sz w:val="21"/>
                <w:szCs w:val="21"/>
                <w:shd w:val="clear"/>
              </w:rPr>
              <w:id w:val="147460634"/>
              <w:placeholder>
                <w:docPart w:val="{7f9f45c9-387b-4468-8dc9-92052fe43cf0}"/>
              </w:placeholder>
            </w:sdtPr>
            <w:sdtEndPr>
              <w:rPr>
                <w:rFonts w:ascii="Times New Roman" w:hAnsi="Times New Roman" w:eastAsia="Times New Roman" w:cstheme="minorBidi"/>
                <w:w w:val="100"/>
                <w:sz w:val="21"/>
                <w:szCs w:val="21"/>
                <w:shd w:val="clear"/>
              </w:rPr>
            </w:sdtEndPr>
            <w:sdtContent>
              <w:r>
                <w:rPr>
                  <w:rFonts w:hint="default" w:ascii="仿宋" w:hAnsi="仿宋" w:eastAsia="仿宋" w:cstheme="minorBidi"/>
                </w:rPr>
                <w:t>十一、政府性基金预算财政拨款收入支出决算表</w:t>
              </w:r>
            </w:sdtContent>
          </w:sdt>
          <w:r>
            <w:tab/>
          </w:r>
          <w:bookmarkStart w:id="48" w:name="_Toc24736_WPSOffice_Level2Page"/>
          <w:r>
            <w:t>24</w:t>
          </w:r>
          <w:bookmarkEnd w:id="48"/>
          <w:r>
            <w:fldChar w:fldCharType="end"/>
          </w:r>
        </w:p>
        <w:p>
          <w:pPr>
            <w:pStyle w:val="54"/>
            <w:tabs>
              <w:tab w:val="right" w:leader="dot" w:pos="8306"/>
            </w:tabs>
          </w:pPr>
          <w:r>
            <w:fldChar w:fldCharType="begin"/>
          </w:r>
          <w:r>
            <w:instrText xml:space="preserve"> HYPERLINK \l _Toc13194_WPSOffice_Level2 </w:instrText>
          </w:r>
          <w:r>
            <w:fldChar w:fldCharType="separate"/>
          </w:r>
          <w:sdt>
            <w:sdtPr>
              <w:rPr>
                <w:rFonts w:ascii="Times New Roman" w:hAnsi="Times New Roman" w:eastAsia="Times New Roman" w:cstheme="minorBidi"/>
                <w:w w:val="100"/>
                <w:sz w:val="21"/>
                <w:szCs w:val="21"/>
                <w:shd w:val="clear"/>
              </w:rPr>
              <w:id w:val="147460634"/>
              <w:placeholder>
                <w:docPart w:val="{a78de9ad-b02b-42e7-b795-dd317dd86efa}"/>
              </w:placeholder>
            </w:sdtPr>
            <w:sdtEndPr>
              <w:rPr>
                <w:rFonts w:ascii="Times New Roman" w:hAnsi="Times New Roman" w:eastAsia="Times New Roman" w:cstheme="minorBidi"/>
                <w:w w:val="100"/>
                <w:sz w:val="21"/>
                <w:szCs w:val="21"/>
                <w:shd w:val="clear"/>
              </w:rPr>
            </w:sdtEndPr>
            <w:sdtContent>
              <w:r>
                <w:rPr>
                  <w:rFonts w:hint="default" w:ascii="仿宋" w:hAnsi="仿宋" w:eastAsia="仿宋" w:cstheme="minorBidi"/>
                </w:rPr>
                <w:t>十二、政府性基金预算财政拨款“三公”经费支出决算表</w:t>
              </w:r>
            </w:sdtContent>
          </w:sdt>
          <w:r>
            <w:tab/>
          </w:r>
          <w:bookmarkStart w:id="49" w:name="_Toc13194_WPSOffice_Level2Page"/>
          <w:r>
            <w:t>24</w:t>
          </w:r>
          <w:bookmarkEnd w:id="49"/>
          <w:r>
            <w:fldChar w:fldCharType="end"/>
          </w:r>
        </w:p>
        <w:p>
          <w:pPr>
            <w:pStyle w:val="54"/>
            <w:tabs>
              <w:tab w:val="right" w:leader="dot" w:pos="8306"/>
            </w:tabs>
          </w:pPr>
          <w:r>
            <w:fldChar w:fldCharType="begin"/>
          </w:r>
          <w:r>
            <w:instrText xml:space="preserve"> HYPERLINK \l _Toc21929_WPSOffice_Level2 </w:instrText>
          </w:r>
          <w:r>
            <w:fldChar w:fldCharType="separate"/>
          </w:r>
          <w:sdt>
            <w:sdtPr>
              <w:rPr>
                <w:rFonts w:ascii="Times New Roman" w:hAnsi="Times New Roman" w:eastAsia="Times New Roman" w:cstheme="minorBidi"/>
                <w:w w:val="100"/>
                <w:sz w:val="21"/>
                <w:szCs w:val="21"/>
                <w:shd w:val="clear"/>
              </w:rPr>
              <w:id w:val="147460634"/>
              <w:placeholder>
                <w:docPart w:val="{6d61fc86-b7e9-4a80-b126-827b56a4165a}"/>
              </w:placeholder>
            </w:sdtPr>
            <w:sdtEndPr>
              <w:rPr>
                <w:rFonts w:ascii="Times New Roman" w:hAnsi="Times New Roman" w:eastAsia="Times New Roman" w:cstheme="minorBidi"/>
                <w:w w:val="100"/>
                <w:sz w:val="21"/>
                <w:szCs w:val="21"/>
                <w:shd w:val="clear"/>
              </w:rPr>
            </w:sdtEndPr>
            <w:sdtContent>
              <w:r>
                <w:rPr>
                  <w:rFonts w:hint="default" w:ascii="仿宋" w:hAnsi="仿宋" w:eastAsia="仿宋" w:cstheme="minorBidi"/>
                </w:rPr>
                <w:t>十三、国有资本经营预算支出决算表</w:t>
              </w:r>
            </w:sdtContent>
          </w:sdt>
          <w:r>
            <w:tab/>
          </w:r>
          <w:bookmarkStart w:id="50" w:name="_Toc21929_WPSOffice_Level2Page"/>
          <w:r>
            <w:t>24</w:t>
          </w:r>
          <w:bookmarkEnd w:id="50"/>
          <w:r>
            <w:fldChar w:fldCharType="end"/>
          </w:r>
          <w:bookmarkEnd w:id="12"/>
        </w:p>
      </w:sdtContent>
    </w:sdt>
    <w:p>
      <w:pPr>
        <w:numPr>
          <w:ilvl w:val="0"/>
          <w:numId w:val="0"/>
        </w:numPr>
        <w:autoSpaceDE/>
        <w:autoSpaceDN/>
        <w:spacing w:before="0" w:after="160" w:line="240" w:lineRule="auto"/>
        <w:ind w:left="0" w:right="0" w:firstLine="540" w:firstLineChars="300"/>
        <w:jc w:val="left"/>
        <w:rPr>
          <w:rFonts w:hint="eastAsia" w:ascii="仿宋" w:hAnsi="仿宋" w:eastAsia="仿宋"/>
          <w:color w:val="000000"/>
          <w:position w:val="0"/>
          <w:sz w:val="18"/>
          <w:szCs w:val="18"/>
          <w:lang w:val="en-US" w:eastAsia="zh-CN"/>
        </w:rPr>
      </w:pPr>
      <w:r>
        <w:rPr>
          <w:rFonts w:hint="eastAsia" w:ascii="仿宋" w:hAnsi="仿宋" w:eastAsia="仿宋"/>
          <w:color w:val="000000"/>
          <w:position w:val="0"/>
          <w:sz w:val="18"/>
          <w:szCs w:val="18"/>
          <w:lang w:val="en-US" w:eastAsia="zh-CN"/>
        </w:rPr>
        <w:t>十四、绩效评分表.....................................................................25</w:t>
      </w:r>
    </w:p>
    <w:p>
      <w:pPr>
        <w:numPr>
          <w:ilvl w:val="0"/>
          <w:numId w:val="0"/>
        </w:numPr>
        <w:autoSpaceDE/>
        <w:autoSpaceDN/>
        <w:spacing w:before="0" w:after="160" w:line="240" w:lineRule="auto"/>
        <w:ind w:left="0" w:right="0" w:firstLine="0"/>
        <w:jc w:val="left"/>
        <w:rPr>
          <w:rFonts w:hint="default" w:ascii="黑体" w:hAnsi="黑体" w:eastAsia="黑体"/>
          <w:color w:val="auto"/>
          <w:position w:val="0"/>
          <w:sz w:val="44"/>
          <w:szCs w:val="44"/>
        </w:rPr>
      </w:pPr>
      <w:bookmarkStart w:id="51" w:name="_Toc15377196"/>
      <w:bookmarkStart w:id="52" w:name="_Toc15396599"/>
      <w:r>
        <w:br w:type="page"/>
      </w:r>
    </w:p>
    <w:p>
      <w:pPr>
        <w:pStyle w:val="2"/>
        <w:numPr>
          <w:ilvl w:val="0"/>
          <w:numId w:val="0"/>
        </w:numPr>
        <w:autoSpaceDE/>
        <w:autoSpaceDN/>
        <w:spacing w:before="340" w:after="330" w:line="578" w:lineRule="auto"/>
        <w:ind w:left="0" w:right="0" w:firstLine="0"/>
        <w:jc w:val="center"/>
        <w:outlineLvl w:val="0"/>
        <w:rPr>
          <w:rStyle w:val="49"/>
          <w:rFonts w:hint="default" w:ascii="黑体" w:hAnsi="黑体" w:eastAsia="黑体"/>
          <w:b/>
          <w:color w:val="auto"/>
          <w:position w:val="0"/>
          <w:sz w:val="44"/>
          <w:szCs w:val="44"/>
        </w:rPr>
      </w:pPr>
      <w:bookmarkStart w:id="53" w:name="_Toc19442_WPSOffice_Level1"/>
      <w:r>
        <w:rPr>
          <w:rFonts w:hint="default" w:ascii="黑体" w:hAnsi="黑体" w:eastAsia="黑体"/>
          <w:b w:val="0"/>
          <w:color w:val="auto"/>
          <w:position w:val="0"/>
          <w:sz w:val="44"/>
          <w:szCs w:val="44"/>
        </w:rPr>
        <w:t xml:space="preserve">第一部分 </w:t>
      </w:r>
      <w:r>
        <w:rPr>
          <w:rStyle w:val="49"/>
          <w:rFonts w:hint="default" w:ascii="黑体" w:hAnsi="黑体" w:eastAsia="黑体"/>
          <w:b w:val="0"/>
          <w:color w:val="auto"/>
          <w:position w:val="0"/>
          <w:sz w:val="44"/>
          <w:szCs w:val="44"/>
        </w:rPr>
        <w:t>部门概况</w:t>
      </w:r>
      <w:bookmarkEnd w:id="51"/>
      <w:bookmarkEnd w:id="52"/>
      <w:bookmarkEnd w:id="53"/>
    </w:p>
    <w:p>
      <w:pPr>
        <w:numPr>
          <w:ilvl w:val="0"/>
          <w:numId w:val="0"/>
        </w:numPr>
        <w:autoSpaceDE/>
        <w:autoSpaceDN/>
        <w:spacing w:before="0" w:after="160" w:line="240" w:lineRule="auto"/>
        <w:ind w:left="0" w:right="0" w:firstLine="0"/>
        <w:jc w:val="left"/>
        <w:rPr>
          <w:rFonts w:hint="default" w:ascii="黑体" w:hAnsi="黑体" w:eastAsia="黑体"/>
          <w:color w:val="000000"/>
          <w:position w:val="0"/>
          <w:sz w:val="32"/>
          <w:szCs w:val="32"/>
        </w:rPr>
      </w:pPr>
    </w:p>
    <w:p>
      <w:pPr>
        <w:pStyle w:val="3"/>
        <w:numPr>
          <w:ilvl w:val="0"/>
          <w:numId w:val="0"/>
        </w:numPr>
        <w:autoSpaceDE/>
        <w:autoSpaceDN/>
        <w:spacing w:before="260" w:after="260" w:line="415" w:lineRule="auto"/>
        <w:ind w:left="0" w:right="0" w:firstLine="0"/>
        <w:jc w:val="both"/>
        <w:outlineLvl w:val="1"/>
        <w:rPr>
          <w:rStyle w:val="50"/>
          <w:rFonts w:hint="default" w:ascii="仿宋" w:hAnsi="仿宋" w:eastAsia="仿宋"/>
          <w:b w:val="0"/>
          <w:color w:val="auto"/>
          <w:position w:val="0"/>
          <w:sz w:val="32"/>
          <w:szCs w:val="32"/>
        </w:rPr>
      </w:pPr>
      <w:bookmarkStart w:id="54" w:name="_Toc15377197"/>
      <w:bookmarkStart w:id="55" w:name="_Toc31308_WPSOffice_Level2"/>
      <w:bookmarkStart w:id="56" w:name="_Toc15396600"/>
      <w:r>
        <w:rPr>
          <w:rFonts w:hint="default" w:ascii="黑体" w:hAnsi="黑体" w:eastAsia="黑体"/>
          <w:b w:val="0"/>
          <w:color w:val="000000"/>
          <w:position w:val="0"/>
          <w:sz w:val="32"/>
          <w:szCs w:val="32"/>
        </w:rPr>
        <w:t>一、基</w:t>
      </w:r>
      <w:r>
        <w:rPr>
          <w:rStyle w:val="50"/>
          <w:rFonts w:hint="default" w:ascii="黑体" w:hAnsi="黑体" w:eastAsia="黑体"/>
          <w:b w:val="0"/>
          <w:color w:val="auto"/>
          <w:position w:val="0"/>
          <w:sz w:val="32"/>
          <w:szCs w:val="32"/>
        </w:rPr>
        <w:t>本职能及主要工作</w:t>
      </w:r>
      <w:bookmarkEnd w:id="54"/>
      <w:bookmarkEnd w:id="55"/>
      <w:bookmarkEnd w:id="56"/>
    </w:p>
    <w:p>
      <w:pPr>
        <w:pStyle w:val="12"/>
        <w:numPr>
          <w:ilvl w:val="0"/>
          <w:numId w:val="0"/>
        </w:numPr>
        <w:autoSpaceDE/>
        <w:autoSpaceDN/>
        <w:snapToGrid w:val="0"/>
        <w:spacing w:before="93" w:after="160" w:line="600" w:lineRule="exact"/>
        <w:ind w:left="0" w:right="0" w:firstLine="672"/>
        <w:jc w:val="both"/>
        <w:outlineLvl w:val="2"/>
        <w:rPr>
          <w:rFonts w:hint="default" w:ascii="仿宋" w:hAnsi="仿宋" w:eastAsia="仿宋"/>
          <w:color w:val="000000"/>
          <w:position w:val="0"/>
          <w:sz w:val="32"/>
          <w:szCs w:val="32"/>
        </w:rPr>
      </w:pPr>
      <w:bookmarkStart w:id="57" w:name="_Toc15377198"/>
      <w:bookmarkStart w:id="58" w:name="_Toc15378445"/>
      <w:r>
        <w:rPr>
          <w:rFonts w:hint="default" w:ascii="仿宋" w:hAnsi="仿宋" w:eastAsia="仿宋"/>
          <w:color w:val="000000"/>
          <w:position w:val="0"/>
          <w:sz w:val="32"/>
          <w:szCs w:val="32"/>
        </w:rPr>
        <w:t>（一）主要职能。</w:t>
      </w:r>
    </w:p>
    <w:bookmarkEnd w:id="57"/>
    <w:bookmarkEnd w:id="58"/>
    <w:p>
      <w:pPr>
        <w:pStyle w:val="12"/>
        <w:numPr>
          <w:ilvl w:val="0"/>
          <w:numId w:val="0"/>
        </w:numPr>
        <w:autoSpaceDE/>
        <w:autoSpaceDN/>
        <w:snapToGrid w:val="0"/>
        <w:spacing w:before="93" w:after="160" w:line="600" w:lineRule="exact"/>
        <w:ind w:left="0" w:right="0" w:firstLine="672"/>
        <w:jc w:val="both"/>
        <w:outlineLvl w:val="2"/>
        <w:rPr>
          <w:rFonts w:hint="default" w:ascii="仿宋" w:hAnsi="仿宋" w:eastAsia="仿宋"/>
          <w:color w:val="000000"/>
          <w:position w:val="0"/>
          <w:sz w:val="32"/>
          <w:szCs w:val="32"/>
        </w:rPr>
      </w:pPr>
      <w:r>
        <w:rPr>
          <w:rFonts w:hint="default" w:ascii="仿宋_GB2312" w:hAnsi="仿宋_GB2312" w:eastAsia="仿宋_GB2312"/>
          <w:color w:val="auto"/>
          <w:spacing w:val="0"/>
          <w:position w:val="0"/>
          <w:sz w:val="30"/>
          <w:szCs w:val="30"/>
        </w:rPr>
        <w:t xml:space="preserve"> 我局主要负责贯彻执行国家、省、州、县有关社会保险政策和法律、法规;负责全县企业基本养老保险、机关事业养老保险、工伤保险、生育保险等社会保险审核、核定、征缴、待遇发放等工作。</w:t>
      </w:r>
      <w:r>
        <w:rPr>
          <w:rFonts w:hint="default" w:ascii="Calibri" w:hAnsi="仿宋_GB2312" w:eastAsia="仿宋_GB2312"/>
          <w:color w:val="auto"/>
          <w:spacing w:val="0"/>
          <w:position w:val="0"/>
          <w:sz w:val="30"/>
          <w:szCs w:val="30"/>
        </w:rPr>
        <w:t xml:space="preserve"> </w:t>
      </w:r>
    </w:p>
    <w:p>
      <w:pPr>
        <w:pStyle w:val="12"/>
        <w:numPr>
          <w:ilvl w:val="0"/>
          <w:numId w:val="0"/>
        </w:numPr>
        <w:autoSpaceDE/>
        <w:autoSpaceDN/>
        <w:snapToGrid w:val="0"/>
        <w:spacing w:before="93" w:after="160" w:line="600" w:lineRule="exact"/>
        <w:ind w:left="0" w:right="0" w:firstLine="672"/>
        <w:jc w:val="both"/>
        <w:outlineLvl w:val="2"/>
        <w:rPr>
          <w:rFonts w:hint="default" w:ascii="仿宋" w:hAnsi="仿宋" w:eastAsia="仿宋"/>
          <w:color w:val="000000"/>
          <w:position w:val="0"/>
          <w:sz w:val="32"/>
          <w:szCs w:val="32"/>
        </w:rPr>
      </w:pPr>
      <w:bookmarkStart w:id="59" w:name="_Toc15377199"/>
      <w:bookmarkStart w:id="60" w:name="_Toc15378446"/>
      <w:r>
        <w:rPr>
          <w:rFonts w:hint="default" w:ascii="仿宋" w:hAnsi="仿宋" w:eastAsia="仿宋"/>
          <w:color w:val="000000"/>
          <w:position w:val="0"/>
          <w:sz w:val="32"/>
          <w:szCs w:val="32"/>
        </w:rPr>
        <w:t>（二）2018年重点工作完成情况。</w:t>
      </w:r>
      <w:bookmarkEnd w:id="59"/>
    </w:p>
    <w:p>
      <w:pPr>
        <w:pStyle w:val="12"/>
        <w:numPr>
          <w:ilvl w:val="0"/>
          <w:numId w:val="0"/>
        </w:numPr>
        <w:autoSpaceDE/>
        <w:autoSpaceDN/>
        <w:snapToGrid w:val="0"/>
        <w:spacing w:before="93" w:after="160" w:line="600" w:lineRule="exact"/>
        <w:ind w:left="0" w:right="0" w:firstLine="672"/>
        <w:jc w:val="both"/>
        <w:outlineLvl w:val="2"/>
        <w:rPr>
          <w:rFonts w:hint="default" w:ascii="仿宋" w:hAnsi="仿宋" w:eastAsia="仿宋"/>
          <w:color w:val="000000"/>
          <w:position w:val="0"/>
          <w:sz w:val="32"/>
          <w:szCs w:val="32"/>
        </w:rPr>
      </w:pPr>
      <w:r>
        <w:rPr>
          <w:rFonts w:hint="default" w:ascii="仿宋" w:hAnsi="仿宋" w:eastAsia="仿宋"/>
          <w:color w:val="000000"/>
          <w:position w:val="0"/>
          <w:sz w:val="32"/>
          <w:szCs w:val="32"/>
        </w:rPr>
        <w:t>1.加大社会保险政策宣传力度，完成全民参保登记工作任务，</w:t>
      </w:r>
      <w:bookmarkEnd w:id="60"/>
      <w:r>
        <w:rPr>
          <w:rFonts w:hint="default" w:ascii="仿宋" w:hAnsi="仿宋" w:eastAsia="仿宋"/>
          <w:color w:val="000000"/>
          <w:position w:val="0"/>
          <w:sz w:val="32"/>
          <w:szCs w:val="32"/>
        </w:rPr>
        <w:t>努力引导广大牧民群众提高参保意识，全面完成2018年各项征收任务。</w:t>
      </w:r>
    </w:p>
    <w:p>
      <w:pPr>
        <w:pStyle w:val="12"/>
        <w:numPr>
          <w:ilvl w:val="0"/>
          <w:numId w:val="0"/>
        </w:numPr>
        <w:autoSpaceDE/>
        <w:autoSpaceDN/>
        <w:snapToGrid w:val="0"/>
        <w:spacing w:before="93" w:after="160" w:line="600" w:lineRule="exact"/>
        <w:ind w:left="0" w:right="0" w:firstLine="672"/>
        <w:jc w:val="both"/>
        <w:outlineLvl w:val="2"/>
        <w:rPr>
          <w:rFonts w:hint="default" w:ascii="仿宋" w:hAnsi="仿宋" w:eastAsia="仿宋"/>
          <w:color w:val="000000"/>
          <w:position w:val="0"/>
          <w:sz w:val="32"/>
          <w:szCs w:val="32"/>
        </w:rPr>
      </w:pPr>
      <w:r>
        <w:rPr>
          <w:rFonts w:hint="default" w:ascii="仿宋" w:hAnsi="仿宋" w:eastAsia="仿宋"/>
          <w:color w:val="000000"/>
          <w:position w:val="0"/>
          <w:sz w:val="32"/>
          <w:szCs w:val="32"/>
        </w:rPr>
        <w:t>2.加强学习，不断提升经办人员业务素质，在熟练准确掌握和运用社会保险知识及政策的同时，增强工作责任心，实事求是，秉公办事，不断提高办事效率。</w:t>
      </w:r>
    </w:p>
    <w:p>
      <w:pPr>
        <w:pStyle w:val="3"/>
        <w:numPr>
          <w:ilvl w:val="0"/>
          <w:numId w:val="0"/>
        </w:numPr>
        <w:autoSpaceDE/>
        <w:autoSpaceDN/>
        <w:spacing w:before="260" w:after="260" w:line="415" w:lineRule="auto"/>
        <w:ind w:left="0" w:right="0" w:firstLine="0"/>
        <w:jc w:val="both"/>
        <w:outlineLvl w:val="1"/>
        <w:rPr>
          <w:rStyle w:val="50"/>
          <w:rFonts w:hint="default" w:ascii="Cambria" w:hAnsi="宋体" w:eastAsia="宋体"/>
          <w:b w:val="0"/>
          <w:color w:val="auto"/>
          <w:position w:val="0"/>
          <w:sz w:val="32"/>
          <w:szCs w:val="32"/>
        </w:rPr>
      </w:pPr>
      <w:bookmarkStart w:id="61" w:name="_Toc15377200"/>
      <w:bookmarkStart w:id="62" w:name="_Toc15396601"/>
      <w:bookmarkStart w:id="63" w:name="_Toc17376_WPSOffice_Level2"/>
      <w:r>
        <w:rPr>
          <w:rFonts w:hint="default" w:ascii="黑体" w:hAnsi="黑体" w:eastAsia="黑体"/>
          <w:b w:val="0"/>
          <w:color w:val="000000"/>
          <w:position w:val="0"/>
          <w:sz w:val="32"/>
          <w:szCs w:val="32"/>
        </w:rPr>
        <w:t>二、机</w:t>
      </w:r>
      <w:r>
        <w:rPr>
          <w:rStyle w:val="50"/>
          <w:rFonts w:hint="default" w:ascii="黑体" w:hAnsi="黑体" w:eastAsia="黑体"/>
          <w:b w:val="0"/>
          <w:color w:val="auto"/>
          <w:position w:val="0"/>
          <w:sz w:val="32"/>
          <w:szCs w:val="32"/>
        </w:rPr>
        <w:t>构设置</w:t>
      </w:r>
      <w:bookmarkEnd w:id="61"/>
      <w:bookmarkEnd w:id="62"/>
      <w:bookmarkEnd w:id="63"/>
    </w:p>
    <w:p>
      <w:pPr>
        <w:pageBreakBefore w:val="0"/>
        <w:numPr>
          <w:ilvl w:val="0"/>
          <w:numId w:val="0"/>
        </w:numPr>
        <w:wordWrap w:val="0"/>
        <w:autoSpaceDE/>
        <w:autoSpaceDN/>
        <w:bidi w:val="0"/>
        <w:snapToGrid/>
        <w:spacing w:before="0" w:after="0" w:line="240" w:lineRule="auto"/>
        <w:ind w:left="0" w:right="0" w:firstLine="600"/>
        <w:jc w:val="left"/>
        <w:rPr>
          <w:rFonts w:hint="default" w:ascii="仿宋_GB2312" w:hAnsi="仿宋_GB2312" w:eastAsia="仿宋_GB2312"/>
          <w:color w:val="auto"/>
          <w:spacing w:val="0"/>
          <w:position w:val="0"/>
          <w:sz w:val="30"/>
          <w:szCs w:val="30"/>
        </w:rPr>
      </w:pPr>
      <w:r>
        <w:rPr>
          <w:rFonts w:hint="default" w:ascii="仿宋_GB2312" w:hAnsi="仿宋_GB2312" w:eastAsia="仿宋_GB2312"/>
          <w:color w:val="auto"/>
          <w:spacing w:val="0"/>
          <w:position w:val="0"/>
          <w:sz w:val="30"/>
          <w:szCs w:val="30"/>
        </w:rPr>
        <w:t>我单位为独立核算财政全额拨款参公单位。内设7个股室，（办公室，财务股，统征股，退管股，机保股，工伤生育股，稽核股）。</w:t>
      </w:r>
    </w:p>
    <w:p>
      <w:pPr>
        <w:pageBreakBefore w:val="0"/>
        <w:numPr>
          <w:ilvl w:val="0"/>
          <w:numId w:val="0"/>
        </w:numPr>
        <w:wordWrap w:val="0"/>
        <w:autoSpaceDE/>
        <w:autoSpaceDN/>
        <w:bidi w:val="0"/>
        <w:snapToGrid/>
        <w:spacing w:before="0" w:after="0" w:line="240" w:lineRule="auto"/>
        <w:ind w:left="0" w:right="0" w:firstLine="600"/>
        <w:jc w:val="left"/>
        <w:rPr>
          <w:rFonts w:hint="default" w:ascii="仿宋_GB2312" w:hAnsi="仿宋_GB2312" w:eastAsia="仿宋_GB2312"/>
          <w:color w:val="auto"/>
          <w:spacing w:val="0"/>
          <w:position w:val="0"/>
          <w:sz w:val="30"/>
          <w:szCs w:val="30"/>
        </w:rPr>
      </w:pPr>
      <w:r>
        <w:rPr>
          <w:rFonts w:hint="default" w:ascii="仿宋_GB2312" w:hAnsi="仿宋_GB2312" w:eastAsia="仿宋_GB2312"/>
          <w:color w:val="auto"/>
          <w:spacing w:val="0"/>
          <w:position w:val="0"/>
          <w:sz w:val="30"/>
          <w:szCs w:val="30"/>
        </w:rPr>
        <w:t>人员情况，截止2018年底我单位共有编制19个，其中公务员（参公）编制18个，行政工勤编制1个，在职19人，其中参公18人，行政工勤1人。2018年新招录3名参公人员。</w:t>
      </w:r>
    </w:p>
    <w:p>
      <w:pPr>
        <w:pageBreakBefore w:val="0"/>
        <w:numPr>
          <w:ilvl w:val="0"/>
          <w:numId w:val="0"/>
        </w:numPr>
        <w:wordWrap w:val="0"/>
        <w:autoSpaceDE/>
        <w:autoSpaceDN/>
        <w:bidi w:val="0"/>
        <w:snapToGrid/>
        <w:spacing w:before="0" w:after="0" w:line="240" w:lineRule="auto"/>
        <w:ind w:left="0" w:right="0" w:firstLine="0"/>
        <w:jc w:val="left"/>
        <w:rPr>
          <w:rFonts w:hint="default" w:ascii="仿宋" w:hAnsi="仿宋" w:eastAsia="仿宋"/>
          <w:color w:val="000000"/>
          <w:position w:val="0"/>
          <w:sz w:val="32"/>
          <w:szCs w:val="32"/>
        </w:rPr>
      </w:pPr>
    </w:p>
    <w:p>
      <w:pPr>
        <w:pStyle w:val="2"/>
        <w:numPr>
          <w:ilvl w:val="0"/>
          <w:numId w:val="0"/>
        </w:numPr>
        <w:autoSpaceDE/>
        <w:autoSpaceDN/>
        <w:spacing w:before="340" w:after="330" w:line="578" w:lineRule="auto"/>
        <w:ind w:left="0" w:right="440" w:firstLine="0"/>
        <w:jc w:val="right"/>
        <w:outlineLvl w:val="0"/>
        <w:rPr>
          <w:rStyle w:val="49"/>
          <w:rFonts w:hint="default" w:ascii="黑体" w:hAnsi="黑体" w:eastAsia="黑体"/>
          <w:b w:val="0"/>
          <w:color w:val="auto"/>
          <w:position w:val="0"/>
          <w:sz w:val="44"/>
          <w:szCs w:val="44"/>
        </w:rPr>
      </w:pPr>
      <w:bookmarkStart w:id="64" w:name="_Toc31308_WPSOffice_Level1"/>
      <w:bookmarkStart w:id="65" w:name="_Toc15377204"/>
      <w:bookmarkStart w:id="66" w:name="_Toc15396602"/>
      <w:r>
        <w:rPr>
          <w:rFonts w:hint="default" w:ascii="黑体" w:hAnsi="黑体" w:eastAsia="黑体"/>
          <w:b w:val="0"/>
          <w:color w:val="000000"/>
          <w:position w:val="0"/>
          <w:sz w:val="44"/>
          <w:szCs w:val="44"/>
        </w:rPr>
        <w:t>第二部分</w:t>
      </w:r>
      <w:r>
        <w:rPr>
          <w:rFonts w:hint="default" w:ascii="黑体" w:hAnsi="黑体" w:eastAsia="黑体"/>
          <w:b/>
          <w:color w:val="000000"/>
          <w:position w:val="0"/>
          <w:sz w:val="44"/>
          <w:szCs w:val="44"/>
        </w:rPr>
        <w:t xml:space="preserve"> </w:t>
      </w:r>
      <w:r>
        <w:rPr>
          <w:rStyle w:val="49"/>
          <w:rFonts w:hint="default" w:ascii="黑体" w:hAnsi="黑体" w:eastAsia="黑体"/>
          <w:b w:val="0"/>
          <w:color w:val="auto"/>
          <w:position w:val="0"/>
          <w:sz w:val="44"/>
          <w:szCs w:val="44"/>
        </w:rPr>
        <w:t>2018年度部门决算情况说明</w:t>
      </w:r>
      <w:bookmarkEnd w:id="64"/>
      <w:bookmarkEnd w:id="65"/>
      <w:bookmarkEnd w:id="66"/>
    </w:p>
    <w:p>
      <w:pPr>
        <w:numPr>
          <w:ilvl w:val="0"/>
          <w:numId w:val="0"/>
        </w:numPr>
        <w:autoSpaceDE/>
        <w:autoSpaceDN/>
        <w:spacing w:before="0" w:after="160" w:line="240" w:lineRule="auto"/>
        <w:ind w:left="0" w:right="0" w:firstLine="0"/>
        <w:jc w:val="both"/>
        <w:rPr>
          <w:rFonts w:hint="default" w:ascii="Times New Roman" w:hAnsi="Times New Roman" w:eastAsia="Times New Roman"/>
          <w:color w:val="auto"/>
          <w:position w:val="0"/>
          <w:sz w:val="21"/>
          <w:szCs w:val="21"/>
        </w:rPr>
      </w:pPr>
    </w:p>
    <w:p>
      <w:pPr>
        <w:pStyle w:val="40"/>
        <w:numPr>
          <w:ilvl w:val="0"/>
          <w:numId w:val="1"/>
        </w:numPr>
        <w:autoSpaceDE/>
        <w:autoSpaceDN/>
        <w:bidi w:val="0"/>
        <w:spacing w:before="0" w:after="160" w:line="600" w:lineRule="exact"/>
        <w:ind w:left="1360" w:right="0" w:hanging="720"/>
        <w:jc w:val="both"/>
        <w:outlineLvl w:val="1"/>
        <w:rPr>
          <w:rStyle w:val="50"/>
          <w:rFonts w:hint="default" w:ascii="黑体" w:hAnsi="黑体" w:eastAsia="黑体"/>
          <w:b w:val="0"/>
          <w:color w:val="auto"/>
          <w:position w:val="0"/>
          <w:sz w:val="32"/>
          <w:szCs w:val="32"/>
        </w:rPr>
      </w:pPr>
      <w:bookmarkStart w:id="67" w:name="_Toc15396603"/>
      <w:bookmarkStart w:id="68" w:name="_Toc25146_WPSOffice_Level2"/>
      <w:bookmarkStart w:id="69" w:name="_Toc15377205"/>
      <w:r>
        <w:rPr>
          <w:rFonts w:hint="default" w:ascii="黑体" w:hAnsi="黑体" w:eastAsia="黑体"/>
          <w:color w:val="000000"/>
          <w:position w:val="0"/>
          <w:sz w:val="32"/>
          <w:szCs w:val="32"/>
        </w:rPr>
        <w:t>收</w:t>
      </w:r>
      <w:r>
        <w:rPr>
          <w:rStyle w:val="50"/>
          <w:rFonts w:hint="default" w:ascii="黑体" w:hAnsi="黑体" w:eastAsia="黑体"/>
          <w:b w:val="0"/>
          <w:color w:val="auto"/>
          <w:position w:val="0"/>
          <w:sz w:val="32"/>
          <w:szCs w:val="32"/>
        </w:rPr>
        <w:t>入支出决算总体情况说明</w:t>
      </w:r>
      <w:bookmarkEnd w:id="67"/>
      <w:bookmarkEnd w:id="68"/>
      <w:bookmarkEnd w:id="69"/>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r>
        <w:drawing>
          <wp:anchor distT="0" distB="0" distL="0" distR="0" simplePos="0" relativeHeight="251659264" behindDoc="0" locked="0" layoutInCell="1" allowOverlap="1">
            <wp:simplePos x="0" y="0"/>
            <wp:positionH relativeFrom="column">
              <wp:posOffset>364490</wp:posOffset>
            </wp:positionH>
            <wp:positionV relativeFrom="paragraph">
              <wp:posOffset>2491740</wp:posOffset>
            </wp:positionV>
            <wp:extent cx="4267200" cy="2838450"/>
            <wp:effectExtent l="4445" t="4445" r="14605" b="14605"/>
            <wp:wrapSquare wrapText="bothSides"/>
            <wp:docPr id="1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default" w:ascii="仿宋" w:hAnsi="仿宋" w:eastAsia="仿宋"/>
          <w:color w:val="000000"/>
          <w:position w:val="0"/>
          <w:sz w:val="32"/>
          <w:szCs w:val="32"/>
        </w:rPr>
        <w:t>2018年度收入总计304.42万元。与2017年比，收入增加69.16万元，增长率为29.4%。主要变动原因人员增加，经费增加。2018年我单位支出总计306.86万元，与2017年相比，支出总计增加70.06万元，增长率为29.3%。主要变动原因是2018年红原县社保局人员增加，人员经费标准提高，经费支出增加。</w:t>
      </w:r>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p>
    <w:p>
      <w:pPr>
        <w:numPr>
          <w:ilvl w:val="0"/>
          <w:numId w:val="0"/>
        </w:numPr>
        <w:autoSpaceDE/>
        <w:autoSpaceDN/>
        <w:spacing w:before="0" w:after="160" w:line="600" w:lineRule="exact"/>
        <w:ind w:left="0" w:right="0" w:firstLine="640"/>
        <w:jc w:val="left"/>
        <w:rPr>
          <w:rFonts w:hint="default" w:ascii="仿宋_GB2312" w:hAnsi="仿宋_GB2312" w:eastAsia="仿宋_GB2312"/>
          <w:color w:val="000000"/>
          <w:position w:val="0"/>
          <w:sz w:val="32"/>
          <w:szCs w:val="32"/>
        </w:rPr>
      </w:pPr>
      <w:r>
        <w:rPr>
          <w:rFonts w:hint="default" w:ascii="仿宋" w:hAnsi="仿宋" w:eastAsia="仿宋"/>
          <w:color w:val="000000" w:themeColor="text1"/>
          <w:position w:val="0"/>
          <w:sz w:val="32"/>
          <w:szCs w:val="32"/>
          <w14:textFill>
            <w14:solidFill>
              <w14:schemeClr w14:val="tx1"/>
            </w14:solidFill>
          </w14:textFill>
        </w:rPr>
        <w:t>（图1：收、支决算总计变动情况图）（柱状图）</w:t>
      </w:r>
      <w:bookmarkStart w:id="70" w:name="环境规划"/>
      <w:bookmarkEnd w:id="70"/>
    </w:p>
    <w:p>
      <w:pPr>
        <w:pStyle w:val="40"/>
        <w:numPr>
          <w:ilvl w:val="0"/>
          <w:numId w:val="1"/>
        </w:numPr>
        <w:autoSpaceDE/>
        <w:autoSpaceDN/>
        <w:bidi w:val="0"/>
        <w:spacing w:before="0" w:after="160" w:line="600" w:lineRule="exact"/>
        <w:ind w:left="1360" w:right="0" w:hanging="720"/>
        <w:jc w:val="both"/>
        <w:outlineLvl w:val="1"/>
        <w:rPr>
          <w:rStyle w:val="50"/>
          <w:rFonts w:hint="default" w:ascii="黑体" w:hAnsi="黑体" w:eastAsia="黑体"/>
          <w:b w:val="0"/>
          <w:color w:val="auto"/>
          <w:position w:val="0"/>
          <w:sz w:val="32"/>
          <w:szCs w:val="32"/>
        </w:rPr>
      </w:pPr>
      <w:bookmarkStart w:id="71" w:name="_Toc25494_WPSOffice_Level2"/>
      <w:bookmarkStart w:id="72" w:name="_Toc15396604"/>
      <w:bookmarkStart w:id="73" w:name="_Toc15377206"/>
      <w:r>
        <w:rPr>
          <w:rFonts w:hint="default" w:ascii="黑体" w:hAnsi="黑体" w:eastAsia="黑体"/>
          <w:color w:val="000000"/>
          <w:position w:val="0"/>
          <w:sz w:val="32"/>
          <w:szCs w:val="32"/>
        </w:rPr>
        <w:t>收</w:t>
      </w:r>
      <w:r>
        <w:rPr>
          <w:rStyle w:val="50"/>
          <w:rFonts w:hint="default" w:ascii="黑体" w:hAnsi="黑体" w:eastAsia="黑体"/>
          <w:b w:val="0"/>
          <w:color w:val="auto"/>
          <w:position w:val="0"/>
          <w:sz w:val="32"/>
          <w:szCs w:val="32"/>
        </w:rPr>
        <w:t>入决算情况说明</w:t>
      </w:r>
      <w:bookmarkEnd w:id="71"/>
      <w:bookmarkEnd w:id="72"/>
      <w:bookmarkEnd w:id="73"/>
    </w:p>
    <w:p>
      <w:pPr>
        <w:numPr>
          <w:ilvl w:val="0"/>
          <w:numId w:val="0"/>
        </w:numPr>
        <w:autoSpaceDE/>
        <w:autoSpaceDN/>
        <w:spacing w:before="0" w:after="160" w:line="600" w:lineRule="exact"/>
        <w:ind w:left="0" w:right="0" w:firstLine="640"/>
        <w:jc w:val="both"/>
        <w:outlineLvl w:val="1"/>
        <w:rPr>
          <w:rFonts w:hint="default" w:ascii="仿宋" w:hAnsi="仿宋" w:eastAsia="仿宋"/>
          <w:color w:val="000000"/>
          <w:position w:val="0"/>
          <w:sz w:val="32"/>
          <w:szCs w:val="32"/>
        </w:rPr>
      </w:pPr>
      <w:r>
        <w:drawing>
          <wp:anchor distT="0" distB="0" distL="0" distR="0" simplePos="0" relativeHeight="251659264" behindDoc="1" locked="0" layoutInCell="1" allowOverlap="1">
            <wp:simplePos x="0" y="0"/>
            <wp:positionH relativeFrom="column">
              <wp:posOffset>106680</wp:posOffset>
            </wp:positionH>
            <wp:positionV relativeFrom="paragraph">
              <wp:posOffset>1210310</wp:posOffset>
            </wp:positionV>
            <wp:extent cx="4610100" cy="2581275"/>
            <wp:effectExtent l="4445" t="4445" r="14605" b="5080"/>
            <wp:wrapTight wrapText="bothSides">
              <wp:wrapPolygon>
                <wp:start x="-21" y="-37"/>
                <wp:lineTo x="-21" y="21483"/>
                <wp:lineTo x="21579" y="21483"/>
                <wp:lineTo x="21579" y="-37"/>
                <wp:lineTo x="-21" y="-37"/>
              </wp:wrapPolygon>
            </wp:wrapTight>
            <wp:docPr id="1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default" w:ascii="仿宋" w:hAnsi="仿宋" w:eastAsia="仿宋"/>
          <w:color w:val="000000"/>
          <w:position w:val="0"/>
          <w:sz w:val="32"/>
          <w:szCs w:val="32"/>
        </w:rPr>
        <w:t>2018年本年收入合计304.42万元，其中：一般公共预算财政拨款收入304.42万元，占100%。年初收入结转结余8.5万元。</w:t>
      </w:r>
    </w:p>
    <w:p>
      <w:pPr>
        <w:numPr>
          <w:ilvl w:val="0"/>
          <w:numId w:val="0"/>
        </w:numPr>
        <w:autoSpaceDE/>
        <w:autoSpaceDN/>
        <w:spacing w:before="0" w:after="160" w:line="600" w:lineRule="exact"/>
        <w:ind w:left="0" w:right="0" w:firstLine="640"/>
        <w:jc w:val="both"/>
        <w:rPr>
          <w:rFonts w:hint="default" w:ascii="仿宋" w:hAnsi="仿宋" w:eastAsia="仿宋"/>
          <w:color w:val="000000" w:themeColor="text1"/>
          <w:position w:val="0"/>
          <w:sz w:val="32"/>
          <w:szCs w:val="32"/>
          <w14:textFill>
            <w14:solidFill>
              <w14:schemeClr w14:val="tx1"/>
            </w14:solidFill>
          </w14:textFill>
        </w:rPr>
      </w:pPr>
    </w:p>
    <w:p>
      <w:pPr>
        <w:numPr>
          <w:ilvl w:val="0"/>
          <w:numId w:val="0"/>
        </w:numPr>
        <w:autoSpaceDE/>
        <w:autoSpaceDN/>
        <w:spacing w:before="0" w:after="160" w:line="600" w:lineRule="exact"/>
        <w:ind w:left="0" w:right="0" w:firstLine="640"/>
        <w:jc w:val="both"/>
        <w:rPr>
          <w:rFonts w:hint="default" w:ascii="仿宋" w:hAnsi="仿宋" w:eastAsia="仿宋"/>
          <w:color w:val="000000" w:themeColor="text1"/>
          <w:position w:val="0"/>
          <w:sz w:val="32"/>
          <w:szCs w:val="32"/>
          <w14:textFill>
            <w14:solidFill>
              <w14:schemeClr w14:val="tx1"/>
            </w14:solidFill>
          </w14:textFill>
        </w:rPr>
      </w:pPr>
      <w:r>
        <w:rPr>
          <w:rFonts w:hint="default" w:ascii="仿宋" w:hAnsi="仿宋" w:eastAsia="仿宋"/>
          <w:color w:val="000000" w:themeColor="text1"/>
          <w:position w:val="0"/>
          <w:sz w:val="32"/>
          <w:szCs w:val="32"/>
          <w14:textFill>
            <w14:solidFill>
              <w14:schemeClr w14:val="tx1"/>
            </w14:solidFill>
          </w14:textFill>
        </w:rPr>
        <w:t>（图2：收入决算结构图）（饼状图）</w:t>
      </w:r>
    </w:p>
    <w:p>
      <w:pPr>
        <w:numPr>
          <w:ilvl w:val="0"/>
          <w:numId w:val="0"/>
        </w:numPr>
        <w:autoSpaceDE/>
        <w:autoSpaceDN/>
        <w:spacing w:before="0" w:after="0" w:line="240" w:lineRule="auto"/>
        <w:ind w:left="0" w:right="0" w:firstLine="640"/>
        <w:jc w:val="both"/>
        <w:rPr>
          <w:rFonts w:hint="default" w:ascii="Times New Roman" w:hAnsi="Times New Roman" w:eastAsia="Times New Roman"/>
          <w:smallCaps w:val="0"/>
          <w:color w:val="auto"/>
          <w:spacing w:val="0"/>
          <w:position w:val="0"/>
          <w:sz w:val="21"/>
          <w:szCs w:val="21"/>
          <w:vertAlign w:val="baseline"/>
        </w:rPr>
      </w:pPr>
    </w:p>
    <w:p>
      <w:pPr>
        <w:pStyle w:val="40"/>
        <w:numPr>
          <w:ilvl w:val="0"/>
          <w:numId w:val="1"/>
        </w:numPr>
        <w:autoSpaceDE/>
        <w:autoSpaceDN/>
        <w:bidi w:val="0"/>
        <w:spacing w:before="0" w:after="160" w:line="600" w:lineRule="exact"/>
        <w:ind w:left="1360" w:right="0" w:hanging="720"/>
        <w:jc w:val="both"/>
        <w:outlineLvl w:val="1"/>
        <w:rPr>
          <w:rStyle w:val="50"/>
          <w:rFonts w:hint="default" w:ascii="黑体" w:hAnsi="黑体" w:eastAsia="黑体"/>
          <w:b w:val="0"/>
          <w:color w:val="auto"/>
          <w:position w:val="0"/>
          <w:sz w:val="32"/>
          <w:szCs w:val="32"/>
        </w:rPr>
      </w:pPr>
      <w:bookmarkStart w:id="74" w:name="_Toc15396605"/>
      <w:bookmarkStart w:id="75" w:name="_Toc15377207"/>
      <w:bookmarkStart w:id="76" w:name="_Toc8503_WPSOffice_Level2"/>
      <w:r>
        <w:rPr>
          <w:rFonts w:hint="default" w:ascii="黑体" w:hAnsi="黑体" w:eastAsia="黑体"/>
          <w:color w:val="000000"/>
          <w:position w:val="0"/>
          <w:sz w:val="32"/>
          <w:szCs w:val="32"/>
        </w:rPr>
        <w:t>支</w:t>
      </w:r>
      <w:r>
        <w:rPr>
          <w:rStyle w:val="50"/>
          <w:rFonts w:hint="default" w:ascii="黑体" w:hAnsi="黑体" w:eastAsia="黑体"/>
          <w:b w:val="0"/>
          <w:color w:val="auto"/>
          <w:position w:val="0"/>
          <w:sz w:val="32"/>
          <w:szCs w:val="32"/>
        </w:rPr>
        <w:t>出决算情况说明</w:t>
      </w:r>
      <w:bookmarkEnd w:id="74"/>
      <w:bookmarkEnd w:id="75"/>
      <w:bookmarkEnd w:id="76"/>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r>
        <w:rPr>
          <w:rFonts w:hint="default" w:ascii="仿宋" w:hAnsi="仿宋" w:eastAsia="仿宋"/>
          <w:color w:val="000000"/>
          <w:position w:val="0"/>
          <w:sz w:val="32"/>
          <w:szCs w:val="32"/>
        </w:rPr>
        <w:t>2018年本年支出合计306.86万元，其中：基本支出306.86万元，占100%；2018年年末支出结转和结余6.07万元。</w:t>
      </w:r>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shd w:val="pct10" w:color="000000" w:fill="FFFFFF"/>
        </w:rPr>
      </w:pPr>
      <w:r>
        <w:drawing>
          <wp:anchor distT="0" distB="0" distL="0" distR="0" simplePos="0" relativeHeight="251659264" behindDoc="0" locked="0" layoutInCell="1" allowOverlap="1">
            <wp:simplePos x="0" y="0"/>
            <wp:positionH relativeFrom="column">
              <wp:posOffset>-123190</wp:posOffset>
            </wp:positionH>
            <wp:positionV relativeFrom="paragraph">
              <wp:posOffset>48260</wp:posOffset>
            </wp:positionV>
            <wp:extent cx="5486400" cy="3200400"/>
            <wp:effectExtent l="15875" t="15875" r="15875" b="15875"/>
            <wp:wrapSquare wrapText="bothSides"/>
            <wp:docPr id="1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shd w:val="pct10" w:color="000000" w:fill="FFFFFF"/>
        </w:rPr>
      </w:pPr>
      <w:r>
        <w:rPr>
          <w:rFonts w:hint="default" w:ascii="仿宋" w:hAnsi="仿宋" w:eastAsia="仿宋"/>
          <w:color w:val="000000" w:themeColor="text1"/>
          <w:position w:val="0"/>
          <w:sz w:val="32"/>
          <w:szCs w:val="32"/>
          <w14:textFill>
            <w14:solidFill>
              <w14:schemeClr w14:val="tx1"/>
            </w14:solidFill>
          </w14:textFill>
        </w:rPr>
        <w:t>（图3：支出决算结构图）（饼状图）</w:t>
      </w:r>
    </w:p>
    <w:p>
      <w:pPr>
        <w:numPr>
          <w:ilvl w:val="0"/>
          <w:numId w:val="0"/>
        </w:numPr>
        <w:autoSpaceDE/>
        <w:autoSpaceDN/>
        <w:spacing w:before="0" w:after="160" w:line="600" w:lineRule="exact"/>
        <w:ind w:left="0" w:right="0" w:firstLine="0"/>
        <w:jc w:val="both"/>
        <w:outlineLvl w:val="1"/>
        <w:rPr>
          <w:rStyle w:val="50"/>
          <w:rFonts w:hint="default" w:ascii="黑体" w:hAnsi="黑体" w:eastAsia="黑体"/>
          <w:b w:val="0"/>
          <w:color w:val="auto"/>
          <w:position w:val="0"/>
          <w:sz w:val="32"/>
          <w:szCs w:val="32"/>
        </w:rPr>
      </w:pPr>
      <w:bookmarkStart w:id="77" w:name="_Toc15377208"/>
    </w:p>
    <w:p>
      <w:pPr>
        <w:numPr>
          <w:ilvl w:val="0"/>
          <w:numId w:val="0"/>
        </w:numPr>
        <w:autoSpaceDE/>
        <w:autoSpaceDN/>
        <w:spacing w:before="0" w:after="160" w:line="600" w:lineRule="exact"/>
        <w:ind w:left="0" w:right="0" w:firstLine="0"/>
        <w:jc w:val="both"/>
        <w:outlineLvl w:val="1"/>
        <w:rPr>
          <w:rStyle w:val="50"/>
          <w:rFonts w:hint="default" w:ascii="黑体" w:hAnsi="黑体" w:eastAsia="黑体"/>
          <w:b w:val="0"/>
          <w:color w:val="auto"/>
          <w:position w:val="0"/>
          <w:sz w:val="32"/>
          <w:szCs w:val="32"/>
        </w:rPr>
      </w:pPr>
    </w:p>
    <w:p>
      <w:pPr>
        <w:numPr>
          <w:ilvl w:val="0"/>
          <w:numId w:val="0"/>
        </w:numPr>
        <w:autoSpaceDE/>
        <w:autoSpaceDN/>
        <w:spacing w:before="0" w:after="160" w:line="600" w:lineRule="exact"/>
        <w:ind w:left="0" w:right="0" w:firstLine="0"/>
        <w:jc w:val="both"/>
        <w:outlineLvl w:val="1"/>
        <w:rPr>
          <w:rStyle w:val="50"/>
          <w:rFonts w:hint="default" w:ascii="黑体" w:hAnsi="黑体" w:eastAsia="黑体"/>
          <w:b w:val="0"/>
          <w:color w:val="auto"/>
          <w:position w:val="0"/>
          <w:sz w:val="32"/>
          <w:szCs w:val="32"/>
        </w:rPr>
      </w:pPr>
      <w:r>
        <w:rPr>
          <w:rStyle w:val="50"/>
          <w:rFonts w:hint="default" w:ascii="黑体" w:hAnsi="黑体" w:eastAsia="黑体"/>
          <w:b w:val="0"/>
          <w:color w:val="auto"/>
          <w:position w:val="0"/>
          <w:sz w:val="32"/>
          <w:szCs w:val="32"/>
        </w:rPr>
        <w:t xml:space="preserve">    </w:t>
      </w:r>
      <w:bookmarkStart w:id="78" w:name="_Toc24165_WPSOffice_Level2"/>
      <w:bookmarkStart w:id="79" w:name="_Toc15396606"/>
      <w:r>
        <w:rPr>
          <w:rFonts w:hint="default" w:ascii="黑体" w:hAnsi="黑体" w:eastAsia="黑体"/>
          <w:color w:val="000000"/>
          <w:position w:val="0"/>
          <w:sz w:val="32"/>
          <w:szCs w:val="32"/>
        </w:rPr>
        <w:t>四、财</w:t>
      </w:r>
      <w:r>
        <w:rPr>
          <w:rStyle w:val="50"/>
          <w:rFonts w:hint="default" w:ascii="黑体" w:hAnsi="黑体" w:eastAsia="黑体"/>
          <w:b w:val="0"/>
          <w:color w:val="auto"/>
          <w:position w:val="0"/>
          <w:sz w:val="32"/>
          <w:szCs w:val="32"/>
        </w:rPr>
        <w:t>政拨款收入支出决算总体情况说明</w:t>
      </w:r>
      <w:bookmarkEnd w:id="77"/>
      <w:bookmarkEnd w:id="78"/>
      <w:bookmarkEnd w:id="79"/>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r>
        <w:rPr>
          <w:rFonts w:hint="default" w:ascii="仿宋" w:hAnsi="仿宋" w:eastAsia="仿宋"/>
          <w:color w:val="000000"/>
          <w:position w:val="0"/>
          <w:sz w:val="32"/>
          <w:szCs w:val="32"/>
        </w:rPr>
        <w:t>2018年度收入总计304.42万元。与2017年比，收入增加69.16万元，增长率为29.4%。主要变动原因人员增加，经费增加。2018年我单位支出总计306.86万元，与2017年相比，支出总计增加70.06万元，增长率为29.3%。主要变动原因是2018年红原县社保局人员增加，人员经费标高，经费支出增加。</w:t>
      </w:r>
    </w:p>
    <w:p>
      <w:pPr>
        <w:numPr>
          <w:ilvl w:val="0"/>
          <w:numId w:val="0"/>
        </w:numPr>
        <w:autoSpaceDE/>
        <w:autoSpaceDN/>
        <w:spacing w:before="0" w:after="160" w:line="600" w:lineRule="exact"/>
        <w:ind w:left="0" w:right="0" w:firstLine="640"/>
        <w:jc w:val="both"/>
        <w:rPr>
          <w:rFonts w:hint="default" w:ascii="仿宋" w:hAnsi="仿宋" w:eastAsia="仿宋"/>
          <w:color w:val="000000" w:themeColor="text1"/>
          <w:position w:val="0"/>
          <w:sz w:val="32"/>
          <w:szCs w:val="32"/>
          <w14:textFill>
            <w14:solidFill>
              <w14:schemeClr w14:val="tx1"/>
            </w14:solidFill>
          </w14:textFill>
        </w:rPr>
      </w:pPr>
      <w:r>
        <w:drawing>
          <wp:anchor distT="0" distB="0" distL="0" distR="0" simplePos="0" relativeHeight="251659264" behindDoc="0" locked="0" layoutInCell="1" allowOverlap="1">
            <wp:simplePos x="0" y="0"/>
            <wp:positionH relativeFrom="column">
              <wp:posOffset>29210</wp:posOffset>
            </wp:positionH>
            <wp:positionV relativeFrom="paragraph">
              <wp:posOffset>135890</wp:posOffset>
            </wp:positionV>
            <wp:extent cx="5486400" cy="3200400"/>
            <wp:effectExtent l="15875" t="15875" r="15875" b="15875"/>
            <wp:wrapSquare wrapText="bothSides"/>
            <wp:docPr id="1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default" w:ascii="仿宋" w:hAnsi="仿宋" w:eastAsia="仿宋"/>
          <w:color w:val="000000" w:themeColor="text1"/>
          <w:position w:val="0"/>
          <w:sz w:val="32"/>
          <w:szCs w:val="32"/>
          <w14:textFill>
            <w14:solidFill>
              <w14:schemeClr w14:val="tx1"/>
            </w14:solidFill>
          </w14:textFill>
        </w:rPr>
        <w:t>（4：财政拨款收、支决算总计变动情况）（柱状图）</w:t>
      </w:r>
      <w:r>
        <w:rPr>
          <w:sz w:val="20"/>
        </w:rPr>
        <mc:AlternateContent>
          <mc:Choice Requires="wps">
            <w:drawing>
              <wp:anchor distT="0" distB="0" distL="0" distR="0" simplePos="0" relativeHeight="251659264" behindDoc="0" locked="0" layoutInCell="1" allowOverlap="1">
                <wp:simplePos x="0" y="0"/>
                <wp:positionH relativeFrom="column">
                  <wp:posOffset>29210</wp:posOffset>
                </wp:positionH>
                <wp:positionV relativeFrom="paragraph">
                  <wp:posOffset>3371215</wp:posOffset>
                </wp:positionV>
                <wp:extent cx="5486400" cy="349250"/>
                <wp:effectExtent l="0" t="0" r="0" b="0"/>
                <wp:wrapSquare wrapText="bothSides"/>
                <wp:docPr id="44" name="文本框 11"/>
                <wp:cNvGraphicFramePr/>
                <a:graphic xmlns:a="http://schemas.openxmlformats.org/drawingml/2006/main">
                  <a:graphicData uri="http://schemas.microsoft.com/office/word/2010/wordprocessingShape">
                    <wps:wsp>
                      <wps:cNvSpPr txBox="1"/>
                      <wps:spPr>
                        <a:xfrm>
                          <a:off x="0" y="0"/>
                          <a:ext cx="5487035" cy="349885"/>
                        </a:xfrm>
                        <a:prstGeom prst="rect">
                          <a:avLst/>
                        </a:prstGeom>
                        <a:solidFill>
                          <a:srgbClr val="FFFFFF"/>
                        </a:solidFill>
                        <a:ln w="0" cap="flat"/>
                      </wps:spPr>
                      <wps:txbx>
                        <w:txbxContent>
                          <w:p>
                            <w:pPr>
                              <w:numPr>
                                <w:ilvl w:val="0"/>
                                <w:numId w:val="0"/>
                              </w:numPr>
                              <w:wordWrap w:val="0"/>
                              <w:spacing w:before="0" w:after="0" w:line="240" w:lineRule="auto"/>
                              <w:ind w:left="0" w:firstLine="0"/>
                              <w:jc w:val="left"/>
                              <w:rPr>
                                <w:rFonts w:hint="default" w:ascii="宋体" w:hAnsi="宋体" w:eastAsia="宋体"/>
                                <w:color w:val="000000"/>
                                <w:position w:val="0"/>
                                <w:sz w:val="20"/>
                                <w:szCs w:val="20"/>
                              </w:rPr>
                            </w:pPr>
                          </w:p>
                        </w:txbxContent>
                      </wps:txbx>
                      <wps:bodyPr rot="0" spcFirstLastPara="0" vertOverflow="overflow" horzOverflow="overflow" vert="horz" wrap="square" lIns="89535" tIns="46355" rIns="89535" bIns="46355" numCol="1" spcCol="0" rtlCol="0" fromWordArt="0" anchor="t" anchorCtr="0" forceAA="0" compatLnSpc="0"/>
                    </wps:wsp>
                  </a:graphicData>
                </a:graphic>
              </wp:anchor>
            </w:drawing>
          </mc:Choice>
          <mc:Fallback>
            <w:pict>
              <v:shape id="文本框 11" o:spid="_x0000_s1026" o:spt="202" type="#_x0000_t202" style="position:absolute;left:0pt;margin-left:2.3pt;margin-top:265.45pt;height:27.5pt;width:432pt;mso-wrap-distance-bottom:0pt;mso-wrap-distance-left:0pt;mso-wrap-distance-right:0pt;mso-wrap-distance-top:0pt;z-index:251659264;mso-width-relative:page;mso-height-relative:page;" fillcolor="#FFFFFF" filled="t" stroked="f" coordsize="21600,21600" o:gfxdata="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MDsrz3YAAAA&#10;CQEAAA8AAAAAAAAAAQAgAAAAOAAAAGRycy9kb3ducmV2LnhtbFBLAQIUABQAAAAIAIdO4kDoFlGl&#10;QAIAAG4EAAAOAAAAAAAAAAEAIAAAAD0BAABkcnMvZTJvRG9jLnhtbFBLBQYAAAAABgAGAFkBAADv&#10;BQAAAAA=&#10;">
                <v:fill on="t" focussize="0,0"/>
                <v:stroke on="f" weight="0pt"/>
                <v:imagedata o:title=""/>
                <o:lock v:ext="edit" aspectratio="f"/>
                <v:textbox inset="7.05pt,3.65pt,7.05pt,3.65pt">
                  <w:txbxContent>
                    <w:p>
                      <w:pPr>
                        <w:numPr>
                          <w:ilvl w:val="0"/>
                          <w:numId w:val="0"/>
                        </w:numPr>
                        <w:wordWrap w:val="0"/>
                        <w:spacing w:before="0" w:after="0" w:line="240" w:lineRule="auto"/>
                        <w:ind w:left="0" w:firstLine="0"/>
                        <w:jc w:val="left"/>
                        <w:rPr>
                          <w:rFonts w:hint="default" w:ascii="宋体" w:hAnsi="宋体" w:eastAsia="宋体"/>
                          <w:color w:val="000000"/>
                          <w:position w:val="0"/>
                          <w:sz w:val="20"/>
                          <w:szCs w:val="20"/>
                        </w:rPr>
                      </w:pPr>
                    </w:p>
                  </w:txbxContent>
                </v:textbox>
                <w10:wrap type="square"/>
              </v:shape>
            </w:pict>
          </mc:Fallback>
        </mc:AlternateContent>
      </w:r>
    </w:p>
    <w:p>
      <w:pPr>
        <w:numPr>
          <w:ilvl w:val="0"/>
          <w:numId w:val="0"/>
        </w:numPr>
        <w:autoSpaceDE/>
        <w:autoSpaceDN/>
        <w:spacing w:before="0" w:after="160" w:line="600" w:lineRule="exact"/>
        <w:ind w:left="0" w:right="0" w:firstLine="640"/>
        <w:jc w:val="both"/>
        <w:rPr>
          <w:rFonts w:hint="default" w:ascii="仿宋" w:hAnsi="仿宋" w:eastAsia="仿宋"/>
          <w:b/>
          <w:color w:val="000000" w:themeColor="text1"/>
          <w:position w:val="0"/>
          <w:sz w:val="32"/>
          <w:szCs w:val="32"/>
          <w14:textFill>
            <w14:solidFill>
              <w14:schemeClr w14:val="tx1"/>
            </w14:solidFill>
          </w14:textFill>
        </w:rPr>
      </w:pPr>
      <w:r>
        <w:rPr>
          <w:sz w:val="20"/>
        </w:rPr>
        <mc:AlternateContent>
          <mc:Choice Requires="wps">
            <w:drawing>
              <wp:anchor distT="0" distB="0" distL="0" distR="0" simplePos="0" relativeHeight="251659264" behindDoc="0" locked="0" layoutInCell="1" allowOverlap="1">
                <wp:simplePos x="0" y="0"/>
                <wp:positionH relativeFrom="column">
                  <wp:posOffset>71755</wp:posOffset>
                </wp:positionH>
                <wp:positionV relativeFrom="paragraph">
                  <wp:posOffset>76200</wp:posOffset>
                </wp:positionV>
                <wp:extent cx="5486400" cy="204470"/>
                <wp:effectExtent l="0" t="0" r="0" b="0"/>
                <wp:wrapSquare wrapText="bothSides"/>
                <wp:docPr id="43" name="文本框 10"/>
                <wp:cNvGraphicFramePr/>
                <a:graphic xmlns:a="http://schemas.openxmlformats.org/drawingml/2006/main">
                  <a:graphicData uri="http://schemas.microsoft.com/office/word/2010/wordprocessingShape">
                    <wps:wsp>
                      <wps:cNvSpPr txBox="1"/>
                      <wps:spPr>
                        <a:xfrm>
                          <a:off x="0" y="0"/>
                          <a:ext cx="5487035" cy="205105"/>
                        </a:xfrm>
                        <a:prstGeom prst="rect">
                          <a:avLst/>
                        </a:prstGeom>
                        <a:solidFill>
                          <a:srgbClr val="FFFFFF"/>
                        </a:solidFill>
                        <a:ln w="0" cap="flat"/>
                      </wps:spPr>
                      <wps:txbx>
                        <w:txbxContent>
                          <w:p>
                            <w:pPr>
                              <w:numPr>
                                <w:ilvl w:val="0"/>
                                <w:numId w:val="0"/>
                              </w:numPr>
                              <w:wordWrap w:val="0"/>
                              <w:spacing w:before="0" w:after="0" w:line="240" w:lineRule="auto"/>
                              <w:ind w:firstLine="1000"/>
                              <w:jc w:val="left"/>
                              <w:rPr>
                                <w:rFonts w:hint="default" w:ascii="宋体" w:hAnsi="宋体" w:eastAsia="宋体"/>
                                <w:color w:val="000000"/>
                                <w:position w:val="0"/>
                                <w:sz w:val="20"/>
                                <w:szCs w:val="20"/>
                              </w:rPr>
                            </w:pPr>
                          </w:p>
                        </w:txbxContent>
                      </wps:txbx>
                      <wps:bodyPr rot="0" spcFirstLastPara="0" vertOverflow="overflow" horzOverflow="overflow" vert="horz" wrap="square" lIns="89535" tIns="46355" rIns="89535" bIns="46355" numCol="1" spcCol="0" rtlCol="0" fromWordArt="0" anchor="t" anchorCtr="0" forceAA="0" compatLnSpc="0"/>
                    </wps:wsp>
                  </a:graphicData>
                </a:graphic>
              </wp:anchor>
            </w:drawing>
          </mc:Choice>
          <mc:Fallback>
            <w:pict>
              <v:shape id="文本框 10" o:spid="_x0000_s1026" o:spt="202" type="#_x0000_t202" style="position:absolute;left:0pt;margin-left:5.65pt;margin-top:6pt;height:16.1pt;width:432pt;mso-wrap-distance-bottom:0pt;mso-wrap-distance-left:0pt;mso-wrap-distance-right:0pt;mso-wrap-distance-top:0pt;z-index:251659264;mso-width-relative:page;mso-height-relative:page;" fillcolor="#FFFFFF" filled="t" stroked="f" coordsize="21600,21600" o:gfxdata="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BYAAABkcnMvUEsBAhQAFAAAAAgAh07iQHGdK6LVAAAACAEA&#10;AA8AAAAAAAAAAQAgAAAAOAAAAGRycy9kb3ducmV2LnhtbFBLAQIUABQAAAAIAIdO4kDhVV4iQAIA&#10;AG4EAAAOAAAAAAAAAAEAIAAAADoBAABkcnMvZTJvRG9jLnhtbFBLBQYAAAAABgAGAFkBAADsBQAA&#10;AAA=&#10;">
                <v:fill on="t" focussize="0,0"/>
                <v:stroke on="f" weight="0pt"/>
                <v:imagedata o:title=""/>
                <o:lock v:ext="edit" aspectratio="f"/>
                <v:textbox inset="7.05pt,3.65pt,7.05pt,3.65pt">
                  <w:txbxContent>
                    <w:p>
                      <w:pPr>
                        <w:numPr>
                          <w:ilvl w:val="0"/>
                          <w:numId w:val="0"/>
                        </w:numPr>
                        <w:wordWrap w:val="0"/>
                        <w:spacing w:before="0" w:after="0" w:line="240" w:lineRule="auto"/>
                        <w:ind w:firstLine="1000"/>
                        <w:jc w:val="left"/>
                        <w:rPr>
                          <w:rFonts w:hint="default" w:ascii="宋体" w:hAnsi="宋体" w:eastAsia="宋体"/>
                          <w:color w:val="000000"/>
                          <w:position w:val="0"/>
                          <w:sz w:val="20"/>
                          <w:szCs w:val="20"/>
                        </w:rPr>
                      </w:pPr>
                    </w:p>
                  </w:txbxContent>
                </v:textbox>
                <w10:wrap type="square"/>
              </v:shape>
            </w:pict>
          </mc:Fallback>
        </mc:AlternateContent>
      </w:r>
    </w:p>
    <w:p>
      <w:pPr>
        <w:numPr>
          <w:ilvl w:val="0"/>
          <w:numId w:val="0"/>
        </w:numPr>
        <w:autoSpaceDE/>
        <w:autoSpaceDN/>
        <w:spacing w:before="0" w:after="160" w:line="600" w:lineRule="exact"/>
        <w:ind w:left="0" w:right="0" w:firstLine="640"/>
        <w:jc w:val="both"/>
        <w:rPr>
          <w:rFonts w:hint="default" w:ascii="仿宋" w:hAnsi="仿宋" w:eastAsia="仿宋"/>
          <w:b/>
          <w:color w:val="00B050"/>
          <w:position w:val="0"/>
          <w:sz w:val="32"/>
          <w:szCs w:val="32"/>
        </w:rPr>
      </w:pPr>
    </w:p>
    <w:p>
      <w:pPr>
        <w:numPr>
          <w:ilvl w:val="0"/>
          <w:numId w:val="0"/>
        </w:numPr>
        <w:autoSpaceDE/>
        <w:autoSpaceDN/>
        <w:spacing w:before="0" w:after="160" w:line="600" w:lineRule="exact"/>
        <w:ind w:left="0" w:right="0" w:firstLine="640"/>
        <w:jc w:val="both"/>
        <w:outlineLvl w:val="1"/>
        <w:rPr>
          <w:rStyle w:val="50"/>
          <w:rFonts w:hint="default" w:ascii="黑体" w:hAnsi="黑体" w:eastAsia="黑体"/>
          <w:b w:val="0"/>
          <w:color w:val="auto"/>
          <w:position w:val="0"/>
          <w:sz w:val="32"/>
          <w:szCs w:val="32"/>
        </w:rPr>
      </w:pPr>
      <w:bookmarkStart w:id="80" w:name="_Toc15377209"/>
      <w:bookmarkStart w:id="81" w:name="_Toc21274_WPSOffice_Level2"/>
      <w:bookmarkStart w:id="82" w:name="_Toc15396607"/>
      <w:r>
        <w:rPr>
          <w:rFonts w:hint="default" w:ascii="黑体" w:hAnsi="黑体" w:eastAsia="黑体"/>
          <w:color w:val="000000"/>
          <w:position w:val="0"/>
          <w:sz w:val="32"/>
          <w:szCs w:val="32"/>
        </w:rPr>
        <w:t>五、</w:t>
      </w:r>
      <w:r>
        <w:rPr>
          <w:rFonts w:hint="default" w:ascii="黑体" w:hAnsi="黑体" w:eastAsia="黑体"/>
          <w:b/>
          <w:color w:val="000000"/>
          <w:position w:val="0"/>
          <w:sz w:val="32"/>
          <w:szCs w:val="32"/>
        </w:rPr>
        <w:t>一</w:t>
      </w:r>
      <w:r>
        <w:rPr>
          <w:rStyle w:val="50"/>
          <w:rFonts w:hint="default" w:ascii="黑体" w:hAnsi="黑体" w:eastAsia="黑体"/>
          <w:b w:val="0"/>
          <w:color w:val="auto"/>
          <w:position w:val="0"/>
          <w:sz w:val="32"/>
          <w:szCs w:val="32"/>
        </w:rPr>
        <w:t>般公共预算财政拨款支出决算情况说明</w:t>
      </w:r>
      <w:bookmarkEnd w:id="80"/>
      <w:bookmarkEnd w:id="81"/>
      <w:bookmarkEnd w:id="82"/>
    </w:p>
    <w:p>
      <w:pPr>
        <w:numPr>
          <w:ilvl w:val="0"/>
          <w:numId w:val="0"/>
        </w:numPr>
        <w:autoSpaceDE/>
        <w:autoSpaceDN/>
        <w:spacing w:before="0" w:after="160" w:line="600" w:lineRule="exact"/>
        <w:ind w:left="0" w:right="0" w:firstLine="643"/>
        <w:jc w:val="both"/>
        <w:outlineLvl w:val="2"/>
        <w:rPr>
          <w:rFonts w:hint="default" w:ascii="仿宋" w:hAnsi="仿宋" w:eastAsia="仿宋"/>
          <w:b/>
          <w:color w:val="000000"/>
          <w:position w:val="0"/>
          <w:sz w:val="32"/>
          <w:szCs w:val="32"/>
        </w:rPr>
      </w:pPr>
      <w:bookmarkStart w:id="83" w:name="_Toc15377210"/>
      <w:r>
        <w:rPr>
          <w:rFonts w:hint="default" w:ascii="仿宋" w:hAnsi="仿宋" w:eastAsia="仿宋"/>
          <w:b/>
          <w:color w:val="000000"/>
          <w:position w:val="0"/>
          <w:sz w:val="32"/>
          <w:szCs w:val="32"/>
        </w:rPr>
        <w:t>（一）一般公共预算财政拨款支出决算总体情况</w:t>
      </w:r>
      <w:bookmarkEnd w:id="83"/>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r>
        <w:rPr>
          <w:rFonts w:hint="default" w:ascii="仿宋" w:hAnsi="仿宋" w:eastAsia="仿宋"/>
          <w:color w:val="000000"/>
          <w:position w:val="0"/>
          <w:sz w:val="32"/>
          <w:szCs w:val="32"/>
        </w:rPr>
        <w:t>2018年一般公共预算财政拨款支出306.86万元，</w:t>
      </w:r>
      <w:r>
        <w:rPr>
          <w:sz w:val="20"/>
        </w:rPr>
        <mc:AlternateContent>
          <mc:Choice Requires="wps">
            <w:drawing>
              <wp:anchor distT="0" distB="0" distL="0" distR="0" simplePos="0" relativeHeight="251659264" behindDoc="0" locked="0" layoutInCell="1" allowOverlap="1">
                <wp:simplePos x="0" y="0"/>
                <wp:positionH relativeFrom="column">
                  <wp:posOffset>83185</wp:posOffset>
                </wp:positionH>
                <wp:positionV relativeFrom="paragraph">
                  <wp:posOffset>4859655</wp:posOffset>
                </wp:positionV>
                <wp:extent cx="5489575" cy="352425"/>
                <wp:effectExtent l="0" t="0" r="0" b="0"/>
                <wp:wrapSquare wrapText="bothSides"/>
                <wp:docPr id="16" name="文本框 11"/>
                <wp:cNvGraphicFramePr/>
                <a:graphic xmlns:a="http://schemas.openxmlformats.org/drawingml/2006/main">
                  <a:graphicData uri="http://schemas.microsoft.com/office/word/2010/wordprocessingShape">
                    <wps:wsp>
                      <wps:cNvSpPr txBox="1"/>
                      <wps:spPr>
                        <a:xfrm>
                          <a:off x="0" y="0"/>
                          <a:ext cx="5490210" cy="353060"/>
                        </a:xfrm>
                        <a:prstGeom prst="rect">
                          <a:avLst/>
                        </a:prstGeom>
                        <a:solidFill>
                          <a:prstClr val="white"/>
                        </a:solidFill>
                        <a:ln w="0" cap="flat"/>
                      </wps:spPr>
                      <wps:txbx>
                        <w:txbxContent>
                          <w:p>
                            <w:pPr>
                              <w:numPr>
                                <w:ilvl w:val="0"/>
                                <w:numId w:val="0"/>
                              </w:numPr>
                              <w:wordWrap w:val="0"/>
                              <w:autoSpaceDE/>
                              <w:autoSpaceDN/>
                              <w:spacing w:before="0" w:after="0" w:line="240" w:lineRule="auto"/>
                              <w:ind w:left="0" w:right="0" w:firstLine="0"/>
                              <w:jc w:val="left"/>
                              <w:rPr>
                                <w:rFonts w:hint="default" w:ascii="宋体" w:hAnsi="宋体" w:eastAsia="宋体"/>
                                <w:color w:val="000000"/>
                                <w:position w:val="0"/>
                                <w:sz w:val="20"/>
                                <w:szCs w:val="20"/>
                              </w:rPr>
                            </w:pPr>
                          </w:p>
                        </w:txbxContent>
                      </wps:txbx>
                      <wps:bodyPr rot="0" spcFirstLastPara="0" vertOverflow="overflow" horzOverflow="overflow" vert="horz" wrap="square" lIns="89535" tIns="46355" rIns="89535" bIns="46355" numCol="1" spcCol="0" rtlCol="0" fromWordArt="0" anchor="t" anchorCtr="0" forceAA="0" compatLnSpc="0"/>
                    </wps:wsp>
                  </a:graphicData>
                </a:graphic>
              </wp:anchor>
            </w:drawing>
          </mc:Choice>
          <mc:Fallback>
            <w:pict>
              <v:shape id="文本框 11" o:spid="_x0000_s1026" o:spt="202" type="#_x0000_t202" style="position:absolute;left:0pt;margin-left:6.55pt;margin-top:382.65pt;height:27.75pt;width:432.25pt;mso-wrap-distance-bottom:0pt;mso-wrap-distance-left:0pt;mso-wrap-distance-right:0pt;mso-wrap-distance-top:0pt;z-index:251659264;mso-width-relative:page;mso-height-relative:page;" fillcolor="#FFFFFF" filled="t" stroked="f" coordsize="21600,21600" o:gfxdata="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FgAAAGRycy9QSwECFAAUAAAACACHTuJAqXnhidkA&#10;AAAKAQAADwAAAAAAAAABACAAAAA4AAAAZHJzL2Rvd25yZXYueG1sUEsBAhQAFAAAAAgAh07iQIjC&#10;rT1BAgAAbQQAAA4AAAAAAAAAAQAgAAAAPgEAAGRycy9lMm9Eb2MueG1sUEsFBgAAAAAGAAYAWQEA&#10;APEFAAAAAA==&#10;">
                <v:fill on="t" focussize="0,0"/>
                <v:stroke on="f" weight="0pt"/>
                <v:imagedata o:title=""/>
                <o:lock v:ext="edit" aspectratio="f"/>
                <v:textbox inset="7.05pt,3.65pt,7.05pt,3.65pt">
                  <w:txbxContent>
                    <w:p>
                      <w:pPr>
                        <w:numPr>
                          <w:ilvl w:val="0"/>
                          <w:numId w:val="0"/>
                        </w:numPr>
                        <w:wordWrap w:val="0"/>
                        <w:autoSpaceDE/>
                        <w:autoSpaceDN/>
                        <w:spacing w:before="0" w:after="0" w:line="240" w:lineRule="auto"/>
                        <w:ind w:left="0" w:right="0" w:firstLine="0"/>
                        <w:jc w:val="left"/>
                        <w:rPr>
                          <w:rFonts w:hint="default" w:ascii="宋体" w:hAnsi="宋体" w:eastAsia="宋体"/>
                          <w:color w:val="000000"/>
                          <w:position w:val="0"/>
                          <w:sz w:val="20"/>
                          <w:szCs w:val="20"/>
                        </w:rPr>
                      </w:pPr>
                    </w:p>
                  </w:txbxContent>
                </v:textbox>
                <w10:wrap type="square"/>
              </v:shape>
            </w:pict>
          </mc:Fallback>
        </mc:AlternateContent>
      </w:r>
      <w:r>
        <w:rPr>
          <w:rFonts w:hint="default" w:ascii="仿宋" w:hAnsi="仿宋" w:eastAsia="仿宋"/>
          <w:color w:val="000000"/>
          <w:position w:val="0"/>
          <w:sz w:val="32"/>
          <w:szCs w:val="32"/>
        </w:rPr>
        <w:t>与2017年相比，一般公共预算财政拨款增加70.06万元，增加30.6%。主要变动原因是2018年红原县社保局人员增加，人员经费标准提高，经费支出增加。</w:t>
      </w:r>
    </w:p>
    <w:p>
      <w:pPr>
        <w:numPr>
          <w:ilvl w:val="0"/>
          <w:numId w:val="0"/>
        </w:numPr>
        <w:autoSpaceDE/>
        <w:autoSpaceDN/>
        <w:spacing w:before="0" w:after="160" w:line="600" w:lineRule="exact"/>
        <w:ind w:left="0" w:right="0" w:firstLine="0"/>
        <w:jc w:val="both"/>
        <w:rPr>
          <w:rFonts w:hint="default" w:ascii="仿宋" w:hAnsi="仿宋" w:eastAsia="仿宋"/>
          <w:color w:val="000000" w:themeColor="text1"/>
          <w:position w:val="0"/>
          <w:sz w:val="32"/>
          <w:szCs w:val="32"/>
          <w14:textFill>
            <w14:solidFill>
              <w14:schemeClr w14:val="tx1"/>
            </w14:solidFill>
          </w14:textFill>
        </w:rPr>
      </w:pPr>
      <w:r>
        <w:rPr>
          <w:sz w:val="20"/>
        </w:rPr>
        <mc:AlternateContent>
          <mc:Choice Requires="wps">
            <w:drawing>
              <wp:anchor distT="0" distB="0" distL="0" distR="0" simplePos="0" relativeHeight="251659264" behindDoc="0" locked="0" layoutInCell="1" allowOverlap="1">
                <wp:simplePos x="0" y="0"/>
                <wp:positionH relativeFrom="column">
                  <wp:posOffset>72390</wp:posOffset>
                </wp:positionH>
                <wp:positionV relativeFrom="paragraph">
                  <wp:posOffset>3234690</wp:posOffset>
                </wp:positionV>
                <wp:extent cx="5489575" cy="352425"/>
                <wp:effectExtent l="0" t="0" r="0" b="0"/>
                <wp:wrapSquare wrapText="bothSides"/>
                <wp:docPr id="17" name="文本框 10"/>
                <wp:cNvGraphicFramePr/>
                <a:graphic xmlns:a="http://schemas.openxmlformats.org/drawingml/2006/main">
                  <a:graphicData uri="http://schemas.microsoft.com/office/word/2010/wordprocessingShape">
                    <wps:wsp>
                      <wps:cNvSpPr txBox="1"/>
                      <wps:spPr>
                        <a:xfrm>
                          <a:off x="0" y="0"/>
                          <a:ext cx="5490210" cy="353060"/>
                        </a:xfrm>
                        <a:prstGeom prst="rect">
                          <a:avLst/>
                        </a:prstGeom>
                        <a:solidFill>
                          <a:prstClr val="white"/>
                        </a:solidFill>
                        <a:ln w="0" cap="flat"/>
                      </wps:spPr>
                      <wps:txbx>
                        <w:txbxContent>
                          <w:p>
                            <w:pPr>
                              <w:numPr>
                                <w:ilvl w:val="0"/>
                                <w:numId w:val="0"/>
                              </w:numPr>
                              <w:wordWrap w:val="0"/>
                              <w:autoSpaceDE/>
                              <w:autoSpaceDN/>
                              <w:spacing w:before="0" w:after="0" w:line="240" w:lineRule="auto"/>
                              <w:ind w:left="0" w:right="0" w:firstLine="0"/>
                              <w:jc w:val="left"/>
                              <w:rPr>
                                <w:rFonts w:hint="default" w:ascii="宋体" w:hAnsi="宋体" w:eastAsia="宋体"/>
                                <w:color w:val="000000"/>
                                <w:position w:val="0"/>
                                <w:sz w:val="20"/>
                                <w:szCs w:val="20"/>
                              </w:rPr>
                            </w:pPr>
                            <w:r>
                              <w:rPr>
                                <w:rFonts w:hint="default" w:ascii="宋体" w:hAnsi="宋体" w:eastAsia="宋体"/>
                                <w:color w:val="000000"/>
                                <w:position w:val="0"/>
                                <w:sz w:val="20"/>
                                <w:szCs w:val="20"/>
                              </w:rPr>
                              <w:t xml:space="preserve">图表 </w:t>
                            </w:r>
                            <w:r>
                              <w:rPr>
                                <w:rFonts w:ascii="Times New Roman" w:hAnsi="Times New Roman" w:eastAsia="Times New Roman"/>
                                <w:w w:val="100"/>
                                <w:sz w:val="21"/>
                                <w:szCs w:val="21"/>
                                <w:shd w:val="clear"/>
                              </w:rPr>
                              <w:fldChar w:fldCharType="begin"/>
                            </w:r>
                            <w:r>
                              <w:rPr>
                                <w:rFonts w:ascii="Times New Roman" w:hAnsi="Times New Roman" w:eastAsia="Times New Roman"/>
                                <w:w w:val="100"/>
                                <w:sz w:val="21"/>
                                <w:szCs w:val="21"/>
                                <w:shd w:val="clear"/>
                              </w:rPr>
                              <w:instrText xml:space="preserve"> SEQ 图表 \* ARABIC</w:instrText>
                            </w:r>
                            <w:r>
                              <w:rPr>
                                <w:rFonts w:ascii="Times New Roman" w:hAnsi="Times New Roman" w:eastAsia="Times New Roman"/>
                                <w:w w:val="100"/>
                                <w:sz w:val="21"/>
                                <w:szCs w:val="21"/>
                                <w:shd w:val="clear"/>
                              </w:rPr>
                              <w:fldChar w:fldCharType="separate"/>
                            </w:r>
                            <w:r>
                              <w:rPr>
                                <w:rFonts w:hint="default" w:ascii="宋体" w:hAnsi="宋体" w:eastAsia="宋体"/>
                                <w:color w:val="000000"/>
                                <w:position w:val="0"/>
                                <w:sz w:val="20"/>
                                <w:szCs w:val="20"/>
                              </w:rPr>
                              <w:t>2</w:t>
                            </w:r>
                            <w:r>
                              <w:rPr>
                                <w:rFonts w:ascii="宋体" w:hAnsi="宋体" w:eastAsia="宋体"/>
                                <w:color w:val="000000"/>
                                <w:w w:val="100"/>
                                <w:sz w:val="20"/>
                                <w:szCs w:val="20"/>
                                <w:shd w:val="clear"/>
                              </w:rPr>
                              <w:fldChar w:fldCharType="end"/>
                            </w:r>
                          </w:p>
                        </w:txbxContent>
                      </wps:txbx>
                      <wps:bodyPr rot="0" spcFirstLastPara="0" vertOverflow="overflow" horzOverflow="overflow" vert="horz" wrap="square" lIns="89535" tIns="46355" rIns="89535" bIns="46355" numCol="1" spcCol="0" rtlCol="0" fromWordArt="0" anchor="t" anchorCtr="0" forceAA="0" compatLnSpc="0"/>
                    </wps:wsp>
                  </a:graphicData>
                </a:graphic>
              </wp:anchor>
            </w:drawing>
          </mc:Choice>
          <mc:Fallback>
            <w:pict>
              <v:shape id="文本框 10" o:spid="_x0000_s1026" o:spt="202" type="#_x0000_t202" style="position:absolute;left:0pt;margin-left:5.7pt;margin-top:254.7pt;height:27.75pt;width:432.25pt;mso-wrap-distance-bottom:0pt;mso-wrap-distance-left:0pt;mso-wrap-distance-right:0pt;mso-wrap-distance-top:0pt;z-index:251659264;mso-width-relative:page;mso-height-relative:page;" fillcolor="#FFFFFF" filled="t" stroked="f" coordsize="21600,21600" o:gfxdata="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FgAAAGRycy9QSwECFAAUAAAACACHTuJADvhEl9kA&#10;AAAKAQAADwAAAAAAAAABACAAAAA4AAAAZHJzL2Rvd25yZXYueG1sUEsBAhQAFAAAAAgAh07iQPde&#10;MyhBAgAAbQQAAA4AAAAAAAAAAQAgAAAAPgEAAGRycy9lMm9Eb2MueG1sUEsFBgAAAAAGAAYAWQEA&#10;APEFAAAAAA==&#10;">
                <v:fill on="t" focussize="0,0"/>
                <v:stroke on="f" weight="0pt"/>
                <v:imagedata o:title=""/>
                <o:lock v:ext="edit" aspectratio="f"/>
                <v:textbox inset="7.05pt,3.65pt,7.05pt,3.65pt">
                  <w:txbxContent>
                    <w:p>
                      <w:pPr>
                        <w:numPr>
                          <w:ilvl w:val="0"/>
                          <w:numId w:val="0"/>
                        </w:numPr>
                        <w:wordWrap w:val="0"/>
                        <w:autoSpaceDE/>
                        <w:autoSpaceDN/>
                        <w:spacing w:before="0" w:after="0" w:line="240" w:lineRule="auto"/>
                        <w:ind w:left="0" w:right="0" w:firstLine="0"/>
                        <w:jc w:val="left"/>
                        <w:rPr>
                          <w:rFonts w:hint="default" w:ascii="宋体" w:hAnsi="宋体" w:eastAsia="宋体"/>
                          <w:color w:val="000000"/>
                          <w:position w:val="0"/>
                          <w:sz w:val="20"/>
                          <w:szCs w:val="20"/>
                        </w:rPr>
                      </w:pPr>
                      <w:r>
                        <w:rPr>
                          <w:rFonts w:hint="default" w:ascii="宋体" w:hAnsi="宋体" w:eastAsia="宋体"/>
                          <w:color w:val="000000"/>
                          <w:position w:val="0"/>
                          <w:sz w:val="20"/>
                          <w:szCs w:val="20"/>
                        </w:rPr>
                        <w:t xml:space="preserve">图表 </w:t>
                      </w:r>
                      <w:r>
                        <w:rPr>
                          <w:rFonts w:ascii="Times New Roman" w:hAnsi="Times New Roman" w:eastAsia="Times New Roman"/>
                          <w:w w:val="100"/>
                          <w:sz w:val="21"/>
                          <w:szCs w:val="21"/>
                          <w:shd w:val="clear"/>
                        </w:rPr>
                        <w:fldChar w:fldCharType="begin"/>
                      </w:r>
                      <w:r>
                        <w:rPr>
                          <w:rFonts w:ascii="Times New Roman" w:hAnsi="Times New Roman" w:eastAsia="Times New Roman"/>
                          <w:w w:val="100"/>
                          <w:sz w:val="21"/>
                          <w:szCs w:val="21"/>
                          <w:shd w:val="clear"/>
                        </w:rPr>
                        <w:instrText xml:space="preserve"> SEQ 图表 \* ARABIC</w:instrText>
                      </w:r>
                      <w:r>
                        <w:rPr>
                          <w:rFonts w:ascii="Times New Roman" w:hAnsi="Times New Roman" w:eastAsia="Times New Roman"/>
                          <w:w w:val="100"/>
                          <w:sz w:val="21"/>
                          <w:szCs w:val="21"/>
                          <w:shd w:val="clear"/>
                        </w:rPr>
                        <w:fldChar w:fldCharType="separate"/>
                      </w:r>
                      <w:r>
                        <w:rPr>
                          <w:rFonts w:hint="default" w:ascii="宋体" w:hAnsi="宋体" w:eastAsia="宋体"/>
                          <w:color w:val="000000"/>
                          <w:position w:val="0"/>
                          <w:sz w:val="20"/>
                          <w:szCs w:val="20"/>
                        </w:rPr>
                        <w:t>2</w:t>
                      </w:r>
                      <w:r>
                        <w:rPr>
                          <w:rFonts w:ascii="宋体" w:hAnsi="宋体" w:eastAsia="宋体"/>
                          <w:color w:val="000000"/>
                          <w:w w:val="100"/>
                          <w:sz w:val="20"/>
                          <w:szCs w:val="20"/>
                          <w:shd w:val="clear"/>
                        </w:rPr>
                        <w:fldChar w:fldCharType="end"/>
                      </w:r>
                    </w:p>
                  </w:txbxContent>
                </v:textbox>
                <w10:wrap type="square"/>
              </v:shape>
            </w:pict>
          </mc:Fallback>
        </mc:AlternateContent>
      </w:r>
      <w:r>
        <w:drawing>
          <wp:anchor distT="0" distB="0" distL="0" distR="0" simplePos="0" relativeHeight="251659264" behindDoc="0" locked="0" layoutInCell="1" allowOverlap="1">
            <wp:simplePos x="0" y="0"/>
            <wp:positionH relativeFrom="column">
              <wp:posOffset>30480</wp:posOffset>
            </wp:positionH>
            <wp:positionV relativeFrom="paragraph">
              <wp:posOffset>19685</wp:posOffset>
            </wp:positionV>
            <wp:extent cx="5486400" cy="3200400"/>
            <wp:effectExtent l="15875" t="15875" r="15875" b="15875"/>
            <wp:wrapSquare wrapText="bothSides"/>
            <wp:docPr id="18"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numPr>
          <w:ilvl w:val="0"/>
          <w:numId w:val="0"/>
        </w:numPr>
        <w:autoSpaceDE/>
        <w:autoSpaceDN/>
        <w:spacing w:before="0" w:after="160" w:line="600" w:lineRule="exact"/>
        <w:ind w:left="0" w:right="0" w:firstLine="640"/>
        <w:jc w:val="both"/>
        <w:rPr>
          <w:rFonts w:hint="default" w:ascii="仿宋" w:hAnsi="仿宋" w:eastAsia="仿宋"/>
          <w:color w:val="000000" w:themeColor="text1"/>
          <w:position w:val="0"/>
          <w:sz w:val="32"/>
          <w:szCs w:val="32"/>
          <w14:textFill>
            <w14:solidFill>
              <w14:schemeClr w14:val="tx1"/>
            </w14:solidFill>
          </w14:textFill>
        </w:rPr>
      </w:pPr>
      <w:r>
        <w:rPr>
          <w:rFonts w:hint="default" w:ascii="仿宋" w:hAnsi="仿宋" w:eastAsia="仿宋"/>
          <w:color w:val="000000" w:themeColor="text1"/>
          <w:position w:val="0"/>
          <w:sz w:val="32"/>
          <w:szCs w:val="32"/>
          <w14:textFill>
            <w14:solidFill>
              <w14:schemeClr w14:val="tx1"/>
            </w14:solidFill>
          </w14:textFill>
        </w:rPr>
        <w:t>（图5：一般公共预算财政拨款支出决算变动情况）（柱状图）</w:t>
      </w:r>
    </w:p>
    <w:p>
      <w:pPr>
        <w:numPr>
          <w:ilvl w:val="0"/>
          <w:numId w:val="0"/>
        </w:numPr>
        <w:autoSpaceDE/>
        <w:autoSpaceDN/>
        <w:spacing w:before="0" w:after="160" w:line="600" w:lineRule="exact"/>
        <w:ind w:left="0" w:right="0" w:firstLine="643"/>
        <w:jc w:val="both"/>
        <w:outlineLvl w:val="2"/>
        <w:rPr>
          <w:rFonts w:hint="default" w:ascii="仿宋" w:hAnsi="仿宋" w:eastAsia="仿宋"/>
          <w:b/>
          <w:color w:val="000000"/>
          <w:position w:val="0"/>
          <w:sz w:val="32"/>
          <w:szCs w:val="32"/>
        </w:rPr>
      </w:pPr>
      <w:bookmarkStart w:id="84" w:name="_Toc15377211"/>
      <w:r>
        <w:rPr>
          <w:rFonts w:hint="default" w:ascii="仿宋" w:hAnsi="仿宋" w:eastAsia="仿宋"/>
          <w:b/>
          <w:color w:val="000000"/>
          <w:position w:val="0"/>
          <w:sz w:val="32"/>
          <w:szCs w:val="32"/>
        </w:rPr>
        <w:t>（二）一般公共预算财政拨款支出决算结构情况</w:t>
      </w:r>
      <w:bookmarkEnd w:id="84"/>
    </w:p>
    <w:p>
      <w:pPr>
        <w:numPr>
          <w:ilvl w:val="0"/>
          <w:numId w:val="0"/>
        </w:numPr>
        <w:autoSpaceDE/>
        <w:autoSpaceDN/>
        <w:spacing w:before="0" w:after="160" w:line="600" w:lineRule="exact"/>
        <w:ind w:left="0" w:right="0" w:firstLine="640"/>
        <w:jc w:val="both"/>
        <w:rPr>
          <w:rFonts w:hint="default" w:ascii="仿宋" w:hAnsi="仿宋" w:eastAsia="仿宋"/>
          <w:color w:val="000000" w:themeColor="text1"/>
          <w:position w:val="0"/>
          <w:sz w:val="32"/>
          <w:szCs w:val="32"/>
          <w14:textFill>
            <w14:solidFill>
              <w14:schemeClr w14:val="tx1"/>
            </w14:solidFill>
          </w14:textFill>
        </w:rPr>
      </w:pPr>
      <w:r>
        <w:rPr>
          <w:rFonts w:hint="default" w:ascii="仿宋" w:hAnsi="仿宋" w:eastAsia="仿宋"/>
          <w:b/>
          <w:color w:val="000000" w:themeColor="text1"/>
          <w:position w:val="0"/>
          <w:sz w:val="32"/>
          <w:szCs w:val="32"/>
          <w14:textFill>
            <w14:solidFill>
              <w14:schemeClr w14:val="tx1"/>
            </w14:solidFill>
          </w14:textFill>
        </w:rPr>
        <w:t>2018年一般公共预算财政支出306.86万元，主要用于以下方面：社会保障和就业（类）支出275.79万元，占89.9%；医疗卫生支出12.47万元，占4.1%；住房保障支出18.6万元，占6.1%；</w:t>
      </w:r>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r>
        <w:drawing>
          <wp:anchor distT="0" distB="0" distL="0" distR="0" simplePos="0" relativeHeight="251659264" behindDoc="0" locked="0" layoutInCell="1" allowOverlap="1">
            <wp:simplePos x="0" y="0"/>
            <wp:positionH relativeFrom="column">
              <wp:posOffset>-170180</wp:posOffset>
            </wp:positionH>
            <wp:positionV relativeFrom="paragraph">
              <wp:posOffset>165100</wp:posOffset>
            </wp:positionV>
            <wp:extent cx="5486400" cy="3200400"/>
            <wp:effectExtent l="15875" t="15875" r="15875" b="15875"/>
            <wp:wrapSquare wrapText="bothSides"/>
            <wp:docPr id="19"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default" w:ascii="仿宋" w:hAnsi="仿宋" w:eastAsia="仿宋"/>
          <w:color w:val="000000"/>
          <w:position w:val="0"/>
          <w:sz w:val="32"/>
          <w:szCs w:val="32"/>
        </w:rPr>
        <w:t>（图6：一般公共预算财政拨款支出决算结构）（饼状图）</w:t>
      </w:r>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p>
    <w:p>
      <w:pPr>
        <w:numPr>
          <w:ilvl w:val="0"/>
          <w:numId w:val="0"/>
        </w:numPr>
        <w:autoSpaceDE/>
        <w:autoSpaceDN/>
        <w:spacing w:before="0" w:after="160" w:line="600" w:lineRule="exact"/>
        <w:ind w:left="0" w:right="0" w:firstLine="643"/>
        <w:jc w:val="both"/>
        <w:outlineLvl w:val="2"/>
        <w:rPr>
          <w:rFonts w:hint="default" w:ascii="仿宋" w:hAnsi="仿宋" w:eastAsia="仿宋"/>
          <w:b/>
          <w:color w:val="000000"/>
          <w:position w:val="0"/>
          <w:sz w:val="32"/>
          <w:szCs w:val="32"/>
        </w:rPr>
      </w:pPr>
      <w:bookmarkStart w:id="85" w:name="_Toc15377212"/>
      <w:r>
        <w:rPr>
          <w:rFonts w:hint="default" w:ascii="仿宋" w:hAnsi="仿宋" w:eastAsia="仿宋"/>
          <w:b/>
          <w:color w:val="000000"/>
          <w:position w:val="0"/>
          <w:sz w:val="32"/>
          <w:szCs w:val="32"/>
        </w:rPr>
        <w:t>（三）一般公共预算财政拨款支出决算具体情况</w:t>
      </w:r>
      <w:bookmarkEnd w:id="85"/>
    </w:p>
    <w:p>
      <w:pPr>
        <w:numPr>
          <w:ilvl w:val="0"/>
          <w:numId w:val="0"/>
        </w:numPr>
        <w:autoSpaceDE/>
        <w:autoSpaceDN/>
        <w:spacing w:before="0" w:after="160" w:line="600" w:lineRule="exact"/>
        <w:ind w:left="0" w:right="0" w:firstLine="643"/>
        <w:jc w:val="both"/>
        <w:outlineLvl w:val="2"/>
        <w:rPr>
          <w:rFonts w:hint="default" w:ascii="仿宋" w:hAnsi="仿宋" w:eastAsia="仿宋"/>
          <w:color w:val="FF0000"/>
          <w:position w:val="0"/>
          <w:sz w:val="32"/>
          <w:szCs w:val="32"/>
        </w:rPr>
      </w:pPr>
      <w:bookmarkStart w:id="86" w:name="_Toc15378460"/>
      <w:bookmarkStart w:id="87" w:name="_Toc15377213"/>
      <w:bookmarkStart w:id="88" w:name="_Toc15377444"/>
      <w:r>
        <w:rPr>
          <w:rFonts w:hint="default" w:ascii="仿宋" w:hAnsi="仿宋" w:eastAsia="仿宋"/>
          <w:b/>
          <w:color w:val="000000" w:themeColor="text1"/>
          <w:position w:val="0"/>
          <w:sz w:val="32"/>
          <w:szCs w:val="32"/>
          <w14:textFill>
            <w14:solidFill>
              <w14:schemeClr w14:val="tx1"/>
            </w14:solidFill>
          </w14:textFill>
        </w:rPr>
        <w:t>2018年般公共预算支出决算数为306.86</w:t>
      </w:r>
      <w:r>
        <w:rPr>
          <w:rFonts w:hint="default" w:ascii="仿宋" w:hAnsi="仿宋" w:eastAsia="仿宋"/>
          <w:color w:val="000000" w:themeColor="text1"/>
          <w:position w:val="0"/>
          <w:sz w:val="32"/>
          <w:szCs w:val="32"/>
          <w14:textFill>
            <w14:solidFill>
              <w14:schemeClr w14:val="tx1"/>
            </w14:solidFill>
          </w14:textFill>
        </w:rPr>
        <w:t>，</w:t>
      </w:r>
      <w:r>
        <w:rPr>
          <w:rStyle w:val="29"/>
          <w:rFonts w:hint="default" w:ascii="仿宋" w:hAnsi="仿宋" w:eastAsia="仿宋"/>
          <w:b/>
          <w:color w:val="000000" w:themeColor="text1"/>
          <w:position w:val="0"/>
          <w:sz w:val="32"/>
          <w:szCs w:val="32"/>
          <w14:textFill>
            <w14:solidFill>
              <w14:schemeClr w14:val="tx1"/>
            </w14:solidFill>
          </w14:textFill>
        </w:rPr>
        <w:t>完成</w:t>
      </w:r>
      <w:r>
        <w:rPr>
          <w:rStyle w:val="29"/>
          <w:rFonts w:hint="default" w:ascii="仿宋" w:hAnsi="仿宋" w:eastAsia="仿宋"/>
          <w:b/>
          <w:color w:val="000000"/>
          <w:position w:val="0"/>
          <w:sz w:val="32"/>
          <w:szCs w:val="32"/>
        </w:rPr>
        <w:t>预算100%。其中：</w:t>
      </w:r>
      <w:bookmarkEnd w:id="86"/>
      <w:bookmarkEnd w:id="87"/>
      <w:bookmarkEnd w:id="88"/>
    </w:p>
    <w:p>
      <w:pPr>
        <w:numPr>
          <w:ilvl w:val="0"/>
          <w:numId w:val="0"/>
        </w:numPr>
        <w:autoSpaceDE/>
        <w:autoSpaceDN/>
        <w:spacing w:before="0" w:after="160" w:line="600" w:lineRule="exact"/>
        <w:ind w:left="0" w:right="0" w:firstLine="643"/>
        <w:jc w:val="both"/>
        <w:rPr>
          <w:rStyle w:val="29"/>
          <w:rFonts w:hint="default" w:ascii="仿宋" w:hAnsi="仿宋" w:eastAsia="仿宋"/>
          <w:b w:val="0"/>
          <w:color w:val="000000"/>
          <w:position w:val="0"/>
          <w:sz w:val="32"/>
          <w:szCs w:val="32"/>
        </w:rPr>
      </w:pPr>
      <w:r>
        <w:rPr>
          <w:rStyle w:val="29"/>
          <w:rFonts w:hint="default" w:ascii="仿宋" w:hAnsi="仿宋" w:eastAsia="仿宋"/>
          <w:b/>
          <w:color w:val="000000"/>
          <w:position w:val="0"/>
          <w:sz w:val="32"/>
          <w:szCs w:val="32"/>
        </w:rPr>
        <w:t>1.社会保障和就业:</w:t>
      </w:r>
      <w:r>
        <w:rPr>
          <w:rStyle w:val="29"/>
          <w:rFonts w:hint="default" w:ascii="仿宋" w:hAnsi="仿宋" w:eastAsia="仿宋"/>
          <w:b w:val="0"/>
          <w:color w:val="000000"/>
          <w:position w:val="0"/>
          <w:sz w:val="32"/>
          <w:szCs w:val="32"/>
        </w:rPr>
        <w:t xml:space="preserve"> </w:t>
      </w:r>
    </w:p>
    <w:p>
      <w:pPr>
        <w:numPr>
          <w:ilvl w:val="0"/>
          <w:numId w:val="0"/>
        </w:numPr>
        <w:autoSpaceDE/>
        <w:autoSpaceDN/>
        <w:spacing w:before="0" w:after="160" w:line="600" w:lineRule="exact"/>
        <w:ind w:left="0" w:right="0" w:firstLine="643"/>
        <w:jc w:val="both"/>
        <w:rPr>
          <w:rFonts w:hint="default" w:ascii="仿宋" w:hAnsi="仿宋" w:eastAsia="仿宋"/>
          <w:b/>
          <w:color w:val="000000"/>
          <w:position w:val="0"/>
          <w:sz w:val="32"/>
          <w:szCs w:val="32"/>
        </w:rPr>
      </w:pPr>
      <w:r>
        <w:rPr>
          <w:rStyle w:val="29"/>
          <w:rFonts w:hint="default" w:ascii="仿宋" w:hAnsi="仿宋" w:eastAsia="仿宋"/>
          <w:b w:val="0"/>
          <w:color w:val="000000"/>
          <w:position w:val="0"/>
          <w:sz w:val="32"/>
          <w:szCs w:val="32"/>
        </w:rPr>
        <w:t>2080505机关事业单位基本养老保险缴费支出28.93万元，完成100%；2080506机关事业单位职业年金缴费支出11.57万元，完成100%。20801人力资源和社会保障管理事务235.3万元，合计支出275.8万元，决算数等于预算数的主要原因是严格按照财政拨款支出要求严格控制相关支出。</w:t>
      </w:r>
    </w:p>
    <w:p>
      <w:pPr>
        <w:numPr>
          <w:ilvl w:val="0"/>
          <w:numId w:val="0"/>
        </w:numPr>
        <w:autoSpaceDE/>
        <w:autoSpaceDN/>
        <w:spacing w:before="0" w:after="160" w:line="600" w:lineRule="exact"/>
        <w:ind w:left="0" w:right="0" w:firstLine="643"/>
        <w:jc w:val="both"/>
        <w:rPr>
          <w:rStyle w:val="29"/>
          <w:rFonts w:hint="default" w:ascii="仿宋" w:hAnsi="仿宋" w:eastAsia="仿宋"/>
          <w:b w:val="0"/>
          <w:color w:val="000000"/>
          <w:position w:val="0"/>
          <w:sz w:val="32"/>
          <w:szCs w:val="32"/>
        </w:rPr>
      </w:pPr>
      <w:r>
        <w:rPr>
          <w:rStyle w:val="29"/>
          <w:rFonts w:hint="default" w:ascii="仿宋" w:hAnsi="仿宋" w:eastAsia="仿宋"/>
          <w:b/>
          <w:color w:val="000000"/>
          <w:position w:val="0"/>
          <w:sz w:val="32"/>
          <w:szCs w:val="32"/>
        </w:rPr>
        <w:t>2.医疗卫生与计划生育:</w:t>
      </w:r>
    </w:p>
    <w:p>
      <w:pPr>
        <w:numPr>
          <w:ilvl w:val="0"/>
          <w:numId w:val="0"/>
        </w:numPr>
        <w:autoSpaceDE/>
        <w:autoSpaceDN/>
        <w:spacing w:before="0" w:after="160" w:line="600" w:lineRule="exact"/>
        <w:ind w:left="0" w:right="0" w:firstLine="643"/>
        <w:jc w:val="both"/>
        <w:rPr>
          <w:rFonts w:hint="default" w:ascii="仿宋" w:hAnsi="仿宋" w:eastAsia="仿宋"/>
          <w:b/>
          <w:color w:val="000000"/>
          <w:position w:val="0"/>
          <w:sz w:val="32"/>
          <w:szCs w:val="32"/>
        </w:rPr>
      </w:pPr>
      <w:r>
        <w:rPr>
          <w:rStyle w:val="29"/>
          <w:rFonts w:hint="default" w:ascii="仿宋" w:hAnsi="仿宋" w:eastAsia="仿宋"/>
          <w:b w:val="0"/>
          <w:color w:val="000000"/>
          <w:position w:val="0"/>
          <w:sz w:val="32"/>
          <w:szCs w:val="32"/>
        </w:rPr>
        <w:t>2101101行政单位医疗支出9.55万元，完成预算100%；2101103公务员医疗补助支出2.92万元，完成预算100%；合计支出决算数为12.47万元，完成预算100%，决算数等于预算数的主要原因是严格按照财政拨款支出要求严格控制相关支出。</w:t>
      </w:r>
    </w:p>
    <w:p>
      <w:pPr>
        <w:numPr>
          <w:ilvl w:val="0"/>
          <w:numId w:val="0"/>
        </w:numPr>
        <w:autoSpaceDE/>
        <w:autoSpaceDN/>
        <w:spacing w:before="0" w:after="160" w:line="600" w:lineRule="exact"/>
        <w:ind w:left="0" w:right="0" w:firstLine="640"/>
        <w:jc w:val="both"/>
        <w:rPr>
          <w:rFonts w:hint="default" w:ascii="Times New Roman" w:hAnsi="Times New Roman" w:eastAsia="Times New Roman"/>
          <w:color w:val="auto"/>
          <w:position w:val="0"/>
          <w:sz w:val="21"/>
          <w:szCs w:val="21"/>
        </w:rPr>
      </w:pPr>
      <w:r>
        <w:rPr>
          <w:rFonts w:hint="default" w:ascii="仿宋" w:hAnsi="仿宋" w:eastAsia="仿宋"/>
          <w:b/>
          <w:color w:val="000000"/>
          <w:position w:val="0"/>
          <w:sz w:val="32"/>
          <w:szCs w:val="32"/>
        </w:rPr>
        <w:t>3.住房保障支出：</w:t>
      </w:r>
    </w:p>
    <w:p>
      <w:pPr>
        <w:numPr>
          <w:ilvl w:val="0"/>
          <w:numId w:val="0"/>
        </w:numPr>
        <w:autoSpaceDE/>
        <w:autoSpaceDN/>
        <w:spacing w:before="0" w:after="160" w:line="600" w:lineRule="exact"/>
        <w:ind w:left="0" w:right="0" w:firstLine="640"/>
        <w:jc w:val="both"/>
        <w:rPr>
          <w:rFonts w:hint="default" w:ascii="仿宋" w:hAnsi="仿宋" w:eastAsia="仿宋"/>
          <w:b/>
          <w:color w:val="000000"/>
          <w:position w:val="0"/>
          <w:sz w:val="32"/>
          <w:szCs w:val="32"/>
        </w:rPr>
      </w:pPr>
      <w:r>
        <w:rPr>
          <w:rFonts w:hint="default" w:ascii="仿宋" w:hAnsi="仿宋" w:eastAsia="仿宋"/>
          <w:color w:val="auto"/>
          <w:position w:val="0"/>
          <w:sz w:val="32"/>
          <w:szCs w:val="32"/>
        </w:rPr>
        <w:t>2210201住房公积金支出18.6万元，完成100%；决算数等于预算数的主要原因是严格按照财政拨款支出要求严格控制相关支出。</w:t>
      </w:r>
    </w:p>
    <w:p>
      <w:pPr>
        <w:numPr>
          <w:ilvl w:val="0"/>
          <w:numId w:val="0"/>
        </w:numPr>
        <w:autoSpaceDE/>
        <w:autoSpaceDN/>
        <w:spacing w:before="0" w:after="160" w:line="600" w:lineRule="exact"/>
        <w:ind w:left="0" w:right="0" w:firstLine="640"/>
        <w:jc w:val="both"/>
        <w:rPr>
          <w:rFonts w:hint="default" w:ascii="仿宋" w:hAnsi="仿宋" w:eastAsia="仿宋"/>
          <w:b/>
          <w:color w:val="000000"/>
          <w:position w:val="0"/>
          <w:sz w:val="32"/>
          <w:szCs w:val="32"/>
        </w:rPr>
      </w:pPr>
    </w:p>
    <w:p>
      <w:pPr>
        <w:numPr>
          <w:ilvl w:val="0"/>
          <w:numId w:val="0"/>
        </w:numPr>
        <w:tabs>
          <w:tab w:val="right" w:pos="8306"/>
        </w:tabs>
        <w:autoSpaceDE/>
        <w:autoSpaceDN/>
        <w:spacing w:before="0" w:after="160" w:line="600" w:lineRule="exact"/>
        <w:ind w:left="0" w:right="0" w:firstLine="640"/>
        <w:jc w:val="both"/>
        <w:outlineLvl w:val="1"/>
        <w:rPr>
          <w:rStyle w:val="50"/>
          <w:rFonts w:hint="default" w:ascii="Cambria" w:hAnsi="宋体" w:eastAsia="宋体"/>
          <w:b/>
          <w:color w:val="auto"/>
          <w:position w:val="0"/>
          <w:sz w:val="32"/>
          <w:szCs w:val="32"/>
        </w:rPr>
      </w:pPr>
      <w:bookmarkStart w:id="89" w:name="_Toc15377214"/>
      <w:bookmarkStart w:id="90" w:name="_Toc1265_WPSOffice_Level2"/>
      <w:bookmarkStart w:id="91" w:name="_Toc15396608"/>
      <w:r>
        <w:rPr>
          <w:rFonts w:hint="default" w:ascii="黑体" w:hAnsi="黑体" w:eastAsia="黑体"/>
          <w:color w:val="000000"/>
          <w:position w:val="0"/>
          <w:sz w:val="32"/>
          <w:szCs w:val="32"/>
        </w:rPr>
        <w:t>六</w:t>
      </w:r>
      <w:r>
        <w:rPr>
          <w:rFonts w:hint="default" w:ascii="黑体" w:hAnsi="黑体" w:eastAsia="黑体"/>
          <w:b/>
          <w:color w:val="000000"/>
          <w:position w:val="0"/>
          <w:sz w:val="32"/>
          <w:szCs w:val="32"/>
        </w:rPr>
        <w:t>、一</w:t>
      </w:r>
      <w:r>
        <w:rPr>
          <w:rStyle w:val="50"/>
          <w:rFonts w:hint="default" w:ascii="黑体" w:hAnsi="黑体" w:eastAsia="黑体"/>
          <w:b w:val="0"/>
          <w:color w:val="auto"/>
          <w:position w:val="0"/>
          <w:sz w:val="32"/>
          <w:szCs w:val="32"/>
        </w:rPr>
        <w:t>般公共预算财政拨款基本支出决算情况说明</w:t>
      </w:r>
      <w:bookmarkEnd w:id="89"/>
      <w:bookmarkEnd w:id="90"/>
      <w:bookmarkEnd w:id="91"/>
      <w:r>
        <w:rPr>
          <w:rStyle w:val="50"/>
          <w:rFonts w:hint="default" w:ascii="黑体" w:hAnsi="黑体" w:eastAsia="黑体"/>
          <w:b w:val="0"/>
          <w:color w:val="auto"/>
          <w:position w:val="0"/>
          <w:sz w:val="32"/>
          <w:szCs w:val="32"/>
        </w:rPr>
        <w:tab/>
      </w:r>
    </w:p>
    <w:p>
      <w:pPr>
        <w:numPr>
          <w:ilvl w:val="0"/>
          <w:numId w:val="0"/>
        </w:numPr>
        <w:autoSpaceDE/>
        <w:autoSpaceDN/>
        <w:spacing w:before="0" w:after="160" w:line="600" w:lineRule="exact"/>
        <w:ind w:left="0" w:right="0" w:firstLine="645"/>
        <w:jc w:val="both"/>
        <w:rPr>
          <w:rFonts w:hint="default" w:ascii="仿宋" w:hAnsi="仿宋" w:eastAsia="仿宋"/>
          <w:color w:val="000000"/>
          <w:position w:val="0"/>
          <w:sz w:val="32"/>
          <w:szCs w:val="32"/>
        </w:rPr>
      </w:pPr>
      <w:r>
        <w:rPr>
          <w:rFonts w:hint="default" w:ascii="仿宋" w:hAnsi="仿宋" w:eastAsia="仿宋"/>
          <w:color w:val="000000"/>
          <w:position w:val="0"/>
          <w:sz w:val="32"/>
          <w:szCs w:val="32"/>
        </w:rPr>
        <w:t>2018年一般公共预算财政拨款基本支出306.86万元，其中：</w:t>
      </w:r>
    </w:p>
    <w:p>
      <w:pPr>
        <w:numPr>
          <w:ilvl w:val="0"/>
          <w:numId w:val="0"/>
        </w:numPr>
        <w:autoSpaceDE/>
        <w:autoSpaceDN/>
        <w:spacing w:before="0" w:after="160" w:line="600" w:lineRule="exact"/>
        <w:ind w:left="0" w:right="0" w:firstLine="645"/>
        <w:jc w:val="both"/>
        <w:rPr>
          <w:rFonts w:hint="default" w:ascii="仿宋" w:hAnsi="仿宋" w:eastAsia="仿宋"/>
          <w:color w:val="000000"/>
          <w:position w:val="0"/>
          <w:sz w:val="32"/>
          <w:szCs w:val="32"/>
        </w:rPr>
      </w:pPr>
      <w:r>
        <w:rPr>
          <w:rFonts w:hint="default" w:ascii="仿宋" w:hAnsi="仿宋" w:eastAsia="仿宋"/>
          <w:color w:val="000000"/>
          <w:position w:val="0"/>
          <w:sz w:val="32"/>
          <w:szCs w:val="32"/>
        </w:rPr>
        <w:t>人员经费281.02万元，主要包括：基本工资48.51万元、津贴补贴109.84万元、奖金40.99万元、机关事业单位基本养老保险缴费28.93万元、职业年金缴费11.57万元、其他社会保障缴费2.6万元、职工基本医疗保险缴费9.55万元、公务员医疗补助2.92万元、医疗费1.6万元、住房</w:t>
      </w:r>
      <w:r>
        <w:rPr>
          <w:rFonts w:hint="eastAsia" w:ascii="仿宋" w:hAnsi="仿宋" w:eastAsia="仿宋"/>
          <w:color w:val="000000"/>
          <w:position w:val="0"/>
          <w:sz w:val="32"/>
          <w:szCs w:val="32"/>
          <w:lang w:val="en-US" w:eastAsia="zh-CN"/>
        </w:rPr>
        <w:t>公</w:t>
      </w:r>
      <w:r>
        <w:rPr>
          <w:rFonts w:hint="default" w:ascii="仿宋" w:hAnsi="仿宋" w:eastAsia="仿宋"/>
          <w:color w:val="000000"/>
          <w:position w:val="0"/>
          <w:sz w:val="32"/>
          <w:szCs w:val="32"/>
        </w:rPr>
        <w:t>积金18.6万元。</w:t>
      </w:r>
      <w:r>
        <w:rPr>
          <w:rFonts w:hint="default" w:ascii="仿宋" w:hAnsi="仿宋" w:eastAsia="仿宋"/>
          <w:color w:val="000000"/>
          <w:position w:val="0"/>
          <w:sz w:val="32"/>
          <w:szCs w:val="32"/>
        </w:rPr>
        <w:br w:type="textWrapping" w:clear="all"/>
      </w:r>
      <w:r>
        <w:rPr>
          <w:rFonts w:hint="default" w:ascii="仿宋" w:hAnsi="仿宋" w:eastAsia="仿宋"/>
          <w:color w:val="000000"/>
          <w:position w:val="0"/>
          <w:sz w:val="32"/>
          <w:szCs w:val="32"/>
        </w:rPr>
        <w:t>　　公用经费25.84万元，主要包括：办公费5.32万元、电费0.68万元、邮电费0.88万元、差旅费4.34万元、维修（护）费8.51万元、培训费0.61万元、劳务费0.17万元、公务用车运行维护费0.95万元、办公设备购置4.28万元。</w:t>
      </w:r>
    </w:p>
    <w:p>
      <w:pPr>
        <w:numPr>
          <w:ilvl w:val="0"/>
          <w:numId w:val="0"/>
        </w:numPr>
        <w:autoSpaceDE/>
        <w:autoSpaceDN/>
        <w:spacing w:before="0" w:after="160" w:line="600" w:lineRule="exact"/>
        <w:ind w:left="0" w:right="0" w:firstLine="640"/>
        <w:jc w:val="both"/>
        <w:rPr>
          <w:rFonts w:hint="default" w:ascii="仿宋" w:hAnsi="仿宋" w:eastAsia="仿宋"/>
          <w:b/>
          <w:color w:val="FF0000"/>
          <w:position w:val="0"/>
          <w:sz w:val="32"/>
          <w:szCs w:val="32"/>
        </w:rPr>
      </w:pPr>
    </w:p>
    <w:p>
      <w:pPr>
        <w:numPr>
          <w:ilvl w:val="0"/>
          <w:numId w:val="0"/>
        </w:numPr>
        <w:autoSpaceDE/>
        <w:autoSpaceDN/>
        <w:spacing w:before="0" w:after="160" w:line="600" w:lineRule="exact"/>
        <w:ind w:left="0" w:right="0" w:firstLine="640"/>
        <w:jc w:val="both"/>
        <w:outlineLvl w:val="1"/>
        <w:rPr>
          <w:rStyle w:val="50"/>
          <w:rFonts w:hint="default" w:ascii="黑体" w:hAnsi="黑体" w:eastAsia="黑体"/>
          <w:b w:val="0"/>
          <w:color w:val="auto"/>
          <w:position w:val="0"/>
          <w:sz w:val="32"/>
          <w:szCs w:val="32"/>
        </w:rPr>
      </w:pPr>
      <w:bookmarkStart w:id="92" w:name="_Toc15377215"/>
      <w:bookmarkStart w:id="93" w:name="_Toc16758_WPSOffice_Level2"/>
      <w:bookmarkStart w:id="94" w:name="_Toc15396609"/>
      <w:r>
        <w:rPr>
          <w:rFonts w:hint="default" w:ascii="黑体" w:hAnsi="黑体" w:eastAsia="黑体"/>
          <w:color w:val="000000"/>
          <w:position w:val="0"/>
          <w:sz w:val="32"/>
          <w:szCs w:val="32"/>
        </w:rPr>
        <w:t>七、</w:t>
      </w:r>
      <w:r>
        <w:rPr>
          <w:rStyle w:val="50"/>
          <w:rFonts w:hint="default" w:ascii="黑体" w:hAnsi="黑体" w:eastAsia="黑体"/>
          <w:b/>
          <w:color w:val="auto"/>
          <w:position w:val="0"/>
          <w:sz w:val="32"/>
          <w:szCs w:val="32"/>
        </w:rPr>
        <w:t>“</w:t>
      </w:r>
      <w:r>
        <w:rPr>
          <w:rStyle w:val="50"/>
          <w:rFonts w:hint="default" w:ascii="黑体" w:hAnsi="黑体" w:eastAsia="黑体"/>
          <w:b w:val="0"/>
          <w:color w:val="auto"/>
          <w:position w:val="0"/>
          <w:sz w:val="32"/>
          <w:szCs w:val="32"/>
        </w:rPr>
        <w:t>三公”经费财政拨款支出决算情况说明</w:t>
      </w:r>
      <w:bookmarkEnd w:id="92"/>
      <w:bookmarkEnd w:id="93"/>
      <w:bookmarkEnd w:id="94"/>
    </w:p>
    <w:p>
      <w:pPr>
        <w:numPr>
          <w:ilvl w:val="0"/>
          <w:numId w:val="0"/>
        </w:numPr>
        <w:autoSpaceDE/>
        <w:autoSpaceDN/>
        <w:spacing w:before="0" w:after="160" w:line="600" w:lineRule="exact"/>
        <w:ind w:left="0" w:right="0" w:firstLine="640"/>
        <w:jc w:val="both"/>
        <w:outlineLvl w:val="2"/>
        <w:rPr>
          <w:rFonts w:hint="default" w:ascii="仿宋" w:hAnsi="仿宋" w:eastAsia="仿宋"/>
          <w:b/>
          <w:color w:val="000000"/>
          <w:position w:val="0"/>
          <w:sz w:val="32"/>
          <w:szCs w:val="32"/>
        </w:rPr>
      </w:pPr>
      <w:bookmarkStart w:id="95" w:name="_Toc15377216"/>
      <w:r>
        <w:rPr>
          <w:rFonts w:hint="default" w:ascii="仿宋" w:hAnsi="仿宋" w:eastAsia="仿宋"/>
          <w:b/>
          <w:color w:val="000000"/>
          <w:position w:val="0"/>
          <w:sz w:val="32"/>
          <w:szCs w:val="32"/>
        </w:rPr>
        <w:t>（一）“三公”经费财政拨款支出决算总体情况说明</w:t>
      </w:r>
      <w:bookmarkEnd w:id="95"/>
    </w:p>
    <w:p>
      <w:pPr>
        <w:numPr>
          <w:ilvl w:val="0"/>
          <w:numId w:val="0"/>
        </w:numPr>
        <w:autoSpaceDE/>
        <w:autoSpaceDN/>
        <w:spacing w:before="0" w:after="160" w:line="600" w:lineRule="exact"/>
        <w:ind w:left="0" w:right="0" w:firstLine="640"/>
        <w:jc w:val="both"/>
        <w:rPr>
          <w:rFonts w:hint="default" w:ascii="仿宋" w:hAnsi="仿宋" w:eastAsia="仿宋"/>
          <w:color w:val="000000"/>
          <w:position w:val="0"/>
          <w:sz w:val="32"/>
          <w:szCs w:val="32"/>
        </w:rPr>
      </w:pPr>
      <w:r>
        <w:rPr>
          <w:rFonts w:hint="default" w:ascii="仿宋" w:hAnsi="仿宋" w:eastAsia="仿宋"/>
          <w:color w:val="000000"/>
          <w:position w:val="0"/>
          <w:sz w:val="32"/>
          <w:szCs w:val="32"/>
        </w:rPr>
        <w:t>2018年“三公”经费财政拨款支出决算为0.95万元，完成预算100%，决算数与预算数持平的主要原因是严格按照财政拨款支出要求严格控制相关支出。</w:t>
      </w:r>
    </w:p>
    <w:p>
      <w:pPr>
        <w:numPr>
          <w:ilvl w:val="0"/>
          <w:numId w:val="0"/>
        </w:numPr>
        <w:autoSpaceDE/>
        <w:autoSpaceDN/>
        <w:spacing w:before="0" w:after="160" w:line="600" w:lineRule="exact"/>
        <w:ind w:left="0" w:right="0" w:firstLine="640"/>
        <w:jc w:val="both"/>
        <w:outlineLvl w:val="2"/>
        <w:rPr>
          <w:rFonts w:hint="default" w:ascii="仿宋" w:hAnsi="仿宋" w:eastAsia="仿宋"/>
          <w:b/>
          <w:color w:val="000000"/>
          <w:position w:val="0"/>
          <w:sz w:val="32"/>
          <w:szCs w:val="32"/>
        </w:rPr>
      </w:pPr>
      <w:bookmarkStart w:id="96" w:name="_Toc15377217"/>
      <w:r>
        <w:rPr>
          <w:rFonts w:hint="default" w:ascii="仿宋" w:hAnsi="仿宋" w:eastAsia="仿宋"/>
          <w:b/>
          <w:color w:val="000000"/>
          <w:position w:val="0"/>
          <w:sz w:val="32"/>
          <w:szCs w:val="32"/>
        </w:rPr>
        <w:t>（二）“三公”经费财政拨款支出决算具体情况说明</w:t>
      </w:r>
      <w:bookmarkEnd w:id="96"/>
    </w:p>
    <w:p>
      <w:pPr>
        <w:numPr>
          <w:ilvl w:val="0"/>
          <w:numId w:val="0"/>
        </w:numPr>
        <w:autoSpaceDE/>
        <w:autoSpaceDN/>
        <w:spacing w:before="0" w:after="160" w:line="600" w:lineRule="exact"/>
        <w:ind w:left="0" w:right="0" w:firstLine="0"/>
        <w:jc w:val="both"/>
        <w:rPr>
          <w:rFonts w:hint="default" w:ascii="仿宋" w:hAnsi="仿宋" w:eastAsia="仿宋"/>
          <w:color w:val="000000"/>
          <w:position w:val="0"/>
          <w:sz w:val="32"/>
          <w:szCs w:val="32"/>
        </w:rPr>
      </w:pPr>
      <w:r>
        <w:drawing>
          <wp:anchor distT="0" distB="0" distL="0" distR="0" simplePos="0" relativeHeight="251659264" behindDoc="0" locked="0" layoutInCell="1" allowOverlap="1">
            <wp:simplePos x="0" y="0"/>
            <wp:positionH relativeFrom="column">
              <wp:posOffset>-138430</wp:posOffset>
            </wp:positionH>
            <wp:positionV relativeFrom="paragraph">
              <wp:posOffset>862330</wp:posOffset>
            </wp:positionV>
            <wp:extent cx="5486400" cy="3200400"/>
            <wp:effectExtent l="15875" t="15875" r="15875" b="15875"/>
            <wp:wrapSquare wrapText="bothSides"/>
            <wp:docPr id="20"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default" w:ascii="仿宋" w:hAnsi="仿宋" w:eastAsia="仿宋"/>
          <w:color w:val="000000"/>
          <w:position w:val="0"/>
          <w:sz w:val="32"/>
          <w:szCs w:val="32"/>
        </w:rPr>
        <w:t>2018年“三公”经费财政拨款支出决算中，公务用车购置及运行维护费支出决算0.95万元，占100%；具体情况如下：（图8：“三公”经费财政拨款支出结构）（饼状图）</w:t>
      </w:r>
    </w:p>
    <w:p>
      <w:pPr>
        <w:numPr>
          <w:ilvl w:val="0"/>
          <w:numId w:val="0"/>
        </w:numPr>
        <w:autoSpaceDE/>
        <w:autoSpaceDN/>
        <w:spacing w:before="0" w:after="160" w:line="600" w:lineRule="exact"/>
        <w:ind w:left="0" w:right="0" w:firstLine="640"/>
        <w:jc w:val="both"/>
        <w:rPr>
          <w:rFonts w:hint="default" w:ascii="仿宋_GB2312" w:hAnsi="仿宋_GB2312" w:eastAsia="仿宋_GB2312"/>
          <w:b/>
          <w:color w:val="000000"/>
          <w:position w:val="0"/>
          <w:sz w:val="32"/>
          <w:szCs w:val="32"/>
        </w:rPr>
      </w:pPr>
      <w:r>
        <w:rPr>
          <w:rFonts w:hint="default" w:ascii="仿宋_GB2312" w:hAnsi="仿宋_GB2312" w:eastAsia="仿宋_GB2312"/>
          <w:b/>
          <w:color w:val="000000"/>
          <w:position w:val="0"/>
          <w:sz w:val="32"/>
          <w:szCs w:val="32"/>
        </w:rPr>
        <w:t>1.因公出国（境）经费支出</w:t>
      </w:r>
      <w:r>
        <w:rPr>
          <w:rFonts w:hint="default" w:ascii="仿宋_GB2312" w:hAnsi="仿宋_GB2312" w:eastAsia="仿宋_GB2312"/>
          <w:color w:val="000000"/>
          <w:position w:val="0"/>
          <w:sz w:val="32"/>
          <w:szCs w:val="32"/>
        </w:rPr>
        <w:t>0万元。全年安排因公出国（境）团组0次，出国（境）0人，与上年持平。</w:t>
      </w:r>
    </w:p>
    <w:p>
      <w:pPr>
        <w:numPr>
          <w:ilvl w:val="0"/>
          <w:numId w:val="0"/>
        </w:numPr>
        <w:autoSpaceDE/>
        <w:autoSpaceDN/>
        <w:spacing w:before="0" w:after="160" w:line="600" w:lineRule="exact"/>
        <w:ind w:left="0" w:right="0" w:firstLine="640"/>
        <w:jc w:val="both"/>
        <w:rPr>
          <w:rFonts w:hint="default" w:ascii="仿宋_GB2312" w:hAnsi="仿宋_GB2312" w:eastAsia="仿宋_GB2312"/>
          <w:b/>
          <w:color w:val="000000"/>
          <w:position w:val="0"/>
          <w:sz w:val="32"/>
          <w:szCs w:val="32"/>
        </w:rPr>
      </w:pPr>
      <w:r>
        <w:rPr>
          <w:rFonts w:hint="default" w:ascii="仿宋_GB2312" w:hAnsi="仿宋_GB2312" w:eastAsia="仿宋_GB2312"/>
          <w:b/>
          <w:color w:val="000000"/>
          <w:position w:val="0"/>
          <w:sz w:val="32"/>
          <w:szCs w:val="32"/>
        </w:rPr>
        <w:t>2.公务用车购置及运行维护费支出</w:t>
      </w:r>
      <w:r>
        <w:rPr>
          <w:rFonts w:hint="default" w:ascii="仿宋_GB2312" w:hAnsi="仿宋_GB2312" w:eastAsia="仿宋_GB2312"/>
          <w:color w:val="000000"/>
          <w:position w:val="0"/>
          <w:sz w:val="32"/>
          <w:szCs w:val="32"/>
        </w:rPr>
        <w:t>0.95万元,</w:t>
      </w:r>
      <w:r>
        <w:rPr>
          <w:rStyle w:val="29"/>
          <w:rFonts w:hint="default" w:ascii="仿宋" w:hAnsi="仿宋" w:eastAsia="仿宋"/>
          <w:b w:val="0"/>
          <w:color w:val="000000"/>
          <w:position w:val="0"/>
          <w:sz w:val="32"/>
          <w:szCs w:val="32"/>
        </w:rPr>
        <w:t>完成预算100%。</w:t>
      </w:r>
      <w:r>
        <w:rPr>
          <w:rFonts w:hint="default" w:ascii="仿宋_GB2312" w:hAnsi="仿宋_GB2312" w:eastAsia="仿宋_GB2312"/>
          <w:color w:val="000000"/>
          <w:position w:val="0"/>
          <w:sz w:val="32"/>
          <w:szCs w:val="32"/>
        </w:rPr>
        <w:t>公务用车购置及运行维护费支出决算比2017年增减少1.65万元，下降63%。主要原因是2017年出差、下乡次数较2018年多。</w:t>
      </w:r>
    </w:p>
    <w:p>
      <w:pPr>
        <w:numPr>
          <w:ilvl w:val="0"/>
          <w:numId w:val="0"/>
        </w:numPr>
        <w:autoSpaceDE/>
        <w:autoSpaceDN/>
        <w:spacing w:before="0" w:after="160" w:line="600" w:lineRule="exact"/>
        <w:ind w:left="0" w:right="0" w:firstLine="640"/>
        <w:jc w:val="both"/>
        <w:rPr>
          <w:rFonts w:hint="default" w:ascii="仿宋_GB2312" w:hAnsi="仿宋_GB2312" w:eastAsia="仿宋_GB2312"/>
          <w:color w:val="000000"/>
          <w:position w:val="0"/>
          <w:sz w:val="32"/>
          <w:szCs w:val="32"/>
        </w:rPr>
      </w:pPr>
      <w:r>
        <w:rPr>
          <w:rFonts w:hint="default" w:ascii="仿宋_GB2312" w:hAnsi="仿宋_GB2312" w:eastAsia="仿宋_GB2312"/>
          <w:b/>
          <w:color w:val="000000"/>
          <w:position w:val="0"/>
          <w:sz w:val="32"/>
          <w:szCs w:val="32"/>
        </w:rPr>
        <w:t>公务用车运行维护费支出</w:t>
      </w:r>
      <w:r>
        <w:rPr>
          <w:rFonts w:hint="default" w:ascii="仿宋_GB2312" w:hAnsi="仿宋_GB2312" w:eastAsia="仿宋_GB2312"/>
          <w:color w:val="000000"/>
          <w:position w:val="0"/>
          <w:sz w:val="32"/>
          <w:szCs w:val="32"/>
        </w:rPr>
        <w:t>0.95万元。主要用于出差、下乡所需的公务用车燃料费、维修费、过路过桥费、保险费等支出。</w:t>
      </w:r>
    </w:p>
    <w:p>
      <w:pPr>
        <w:numPr>
          <w:ilvl w:val="0"/>
          <w:numId w:val="0"/>
        </w:numPr>
        <w:autoSpaceDE/>
        <w:autoSpaceDN/>
        <w:spacing w:before="0" w:after="160" w:line="600" w:lineRule="exact"/>
        <w:ind w:left="0" w:right="0" w:firstLine="640"/>
        <w:jc w:val="both"/>
        <w:rPr>
          <w:rFonts w:hint="default" w:ascii="仿宋_GB2312" w:hAnsi="仿宋_GB2312" w:eastAsia="仿宋_GB2312"/>
          <w:color w:val="000000"/>
          <w:position w:val="0"/>
          <w:sz w:val="32"/>
          <w:szCs w:val="32"/>
        </w:rPr>
      </w:pPr>
      <w:r>
        <w:rPr>
          <w:rFonts w:hint="default" w:ascii="仿宋_GB2312" w:hAnsi="仿宋_GB2312" w:eastAsia="仿宋_GB2312"/>
          <w:b/>
          <w:color w:val="000000"/>
          <w:position w:val="0"/>
          <w:sz w:val="32"/>
          <w:szCs w:val="32"/>
        </w:rPr>
        <w:t>3.公务接待费支出</w:t>
      </w:r>
      <w:r>
        <w:rPr>
          <w:rFonts w:hint="default" w:ascii="仿宋_GB2312" w:hAnsi="仿宋_GB2312" w:eastAsia="仿宋_GB2312"/>
          <w:color w:val="000000"/>
          <w:position w:val="0"/>
          <w:sz w:val="32"/>
          <w:szCs w:val="32"/>
        </w:rPr>
        <w:t>0万元，与2017年持平。主要原因2018年无接待，未产生费用。</w:t>
      </w:r>
    </w:p>
    <w:p>
      <w:pPr>
        <w:numPr>
          <w:ilvl w:val="0"/>
          <w:numId w:val="0"/>
        </w:numPr>
        <w:autoSpaceDE/>
        <w:autoSpaceDN/>
        <w:spacing w:before="0" w:after="160" w:line="600" w:lineRule="exact"/>
        <w:ind w:left="0" w:right="0" w:firstLine="640"/>
        <w:jc w:val="both"/>
        <w:rPr>
          <w:rFonts w:hint="default" w:ascii="黑体" w:hAnsi="黑体" w:eastAsia="黑体"/>
          <w:color w:val="000000"/>
          <w:position w:val="0"/>
          <w:sz w:val="32"/>
          <w:szCs w:val="32"/>
        </w:rPr>
      </w:pPr>
      <w:bookmarkStart w:id="97" w:name="_Toc15396610"/>
      <w:bookmarkStart w:id="98" w:name="_Toc15377218"/>
    </w:p>
    <w:p>
      <w:pPr>
        <w:numPr>
          <w:ilvl w:val="0"/>
          <w:numId w:val="0"/>
        </w:numPr>
        <w:autoSpaceDE/>
        <w:autoSpaceDN/>
        <w:spacing w:before="0" w:after="160" w:line="600" w:lineRule="exact"/>
        <w:ind w:left="0" w:right="0" w:firstLine="640"/>
        <w:jc w:val="both"/>
        <w:outlineLvl w:val="1"/>
        <w:rPr>
          <w:rStyle w:val="50"/>
          <w:rFonts w:hint="default" w:ascii="黑体" w:hAnsi="黑体" w:eastAsia="黑体"/>
          <w:b/>
          <w:color w:val="auto"/>
          <w:position w:val="0"/>
          <w:sz w:val="32"/>
          <w:szCs w:val="32"/>
        </w:rPr>
      </w:pPr>
      <w:bookmarkStart w:id="99" w:name="_Toc20475_WPSOffice_Level2"/>
      <w:r>
        <w:rPr>
          <w:rFonts w:hint="default" w:ascii="黑体" w:hAnsi="黑体" w:eastAsia="黑体"/>
          <w:color w:val="000000"/>
          <w:position w:val="0"/>
          <w:sz w:val="32"/>
          <w:szCs w:val="32"/>
        </w:rPr>
        <w:t>八、</w:t>
      </w:r>
      <w:r>
        <w:rPr>
          <w:rStyle w:val="50"/>
          <w:rFonts w:hint="default" w:ascii="黑体" w:hAnsi="黑体" w:eastAsia="黑体"/>
          <w:b w:val="0"/>
          <w:color w:val="auto"/>
          <w:position w:val="0"/>
          <w:sz w:val="32"/>
          <w:szCs w:val="32"/>
        </w:rPr>
        <w:t>政府性基金预算支出决算情况说明</w:t>
      </w:r>
      <w:bookmarkEnd w:id="97"/>
      <w:bookmarkEnd w:id="98"/>
      <w:bookmarkEnd w:id="99"/>
    </w:p>
    <w:p>
      <w:pPr>
        <w:numPr>
          <w:ilvl w:val="0"/>
          <w:numId w:val="0"/>
        </w:numPr>
        <w:autoSpaceDE/>
        <w:autoSpaceDN/>
        <w:spacing w:before="0" w:after="160" w:line="600" w:lineRule="exact"/>
        <w:ind w:left="0" w:right="0" w:firstLine="64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2018年政府性基金预算拨款支出0万元。</w:t>
      </w:r>
    </w:p>
    <w:p>
      <w:pPr>
        <w:numPr>
          <w:ilvl w:val="0"/>
          <w:numId w:val="0"/>
        </w:numPr>
        <w:autoSpaceDE/>
        <w:autoSpaceDN/>
        <w:spacing w:before="0" w:after="160" w:line="600" w:lineRule="exact"/>
        <w:ind w:left="0" w:right="0" w:firstLine="640"/>
        <w:jc w:val="both"/>
        <w:rPr>
          <w:rFonts w:hint="default" w:ascii="仿宋_GB2312" w:hAnsi="仿宋_GB2312" w:eastAsia="仿宋_GB2312"/>
          <w:color w:val="000000"/>
          <w:position w:val="0"/>
          <w:sz w:val="32"/>
          <w:szCs w:val="32"/>
        </w:rPr>
      </w:pPr>
    </w:p>
    <w:p>
      <w:pPr>
        <w:numPr>
          <w:ilvl w:val="0"/>
          <w:numId w:val="0"/>
        </w:numPr>
        <w:autoSpaceDE/>
        <w:autoSpaceDN/>
        <w:spacing w:before="0" w:after="160" w:line="600" w:lineRule="exact"/>
        <w:ind w:left="0" w:right="0" w:firstLine="640"/>
        <w:jc w:val="both"/>
        <w:outlineLvl w:val="1"/>
        <w:rPr>
          <w:rStyle w:val="50"/>
          <w:rFonts w:hint="default" w:ascii="黑体" w:hAnsi="黑体" w:eastAsia="黑体"/>
          <w:b w:val="0"/>
          <w:color w:val="auto"/>
          <w:position w:val="0"/>
          <w:sz w:val="32"/>
          <w:szCs w:val="32"/>
        </w:rPr>
      </w:pPr>
      <w:bookmarkStart w:id="100" w:name="_Toc27035_WPSOffice_Level2"/>
      <w:r>
        <w:rPr>
          <w:rStyle w:val="50"/>
          <w:rFonts w:hint="default" w:ascii="黑体" w:hAnsi="黑体" w:eastAsia="黑体"/>
          <w:b w:val="0"/>
          <w:color w:val="auto"/>
          <w:position w:val="0"/>
          <w:sz w:val="32"/>
          <w:szCs w:val="32"/>
        </w:rPr>
        <w:t>九、</w:t>
      </w:r>
      <w:bookmarkStart w:id="101" w:name="_Toc15396611"/>
      <w:bookmarkStart w:id="102" w:name="_Toc15377219"/>
      <w:r>
        <w:rPr>
          <w:rStyle w:val="50"/>
          <w:rFonts w:hint="default" w:ascii="黑体" w:hAnsi="黑体" w:eastAsia="黑体"/>
          <w:b w:val="0"/>
          <w:color w:val="auto"/>
          <w:position w:val="0"/>
          <w:sz w:val="32"/>
          <w:szCs w:val="32"/>
        </w:rPr>
        <w:t>国有资本经营预算支出决算情况说明</w:t>
      </w:r>
      <w:bookmarkEnd w:id="100"/>
      <w:bookmarkEnd w:id="101"/>
      <w:bookmarkEnd w:id="102"/>
    </w:p>
    <w:p>
      <w:pPr>
        <w:numPr>
          <w:ilvl w:val="0"/>
          <w:numId w:val="0"/>
        </w:numPr>
        <w:autoSpaceDE/>
        <w:autoSpaceDN/>
        <w:spacing w:before="0" w:after="160" w:line="600" w:lineRule="exact"/>
        <w:ind w:left="0" w:right="0" w:firstLine="64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2018年国有资本经营预算拨款支出0万元。</w:t>
      </w:r>
    </w:p>
    <w:p>
      <w:pPr>
        <w:pStyle w:val="40"/>
        <w:numPr>
          <w:ilvl w:val="0"/>
          <w:numId w:val="0"/>
        </w:numPr>
        <w:autoSpaceDE/>
        <w:autoSpaceDN/>
        <w:bidi w:val="0"/>
        <w:spacing w:before="0" w:after="160" w:line="580" w:lineRule="exact"/>
        <w:ind w:left="0" w:right="0" w:firstLine="640"/>
        <w:jc w:val="both"/>
        <w:rPr>
          <w:rStyle w:val="50"/>
          <w:rFonts w:hint="default" w:ascii="黑体" w:hAnsi="黑体" w:eastAsia="黑体"/>
          <w:b w:val="0"/>
          <w:color w:val="auto"/>
          <w:position w:val="0"/>
          <w:sz w:val="32"/>
          <w:szCs w:val="32"/>
        </w:rPr>
      </w:pPr>
      <w:bookmarkStart w:id="103" w:name="_Toc22751_WPSOffice_Level2"/>
      <w:r>
        <w:rPr>
          <w:rStyle w:val="50"/>
          <w:rFonts w:hint="default" w:ascii="黑体" w:hAnsi="黑体" w:eastAsia="黑体"/>
          <w:b w:val="0"/>
          <w:color w:val="auto"/>
          <w:position w:val="0"/>
          <w:sz w:val="32"/>
          <w:szCs w:val="32"/>
        </w:rPr>
        <w:t>十、预算绩效情况说明</w:t>
      </w:r>
      <w:bookmarkEnd w:id="103"/>
    </w:p>
    <w:p>
      <w:pPr>
        <w:numPr>
          <w:ilvl w:val="0"/>
          <w:numId w:val="2"/>
        </w:numPr>
        <w:autoSpaceDE/>
        <w:autoSpaceDN/>
        <w:spacing w:before="0" w:after="160" w:line="580" w:lineRule="exact"/>
        <w:ind w:left="0" w:right="0" w:firstLine="643"/>
        <w:jc w:val="both"/>
        <w:rPr>
          <w:rFonts w:hint="default" w:ascii="仿宋" w:hAnsi="楷体_GB2312" w:eastAsia="楷体_GB2312"/>
          <w:b/>
          <w:color w:val="auto"/>
          <w:position w:val="0"/>
          <w:sz w:val="32"/>
          <w:szCs w:val="32"/>
        </w:rPr>
      </w:pPr>
      <w:r>
        <w:rPr>
          <w:rFonts w:hint="default" w:ascii="仿宋" w:hAnsi="楷体_GB2312" w:eastAsia="楷体_GB2312"/>
          <w:b/>
          <w:color w:val="auto"/>
          <w:position w:val="0"/>
          <w:sz w:val="32"/>
          <w:szCs w:val="32"/>
        </w:rPr>
        <w:t>预算绩效管理工作开展情况。</w:t>
      </w:r>
    </w:p>
    <w:p>
      <w:pPr>
        <w:numPr>
          <w:ilvl w:val="0"/>
          <w:numId w:val="0"/>
        </w:numPr>
        <w:autoSpaceDE/>
        <w:autoSpaceDN/>
        <w:spacing w:before="0" w:after="160" w:line="580" w:lineRule="exact"/>
        <w:ind w:left="0" w:right="0" w:firstLine="640"/>
        <w:jc w:val="both"/>
        <w:rPr>
          <w:rFonts w:hint="default" w:ascii="仿宋_GB2312" w:hAnsi="仿宋_GB2312" w:eastAsia="仿宋_GB2312"/>
          <w:color w:val="auto"/>
          <w:position w:val="0"/>
          <w:sz w:val="32"/>
          <w:szCs w:val="32"/>
        </w:rPr>
      </w:pPr>
      <w:r>
        <w:rPr>
          <w:rFonts w:hint="default" w:ascii="仿宋_GB2312" w:hAnsi="仿宋_GB2312" w:eastAsia="仿宋_GB2312"/>
          <w:color w:val="auto"/>
          <w:position w:val="0"/>
          <w:sz w:val="32"/>
          <w:szCs w:val="32"/>
        </w:rPr>
        <w:t>本部门按照要求对2018年部门整体支出开展绩效自评、从评价情况来看2018年度我单位年初根据工作规划和重点工作规划，围绕全面建成小康社会的发展蓝图，积极履行职责，强化本单位预算管理，较好的完成了年初工作目标。通过加强预算收支管理，不断建立健全内部管理制度，梳理内部管理流程。部门整体预算支出管理情况得到提升。</w:t>
      </w:r>
    </w:p>
    <w:p>
      <w:pPr>
        <w:numPr>
          <w:ilvl w:val="0"/>
          <w:numId w:val="2"/>
        </w:numPr>
        <w:autoSpaceDE/>
        <w:autoSpaceDN/>
        <w:spacing w:before="0" w:after="160" w:line="580" w:lineRule="exact"/>
        <w:ind w:left="0" w:right="0" w:firstLine="643"/>
        <w:jc w:val="both"/>
        <w:rPr>
          <w:rFonts w:hint="default" w:ascii="仿宋" w:hAnsi="仿宋_GB2312" w:eastAsia="仿宋_GB2312"/>
          <w:color w:val="auto"/>
          <w:position w:val="0"/>
          <w:sz w:val="32"/>
          <w:szCs w:val="32"/>
        </w:rPr>
      </w:pPr>
      <w:r>
        <w:rPr>
          <w:rFonts w:hint="default" w:ascii="仿宋" w:hAnsi="楷体_GB2312" w:eastAsia="楷体_GB2312"/>
          <w:b/>
          <w:color w:val="auto"/>
          <w:position w:val="0"/>
          <w:sz w:val="32"/>
          <w:szCs w:val="32"/>
        </w:rPr>
        <w:t>部门开展绩效评价结果。</w:t>
      </w:r>
    </w:p>
    <w:p>
      <w:pPr>
        <w:numPr>
          <w:ilvl w:val="0"/>
          <w:numId w:val="0"/>
        </w:numPr>
        <w:autoSpaceDE/>
        <w:autoSpaceDN/>
        <w:spacing w:before="0" w:after="160" w:line="580" w:lineRule="exact"/>
        <w:ind w:left="0" w:right="0" w:firstLine="640"/>
        <w:jc w:val="both"/>
        <w:rPr>
          <w:rFonts w:hint="default" w:ascii="仿宋_GB2312" w:hAnsi="仿宋_GB2312" w:eastAsia="仿宋_GB2312"/>
          <w:color w:val="auto"/>
          <w:position w:val="0"/>
          <w:sz w:val="32"/>
          <w:szCs w:val="32"/>
        </w:rPr>
      </w:pPr>
      <w:r>
        <w:rPr>
          <w:rFonts w:hint="default" w:ascii="仿宋_GB2312" w:hAnsi="仿宋_GB2312" w:eastAsia="仿宋_GB2312"/>
          <w:color w:val="auto"/>
          <w:position w:val="0"/>
          <w:sz w:val="32"/>
          <w:szCs w:val="32"/>
        </w:rPr>
        <w:t>本部门按要求对2018年部门整体支出绩效评价情况开展自评，《红原县社会保险事业管理局2018年部门整体支出绩效评价报告》见附件。</w:t>
      </w:r>
    </w:p>
    <w:p>
      <w:pPr>
        <w:numPr>
          <w:ilvl w:val="0"/>
          <w:numId w:val="0"/>
        </w:numPr>
        <w:autoSpaceDE/>
        <w:autoSpaceDN/>
        <w:spacing w:before="0" w:after="160" w:line="580" w:lineRule="exact"/>
        <w:ind w:left="0" w:right="0" w:firstLine="640"/>
        <w:jc w:val="both"/>
        <w:rPr>
          <w:rFonts w:hint="default" w:ascii="仿宋_GB2312" w:hAnsi="仿宋_GB2312" w:eastAsia="仿宋_GB2312"/>
          <w:color w:val="auto"/>
          <w:position w:val="0"/>
          <w:sz w:val="32"/>
          <w:szCs w:val="32"/>
        </w:rPr>
      </w:pPr>
      <w:r>
        <w:rPr>
          <w:rFonts w:hint="default" w:ascii="仿宋_GB2312" w:hAnsi="仿宋_GB2312" w:eastAsia="仿宋_GB2312"/>
          <w:color w:val="auto"/>
          <w:position w:val="0"/>
          <w:sz w:val="32"/>
          <w:szCs w:val="32"/>
        </w:rPr>
        <w:t>本单位2018年无项目预算拨款。</w:t>
      </w:r>
    </w:p>
    <w:p>
      <w:pPr>
        <w:numPr>
          <w:ilvl w:val="0"/>
          <w:numId w:val="0"/>
        </w:numPr>
        <w:autoSpaceDE/>
        <w:autoSpaceDN/>
        <w:spacing w:before="0" w:after="160" w:line="580" w:lineRule="exact"/>
        <w:ind w:left="0" w:right="0" w:firstLine="0"/>
        <w:jc w:val="center"/>
        <w:rPr>
          <w:rFonts w:hint="default" w:ascii="方正小标宋简体" w:hAnsi="方正小标宋简体" w:eastAsia="方正小标宋简体"/>
          <w:color w:val="auto"/>
          <w:position w:val="0"/>
          <w:sz w:val="44"/>
          <w:szCs w:val="44"/>
        </w:rPr>
      </w:pPr>
    </w:p>
    <w:p>
      <w:pPr>
        <w:numPr>
          <w:ilvl w:val="0"/>
          <w:numId w:val="0"/>
        </w:numPr>
        <w:autoSpaceDE/>
        <w:autoSpaceDN/>
        <w:spacing w:before="0" w:after="160" w:line="600" w:lineRule="exact"/>
        <w:ind w:left="0" w:right="0" w:firstLine="800"/>
        <w:jc w:val="both"/>
        <w:outlineLvl w:val="1"/>
        <w:rPr>
          <w:rStyle w:val="50"/>
          <w:rFonts w:hint="default" w:ascii="黑体" w:hAnsi="黑体" w:eastAsia="黑体"/>
          <w:b/>
          <w:color w:val="auto"/>
          <w:position w:val="0"/>
          <w:sz w:val="32"/>
          <w:szCs w:val="32"/>
        </w:rPr>
      </w:pPr>
      <w:bookmarkStart w:id="104" w:name="_Toc15377221"/>
      <w:bookmarkStart w:id="105" w:name="_Toc29594_WPSOffice_Level2"/>
      <w:bookmarkStart w:id="106" w:name="_Toc15396612"/>
      <w:r>
        <w:rPr>
          <w:rFonts w:hint="default" w:ascii="黑体" w:hAnsi="黑体" w:eastAsia="黑体"/>
          <w:color w:val="000000"/>
          <w:position w:val="0"/>
          <w:sz w:val="32"/>
          <w:szCs w:val="32"/>
        </w:rPr>
        <w:t>十</w:t>
      </w:r>
      <w:r>
        <w:rPr>
          <w:rStyle w:val="50"/>
          <w:rFonts w:hint="default" w:ascii="黑体" w:hAnsi="黑体" w:eastAsia="黑体"/>
          <w:b/>
          <w:color w:val="auto"/>
          <w:position w:val="0"/>
          <w:sz w:val="32"/>
          <w:szCs w:val="32"/>
        </w:rPr>
        <w:t>一、</w:t>
      </w:r>
      <w:r>
        <w:rPr>
          <w:rStyle w:val="50"/>
          <w:rFonts w:hint="default" w:ascii="黑体" w:hAnsi="黑体" w:eastAsia="黑体"/>
          <w:b w:val="0"/>
          <w:color w:val="auto"/>
          <w:position w:val="0"/>
          <w:sz w:val="32"/>
          <w:szCs w:val="32"/>
        </w:rPr>
        <w:t>其他重要事项的情况说明</w:t>
      </w:r>
      <w:bookmarkEnd w:id="104"/>
      <w:bookmarkEnd w:id="105"/>
      <w:bookmarkEnd w:id="106"/>
    </w:p>
    <w:p>
      <w:pPr>
        <w:numPr>
          <w:ilvl w:val="0"/>
          <w:numId w:val="0"/>
        </w:numPr>
        <w:autoSpaceDE/>
        <w:autoSpaceDN/>
        <w:spacing w:before="0" w:after="160" w:line="600" w:lineRule="exact"/>
        <w:ind w:left="0" w:right="0" w:firstLine="643"/>
        <w:jc w:val="both"/>
        <w:outlineLvl w:val="2"/>
        <w:rPr>
          <w:rFonts w:hint="default" w:ascii="仿宋" w:hAnsi="仿宋" w:eastAsia="仿宋"/>
          <w:color w:val="000000"/>
          <w:position w:val="0"/>
          <w:sz w:val="32"/>
          <w:szCs w:val="32"/>
        </w:rPr>
      </w:pPr>
      <w:bookmarkStart w:id="107" w:name="_Toc15377222"/>
      <w:r>
        <w:rPr>
          <w:rFonts w:hint="default" w:ascii="仿宋" w:hAnsi="仿宋" w:eastAsia="仿宋"/>
          <w:b/>
          <w:color w:val="000000"/>
          <w:position w:val="0"/>
          <w:sz w:val="32"/>
          <w:szCs w:val="32"/>
        </w:rPr>
        <w:t>（一）机关运行经费支出情况</w:t>
      </w:r>
      <w:bookmarkEnd w:id="107"/>
    </w:p>
    <w:p>
      <w:pPr>
        <w:numPr>
          <w:ilvl w:val="0"/>
          <w:numId w:val="0"/>
        </w:numPr>
        <w:autoSpaceDE/>
        <w:autoSpaceDN/>
        <w:spacing w:before="0" w:after="160" w:line="600" w:lineRule="exact"/>
        <w:ind w:left="0" w:right="0" w:firstLine="640"/>
        <w:jc w:val="both"/>
        <w:rPr>
          <w:rFonts w:hint="default" w:ascii="仿宋_GB2312" w:hAnsi="仿宋_GB2312" w:eastAsia="仿宋_GB2312"/>
          <w:color w:val="000000" w:themeColor="text1"/>
          <w:position w:val="0"/>
          <w:sz w:val="32"/>
          <w:szCs w:val="32"/>
          <w14:textFill>
            <w14:solidFill>
              <w14:schemeClr w14:val="tx1"/>
            </w14:solidFill>
          </w14:textFill>
        </w:rPr>
      </w:pPr>
      <w:r>
        <w:rPr>
          <w:rFonts w:hint="default" w:ascii="仿宋_GB2312" w:hAnsi="仿宋_GB2312" w:eastAsia="仿宋_GB2312"/>
          <w:color w:val="000000"/>
          <w:position w:val="0"/>
          <w:sz w:val="32"/>
          <w:szCs w:val="32"/>
        </w:rPr>
        <w:t>2018年，红原县社保局机关运行经费支出21.56万元，比2017年减少3.25万元，下降13.1%。</w:t>
      </w:r>
      <w:r>
        <w:rPr>
          <w:rFonts w:hint="default" w:ascii="仿宋_GB2312" w:hAnsi="仿宋_GB2312" w:eastAsia="仿宋_GB2312"/>
          <w:color w:val="000000" w:themeColor="text1"/>
          <w:position w:val="0"/>
          <w:sz w:val="32"/>
          <w:szCs w:val="32"/>
          <w14:textFill>
            <w14:solidFill>
              <w14:schemeClr w14:val="tx1"/>
            </w14:solidFill>
          </w14:textFill>
        </w:rPr>
        <w:t>主要原因是严格按照财政拨款支出，厉行节约。</w:t>
      </w:r>
    </w:p>
    <w:p>
      <w:pPr>
        <w:numPr>
          <w:ilvl w:val="0"/>
          <w:numId w:val="0"/>
        </w:numPr>
        <w:autoSpaceDE/>
        <w:autoSpaceDN/>
        <w:spacing w:before="0" w:after="160" w:line="600" w:lineRule="exact"/>
        <w:ind w:left="0" w:right="0" w:firstLine="640"/>
        <w:jc w:val="both"/>
        <w:rPr>
          <w:rFonts w:hint="default" w:ascii="仿宋" w:hAnsi="仿宋" w:eastAsia="仿宋"/>
          <w:b/>
          <w:color w:val="000000"/>
          <w:position w:val="0"/>
          <w:sz w:val="32"/>
          <w:szCs w:val="32"/>
        </w:rPr>
      </w:pPr>
    </w:p>
    <w:p>
      <w:pPr>
        <w:numPr>
          <w:ilvl w:val="0"/>
          <w:numId w:val="0"/>
        </w:numPr>
        <w:autoSpaceDE w:val="0"/>
        <w:autoSpaceDN w:val="0"/>
        <w:spacing w:before="0" w:after="160" w:line="600" w:lineRule="exact"/>
        <w:ind w:left="0" w:right="0" w:firstLine="643"/>
        <w:jc w:val="left"/>
        <w:outlineLvl w:val="2"/>
        <w:rPr>
          <w:rFonts w:hint="default" w:ascii="仿宋" w:hAnsi="仿宋" w:eastAsia="仿宋"/>
          <w:b/>
          <w:color w:val="000000"/>
          <w:position w:val="0"/>
          <w:sz w:val="32"/>
          <w:szCs w:val="32"/>
        </w:rPr>
      </w:pPr>
      <w:bookmarkStart w:id="108" w:name="_Toc15377223"/>
      <w:r>
        <w:rPr>
          <w:rFonts w:hint="default" w:ascii="仿宋" w:hAnsi="仿宋" w:eastAsia="仿宋"/>
          <w:b/>
          <w:color w:val="000000"/>
          <w:position w:val="0"/>
          <w:sz w:val="32"/>
          <w:szCs w:val="32"/>
        </w:rPr>
        <w:t>（二）政府采购支出情况</w:t>
      </w:r>
      <w:bookmarkEnd w:id="108"/>
    </w:p>
    <w:p>
      <w:pPr>
        <w:numPr>
          <w:ilvl w:val="0"/>
          <w:numId w:val="0"/>
        </w:numPr>
        <w:autoSpaceDE/>
        <w:autoSpaceDN/>
        <w:spacing w:before="0" w:after="160" w:line="600" w:lineRule="exact"/>
        <w:ind w:left="0" w:right="0" w:firstLine="64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2018年，红原县社保局政府采购支出总额4.28万元，其中：政府采购货物支出</w:t>
      </w:r>
      <w:r>
        <w:rPr>
          <w:rFonts w:hint="eastAsia" w:ascii="仿宋_GB2312" w:hAnsi="仿宋_GB2312" w:eastAsia="仿宋_GB2312"/>
          <w:color w:val="000000"/>
          <w:position w:val="0"/>
          <w:sz w:val="32"/>
          <w:szCs w:val="32"/>
          <w:lang w:val="en-US" w:eastAsia="zh-CN"/>
        </w:rPr>
        <w:t>0</w:t>
      </w:r>
      <w:r>
        <w:rPr>
          <w:rFonts w:hint="default" w:ascii="仿宋_GB2312" w:hAnsi="仿宋_GB2312" w:eastAsia="仿宋_GB2312"/>
          <w:color w:val="000000"/>
          <w:position w:val="0"/>
          <w:sz w:val="32"/>
          <w:szCs w:val="32"/>
        </w:rPr>
        <w:t>万元、政府采购工程支出</w:t>
      </w:r>
      <w:r>
        <w:rPr>
          <w:rFonts w:hint="eastAsia" w:ascii="仿宋_GB2312" w:hAnsi="仿宋_GB2312" w:eastAsia="仿宋_GB2312"/>
          <w:color w:val="000000"/>
          <w:position w:val="0"/>
          <w:sz w:val="32"/>
          <w:szCs w:val="32"/>
          <w:lang w:val="en-US" w:eastAsia="zh-CN"/>
        </w:rPr>
        <w:t>0</w:t>
      </w:r>
      <w:r>
        <w:rPr>
          <w:rFonts w:hint="default" w:ascii="仿宋_GB2312" w:hAnsi="仿宋_GB2312" w:eastAsia="仿宋_GB2312"/>
          <w:color w:val="000000"/>
          <w:position w:val="0"/>
          <w:sz w:val="32"/>
          <w:szCs w:val="32"/>
        </w:rPr>
        <w:t>万元、政府采购</w:t>
      </w:r>
      <w:r>
        <w:rPr>
          <w:rFonts w:hint="eastAsia" w:ascii="仿宋_GB2312" w:hAnsi="仿宋_GB2312" w:eastAsia="仿宋_GB2312"/>
          <w:color w:val="000000"/>
          <w:position w:val="0"/>
          <w:sz w:val="32"/>
          <w:szCs w:val="32"/>
          <w:lang w:val="en-US" w:eastAsia="zh-CN"/>
        </w:rPr>
        <w:t>办公</w:t>
      </w:r>
      <w:r>
        <w:rPr>
          <w:rFonts w:hint="default" w:ascii="仿宋_GB2312" w:hAnsi="仿宋_GB2312" w:eastAsia="仿宋_GB2312"/>
          <w:color w:val="000000"/>
          <w:position w:val="0"/>
          <w:sz w:val="32"/>
          <w:szCs w:val="32"/>
        </w:rPr>
        <w:t>支出</w:t>
      </w:r>
      <w:r>
        <w:rPr>
          <w:rFonts w:hint="eastAsia" w:ascii="仿宋_GB2312" w:hAnsi="仿宋_GB2312" w:eastAsia="仿宋_GB2312"/>
          <w:color w:val="000000"/>
          <w:position w:val="0"/>
          <w:sz w:val="32"/>
          <w:szCs w:val="32"/>
          <w:lang w:val="en-US" w:eastAsia="zh-CN"/>
        </w:rPr>
        <w:t>4.28</w:t>
      </w:r>
      <w:r>
        <w:rPr>
          <w:rFonts w:hint="default" w:ascii="仿宋_GB2312" w:hAnsi="仿宋_GB2312" w:eastAsia="仿宋_GB2312"/>
          <w:color w:val="000000"/>
          <w:position w:val="0"/>
          <w:sz w:val="32"/>
          <w:szCs w:val="32"/>
        </w:rPr>
        <w:t>万元。授予中小企业合同金额</w:t>
      </w:r>
      <w:r>
        <w:rPr>
          <w:rFonts w:hint="eastAsia" w:ascii="仿宋_GB2312" w:hAnsi="仿宋_GB2312" w:eastAsia="仿宋_GB2312"/>
          <w:color w:val="000000"/>
          <w:position w:val="0"/>
          <w:sz w:val="32"/>
          <w:szCs w:val="32"/>
          <w:lang w:val="en-US" w:eastAsia="zh-CN"/>
        </w:rPr>
        <w:t>0</w:t>
      </w:r>
      <w:r>
        <w:rPr>
          <w:rFonts w:hint="default" w:ascii="仿宋_GB2312" w:hAnsi="仿宋_GB2312" w:eastAsia="仿宋_GB2312"/>
          <w:color w:val="000000"/>
          <w:position w:val="0"/>
          <w:sz w:val="32"/>
          <w:szCs w:val="32"/>
        </w:rPr>
        <w:t>万元，占政府采购支出总额的</w:t>
      </w:r>
      <w:r>
        <w:rPr>
          <w:rFonts w:hint="eastAsia" w:ascii="仿宋_GB2312" w:hAnsi="仿宋_GB2312" w:eastAsia="仿宋_GB2312"/>
          <w:color w:val="000000"/>
          <w:position w:val="0"/>
          <w:sz w:val="32"/>
          <w:szCs w:val="32"/>
          <w:lang w:val="en-US" w:eastAsia="zh-CN"/>
        </w:rPr>
        <w:t>0</w:t>
      </w:r>
      <w:r>
        <w:rPr>
          <w:rFonts w:hint="default" w:ascii="仿宋_GB2312" w:hAnsi="仿宋_GB2312" w:eastAsia="仿宋_GB2312"/>
          <w:color w:val="000000"/>
          <w:position w:val="0"/>
          <w:sz w:val="32"/>
          <w:szCs w:val="32"/>
        </w:rPr>
        <w:t>%，其中：授予小微企业合同金额</w:t>
      </w:r>
      <w:r>
        <w:rPr>
          <w:rFonts w:hint="eastAsia" w:ascii="仿宋_GB2312" w:hAnsi="仿宋_GB2312" w:eastAsia="仿宋_GB2312"/>
          <w:color w:val="000000"/>
          <w:position w:val="0"/>
          <w:sz w:val="32"/>
          <w:szCs w:val="32"/>
          <w:lang w:val="en-US" w:eastAsia="zh-CN"/>
        </w:rPr>
        <w:t>0</w:t>
      </w:r>
      <w:r>
        <w:rPr>
          <w:rFonts w:hint="default" w:ascii="仿宋_GB2312" w:hAnsi="仿宋_GB2312" w:eastAsia="仿宋_GB2312"/>
          <w:color w:val="000000"/>
          <w:position w:val="0"/>
          <w:sz w:val="32"/>
          <w:szCs w:val="32"/>
        </w:rPr>
        <w:t>万元，占政府采购支出总额的</w:t>
      </w:r>
      <w:r>
        <w:rPr>
          <w:rFonts w:hint="eastAsia" w:ascii="仿宋_GB2312" w:hAnsi="仿宋_GB2312" w:eastAsia="仿宋_GB2312"/>
          <w:color w:val="000000"/>
          <w:position w:val="0"/>
          <w:sz w:val="32"/>
          <w:szCs w:val="32"/>
          <w:lang w:val="en-US" w:eastAsia="zh-CN"/>
        </w:rPr>
        <w:t>0</w:t>
      </w:r>
      <w:r>
        <w:rPr>
          <w:rFonts w:hint="default" w:ascii="仿宋_GB2312" w:hAnsi="仿宋_GB2312" w:eastAsia="仿宋_GB2312"/>
          <w:color w:val="000000"/>
          <w:position w:val="0"/>
          <w:sz w:val="32"/>
          <w:szCs w:val="32"/>
        </w:rPr>
        <w:t>%。</w:t>
      </w:r>
    </w:p>
    <w:p>
      <w:pPr>
        <w:numPr>
          <w:ilvl w:val="0"/>
          <w:numId w:val="0"/>
        </w:numPr>
        <w:autoSpaceDE/>
        <w:autoSpaceDN/>
        <w:spacing w:before="0" w:after="160" w:line="600" w:lineRule="exact"/>
        <w:ind w:left="0" w:right="0" w:firstLine="640"/>
        <w:jc w:val="both"/>
        <w:rPr>
          <w:rFonts w:hint="default" w:ascii="仿宋_GB2312" w:hAnsi="仿宋_GB2312" w:eastAsia="仿宋_GB2312"/>
          <w:color w:val="000000"/>
          <w:position w:val="0"/>
          <w:sz w:val="32"/>
          <w:szCs w:val="32"/>
        </w:rPr>
      </w:pPr>
    </w:p>
    <w:p>
      <w:pPr>
        <w:numPr>
          <w:ilvl w:val="0"/>
          <w:numId w:val="0"/>
        </w:numPr>
        <w:autoSpaceDE w:val="0"/>
        <w:autoSpaceDN w:val="0"/>
        <w:spacing w:before="0" w:after="160" w:line="600" w:lineRule="exact"/>
        <w:ind w:left="0" w:right="0" w:firstLine="643"/>
        <w:jc w:val="left"/>
        <w:outlineLvl w:val="2"/>
        <w:rPr>
          <w:rFonts w:hint="default" w:ascii="仿宋" w:hAnsi="仿宋" w:eastAsia="仿宋"/>
          <w:b/>
          <w:color w:val="000000"/>
          <w:position w:val="0"/>
          <w:sz w:val="32"/>
          <w:szCs w:val="32"/>
        </w:rPr>
      </w:pPr>
    </w:p>
    <w:p>
      <w:pPr>
        <w:numPr>
          <w:ilvl w:val="0"/>
          <w:numId w:val="0"/>
        </w:numPr>
        <w:autoSpaceDE w:val="0"/>
        <w:autoSpaceDN w:val="0"/>
        <w:spacing w:before="0" w:after="160" w:line="600" w:lineRule="exact"/>
        <w:ind w:left="0" w:right="0" w:firstLine="643"/>
        <w:jc w:val="left"/>
        <w:outlineLvl w:val="2"/>
        <w:rPr>
          <w:rFonts w:hint="default" w:ascii="仿宋" w:hAnsi="仿宋" w:eastAsia="仿宋"/>
          <w:b/>
          <w:color w:val="000000"/>
          <w:position w:val="0"/>
          <w:sz w:val="32"/>
          <w:szCs w:val="32"/>
        </w:rPr>
      </w:pPr>
      <w:bookmarkStart w:id="109" w:name="_Toc15377224"/>
      <w:r>
        <w:rPr>
          <w:rFonts w:hint="default" w:ascii="仿宋" w:hAnsi="仿宋" w:eastAsia="仿宋"/>
          <w:b/>
          <w:color w:val="000000"/>
          <w:position w:val="0"/>
          <w:sz w:val="32"/>
          <w:szCs w:val="32"/>
        </w:rPr>
        <w:t>（三）国有资产占有使用情况</w:t>
      </w:r>
      <w:bookmarkEnd w:id="109"/>
    </w:p>
    <w:p>
      <w:pPr>
        <w:numPr>
          <w:ilvl w:val="0"/>
          <w:numId w:val="0"/>
        </w:numPr>
        <w:autoSpaceDE w:val="0"/>
        <w:autoSpaceDN w:val="0"/>
        <w:spacing w:before="0" w:after="160" w:line="600" w:lineRule="exact"/>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截至2018年12月31日，红原县社保局共有车辆1辆，其中：其中：部级领导干部用车</w:t>
      </w:r>
      <w:r>
        <w:rPr>
          <w:rFonts w:hint="eastAsia" w:ascii="仿宋_GB2312" w:hAnsi="仿宋_GB2312" w:eastAsia="仿宋_GB2312"/>
          <w:color w:val="000000"/>
          <w:position w:val="0"/>
          <w:sz w:val="32"/>
          <w:szCs w:val="32"/>
          <w:lang w:val="en-US" w:eastAsia="zh-CN"/>
        </w:rPr>
        <w:t>0</w:t>
      </w:r>
      <w:r>
        <w:rPr>
          <w:rFonts w:hint="default" w:ascii="仿宋_GB2312" w:hAnsi="仿宋_GB2312" w:eastAsia="仿宋_GB2312"/>
          <w:color w:val="000000"/>
          <w:position w:val="0"/>
          <w:sz w:val="32"/>
          <w:szCs w:val="32"/>
        </w:rPr>
        <w:t>辆、一般公务用车</w:t>
      </w:r>
      <w:r>
        <w:rPr>
          <w:rFonts w:hint="eastAsia" w:ascii="仿宋_GB2312" w:hAnsi="仿宋_GB2312" w:eastAsia="仿宋_GB2312"/>
          <w:color w:val="000000"/>
          <w:position w:val="0"/>
          <w:sz w:val="32"/>
          <w:szCs w:val="32"/>
          <w:lang w:val="en-US" w:eastAsia="zh-CN"/>
        </w:rPr>
        <w:t>1</w:t>
      </w:r>
      <w:r>
        <w:rPr>
          <w:rFonts w:hint="default" w:ascii="仿宋_GB2312" w:hAnsi="仿宋_GB2312" w:eastAsia="仿宋_GB2312"/>
          <w:color w:val="000000"/>
          <w:position w:val="0"/>
          <w:sz w:val="32"/>
          <w:szCs w:val="32"/>
        </w:rPr>
        <w:t>辆、一般执法执勤用车</w:t>
      </w:r>
      <w:r>
        <w:rPr>
          <w:rFonts w:hint="eastAsia" w:ascii="仿宋_GB2312" w:hAnsi="仿宋_GB2312" w:eastAsia="仿宋_GB2312"/>
          <w:color w:val="000000"/>
          <w:position w:val="0"/>
          <w:sz w:val="32"/>
          <w:szCs w:val="32"/>
          <w:lang w:val="en-US" w:eastAsia="zh-CN"/>
        </w:rPr>
        <w:t>0</w:t>
      </w:r>
      <w:r>
        <w:rPr>
          <w:rFonts w:hint="default" w:ascii="仿宋_GB2312" w:hAnsi="仿宋_GB2312" w:eastAsia="仿宋_GB2312"/>
          <w:color w:val="000000"/>
          <w:position w:val="0"/>
          <w:sz w:val="32"/>
          <w:szCs w:val="32"/>
        </w:rPr>
        <w:t>辆、特种专业技术用车</w:t>
      </w:r>
      <w:r>
        <w:rPr>
          <w:rFonts w:hint="eastAsia" w:ascii="仿宋_GB2312" w:hAnsi="仿宋_GB2312" w:eastAsia="仿宋_GB2312"/>
          <w:color w:val="000000"/>
          <w:position w:val="0"/>
          <w:sz w:val="32"/>
          <w:szCs w:val="32"/>
          <w:lang w:val="en-US" w:eastAsia="zh-CN"/>
        </w:rPr>
        <w:t>0</w:t>
      </w:r>
      <w:r>
        <w:rPr>
          <w:rFonts w:hint="default" w:ascii="仿宋_GB2312" w:hAnsi="仿宋_GB2312" w:eastAsia="仿宋_GB2312"/>
          <w:color w:val="000000"/>
          <w:position w:val="0"/>
          <w:sz w:val="32"/>
          <w:szCs w:val="32"/>
        </w:rPr>
        <w:t>辆、其他用车</w:t>
      </w:r>
      <w:r>
        <w:rPr>
          <w:rFonts w:hint="eastAsia" w:ascii="仿宋_GB2312" w:hAnsi="仿宋_GB2312" w:eastAsia="仿宋_GB2312"/>
          <w:color w:val="000000"/>
          <w:position w:val="0"/>
          <w:sz w:val="32"/>
          <w:szCs w:val="32"/>
          <w:lang w:val="en-US" w:eastAsia="zh-CN"/>
        </w:rPr>
        <w:t>0</w:t>
      </w:r>
      <w:r>
        <w:rPr>
          <w:rFonts w:hint="default" w:ascii="仿宋_GB2312" w:hAnsi="仿宋_GB2312" w:eastAsia="仿宋_GB2312"/>
          <w:color w:val="000000"/>
          <w:position w:val="0"/>
          <w:sz w:val="32"/>
          <w:szCs w:val="32"/>
        </w:rPr>
        <w:t>辆，</w:t>
      </w:r>
      <w:r>
        <w:rPr>
          <w:rFonts w:hint="default" w:ascii="仿宋_GB2312" w:hAnsi="仿宋_GB2312" w:eastAsia="仿宋_GB2312"/>
          <w:color w:val="000000" w:themeColor="text1"/>
          <w:position w:val="0"/>
          <w:sz w:val="32"/>
          <w:szCs w:val="32"/>
          <w14:textFill>
            <w14:solidFill>
              <w14:schemeClr w14:val="tx1"/>
            </w14:solidFill>
          </w14:textFill>
        </w:rPr>
        <w:t>单价50万元以上通用设备</w:t>
      </w:r>
      <w:r>
        <w:rPr>
          <w:rFonts w:hint="eastAsia" w:ascii="仿宋_GB2312" w:hAnsi="仿宋_GB2312" w:eastAsia="仿宋_GB2312"/>
          <w:color w:val="000000" w:themeColor="text1"/>
          <w:position w:val="0"/>
          <w:sz w:val="32"/>
          <w:szCs w:val="32"/>
          <w:lang w:val="en-US" w:eastAsia="zh-CN"/>
          <w14:textFill>
            <w14:solidFill>
              <w14:schemeClr w14:val="tx1"/>
            </w14:solidFill>
          </w14:textFill>
        </w:rPr>
        <w:t>0</w:t>
      </w:r>
      <w:r>
        <w:rPr>
          <w:rFonts w:hint="default" w:ascii="仿宋_GB2312" w:hAnsi="仿宋_GB2312" w:eastAsia="仿宋_GB2312"/>
          <w:color w:val="000000" w:themeColor="text1"/>
          <w:position w:val="0"/>
          <w:sz w:val="32"/>
          <w:szCs w:val="32"/>
          <w14:textFill>
            <w14:solidFill>
              <w14:schemeClr w14:val="tx1"/>
            </w14:solidFill>
          </w14:textFill>
        </w:rPr>
        <w:t>台（套），单价100</w:t>
      </w:r>
      <w:r>
        <w:rPr>
          <w:rFonts w:hint="default" w:ascii="仿宋_GB2312" w:hAnsi="仿宋_GB2312" w:eastAsia="仿宋_GB2312"/>
          <w:color w:val="000000"/>
          <w:position w:val="0"/>
          <w:sz w:val="32"/>
          <w:szCs w:val="32"/>
        </w:rPr>
        <w:t>万元以上专用设备</w:t>
      </w:r>
      <w:r>
        <w:rPr>
          <w:rFonts w:hint="eastAsia" w:ascii="仿宋_GB2312" w:hAnsi="仿宋_GB2312" w:eastAsia="仿宋_GB2312"/>
          <w:color w:val="000000"/>
          <w:position w:val="0"/>
          <w:sz w:val="32"/>
          <w:szCs w:val="32"/>
          <w:lang w:val="en-US" w:eastAsia="zh-CN"/>
        </w:rPr>
        <w:t>0</w:t>
      </w:r>
      <w:r>
        <w:rPr>
          <w:rFonts w:hint="default" w:ascii="仿宋_GB2312" w:hAnsi="仿宋_GB2312" w:eastAsia="仿宋_GB2312"/>
          <w:color w:val="000000"/>
          <w:position w:val="0"/>
          <w:sz w:val="32"/>
          <w:szCs w:val="32"/>
        </w:rPr>
        <w:t>台（套）。</w:t>
      </w:r>
    </w:p>
    <w:p>
      <w:pPr>
        <w:numPr>
          <w:ilvl w:val="0"/>
          <w:numId w:val="0"/>
        </w:numPr>
        <w:autoSpaceDE w:val="0"/>
        <w:autoSpaceDN w:val="0"/>
        <w:spacing w:before="0" w:after="160" w:line="600" w:lineRule="exact"/>
        <w:ind w:left="0" w:right="0" w:firstLine="640"/>
        <w:jc w:val="left"/>
        <w:rPr>
          <w:rFonts w:hint="default" w:ascii="仿宋_GB2312" w:hAnsi="仿宋_GB2312" w:eastAsia="仿宋_GB2312"/>
          <w:color w:val="000000"/>
          <w:position w:val="0"/>
          <w:sz w:val="32"/>
          <w:szCs w:val="32"/>
        </w:rPr>
      </w:pPr>
    </w:p>
    <w:p>
      <w:pPr>
        <w:numPr>
          <w:ilvl w:val="0"/>
          <w:numId w:val="0"/>
        </w:numPr>
        <w:autoSpaceDE w:val="0"/>
        <w:autoSpaceDN w:val="0"/>
        <w:spacing w:before="0" w:after="160" w:line="600" w:lineRule="exact"/>
        <w:ind w:left="0" w:right="0" w:firstLine="643"/>
        <w:jc w:val="left"/>
        <w:outlineLvl w:val="2"/>
        <w:rPr>
          <w:rFonts w:hint="default" w:ascii="仿宋" w:hAnsi="仿宋" w:eastAsia="仿宋"/>
          <w:b/>
          <w:color w:val="000000"/>
          <w:position w:val="0"/>
          <w:sz w:val="32"/>
          <w:szCs w:val="32"/>
        </w:rPr>
      </w:pPr>
    </w:p>
    <w:p>
      <w:pPr>
        <w:numPr>
          <w:ilvl w:val="0"/>
          <w:numId w:val="0"/>
        </w:numPr>
        <w:autoSpaceDE/>
        <w:autoSpaceDN/>
        <w:spacing w:before="0" w:after="160" w:line="600" w:lineRule="atLeast"/>
        <w:ind w:left="0" w:right="0" w:firstLine="643"/>
        <w:jc w:val="both"/>
        <w:rPr>
          <w:rFonts w:hint="default" w:ascii="仿宋_GB2312" w:hAnsi="仿宋_GB2312" w:eastAsia="仿宋_GB2312"/>
          <w:b/>
          <w:color w:val="000000"/>
          <w:position w:val="0"/>
          <w:sz w:val="32"/>
          <w:szCs w:val="32"/>
        </w:rPr>
      </w:pPr>
    </w:p>
    <w:p>
      <w:pPr>
        <w:numPr>
          <w:ilvl w:val="0"/>
          <w:numId w:val="0"/>
        </w:numPr>
        <w:autoSpaceDE/>
        <w:autoSpaceDN/>
        <w:spacing w:before="0" w:after="160" w:line="240" w:lineRule="auto"/>
        <w:ind w:left="0" w:right="0" w:firstLine="0"/>
        <w:jc w:val="left"/>
        <w:rPr>
          <w:rFonts w:hint="default" w:ascii="仿宋_GB2312" w:hAnsi="仿宋_GB2312" w:eastAsia="仿宋_GB2312"/>
          <w:b/>
          <w:color w:val="000000"/>
          <w:position w:val="0"/>
          <w:sz w:val="32"/>
          <w:szCs w:val="32"/>
        </w:rPr>
      </w:pPr>
      <w:r>
        <w:br w:type="page"/>
      </w:r>
    </w:p>
    <w:p>
      <w:pPr>
        <w:numPr>
          <w:ilvl w:val="0"/>
          <w:numId w:val="0"/>
        </w:numPr>
        <w:autoSpaceDE/>
        <w:autoSpaceDN/>
        <w:spacing w:before="0" w:after="160" w:line="600" w:lineRule="exact"/>
        <w:ind w:left="0" w:right="0" w:firstLine="0"/>
        <w:jc w:val="center"/>
        <w:outlineLvl w:val="0"/>
        <w:rPr>
          <w:rStyle w:val="49"/>
          <w:rFonts w:hint="default" w:ascii="黑体" w:hAnsi="黑体" w:eastAsia="黑体"/>
          <w:b w:val="0"/>
          <w:color w:val="auto"/>
          <w:position w:val="0"/>
          <w:sz w:val="44"/>
          <w:szCs w:val="44"/>
        </w:rPr>
      </w:pPr>
      <w:bookmarkStart w:id="110" w:name="_Toc17376_WPSOffice_Level1"/>
      <w:r>
        <w:rPr>
          <w:rStyle w:val="49"/>
          <w:rFonts w:hint="default" w:ascii="黑体" w:hAnsi="黑体" w:eastAsia="黑体"/>
          <w:b w:val="0"/>
          <w:color w:val="auto"/>
          <w:position w:val="0"/>
          <w:sz w:val="44"/>
          <w:szCs w:val="44"/>
        </w:rPr>
        <w:t xml:space="preserve">第三部分 </w:t>
      </w:r>
      <w:bookmarkStart w:id="111" w:name="_Toc15396613"/>
      <w:bookmarkStart w:id="112" w:name="_Toc15377225"/>
      <w:r>
        <w:rPr>
          <w:rFonts w:hint="default" w:ascii="黑体" w:hAnsi="黑体" w:eastAsia="黑体"/>
          <w:b/>
          <w:color w:val="000000"/>
          <w:position w:val="0"/>
          <w:sz w:val="44"/>
          <w:szCs w:val="44"/>
        </w:rPr>
        <w:t>名</w:t>
      </w:r>
      <w:r>
        <w:rPr>
          <w:rStyle w:val="49"/>
          <w:rFonts w:hint="default" w:ascii="黑体" w:hAnsi="黑体" w:eastAsia="黑体"/>
          <w:b w:val="0"/>
          <w:color w:val="auto"/>
          <w:position w:val="0"/>
          <w:sz w:val="44"/>
          <w:szCs w:val="44"/>
        </w:rPr>
        <w:t>词解释</w:t>
      </w:r>
      <w:bookmarkEnd w:id="110"/>
      <w:bookmarkEnd w:id="111"/>
      <w:bookmarkEnd w:id="112"/>
    </w:p>
    <w:p>
      <w:pPr>
        <w:numPr>
          <w:ilvl w:val="0"/>
          <w:numId w:val="0"/>
        </w:numPr>
        <w:autoSpaceDE/>
        <w:autoSpaceDN/>
        <w:spacing w:before="0" w:after="160" w:line="600" w:lineRule="exact"/>
        <w:ind w:left="0" w:right="0" w:firstLine="0"/>
        <w:jc w:val="left"/>
        <w:rPr>
          <w:rFonts w:hint="default" w:ascii="宋体" w:hAnsi="Times New Roman" w:eastAsia="Times New Roman"/>
          <w:b/>
          <w:color w:val="000000"/>
          <w:position w:val="0"/>
          <w:sz w:val="44"/>
          <w:szCs w:val="44"/>
        </w:rPr>
      </w:pPr>
    </w:p>
    <w:p>
      <w:pPr>
        <w:numPr>
          <w:ilvl w:val="0"/>
          <w:numId w:val="0"/>
        </w:numPr>
        <w:autoSpaceDE w:val="0"/>
        <w:autoSpaceDN w:val="0"/>
        <w:spacing w:before="0" w:after="160" w:line="560" w:lineRule="exact"/>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1.财政拨款收入：指单位从同级财政部门取得的财政预算资金。</w:t>
      </w:r>
    </w:p>
    <w:p>
      <w:pPr>
        <w:numPr>
          <w:ilvl w:val="0"/>
          <w:numId w:val="0"/>
        </w:numPr>
        <w:autoSpaceDE w:val="0"/>
        <w:autoSpaceDN w:val="0"/>
        <w:spacing w:before="0" w:after="160" w:line="560" w:lineRule="exact"/>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2.事业收入：指事业单位开展专业业务活动及辅助活动取得的收入。</w:t>
      </w:r>
    </w:p>
    <w:p>
      <w:pPr>
        <w:numPr>
          <w:ilvl w:val="0"/>
          <w:numId w:val="0"/>
        </w:numPr>
        <w:autoSpaceDE w:val="0"/>
        <w:autoSpaceDN w:val="0"/>
        <w:spacing w:before="0" w:after="160" w:line="560" w:lineRule="exact"/>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3.经营收入：指事业单位在专业业务活动及其辅助活动之外开展非独立核算经营活动取得的收入。</w:t>
      </w:r>
    </w:p>
    <w:p>
      <w:pPr>
        <w:numPr>
          <w:ilvl w:val="0"/>
          <w:numId w:val="0"/>
        </w:numPr>
        <w:autoSpaceDE w:val="0"/>
        <w:autoSpaceDN w:val="0"/>
        <w:spacing w:before="0" w:after="160" w:line="560" w:lineRule="exact"/>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 xml:space="preserve">4.其他收入：指单位取得的除上述收入以外的各项收入。 </w:t>
      </w:r>
    </w:p>
    <w:p>
      <w:pPr>
        <w:numPr>
          <w:ilvl w:val="0"/>
          <w:numId w:val="0"/>
        </w:numPr>
        <w:autoSpaceDE w:val="0"/>
        <w:autoSpaceDN w:val="0"/>
        <w:spacing w:before="0" w:after="160" w:line="560" w:lineRule="exact"/>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numPr>
          <w:ilvl w:val="0"/>
          <w:numId w:val="0"/>
        </w:numPr>
        <w:autoSpaceDE w:val="0"/>
        <w:autoSpaceDN w:val="0"/>
        <w:spacing w:before="0" w:after="160" w:line="560" w:lineRule="exact"/>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 xml:space="preserve">6.年初结转和结余：指以前年度尚未完成、结转到本年按有关规定继续使用的资金。 </w:t>
      </w:r>
    </w:p>
    <w:p>
      <w:pPr>
        <w:numPr>
          <w:ilvl w:val="0"/>
          <w:numId w:val="0"/>
        </w:numPr>
        <w:autoSpaceDE w:val="0"/>
        <w:autoSpaceDN w:val="0"/>
        <w:spacing w:before="0" w:after="160" w:line="560" w:lineRule="exact"/>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7.结余分配：指事业单位按照事业单位会计制度的规定从非财政补助结余中分配的事业基金和职工福利基金等。</w:t>
      </w:r>
    </w:p>
    <w:p>
      <w:pPr>
        <w:pStyle w:val="26"/>
        <w:numPr>
          <w:ilvl w:val="0"/>
          <w:numId w:val="0"/>
        </w:numPr>
        <w:autoSpaceDE w:val="0"/>
        <w:autoSpaceDN w:val="0"/>
        <w:spacing w:before="0" w:after="0" w:line="240" w:lineRule="auto"/>
        <w:ind w:left="0" w:right="0" w:firstLine="640"/>
        <w:jc w:val="both"/>
        <w:rPr>
          <w:rFonts w:hint="default" w:ascii="Calibri" w:hAnsi="宋体" w:eastAsia="宋体"/>
          <w:b w:val="0"/>
          <w:color w:val="auto"/>
          <w:position w:val="0"/>
          <w:sz w:val="32"/>
          <w:szCs w:val="32"/>
        </w:rPr>
      </w:pPr>
      <w:r>
        <w:rPr>
          <w:rFonts w:hint="default" w:ascii="Calibri" w:hAnsi="宋体" w:eastAsia="宋体"/>
          <w:b w:val="0"/>
          <w:color w:val="auto"/>
          <w:position w:val="0"/>
          <w:sz w:val="32"/>
          <w:szCs w:val="32"/>
        </w:rPr>
        <w:t>8、年末结转和结余：指单位按有关规定结转到下年或以后年度继续使用的资金。</w:t>
      </w:r>
    </w:p>
    <w:p>
      <w:pPr>
        <w:numPr>
          <w:ilvl w:val="0"/>
          <w:numId w:val="0"/>
        </w:numPr>
        <w:wordWrap w:val="0"/>
        <w:autoSpaceDE/>
        <w:autoSpaceDN/>
        <w:spacing w:before="0" w:after="160" w:line="240" w:lineRule="auto"/>
        <w:ind w:left="0" w:right="0" w:firstLine="64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9.一般公共服务支出：指反应一般公共服务支出：指反映各级人民团体、社会团体、群众团体以及工会、妇联、共青团组织(包括中华青年联合会)等方面的支出。</w:t>
      </w:r>
    </w:p>
    <w:p>
      <w:pPr>
        <w:numPr>
          <w:ilvl w:val="0"/>
          <w:numId w:val="0"/>
        </w:numPr>
        <w:wordWrap w:val="0"/>
        <w:autoSpaceDE/>
        <w:autoSpaceDN/>
        <w:spacing w:before="0" w:after="160" w:line="240" w:lineRule="auto"/>
        <w:ind w:left="0" w:right="0" w:firstLine="64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行政运行指：反映行政单位(包括实行公务员管理的事业单位)的基支本支出。</w:t>
      </w:r>
    </w:p>
    <w:p>
      <w:pPr>
        <w:numPr>
          <w:ilvl w:val="0"/>
          <w:numId w:val="0"/>
        </w:numPr>
        <w:wordWrap w:val="0"/>
        <w:autoSpaceDE/>
        <w:autoSpaceDN/>
        <w:spacing w:before="0" w:after="160" w:line="240" w:lineRule="auto"/>
        <w:ind w:left="0" w:right="0" w:firstLine="64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事业运行指：反映事业单位的基支本支出，不包括行政单位(包括实行公务员管理的事业单位)后勤服务中心、医务室等附属事业单位。</w:t>
      </w:r>
    </w:p>
    <w:p>
      <w:pPr>
        <w:numPr>
          <w:ilvl w:val="0"/>
          <w:numId w:val="0"/>
        </w:numPr>
        <w:wordWrap w:val="0"/>
        <w:autoSpaceDE/>
        <w:autoSpaceDN/>
        <w:spacing w:before="0" w:after="160" w:line="240" w:lineRule="auto"/>
        <w:ind w:left="0" w:right="0" w:firstLine="64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其他群众团体事务支出：反映除上述项目外其他用于群众团体事务方面的支出。</w:t>
      </w:r>
    </w:p>
    <w:p>
      <w:pPr>
        <w:numPr>
          <w:ilvl w:val="0"/>
          <w:numId w:val="0"/>
        </w:numPr>
        <w:wordWrap w:val="0"/>
        <w:autoSpaceDE/>
        <w:autoSpaceDN/>
        <w:spacing w:before="0" w:after="160" w:line="240" w:lineRule="auto"/>
        <w:ind w:left="0" w:right="0" w:firstLine="32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10.社会保障和就业支出指：反映政府在社会保障与就业方面的支出。</w:t>
      </w:r>
    </w:p>
    <w:p>
      <w:pPr>
        <w:numPr>
          <w:ilvl w:val="0"/>
          <w:numId w:val="0"/>
        </w:numPr>
        <w:wordWrap w:val="0"/>
        <w:autoSpaceDE/>
        <w:autoSpaceDN/>
        <w:spacing w:before="0" w:after="160" w:line="240" w:lineRule="auto"/>
        <w:ind w:left="0" w:right="0" w:firstLine="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机关事业单位基本养老保险缴费支出指机关事业单位实施养老保险制度由单位实际缴纳的基本养老保险缴费支出。</w:t>
      </w:r>
    </w:p>
    <w:p>
      <w:pPr>
        <w:numPr>
          <w:ilvl w:val="0"/>
          <w:numId w:val="0"/>
        </w:numPr>
        <w:wordWrap w:val="0"/>
        <w:autoSpaceDE/>
        <w:autoSpaceDN/>
        <w:spacing w:before="0" w:after="160" w:line="240" w:lineRule="auto"/>
        <w:ind w:left="0" w:right="0" w:firstLine="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机关事业单位职业年金反映机关事业单位实施养老保险制度由单位实际缴纳的职业年金缴费支出。</w:t>
      </w:r>
    </w:p>
    <w:p>
      <w:pPr>
        <w:numPr>
          <w:ilvl w:val="0"/>
          <w:numId w:val="0"/>
        </w:numPr>
        <w:tabs>
          <w:tab w:val="left" w:pos="312"/>
        </w:tabs>
        <w:wordWrap w:val="0"/>
        <w:autoSpaceDE/>
        <w:autoSpaceDN/>
        <w:bidi w:val="0"/>
        <w:spacing w:before="0" w:after="160" w:line="240" w:lineRule="auto"/>
        <w:ind w:left="0" w:right="0" w:firstLine="32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11.医疗卫生与计划生育支出：反映医疗卫生与计划生育、中医等管理事务方面的支出。</w:t>
      </w:r>
    </w:p>
    <w:p>
      <w:pPr>
        <w:pageBreakBefore w:val="0"/>
        <w:numPr>
          <w:ilvl w:val="0"/>
          <w:numId w:val="0"/>
        </w:numPr>
        <w:wordWrap w:val="0"/>
        <w:autoSpaceDE/>
        <w:autoSpaceDN/>
        <w:bidi w:val="0"/>
        <w:snapToGrid/>
        <w:spacing w:before="0" w:after="160" w:line="240" w:lineRule="auto"/>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行政单位医疗：反映行政事业单位医疗方面的支出。反映财政部门集中安排的行政单位基本医疗保险缴费经费,未参加医疗保险的行政单位的公费医疗经费,按国家</w:t>
      </w:r>
    </w:p>
    <w:p>
      <w:pPr>
        <w:pageBreakBefore w:val="0"/>
        <w:numPr>
          <w:ilvl w:val="0"/>
          <w:numId w:val="0"/>
        </w:numPr>
        <w:wordWrap w:val="0"/>
        <w:autoSpaceDE/>
        <w:autoSpaceDN/>
        <w:bidi w:val="0"/>
        <w:snapToGrid/>
        <w:spacing w:before="0" w:after="160" w:line="240" w:lineRule="auto"/>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规定享受离休人员、红军老战士待遇人员的医疗经费。</w:t>
      </w:r>
    </w:p>
    <w:p>
      <w:pPr>
        <w:pageBreakBefore w:val="0"/>
        <w:numPr>
          <w:ilvl w:val="0"/>
          <w:numId w:val="0"/>
        </w:numPr>
        <w:wordWrap w:val="0"/>
        <w:autoSpaceDE/>
        <w:autoSpaceDN/>
        <w:bidi w:val="0"/>
        <w:snapToGrid/>
        <w:spacing w:before="0" w:after="160" w:line="240" w:lineRule="auto"/>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事业单位医疗：反映财政部门集中安排的事业单位基本医疗保险缴费经费,未参加医疗保险的事业单位的公费医疗经费,按国家规定享受离休人员待遇的医疗经费。</w:t>
      </w:r>
    </w:p>
    <w:p>
      <w:pPr>
        <w:pageBreakBefore w:val="0"/>
        <w:numPr>
          <w:ilvl w:val="0"/>
          <w:numId w:val="0"/>
        </w:numPr>
        <w:wordWrap w:val="0"/>
        <w:autoSpaceDE/>
        <w:autoSpaceDN/>
        <w:bidi w:val="0"/>
        <w:snapToGrid/>
        <w:spacing w:before="0" w:after="160" w:line="240" w:lineRule="auto"/>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公务员医疗补助指：反映财政部门集中安排的公务员医疗补助经费。</w:t>
      </w:r>
    </w:p>
    <w:p>
      <w:pPr>
        <w:pageBreakBefore w:val="0"/>
        <w:numPr>
          <w:ilvl w:val="0"/>
          <w:numId w:val="0"/>
        </w:numPr>
        <w:wordWrap w:val="0"/>
        <w:autoSpaceDE/>
        <w:autoSpaceDN/>
        <w:bidi w:val="0"/>
        <w:snapToGrid/>
        <w:spacing w:before="0" w:after="160" w:line="240" w:lineRule="auto"/>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其他行政事业单位医疗支出：反映除上述项目以外的其他用于行政事业单位医疗方面的支出。</w:t>
      </w:r>
    </w:p>
    <w:p>
      <w:pPr>
        <w:numPr>
          <w:ilvl w:val="0"/>
          <w:numId w:val="0"/>
        </w:numPr>
        <w:autoSpaceDE/>
        <w:autoSpaceDN/>
        <w:spacing w:before="0" w:after="160" w:line="240" w:lineRule="auto"/>
        <w:ind w:left="0" w:right="0" w:firstLine="64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12.基本支出：指为保障机构正常运转、完成日常工作任务而发生的人员支出和公用支出。</w:t>
      </w:r>
    </w:p>
    <w:p>
      <w:pPr>
        <w:numPr>
          <w:ilvl w:val="0"/>
          <w:numId w:val="0"/>
        </w:numPr>
        <w:autoSpaceDE/>
        <w:autoSpaceDN/>
        <w:spacing w:before="0" w:after="160" w:line="240" w:lineRule="auto"/>
        <w:ind w:left="0" w:right="0" w:firstLine="64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 xml:space="preserve">13.项目支出：指在基本支出之外为完成特定行政任务和事业发展目标所发生的支出。 </w:t>
      </w:r>
    </w:p>
    <w:p>
      <w:pPr>
        <w:numPr>
          <w:ilvl w:val="0"/>
          <w:numId w:val="0"/>
        </w:numPr>
        <w:autoSpaceDE/>
        <w:autoSpaceDN/>
        <w:spacing w:before="0" w:after="160" w:line="240" w:lineRule="auto"/>
        <w:ind w:left="0" w:right="0" w:firstLine="64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14.经营支出：指事业单位在专业业务活动及其辅助活动之外开展非独立核算经营活动发生的支出。</w:t>
      </w:r>
    </w:p>
    <w:p>
      <w:pPr>
        <w:numPr>
          <w:ilvl w:val="0"/>
          <w:numId w:val="0"/>
        </w:numPr>
        <w:autoSpaceDE/>
        <w:autoSpaceDN/>
        <w:spacing w:before="0" w:after="160" w:line="240" w:lineRule="auto"/>
        <w:ind w:left="0" w:right="0" w:firstLine="640"/>
        <w:jc w:val="both"/>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numPr>
          <w:ilvl w:val="0"/>
          <w:numId w:val="0"/>
        </w:numPr>
        <w:wordWrap w:val="0"/>
        <w:autoSpaceDE/>
        <w:autoSpaceDN/>
        <w:spacing w:before="0" w:after="160" w:line="560" w:lineRule="exact"/>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numPr>
          <w:ilvl w:val="0"/>
          <w:numId w:val="0"/>
        </w:numPr>
        <w:wordWrap w:val="0"/>
        <w:autoSpaceDE/>
        <w:autoSpaceDN/>
        <w:spacing w:before="0" w:after="160" w:line="240" w:lineRule="auto"/>
        <w:ind w:left="0" w:right="0" w:firstLine="643"/>
        <w:jc w:val="both"/>
        <w:rPr>
          <w:rFonts w:hint="default" w:ascii="仿宋" w:hAnsi="仿宋" w:eastAsia="仿宋"/>
          <w:b/>
          <w:color w:val="000000"/>
          <w:position w:val="0"/>
          <w:sz w:val="32"/>
          <w:szCs w:val="32"/>
        </w:rPr>
      </w:pPr>
    </w:p>
    <w:p>
      <w:pPr>
        <w:numPr>
          <w:ilvl w:val="0"/>
          <w:numId w:val="0"/>
        </w:numPr>
        <w:wordWrap w:val="0"/>
        <w:autoSpaceDE/>
        <w:autoSpaceDN/>
        <w:spacing w:before="0" w:after="160" w:line="560" w:lineRule="exact"/>
        <w:ind w:left="0" w:right="0" w:firstLine="640"/>
        <w:jc w:val="left"/>
        <w:rPr>
          <w:rFonts w:hint="default" w:ascii="仿宋_GB2312" w:hAnsi="仿宋_GB2312" w:eastAsia="仿宋_GB2312"/>
          <w:color w:val="000000"/>
          <w:position w:val="0"/>
          <w:sz w:val="32"/>
          <w:szCs w:val="32"/>
        </w:rPr>
      </w:pPr>
    </w:p>
    <w:p>
      <w:pPr>
        <w:numPr>
          <w:ilvl w:val="0"/>
          <w:numId w:val="0"/>
        </w:numPr>
        <w:autoSpaceDE/>
        <w:autoSpaceDN/>
        <w:spacing w:before="0" w:after="160" w:line="600" w:lineRule="exact"/>
        <w:ind w:left="0" w:right="0" w:firstLine="0"/>
        <w:jc w:val="center"/>
        <w:outlineLvl w:val="0"/>
        <w:rPr>
          <w:rStyle w:val="49"/>
          <w:rFonts w:hint="default" w:ascii="黑体" w:hAnsi="黑体" w:eastAsia="黑体"/>
          <w:b w:val="0"/>
          <w:color w:val="auto"/>
          <w:position w:val="0"/>
          <w:sz w:val="44"/>
          <w:szCs w:val="44"/>
        </w:rPr>
      </w:pPr>
      <w:bookmarkStart w:id="113" w:name="_Toc15377226"/>
      <w:r>
        <w:br w:type="page"/>
      </w:r>
      <w:bookmarkStart w:id="114" w:name="_Toc15396614"/>
      <w:bookmarkStart w:id="115" w:name="_Toc25146_WPSOffice_Level1"/>
      <w:r>
        <w:rPr>
          <w:rFonts w:hint="default" w:ascii="黑体" w:hAnsi="黑体" w:eastAsia="黑体"/>
          <w:color w:val="000000"/>
          <w:position w:val="0"/>
          <w:sz w:val="44"/>
          <w:szCs w:val="44"/>
        </w:rPr>
        <w:t>第</w:t>
      </w:r>
      <w:r>
        <w:rPr>
          <w:rStyle w:val="49"/>
          <w:rFonts w:hint="default" w:ascii="黑体" w:hAnsi="黑体" w:eastAsia="黑体"/>
          <w:b w:val="0"/>
          <w:color w:val="auto"/>
          <w:position w:val="0"/>
          <w:sz w:val="44"/>
          <w:szCs w:val="44"/>
        </w:rPr>
        <w:t>四部分 附件</w:t>
      </w:r>
      <w:bookmarkEnd w:id="114"/>
      <w:bookmarkEnd w:id="115"/>
    </w:p>
    <w:p>
      <w:pPr>
        <w:numPr>
          <w:ilvl w:val="0"/>
          <w:numId w:val="0"/>
        </w:numPr>
        <w:autoSpaceDE/>
        <w:autoSpaceDN/>
        <w:spacing w:before="0" w:after="160" w:line="600" w:lineRule="exact"/>
        <w:ind w:left="0" w:right="0" w:firstLine="0"/>
        <w:jc w:val="center"/>
        <w:outlineLvl w:val="0"/>
        <w:rPr>
          <w:rStyle w:val="49"/>
          <w:rFonts w:hint="default" w:ascii="Times New Roman" w:hAnsi="Times New Roman" w:eastAsia="Times New Roman"/>
          <w:b/>
          <w:color w:val="auto"/>
          <w:position w:val="0"/>
          <w:sz w:val="44"/>
          <w:szCs w:val="44"/>
        </w:rPr>
      </w:pPr>
    </w:p>
    <w:p>
      <w:pPr>
        <w:pStyle w:val="3"/>
        <w:numPr>
          <w:ilvl w:val="0"/>
          <w:numId w:val="0"/>
        </w:numPr>
        <w:autoSpaceDE/>
        <w:autoSpaceDN/>
        <w:spacing w:before="260" w:after="260" w:line="415" w:lineRule="auto"/>
        <w:ind w:left="0" w:right="0" w:firstLine="0"/>
        <w:jc w:val="both"/>
        <w:outlineLvl w:val="1"/>
        <w:rPr>
          <w:rStyle w:val="49"/>
          <w:rFonts w:hint="default" w:ascii="仿宋" w:hAnsi="仿宋" w:eastAsia="仿宋"/>
          <w:b w:val="0"/>
          <w:color w:val="auto"/>
          <w:position w:val="0"/>
          <w:sz w:val="32"/>
          <w:szCs w:val="32"/>
        </w:rPr>
      </w:pPr>
      <w:bookmarkStart w:id="116" w:name="_Toc15396615"/>
      <w:r>
        <w:rPr>
          <w:rStyle w:val="49"/>
          <w:rFonts w:hint="default" w:ascii="仿宋" w:hAnsi="仿宋" w:eastAsia="仿宋"/>
          <w:b w:val="0"/>
          <w:color w:val="auto"/>
          <w:position w:val="0"/>
          <w:sz w:val="32"/>
          <w:szCs w:val="32"/>
        </w:rPr>
        <w:t>附件1</w:t>
      </w:r>
      <w:bookmarkEnd w:id="116"/>
    </w:p>
    <w:p>
      <w:pPr>
        <w:numPr>
          <w:ilvl w:val="0"/>
          <w:numId w:val="0"/>
        </w:numPr>
        <w:autoSpaceDE/>
        <w:autoSpaceDN/>
        <w:spacing w:before="0" w:after="0" w:line="480" w:lineRule="exact"/>
        <w:ind w:left="0" w:right="0" w:firstLine="0"/>
        <w:jc w:val="center"/>
        <w:rPr>
          <w:rFonts w:hint="default" w:ascii="方正小标宋简体" w:hAnsi="方正小标宋简体" w:eastAsia="方正小标宋简体"/>
          <w:color w:val="auto"/>
          <w:position w:val="0"/>
          <w:sz w:val="44"/>
          <w:szCs w:val="44"/>
        </w:rPr>
      </w:pPr>
      <w:bookmarkStart w:id="117" w:name="_Toc21248_WPSOffice_Level2"/>
      <w:bookmarkStart w:id="118" w:name="_Toc15396617"/>
      <w:r>
        <w:rPr>
          <w:rFonts w:hint="default" w:ascii="方正小标宋简体" w:hAnsi="方正小标宋简体" w:eastAsia="方正小标宋简体"/>
          <w:color w:val="auto"/>
          <w:position w:val="0"/>
          <w:sz w:val="44"/>
          <w:szCs w:val="44"/>
        </w:rPr>
        <w:t>红原县社会保险事业管理局整体支出绩效报告范本</w:t>
      </w:r>
      <w:bookmarkEnd w:id="117"/>
    </w:p>
    <w:p>
      <w:pPr>
        <w:numPr>
          <w:ilvl w:val="0"/>
          <w:numId w:val="0"/>
        </w:numPr>
        <w:autoSpaceDE/>
        <w:autoSpaceDN/>
        <w:spacing w:before="0" w:after="0" w:line="480" w:lineRule="exact"/>
        <w:ind w:left="0" w:right="0" w:firstLine="0"/>
        <w:jc w:val="center"/>
        <w:rPr>
          <w:rFonts w:hint="default" w:ascii="黑体" w:hAnsi="宋体" w:eastAsia="宋体"/>
          <w:color w:val="000000"/>
          <w:position w:val="0"/>
          <w:sz w:val="21"/>
          <w:szCs w:val="21"/>
        </w:rPr>
      </w:pPr>
      <w:bookmarkStart w:id="119" w:name="_Toc10876_WPSOffice_Level2"/>
      <w:r>
        <w:rPr>
          <w:rFonts w:hint="default" w:ascii="仿宋_GB2312" w:hAnsi="仿宋_GB2312" w:eastAsia="仿宋_GB2312"/>
          <w:color w:val="auto"/>
          <w:position w:val="0"/>
          <w:sz w:val="32"/>
          <w:szCs w:val="32"/>
        </w:rPr>
        <w:t>（报告范围包括机关和下属单位）</w:t>
      </w:r>
      <w:bookmarkEnd w:id="119"/>
    </w:p>
    <w:p>
      <w:pPr>
        <w:numPr>
          <w:ilvl w:val="0"/>
          <w:numId w:val="0"/>
        </w:numPr>
        <w:autoSpaceDE/>
        <w:autoSpaceDN/>
        <w:snapToGrid w:val="0"/>
        <w:spacing w:before="0" w:after="0" w:line="480" w:lineRule="exact"/>
        <w:ind w:left="0" w:right="0" w:firstLine="720"/>
        <w:jc w:val="left"/>
        <w:rPr>
          <w:rFonts w:hint="default" w:ascii="黑体" w:hAnsi="宋体" w:eastAsia="宋体"/>
          <w:color w:val="000000"/>
          <w:position w:val="0"/>
          <w:sz w:val="21"/>
          <w:szCs w:val="21"/>
        </w:rPr>
      </w:pPr>
      <w:bookmarkStart w:id="120" w:name="_Toc30130_WPSOffice_Level2"/>
      <w:r>
        <w:rPr>
          <w:rFonts w:hint="default" w:ascii="黑体" w:hAnsi="宋体" w:eastAsia="宋体"/>
          <w:color w:val="000000"/>
          <w:position w:val="0"/>
          <w:sz w:val="32"/>
          <w:szCs w:val="32"/>
        </w:rPr>
        <w:t>一、部门（单位）概况</w:t>
      </w:r>
      <w:bookmarkEnd w:id="120"/>
    </w:p>
    <w:p>
      <w:pPr>
        <w:numPr>
          <w:ilvl w:val="0"/>
          <w:numId w:val="0"/>
        </w:numPr>
        <w:autoSpaceDE/>
        <w:autoSpaceDN/>
        <w:snapToGrid w:val="0"/>
        <w:spacing w:before="0" w:after="0" w:line="480" w:lineRule="exact"/>
        <w:ind w:left="0" w:right="0" w:firstLine="720"/>
        <w:jc w:val="left"/>
        <w:rPr>
          <w:rFonts w:hint="default" w:ascii="仿宋_GB2312" w:hAnsi="宋体" w:eastAsia="宋体"/>
          <w:color w:val="000000"/>
          <w:position w:val="0"/>
          <w:sz w:val="32"/>
          <w:szCs w:val="32"/>
        </w:rPr>
      </w:pPr>
      <w:r>
        <w:rPr>
          <w:rFonts w:hint="default" w:ascii="仿宋_GB2312" w:hAnsi="宋体" w:eastAsia="宋体"/>
          <w:color w:val="000000"/>
          <w:position w:val="0"/>
          <w:sz w:val="32"/>
          <w:szCs w:val="32"/>
        </w:rPr>
        <w:t>（一）机构组成。</w:t>
      </w:r>
    </w:p>
    <w:p>
      <w:pPr>
        <w:pageBreakBefore w:val="0"/>
        <w:numPr>
          <w:ilvl w:val="0"/>
          <w:numId w:val="0"/>
        </w:numPr>
        <w:wordWrap w:val="0"/>
        <w:autoSpaceDE/>
        <w:autoSpaceDN/>
        <w:bidi w:val="0"/>
        <w:snapToGrid/>
        <w:spacing w:before="0" w:after="0" w:line="240" w:lineRule="auto"/>
        <w:ind w:left="0" w:right="0" w:firstLine="600"/>
        <w:jc w:val="left"/>
        <w:rPr>
          <w:rFonts w:hint="default" w:ascii="仿宋_GB2312" w:hAnsi="宋体" w:eastAsia="宋体"/>
          <w:color w:val="000000"/>
          <w:position w:val="0"/>
          <w:sz w:val="21"/>
          <w:szCs w:val="21"/>
        </w:rPr>
      </w:pPr>
      <w:r>
        <w:rPr>
          <w:rFonts w:hint="default" w:ascii="仿宋_GB2312" w:hAnsi="仿宋_GB2312" w:eastAsia="仿宋_GB2312"/>
          <w:color w:val="auto"/>
          <w:spacing w:val="0"/>
          <w:position w:val="0"/>
          <w:sz w:val="30"/>
          <w:szCs w:val="30"/>
        </w:rPr>
        <w:t>我单位为独立核算财政全额拨款参公单位。内设7个股室，（办公室，财务股，统征股，退管股，机保股，工伤生育股，稽核股）。</w:t>
      </w:r>
    </w:p>
    <w:p>
      <w:pPr>
        <w:numPr>
          <w:ilvl w:val="0"/>
          <w:numId w:val="0"/>
        </w:numPr>
        <w:autoSpaceDE/>
        <w:autoSpaceDN/>
        <w:snapToGrid w:val="0"/>
        <w:spacing w:before="0" w:after="0" w:line="480" w:lineRule="exact"/>
        <w:ind w:left="0" w:right="0" w:firstLine="720"/>
        <w:jc w:val="left"/>
        <w:rPr>
          <w:rFonts w:hint="default" w:ascii="仿宋_GB2312" w:hAnsi="宋体" w:eastAsia="宋体"/>
          <w:color w:val="000000"/>
          <w:position w:val="0"/>
          <w:sz w:val="32"/>
          <w:szCs w:val="32"/>
        </w:rPr>
      </w:pPr>
      <w:r>
        <w:rPr>
          <w:rFonts w:hint="default" w:ascii="仿宋_GB2312" w:hAnsi="宋体" w:eastAsia="宋体"/>
          <w:color w:val="000000"/>
          <w:position w:val="0"/>
          <w:sz w:val="32"/>
          <w:szCs w:val="32"/>
        </w:rPr>
        <w:t>（二）机构职能。</w:t>
      </w:r>
    </w:p>
    <w:p>
      <w:pPr>
        <w:pStyle w:val="12"/>
        <w:numPr>
          <w:ilvl w:val="0"/>
          <w:numId w:val="0"/>
        </w:numPr>
        <w:autoSpaceDE/>
        <w:autoSpaceDN/>
        <w:snapToGrid w:val="0"/>
        <w:spacing w:before="93" w:after="160" w:line="600" w:lineRule="exact"/>
        <w:ind w:left="0" w:right="0" w:firstLine="672"/>
        <w:jc w:val="both"/>
        <w:outlineLvl w:val="2"/>
        <w:rPr>
          <w:rFonts w:hint="default" w:ascii="仿宋_GB2312" w:hAnsi="宋体" w:eastAsia="宋体"/>
          <w:color w:val="000000"/>
          <w:position w:val="0"/>
          <w:sz w:val="21"/>
          <w:szCs w:val="21"/>
        </w:rPr>
      </w:pPr>
      <w:r>
        <w:rPr>
          <w:rFonts w:hint="default" w:ascii="仿宋_GB2312" w:hAnsi="仿宋_GB2312" w:eastAsia="仿宋_GB2312"/>
          <w:color w:val="auto"/>
          <w:spacing w:val="0"/>
          <w:position w:val="0"/>
          <w:sz w:val="30"/>
          <w:szCs w:val="30"/>
        </w:rPr>
        <w:t>我局主要负责贯彻执行国家、省、州、县有关社会保险政策和法律、法规;负责全县企业基本养老保险、机关事业养老保险、工伤保险、生育保险等社会保险审核、核定、征缴、待遇发放等工作。</w:t>
      </w:r>
      <w:r>
        <w:rPr>
          <w:rFonts w:hint="default" w:ascii="Calibri" w:hAnsi="仿宋_GB2312" w:eastAsia="仿宋_GB2312"/>
          <w:color w:val="auto"/>
          <w:spacing w:val="0"/>
          <w:position w:val="0"/>
          <w:sz w:val="30"/>
          <w:szCs w:val="30"/>
        </w:rPr>
        <w:t xml:space="preserve"> </w:t>
      </w:r>
    </w:p>
    <w:p>
      <w:pPr>
        <w:numPr>
          <w:ilvl w:val="0"/>
          <w:numId w:val="0"/>
        </w:numPr>
        <w:autoSpaceDE/>
        <w:autoSpaceDN/>
        <w:snapToGrid w:val="0"/>
        <w:spacing w:before="0" w:after="0" w:line="480" w:lineRule="exact"/>
        <w:ind w:left="0" w:right="0" w:firstLine="720"/>
        <w:jc w:val="left"/>
        <w:rPr>
          <w:rFonts w:hint="default" w:ascii="仿宋_GB2312" w:hAnsi="宋体" w:eastAsia="宋体"/>
          <w:color w:val="000000"/>
          <w:position w:val="0"/>
          <w:sz w:val="32"/>
          <w:szCs w:val="32"/>
        </w:rPr>
      </w:pPr>
      <w:r>
        <w:rPr>
          <w:rFonts w:hint="default" w:ascii="仿宋_GB2312" w:hAnsi="宋体" w:eastAsia="宋体"/>
          <w:color w:val="000000"/>
          <w:position w:val="0"/>
          <w:sz w:val="32"/>
          <w:szCs w:val="32"/>
        </w:rPr>
        <w:t>（三）人员概况。</w:t>
      </w:r>
    </w:p>
    <w:p>
      <w:pPr>
        <w:pageBreakBefore w:val="0"/>
        <w:numPr>
          <w:ilvl w:val="0"/>
          <w:numId w:val="0"/>
        </w:numPr>
        <w:wordWrap w:val="0"/>
        <w:autoSpaceDE/>
        <w:autoSpaceDN/>
        <w:bidi w:val="0"/>
        <w:snapToGrid/>
        <w:spacing w:before="0" w:after="0" w:line="240" w:lineRule="auto"/>
        <w:ind w:left="0" w:right="0" w:firstLine="600"/>
        <w:jc w:val="left"/>
        <w:rPr>
          <w:rFonts w:hint="default" w:ascii="仿宋_GB2312" w:hAnsi="仿宋_GB2312" w:eastAsia="仿宋_GB2312"/>
          <w:color w:val="auto"/>
          <w:spacing w:val="0"/>
          <w:position w:val="0"/>
          <w:sz w:val="30"/>
          <w:szCs w:val="30"/>
        </w:rPr>
      </w:pPr>
      <w:r>
        <w:rPr>
          <w:rFonts w:hint="default" w:ascii="仿宋_GB2312" w:hAnsi="仿宋_GB2312" w:eastAsia="仿宋_GB2312"/>
          <w:color w:val="auto"/>
          <w:spacing w:val="0"/>
          <w:position w:val="0"/>
          <w:sz w:val="30"/>
          <w:szCs w:val="30"/>
        </w:rPr>
        <w:t>人员情况，截止2018年底我单位共有编制19个，其中公务员（参公）编制18个，行政工勤编制1个，在职19人，其中参公18人，行政工勤1人。2018年新招录3名参公人员。</w:t>
      </w:r>
    </w:p>
    <w:p>
      <w:pPr>
        <w:pageBreakBefore w:val="0"/>
        <w:numPr>
          <w:ilvl w:val="0"/>
          <w:numId w:val="0"/>
        </w:numPr>
        <w:wordWrap w:val="0"/>
        <w:autoSpaceDE/>
        <w:autoSpaceDN/>
        <w:bidi w:val="0"/>
        <w:snapToGrid/>
        <w:spacing w:before="0" w:after="0" w:line="240" w:lineRule="auto"/>
        <w:ind w:left="0" w:right="0" w:firstLine="600"/>
        <w:jc w:val="left"/>
        <w:rPr>
          <w:rFonts w:hint="default" w:ascii="仿宋_GB2312" w:hAnsi="宋体" w:eastAsia="宋体"/>
          <w:color w:val="000000"/>
          <w:position w:val="0"/>
          <w:sz w:val="21"/>
          <w:szCs w:val="21"/>
        </w:rPr>
      </w:pPr>
    </w:p>
    <w:p>
      <w:pPr>
        <w:numPr>
          <w:ilvl w:val="0"/>
          <w:numId w:val="0"/>
        </w:numPr>
        <w:autoSpaceDE/>
        <w:autoSpaceDN/>
        <w:snapToGrid w:val="0"/>
        <w:spacing w:before="0" w:after="0" w:line="480" w:lineRule="exact"/>
        <w:ind w:left="0" w:right="0" w:firstLine="720"/>
        <w:jc w:val="left"/>
        <w:rPr>
          <w:rFonts w:hint="default" w:ascii="黑体" w:hAnsi="宋体" w:eastAsia="宋体"/>
          <w:color w:val="000000"/>
          <w:position w:val="0"/>
          <w:sz w:val="21"/>
          <w:szCs w:val="21"/>
        </w:rPr>
      </w:pPr>
      <w:bookmarkStart w:id="121" w:name="_Toc18178_WPSOffice_Level2"/>
      <w:r>
        <w:rPr>
          <w:rFonts w:hint="default" w:ascii="黑体" w:hAnsi="宋体" w:eastAsia="宋体"/>
          <w:color w:val="000000"/>
          <w:position w:val="0"/>
          <w:sz w:val="32"/>
          <w:szCs w:val="32"/>
        </w:rPr>
        <w:t>二、部门财政资金收支情况</w:t>
      </w:r>
      <w:bookmarkEnd w:id="121"/>
    </w:p>
    <w:p>
      <w:pPr>
        <w:numPr>
          <w:ilvl w:val="0"/>
          <w:numId w:val="0"/>
        </w:numPr>
        <w:autoSpaceDE/>
        <w:autoSpaceDN/>
        <w:snapToGrid w:val="0"/>
        <w:spacing w:before="0" w:after="0" w:line="480" w:lineRule="exact"/>
        <w:ind w:left="0" w:right="0" w:firstLine="720"/>
        <w:jc w:val="left"/>
        <w:rPr>
          <w:rFonts w:hint="default" w:ascii="仿宋_GB2312" w:hAnsi="宋体" w:eastAsia="宋体"/>
          <w:color w:val="000000"/>
          <w:position w:val="0"/>
          <w:sz w:val="32"/>
          <w:szCs w:val="32"/>
        </w:rPr>
      </w:pPr>
      <w:r>
        <w:rPr>
          <w:rFonts w:hint="default" w:ascii="仿宋_GB2312" w:hAnsi="宋体" w:eastAsia="宋体"/>
          <w:color w:val="000000"/>
          <w:position w:val="0"/>
          <w:sz w:val="32"/>
          <w:szCs w:val="32"/>
        </w:rPr>
        <w:t>（一）部门财政资金收入情况。</w:t>
      </w:r>
    </w:p>
    <w:p>
      <w:pPr>
        <w:numPr>
          <w:ilvl w:val="0"/>
          <w:numId w:val="0"/>
        </w:numPr>
        <w:autoSpaceDE/>
        <w:autoSpaceDN/>
        <w:snapToGrid w:val="0"/>
        <w:spacing w:before="0" w:after="0" w:line="480" w:lineRule="exact"/>
        <w:ind w:left="0" w:right="0" w:firstLine="720"/>
        <w:jc w:val="left"/>
        <w:rPr>
          <w:rFonts w:hint="default" w:ascii="仿宋_GB2312" w:hAnsi="宋体" w:eastAsia="宋体"/>
          <w:color w:val="000000"/>
          <w:position w:val="0"/>
          <w:sz w:val="21"/>
          <w:szCs w:val="21"/>
        </w:rPr>
      </w:pPr>
      <w:r>
        <w:rPr>
          <w:rFonts w:hint="default" w:ascii="仿宋_GB2312" w:hAnsi="宋体" w:eastAsia="宋体"/>
          <w:color w:val="000000"/>
          <w:position w:val="0"/>
          <w:sz w:val="32"/>
          <w:szCs w:val="32"/>
        </w:rPr>
        <w:t>2018年红原县社保局收入304.43万元，均为财政拨款收入。</w:t>
      </w:r>
    </w:p>
    <w:p>
      <w:pPr>
        <w:numPr>
          <w:ilvl w:val="0"/>
          <w:numId w:val="0"/>
        </w:numPr>
        <w:autoSpaceDE/>
        <w:autoSpaceDN/>
        <w:snapToGrid w:val="0"/>
        <w:spacing w:before="0" w:after="0" w:line="480" w:lineRule="exact"/>
        <w:ind w:left="0" w:right="0" w:firstLine="720"/>
        <w:jc w:val="left"/>
        <w:rPr>
          <w:rFonts w:hint="default" w:ascii="仿宋_GB2312" w:hAnsi="宋体" w:eastAsia="宋体"/>
          <w:color w:val="000000"/>
          <w:position w:val="0"/>
          <w:sz w:val="32"/>
          <w:szCs w:val="32"/>
        </w:rPr>
      </w:pPr>
      <w:r>
        <w:rPr>
          <w:rFonts w:hint="default" w:ascii="仿宋_GB2312" w:hAnsi="宋体" w:eastAsia="宋体"/>
          <w:color w:val="000000"/>
          <w:position w:val="0"/>
          <w:sz w:val="32"/>
          <w:szCs w:val="32"/>
        </w:rPr>
        <w:t>（二）部门财政资金支出情况。</w:t>
      </w:r>
    </w:p>
    <w:p>
      <w:pPr>
        <w:numPr>
          <w:ilvl w:val="0"/>
          <w:numId w:val="0"/>
        </w:numPr>
        <w:autoSpaceDE/>
        <w:autoSpaceDN/>
        <w:snapToGrid w:val="0"/>
        <w:spacing w:before="0" w:after="0" w:line="480" w:lineRule="exact"/>
        <w:ind w:left="0" w:right="0" w:firstLine="720"/>
        <w:jc w:val="left"/>
        <w:rPr>
          <w:rFonts w:hint="default" w:ascii="仿宋_GB2312" w:hAnsi="宋体" w:eastAsia="宋体"/>
          <w:color w:val="000000"/>
          <w:position w:val="0"/>
          <w:sz w:val="21"/>
          <w:szCs w:val="21"/>
        </w:rPr>
      </w:pPr>
      <w:r>
        <w:rPr>
          <w:rFonts w:hint="default" w:ascii="仿宋_GB2312" w:hAnsi="宋体" w:eastAsia="宋体"/>
          <w:color w:val="000000"/>
          <w:position w:val="0"/>
          <w:sz w:val="32"/>
          <w:szCs w:val="32"/>
        </w:rPr>
        <w:t>2018年红原县社保局总支出306.86万元。社会保障和就业支出275.79万元；医疗卫生和计划生育支出12.47万元；住房保障支出18.6万元。</w:t>
      </w:r>
    </w:p>
    <w:p>
      <w:pPr>
        <w:numPr>
          <w:ilvl w:val="0"/>
          <w:numId w:val="0"/>
        </w:numPr>
        <w:autoSpaceDE/>
        <w:autoSpaceDN/>
        <w:snapToGrid w:val="0"/>
        <w:spacing w:before="0" w:after="0" w:line="480" w:lineRule="exact"/>
        <w:ind w:left="0" w:right="0" w:firstLine="720"/>
        <w:jc w:val="left"/>
        <w:rPr>
          <w:rFonts w:hint="default" w:ascii="黑体" w:hAnsi="宋体" w:eastAsia="宋体"/>
          <w:color w:val="000000"/>
          <w:position w:val="0"/>
          <w:sz w:val="21"/>
          <w:szCs w:val="21"/>
        </w:rPr>
      </w:pPr>
      <w:bookmarkStart w:id="122" w:name="_Toc613_WPSOffice_Level2"/>
      <w:r>
        <w:rPr>
          <w:rFonts w:hint="default" w:ascii="黑体" w:hAnsi="宋体" w:eastAsia="宋体"/>
          <w:color w:val="000000"/>
          <w:position w:val="0"/>
          <w:sz w:val="32"/>
          <w:szCs w:val="32"/>
        </w:rPr>
        <w:t>三、部门财政支出管理情况</w:t>
      </w:r>
      <w:bookmarkEnd w:id="122"/>
    </w:p>
    <w:p>
      <w:pPr>
        <w:numPr>
          <w:ilvl w:val="0"/>
          <w:numId w:val="0"/>
        </w:numPr>
        <w:autoSpaceDE/>
        <w:autoSpaceDN/>
        <w:snapToGrid w:val="0"/>
        <w:spacing w:before="0" w:after="0" w:line="480" w:lineRule="exact"/>
        <w:ind w:left="0" w:right="0" w:firstLine="720"/>
        <w:jc w:val="left"/>
        <w:rPr>
          <w:rFonts w:hint="default" w:ascii="楷体" w:hAnsi="宋体" w:eastAsia="宋体"/>
          <w:color w:val="000000"/>
          <w:position w:val="0"/>
          <w:sz w:val="21"/>
          <w:szCs w:val="21"/>
        </w:rPr>
      </w:pPr>
      <w:r>
        <w:rPr>
          <w:rFonts w:hint="default" w:ascii="楷体" w:hAnsi="宋体" w:eastAsia="宋体"/>
          <w:color w:val="000000"/>
          <w:position w:val="0"/>
          <w:sz w:val="32"/>
          <w:szCs w:val="32"/>
        </w:rPr>
        <w:t>（一）预算编制情况。</w:t>
      </w:r>
    </w:p>
    <w:p>
      <w:pPr>
        <w:pageBreakBefore w:val="0"/>
        <w:numPr>
          <w:ilvl w:val="0"/>
          <w:numId w:val="0"/>
        </w:numPr>
        <w:shd w:val="clear" w:fill="FFFFFF"/>
        <w:wordWrap w:val="0"/>
        <w:autoSpaceDE/>
        <w:autoSpaceDN/>
        <w:bidi w:val="0"/>
        <w:snapToGrid/>
        <w:spacing w:before="0" w:after="0" w:line="540" w:lineRule="exact"/>
        <w:ind w:left="0" w:right="0" w:firstLine="640"/>
        <w:jc w:val="left"/>
        <w:rPr>
          <w:rFonts w:hint="default" w:ascii="仿宋_GB2312" w:hAnsi="仿宋_GB2312" w:eastAsia="仿宋_GB2312"/>
          <w:b w:val="0"/>
          <w:i w:val="0"/>
          <w:color w:val="000000" w:themeColor="text1"/>
          <w:spacing w:val="0"/>
          <w:position w:val="0"/>
          <w:sz w:val="32"/>
          <w:szCs w:val="32"/>
          <w14:textFill>
            <w14:solidFill>
              <w14:schemeClr w14:val="tx1"/>
            </w14:solidFill>
          </w14:textFill>
        </w:rPr>
      </w:pP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根据《中华人民共和国预算法》及红原县财政局印发的《关于下达2018年部门预算的通知》要求，结合本单位实际，按照增收节支、厉行节约、绩效优化的原则，从严从紧编制预算。细化支出预算编制，推进预算信息公开，深化预算绩效管理，提高资金使用效益。</w:t>
      </w:r>
    </w:p>
    <w:p>
      <w:pPr>
        <w:pageBreakBefore w:val="0"/>
        <w:numPr>
          <w:ilvl w:val="0"/>
          <w:numId w:val="0"/>
        </w:numPr>
        <w:shd w:val="clear" w:fill="FFFFFF"/>
        <w:wordWrap w:val="0"/>
        <w:autoSpaceDE/>
        <w:autoSpaceDN/>
        <w:bidi w:val="0"/>
        <w:snapToGrid/>
        <w:spacing w:before="0" w:after="0" w:line="540" w:lineRule="exact"/>
        <w:ind w:left="0" w:right="0" w:firstLine="640"/>
        <w:jc w:val="left"/>
        <w:rPr>
          <w:rFonts w:hint="default" w:ascii="仿宋_GB2312" w:hAnsi="仿宋_GB2312" w:eastAsia="仿宋_GB2312"/>
          <w:b w:val="0"/>
          <w:i w:val="0"/>
          <w:color w:val="000000" w:themeColor="text1"/>
          <w:spacing w:val="0"/>
          <w:position w:val="0"/>
          <w:sz w:val="32"/>
          <w:szCs w:val="32"/>
          <w14:textFill>
            <w14:solidFill>
              <w14:schemeClr w14:val="tx1"/>
            </w14:solidFill>
          </w14:textFill>
        </w:rPr>
      </w:pP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2018年预算人员支出对照2017年12月份人员及工资信息编制，日常公用支出按照“经费包干、明细编报”的原则进行编制，重点做好培训费等预算编制。</w:t>
      </w:r>
    </w:p>
    <w:p>
      <w:pPr>
        <w:pageBreakBefore w:val="0"/>
        <w:numPr>
          <w:ilvl w:val="0"/>
          <w:numId w:val="0"/>
        </w:numPr>
        <w:shd w:val="clear" w:fill="FFFFFF"/>
        <w:wordWrap w:val="0"/>
        <w:autoSpaceDE/>
        <w:autoSpaceDN/>
        <w:bidi w:val="0"/>
        <w:snapToGrid/>
        <w:spacing w:before="0" w:after="0" w:line="540" w:lineRule="exact"/>
        <w:ind w:left="0" w:right="0" w:firstLine="645"/>
        <w:jc w:val="left"/>
        <w:rPr>
          <w:rFonts w:hint="default" w:ascii="仿宋_GB2312" w:hAnsi="仿宋_GB2312" w:eastAsia="仿宋_GB2312"/>
          <w:b w:val="0"/>
          <w:i w:val="0"/>
          <w:color w:val="000000" w:themeColor="text1"/>
          <w:spacing w:val="0"/>
          <w:position w:val="0"/>
          <w:sz w:val="32"/>
          <w:szCs w:val="32"/>
          <w14:textFill>
            <w14:solidFill>
              <w14:schemeClr w14:val="tx1"/>
            </w14:solidFill>
          </w14:textFill>
        </w:rPr>
      </w:pP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对照年初的预算，通过编制部门决算报表，全面、真实、准确的反映了2018年度财政资金的使用情况。</w:t>
      </w:r>
    </w:p>
    <w:p>
      <w:pPr>
        <w:numPr>
          <w:ilvl w:val="0"/>
          <w:numId w:val="0"/>
        </w:numPr>
        <w:shd w:val="clear" w:fill="FFFFFF"/>
        <w:wordWrap w:val="0"/>
        <w:autoSpaceDE/>
        <w:autoSpaceDN/>
        <w:spacing w:before="0" w:after="0" w:line="240" w:lineRule="auto"/>
        <w:ind w:left="0" w:right="0" w:firstLine="0"/>
        <w:jc w:val="left"/>
        <w:rPr>
          <w:rFonts w:hint="default" w:ascii="仿宋_GB2312" w:hAnsi="仿宋_GB2312" w:eastAsia="仿宋_GB2312"/>
          <w:i w:val="0"/>
          <w:color w:val="333333"/>
          <w:spacing w:val="0"/>
          <w:position w:val="0"/>
          <w:sz w:val="32"/>
          <w:szCs w:val="32"/>
          <w:shd w:val="clear" w:fill="FFFFFF"/>
        </w:rPr>
      </w:pPr>
      <w:r>
        <w:rPr>
          <w:rFonts w:hint="default" w:ascii="仿宋_GB2312" w:hAnsi="仿宋_GB2312" w:eastAsia="仿宋_GB2312"/>
          <w:i w:val="0"/>
          <w:color w:val="333333"/>
          <w:spacing w:val="0"/>
          <w:position w:val="0"/>
          <w:sz w:val="32"/>
          <w:szCs w:val="32"/>
          <w:shd w:val="clear" w:fill="FFFFFF"/>
        </w:rPr>
        <w:t>红原县医疗保险管理局预算安排支出主要用于保障该部门机构正常运转、完成日常工作任务以及承担工运事业发展相关工作。</w:t>
      </w:r>
    </w:p>
    <w:p>
      <w:pPr>
        <w:numPr>
          <w:ilvl w:val="0"/>
          <w:numId w:val="0"/>
        </w:numPr>
        <w:wordWrap w:val="0"/>
        <w:autoSpaceDE/>
        <w:autoSpaceDN/>
        <w:spacing w:before="0" w:after="160" w:line="600" w:lineRule="exact"/>
        <w:ind w:left="0" w:right="0" w:firstLine="645"/>
        <w:jc w:val="both"/>
        <w:rPr>
          <w:rFonts w:hint="default" w:ascii="仿宋_GB2312" w:hAnsi="仿宋_GB2312" w:eastAsia="仿宋_GB2312"/>
          <w:i w:val="0"/>
          <w:color w:val="333333"/>
          <w:spacing w:val="0"/>
          <w:position w:val="0"/>
          <w:sz w:val="32"/>
          <w:szCs w:val="32"/>
        </w:rPr>
      </w:pPr>
      <w:r>
        <w:rPr>
          <w:rFonts w:hint="default" w:ascii="仿宋_GB2312" w:hAnsi="仿宋_GB2312" w:eastAsia="仿宋_GB2312"/>
          <w:color w:val="000000"/>
          <w:position w:val="0"/>
          <w:sz w:val="32"/>
          <w:szCs w:val="32"/>
        </w:rPr>
        <w:t>基本支出306.86万元，其中：人员经费275.1万元，主要包括：基本工资48.51万元、津贴补贴109.84万元、奖金40.99万元、机关事业单位基本养老保险缴费28.93万元、职业年金缴费11.57万元、职工基本医疗保险缴费9.55万元、公务员医疗补助2.92万元、其他社会保障缴费2.6万元、医疗费1.6万元、住房公积金18.6万元支出。</w:t>
      </w:r>
      <w:r>
        <w:rPr>
          <w:rFonts w:hint="default" w:ascii="仿宋_GB2312" w:hAnsi="仿宋_GB2312" w:eastAsia="仿宋_GB2312"/>
          <w:color w:val="000000"/>
          <w:position w:val="0"/>
          <w:sz w:val="32"/>
          <w:szCs w:val="32"/>
        </w:rPr>
        <w:br w:type="textWrapping" w:clear="all"/>
      </w:r>
      <w:r>
        <w:rPr>
          <w:rFonts w:hint="default" w:ascii="仿宋_GB2312" w:hAnsi="仿宋_GB2312" w:eastAsia="仿宋_GB2312"/>
          <w:color w:val="000000"/>
          <w:position w:val="0"/>
          <w:sz w:val="32"/>
          <w:szCs w:val="32"/>
        </w:rPr>
        <w:t>　　公用经费21.56万元，主要包括：办公费5.32万元、电费0.68万元、邮电费0.88万元、差旅费4.34万元、培训费0.61万元、劳务费0.17万元。</w:t>
      </w:r>
      <w:r>
        <w:rPr>
          <w:rFonts w:hint="default" w:ascii="仿宋_GB2312" w:hAnsi="仿宋_GB2312" w:eastAsia="仿宋_GB2312"/>
          <w:i w:val="0"/>
          <w:color w:val="333333"/>
          <w:spacing w:val="0"/>
          <w:position w:val="0"/>
          <w:sz w:val="32"/>
          <w:szCs w:val="32"/>
          <w:shd w:val="clear" w:fill="FFFFFF"/>
        </w:rPr>
        <w:t>　　按支出功能分类主要用于以下方面:</w:t>
      </w:r>
    </w:p>
    <w:p>
      <w:pPr>
        <w:numPr>
          <w:ilvl w:val="0"/>
          <w:numId w:val="0"/>
        </w:numPr>
        <w:shd w:val="clear" w:fill="FFFFFF"/>
        <w:wordWrap w:val="0"/>
        <w:autoSpaceDE/>
        <w:autoSpaceDN/>
        <w:spacing w:before="0" w:after="0" w:line="240" w:lineRule="auto"/>
        <w:ind w:left="0" w:right="0" w:firstLine="0"/>
        <w:jc w:val="left"/>
        <w:rPr>
          <w:rFonts w:hint="default" w:ascii="仿宋_GB2312" w:hAnsi="仿宋_GB2312" w:eastAsia="仿宋_GB2312"/>
          <w:i w:val="0"/>
          <w:color w:val="333333"/>
          <w:spacing w:val="0"/>
          <w:position w:val="0"/>
          <w:sz w:val="32"/>
          <w:szCs w:val="32"/>
        </w:rPr>
      </w:pPr>
      <w:r>
        <w:rPr>
          <w:rFonts w:hint="default" w:ascii="仿宋_GB2312" w:hAnsi="仿宋_GB2312" w:eastAsia="仿宋_GB2312"/>
          <w:i w:val="0"/>
          <w:color w:val="333333"/>
          <w:spacing w:val="0"/>
          <w:position w:val="0"/>
          <w:sz w:val="32"/>
          <w:szCs w:val="32"/>
          <w:shd w:val="clear" w:fill="FFFFFF"/>
        </w:rPr>
        <w:t>　　（一）208社会保障和就业支出</w:t>
      </w:r>
      <w:r>
        <w:rPr>
          <w:rFonts w:hint="default" w:ascii="仿宋_GB2312" w:hAnsi="仿宋_GB2312" w:eastAsia="仿宋_GB2312"/>
          <w:color w:val="000000"/>
          <w:position w:val="0"/>
          <w:sz w:val="32"/>
          <w:szCs w:val="32"/>
        </w:rPr>
        <w:t>275.79</w:t>
      </w:r>
      <w:r>
        <w:rPr>
          <w:rFonts w:hint="default" w:ascii="仿宋_GB2312" w:hAnsi="仿宋_GB2312" w:eastAsia="仿宋_GB2312"/>
          <w:i w:val="0"/>
          <w:color w:val="333333"/>
          <w:spacing w:val="0"/>
          <w:position w:val="0"/>
          <w:sz w:val="32"/>
          <w:szCs w:val="32"/>
          <w:shd w:val="clear" w:fill="FFFFFF"/>
        </w:rPr>
        <w:t>万元，主要用于机关及下属事业单位养老保险及职业年金缴费支出。</w:t>
      </w:r>
    </w:p>
    <w:p>
      <w:pPr>
        <w:numPr>
          <w:ilvl w:val="0"/>
          <w:numId w:val="0"/>
        </w:numPr>
        <w:shd w:val="clear" w:fill="FFFFFF"/>
        <w:wordWrap w:val="0"/>
        <w:autoSpaceDE/>
        <w:autoSpaceDN/>
        <w:spacing w:before="0" w:after="0" w:line="240" w:lineRule="auto"/>
        <w:ind w:left="0" w:right="0" w:firstLine="0"/>
        <w:jc w:val="left"/>
        <w:rPr>
          <w:rFonts w:hint="default" w:ascii="仿宋_GB2312" w:hAnsi="仿宋_GB2312" w:eastAsia="仿宋_GB2312"/>
          <w:i w:val="0"/>
          <w:color w:val="333333"/>
          <w:spacing w:val="0"/>
          <w:position w:val="0"/>
          <w:sz w:val="32"/>
          <w:szCs w:val="32"/>
        </w:rPr>
      </w:pPr>
      <w:r>
        <w:rPr>
          <w:rFonts w:hint="default" w:ascii="仿宋_GB2312" w:hAnsi="仿宋_GB2312" w:eastAsia="仿宋_GB2312"/>
          <w:i w:val="0"/>
          <w:color w:val="333333"/>
          <w:spacing w:val="0"/>
          <w:position w:val="0"/>
          <w:sz w:val="32"/>
          <w:szCs w:val="32"/>
          <w:shd w:val="clear" w:fill="FFFFFF"/>
        </w:rPr>
        <w:t>　　（二）210医疗卫生和计划生育支出</w:t>
      </w:r>
      <w:r>
        <w:rPr>
          <w:rFonts w:hint="default" w:ascii="仿宋_GB2312" w:hAnsi="仿宋_GB2312" w:eastAsia="仿宋_GB2312"/>
          <w:color w:val="000000"/>
          <w:position w:val="0"/>
          <w:sz w:val="32"/>
          <w:szCs w:val="32"/>
        </w:rPr>
        <w:t>12.47</w:t>
      </w:r>
      <w:r>
        <w:rPr>
          <w:rFonts w:hint="default" w:ascii="仿宋_GB2312" w:hAnsi="仿宋_GB2312" w:eastAsia="仿宋_GB2312"/>
          <w:i w:val="0"/>
          <w:color w:val="333333"/>
          <w:spacing w:val="0"/>
          <w:position w:val="0"/>
          <w:sz w:val="32"/>
          <w:szCs w:val="32"/>
          <w:shd w:val="clear" w:fill="FFFFFF"/>
        </w:rPr>
        <w:t>万元，主要用于机关及下属事业单位按照规定标准为职工缴纳的基本医疗保险及公务员医疗补助等支出。</w:t>
      </w:r>
    </w:p>
    <w:p>
      <w:pPr>
        <w:numPr>
          <w:ilvl w:val="0"/>
          <w:numId w:val="0"/>
        </w:numPr>
        <w:shd w:val="clear" w:fill="FFFFFF"/>
        <w:wordWrap w:val="0"/>
        <w:autoSpaceDE/>
        <w:autoSpaceDN/>
        <w:spacing w:before="0" w:after="0" w:line="240" w:lineRule="auto"/>
        <w:ind w:left="0" w:right="0" w:firstLine="0"/>
        <w:jc w:val="left"/>
        <w:rPr>
          <w:rFonts w:hint="default" w:ascii="仿宋_GB2312" w:hAnsi="仿宋_GB2312" w:eastAsia="仿宋_GB2312"/>
          <w:i w:val="0"/>
          <w:color w:val="333333"/>
          <w:spacing w:val="0"/>
          <w:position w:val="0"/>
          <w:sz w:val="32"/>
          <w:szCs w:val="32"/>
        </w:rPr>
      </w:pPr>
      <w:r>
        <w:rPr>
          <w:rFonts w:hint="default" w:ascii="仿宋_GB2312" w:hAnsi="仿宋_GB2312" w:eastAsia="仿宋_GB2312"/>
          <w:i w:val="0"/>
          <w:color w:val="333333"/>
          <w:spacing w:val="0"/>
          <w:position w:val="0"/>
          <w:sz w:val="32"/>
          <w:szCs w:val="32"/>
          <w:shd w:val="clear" w:fill="FFFFFF"/>
        </w:rPr>
        <w:t>　　（三）221住房保障支出</w:t>
      </w:r>
      <w:r>
        <w:rPr>
          <w:rFonts w:hint="default" w:ascii="仿宋_GB2312" w:hAnsi="仿宋_GB2312" w:eastAsia="仿宋_GB2312"/>
          <w:color w:val="000000"/>
          <w:position w:val="0"/>
          <w:sz w:val="32"/>
          <w:szCs w:val="32"/>
        </w:rPr>
        <w:t>18.6</w:t>
      </w:r>
      <w:r>
        <w:rPr>
          <w:rFonts w:hint="default" w:ascii="仿宋_GB2312" w:hAnsi="仿宋_GB2312" w:eastAsia="仿宋_GB2312"/>
          <w:i w:val="0"/>
          <w:color w:val="333333"/>
          <w:spacing w:val="0"/>
          <w:position w:val="0"/>
          <w:sz w:val="32"/>
          <w:szCs w:val="32"/>
          <w:shd w:val="clear" w:fill="FFFFFF"/>
        </w:rPr>
        <w:t>万元，用于机关及下属事业单位按照规定标准为职工缴纳住房公积金等支出。</w:t>
      </w:r>
    </w:p>
    <w:p>
      <w:pPr>
        <w:numPr>
          <w:ilvl w:val="0"/>
          <w:numId w:val="0"/>
        </w:numPr>
        <w:shd w:val="clear" w:fill="FFFFFF"/>
        <w:wordWrap w:val="0"/>
        <w:autoSpaceDE/>
        <w:autoSpaceDN/>
        <w:spacing w:before="0" w:after="0" w:line="240" w:lineRule="auto"/>
        <w:ind w:left="0" w:right="0" w:firstLine="0"/>
        <w:jc w:val="left"/>
        <w:rPr>
          <w:rFonts w:hint="default" w:ascii="仿宋_GB2312" w:hAnsi="仿宋_GB2312" w:eastAsia="仿宋_GB2312"/>
          <w:i w:val="0"/>
          <w:color w:val="333333"/>
          <w:spacing w:val="0"/>
          <w:position w:val="0"/>
          <w:sz w:val="32"/>
          <w:szCs w:val="32"/>
        </w:rPr>
      </w:pPr>
      <w:r>
        <w:rPr>
          <w:rFonts w:hint="default" w:ascii="仿宋_GB2312" w:hAnsi="仿宋_GB2312" w:eastAsia="仿宋_GB2312"/>
          <w:i w:val="0"/>
          <w:color w:val="333333"/>
          <w:spacing w:val="0"/>
          <w:position w:val="0"/>
          <w:sz w:val="32"/>
          <w:szCs w:val="32"/>
          <w:shd w:val="clear" w:fill="FFFFFF"/>
        </w:rPr>
        <w:t>　</w:t>
      </w:r>
      <w:r>
        <w:rPr>
          <w:rFonts w:hint="default" w:ascii="仿宋_GB2312" w:hAnsi="仿宋_GB2312" w:eastAsia="仿宋_GB2312"/>
          <w:b w:val="0"/>
          <w:i w:val="0"/>
          <w:color w:val="333333"/>
          <w:spacing w:val="0"/>
          <w:position w:val="0"/>
          <w:sz w:val="32"/>
          <w:szCs w:val="32"/>
          <w:shd w:val="clear" w:fill="FFFFFF"/>
        </w:rPr>
        <w:t>　</w:t>
      </w:r>
      <w:r>
        <w:rPr>
          <w:rStyle w:val="29"/>
          <w:rFonts w:hint="default" w:ascii="仿宋_GB2312" w:hAnsi="仿宋_GB2312" w:eastAsia="仿宋_GB2312"/>
          <w:b w:val="0"/>
          <w:i w:val="0"/>
          <w:color w:val="333333"/>
          <w:spacing w:val="0"/>
          <w:position w:val="0"/>
          <w:sz w:val="32"/>
          <w:szCs w:val="32"/>
          <w:shd w:val="clear" w:fill="FFFFFF"/>
        </w:rPr>
        <w:t>较上年度增减变化</w:t>
      </w:r>
    </w:p>
    <w:p>
      <w:pPr>
        <w:numPr>
          <w:ilvl w:val="0"/>
          <w:numId w:val="0"/>
        </w:numPr>
        <w:shd w:val="clear" w:fill="FFFFFF"/>
        <w:wordWrap w:val="0"/>
        <w:autoSpaceDE/>
        <w:autoSpaceDN/>
        <w:spacing w:before="0" w:after="0" w:line="240" w:lineRule="auto"/>
        <w:ind w:left="0" w:right="0" w:firstLine="600"/>
        <w:jc w:val="left"/>
        <w:rPr>
          <w:rFonts w:hint="default" w:ascii="仿宋_GB2312" w:hAnsi="宋体" w:eastAsia="宋体"/>
          <w:color w:val="000000"/>
          <w:position w:val="0"/>
          <w:sz w:val="21"/>
          <w:szCs w:val="21"/>
        </w:rPr>
      </w:pPr>
      <w:r>
        <w:rPr>
          <w:rFonts w:hint="default" w:ascii="仿宋_GB2312" w:hAnsi="仿宋_GB2312" w:eastAsia="仿宋_GB2312"/>
          <w:i w:val="0"/>
          <w:color w:val="333333"/>
          <w:spacing w:val="0"/>
          <w:position w:val="0"/>
          <w:sz w:val="32"/>
          <w:szCs w:val="32"/>
          <w:shd w:val="clear" w:fill="FFFFFF"/>
        </w:rPr>
        <w:t>本年度预算拨款收入304.42万元较上年度预算235.26万元增加了29.4%。</w:t>
      </w:r>
    </w:p>
    <w:p>
      <w:pPr>
        <w:numPr>
          <w:ilvl w:val="0"/>
          <w:numId w:val="0"/>
        </w:numPr>
        <w:autoSpaceDE/>
        <w:autoSpaceDN/>
        <w:snapToGrid w:val="0"/>
        <w:spacing w:before="0" w:after="0" w:line="480" w:lineRule="exact"/>
        <w:ind w:left="0" w:right="0" w:firstLine="720"/>
        <w:jc w:val="left"/>
        <w:rPr>
          <w:rFonts w:hint="default" w:ascii="楷体" w:hAnsi="宋体" w:eastAsia="宋体"/>
          <w:color w:val="000000"/>
          <w:position w:val="0"/>
          <w:sz w:val="21"/>
          <w:szCs w:val="21"/>
        </w:rPr>
      </w:pPr>
      <w:r>
        <w:rPr>
          <w:rFonts w:hint="default" w:ascii="楷体" w:hAnsi="宋体" w:eastAsia="宋体"/>
          <w:color w:val="000000"/>
          <w:position w:val="0"/>
          <w:sz w:val="32"/>
          <w:szCs w:val="32"/>
        </w:rPr>
        <w:t>（二）执行管理情况。</w:t>
      </w:r>
      <w:r>
        <w:rPr>
          <w:rFonts w:hint="default" w:ascii="楷体" w:hAnsi="宋体" w:eastAsia="宋体"/>
          <w:color w:val="000000"/>
          <w:position w:val="0"/>
          <w:sz w:val="32"/>
          <w:szCs w:val="32"/>
        </w:rPr>
        <w:tab/>
      </w:r>
    </w:p>
    <w:p>
      <w:pPr>
        <w:pageBreakBefore w:val="0"/>
        <w:numPr>
          <w:ilvl w:val="0"/>
          <w:numId w:val="0"/>
        </w:numPr>
        <w:shd w:val="clear" w:fill="FFFFFF"/>
        <w:wordWrap w:val="0"/>
        <w:autoSpaceDE/>
        <w:autoSpaceDN/>
        <w:bidi w:val="0"/>
        <w:snapToGrid/>
        <w:spacing w:before="0" w:after="0" w:line="540" w:lineRule="exact"/>
        <w:ind w:left="0" w:right="0" w:firstLine="640"/>
        <w:jc w:val="left"/>
        <w:rPr>
          <w:rFonts w:hint="default" w:ascii="仿宋_GB2312" w:hAnsi="仿宋_GB2312" w:eastAsia="仿宋_GB2312"/>
          <w:b w:val="0"/>
          <w:i w:val="0"/>
          <w:color w:val="000000" w:themeColor="text1"/>
          <w:spacing w:val="0"/>
          <w:position w:val="0"/>
          <w:sz w:val="32"/>
          <w:szCs w:val="32"/>
          <w14:textFill>
            <w14:solidFill>
              <w14:schemeClr w14:val="tx1"/>
            </w14:solidFill>
          </w14:textFill>
        </w:rPr>
      </w:pP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本着少花钱、多办事、办好事、遵循有预算才支出的原则，2018年财政预算支出全面落实到位，均按规定的用途支付</w:t>
      </w:r>
    </w:p>
    <w:p>
      <w:pPr>
        <w:pageBreakBefore w:val="0"/>
        <w:numPr>
          <w:ilvl w:val="0"/>
          <w:numId w:val="0"/>
        </w:numPr>
        <w:shd w:val="clear" w:fill="FFFFFF"/>
        <w:wordWrap w:val="0"/>
        <w:autoSpaceDE/>
        <w:autoSpaceDN/>
        <w:bidi w:val="0"/>
        <w:snapToGrid/>
        <w:spacing w:before="0" w:after="0" w:line="540" w:lineRule="exact"/>
        <w:ind w:left="0" w:right="0" w:firstLine="645"/>
        <w:jc w:val="left"/>
        <w:rPr>
          <w:rFonts w:hint="default" w:ascii="仿宋_GB2312" w:hAnsi="仿宋_GB2312" w:eastAsia="仿宋_GB2312"/>
          <w:b w:val="0"/>
          <w:i w:val="0"/>
          <w:color w:val="000000" w:themeColor="text1"/>
          <w:spacing w:val="0"/>
          <w:position w:val="0"/>
          <w:sz w:val="32"/>
          <w:szCs w:val="32"/>
          <w14:textFill>
            <w14:solidFill>
              <w14:schemeClr w14:val="tx1"/>
            </w14:solidFill>
          </w14:textFill>
        </w:rPr>
      </w:pP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基本支出，是用于保障本单位正常运转的日常支出，包括基本工资、津贴补贴等人员经费以及办公费、印刷费、水电费、办公设备购置等日常公用经费。</w:t>
      </w:r>
    </w:p>
    <w:p>
      <w:pPr>
        <w:pageBreakBefore w:val="0"/>
        <w:numPr>
          <w:ilvl w:val="0"/>
          <w:numId w:val="0"/>
        </w:numPr>
        <w:shd w:val="clear" w:fill="FFFFFF"/>
        <w:wordWrap w:val="0"/>
        <w:autoSpaceDE/>
        <w:autoSpaceDN/>
        <w:bidi w:val="0"/>
        <w:snapToGrid/>
        <w:spacing w:before="0" w:after="0" w:line="540" w:lineRule="exact"/>
        <w:ind w:left="0" w:right="0" w:firstLine="640"/>
        <w:jc w:val="left"/>
        <w:rPr>
          <w:rFonts w:hint="default" w:ascii="仿宋_GB2312" w:hAnsi="宋体" w:eastAsia="宋体"/>
          <w:color w:val="000000"/>
          <w:position w:val="0"/>
          <w:sz w:val="21"/>
          <w:szCs w:val="21"/>
        </w:rPr>
      </w:pPr>
    </w:p>
    <w:p>
      <w:pPr>
        <w:numPr>
          <w:ilvl w:val="0"/>
          <w:numId w:val="0"/>
        </w:numPr>
        <w:autoSpaceDE/>
        <w:autoSpaceDN/>
        <w:snapToGrid w:val="0"/>
        <w:spacing w:before="0" w:after="0" w:line="480" w:lineRule="exact"/>
        <w:ind w:left="0" w:right="0" w:firstLine="720"/>
        <w:jc w:val="left"/>
        <w:rPr>
          <w:rFonts w:hint="default" w:ascii="楷体" w:hAnsi="宋体" w:eastAsia="宋体"/>
          <w:color w:val="000000"/>
          <w:position w:val="0"/>
          <w:sz w:val="21"/>
          <w:szCs w:val="21"/>
        </w:rPr>
      </w:pPr>
      <w:r>
        <w:rPr>
          <w:rFonts w:hint="default" w:ascii="楷体" w:hAnsi="宋体" w:eastAsia="宋体"/>
          <w:color w:val="000000"/>
          <w:position w:val="0"/>
          <w:sz w:val="32"/>
          <w:szCs w:val="32"/>
        </w:rPr>
        <w:t>（三）综合管理情况。</w:t>
      </w:r>
    </w:p>
    <w:p>
      <w:pPr>
        <w:pageBreakBefore w:val="0"/>
        <w:numPr>
          <w:ilvl w:val="0"/>
          <w:numId w:val="0"/>
        </w:numPr>
        <w:wordWrap w:val="0"/>
        <w:autoSpaceDE/>
        <w:autoSpaceDN/>
        <w:bidi w:val="0"/>
        <w:snapToGrid/>
        <w:spacing w:before="0" w:after="0" w:line="540" w:lineRule="exact"/>
        <w:ind w:left="0" w:right="0" w:firstLine="640"/>
        <w:jc w:val="left"/>
        <w:rPr>
          <w:rFonts w:hint="default" w:ascii="仿宋_GB2312" w:hAnsi="仿宋_GB2312" w:eastAsia="仿宋_GB2312"/>
          <w:color w:val="000000" w:themeColor="text1"/>
          <w:position w:val="0"/>
          <w:sz w:val="32"/>
          <w:szCs w:val="32"/>
          <w14:textFill>
            <w14:solidFill>
              <w14:schemeClr w14:val="tx1"/>
            </w14:solidFill>
          </w14:textFill>
        </w:rPr>
      </w:pPr>
      <w:r>
        <w:rPr>
          <w:rFonts w:hint="default" w:ascii="仿宋_GB2312" w:hAnsi="仿宋_GB2312" w:eastAsia="仿宋_GB2312"/>
          <w:color w:val="000000" w:themeColor="text1"/>
          <w:position w:val="0"/>
          <w:sz w:val="32"/>
          <w:szCs w:val="32"/>
          <w14:textFill>
            <w14:solidFill>
              <w14:schemeClr w14:val="tx1"/>
            </w14:solidFill>
          </w14:textFill>
        </w:rPr>
        <w:t>1.建立建全内部控制制度：我单位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p>
    <w:p>
      <w:pPr>
        <w:pageBreakBefore w:val="0"/>
        <w:numPr>
          <w:ilvl w:val="0"/>
          <w:numId w:val="0"/>
        </w:numPr>
        <w:wordWrap w:val="0"/>
        <w:autoSpaceDE/>
        <w:autoSpaceDN/>
        <w:bidi w:val="0"/>
        <w:snapToGrid/>
        <w:spacing w:before="0" w:after="0" w:line="540" w:lineRule="exact"/>
        <w:ind w:left="0" w:right="0" w:firstLine="640"/>
        <w:jc w:val="left"/>
        <w:rPr>
          <w:rFonts w:hint="default" w:ascii="仿宋_GB2312" w:hAnsi="仿宋_GB2312" w:eastAsia="仿宋_GB2312"/>
          <w:color w:val="000000" w:themeColor="text1"/>
          <w:position w:val="0"/>
          <w:sz w:val="32"/>
          <w:szCs w:val="32"/>
          <w14:textFill>
            <w14:solidFill>
              <w14:schemeClr w14:val="tx1"/>
            </w14:solidFill>
          </w14:textFill>
        </w:rPr>
      </w:pPr>
      <w:r>
        <w:rPr>
          <w:rFonts w:hint="default" w:ascii="仿宋_GB2312" w:hAnsi="仿宋_GB2312" w:eastAsia="仿宋_GB2312"/>
          <w:color w:val="000000" w:themeColor="text1"/>
          <w:position w:val="0"/>
          <w:sz w:val="32"/>
          <w:szCs w:val="32"/>
          <w14:textFill>
            <w14:solidFill>
              <w14:schemeClr w14:val="tx1"/>
            </w14:solidFill>
          </w14:textFill>
        </w:rPr>
        <w:t xml:space="preserve">2.资金使用合规性：资金支出符合国家财经法规和财务管理制度规定以及有关专项资金管理办法的规定；资金拨付有完整的审批程序和手续；符合部门预算批复的用途；资金使用无截留、挤占、挪用、虚列支出等情况。 </w:t>
      </w:r>
    </w:p>
    <w:p>
      <w:pPr>
        <w:pageBreakBefore w:val="0"/>
        <w:numPr>
          <w:ilvl w:val="0"/>
          <w:numId w:val="0"/>
        </w:numPr>
        <w:wordWrap w:val="0"/>
        <w:autoSpaceDE/>
        <w:autoSpaceDN/>
        <w:bidi w:val="0"/>
        <w:snapToGrid/>
        <w:spacing w:before="0" w:after="0" w:line="540" w:lineRule="exact"/>
        <w:ind w:left="0" w:right="0" w:firstLine="640"/>
        <w:jc w:val="left"/>
        <w:rPr>
          <w:rFonts w:hint="default" w:ascii="仿宋_GB2312" w:hAnsi="仿宋_GB2312" w:eastAsia="仿宋_GB2312"/>
          <w:color w:val="000000" w:themeColor="text1"/>
          <w:position w:val="0"/>
          <w:sz w:val="32"/>
          <w:szCs w:val="32"/>
          <w14:textFill>
            <w14:solidFill>
              <w14:schemeClr w14:val="tx1"/>
            </w14:solidFill>
          </w14:textFill>
        </w:rPr>
      </w:pPr>
      <w:r>
        <w:rPr>
          <w:rFonts w:hint="default" w:ascii="仿宋_GB2312" w:hAnsi="仿宋_GB2312" w:eastAsia="仿宋_GB2312"/>
          <w:color w:val="000000" w:themeColor="text1"/>
          <w:position w:val="0"/>
          <w:sz w:val="32"/>
          <w:szCs w:val="32"/>
          <w14:textFill>
            <w14:solidFill>
              <w14:schemeClr w14:val="tx1"/>
            </w14:solidFill>
          </w14:textFill>
        </w:rPr>
        <w:t xml:space="preserve">3.预算信息公开：我单位按规定内容公开预决算信息；按规定时限公开预决算信息；基础数据信息和会计信息资料真实；基础数据信息和会计信息资料完整；基础数据信息和汇集信息资料准确。 </w:t>
      </w:r>
    </w:p>
    <w:p>
      <w:pPr>
        <w:pageBreakBefore w:val="0"/>
        <w:numPr>
          <w:ilvl w:val="0"/>
          <w:numId w:val="0"/>
        </w:numPr>
        <w:wordWrap w:val="0"/>
        <w:autoSpaceDE/>
        <w:autoSpaceDN/>
        <w:bidi w:val="0"/>
        <w:snapToGrid/>
        <w:spacing w:before="0" w:after="0" w:line="540" w:lineRule="exact"/>
        <w:ind w:left="0" w:right="0" w:firstLine="640"/>
        <w:jc w:val="left"/>
        <w:rPr>
          <w:rFonts w:hint="default" w:ascii="仿宋_GB2312" w:hAnsi="宋体" w:eastAsia="宋体"/>
          <w:color w:val="000000"/>
          <w:position w:val="0"/>
          <w:sz w:val="21"/>
          <w:szCs w:val="21"/>
        </w:rPr>
      </w:pPr>
      <w:r>
        <w:rPr>
          <w:rFonts w:hint="default" w:ascii="仿宋_GB2312" w:hAnsi="仿宋_GB2312" w:eastAsia="仿宋_GB2312"/>
          <w:color w:val="000000" w:themeColor="text1"/>
          <w:position w:val="0"/>
          <w:sz w:val="32"/>
          <w:szCs w:val="32"/>
          <w14:textFill>
            <w14:solidFill>
              <w14:schemeClr w14:val="tx1"/>
            </w14:solidFill>
          </w14:textFill>
        </w:rPr>
        <w:t>4.财务信息完善性：经核对我单位2018年度总账、明细账、决算报表，其结果账账、账表相符；财务信息资料真实、完整、准确。</w:t>
      </w:r>
    </w:p>
    <w:p>
      <w:pPr>
        <w:numPr>
          <w:ilvl w:val="0"/>
          <w:numId w:val="0"/>
        </w:numPr>
        <w:autoSpaceDE/>
        <w:autoSpaceDN/>
        <w:snapToGrid w:val="0"/>
        <w:spacing w:before="0" w:after="0" w:line="480" w:lineRule="exact"/>
        <w:ind w:left="0" w:right="0" w:firstLine="720"/>
        <w:jc w:val="left"/>
        <w:rPr>
          <w:rFonts w:hint="default" w:ascii="楷体" w:hAnsi="宋体" w:eastAsia="宋体"/>
          <w:color w:val="000000"/>
          <w:position w:val="0"/>
          <w:sz w:val="21"/>
          <w:szCs w:val="21"/>
        </w:rPr>
      </w:pPr>
      <w:r>
        <w:rPr>
          <w:rFonts w:hint="default" w:ascii="楷体" w:hAnsi="宋体" w:eastAsia="宋体"/>
          <w:color w:val="000000"/>
          <w:position w:val="0"/>
          <w:sz w:val="32"/>
          <w:szCs w:val="32"/>
        </w:rPr>
        <w:t>（四）整体绩效。</w:t>
      </w:r>
    </w:p>
    <w:p>
      <w:pPr>
        <w:numPr>
          <w:ilvl w:val="0"/>
          <w:numId w:val="0"/>
        </w:numPr>
        <w:wordWrap w:val="0"/>
        <w:autoSpaceDE/>
        <w:autoSpaceDN/>
        <w:spacing w:before="0" w:after="160" w:line="560" w:lineRule="exact"/>
        <w:ind w:left="0" w:right="0" w:firstLine="640"/>
        <w:jc w:val="left"/>
        <w:rPr>
          <w:rFonts w:hint="default" w:ascii="仿宋_GB2312" w:hAnsi="仿宋_GB2312" w:eastAsia="仿宋_GB2312"/>
          <w:color w:val="000000"/>
          <w:position w:val="0"/>
          <w:sz w:val="32"/>
          <w:szCs w:val="32"/>
        </w:rPr>
      </w:pPr>
      <w:r>
        <w:rPr>
          <w:rFonts w:hint="default" w:ascii="仿宋_GB2312" w:hAnsi="仿宋_GB2312" w:eastAsia="仿宋_GB2312"/>
          <w:color w:val="000000"/>
          <w:position w:val="0"/>
          <w:sz w:val="32"/>
          <w:szCs w:val="32"/>
        </w:rPr>
        <w:t>2018年度我单位年初根据工作规划和重点工作规划，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numPr>
          <w:ilvl w:val="0"/>
          <w:numId w:val="0"/>
        </w:numPr>
        <w:wordWrap w:val="0"/>
        <w:autoSpaceDE/>
        <w:autoSpaceDN/>
        <w:spacing w:before="0" w:after="160" w:line="560" w:lineRule="exact"/>
        <w:ind w:left="0" w:right="0" w:firstLine="640"/>
        <w:jc w:val="left"/>
        <w:rPr>
          <w:rFonts w:hint="default" w:ascii="仿宋_GB2312" w:hAnsi="仿宋_GB2312" w:eastAsia="仿宋_GB2312"/>
          <w:color w:val="000000"/>
          <w:position w:val="0"/>
          <w:sz w:val="32"/>
          <w:szCs w:val="32"/>
        </w:rPr>
      </w:pPr>
    </w:p>
    <w:p>
      <w:pPr>
        <w:pageBreakBefore w:val="0"/>
        <w:numPr>
          <w:ilvl w:val="0"/>
          <w:numId w:val="0"/>
        </w:numPr>
        <w:wordWrap w:val="0"/>
        <w:autoSpaceDE/>
        <w:autoSpaceDN/>
        <w:bidi w:val="0"/>
        <w:snapToGrid/>
        <w:spacing w:before="0" w:after="160" w:line="540" w:lineRule="exact"/>
        <w:ind w:left="0" w:right="0" w:firstLine="0"/>
        <w:jc w:val="both"/>
        <w:rPr>
          <w:rFonts w:hint="default" w:ascii="仿宋_GB2312" w:hAnsi="宋体" w:eastAsia="宋体"/>
          <w:color w:val="000000"/>
          <w:position w:val="0"/>
          <w:sz w:val="21"/>
          <w:szCs w:val="21"/>
        </w:rPr>
      </w:pPr>
      <w:bookmarkStart w:id="123" w:name="_Toc10676_WPSOffice_Level2"/>
      <w:r>
        <w:rPr>
          <w:rFonts w:hint="default" w:ascii="仿宋_GB2312" w:hAnsi="仿宋_GB2312" w:eastAsia="仿宋_GB2312"/>
          <w:color w:val="000000" w:themeColor="text1"/>
          <w:position w:val="0"/>
          <w:sz w:val="32"/>
          <w:szCs w:val="32"/>
          <w14:textFill>
            <w14:solidFill>
              <w14:schemeClr w14:val="tx1"/>
            </w14:solidFill>
          </w14:textFill>
        </w:rPr>
        <w:t>四、本年度部门支出财务工作开展评价结论及建议</w:t>
      </w:r>
      <w:bookmarkEnd w:id="123"/>
    </w:p>
    <w:p>
      <w:pPr>
        <w:numPr>
          <w:ilvl w:val="0"/>
          <w:numId w:val="0"/>
        </w:numPr>
        <w:autoSpaceDE/>
        <w:autoSpaceDN/>
        <w:snapToGrid w:val="0"/>
        <w:spacing w:before="0" w:after="0" w:line="480" w:lineRule="exact"/>
        <w:ind w:left="0" w:right="0" w:firstLine="720"/>
        <w:jc w:val="left"/>
        <w:rPr>
          <w:rFonts w:hint="default" w:ascii="黑体" w:hAnsi="宋体" w:eastAsia="宋体"/>
          <w:color w:val="000000"/>
          <w:position w:val="0"/>
          <w:sz w:val="21"/>
          <w:szCs w:val="21"/>
        </w:rPr>
      </w:pPr>
      <w:bookmarkStart w:id="124" w:name="_Toc12564_WPSOffice_Level2"/>
      <w:r>
        <w:rPr>
          <w:rFonts w:hint="default" w:ascii="黑体" w:hAnsi="宋体" w:eastAsia="宋体"/>
          <w:color w:val="000000"/>
          <w:position w:val="0"/>
          <w:sz w:val="32"/>
          <w:szCs w:val="32"/>
        </w:rPr>
        <w:t>四、评价结论及建议</w:t>
      </w:r>
      <w:bookmarkEnd w:id="124"/>
    </w:p>
    <w:p>
      <w:pPr>
        <w:numPr>
          <w:ilvl w:val="0"/>
          <w:numId w:val="0"/>
        </w:numPr>
        <w:autoSpaceDE/>
        <w:autoSpaceDN/>
        <w:snapToGrid w:val="0"/>
        <w:spacing w:before="0" w:after="0" w:line="480" w:lineRule="exact"/>
        <w:ind w:left="0" w:right="0" w:firstLine="720"/>
        <w:jc w:val="left"/>
        <w:rPr>
          <w:rFonts w:hint="default" w:ascii="仿宋_GB2312" w:hAnsi="宋体" w:eastAsia="宋体"/>
          <w:color w:val="000000"/>
          <w:position w:val="0"/>
          <w:sz w:val="32"/>
          <w:szCs w:val="32"/>
        </w:rPr>
      </w:pPr>
      <w:r>
        <w:rPr>
          <w:rFonts w:hint="default" w:ascii="仿宋_GB2312" w:hAnsi="宋体" w:eastAsia="宋体"/>
          <w:color w:val="000000"/>
          <w:position w:val="0"/>
          <w:sz w:val="32"/>
          <w:szCs w:val="32"/>
        </w:rPr>
        <w:t>（一）执行预算制度到位</w:t>
      </w:r>
    </w:p>
    <w:p>
      <w:pPr>
        <w:pageBreakBefore w:val="0"/>
        <w:numPr>
          <w:ilvl w:val="0"/>
          <w:numId w:val="0"/>
        </w:numPr>
        <w:shd w:val="clear" w:fill="FFFFFF"/>
        <w:wordWrap w:val="0"/>
        <w:autoSpaceDE/>
        <w:autoSpaceDN/>
        <w:bidi w:val="0"/>
        <w:snapToGrid/>
        <w:spacing w:before="0" w:after="0" w:line="540" w:lineRule="exact"/>
        <w:ind w:left="0" w:right="0" w:firstLine="640"/>
        <w:jc w:val="left"/>
        <w:rPr>
          <w:rFonts w:hint="default" w:ascii="仿宋_GB2312" w:hAnsi="宋体" w:eastAsia="宋体"/>
          <w:color w:val="000000"/>
          <w:position w:val="0"/>
          <w:sz w:val="21"/>
          <w:szCs w:val="21"/>
        </w:rPr>
      </w:pP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能够严格执行《预算法》和各项财经纪律，机关制度健全，财务管理规范，预算编制合理;二是资金监管到位。经费开支按用途使用合理，做到专帐专管,专款专用；三是人员配备和</w:t>
      </w:r>
      <w:r>
        <w:rPr>
          <w:rFonts w:hint="eastAsia" w:ascii="仿宋_GB2312" w:hAnsi="仿宋_GB2312" w:eastAsia="仿宋_GB2312"/>
          <w:b w:val="0"/>
          <w:i w:val="0"/>
          <w:color w:val="000000" w:themeColor="text1"/>
          <w:spacing w:val="0"/>
          <w:position w:val="0"/>
          <w:sz w:val="32"/>
          <w:szCs w:val="32"/>
          <w:shd w:val="clear" w:fill="FFFFFF"/>
          <w:lang w:eastAsia="zh-CN"/>
          <w14:textFill>
            <w14:solidFill>
              <w14:schemeClr w14:val="tx1"/>
            </w14:solidFill>
          </w14:textFill>
        </w:rPr>
        <w:t>账务</w:t>
      </w: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核算到位。财务人员</w:t>
      </w:r>
      <w:r>
        <w:rPr>
          <w:rFonts w:hint="eastAsia" w:ascii="仿宋_GB2312" w:hAnsi="仿宋_GB2312" w:eastAsia="仿宋_GB2312"/>
          <w:b w:val="0"/>
          <w:i w:val="0"/>
          <w:color w:val="000000" w:themeColor="text1"/>
          <w:spacing w:val="0"/>
          <w:position w:val="0"/>
          <w:sz w:val="32"/>
          <w:szCs w:val="32"/>
          <w:shd w:val="clear" w:fill="FFFFFF"/>
          <w:lang w:eastAsia="zh-CN"/>
          <w14:textFill>
            <w14:solidFill>
              <w14:schemeClr w14:val="tx1"/>
            </w14:solidFill>
          </w14:textFill>
        </w:rPr>
        <w:t>账务</w:t>
      </w: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核算及时规范。</w:t>
      </w:r>
      <w:r>
        <w:rPr>
          <w:rFonts w:hint="default" w:ascii="仿宋_GB2312" w:hAnsi="仿宋_GB2312" w:eastAsia="仿宋_GB2312"/>
          <w:color w:val="000000" w:themeColor="text1"/>
          <w:position w:val="0"/>
          <w:sz w:val="32"/>
          <w:szCs w:val="32"/>
          <w14:textFill>
            <w14:solidFill>
              <w14:schemeClr w14:val="tx1"/>
            </w14:solidFill>
          </w14:textFill>
        </w:rPr>
        <w:t>我单位在财务上进行合理安排和运用，以“认真、严谨、细致”的精神，做好一切财务工作。</w:t>
      </w:r>
    </w:p>
    <w:p>
      <w:pPr>
        <w:numPr>
          <w:ilvl w:val="0"/>
          <w:numId w:val="0"/>
        </w:numPr>
        <w:autoSpaceDE/>
        <w:autoSpaceDN/>
        <w:snapToGrid w:val="0"/>
        <w:spacing w:before="0" w:after="0" w:line="480" w:lineRule="exact"/>
        <w:ind w:left="0" w:right="0" w:firstLine="720"/>
        <w:jc w:val="left"/>
        <w:rPr>
          <w:rFonts w:hint="default" w:ascii="仿宋_GB2312" w:hAnsi="宋体" w:eastAsia="宋体"/>
          <w:color w:val="000000"/>
          <w:position w:val="0"/>
          <w:sz w:val="32"/>
          <w:szCs w:val="32"/>
        </w:rPr>
      </w:pPr>
      <w:r>
        <w:rPr>
          <w:rFonts w:hint="default" w:ascii="仿宋_GB2312" w:hAnsi="宋体" w:eastAsia="宋体"/>
          <w:color w:val="000000"/>
          <w:position w:val="0"/>
          <w:sz w:val="32"/>
          <w:szCs w:val="32"/>
        </w:rPr>
        <w:t>（二）存在问题。</w:t>
      </w:r>
    </w:p>
    <w:p>
      <w:pPr>
        <w:pageBreakBefore w:val="0"/>
        <w:numPr>
          <w:ilvl w:val="0"/>
          <w:numId w:val="0"/>
        </w:numPr>
        <w:shd w:val="clear" w:fill="FFFFFF"/>
        <w:wordWrap w:val="0"/>
        <w:autoSpaceDE/>
        <w:autoSpaceDN/>
        <w:bidi w:val="0"/>
        <w:snapToGrid/>
        <w:spacing w:before="0" w:after="0" w:line="540" w:lineRule="exact"/>
        <w:ind w:left="0" w:right="0" w:firstLine="640"/>
        <w:jc w:val="left"/>
        <w:rPr>
          <w:rFonts w:hint="default" w:ascii="仿宋_GB2312" w:hAnsi="宋体" w:eastAsia="宋体"/>
          <w:color w:val="000000"/>
          <w:position w:val="0"/>
          <w:sz w:val="21"/>
          <w:szCs w:val="21"/>
        </w:rPr>
      </w:pP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主要是公务卡使用力度不够，还应加强，避免现金支付。</w:t>
      </w:r>
      <w:r>
        <w:rPr>
          <w:rFonts w:hint="default" w:ascii="仿宋_GB2312" w:hAnsi="仿宋_GB2312" w:eastAsia="仿宋_GB2312"/>
          <w:color w:val="000000" w:themeColor="text1"/>
          <w:position w:val="0"/>
          <w:sz w:val="32"/>
          <w:szCs w:val="32"/>
          <w14:textFill>
            <w14:solidFill>
              <w14:schemeClr w14:val="tx1"/>
            </w14:solidFill>
          </w14:textFill>
        </w:rPr>
        <w:t>财务人员业务知识还稍有欠缺。</w:t>
      </w:r>
      <w:r>
        <w:rPr>
          <w:rStyle w:val="29"/>
          <w:rFonts w:hint="default" w:ascii="仿宋_GB2312" w:hAnsi="仿宋_GB2312" w:eastAsia="仿宋_GB2312"/>
          <w:b/>
          <w:i w:val="0"/>
          <w:color w:val="000000" w:themeColor="text1"/>
          <w:spacing w:val="0"/>
          <w:position w:val="0"/>
          <w:sz w:val="32"/>
          <w:szCs w:val="32"/>
          <w:shd w:val="clear" w:fill="FFFFFF"/>
          <w14:textFill>
            <w14:solidFill>
              <w14:schemeClr w14:val="tx1"/>
            </w14:solidFill>
          </w14:textFill>
        </w:rPr>
        <w:t>   </w:t>
      </w:r>
    </w:p>
    <w:p>
      <w:pPr>
        <w:numPr>
          <w:ilvl w:val="0"/>
          <w:numId w:val="0"/>
        </w:numPr>
        <w:autoSpaceDE/>
        <w:autoSpaceDN/>
        <w:snapToGrid w:val="0"/>
        <w:spacing w:before="0" w:after="0" w:line="480" w:lineRule="exact"/>
        <w:ind w:left="0" w:right="0" w:firstLine="720"/>
        <w:jc w:val="left"/>
        <w:rPr>
          <w:rFonts w:hint="default" w:ascii="仿宋_GB2312" w:hAnsi="宋体" w:eastAsia="宋体"/>
          <w:color w:val="000000"/>
          <w:position w:val="0"/>
          <w:sz w:val="32"/>
          <w:szCs w:val="32"/>
        </w:rPr>
      </w:pPr>
      <w:r>
        <w:rPr>
          <w:rFonts w:hint="default" w:ascii="仿宋_GB2312" w:hAnsi="宋体" w:eastAsia="宋体"/>
          <w:color w:val="000000"/>
          <w:position w:val="0"/>
          <w:sz w:val="32"/>
          <w:szCs w:val="32"/>
        </w:rPr>
        <w:t>（三）改进建议。</w:t>
      </w:r>
    </w:p>
    <w:p>
      <w:pPr>
        <w:pageBreakBefore w:val="0"/>
        <w:numPr>
          <w:ilvl w:val="0"/>
          <w:numId w:val="0"/>
        </w:numPr>
        <w:shd w:val="clear" w:fill="FFFFFF"/>
        <w:wordWrap w:val="0"/>
        <w:autoSpaceDE/>
        <w:autoSpaceDN/>
        <w:bidi w:val="0"/>
        <w:snapToGrid/>
        <w:spacing w:before="0" w:after="0" w:line="540" w:lineRule="exact"/>
        <w:ind w:left="0" w:right="0" w:firstLine="640"/>
        <w:jc w:val="left"/>
        <w:rPr>
          <w:rFonts w:hint="default" w:ascii="仿宋_GB2312" w:hAnsi="仿宋_GB2312" w:eastAsia="仿宋_GB2312"/>
          <w:color w:val="auto"/>
          <w:position w:val="0"/>
          <w:sz w:val="21"/>
          <w:szCs w:val="21"/>
        </w:rPr>
      </w:pPr>
      <w:r>
        <w:rPr>
          <w:rFonts w:hint="default" w:ascii="仿宋_GB2312" w:hAnsi="仿宋_GB2312" w:eastAsia="仿宋_GB2312"/>
          <w:b w:val="0"/>
          <w:i w:val="0"/>
          <w:color w:val="000000" w:themeColor="text1"/>
          <w:spacing w:val="0"/>
          <w:position w:val="0"/>
          <w:sz w:val="32"/>
          <w:szCs w:val="32"/>
          <w:shd w:val="clear" w:fill="FFFFFF"/>
          <w14:textFill>
            <w14:solidFill>
              <w14:schemeClr w14:val="tx1"/>
            </w14:solidFill>
          </w14:textFill>
        </w:rPr>
        <w:t>建立长效机制，严格财务管理，加强财务监督，坚持厉行节约，严格杜绝现金支出。加强事业单位会计制度的学习，准且完整的核算部门全年收入支出，确保不漏记不多记收支。                   </w:t>
      </w:r>
    </w:p>
    <w:bookmarkEnd w:id="118"/>
    <w:p>
      <w:pPr>
        <w:pStyle w:val="3"/>
        <w:numPr>
          <w:ilvl w:val="0"/>
          <w:numId w:val="0"/>
        </w:numPr>
        <w:autoSpaceDE/>
        <w:autoSpaceDN/>
        <w:spacing w:before="260" w:after="260" w:line="415" w:lineRule="auto"/>
        <w:ind w:left="0" w:right="0" w:firstLine="0"/>
        <w:jc w:val="both"/>
        <w:outlineLvl w:val="1"/>
        <w:rPr>
          <w:rFonts w:hint="default" w:ascii="黑体" w:hAnsi="黑体" w:eastAsia="黑体"/>
          <w:b/>
          <w:color w:val="000000"/>
          <w:position w:val="0"/>
          <w:sz w:val="44"/>
          <w:szCs w:val="44"/>
        </w:rPr>
      </w:pPr>
      <w:bookmarkStart w:id="125" w:name="_Toc15396618"/>
    </w:p>
    <w:p>
      <w:pPr>
        <w:numPr>
          <w:ilvl w:val="0"/>
          <w:numId w:val="0"/>
        </w:numPr>
        <w:autoSpaceDE/>
        <w:autoSpaceDN/>
        <w:spacing w:before="0" w:after="160" w:line="600" w:lineRule="exact"/>
        <w:ind w:left="0" w:right="0" w:firstLine="0"/>
        <w:jc w:val="both"/>
        <w:outlineLvl w:val="0"/>
        <w:rPr>
          <w:rFonts w:hint="default" w:ascii="黑体" w:hAnsi="黑体" w:eastAsia="黑体"/>
          <w:color w:val="000000"/>
          <w:position w:val="0"/>
          <w:sz w:val="44"/>
          <w:szCs w:val="44"/>
        </w:rPr>
      </w:pPr>
    </w:p>
    <w:p>
      <w:pPr>
        <w:numPr>
          <w:ilvl w:val="0"/>
          <w:numId w:val="0"/>
        </w:numPr>
        <w:autoSpaceDE/>
        <w:autoSpaceDN/>
        <w:spacing w:before="0" w:after="160" w:line="600" w:lineRule="exact"/>
        <w:ind w:left="0" w:right="0" w:firstLine="0"/>
        <w:jc w:val="both"/>
        <w:outlineLvl w:val="0"/>
        <w:rPr>
          <w:rFonts w:hint="default" w:ascii="黑体" w:hAnsi="黑体" w:eastAsia="黑体"/>
          <w:color w:val="000000"/>
          <w:position w:val="0"/>
          <w:sz w:val="44"/>
          <w:szCs w:val="44"/>
        </w:rPr>
      </w:pPr>
    </w:p>
    <w:p>
      <w:pPr>
        <w:numPr>
          <w:ilvl w:val="0"/>
          <w:numId w:val="0"/>
        </w:numPr>
        <w:autoSpaceDE/>
        <w:autoSpaceDN/>
        <w:spacing w:before="0" w:after="160" w:line="600" w:lineRule="exact"/>
        <w:ind w:left="0" w:right="0" w:firstLine="0"/>
        <w:jc w:val="both"/>
        <w:outlineLvl w:val="0"/>
        <w:rPr>
          <w:rFonts w:hint="default" w:ascii="黑体" w:hAnsi="黑体" w:eastAsia="黑体"/>
          <w:color w:val="000000"/>
          <w:position w:val="0"/>
          <w:sz w:val="44"/>
          <w:szCs w:val="44"/>
        </w:rPr>
      </w:pPr>
    </w:p>
    <w:p>
      <w:pPr>
        <w:numPr>
          <w:ilvl w:val="0"/>
          <w:numId w:val="0"/>
        </w:numPr>
        <w:autoSpaceDE/>
        <w:autoSpaceDN/>
        <w:spacing w:before="0" w:after="160" w:line="600" w:lineRule="exact"/>
        <w:ind w:left="0" w:right="0" w:firstLine="0"/>
        <w:jc w:val="center"/>
        <w:outlineLvl w:val="0"/>
        <w:rPr>
          <w:rStyle w:val="49"/>
          <w:rFonts w:hint="default" w:ascii="黑体" w:hAnsi="黑体" w:eastAsia="黑体"/>
          <w:b w:val="0"/>
          <w:color w:val="auto"/>
          <w:position w:val="0"/>
          <w:sz w:val="44"/>
          <w:szCs w:val="44"/>
        </w:rPr>
      </w:pPr>
      <w:bookmarkStart w:id="126" w:name="_Toc25494_WPSOffice_Level1"/>
      <w:r>
        <w:rPr>
          <w:rFonts w:hint="default" w:ascii="黑体" w:hAnsi="黑体" w:eastAsia="黑体"/>
          <w:color w:val="000000"/>
          <w:position w:val="0"/>
          <w:sz w:val="44"/>
          <w:szCs w:val="44"/>
        </w:rPr>
        <w:t>第</w:t>
      </w:r>
      <w:r>
        <w:rPr>
          <w:rStyle w:val="49"/>
          <w:rFonts w:hint="default" w:ascii="黑体" w:hAnsi="黑体" w:eastAsia="黑体"/>
          <w:b w:val="0"/>
          <w:color w:val="auto"/>
          <w:position w:val="0"/>
          <w:sz w:val="44"/>
          <w:szCs w:val="44"/>
        </w:rPr>
        <w:t>五部分 附表</w:t>
      </w:r>
      <w:bookmarkEnd w:id="113"/>
      <w:bookmarkEnd w:id="125"/>
      <w:bookmarkEnd w:id="126"/>
    </w:p>
    <w:p>
      <w:pPr>
        <w:numPr>
          <w:ilvl w:val="0"/>
          <w:numId w:val="0"/>
        </w:numPr>
        <w:autoSpaceDE/>
        <w:autoSpaceDN/>
        <w:spacing w:before="0" w:after="160" w:line="600" w:lineRule="exact"/>
        <w:ind w:left="0" w:right="0" w:firstLine="0"/>
        <w:jc w:val="center"/>
        <w:outlineLvl w:val="0"/>
        <w:rPr>
          <w:rFonts w:hint="default" w:ascii="仿宋" w:hAnsi="仿宋" w:eastAsia="仿宋"/>
          <w:b/>
          <w:color w:val="000000"/>
          <w:position w:val="0"/>
          <w:sz w:val="44"/>
          <w:szCs w:val="44"/>
        </w:rPr>
      </w:pPr>
    </w:p>
    <w:p>
      <w:pPr>
        <w:pStyle w:val="3"/>
        <w:numPr>
          <w:ilvl w:val="0"/>
          <w:numId w:val="3"/>
        </w:numPr>
        <w:autoSpaceDE/>
        <w:autoSpaceDN/>
        <w:spacing w:before="260" w:after="260" w:line="415" w:lineRule="auto"/>
        <w:ind w:left="0" w:right="0" w:firstLine="0"/>
        <w:jc w:val="both"/>
        <w:outlineLvl w:val="1"/>
        <w:rPr>
          <w:rFonts w:hint="default" w:ascii="仿宋" w:hAnsi="仿宋" w:eastAsia="仿宋"/>
          <w:b w:val="0"/>
          <w:color w:val="000000"/>
          <w:position w:val="0"/>
          <w:sz w:val="32"/>
          <w:szCs w:val="32"/>
        </w:rPr>
      </w:pPr>
      <w:bookmarkStart w:id="127" w:name="_Toc17919_WPSOffice_Level2"/>
      <w:bookmarkStart w:id="128" w:name="_Toc15396620"/>
      <w:r>
        <w:rPr>
          <w:rFonts w:hint="default" w:ascii="仿宋" w:hAnsi="仿宋" w:eastAsia="仿宋"/>
          <w:b w:val="0"/>
          <w:color w:val="000000"/>
          <w:position w:val="0"/>
          <w:sz w:val="32"/>
          <w:szCs w:val="32"/>
        </w:rPr>
        <w:t>收入支出决算总表</w:t>
      </w:r>
      <w:bookmarkEnd w:id="127"/>
    </w:p>
    <w:p>
      <w:pPr>
        <w:pStyle w:val="3"/>
        <w:numPr>
          <w:ilvl w:val="0"/>
          <w:numId w:val="0"/>
        </w:numPr>
        <w:autoSpaceDE/>
        <w:autoSpaceDN/>
        <w:spacing w:before="260" w:after="260" w:line="415" w:lineRule="auto"/>
        <w:ind w:left="0" w:right="0" w:firstLine="0"/>
        <w:jc w:val="both"/>
        <w:outlineLvl w:val="1"/>
        <w:rPr>
          <w:rFonts w:hint="default" w:ascii="仿宋" w:hAnsi="仿宋" w:eastAsia="仿宋"/>
          <w:b/>
          <w:color w:val="000000"/>
          <w:position w:val="0"/>
          <w:sz w:val="32"/>
          <w:szCs w:val="32"/>
        </w:rPr>
      </w:pPr>
      <w:bookmarkStart w:id="129" w:name="_Toc23882_WPSOffice_Level2"/>
      <w:r>
        <w:rPr>
          <w:rFonts w:hint="default" w:ascii="仿宋" w:hAnsi="仿宋" w:eastAsia="仿宋"/>
          <w:b w:val="0"/>
          <w:color w:val="000000"/>
          <w:position w:val="0"/>
          <w:sz w:val="32"/>
          <w:szCs w:val="32"/>
        </w:rPr>
        <w:t>二、收</w:t>
      </w:r>
      <w:r>
        <w:rPr>
          <w:rStyle w:val="50"/>
          <w:rFonts w:hint="default" w:ascii="仿宋" w:hAnsi="仿宋" w:eastAsia="仿宋"/>
          <w:b w:val="0"/>
          <w:color w:val="auto"/>
          <w:position w:val="0"/>
          <w:sz w:val="32"/>
          <w:szCs w:val="32"/>
        </w:rPr>
        <w:t>入总表</w:t>
      </w:r>
      <w:bookmarkEnd w:id="128"/>
      <w:bookmarkEnd w:id="129"/>
    </w:p>
    <w:p>
      <w:pPr>
        <w:pStyle w:val="3"/>
        <w:numPr>
          <w:ilvl w:val="0"/>
          <w:numId w:val="0"/>
        </w:numPr>
        <w:autoSpaceDE/>
        <w:autoSpaceDN/>
        <w:spacing w:before="260" w:after="260" w:line="415" w:lineRule="auto"/>
        <w:ind w:left="0" w:right="0" w:firstLine="0"/>
        <w:jc w:val="both"/>
        <w:outlineLvl w:val="1"/>
        <w:rPr>
          <w:rFonts w:hint="default" w:ascii="仿宋" w:hAnsi="仿宋" w:eastAsia="仿宋"/>
          <w:b/>
          <w:color w:val="000000"/>
          <w:position w:val="0"/>
          <w:sz w:val="32"/>
          <w:szCs w:val="32"/>
        </w:rPr>
      </w:pPr>
      <w:bookmarkStart w:id="130" w:name="_Toc15396621"/>
      <w:bookmarkStart w:id="131" w:name="_Toc20405_WPSOffice_Level2"/>
      <w:r>
        <w:rPr>
          <w:rStyle w:val="50"/>
          <w:rFonts w:hint="default" w:ascii="仿宋" w:hAnsi="仿宋" w:eastAsia="仿宋"/>
          <w:b w:val="0"/>
          <w:color w:val="auto"/>
          <w:position w:val="0"/>
          <w:sz w:val="32"/>
          <w:szCs w:val="32"/>
        </w:rPr>
        <w:t>三、</w:t>
      </w:r>
      <w:r>
        <w:rPr>
          <w:rFonts w:hint="default" w:ascii="仿宋" w:hAnsi="仿宋" w:eastAsia="仿宋"/>
          <w:b w:val="0"/>
          <w:color w:val="000000"/>
          <w:position w:val="0"/>
          <w:sz w:val="32"/>
          <w:szCs w:val="32"/>
        </w:rPr>
        <w:t>支</w:t>
      </w:r>
      <w:r>
        <w:rPr>
          <w:rStyle w:val="50"/>
          <w:rFonts w:hint="default" w:ascii="仿宋" w:hAnsi="仿宋" w:eastAsia="仿宋"/>
          <w:b w:val="0"/>
          <w:color w:val="auto"/>
          <w:position w:val="0"/>
          <w:sz w:val="32"/>
          <w:szCs w:val="32"/>
        </w:rPr>
        <w:t>出总表</w:t>
      </w:r>
      <w:bookmarkEnd w:id="130"/>
      <w:bookmarkEnd w:id="131"/>
    </w:p>
    <w:p>
      <w:pPr>
        <w:pStyle w:val="3"/>
        <w:numPr>
          <w:ilvl w:val="0"/>
          <w:numId w:val="0"/>
        </w:numPr>
        <w:autoSpaceDE/>
        <w:autoSpaceDN/>
        <w:spacing w:before="260" w:after="260" w:line="415" w:lineRule="auto"/>
        <w:ind w:left="0" w:right="0" w:firstLine="0"/>
        <w:jc w:val="both"/>
        <w:outlineLvl w:val="1"/>
        <w:rPr>
          <w:rFonts w:hint="default" w:ascii="仿宋" w:hAnsi="仿宋" w:eastAsia="仿宋"/>
          <w:b w:val="0"/>
          <w:color w:val="000000"/>
          <w:position w:val="0"/>
          <w:sz w:val="32"/>
          <w:szCs w:val="32"/>
        </w:rPr>
      </w:pPr>
      <w:bookmarkStart w:id="132" w:name="_Toc15396622"/>
      <w:bookmarkStart w:id="133" w:name="_Toc24637_WPSOffice_Level2"/>
      <w:r>
        <w:rPr>
          <w:rStyle w:val="50"/>
          <w:rFonts w:hint="default" w:ascii="仿宋" w:hAnsi="仿宋" w:eastAsia="仿宋"/>
          <w:b w:val="0"/>
          <w:color w:val="auto"/>
          <w:position w:val="0"/>
          <w:sz w:val="32"/>
          <w:szCs w:val="32"/>
        </w:rPr>
        <w:t>四、</w:t>
      </w:r>
      <w:r>
        <w:rPr>
          <w:rFonts w:hint="default" w:ascii="仿宋" w:hAnsi="仿宋" w:eastAsia="仿宋"/>
          <w:b w:val="0"/>
          <w:color w:val="000000"/>
          <w:position w:val="0"/>
          <w:sz w:val="32"/>
          <w:szCs w:val="32"/>
        </w:rPr>
        <w:t>财</w:t>
      </w:r>
      <w:r>
        <w:rPr>
          <w:rStyle w:val="50"/>
          <w:rFonts w:hint="default" w:ascii="仿宋" w:hAnsi="仿宋" w:eastAsia="仿宋"/>
          <w:b w:val="0"/>
          <w:color w:val="auto"/>
          <w:position w:val="0"/>
          <w:sz w:val="32"/>
          <w:szCs w:val="32"/>
        </w:rPr>
        <w:t>政拨款收入支出决算总表</w:t>
      </w:r>
      <w:bookmarkEnd w:id="132"/>
      <w:bookmarkEnd w:id="133"/>
    </w:p>
    <w:p>
      <w:pPr>
        <w:pStyle w:val="3"/>
        <w:numPr>
          <w:ilvl w:val="0"/>
          <w:numId w:val="0"/>
        </w:numPr>
        <w:autoSpaceDE/>
        <w:autoSpaceDN/>
        <w:spacing w:before="260" w:after="260" w:line="415" w:lineRule="auto"/>
        <w:ind w:left="0" w:right="0" w:firstLine="0"/>
        <w:jc w:val="both"/>
        <w:outlineLvl w:val="1"/>
        <w:rPr>
          <w:rFonts w:hint="default" w:ascii="仿宋" w:hAnsi="仿宋" w:eastAsia="仿宋"/>
          <w:b/>
          <w:color w:val="000000"/>
          <w:position w:val="0"/>
          <w:sz w:val="32"/>
          <w:szCs w:val="32"/>
        </w:rPr>
      </w:pPr>
      <w:bookmarkStart w:id="134" w:name="_Toc15396623"/>
      <w:bookmarkStart w:id="135" w:name="_Toc1333_WPSOffice_Level2"/>
      <w:r>
        <w:rPr>
          <w:rStyle w:val="50"/>
          <w:rFonts w:hint="default" w:ascii="仿宋" w:hAnsi="仿宋" w:eastAsia="仿宋"/>
          <w:b w:val="0"/>
          <w:color w:val="auto"/>
          <w:position w:val="0"/>
          <w:sz w:val="32"/>
          <w:szCs w:val="32"/>
        </w:rPr>
        <w:t>五、</w:t>
      </w:r>
      <w:r>
        <w:rPr>
          <w:rFonts w:hint="default" w:ascii="仿宋" w:hAnsi="仿宋" w:eastAsia="仿宋"/>
          <w:b w:val="0"/>
          <w:color w:val="000000"/>
          <w:position w:val="0"/>
          <w:sz w:val="32"/>
          <w:szCs w:val="32"/>
        </w:rPr>
        <w:t>财</w:t>
      </w:r>
      <w:r>
        <w:rPr>
          <w:rStyle w:val="50"/>
          <w:rFonts w:hint="default" w:ascii="仿宋" w:hAnsi="仿宋" w:eastAsia="仿宋"/>
          <w:b w:val="0"/>
          <w:color w:val="auto"/>
          <w:position w:val="0"/>
          <w:sz w:val="32"/>
          <w:szCs w:val="32"/>
        </w:rPr>
        <w:t>政拨款支出决算明细表（政府经济分类科目）</w:t>
      </w:r>
      <w:bookmarkEnd w:id="134"/>
      <w:bookmarkEnd w:id="135"/>
    </w:p>
    <w:p>
      <w:pPr>
        <w:pStyle w:val="3"/>
        <w:numPr>
          <w:ilvl w:val="0"/>
          <w:numId w:val="0"/>
        </w:numPr>
        <w:autoSpaceDE/>
        <w:autoSpaceDN/>
        <w:spacing w:before="260" w:after="260" w:line="415" w:lineRule="auto"/>
        <w:ind w:left="0" w:right="0" w:firstLine="0"/>
        <w:jc w:val="both"/>
        <w:outlineLvl w:val="1"/>
        <w:rPr>
          <w:rFonts w:hint="default" w:ascii="仿宋" w:hAnsi="仿宋" w:eastAsia="仿宋"/>
          <w:b/>
          <w:color w:val="000000"/>
          <w:position w:val="0"/>
          <w:sz w:val="32"/>
          <w:szCs w:val="32"/>
        </w:rPr>
      </w:pPr>
      <w:bookmarkStart w:id="136" w:name="_Toc10446_WPSOffice_Level2"/>
      <w:bookmarkStart w:id="137" w:name="_Toc15396624"/>
      <w:r>
        <w:rPr>
          <w:rStyle w:val="50"/>
          <w:rFonts w:hint="default" w:ascii="仿宋" w:hAnsi="仿宋" w:eastAsia="仿宋"/>
          <w:b w:val="0"/>
          <w:color w:val="auto"/>
          <w:position w:val="0"/>
          <w:sz w:val="32"/>
          <w:szCs w:val="32"/>
        </w:rPr>
        <w:t>六、</w:t>
      </w:r>
      <w:r>
        <w:rPr>
          <w:rFonts w:hint="default" w:ascii="仿宋" w:hAnsi="仿宋" w:eastAsia="仿宋"/>
          <w:b w:val="0"/>
          <w:color w:val="000000"/>
          <w:position w:val="0"/>
          <w:sz w:val="32"/>
          <w:szCs w:val="32"/>
        </w:rPr>
        <w:t>一</w:t>
      </w:r>
      <w:r>
        <w:rPr>
          <w:rStyle w:val="50"/>
          <w:rFonts w:hint="default" w:ascii="仿宋" w:hAnsi="仿宋" w:eastAsia="仿宋"/>
          <w:b w:val="0"/>
          <w:color w:val="auto"/>
          <w:position w:val="0"/>
          <w:sz w:val="32"/>
          <w:szCs w:val="32"/>
        </w:rPr>
        <w:t>般公共预算财政拨款支出决算表</w:t>
      </w:r>
      <w:bookmarkEnd w:id="136"/>
      <w:bookmarkEnd w:id="137"/>
    </w:p>
    <w:p>
      <w:pPr>
        <w:pStyle w:val="3"/>
        <w:numPr>
          <w:ilvl w:val="0"/>
          <w:numId w:val="0"/>
        </w:numPr>
        <w:autoSpaceDE/>
        <w:autoSpaceDN/>
        <w:spacing w:before="260" w:after="260" w:line="415" w:lineRule="auto"/>
        <w:ind w:left="0" w:right="0" w:firstLine="0"/>
        <w:jc w:val="both"/>
        <w:outlineLvl w:val="1"/>
        <w:rPr>
          <w:rFonts w:hint="default" w:ascii="仿宋" w:hAnsi="仿宋" w:eastAsia="仿宋"/>
          <w:b/>
          <w:color w:val="000000"/>
          <w:position w:val="0"/>
          <w:sz w:val="32"/>
          <w:szCs w:val="32"/>
        </w:rPr>
      </w:pPr>
      <w:bookmarkStart w:id="138" w:name="_Toc15396625"/>
      <w:bookmarkStart w:id="139" w:name="_Toc1011_WPSOffice_Level2"/>
      <w:r>
        <w:rPr>
          <w:rStyle w:val="50"/>
          <w:rFonts w:hint="default" w:ascii="仿宋" w:hAnsi="仿宋" w:eastAsia="仿宋"/>
          <w:b w:val="0"/>
          <w:color w:val="auto"/>
          <w:position w:val="0"/>
          <w:sz w:val="32"/>
          <w:szCs w:val="32"/>
        </w:rPr>
        <w:t>七、</w:t>
      </w:r>
      <w:r>
        <w:rPr>
          <w:rFonts w:hint="default" w:ascii="仿宋" w:hAnsi="仿宋" w:eastAsia="仿宋"/>
          <w:b w:val="0"/>
          <w:color w:val="000000"/>
          <w:position w:val="0"/>
          <w:sz w:val="32"/>
          <w:szCs w:val="32"/>
        </w:rPr>
        <w:t>一</w:t>
      </w:r>
      <w:r>
        <w:rPr>
          <w:rStyle w:val="50"/>
          <w:rFonts w:hint="default" w:ascii="仿宋" w:hAnsi="仿宋" w:eastAsia="仿宋"/>
          <w:b w:val="0"/>
          <w:color w:val="auto"/>
          <w:position w:val="0"/>
          <w:sz w:val="32"/>
          <w:szCs w:val="32"/>
        </w:rPr>
        <w:t>般公共预算财政拨款支出决算明细表</w:t>
      </w:r>
      <w:bookmarkEnd w:id="138"/>
      <w:bookmarkEnd w:id="139"/>
    </w:p>
    <w:p>
      <w:pPr>
        <w:pStyle w:val="3"/>
        <w:numPr>
          <w:ilvl w:val="0"/>
          <w:numId w:val="0"/>
        </w:numPr>
        <w:autoSpaceDE/>
        <w:autoSpaceDN/>
        <w:spacing w:before="260" w:after="260" w:line="415" w:lineRule="auto"/>
        <w:ind w:left="0" w:right="0" w:firstLine="0"/>
        <w:jc w:val="both"/>
        <w:outlineLvl w:val="1"/>
        <w:rPr>
          <w:rFonts w:hint="default" w:ascii="仿宋" w:hAnsi="仿宋" w:eastAsia="仿宋"/>
          <w:b/>
          <w:color w:val="000000"/>
          <w:position w:val="0"/>
          <w:sz w:val="32"/>
          <w:szCs w:val="32"/>
        </w:rPr>
      </w:pPr>
      <w:bookmarkStart w:id="140" w:name="_Toc15396626"/>
      <w:bookmarkStart w:id="141" w:name="_Toc26730_WPSOffice_Level2"/>
      <w:r>
        <w:rPr>
          <w:rStyle w:val="50"/>
          <w:rFonts w:hint="default" w:ascii="仿宋" w:hAnsi="仿宋" w:eastAsia="仿宋"/>
          <w:b w:val="0"/>
          <w:color w:val="auto"/>
          <w:position w:val="0"/>
          <w:sz w:val="32"/>
          <w:szCs w:val="32"/>
        </w:rPr>
        <w:t>八、</w:t>
      </w:r>
      <w:r>
        <w:rPr>
          <w:rFonts w:hint="default" w:ascii="仿宋" w:hAnsi="仿宋" w:eastAsia="仿宋"/>
          <w:b w:val="0"/>
          <w:color w:val="000000"/>
          <w:position w:val="0"/>
          <w:sz w:val="32"/>
          <w:szCs w:val="32"/>
        </w:rPr>
        <w:t>一</w:t>
      </w:r>
      <w:r>
        <w:rPr>
          <w:rStyle w:val="50"/>
          <w:rFonts w:hint="default" w:ascii="仿宋" w:hAnsi="仿宋" w:eastAsia="仿宋"/>
          <w:b w:val="0"/>
          <w:color w:val="auto"/>
          <w:position w:val="0"/>
          <w:sz w:val="32"/>
          <w:szCs w:val="32"/>
        </w:rPr>
        <w:t>般公共预算财政拨款基本支出决算表</w:t>
      </w:r>
      <w:bookmarkEnd w:id="140"/>
      <w:bookmarkEnd w:id="141"/>
    </w:p>
    <w:p>
      <w:pPr>
        <w:pStyle w:val="3"/>
        <w:numPr>
          <w:ilvl w:val="0"/>
          <w:numId w:val="0"/>
        </w:numPr>
        <w:autoSpaceDE/>
        <w:autoSpaceDN/>
        <w:spacing w:before="260" w:after="260" w:line="415" w:lineRule="auto"/>
        <w:ind w:left="0" w:right="0" w:firstLine="0"/>
        <w:jc w:val="both"/>
        <w:outlineLvl w:val="1"/>
        <w:rPr>
          <w:rFonts w:hint="default" w:ascii="仿宋" w:hAnsi="仿宋" w:eastAsia="仿宋"/>
          <w:b/>
          <w:color w:val="000000"/>
          <w:position w:val="0"/>
          <w:sz w:val="32"/>
          <w:szCs w:val="32"/>
        </w:rPr>
      </w:pPr>
      <w:bookmarkStart w:id="142" w:name="_Toc15396627"/>
      <w:bookmarkStart w:id="143" w:name="_Toc16965_WPSOffice_Level2"/>
      <w:r>
        <w:rPr>
          <w:rStyle w:val="50"/>
          <w:rFonts w:hint="default" w:ascii="仿宋" w:hAnsi="仿宋" w:eastAsia="仿宋"/>
          <w:b w:val="0"/>
          <w:color w:val="auto"/>
          <w:position w:val="0"/>
          <w:sz w:val="32"/>
          <w:szCs w:val="32"/>
        </w:rPr>
        <w:t>九、</w:t>
      </w:r>
      <w:r>
        <w:rPr>
          <w:rFonts w:hint="default" w:ascii="仿宋" w:hAnsi="仿宋" w:eastAsia="仿宋"/>
          <w:b w:val="0"/>
          <w:color w:val="000000"/>
          <w:position w:val="0"/>
          <w:sz w:val="32"/>
          <w:szCs w:val="32"/>
        </w:rPr>
        <w:t>一</w:t>
      </w:r>
      <w:r>
        <w:rPr>
          <w:rStyle w:val="50"/>
          <w:rFonts w:hint="default" w:ascii="仿宋" w:hAnsi="仿宋" w:eastAsia="仿宋"/>
          <w:b w:val="0"/>
          <w:color w:val="auto"/>
          <w:position w:val="0"/>
          <w:sz w:val="32"/>
          <w:szCs w:val="32"/>
        </w:rPr>
        <w:t>般公共预算财政拨款项目支出决算表</w:t>
      </w:r>
      <w:bookmarkEnd w:id="142"/>
      <w:bookmarkEnd w:id="143"/>
    </w:p>
    <w:p>
      <w:pPr>
        <w:pStyle w:val="3"/>
        <w:numPr>
          <w:ilvl w:val="0"/>
          <w:numId w:val="0"/>
        </w:numPr>
        <w:autoSpaceDE/>
        <w:autoSpaceDN/>
        <w:spacing w:before="260" w:after="260" w:line="415" w:lineRule="auto"/>
        <w:ind w:left="0" w:right="0" w:firstLine="0"/>
        <w:jc w:val="both"/>
        <w:outlineLvl w:val="1"/>
        <w:rPr>
          <w:rFonts w:hint="default" w:ascii="仿宋" w:hAnsi="仿宋" w:eastAsia="仿宋"/>
          <w:b/>
          <w:color w:val="000000"/>
          <w:position w:val="0"/>
          <w:sz w:val="32"/>
          <w:szCs w:val="32"/>
        </w:rPr>
      </w:pPr>
      <w:bookmarkStart w:id="144" w:name="_Toc9253_WPSOffice_Level2"/>
      <w:bookmarkStart w:id="145" w:name="_Toc15396628"/>
      <w:r>
        <w:rPr>
          <w:rStyle w:val="50"/>
          <w:rFonts w:hint="default" w:ascii="仿宋" w:hAnsi="仿宋" w:eastAsia="仿宋"/>
          <w:b w:val="0"/>
          <w:color w:val="auto"/>
          <w:position w:val="0"/>
          <w:sz w:val="32"/>
          <w:szCs w:val="32"/>
        </w:rPr>
        <w:t>十、</w:t>
      </w:r>
      <w:r>
        <w:rPr>
          <w:rFonts w:hint="default" w:ascii="仿宋" w:hAnsi="仿宋" w:eastAsia="仿宋"/>
          <w:b w:val="0"/>
          <w:color w:val="000000"/>
          <w:position w:val="0"/>
          <w:sz w:val="32"/>
          <w:szCs w:val="32"/>
        </w:rPr>
        <w:t>一</w:t>
      </w:r>
      <w:r>
        <w:rPr>
          <w:rStyle w:val="50"/>
          <w:rFonts w:hint="default" w:ascii="仿宋" w:hAnsi="仿宋" w:eastAsia="仿宋"/>
          <w:b w:val="0"/>
          <w:color w:val="auto"/>
          <w:position w:val="0"/>
          <w:sz w:val="32"/>
          <w:szCs w:val="32"/>
        </w:rPr>
        <w:t>般公共预算财政拨款“三公”经费支出决算表</w:t>
      </w:r>
      <w:bookmarkEnd w:id="144"/>
      <w:bookmarkEnd w:id="145"/>
    </w:p>
    <w:p>
      <w:pPr>
        <w:pStyle w:val="3"/>
        <w:numPr>
          <w:ilvl w:val="0"/>
          <w:numId w:val="0"/>
        </w:numPr>
        <w:autoSpaceDE/>
        <w:autoSpaceDN/>
        <w:spacing w:before="260" w:after="260" w:line="415" w:lineRule="auto"/>
        <w:ind w:left="0" w:right="0" w:firstLine="0"/>
        <w:jc w:val="both"/>
        <w:outlineLvl w:val="1"/>
        <w:rPr>
          <w:rFonts w:hint="default" w:ascii="仿宋" w:hAnsi="仿宋" w:eastAsia="仿宋"/>
          <w:b/>
          <w:color w:val="000000"/>
          <w:position w:val="0"/>
          <w:sz w:val="32"/>
          <w:szCs w:val="32"/>
        </w:rPr>
      </w:pPr>
      <w:bookmarkStart w:id="146" w:name="_Toc24736_WPSOffice_Level2"/>
      <w:bookmarkStart w:id="147" w:name="_Toc15396629"/>
      <w:r>
        <w:rPr>
          <w:rStyle w:val="50"/>
          <w:rFonts w:hint="default" w:ascii="仿宋" w:hAnsi="仿宋" w:eastAsia="仿宋"/>
          <w:b w:val="0"/>
          <w:color w:val="auto"/>
          <w:position w:val="0"/>
          <w:sz w:val="32"/>
          <w:szCs w:val="32"/>
        </w:rPr>
        <w:t>十一、</w:t>
      </w:r>
      <w:r>
        <w:rPr>
          <w:rFonts w:hint="default" w:ascii="仿宋" w:hAnsi="仿宋" w:eastAsia="仿宋"/>
          <w:b w:val="0"/>
          <w:color w:val="000000"/>
          <w:position w:val="0"/>
          <w:sz w:val="32"/>
          <w:szCs w:val="32"/>
        </w:rPr>
        <w:t>政</w:t>
      </w:r>
      <w:r>
        <w:rPr>
          <w:rStyle w:val="50"/>
          <w:rFonts w:hint="default" w:ascii="仿宋" w:hAnsi="仿宋" w:eastAsia="仿宋"/>
          <w:b w:val="0"/>
          <w:color w:val="auto"/>
          <w:position w:val="0"/>
          <w:sz w:val="32"/>
          <w:szCs w:val="32"/>
        </w:rPr>
        <w:t>府性基金预算财政拨款收入支出决算表</w:t>
      </w:r>
      <w:bookmarkEnd w:id="146"/>
      <w:bookmarkEnd w:id="147"/>
    </w:p>
    <w:p>
      <w:pPr>
        <w:pStyle w:val="3"/>
        <w:numPr>
          <w:ilvl w:val="0"/>
          <w:numId w:val="0"/>
        </w:numPr>
        <w:autoSpaceDE/>
        <w:autoSpaceDN/>
        <w:spacing w:before="260" w:after="260" w:line="415" w:lineRule="auto"/>
        <w:ind w:left="0" w:right="0" w:firstLine="0"/>
        <w:jc w:val="both"/>
        <w:outlineLvl w:val="1"/>
        <w:rPr>
          <w:rFonts w:hint="default" w:ascii="仿宋" w:hAnsi="仿宋" w:eastAsia="仿宋"/>
          <w:b/>
          <w:color w:val="000000"/>
          <w:position w:val="0"/>
          <w:sz w:val="32"/>
          <w:szCs w:val="32"/>
        </w:rPr>
      </w:pPr>
      <w:bookmarkStart w:id="148" w:name="_Toc15396630"/>
      <w:bookmarkStart w:id="149" w:name="_Toc13194_WPSOffice_Level2"/>
      <w:r>
        <w:rPr>
          <w:rStyle w:val="50"/>
          <w:rFonts w:hint="default" w:ascii="仿宋" w:hAnsi="仿宋" w:eastAsia="仿宋"/>
          <w:b w:val="0"/>
          <w:color w:val="auto"/>
          <w:position w:val="0"/>
          <w:sz w:val="32"/>
          <w:szCs w:val="32"/>
        </w:rPr>
        <w:t>十二、</w:t>
      </w:r>
      <w:r>
        <w:rPr>
          <w:rFonts w:hint="default" w:ascii="仿宋" w:hAnsi="仿宋" w:eastAsia="仿宋"/>
          <w:b w:val="0"/>
          <w:color w:val="000000"/>
          <w:position w:val="0"/>
          <w:sz w:val="32"/>
          <w:szCs w:val="32"/>
        </w:rPr>
        <w:t>政</w:t>
      </w:r>
      <w:r>
        <w:rPr>
          <w:rStyle w:val="50"/>
          <w:rFonts w:hint="default" w:ascii="仿宋" w:hAnsi="仿宋" w:eastAsia="仿宋"/>
          <w:b w:val="0"/>
          <w:color w:val="auto"/>
          <w:position w:val="0"/>
          <w:sz w:val="32"/>
          <w:szCs w:val="32"/>
        </w:rPr>
        <w:t>府性基金预算财政拨款“三公”经费支出决算表</w:t>
      </w:r>
      <w:bookmarkEnd w:id="148"/>
      <w:bookmarkEnd w:id="149"/>
    </w:p>
    <w:p>
      <w:pPr>
        <w:pStyle w:val="3"/>
        <w:numPr>
          <w:ilvl w:val="0"/>
          <w:numId w:val="0"/>
        </w:numPr>
        <w:autoSpaceDE/>
        <w:autoSpaceDN/>
        <w:spacing w:before="260" w:after="260" w:line="415" w:lineRule="auto"/>
        <w:ind w:left="0" w:right="0" w:firstLine="0"/>
        <w:jc w:val="both"/>
        <w:outlineLvl w:val="1"/>
        <w:rPr>
          <w:rFonts w:hint="default" w:ascii="仿宋" w:hAnsi="仿宋" w:eastAsia="仿宋"/>
          <w:b/>
          <w:color w:val="000000" w:themeColor="text1"/>
          <w:position w:val="0"/>
          <w:sz w:val="32"/>
          <w:szCs w:val="32"/>
          <w14:textFill>
            <w14:solidFill>
              <w14:schemeClr w14:val="tx1"/>
            </w14:solidFill>
          </w14:textFill>
        </w:rPr>
      </w:pPr>
      <w:bookmarkStart w:id="150" w:name="_Toc15396631"/>
      <w:bookmarkStart w:id="151" w:name="_Toc21929_WPSOffice_Level2"/>
      <w:r>
        <w:rPr>
          <w:rStyle w:val="50"/>
          <w:rFonts w:hint="default" w:ascii="仿宋" w:hAnsi="仿宋" w:eastAsia="仿宋"/>
          <w:b w:val="0"/>
          <w:color w:val="auto"/>
          <w:position w:val="0"/>
          <w:sz w:val="32"/>
          <w:szCs w:val="32"/>
        </w:rPr>
        <w:t>十三、</w:t>
      </w:r>
      <w:r>
        <w:rPr>
          <w:rFonts w:hint="default" w:ascii="仿宋" w:hAnsi="仿宋" w:eastAsia="仿宋"/>
          <w:b w:val="0"/>
          <w:color w:val="000000"/>
          <w:position w:val="0"/>
          <w:sz w:val="32"/>
          <w:szCs w:val="32"/>
        </w:rPr>
        <w:t>国</w:t>
      </w:r>
      <w:r>
        <w:rPr>
          <w:rStyle w:val="50"/>
          <w:rFonts w:hint="default" w:ascii="仿宋" w:hAnsi="仿宋" w:eastAsia="仿宋"/>
          <w:b w:val="0"/>
          <w:color w:val="auto"/>
          <w:position w:val="0"/>
          <w:sz w:val="32"/>
          <w:szCs w:val="32"/>
        </w:rPr>
        <w:t>有资本经营预算支出决算表</w:t>
      </w:r>
      <w:bookmarkEnd w:id="150"/>
      <w:bookmarkEnd w:id="151"/>
    </w:p>
    <w:sectPr>
      <w:headerReference r:id="rId3" w:type="default"/>
      <w:footerReference r:id="rId4" w:type="default"/>
      <w:pgSz w:w="11906" w:h="16838"/>
      <w:pgMar w:top="1440" w:right="1800" w:bottom="1440" w:left="1800"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auto"/>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numPr>
        <w:ilvl w:val="0"/>
        <w:numId w:val="0"/>
      </w:numPr>
      <w:autoSpaceDE/>
      <w:autoSpaceDN/>
      <w:snapToGrid w:val="0"/>
      <w:spacing w:before="0" w:after="160" w:line="240" w:lineRule="auto"/>
      <w:ind w:left="0" w:right="0" w:firstLine="0"/>
      <w:jc w:val="center"/>
      <w:rPr>
        <w:rFonts w:hint="default" w:ascii="Calibri" w:hAnsi="Calibri" w:eastAsia="Calibri"/>
        <w:color w:val="auto"/>
        <w:position w:val="0"/>
        <w:sz w:val="18"/>
        <w:szCs w:val="18"/>
      </w:rPr>
    </w:pPr>
    <w:r>
      <w:rPr>
        <w:rFonts w:hint="default" w:ascii="Calibri" w:hAnsi="Calibri" w:eastAsia="Calibri"/>
        <w:color w:val="auto"/>
        <w:position w:val="0"/>
        <w:sz w:val="18"/>
        <w:szCs w:val="18"/>
      </w:rPr>
      <w:fldChar w:fldCharType="begin"/>
    </w:r>
    <w:r>
      <w:instrText xml:space="preserve">PAGE  \* MERGEFORMAT</w:instrText>
    </w:r>
    <w:r>
      <w:fldChar w:fldCharType="separate"/>
    </w:r>
    <w:r>
      <w:rPr>
        <w:rFonts w:hint="default" w:ascii="Calibri" w:hAnsi="Calibri" w:eastAsia="Calibri"/>
        <w:color w:val="auto"/>
        <w:position w:val="0"/>
        <w:sz w:val="18"/>
        <w:szCs w:val="18"/>
      </w:rPr>
      <w:t>26</w:t>
    </w:r>
    <w:r>
      <w:rPr>
        <w:rFonts w:hint="default" w:ascii="Calibri" w:hAnsi="Calibri" w:eastAsia="Calibri"/>
        <w:color w:val="auto"/>
        <w:position w:val="0"/>
        <w:sz w:val="18"/>
        <w:szCs w:val="18"/>
      </w:rPr>
      <w:fldChar w:fldCharType="end"/>
    </w:r>
  </w:p>
  <w:p>
    <w:pPr>
      <w:pStyle w:val="17"/>
      <w:numPr>
        <w:ilvl w:val="0"/>
        <w:numId w:val="0"/>
      </w:numPr>
      <w:autoSpaceDE/>
      <w:autoSpaceDN/>
      <w:snapToGrid w:val="0"/>
      <w:spacing w:before="0" w:after="160" w:line="240" w:lineRule="auto"/>
      <w:ind w:left="0" w:right="0" w:firstLine="0"/>
      <w:jc w:val="left"/>
      <w:rPr>
        <w:rFonts w:hint="default" w:ascii="Calibri" w:hAnsi="Calibri" w:eastAsia="Calibri"/>
        <w:color w:val="auto"/>
        <w:position w:val="0"/>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numPr>
        <w:ilvl w:val="0"/>
        <w:numId w:val="0"/>
      </w:numPr>
      <w:pBdr>
        <w:bottom w:val="none" w:color="000000" w:sz="0" w:space="0"/>
      </w:pBdr>
      <w:autoSpaceDE/>
      <w:autoSpaceDN/>
      <w:snapToGrid w:val="0"/>
      <w:spacing w:before="0" w:after="160" w:line="240" w:lineRule="auto"/>
      <w:ind w:left="0" w:right="0" w:firstLine="0"/>
      <w:jc w:val="center"/>
      <w:rPr>
        <w:rFonts w:hint="default" w:ascii="Calibri" w:hAnsi="Calibri" w:eastAsia="Calibri"/>
        <w:color w:val="auto"/>
        <w:position w:val="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3"/>
    <w:multiLevelType w:val="multilevel"/>
    <w:tmpl w:val="2F000003"/>
    <w:lvl w:ilvl="0" w:tentative="0">
      <w:start w:val="1"/>
      <w:numFmt w:val="decimal"/>
      <w:suff w:val="nothing"/>
      <w:lvlText w:val="（%1）"/>
      <w:lvlJc w:val="left"/>
      <w:rPr>
        <w:rFonts w:ascii="楷体_GB2312" w:hAnsi="楷体_GB2312" w:eastAsia="楷体_GB2312"/>
        <w:b/>
        <w:w w:val="100"/>
        <w:sz w:val="32"/>
        <w:szCs w:val="32"/>
        <w:shd w:val="clear"/>
      </w:rPr>
    </w:lvl>
    <w:lvl w:ilvl="1" w:tentative="0">
      <w:start w:val="1"/>
      <w:numFmt w:val="decimal"/>
      <w:suff w:val="nothing"/>
      <w:lvlText w:val="（%1）"/>
      <w:lvlJc w:val="left"/>
      <w:rPr>
        <w:rFonts w:ascii="楷体_GB2312" w:hAnsi="楷体_GB2312" w:eastAsia="楷体_GB2312"/>
        <w:b/>
        <w:w w:val="100"/>
        <w:sz w:val="32"/>
        <w:szCs w:val="32"/>
        <w:shd w:val="clear"/>
      </w:rPr>
    </w:lvl>
    <w:lvl w:ilvl="2" w:tentative="0">
      <w:start w:val="1"/>
      <w:numFmt w:val="decimal"/>
      <w:suff w:val="nothing"/>
      <w:lvlText w:val="（%1）"/>
      <w:lvlJc w:val="left"/>
      <w:rPr>
        <w:rFonts w:ascii="楷体_GB2312" w:hAnsi="楷体_GB2312" w:eastAsia="楷体_GB2312"/>
        <w:b/>
        <w:w w:val="100"/>
        <w:sz w:val="32"/>
        <w:szCs w:val="32"/>
        <w:shd w:val="clear"/>
      </w:rPr>
    </w:lvl>
    <w:lvl w:ilvl="3" w:tentative="0">
      <w:start w:val="1"/>
      <w:numFmt w:val="decimal"/>
      <w:suff w:val="nothing"/>
      <w:lvlText w:val="（%1）"/>
      <w:lvlJc w:val="left"/>
      <w:rPr>
        <w:rFonts w:ascii="楷体_GB2312" w:hAnsi="楷体_GB2312" w:eastAsia="楷体_GB2312"/>
        <w:b/>
        <w:w w:val="100"/>
        <w:sz w:val="32"/>
        <w:szCs w:val="32"/>
        <w:shd w:val="clear"/>
      </w:rPr>
    </w:lvl>
    <w:lvl w:ilvl="4" w:tentative="0">
      <w:start w:val="1"/>
      <w:numFmt w:val="decimal"/>
      <w:suff w:val="nothing"/>
      <w:lvlText w:val="（%1）"/>
      <w:lvlJc w:val="left"/>
      <w:rPr>
        <w:rFonts w:ascii="楷体_GB2312" w:hAnsi="楷体_GB2312" w:eastAsia="楷体_GB2312"/>
        <w:b/>
        <w:w w:val="100"/>
        <w:sz w:val="32"/>
        <w:szCs w:val="32"/>
        <w:shd w:val="clear"/>
      </w:rPr>
    </w:lvl>
    <w:lvl w:ilvl="5" w:tentative="0">
      <w:start w:val="1"/>
      <w:numFmt w:val="decimal"/>
      <w:suff w:val="nothing"/>
      <w:lvlText w:val="（%1）"/>
      <w:lvlJc w:val="left"/>
      <w:rPr>
        <w:rFonts w:ascii="楷体_GB2312" w:hAnsi="楷体_GB2312" w:eastAsia="楷体_GB2312"/>
        <w:b/>
        <w:w w:val="100"/>
        <w:sz w:val="32"/>
        <w:szCs w:val="32"/>
        <w:shd w:val="clear"/>
      </w:rPr>
    </w:lvl>
    <w:lvl w:ilvl="6" w:tentative="0">
      <w:start w:val="1"/>
      <w:numFmt w:val="decimal"/>
      <w:suff w:val="nothing"/>
      <w:lvlText w:val="（%1）"/>
      <w:lvlJc w:val="left"/>
      <w:rPr>
        <w:rFonts w:ascii="楷体_GB2312" w:hAnsi="楷体_GB2312" w:eastAsia="楷体_GB2312"/>
        <w:b/>
        <w:w w:val="100"/>
        <w:sz w:val="32"/>
        <w:szCs w:val="32"/>
        <w:shd w:val="clear"/>
      </w:rPr>
    </w:lvl>
    <w:lvl w:ilvl="7" w:tentative="0">
      <w:start w:val="1"/>
      <w:numFmt w:val="decimal"/>
      <w:suff w:val="nothing"/>
      <w:lvlText w:val="（%1）"/>
      <w:lvlJc w:val="left"/>
      <w:rPr>
        <w:rFonts w:ascii="楷体_GB2312" w:hAnsi="楷体_GB2312" w:eastAsia="楷体_GB2312"/>
        <w:b/>
        <w:w w:val="100"/>
        <w:sz w:val="32"/>
        <w:szCs w:val="32"/>
        <w:shd w:val="clear"/>
      </w:rPr>
    </w:lvl>
    <w:lvl w:ilvl="8" w:tentative="0">
      <w:start w:val="1"/>
      <w:numFmt w:val="decimal"/>
      <w:suff w:val="nothing"/>
      <w:lvlText w:val="（%1）"/>
      <w:lvlJc w:val="left"/>
      <w:rPr>
        <w:rFonts w:ascii="楷体_GB2312" w:hAnsi="楷体_GB2312" w:eastAsia="楷体_GB2312"/>
        <w:b/>
        <w:w w:val="100"/>
        <w:sz w:val="32"/>
        <w:szCs w:val="32"/>
        <w:shd w:val="clear"/>
      </w:rPr>
    </w:lvl>
  </w:abstractNum>
  <w:abstractNum w:abstractNumId="1">
    <w:nsid w:val="2F000004"/>
    <w:multiLevelType w:val="multilevel"/>
    <w:tmpl w:val="2F000004"/>
    <w:lvl w:ilvl="0" w:tentative="0">
      <w:start w:val="1"/>
      <w:numFmt w:val="japaneseCounting"/>
      <w:lvlText w:val="%1、"/>
      <w:lvlJc w:val="left"/>
      <w:pPr>
        <w:ind w:left="1360" w:hanging="720"/>
        <w:jc w:val="both"/>
      </w:pPr>
      <w:rPr>
        <w:b w:val="0"/>
        <w:w w:val="100"/>
        <w:sz w:val="20"/>
        <w:szCs w:val="20"/>
        <w:shd w:val="clear"/>
      </w:rPr>
    </w:lvl>
    <w:lvl w:ilvl="1" w:tentative="0">
      <w:start w:val="1"/>
      <w:numFmt w:val="lowerLetter"/>
      <w:lvlText w:val="%2)"/>
      <w:lvlJc w:val="left"/>
      <w:pPr>
        <w:ind w:left="1480" w:hanging="420"/>
        <w:jc w:val="both"/>
      </w:pPr>
    </w:lvl>
    <w:lvl w:ilvl="2" w:tentative="0">
      <w:start w:val="1"/>
      <w:numFmt w:val="lowerRoman"/>
      <w:lvlText w:val="%3."/>
      <w:lvlJc w:val="right"/>
      <w:pPr>
        <w:ind w:left="1900" w:hanging="420"/>
        <w:jc w:val="both"/>
      </w:pPr>
    </w:lvl>
    <w:lvl w:ilvl="3" w:tentative="0">
      <w:start w:val="1"/>
      <w:numFmt w:val="decimal"/>
      <w:lvlText w:val="%4."/>
      <w:lvlJc w:val="left"/>
      <w:pPr>
        <w:ind w:left="2320" w:hanging="420"/>
        <w:jc w:val="both"/>
      </w:pPr>
    </w:lvl>
    <w:lvl w:ilvl="4" w:tentative="0">
      <w:start w:val="1"/>
      <w:numFmt w:val="lowerLetter"/>
      <w:lvlText w:val="%5)"/>
      <w:lvlJc w:val="left"/>
      <w:pPr>
        <w:ind w:left="2740" w:hanging="420"/>
        <w:jc w:val="both"/>
      </w:pPr>
    </w:lvl>
    <w:lvl w:ilvl="5" w:tentative="0">
      <w:start w:val="1"/>
      <w:numFmt w:val="lowerRoman"/>
      <w:lvlText w:val="%6."/>
      <w:lvlJc w:val="right"/>
      <w:pPr>
        <w:ind w:left="3160" w:hanging="420"/>
        <w:jc w:val="both"/>
      </w:pPr>
    </w:lvl>
    <w:lvl w:ilvl="6" w:tentative="0">
      <w:start w:val="1"/>
      <w:numFmt w:val="decimal"/>
      <w:lvlText w:val="%7."/>
      <w:lvlJc w:val="left"/>
      <w:pPr>
        <w:ind w:left="3580" w:hanging="420"/>
        <w:jc w:val="both"/>
      </w:pPr>
    </w:lvl>
    <w:lvl w:ilvl="7" w:tentative="0">
      <w:start w:val="1"/>
      <w:numFmt w:val="lowerLetter"/>
      <w:lvlText w:val="%8)"/>
      <w:lvlJc w:val="left"/>
      <w:pPr>
        <w:ind w:left="4000" w:hanging="420"/>
        <w:jc w:val="both"/>
      </w:pPr>
    </w:lvl>
    <w:lvl w:ilvl="8" w:tentative="0">
      <w:start w:val="1"/>
      <w:numFmt w:val="lowerRoman"/>
      <w:lvlText w:val="%9."/>
      <w:lvlJc w:val="right"/>
      <w:pPr>
        <w:ind w:left="4420" w:hanging="420"/>
        <w:jc w:val="both"/>
      </w:pPr>
    </w:lvl>
  </w:abstractNum>
  <w:abstractNum w:abstractNumId="2">
    <w:nsid w:val="2F000006"/>
    <w:multiLevelType w:val="multilevel"/>
    <w:tmpl w:val="2F000006"/>
    <w:lvl w:ilvl="0" w:tentative="0">
      <w:start w:val="1"/>
      <w:numFmt w:val="decimal"/>
      <w:suff w:val="nothing"/>
      <w:lvlText w:val="%1、"/>
      <w:lvlJc w:val="left"/>
    </w:lvl>
    <w:lvl w:ilvl="1" w:tentative="0">
      <w:start w:val="1"/>
      <w:numFmt w:val="decimal"/>
      <w:suff w:val="nothing"/>
      <w:lvlText w:val="%1、"/>
      <w:lvlJc w:val="left"/>
    </w:lvl>
    <w:lvl w:ilvl="2" w:tentative="0">
      <w:start w:val="1"/>
      <w:numFmt w:val="decimal"/>
      <w:suff w:val="nothing"/>
      <w:lvlText w:val="%1、"/>
      <w:lvlJc w:val="left"/>
    </w:lvl>
    <w:lvl w:ilvl="3" w:tentative="0">
      <w:start w:val="1"/>
      <w:numFmt w:val="decimal"/>
      <w:suff w:val="nothing"/>
      <w:lvlText w:val="%1、"/>
      <w:lvlJc w:val="left"/>
    </w:lvl>
    <w:lvl w:ilvl="4" w:tentative="0">
      <w:start w:val="1"/>
      <w:numFmt w:val="decimal"/>
      <w:suff w:val="nothing"/>
      <w:lvlText w:val="%1、"/>
      <w:lvlJc w:val="left"/>
    </w:lvl>
    <w:lvl w:ilvl="5" w:tentative="0">
      <w:start w:val="1"/>
      <w:numFmt w:val="decimal"/>
      <w:suff w:val="nothing"/>
      <w:lvlText w:val="%1、"/>
      <w:lvlJc w:val="left"/>
    </w:lvl>
    <w:lvl w:ilvl="6" w:tentative="0">
      <w:start w:val="1"/>
      <w:numFmt w:val="decimal"/>
      <w:suff w:val="nothing"/>
      <w:lvlText w:val="%1、"/>
      <w:lvlJc w:val="left"/>
    </w:lvl>
    <w:lvl w:ilvl="7" w:tentative="0">
      <w:start w:val="1"/>
      <w:numFmt w:val="decimal"/>
      <w:suff w:val="nothing"/>
      <w:lvlText w:val="%1、"/>
      <w:lvlJc w:val="left"/>
    </w:lvl>
    <w:lvl w:ilvl="8"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isplayHorizontalDrawingGridEvery w:val="0"/>
  <w:displayVerticalDrawingGridEvery w:val="2"/>
  <w:characterSpacingControl w:val="compressPunctuation"/>
  <w:compat>
    <w:balanceSingleByteDoubleByteWidth/>
    <w:ulTrailSpace/>
    <w:adjustLineHeightInTable/>
    <w:useFELayout/>
    <w:compatSetting w:name="compatibilityMode" w:uri="http://schemas.microsoft.com/office/word" w:val="14"/>
  </w:compat>
  <w:rsids>
    <w:rsidRoot w:val="00000000"/>
    <w:rsid w:val="06DF2B4B"/>
    <w:rsid w:val="0A9E5055"/>
    <w:rsid w:val="0B2402B7"/>
    <w:rsid w:val="0D064AC1"/>
    <w:rsid w:val="11D35166"/>
    <w:rsid w:val="13FB1746"/>
    <w:rsid w:val="1B672FA4"/>
    <w:rsid w:val="1BE5326A"/>
    <w:rsid w:val="24556D30"/>
    <w:rsid w:val="271935AA"/>
    <w:rsid w:val="29D7279A"/>
    <w:rsid w:val="2D95312C"/>
    <w:rsid w:val="30A246E4"/>
    <w:rsid w:val="33E36B40"/>
    <w:rsid w:val="342D2497"/>
    <w:rsid w:val="34EF671B"/>
    <w:rsid w:val="3A1978BA"/>
    <w:rsid w:val="3F5F1183"/>
    <w:rsid w:val="43FF423E"/>
    <w:rsid w:val="44376EA6"/>
    <w:rsid w:val="457C1093"/>
    <w:rsid w:val="45AD7AE5"/>
    <w:rsid w:val="46734EFC"/>
    <w:rsid w:val="482F3A44"/>
    <w:rsid w:val="4C4F7EC7"/>
    <w:rsid w:val="4EE8552A"/>
    <w:rsid w:val="4FAF0AED"/>
    <w:rsid w:val="50333A38"/>
    <w:rsid w:val="549A44A1"/>
    <w:rsid w:val="6060073E"/>
    <w:rsid w:val="608B208B"/>
    <w:rsid w:val="65D35E7B"/>
    <w:rsid w:val="67141DEA"/>
    <w:rsid w:val="6FF16BC7"/>
    <w:rsid w:val="75BC6CD7"/>
    <w:rsid w:val="7B3B60E6"/>
    <w:rsid w:val="7C5FF023"/>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5" w:name="header"/>
    <w:lsdException w:qFormat="1" w:unhideWhenUsed="0" w:uiPriority="154"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6" w:semiHidden="0" w:name="Title"/>
    <w:lsdException w:unhideWhenUsed="0" w:uiPriority="0" w:semiHidden="0" w:name="Closing"/>
    <w:lsdException w:unhideWhenUsed="0" w:uiPriority="0" w:semiHidden="0" w:name="Signature"/>
    <w:lsdException w:qFormat="1" w:uiPriority="2" w:semiHidden="0" w:name="Default Paragraph Font"/>
    <w:lsdException w:qFormat="1" w:unhideWhenUsed="0" w:uiPriority="152"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6"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156" w:semiHidden="0" w:name="Hyperlink"/>
    <w:lsdException w:unhideWhenUsed="0" w:uiPriority="0" w:semiHidden="0" w:name="FollowedHyperlink"/>
    <w:lsdException w:qFormat="1" w:unhideWhenUsed="0" w:uiPriority="20" w:semiHidden="0" w:name="Strong"/>
    <w:lsdException w:qFormat="1" w:unhideWhenUsed="0" w:uiPriority="18"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168"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7"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153" w:semiHidden="0" w:name="Balloon Text"/>
    <w:lsdException w:unhideWhenUsed="0" w:uiPriority="0" w:semiHidden="0" w:name="Table Grid"/>
    <w:lsdException w:unhideWhenUsed="0" w:uiPriority="0" w:semiHidden="0"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wordWrap/>
      <w:autoSpaceDE/>
      <w:autoSpaceDN/>
      <w:jc w:val="both"/>
    </w:pPr>
    <w:rPr>
      <w:rFonts w:ascii="Times New Roman" w:hAnsi="Times New Roman" w:eastAsia="Times New Roman" w:cstheme="minorBidi"/>
      <w:w w:val="100"/>
      <w:sz w:val="21"/>
      <w:szCs w:val="21"/>
      <w:shd w:val="clear"/>
    </w:rPr>
  </w:style>
  <w:style w:type="paragraph" w:styleId="2">
    <w:name w:val="heading 1"/>
    <w:basedOn w:val="1"/>
    <w:next w:val="1"/>
    <w:link w:val="49"/>
    <w:qFormat/>
    <w:uiPriority w:val="7"/>
    <w:pPr>
      <w:keepNext/>
      <w:keepLines/>
      <w:widowControl/>
      <w:wordWrap/>
      <w:autoSpaceDE/>
      <w:autoSpaceDN/>
    </w:pPr>
    <w:rPr>
      <w:b/>
      <w:w w:val="100"/>
      <w:sz w:val="44"/>
      <w:szCs w:val="44"/>
      <w:shd w:val="clear"/>
    </w:rPr>
  </w:style>
  <w:style w:type="paragraph" w:styleId="3">
    <w:name w:val="heading 2"/>
    <w:basedOn w:val="1"/>
    <w:next w:val="1"/>
    <w:link w:val="50"/>
    <w:unhideWhenUsed/>
    <w:qFormat/>
    <w:uiPriority w:val="8"/>
    <w:pPr>
      <w:keepNext/>
      <w:keepLines/>
      <w:widowControl/>
      <w:wordWrap/>
      <w:autoSpaceDE/>
      <w:autoSpaceDN/>
    </w:pPr>
    <w:rPr>
      <w:rFonts w:ascii="Cambria" w:hAnsi="Cambria" w:eastAsia="宋体"/>
      <w:b/>
      <w:w w:val="100"/>
      <w:sz w:val="32"/>
      <w:szCs w:val="32"/>
      <w:shd w:val="clear"/>
    </w:rPr>
  </w:style>
  <w:style w:type="paragraph" w:styleId="4">
    <w:name w:val="heading 3"/>
    <w:basedOn w:val="1"/>
    <w:next w:val="1"/>
    <w:link w:val="52"/>
    <w:unhideWhenUsed/>
    <w:qFormat/>
    <w:uiPriority w:val="9"/>
    <w:pPr>
      <w:keepNext/>
      <w:keepLines/>
      <w:widowControl/>
      <w:wordWrap/>
      <w:autoSpaceDE/>
      <w:autoSpaceDN/>
    </w:pPr>
    <w:rPr>
      <w:b/>
      <w:w w:val="100"/>
      <w:sz w:val="32"/>
      <w:szCs w:val="32"/>
      <w:shd w:val="clear"/>
    </w:rPr>
  </w:style>
  <w:style w:type="paragraph" w:styleId="5">
    <w:name w:val="heading 4"/>
    <w:next w:val="1"/>
    <w:qFormat/>
    <w:uiPriority w:val="10"/>
    <w:pPr>
      <w:widowControl/>
      <w:wordWrap/>
      <w:autoSpaceDE/>
      <w:autoSpaceDN/>
      <w:ind w:left="1200" w:hanging="400"/>
      <w:jc w:val="both"/>
    </w:pPr>
    <w:rPr>
      <w:rFonts w:ascii="Times New Roman" w:hAnsi="Times New Roman" w:eastAsia="Times New Roman" w:cstheme="minorBidi"/>
      <w:b/>
      <w:w w:val="100"/>
      <w:sz w:val="21"/>
      <w:szCs w:val="21"/>
      <w:shd w:val="clear"/>
    </w:rPr>
  </w:style>
  <w:style w:type="paragraph" w:styleId="6">
    <w:name w:val="heading 5"/>
    <w:next w:val="1"/>
    <w:qFormat/>
    <w:uiPriority w:val="11"/>
    <w:pPr>
      <w:widowControl/>
      <w:wordWrap/>
      <w:autoSpaceDE/>
      <w:autoSpaceDN/>
      <w:ind w:left="1400" w:hanging="400"/>
      <w:jc w:val="both"/>
    </w:pPr>
    <w:rPr>
      <w:rFonts w:ascii="Times New Roman" w:hAnsi="Times New Roman" w:eastAsia="Times New Roman" w:cstheme="minorBidi"/>
      <w:w w:val="100"/>
      <w:sz w:val="21"/>
      <w:szCs w:val="21"/>
      <w:shd w:val="clear"/>
    </w:rPr>
  </w:style>
  <w:style w:type="paragraph" w:styleId="7">
    <w:name w:val="heading 6"/>
    <w:next w:val="1"/>
    <w:qFormat/>
    <w:uiPriority w:val="12"/>
    <w:pPr>
      <w:widowControl/>
      <w:wordWrap/>
      <w:autoSpaceDE/>
      <w:autoSpaceDN/>
      <w:ind w:left="1600" w:hanging="400"/>
      <w:jc w:val="both"/>
    </w:pPr>
    <w:rPr>
      <w:rFonts w:ascii="Times New Roman" w:hAnsi="Times New Roman" w:eastAsia="Times New Roman" w:cstheme="minorBidi"/>
      <w:b/>
      <w:w w:val="100"/>
      <w:sz w:val="21"/>
      <w:szCs w:val="21"/>
      <w:shd w:val="clear"/>
    </w:rPr>
  </w:style>
  <w:style w:type="paragraph" w:styleId="8">
    <w:name w:val="heading 7"/>
    <w:next w:val="1"/>
    <w:qFormat/>
    <w:uiPriority w:val="13"/>
    <w:pPr>
      <w:widowControl/>
      <w:wordWrap/>
      <w:autoSpaceDE/>
      <w:autoSpaceDN/>
      <w:ind w:left="1800" w:hanging="400"/>
      <w:jc w:val="both"/>
    </w:pPr>
    <w:rPr>
      <w:rFonts w:ascii="Times New Roman" w:hAnsi="Times New Roman" w:eastAsia="Times New Roman" w:cstheme="minorBidi"/>
      <w:w w:val="100"/>
      <w:sz w:val="21"/>
      <w:szCs w:val="21"/>
      <w:shd w:val="clear"/>
    </w:rPr>
  </w:style>
  <w:style w:type="paragraph" w:styleId="9">
    <w:name w:val="heading 8"/>
    <w:next w:val="1"/>
    <w:qFormat/>
    <w:uiPriority w:val="14"/>
    <w:pPr>
      <w:widowControl/>
      <w:wordWrap/>
      <w:autoSpaceDE/>
      <w:autoSpaceDN/>
      <w:ind w:left="2000" w:hanging="400"/>
      <w:jc w:val="both"/>
    </w:pPr>
    <w:rPr>
      <w:rFonts w:ascii="Times New Roman" w:hAnsi="Times New Roman" w:eastAsia="Times New Roman" w:cstheme="minorBidi"/>
      <w:w w:val="100"/>
      <w:sz w:val="21"/>
      <w:szCs w:val="21"/>
      <w:shd w:val="clear"/>
    </w:rPr>
  </w:style>
  <w:style w:type="paragraph" w:styleId="10">
    <w:name w:val="heading 9"/>
    <w:next w:val="1"/>
    <w:qFormat/>
    <w:uiPriority w:val="15"/>
    <w:pPr>
      <w:widowControl/>
      <w:wordWrap/>
      <w:autoSpaceDE/>
      <w:autoSpaceDN/>
      <w:ind w:left="2200" w:hanging="400"/>
      <w:jc w:val="both"/>
    </w:pPr>
    <w:rPr>
      <w:rFonts w:ascii="Times New Roman" w:hAnsi="Times New Roman" w:eastAsia="Times New Roman" w:cstheme="minorBidi"/>
      <w:w w:val="100"/>
      <w:sz w:val="21"/>
      <w:szCs w:val="21"/>
      <w:shd w:val="clear"/>
    </w:rPr>
  </w:style>
  <w:style w:type="character" w:default="1" w:styleId="28">
    <w:name w:val="Default Paragraph Font"/>
    <w:unhideWhenUsed/>
    <w:qFormat/>
    <w:uiPriority w:val="2"/>
  </w:style>
  <w:style w:type="table" w:default="1" w:styleId="27">
    <w:name w:val="Normal Table"/>
    <w:qFormat/>
    <w:uiPriority w:val="37"/>
    <w:tblPr>
      <w:tblCellMar>
        <w:top w:w="0" w:type="dxa"/>
        <w:left w:w="108" w:type="dxa"/>
        <w:bottom w:w="0" w:type="dxa"/>
        <w:right w:w="108" w:type="dxa"/>
      </w:tblCellMar>
    </w:tblPr>
  </w:style>
  <w:style w:type="paragraph" w:styleId="11">
    <w:name w:val="toc 7"/>
    <w:next w:val="1"/>
    <w:unhideWhenUsed/>
    <w:qFormat/>
    <w:uiPriority w:val="34"/>
    <w:pPr>
      <w:widowControl/>
      <w:wordWrap/>
      <w:autoSpaceDE/>
      <w:autoSpaceDN/>
      <w:ind w:left="2550" w:firstLine="0"/>
      <w:jc w:val="both"/>
    </w:pPr>
    <w:rPr>
      <w:rFonts w:ascii="Times New Roman" w:hAnsi="Times New Roman" w:eastAsia="Times New Roman" w:cstheme="minorBidi"/>
      <w:w w:val="100"/>
      <w:sz w:val="21"/>
      <w:szCs w:val="21"/>
      <w:shd w:val="clear"/>
    </w:rPr>
  </w:style>
  <w:style w:type="paragraph" w:styleId="12">
    <w:name w:val="Body Text"/>
    <w:basedOn w:val="1"/>
    <w:link w:val="47"/>
    <w:qFormat/>
    <w:uiPriority w:val="152"/>
    <w:pPr>
      <w:widowControl/>
      <w:wordWrap/>
      <w:autoSpaceDE/>
      <w:autoSpaceDN/>
    </w:pPr>
    <w:rPr>
      <w:rFonts w:ascii="仿宋_GB2312" w:hAnsi="仿宋_GB2312" w:eastAsia="仿宋_GB2312"/>
      <w:w w:val="100"/>
      <w:sz w:val="30"/>
      <w:szCs w:val="30"/>
      <w:shd w:val="clear"/>
    </w:rPr>
  </w:style>
  <w:style w:type="paragraph" w:styleId="13">
    <w:name w:val="toc 5"/>
    <w:next w:val="1"/>
    <w:unhideWhenUsed/>
    <w:qFormat/>
    <w:uiPriority w:val="32"/>
    <w:pPr>
      <w:widowControl/>
      <w:wordWrap/>
      <w:autoSpaceDE/>
      <w:autoSpaceDN/>
      <w:ind w:left="1700" w:firstLine="0"/>
      <w:jc w:val="both"/>
    </w:pPr>
    <w:rPr>
      <w:rFonts w:ascii="Times New Roman" w:hAnsi="Times New Roman" w:eastAsia="Times New Roman" w:cstheme="minorBidi"/>
      <w:w w:val="100"/>
      <w:sz w:val="21"/>
      <w:szCs w:val="21"/>
      <w:shd w:val="clear"/>
    </w:rPr>
  </w:style>
  <w:style w:type="paragraph" w:styleId="14">
    <w:name w:val="toc 3"/>
    <w:basedOn w:val="1"/>
    <w:next w:val="1"/>
    <w:unhideWhenUsed/>
    <w:qFormat/>
    <w:uiPriority w:val="30"/>
    <w:pPr>
      <w:widowControl/>
      <w:tabs>
        <w:tab w:val="right" w:leader="dot" w:pos="8296"/>
      </w:tabs>
      <w:wordWrap/>
      <w:autoSpaceDE/>
      <w:autoSpaceDN/>
      <w:ind w:left="840" w:firstLine="0"/>
    </w:pPr>
  </w:style>
  <w:style w:type="paragraph" w:styleId="15">
    <w:name w:val="toc 8"/>
    <w:next w:val="1"/>
    <w:unhideWhenUsed/>
    <w:qFormat/>
    <w:uiPriority w:val="35"/>
    <w:pPr>
      <w:widowControl/>
      <w:wordWrap/>
      <w:autoSpaceDE/>
      <w:autoSpaceDN/>
      <w:ind w:left="2975" w:firstLine="0"/>
      <w:jc w:val="both"/>
    </w:pPr>
    <w:rPr>
      <w:rFonts w:ascii="Times New Roman" w:hAnsi="Times New Roman" w:eastAsia="Times New Roman" w:cstheme="minorBidi"/>
      <w:w w:val="100"/>
      <w:sz w:val="21"/>
      <w:szCs w:val="21"/>
      <w:shd w:val="clear"/>
    </w:rPr>
  </w:style>
  <w:style w:type="paragraph" w:styleId="16">
    <w:name w:val="Balloon Text"/>
    <w:basedOn w:val="1"/>
    <w:link w:val="51"/>
    <w:unhideWhenUsed/>
    <w:qFormat/>
    <w:uiPriority w:val="153"/>
    <w:rPr>
      <w:w w:val="100"/>
      <w:sz w:val="18"/>
      <w:szCs w:val="18"/>
      <w:shd w:val="clear"/>
    </w:rPr>
  </w:style>
  <w:style w:type="paragraph" w:styleId="17">
    <w:name w:val="footer"/>
    <w:basedOn w:val="1"/>
    <w:link w:val="45"/>
    <w:qFormat/>
    <w:uiPriority w:val="154"/>
    <w:pPr>
      <w:widowControl/>
      <w:tabs>
        <w:tab w:val="center" w:pos="4153"/>
        <w:tab w:val="right" w:pos="8306"/>
      </w:tabs>
      <w:wordWrap/>
      <w:autoSpaceDE/>
      <w:autoSpaceDN/>
    </w:pPr>
    <w:rPr>
      <w:rFonts w:ascii="Calibri" w:hAnsi="Calibri" w:eastAsia="Calibri"/>
      <w:w w:val="100"/>
      <w:sz w:val="18"/>
      <w:szCs w:val="18"/>
      <w:shd w:val="clear"/>
    </w:rPr>
  </w:style>
  <w:style w:type="paragraph" w:styleId="18">
    <w:name w:val="header"/>
    <w:basedOn w:val="1"/>
    <w:link w:val="43"/>
    <w:semiHidden/>
    <w:qFormat/>
    <w:uiPriority w:val="155"/>
    <w:pPr>
      <w:widowControl/>
      <w:tabs>
        <w:tab w:val="center" w:pos="4153"/>
        <w:tab w:val="right" w:pos="8306"/>
      </w:tabs>
      <w:wordWrap/>
      <w:autoSpaceDE/>
      <w:autoSpaceDN/>
      <w:jc w:val="center"/>
    </w:pPr>
    <w:rPr>
      <w:rFonts w:ascii="Calibri" w:hAnsi="Calibri" w:eastAsia="Calibri"/>
      <w:w w:val="100"/>
      <w:sz w:val="18"/>
      <w:szCs w:val="18"/>
      <w:shd w:val="clear"/>
    </w:rPr>
  </w:style>
  <w:style w:type="paragraph" w:styleId="19">
    <w:name w:val="toc 1"/>
    <w:basedOn w:val="1"/>
    <w:next w:val="1"/>
    <w:unhideWhenUsed/>
    <w:qFormat/>
    <w:uiPriority w:val="28"/>
    <w:pPr>
      <w:widowControl/>
      <w:tabs>
        <w:tab w:val="right" w:leader="dot" w:pos="8296"/>
      </w:tabs>
      <w:wordWrap/>
      <w:autoSpaceDE/>
      <w:autoSpaceDN/>
      <w:jc w:val="center"/>
    </w:pPr>
    <w:rPr>
      <w:rFonts w:ascii="仿宋" w:hAnsi="仿宋" w:eastAsia="仿宋"/>
      <w:w w:val="100"/>
      <w:sz w:val="28"/>
      <w:szCs w:val="28"/>
      <w:shd w:val="clear"/>
    </w:rPr>
  </w:style>
  <w:style w:type="paragraph" w:styleId="20">
    <w:name w:val="toc 4"/>
    <w:next w:val="1"/>
    <w:unhideWhenUsed/>
    <w:qFormat/>
    <w:uiPriority w:val="31"/>
    <w:pPr>
      <w:widowControl/>
      <w:wordWrap/>
      <w:autoSpaceDE/>
      <w:autoSpaceDN/>
      <w:ind w:left="1275" w:firstLine="0"/>
      <w:jc w:val="both"/>
    </w:pPr>
    <w:rPr>
      <w:rFonts w:ascii="Times New Roman" w:hAnsi="Times New Roman" w:eastAsia="Times New Roman" w:cstheme="minorBidi"/>
      <w:w w:val="100"/>
      <w:sz w:val="21"/>
      <w:szCs w:val="21"/>
      <w:shd w:val="clear"/>
    </w:rPr>
  </w:style>
  <w:style w:type="paragraph" w:styleId="21">
    <w:name w:val="Subtitle"/>
    <w:qFormat/>
    <w:uiPriority w:val="16"/>
    <w:pPr>
      <w:widowControl/>
      <w:wordWrap/>
      <w:autoSpaceDE/>
      <w:autoSpaceDN/>
      <w:jc w:val="center"/>
    </w:pPr>
    <w:rPr>
      <w:rFonts w:ascii="Times New Roman" w:hAnsi="Times New Roman" w:eastAsia="Times New Roman" w:cstheme="minorBidi"/>
      <w:w w:val="100"/>
      <w:sz w:val="24"/>
      <w:szCs w:val="24"/>
      <w:shd w:val="clear"/>
    </w:rPr>
  </w:style>
  <w:style w:type="paragraph" w:styleId="22">
    <w:name w:val="toc 6"/>
    <w:next w:val="1"/>
    <w:unhideWhenUsed/>
    <w:qFormat/>
    <w:uiPriority w:val="33"/>
    <w:pPr>
      <w:widowControl/>
      <w:wordWrap/>
      <w:autoSpaceDE/>
      <w:autoSpaceDN/>
      <w:ind w:left="2125" w:firstLine="0"/>
      <w:jc w:val="both"/>
    </w:pPr>
    <w:rPr>
      <w:rFonts w:ascii="Times New Roman" w:hAnsi="Times New Roman" w:eastAsia="Times New Roman" w:cstheme="minorBidi"/>
      <w:w w:val="100"/>
      <w:sz w:val="21"/>
      <w:szCs w:val="21"/>
      <w:shd w:val="clear"/>
    </w:rPr>
  </w:style>
  <w:style w:type="paragraph" w:styleId="23">
    <w:name w:val="toc 2"/>
    <w:basedOn w:val="1"/>
    <w:next w:val="1"/>
    <w:unhideWhenUsed/>
    <w:qFormat/>
    <w:uiPriority w:val="29"/>
    <w:pPr>
      <w:widowControl/>
      <w:tabs>
        <w:tab w:val="right" w:leader="dot" w:pos="8296"/>
      </w:tabs>
      <w:wordWrap/>
      <w:autoSpaceDE/>
      <w:autoSpaceDN/>
      <w:ind w:left="420" w:firstLine="0"/>
    </w:pPr>
  </w:style>
  <w:style w:type="paragraph" w:styleId="24">
    <w:name w:val="toc 9"/>
    <w:next w:val="1"/>
    <w:unhideWhenUsed/>
    <w:qFormat/>
    <w:uiPriority w:val="36"/>
    <w:pPr>
      <w:widowControl/>
      <w:wordWrap/>
      <w:autoSpaceDE/>
      <w:autoSpaceDN/>
      <w:ind w:left="3400" w:firstLine="0"/>
      <w:jc w:val="both"/>
    </w:pPr>
    <w:rPr>
      <w:rFonts w:ascii="Times New Roman" w:hAnsi="Times New Roman" w:eastAsia="Times New Roman" w:cstheme="minorBidi"/>
      <w:w w:val="100"/>
      <w:sz w:val="21"/>
      <w:szCs w:val="21"/>
      <w:shd w:val="clear"/>
    </w:rPr>
  </w:style>
  <w:style w:type="paragraph" w:styleId="25">
    <w:name w:val="Normal (Web)"/>
    <w:basedOn w:val="1"/>
    <w:qFormat/>
    <w:uiPriority w:val="168"/>
    <w:pPr>
      <w:widowControl/>
      <w:wordWrap/>
      <w:autoSpaceDE/>
      <w:autoSpaceDN/>
      <w:ind w:firstLine="0"/>
    </w:pPr>
    <w:rPr>
      <w:rFonts w:ascii="宋体" w:hAnsi="宋体" w:eastAsia="宋体"/>
      <w:w w:val="100"/>
      <w:sz w:val="24"/>
      <w:szCs w:val="24"/>
      <w:shd w:val="clear"/>
    </w:rPr>
  </w:style>
  <w:style w:type="paragraph" w:styleId="26">
    <w:name w:val="Title"/>
    <w:qFormat/>
    <w:uiPriority w:val="6"/>
    <w:pPr>
      <w:widowControl/>
      <w:wordWrap/>
      <w:autoSpaceDE/>
      <w:autoSpaceDN/>
      <w:jc w:val="center"/>
    </w:pPr>
    <w:rPr>
      <w:rFonts w:ascii="Times New Roman" w:hAnsi="Times New Roman" w:eastAsia="Times New Roman" w:cstheme="minorBidi"/>
      <w:b/>
      <w:w w:val="100"/>
      <w:sz w:val="32"/>
      <w:szCs w:val="32"/>
      <w:shd w:val="clear"/>
    </w:rPr>
  </w:style>
  <w:style w:type="character" w:styleId="29">
    <w:name w:val="Strong"/>
    <w:basedOn w:val="28"/>
    <w:qFormat/>
    <w:uiPriority w:val="20"/>
    <w:rPr>
      <w:b/>
      <w:w w:val="100"/>
      <w:sz w:val="20"/>
      <w:szCs w:val="20"/>
      <w:shd w:val="clear"/>
    </w:rPr>
  </w:style>
  <w:style w:type="character" w:styleId="30">
    <w:name w:val="Emphasis"/>
    <w:qFormat/>
    <w:uiPriority w:val="18"/>
    <w:rPr>
      <w:i/>
      <w:w w:val="100"/>
      <w:sz w:val="21"/>
      <w:szCs w:val="21"/>
      <w:shd w:val="clear"/>
    </w:rPr>
  </w:style>
  <w:style w:type="character" w:styleId="31">
    <w:name w:val="Hyperlink"/>
    <w:basedOn w:val="28"/>
    <w:unhideWhenUsed/>
    <w:qFormat/>
    <w:uiPriority w:val="156"/>
    <w:rPr>
      <w:color w:val="0000FF" w:themeColor="hyperlink"/>
      <w:w w:val="100"/>
      <w:sz w:val="20"/>
      <w:szCs w:val="20"/>
      <w:u w:val="single"/>
      <w:shd w:val="clear"/>
      <w14:textFill>
        <w14:solidFill>
          <w14:schemeClr w14:val="hlink"/>
        </w14:solidFill>
      </w14:textFill>
    </w:rPr>
  </w:style>
  <w:style w:type="paragraph" w:styleId="32">
    <w:name w:val="No Spacing"/>
    <w:qFormat/>
    <w:uiPriority w:val="5"/>
    <w:pPr>
      <w:widowControl/>
      <w:wordWrap/>
      <w:autoSpaceDE/>
      <w:autoSpaceDN/>
      <w:jc w:val="both"/>
    </w:pPr>
    <w:rPr>
      <w:rFonts w:ascii="Times New Roman" w:hAnsi="Times New Roman" w:eastAsia="Times New Roman" w:cstheme="minorBidi"/>
      <w:w w:val="100"/>
      <w:sz w:val="21"/>
      <w:szCs w:val="21"/>
      <w:shd w:val="clear"/>
    </w:rPr>
  </w:style>
  <w:style w:type="character" w:customStyle="1" w:styleId="33">
    <w:name w:val="Subtle Emphasis"/>
    <w:qFormat/>
    <w:uiPriority w:val="17"/>
    <w:rPr>
      <w:i/>
      <w:color w:val="404040"/>
      <w:w w:val="100"/>
      <w:sz w:val="21"/>
      <w:szCs w:val="21"/>
      <w:shd w:val="clear"/>
    </w:rPr>
  </w:style>
  <w:style w:type="character" w:customStyle="1" w:styleId="34">
    <w:name w:val="Intense Emphasis"/>
    <w:qFormat/>
    <w:uiPriority w:val="19"/>
    <w:rPr>
      <w:i/>
      <w:color w:val="5B9BD5"/>
      <w:w w:val="100"/>
      <w:sz w:val="21"/>
      <w:szCs w:val="21"/>
      <w:shd w:val="clear"/>
    </w:rPr>
  </w:style>
  <w:style w:type="paragraph" w:styleId="35">
    <w:name w:val="Quote"/>
    <w:qFormat/>
    <w:uiPriority w:val="21"/>
    <w:pPr>
      <w:widowControl/>
      <w:wordWrap/>
      <w:autoSpaceDE/>
      <w:autoSpaceDN/>
      <w:ind w:left="864" w:right="864" w:firstLine="0"/>
      <w:jc w:val="center"/>
    </w:pPr>
    <w:rPr>
      <w:rFonts w:ascii="Times New Roman" w:hAnsi="Times New Roman" w:eastAsia="Times New Roman" w:cstheme="minorBidi"/>
      <w:i/>
      <w:color w:val="404040"/>
      <w:w w:val="100"/>
      <w:sz w:val="21"/>
      <w:szCs w:val="21"/>
      <w:shd w:val="clear"/>
    </w:rPr>
  </w:style>
  <w:style w:type="paragraph" w:styleId="36">
    <w:name w:val="Intense Quote"/>
    <w:qFormat/>
    <w:uiPriority w:val="22"/>
    <w:pPr>
      <w:widowControl/>
      <w:wordWrap/>
      <w:autoSpaceDE/>
      <w:autoSpaceDN/>
      <w:ind w:left="950" w:right="950" w:firstLine="0"/>
      <w:jc w:val="center"/>
    </w:pPr>
    <w:rPr>
      <w:rFonts w:ascii="Times New Roman" w:hAnsi="Times New Roman" w:eastAsia="Times New Roman" w:cstheme="minorBidi"/>
      <w:i/>
      <w:color w:val="5B9BD5"/>
      <w:w w:val="100"/>
      <w:sz w:val="21"/>
      <w:szCs w:val="21"/>
      <w:shd w:val="clear"/>
    </w:rPr>
  </w:style>
  <w:style w:type="character" w:customStyle="1" w:styleId="37">
    <w:name w:val="Subtle Reference"/>
    <w:qFormat/>
    <w:uiPriority w:val="23"/>
    <w:rPr>
      <w:smallCaps/>
      <w:color w:val="5A5A5A"/>
      <w:w w:val="100"/>
      <w:sz w:val="21"/>
      <w:szCs w:val="21"/>
      <w:shd w:val="clear"/>
    </w:rPr>
  </w:style>
  <w:style w:type="character" w:customStyle="1" w:styleId="38">
    <w:name w:val="Intense Reference"/>
    <w:qFormat/>
    <w:uiPriority w:val="24"/>
    <w:rPr>
      <w:b/>
      <w:smallCaps/>
      <w:color w:val="5B9BD5"/>
      <w:w w:val="100"/>
      <w:sz w:val="21"/>
      <w:szCs w:val="21"/>
      <w:shd w:val="clear"/>
    </w:rPr>
  </w:style>
  <w:style w:type="character" w:customStyle="1" w:styleId="39">
    <w:name w:val="Book Title"/>
    <w:qFormat/>
    <w:uiPriority w:val="25"/>
    <w:rPr>
      <w:b/>
      <w:i/>
      <w:w w:val="100"/>
      <w:sz w:val="21"/>
      <w:szCs w:val="21"/>
      <w:shd w:val="clear"/>
    </w:rPr>
  </w:style>
  <w:style w:type="paragraph" w:styleId="40">
    <w:name w:val="List Paragraph"/>
    <w:basedOn w:val="1"/>
    <w:qFormat/>
    <w:uiPriority w:val="26"/>
    <w:pPr>
      <w:widowControl/>
      <w:wordWrap/>
      <w:autoSpaceDE/>
      <w:autoSpaceDN/>
      <w:ind w:firstLine="420"/>
    </w:pPr>
  </w:style>
  <w:style w:type="paragraph" w:customStyle="1" w:styleId="41">
    <w:name w:val="TOC Heading"/>
    <w:basedOn w:val="2"/>
    <w:next w:val="1"/>
    <w:unhideWhenUsed/>
    <w:qFormat/>
    <w:uiPriority w:val="27"/>
    <w:pPr>
      <w:widowControl/>
      <w:wordWrap/>
      <w:autoSpaceDE/>
      <w:autoSpaceDN/>
    </w:pPr>
    <w:rPr>
      <w:rFonts w:ascii="Cambria" w:hAnsi="Cambria" w:eastAsia="宋体"/>
      <w:color w:val="376092" w:themeColor="accent1" w:themeShade="BF"/>
      <w:w w:val="100"/>
      <w:sz w:val="28"/>
      <w:szCs w:val="28"/>
      <w:shd w:val="clear"/>
    </w:rPr>
  </w:style>
  <w:style w:type="character" w:customStyle="1" w:styleId="42">
    <w:name w:val="Header Char"/>
    <w:basedOn w:val="28"/>
    <w:semiHidden/>
    <w:qFormat/>
    <w:uiPriority w:val="157"/>
    <w:rPr>
      <w:rFonts w:ascii="Times New Roman" w:hAnsi="Times New Roman" w:eastAsia="Times New Roman"/>
      <w:w w:val="100"/>
      <w:sz w:val="18"/>
      <w:szCs w:val="18"/>
      <w:shd w:val="clear"/>
    </w:rPr>
  </w:style>
  <w:style w:type="character" w:customStyle="1" w:styleId="43">
    <w:name w:val="页眉 Char"/>
    <w:link w:val="18"/>
    <w:semiHidden/>
    <w:qFormat/>
    <w:uiPriority w:val="158"/>
    <w:rPr>
      <w:w w:val="100"/>
      <w:sz w:val="18"/>
      <w:szCs w:val="18"/>
      <w:shd w:val="clear"/>
    </w:rPr>
  </w:style>
  <w:style w:type="character" w:customStyle="1" w:styleId="44">
    <w:name w:val="Footer Char"/>
    <w:basedOn w:val="28"/>
    <w:semiHidden/>
    <w:qFormat/>
    <w:uiPriority w:val="159"/>
    <w:rPr>
      <w:rFonts w:ascii="Times New Roman" w:hAnsi="Times New Roman" w:eastAsia="Times New Roman"/>
      <w:w w:val="100"/>
      <w:sz w:val="18"/>
      <w:szCs w:val="18"/>
      <w:shd w:val="clear"/>
    </w:rPr>
  </w:style>
  <w:style w:type="character" w:customStyle="1" w:styleId="45">
    <w:name w:val="页脚 Char"/>
    <w:link w:val="17"/>
    <w:qFormat/>
    <w:uiPriority w:val="160"/>
    <w:rPr>
      <w:w w:val="100"/>
      <w:sz w:val="18"/>
      <w:szCs w:val="18"/>
      <w:shd w:val="clear"/>
    </w:rPr>
  </w:style>
  <w:style w:type="character" w:customStyle="1" w:styleId="46">
    <w:name w:val="Body Text Char"/>
    <w:basedOn w:val="28"/>
    <w:semiHidden/>
    <w:qFormat/>
    <w:uiPriority w:val="161"/>
    <w:rPr>
      <w:rFonts w:ascii="Times New Roman" w:hAnsi="Times New Roman" w:eastAsia="Times New Roman"/>
      <w:w w:val="100"/>
      <w:sz w:val="20"/>
      <w:szCs w:val="20"/>
      <w:shd w:val="clear"/>
    </w:rPr>
  </w:style>
  <w:style w:type="character" w:customStyle="1" w:styleId="47">
    <w:name w:val="正文文本 Char"/>
    <w:link w:val="12"/>
    <w:qFormat/>
    <w:uiPriority w:val="162"/>
    <w:rPr>
      <w:rFonts w:ascii="仿宋_GB2312" w:hAnsi="仿宋_GB2312" w:eastAsia="仿宋_GB2312"/>
      <w:w w:val="100"/>
      <w:sz w:val="24"/>
      <w:szCs w:val="24"/>
      <w:shd w:val="clear"/>
    </w:rPr>
  </w:style>
  <w:style w:type="paragraph" w:customStyle="1" w:styleId="48">
    <w:name w:val="Default"/>
    <w:qFormat/>
    <w:uiPriority w:val="163"/>
    <w:pPr>
      <w:widowControl/>
      <w:wordWrap/>
      <w:autoSpaceDE/>
      <w:autoSpaceDN/>
      <w:ind w:firstLine="0"/>
    </w:pPr>
    <w:rPr>
      <w:rFonts w:ascii="仿宋" w:hAnsi="仿宋" w:eastAsia="仿宋" w:cstheme="minorBidi"/>
      <w:color w:val="000000"/>
      <w:w w:val="100"/>
      <w:sz w:val="24"/>
      <w:szCs w:val="24"/>
      <w:shd w:val="clear"/>
    </w:rPr>
  </w:style>
  <w:style w:type="character" w:customStyle="1" w:styleId="49">
    <w:name w:val="标题 1 Char"/>
    <w:basedOn w:val="28"/>
    <w:link w:val="2"/>
    <w:qFormat/>
    <w:uiPriority w:val="164"/>
    <w:rPr>
      <w:rFonts w:ascii="Times New Roman" w:hAnsi="Times New Roman" w:eastAsia="Times New Roman"/>
      <w:b/>
      <w:w w:val="100"/>
      <w:sz w:val="44"/>
      <w:szCs w:val="44"/>
      <w:shd w:val="clear"/>
    </w:rPr>
  </w:style>
  <w:style w:type="character" w:customStyle="1" w:styleId="50">
    <w:name w:val="标题 2 Char"/>
    <w:basedOn w:val="28"/>
    <w:link w:val="3"/>
    <w:qFormat/>
    <w:uiPriority w:val="165"/>
    <w:rPr>
      <w:rFonts w:ascii="Cambria" w:hAnsi="Cambria" w:eastAsia="宋体"/>
      <w:b/>
      <w:w w:val="100"/>
      <w:sz w:val="32"/>
      <w:szCs w:val="32"/>
      <w:shd w:val="clear"/>
    </w:rPr>
  </w:style>
  <w:style w:type="character" w:customStyle="1" w:styleId="51">
    <w:name w:val="批注框文本 Char"/>
    <w:basedOn w:val="28"/>
    <w:link w:val="16"/>
    <w:semiHidden/>
    <w:qFormat/>
    <w:uiPriority w:val="166"/>
    <w:rPr>
      <w:rFonts w:ascii="Times New Roman" w:hAnsi="Times New Roman" w:eastAsia="Times New Roman"/>
      <w:w w:val="100"/>
      <w:sz w:val="18"/>
      <w:szCs w:val="18"/>
      <w:shd w:val="clear"/>
    </w:rPr>
  </w:style>
  <w:style w:type="character" w:customStyle="1" w:styleId="52">
    <w:name w:val="标题 3 Char"/>
    <w:basedOn w:val="28"/>
    <w:link w:val="4"/>
    <w:qFormat/>
    <w:uiPriority w:val="167"/>
    <w:rPr>
      <w:rFonts w:ascii="Times New Roman" w:hAnsi="Times New Roman" w:eastAsia="Times New Roman"/>
      <w:b/>
      <w:w w:val="100"/>
      <w:sz w:val="32"/>
      <w:szCs w:val="32"/>
      <w:shd w:val="clear"/>
    </w:rPr>
  </w:style>
  <w:style w:type="paragraph" w:customStyle="1" w:styleId="53">
    <w:name w:val="WPSOffice手动目录 1"/>
    <w:uiPriority w:val="0"/>
    <w:pPr>
      <w:ind w:leftChars="0"/>
    </w:pPr>
    <w:rPr>
      <w:rFonts w:ascii="Times New Roman" w:hAnsi="Times New Roman" w:eastAsia="Times New Roman" w:cstheme="minorBidi"/>
      <w:sz w:val="20"/>
      <w:szCs w:val="20"/>
    </w:rPr>
  </w:style>
  <w:style w:type="paragraph" w:customStyle="1" w:styleId="54">
    <w:name w:val="WPSOffice手动目录 2"/>
    <w:uiPriority w:val="0"/>
    <w:pPr>
      <w:ind w:leftChars="200"/>
    </w:pPr>
    <w:rPr>
      <w:rFonts w:ascii="Times New Roman" w:hAnsi="Times New Roman" w:eastAsia="Times New Roman"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glossaryDocument" Target="glossary/document.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charset="-122"/>
                <a:ea typeface="宋体" charset="-122"/>
                <a:cs typeface="+mn-cs"/>
              </a:defRPr>
            </a:pPr>
            <a:r>
              <a:rPr lang="ko-KR" altLang="en-US" sz="1400" b="0" i="0" u="none" baseline="0">
                <a:solidFill>
                  <a:srgbClr val="333333"/>
                </a:solidFill>
                <a:latin typeface="宋体" charset="-122"/>
                <a:ea typeface="宋体" charset="-122"/>
              </a:rPr>
              <a:t>2017-2018年部门决算收入、支出柱状图</a:t>
            </a:r>
            <a:endParaRPr lang="ko-KR" altLang="en-US" sz="1400" b="0" i="0" u="none" baseline="0">
              <a:solidFill>
                <a:srgbClr val="333333"/>
              </a:solidFill>
              <a:latin typeface="宋体" charset="-122"/>
              <a:ea typeface="宋体" charset="-122"/>
            </a:endParaRPr>
          </a:p>
        </c:rich>
      </c:tx>
      <c:layout>
        <c:manualLayout>
          <c:xMode val="edge"/>
          <c:yMode val="edge"/>
          <c:x val="0.251736111111111"/>
          <c:y val="0.0386904761904762"/>
        </c:manualLayout>
      </c:layout>
      <c:overlay val="0"/>
      <c:spPr>
        <a:noFill/>
        <a:ln>
          <a:noFill/>
          <a:round/>
        </a:ln>
      </c:spPr>
    </c:title>
    <c:autoTitleDeleted val="0"/>
    <c:plotArea>
      <c:layout>
        <c:manualLayout>
          <c:layoutTarget val="inner"/>
          <c:xMode val="edge"/>
          <c:yMode val="edge"/>
          <c:x val="0.0912268518518519"/>
          <c:y val="0.291071428571429"/>
          <c:w val="0.904143518518518"/>
          <c:h val="0.64265873015873"/>
        </c:manualLayout>
      </c:layout>
      <c:barChart>
        <c:barDir val="col"/>
        <c:grouping val="clustered"/>
        <c:varyColors val="0"/>
        <c:ser>
          <c:idx val="0"/>
          <c:order val="0"/>
          <c:tx>
            <c:strRef>
              <c:f>电子表格9!$B$1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电子表格9!$A$2:$A$3</c:f>
              <c:strCache>
                <c:ptCount val="2"/>
                <c:pt idx="0">
                  <c:v>决算收入</c:v>
                </c:pt>
                <c:pt idx="1">
                  <c:v>决算支出</c:v>
                </c:pt>
              </c:strCache>
            </c:strRef>
          </c:cat>
          <c:val>
            <c:numRef>
              <c:f>电子表格9!$B$2:$B$3</c:f>
              <c:numCache>
                <c:formatCode>General</c:formatCode>
                <c:ptCount val="2"/>
                <c:pt idx="0">
                  <c:v>235.26</c:v>
                </c:pt>
                <c:pt idx="1">
                  <c:v>236.8</c:v>
                </c:pt>
              </c:numCache>
            </c:numRef>
          </c:val>
        </c:ser>
        <c:ser>
          <c:idx val="1"/>
          <c:order val="1"/>
          <c:tx>
            <c:strRef>
              <c:f>电子表格9!$C$1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电子表格9!$A$2:$A$3</c:f>
              <c:strCache>
                <c:ptCount val="2"/>
                <c:pt idx="0">
                  <c:v>决算收入</c:v>
                </c:pt>
                <c:pt idx="1">
                  <c:v>决算支出</c:v>
                </c:pt>
              </c:strCache>
            </c:strRef>
          </c:cat>
          <c:val>
            <c:numRef>
              <c:f>电子表格9!$C$2:$C$3</c:f>
              <c:numCache>
                <c:formatCode>General</c:formatCode>
                <c:ptCount val="2"/>
                <c:pt idx="0">
                  <c:v>304.42</c:v>
                </c:pt>
                <c:pt idx="1">
                  <c:v>306.86</c:v>
                </c:pt>
              </c:numCache>
            </c:numRef>
          </c:val>
        </c:ser>
        <c:dLbls>
          <c:showLegendKey val="0"/>
          <c:showVal val="1"/>
          <c:showCatName val="0"/>
          <c:showSerName val="0"/>
          <c:showPercent val="0"/>
          <c:showBubbleSize val="0"/>
        </c:dLbls>
        <c:gapWidth val="219"/>
        <c:overlap val="-27"/>
        <c:axId val="1111"/>
        <c:axId val="2222"/>
      </c:barChart>
      <c:catAx>
        <c:axId val="1111"/>
        <c:scaling>
          <c:orientation val="minMax"/>
        </c:scaling>
        <c:delete val="0"/>
        <c:axPos val="b"/>
        <c:majorTickMark val="none"/>
        <c:minorTickMark val="none"/>
        <c:tickLblPos val="nextTo"/>
        <c:spPr>
          <a:noFill/>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222"/>
        <c:crosses val="autoZero"/>
        <c:auto val="1"/>
        <c:lblAlgn val="ctr"/>
        <c:lblOffset val="100"/>
        <c:noMultiLvlLbl val="0"/>
      </c:catAx>
      <c:valAx>
        <c:axId val="2222"/>
        <c:scaling>
          <c:orientation val="minMax"/>
        </c:scaling>
        <c:delete val="0"/>
        <c:axPos val="l"/>
        <c:majorGridlines>
          <c:spPr>
            <a:ln w="635" cap="flat" cmpd="sng" algn="ctr">
              <a:solidFill>
                <a:srgbClr val="D9D9D9">
                  <a:alpha val="100000"/>
                </a:srgbClr>
              </a:solidFill>
              <a:prstDash val="solid"/>
              <a:round/>
            </a:ln>
          </c:spPr>
        </c:majorGridlines>
        <c:numFmt formatCode="General" sourceLinked="1"/>
        <c:majorTickMark val="none"/>
        <c:minorTickMark val="none"/>
        <c:tickLblPos val="nextTo"/>
        <c:spPr>
          <a:noFill/>
          <a:ln w="9525" cap="flat" cmpd="sng" algn="ctr">
            <a:noFill/>
            <a:prstDash val="solid"/>
            <a:round/>
          </a:ln>
        </c:spPr>
        <c:txPr>
          <a:bodyPr rot="0" spcFirstLastPara="0" vertOverflow="ellipsis" vert="horz" wrap="square" anchor="ctr" anchorCtr="1"/>
          <a:lstStyle/>
          <a:p>
            <a:pPr>
              <a:defRPr lang="zh-CN" sz="1050" b="0" i="0" u="none" strike="noStrike" kern="1200" baseline="0">
                <a:solidFill>
                  <a:srgbClr val="333333"/>
                </a:solidFill>
                <a:latin typeface="宋体" charset="-122"/>
                <a:ea typeface="宋体" charset="-122"/>
                <a:cs typeface="+mn-cs"/>
              </a:defRPr>
            </a:pPr>
          </a:p>
        </c:txPr>
        <c:crossAx val="1111"/>
        <c:crosses val="autoZero"/>
        <c:crossBetween val="between"/>
      </c:valAx>
      <c:spPr>
        <a:noFill/>
        <a:ln>
          <a:noFill/>
          <a:round/>
        </a:ln>
      </c:spPr>
    </c:plotArea>
    <c:legend>
      <c:legendPos val="b"/>
      <c:layout>
        <c:manualLayout>
          <c:xMode val="edge"/>
          <c:yMode val="edge"/>
          <c:x val="0.374517374517374"/>
          <c:y val="0.894039735099338"/>
          <c:w val="0.254826254826255"/>
          <c:h val="0.0662251655629139"/>
        </c:manualLayout>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charset="-122"/>
              <a:ea typeface="宋体"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charset="-122"/>
                <a:ea typeface="宋体" charset="-122"/>
                <a:cs typeface="+mn-cs"/>
              </a:defRPr>
            </a:pPr>
            <a:r>
              <a:rPr lang="ko-KR" altLang="en-US" sz="1400" b="0" i="0" u="none" baseline="0">
                <a:solidFill>
                  <a:srgbClr val="333333"/>
                </a:solidFill>
                <a:latin typeface="宋体" charset="-122"/>
                <a:ea typeface="宋体" charset="-122"/>
              </a:rPr>
              <a:t>2018年收入合计</a:t>
            </a:r>
            <a:endParaRPr lang="ko-KR" altLang="en-US" sz="1400" b="0" i="0" u="none" baseline="0">
              <a:solidFill>
                <a:srgbClr val="333333"/>
              </a:solidFill>
              <a:latin typeface="宋体" charset="-122"/>
              <a:ea typeface="宋体" charset="-122"/>
            </a:endParaRPr>
          </a:p>
        </c:rich>
      </c:tx>
      <c:layout/>
      <c:overlay val="0"/>
      <c:spPr>
        <a:noFill/>
        <a:ln>
          <a:noFill/>
          <a:round/>
        </a:ln>
      </c:spPr>
    </c:title>
    <c:autoTitleDeleted val="0"/>
    <c:plotArea>
      <c:layout/>
      <c:pieChart>
        <c:varyColors val="1"/>
        <c:ser>
          <c:idx val="0"/>
          <c:order val="0"/>
          <c:tx>
            <c:strRef>
              <c:f>电子表格11!$B$1</c:f>
              <c:strCache>
                <c:ptCount val="1"/>
                <c:pt idx="0">
                  <c:v>2018年收入合计</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电子表格11!$A$2:$A$2</c:f>
              <c:strCache>
                <c:ptCount val="1"/>
                <c:pt idx="0">
                  <c:v>一般公共预算财政拨款</c:v>
                </c:pt>
              </c:strCache>
            </c:strRef>
          </c:cat>
          <c:val>
            <c:numRef>
              <c:f>电子表格11!$B$2:$B$2</c:f>
              <c:numCache>
                <c:formatCode>General</c:formatCode>
                <c:ptCount val="1"/>
                <c:pt idx="0">
                  <c:v>8.2</c:v>
                </c:pt>
              </c:numCache>
            </c:numRef>
          </c:val>
        </c:ser>
        <c:dLbls>
          <c:showLegendKey val="1"/>
          <c:showVal val="1"/>
          <c:showCatName val="1"/>
          <c:showSerName val="1"/>
          <c:showPercent val="1"/>
          <c:showBubbleSize val="1"/>
          <c:showLeaderLines val="1"/>
        </c:dLbls>
        <c:firstSliceAng val="0"/>
      </c:pieChart>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charset="-122"/>
              <a:ea typeface="宋体"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charset="-122"/>
                <a:ea typeface="宋体" charset="-122"/>
                <a:cs typeface="+mn-cs"/>
              </a:defRPr>
            </a:pPr>
            <a:r>
              <a:rPr lang="ko-KR" altLang="en-US" sz="1400" b="0" i="0" u="none" baseline="0">
                <a:solidFill>
                  <a:srgbClr val="333333"/>
                </a:solidFill>
                <a:latin typeface="宋体" charset="-122"/>
                <a:ea typeface="宋体" charset="-122"/>
              </a:rPr>
              <a:t>2018年总支出</a:t>
            </a:r>
            <a:endParaRPr lang="ko-KR" altLang="en-US" sz="1400" b="0" i="0" u="none" baseline="0">
              <a:solidFill>
                <a:srgbClr val="333333"/>
              </a:solidFill>
              <a:latin typeface="宋体" charset="-122"/>
              <a:ea typeface="宋体" charset="-122"/>
            </a:endParaRPr>
          </a:p>
        </c:rich>
      </c:tx>
      <c:layout/>
      <c:overlay val="0"/>
      <c:spPr>
        <a:noFill/>
        <a:ln>
          <a:noFill/>
          <a:round/>
        </a:ln>
      </c:spPr>
    </c:title>
    <c:autoTitleDeleted val="0"/>
    <c:plotArea>
      <c:layout/>
      <c:pieChart>
        <c:varyColors val="1"/>
        <c:ser>
          <c:idx val="0"/>
          <c:order val="0"/>
          <c:tx>
            <c:strRef>
              <c:f>电子表格27!$B$1</c:f>
              <c:strCache>
                <c:ptCount val="1"/>
                <c:pt idx="0">
                  <c:v>2018年总支出</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电子表格27!$A$2:$A$2</c:f>
              <c:strCache>
                <c:ptCount val="1"/>
                <c:pt idx="0">
                  <c:v>基本支出</c:v>
                </c:pt>
              </c:strCache>
            </c:strRef>
          </c:cat>
          <c:val>
            <c:numRef>
              <c:f>电子表格27!$B$2:$B$2</c:f>
              <c:numCache>
                <c:formatCode>General</c:formatCode>
                <c:ptCount val="1"/>
                <c:pt idx="0">
                  <c:v>306.86</c:v>
                </c:pt>
              </c:numCache>
            </c:numRef>
          </c:val>
        </c:ser>
        <c:dLbls>
          <c:showLegendKey val="1"/>
          <c:showVal val="1"/>
          <c:showCatName val="1"/>
          <c:showSerName val="1"/>
          <c:showPercent val="1"/>
          <c:showBubbleSize val="1"/>
          <c:showLeaderLines val="1"/>
        </c:dLbls>
        <c:firstSliceAng val="0"/>
      </c:pieChart>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charset="-122"/>
              <a:ea typeface="宋体"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charset="-122"/>
                <a:ea typeface="宋体" charset="-122"/>
                <a:cs typeface="+mn-cs"/>
              </a:defRPr>
            </a:pPr>
            <a:r>
              <a:rPr lang="ko-KR" altLang="en-US" sz="1400" b="0" i="0" u="none" baseline="0">
                <a:solidFill>
                  <a:srgbClr val="333333"/>
                </a:solidFill>
                <a:latin typeface="宋体" charset="-122"/>
                <a:ea typeface="宋体" charset="-122"/>
              </a:rPr>
              <a:t>2017-2018年财政收入、支出</a:t>
            </a:r>
            <a:endParaRPr lang="ko-KR" altLang="en-US" sz="1400" b="0" i="0" u="none" baseline="0">
              <a:solidFill>
                <a:srgbClr val="333333"/>
              </a:solidFill>
              <a:latin typeface="宋体" charset="-122"/>
              <a:ea typeface="宋体" charset="-122"/>
            </a:endParaRPr>
          </a:p>
        </c:rich>
      </c:tx>
      <c:layout/>
      <c:overlay val="0"/>
      <c:spPr>
        <a:noFill/>
        <a:ln>
          <a:noFill/>
          <a:round/>
        </a:ln>
      </c:spPr>
    </c:title>
    <c:autoTitleDeleted val="0"/>
    <c:plotArea>
      <c:layout/>
      <c:barChart>
        <c:barDir val="col"/>
        <c:grouping val="clustered"/>
        <c:varyColors val="0"/>
        <c:ser>
          <c:idx val="0"/>
          <c:order val="0"/>
          <c:tx>
            <c:strRef>
              <c:f>电子表格33!$B$1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电子表格33!$A$2:$A$3</c:f>
              <c:strCache>
                <c:ptCount val="2"/>
                <c:pt idx="0">
                  <c:v>财政拨款收入</c:v>
                </c:pt>
                <c:pt idx="1">
                  <c:v>政拨款支出</c:v>
                </c:pt>
              </c:strCache>
            </c:strRef>
          </c:cat>
          <c:val>
            <c:numRef>
              <c:f>电子表格33!$B$2:$B$3</c:f>
              <c:numCache>
                <c:formatCode>General</c:formatCode>
                <c:ptCount val="2"/>
                <c:pt idx="0">
                  <c:v>235.26</c:v>
                </c:pt>
                <c:pt idx="1">
                  <c:v>236.8</c:v>
                </c:pt>
              </c:numCache>
            </c:numRef>
          </c:val>
        </c:ser>
        <c:ser>
          <c:idx val="1"/>
          <c:order val="1"/>
          <c:tx>
            <c:strRef>
              <c:f>电子表格33!$C$1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电子表格33!$A$2:$A$3</c:f>
              <c:strCache>
                <c:ptCount val="2"/>
                <c:pt idx="0">
                  <c:v>财政拨款收入</c:v>
                </c:pt>
                <c:pt idx="1">
                  <c:v>政拨款支出</c:v>
                </c:pt>
              </c:strCache>
            </c:strRef>
          </c:cat>
          <c:val>
            <c:numRef>
              <c:f>电子表格33!$C$2:$C$3</c:f>
              <c:numCache>
                <c:formatCode>General</c:formatCode>
                <c:ptCount val="2"/>
                <c:pt idx="0">
                  <c:v>304.42</c:v>
                </c:pt>
                <c:pt idx="1">
                  <c:v>306.86</c:v>
                </c:pt>
              </c:numCache>
            </c:numRef>
          </c:val>
        </c:ser>
        <c:dLbls>
          <c:showLegendKey val="0"/>
          <c:showVal val="1"/>
          <c:showCatName val="0"/>
          <c:showSerName val="0"/>
          <c:showPercent val="0"/>
          <c:showBubbleSize val="0"/>
        </c:dLbls>
        <c:gapWidth val="219"/>
        <c:overlap val="-27"/>
        <c:axId val="1111"/>
        <c:axId val="2222"/>
      </c:barChart>
      <c:catAx>
        <c:axId val="1111"/>
        <c:scaling>
          <c:orientation val="minMax"/>
        </c:scaling>
        <c:delete val="0"/>
        <c:axPos val="b"/>
        <c:majorTickMark val="none"/>
        <c:minorTickMark val="none"/>
        <c:tickLblPos val="nextTo"/>
        <c:spPr>
          <a:noFill/>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222"/>
        <c:crosses val="autoZero"/>
        <c:auto val="1"/>
        <c:lblAlgn val="ctr"/>
        <c:lblOffset val="100"/>
        <c:noMultiLvlLbl val="0"/>
      </c:catAx>
      <c:valAx>
        <c:axId val="2222"/>
        <c:scaling>
          <c:orientation val="minMax"/>
        </c:scaling>
        <c:delete val="0"/>
        <c:axPos val="l"/>
        <c:majorGridlines>
          <c:spPr>
            <a:ln w="635" cap="flat" cmpd="sng" algn="ctr">
              <a:solidFill>
                <a:srgbClr val="D9D9D9">
                  <a:alpha val="100000"/>
                </a:srgbClr>
              </a:solidFill>
              <a:prstDash val="solid"/>
              <a:round/>
            </a:ln>
          </c:spPr>
        </c:majorGridlines>
        <c:numFmt formatCode="General" sourceLinked="1"/>
        <c:majorTickMark val="none"/>
        <c:minorTickMark val="none"/>
        <c:tickLblPos val="nextTo"/>
        <c:spPr>
          <a:noFill/>
          <a:ln w="9525" cap="flat" cmpd="sng" algn="ctr">
            <a:noFill/>
            <a:prstDash val="solid"/>
            <a:round/>
          </a:ln>
        </c:spPr>
        <c:txPr>
          <a:bodyPr rot="0" spcFirstLastPara="0" vertOverflow="ellipsis" vert="horz" wrap="square" anchor="ctr" anchorCtr="1"/>
          <a:lstStyle/>
          <a:p>
            <a:pPr>
              <a:defRPr lang="zh-CN" sz="1050" b="0" i="0" u="none" strike="noStrike" kern="1200" baseline="0">
                <a:solidFill>
                  <a:srgbClr val="333333"/>
                </a:solidFill>
                <a:latin typeface="宋体" charset="-122"/>
                <a:ea typeface="宋体" charset="-122"/>
                <a:cs typeface="+mn-cs"/>
              </a:defRPr>
            </a:pPr>
          </a:p>
        </c:txPr>
        <c:crossAx val="1111"/>
        <c:crosses val="autoZero"/>
        <c:crossBetween val="between"/>
      </c:valAx>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charset="-122"/>
              <a:ea typeface="宋体"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charset="-122"/>
                <a:ea typeface="宋体" charset="-122"/>
                <a:cs typeface="+mn-cs"/>
              </a:defRPr>
            </a:pPr>
            <a:r>
              <a:rPr lang="ko-KR" altLang="en-US" sz="1400" b="0" i="0" u="none" baseline="0">
                <a:solidFill>
                  <a:srgbClr val="333333"/>
                </a:solidFill>
                <a:latin typeface="宋体" charset="-122"/>
                <a:ea typeface="宋体" charset="-122"/>
              </a:rPr>
              <a:t>2017、2018年财政拨款支出</a:t>
            </a:r>
            <a:endParaRPr lang="ko-KR" altLang="en-US" sz="1400" b="0" i="0" u="none" baseline="0">
              <a:solidFill>
                <a:srgbClr val="333333"/>
              </a:solidFill>
              <a:latin typeface="宋体" charset="-122"/>
              <a:ea typeface="宋体" charset="-122"/>
            </a:endParaRPr>
          </a:p>
        </c:rich>
      </c:tx>
      <c:layout/>
      <c:overlay val="0"/>
      <c:spPr>
        <a:noFill/>
        <a:ln>
          <a:noFill/>
          <a:round/>
        </a:ln>
      </c:spPr>
    </c:title>
    <c:autoTitleDeleted val="0"/>
    <c:plotArea>
      <c:layout/>
      <c:barChart>
        <c:barDir val="col"/>
        <c:grouping val="stacked"/>
        <c:varyColors val="0"/>
        <c:ser>
          <c:idx val="0"/>
          <c:order val="0"/>
          <c:tx>
            <c:strRef>
              <c:f>电子表格35!$B$1</c:f>
              <c:strCache>
                <c:ptCount val="1"/>
                <c:pt idx="0">
                  <c:v>财政拨款支出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电子表格35!$A$2:$A$3</c:f>
              <c:strCache>
                <c:ptCount val="2"/>
                <c:pt idx="0">
                  <c:v>2017年</c:v>
                </c:pt>
                <c:pt idx="1">
                  <c:v>2018年</c:v>
                </c:pt>
              </c:strCache>
            </c:strRef>
          </c:cat>
          <c:val>
            <c:numRef>
              <c:f>电子表格35!$B$2:$B$3</c:f>
              <c:numCache>
                <c:formatCode>General</c:formatCode>
                <c:ptCount val="2"/>
                <c:pt idx="0">
                  <c:v>236.8</c:v>
                </c:pt>
                <c:pt idx="1">
                  <c:v>306.86</c:v>
                </c:pt>
              </c:numCache>
            </c:numRef>
          </c:val>
        </c:ser>
        <c:dLbls>
          <c:showLegendKey val="0"/>
          <c:showVal val="1"/>
          <c:showCatName val="0"/>
          <c:showSerName val="0"/>
          <c:showPercent val="0"/>
          <c:showBubbleSize val="0"/>
        </c:dLbls>
        <c:gapWidth val="150"/>
        <c:overlap val="100"/>
        <c:axId val="1111"/>
        <c:axId val="2222"/>
      </c:barChart>
      <c:catAx>
        <c:axId val="1111"/>
        <c:scaling>
          <c:orientation val="minMax"/>
        </c:scaling>
        <c:delete val="0"/>
        <c:axPos val="b"/>
        <c:majorTickMark val="none"/>
        <c:minorTickMark val="none"/>
        <c:tickLblPos val="nextTo"/>
        <c:spPr>
          <a:noFill/>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222"/>
        <c:crosses val="autoZero"/>
        <c:auto val="1"/>
        <c:lblAlgn val="ctr"/>
        <c:lblOffset val="100"/>
        <c:noMultiLvlLbl val="0"/>
      </c:catAx>
      <c:valAx>
        <c:axId val="2222"/>
        <c:scaling>
          <c:orientation val="minMax"/>
        </c:scaling>
        <c:delete val="0"/>
        <c:axPos val="l"/>
        <c:majorGridlines>
          <c:spPr>
            <a:ln w="635" cap="flat" cmpd="sng" algn="ctr">
              <a:solidFill>
                <a:srgbClr val="D9D9D9">
                  <a:alpha val="100000"/>
                </a:srgbClr>
              </a:solidFill>
              <a:prstDash val="solid"/>
              <a:round/>
            </a:ln>
          </c:spPr>
        </c:majorGridlines>
        <c:numFmt formatCode="General" sourceLinked="1"/>
        <c:majorTickMark val="none"/>
        <c:minorTickMark val="none"/>
        <c:tickLblPos val="nextTo"/>
        <c:spPr>
          <a:noFill/>
          <a:ln w="9525" cap="flat" cmpd="sng" algn="ctr">
            <a:noFill/>
            <a:prstDash val="solid"/>
            <a:round/>
          </a:ln>
        </c:spPr>
        <c:txPr>
          <a:bodyPr rot="0" spcFirstLastPara="0" vertOverflow="ellipsis" vert="horz" wrap="square" anchor="ctr" anchorCtr="1"/>
          <a:lstStyle/>
          <a:p>
            <a:pPr>
              <a:defRPr lang="zh-CN" sz="1050" b="0" i="0" u="none" strike="noStrike" kern="1200" baseline="0">
                <a:solidFill>
                  <a:srgbClr val="333333"/>
                </a:solidFill>
                <a:latin typeface="宋体" charset="-122"/>
                <a:ea typeface="宋体" charset="-122"/>
                <a:cs typeface="+mn-cs"/>
              </a:defRPr>
            </a:pPr>
          </a:p>
        </c:txPr>
        <c:crossAx val="1111"/>
        <c:crosses val="autoZero"/>
        <c:crossBetween val="between"/>
      </c:valAx>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charset="-122"/>
              <a:ea typeface="宋体"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charset="-122"/>
                <a:ea typeface="宋体" charset="-122"/>
                <a:cs typeface="+mn-cs"/>
              </a:defRPr>
            </a:pPr>
            <a:r>
              <a:rPr lang="en-US" altLang="ko-KR" sz="1400" b="0" i="0" u="none" baseline="0">
                <a:solidFill>
                  <a:srgbClr val="333333"/>
                </a:solidFill>
                <a:latin typeface="宋体" charset="-122"/>
                <a:ea typeface="宋体" charset="-122"/>
              </a:rPr>
              <a:t>2018</a:t>
            </a:r>
            <a:r>
              <a:rPr altLang="en-US" sz="1400" b="0" i="0" u="none" baseline="0">
                <a:solidFill>
                  <a:srgbClr val="333333"/>
                </a:solidFill>
                <a:latin typeface="宋体" charset="-122"/>
                <a:ea typeface="宋体" charset="-122"/>
              </a:rPr>
              <a:t>年支出</a:t>
            </a:r>
            <a:endParaRPr lang="en-US" altLang="ko-KR" sz="1400" b="0" i="0" u="none" baseline="0">
              <a:solidFill>
                <a:srgbClr val="333333"/>
              </a:solidFill>
              <a:latin typeface="宋体" charset="-122"/>
              <a:ea typeface="宋体" charset="-122"/>
            </a:endParaRPr>
          </a:p>
        </c:rich>
      </c:tx>
      <c:layout/>
      <c:overlay val="0"/>
      <c:spPr>
        <a:noFill/>
        <a:ln>
          <a:noFill/>
          <a:round/>
        </a:ln>
      </c:spPr>
    </c:title>
    <c:autoTitleDeleted val="0"/>
    <c:plotArea>
      <c:layout/>
      <c:pieChart>
        <c:varyColors val="1"/>
        <c:ser>
          <c:idx val="0"/>
          <c:order val="0"/>
          <c:tx>
            <c:strRef>
              <c:f>电子表格37!$B$1</c:f>
              <c:strCache>
                <c:ptCount val="1"/>
                <c:pt idx="0">
                  <c:v>2018支出</c:v>
                </c:pt>
              </c:strCache>
            </c:strRef>
          </c:tx>
          <c:explosion val="0"/>
          <c:dPt>
            <c:idx val="0"/>
            <c:bubble3D val="0"/>
          </c:dPt>
          <c:dPt>
            <c:idx val="1"/>
            <c:bubble3D val="0"/>
          </c:dPt>
          <c:dPt>
            <c:idx val="2"/>
            <c:bubble3D val="0"/>
          </c:dPt>
          <c:dLbls>
            <c:dLbl>
              <c:idx val="1"/>
              <c:layout>
                <c:manualLayout>
                  <c:x val="-0.00473099502343286"/>
                  <c:y val="0.161746526414547"/>
                </c:manualLayout>
              </c:layout>
              <c:dLblPos val="bestFit"/>
              <c:showLegendKey val="1"/>
              <c:showVal val="1"/>
              <c:showCatName val="1"/>
              <c:showSerName val="1"/>
              <c:showPercent val="1"/>
              <c:showBubbleSize val="1"/>
              <c:extLst>
                <c:ext xmlns:c15="http://schemas.microsoft.com/office/drawing/2012/chart" uri="{CE6537A1-D6FC-4f65-9D91-7224C49458BB}">
                  <c15:layout/>
                </c:ext>
              </c:extLst>
            </c:dLbl>
            <c:dLbl>
              <c:idx val="2"/>
              <c:layout>
                <c:manualLayout>
                  <c:x val="0.104523013050131"/>
                  <c:y val="0.122622280233499"/>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700" b="0" i="0" u="none" strike="noStrike" kern="1200" cap="none" spc="0" normalizeH="0" baseline="0">
                      <a:solidFill>
                        <a:schemeClr val="tx1"/>
                      </a:solidFill>
                      <a:uFill>
                        <a:solidFill>
                          <a:schemeClr val="tx1"/>
                        </a:solidFill>
                      </a:uFill>
                      <a:latin typeface="+mn-lt"/>
                      <a:ea typeface="+mn-ea"/>
                      <a:cs typeface="+mn-cs"/>
                    </a:defRPr>
                  </a:pPr>
                </a:p>
              </c:txPr>
              <c:dLblPos val="bestFit"/>
              <c:showLegendKey val="1"/>
              <c:showVal val="1"/>
              <c:showCatName val="1"/>
              <c:showSerName val="1"/>
              <c:showPercent val="1"/>
              <c:showBubbleSize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cap="none" spc="0" normalizeH="0" baseline="0">
                    <a:solidFill>
                      <a:schemeClr val="tx1"/>
                    </a:solidFill>
                    <a:uFill>
                      <a:solidFill>
                        <a:schemeClr val="tx1"/>
                      </a:solidFill>
                    </a:uFill>
                    <a:latin typeface="+mn-lt"/>
                    <a:ea typeface="+mn-ea"/>
                    <a:cs typeface="+mn-cs"/>
                  </a:defRPr>
                </a:pPr>
              </a:p>
            </c:txPr>
            <c:dLblPos val="ctr"/>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电子表格37!$A$2:$A$4</c:f>
              <c:strCache>
                <c:ptCount val="3"/>
                <c:pt idx="0">
                  <c:v>社会保障和就业支出</c:v>
                </c:pt>
                <c:pt idx="1">
                  <c:v>医疗卫生和计划生育支出</c:v>
                </c:pt>
                <c:pt idx="2">
                  <c:v>住房保障支出</c:v>
                </c:pt>
              </c:strCache>
            </c:strRef>
          </c:cat>
          <c:val>
            <c:numRef>
              <c:f>电子表格37!$B$2:$B$4</c:f>
              <c:numCache>
                <c:formatCode>General</c:formatCode>
                <c:ptCount val="3"/>
                <c:pt idx="0">
                  <c:v>89.9</c:v>
                </c:pt>
                <c:pt idx="1">
                  <c:v>4.1</c:v>
                </c:pt>
                <c:pt idx="2">
                  <c:v>6.1</c:v>
                </c:pt>
              </c:numCache>
            </c:numRef>
          </c:val>
        </c:ser>
        <c:dLbls>
          <c:showLegendKey val="1"/>
          <c:showVal val="1"/>
          <c:showCatName val="1"/>
          <c:showSerName val="1"/>
          <c:showPercent val="1"/>
          <c:showBubbleSize val="1"/>
          <c:showLeaderLines val="1"/>
        </c:dLbls>
        <c:firstSliceAng val="0"/>
      </c:pieChart>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charset="-122"/>
              <a:ea typeface="宋体"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a:defRPr lang="zh-CN" sz="1400" b="0" i="0" u="none" strike="noStrike" kern="1200" baseline="0">
                <a:solidFill>
                  <a:srgbClr val="000000"/>
                </a:solidFill>
                <a:latin typeface="宋体" charset="-122"/>
                <a:ea typeface="宋体" charset="-122"/>
                <a:cs typeface="+mn-cs"/>
              </a:defRPr>
            </a:pPr>
            <a:r>
              <a:rPr lang="ko-KR" altLang="en-US" sz="1400" b="0" i="0" u="none" baseline="0">
                <a:solidFill>
                  <a:srgbClr val="333333"/>
                </a:solidFill>
                <a:latin typeface="宋体" charset="-122"/>
                <a:ea typeface="宋体" charset="-122"/>
              </a:rPr>
              <a:t>2018年三公经费支出</a:t>
            </a:r>
            <a:endParaRPr lang="ko-KR" altLang="en-US" sz="1400" b="0" i="0" u="none" baseline="0">
              <a:solidFill>
                <a:srgbClr val="333333"/>
              </a:solidFill>
              <a:latin typeface="宋体" charset="-122"/>
              <a:ea typeface="宋体" charset="-122"/>
            </a:endParaRPr>
          </a:p>
        </c:rich>
      </c:tx>
      <c:layout/>
      <c:overlay val="0"/>
      <c:spPr>
        <a:noFill/>
        <a:ln>
          <a:noFill/>
          <a:round/>
        </a:ln>
      </c:spPr>
    </c:title>
    <c:autoTitleDeleted val="0"/>
    <c:plotArea>
      <c:layout/>
      <c:pieChart>
        <c:varyColors val="1"/>
        <c:ser>
          <c:idx val="0"/>
          <c:order val="0"/>
          <c:tx>
            <c:strRef>
              <c:f>电子表格2!$B$1</c:f>
              <c:strCache>
                <c:ptCount val="1"/>
                <c:pt idx="0">
                  <c:v>2018年三公经费支出</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1"/>
            <c:showVal val="1"/>
            <c:showCatName val="1"/>
            <c:showSerName val="1"/>
            <c:showPercent val="1"/>
            <c:showBubbleSize val="1"/>
            <c:showLeaderLines val="1"/>
            <c:extLst>
              <c:ext xmlns:c15="http://schemas.microsoft.com/office/drawing/2012/chart" uri="{CE6537A1-D6FC-4f65-9D91-7224C49458BB}">
                <c15:layout/>
                <c15:showLeaderLines val="1"/>
                <c15:leaderLines/>
              </c:ext>
            </c:extLst>
          </c:dLbls>
          <c:cat>
            <c:strRef>
              <c:f>电子表格2!$A$2:$A$2</c:f>
              <c:strCache>
                <c:ptCount val="1"/>
                <c:pt idx="0">
                  <c:v>公务用车购置及运行维护费支出</c:v>
                </c:pt>
              </c:strCache>
            </c:strRef>
          </c:cat>
          <c:val>
            <c:numRef>
              <c:f>电子表格2!$B$2:$B$2</c:f>
              <c:numCache>
                <c:formatCode>General</c:formatCode>
                <c:ptCount val="1"/>
                <c:pt idx="0">
                  <c:v>0.95</c:v>
                </c:pt>
              </c:numCache>
            </c:numRef>
          </c:val>
        </c:ser>
        <c:dLbls>
          <c:showLegendKey val="1"/>
          <c:showVal val="1"/>
          <c:showCatName val="1"/>
          <c:showSerName val="1"/>
          <c:showPercent val="1"/>
          <c:showBubbleSize val="1"/>
          <c:showLeaderLines val="1"/>
        </c:dLbls>
        <c:firstSliceAng val="0"/>
      </c:pieChart>
      <c:spPr>
        <a:noFill/>
        <a:ln>
          <a:noFill/>
          <a:round/>
        </a:ln>
      </c:spPr>
    </c:plotArea>
    <c:legend>
      <c:legendPos val="b"/>
      <c:layout/>
      <c:overlay val="0"/>
      <c:spPr>
        <a:noFill/>
        <a:ln>
          <a:noFill/>
          <a:round/>
        </a:ln>
      </c:spPr>
      <c:txPr>
        <a:bodyPr rot="0" spcFirstLastPara="0" vertOverflow="ellipsis" vert="horz" wrap="square" anchor="t" anchorCtr="1"/>
        <a:lstStyle/>
        <a:p>
          <a:pPr>
            <a:defRPr lang="zh-CN" sz="1050" b="0" i="0" u="none" strike="noStrike" kern="1200" baseline="0">
              <a:solidFill>
                <a:srgbClr val="333333"/>
              </a:solidFill>
              <a:latin typeface="宋体" charset="-122"/>
              <a:ea typeface="宋体" charset="-122"/>
              <a:cs typeface="+mn-cs"/>
            </a:defRPr>
          </a:pPr>
        </a:p>
      </c:txPr>
    </c:legend>
    <c:plotVisOnly val="0"/>
    <c:dispBlanksAs val="gap"/>
    <c:showDLblsOverMax val="0"/>
  </c:chart>
  <c:spPr>
    <a:ln w="3175" cap="flat" cmpd="sng" algn="ctr">
      <a:solidFill>
        <a:srgbClr val="D9D9D9">
          <a:alpha val="100000"/>
        </a:srgbClr>
      </a:solidFill>
      <a:prstDash val="solid"/>
      <a:round/>
    </a:ln>
  </c:spPr>
  <c:txPr>
    <a:bodyPr/>
    <a:lstStyle/>
    <a:p>
      <a:pPr>
        <a:defRPr lang="zh-CN"/>
      </a:pPr>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0f5cba9-24c9-4f24-b386-81ec2e070ee4}"/>
        <w:style w:val=""/>
        <w:category>
          <w:name w:val="常规"/>
          <w:gallery w:val="placeholder"/>
        </w:category>
        <w:types>
          <w:type w:val="bbPlcHdr"/>
        </w:types>
        <w:behaviors>
          <w:behavior w:val="content"/>
        </w:behaviors>
        <w:description w:val=""/>
        <w:guid w:val="{e0f5cba9-24c9-4f24-b386-81ec2e070ee4}"/>
      </w:docPartPr>
      <w:docPartBody>
        <w:p>
          <w:r>
            <w:rPr>
              <w:color w:val="808080"/>
            </w:rPr>
            <w:t>单击此处输入文字。</w:t>
          </w:r>
        </w:p>
      </w:docPartBody>
    </w:docPart>
    <w:docPart>
      <w:docPartPr>
        <w:name w:val="{8124a252-9f44-4984-a67c-92e9fb23ec6e}"/>
        <w:style w:val=""/>
        <w:category>
          <w:name w:val="常规"/>
          <w:gallery w:val="placeholder"/>
        </w:category>
        <w:types>
          <w:type w:val="bbPlcHdr"/>
        </w:types>
        <w:behaviors>
          <w:behavior w:val="content"/>
        </w:behaviors>
        <w:description w:val=""/>
        <w:guid w:val="{8124a252-9f44-4984-a67c-92e9fb23ec6e}"/>
      </w:docPartPr>
      <w:docPartBody>
        <w:p>
          <w:r>
            <w:rPr>
              <w:color w:val="808080"/>
            </w:rPr>
            <w:t>单击此处输入文字。</w:t>
          </w:r>
        </w:p>
      </w:docPartBody>
    </w:docPart>
    <w:docPart>
      <w:docPartPr>
        <w:name w:val="{8fd41307-4120-4e87-b3f0-c77f47e595d2}"/>
        <w:style w:val=""/>
        <w:category>
          <w:name w:val="常规"/>
          <w:gallery w:val="placeholder"/>
        </w:category>
        <w:types>
          <w:type w:val="bbPlcHdr"/>
        </w:types>
        <w:behaviors>
          <w:behavior w:val="content"/>
        </w:behaviors>
        <w:description w:val=""/>
        <w:guid w:val="{8fd41307-4120-4e87-b3f0-c77f47e595d2}"/>
      </w:docPartPr>
      <w:docPartBody>
        <w:p>
          <w:r>
            <w:rPr>
              <w:color w:val="808080"/>
            </w:rPr>
            <w:t>单击此处输入文字。</w:t>
          </w:r>
        </w:p>
      </w:docPartBody>
    </w:docPart>
    <w:docPart>
      <w:docPartPr>
        <w:name w:val="{a45bac99-ce82-4659-8f03-7c2aba8d9ba7}"/>
        <w:style w:val=""/>
        <w:category>
          <w:name w:val="常规"/>
          <w:gallery w:val="placeholder"/>
        </w:category>
        <w:types>
          <w:type w:val="bbPlcHdr"/>
        </w:types>
        <w:behaviors>
          <w:behavior w:val="content"/>
        </w:behaviors>
        <w:description w:val=""/>
        <w:guid w:val="{a45bac99-ce82-4659-8f03-7c2aba8d9ba7}"/>
      </w:docPartPr>
      <w:docPartBody>
        <w:p>
          <w:r>
            <w:rPr>
              <w:color w:val="808080"/>
            </w:rPr>
            <w:t>单击此处输入文字。</w:t>
          </w:r>
        </w:p>
      </w:docPartBody>
    </w:docPart>
    <w:docPart>
      <w:docPartPr>
        <w:name w:val="{b5dd6f2e-86a7-42b3-9e0f-eb14478ae2f0}"/>
        <w:style w:val=""/>
        <w:category>
          <w:name w:val="常规"/>
          <w:gallery w:val="placeholder"/>
        </w:category>
        <w:types>
          <w:type w:val="bbPlcHdr"/>
        </w:types>
        <w:behaviors>
          <w:behavior w:val="content"/>
        </w:behaviors>
        <w:description w:val=""/>
        <w:guid w:val="{b5dd6f2e-86a7-42b3-9e0f-eb14478ae2f0}"/>
      </w:docPartPr>
      <w:docPartBody>
        <w:p>
          <w:r>
            <w:rPr>
              <w:color w:val="808080"/>
            </w:rPr>
            <w:t>单击此处输入文字。</w:t>
          </w:r>
        </w:p>
      </w:docPartBody>
    </w:docPart>
    <w:docPart>
      <w:docPartPr>
        <w:name w:val="{5c3166fc-2c4b-43ae-8593-45dcbbefd379}"/>
        <w:style w:val=""/>
        <w:category>
          <w:name w:val="常规"/>
          <w:gallery w:val="placeholder"/>
        </w:category>
        <w:types>
          <w:type w:val="bbPlcHdr"/>
        </w:types>
        <w:behaviors>
          <w:behavior w:val="content"/>
        </w:behaviors>
        <w:description w:val=""/>
        <w:guid w:val="{5c3166fc-2c4b-43ae-8593-45dcbbefd379}"/>
      </w:docPartPr>
      <w:docPartBody>
        <w:p>
          <w:r>
            <w:rPr>
              <w:color w:val="808080"/>
            </w:rPr>
            <w:t>单击此处输入文字。</w:t>
          </w:r>
        </w:p>
      </w:docPartBody>
    </w:docPart>
    <w:docPart>
      <w:docPartPr>
        <w:name w:val="{3e72f9cf-d236-4ec8-b3ce-2021c7d51c7a}"/>
        <w:style w:val=""/>
        <w:category>
          <w:name w:val="常规"/>
          <w:gallery w:val="placeholder"/>
        </w:category>
        <w:types>
          <w:type w:val="bbPlcHdr"/>
        </w:types>
        <w:behaviors>
          <w:behavior w:val="content"/>
        </w:behaviors>
        <w:description w:val=""/>
        <w:guid w:val="{3e72f9cf-d236-4ec8-b3ce-2021c7d51c7a}"/>
      </w:docPartPr>
      <w:docPartBody>
        <w:p>
          <w:r>
            <w:rPr>
              <w:color w:val="808080"/>
            </w:rPr>
            <w:t>单击此处输入文字。</w:t>
          </w:r>
        </w:p>
      </w:docPartBody>
    </w:docPart>
    <w:docPart>
      <w:docPartPr>
        <w:name w:val="{5ec6924e-031a-4b5a-a821-0b5751861e3f}"/>
        <w:style w:val=""/>
        <w:category>
          <w:name w:val="常规"/>
          <w:gallery w:val="placeholder"/>
        </w:category>
        <w:types>
          <w:type w:val="bbPlcHdr"/>
        </w:types>
        <w:behaviors>
          <w:behavior w:val="content"/>
        </w:behaviors>
        <w:description w:val=""/>
        <w:guid w:val="{5ec6924e-031a-4b5a-a821-0b5751861e3f}"/>
      </w:docPartPr>
      <w:docPartBody>
        <w:p>
          <w:r>
            <w:rPr>
              <w:color w:val="808080"/>
            </w:rPr>
            <w:t>单击此处输入文字。</w:t>
          </w:r>
        </w:p>
      </w:docPartBody>
    </w:docPart>
    <w:docPart>
      <w:docPartPr>
        <w:name w:val="{c6979d9d-91e2-49d1-906b-90f4475f42c2}"/>
        <w:style w:val=""/>
        <w:category>
          <w:name w:val="常规"/>
          <w:gallery w:val="placeholder"/>
        </w:category>
        <w:types>
          <w:type w:val="bbPlcHdr"/>
        </w:types>
        <w:behaviors>
          <w:behavior w:val="content"/>
        </w:behaviors>
        <w:description w:val=""/>
        <w:guid w:val="{c6979d9d-91e2-49d1-906b-90f4475f42c2}"/>
      </w:docPartPr>
      <w:docPartBody>
        <w:p>
          <w:r>
            <w:rPr>
              <w:color w:val="808080"/>
            </w:rPr>
            <w:t>单击此处输入文字。</w:t>
          </w:r>
        </w:p>
      </w:docPartBody>
    </w:docPart>
    <w:docPart>
      <w:docPartPr>
        <w:name w:val="{dcbdc9c9-e96e-40c8-8907-d5c601a8249b}"/>
        <w:style w:val=""/>
        <w:category>
          <w:name w:val="常规"/>
          <w:gallery w:val="placeholder"/>
        </w:category>
        <w:types>
          <w:type w:val="bbPlcHdr"/>
        </w:types>
        <w:behaviors>
          <w:behavior w:val="content"/>
        </w:behaviors>
        <w:description w:val=""/>
        <w:guid w:val="{dcbdc9c9-e96e-40c8-8907-d5c601a8249b}"/>
      </w:docPartPr>
      <w:docPartBody>
        <w:p>
          <w:r>
            <w:rPr>
              <w:color w:val="808080"/>
            </w:rPr>
            <w:t>单击此处输入文字。</w:t>
          </w:r>
        </w:p>
      </w:docPartBody>
    </w:docPart>
    <w:docPart>
      <w:docPartPr>
        <w:name w:val="{55615f3f-456e-49b2-b97b-584e3b9dd3b0}"/>
        <w:style w:val=""/>
        <w:category>
          <w:name w:val="常规"/>
          <w:gallery w:val="placeholder"/>
        </w:category>
        <w:types>
          <w:type w:val="bbPlcHdr"/>
        </w:types>
        <w:behaviors>
          <w:behavior w:val="content"/>
        </w:behaviors>
        <w:description w:val=""/>
        <w:guid w:val="{55615f3f-456e-49b2-b97b-584e3b9dd3b0}"/>
      </w:docPartPr>
      <w:docPartBody>
        <w:p>
          <w:r>
            <w:rPr>
              <w:color w:val="808080"/>
            </w:rPr>
            <w:t>单击此处输入文字。</w:t>
          </w:r>
        </w:p>
      </w:docPartBody>
    </w:docPart>
    <w:docPart>
      <w:docPartPr>
        <w:name w:val="{5d326ace-d049-4a67-a0b6-f9adfd66e37f}"/>
        <w:style w:val=""/>
        <w:category>
          <w:name w:val="常规"/>
          <w:gallery w:val="placeholder"/>
        </w:category>
        <w:types>
          <w:type w:val="bbPlcHdr"/>
        </w:types>
        <w:behaviors>
          <w:behavior w:val="content"/>
        </w:behaviors>
        <w:description w:val=""/>
        <w:guid w:val="{5d326ace-d049-4a67-a0b6-f9adfd66e37f}"/>
      </w:docPartPr>
      <w:docPartBody>
        <w:p>
          <w:r>
            <w:rPr>
              <w:color w:val="808080"/>
            </w:rPr>
            <w:t>单击此处输入文字。</w:t>
          </w:r>
        </w:p>
      </w:docPartBody>
    </w:docPart>
    <w:docPart>
      <w:docPartPr>
        <w:name w:val="{a0761b35-22b9-4a39-a3ec-53324ac8ad84}"/>
        <w:style w:val=""/>
        <w:category>
          <w:name w:val="常规"/>
          <w:gallery w:val="placeholder"/>
        </w:category>
        <w:types>
          <w:type w:val="bbPlcHdr"/>
        </w:types>
        <w:behaviors>
          <w:behavior w:val="content"/>
        </w:behaviors>
        <w:description w:val=""/>
        <w:guid w:val="{a0761b35-22b9-4a39-a3ec-53324ac8ad84}"/>
      </w:docPartPr>
      <w:docPartBody>
        <w:p>
          <w:r>
            <w:rPr>
              <w:color w:val="808080"/>
            </w:rPr>
            <w:t>单击此处输入文字。</w:t>
          </w:r>
        </w:p>
      </w:docPartBody>
    </w:docPart>
    <w:docPart>
      <w:docPartPr>
        <w:name w:val="{4b93e897-a5ae-4af2-a706-ca9a4a94ec7c}"/>
        <w:style w:val=""/>
        <w:category>
          <w:name w:val="常规"/>
          <w:gallery w:val="placeholder"/>
        </w:category>
        <w:types>
          <w:type w:val="bbPlcHdr"/>
        </w:types>
        <w:behaviors>
          <w:behavior w:val="content"/>
        </w:behaviors>
        <w:description w:val=""/>
        <w:guid w:val="{4b93e897-a5ae-4af2-a706-ca9a4a94ec7c}"/>
      </w:docPartPr>
      <w:docPartBody>
        <w:p>
          <w:r>
            <w:rPr>
              <w:color w:val="808080"/>
            </w:rPr>
            <w:t>单击此处输入文字。</w:t>
          </w:r>
        </w:p>
      </w:docPartBody>
    </w:docPart>
    <w:docPart>
      <w:docPartPr>
        <w:name w:val="{caae9f62-8d40-479e-abf4-1d0e7d62487b}"/>
        <w:style w:val=""/>
        <w:category>
          <w:name w:val="常规"/>
          <w:gallery w:val="placeholder"/>
        </w:category>
        <w:types>
          <w:type w:val="bbPlcHdr"/>
        </w:types>
        <w:behaviors>
          <w:behavior w:val="content"/>
        </w:behaviors>
        <w:description w:val=""/>
        <w:guid w:val="{caae9f62-8d40-479e-abf4-1d0e7d62487b}"/>
      </w:docPartPr>
      <w:docPartBody>
        <w:p>
          <w:r>
            <w:rPr>
              <w:color w:val="808080"/>
            </w:rPr>
            <w:t>单击此处输入文字。</w:t>
          </w:r>
        </w:p>
      </w:docPartBody>
    </w:docPart>
    <w:docPart>
      <w:docPartPr>
        <w:name w:val="{64928a44-d144-4568-8e93-d06ab8e5c5de}"/>
        <w:style w:val=""/>
        <w:category>
          <w:name w:val="常规"/>
          <w:gallery w:val="placeholder"/>
        </w:category>
        <w:types>
          <w:type w:val="bbPlcHdr"/>
        </w:types>
        <w:behaviors>
          <w:behavior w:val="content"/>
        </w:behaviors>
        <w:description w:val=""/>
        <w:guid w:val="{64928a44-d144-4568-8e93-d06ab8e5c5de}"/>
      </w:docPartPr>
      <w:docPartBody>
        <w:p>
          <w:r>
            <w:rPr>
              <w:color w:val="808080"/>
            </w:rPr>
            <w:t>单击此处输入文字。</w:t>
          </w:r>
        </w:p>
      </w:docPartBody>
    </w:docPart>
    <w:docPart>
      <w:docPartPr>
        <w:name w:val="{486cf77b-3784-403a-8f25-f2f4ec162848}"/>
        <w:style w:val=""/>
        <w:category>
          <w:name w:val="常规"/>
          <w:gallery w:val="placeholder"/>
        </w:category>
        <w:types>
          <w:type w:val="bbPlcHdr"/>
        </w:types>
        <w:behaviors>
          <w:behavior w:val="content"/>
        </w:behaviors>
        <w:description w:val=""/>
        <w:guid w:val="{486cf77b-3784-403a-8f25-f2f4ec162848}"/>
      </w:docPartPr>
      <w:docPartBody>
        <w:p>
          <w:r>
            <w:rPr>
              <w:color w:val="808080"/>
            </w:rPr>
            <w:t>单击此处输入文字。</w:t>
          </w:r>
        </w:p>
      </w:docPartBody>
    </w:docPart>
    <w:docPart>
      <w:docPartPr>
        <w:name w:val="{807f7daf-5dbb-4f44-bb24-5a33853c9925}"/>
        <w:style w:val=""/>
        <w:category>
          <w:name w:val="常规"/>
          <w:gallery w:val="placeholder"/>
        </w:category>
        <w:types>
          <w:type w:val="bbPlcHdr"/>
        </w:types>
        <w:behaviors>
          <w:behavior w:val="content"/>
        </w:behaviors>
        <w:description w:val=""/>
        <w:guid w:val="{807f7daf-5dbb-4f44-bb24-5a33853c9925}"/>
      </w:docPartPr>
      <w:docPartBody>
        <w:p>
          <w:r>
            <w:rPr>
              <w:color w:val="808080"/>
            </w:rPr>
            <w:t>单击此处输入文字。</w:t>
          </w:r>
        </w:p>
      </w:docPartBody>
    </w:docPart>
    <w:docPart>
      <w:docPartPr>
        <w:name w:val="{9bc22c75-78a9-4d1d-a661-f4606431bd4a}"/>
        <w:style w:val=""/>
        <w:category>
          <w:name w:val="常规"/>
          <w:gallery w:val="placeholder"/>
        </w:category>
        <w:types>
          <w:type w:val="bbPlcHdr"/>
        </w:types>
        <w:behaviors>
          <w:behavior w:val="content"/>
        </w:behaviors>
        <w:description w:val=""/>
        <w:guid w:val="{9bc22c75-78a9-4d1d-a661-f4606431bd4a}"/>
      </w:docPartPr>
      <w:docPartBody>
        <w:p>
          <w:r>
            <w:rPr>
              <w:color w:val="808080"/>
            </w:rPr>
            <w:t>单击此处输入文字。</w:t>
          </w:r>
        </w:p>
      </w:docPartBody>
    </w:docPart>
    <w:docPart>
      <w:docPartPr>
        <w:name w:val="{01e8d9dd-7a82-4520-ab89-3c14072fef1d}"/>
        <w:style w:val=""/>
        <w:category>
          <w:name w:val="常规"/>
          <w:gallery w:val="placeholder"/>
        </w:category>
        <w:types>
          <w:type w:val="bbPlcHdr"/>
        </w:types>
        <w:behaviors>
          <w:behavior w:val="content"/>
        </w:behaviors>
        <w:description w:val=""/>
        <w:guid w:val="{01e8d9dd-7a82-4520-ab89-3c14072fef1d}"/>
      </w:docPartPr>
      <w:docPartBody>
        <w:p>
          <w:r>
            <w:rPr>
              <w:color w:val="808080"/>
            </w:rPr>
            <w:t>单击此处输入文字。</w:t>
          </w:r>
        </w:p>
      </w:docPartBody>
    </w:docPart>
    <w:docPart>
      <w:docPartPr>
        <w:name w:val="{a39abcf7-c4c4-48ee-b476-3ea2c4647581}"/>
        <w:style w:val=""/>
        <w:category>
          <w:name w:val="常规"/>
          <w:gallery w:val="placeholder"/>
        </w:category>
        <w:types>
          <w:type w:val="bbPlcHdr"/>
        </w:types>
        <w:behaviors>
          <w:behavior w:val="content"/>
        </w:behaviors>
        <w:description w:val=""/>
        <w:guid w:val="{a39abcf7-c4c4-48ee-b476-3ea2c4647581}"/>
      </w:docPartPr>
      <w:docPartBody>
        <w:p>
          <w:r>
            <w:rPr>
              <w:color w:val="808080"/>
            </w:rPr>
            <w:t>单击此处输入文字。</w:t>
          </w:r>
        </w:p>
      </w:docPartBody>
    </w:docPart>
    <w:docPart>
      <w:docPartPr>
        <w:name w:val="{0bb53dfe-7dcb-4b83-8805-add45bf745c1}"/>
        <w:style w:val=""/>
        <w:category>
          <w:name w:val="常规"/>
          <w:gallery w:val="placeholder"/>
        </w:category>
        <w:types>
          <w:type w:val="bbPlcHdr"/>
        </w:types>
        <w:behaviors>
          <w:behavior w:val="content"/>
        </w:behaviors>
        <w:description w:val=""/>
        <w:guid w:val="{0bb53dfe-7dcb-4b83-8805-add45bf745c1}"/>
      </w:docPartPr>
      <w:docPartBody>
        <w:p>
          <w:r>
            <w:rPr>
              <w:color w:val="808080"/>
            </w:rPr>
            <w:t>单击此处输入文字。</w:t>
          </w:r>
        </w:p>
      </w:docPartBody>
    </w:docPart>
    <w:docPart>
      <w:docPartPr>
        <w:name w:val="{4cd37e72-604b-46de-afca-1a85fd15d3c8}"/>
        <w:style w:val=""/>
        <w:category>
          <w:name w:val="常规"/>
          <w:gallery w:val="placeholder"/>
        </w:category>
        <w:types>
          <w:type w:val="bbPlcHdr"/>
        </w:types>
        <w:behaviors>
          <w:behavior w:val="content"/>
        </w:behaviors>
        <w:description w:val=""/>
        <w:guid w:val="{4cd37e72-604b-46de-afca-1a85fd15d3c8}"/>
      </w:docPartPr>
      <w:docPartBody>
        <w:p>
          <w:r>
            <w:rPr>
              <w:color w:val="808080"/>
            </w:rPr>
            <w:t>单击此处输入文字。</w:t>
          </w:r>
        </w:p>
      </w:docPartBody>
    </w:docPart>
    <w:docPart>
      <w:docPartPr>
        <w:name w:val="{76ff5642-e6d8-4f21-aaef-13c28daca098}"/>
        <w:style w:val=""/>
        <w:category>
          <w:name w:val="常规"/>
          <w:gallery w:val="placeholder"/>
        </w:category>
        <w:types>
          <w:type w:val="bbPlcHdr"/>
        </w:types>
        <w:behaviors>
          <w:behavior w:val="content"/>
        </w:behaviors>
        <w:description w:val=""/>
        <w:guid w:val="{76ff5642-e6d8-4f21-aaef-13c28daca098}"/>
      </w:docPartPr>
      <w:docPartBody>
        <w:p>
          <w:r>
            <w:rPr>
              <w:color w:val="808080"/>
            </w:rPr>
            <w:t>单击此处输入文字。</w:t>
          </w:r>
        </w:p>
      </w:docPartBody>
    </w:docPart>
    <w:docPart>
      <w:docPartPr>
        <w:name w:val="{e7fb2b01-d470-44c3-83b9-6d3ca9275e64}"/>
        <w:style w:val=""/>
        <w:category>
          <w:name w:val="常规"/>
          <w:gallery w:val="placeholder"/>
        </w:category>
        <w:types>
          <w:type w:val="bbPlcHdr"/>
        </w:types>
        <w:behaviors>
          <w:behavior w:val="content"/>
        </w:behaviors>
        <w:description w:val=""/>
        <w:guid w:val="{e7fb2b01-d470-44c3-83b9-6d3ca9275e64}"/>
      </w:docPartPr>
      <w:docPartBody>
        <w:p>
          <w:r>
            <w:rPr>
              <w:color w:val="808080"/>
            </w:rPr>
            <w:t>单击此处输入文字。</w:t>
          </w:r>
        </w:p>
      </w:docPartBody>
    </w:docPart>
    <w:docPart>
      <w:docPartPr>
        <w:name w:val="{64460996-8a95-41f7-a78d-a2251e9ae866}"/>
        <w:style w:val=""/>
        <w:category>
          <w:name w:val="常规"/>
          <w:gallery w:val="placeholder"/>
        </w:category>
        <w:types>
          <w:type w:val="bbPlcHdr"/>
        </w:types>
        <w:behaviors>
          <w:behavior w:val="content"/>
        </w:behaviors>
        <w:description w:val=""/>
        <w:guid w:val="{64460996-8a95-41f7-a78d-a2251e9ae866}"/>
      </w:docPartPr>
      <w:docPartBody>
        <w:p>
          <w:r>
            <w:rPr>
              <w:color w:val="808080"/>
            </w:rPr>
            <w:t>单击此处输入文字。</w:t>
          </w:r>
        </w:p>
      </w:docPartBody>
    </w:docPart>
    <w:docPart>
      <w:docPartPr>
        <w:name w:val="{b95b6a19-7272-4c26-80a1-b47e40f28020}"/>
        <w:style w:val=""/>
        <w:category>
          <w:name w:val="常规"/>
          <w:gallery w:val="placeholder"/>
        </w:category>
        <w:types>
          <w:type w:val="bbPlcHdr"/>
        </w:types>
        <w:behaviors>
          <w:behavior w:val="content"/>
        </w:behaviors>
        <w:description w:val=""/>
        <w:guid w:val="{b95b6a19-7272-4c26-80a1-b47e40f28020}"/>
      </w:docPartPr>
      <w:docPartBody>
        <w:p>
          <w:r>
            <w:rPr>
              <w:color w:val="808080"/>
            </w:rPr>
            <w:t>单击此处输入文字。</w:t>
          </w:r>
        </w:p>
      </w:docPartBody>
    </w:docPart>
    <w:docPart>
      <w:docPartPr>
        <w:name w:val="{4a68e5a7-41aa-4231-8ba3-396daca6e4fe}"/>
        <w:style w:val=""/>
        <w:category>
          <w:name w:val="常规"/>
          <w:gallery w:val="placeholder"/>
        </w:category>
        <w:types>
          <w:type w:val="bbPlcHdr"/>
        </w:types>
        <w:behaviors>
          <w:behavior w:val="content"/>
        </w:behaviors>
        <w:description w:val=""/>
        <w:guid w:val="{4a68e5a7-41aa-4231-8ba3-396daca6e4fe}"/>
      </w:docPartPr>
      <w:docPartBody>
        <w:p>
          <w:r>
            <w:rPr>
              <w:color w:val="808080"/>
            </w:rPr>
            <w:t>单击此处输入文字。</w:t>
          </w:r>
        </w:p>
      </w:docPartBody>
    </w:docPart>
    <w:docPart>
      <w:docPartPr>
        <w:name w:val="{077ad21c-7f2e-4594-a940-90bbfa55976e}"/>
        <w:style w:val=""/>
        <w:category>
          <w:name w:val="常规"/>
          <w:gallery w:val="placeholder"/>
        </w:category>
        <w:types>
          <w:type w:val="bbPlcHdr"/>
        </w:types>
        <w:behaviors>
          <w:behavior w:val="content"/>
        </w:behaviors>
        <w:description w:val=""/>
        <w:guid w:val="{077ad21c-7f2e-4594-a940-90bbfa55976e}"/>
      </w:docPartPr>
      <w:docPartBody>
        <w:p>
          <w:r>
            <w:rPr>
              <w:color w:val="808080"/>
            </w:rPr>
            <w:t>单击此处输入文字。</w:t>
          </w:r>
        </w:p>
      </w:docPartBody>
    </w:docPart>
    <w:docPart>
      <w:docPartPr>
        <w:name w:val="{7902739f-64e7-41c3-8b08-a00e055fea0b}"/>
        <w:style w:val=""/>
        <w:category>
          <w:name w:val="常规"/>
          <w:gallery w:val="placeholder"/>
        </w:category>
        <w:types>
          <w:type w:val="bbPlcHdr"/>
        </w:types>
        <w:behaviors>
          <w:behavior w:val="content"/>
        </w:behaviors>
        <w:description w:val=""/>
        <w:guid w:val="{7902739f-64e7-41c3-8b08-a00e055fea0b}"/>
      </w:docPartPr>
      <w:docPartBody>
        <w:p>
          <w:r>
            <w:rPr>
              <w:color w:val="808080"/>
            </w:rPr>
            <w:t>单击此处输入文字。</w:t>
          </w:r>
        </w:p>
      </w:docPartBody>
    </w:docPart>
    <w:docPart>
      <w:docPartPr>
        <w:name w:val="{293c2d35-b492-4674-9c19-97523cf13bfb}"/>
        <w:style w:val=""/>
        <w:category>
          <w:name w:val="常规"/>
          <w:gallery w:val="placeholder"/>
        </w:category>
        <w:types>
          <w:type w:val="bbPlcHdr"/>
        </w:types>
        <w:behaviors>
          <w:behavior w:val="content"/>
        </w:behaviors>
        <w:description w:val=""/>
        <w:guid w:val="{293c2d35-b492-4674-9c19-97523cf13bfb}"/>
      </w:docPartPr>
      <w:docPartBody>
        <w:p>
          <w:r>
            <w:rPr>
              <w:color w:val="808080"/>
            </w:rPr>
            <w:t>单击此处输入文字。</w:t>
          </w:r>
        </w:p>
      </w:docPartBody>
    </w:docPart>
    <w:docPart>
      <w:docPartPr>
        <w:name w:val="{54241f76-0af9-46e2-b904-4ca454adba35}"/>
        <w:style w:val=""/>
        <w:category>
          <w:name w:val="常规"/>
          <w:gallery w:val="placeholder"/>
        </w:category>
        <w:types>
          <w:type w:val="bbPlcHdr"/>
        </w:types>
        <w:behaviors>
          <w:behavior w:val="content"/>
        </w:behaviors>
        <w:description w:val=""/>
        <w:guid w:val="{54241f76-0af9-46e2-b904-4ca454adba35}"/>
      </w:docPartPr>
      <w:docPartBody>
        <w:p>
          <w:r>
            <w:rPr>
              <w:color w:val="808080"/>
            </w:rPr>
            <w:t>单击此处输入文字。</w:t>
          </w:r>
        </w:p>
      </w:docPartBody>
    </w:docPart>
    <w:docPart>
      <w:docPartPr>
        <w:name w:val="{dcc79135-5e22-4e17-ace4-34ad500159f3}"/>
        <w:style w:val=""/>
        <w:category>
          <w:name w:val="常规"/>
          <w:gallery w:val="placeholder"/>
        </w:category>
        <w:types>
          <w:type w:val="bbPlcHdr"/>
        </w:types>
        <w:behaviors>
          <w:behavior w:val="content"/>
        </w:behaviors>
        <w:description w:val=""/>
        <w:guid w:val="{dcc79135-5e22-4e17-ace4-34ad500159f3}"/>
      </w:docPartPr>
      <w:docPartBody>
        <w:p>
          <w:r>
            <w:rPr>
              <w:color w:val="808080"/>
            </w:rPr>
            <w:t>单击此处输入文字。</w:t>
          </w:r>
        </w:p>
      </w:docPartBody>
    </w:docPart>
    <w:docPart>
      <w:docPartPr>
        <w:name w:val="{bf4e5d0e-0f8a-4957-8af1-edc1068a97e8}"/>
        <w:style w:val=""/>
        <w:category>
          <w:name w:val="常规"/>
          <w:gallery w:val="placeholder"/>
        </w:category>
        <w:types>
          <w:type w:val="bbPlcHdr"/>
        </w:types>
        <w:behaviors>
          <w:behavior w:val="content"/>
        </w:behaviors>
        <w:description w:val=""/>
        <w:guid w:val="{bf4e5d0e-0f8a-4957-8af1-edc1068a97e8}"/>
      </w:docPartPr>
      <w:docPartBody>
        <w:p>
          <w:r>
            <w:rPr>
              <w:color w:val="808080"/>
            </w:rPr>
            <w:t>单击此处输入文字。</w:t>
          </w:r>
        </w:p>
      </w:docPartBody>
    </w:docPart>
    <w:docPart>
      <w:docPartPr>
        <w:name w:val="{86770dd4-62bd-4ebf-90c4-b40d10e54968}"/>
        <w:style w:val=""/>
        <w:category>
          <w:name w:val="常规"/>
          <w:gallery w:val="placeholder"/>
        </w:category>
        <w:types>
          <w:type w:val="bbPlcHdr"/>
        </w:types>
        <w:behaviors>
          <w:behavior w:val="content"/>
        </w:behaviors>
        <w:description w:val=""/>
        <w:guid w:val="{86770dd4-62bd-4ebf-90c4-b40d10e54968}"/>
      </w:docPartPr>
      <w:docPartBody>
        <w:p>
          <w:r>
            <w:rPr>
              <w:color w:val="808080"/>
            </w:rPr>
            <w:t>单击此处输入文字。</w:t>
          </w:r>
        </w:p>
      </w:docPartBody>
    </w:docPart>
    <w:docPart>
      <w:docPartPr>
        <w:name w:val="{7f9f45c9-387b-4468-8dc9-92052fe43cf0}"/>
        <w:style w:val=""/>
        <w:category>
          <w:name w:val="常规"/>
          <w:gallery w:val="placeholder"/>
        </w:category>
        <w:types>
          <w:type w:val="bbPlcHdr"/>
        </w:types>
        <w:behaviors>
          <w:behavior w:val="content"/>
        </w:behaviors>
        <w:description w:val=""/>
        <w:guid w:val="{7f9f45c9-387b-4468-8dc9-92052fe43cf0}"/>
      </w:docPartPr>
      <w:docPartBody>
        <w:p>
          <w:r>
            <w:rPr>
              <w:color w:val="808080"/>
            </w:rPr>
            <w:t>单击此处输入文字。</w:t>
          </w:r>
        </w:p>
      </w:docPartBody>
    </w:docPart>
    <w:docPart>
      <w:docPartPr>
        <w:name w:val="{a78de9ad-b02b-42e7-b795-dd317dd86efa}"/>
        <w:style w:val=""/>
        <w:category>
          <w:name w:val="常规"/>
          <w:gallery w:val="placeholder"/>
        </w:category>
        <w:types>
          <w:type w:val="bbPlcHdr"/>
        </w:types>
        <w:behaviors>
          <w:behavior w:val="content"/>
        </w:behaviors>
        <w:description w:val=""/>
        <w:guid w:val="{a78de9ad-b02b-42e7-b795-dd317dd86efa}"/>
      </w:docPartPr>
      <w:docPartBody>
        <w:p>
          <w:r>
            <w:rPr>
              <w:color w:val="808080"/>
            </w:rPr>
            <w:t>单击此处输入文字。</w:t>
          </w:r>
        </w:p>
      </w:docPartBody>
    </w:docPart>
    <w:docPart>
      <w:docPartPr>
        <w:name w:val="{6d61fc86-b7e9-4a80-b126-827b56a4165a}"/>
        <w:style w:val=""/>
        <w:category>
          <w:name w:val="常规"/>
          <w:gallery w:val="placeholder"/>
        </w:category>
        <w:types>
          <w:type w:val="bbPlcHdr"/>
        </w:types>
        <w:behaviors>
          <w:behavior w:val="content"/>
        </w:behaviors>
        <w:description w:val=""/>
        <w:guid w:val="{6d61fc86-b7e9-4a80-b126-827b56a4165a}"/>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四川省财政厅</Company>
  <Pages>26</Pages>
  <Words>1441</Words>
  <Characters>0</Characters>
  <Lines>68</Lines>
  <Paragraphs>19</Paragraphs>
  <TotalTime>4</TotalTime>
  <ScaleCrop>false</ScaleCrop>
  <LinksUpToDate>false</LinksUpToDate>
  <CharactersWithSpaces>0</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2019-09-03T17:36:00Z</dcterms:created>
  <dc:creator>sbj</dc:creator>
  <cp:lastModifiedBy>ruijie</cp:lastModifiedBy>
  <dcterms:modified xsi:type="dcterms:W3CDTF">2025-04-11T14:51:50Z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E0FD34E850CB673606BCF867A3F9B191</vt:lpwstr>
  </property>
</Properties>
</file>