
<file path=[Content_Types].xml><?xml version="1.0" encoding="utf-8"?>
<Types xmlns="http://schemas.openxmlformats.org/package/2006/content-types">
  <Default Extension="xlsx" ContentType="application/vnd.openxmlformats-officedocument.spreadsheetml.shee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简体" w:hAnsi="宋体" w:eastAsia="方正小标宋简体"/>
          <w:sz w:val="72"/>
          <w:szCs w:val="72"/>
        </w:rPr>
      </w:pPr>
      <w:bookmarkStart w:id="81" w:name="_GoBack"/>
      <w:bookmarkEnd w:id="81"/>
      <w:bookmarkStart w:id="0" w:name="_Toc15378441"/>
      <w:bookmarkStart w:id="1" w:name="_Toc15396475"/>
      <w:bookmarkStart w:id="2" w:name="_Toc15377193"/>
      <w:bookmarkStart w:id="3" w:name="_Toc15377425"/>
      <w:bookmarkStart w:id="4" w:name="_Toc15396597"/>
      <w:bookmarkStart w:id="5" w:name="_Toc15306267"/>
    </w:p>
    <w:p>
      <w:pPr>
        <w:pStyle w:val="8"/>
        <w:spacing w:before="93"/>
      </w:pPr>
    </w:p>
    <w:p>
      <w:pPr>
        <w:spacing w:line="600" w:lineRule="exact"/>
        <w:jc w:val="center"/>
        <w:rPr>
          <w:rFonts w:hint="eastAsia" w:ascii="方正小标宋简体" w:hAnsi="宋体" w:eastAsia="方正小标宋简体"/>
          <w:sz w:val="72"/>
          <w:szCs w:val="72"/>
        </w:rPr>
      </w:pPr>
    </w:p>
    <w:p>
      <w:pPr>
        <w:spacing w:line="600" w:lineRule="exact"/>
        <w:jc w:val="center"/>
        <w:rPr>
          <w:rFonts w:hint="eastAsia" w:ascii="方正小标宋简体" w:hAnsi="宋体" w:eastAsia="方正小标宋简体"/>
          <w:sz w:val="72"/>
          <w:szCs w:val="72"/>
        </w:rPr>
      </w:pPr>
    </w:p>
    <w:p>
      <w:pPr>
        <w:adjustRightInd w:val="0"/>
        <w:snapToGrid w:val="0"/>
        <w:spacing w:line="360" w:lineRule="auto"/>
        <w:jc w:val="center"/>
        <w:outlineLvl w:val="0"/>
        <w:rPr>
          <w:rFonts w:hint="eastAsia" w:ascii="方正小标宋简体" w:hAnsi="方正小标宋简体" w:eastAsia="方正小标宋简体" w:cs="方正小标宋简体"/>
          <w:sz w:val="44"/>
          <w:szCs w:val="44"/>
        </w:rPr>
      </w:pPr>
      <w:bookmarkStart w:id="6" w:name="_Toc3375"/>
      <w:r>
        <w:rPr>
          <w:rFonts w:hint="eastAsia" w:ascii="方正小标宋简体" w:hAnsi="方正小标宋简体" w:eastAsia="方正小标宋简体" w:cs="方正小标宋简体"/>
          <w:sz w:val="44"/>
          <w:szCs w:val="44"/>
        </w:rPr>
        <w:t>2023年度</w:t>
      </w:r>
      <w:bookmarkEnd w:id="0"/>
      <w:bookmarkEnd w:id="1"/>
      <w:bookmarkEnd w:id="2"/>
      <w:bookmarkEnd w:id="3"/>
      <w:bookmarkEnd w:id="4"/>
      <w:bookmarkEnd w:id="6"/>
    </w:p>
    <w:bookmarkEnd w:id="5"/>
    <w:p>
      <w:pPr>
        <w:adjustRightInd w:val="0"/>
        <w:snapToGrid w:val="0"/>
        <w:spacing w:line="360" w:lineRule="auto"/>
        <w:jc w:val="center"/>
        <w:outlineLvl w:val="0"/>
        <w:rPr>
          <w:rFonts w:hint="eastAsia" w:ascii="方正小标宋简体" w:hAnsi="方正小标宋简体" w:eastAsia="方正小标宋简体" w:cs="方正小标宋简体"/>
          <w:sz w:val="44"/>
          <w:szCs w:val="44"/>
        </w:rPr>
      </w:pPr>
      <w:bookmarkStart w:id="7" w:name="_Toc26620"/>
      <w:bookmarkStart w:id="8" w:name="_Toc15378442"/>
      <w:bookmarkStart w:id="9" w:name="_Toc15306268"/>
      <w:bookmarkStart w:id="10" w:name="_Toc15377426"/>
      <w:bookmarkStart w:id="11" w:name="_Toc15377194"/>
      <w:bookmarkStart w:id="12" w:name="_Toc15396598"/>
      <w:bookmarkStart w:id="13" w:name="_Toc15396476"/>
      <w:r>
        <w:rPr>
          <w:rFonts w:hint="eastAsia" w:ascii="方正小标宋简体" w:hAnsi="方正小标宋简体" w:eastAsia="方正小标宋简体" w:cs="方正小标宋简体"/>
          <w:sz w:val="44"/>
          <w:szCs w:val="44"/>
        </w:rPr>
        <w:t>红原县委员会党校</w:t>
      </w:r>
      <w:bookmarkEnd w:id="7"/>
    </w:p>
    <w:p>
      <w:pPr>
        <w:adjustRightInd w:val="0"/>
        <w:snapToGrid w:val="0"/>
        <w:spacing w:line="360" w:lineRule="auto"/>
        <w:jc w:val="center"/>
        <w:outlineLvl w:val="0"/>
        <w:rPr>
          <w:rFonts w:hint="eastAsia" w:ascii="方正小标宋简体" w:hAnsi="方正小标宋简体" w:eastAsia="方正小标宋简体" w:cs="方正小标宋简体"/>
          <w:sz w:val="72"/>
          <w:szCs w:val="72"/>
        </w:rPr>
      </w:pPr>
      <w:bookmarkStart w:id="14" w:name="_Toc13907"/>
      <w:r>
        <w:rPr>
          <w:rFonts w:hint="eastAsia" w:ascii="方正小标宋简体" w:hAnsi="方正小标宋简体" w:eastAsia="方正小标宋简体" w:cs="方正小标宋简体"/>
          <w:sz w:val="44"/>
          <w:szCs w:val="44"/>
        </w:rPr>
        <w:t>部门决算</w:t>
      </w:r>
      <w:bookmarkEnd w:id="8"/>
      <w:bookmarkEnd w:id="9"/>
      <w:bookmarkEnd w:id="10"/>
      <w:bookmarkEnd w:id="11"/>
      <w:bookmarkEnd w:id="12"/>
      <w:bookmarkEnd w:id="13"/>
      <w:r>
        <w:rPr>
          <w:rFonts w:hint="eastAsia" w:ascii="方正小标宋简体" w:hAnsi="方正小标宋简体" w:eastAsia="方正小标宋简体" w:cs="方正小标宋简体"/>
          <w:sz w:val="44"/>
          <w:szCs w:val="44"/>
        </w:rPr>
        <w:t>公开编制说明</w:t>
      </w:r>
      <w:bookmarkEnd w:id="14"/>
    </w:p>
    <w:p>
      <w:pPr>
        <w:adjustRightInd w:val="0"/>
        <w:snapToGrid w:val="0"/>
        <w:spacing w:line="360" w:lineRule="auto"/>
        <w:jc w:val="center"/>
        <w:rPr>
          <w:rFonts w:hint="eastAsia" w:ascii="方正小标宋简体" w:hAnsi="宋体" w:eastAsia="方正小标宋简体"/>
          <w:sz w:val="52"/>
          <w:szCs w:val="52"/>
        </w:rPr>
      </w:pPr>
    </w:p>
    <w:p>
      <w:pPr>
        <w:widowControl/>
        <w:jc w:val="center"/>
        <w:rPr>
          <w:rFonts w:hint="eastAsia" w:ascii="方正小标宋简体" w:hAnsi="宋体" w:eastAsia="方正小标宋简体"/>
          <w:sz w:val="36"/>
          <w:szCs w:val="36"/>
        </w:rPr>
      </w:pPr>
    </w:p>
    <w:p>
      <w:pPr>
        <w:widowControl/>
        <w:jc w:val="center"/>
        <w:rPr>
          <w:rFonts w:hint="eastAsia" w:ascii="方正小标宋简体" w:hAnsi="宋体" w:eastAsia="方正小标宋简体"/>
          <w:sz w:val="36"/>
          <w:szCs w:val="36"/>
        </w:rPr>
      </w:pPr>
    </w:p>
    <w:p>
      <w:pPr>
        <w:widowControl/>
        <w:jc w:val="center"/>
        <w:rPr>
          <w:rFonts w:hint="eastAsia" w:ascii="方正小标宋简体" w:hAnsi="宋体" w:eastAsia="方正小标宋简体"/>
          <w:sz w:val="36"/>
          <w:szCs w:val="36"/>
        </w:rPr>
      </w:pPr>
    </w:p>
    <w:p>
      <w:pPr>
        <w:widowControl/>
        <w:jc w:val="center"/>
        <w:rPr>
          <w:rFonts w:hint="eastAsia" w:ascii="方正小标宋简体" w:hAnsi="宋体" w:eastAsia="方正小标宋简体"/>
          <w:sz w:val="36"/>
          <w:szCs w:val="36"/>
        </w:rPr>
      </w:pPr>
    </w:p>
    <w:p>
      <w:pPr>
        <w:widowControl/>
        <w:jc w:val="center"/>
        <w:rPr>
          <w:rFonts w:hint="eastAsia" w:ascii="方正小标宋简体" w:hAnsi="宋体" w:eastAsia="方正小标宋简体"/>
          <w:sz w:val="36"/>
          <w:szCs w:val="36"/>
        </w:rPr>
      </w:pPr>
    </w:p>
    <w:p>
      <w:pPr>
        <w:widowControl/>
        <w:jc w:val="center"/>
        <w:rPr>
          <w:rFonts w:hint="eastAsia" w:ascii="方正小标宋简体" w:hAnsi="宋体" w:eastAsia="方正小标宋简体"/>
          <w:sz w:val="36"/>
          <w:szCs w:val="36"/>
        </w:rPr>
      </w:pPr>
    </w:p>
    <w:p>
      <w:pPr>
        <w:widowControl/>
        <w:jc w:val="center"/>
        <w:rPr>
          <w:rFonts w:hint="eastAsia" w:ascii="方正小标宋简体" w:hAnsi="宋体" w:eastAsia="方正小标宋简体"/>
          <w:sz w:val="36"/>
          <w:szCs w:val="36"/>
        </w:rPr>
      </w:pPr>
    </w:p>
    <w:p>
      <w:pPr>
        <w:widowControl/>
        <w:jc w:val="center"/>
        <w:rPr>
          <w:rFonts w:hint="eastAsia" w:ascii="方正小标宋简体" w:hAnsi="宋体" w:eastAsia="方正小标宋简体"/>
          <w:sz w:val="36"/>
          <w:szCs w:val="36"/>
        </w:rPr>
      </w:pPr>
    </w:p>
    <w:p>
      <w:pPr>
        <w:widowControl/>
        <w:jc w:val="center"/>
        <w:rPr>
          <w:rFonts w:hint="eastAsia" w:ascii="方正小标宋简体" w:hAnsi="宋体" w:eastAsia="方正小标宋简体"/>
          <w:sz w:val="36"/>
          <w:szCs w:val="36"/>
        </w:rPr>
      </w:pPr>
    </w:p>
    <w:p>
      <w:pPr>
        <w:widowControl/>
        <w:jc w:val="center"/>
        <w:rPr>
          <w:rFonts w:hint="eastAsia" w:ascii="方正小标宋简体" w:hAnsi="宋体" w:eastAsia="方正小标宋简体"/>
          <w:sz w:val="36"/>
          <w:szCs w:val="36"/>
        </w:rPr>
      </w:pPr>
    </w:p>
    <w:p>
      <w:pPr>
        <w:pStyle w:val="16"/>
        <w:widowControl/>
        <w:ind w:right="75"/>
      </w:pPr>
      <w:r>
        <w:rPr>
          <w:shd w:val="clear" w:color="auto" w:fill="FFFFFF"/>
        </w:rPr>
        <w:t>保密审查情况：已审查，内容审定</w:t>
      </w:r>
    </w:p>
    <w:p>
      <w:pPr>
        <w:pStyle w:val="16"/>
        <w:widowControl/>
        <w:ind w:right="75"/>
      </w:pPr>
      <w:r>
        <w:rPr>
          <w:shd w:val="clear" w:color="auto" w:fill="FFFFFF"/>
        </w:rPr>
        <w:t>部门主要负责人审签情况：已审签，同意对外公开</w:t>
      </w:r>
    </w:p>
    <w:p>
      <w:pPr>
        <w:widowControl/>
        <w:jc w:val="center"/>
        <w:rPr>
          <w:rFonts w:hint="eastAsia" w:ascii="黑体" w:hAnsi="黑体" w:eastAsia="黑体" w:cstheme="minorBidi"/>
          <w:sz w:val="28"/>
          <w:szCs w:val="28"/>
        </w:rPr>
      </w:pPr>
      <w:r>
        <w:rPr>
          <w:rFonts w:ascii="方正小标宋简体" w:hAnsi="宋体" w:eastAsia="方正小标宋简体"/>
          <w:sz w:val="36"/>
          <w:szCs w:val="36"/>
        </w:rPr>
        <w:br w:type="page"/>
      </w:r>
      <w:r>
        <w:rPr>
          <w:rFonts w:hint="eastAsia" w:ascii="黑体" w:hAnsi="黑体" w:eastAsia="黑体"/>
          <w:sz w:val="48"/>
          <w:szCs w:val="48"/>
        </w:rPr>
        <w:t>目录</w:t>
      </w:r>
    </w:p>
    <w:p>
      <w:pPr>
        <w:pStyle w:val="14"/>
        <w:rPr>
          <w:rFonts w:hint="eastAsia"/>
        </w:rPr>
      </w:pPr>
      <w:r>
        <w:rPr>
          <w:rFonts w:hint="eastAsia"/>
        </w:rPr>
        <w:t>公开时间：2024年11月16日</w:t>
      </w:r>
    </w:p>
    <w:p/>
    <w:sdt>
      <w:sdtPr>
        <w:rPr>
          <w:rFonts w:ascii="宋体" w:hAnsi="宋体"/>
        </w:rPr>
        <w:id w:val="147482674"/>
        <w15:color w:val="DBDBDB"/>
        <w:docPartObj>
          <w:docPartGallery w:val="Table of Contents"/>
          <w:docPartUnique/>
        </w:docPartObj>
      </w:sdtPr>
      <w:sdtEndPr>
        <w:rPr>
          <w:rFonts w:ascii="宋体" w:hAnsi="宋体"/>
        </w:rPr>
      </w:sdtEndPr>
      <w:sdtContent>
        <w:p>
          <w:pPr>
            <w:jc w:val="center"/>
          </w:pPr>
          <w:bookmarkStart w:id="15" w:name="_Toc15396599"/>
          <w:bookmarkStart w:id="16" w:name="_Toc15377196"/>
        </w:p>
        <w:p>
          <w:pPr>
            <w:pStyle w:val="37"/>
            <w:tabs>
              <w:tab w:val="right" w:leader="dot" w:pos="8306"/>
            </w:tabs>
          </w:pPr>
          <w:r>
            <w:fldChar w:fldCharType="begin"/>
          </w:r>
          <w:r>
            <w:instrText xml:space="preserve">TOC \o "1-3" \h \u </w:instrText>
          </w:r>
          <w:r>
            <w:fldChar w:fldCharType="separate"/>
          </w:r>
          <w:r>
            <w:fldChar w:fldCharType="begin"/>
          </w:r>
          <w:r>
            <w:instrText xml:space="preserve"> HYPERLINK \l "_Toc3375" </w:instrText>
          </w:r>
          <w:r>
            <w:fldChar w:fldCharType="separate"/>
          </w:r>
          <w:r>
            <w:rPr>
              <w:rFonts w:hint="eastAsia" w:ascii="方正小标宋简体" w:hAnsi="方正小标宋简体" w:eastAsia="方正小标宋简体" w:cs="方正小标宋简体"/>
              <w:szCs w:val="44"/>
            </w:rPr>
            <w:t>2023年度</w:t>
          </w:r>
          <w:r>
            <w:tab/>
          </w:r>
          <w:r>
            <w:fldChar w:fldCharType="begin"/>
          </w:r>
          <w:r>
            <w:instrText xml:space="preserve"> PAGEREF _Toc3375 \h </w:instrText>
          </w:r>
          <w:r>
            <w:fldChar w:fldCharType="separate"/>
          </w:r>
          <w:r>
            <w:t>1</w:t>
          </w:r>
          <w:r>
            <w:fldChar w:fldCharType="end"/>
          </w:r>
          <w:r>
            <w:fldChar w:fldCharType="end"/>
          </w:r>
        </w:p>
        <w:p>
          <w:pPr>
            <w:pStyle w:val="37"/>
            <w:tabs>
              <w:tab w:val="right" w:leader="dot" w:pos="8306"/>
            </w:tabs>
          </w:pPr>
          <w:r>
            <w:fldChar w:fldCharType="begin"/>
          </w:r>
          <w:r>
            <w:instrText xml:space="preserve"> HYPERLINK \l "_Toc26620" </w:instrText>
          </w:r>
          <w:r>
            <w:fldChar w:fldCharType="separate"/>
          </w:r>
          <w:r>
            <w:rPr>
              <w:rFonts w:hint="eastAsia" w:ascii="方正小标宋简体" w:hAnsi="方正小标宋简体" w:eastAsia="方正小标宋简体" w:cs="方正小标宋简体"/>
              <w:szCs w:val="44"/>
            </w:rPr>
            <w:t>红原县委员会党校</w:t>
          </w:r>
          <w:r>
            <w:tab/>
          </w:r>
          <w:r>
            <w:fldChar w:fldCharType="begin"/>
          </w:r>
          <w:r>
            <w:instrText xml:space="preserve"> PAGEREF _Toc26620 \h </w:instrText>
          </w:r>
          <w:r>
            <w:fldChar w:fldCharType="separate"/>
          </w:r>
          <w:r>
            <w:t>1</w:t>
          </w:r>
          <w:r>
            <w:fldChar w:fldCharType="end"/>
          </w:r>
          <w:r>
            <w:fldChar w:fldCharType="end"/>
          </w:r>
        </w:p>
        <w:p>
          <w:pPr>
            <w:pStyle w:val="37"/>
            <w:tabs>
              <w:tab w:val="right" w:leader="dot" w:pos="8306"/>
            </w:tabs>
          </w:pPr>
          <w:r>
            <w:fldChar w:fldCharType="begin"/>
          </w:r>
          <w:r>
            <w:instrText xml:space="preserve"> HYPERLINK \l "_Toc13907" </w:instrText>
          </w:r>
          <w:r>
            <w:fldChar w:fldCharType="separate"/>
          </w:r>
          <w:r>
            <w:rPr>
              <w:rFonts w:hint="eastAsia" w:ascii="方正小标宋简体" w:hAnsi="方正小标宋简体" w:eastAsia="方正小标宋简体" w:cs="方正小标宋简体"/>
              <w:szCs w:val="44"/>
            </w:rPr>
            <w:t>部门决算公开编制说明</w:t>
          </w:r>
          <w:r>
            <w:tab/>
          </w:r>
          <w:r>
            <w:fldChar w:fldCharType="begin"/>
          </w:r>
          <w:r>
            <w:instrText xml:space="preserve"> PAGEREF _Toc13907 \h </w:instrText>
          </w:r>
          <w:r>
            <w:fldChar w:fldCharType="separate"/>
          </w:r>
          <w:r>
            <w:t>1</w:t>
          </w:r>
          <w:r>
            <w:fldChar w:fldCharType="end"/>
          </w:r>
          <w:r>
            <w:fldChar w:fldCharType="end"/>
          </w:r>
        </w:p>
        <w:p>
          <w:pPr>
            <w:pStyle w:val="37"/>
            <w:tabs>
              <w:tab w:val="right" w:leader="dot" w:pos="8306"/>
            </w:tabs>
          </w:pPr>
          <w:r>
            <w:fldChar w:fldCharType="begin"/>
          </w:r>
          <w:r>
            <w:instrText xml:space="preserve"> HYPERLINK \l "_Toc8649" </w:instrText>
          </w:r>
          <w:r>
            <w:fldChar w:fldCharType="separate"/>
          </w:r>
          <w:r>
            <w:rPr>
              <w:rFonts w:hint="eastAsia" w:ascii="黑体" w:hAnsi="黑体" w:eastAsia="黑体"/>
            </w:rPr>
            <w:t>第一部分 部门概况</w:t>
          </w:r>
          <w:r>
            <w:tab/>
          </w:r>
          <w:r>
            <w:fldChar w:fldCharType="begin"/>
          </w:r>
          <w:r>
            <w:instrText xml:space="preserve"> PAGEREF _Toc8649 \h </w:instrText>
          </w:r>
          <w:r>
            <w:fldChar w:fldCharType="separate"/>
          </w:r>
          <w:r>
            <w:t>3</w:t>
          </w:r>
          <w:r>
            <w:fldChar w:fldCharType="end"/>
          </w:r>
          <w:r>
            <w:fldChar w:fldCharType="end"/>
          </w:r>
        </w:p>
        <w:p>
          <w:pPr>
            <w:pStyle w:val="38"/>
            <w:tabs>
              <w:tab w:val="right" w:leader="dot" w:pos="8306"/>
            </w:tabs>
            <w:ind w:left="420"/>
          </w:pPr>
          <w:r>
            <w:fldChar w:fldCharType="begin"/>
          </w:r>
          <w:r>
            <w:instrText xml:space="preserve"> HYPERLINK \l "_Toc17387" </w:instrText>
          </w:r>
          <w:r>
            <w:fldChar w:fldCharType="separate"/>
          </w:r>
          <w:r>
            <w:rPr>
              <w:rFonts w:hint="eastAsia" w:ascii="黑体" w:hAnsi="黑体" w:eastAsia="黑体"/>
            </w:rPr>
            <w:t>一、 部门职责</w:t>
          </w:r>
          <w:r>
            <w:tab/>
          </w:r>
          <w:r>
            <w:fldChar w:fldCharType="begin"/>
          </w:r>
          <w:r>
            <w:instrText xml:space="preserve"> PAGEREF _Toc17387 \h </w:instrText>
          </w:r>
          <w:r>
            <w:fldChar w:fldCharType="separate"/>
          </w:r>
          <w:r>
            <w:t>3</w:t>
          </w:r>
          <w:r>
            <w:fldChar w:fldCharType="end"/>
          </w:r>
          <w:r>
            <w:fldChar w:fldCharType="end"/>
          </w:r>
        </w:p>
        <w:p>
          <w:pPr>
            <w:pStyle w:val="38"/>
            <w:tabs>
              <w:tab w:val="right" w:leader="dot" w:pos="8306"/>
            </w:tabs>
            <w:ind w:left="420"/>
          </w:pPr>
          <w:r>
            <w:fldChar w:fldCharType="begin"/>
          </w:r>
          <w:r>
            <w:instrText xml:space="preserve"> HYPERLINK \l "_Toc14374" </w:instrText>
          </w:r>
          <w:r>
            <w:fldChar w:fldCharType="separate"/>
          </w:r>
          <w:r>
            <w:rPr>
              <w:rFonts w:hint="eastAsia" w:ascii="黑体" w:eastAsia="黑体"/>
            </w:rPr>
            <w:t>二、</w:t>
          </w:r>
          <w:r>
            <w:rPr>
              <w:rFonts w:hint="eastAsia" w:ascii="黑体" w:hAnsi="黑体" w:eastAsia="黑体"/>
            </w:rPr>
            <w:t>机构设置</w:t>
          </w:r>
          <w:r>
            <w:tab/>
          </w:r>
          <w:r>
            <w:fldChar w:fldCharType="begin"/>
          </w:r>
          <w:r>
            <w:instrText xml:space="preserve"> PAGEREF _Toc14374 \h </w:instrText>
          </w:r>
          <w:r>
            <w:fldChar w:fldCharType="separate"/>
          </w:r>
          <w:r>
            <w:t>4</w:t>
          </w:r>
          <w:r>
            <w:fldChar w:fldCharType="end"/>
          </w:r>
          <w:r>
            <w:fldChar w:fldCharType="end"/>
          </w:r>
        </w:p>
        <w:p>
          <w:pPr>
            <w:pStyle w:val="37"/>
            <w:tabs>
              <w:tab w:val="right" w:leader="dot" w:pos="8306"/>
            </w:tabs>
          </w:pPr>
          <w:r>
            <w:fldChar w:fldCharType="begin"/>
          </w:r>
          <w:r>
            <w:instrText xml:space="preserve"> HYPERLINK \l "_Toc29436" </w:instrText>
          </w:r>
          <w:r>
            <w:fldChar w:fldCharType="separate"/>
          </w:r>
          <w:r>
            <w:rPr>
              <w:rFonts w:hint="eastAsia" w:ascii="黑体" w:hAnsi="黑体" w:eastAsia="黑体"/>
            </w:rPr>
            <w:t>第二部分 2023年度</w:t>
          </w:r>
          <w:r>
            <w:rPr>
              <w:rFonts w:hint="eastAsia" w:ascii="黑体" w:hAnsi="黑体" w:eastAsia="黑体"/>
              <w:bCs/>
            </w:rPr>
            <w:t>部门决算情况说明</w:t>
          </w:r>
          <w:r>
            <w:tab/>
          </w:r>
          <w:r>
            <w:fldChar w:fldCharType="begin"/>
          </w:r>
          <w:r>
            <w:instrText xml:space="preserve"> PAGEREF _Toc29436 \h </w:instrText>
          </w:r>
          <w:r>
            <w:fldChar w:fldCharType="separate"/>
          </w:r>
          <w:r>
            <w:t>5</w:t>
          </w:r>
          <w:r>
            <w:fldChar w:fldCharType="end"/>
          </w:r>
          <w:r>
            <w:fldChar w:fldCharType="end"/>
          </w:r>
        </w:p>
        <w:p>
          <w:pPr>
            <w:pStyle w:val="38"/>
            <w:tabs>
              <w:tab w:val="right" w:leader="dot" w:pos="8306"/>
            </w:tabs>
            <w:ind w:left="420"/>
          </w:pPr>
          <w:r>
            <w:fldChar w:fldCharType="begin"/>
          </w:r>
          <w:r>
            <w:instrText xml:space="preserve"> HYPERLINK \l "_Toc17815" </w:instrText>
          </w:r>
          <w:r>
            <w:fldChar w:fldCharType="separate"/>
          </w:r>
          <w:r>
            <w:rPr>
              <w:rFonts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_Toc17815 \h </w:instrText>
          </w:r>
          <w:r>
            <w:fldChar w:fldCharType="separate"/>
          </w:r>
          <w:r>
            <w:t>5</w:t>
          </w:r>
          <w:r>
            <w:fldChar w:fldCharType="end"/>
          </w:r>
          <w:r>
            <w:fldChar w:fldCharType="end"/>
          </w:r>
        </w:p>
        <w:p>
          <w:pPr>
            <w:pStyle w:val="38"/>
            <w:tabs>
              <w:tab w:val="right" w:leader="dot" w:pos="8306"/>
            </w:tabs>
            <w:ind w:left="420"/>
          </w:pPr>
          <w:r>
            <w:fldChar w:fldCharType="begin"/>
          </w:r>
          <w:r>
            <w:instrText xml:space="preserve"> HYPERLINK \l "_Toc10083" </w:instrText>
          </w:r>
          <w:r>
            <w:fldChar w:fldCharType="separate"/>
          </w:r>
          <w:r>
            <w:rPr>
              <w:rFonts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_Toc10083 \h </w:instrText>
          </w:r>
          <w:r>
            <w:fldChar w:fldCharType="separate"/>
          </w:r>
          <w:r>
            <w:t>5</w:t>
          </w:r>
          <w:r>
            <w:fldChar w:fldCharType="end"/>
          </w:r>
          <w:r>
            <w:fldChar w:fldCharType="end"/>
          </w:r>
        </w:p>
        <w:p>
          <w:pPr>
            <w:pStyle w:val="38"/>
            <w:tabs>
              <w:tab w:val="right" w:leader="dot" w:pos="8306"/>
            </w:tabs>
            <w:ind w:left="420"/>
          </w:pPr>
          <w:r>
            <w:fldChar w:fldCharType="begin"/>
          </w:r>
          <w:r>
            <w:instrText xml:space="preserve"> HYPERLINK \l "_Toc3163" </w:instrText>
          </w:r>
          <w:r>
            <w:fldChar w:fldCharType="separate"/>
          </w:r>
          <w:r>
            <w:rPr>
              <w:rFonts w:hint="eastAsia" w:ascii="仿宋" w:hAnsi="仿宋" w:eastAsia="仿宋"/>
              <w:szCs w:val="32"/>
            </w:rPr>
            <w:t>2023年度本年收入合计</w:t>
          </w:r>
          <w:r>
            <w:rPr>
              <w:szCs w:val="32"/>
            </w:rPr>
            <w:t>1645.77</w:t>
          </w:r>
          <w:r>
            <w:rPr>
              <w:rFonts w:hint="eastAsia" w:ascii="仿宋" w:hAnsi="仿宋" w:eastAsia="仿宋"/>
              <w:szCs w:val="32"/>
            </w:rPr>
            <w:t>万元，其中：一般公共预算财政拨款收入</w:t>
          </w:r>
          <w:r>
            <w:rPr>
              <w:szCs w:val="32"/>
            </w:rPr>
            <w:t>1622.09</w:t>
          </w:r>
          <w:r>
            <w:rPr>
              <w:rFonts w:hint="eastAsia" w:ascii="仿宋" w:hAnsi="仿宋" w:eastAsia="仿宋"/>
              <w:szCs w:val="32"/>
            </w:rPr>
            <w:t>万元，占</w:t>
          </w:r>
          <w:r>
            <w:rPr>
              <w:szCs w:val="32"/>
            </w:rPr>
            <w:t>98.56</w:t>
          </w:r>
          <w:r>
            <w:rPr>
              <w:rFonts w:ascii="仿宋" w:hAnsi="仿宋" w:eastAsia="仿宋"/>
              <w:szCs w:val="32"/>
            </w:rPr>
            <w:t>%</w:t>
          </w:r>
          <w:r>
            <w:rPr>
              <w:rFonts w:hint="eastAsia" w:ascii="仿宋" w:hAnsi="仿宋" w:eastAsia="仿宋"/>
              <w:szCs w:val="32"/>
            </w:rPr>
            <w:t>；政府性基金预算财政拨款收入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；国有资本经营预算财政拨款收入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；上级补助收入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；事业收入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；经营收入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；附属单位上缴收入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；其他收入</w:t>
          </w:r>
          <w:r>
            <w:rPr>
              <w:szCs w:val="32"/>
            </w:rPr>
            <w:t>23.68</w:t>
          </w:r>
          <w:r>
            <w:rPr>
              <w:rFonts w:hint="eastAsia" w:ascii="仿宋" w:hAnsi="仿宋" w:eastAsia="仿宋"/>
              <w:szCs w:val="32"/>
            </w:rPr>
            <w:t>万元，占</w:t>
          </w:r>
          <w:r>
            <w:rPr>
              <w:szCs w:val="32"/>
            </w:rPr>
            <w:t>1.43</w:t>
          </w:r>
          <w:r>
            <w:rPr>
              <w:rFonts w:ascii="仿宋" w:hAnsi="仿宋" w:eastAsia="仿宋"/>
              <w:szCs w:val="32"/>
            </w:rPr>
            <w:t>%</w:t>
          </w:r>
          <w:r>
            <w:rPr>
              <w:rFonts w:hint="eastAsia" w:ascii="仿宋" w:hAnsi="仿宋" w:eastAsia="仿宋"/>
              <w:szCs w:val="32"/>
            </w:rPr>
            <w:t>。</w:t>
          </w:r>
          <w:r>
            <w:tab/>
          </w:r>
          <w:r>
            <w:fldChar w:fldCharType="begin"/>
          </w:r>
          <w:r>
            <w:instrText xml:space="preserve"> PAGEREF _Toc3163 \h </w:instrText>
          </w:r>
          <w:r>
            <w:fldChar w:fldCharType="separate"/>
          </w:r>
          <w:r>
            <w:t>5</w:t>
          </w:r>
          <w:r>
            <w:fldChar w:fldCharType="end"/>
          </w:r>
          <w:r>
            <w:fldChar w:fldCharType="end"/>
          </w:r>
        </w:p>
        <w:p>
          <w:pPr>
            <w:pStyle w:val="38"/>
            <w:tabs>
              <w:tab w:val="right" w:leader="dot" w:pos="8306"/>
            </w:tabs>
            <w:ind w:left="420"/>
          </w:pPr>
          <w:r>
            <w:fldChar w:fldCharType="begin"/>
          </w:r>
          <w:r>
            <w:instrText xml:space="preserve"> HYPERLINK \l "_Toc14542" </w:instrText>
          </w:r>
          <w:r>
            <w:fldChar w:fldCharType="separate"/>
          </w:r>
          <w:r>
            <w:rPr>
              <w:rFonts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_Toc14542 \h </w:instrText>
          </w:r>
          <w:r>
            <w:fldChar w:fldCharType="separate"/>
          </w:r>
          <w:r>
            <w:t>6</w:t>
          </w:r>
          <w:r>
            <w:fldChar w:fldCharType="end"/>
          </w:r>
          <w:r>
            <w:fldChar w:fldCharType="end"/>
          </w:r>
        </w:p>
        <w:p>
          <w:pPr>
            <w:pStyle w:val="38"/>
            <w:tabs>
              <w:tab w:val="right" w:leader="dot" w:pos="8306"/>
            </w:tabs>
            <w:ind w:left="420"/>
          </w:pPr>
          <w:r>
            <w:fldChar w:fldCharType="begin"/>
          </w:r>
          <w:r>
            <w:instrText xml:space="preserve"> HYPERLINK \l "_Toc29200" </w:instrText>
          </w:r>
          <w:r>
            <w:fldChar w:fldCharType="separate"/>
          </w:r>
          <w:r>
            <w:rPr>
              <w:rFonts w:hint="eastAsia" w:ascii="仿宋" w:hAnsi="仿宋" w:eastAsia="仿宋"/>
              <w:szCs w:val="32"/>
            </w:rPr>
            <w:t>2023年度本年支出合计1622.09万元，其中：基本支出</w:t>
          </w:r>
          <w:r>
            <w:rPr>
              <w:szCs w:val="32"/>
            </w:rPr>
            <w:t>586.5</w:t>
          </w:r>
          <w:r>
            <w:rPr>
              <w:rFonts w:hint="eastAsia" w:ascii="仿宋" w:hAnsi="仿宋" w:eastAsia="仿宋"/>
              <w:szCs w:val="32"/>
            </w:rPr>
            <w:t>万元，占36.15</w:t>
          </w:r>
          <w:r>
            <w:rPr>
              <w:rFonts w:ascii="仿宋" w:hAnsi="仿宋" w:eastAsia="仿宋"/>
              <w:szCs w:val="32"/>
            </w:rPr>
            <w:t>%</w:t>
          </w:r>
          <w:r>
            <w:rPr>
              <w:rFonts w:hint="eastAsia" w:ascii="仿宋" w:hAnsi="仿宋" w:eastAsia="仿宋"/>
              <w:szCs w:val="32"/>
            </w:rPr>
            <w:t>；项目支出</w:t>
          </w:r>
          <w:r>
            <w:rPr>
              <w:szCs w:val="32"/>
            </w:rPr>
            <w:t>10</w:t>
          </w:r>
          <w:r>
            <w:rPr>
              <w:rFonts w:hint="eastAsia"/>
              <w:szCs w:val="32"/>
            </w:rPr>
            <w:t>35.59</w:t>
          </w:r>
          <w:r>
            <w:rPr>
              <w:rFonts w:hint="eastAsia" w:ascii="仿宋" w:hAnsi="仿宋" w:eastAsia="仿宋"/>
              <w:szCs w:val="32"/>
            </w:rPr>
            <w:t>万元，占63.85</w:t>
          </w:r>
          <w:r>
            <w:rPr>
              <w:rFonts w:ascii="仿宋" w:hAnsi="仿宋" w:eastAsia="仿宋"/>
              <w:szCs w:val="32"/>
            </w:rPr>
            <w:t>%</w:t>
          </w:r>
          <w:r>
            <w:rPr>
              <w:rFonts w:hint="eastAsia" w:ascii="仿宋" w:hAnsi="仿宋" w:eastAsia="仿宋"/>
              <w:szCs w:val="32"/>
            </w:rPr>
            <w:t>；上缴上级支出</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；经营支出</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；对附属单位补助支出</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w:t>
          </w:r>
          <w:r>
            <w:tab/>
          </w:r>
          <w:r>
            <w:fldChar w:fldCharType="begin"/>
          </w:r>
          <w:r>
            <w:instrText xml:space="preserve"> PAGEREF _Toc29200 \h </w:instrText>
          </w:r>
          <w:r>
            <w:fldChar w:fldCharType="separate"/>
          </w:r>
          <w:r>
            <w:t>6</w:t>
          </w:r>
          <w:r>
            <w:fldChar w:fldCharType="end"/>
          </w:r>
          <w:r>
            <w:fldChar w:fldCharType="end"/>
          </w:r>
        </w:p>
        <w:p>
          <w:pPr>
            <w:pStyle w:val="38"/>
            <w:tabs>
              <w:tab w:val="right" w:leader="dot" w:pos="8306"/>
            </w:tabs>
            <w:ind w:left="420"/>
          </w:pPr>
          <w:r>
            <w:fldChar w:fldCharType="begin"/>
          </w:r>
          <w:r>
            <w:instrText xml:space="preserve"> HYPERLINK \l "_Toc22635"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_Toc22635 \h </w:instrText>
          </w:r>
          <w:r>
            <w:fldChar w:fldCharType="separate"/>
          </w:r>
          <w:r>
            <w:t>7</w:t>
          </w:r>
          <w:r>
            <w:fldChar w:fldCharType="end"/>
          </w:r>
          <w:r>
            <w:fldChar w:fldCharType="end"/>
          </w:r>
        </w:p>
        <w:p>
          <w:pPr>
            <w:pStyle w:val="38"/>
            <w:tabs>
              <w:tab w:val="right" w:leader="dot" w:pos="8306"/>
            </w:tabs>
            <w:ind w:left="420"/>
          </w:pPr>
          <w:r>
            <w:fldChar w:fldCharType="begin"/>
          </w:r>
          <w:r>
            <w:instrText xml:space="preserve"> HYPERLINK \l "_Toc17706"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_Toc17706 \h </w:instrText>
          </w:r>
          <w:r>
            <w:fldChar w:fldCharType="separate"/>
          </w:r>
          <w:r>
            <w:t>8</w:t>
          </w:r>
          <w:r>
            <w:fldChar w:fldCharType="end"/>
          </w:r>
          <w:r>
            <w:fldChar w:fldCharType="end"/>
          </w:r>
        </w:p>
        <w:p>
          <w:pPr>
            <w:pStyle w:val="39"/>
            <w:tabs>
              <w:tab w:val="right" w:leader="dot" w:pos="8306"/>
            </w:tabs>
            <w:ind w:left="840"/>
          </w:pPr>
          <w:r>
            <w:fldChar w:fldCharType="begin"/>
          </w:r>
          <w:r>
            <w:instrText xml:space="preserve"> HYPERLINK \l "_Toc23787" </w:instrText>
          </w:r>
          <w:r>
            <w:fldChar w:fldCharType="separate"/>
          </w:r>
          <w:r>
            <w:rPr>
              <w:rFonts w:hint="eastAsia" w:ascii="仿宋" w:hAnsi="仿宋" w:eastAsia="仿宋"/>
              <w:szCs w:val="32"/>
            </w:rPr>
            <w:t>（一）一般公共预算财政拨款支出决算总体情况</w:t>
          </w:r>
          <w:r>
            <w:tab/>
          </w:r>
          <w:r>
            <w:fldChar w:fldCharType="begin"/>
          </w:r>
          <w:r>
            <w:instrText xml:space="preserve"> PAGEREF _Toc23787 \h </w:instrText>
          </w:r>
          <w:r>
            <w:fldChar w:fldCharType="separate"/>
          </w:r>
          <w:r>
            <w:t>8</w:t>
          </w:r>
          <w:r>
            <w:fldChar w:fldCharType="end"/>
          </w:r>
          <w:r>
            <w:fldChar w:fldCharType="end"/>
          </w:r>
        </w:p>
        <w:p>
          <w:pPr>
            <w:pStyle w:val="39"/>
            <w:tabs>
              <w:tab w:val="right" w:leader="dot" w:pos="8306"/>
            </w:tabs>
            <w:ind w:left="840"/>
          </w:pPr>
          <w:r>
            <w:fldChar w:fldCharType="begin"/>
          </w:r>
          <w:r>
            <w:instrText xml:space="preserve"> HYPERLINK \l "_Toc862" </w:instrText>
          </w:r>
          <w:r>
            <w:fldChar w:fldCharType="separate"/>
          </w:r>
          <w:r>
            <w:rPr>
              <w:rFonts w:hint="eastAsia" w:ascii="仿宋" w:hAnsi="仿宋" w:eastAsia="仿宋"/>
              <w:szCs w:val="32"/>
            </w:rPr>
            <w:t>（二）一般公共预算财政拨款支出决算结构情况</w:t>
          </w:r>
          <w:r>
            <w:tab/>
          </w:r>
          <w:r>
            <w:fldChar w:fldCharType="begin"/>
          </w:r>
          <w:r>
            <w:instrText xml:space="preserve"> PAGEREF _Toc862 \h </w:instrText>
          </w:r>
          <w:r>
            <w:fldChar w:fldCharType="separate"/>
          </w:r>
          <w:r>
            <w:t>9</w:t>
          </w:r>
          <w:r>
            <w:fldChar w:fldCharType="end"/>
          </w:r>
          <w:r>
            <w:fldChar w:fldCharType="end"/>
          </w:r>
        </w:p>
        <w:p>
          <w:pPr>
            <w:pStyle w:val="39"/>
            <w:tabs>
              <w:tab w:val="right" w:leader="dot" w:pos="8306"/>
            </w:tabs>
            <w:ind w:left="840"/>
          </w:pPr>
          <w:r>
            <w:fldChar w:fldCharType="begin"/>
          </w:r>
          <w:r>
            <w:instrText xml:space="preserve"> HYPERLINK \l "_Toc28627" </w:instrText>
          </w:r>
          <w:r>
            <w:fldChar w:fldCharType="separate"/>
          </w:r>
          <w:r>
            <w:rPr>
              <w:rFonts w:hint="eastAsia" w:ascii="仿宋" w:hAnsi="仿宋" w:eastAsia="仿宋"/>
              <w:szCs w:val="32"/>
            </w:rPr>
            <w:t>（三）一般公共预算财政拨款支出决算具体情况</w:t>
          </w:r>
          <w:r>
            <w:tab/>
          </w:r>
          <w:r>
            <w:fldChar w:fldCharType="begin"/>
          </w:r>
          <w:r>
            <w:instrText xml:space="preserve"> PAGEREF _Toc28627 \h </w:instrText>
          </w:r>
          <w:r>
            <w:fldChar w:fldCharType="separate"/>
          </w:r>
          <w:r>
            <w:t>10</w:t>
          </w:r>
          <w:r>
            <w:fldChar w:fldCharType="end"/>
          </w:r>
          <w:r>
            <w:fldChar w:fldCharType="end"/>
          </w:r>
        </w:p>
        <w:p>
          <w:pPr>
            <w:pStyle w:val="39"/>
            <w:tabs>
              <w:tab w:val="right" w:leader="dot" w:pos="8306"/>
            </w:tabs>
            <w:ind w:left="840"/>
          </w:pPr>
          <w:r>
            <w:fldChar w:fldCharType="begin"/>
          </w:r>
          <w:r>
            <w:instrText xml:space="preserve"> HYPERLINK \l "_Toc20535" </w:instrText>
          </w:r>
          <w:r>
            <w:fldChar w:fldCharType="separate"/>
          </w:r>
          <w:r>
            <w:rPr>
              <w:rFonts w:hint="eastAsia" w:ascii="仿宋" w:hAnsi="仿宋" w:eastAsia="仿宋"/>
              <w:szCs w:val="32"/>
            </w:rPr>
            <w:t>2023年度一般公共预算支出决算数为</w:t>
          </w:r>
          <w:r>
            <w:rPr>
              <w:szCs w:val="32"/>
            </w:rPr>
            <w:t>1622.09</w:t>
          </w:r>
          <w:r>
            <w:rPr>
              <w:rFonts w:hint="eastAsia" w:ascii="仿宋" w:hAnsi="仿宋" w:eastAsia="仿宋"/>
              <w:szCs w:val="32"/>
            </w:rPr>
            <w:t>，</w:t>
          </w:r>
          <w:r>
            <w:rPr>
              <w:rFonts w:hint="eastAsia" w:ascii="仿宋" w:hAnsi="仿宋" w:eastAsia="仿宋"/>
              <w:bCs/>
              <w:szCs w:val="32"/>
            </w:rPr>
            <w:t>完成预算100</w:t>
          </w:r>
          <w:r>
            <w:rPr>
              <w:rFonts w:ascii="仿宋" w:hAnsi="仿宋" w:eastAsia="仿宋"/>
              <w:bCs/>
              <w:szCs w:val="32"/>
            </w:rPr>
            <w:t>%</w:t>
          </w:r>
          <w:r>
            <w:rPr>
              <w:rFonts w:hint="eastAsia" w:ascii="仿宋" w:hAnsi="仿宋" w:eastAsia="仿宋"/>
              <w:bCs/>
              <w:szCs w:val="32"/>
            </w:rPr>
            <w:t>。其中：</w:t>
          </w:r>
          <w:r>
            <w:tab/>
          </w:r>
          <w:r>
            <w:fldChar w:fldCharType="begin"/>
          </w:r>
          <w:r>
            <w:instrText xml:space="preserve"> PAGEREF _Toc20535 \h </w:instrText>
          </w:r>
          <w:r>
            <w:fldChar w:fldCharType="separate"/>
          </w:r>
          <w:r>
            <w:t>10</w:t>
          </w:r>
          <w:r>
            <w:fldChar w:fldCharType="end"/>
          </w:r>
          <w:r>
            <w:fldChar w:fldCharType="end"/>
          </w:r>
        </w:p>
        <w:p>
          <w:pPr>
            <w:pStyle w:val="38"/>
            <w:tabs>
              <w:tab w:val="right" w:leader="dot" w:pos="8306"/>
            </w:tabs>
            <w:ind w:left="420"/>
          </w:pPr>
          <w:r>
            <w:fldChar w:fldCharType="begin"/>
          </w:r>
          <w:r>
            <w:instrText xml:space="preserve"> HYPERLINK \l "_Toc11830"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_Toc11830 \h </w:instrText>
          </w:r>
          <w:r>
            <w:fldChar w:fldCharType="separate"/>
          </w:r>
          <w:r>
            <w:t>11</w:t>
          </w:r>
          <w:r>
            <w:fldChar w:fldCharType="end"/>
          </w:r>
          <w:r>
            <w:fldChar w:fldCharType="end"/>
          </w:r>
        </w:p>
        <w:p>
          <w:pPr>
            <w:pStyle w:val="38"/>
            <w:tabs>
              <w:tab w:val="right" w:leader="dot" w:pos="8306"/>
            </w:tabs>
            <w:ind w:left="420"/>
          </w:pPr>
          <w:r>
            <w:fldChar w:fldCharType="begin"/>
          </w:r>
          <w:r>
            <w:instrText xml:space="preserve"> HYPERLINK \l "_Toc1380" </w:instrText>
          </w:r>
          <w:r>
            <w:fldChar w:fldCharType="separate"/>
          </w:r>
          <w:r>
            <w:rPr>
              <w:rFonts w:hint="eastAsia" w:ascii="黑体" w:eastAsia="黑体"/>
              <w:szCs w:val="32"/>
            </w:rPr>
            <w:t>七、</w:t>
          </w:r>
          <w:r>
            <w:rPr>
              <w:rFonts w:hint="eastAsia" w:ascii="黑体" w:hAnsi="黑体" w:eastAsia="黑体"/>
            </w:rPr>
            <w:t>财政拨款“三公”经费支出决算情况说明</w:t>
          </w:r>
          <w:r>
            <w:tab/>
          </w:r>
          <w:r>
            <w:fldChar w:fldCharType="begin"/>
          </w:r>
          <w:r>
            <w:instrText xml:space="preserve"> PAGEREF _Toc1380 \h </w:instrText>
          </w:r>
          <w:r>
            <w:fldChar w:fldCharType="separate"/>
          </w:r>
          <w:r>
            <w:t>12</w:t>
          </w:r>
          <w:r>
            <w:fldChar w:fldCharType="end"/>
          </w:r>
          <w:r>
            <w:fldChar w:fldCharType="end"/>
          </w:r>
        </w:p>
        <w:p>
          <w:pPr>
            <w:pStyle w:val="39"/>
            <w:tabs>
              <w:tab w:val="right" w:leader="dot" w:pos="8306"/>
            </w:tabs>
            <w:ind w:left="840"/>
          </w:pPr>
          <w:r>
            <w:fldChar w:fldCharType="begin"/>
          </w:r>
          <w:r>
            <w:instrText xml:space="preserve"> HYPERLINK \l "_Toc8262" </w:instrText>
          </w:r>
          <w:r>
            <w:fldChar w:fldCharType="separate"/>
          </w:r>
          <w:r>
            <w:rPr>
              <w:rFonts w:hint="eastAsia" w:ascii="仿宋" w:hAnsi="仿宋" w:eastAsia="仿宋"/>
              <w:szCs w:val="32"/>
            </w:rPr>
            <w:t>（一）“三公”经费财政拨款支出决算总体情况说明</w:t>
          </w:r>
          <w:r>
            <w:tab/>
          </w:r>
          <w:r>
            <w:fldChar w:fldCharType="begin"/>
          </w:r>
          <w:r>
            <w:instrText xml:space="preserve"> PAGEREF _Toc8262 \h </w:instrText>
          </w:r>
          <w:r>
            <w:fldChar w:fldCharType="separate"/>
          </w:r>
          <w:r>
            <w:t>12</w:t>
          </w:r>
          <w:r>
            <w:fldChar w:fldCharType="end"/>
          </w:r>
          <w:r>
            <w:fldChar w:fldCharType="end"/>
          </w:r>
        </w:p>
        <w:p>
          <w:pPr>
            <w:pStyle w:val="39"/>
            <w:tabs>
              <w:tab w:val="right" w:leader="dot" w:pos="8306"/>
            </w:tabs>
            <w:ind w:left="840"/>
          </w:pPr>
          <w:r>
            <w:fldChar w:fldCharType="begin"/>
          </w:r>
          <w:r>
            <w:instrText xml:space="preserve"> HYPERLINK \l "_Toc21134" </w:instrText>
          </w:r>
          <w:r>
            <w:fldChar w:fldCharType="separate"/>
          </w:r>
          <w:r>
            <w:rPr>
              <w:rFonts w:hint="eastAsia" w:ascii="仿宋" w:hAnsi="仿宋" w:eastAsia="仿宋"/>
              <w:szCs w:val="32"/>
            </w:rPr>
            <w:t>（二）“三公”经费财政拨款支出决算具体情况说明</w:t>
          </w:r>
          <w:r>
            <w:tab/>
          </w:r>
          <w:r>
            <w:fldChar w:fldCharType="begin"/>
          </w:r>
          <w:r>
            <w:instrText xml:space="preserve"> PAGEREF _Toc21134 \h </w:instrText>
          </w:r>
          <w:r>
            <w:fldChar w:fldCharType="separate"/>
          </w:r>
          <w:r>
            <w:t>12</w:t>
          </w:r>
          <w:r>
            <w:fldChar w:fldCharType="end"/>
          </w:r>
          <w:r>
            <w:fldChar w:fldCharType="end"/>
          </w:r>
        </w:p>
        <w:p>
          <w:pPr>
            <w:pStyle w:val="38"/>
            <w:tabs>
              <w:tab w:val="right" w:leader="dot" w:pos="8306"/>
            </w:tabs>
            <w:ind w:left="420"/>
          </w:pPr>
          <w:r>
            <w:fldChar w:fldCharType="begin"/>
          </w:r>
          <w:r>
            <w:instrText xml:space="preserve"> HYPERLINK \l "_Toc18014"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_Toc18014 \h </w:instrText>
          </w:r>
          <w:r>
            <w:fldChar w:fldCharType="separate"/>
          </w:r>
          <w:r>
            <w:t>14</w:t>
          </w:r>
          <w:r>
            <w:fldChar w:fldCharType="end"/>
          </w:r>
          <w:r>
            <w:fldChar w:fldCharType="end"/>
          </w:r>
        </w:p>
        <w:p>
          <w:pPr>
            <w:pStyle w:val="38"/>
            <w:tabs>
              <w:tab w:val="right" w:leader="dot" w:pos="8306"/>
            </w:tabs>
            <w:ind w:left="420"/>
          </w:pPr>
          <w:r>
            <w:fldChar w:fldCharType="begin"/>
          </w:r>
          <w:r>
            <w:instrText xml:space="preserve"> HYPERLINK \l "_Toc20652" </w:instrText>
          </w:r>
          <w:r>
            <w:fldChar w:fldCharType="separate"/>
          </w:r>
          <w:r>
            <w:rPr>
              <w:rFonts w:hint="eastAsia" w:ascii="黑体" w:hAnsi="黑体" w:eastAsia="黑体"/>
            </w:rPr>
            <w:t>九、 国有资本经营预算支出决算情况说明</w:t>
          </w:r>
          <w:r>
            <w:tab/>
          </w:r>
          <w:r>
            <w:fldChar w:fldCharType="begin"/>
          </w:r>
          <w:r>
            <w:instrText xml:space="preserve"> PAGEREF _Toc20652 \h </w:instrText>
          </w:r>
          <w:r>
            <w:fldChar w:fldCharType="separate"/>
          </w:r>
          <w:r>
            <w:t>14</w:t>
          </w:r>
          <w:r>
            <w:fldChar w:fldCharType="end"/>
          </w:r>
          <w:r>
            <w:fldChar w:fldCharType="end"/>
          </w:r>
        </w:p>
        <w:p>
          <w:pPr>
            <w:pStyle w:val="38"/>
            <w:tabs>
              <w:tab w:val="right" w:leader="dot" w:pos="8306"/>
            </w:tabs>
            <w:ind w:left="420"/>
          </w:pPr>
          <w:r>
            <w:fldChar w:fldCharType="begin"/>
          </w:r>
          <w:r>
            <w:instrText xml:space="preserve"> HYPERLINK \l "_Toc12147" </w:instrText>
          </w:r>
          <w:r>
            <w:fldChar w:fldCharType="separate"/>
          </w:r>
          <w:r>
            <w:rPr>
              <w:rFonts w:hint="eastAsia" w:ascii="黑体" w:hAnsi="黑体" w:eastAsia="黑体"/>
            </w:rPr>
            <w:t>十、 其他重要事项的情况说明</w:t>
          </w:r>
          <w:r>
            <w:tab/>
          </w:r>
          <w:r>
            <w:fldChar w:fldCharType="begin"/>
          </w:r>
          <w:r>
            <w:instrText xml:space="preserve"> PAGEREF _Toc12147 \h </w:instrText>
          </w:r>
          <w:r>
            <w:fldChar w:fldCharType="separate"/>
          </w:r>
          <w:r>
            <w:t>14</w:t>
          </w:r>
          <w:r>
            <w:fldChar w:fldCharType="end"/>
          </w:r>
          <w:r>
            <w:fldChar w:fldCharType="end"/>
          </w:r>
        </w:p>
        <w:p>
          <w:pPr>
            <w:pStyle w:val="39"/>
            <w:tabs>
              <w:tab w:val="right" w:leader="dot" w:pos="8306"/>
            </w:tabs>
            <w:ind w:left="840"/>
          </w:pPr>
          <w:r>
            <w:fldChar w:fldCharType="begin"/>
          </w:r>
          <w:r>
            <w:instrText xml:space="preserve"> HYPERLINK \l "_Toc19766" </w:instrText>
          </w:r>
          <w:r>
            <w:fldChar w:fldCharType="separate"/>
          </w:r>
          <w:r>
            <w:rPr>
              <w:rFonts w:hint="eastAsia" w:ascii="仿宋" w:hAnsi="仿宋" w:eastAsia="仿宋"/>
              <w:szCs w:val="32"/>
            </w:rPr>
            <w:t>（一）机关运行经费支出情况</w:t>
          </w:r>
          <w:r>
            <w:tab/>
          </w:r>
          <w:r>
            <w:fldChar w:fldCharType="begin"/>
          </w:r>
          <w:r>
            <w:instrText xml:space="preserve"> PAGEREF _Toc19766 \h </w:instrText>
          </w:r>
          <w:r>
            <w:fldChar w:fldCharType="separate"/>
          </w:r>
          <w:r>
            <w:t>14</w:t>
          </w:r>
          <w:r>
            <w:fldChar w:fldCharType="end"/>
          </w:r>
          <w:r>
            <w:fldChar w:fldCharType="end"/>
          </w:r>
        </w:p>
        <w:p>
          <w:pPr>
            <w:pStyle w:val="39"/>
            <w:tabs>
              <w:tab w:val="right" w:leader="dot" w:pos="8306"/>
            </w:tabs>
            <w:ind w:left="840"/>
          </w:pPr>
          <w:r>
            <w:fldChar w:fldCharType="begin"/>
          </w:r>
          <w:r>
            <w:instrText xml:space="preserve"> HYPERLINK \l "_Toc27672" </w:instrText>
          </w:r>
          <w:r>
            <w:fldChar w:fldCharType="separate"/>
          </w:r>
          <w:r>
            <w:rPr>
              <w:rFonts w:hint="eastAsia" w:ascii="仿宋" w:hAnsi="仿宋" w:eastAsia="仿宋"/>
              <w:szCs w:val="32"/>
            </w:rPr>
            <w:t>（二）政府采购支出情况</w:t>
          </w:r>
          <w:r>
            <w:tab/>
          </w:r>
          <w:r>
            <w:fldChar w:fldCharType="begin"/>
          </w:r>
          <w:r>
            <w:instrText xml:space="preserve"> PAGEREF _Toc27672 \h </w:instrText>
          </w:r>
          <w:r>
            <w:fldChar w:fldCharType="separate"/>
          </w:r>
          <w:r>
            <w:t>14</w:t>
          </w:r>
          <w:r>
            <w:fldChar w:fldCharType="end"/>
          </w:r>
          <w:r>
            <w:fldChar w:fldCharType="end"/>
          </w:r>
        </w:p>
        <w:p>
          <w:pPr>
            <w:pStyle w:val="39"/>
            <w:tabs>
              <w:tab w:val="right" w:leader="dot" w:pos="8306"/>
            </w:tabs>
            <w:ind w:left="840"/>
          </w:pPr>
          <w:r>
            <w:fldChar w:fldCharType="begin"/>
          </w:r>
          <w:r>
            <w:instrText xml:space="preserve"> HYPERLINK \l "_Toc29601" </w:instrText>
          </w:r>
          <w:r>
            <w:fldChar w:fldCharType="separate"/>
          </w:r>
          <w:r>
            <w:rPr>
              <w:rFonts w:hint="eastAsia" w:ascii="仿宋" w:hAnsi="仿宋" w:eastAsia="仿宋"/>
              <w:szCs w:val="32"/>
            </w:rPr>
            <w:t>（三）国有资产占有使用情况</w:t>
          </w:r>
          <w:r>
            <w:tab/>
          </w:r>
          <w:r>
            <w:fldChar w:fldCharType="begin"/>
          </w:r>
          <w:r>
            <w:instrText xml:space="preserve"> PAGEREF _Toc29601 \h </w:instrText>
          </w:r>
          <w:r>
            <w:fldChar w:fldCharType="separate"/>
          </w:r>
          <w:r>
            <w:t>15</w:t>
          </w:r>
          <w:r>
            <w:fldChar w:fldCharType="end"/>
          </w:r>
          <w:r>
            <w:fldChar w:fldCharType="end"/>
          </w:r>
        </w:p>
        <w:p>
          <w:pPr>
            <w:pStyle w:val="39"/>
            <w:tabs>
              <w:tab w:val="right" w:leader="dot" w:pos="8306"/>
            </w:tabs>
            <w:ind w:left="840"/>
          </w:pPr>
          <w:r>
            <w:fldChar w:fldCharType="begin"/>
          </w:r>
          <w:r>
            <w:instrText xml:space="preserve"> HYPERLINK \l "_Toc2667" </w:instrText>
          </w:r>
          <w:r>
            <w:fldChar w:fldCharType="separate"/>
          </w:r>
          <w:r>
            <w:rPr>
              <w:rFonts w:hint="eastAsia" w:ascii="仿宋" w:hAnsi="仿宋" w:eastAsia="仿宋"/>
              <w:szCs w:val="32"/>
            </w:rPr>
            <w:t>（四）预算绩效管理情况</w:t>
          </w:r>
          <w:r>
            <w:tab/>
          </w:r>
          <w:r>
            <w:fldChar w:fldCharType="begin"/>
          </w:r>
          <w:r>
            <w:instrText xml:space="preserve"> PAGEREF _Toc2667 \h </w:instrText>
          </w:r>
          <w:r>
            <w:fldChar w:fldCharType="separate"/>
          </w:r>
          <w:r>
            <w:t>15</w:t>
          </w:r>
          <w:r>
            <w:fldChar w:fldCharType="end"/>
          </w:r>
          <w:r>
            <w:fldChar w:fldCharType="end"/>
          </w:r>
        </w:p>
        <w:p>
          <w:pPr>
            <w:pStyle w:val="37"/>
            <w:tabs>
              <w:tab w:val="right" w:leader="dot" w:pos="8306"/>
            </w:tabs>
          </w:pPr>
          <w:r>
            <w:fldChar w:fldCharType="begin"/>
          </w:r>
          <w:r>
            <w:instrText xml:space="preserve"> HYPERLINK \l "_Toc28682" </w:instrText>
          </w:r>
          <w:r>
            <w:fldChar w:fldCharType="separate"/>
          </w:r>
          <w:r>
            <w:rPr>
              <w:rFonts w:hint="eastAsia"/>
            </w:rPr>
            <w:t>第三部分 名词解释</w:t>
          </w:r>
          <w:r>
            <w:tab/>
          </w:r>
          <w:r>
            <w:fldChar w:fldCharType="begin"/>
          </w:r>
          <w:r>
            <w:instrText xml:space="preserve"> PAGEREF _Toc28682 \h </w:instrText>
          </w:r>
          <w:r>
            <w:fldChar w:fldCharType="separate"/>
          </w:r>
          <w:r>
            <w:t>16</w:t>
          </w:r>
          <w:r>
            <w:fldChar w:fldCharType="end"/>
          </w:r>
          <w:r>
            <w:fldChar w:fldCharType="end"/>
          </w:r>
        </w:p>
        <w:p>
          <w:pPr>
            <w:pStyle w:val="37"/>
            <w:tabs>
              <w:tab w:val="right" w:leader="dot" w:pos="8306"/>
            </w:tabs>
          </w:pPr>
          <w:r>
            <w:fldChar w:fldCharType="begin"/>
          </w:r>
          <w:r>
            <w:instrText xml:space="preserve"> HYPERLINK \l "_Toc27307" </w:instrText>
          </w:r>
          <w:r>
            <w:fldChar w:fldCharType="separate"/>
          </w:r>
          <w:r>
            <w:rPr>
              <w:rFonts w:hint="eastAsia" w:ascii="黑体" w:hAnsi="黑体" w:eastAsia="黑体"/>
            </w:rPr>
            <w:t>第四部分 附件</w:t>
          </w:r>
          <w:r>
            <w:tab/>
          </w:r>
          <w:r>
            <w:fldChar w:fldCharType="begin"/>
          </w:r>
          <w:r>
            <w:instrText xml:space="preserve"> PAGEREF _Toc27307 \h </w:instrText>
          </w:r>
          <w:r>
            <w:fldChar w:fldCharType="separate"/>
          </w:r>
          <w:r>
            <w:t>19</w:t>
          </w:r>
          <w:r>
            <w:fldChar w:fldCharType="end"/>
          </w:r>
          <w:r>
            <w:fldChar w:fldCharType="end"/>
          </w:r>
        </w:p>
        <w:p>
          <w:pPr>
            <w:pStyle w:val="37"/>
            <w:tabs>
              <w:tab w:val="right" w:leader="dot" w:pos="8306"/>
            </w:tabs>
          </w:pPr>
          <w:r>
            <w:fldChar w:fldCharType="begin"/>
          </w:r>
          <w:r>
            <w:instrText xml:space="preserve"> HYPERLINK \l "_Toc15359" </w:instrText>
          </w:r>
          <w:r>
            <w:fldChar w:fldCharType="separate"/>
          </w:r>
          <w:r>
            <w:rPr>
              <w:rFonts w:hint="eastAsia" w:ascii="黑体" w:hAnsi="黑体" w:eastAsia="黑体"/>
            </w:rPr>
            <w:t>第五部分 附表</w:t>
          </w:r>
          <w:r>
            <w:tab/>
          </w:r>
          <w:r>
            <w:fldChar w:fldCharType="begin"/>
          </w:r>
          <w:r>
            <w:instrText xml:space="preserve"> PAGEREF _Toc15359 \h </w:instrText>
          </w:r>
          <w:r>
            <w:fldChar w:fldCharType="separate"/>
          </w:r>
          <w:r>
            <w:t>31</w:t>
          </w:r>
          <w:r>
            <w:fldChar w:fldCharType="end"/>
          </w:r>
          <w:r>
            <w:fldChar w:fldCharType="end"/>
          </w:r>
        </w:p>
        <w:p>
          <w:pPr>
            <w:rPr>
              <w:rFonts w:hint="eastAsia"/>
            </w:rPr>
          </w:pPr>
          <w:r>
            <w:fldChar w:fldCharType="end"/>
          </w:r>
        </w:p>
      </w:sdtContent>
    </w:sdt>
    <w:p>
      <w:pPr>
        <w:pStyle w:val="4"/>
        <w:jc w:val="center"/>
        <w:rPr>
          <w:rStyle w:val="30"/>
          <w:rFonts w:hint="eastAsia" w:ascii="黑体" w:hAnsi="黑体" w:eastAsia="黑体"/>
          <w:b/>
          <w:bCs w:val="0"/>
        </w:rPr>
      </w:pPr>
      <w:bookmarkStart w:id="17" w:name="_Toc8649"/>
      <w:r>
        <w:rPr>
          <w:rFonts w:hint="eastAsia" w:ascii="黑体" w:hAnsi="黑体" w:eastAsia="黑体"/>
          <w:b w:val="0"/>
        </w:rPr>
        <w:t xml:space="preserve">第一部分 </w:t>
      </w:r>
      <w:r>
        <w:rPr>
          <w:rStyle w:val="30"/>
          <w:rFonts w:hint="eastAsia" w:ascii="黑体" w:hAnsi="黑体" w:eastAsia="黑体"/>
          <w:b w:val="0"/>
          <w:bCs w:val="0"/>
        </w:rPr>
        <w:t>部门概况</w:t>
      </w:r>
      <w:bookmarkEnd w:id="15"/>
      <w:bookmarkEnd w:id="16"/>
      <w:bookmarkEnd w:id="17"/>
    </w:p>
    <w:p>
      <w:pPr>
        <w:widowControl/>
        <w:jc w:val="left"/>
        <w:rPr>
          <w:rFonts w:ascii="黑体" w:eastAsia="黑体"/>
          <w:sz w:val="32"/>
          <w:szCs w:val="32"/>
        </w:rPr>
      </w:pPr>
    </w:p>
    <w:p>
      <w:pPr>
        <w:pStyle w:val="5"/>
        <w:numPr>
          <w:ilvl w:val="0"/>
          <w:numId w:val="1"/>
        </w:numPr>
        <w:rPr>
          <w:rFonts w:hint="eastAsia" w:ascii="黑体" w:hAnsi="黑体" w:eastAsia="黑体"/>
          <w:b w:val="0"/>
        </w:rPr>
      </w:pPr>
      <w:bookmarkStart w:id="18" w:name="_Toc17387"/>
      <w:r>
        <w:rPr>
          <w:rFonts w:hint="eastAsia" w:ascii="黑体" w:hAnsi="黑体" w:eastAsia="黑体"/>
          <w:b w:val="0"/>
        </w:rPr>
        <w:t>部门职责</w:t>
      </w:r>
      <w:bookmarkEnd w:id="18"/>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根据中央、省委、州委及县委对干部队伍建设的要求，发挥干部教育培训主渠道作用，有计划地轮训和培训党员领导干部、优秀中青年干部、理论宣传骨干和农村基层干部等，努力培养造就一大批适应新时期要求和我县经济社会发展需要的领导干部，负债对学员在培训期间的表现进行考核，提出考核意见；</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2、贯彻党的基本路线、方针、政策。对学员进行马克思列宁主义、毛泽东思想、邓小平理论、“三个代表”重要思想、科学发展观、</w:t>
      </w:r>
      <w:r>
        <w:rPr>
          <w:rFonts w:hint="eastAsia" w:ascii="仿宋_GB2312" w:hAnsi="仿宋_GB2312" w:eastAsia="仿宋_GB2312" w:cs="仿宋_GB2312"/>
          <w:sz w:val="32"/>
          <w:szCs w:val="32"/>
          <w:lang w:eastAsia="zh-CN"/>
        </w:rPr>
        <w:t>学习贯彻习近平新时代中国特色社会主义思想主题教育</w:t>
      </w:r>
      <w:r>
        <w:rPr>
          <w:rFonts w:hint="eastAsia" w:ascii="仿宋_GB2312" w:hAnsi="仿宋_GB2312" w:eastAsia="仿宋_GB2312" w:cs="仿宋_GB2312"/>
          <w:sz w:val="32"/>
          <w:szCs w:val="32"/>
        </w:rPr>
        <w:t>和党性教育，引导学员增强“四个意识”坚定“四个自信”，坚决维护以习近平同志为核心的党中央权威和集中统一领导，自觉在思想上政治善个行动上同党中央保持高度一致；</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3、围绕党的中心任务和国际国内出现的新情况、新问题以及县委、县政府的重大战略部署，积极开展相关知识讲座和现实问题研究，为县委、县政府科学决策服务，为教学和社会实践服务，发挥智库作用；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4、配合组织人事部门对学员在校学校期间的表现进行考核、考察。严格规范考勤制度、请假制度、生活管理制度、考试考核制度和廉政建设的各项规定，加强学员党性锻炼；</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5、根据县委对全县干部队伍建设的要求，会同有关部门制度各类骨干的培训轮训计划，承担各类领导干部、公务员、党外干部等培训轮训任务；</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6、依照国家法律、法规和政策规定，审批全县党员干部教育培训中心的培训申请和方案，并监督教培中心遵纪守法、依法办学；</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7、承办县委、县政府举办的各类专题研讨班、学习班。提供举办党员干部培训的办学场地、办学设备；</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8、负债指导各乡镇党委开展干部教育培训工作；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9、负债全县农牧民实用技术培训；</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10、完成县委、县政府交办的其他任务；</w:t>
      </w:r>
    </w:p>
    <w:p>
      <w:pPr>
        <w:pStyle w:val="5"/>
        <w:rPr>
          <w:rStyle w:val="31"/>
          <w:b w:val="0"/>
          <w:bCs w:val="0"/>
        </w:rPr>
      </w:pPr>
      <w:bookmarkStart w:id="19" w:name="_Toc14374"/>
      <w:bookmarkStart w:id="20" w:name="_Toc15396601"/>
      <w:bookmarkStart w:id="21" w:name="_Toc15377200"/>
      <w:r>
        <w:rPr>
          <w:rFonts w:hint="eastAsia" w:ascii="黑体" w:eastAsia="黑体"/>
          <w:b w:val="0"/>
        </w:rPr>
        <w:t>二、</w:t>
      </w:r>
      <w:r>
        <w:rPr>
          <w:rFonts w:hint="eastAsia" w:ascii="黑体" w:hAnsi="黑体" w:eastAsia="黑体"/>
          <w:b w:val="0"/>
        </w:rPr>
        <w:t>机</w:t>
      </w:r>
      <w:r>
        <w:rPr>
          <w:rStyle w:val="31"/>
          <w:rFonts w:hint="eastAsia" w:ascii="黑体" w:hAnsi="黑体" w:eastAsia="黑体"/>
          <w:b w:val="0"/>
          <w:bCs w:val="0"/>
        </w:rPr>
        <w:t>构设置</w:t>
      </w:r>
      <w:bookmarkEnd w:id="19"/>
      <w:bookmarkEnd w:id="20"/>
      <w:bookmarkEnd w:id="21"/>
    </w:p>
    <w:p>
      <w:pPr>
        <w:ind w:firstLine="800" w:firstLineChars="250"/>
        <w:rPr>
          <w:rFonts w:hint="eastAsia" w:ascii="仿宋" w:hAnsi="仿宋" w:eastAsia="仿宋"/>
          <w:sz w:val="32"/>
          <w:szCs w:val="32"/>
        </w:rPr>
      </w:pPr>
      <w:r>
        <w:rPr>
          <w:rFonts w:hint="eastAsia" w:ascii="仿宋_GB2312" w:hAnsi="仿宋_GB2312" w:eastAsia="仿宋_GB2312" w:cs="仿宋_GB2312"/>
          <w:sz w:val="32"/>
          <w:szCs w:val="32"/>
        </w:rPr>
        <w:t>红原县委员会党校下属二级预算单位0个，其中行政单位0个，参照公务员法管理的事业单位1个</w:t>
      </w:r>
      <w:r>
        <w:rPr>
          <w:rFonts w:hint="eastAsia" w:ascii="仿宋" w:hAnsi="仿宋" w:eastAsia="仿宋"/>
          <w:sz w:val="32"/>
          <w:szCs w:val="32"/>
        </w:rPr>
        <w:t>，其他事业单位0个。</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2023年年末编制人数20人，在编在职人数20人，编制外聘用人员0人，共计0人。人员变动情况：2022年调入1人，新增退休1人。退休人员13人纳入社会保险统一管理。</w:t>
      </w:r>
    </w:p>
    <w:p>
      <w:pPr>
        <w:widowControl/>
        <w:jc w:val="left"/>
        <w:rPr>
          <w:rFonts w:hint="eastAsia" w:ascii="仿宋" w:hAnsi="仿宋" w:eastAsia="仿宋"/>
          <w:kern w:val="0"/>
          <w:sz w:val="32"/>
          <w:szCs w:val="32"/>
        </w:rPr>
      </w:pPr>
      <w:r>
        <w:rPr>
          <w:rFonts w:ascii="仿宋" w:hAnsi="仿宋" w:eastAsia="仿宋"/>
          <w:sz w:val="32"/>
          <w:szCs w:val="32"/>
        </w:rPr>
        <w:br w:type="page"/>
      </w:r>
    </w:p>
    <w:p>
      <w:pPr>
        <w:pStyle w:val="4"/>
        <w:ind w:right="440"/>
        <w:jc w:val="center"/>
        <w:rPr>
          <w:rStyle w:val="30"/>
          <w:rFonts w:hint="eastAsia" w:ascii="黑体" w:hAnsi="黑体" w:eastAsia="黑体"/>
          <w:b w:val="0"/>
          <w:bCs/>
        </w:rPr>
      </w:pPr>
      <w:bookmarkStart w:id="22" w:name="_Toc15396602"/>
      <w:bookmarkStart w:id="23" w:name="_Toc29436"/>
      <w:bookmarkStart w:id="24" w:name="_Toc15377204"/>
      <w:r>
        <w:rPr>
          <w:rFonts w:hint="eastAsia" w:ascii="黑体" w:hAnsi="黑体" w:eastAsia="黑体"/>
          <w:b w:val="0"/>
        </w:rPr>
        <w:t>第二部分 2023年度</w:t>
      </w:r>
      <w:r>
        <w:rPr>
          <w:rStyle w:val="30"/>
          <w:rFonts w:hint="eastAsia" w:ascii="黑体" w:hAnsi="黑体" w:eastAsia="黑体"/>
          <w:b w:val="0"/>
          <w:bCs/>
        </w:rPr>
        <w:t>部门决算情况说明</w:t>
      </w:r>
      <w:bookmarkEnd w:id="22"/>
      <w:bookmarkEnd w:id="23"/>
      <w:bookmarkEnd w:id="24"/>
    </w:p>
    <w:p/>
    <w:p>
      <w:pPr>
        <w:pStyle w:val="29"/>
        <w:numPr>
          <w:ilvl w:val="0"/>
          <w:numId w:val="2"/>
        </w:numPr>
        <w:spacing w:line="600" w:lineRule="exact"/>
        <w:ind w:firstLineChars="0"/>
        <w:outlineLvl w:val="1"/>
        <w:rPr>
          <w:rStyle w:val="31"/>
          <w:rFonts w:hint="eastAsia" w:ascii="黑体" w:hAnsi="黑体" w:eastAsia="黑体"/>
          <w:b w:val="0"/>
        </w:rPr>
      </w:pPr>
      <w:bookmarkStart w:id="25" w:name="_Toc15377205"/>
      <w:bookmarkStart w:id="26" w:name="_Toc17815"/>
      <w:bookmarkStart w:id="27" w:name="_Toc15396603"/>
      <w:r>
        <w:rPr>
          <w:rFonts w:hint="eastAsia" w:ascii="黑体" w:hAnsi="黑体" w:eastAsia="黑体"/>
          <w:sz w:val="32"/>
          <w:szCs w:val="32"/>
        </w:rPr>
        <w:t>收</w:t>
      </w:r>
      <w:r>
        <w:rPr>
          <w:rStyle w:val="31"/>
          <w:rFonts w:hint="eastAsia" w:ascii="黑体" w:hAnsi="黑体" w:eastAsia="黑体"/>
          <w:b w:val="0"/>
        </w:rPr>
        <w:t>入支出决算总体情况说明</w:t>
      </w:r>
      <w:bookmarkEnd w:id="25"/>
      <w:bookmarkEnd w:id="26"/>
      <w:bookmarkEnd w:id="27"/>
    </w:p>
    <w:p>
      <w:pPr>
        <w:spacing w:line="600" w:lineRule="exact"/>
        <w:ind w:firstLine="640" w:firstLineChars="200"/>
        <w:jc w:val="left"/>
        <w:rPr>
          <w:rFonts w:hint="eastAsia" w:ascii="仿宋" w:hAnsi="仿宋" w:eastAsia="仿宋"/>
          <w:sz w:val="32"/>
          <w:szCs w:val="32"/>
        </w:rPr>
      </w:pPr>
      <w:r>
        <w:rPr>
          <w:rFonts w:hint="eastAsia" w:ascii="仿宋" w:hAnsi="仿宋" w:eastAsia="仿宋"/>
          <w:sz w:val="32"/>
          <w:szCs w:val="32"/>
        </w:rPr>
        <w:t>2023年度收、支总计均为</w:t>
      </w:r>
      <w:r>
        <w:rPr>
          <w:rFonts w:hint="eastAsia"/>
          <w:sz w:val="32"/>
          <w:szCs w:val="32"/>
        </w:rPr>
        <w:t>1645.77</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与2022年度相比，收、支总计减少739.43万元，增长</w:t>
      </w:r>
      <w:r>
        <w:rPr>
          <w:rFonts w:ascii="仿宋" w:hAnsi="仿宋" w:eastAsia="仿宋"/>
          <w:sz w:val="32"/>
          <w:szCs w:val="32"/>
        </w:rPr>
        <w:t>/</w:t>
      </w:r>
      <w:r>
        <w:rPr>
          <w:rFonts w:hint="eastAsia" w:ascii="仿宋" w:hAnsi="仿宋" w:eastAsia="仿宋"/>
          <w:sz w:val="32"/>
          <w:szCs w:val="32"/>
        </w:rPr>
        <w:t>下降44.92</w:t>
      </w:r>
      <w:r>
        <w:rPr>
          <w:rFonts w:ascii="仿宋" w:hAnsi="仿宋" w:eastAsia="仿宋"/>
          <w:sz w:val="32"/>
          <w:szCs w:val="32"/>
        </w:rPr>
        <w:t>%</w:t>
      </w:r>
      <w:r>
        <w:rPr>
          <w:rFonts w:hint="eastAsia" w:ascii="仿宋" w:hAnsi="仿宋" w:eastAsia="仿宋"/>
          <w:sz w:val="32"/>
          <w:szCs w:val="32"/>
        </w:rPr>
        <w:t>。主要变动原因是因我单位教育支出。</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pPr>
        <w:pStyle w:val="21"/>
        <w:outlineLvl w:val="9"/>
        <w:rPr>
          <w:rFonts w:eastAsia="仿宋"/>
        </w:rPr>
      </w:pPr>
      <w:r>
        <w:rPr>
          <w:rFonts w:hint="eastAsia" w:eastAsia="仿宋"/>
        </w:rPr>
        <w:drawing>
          <wp:inline distT="0" distB="0" distL="114300" distR="114300">
            <wp:extent cx="2992755" cy="2958465"/>
            <wp:effectExtent l="4445" t="4445" r="12700" b="889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9"/>
        <w:numPr>
          <w:ilvl w:val="0"/>
          <w:numId w:val="2"/>
        </w:numPr>
        <w:spacing w:line="600" w:lineRule="exact"/>
        <w:ind w:firstLineChars="0"/>
        <w:outlineLvl w:val="1"/>
        <w:rPr>
          <w:rStyle w:val="31"/>
          <w:rFonts w:hint="eastAsia" w:ascii="黑体" w:hAnsi="黑体" w:eastAsia="黑体"/>
          <w:b w:val="0"/>
        </w:rPr>
      </w:pPr>
      <w:bookmarkStart w:id="28" w:name="_Toc10083"/>
      <w:bookmarkStart w:id="29" w:name="_Toc15396604"/>
      <w:bookmarkStart w:id="30" w:name="_Toc15377206"/>
      <w:r>
        <w:rPr>
          <w:rFonts w:hint="eastAsia" w:ascii="黑体" w:hAnsi="黑体" w:eastAsia="黑体"/>
          <w:sz w:val="32"/>
          <w:szCs w:val="32"/>
        </w:rPr>
        <w:t>收</w:t>
      </w:r>
      <w:r>
        <w:rPr>
          <w:rStyle w:val="31"/>
          <w:rFonts w:hint="eastAsia" w:ascii="黑体" w:hAnsi="黑体" w:eastAsia="黑体"/>
          <w:b w:val="0"/>
        </w:rPr>
        <w:t>入决算情况说明</w:t>
      </w:r>
      <w:bookmarkEnd w:id="28"/>
      <w:bookmarkEnd w:id="29"/>
      <w:bookmarkEnd w:id="30"/>
    </w:p>
    <w:p>
      <w:pPr>
        <w:spacing w:line="600" w:lineRule="exact"/>
        <w:ind w:firstLine="640" w:firstLineChars="200"/>
        <w:jc w:val="left"/>
        <w:outlineLvl w:val="1"/>
        <w:rPr>
          <w:rFonts w:hint="eastAsia" w:ascii="仿宋" w:hAnsi="仿宋" w:eastAsia="仿宋"/>
          <w:sz w:val="32"/>
          <w:szCs w:val="32"/>
        </w:rPr>
      </w:pPr>
      <w:bookmarkStart w:id="31" w:name="_Toc3163"/>
      <w:r>
        <w:rPr>
          <w:rFonts w:hint="eastAsia" w:ascii="仿宋" w:hAnsi="仿宋" w:eastAsia="仿宋"/>
          <w:sz w:val="32"/>
          <w:szCs w:val="32"/>
        </w:rPr>
        <w:t>2023年度本年收入合计</w:t>
      </w:r>
      <w:r>
        <w:rPr>
          <w:sz w:val="32"/>
          <w:szCs w:val="32"/>
        </w:rPr>
        <w:t>1645.77</w:t>
      </w:r>
      <w:r>
        <w:rPr>
          <w:rFonts w:hint="eastAsia" w:ascii="仿宋" w:hAnsi="仿宋" w:eastAsia="仿宋"/>
          <w:sz w:val="32"/>
          <w:szCs w:val="32"/>
        </w:rPr>
        <w:t>万元，其中：一般公共预算财政拨款收入</w:t>
      </w:r>
      <w:r>
        <w:rPr>
          <w:sz w:val="32"/>
          <w:szCs w:val="32"/>
        </w:rPr>
        <w:t>1622.09</w:t>
      </w:r>
      <w:r>
        <w:rPr>
          <w:rFonts w:hint="eastAsia" w:ascii="仿宋" w:hAnsi="仿宋" w:eastAsia="仿宋"/>
          <w:sz w:val="32"/>
          <w:szCs w:val="32"/>
        </w:rPr>
        <w:t>万元，占</w:t>
      </w:r>
      <w:r>
        <w:rPr>
          <w:sz w:val="32"/>
          <w:szCs w:val="32"/>
        </w:rPr>
        <w:t>98.56</w:t>
      </w:r>
      <w:r>
        <w:rPr>
          <w:rFonts w:ascii="仿宋" w:hAnsi="仿宋" w:eastAsia="仿宋"/>
          <w:sz w:val="32"/>
          <w:szCs w:val="32"/>
        </w:rPr>
        <w:t>%</w:t>
      </w:r>
      <w:r>
        <w:rPr>
          <w:rFonts w:hint="eastAsia" w:ascii="仿宋" w:hAnsi="仿宋" w:eastAsia="仿宋"/>
          <w:sz w:val="32"/>
          <w:szCs w:val="32"/>
        </w:rPr>
        <w:t>；政府性基金预算财政拨款收入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sz w:val="32"/>
          <w:szCs w:val="32"/>
        </w:rPr>
        <w:t>23.68</w:t>
      </w:r>
      <w:r>
        <w:rPr>
          <w:rFonts w:hint="eastAsia" w:ascii="仿宋" w:hAnsi="仿宋" w:eastAsia="仿宋"/>
          <w:sz w:val="32"/>
          <w:szCs w:val="32"/>
        </w:rPr>
        <w:t>万元，占</w:t>
      </w:r>
      <w:r>
        <w:rPr>
          <w:sz w:val="32"/>
          <w:szCs w:val="32"/>
        </w:rPr>
        <w:t>1.43</w:t>
      </w:r>
      <w:r>
        <w:rPr>
          <w:rFonts w:ascii="仿宋" w:hAnsi="仿宋" w:eastAsia="仿宋"/>
          <w:sz w:val="32"/>
          <w:szCs w:val="32"/>
        </w:rPr>
        <w:t>%</w:t>
      </w:r>
      <w:r>
        <w:rPr>
          <w:rFonts w:hint="eastAsia" w:ascii="仿宋" w:hAnsi="仿宋" w:eastAsia="仿宋"/>
          <w:sz w:val="32"/>
          <w:szCs w:val="32"/>
        </w:rPr>
        <w:t>。</w:t>
      </w:r>
      <w:bookmarkEnd w:id="31"/>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（图2：收入决算结构图）（饼状图）</w:t>
      </w:r>
    </w:p>
    <w:p>
      <w:pPr>
        <w:pStyle w:val="21"/>
        <w:outlineLvl w:val="9"/>
        <w:rPr>
          <w:rFonts w:ascii="仿宋_GB2312" w:eastAsia="仿宋_GB2312"/>
          <w:sz w:val="32"/>
          <w:szCs w:val="32"/>
        </w:rPr>
      </w:pPr>
      <w:r>
        <w:rPr>
          <w:rFonts w:hint="eastAsia" w:eastAsia="仿宋"/>
        </w:rPr>
        <w:drawing>
          <wp:inline distT="0" distB="0" distL="114300" distR="114300">
            <wp:extent cx="3359150" cy="3253105"/>
            <wp:effectExtent l="5080" t="5080" r="7620" b="1841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9"/>
        <w:numPr>
          <w:ilvl w:val="0"/>
          <w:numId w:val="2"/>
        </w:numPr>
        <w:spacing w:line="600" w:lineRule="exact"/>
        <w:ind w:firstLineChars="0"/>
        <w:outlineLvl w:val="1"/>
        <w:rPr>
          <w:rStyle w:val="31"/>
          <w:rFonts w:hint="eastAsia" w:ascii="黑体" w:hAnsi="黑体" w:eastAsia="黑体"/>
          <w:b w:val="0"/>
        </w:rPr>
      </w:pPr>
      <w:bookmarkStart w:id="32" w:name="_Toc14542"/>
      <w:bookmarkStart w:id="33" w:name="_Toc15396605"/>
      <w:bookmarkStart w:id="34" w:name="_Toc15377207"/>
      <w:r>
        <w:rPr>
          <w:rFonts w:hint="eastAsia" w:ascii="黑体" w:hAnsi="黑体" w:eastAsia="黑体"/>
          <w:sz w:val="32"/>
          <w:szCs w:val="32"/>
        </w:rPr>
        <w:t>支</w:t>
      </w:r>
      <w:r>
        <w:rPr>
          <w:rStyle w:val="31"/>
          <w:rFonts w:hint="eastAsia" w:ascii="黑体" w:hAnsi="黑体" w:eastAsia="黑体"/>
          <w:b w:val="0"/>
        </w:rPr>
        <w:t>出决算情况说明</w:t>
      </w:r>
      <w:bookmarkEnd w:id="32"/>
      <w:bookmarkEnd w:id="33"/>
      <w:bookmarkEnd w:id="34"/>
    </w:p>
    <w:p>
      <w:pPr>
        <w:spacing w:line="600" w:lineRule="exact"/>
        <w:ind w:firstLine="640" w:firstLineChars="200"/>
        <w:outlineLvl w:val="1"/>
        <w:rPr>
          <w:rFonts w:hint="eastAsia" w:ascii="仿宋" w:hAnsi="仿宋" w:eastAsia="仿宋"/>
          <w:sz w:val="32"/>
          <w:szCs w:val="32"/>
        </w:rPr>
      </w:pPr>
      <w:bookmarkStart w:id="35" w:name="_Toc29200"/>
      <w:r>
        <w:rPr>
          <w:rFonts w:hint="eastAsia" w:ascii="仿宋" w:hAnsi="仿宋" w:eastAsia="仿宋"/>
          <w:sz w:val="32"/>
          <w:szCs w:val="32"/>
        </w:rPr>
        <w:t>2023年度本年支出合计1622.09万元，其中：基本支出</w:t>
      </w:r>
      <w:r>
        <w:rPr>
          <w:sz w:val="32"/>
          <w:szCs w:val="32"/>
        </w:rPr>
        <w:t>586.5</w:t>
      </w:r>
      <w:r>
        <w:rPr>
          <w:rFonts w:hint="eastAsia" w:ascii="仿宋" w:hAnsi="仿宋" w:eastAsia="仿宋"/>
          <w:sz w:val="32"/>
          <w:szCs w:val="32"/>
        </w:rPr>
        <w:t>万元，占36.15</w:t>
      </w:r>
      <w:r>
        <w:rPr>
          <w:rFonts w:ascii="仿宋" w:hAnsi="仿宋" w:eastAsia="仿宋"/>
          <w:sz w:val="32"/>
          <w:szCs w:val="32"/>
        </w:rPr>
        <w:t>%</w:t>
      </w:r>
      <w:r>
        <w:rPr>
          <w:rFonts w:hint="eastAsia" w:ascii="仿宋" w:hAnsi="仿宋" w:eastAsia="仿宋"/>
          <w:sz w:val="32"/>
          <w:szCs w:val="32"/>
        </w:rPr>
        <w:t>；项目支出</w:t>
      </w:r>
      <w:r>
        <w:rPr>
          <w:sz w:val="32"/>
          <w:szCs w:val="32"/>
        </w:rPr>
        <w:t>10</w:t>
      </w:r>
      <w:r>
        <w:rPr>
          <w:rFonts w:hint="eastAsia"/>
          <w:sz w:val="32"/>
          <w:szCs w:val="32"/>
        </w:rPr>
        <w:t>35.59</w:t>
      </w:r>
      <w:r>
        <w:rPr>
          <w:rFonts w:hint="eastAsia" w:ascii="仿宋" w:hAnsi="仿宋" w:eastAsia="仿宋"/>
          <w:sz w:val="32"/>
          <w:szCs w:val="32"/>
        </w:rPr>
        <w:t>万元，占63.85</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bookmarkEnd w:id="35"/>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（图3：支出决算结构图）（饼状图）</w:t>
      </w:r>
    </w:p>
    <w:p>
      <w:pPr>
        <w:pStyle w:val="21"/>
        <w:outlineLvl w:val="9"/>
        <w:rPr>
          <w:rFonts w:ascii="仿宋_GB2312" w:eastAsia="仿宋_GB2312"/>
          <w:sz w:val="32"/>
          <w:szCs w:val="32"/>
        </w:rPr>
      </w:pPr>
      <w:r>
        <w:rPr>
          <w:rFonts w:hint="eastAsia" w:eastAsia="仿宋"/>
        </w:rPr>
        <w:drawing>
          <wp:inline distT="0" distB="0" distL="114300" distR="114300">
            <wp:extent cx="3066415" cy="3282950"/>
            <wp:effectExtent l="4445" t="4445" r="15240" b="825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outlineLvl w:val="1"/>
        <w:rPr>
          <w:rStyle w:val="31"/>
          <w:rFonts w:hint="eastAsia" w:ascii="黑体" w:hAnsi="黑体" w:eastAsia="黑体"/>
          <w:b w:val="0"/>
        </w:rPr>
      </w:pPr>
      <w:bookmarkStart w:id="36" w:name="_Toc22635"/>
      <w:bookmarkStart w:id="37" w:name="_Toc15396606"/>
      <w:bookmarkStart w:id="38" w:name="_Toc15377208"/>
      <w:r>
        <w:rPr>
          <w:rFonts w:hint="eastAsia" w:ascii="黑体" w:hAnsi="黑体" w:eastAsia="黑体"/>
          <w:sz w:val="32"/>
          <w:szCs w:val="32"/>
        </w:rPr>
        <w:t>四、财</w:t>
      </w:r>
      <w:r>
        <w:rPr>
          <w:rStyle w:val="31"/>
          <w:rFonts w:hint="eastAsia" w:ascii="黑体" w:hAnsi="黑体" w:eastAsia="黑体"/>
          <w:b w:val="0"/>
        </w:rPr>
        <w:t>政拨款收入支出决算总体情况说明</w:t>
      </w:r>
      <w:bookmarkEnd w:id="36"/>
      <w:bookmarkEnd w:id="37"/>
      <w:bookmarkEnd w:id="38"/>
    </w:p>
    <w:p>
      <w:pPr>
        <w:spacing w:line="600" w:lineRule="exact"/>
        <w:ind w:firstLine="640"/>
        <w:rPr>
          <w:rFonts w:hint="eastAsia" w:ascii="仿宋" w:hAnsi="仿宋" w:eastAsia="仿宋"/>
          <w:sz w:val="32"/>
          <w:szCs w:val="32"/>
        </w:rPr>
      </w:pPr>
      <w:r>
        <w:rPr>
          <w:rFonts w:hint="eastAsia" w:ascii="仿宋" w:hAnsi="仿宋" w:eastAsia="仿宋"/>
          <w:sz w:val="32"/>
          <w:szCs w:val="32"/>
        </w:rPr>
        <w:t>2023年度财政拨款收、支总计均为</w:t>
      </w:r>
      <w:r>
        <w:rPr>
          <w:sz w:val="32"/>
          <w:szCs w:val="32"/>
        </w:rPr>
        <w:t>1622.09</w:t>
      </w:r>
      <w:r>
        <w:rPr>
          <w:rFonts w:hint="eastAsia" w:ascii="仿宋" w:hAnsi="仿宋" w:eastAsia="仿宋"/>
          <w:sz w:val="32"/>
          <w:szCs w:val="32"/>
        </w:rPr>
        <w:t>万元。与2022年度相比，财政拨款收、支总计减少760.54万元，增长</w:t>
      </w:r>
      <w:r>
        <w:rPr>
          <w:rFonts w:ascii="仿宋" w:hAnsi="仿宋" w:eastAsia="仿宋"/>
          <w:sz w:val="32"/>
          <w:szCs w:val="32"/>
        </w:rPr>
        <w:t>/</w:t>
      </w:r>
      <w:r>
        <w:rPr>
          <w:rFonts w:hint="eastAsia" w:ascii="仿宋" w:hAnsi="仿宋" w:eastAsia="仿宋"/>
          <w:sz w:val="32"/>
          <w:szCs w:val="32"/>
        </w:rPr>
        <w:t>下降46.89</w:t>
      </w:r>
      <w:r>
        <w:rPr>
          <w:rFonts w:ascii="仿宋" w:hAnsi="仿宋" w:eastAsia="仿宋"/>
          <w:sz w:val="32"/>
          <w:szCs w:val="32"/>
        </w:rPr>
        <w:t>%</w:t>
      </w:r>
      <w:r>
        <w:rPr>
          <w:rFonts w:hint="eastAsia" w:ascii="仿宋" w:hAnsi="仿宋" w:eastAsia="仿宋"/>
          <w:sz w:val="32"/>
          <w:szCs w:val="32"/>
        </w:rPr>
        <w:t>。主要变动原因是</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（图4：财政拨款收、支决算总计变动情况）（柱状图）</w:t>
      </w:r>
    </w:p>
    <w:p>
      <w:pPr>
        <w:pStyle w:val="21"/>
        <w:outlineLvl w:val="9"/>
        <w:rPr>
          <w:rFonts w:hint="eastAsia" w:ascii="仿宋" w:hAnsi="仿宋" w:eastAsia="仿宋"/>
          <w:sz w:val="32"/>
          <w:szCs w:val="32"/>
        </w:rPr>
      </w:pPr>
      <w:r>
        <w:rPr>
          <w:rFonts w:hint="eastAsia" w:eastAsia="仿宋"/>
        </w:rPr>
        <w:drawing>
          <wp:inline distT="0" distB="0" distL="114300" distR="114300">
            <wp:extent cx="2874645" cy="3517900"/>
            <wp:effectExtent l="4445" t="4445" r="16510" b="2095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31"/>
          <w:rFonts w:hint="eastAsia" w:ascii="黑体" w:hAnsi="黑体" w:eastAsia="黑体"/>
          <w:b w:val="0"/>
        </w:rPr>
      </w:pPr>
      <w:bookmarkStart w:id="39" w:name="_Toc15377209"/>
      <w:bookmarkStart w:id="40" w:name="_Toc15396607"/>
      <w:bookmarkStart w:id="41" w:name="_Toc17706"/>
      <w:r>
        <w:rPr>
          <w:rFonts w:hint="eastAsia" w:ascii="黑体" w:hAnsi="黑体" w:eastAsia="黑体"/>
          <w:sz w:val="32"/>
          <w:szCs w:val="32"/>
        </w:rPr>
        <w:t>五、</w:t>
      </w:r>
      <w:r>
        <w:rPr>
          <w:rFonts w:hint="eastAsia" w:ascii="黑体" w:hAnsi="黑体" w:eastAsia="黑体"/>
          <w:b/>
          <w:sz w:val="32"/>
          <w:szCs w:val="32"/>
        </w:rPr>
        <w:t>一</w:t>
      </w:r>
      <w:r>
        <w:rPr>
          <w:rStyle w:val="31"/>
          <w:rFonts w:hint="eastAsia" w:ascii="黑体" w:hAnsi="黑体" w:eastAsia="黑体"/>
          <w:b w:val="0"/>
        </w:rPr>
        <w:t>般公共预算财政拨款支出决算情况说明</w:t>
      </w:r>
      <w:bookmarkEnd w:id="39"/>
      <w:bookmarkEnd w:id="40"/>
      <w:bookmarkEnd w:id="41"/>
    </w:p>
    <w:p>
      <w:pPr>
        <w:spacing w:line="600" w:lineRule="exact"/>
        <w:ind w:firstLine="643" w:firstLineChars="200"/>
        <w:outlineLvl w:val="2"/>
        <w:rPr>
          <w:rFonts w:hint="eastAsia" w:ascii="仿宋" w:hAnsi="仿宋" w:eastAsia="仿宋"/>
          <w:b/>
          <w:sz w:val="32"/>
          <w:szCs w:val="32"/>
        </w:rPr>
      </w:pPr>
      <w:bookmarkStart w:id="42" w:name="_Toc23787"/>
      <w:bookmarkStart w:id="43" w:name="_Toc15377210"/>
      <w:r>
        <w:rPr>
          <w:rFonts w:hint="eastAsia" w:ascii="仿宋" w:hAnsi="仿宋" w:eastAsia="仿宋"/>
          <w:b/>
          <w:sz w:val="32"/>
          <w:szCs w:val="32"/>
        </w:rPr>
        <w:t>（一）一般公共预算财政拨款支出决算总体情况</w:t>
      </w:r>
      <w:bookmarkEnd w:id="42"/>
      <w:bookmarkEnd w:id="43"/>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2023年度一般公共预算财政拨款支出</w:t>
      </w:r>
      <w:r>
        <w:rPr>
          <w:sz w:val="32"/>
          <w:szCs w:val="32"/>
        </w:rPr>
        <w:t>1622.09</w:t>
      </w:r>
      <w:r>
        <w:rPr>
          <w:rFonts w:hint="eastAsia" w:ascii="仿宋" w:hAnsi="仿宋" w:eastAsia="仿宋"/>
          <w:sz w:val="32"/>
          <w:szCs w:val="32"/>
        </w:rPr>
        <w:t>万元，占本年支出合计的</w:t>
      </w:r>
      <w:r>
        <w:rPr>
          <w:sz w:val="32"/>
          <w:szCs w:val="32"/>
        </w:rPr>
        <w:t>98.56</w:t>
      </w:r>
      <w:r>
        <w:rPr>
          <w:rFonts w:ascii="仿宋" w:hAnsi="仿宋" w:eastAsia="仿宋"/>
          <w:sz w:val="32"/>
          <w:szCs w:val="32"/>
        </w:rPr>
        <w:t>%</w:t>
      </w:r>
      <w:r>
        <w:rPr>
          <w:rFonts w:hint="eastAsia" w:ascii="仿宋" w:hAnsi="仿宋" w:eastAsia="仿宋"/>
          <w:sz w:val="32"/>
          <w:szCs w:val="32"/>
        </w:rPr>
        <w:t>。与2022年度相比，一般公共预算财政拨款支出减少760.54万元，增长</w:t>
      </w:r>
      <w:r>
        <w:rPr>
          <w:rFonts w:ascii="仿宋" w:hAnsi="仿宋" w:eastAsia="仿宋"/>
          <w:sz w:val="32"/>
          <w:szCs w:val="32"/>
        </w:rPr>
        <w:t>/</w:t>
      </w:r>
      <w:r>
        <w:rPr>
          <w:rFonts w:hint="eastAsia" w:ascii="仿宋" w:hAnsi="仿宋" w:eastAsia="仿宋"/>
          <w:sz w:val="32"/>
          <w:szCs w:val="32"/>
        </w:rPr>
        <w:t>下降46.89</w:t>
      </w:r>
      <w:r>
        <w:rPr>
          <w:rFonts w:ascii="仿宋" w:hAnsi="仿宋" w:eastAsia="仿宋"/>
          <w:sz w:val="32"/>
          <w:szCs w:val="32"/>
        </w:rPr>
        <w:t>%</w:t>
      </w:r>
      <w:r>
        <w:rPr>
          <w:rFonts w:hint="eastAsia" w:ascii="仿宋" w:hAnsi="仿宋" w:eastAsia="仿宋"/>
          <w:sz w:val="32"/>
          <w:szCs w:val="32"/>
        </w:rPr>
        <w:t>。主要变动原因是厉行节约减少不必要支出。</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（图5：一般公共预算财政拨款支出决算变动情况）（柱状图）</w:t>
      </w:r>
    </w:p>
    <w:p>
      <w:pPr>
        <w:pStyle w:val="21"/>
        <w:outlineLvl w:val="9"/>
        <w:rPr>
          <w:rFonts w:hint="eastAsia" w:ascii="仿宋" w:hAnsi="仿宋" w:eastAsia="仿宋"/>
          <w:sz w:val="32"/>
          <w:szCs w:val="32"/>
        </w:rPr>
      </w:pPr>
      <w:r>
        <w:rPr>
          <w:rFonts w:hint="eastAsia" w:eastAsia="仿宋"/>
        </w:rPr>
        <w:drawing>
          <wp:inline distT="0" distB="0" distL="114300" distR="114300">
            <wp:extent cx="3373120" cy="2821940"/>
            <wp:effectExtent l="4445" t="4445" r="13335" b="1206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3" w:firstLineChars="200"/>
        <w:outlineLvl w:val="2"/>
        <w:rPr>
          <w:rFonts w:hint="eastAsia" w:ascii="仿宋" w:hAnsi="仿宋" w:eastAsia="仿宋"/>
          <w:b/>
          <w:sz w:val="32"/>
          <w:szCs w:val="32"/>
        </w:rPr>
      </w:pPr>
      <w:bookmarkStart w:id="44" w:name="_Toc862"/>
      <w:bookmarkStart w:id="45" w:name="_Toc15377211"/>
      <w:r>
        <w:rPr>
          <w:rFonts w:hint="eastAsia" w:ascii="仿宋" w:hAnsi="仿宋" w:eastAsia="仿宋"/>
          <w:b/>
          <w:sz w:val="32"/>
          <w:szCs w:val="32"/>
        </w:rPr>
        <w:t>（二）一般公共预算财政拨款支出决算结构情况</w:t>
      </w:r>
      <w:bookmarkEnd w:id="44"/>
      <w:bookmarkEnd w:id="45"/>
    </w:p>
    <w:p>
      <w:pPr>
        <w:spacing w:line="600" w:lineRule="exact"/>
        <w:ind w:firstLine="640"/>
        <w:rPr>
          <w:rFonts w:hint="eastAsia" w:ascii="仿宋" w:hAnsi="仿宋" w:eastAsia="仿宋"/>
          <w:sz w:val="32"/>
          <w:szCs w:val="32"/>
        </w:rPr>
      </w:pPr>
      <w:r>
        <w:rPr>
          <w:rFonts w:hint="eastAsia" w:ascii="仿宋" w:hAnsi="仿宋" w:eastAsia="仿宋"/>
          <w:sz w:val="32"/>
          <w:szCs w:val="32"/>
        </w:rPr>
        <w:t>2023年度一般公共预算财政拨款支出</w:t>
      </w:r>
      <w:r>
        <w:rPr>
          <w:sz w:val="32"/>
          <w:szCs w:val="32"/>
        </w:rPr>
        <w:t>1622.09</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支出15</w:t>
      </w:r>
      <w:r>
        <w:rPr>
          <w:rFonts w:hint="eastAsia" w:ascii="仿宋" w:hAnsi="仿宋" w:eastAsia="仿宋"/>
          <w:sz w:val="32"/>
          <w:szCs w:val="32"/>
        </w:rPr>
        <w:t>万元，占0.92</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教育支出1465.58</w:t>
      </w:r>
      <w:r>
        <w:rPr>
          <w:rFonts w:hint="eastAsia" w:ascii="仿宋" w:hAnsi="仿宋" w:eastAsia="仿宋"/>
          <w:sz w:val="32"/>
          <w:szCs w:val="32"/>
        </w:rPr>
        <w:t>万元，占90.35</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科学技术</w:t>
      </w:r>
      <w:r>
        <w:rPr>
          <w:rFonts w:hint="eastAsia" w:ascii="仿宋" w:hAnsi="仿宋" w:eastAsia="仿宋"/>
          <w:b/>
          <w:bCs/>
          <w:sz w:val="32"/>
          <w:szCs w:val="32"/>
        </w:rPr>
        <w:t>支出0</w:t>
      </w:r>
      <w:r>
        <w:rPr>
          <w:rFonts w:hint="eastAsia" w:ascii="仿宋" w:hAnsi="仿宋" w:eastAsia="仿宋"/>
          <w:sz w:val="32"/>
          <w:szCs w:val="32"/>
        </w:rPr>
        <w:t>万元，占0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文化旅游体育与传媒支出0万元，占0</w:t>
      </w:r>
      <w:r>
        <w:rPr>
          <w:rFonts w:ascii="仿宋" w:hAnsi="仿宋" w:eastAsia="仿宋"/>
          <w:b/>
          <w:bCs/>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支出74.22</w:t>
      </w:r>
      <w:r>
        <w:rPr>
          <w:rFonts w:hint="eastAsia" w:ascii="仿宋" w:hAnsi="仿宋" w:eastAsia="仿宋"/>
          <w:sz w:val="32"/>
          <w:szCs w:val="32"/>
        </w:rPr>
        <w:t>万元，占4.58</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卫生健康支出31.01</w:t>
      </w:r>
      <w:r>
        <w:rPr>
          <w:rFonts w:hint="eastAsia" w:ascii="仿宋" w:hAnsi="仿宋" w:eastAsia="仿宋"/>
          <w:sz w:val="32"/>
          <w:szCs w:val="32"/>
        </w:rPr>
        <w:t>万元，占1.91</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住房保障支出36.28</w:t>
      </w:r>
      <w:r>
        <w:rPr>
          <w:rFonts w:hint="eastAsia" w:ascii="仿宋" w:hAnsi="仿宋" w:eastAsia="仿宋"/>
          <w:sz w:val="32"/>
          <w:szCs w:val="32"/>
        </w:rPr>
        <w:t>万元，占2.24</w:t>
      </w:r>
      <w:r>
        <w:rPr>
          <w:rFonts w:ascii="仿宋" w:hAnsi="仿宋" w:eastAsia="仿宋"/>
          <w:sz w:val="32"/>
          <w:szCs w:val="32"/>
        </w:rPr>
        <w:t>%</w:t>
      </w:r>
      <w:r>
        <w:rPr>
          <w:rFonts w:hint="eastAsia" w:ascii="仿宋" w:hAnsi="仿宋" w:eastAsia="仿宋"/>
          <w:sz w:val="32"/>
          <w:szCs w:val="32"/>
        </w:rPr>
        <w:t>。</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（图6：一般公共预算财政拨款支出决算结构）（饼状图）</w:t>
      </w:r>
    </w:p>
    <w:p>
      <w:pPr>
        <w:pStyle w:val="21"/>
        <w:outlineLvl w:val="9"/>
        <w:rPr>
          <w:rFonts w:hint="eastAsia" w:ascii="仿宋" w:hAnsi="仿宋" w:eastAsia="仿宋"/>
          <w:sz w:val="32"/>
          <w:szCs w:val="32"/>
        </w:rPr>
      </w:pPr>
      <w:r>
        <w:rPr>
          <w:rFonts w:hint="eastAsia" w:eastAsia="仿宋"/>
        </w:rPr>
        <w:drawing>
          <wp:inline distT="0" distB="0" distL="114300" distR="114300">
            <wp:extent cx="3584575" cy="3105785"/>
            <wp:effectExtent l="4445" t="4445" r="11430" b="1397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3" w:firstLineChars="200"/>
        <w:outlineLvl w:val="2"/>
        <w:rPr>
          <w:rFonts w:hint="eastAsia" w:ascii="仿宋" w:hAnsi="仿宋" w:eastAsia="仿宋"/>
          <w:b/>
          <w:sz w:val="32"/>
          <w:szCs w:val="32"/>
        </w:rPr>
      </w:pPr>
      <w:bookmarkStart w:id="46" w:name="_Toc15377212"/>
      <w:bookmarkStart w:id="47" w:name="_Toc28627"/>
      <w:r>
        <w:rPr>
          <w:rFonts w:hint="eastAsia" w:ascii="仿宋" w:hAnsi="仿宋" w:eastAsia="仿宋"/>
          <w:b/>
          <w:sz w:val="32"/>
          <w:szCs w:val="32"/>
        </w:rPr>
        <w:t>（三）一般公共预算财政拨款支出决算具体情况</w:t>
      </w:r>
      <w:bookmarkEnd w:id="46"/>
      <w:bookmarkEnd w:id="47"/>
    </w:p>
    <w:p>
      <w:pPr>
        <w:spacing w:line="600" w:lineRule="exact"/>
        <w:ind w:firstLine="643" w:firstLineChars="200"/>
        <w:outlineLvl w:val="2"/>
        <w:rPr>
          <w:rFonts w:hint="eastAsia" w:ascii="仿宋" w:hAnsi="仿宋" w:eastAsia="仿宋"/>
          <w:sz w:val="32"/>
          <w:szCs w:val="32"/>
        </w:rPr>
      </w:pPr>
      <w:bookmarkStart w:id="48" w:name="_Toc15377444"/>
      <w:bookmarkStart w:id="49" w:name="_Toc20535"/>
      <w:bookmarkStart w:id="50" w:name="_Toc15378460"/>
      <w:bookmarkStart w:id="51" w:name="_Toc15377213"/>
      <w:r>
        <w:rPr>
          <w:rFonts w:hint="eastAsia" w:ascii="仿宋" w:hAnsi="仿宋" w:eastAsia="仿宋"/>
          <w:b/>
          <w:sz w:val="32"/>
          <w:szCs w:val="32"/>
        </w:rPr>
        <w:t>2023年度一般公共预算支出决算数为</w:t>
      </w:r>
      <w:r>
        <w:rPr>
          <w:sz w:val="32"/>
          <w:szCs w:val="32"/>
        </w:rPr>
        <w:t>1622.09</w:t>
      </w:r>
      <w:r>
        <w:rPr>
          <w:rFonts w:hint="eastAsia" w:ascii="仿宋" w:hAnsi="仿宋" w:eastAsia="仿宋"/>
          <w:sz w:val="32"/>
          <w:szCs w:val="32"/>
        </w:rPr>
        <w:t>，</w:t>
      </w:r>
      <w:r>
        <w:rPr>
          <w:rStyle w:val="19"/>
          <w:rFonts w:hint="eastAsia" w:ascii="仿宋" w:hAnsi="仿宋" w:eastAsia="仿宋"/>
          <w:bCs/>
          <w:sz w:val="32"/>
          <w:szCs w:val="32"/>
        </w:rPr>
        <w:t>完成预算100</w:t>
      </w:r>
      <w:r>
        <w:rPr>
          <w:rStyle w:val="19"/>
          <w:rFonts w:ascii="仿宋" w:hAnsi="仿宋" w:eastAsia="仿宋"/>
          <w:bCs/>
          <w:sz w:val="32"/>
          <w:szCs w:val="32"/>
        </w:rPr>
        <w:t>%</w:t>
      </w:r>
      <w:r>
        <w:rPr>
          <w:rStyle w:val="19"/>
          <w:rFonts w:hint="eastAsia" w:ascii="仿宋" w:hAnsi="仿宋" w:eastAsia="仿宋"/>
          <w:bCs/>
          <w:sz w:val="32"/>
          <w:szCs w:val="32"/>
        </w:rPr>
        <w:t>。其中：</w:t>
      </w:r>
      <w:bookmarkEnd w:id="48"/>
      <w:bookmarkEnd w:id="49"/>
      <w:bookmarkEnd w:id="50"/>
      <w:bookmarkEnd w:id="51"/>
    </w:p>
    <w:p>
      <w:pPr>
        <w:numPr>
          <w:ilvl w:val="0"/>
          <w:numId w:val="3"/>
        </w:numPr>
        <w:spacing w:line="600" w:lineRule="exact"/>
        <w:ind w:firstLine="643" w:firstLineChars="200"/>
        <w:rPr>
          <w:rStyle w:val="19"/>
          <w:rFonts w:hint="eastAsia" w:ascii="仿宋" w:hAnsi="仿宋" w:eastAsia="仿宋"/>
          <w:b w:val="0"/>
          <w:bCs/>
          <w:sz w:val="32"/>
          <w:szCs w:val="32"/>
        </w:rPr>
      </w:pPr>
      <w:r>
        <w:rPr>
          <w:rStyle w:val="19"/>
          <w:rFonts w:hint="eastAsia" w:ascii="仿宋" w:hAnsi="仿宋" w:eastAsia="仿宋"/>
          <w:bCs/>
          <w:sz w:val="32"/>
          <w:szCs w:val="32"/>
        </w:rPr>
        <w:t>一般公共服务支出201</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支出决算为15万元，完成预算0.92</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pPr>
        <w:spacing w:line="600" w:lineRule="exact"/>
        <w:ind w:firstLine="640" w:firstLineChars="200"/>
        <w:rPr>
          <w:rFonts w:hint="eastAsia" w:ascii="仿宋" w:hAnsi="仿宋" w:eastAsia="仿宋"/>
          <w:bCs/>
          <w:sz w:val="32"/>
          <w:szCs w:val="32"/>
        </w:rPr>
      </w:pPr>
      <w:r>
        <w:rPr>
          <w:rFonts w:hint="eastAsia" w:ascii="仿宋" w:hAnsi="仿宋" w:eastAsia="仿宋"/>
          <w:bCs/>
          <w:sz w:val="32"/>
          <w:szCs w:val="32"/>
        </w:rPr>
        <w:t>其他民族事务支出2012399：支出决算为：15万元，完成预算0.92%，决算数等于预算数。</w:t>
      </w:r>
    </w:p>
    <w:p>
      <w:pPr>
        <w:numPr>
          <w:ilvl w:val="0"/>
          <w:numId w:val="3"/>
        </w:numPr>
        <w:spacing w:line="600" w:lineRule="exact"/>
        <w:ind w:firstLine="643" w:firstLineChars="200"/>
        <w:rPr>
          <w:rStyle w:val="19"/>
          <w:rFonts w:hint="eastAsia" w:ascii="仿宋" w:hAnsi="仿宋" w:eastAsia="仿宋"/>
          <w:b w:val="0"/>
          <w:bCs/>
          <w:sz w:val="32"/>
          <w:szCs w:val="32"/>
        </w:rPr>
      </w:pPr>
      <w:r>
        <w:rPr>
          <w:rStyle w:val="19"/>
          <w:rFonts w:hint="eastAsia" w:ascii="仿宋" w:hAnsi="仿宋" w:eastAsia="仿宋"/>
          <w:bCs/>
          <w:sz w:val="32"/>
          <w:szCs w:val="32"/>
        </w:rPr>
        <w:t>教育支出205</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支出决算为1272.79万元，完成预算78.47</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pPr>
        <w:pStyle w:val="21"/>
        <w:ind w:firstLine="640" w:firstLineChars="200"/>
      </w:pPr>
      <w:r>
        <w:rPr>
          <w:rFonts w:hint="eastAsia" w:ascii="仿宋" w:hAnsi="仿宋" w:eastAsia="仿宋" w:cs="仿宋"/>
          <w:b w:val="0"/>
          <w:bCs/>
          <w:sz w:val="32"/>
          <w:szCs w:val="32"/>
        </w:rPr>
        <w:t>干部教育支出2050802：支出决算为1272.79万元，完成预算78.74%，决算数等于预算数。</w:t>
      </w:r>
    </w:p>
    <w:p>
      <w:pPr>
        <w:spacing w:line="600" w:lineRule="exact"/>
        <w:ind w:firstLine="643" w:firstLineChars="200"/>
        <w:rPr>
          <w:rStyle w:val="19"/>
          <w:rFonts w:hint="eastAsia" w:ascii="仿宋" w:hAnsi="仿宋" w:eastAsia="仿宋"/>
          <w:b w:val="0"/>
          <w:bCs/>
          <w:sz w:val="32"/>
          <w:szCs w:val="32"/>
        </w:rPr>
      </w:pPr>
      <w:r>
        <w:rPr>
          <w:rStyle w:val="19"/>
          <w:rFonts w:hint="eastAsia" w:ascii="仿宋" w:hAnsi="仿宋" w:eastAsia="仿宋"/>
          <w:bCs/>
          <w:sz w:val="32"/>
          <w:szCs w:val="32"/>
        </w:rPr>
        <w:t>3.社会保障和就业208</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支出决算为40.31万元，完成预算2.49</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pPr>
        <w:pStyle w:val="21"/>
        <w:ind w:firstLine="640" w:firstLineChars="200"/>
        <w:rPr>
          <w:rFonts w:hint="eastAsia" w:ascii="仿宋" w:hAnsi="仿宋" w:eastAsia="仿宋" w:cs="仿宋"/>
          <w:b w:val="0"/>
          <w:bCs/>
          <w:sz w:val="32"/>
          <w:szCs w:val="32"/>
        </w:rPr>
      </w:pPr>
      <w:r>
        <w:rPr>
          <w:rFonts w:hint="eastAsia" w:ascii="仿宋" w:hAnsi="仿宋" w:eastAsia="仿宋" w:cs="仿宋"/>
          <w:b w:val="0"/>
          <w:bCs/>
          <w:sz w:val="32"/>
          <w:szCs w:val="32"/>
        </w:rPr>
        <w:t>机关事业单位基本养老保险缴费支出2080505：支出决算为26.22万元，预算完成数为65.05%。</w:t>
      </w:r>
    </w:p>
    <w:p>
      <w:pPr>
        <w:ind w:firstLine="640" w:firstLineChars="200"/>
      </w:pPr>
      <w:r>
        <w:rPr>
          <w:rFonts w:hint="eastAsia" w:ascii="仿宋" w:hAnsi="仿宋" w:eastAsia="仿宋" w:cs="仿宋"/>
          <w:bCs/>
          <w:sz w:val="32"/>
          <w:szCs w:val="32"/>
        </w:rPr>
        <w:t>机关事业单位为职业年金缴费支出2080506：支出决算为14.10万元，预算完成数为34.99%。</w:t>
      </w:r>
    </w:p>
    <w:p>
      <w:pPr>
        <w:spacing w:line="600" w:lineRule="exact"/>
        <w:ind w:firstLine="643" w:firstLineChars="200"/>
        <w:rPr>
          <w:rStyle w:val="19"/>
          <w:rFonts w:hint="eastAsia" w:ascii="仿宋" w:hAnsi="仿宋" w:eastAsia="仿宋"/>
          <w:b w:val="0"/>
          <w:bCs/>
          <w:sz w:val="32"/>
          <w:szCs w:val="32"/>
        </w:rPr>
      </w:pPr>
      <w:r>
        <w:rPr>
          <w:rFonts w:hint="eastAsia" w:ascii="仿宋" w:hAnsi="仿宋" w:eastAsia="仿宋"/>
          <w:b/>
          <w:bCs/>
          <w:sz w:val="32"/>
          <w:szCs w:val="32"/>
        </w:rPr>
        <w:t>4.卫生健康210</w:t>
      </w:r>
      <w:r>
        <w:rPr>
          <w:rStyle w:val="19"/>
          <w:rFonts w:ascii="仿宋" w:hAnsi="仿宋" w:eastAsia="仿宋"/>
          <w:bCs/>
          <w:sz w:val="32"/>
          <w:szCs w:val="32"/>
        </w:rPr>
        <w:t>:</w:t>
      </w:r>
      <w:r>
        <w:rPr>
          <w:rStyle w:val="19"/>
          <w:rFonts w:hint="eastAsia" w:ascii="仿宋" w:hAnsi="仿宋" w:eastAsia="仿宋"/>
          <w:b w:val="0"/>
          <w:bCs/>
          <w:sz w:val="32"/>
          <w:szCs w:val="32"/>
        </w:rPr>
        <w:t>支出决算为16.01万元，完成预算0.99</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pPr>
        <w:pStyle w:val="21"/>
        <w:ind w:firstLine="640" w:firstLineChars="200"/>
        <w:rPr>
          <w:rFonts w:hint="eastAsia" w:ascii="仿宋" w:hAnsi="仿宋" w:eastAsia="仿宋" w:cs="仿宋"/>
          <w:b w:val="0"/>
          <w:bCs/>
        </w:rPr>
      </w:pPr>
      <w:r>
        <w:rPr>
          <w:rFonts w:hint="eastAsia" w:ascii="仿宋" w:hAnsi="仿宋" w:eastAsia="仿宋" w:cs="仿宋"/>
          <w:b w:val="0"/>
          <w:bCs/>
          <w:sz w:val="32"/>
          <w:szCs w:val="32"/>
        </w:rPr>
        <w:t>行政单位医疗支出2101101：支出决算为12.69万元，完成预算数为79.26%，决算数等于预算数。</w:t>
      </w:r>
    </w:p>
    <w:p>
      <w:pPr>
        <w:ind w:firstLine="640" w:firstLineChars="200"/>
        <w:rPr>
          <w:rFonts w:hint="eastAsia" w:ascii="仿宋" w:hAnsi="仿宋" w:eastAsia="仿宋" w:cs="仿宋"/>
          <w:bCs/>
          <w:sz w:val="32"/>
          <w:szCs w:val="32"/>
        </w:rPr>
      </w:pPr>
      <w:r>
        <w:rPr>
          <w:rFonts w:hint="eastAsia" w:ascii="仿宋" w:hAnsi="仿宋" w:eastAsia="仿宋" w:cs="仿宋"/>
          <w:bCs/>
          <w:sz w:val="32"/>
          <w:szCs w:val="32"/>
        </w:rPr>
        <w:t>公务员医疗补助支出2101103：支出决算为3.32万元，完成预算数为20.74%，决算数等于预算数。</w:t>
      </w:r>
    </w:p>
    <w:p>
      <w:pPr>
        <w:pStyle w:val="21"/>
        <w:ind w:firstLine="643" w:firstLineChars="200"/>
        <w:rPr>
          <w:rStyle w:val="19"/>
          <w:rFonts w:hint="eastAsia" w:ascii="仿宋" w:hAnsi="仿宋" w:eastAsia="仿宋"/>
          <w:b w:val="0"/>
          <w:bCs/>
          <w:sz w:val="32"/>
          <w:szCs w:val="32"/>
        </w:rPr>
      </w:pPr>
      <w:r>
        <w:rPr>
          <w:rFonts w:hint="eastAsia" w:ascii="仿宋" w:hAnsi="仿宋" w:eastAsia="仿宋" w:cs="仿宋"/>
          <w:sz w:val="32"/>
          <w:szCs w:val="32"/>
        </w:rPr>
        <w:t>5.住房保障支出221</w:t>
      </w:r>
      <w:r>
        <w:rPr>
          <w:rFonts w:hint="eastAsia" w:ascii="仿宋" w:hAnsi="仿宋" w:eastAsia="仿宋" w:cs="仿宋"/>
          <w:b w:val="0"/>
          <w:bCs/>
          <w:sz w:val="32"/>
          <w:szCs w:val="32"/>
        </w:rPr>
        <w:t>：</w:t>
      </w:r>
      <w:r>
        <w:rPr>
          <w:rStyle w:val="19"/>
          <w:rFonts w:hint="eastAsia" w:ascii="仿宋" w:hAnsi="仿宋" w:eastAsia="仿宋"/>
          <w:b w:val="0"/>
          <w:bCs/>
          <w:sz w:val="32"/>
          <w:szCs w:val="32"/>
        </w:rPr>
        <w:t>支出决算为23.92万元，完成预算1.47</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pPr>
        <w:ind w:firstLine="640" w:firstLineChars="200"/>
      </w:pPr>
      <w:r>
        <w:rPr>
          <w:rFonts w:hint="eastAsia" w:ascii="仿宋" w:hAnsi="仿宋" w:eastAsia="仿宋" w:cs="仿宋"/>
          <w:bCs/>
          <w:sz w:val="32"/>
          <w:szCs w:val="32"/>
        </w:rPr>
        <w:t>住房公积金2210201：</w:t>
      </w:r>
      <w:r>
        <w:rPr>
          <w:rStyle w:val="19"/>
          <w:rFonts w:hint="eastAsia" w:ascii="仿宋" w:hAnsi="仿宋" w:eastAsia="仿宋"/>
          <w:b w:val="0"/>
          <w:bCs/>
          <w:sz w:val="32"/>
          <w:szCs w:val="32"/>
        </w:rPr>
        <w:t>支出决算为23.92万元，完成预算1.47</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pPr>
        <w:tabs>
          <w:tab w:val="right" w:pos="8306"/>
        </w:tabs>
        <w:spacing w:line="600" w:lineRule="exact"/>
        <w:ind w:firstLine="640"/>
        <w:outlineLvl w:val="1"/>
        <w:rPr>
          <w:rStyle w:val="31"/>
        </w:rPr>
      </w:pPr>
      <w:bookmarkStart w:id="52" w:name="_Toc15377214"/>
      <w:bookmarkStart w:id="53" w:name="_Toc15396608"/>
      <w:bookmarkStart w:id="54" w:name="_Toc11830"/>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1"/>
          <w:rFonts w:hint="eastAsia" w:ascii="黑体" w:hAnsi="黑体" w:eastAsia="黑体"/>
          <w:b w:val="0"/>
        </w:rPr>
        <w:t>般公共预算财政拨款基本支出决算情况说明</w:t>
      </w:r>
      <w:bookmarkEnd w:id="52"/>
      <w:bookmarkEnd w:id="53"/>
      <w:bookmarkEnd w:id="54"/>
      <w:r>
        <w:rPr>
          <w:rStyle w:val="31"/>
          <w:rFonts w:ascii="黑体" w:hAnsi="黑体" w:eastAsia="黑体"/>
          <w:b w:val="0"/>
        </w:rPr>
        <w:tab/>
      </w:r>
    </w:p>
    <w:p>
      <w:pPr>
        <w:spacing w:line="600" w:lineRule="exact"/>
        <w:ind w:firstLine="645"/>
        <w:rPr>
          <w:rFonts w:hint="eastAsia" w:ascii="仿宋" w:hAnsi="仿宋" w:eastAsia="仿宋"/>
          <w:sz w:val="32"/>
          <w:szCs w:val="32"/>
        </w:rPr>
      </w:pPr>
      <w:r>
        <w:rPr>
          <w:rFonts w:hint="eastAsia" w:ascii="仿宋" w:hAnsi="仿宋" w:eastAsia="仿宋"/>
          <w:sz w:val="32"/>
          <w:szCs w:val="32"/>
        </w:rPr>
        <w:t>2023年度一般公共预算财政拨款基本支出</w:t>
      </w:r>
      <w:r>
        <w:rPr>
          <w:sz w:val="32"/>
          <w:szCs w:val="32"/>
        </w:rPr>
        <w:t>586.5</w:t>
      </w:r>
      <w:r>
        <w:rPr>
          <w:rFonts w:hint="eastAsia" w:ascii="仿宋" w:hAnsi="仿宋" w:eastAsia="仿宋"/>
          <w:sz w:val="32"/>
          <w:szCs w:val="32"/>
        </w:rPr>
        <w:t>万元，其中：</w:t>
      </w:r>
    </w:p>
    <w:p>
      <w:pPr>
        <w:spacing w:line="600" w:lineRule="exact"/>
        <w:ind w:firstLine="645"/>
        <w:rPr>
          <w:rFonts w:hint="eastAsia" w:ascii="仿宋" w:hAnsi="仿宋" w:eastAsia="仿宋"/>
          <w:sz w:val="32"/>
          <w:szCs w:val="32"/>
        </w:rPr>
      </w:pPr>
      <w:r>
        <w:rPr>
          <w:rFonts w:hint="eastAsia" w:ascii="仿宋" w:hAnsi="仿宋" w:eastAsia="仿宋"/>
          <w:sz w:val="32"/>
          <w:szCs w:val="32"/>
        </w:rPr>
        <w:t>人员经费</w:t>
      </w:r>
      <w:r>
        <w:rPr>
          <w:sz w:val="32"/>
          <w:szCs w:val="32"/>
        </w:rPr>
        <w:t>560.27</w:t>
      </w:r>
      <w:r>
        <w:rPr>
          <w:rFonts w:hint="eastAsia" w:ascii="仿宋" w:hAnsi="仿宋" w:eastAsia="仿宋"/>
          <w:sz w:val="32"/>
          <w:szCs w:val="32"/>
        </w:rPr>
        <w:t>万元，主要包括：基本工资98.19万元、津贴补贴134.15万元、奖金131.17万元、伙食补助费0万元、绩效工资22.63万元、机关事业单位基本养老保险缴费49.48万元、职业年金缴费24.74万元、其他社会保障缴费36.53万元、其他工资福利支出0、离休费17.91、退休费0、抚恤金0、生活补助6.18万、医疗费补助3万元、奖励金0.01万元、住房公积金36.28万元、其他对个人和家庭的补助支出等。</w:t>
      </w:r>
      <w:r>
        <w:rPr>
          <w:rFonts w:ascii="仿宋" w:hAnsi="仿宋" w:eastAsia="仿宋"/>
          <w:sz w:val="32"/>
          <w:szCs w:val="32"/>
        </w:rPr>
        <w:br w:type="textWrapping"/>
      </w:r>
      <w:r>
        <w:rPr>
          <w:rFonts w:hint="eastAsia" w:ascii="仿宋" w:hAnsi="仿宋" w:eastAsia="仿宋"/>
          <w:sz w:val="32"/>
          <w:szCs w:val="32"/>
        </w:rPr>
        <w:t>　　公用经费68.05万元，主要包括：办公费24.04万元、印刷费1.84万元、咨询费0万元、手续费0万元、水费0万元、电费2万元、邮电费1.51万元、取暖费0万元、物业管理费0万元、差旅费7.71万元、因公出国（境）费用0万元、维修（护）费0万元、租赁费0万元、会议费0万元、培训费20.19万元、公务接待费0.25、劳务费0万元、委托业务费0万元、工会经费3.8万元、福利费0万元、公务用车运行维护费4.71万元、其他交通费0万元、税金及附加费用0万元、其他商品和服务支出2万元、办公设备购置0万元、专用设备购置0万元、信息网络及软件购置更新0万元、其他资本性支出等。</w:t>
      </w:r>
    </w:p>
    <w:p>
      <w:pPr>
        <w:spacing w:line="600" w:lineRule="exact"/>
        <w:ind w:firstLine="640"/>
        <w:outlineLvl w:val="1"/>
        <w:rPr>
          <w:rStyle w:val="31"/>
          <w:rFonts w:hint="eastAsia" w:ascii="黑体" w:hAnsi="黑体" w:eastAsia="黑体"/>
          <w:b w:val="0"/>
        </w:rPr>
      </w:pPr>
      <w:bookmarkStart w:id="55" w:name="_Toc15377215"/>
      <w:bookmarkStart w:id="56" w:name="_Toc1380"/>
      <w:bookmarkStart w:id="57" w:name="_Toc15396609"/>
      <w:r>
        <w:rPr>
          <w:rFonts w:hint="eastAsia" w:ascii="黑体" w:eastAsia="黑体"/>
          <w:sz w:val="32"/>
          <w:szCs w:val="32"/>
        </w:rPr>
        <w:t>七、</w:t>
      </w:r>
      <w:r>
        <w:rPr>
          <w:rStyle w:val="31"/>
          <w:rFonts w:hint="eastAsia" w:ascii="黑体" w:hAnsi="黑体" w:eastAsia="黑体"/>
          <w:b w:val="0"/>
        </w:rPr>
        <w:t>财政拨款</w:t>
      </w:r>
      <w:r>
        <w:rPr>
          <w:rStyle w:val="31"/>
          <w:rFonts w:hint="eastAsia" w:ascii="黑体" w:hAnsi="黑体" w:eastAsia="黑体"/>
        </w:rPr>
        <w:t>“</w:t>
      </w:r>
      <w:r>
        <w:rPr>
          <w:rStyle w:val="31"/>
          <w:rFonts w:hint="eastAsia" w:ascii="黑体" w:hAnsi="黑体" w:eastAsia="黑体"/>
          <w:b w:val="0"/>
        </w:rPr>
        <w:t>三公”经费支出决算情况说明</w:t>
      </w:r>
      <w:bookmarkEnd w:id="55"/>
      <w:bookmarkEnd w:id="56"/>
      <w:bookmarkEnd w:id="57"/>
    </w:p>
    <w:p>
      <w:pPr>
        <w:spacing w:line="600" w:lineRule="exact"/>
        <w:ind w:firstLine="640"/>
        <w:outlineLvl w:val="2"/>
        <w:rPr>
          <w:rFonts w:hint="eastAsia" w:ascii="仿宋" w:hAnsi="仿宋" w:eastAsia="仿宋"/>
          <w:b/>
          <w:sz w:val="32"/>
          <w:szCs w:val="32"/>
        </w:rPr>
      </w:pPr>
      <w:bookmarkStart w:id="58" w:name="_Toc8262"/>
      <w:bookmarkStart w:id="59" w:name="_Toc15377216"/>
      <w:r>
        <w:rPr>
          <w:rFonts w:hint="eastAsia" w:ascii="仿宋" w:hAnsi="仿宋" w:eastAsia="仿宋"/>
          <w:b/>
          <w:sz w:val="32"/>
          <w:szCs w:val="32"/>
        </w:rPr>
        <w:t>（一）“三公”经费财政拨款支出决算总体情况说明</w:t>
      </w:r>
      <w:bookmarkEnd w:id="58"/>
      <w:bookmarkEnd w:id="59"/>
    </w:p>
    <w:p>
      <w:pPr>
        <w:spacing w:line="600" w:lineRule="exact"/>
        <w:ind w:firstLine="640"/>
        <w:rPr>
          <w:rFonts w:hint="eastAsia" w:ascii="仿宋" w:hAnsi="仿宋" w:eastAsia="仿宋"/>
          <w:sz w:val="32"/>
          <w:szCs w:val="32"/>
        </w:rPr>
      </w:pPr>
      <w:r>
        <w:rPr>
          <w:rFonts w:hint="eastAsia" w:ascii="仿宋" w:hAnsi="仿宋" w:eastAsia="仿宋"/>
          <w:sz w:val="32"/>
          <w:szCs w:val="32"/>
        </w:rPr>
        <w:t>2023年度“三公”经费财政拨款支出决算为</w:t>
      </w:r>
      <w:r>
        <w:rPr>
          <w:sz w:val="32"/>
          <w:szCs w:val="32"/>
        </w:rPr>
        <w:t>29.84</w:t>
      </w:r>
      <w:r>
        <w:rPr>
          <w:rFonts w:hint="eastAsia" w:ascii="仿宋" w:hAnsi="仿宋" w:eastAsia="仿宋"/>
          <w:sz w:val="32"/>
          <w:szCs w:val="32"/>
        </w:rPr>
        <w:t>万元，完成预算</w:t>
      </w:r>
      <w:r>
        <w:rPr>
          <w:sz w:val="32"/>
          <w:szCs w:val="32"/>
        </w:rPr>
        <w:t>100</w:t>
      </w:r>
      <w:r>
        <w:rPr>
          <w:rFonts w:ascii="仿宋" w:hAnsi="仿宋" w:eastAsia="仿宋"/>
          <w:sz w:val="32"/>
          <w:szCs w:val="32"/>
        </w:rPr>
        <w:t>%</w:t>
      </w:r>
      <w:r>
        <w:rPr>
          <w:rFonts w:hint="eastAsia" w:ascii="仿宋" w:hAnsi="仿宋" w:eastAsia="仿宋"/>
          <w:sz w:val="32"/>
          <w:szCs w:val="32"/>
        </w:rPr>
        <w:t>，较上年度增加27.35万元，增长91.66%。</w:t>
      </w:r>
    </w:p>
    <w:p>
      <w:pPr>
        <w:spacing w:line="600" w:lineRule="exact"/>
        <w:ind w:firstLine="640"/>
        <w:outlineLvl w:val="2"/>
        <w:rPr>
          <w:rFonts w:hint="eastAsia" w:ascii="仿宋" w:hAnsi="仿宋" w:eastAsia="仿宋"/>
          <w:b/>
          <w:sz w:val="32"/>
          <w:szCs w:val="32"/>
        </w:rPr>
      </w:pPr>
      <w:bookmarkStart w:id="60" w:name="_Toc21134"/>
      <w:bookmarkStart w:id="61" w:name="_Toc15377217"/>
      <w:r>
        <w:rPr>
          <w:rFonts w:hint="eastAsia" w:ascii="仿宋" w:hAnsi="仿宋" w:eastAsia="仿宋"/>
          <w:b/>
          <w:sz w:val="32"/>
          <w:szCs w:val="32"/>
        </w:rPr>
        <w:t>（二）“三公”经费财政拨款支出决算具体情况说明</w:t>
      </w:r>
      <w:bookmarkEnd w:id="60"/>
      <w:bookmarkEnd w:id="61"/>
    </w:p>
    <w:p>
      <w:pPr>
        <w:spacing w:line="600" w:lineRule="exact"/>
        <w:ind w:firstLine="640"/>
        <w:rPr>
          <w:rFonts w:hint="eastAsia" w:ascii="仿宋" w:hAnsi="仿宋" w:eastAsia="仿宋"/>
          <w:sz w:val="32"/>
          <w:szCs w:val="32"/>
        </w:rPr>
      </w:pPr>
      <w:r>
        <w:rPr>
          <w:rFonts w:hint="eastAsia" w:ascii="仿宋" w:hAnsi="仿宋" w:eastAsia="仿宋"/>
          <w:sz w:val="32"/>
          <w:szCs w:val="32"/>
        </w:rPr>
        <w:t>2023年度“三公”经费财政拨款支出决算中，因公出国（境）费支出决算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sz w:val="32"/>
          <w:szCs w:val="32"/>
        </w:rPr>
        <w:t>29.58</w:t>
      </w:r>
      <w:r>
        <w:rPr>
          <w:rFonts w:hint="eastAsia" w:ascii="仿宋" w:hAnsi="仿宋" w:eastAsia="仿宋"/>
          <w:sz w:val="32"/>
          <w:szCs w:val="32"/>
        </w:rPr>
        <w:t>万元，占</w:t>
      </w:r>
      <w:r>
        <w:rPr>
          <w:sz w:val="32"/>
          <w:szCs w:val="32"/>
        </w:rPr>
        <w:t>99.14</w:t>
      </w:r>
      <w:r>
        <w:rPr>
          <w:rFonts w:ascii="仿宋" w:hAnsi="仿宋" w:eastAsia="仿宋"/>
          <w:sz w:val="32"/>
          <w:szCs w:val="32"/>
        </w:rPr>
        <w:t>%</w:t>
      </w:r>
      <w:r>
        <w:rPr>
          <w:rFonts w:hint="eastAsia" w:ascii="仿宋" w:hAnsi="仿宋" w:eastAsia="仿宋"/>
          <w:sz w:val="32"/>
          <w:szCs w:val="32"/>
        </w:rPr>
        <w:t>；公务接待费支出决算</w:t>
      </w:r>
      <w:r>
        <w:rPr>
          <w:sz w:val="32"/>
          <w:szCs w:val="32"/>
        </w:rPr>
        <w:t>0.25</w:t>
      </w:r>
      <w:r>
        <w:rPr>
          <w:rFonts w:hint="eastAsia" w:ascii="仿宋" w:hAnsi="仿宋" w:eastAsia="仿宋"/>
          <w:sz w:val="32"/>
          <w:szCs w:val="32"/>
        </w:rPr>
        <w:t>万元，占</w:t>
      </w:r>
      <w:r>
        <w:rPr>
          <w:sz w:val="32"/>
          <w:szCs w:val="32"/>
        </w:rPr>
        <w:t>0.85</w:t>
      </w:r>
      <w:r>
        <w:rPr>
          <w:rFonts w:ascii="仿宋" w:hAnsi="仿宋" w:eastAsia="仿宋"/>
          <w:sz w:val="32"/>
          <w:szCs w:val="32"/>
        </w:rPr>
        <w:t>%</w:t>
      </w:r>
      <w:r>
        <w:rPr>
          <w:rFonts w:hint="eastAsia" w:ascii="仿宋" w:hAnsi="仿宋" w:eastAsia="仿宋"/>
          <w:sz w:val="32"/>
          <w:szCs w:val="32"/>
        </w:rPr>
        <w:t>。具体情况如下：</w:t>
      </w:r>
    </w:p>
    <w:p>
      <w:pPr>
        <w:spacing w:line="600" w:lineRule="exact"/>
        <w:ind w:firstLine="640"/>
        <w:rPr>
          <w:rFonts w:hint="eastAsia" w:ascii="仿宋" w:hAnsi="仿宋" w:eastAsia="仿宋"/>
          <w:sz w:val="32"/>
          <w:szCs w:val="32"/>
        </w:rPr>
      </w:pPr>
      <w:r>
        <w:rPr>
          <w:rFonts w:hint="eastAsia" w:ascii="仿宋" w:hAnsi="仿宋" w:eastAsia="仿宋"/>
          <w:sz w:val="32"/>
          <w:szCs w:val="32"/>
        </w:rPr>
        <w:t>（图7：“三公”经费财政拨款支出结构）（饼状图）</w:t>
      </w:r>
    </w:p>
    <w:p>
      <w:pPr>
        <w:pStyle w:val="21"/>
        <w:outlineLvl w:val="9"/>
        <w:rPr>
          <w:rFonts w:eastAsia="仿宋"/>
        </w:rPr>
      </w:pPr>
      <w:r>
        <w:rPr>
          <w:rFonts w:hint="eastAsia" w:eastAsia="仿宋"/>
        </w:rPr>
        <w:drawing>
          <wp:inline distT="0" distB="0" distL="114300" distR="114300">
            <wp:extent cx="3154045" cy="2571750"/>
            <wp:effectExtent l="4445" t="4445" r="22860" b="1460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sz w:val="32"/>
          <w:szCs w:val="32"/>
        </w:rPr>
        <w:t>0</w:t>
      </w:r>
      <w:r>
        <w:rPr>
          <w:rStyle w:val="19"/>
          <w:rFonts w:ascii="仿宋" w:hAnsi="仿宋" w:eastAsia="仿宋"/>
          <w:b w:val="0"/>
          <w:bCs/>
          <w:sz w:val="32"/>
          <w:szCs w:val="32"/>
        </w:rPr>
        <w:t>%</w:t>
      </w:r>
      <w:r>
        <w:rPr>
          <w:rStyle w:val="19"/>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人。因公出国（境）支出决算比2022年增加/减少0万元，增长</w:t>
      </w:r>
      <w:r>
        <w:rPr>
          <w:rFonts w:ascii="仿宋_GB2312" w:eastAsia="仿宋_GB2312"/>
          <w:sz w:val="32"/>
          <w:szCs w:val="32"/>
        </w:rPr>
        <w:t>/</w:t>
      </w:r>
      <w:r>
        <w:rPr>
          <w:rFonts w:hint="eastAsia" w:ascii="仿宋_GB2312" w:eastAsia="仿宋_GB2312"/>
          <w:sz w:val="32"/>
          <w:szCs w:val="32"/>
        </w:rPr>
        <w:t>下降0</w:t>
      </w:r>
      <w:r>
        <w:rPr>
          <w:rFonts w:ascii="仿宋_GB2312" w:eastAsia="仿宋_GB2312"/>
          <w:sz w:val="32"/>
          <w:szCs w:val="32"/>
        </w:rPr>
        <w:t>%</w:t>
      </w:r>
      <w:r>
        <w:rPr>
          <w:rFonts w:hint="eastAsia" w:ascii="仿宋_GB2312" w:eastAsia="仿宋_GB2312"/>
          <w:sz w:val="32"/>
          <w:szCs w:val="32"/>
        </w:rPr>
        <w:t>。</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sz w:val="32"/>
          <w:szCs w:val="32"/>
        </w:rPr>
        <w:t>29.58</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sz w:val="32"/>
          <w:szCs w:val="32"/>
        </w:rPr>
        <w:t>100</w:t>
      </w:r>
      <w:r>
        <w:rPr>
          <w:rStyle w:val="19"/>
          <w:rFonts w:ascii="仿宋" w:hAnsi="仿宋" w:eastAsia="仿宋"/>
          <w:b w:val="0"/>
          <w:bCs/>
          <w:sz w:val="32"/>
          <w:szCs w:val="32"/>
        </w:rPr>
        <w:t>%</w:t>
      </w:r>
      <w:r>
        <w:rPr>
          <w:rStyle w:val="19"/>
          <w:rFonts w:hint="eastAsia" w:ascii="仿宋" w:hAnsi="仿宋" w:eastAsia="仿宋"/>
          <w:b w:val="0"/>
          <w:bCs/>
          <w:sz w:val="32"/>
          <w:szCs w:val="32"/>
        </w:rPr>
        <w:t>。</w:t>
      </w:r>
      <w:r>
        <w:rPr>
          <w:rFonts w:hint="eastAsia" w:ascii="仿宋_GB2312" w:eastAsia="仿宋_GB2312"/>
          <w:sz w:val="32"/>
          <w:szCs w:val="32"/>
        </w:rPr>
        <w:t>公务用车购置及运行维护费支出决算比2022年度增加27.38万元，增长</w:t>
      </w:r>
      <w:r>
        <w:rPr>
          <w:rFonts w:ascii="仿宋_GB2312" w:eastAsia="仿宋_GB2312"/>
          <w:sz w:val="32"/>
          <w:szCs w:val="32"/>
        </w:rPr>
        <w:t>/</w:t>
      </w:r>
      <w:r>
        <w:rPr>
          <w:rFonts w:hint="eastAsia" w:ascii="仿宋_GB2312" w:eastAsia="仿宋_GB2312"/>
          <w:sz w:val="32"/>
          <w:szCs w:val="32"/>
        </w:rPr>
        <w:t>下降92.56</w:t>
      </w:r>
      <w:r>
        <w:rPr>
          <w:rFonts w:ascii="仿宋_GB2312" w:eastAsia="仿宋_GB2312"/>
          <w:sz w:val="32"/>
          <w:szCs w:val="32"/>
        </w:rPr>
        <w:t>%</w:t>
      </w:r>
      <w:r>
        <w:rPr>
          <w:rFonts w:hint="eastAsia" w:ascii="仿宋_GB2312" w:eastAsia="仿宋_GB2312"/>
          <w:sz w:val="32"/>
          <w:szCs w:val="32"/>
        </w:rPr>
        <w:t>。公务用车购置。</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24.88</w:t>
      </w:r>
      <w:r>
        <w:rPr>
          <w:rFonts w:hint="eastAsia" w:ascii="仿宋_GB2312" w:eastAsia="仿宋_GB2312"/>
          <w:sz w:val="32"/>
          <w:szCs w:val="32"/>
        </w:rPr>
        <w:t>万元。全年按规定更新购置公务用车2辆，其中：轿车1辆、金额9.31万元，越野车1辆、金额24.87万元，载客汽车0辆、金额0万元。截至2023年</w:t>
      </w:r>
      <w:r>
        <w:rPr>
          <w:rFonts w:ascii="仿宋_GB2312" w:eastAsia="仿宋_GB2312"/>
          <w:sz w:val="32"/>
          <w:szCs w:val="32"/>
        </w:rPr>
        <w:t>12</w:t>
      </w:r>
      <w:r>
        <w:rPr>
          <w:rFonts w:hint="eastAsia" w:ascii="仿宋_GB2312" w:eastAsia="仿宋_GB2312"/>
          <w:sz w:val="32"/>
          <w:szCs w:val="32"/>
        </w:rPr>
        <w:t>月31日，单位共有公务用车2辆，其中：轿车0辆、越野车0辆、载客汽车0辆。</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sz w:val="32"/>
          <w:szCs w:val="32"/>
        </w:rPr>
        <w:t>4.71</w:t>
      </w:r>
      <w:r>
        <w:rPr>
          <w:rFonts w:hint="eastAsia" w:ascii="仿宋_GB2312" w:eastAsia="仿宋_GB2312"/>
          <w:sz w:val="32"/>
          <w:szCs w:val="32"/>
        </w:rPr>
        <w:t>万元。主要用于车燃费、维修费、保险费等。</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sz w:val="32"/>
          <w:szCs w:val="32"/>
        </w:rPr>
        <w:t>0.25</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sz w:val="32"/>
          <w:szCs w:val="32"/>
        </w:rPr>
        <w:t>100%</w:t>
      </w:r>
      <w:r>
        <w:rPr>
          <w:rStyle w:val="19"/>
          <w:rFonts w:hint="eastAsia" w:ascii="仿宋" w:hAnsi="仿宋" w:eastAsia="仿宋"/>
          <w:b w:val="0"/>
          <w:bCs/>
          <w:sz w:val="32"/>
          <w:szCs w:val="32"/>
        </w:rPr>
        <w:t>。</w:t>
      </w:r>
      <w:r>
        <w:rPr>
          <w:rFonts w:hint="eastAsia" w:ascii="仿宋_GB2312" w:eastAsia="仿宋_GB2312"/>
          <w:sz w:val="32"/>
          <w:szCs w:val="32"/>
        </w:rPr>
        <w:t>公务接待费支出决算比2022年度增加0.13万元，增长52</w:t>
      </w:r>
      <w:r>
        <w:rPr>
          <w:rFonts w:ascii="仿宋_GB2312" w:eastAsia="仿宋_GB2312"/>
          <w:sz w:val="32"/>
          <w:szCs w:val="32"/>
        </w:rPr>
        <w:t>%</w:t>
      </w:r>
      <w:r>
        <w:rPr>
          <w:rFonts w:hint="eastAsia" w:ascii="仿宋_GB2312" w:eastAsia="仿宋_GB2312"/>
          <w:sz w:val="32"/>
          <w:szCs w:val="32"/>
        </w:rPr>
        <w:t>。      其中：</w:t>
      </w:r>
    </w:p>
    <w:p>
      <w:pPr>
        <w:spacing w:line="600" w:lineRule="exact"/>
        <w:ind w:firstLine="640"/>
        <w:rPr>
          <w:rFonts w:ascii="仿宋_GB2312" w:eastAsia="仿宋_GB2312"/>
          <w:sz w:val="32"/>
          <w:szCs w:val="32"/>
        </w:rPr>
      </w:pPr>
      <w:r>
        <w:rPr>
          <w:rFonts w:hint="eastAsia" w:ascii="仿宋" w:hAnsi="仿宋" w:eastAsia="仿宋"/>
          <w:b/>
          <w:sz w:val="32"/>
          <w:szCs w:val="32"/>
        </w:rPr>
        <w:t>国内公务接待支出0.25</w:t>
      </w:r>
      <w:r>
        <w:rPr>
          <w:rFonts w:hint="eastAsia" w:ascii="仿宋_GB2312" w:eastAsia="仿宋_GB2312"/>
          <w:sz w:val="32"/>
          <w:szCs w:val="32"/>
        </w:rPr>
        <w:t>万元，主要用于开展业务活动开支住宿费、用餐费等。国内公务接待1批次，12人次（不包括陪同人员），共计支出0.25万元。</w:t>
      </w:r>
    </w:p>
    <w:p>
      <w:pPr>
        <w:spacing w:line="600" w:lineRule="exact"/>
        <w:ind w:firstLine="643" w:firstLineChars="200"/>
        <w:rPr>
          <w:rFonts w:ascii="黑体" w:eastAsia="黑体"/>
          <w:sz w:val="32"/>
          <w:szCs w:val="32"/>
        </w:rPr>
      </w:pPr>
      <w:r>
        <w:rPr>
          <w:rFonts w:hint="eastAsia" w:ascii="仿宋" w:hAnsi="仿宋" w:eastAsia="仿宋"/>
          <w:b/>
          <w:sz w:val="32"/>
          <w:szCs w:val="32"/>
        </w:rPr>
        <w:t>外事接待支出0</w:t>
      </w:r>
      <w:r>
        <w:rPr>
          <w:rFonts w:hint="eastAsia" w:ascii="仿宋_GB2312" w:eastAsia="仿宋_GB2312"/>
          <w:sz w:val="32"/>
          <w:szCs w:val="32"/>
        </w:rPr>
        <w:t>万元，主要用于接待（具体项目）。外事接待0批次，0人次（不包括陪同人员），共计支出0万元。</w:t>
      </w:r>
      <w:bookmarkStart w:id="62" w:name="_Toc15396610"/>
      <w:bookmarkStart w:id="63" w:name="_Toc15377218"/>
    </w:p>
    <w:p>
      <w:pPr>
        <w:spacing w:line="600" w:lineRule="exact"/>
        <w:ind w:firstLine="640"/>
        <w:outlineLvl w:val="1"/>
        <w:rPr>
          <w:rStyle w:val="31"/>
          <w:rFonts w:hint="eastAsia" w:ascii="黑体" w:hAnsi="黑体" w:eastAsia="黑体"/>
        </w:rPr>
      </w:pPr>
      <w:bookmarkStart w:id="64" w:name="_Toc18014"/>
      <w:r>
        <w:rPr>
          <w:rFonts w:hint="eastAsia" w:ascii="黑体" w:eastAsia="黑体"/>
          <w:sz w:val="32"/>
          <w:szCs w:val="32"/>
        </w:rPr>
        <w:t>八、</w:t>
      </w:r>
      <w:r>
        <w:rPr>
          <w:rStyle w:val="31"/>
          <w:rFonts w:hint="eastAsia" w:ascii="黑体" w:hAnsi="黑体" w:eastAsia="黑体"/>
          <w:b w:val="0"/>
        </w:rPr>
        <w:t>政府性基金预算支出决算情况说明</w:t>
      </w:r>
      <w:bookmarkEnd w:id="62"/>
      <w:bookmarkEnd w:id="63"/>
      <w:bookmarkEnd w:id="64"/>
    </w:p>
    <w:p>
      <w:pPr>
        <w:spacing w:line="600" w:lineRule="exact"/>
        <w:ind w:firstLine="640"/>
        <w:rPr>
          <w:rFonts w:ascii="仿宋_GB2312" w:eastAsia="仿宋_GB2312"/>
          <w:sz w:val="32"/>
          <w:szCs w:val="32"/>
        </w:rPr>
      </w:pPr>
      <w:r>
        <w:rPr>
          <w:rFonts w:hint="eastAsia" w:ascii="仿宋_GB2312" w:eastAsia="仿宋_GB2312"/>
          <w:sz w:val="32"/>
          <w:szCs w:val="32"/>
        </w:rPr>
        <w:t>2023年度年初无政府性基金预算财政拨款支出。</w:t>
      </w:r>
    </w:p>
    <w:p>
      <w:pPr>
        <w:numPr>
          <w:ilvl w:val="0"/>
          <w:numId w:val="4"/>
        </w:numPr>
        <w:spacing w:line="600" w:lineRule="exact"/>
        <w:ind w:firstLine="640"/>
        <w:outlineLvl w:val="1"/>
        <w:rPr>
          <w:rStyle w:val="31"/>
          <w:rFonts w:hint="eastAsia" w:ascii="黑体" w:hAnsi="黑体" w:eastAsia="黑体"/>
          <w:b w:val="0"/>
        </w:rPr>
      </w:pPr>
      <w:bookmarkStart w:id="65" w:name="_Toc20652"/>
      <w:bookmarkStart w:id="66" w:name="_Toc15396611"/>
      <w:bookmarkStart w:id="67" w:name="_Toc15377219"/>
      <w:r>
        <w:rPr>
          <w:rStyle w:val="31"/>
          <w:rFonts w:hint="eastAsia" w:ascii="黑体" w:hAnsi="黑体" w:eastAsia="黑体"/>
          <w:b w:val="0"/>
        </w:rPr>
        <w:t>国有资本经营预算支出决算情况说明</w:t>
      </w:r>
      <w:bookmarkEnd w:id="65"/>
      <w:bookmarkEnd w:id="66"/>
      <w:bookmarkEnd w:id="67"/>
    </w:p>
    <w:p>
      <w:pPr>
        <w:spacing w:line="600" w:lineRule="exact"/>
        <w:ind w:firstLine="640"/>
        <w:rPr>
          <w:rFonts w:hint="eastAsia" w:ascii="方正小标宋简体" w:hAnsi="方正小标宋简体" w:eastAsia="方正小标宋简体" w:cs="方正小标宋简体"/>
          <w:sz w:val="44"/>
          <w:szCs w:val="44"/>
        </w:rPr>
      </w:pPr>
      <w:r>
        <w:rPr>
          <w:rFonts w:hint="eastAsia" w:ascii="仿宋_GB2312" w:eastAsia="仿宋_GB2312"/>
          <w:sz w:val="32"/>
          <w:szCs w:val="32"/>
        </w:rPr>
        <w:t>2023年度年初无国有资本经营预算财政拨款支出。</w:t>
      </w:r>
    </w:p>
    <w:p>
      <w:pPr>
        <w:numPr>
          <w:ilvl w:val="0"/>
          <w:numId w:val="4"/>
        </w:numPr>
        <w:spacing w:line="600" w:lineRule="exact"/>
        <w:ind w:firstLine="640"/>
        <w:outlineLvl w:val="1"/>
        <w:rPr>
          <w:rStyle w:val="31"/>
          <w:rFonts w:hint="eastAsia" w:ascii="黑体" w:hAnsi="黑体" w:eastAsia="黑体"/>
          <w:b w:val="0"/>
        </w:rPr>
      </w:pPr>
      <w:bookmarkStart w:id="68" w:name="_Toc15377221"/>
      <w:bookmarkStart w:id="69" w:name="_Toc12147"/>
      <w:bookmarkStart w:id="70" w:name="_Toc15396612"/>
      <w:r>
        <w:rPr>
          <w:rStyle w:val="31"/>
          <w:rFonts w:hint="eastAsia" w:ascii="黑体" w:hAnsi="黑体" w:eastAsia="黑体"/>
          <w:b w:val="0"/>
        </w:rPr>
        <w:t>其他重要事项的情况说明</w:t>
      </w:r>
      <w:bookmarkEnd w:id="68"/>
      <w:bookmarkEnd w:id="69"/>
      <w:bookmarkEnd w:id="70"/>
    </w:p>
    <w:p>
      <w:pPr>
        <w:spacing w:line="600" w:lineRule="exact"/>
        <w:ind w:firstLine="643" w:firstLineChars="200"/>
        <w:outlineLvl w:val="2"/>
        <w:rPr>
          <w:rFonts w:hint="eastAsia" w:ascii="仿宋" w:hAnsi="仿宋" w:eastAsia="仿宋"/>
          <w:sz w:val="32"/>
          <w:szCs w:val="32"/>
        </w:rPr>
      </w:pPr>
      <w:bookmarkStart w:id="71" w:name="_Toc19766"/>
      <w:bookmarkStart w:id="72" w:name="_Toc15377222"/>
      <w:r>
        <w:rPr>
          <w:rFonts w:hint="eastAsia" w:ascii="仿宋" w:hAnsi="仿宋" w:eastAsia="仿宋"/>
          <w:b/>
          <w:sz w:val="32"/>
          <w:szCs w:val="32"/>
        </w:rPr>
        <w:t>（一）机关运行经费支出情况</w:t>
      </w:r>
      <w:bookmarkEnd w:id="71"/>
      <w:bookmarkEnd w:id="72"/>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2023年度，红原县县委党校机关运行经费支出14.5</w:t>
      </w:r>
      <w:r>
        <w:rPr>
          <w:sz w:val="32"/>
          <w:szCs w:val="32"/>
        </w:rPr>
        <w:t>3</w:t>
      </w:r>
      <w:r>
        <w:rPr>
          <w:rFonts w:hint="eastAsia" w:ascii="仿宋_GB2312" w:eastAsia="仿宋_GB2312"/>
          <w:sz w:val="32"/>
          <w:szCs w:val="32"/>
        </w:rPr>
        <w:t>万元，比2022年度减少0万元，下降0</w:t>
      </w:r>
      <w:r>
        <w:rPr>
          <w:rFonts w:ascii="仿宋_GB2312" w:eastAsia="仿宋_GB2312"/>
          <w:sz w:val="32"/>
          <w:szCs w:val="32"/>
        </w:rPr>
        <w:t>%</w:t>
      </w:r>
      <w:r>
        <w:rPr>
          <w:rFonts w:hint="eastAsia" w:ascii="仿宋_GB2312" w:eastAsia="仿宋_GB2312"/>
          <w:sz w:val="32"/>
          <w:szCs w:val="32"/>
        </w:rPr>
        <w:t>（或与2022年度决算数持平）。</w:t>
      </w:r>
    </w:p>
    <w:p>
      <w:pPr>
        <w:autoSpaceDE w:val="0"/>
        <w:autoSpaceDN w:val="0"/>
        <w:adjustRightInd w:val="0"/>
        <w:spacing w:line="600" w:lineRule="exact"/>
        <w:ind w:firstLine="643" w:firstLineChars="200"/>
        <w:jc w:val="left"/>
        <w:outlineLvl w:val="2"/>
        <w:rPr>
          <w:rFonts w:hint="eastAsia" w:ascii="仿宋" w:hAnsi="仿宋" w:eastAsia="仿宋"/>
          <w:b/>
          <w:sz w:val="32"/>
          <w:szCs w:val="32"/>
        </w:rPr>
      </w:pPr>
      <w:bookmarkStart w:id="73" w:name="_Toc15377223"/>
      <w:bookmarkStart w:id="74" w:name="_Toc27672"/>
      <w:r>
        <w:rPr>
          <w:rFonts w:hint="eastAsia" w:ascii="仿宋" w:hAnsi="仿宋" w:eastAsia="仿宋"/>
          <w:b/>
          <w:sz w:val="32"/>
          <w:szCs w:val="32"/>
        </w:rPr>
        <w:t>（二）政府采购支出情况</w:t>
      </w:r>
      <w:bookmarkEnd w:id="73"/>
      <w:bookmarkEnd w:id="74"/>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2023年度，红原县县委党校政府采购支出总额万元，其中：政府采购货物支出</w:t>
      </w:r>
      <w:r>
        <w:rPr>
          <w:sz w:val="32"/>
          <w:szCs w:val="32"/>
        </w:rPr>
        <w:t>0</w:t>
      </w:r>
      <w:r>
        <w:rPr>
          <w:rFonts w:hint="eastAsia" w:ascii="仿宋_GB2312" w:eastAsia="仿宋_GB2312"/>
          <w:sz w:val="32"/>
          <w:szCs w:val="32"/>
        </w:rPr>
        <w:t>万元、政府采购工程支出</w:t>
      </w:r>
      <w:r>
        <w:rPr>
          <w:sz w:val="32"/>
          <w:szCs w:val="32"/>
        </w:rPr>
        <w:t>0</w:t>
      </w:r>
      <w:r>
        <w:rPr>
          <w:rFonts w:hint="eastAsia" w:ascii="仿宋_GB2312" w:eastAsia="仿宋_GB2312"/>
          <w:sz w:val="32"/>
          <w:szCs w:val="32"/>
        </w:rPr>
        <w:t>万元、政府采购服务支出0万元。主要用于（具体工作）。授予中小企业合同金额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，其中：授予小微企业合同金额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hint="eastAsia" w:ascii="仿宋" w:hAnsi="仿宋" w:eastAsia="仿宋"/>
          <w:b/>
          <w:sz w:val="32"/>
          <w:szCs w:val="32"/>
        </w:rPr>
      </w:pPr>
      <w:bookmarkStart w:id="75" w:name="_Toc29601"/>
      <w:bookmarkStart w:id="76" w:name="_Toc15377224"/>
      <w:r>
        <w:rPr>
          <w:rFonts w:hint="eastAsia" w:ascii="仿宋" w:hAnsi="仿宋" w:eastAsia="仿宋"/>
          <w:b/>
          <w:sz w:val="32"/>
          <w:szCs w:val="32"/>
        </w:rPr>
        <w:t>（三）国有资产占有使用情况</w:t>
      </w:r>
      <w:bookmarkEnd w:id="75"/>
      <w:bookmarkEnd w:id="76"/>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sz w:val="32"/>
          <w:szCs w:val="32"/>
        </w:rPr>
        <w:t>红原县县委党校</w:t>
      </w:r>
      <w:r>
        <w:rPr>
          <w:rFonts w:hint="eastAsia" w:ascii="仿宋_GB2312" w:eastAsia="仿宋_GB2312"/>
          <w:sz w:val="32"/>
          <w:szCs w:val="32"/>
        </w:rPr>
        <w:t>共有车辆</w:t>
      </w:r>
      <w:r>
        <w:rPr>
          <w:rFonts w:ascii="仿宋_GB2312" w:eastAsia="仿宋_GB2312"/>
          <w:sz w:val="32"/>
          <w:szCs w:val="32"/>
        </w:rPr>
        <w:t>2</w:t>
      </w:r>
      <w:r>
        <w:rPr>
          <w:rFonts w:hint="eastAsia" w:ascii="仿宋_GB2312" w:eastAsia="仿宋_GB2312"/>
          <w:sz w:val="32"/>
          <w:szCs w:val="32"/>
        </w:rPr>
        <w:t>辆，其中：主要领导干部用车0辆、机要通信用车0辆、应急保障用车2辆、其他用车0辆。单价</w:t>
      </w:r>
      <w:r>
        <w:rPr>
          <w:rFonts w:ascii="仿宋_GB2312" w:eastAsia="仿宋_GB2312"/>
          <w:sz w:val="32"/>
          <w:szCs w:val="32"/>
        </w:rPr>
        <w:t>100</w:t>
      </w:r>
      <w:r>
        <w:rPr>
          <w:rFonts w:hint="eastAsia" w:ascii="仿宋_GB2312" w:eastAsia="仿宋_GB2312"/>
          <w:sz w:val="32"/>
          <w:szCs w:val="32"/>
        </w:rPr>
        <w:t>万元以上设备（不含车辆）</w:t>
      </w:r>
      <w:r>
        <w:rPr>
          <w:sz w:val="32"/>
          <w:szCs w:val="32"/>
        </w:rPr>
        <w:t>0</w:t>
      </w:r>
      <w:r>
        <w:rPr>
          <w:rFonts w:hint="eastAsia" w:ascii="仿宋_GB2312" w:eastAsia="仿宋_GB2312"/>
          <w:sz w:val="32"/>
          <w:szCs w:val="32"/>
        </w:rPr>
        <w:t>台（套）。</w:t>
      </w:r>
    </w:p>
    <w:p>
      <w:pPr>
        <w:autoSpaceDE w:val="0"/>
        <w:autoSpaceDN w:val="0"/>
        <w:adjustRightInd w:val="0"/>
        <w:spacing w:line="600" w:lineRule="exact"/>
        <w:ind w:firstLine="643" w:firstLineChars="200"/>
        <w:jc w:val="left"/>
        <w:outlineLvl w:val="2"/>
        <w:rPr>
          <w:rFonts w:hint="eastAsia" w:ascii="仿宋" w:hAnsi="仿宋" w:eastAsia="仿宋"/>
          <w:b/>
          <w:sz w:val="32"/>
          <w:szCs w:val="32"/>
        </w:rPr>
      </w:pPr>
      <w:bookmarkStart w:id="77" w:name="_Toc2667"/>
      <w:r>
        <w:rPr>
          <w:rFonts w:hint="eastAsia" w:ascii="仿宋" w:hAnsi="仿宋" w:eastAsia="仿宋"/>
          <w:b/>
          <w:sz w:val="32"/>
          <w:szCs w:val="32"/>
        </w:rPr>
        <w:t>（四）预算绩效管理情况</w:t>
      </w:r>
      <w:bookmarkEnd w:id="77"/>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2023年度预算编制阶段，组织对“中共红原县委党校省级民族团结进步教育基地文化建设项目”、“红色文化讲解员交往交流交融专题培训项目”、“党校建设项目一期”、“2023年红原县党校长征干部学院建设项目（二期）缺口资金）”、“红原县委党校长征干部学院建设项目”等25个项目开展了预算事前绩效评估，对25个项目编制了绩效目标，预算执行过程中，选取25个项目开展绩效监控。</w:t>
      </w:r>
    </w:p>
    <w:p>
      <w:pPr>
        <w:widowControl/>
        <w:adjustRightInd w:val="0"/>
        <w:snapToGrid w:val="0"/>
        <w:spacing w:line="560" w:lineRule="exact"/>
        <w:ind w:firstLine="720"/>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组织对2023年度一般公共预算、政府性基金预算、国有资本经营预算、社会保险基金预算以及资本资产、债券资金等全面开展绩效自评，形成部门整体（含部门预算项目）绩效自评报告，部门整体（含部门预算项目）绩效自评得分为96分，从收支执行，三公经费管理，预算管理，绩效管理等方面进行了详尽</w:t>
      </w:r>
      <w:r>
        <w:rPr>
          <w:rFonts w:hint="eastAsia" w:ascii="仿宋_GB2312" w:hAnsi="仿宋_GB2312" w:eastAsia="仿宋_GB2312" w:cs="仿宋_GB2312"/>
          <w:sz w:val="32"/>
          <w:szCs w:val="32"/>
          <w:lang w:val="zh-CN"/>
        </w:rPr>
        <w:t>部门自评、</w:t>
      </w:r>
      <w:r>
        <w:rPr>
          <w:rFonts w:hint="eastAsia" w:ascii="仿宋_GB2312" w:hAnsi="仿宋_GB2312" w:eastAsia="仿宋_GB2312" w:cs="仿宋_GB2312"/>
          <w:sz w:val="32"/>
          <w:szCs w:val="32"/>
        </w:rPr>
        <w:t>2023年预算绩效目标，项目预算绩效目标等均进行了公开，评价结果较好，对部门预算编制不够精准细化的问题将在后续工作中逐步改进。</w:t>
      </w:r>
    </w:p>
    <w:p>
      <w:pPr>
        <w:spacing w:line="580" w:lineRule="exact"/>
        <w:ind w:firstLine="640" w:firstLineChars="200"/>
        <w:rPr>
          <w:rFonts w:ascii="仿宋_GB2312" w:hAnsi="仿宋_GB2312" w:eastAsia="仿宋_GB2312" w:cs="仿宋_GB2312"/>
          <w:sz w:val="32"/>
          <w:szCs w:val="32"/>
        </w:rPr>
      </w:pPr>
    </w:p>
    <w:p>
      <w:pPr>
        <w:pStyle w:val="4"/>
        <w:jc w:val="center"/>
      </w:pPr>
      <w:bookmarkStart w:id="78" w:name="_Toc28682"/>
      <w:r>
        <w:rPr>
          <w:rFonts w:hint="eastAsia"/>
        </w:rPr>
        <w:t>第三部分 名词解释</w:t>
      </w:r>
      <w:bookmarkEnd w:id="78"/>
    </w:p>
    <w:p/>
    <w:p>
      <w:pPr>
        <w:ind w:firstLine="640" w:firstLineChars="200"/>
        <w:rPr>
          <w:rFonts w:ascii="仿宋_GB2312" w:eastAsia="仿宋_GB2312"/>
          <w:sz w:val="32"/>
          <w:szCs w:val="32"/>
        </w:rPr>
      </w:pPr>
      <w:r>
        <w:rPr>
          <w:rFonts w:hint="eastAsia" w:ascii="仿宋_GB2312" w:eastAsia="仿宋_GB2312"/>
          <w:sz w:val="32"/>
          <w:szCs w:val="32"/>
        </w:rPr>
        <w:t>1.财政拨款收入：指单位从同级财政部门取得的财政预算资金。</w:t>
      </w:r>
    </w:p>
    <w:p>
      <w:pPr>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2.事业收入：指事业单位开展专业业务活动及辅助活动取得的收入。</w:t>
      </w:r>
    </w:p>
    <w:p>
      <w:pPr>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ind w:firstLine="640" w:firstLineChars="200"/>
        <w:rPr>
          <w:rFonts w:ascii="仿宋_GB2312" w:eastAsia="仿宋_GB2312"/>
          <w:sz w:val="32"/>
          <w:szCs w:val="32"/>
        </w:rPr>
      </w:pPr>
      <w:r>
        <w:rPr>
          <w:rFonts w:hint="eastAsia" w:ascii="仿宋_GB2312" w:eastAsia="仿宋_GB2312"/>
          <w:sz w:val="32"/>
          <w:szCs w:val="32"/>
        </w:rPr>
        <w:t>4.其他收入：指单位取得的除上述收入以外的各项收入。</w:t>
      </w:r>
    </w:p>
    <w:p>
      <w:pPr>
        <w:ind w:firstLine="640" w:firstLineChars="200"/>
        <w:rPr>
          <w:rFonts w:ascii="仿宋_GB2312" w:eastAsia="仿宋_GB2312"/>
          <w:sz w:val="32"/>
          <w:szCs w:val="32"/>
        </w:rPr>
      </w:pPr>
      <w:r>
        <w:rPr>
          <w:rFonts w:hint="eastAsia" w:ascii="仿宋_GB2312" w:eastAsia="仿宋_GB2312"/>
          <w:sz w:val="32"/>
          <w:szCs w:val="32"/>
        </w:rPr>
        <w:t xml:space="preserve">5.使用非财政拨款结余（含专用结余）：指事业单位使用以前年度积累的非财政拨款结余弥补当年收支差额的金额。 </w:t>
      </w:r>
    </w:p>
    <w:p>
      <w:pPr>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ind w:firstLine="640" w:firstLineChars="200"/>
        <w:rPr>
          <w:rFonts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pPr>
        <w:ind w:firstLine="640" w:firstLineChars="200"/>
        <w:rPr>
          <w:rFonts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ind w:firstLine="640" w:firstLineChars="200"/>
        <w:rPr>
          <w:rFonts w:ascii="仿宋_GB2312" w:eastAsia="仿宋_GB2312"/>
          <w:sz w:val="32"/>
          <w:szCs w:val="32"/>
        </w:rPr>
      </w:pPr>
      <w:r>
        <w:rPr>
          <w:rFonts w:hint="eastAsia" w:ascii="仿宋_GB2312" w:eastAsia="仿宋_GB2312"/>
          <w:sz w:val="32"/>
          <w:szCs w:val="32"/>
        </w:rPr>
        <w:t>9.一般公共服务（类）…（款）…（项）：指……。</w:t>
      </w:r>
    </w:p>
    <w:p>
      <w:pPr>
        <w:ind w:firstLine="640" w:firstLineChars="200"/>
        <w:rPr>
          <w:rFonts w:ascii="仿宋_GB2312" w:eastAsia="仿宋_GB2312"/>
          <w:sz w:val="32"/>
          <w:szCs w:val="32"/>
        </w:rPr>
      </w:pPr>
      <w:r>
        <w:rPr>
          <w:rFonts w:hint="eastAsia" w:ascii="仿宋_GB2312" w:eastAsia="仿宋_GB2312"/>
          <w:sz w:val="32"/>
          <w:szCs w:val="32"/>
        </w:rPr>
        <w:t>10.外交（类）…（款）…（项）：指……。</w:t>
      </w:r>
    </w:p>
    <w:p>
      <w:pPr>
        <w:ind w:firstLine="640" w:firstLineChars="200"/>
        <w:rPr>
          <w:rFonts w:ascii="仿宋_GB2312" w:eastAsia="仿宋_GB2312"/>
          <w:sz w:val="32"/>
          <w:szCs w:val="32"/>
        </w:rPr>
      </w:pPr>
      <w:r>
        <w:rPr>
          <w:rFonts w:hint="eastAsia" w:ascii="仿宋_GB2312" w:eastAsia="仿宋_GB2312"/>
          <w:sz w:val="32"/>
          <w:szCs w:val="32"/>
        </w:rPr>
        <w:t>11.公共安全（类）…（款）…（项）：指……。</w:t>
      </w:r>
    </w:p>
    <w:p>
      <w:pPr>
        <w:ind w:firstLine="640" w:firstLineChars="200"/>
        <w:rPr>
          <w:rFonts w:ascii="仿宋_GB2312" w:eastAsia="仿宋_GB2312"/>
          <w:sz w:val="32"/>
          <w:szCs w:val="32"/>
        </w:rPr>
      </w:pPr>
      <w:r>
        <w:rPr>
          <w:rFonts w:hint="eastAsia" w:ascii="仿宋_GB2312" w:eastAsia="仿宋_GB2312"/>
          <w:sz w:val="32"/>
          <w:szCs w:val="32"/>
        </w:rPr>
        <w:t>12.教育（类）…（款）…（项）：指……。</w:t>
      </w:r>
    </w:p>
    <w:p>
      <w:pPr>
        <w:ind w:firstLine="640" w:firstLineChars="200"/>
        <w:rPr>
          <w:rFonts w:ascii="仿宋_GB2312" w:eastAsia="仿宋_GB2312"/>
          <w:sz w:val="32"/>
          <w:szCs w:val="32"/>
        </w:rPr>
      </w:pPr>
      <w:r>
        <w:rPr>
          <w:rFonts w:hint="eastAsia" w:ascii="仿宋_GB2312" w:eastAsia="仿宋_GB2312"/>
          <w:sz w:val="32"/>
          <w:szCs w:val="32"/>
        </w:rPr>
        <w:t>13.科学技术（类）…（款）…（项）：指……。</w:t>
      </w:r>
    </w:p>
    <w:p>
      <w:pPr>
        <w:ind w:firstLine="640" w:firstLineChars="200"/>
        <w:rPr>
          <w:rFonts w:ascii="仿宋_GB2312" w:eastAsia="仿宋_GB2312"/>
          <w:sz w:val="32"/>
          <w:szCs w:val="32"/>
        </w:rPr>
      </w:pPr>
      <w:r>
        <w:rPr>
          <w:rFonts w:hint="eastAsia" w:ascii="仿宋_GB2312" w:eastAsia="仿宋_GB2312"/>
          <w:sz w:val="32"/>
          <w:szCs w:val="32"/>
        </w:rPr>
        <w:t>14.文化旅游体育与传媒（类）…（款）…（项）：指……。</w:t>
      </w:r>
    </w:p>
    <w:p>
      <w:pPr>
        <w:ind w:firstLine="640" w:firstLineChars="200"/>
        <w:rPr>
          <w:rFonts w:ascii="仿宋_GB2312" w:eastAsia="仿宋_GB2312"/>
          <w:sz w:val="32"/>
          <w:szCs w:val="32"/>
        </w:rPr>
      </w:pPr>
      <w:r>
        <w:rPr>
          <w:rFonts w:hint="eastAsia" w:ascii="仿宋_GB2312" w:eastAsia="仿宋_GB2312"/>
          <w:sz w:val="32"/>
          <w:szCs w:val="32"/>
        </w:rPr>
        <w:t>15.社会保障和就业（类）…（款）…（项）：指……。</w:t>
      </w:r>
    </w:p>
    <w:p>
      <w:pPr>
        <w:ind w:firstLine="640" w:firstLineChars="200"/>
        <w:rPr>
          <w:rFonts w:ascii="仿宋_GB2312" w:eastAsia="仿宋_GB2312"/>
          <w:sz w:val="32"/>
          <w:szCs w:val="32"/>
        </w:rPr>
      </w:pPr>
      <w:r>
        <w:rPr>
          <w:rFonts w:hint="eastAsia" w:ascii="仿宋_GB2312" w:eastAsia="仿宋_GB2312"/>
          <w:sz w:val="32"/>
          <w:szCs w:val="32"/>
        </w:rPr>
        <w:t>16.卫生健康（类）…（款）…（项）：指……。</w:t>
      </w:r>
    </w:p>
    <w:p>
      <w:pPr>
        <w:ind w:firstLine="640" w:firstLineChars="200"/>
        <w:rPr>
          <w:rFonts w:ascii="仿宋_GB2312" w:eastAsia="仿宋_GB2312"/>
          <w:sz w:val="32"/>
          <w:szCs w:val="32"/>
        </w:rPr>
      </w:pPr>
      <w:r>
        <w:rPr>
          <w:rFonts w:hint="eastAsia" w:ascii="仿宋_GB2312" w:eastAsia="仿宋_GB2312"/>
          <w:sz w:val="32"/>
          <w:szCs w:val="32"/>
        </w:rPr>
        <w:t>17.节能环保（类）…（款）…（项）：指……。</w:t>
      </w:r>
    </w:p>
    <w:p>
      <w:pPr>
        <w:ind w:firstLine="640" w:firstLineChars="200"/>
        <w:rPr>
          <w:rFonts w:ascii="仿宋_GB2312" w:eastAsia="仿宋_GB2312"/>
          <w:sz w:val="32"/>
          <w:szCs w:val="32"/>
        </w:rPr>
      </w:pPr>
      <w:r>
        <w:rPr>
          <w:rFonts w:hint="eastAsia" w:ascii="仿宋_GB2312" w:eastAsia="仿宋_GB2312"/>
          <w:sz w:val="32"/>
          <w:szCs w:val="32"/>
        </w:rPr>
        <w:t>18.城乡社区（类）…（款）…（项）：指……。</w:t>
      </w:r>
    </w:p>
    <w:p>
      <w:pPr>
        <w:ind w:firstLine="640" w:firstLineChars="200"/>
        <w:rPr>
          <w:rFonts w:ascii="仿宋_GB2312" w:eastAsia="仿宋_GB2312"/>
          <w:sz w:val="32"/>
          <w:szCs w:val="32"/>
        </w:rPr>
      </w:pPr>
      <w:r>
        <w:rPr>
          <w:rFonts w:hint="eastAsia" w:ascii="仿宋_GB2312" w:eastAsia="仿宋_GB2312"/>
          <w:sz w:val="32"/>
          <w:szCs w:val="32"/>
        </w:rPr>
        <w:t>19.农林水（类）…（款）…（项）：指……。</w:t>
      </w:r>
    </w:p>
    <w:p>
      <w:pPr>
        <w:ind w:firstLine="640" w:firstLineChars="200"/>
        <w:rPr>
          <w:rFonts w:ascii="仿宋_GB2312" w:eastAsia="仿宋_GB2312"/>
          <w:sz w:val="32"/>
          <w:szCs w:val="32"/>
        </w:rPr>
      </w:pPr>
      <w:r>
        <w:rPr>
          <w:rFonts w:hint="eastAsia" w:ascii="仿宋_GB2312" w:eastAsia="仿宋_GB2312"/>
          <w:sz w:val="32"/>
          <w:szCs w:val="32"/>
        </w:rPr>
        <w:t>20.交通运输（类）…（款）…（项）：指……。</w:t>
      </w:r>
    </w:p>
    <w:p>
      <w:pPr>
        <w:ind w:firstLine="640" w:firstLineChars="200"/>
        <w:rPr>
          <w:rFonts w:ascii="仿宋_GB2312" w:eastAsia="仿宋_GB2312"/>
          <w:sz w:val="32"/>
          <w:szCs w:val="32"/>
        </w:rPr>
      </w:pPr>
      <w:r>
        <w:rPr>
          <w:rFonts w:hint="eastAsia" w:ascii="仿宋_GB2312" w:eastAsia="仿宋_GB2312"/>
          <w:sz w:val="32"/>
          <w:szCs w:val="32"/>
        </w:rPr>
        <w:t>21.资源勘探工业信息等（类）…（款）…（项）：指……。</w:t>
      </w:r>
    </w:p>
    <w:p>
      <w:pPr>
        <w:ind w:firstLine="640" w:firstLineChars="200"/>
        <w:rPr>
          <w:rFonts w:ascii="仿宋_GB2312" w:eastAsia="仿宋_GB2312"/>
          <w:sz w:val="32"/>
          <w:szCs w:val="32"/>
        </w:rPr>
      </w:pPr>
      <w:r>
        <w:rPr>
          <w:rFonts w:hint="eastAsia" w:ascii="仿宋_GB2312" w:eastAsia="仿宋_GB2312"/>
          <w:sz w:val="32"/>
          <w:szCs w:val="32"/>
        </w:rPr>
        <w:t>22.商业服务业（类）…（款）…（项）：指……。</w:t>
      </w:r>
    </w:p>
    <w:p>
      <w:pPr>
        <w:ind w:firstLine="640" w:firstLineChars="200"/>
        <w:rPr>
          <w:rFonts w:ascii="仿宋_GB2312" w:eastAsia="仿宋_GB2312"/>
          <w:sz w:val="32"/>
          <w:szCs w:val="32"/>
        </w:rPr>
      </w:pPr>
      <w:r>
        <w:rPr>
          <w:rFonts w:hint="eastAsia" w:ascii="仿宋_GB2312" w:eastAsia="仿宋_GB2312"/>
          <w:sz w:val="32"/>
          <w:szCs w:val="32"/>
        </w:rPr>
        <w:t>23.金融（类）…（款）…（项）：指……。</w:t>
      </w:r>
    </w:p>
    <w:p>
      <w:pPr>
        <w:ind w:firstLine="640" w:firstLineChars="200"/>
        <w:rPr>
          <w:rFonts w:ascii="仿宋_GB2312" w:eastAsia="仿宋_GB2312"/>
          <w:sz w:val="32"/>
          <w:szCs w:val="32"/>
        </w:rPr>
      </w:pPr>
      <w:r>
        <w:rPr>
          <w:rFonts w:hint="eastAsia" w:ascii="仿宋_GB2312" w:eastAsia="仿宋_GB2312"/>
          <w:sz w:val="32"/>
          <w:szCs w:val="32"/>
        </w:rPr>
        <w:t>24.自然资源海洋气象等（类）…（款）…（项）：指……。</w:t>
      </w:r>
    </w:p>
    <w:p>
      <w:pPr>
        <w:ind w:firstLine="640" w:firstLineChars="200"/>
        <w:rPr>
          <w:rFonts w:ascii="仿宋_GB2312" w:eastAsia="仿宋_GB2312"/>
          <w:sz w:val="32"/>
          <w:szCs w:val="32"/>
        </w:rPr>
      </w:pPr>
      <w:r>
        <w:rPr>
          <w:rFonts w:hint="eastAsia" w:ascii="仿宋_GB2312" w:eastAsia="仿宋_GB2312"/>
          <w:sz w:val="32"/>
          <w:szCs w:val="32"/>
        </w:rPr>
        <w:t>25.住房保障（类）…（款）…（项）：指……。</w:t>
      </w:r>
    </w:p>
    <w:p>
      <w:pPr>
        <w:ind w:firstLine="640" w:firstLineChars="200"/>
        <w:rPr>
          <w:rFonts w:ascii="仿宋_GB2312" w:eastAsia="仿宋_GB2312"/>
          <w:sz w:val="32"/>
          <w:szCs w:val="32"/>
        </w:rPr>
      </w:pPr>
      <w:r>
        <w:rPr>
          <w:rFonts w:hint="eastAsia" w:ascii="仿宋_GB2312" w:eastAsia="仿宋_GB2312"/>
          <w:sz w:val="32"/>
          <w:szCs w:val="32"/>
        </w:rPr>
        <w:t>26.粮油物资储备（类）…（款）…（项）：指……。</w:t>
      </w:r>
    </w:p>
    <w:p>
      <w:pPr>
        <w:ind w:firstLine="640" w:firstLineChars="200"/>
        <w:rPr>
          <w:rFonts w:ascii="仿宋_GB2312" w:eastAsia="仿宋_GB2312"/>
          <w:sz w:val="32"/>
          <w:szCs w:val="32"/>
        </w:rPr>
      </w:pPr>
      <w:r>
        <w:rPr>
          <w:rFonts w:hint="eastAsia" w:ascii="仿宋_GB2312" w:eastAsia="仿宋_GB2312"/>
          <w:sz w:val="32"/>
          <w:szCs w:val="32"/>
        </w:rPr>
        <w:t>27.基本支出：指为保障机构正常运转、完成日常工作任务而发生的人员支出和公用支出。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rPr>
        <w:t xml:space="preserve">28.项目支出：指在基本支出之外为完成特定行政任务和事业发展目标所发生的支出。 </w:t>
      </w:r>
    </w:p>
    <w:p>
      <w:pPr>
        <w:ind w:firstLine="640" w:firstLineChars="200"/>
        <w:rPr>
          <w:rFonts w:ascii="仿宋_GB2312" w:eastAsia="仿宋_GB2312"/>
          <w:sz w:val="32"/>
          <w:szCs w:val="32"/>
        </w:rPr>
      </w:pPr>
      <w:r>
        <w:rPr>
          <w:rFonts w:hint="eastAsia" w:ascii="仿宋_GB2312" w:eastAsia="仿宋_GB2312"/>
          <w:sz w:val="32"/>
          <w:szCs w:val="32"/>
        </w:rPr>
        <w:t>29.经营支出：指事业单位在专业业务活动及其辅助活动之外开展非独立核算经营活动发生的支出。</w:t>
      </w:r>
    </w:p>
    <w:p>
      <w:pPr>
        <w:ind w:firstLine="640" w:firstLineChars="200"/>
        <w:rPr>
          <w:rFonts w:ascii="仿宋_GB2312" w:eastAsia="仿宋_GB2312"/>
          <w:sz w:val="32"/>
          <w:szCs w:val="32"/>
        </w:rPr>
      </w:pPr>
      <w:r>
        <w:rPr>
          <w:rFonts w:hint="eastAsia" w:ascii="仿宋_GB2312" w:eastAsia="仿宋_GB2312"/>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仿宋_GB2312" w:eastAsia="仿宋_GB2312"/>
          <w:sz w:val="32"/>
          <w:szCs w:val="32"/>
        </w:rPr>
      </w:pPr>
      <w:r>
        <w:rPr>
          <w:rFonts w:hint="eastAsia" w:ascii="仿宋_GB2312" w:eastAsia="仿宋_GB2312"/>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3" w:firstLineChars="200"/>
        <w:rPr>
          <w:rFonts w:hint="eastAsia" w:ascii="仿宋" w:hAnsi="仿宋" w:eastAsia="仿宋"/>
          <w:b/>
          <w:sz w:val="32"/>
          <w:szCs w:val="32"/>
        </w:rPr>
      </w:pPr>
      <w:r>
        <w:rPr>
          <w:rFonts w:ascii="仿宋" w:hAnsi="仿宋" w:eastAsia="仿宋"/>
          <w:b/>
          <w:sz w:val="32"/>
          <w:szCs w:val="32"/>
        </w:rPr>
        <w:br w:type="page"/>
      </w:r>
    </w:p>
    <w:p>
      <w:pPr>
        <w:pStyle w:val="4"/>
        <w:jc w:val="center"/>
        <w:rPr>
          <w:rFonts w:hint="eastAsia" w:ascii="黑体" w:hAnsi="黑体" w:eastAsia="黑体"/>
          <w:b w:val="0"/>
        </w:rPr>
      </w:pPr>
      <w:bookmarkStart w:id="79" w:name="_Toc27307"/>
      <w:r>
        <w:rPr>
          <w:rFonts w:hint="eastAsia" w:ascii="黑体" w:hAnsi="黑体" w:eastAsia="黑体"/>
          <w:b w:val="0"/>
        </w:rPr>
        <w:t>第四部分 附件</w:t>
      </w:r>
      <w:bookmarkEnd w:id="79"/>
    </w:p>
    <w:p/>
    <w:p>
      <w:pPr>
        <w:rPr>
          <w:rFonts w:hint="eastAsia" w:ascii="黑体" w:hAnsi="黑体" w:eastAsia="黑体"/>
          <w:sz w:val="32"/>
          <w:szCs w:val="32"/>
        </w:rPr>
      </w:pPr>
      <w:r>
        <w:rPr>
          <w:rFonts w:hint="eastAsia" w:ascii="黑体" w:hAnsi="黑体" w:eastAsia="黑体"/>
          <w:sz w:val="32"/>
          <w:szCs w:val="32"/>
        </w:rPr>
        <w:t>附件1</w:t>
      </w:r>
    </w:p>
    <w:p>
      <w:pPr>
        <w:jc w:val="center"/>
        <w:rPr>
          <w:rFonts w:hint="eastAsia" w:ascii="方正小标宋简体" w:hAnsi="方正小标宋简体" w:eastAsia="方正小标宋简体"/>
          <w:sz w:val="44"/>
          <w:szCs w:val="44"/>
        </w:rPr>
      </w:pPr>
      <w:r>
        <w:rPr>
          <w:rFonts w:hint="eastAsia" w:ascii="方正小标宋简体" w:hAnsi="方正小标宋简体" w:eastAsia="方正小标宋简体"/>
          <w:sz w:val="44"/>
          <w:szCs w:val="44"/>
        </w:rPr>
        <w:t>部门预算绩效评价报告</w:t>
      </w:r>
    </w:p>
    <w:p/>
    <w:p>
      <w:pPr>
        <w:rPr>
          <w:rFonts w:hint="eastAsia" w:ascii="黑体" w:hAnsi="黑体" w:eastAsia="黑体"/>
          <w:sz w:val="32"/>
          <w:szCs w:val="32"/>
        </w:rPr>
      </w:pPr>
      <w:r>
        <w:rPr>
          <w:rFonts w:hint="eastAsia" w:ascii="黑体" w:hAnsi="黑体" w:eastAsia="黑体"/>
          <w:sz w:val="32"/>
          <w:szCs w:val="32"/>
        </w:rPr>
        <w:t>一、部门（单位）基本情况</w:t>
      </w:r>
    </w:p>
    <w:p>
      <w:pPr>
        <w:ind w:firstLine="643" w:firstLineChars="200"/>
        <w:rPr>
          <w:rFonts w:ascii="楷体_GB2312" w:eastAsia="楷体_GB2312"/>
          <w:b/>
          <w:sz w:val="32"/>
          <w:szCs w:val="32"/>
        </w:rPr>
      </w:pPr>
      <w:r>
        <w:rPr>
          <w:rFonts w:hint="eastAsia" w:ascii="楷体_GB2312" w:eastAsia="楷体_GB2312"/>
          <w:b/>
          <w:sz w:val="32"/>
          <w:szCs w:val="32"/>
        </w:rPr>
        <w:t>（一）机构组成。</w:t>
      </w:r>
    </w:p>
    <w:p>
      <w:pPr>
        <w:ind w:firstLine="640" w:firstLineChars="200"/>
        <w:rPr>
          <w:rFonts w:ascii="仿宋_GB2312" w:eastAsia="仿宋_GB2312"/>
          <w:sz w:val="32"/>
          <w:lang w:val="zh-CN"/>
        </w:rPr>
      </w:pPr>
      <w:r>
        <w:rPr>
          <w:rFonts w:hint="eastAsia" w:ascii="仿宋_GB2312" w:eastAsia="仿宋_GB2312"/>
          <w:sz w:val="32"/>
          <w:lang w:val="zh-CN"/>
        </w:rPr>
        <w:t>红原县</w:t>
      </w:r>
      <w:r>
        <w:rPr>
          <w:rFonts w:hint="eastAsia" w:ascii="仿宋_GB2312" w:eastAsia="仿宋_GB2312"/>
          <w:sz w:val="32"/>
        </w:rPr>
        <w:t>委员会党校</w:t>
      </w:r>
      <w:r>
        <w:rPr>
          <w:rFonts w:hint="eastAsia" w:ascii="仿宋_GB2312" w:eastAsia="仿宋_GB2312"/>
          <w:sz w:val="32"/>
          <w:lang w:val="zh-CN"/>
        </w:rPr>
        <w:t>是行政单位，执行行政单位会计制度，我局下属二级决算单位</w:t>
      </w:r>
      <w:r>
        <w:rPr>
          <w:rFonts w:hint="eastAsia" w:ascii="仿宋_GB2312" w:eastAsia="仿宋_GB2312"/>
          <w:sz w:val="32"/>
        </w:rPr>
        <w:t>1</w:t>
      </w:r>
      <w:r>
        <w:rPr>
          <w:rFonts w:hint="eastAsia" w:ascii="仿宋_GB2312" w:eastAsia="仿宋_GB2312"/>
          <w:sz w:val="32"/>
          <w:lang w:val="zh-CN"/>
        </w:rPr>
        <w:t>个，其中行政单位</w:t>
      </w:r>
      <w:r>
        <w:rPr>
          <w:rFonts w:hint="eastAsia" w:ascii="仿宋_GB2312" w:eastAsia="仿宋_GB2312"/>
          <w:sz w:val="32"/>
        </w:rPr>
        <w:t>0</w:t>
      </w:r>
      <w:r>
        <w:rPr>
          <w:rFonts w:hint="eastAsia" w:ascii="仿宋_GB2312" w:eastAsia="仿宋_GB2312"/>
          <w:sz w:val="32"/>
          <w:lang w:val="zh-CN"/>
        </w:rPr>
        <w:t>个，参照公务员法管理的事业单位</w:t>
      </w:r>
      <w:r>
        <w:rPr>
          <w:rFonts w:hint="eastAsia" w:ascii="仿宋_GB2312" w:eastAsia="仿宋_GB2312"/>
          <w:sz w:val="32"/>
        </w:rPr>
        <w:t>1</w:t>
      </w:r>
      <w:r>
        <w:rPr>
          <w:rFonts w:hint="eastAsia" w:ascii="仿宋_GB2312" w:eastAsia="仿宋_GB2312"/>
          <w:sz w:val="32"/>
          <w:lang w:val="zh-CN"/>
        </w:rPr>
        <w:t>个，其他事业单位0个，</w:t>
      </w:r>
      <w:r>
        <w:rPr>
          <w:rFonts w:ascii="仿宋_GB2312" w:eastAsia="仿宋_GB2312"/>
          <w:sz w:val="32"/>
          <w:lang w:val="zh-CN"/>
        </w:rPr>
        <w:t>是独立核算的机构</w:t>
      </w:r>
      <w:r>
        <w:rPr>
          <w:rFonts w:hint="eastAsia" w:ascii="仿宋_GB2312" w:eastAsia="仿宋_GB2312"/>
          <w:sz w:val="32"/>
          <w:lang w:val="zh-CN"/>
        </w:rPr>
        <w:t>。</w:t>
      </w:r>
    </w:p>
    <w:p>
      <w:pPr>
        <w:numPr>
          <w:ilvl w:val="0"/>
          <w:numId w:val="5"/>
        </w:numPr>
        <w:spacing w:line="560" w:lineRule="exact"/>
        <w:ind w:firstLine="643" w:firstLineChars="200"/>
        <w:rPr>
          <w:rFonts w:ascii="楷体_GB2312" w:eastAsia="楷体_GB2312"/>
          <w:b/>
          <w:sz w:val="32"/>
          <w:szCs w:val="32"/>
        </w:rPr>
      </w:pPr>
      <w:r>
        <w:rPr>
          <w:rFonts w:hint="eastAsia" w:ascii="楷体_GB2312" w:eastAsia="楷体_GB2312"/>
          <w:b/>
          <w:sz w:val="32"/>
          <w:szCs w:val="32"/>
        </w:rPr>
        <w:t>机构职能。</w:t>
      </w:r>
    </w:p>
    <w:p>
      <w:pPr>
        <w:ind w:firstLine="640" w:firstLineChars="200"/>
        <w:rPr>
          <w:rFonts w:ascii="仿宋_GB2312" w:eastAsia="仿宋_GB2312"/>
          <w:sz w:val="32"/>
          <w:lang w:val="zh-CN"/>
        </w:rPr>
      </w:pPr>
      <w:r>
        <w:rPr>
          <w:rFonts w:hint="eastAsia" w:ascii="仿宋_GB2312" w:eastAsia="仿宋_GB2312"/>
          <w:sz w:val="32"/>
          <w:lang w:val="zh-CN"/>
        </w:rPr>
        <w:t>1、根据中央、省委、州委及县委对干部队伍建设的要求，发挥干部教育培训主渠道作用，有计划地轮训和培训党员领导干部、优秀中青年干部、理论宣传骨干和农村基层干部等，努力培养造就一大批适应新时期要求和我县经济社会发展需要的领导干部，负债对学员在培训期间的表现进行考核，提出考核意见；</w:t>
      </w:r>
    </w:p>
    <w:p>
      <w:pPr>
        <w:ind w:firstLine="640" w:firstLineChars="200"/>
        <w:rPr>
          <w:rFonts w:ascii="仿宋_GB2312" w:eastAsia="仿宋_GB2312"/>
          <w:sz w:val="32"/>
          <w:lang w:val="zh-CN"/>
        </w:rPr>
      </w:pPr>
      <w:r>
        <w:rPr>
          <w:rFonts w:hint="eastAsia" w:ascii="仿宋_GB2312" w:eastAsia="仿宋_GB2312"/>
          <w:sz w:val="32"/>
          <w:lang w:val="zh-CN"/>
        </w:rPr>
        <w:t>2、贯彻党的基本路线、方针、政策。对学员进行马克思列宁主义、毛泽东思想、邓小平理论、“三个代表”重要思想、科学发展观、学习贯彻习近平新时代中国特色社会主义思想主题教育和党性教育，引导学员增强“四个意识”坚定“四个自信”，坚决维护以习近平同志为核心的党中央权威和集中统一领导，自觉在思想上政治善个行动上同党中央保持高度一致；</w:t>
      </w:r>
    </w:p>
    <w:p>
      <w:pPr>
        <w:ind w:firstLine="640" w:firstLineChars="200"/>
        <w:rPr>
          <w:rFonts w:ascii="仿宋_GB2312" w:eastAsia="仿宋_GB2312"/>
          <w:sz w:val="32"/>
          <w:lang w:val="zh-CN"/>
        </w:rPr>
      </w:pPr>
      <w:r>
        <w:rPr>
          <w:rFonts w:hint="eastAsia" w:ascii="仿宋_GB2312" w:eastAsia="仿宋_GB2312"/>
          <w:sz w:val="32"/>
          <w:lang w:val="zh-CN"/>
        </w:rPr>
        <w:t>3、围绕党的中心任务和国际国内出现的新情况、新问题以及县委、县政府的重大战略部署，积极开展相关知识讲座和现实问题研究，为县委、县政府科学决策服务，为教学和社会实践服务，发挥智库作用；</w:t>
      </w:r>
    </w:p>
    <w:p>
      <w:pPr>
        <w:ind w:firstLine="640" w:firstLineChars="200"/>
        <w:rPr>
          <w:rFonts w:ascii="仿宋_GB2312" w:eastAsia="仿宋_GB2312"/>
          <w:sz w:val="32"/>
          <w:lang w:val="zh-CN"/>
        </w:rPr>
      </w:pPr>
      <w:r>
        <w:rPr>
          <w:rFonts w:hint="eastAsia" w:ascii="仿宋_GB2312" w:eastAsia="仿宋_GB2312"/>
          <w:sz w:val="32"/>
          <w:lang w:val="zh-CN"/>
        </w:rPr>
        <w:t>4、配合组织人事部门对学员在校学校期间的表现进行考核、考察。严格规范考勤制度、请假制度、生活管理制度、考试考核制度和廉政建设的各项规定，加强学员党性锻炼；</w:t>
      </w:r>
    </w:p>
    <w:p>
      <w:pPr>
        <w:ind w:firstLine="640" w:firstLineChars="200"/>
        <w:rPr>
          <w:rFonts w:ascii="仿宋_GB2312" w:eastAsia="仿宋_GB2312"/>
          <w:sz w:val="32"/>
          <w:lang w:val="zh-CN"/>
        </w:rPr>
      </w:pPr>
      <w:r>
        <w:rPr>
          <w:rFonts w:hint="eastAsia" w:ascii="仿宋_GB2312" w:eastAsia="仿宋_GB2312"/>
          <w:sz w:val="32"/>
          <w:lang w:val="zh-CN"/>
        </w:rPr>
        <w:t>5、根据县委对全县干部队伍建设的要求，会同有关部门制度各类骨干的培训轮训计划，承担各类领导干部、公务员、党外干部等培训轮训任务；</w:t>
      </w:r>
    </w:p>
    <w:p>
      <w:pPr>
        <w:ind w:firstLine="640" w:firstLineChars="200"/>
        <w:rPr>
          <w:rFonts w:ascii="仿宋_GB2312" w:eastAsia="仿宋_GB2312"/>
          <w:sz w:val="32"/>
          <w:lang w:val="zh-CN"/>
        </w:rPr>
      </w:pPr>
      <w:r>
        <w:rPr>
          <w:rFonts w:hint="eastAsia" w:ascii="仿宋_GB2312" w:eastAsia="仿宋_GB2312"/>
          <w:sz w:val="32"/>
          <w:lang w:val="zh-CN"/>
        </w:rPr>
        <w:t>6、依照国家法律、法规和政策规定，审批全县党员干部教育培训中心的培训申请和方案，并监督教培中心遵纪守法、依法办学；</w:t>
      </w:r>
    </w:p>
    <w:p>
      <w:pPr>
        <w:ind w:firstLine="640" w:firstLineChars="200"/>
        <w:rPr>
          <w:rFonts w:ascii="仿宋_GB2312" w:eastAsia="仿宋_GB2312"/>
          <w:sz w:val="32"/>
          <w:lang w:val="zh-CN"/>
        </w:rPr>
      </w:pPr>
      <w:r>
        <w:rPr>
          <w:rFonts w:hint="eastAsia" w:ascii="仿宋_GB2312" w:eastAsia="仿宋_GB2312"/>
          <w:sz w:val="32"/>
          <w:lang w:val="zh-CN"/>
        </w:rPr>
        <w:t>7、承办县委、县政府举办的各类专题研讨班、学习班。提供举办党员干部培训的办学场地、办学设备；</w:t>
      </w:r>
    </w:p>
    <w:p>
      <w:pPr>
        <w:ind w:firstLine="640" w:firstLineChars="200"/>
        <w:rPr>
          <w:rFonts w:ascii="仿宋_GB2312" w:eastAsia="仿宋_GB2312"/>
          <w:sz w:val="32"/>
          <w:lang w:val="zh-CN"/>
        </w:rPr>
      </w:pPr>
      <w:r>
        <w:rPr>
          <w:rFonts w:hint="eastAsia" w:ascii="仿宋_GB2312" w:eastAsia="仿宋_GB2312"/>
          <w:sz w:val="32"/>
          <w:lang w:val="zh-CN"/>
        </w:rPr>
        <w:t>8、负债指导各乡镇党委开展干部教育培训工作；</w:t>
      </w:r>
    </w:p>
    <w:p>
      <w:pPr>
        <w:ind w:firstLine="640" w:firstLineChars="200"/>
        <w:rPr>
          <w:rFonts w:ascii="仿宋_GB2312" w:eastAsia="仿宋_GB2312"/>
          <w:sz w:val="32"/>
          <w:lang w:val="zh-CN"/>
        </w:rPr>
      </w:pPr>
      <w:r>
        <w:rPr>
          <w:rFonts w:hint="eastAsia" w:ascii="仿宋_GB2312" w:eastAsia="仿宋_GB2312"/>
          <w:sz w:val="32"/>
          <w:lang w:val="zh-CN"/>
        </w:rPr>
        <w:t>9、负债全县农牧民实用技术培训；</w:t>
      </w:r>
    </w:p>
    <w:p>
      <w:pPr>
        <w:ind w:firstLine="640" w:firstLineChars="200"/>
        <w:rPr>
          <w:rFonts w:ascii="仿宋_GB2312" w:eastAsia="仿宋_GB2312"/>
          <w:sz w:val="32"/>
          <w:lang w:val="zh-CN"/>
        </w:rPr>
      </w:pPr>
      <w:r>
        <w:rPr>
          <w:rFonts w:hint="eastAsia" w:ascii="仿宋_GB2312" w:eastAsia="仿宋_GB2312"/>
          <w:sz w:val="32"/>
          <w:lang w:val="zh-CN"/>
        </w:rPr>
        <w:t>10、完成县委、县政府交办的其他任务；</w:t>
      </w:r>
    </w:p>
    <w:p>
      <w:pPr>
        <w:ind w:firstLine="643" w:firstLineChars="200"/>
        <w:rPr>
          <w:rFonts w:ascii="楷体_GB2312" w:eastAsia="楷体_GB2312"/>
          <w:b/>
          <w:sz w:val="32"/>
          <w:szCs w:val="32"/>
        </w:rPr>
      </w:pPr>
      <w:r>
        <w:rPr>
          <w:rFonts w:hint="eastAsia" w:ascii="楷体_GB2312" w:eastAsia="楷体_GB2312"/>
          <w:b/>
          <w:sz w:val="32"/>
          <w:szCs w:val="32"/>
        </w:rPr>
        <w:t>（三）人员概况。</w:t>
      </w:r>
    </w:p>
    <w:p>
      <w:pPr>
        <w:ind w:firstLine="640" w:firstLineChars="200"/>
        <w:rPr>
          <w:rFonts w:ascii="仿宋_GB2312" w:eastAsia="仿宋_GB2312"/>
          <w:sz w:val="32"/>
          <w:lang w:val="zh-CN"/>
        </w:rPr>
      </w:pPr>
      <w:r>
        <w:rPr>
          <w:rFonts w:hint="eastAsia" w:ascii="仿宋_GB2312" w:eastAsia="仿宋_GB2312"/>
          <w:sz w:val="32"/>
          <w:lang w:val="zh-CN"/>
        </w:rPr>
        <w:t>我</w:t>
      </w:r>
      <w:r>
        <w:rPr>
          <w:rFonts w:hint="eastAsia" w:ascii="仿宋_GB2312" w:eastAsia="仿宋_GB2312"/>
          <w:sz w:val="32"/>
        </w:rPr>
        <w:t>单位</w:t>
      </w:r>
      <w:r>
        <w:rPr>
          <w:rFonts w:hint="eastAsia" w:ascii="仿宋_GB2312" w:eastAsia="仿宋_GB2312"/>
          <w:sz w:val="32"/>
          <w:lang w:val="zh-CN"/>
        </w:rPr>
        <w:t>人事核定行政编制</w:t>
      </w:r>
      <w:r>
        <w:rPr>
          <w:rFonts w:hint="eastAsia" w:ascii="仿宋_GB2312" w:eastAsia="仿宋_GB2312"/>
          <w:sz w:val="32"/>
        </w:rPr>
        <w:t>21</w:t>
      </w:r>
      <w:r>
        <w:rPr>
          <w:rFonts w:hint="eastAsia" w:ascii="仿宋_GB2312" w:eastAsia="仿宋_GB2312"/>
          <w:sz w:val="32"/>
          <w:lang w:val="zh-CN"/>
        </w:rPr>
        <w:t>人，其中：行政工勤编制1人。是独立核算的机构，是独立编报预算的单位。20</w:t>
      </w:r>
      <w:r>
        <w:rPr>
          <w:rFonts w:hint="eastAsia" w:ascii="仿宋_GB2312" w:eastAsia="仿宋_GB2312"/>
          <w:sz w:val="32"/>
        </w:rPr>
        <w:t>23</w:t>
      </w:r>
      <w:r>
        <w:rPr>
          <w:rFonts w:hint="eastAsia" w:ascii="仿宋_GB2312" w:eastAsia="仿宋_GB2312"/>
          <w:sz w:val="32"/>
          <w:lang w:val="zh-CN"/>
        </w:rPr>
        <w:t>年年末在职行政人数</w:t>
      </w:r>
      <w:r>
        <w:rPr>
          <w:rFonts w:hint="eastAsia" w:ascii="仿宋_GB2312" w:eastAsia="仿宋_GB2312"/>
          <w:sz w:val="32"/>
        </w:rPr>
        <w:t>10</w:t>
      </w:r>
      <w:r>
        <w:rPr>
          <w:rFonts w:hint="eastAsia" w:ascii="仿宋_GB2312" w:eastAsia="仿宋_GB2312"/>
          <w:sz w:val="32"/>
          <w:lang w:val="zh-CN"/>
        </w:rPr>
        <w:t>人，其中：行政工勤在职人数1人。事业编制人数</w:t>
      </w:r>
      <w:r>
        <w:rPr>
          <w:rFonts w:hint="eastAsia" w:ascii="仿宋_GB2312" w:eastAsia="仿宋_GB2312"/>
          <w:sz w:val="32"/>
        </w:rPr>
        <w:t>10人，实有人数20人。</w:t>
      </w:r>
    </w:p>
    <w:p>
      <w:pPr>
        <w:rPr>
          <w:rFonts w:hint="eastAsia" w:ascii="黑体" w:hAnsi="黑体" w:eastAsia="黑体"/>
          <w:sz w:val="32"/>
          <w:szCs w:val="32"/>
        </w:rPr>
      </w:pPr>
      <w:r>
        <w:rPr>
          <w:rFonts w:hint="eastAsia" w:ascii="黑体" w:hAnsi="黑体" w:eastAsia="黑体"/>
          <w:sz w:val="32"/>
          <w:szCs w:val="32"/>
        </w:rPr>
        <w:t>二、部门资金收支情况</w:t>
      </w:r>
    </w:p>
    <w:p>
      <w:pPr>
        <w:ind w:firstLine="643" w:firstLineChars="200"/>
        <w:rPr>
          <w:rFonts w:ascii="楷体_GB2312" w:eastAsia="楷体_GB2312"/>
          <w:b/>
          <w:sz w:val="32"/>
          <w:szCs w:val="32"/>
        </w:rPr>
      </w:pPr>
      <w:r>
        <w:rPr>
          <w:rFonts w:hint="eastAsia" w:ascii="楷体_GB2312" w:eastAsia="楷体_GB2312"/>
          <w:b/>
          <w:sz w:val="32"/>
          <w:szCs w:val="32"/>
        </w:rPr>
        <w:t>（一）收入情况。</w:t>
      </w:r>
    </w:p>
    <w:p>
      <w:pPr>
        <w:ind w:firstLine="640" w:firstLineChars="200"/>
        <w:rPr>
          <w:rFonts w:ascii="仿宋_GB2312" w:eastAsia="仿宋_GB2312"/>
          <w:sz w:val="32"/>
          <w:szCs w:val="32"/>
        </w:rPr>
      </w:pPr>
      <w:r>
        <w:rPr>
          <w:rFonts w:hint="eastAsia" w:ascii="仿宋_GB2312" w:hAnsi="仿宋" w:eastAsia="仿宋_GB2312"/>
          <w:sz w:val="32"/>
          <w:szCs w:val="32"/>
        </w:rPr>
        <w:t>本单位</w:t>
      </w:r>
      <w:r>
        <w:rPr>
          <w:rFonts w:hint="eastAsia" w:ascii="仿宋_GB2312" w:hAnsi="仿宋"/>
          <w:sz w:val="32"/>
          <w:szCs w:val="32"/>
        </w:rPr>
        <w:t>2023年</w:t>
      </w:r>
      <w:r>
        <w:rPr>
          <w:rFonts w:hint="eastAsia" w:ascii="仿宋_GB2312" w:hAnsi="仿宋" w:eastAsia="仿宋_GB2312"/>
          <w:sz w:val="32"/>
          <w:szCs w:val="32"/>
        </w:rPr>
        <w:t>收入全年预算数为</w:t>
      </w:r>
      <w:r>
        <w:rPr>
          <w:rFonts w:hint="eastAsia" w:ascii="仿宋_GB2312" w:hAnsi="仿宋"/>
          <w:sz w:val="32"/>
          <w:szCs w:val="32"/>
        </w:rPr>
        <w:t>1645.77</w:t>
      </w:r>
      <w:r>
        <w:rPr>
          <w:rFonts w:hint="eastAsia" w:ascii="仿宋_GB2312" w:hAnsi="仿宋" w:eastAsia="仿宋_GB2312"/>
          <w:sz w:val="32"/>
          <w:szCs w:val="32"/>
        </w:rPr>
        <w:t>万元，收入决算数为</w:t>
      </w:r>
      <w:r>
        <w:rPr>
          <w:rFonts w:hint="eastAsia" w:ascii="仿宋_GB2312" w:hAnsi="仿宋"/>
          <w:sz w:val="32"/>
          <w:szCs w:val="32"/>
        </w:rPr>
        <w:t>1645.77</w:t>
      </w:r>
      <w:r>
        <w:rPr>
          <w:rFonts w:hint="eastAsia" w:ascii="仿宋_GB2312" w:hAnsi="仿宋" w:eastAsia="仿宋_GB2312"/>
          <w:sz w:val="32"/>
          <w:szCs w:val="32"/>
        </w:rPr>
        <w:t>万元，预算完成度为100%</w:t>
      </w:r>
      <w:r>
        <w:rPr>
          <w:rFonts w:hint="eastAsia" w:ascii="仿宋_GB2312" w:hAnsi="仿宋"/>
          <w:sz w:val="32"/>
          <w:szCs w:val="32"/>
        </w:rPr>
        <w:t>。</w:t>
      </w:r>
      <w:r>
        <w:rPr>
          <w:rFonts w:hint="eastAsia" w:eastAsia="仿宋_GB2312"/>
          <w:sz w:val="32"/>
          <w:szCs w:val="32"/>
          <w:lang w:val="zh-CN"/>
        </w:rPr>
        <w:t>20</w:t>
      </w:r>
      <w:r>
        <w:rPr>
          <w:rFonts w:hint="eastAsia" w:eastAsia="仿宋_GB2312"/>
          <w:sz w:val="32"/>
          <w:szCs w:val="32"/>
        </w:rPr>
        <w:t>23</w:t>
      </w:r>
      <w:r>
        <w:rPr>
          <w:rFonts w:hint="eastAsia" w:eastAsia="仿宋_GB2312"/>
          <w:sz w:val="32"/>
          <w:szCs w:val="32"/>
          <w:lang w:val="zh-CN"/>
        </w:rPr>
        <w:t>年</w:t>
      </w:r>
      <w:r>
        <w:rPr>
          <w:rFonts w:hint="eastAsia"/>
          <w:sz w:val="32"/>
          <w:szCs w:val="32"/>
        </w:rPr>
        <w:t>总</w:t>
      </w:r>
      <w:r>
        <w:rPr>
          <w:rFonts w:hint="eastAsia" w:eastAsia="仿宋_GB2312"/>
          <w:sz w:val="32"/>
          <w:szCs w:val="32"/>
          <w:lang w:val="zh-CN"/>
        </w:rPr>
        <w:t>收入</w:t>
      </w:r>
      <w:r>
        <w:rPr>
          <w:rFonts w:hint="eastAsia"/>
          <w:sz w:val="32"/>
          <w:szCs w:val="32"/>
        </w:rPr>
        <w:t>1645.77</w:t>
      </w:r>
      <w:r>
        <w:rPr>
          <w:rFonts w:hint="eastAsia" w:eastAsia="仿宋_GB2312"/>
          <w:sz w:val="32"/>
          <w:szCs w:val="32"/>
          <w:lang w:val="zh-CN"/>
        </w:rPr>
        <w:t>万元，其中：财政拨款收入</w:t>
      </w:r>
      <w:r>
        <w:rPr>
          <w:rFonts w:hint="eastAsia"/>
          <w:sz w:val="32"/>
          <w:szCs w:val="32"/>
        </w:rPr>
        <w:t>1622.09</w:t>
      </w:r>
      <w:r>
        <w:rPr>
          <w:rFonts w:hint="eastAsia" w:eastAsia="仿宋_GB2312"/>
          <w:sz w:val="32"/>
          <w:szCs w:val="32"/>
          <w:lang w:val="zh-CN"/>
        </w:rPr>
        <w:t>万元，占</w:t>
      </w:r>
      <w:r>
        <w:rPr>
          <w:rFonts w:hint="eastAsia"/>
          <w:sz w:val="32"/>
          <w:szCs w:val="32"/>
        </w:rPr>
        <w:t>98.56</w:t>
      </w:r>
      <w:r>
        <w:rPr>
          <w:rFonts w:hint="eastAsia" w:eastAsia="仿宋_GB2312"/>
          <w:sz w:val="32"/>
          <w:szCs w:val="32"/>
          <w:lang w:val="zh-CN"/>
        </w:rPr>
        <w:t>%</w:t>
      </w:r>
      <w:r>
        <w:rPr>
          <w:rFonts w:hint="eastAsia"/>
          <w:sz w:val="32"/>
          <w:szCs w:val="32"/>
          <w:lang w:val="zh-CN"/>
        </w:rPr>
        <w:t>，</w:t>
      </w:r>
      <w:r>
        <w:rPr>
          <w:rFonts w:hint="eastAsia" w:eastAsia="仿宋_GB2312"/>
          <w:sz w:val="32"/>
          <w:szCs w:val="32"/>
        </w:rPr>
        <w:t xml:space="preserve">其他收入为 </w:t>
      </w:r>
      <w:r>
        <w:rPr>
          <w:rFonts w:hint="eastAsia"/>
          <w:sz w:val="32"/>
          <w:szCs w:val="32"/>
        </w:rPr>
        <w:t>23.68</w:t>
      </w:r>
      <w:r>
        <w:rPr>
          <w:rFonts w:hint="eastAsia" w:eastAsia="仿宋_GB2312"/>
          <w:sz w:val="32"/>
          <w:szCs w:val="32"/>
        </w:rPr>
        <w:t>万元，占比</w:t>
      </w:r>
      <w:r>
        <w:rPr>
          <w:rFonts w:hint="eastAsia"/>
          <w:sz w:val="32"/>
          <w:szCs w:val="32"/>
        </w:rPr>
        <w:t>1.44</w:t>
      </w:r>
      <w:r>
        <w:rPr>
          <w:rFonts w:hint="eastAsia" w:eastAsia="仿宋_GB2312"/>
          <w:sz w:val="32"/>
          <w:szCs w:val="32"/>
        </w:rPr>
        <w:t>%</w:t>
      </w:r>
      <w:r>
        <w:rPr>
          <w:rFonts w:hint="eastAsia"/>
          <w:sz w:val="32"/>
          <w:szCs w:val="32"/>
        </w:rPr>
        <w:t>。</w:t>
      </w:r>
    </w:p>
    <w:p>
      <w:pPr>
        <w:widowControl/>
        <w:numPr>
          <w:ilvl w:val="0"/>
          <w:numId w:val="5"/>
        </w:numPr>
        <w:adjustRightInd w:val="0"/>
        <w:snapToGrid w:val="0"/>
        <w:spacing w:line="560" w:lineRule="exact"/>
        <w:ind w:firstLine="643" w:firstLineChars="200"/>
        <w:jc w:val="left"/>
        <w:rPr>
          <w:rFonts w:ascii="楷体_GB2312" w:eastAsia="楷体_GB2312"/>
          <w:b/>
          <w:sz w:val="32"/>
          <w:szCs w:val="32"/>
        </w:rPr>
      </w:pPr>
      <w:r>
        <w:rPr>
          <w:rFonts w:hint="eastAsia" w:ascii="楷体_GB2312" w:eastAsia="楷体_GB2312"/>
          <w:b/>
          <w:sz w:val="32"/>
          <w:szCs w:val="32"/>
        </w:rPr>
        <w:t>支出情况。</w:t>
      </w:r>
    </w:p>
    <w:p>
      <w:pPr>
        <w:widowControl/>
        <w:adjustRightInd w:val="0"/>
        <w:snapToGrid w:val="0"/>
        <w:spacing w:line="560" w:lineRule="exact"/>
        <w:ind w:firstLine="640" w:firstLineChars="200"/>
        <w:jc w:val="left"/>
        <w:rPr>
          <w:rFonts w:ascii="仿宋_GB2312" w:eastAsia="仿宋_GB2312"/>
          <w:sz w:val="32"/>
          <w:szCs w:val="32"/>
        </w:rPr>
      </w:pPr>
      <w:r>
        <w:rPr>
          <w:rFonts w:hint="eastAsia" w:ascii="仿宋_GB2312" w:hAnsi="仿宋" w:eastAsia="仿宋_GB2312"/>
          <w:sz w:val="32"/>
          <w:szCs w:val="32"/>
        </w:rPr>
        <w:t>本单位</w:t>
      </w:r>
      <w:r>
        <w:rPr>
          <w:rFonts w:hint="eastAsia" w:ascii="仿宋_GB2312" w:hAnsi="仿宋"/>
          <w:sz w:val="32"/>
          <w:szCs w:val="32"/>
        </w:rPr>
        <w:t>2023年支出</w:t>
      </w:r>
      <w:r>
        <w:rPr>
          <w:rFonts w:hint="eastAsia" w:ascii="仿宋_GB2312" w:hAnsi="仿宋" w:eastAsia="仿宋_GB2312"/>
          <w:sz w:val="32"/>
          <w:szCs w:val="32"/>
        </w:rPr>
        <w:t>全年预算数为</w:t>
      </w:r>
      <w:r>
        <w:rPr>
          <w:rFonts w:hint="eastAsia" w:ascii="仿宋_GB2312" w:hAnsi="仿宋"/>
          <w:sz w:val="32"/>
          <w:szCs w:val="32"/>
        </w:rPr>
        <w:t>1645.77</w:t>
      </w:r>
      <w:r>
        <w:rPr>
          <w:rFonts w:hint="eastAsia" w:ascii="仿宋_GB2312" w:hAnsi="仿宋" w:eastAsia="仿宋_GB2312"/>
          <w:sz w:val="32"/>
          <w:szCs w:val="32"/>
        </w:rPr>
        <w:t>万元，</w:t>
      </w:r>
      <w:r>
        <w:rPr>
          <w:rFonts w:hint="eastAsia" w:ascii="仿宋_GB2312" w:hAnsi="仿宋"/>
          <w:sz w:val="32"/>
          <w:szCs w:val="32"/>
        </w:rPr>
        <w:t>支出</w:t>
      </w:r>
      <w:r>
        <w:rPr>
          <w:rFonts w:hint="eastAsia" w:ascii="仿宋_GB2312" w:hAnsi="仿宋" w:eastAsia="仿宋_GB2312"/>
          <w:sz w:val="32"/>
          <w:szCs w:val="32"/>
        </w:rPr>
        <w:t>决算数为</w:t>
      </w:r>
      <w:r>
        <w:rPr>
          <w:rFonts w:hint="eastAsia" w:ascii="仿宋_GB2312" w:hAnsi="仿宋"/>
          <w:sz w:val="32"/>
          <w:szCs w:val="32"/>
        </w:rPr>
        <w:t>1645.77</w:t>
      </w:r>
      <w:r>
        <w:rPr>
          <w:rFonts w:hint="eastAsia" w:ascii="仿宋_GB2312" w:hAnsi="仿宋" w:eastAsia="仿宋_GB2312"/>
          <w:sz w:val="32"/>
          <w:szCs w:val="32"/>
        </w:rPr>
        <w:t>万元，预算完成度为100%</w:t>
      </w:r>
      <w:r>
        <w:rPr>
          <w:rFonts w:hint="eastAsia" w:ascii="仿宋_GB2312" w:hAnsi="仿宋"/>
          <w:sz w:val="32"/>
          <w:szCs w:val="32"/>
        </w:rPr>
        <w:t>。</w:t>
      </w:r>
      <w:r>
        <w:rPr>
          <w:rFonts w:hint="eastAsia" w:ascii="仿宋_GB2312" w:hAnsi="仿宋" w:eastAsia="仿宋_GB2312" w:cs="仿宋_GB2312"/>
          <w:color w:val="000000"/>
          <w:kern w:val="0"/>
          <w:sz w:val="32"/>
          <w:szCs w:val="32"/>
          <w:lang w:val="zh-CN" w:bidi="ar"/>
        </w:rPr>
        <w:t>20</w:t>
      </w:r>
      <w:r>
        <w:rPr>
          <w:rFonts w:hint="eastAsia" w:ascii="仿宋_GB2312" w:hAnsi="仿宋" w:eastAsia="仿宋_GB2312" w:cs="仿宋_GB2312"/>
          <w:color w:val="000000"/>
          <w:kern w:val="0"/>
          <w:sz w:val="32"/>
          <w:szCs w:val="32"/>
          <w:lang w:bidi="ar"/>
        </w:rPr>
        <w:t>23</w:t>
      </w:r>
      <w:r>
        <w:rPr>
          <w:rFonts w:hint="eastAsia" w:ascii="仿宋_GB2312" w:hAnsi="仿宋" w:eastAsia="仿宋_GB2312" w:cs="仿宋_GB2312"/>
          <w:color w:val="000000"/>
          <w:kern w:val="0"/>
          <w:sz w:val="32"/>
          <w:szCs w:val="32"/>
          <w:lang w:val="zh-CN" w:bidi="ar"/>
        </w:rPr>
        <w:t>年支出合计</w:t>
      </w:r>
      <w:r>
        <w:rPr>
          <w:rFonts w:hint="eastAsia" w:ascii="仿宋_GB2312" w:hAnsi="仿宋" w:cs="仿宋_GB2312"/>
          <w:color w:val="000000"/>
          <w:kern w:val="0"/>
          <w:sz w:val="32"/>
          <w:szCs w:val="32"/>
          <w:lang w:bidi="ar"/>
        </w:rPr>
        <w:t>1645.77</w:t>
      </w:r>
      <w:r>
        <w:rPr>
          <w:rFonts w:hint="eastAsia" w:ascii="仿宋_GB2312" w:hAnsi="仿宋" w:eastAsia="仿宋_GB2312" w:cs="仿宋_GB2312"/>
          <w:color w:val="000000"/>
          <w:kern w:val="0"/>
          <w:sz w:val="32"/>
          <w:szCs w:val="32"/>
          <w:lang w:val="zh-CN" w:bidi="ar"/>
        </w:rPr>
        <w:t>万元，</w:t>
      </w:r>
      <w:r>
        <w:rPr>
          <w:rFonts w:eastAsia="仿宋_GB2312"/>
          <w:sz w:val="32"/>
          <w:lang w:val="zh-CN"/>
        </w:rPr>
        <w:t>其中：</w:t>
      </w:r>
      <w:r>
        <w:rPr>
          <w:rFonts w:hint="eastAsia"/>
          <w:sz w:val="32"/>
        </w:rPr>
        <w:t>一般公共服务支出15万元，占0.91%；</w:t>
      </w:r>
      <w:r>
        <w:rPr>
          <w:sz w:val="32"/>
          <w:lang w:val="zh-CN"/>
        </w:rPr>
        <w:t>教育</w:t>
      </w:r>
      <w:r>
        <w:rPr>
          <w:rFonts w:eastAsia="仿宋_GB2312"/>
          <w:sz w:val="32"/>
          <w:lang w:val="zh-CN"/>
        </w:rPr>
        <w:t>支出</w:t>
      </w:r>
      <w:r>
        <w:rPr>
          <w:rFonts w:hint="eastAsia"/>
          <w:sz w:val="32"/>
        </w:rPr>
        <w:t>1482.41</w:t>
      </w:r>
      <w:r>
        <w:rPr>
          <w:rFonts w:eastAsia="仿宋_GB2312"/>
          <w:sz w:val="32"/>
          <w:lang w:val="zh-CN"/>
        </w:rPr>
        <w:t>万元，占</w:t>
      </w:r>
      <w:r>
        <w:rPr>
          <w:rFonts w:hint="eastAsia"/>
          <w:sz w:val="32"/>
        </w:rPr>
        <w:t>90.07</w:t>
      </w:r>
      <w:r>
        <w:rPr>
          <w:rFonts w:eastAsia="仿宋_GB2312"/>
          <w:sz w:val="32"/>
          <w:lang w:val="zh-CN"/>
        </w:rPr>
        <w:t>%；社会保障和就业支出</w:t>
      </w:r>
      <w:r>
        <w:rPr>
          <w:rFonts w:hint="eastAsia"/>
          <w:sz w:val="32"/>
        </w:rPr>
        <w:t>74.24</w:t>
      </w:r>
      <w:r>
        <w:rPr>
          <w:rFonts w:eastAsia="仿宋_GB2312"/>
          <w:sz w:val="32"/>
          <w:lang w:val="zh-CN"/>
        </w:rPr>
        <w:t>万元，</w:t>
      </w:r>
      <w:r>
        <w:rPr>
          <w:rFonts w:hint="eastAsia"/>
          <w:sz w:val="32"/>
        </w:rPr>
        <w:t>占4.51</w:t>
      </w:r>
      <w:r>
        <w:rPr>
          <w:rFonts w:eastAsia="仿宋_GB2312"/>
          <w:sz w:val="32"/>
          <w:lang w:val="zh-CN"/>
        </w:rPr>
        <w:t>%；</w:t>
      </w:r>
      <w:r>
        <w:rPr>
          <w:sz w:val="32"/>
          <w:lang w:val="zh-CN"/>
        </w:rPr>
        <w:t>卫生健康</w:t>
      </w:r>
      <w:r>
        <w:rPr>
          <w:rFonts w:eastAsia="仿宋_GB2312"/>
          <w:sz w:val="32"/>
          <w:lang w:val="zh-CN"/>
        </w:rPr>
        <w:t>支出</w:t>
      </w:r>
      <w:r>
        <w:rPr>
          <w:rFonts w:hint="eastAsia"/>
          <w:sz w:val="32"/>
        </w:rPr>
        <w:t>31.01</w:t>
      </w:r>
      <w:r>
        <w:rPr>
          <w:rFonts w:eastAsia="仿宋_GB2312"/>
          <w:sz w:val="32"/>
          <w:lang w:val="zh-CN"/>
        </w:rPr>
        <w:t>万元，占</w:t>
      </w:r>
      <w:r>
        <w:rPr>
          <w:rFonts w:hint="eastAsia"/>
          <w:sz w:val="32"/>
        </w:rPr>
        <w:t>1.88</w:t>
      </w:r>
      <w:r>
        <w:rPr>
          <w:rFonts w:eastAsia="仿宋_GB2312"/>
          <w:sz w:val="32"/>
          <w:lang w:val="zh-CN"/>
        </w:rPr>
        <w:t>%；住房保障支出</w:t>
      </w:r>
      <w:r>
        <w:rPr>
          <w:rFonts w:hint="eastAsia"/>
          <w:sz w:val="32"/>
        </w:rPr>
        <w:t>36.28</w:t>
      </w:r>
      <w:r>
        <w:rPr>
          <w:rFonts w:eastAsia="仿宋_GB2312"/>
          <w:sz w:val="32"/>
          <w:lang w:val="zh-CN"/>
        </w:rPr>
        <w:t>万元，占</w:t>
      </w:r>
      <w:r>
        <w:rPr>
          <w:rFonts w:hint="eastAsia"/>
          <w:sz w:val="32"/>
        </w:rPr>
        <w:t>2.20</w:t>
      </w:r>
      <w:r>
        <w:rPr>
          <w:rFonts w:eastAsia="仿宋_GB2312"/>
          <w:sz w:val="32"/>
          <w:lang w:val="zh-CN"/>
        </w:rPr>
        <w:t>%</w:t>
      </w:r>
      <w:r>
        <w:rPr>
          <w:rFonts w:hint="eastAsia"/>
          <w:sz w:val="32"/>
          <w:lang w:val="zh-CN"/>
        </w:rPr>
        <w:t>；</w:t>
      </w:r>
      <w:r>
        <w:rPr>
          <w:rFonts w:hint="eastAsia"/>
          <w:sz w:val="32"/>
        </w:rPr>
        <w:t>其他支出6.85万元，占0.42%</w:t>
      </w:r>
      <w:r>
        <w:rPr>
          <w:rFonts w:hint="eastAsia"/>
          <w:sz w:val="32"/>
          <w:lang w:val="zh-CN"/>
        </w:rPr>
        <w:t>。</w:t>
      </w:r>
    </w:p>
    <w:p>
      <w:pPr>
        <w:widowControl/>
        <w:numPr>
          <w:ilvl w:val="0"/>
          <w:numId w:val="5"/>
        </w:numPr>
        <w:adjustRightInd w:val="0"/>
        <w:snapToGrid w:val="0"/>
        <w:spacing w:line="578" w:lineRule="exact"/>
        <w:ind w:firstLine="643" w:firstLineChars="200"/>
        <w:contextualSpacing/>
        <w:jc w:val="left"/>
        <w:rPr>
          <w:rFonts w:ascii="楷体_GB2312" w:eastAsia="楷体_GB2312"/>
          <w:b/>
          <w:sz w:val="32"/>
          <w:szCs w:val="32"/>
        </w:rPr>
      </w:pPr>
      <w:r>
        <w:rPr>
          <w:rFonts w:hint="eastAsia" w:ascii="楷体_GB2312" w:eastAsia="楷体_GB2312"/>
          <w:b/>
          <w:sz w:val="32"/>
          <w:szCs w:val="32"/>
        </w:rPr>
        <w:t>结余分配和结转结余情况。</w:t>
      </w:r>
    </w:p>
    <w:p>
      <w:pPr>
        <w:widowControl/>
        <w:adjustRightInd w:val="0"/>
        <w:snapToGrid w:val="0"/>
        <w:spacing w:line="578" w:lineRule="exact"/>
        <w:ind w:firstLine="640" w:firstLineChars="200"/>
        <w:contextualSpacing/>
        <w:jc w:val="left"/>
        <w:rPr>
          <w:rFonts w:ascii="仿宋_GB2312" w:hAnsi="仿宋" w:eastAsia="仿宋_GB2312" w:cs="仿宋_GB2312"/>
          <w:color w:val="000000"/>
          <w:kern w:val="0"/>
          <w:sz w:val="32"/>
          <w:szCs w:val="32"/>
          <w:lang w:bidi="ar"/>
        </w:rPr>
      </w:pPr>
      <w:r>
        <w:rPr>
          <w:rFonts w:hint="eastAsia" w:ascii="仿宋_GB2312" w:hAnsi="仿宋" w:eastAsia="仿宋_GB2312" w:cs="仿宋_GB2312"/>
          <w:color w:val="000000"/>
          <w:kern w:val="0"/>
          <w:sz w:val="32"/>
          <w:szCs w:val="32"/>
          <w:lang w:bidi="ar"/>
        </w:rPr>
        <w:t>红原县委员会党校2023年决算报表</w:t>
      </w:r>
      <w:r>
        <w:rPr>
          <w:rFonts w:ascii="仿宋_GB2312" w:hAnsi="仿宋" w:eastAsia="仿宋_GB2312" w:cs="仿宋_GB2312"/>
          <w:color w:val="000000"/>
          <w:kern w:val="0"/>
          <w:sz w:val="32"/>
          <w:szCs w:val="32"/>
          <w:lang w:bidi="ar"/>
        </w:rPr>
        <w:t>结转结余</w:t>
      </w:r>
      <w:r>
        <w:rPr>
          <w:rFonts w:hint="eastAsia" w:ascii="仿宋_GB2312" w:hAnsi="仿宋" w:eastAsia="仿宋_GB2312" w:cs="仿宋_GB2312"/>
          <w:color w:val="000000"/>
          <w:kern w:val="0"/>
          <w:sz w:val="32"/>
          <w:szCs w:val="32"/>
          <w:lang w:bidi="ar"/>
        </w:rPr>
        <w:t>为0元</w:t>
      </w:r>
      <w:r>
        <w:rPr>
          <w:rFonts w:ascii="仿宋_GB2312" w:hAnsi="仿宋" w:eastAsia="仿宋_GB2312" w:cs="仿宋_GB2312"/>
          <w:color w:val="000000"/>
          <w:kern w:val="0"/>
          <w:sz w:val="32"/>
          <w:szCs w:val="32"/>
          <w:lang w:bidi="ar"/>
        </w:rPr>
        <w:t>。</w:t>
      </w:r>
    </w:p>
    <w:p>
      <w:pPr>
        <w:rPr>
          <w:rFonts w:hint="eastAsia" w:ascii="黑体" w:hAnsi="黑体" w:eastAsia="黑体"/>
          <w:sz w:val="32"/>
          <w:szCs w:val="32"/>
        </w:rPr>
      </w:pPr>
      <w:r>
        <w:rPr>
          <w:rFonts w:hint="eastAsia" w:ascii="黑体" w:hAnsi="黑体" w:eastAsia="黑体"/>
          <w:sz w:val="32"/>
          <w:szCs w:val="32"/>
        </w:rPr>
        <w:t>三、部门预算绩效分析</w:t>
      </w:r>
    </w:p>
    <w:p>
      <w:pPr>
        <w:rPr>
          <w:rFonts w:ascii="仿宋_GB2312" w:eastAsia="仿宋_GB2312"/>
          <w:sz w:val="32"/>
          <w:szCs w:val="32"/>
        </w:rPr>
      </w:pPr>
      <w:r>
        <w:rPr>
          <w:rFonts w:hint="eastAsia" w:ascii="楷体_GB2312" w:eastAsia="楷体_GB2312"/>
          <w:b/>
          <w:sz w:val="32"/>
          <w:szCs w:val="32"/>
        </w:rPr>
        <w:t>（一）部门预算总体绩效分析。</w:t>
      </w:r>
      <w:r>
        <w:rPr>
          <w:rFonts w:hint="eastAsia" w:ascii="仿宋_GB2312" w:eastAsia="仿宋_GB2312"/>
          <w:sz w:val="32"/>
          <w:szCs w:val="32"/>
        </w:rPr>
        <w:t>根据部门预算绩效评价指标体系“总体绩效”涉及二、三级指标进行逐项绩效分析并评分，依次包括履职效能、预算管理、财务管理、资产管理、采购管理等情况。</w:t>
      </w:r>
    </w:p>
    <w:p>
      <w:pPr>
        <w:spacing w:line="578" w:lineRule="exact"/>
        <w:ind w:firstLine="640" w:firstLineChars="200"/>
        <w:rPr>
          <w:rFonts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1.</w:t>
      </w:r>
      <w:r>
        <w:rPr>
          <w:rFonts w:hint="eastAsia" w:ascii="楷体_GB2312" w:hAnsi="楷体_GB2312" w:eastAsia="楷体_GB2312" w:cs="楷体_GB2312"/>
          <w:color w:val="000000"/>
          <w:kern w:val="0"/>
          <w:sz w:val="32"/>
          <w:szCs w:val="32"/>
          <w:shd w:val="clear" w:color="auto" w:fill="FFFFFF"/>
          <w:lang w:val="zh-CN"/>
        </w:rPr>
        <w:t>履职</w:t>
      </w:r>
      <w:r>
        <w:rPr>
          <w:rFonts w:hint="eastAsia" w:ascii="楷体_GB2312" w:hAnsi="楷体_GB2312" w:eastAsia="楷体_GB2312" w:cs="楷体_GB2312"/>
          <w:color w:val="000000"/>
          <w:kern w:val="0"/>
          <w:sz w:val="32"/>
          <w:szCs w:val="32"/>
          <w:shd w:val="clear" w:color="auto" w:fill="FFFFFF"/>
        </w:rPr>
        <w:t>效能</w:t>
      </w:r>
      <w:r>
        <w:rPr>
          <w:rFonts w:hint="eastAsia" w:ascii="楷体_GB2312" w:hAnsi="楷体_GB2312" w:eastAsia="楷体_GB2312" w:cs="楷体_GB2312"/>
          <w:color w:val="000000"/>
          <w:kern w:val="0"/>
          <w:sz w:val="32"/>
          <w:szCs w:val="32"/>
          <w:shd w:val="clear" w:color="auto" w:fill="FFFFFF"/>
          <w:lang w:val="zh-CN"/>
        </w:rPr>
        <w:t>。</w:t>
      </w:r>
    </w:p>
    <w:p>
      <w:pPr>
        <w:ind w:firstLine="640" w:firstLineChars="200"/>
        <w:rPr>
          <w:rFonts w:ascii="仿宋_GB2312" w:eastAsia="仿宋_GB2312"/>
          <w:sz w:val="32"/>
          <w:szCs w:val="32"/>
        </w:rPr>
      </w:pPr>
      <w:r>
        <w:rPr>
          <w:rFonts w:hint="eastAsia" w:ascii="仿宋_GB2312" w:eastAsia="仿宋_GB2312"/>
          <w:sz w:val="32"/>
          <w:szCs w:val="32"/>
        </w:rPr>
        <w:t>产出指标：数量指标，必办班次，≥10个，全年完成值应保尽保。</w:t>
      </w:r>
    </w:p>
    <w:p>
      <w:pPr>
        <w:rPr>
          <w:rFonts w:ascii="仿宋_GB2312" w:eastAsia="仿宋_GB2312"/>
          <w:sz w:val="32"/>
          <w:szCs w:val="32"/>
        </w:rPr>
      </w:pPr>
      <w:r>
        <w:rPr>
          <w:rFonts w:hint="eastAsia" w:ascii="仿宋_GB2312" w:eastAsia="仿宋_GB2312"/>
          <w:sz w:val="32"/>
          <w:szCs w:val="32"/>
        </w:rPr>
        <w:t xml:space="preserve">    产出指标：质量指标，建设项目完成竣工验收合格率，=100%，全年完成值100%。</w:t>
      </w:r>
    </w:p>
    <w:p>
      <w:pPr>
        <w:ind w:firstLine="640" w:firstLineChars="200"/>
        <w:rPr>
          <w:rFonts w:ascii="仿宋_GB2312" w:eastAsia="仿宋_GB2312"/>
          <w:sz w:val="32"/>
          <w:szCs w:val="32"/>
        </w:rPr>
      </w:pPr>
      <w:r>
        <w:rPr>
          <w:rFonts w:hint="eastAsia" w:ascii="仿宋_GB2312" w:eastAsia="仿宋_GB2312"/>
          <w:sz w:val="32"/>
          <w:szCs w:val="32"/>
        </w:rPr>
        <w:t>效益指标：社会效益指标，提高履职和服务效率，定性指标，有效保障。</w:t>
      </w:r>
    </w:p>
    <w:p>
      <w:pPr>
        <w:ind w:firstLine="640" w:firstLineChars="200"/>
        <w:rPr>
          <w:color w:val="000000"/>
          <w:kern w:val="0"/>
          <w:sz w:val="32"/>
          <w:szCs w:val="32"/>
          <w:shd w:val="clear" w:color="auto" w:fill="FFFFFF"/>
          <w:lang w:val="zh-CN"/>
        </w:rPr>
      </w:pPr>
      <w:r>
        <w:rPr>
          <w:rFonts w:hint="eastAsia" w:ascii="仿宋_GB2312" w:eastAsia="仿宋_GB2312"/>
          <w:sz w:val="32"/>
          <w:szCs w:val="32"/>
        </w:rPr>
        <w:t>满意度指标：服务对象满意度指标，培训班服务对象满意度，≥96%，全年完成值100%。</w:t>
      </w:r>
    </w:p>
    <w:p>
      <w:pPr>
        <w:spacing w:line="578" w:lineRule="exact"/>
        <w:ind w:firstLine="640" w:firstLineChars="200"/>
        <w:rPr>
          <w:rFonts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2.</w:t>
      </w:r>
      <w:r>
        <w:rPr>
          <w:rFonts w:hint="eastAsia" w:ascii="楷体_GB2312" w:hAnsi="楷体_GB2312" w:eastAsia="楷体_GB2312" w:cs="楷体_GB2312"/>
          <w:color w:val="000000"/>
          <w:kern w:val="0"/>
          <w:sz w:val="32"/>
          <w:szCs w:val="32"/>
          <w:shd w:val="clear" w:color="auto" w:fill="FFFFFF"/>
          <w:lang w:val="zh-CN"/>
        </w:rPr>
        <w:t>预算管理。</w:t>
      </w:r>
    </w:p>
    <w:p>
      <w:pPr>
        <w:ind w:firstLine="640" w:firstLineChars="200"/>
        <w:rPr>
          <w:rFonts w:ascii="仿宋_GB2312" w:eastAsia="仿宋_GB2312"/>
          <w:sz w:val="32"/>
          <w:szCs w:val="32"/>
        </w:rPr>
      </w:pPr>
      <w:r>
        <w:rPr>
          <w:rFonts w:hint="eastAsia" w:ascii="仿宋_GB2312" w:eastAsia="仿宋_GB2312"/>
          <w:sz w:val="32"/>
          <w:szCs w:val="32"/>
          <w:lang w:val="zh-CN"/>
        </w:rPr>
        <w:t>预算编制质量：实际收入与预算收入无差异，实际支出与预算支出无差异。所有应纳入预算的项目被涵盖</w:t>
      </w:r>
      <w:r>
        <w:rPr>
          <w:rFonts w:hint="eastAsia" w:ascii="仿宋_GB2312" w:eastAsia="仿宋_GB2312"/>
          <w:sz w:val="32"/>
          <w:szCs w:val="32"/>
        </w:rPr>
        <w:t>100%，预算分配与单位的年度总体目标相匹配。预算编制符合法律法规和内部政策制度。</w:t>
      </w:r>
    </w:p>
    <w:p>
      <w:pPr>
        <w:ind w:firstLine="640" w:firstLineChars="200"/>
        <w:rPr>
          <w:rFonts w:ascii="仿宋_GB2312" w:eastAsia="仿宋_GB2312"/>
          <w:sz w:val="32"/>
          <w:szCs w:val="32"/>
          <w:lang w:val="zh-CN"/>
        </w:rPr>
      </w:pPr>
      <w:r>
        <w:rPr>
          <w:rFonts w:hint="eastAsia" w:ascii="仿宋_GB2312" w:eastAsia="仿宋_GB2312"/>
          <w:sz w:val="32"/>
          <w:szCs w:val="32"/>
          <w:lang w:val="zh-CN"/>
        </w:rPr>
        <w:t>单位收入统筹：</w:t>
      </w:r>
      <w:r>
        <w:rPr>
          <w:rFonts w:hint="eastAsia" w:ascii="仿宋_GB2312" w:eastAsia="仿宋_GB2312"/>
          <w:sz w:val="32"/>
          <w:szCs w:val="32"/>
        </w:rPr>
        <w:t>本单位2023年收入全年预算数为1645.77万元，收入决算数为1645.77万元，预算完成度为100%。</w:t>
      </w:r>
      <w:r>
        <w:rPr>
          <w:rFonts w:hint="eastAsia" w:ascii="仿宋_GB2312" w:eastAsia="仿宋_GB2312"/>
          <w:sz w:val="32"/>
          <w:szCs w:val="32"/>
          <w:lang w:val="zh-CN"/>
        </w:rPr>
        <w:t>20</w:t>
      </w:r>
      <w:r>
        <w:rPr>
          <w:rFonts w:hint="eastAsia" w:ascii="仿宋_GB2312" w:eastAsia="仿宋_GB2312"/>
          <w:sz w:val="32"/>
          <w:szCs w:val="32"/>
        </w:rPr>
        <w:t>23</w:t>
      </w:r>
      <w:r>
        <w:rPr>
          <w:rFonts w:hint="eastAsia" w:ascii="仿宋_GB2312" w:eastAsia="仿宋_GB2312"/>
          <w:sz w:val="32"/>
          <w:szCs w:val="32"/>
          <w:lang w:val="zh-CN"/>
        </w:rPr>
        <w:t>年度总收入</w:t>
      </w:r>
      <w:r>
        <w:rPr>
          <w:rFonts w:hint="eastAsia" w:ascii="仿宋_GB2312" w:eastAsia="仿宋_GB2312"/>
          <w:sz w:val="32"/>
          <w:szCs w:val="32"/>
        </w:rPr>
        <w:t>1645.77</w:t>
      </w:r>
      <w:r>
        <w:rPr>
          <w:rFonts w:hint="eastAsia" w:ascii="仿宋_GB2312" w:eastAsia="仿宋_GB2312"/>
          <w:sz w:val="32"/>
          <w:szCs w:val="32"/>
          <w:lang w:val="zh-CN"/>
        </w:rPr>
        <w:t>万元，其中：财政拨款收入</w:t>
      </w:r>
      <w:r>
        <w:rPr>
          <w:rFonts w:hint="eastAsia" w:ascii="仿宋_GB2312" w:eastAsia="仿宋_GB2312"/>
          <w:sz w:val="32"/>
          <w:szCs w:val="32"/>
        </w:rPr>
        <w:t>1622.09</w:t>
      </w:r>
      <w:r>
        <w:rPr>
          <w:rFonts w:hint="eastAsia" w:ascii="仿宋_GB2312" w:eastAsia="仿宋_GB2312"/>
          <w:sz w:val="32"/>
          <w:szCs w:val="32"/>
          <w:lang w:val="zh-CN"/>
        </w:rPr>
        <w:t>万元，占</w:t>
      </w:r>
      <w:r>
        <w:rPr>
          <w:rFonts w:hint="eastAsia" w:ascii="仿宋_GB2312" w:eastAsia="仿宋_GB2312"/>
          <w:sz w:val="32"/>
          <w:szCs w:val="32"/>
        </w:rPr>
        <w:t>98.56</w:t>
      </w:r>
      <w:r>
        <w:rPr>
          <w:rFonts w:hint="eastAsia" w:ascii="仿宋_GB2312" w:eastAsia="仿宋_GB2312"/>
          <w:sz w:val="32"/>
          <w:szCs w:val="32"/>
          <w:lang w:val="zh-CN"/>
        </w:rPr>
        <w:t>%；政府性基金预算财政拨款</w:t>
      </w:r>
      <w:r>
        <w:rPr>
          <w:rFonts w:hint="eastAsia" w:ascii="仿宋_GB2312" w:eastAsia="仿宋_GB2312"/>
          <w:sz w:val="32"/>
          <w:szCs w:val="32"/>
        </w:rPr>
        <w:t>0</w:t>
      </w:r>
      <w:r>
        <w:rPr>
          <w:rFonts w:hint="eastAsia" w:ascii="仿宋_GB2312" w:eastAsia="仿宋_GB2312"/>
          <w:sz w:val="32"/>
          <w:szCs w:val="32"/>
          <w:lang w:val="zh-CN"/>
        </w:rPr>
        <w:t>万元，占</w:t>
      </w:r>
      <w:r>
        <w:rPr>
          <w:rFonts w:hint="eastAsia" w:ascii="仿宋_GB2312" w:eastAsia="仿宋_GB2312"/>
          <w:sz w:val="32"/>
          <w:szCs w:val="32"/>
        </w:rPr>
        <w:t>0</w:t>
      </w:r>
      <w:r>
        <w:rPr>
          <w:rFonts w:hint="eastAsia" w:ascii="仿宋_GB2312" w:eastAsia="仿宋_GB2312"/>
          <w:sz w:val="32"/>
          <w:szCs w:val="32"/>
          <w:lang w:val="zh-CN"/>
        </w:rPr>
        <w:t>%；其他收入</w:t>
      </w:r>
      <w:r>
        <w:rPr>
          <w:rFonts w:hint="eastAsia" w:ascii="仿宋_GB2312" w:eastAsia="仿宋_GB2312"/>
          <w:sz w:val="32"/>
          <w:szCs w:val="32"/>
        </w:rPr>
        <w:t>23.68</w:t>
      </w:r>
      <w:r>
        <w:rPr>
          <w:rFonts w:hint="eastAsia" w:ascii="仿宋_GB2312" w:eastAsia="仿宋_GB2312"/>
          <w:sz w:val="32"/>
          <w:szCs w:val="32"/>
          <w:lang w:val="zh-CN"/>
        </w:rPr>
        <w:t>万元，占</w:t>
      </w:r>
      <w:r>
        <w:rPr>
          <w:rFonts w:hint="eastAsia" w:ascii="仿宋_GB2312" w:eastAsia="仿宋_GB2312"/>
          <w:sz w:val="32"/>
          <w:szCs w:val="32"/>
        </w:rPr>
        <w:t>1.44</w:t>
      </w:r>
      <w:r>
        <w:rPr>
          <w:rFonts w:hint="eastAsia" w:ascii="仿宋_GB2312" w:eastAsia="仿宋_GB2312"/>
          <w:sz w:val="32"/>
          <w:szCs w:val="32"/>
          <w:lang w:val="zh-CN"/>
        </w:rPr>
        <w:t>%；上级补助收入0万元，占0%；事业收入0万元，占0%；经营收入0万元，占0%；附属单位上缴收入0万元，占0%；上年项目支出结转和结余</w:t>
      </w:r>
      <w:r>
        <w:rPr>
          <w:rFonts w:hint="eastAsia" w:ascii="仿宋_GB2312" w:eastAsia="仿宋_GB2312"/>
          <w:sz w:val="32"/>
          <w:szCs w:val="32"/>
        </w:rPr>
        <w:t>0</w:t>
      </w:r>
      <w:r>
        <w:rPr>
          <w:rFonts w:hint="eastAsia" w:ascii="仿宋_GB2312" w:eastAsia="仿宋_GB2312"/>
          <w:sz w:val="32"/>
          <w:szCs w:val="32"/>
          <w:lang w:val="zh-CN"/>
        </w:rPr>
        <w:t>万元，占</w:t>
      </w:r>
      <w:r>
        <w:rPr>
          <w:rFonts w:hint="eastAsia" w:ascii="仿宋_GB2312" w:eastAsia="仿宋_GB2312"/>
          <w:sz w:val="32"/>
          <w:szCs w:val="32"/>
        </w:rPr>
        <w:t>0</w:t>
      </w:r>
      <w:r>
        <w:rPr>
          <w:rFonts w:hint="eastAsia" w:ascii="仿宋_GB2312" w:eastAsia="仿宋_GB2312"/>
          <w:sz w:val="32"/>
          <w:szCs w:val="32"/>
          <w:lang w:val="zh-CN"/>
        </w:rPr>
        <w:t>%。</w:t>
      </w:r>
    </w:p>
    <w:p>
      <w:pPr>
        <w:ind w:firstLine="640" w:firstLineChars="200"/>
        <w:rPr>
          <w:rFonts w:ascii="仿宋_GB2312" w:eastAsia="仿宋_GB2312"/>
          <w:sz w:val="32"/>
          <w:szCs w:val="32"/>
        </w:rPr>
      </w:pPr>
      <w:r>
        <w:rPr>
          <w:rFonts w:hint="eastAsia" w:ascii="仿宋_GB2312" w:eastAsia="仿宋_GB2312"/>
          <w:sz w:val="32"/>
          <w:szCs w:val="32"/>
          <w:lang w:val="zh-CN"/>
        </w:rPr>
        <w:t>支出执行进度：</w:t>
      </w:r>
      <w:r>
        <w:rPr>
          <w:rFonts w:hint="eastAsia" w:ascii="仿宋_GB2312" w:eastAsia="仿宋_GB2312"/>
          <w:sz w:val="32"/>
          <w:szCs w:val="32"/>
        </w:rPr>
        <w:t>2023年度支出全年预算数为1645.77万元，支出决算数为1645.77万元，预算完成度为100%，执行进度100%。</w:t>
      </w:r>
    </w:p>
    <w:p>
      <w:pPr>
        <w:ind w:firstLine="640" w:firstLineChars="200"/>
        <w:rPr>
          <w:rFonts w:ascii="仿宋_GB2312" w:eastAsia="仿宋_GB2312"/>
          <w:sz w:val="32"/>
          <w:szCs w:val="32"/>
          <w:lang w:val="zh-CN"/>
        </w:rPr>
      </w:pPr>
      <w:r>
        <w:rPr>
          <w:rFonts w:hint="eastAsia" w:ascii="仿宋_GB2312" w:eastAsia="仿宋_GB2312"/>
          <w:sz w:val="32"/>
          <w:szCs w:val="32"/>
          <w:lang w:val="zh-CN"/>
        </w:rPr>
        <w:t>预算年终结余：无。</w:t>
      </w:r>
    </w:p>
    <w:p>
      <w:pPr>
        <w:adjustRightInd w:val="0"/>
        <w:snapToGrid w:val="0"/>
        <w:spacing w:line="578" w:lineRule="exact"/>
        <w:ind w:firstLine="640" w:firstLineChars="200"/>
        <w:jc w:val="left"/>
        <w:rPr>
          <w:rFonts w:eastAsia="仿宋_GB2312"/>
          <w:sz w:val="32"/>
          <w:szCs w:val="32"/>
          <w:lang w:val="zh-CN"/>
        </w:rPr>
      </w:pPr>
      <w:r>
        <w:rPr>
          <w:rFonts w:hint="eastAsia" w:ascii="楷体_GB2312" w:hAnsi="楷体_GB2312" w:eastAsia="楷体_GB2312" w:cs="楷体_GB2312"/>
          <w:color w:val="000000"/>
          <w:kern w:val="0"/>
          <w:sz w:val="32"/>
          <w:szCs w:val="32"/>
          <w:shd w:val="clear" w:color="auto" w:fill="FFFFFF"/>
        </w:rPr>
        <w:t>3.</w:t>
      </w:r>
      <w:r>
        <w:rPr>
          <w:rFonts w:hint="eastAsia" w:ascii="楷体_GB2312" w:hAnsi="楷体_GB2312" w:eastAsia="楷体_GB2312" w:cs="楷体_GB2312"/>
          <w:color w:val="000000"/>
          <w:kern w:val="0"/>
          <w:sz w:val="32"/>
          <w:szCs w:val="32"/>
          <w:shd w:val="clear" w:color="auto" w:fill="FFFFFF"/>
          <w:lang w:val="zh-CN"/>
        </w:rPr>
        <w:t>财务管理。</w:t>
      </w:r>
      <w:r>
        <w:rPr>
          <w:rFonts w:hint="eastAsia" w:eastAsia="仿宋_GB2312"/>
          <w:sz w:val="32"/>
          <w:szCs w:val="32"/>
          <w:lang w:val="zh-CN"/>
        </w:rPr>
        <w:t>围绕财务管理制度、财务岗位设置、资金使用规范进行绩效分析。</w:t>
      </w:r>
    </w:p>
    <w:p>
      <w:pPr>
        <w:adjustRightInd w:val="0"/>
        <w:snapToGrid w:val="0"/>
        <w:spacing w:line="578"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执行国家有关财务法律法规的同时，建立健全内部财务管理制度，按照党风廉政建设的要求，全体干部职工廉洁奉公、忠于职守。禁止利用职权和职务上的便利谋取不正当的利益。制定了相关规章制度，加强了项目资金的管理和监督，杜绝违规违法事件的发生。本着勤俭节约原则，管理好用好每笔资金。财务活动接受审计、财政、纪检监察等部门的监督检查，无存在违规进行资产购置，擅自处置财产、对外投资，财政票据管理、使用不规范等问题，按照规定保管会计档案，并建立完善的内部控制制度和监督制度。</w:t>
      </w:r>
    </w:p>
    <w:p>
      <w:pPr>
        <w:adjustRightInd w:val="0"/>
        <w:snapToGrid w:val="0"/>
        <w:spacing w:line="578"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根据本单位工作实际，在建立并实施内部监督和控制制度过程中，建立和完善各项制度的同时，相关人员在工作过程中严格遵守这些规章制度，有效地实施了内部监督和控制，保证了会计工作的真实性、完整性以及单位财产的安全，加强了对本单位财产物资的监督和管理，杜绝了各种漏洞的发生，达到了以下四点要求：</w:t>
      </w:r>
    </w:p>
    <w:p>
      <w:pPr>
        <w:adjustRightInd w:val="0"/>
        <w:snapToGrid w:val="0"/>
        <w:spacing w:line="578"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rPr>
        <w:t>A</w:t>
      </w:r>
      <w:r>
        <w:rPr>
          <w:rFonts w:hint="eastAsia" w:ascii="仿宋" w:hAnsi="仿宋" w:eastAsia="仿宋" w:cs="仿宋"/>
          <w:color w:val="000000"/>
          <w:kern w:val="0"/>
          <w:sz w:val="32"/>
          <w:szCs w:val="32"/>
          <w:shd w:val="clear" w:color="auto" w:fill="FFFFFF"/>
          <w:lang w:val="zh-CN"/>
        </w:rPr>
        <w:t>、明确了记账人员与审批人员、经办人员的职责权限，使其相互分离、相互制约，以明确责任，防止舞弊，各项业务事项得以有序进行。</w:t>
      </w:r>
    </w:p>
    <w:p>
      <w:pPr>
        <w:adjustRightInd w:val="0"/>
        <w:snapToGrid w:val="0"/>
        <w:spacing w:line="578"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rPr>
        <w:t>B</w:t>
      </w:r>
      <w:r>
        <w:rPr>
          <w:rFonts w:hint="eastAsia" w:ascii="仿宋" w:hAnsi="仿宋" w:eastAsia="仿宋" w:cs="仿宋"/>
          <w:color w:val="000000"/>
          <w:kern w:val="0"/>
          <w:sz w:val="32"/>
          <w:szCs w:val="32"/>
          <w:shd w:val="clear" w:color="auto" w:fill="FFFFFF"/>
          <w:lang w:val="zh-CN"/>
        </w:rPr>
        <w:t>、明确了财务收支审批程序和审批人的权限和责任，规范了各项资金的使用，提高了资金使用效益。</w:t>
      </w:r>
    </w:p>
    <w:p>
      <w:pPr>
        <w:adjustRightInd w:val="0"/>
        <w:snapToGrid w:val="0"/>
        <w:spacing w:line="578"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rPr>
        <w:t>C</w:t>
      </w:r>
      <w:r>
        <w:rPr>
          <w:rFonts w:hint="eastAsia" w:ascii="仿宋" w:hAnsi="仿宋" w:eastAsia="仿宋" w:cs="仿宋"/>
          <w:color w:val="000000"/>
          <w:kern w:val="0"/>
          <w:sz w:val="32"/>
          <w:szCs w:val="32"/>
          <w:shd w:val="clear" w:color="auto" w:fill="FFFFFF"/>
          <w:lang w:val="zh-CN"/>
        </w:rPr>
        <w:t>、明确经费支出的范围和开支标准，采取各种有效措施控制经费开支，杜绝了浪费现象的发生。</w:t>
      </w:r>
    </w:p>
    <w:p>
      <w:pPr>
        <w:adjustRightInd w:val="0"/>
        <w:snapToGrid w:val="0"/>
        <w:spacing w:line="578" w:lineRule="exact"/>
        <w:ind w:firstLine="640" w:firstLineChars="200"/>
        <w:contextualSpacing/>
        <w:jc w:val="left"/>
        <w:rPr>
          <w:lang w:val="zh-CN"/>
        </w:rPr>
      </w:pPr>
      <w:r>
        <w:rPr>
          <w:rFonts w:hint="eastAsia" w:ascii="仿宋" w:hAnsi="仿宋" w:eastAsia="仿宋" w:cs="仿宋"/>
          <w:color w:val="000000"/>
          <w:kern w:val="0"/>
          <w:sz w:val="32"/>
          <w:szCs w:val="32"/>
          <w:shd w:val="clear" w:color="auto" w:fill="FFFFFF"/>
        </w:rPr>
        <w:t>D</w:t>
      </w:r>
      <w:r>
        <w:rPr>
          <w:rFonts w:hint="eastAsia" w:ascii="仿宋" w:hAnsi="仿宋" w:eastAsia="仿宋" w:cs="仿宋"/>
          <w:color w:val="000000"/>
          <w:kern w:val="0"/>
          <w:sz w:val="32"/>
          <w:szCs w:val="32"/>
          <w:shd w:val="clear" w:color="auto" w:fill="FFFFFF"/>
          <w:lang w:val="zh-CN"/>
        </w:rPr>
        <w:t>、明确账务处理程序，根据机关事业单位会计制度的规定，确定单位会计科目和明细科目的设置和使用范围；确定本单位会计凭证格式、填制要求、审核要求、传递程序、保管要求等；确定本单位的总账、明细账、银行存款日记账、各种辅助账等的设置、格式、登记、对账、结算、改错等要求，确保会计核算准确无误。</w:t>
      </w:r>
    </w:p>
    <w:p>
      <w:pPr>
        <w:adjustRightInd w:val="0"/>
        <w:snapToGrid w:val="0"/>
        <w:spacing w:line="578" w:lineRule="exact"/>
        <w:ind w:firstLine="640" w:firstLineChars="200"/>
        <w:contextualSpacing/>
        <w:jc w:val="left"/>
        <w:rPr>
          <w:rFonts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4.</w:t>
      </w:r>
      <w:r>
        <w:rPr>
          <w:rFonts w:hint="eastAsia" w:ascii="楷体_GB2312" w:hAnsi="楷体_GB2312" w:eastAsia="楷体_GB2312" w:cs="楷体_GB2312"/>
          <w:color w:val="000000"/>
          <w:kern w:val="0"/>
          <w:sz w:val="32"/>
          <w:szCs w:val="32"/>
          <w:shd w:val="clear" w:color="auto" w:fill="FFFFFF"/>
          <w:lang w:val="zh-CN"/>
        </w:rPr>
        <w:t>资产管理。</w:t>
      </w:r>
    </w:p>
    <w:p>
      <w:pPr>
        <w:adjustRightInd w:val="0"/>
        <w:snapToGrid w:val="0"/>
        <w:spacing w:line="578" w:lineRule="exact"/>
        <w:ind w:firstLine="640" w:firstLineChars="200"/>
        <w:contextualSpacing/>
        <w:jc w:val="left"/>
        <w:rPr>
          <w:rFonts w:hint="eastAsia" w:ascii="仿宋" w:hAnsi="仿宋" w:eastAsia="仿宋" w:cs="仿宋"/>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人均资产变化率：无变化。</w:t>
      </w:r>
    </w:p>
    <w:p>
      <w:pPr>
        <w:adjustRightInd w:val="0"/>
        <w:snapToGrid w:val="0"/>
        <w:spacing w:line="578"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val="zh-CN"/>
        </w:rPr>
        <w:t>资产利用率：</w:t>
      </w:r>
      <w:r>
        <w:rPr>
          <w:rFonts w:hint="eastAsia" w:ascii="仿宋" w:hAnsi="仿宋" w:eastAsia="仿宋" w:cs="仿宋"/>
          <w:color w:val="000000"/>
          <w:kern w:val="0"/>
          <w:sz w:val="32"/>
          <w:szCs w:val="32"/>
          <w:shd w:val="clear" w:color="auto" w:fill="FFFFFF"/>
        </w:rPr>
        <w:t>100%。</w:t>
      </w:r>
    </w:p>
    <w:p>
      <w:pPr>
        <w:adjustRightInd w:val="0"/>
        <w:snapToGrid w:val="0"/>
        <w:spacing w:line="578" w:lineRule="exact"/>
        <w:ind w:firstLine="640" w:firstLineChars="200"/>
        <w:contextualSpacing/>
        <w:jc w:val="left"/>
        <w:rPr>
          <w:rFonts w:hint="eastAsia" w:ascii="仿宋" w:hAnsi="仿宋" w:eastAsia="仿宋" w:cs="仿宋"/>
          <w:color w:val="000000"/>
          <w:kern w:val="0"/>
          <w:sz w:val="32"/>
          <w:szCs w:val="32"/>
          <w:shd w:val="clear" w:color="auto" w:fill="FFFFFF"/>
        </w:rPr>
      </w:pPr>
      <w:r>
        <w:rPr>
          <w:rFonts w:hint="eastAsia" w:ascii="仿宋" w:hAnsi="仿宋" w:eastAsia="仿宋" w:cs="仿宋"/>
          <w:color w:val="000000"/>
          <w:kern w:val="0"/>
          <w:sz w:val="32"/>
          <w:szCs w:val="32"/>
          <w:shd w:val="clear" w:color="auto" w:fill="FFFFFF"/>
          <w:lang w:val="zh-CN"/>
        </w:rPr>
        <w:t>资产盘活率：</w:t>
      </w:r>
      <w:r>
        <w:rPr>
          <w:rFonts w:hint="eastAsia" w:ascii="仿宋" w:hAnsi="仿宋" w:eastAsia="仿宋" w:cs="仿宋"/>
          <w:color w:val="000000"/>
          <w:kern w:val="0"/>
          <w:sz w:val="32"/>
          <w:szCs w:val="32"/>
          <w:shd w:val="clear" w:color="auto" w:fill="FFFFFF"/>
        </w:rPr>
        <w:t>95%。</w:t>
      </w:r>
    </w:p>
    <w:p>
      <w:pPr>
        <w:adjustRightInd w:val="0"/>
        <w:snapToGrid w:val="0"/>
        <w:spacing w:line="578" w:lineRule="exact"/>
        <w:ind w:firstLine="640" w:firstLineChars="200"/>
        <w:contextualSpacing/>
        <w:jc w:val="left"/>
        <w:rPr>
          <w:rFonts w:ascii="楷体_GB2312" w:hAnsi="楷体_GB2312" w:eastAsia="楷体_GB2312" w:cs="楷体_GB2312"/>
          <w:color w:val="000000"/>
          <w:kern w:val="0"/>
          <w:sz w:val="32"/>
          <w:szCs w:val="32"/>
          <w:shd w:val="clear" w:color="auto" w:fill="FFFFFF"/>
          <w:lang w:val="zh-CN"/>
        </w:rPr>
      </w:pPr>
      <w:r>
        <w:rPr>
          <w:rFonts w:hint="eastAsia" w:ascii="仿宋" w:hAnsi="仿宋" w:eastAsia="仿宋" w:cs="仿宋"/>
          <w:color w:val="000000"/>
          <w:kern w:val="0"/>
          <w:sz w:val="32"/>
          <w:szCs w:val="32"/>
          <w:shd w:val="clear" w:color="auto" w:fill="FFFFFF"/>
          <w:lang w:val="zh-CN"/>
        </w:rPr>
        <w:t>单位资产管理由办公室总负责，使用人具体负责管理，对不能继续使用的资产由使用人交回办公室并提出申请，由办公室提供材料交给财务室按照相关程序统一购置。财政所每年对单位资产进行一次集中清理，对不能使用的资产及时报相关部门进行报废处理。</w:t>
      </w:r>
    </w:p>
    <w:p>
      <w:pPr>
        <w:adjustRightInd w:val="0"/>
        <w:snapToGrid w:val="0"/>
        <w:spacing w:line="578" w:lineRule="exact"/>
        <w:ind w:firstLine="640" w:firstLineChars="200"/>
        <w:jc w:val="left"/>
        <w:rPr>
          <w:rFonts w:eastAsia="仿宋_GB2312"/>
          <w:sz w:val="32"/>
          <w:szCs w:val="32"/>
          <w:lang w:val="zh-CN"/>
        </w:rPr>
      </w:pPr>
      <w:r>
        <w:rPr>
          <w:rFonts w:hint="eastAsia" w:ascii="楷体_GB2312" w:hAnsi="楷体_GB2312" w:eastAsia="楷体_GB2312" w:cs="楷体_GB2312"/>
          <w:color w:val="000000"/>
          <w:kern w:val="0"/>
          <w:sz w:val="32"/>
          <w:szCs w:val="32"/>
          <w:shd w:val="clear" w:color="auto" w:fill="FFFFFF"/>
        </w:rPr>
        <w:t>5.</w:t>
      </w:r>
      <w:r>
        <w:rPr>
          <w:rFonts w:hint="eastAsia" w:ascii="楷体_GB2312" w:hAnsi="楷体_GB2312" w:eastAsia="楷体_GB2312" w:cs="楷体_GB2312"/>
          <w:color w:val="000000"/>
          <w:kern w:val="0"/>
          <w:sz w:val="32"/>
          <w:szCs w:val="32"/>
          <w:shd w:val="clear" w:color="auto" w:fill="FFFFFF"/>
          <w:lang w:val="zh-CN"/>
        </w:rPr>
        <w:t>采购管理。</w:t>
      </w:r>
      <w:r>
        <w:rPr>
          <w:rFonts w:hint="eastAsia" w:eastAsia="仿宋_GB2312"/>
          <w:sz w:val="32"/>
          <w:szCs w:val="32"/>
          <w:lang w:val="zh-CN"/>
        </w:rPr>
        <w:t>围绕支持中小企业发展、采购执行率进行绩效分析。</w:t>
      </w:r>
    </w:p>
    <w:p>
      <w:pPr>
        <w:pStyle w:val="2"/>
        <w:ind w:left="420" w:firstLine="0" w:firstLineChars="0"/>
        <w:rPr>
          <w:lang w:val="zh-CN"/>
        </w:rPr>
      </w:pPr>
      <w:r>
        <w:rPr>
          <w:rFonts w:hint="eastAsia" w:ascii="Times New Roman" w:eastAsia="仿宋_GB2312"/>
          <w:sz w:val="32"/>
        </w:rPr>
        <w:t>单位无采购。</w:t>
      </w:r>
    </w:p>
    <w:p>
      <w:pPr>
        <w:ind w:firstLine="643" w:firstLineChars="200"/>
        <w:rPr>
          <w:rFonts w:eastAsia="仿宋_GB2312"/>
          <w:sz w:val="32"/>
          <w:szCs w:val="32"/>
          <w:lang w:val="zh-CN"/>
        </w:rPr>
      </w:pPr>
      <w:r>
        <w:rPr>
          <w:rFonts w:hint="eastAsia" w:ascii="楷体_GB2312" w:eastAsia="楷体_GB2312"/>
          <w:b/>
          <w:sz w:val="32"/>
          <w:szCs w:val="32"/>
        </w:rPr>
        <w:t>（二）部门预算项目绩效分析。</w:t>
      </w:r>
      <w:r>
        <w:rPr>
          <w:rFonts w:hint="eastAsia" w:eastAsia="仿宋_GB2312"/>
          <w:sz w:val="32"/>
          <w:szCs w:val="32"/>
          <w:lang w:val="zh-CN"/>
        </w:rPr>
        <w:t>填报以下数据，并根据部门预算绩效评价指标体系“项目绩效”涉及二、三级指标进行逐项绩效分析并评分，依次包括项目决策、项目执行、目标实现等情况。</w:t>
      </w:r>
    </w:p>
    <w:p>
      <w:pPr>
        <w:ind w:firstLine="640" w:firstLineChars="200"/>
        <w:rPr>
          <w:rFonts w:eastAsia="仿宋_GB2312"/>
          <w:sz w:val="32"/>
          <w:szCs w:val="32"/>
          <w:lang w:val="zh-CN"/>
        </w:rPr>
      </w:pPr>
      <w:r>
        <w:rPr>
          <w:rFonts w:hint="eastAsia" w:eastAsia="仿宋_GB2312"/>
          <w:sz w:val="32"/>
          <w:szCs w:val="32"/>
        </w:rPr>
        <w:t>常年项目绩效分析。</w:t>
      </w:r>
      <w:r>
        <w:rPr>
          <w:rFonts w:hint="eastAsia" w:eastAsia="仿宋_GB2312"/>
          <w:sz w:val="32"/>
          <w:szCs w:val="32"/>
          <w:lang w:val="zh-CN"/>
        </w:rPr>
        <w:t>该类项目总数</w:t>
      </w:r>
      <w:r>
        <w:rPr>
          <w:rFonts w:hint="eastAsia" w:eastAsia="仿宋_GB2312"/>
          <w:sz w:val="32"/>
          <w:szCs w:val="32"/>
        </w:rPr>
        <w:t>1</w:t>
      </w:r>
      <w:r>
        <w:rPr>
          <w:rFonts w:hint="eastAsia" w:eastAsia="仿宋_GB2312"/>
          <w:sz w:val="32"/>
          <w:szCs w:val="32"/>
          <w:lang w:val="zh-CN"/>
        </w:rPr>
        <w:t>个，涉及预算总金额</w:t>
      </w:r>
      <w:r>
        <w:rPr>
          <w:rFonts w:hint="eastAsia" w:eastAsia="仿宋_GB2312"/>
          <w:sz w:val="32"/>
          <w:szCs w:val="32"/>
        </w:rPr>
        <w:t>0.22</w:t>
      </w:r>
      <w:r>
        <w:rPr>
          <w:rFonts w:hint="eastAsia" w:eastAsia="仿宋_GB2312"/>
          <w:sz w:val="32"/>
          <w:szCs w:val="32"/>
          <w:lang w:val="zh-CN"/>
        </w:rPr>
        <w:t>万元，1—1</w:t>
      </w:r>
      <w:r>
        <w:rPr>
          <w:rFonts w:hint="eastAsia" w:eastAsia="仿宋_GB2312"/>
          <w:sz w:val="32"/>
          <w:szCs w:val="32"/>
        </w:rPr>
        <w:t>2</w:t>
      </w:r>
      <w:r>
        <w:rPr>
          <w:rFonts w:hint="eastAsia" w:eastAsia="仿宋_GB2312"/>
          <w:sz w:val="32"/>
          <w:szCs w:val="32"/>
          <w:lang w:val="zh-CN"/>
        </w:rPr>
        <w:t>月预算执行总体进度为</w:t>
      </w:r>
      <w:r>
        <w:rPr>
          <w:rFonts w:hint="eastAsia" w:eastAsia="仿宋_GB2312"/>
          <w:sz w:val="32"/>
          <w:szCs w:val="32"/>
        </w:rPr>
        <w:t>90.91</w:t>
      </w:r>
      <w:r>
        <w:rPr>
          <w:rFonts w:hint="eastAsia" w:eastAsia="仿宋_GB2312"/>
          <w:sz w:val="32"/>
          <w:szCs w:val="32"/>
          <w:lang w:val="zh-CN"/>
        </w:rPr>
        <w:t>%，其中：预算结余率大于</w:t>
      </w:r>
      <w:r>
        <w:rPr>
          <w:rFonts w:hint="eastAsia" w:eastAsia="仿宋_GB2312"/>
          <w:sz w:val="32"/>
          <w:szCs w:val="32"/>
        </w:rPr>
        <w:t>10%</w:t>
      </w:r>
      <w:r>
        <w:rPr>
          <w:rFonts w:hint="eastAsia" w:eastAsia="仿宋_GB2312"/>
          <w:sz w:val="32"/>
          <w:szCs w:val="32"/>
          <w:lang w:val="zh-CN"/>
        </w:rPr>
        <w:t>的项目共计</w:t>
      </w:r>
      <w:r>
        <w:rPr>
          <w:rFonts w:hint="eastAsia" w:eastAsia="仿宋_GB2312"/>
          <w:sz w:val="32"/>
          <w:szCs w:val="32"/>
        </w:rPr>
        <w:t>0</w:t>
      </w:r>
      <w:r>
        <w:rPr>
          <w:rFonts w:hint="eastAsia" w:eastAsia="仿宋_GB2312"/>
          <w:sz w:val="32"/>
          <w:szCs w:val="32"/>
          <w:lang w:val="zh-CN"/>
        </w:rPr>
        <w:t>个。</w:t>
      </w:r>
    </w:p>
    <w:p>
      <w:pPr>
        <w:ind w:firstLine="640" w:firstLineChars="200"/>
        <w:rPr>
          <w:rFonts w:eastAsia="仿宋_GB2312"/>
          <w:sz w:val="32"/>
          <w:szCs w:val="32"/>
          <w:lang w:val="zh-CN"/>
        </w:rPr>
      </w:pPr>
      <w:r>
        <w:rPr>
          <w:rFonts w:hint="eastAsia" w:eastAsia="仿宋_GB2312"/>
          <w:sz w:val="32"/>
          <w:szCs w:val="32"/>
        </w:rPr>
        <w:t>阶段（一次性）项目绩效分析。</w:t>
      </w:r>
      <w:r>
        <w:rPr>
          <w:rFonts w:hint="eastAsia" w:eastAsia="仿宋_GB2312"/>
          <w:sz w:val="32"/>
          <w:szCs w:val="32"/>
          <w:lang w:val="zh-CN"/>
        </w:rPr>
        <w:t>该类项目总数</w:t>
      </w:r>
      <w:r>
        <w:rPr>
          <w:rFonts w:hint="eastAsia" w:eastAsia="仿宋_GB2312"/>
          <w:sz w:val="32"/>
          <w:szCs w:val="32"/>
        </w:rPr>
        <w:t>24</w:t>
      </w:r>
      <w:r>
        <w:rPr>
          <w:rFonts w:hint="eastAsia" w:eastAsia="仿宋_GB2312"/>
          <w:sz w:val="32"/>
          <w:szCs w:val="32"/>
          <w:lang w:val="zh-CN"/>
        </w:rPr>
        <w:t>个，涉及预算总金额</w:t>
      </w:r>
      <w:r>
        <w:rPr>
          <w:rFonts w:hint="eastAsia" w:eastAsia="仿宋_GB2312"/>
          <w:sz w:val="32"/>
          <w:szCs w:val="32"/>
        </w:rPr>
        <w:t>2039.33</w:t>
      </w:r>
      <w:r>
        <w:rPr>
          <w:rFonts w:hint="eastAsia" w:eastAsia="仿宋_GB2312"/>
          <w:sz w:val="32"/>
          <w:szCs w:val="32"/>
          <w:lang w:val="zh-CN"/>
        </w:rPr>
        <w:t>万元，1—1</w:t>
      </w:r>
      <w:r>
        <w:rPr>
          <w:rFonts w:hint="eastAsia" w:eastAsia="仿宋_GB2312"/>
          <w:sz w:val="32"/>
          <w:szCs w:val="32"/>
        </w:rPr>
        <w:t>2</w:t>
      </w:r>
      <w:r>
        <w:rPr>
          <w:rFonts w:hint="eastAsia" w:eastAsia="仿宋_GB2312"/>
          <w:sz w:val="32"/>
          <w:szCs w:val="32"/>
          <w:lang w:val="zh-CN"/>
        </w:rPr>
        <w:t>月预算执行总体进度为</w:t>
      </w:r>
      <w:r>
        <w:rPr>
          <w:rFonts w:hint="eastAsia" w:eastAsia="仿宋_GB2312"/>
          <w:sz w:val="32"/>
          <w:szCs w:val="32"/>
        </w:rPr>
        <w:t>51.98</w:t>
      </w:r>
      <w:r>
        <w:rPr>
          <w:rFonts w:hint="eastAsia" w:eastAsia="仿宋_GB2312"/>
          <w:sz w:val="32"/>
          <w:szCs w:val="32"/>
          <w:lang w:val="zh-CN"/>
        </w:rPr>
        <w:t>%，其中：预算结余率大于</w:t>
      </w:r>
      <w:r>
        <w:rPr>
          <w:rFonts w:hint="eastAsia" w:eastAsia="仿宋_GB2312"/>
          <w:sz w:val="32"/>
          <w:szCs w:val="32"/>
        </w:rPr>
        <w:t>10%</w:t>
      </w:r>
      <w:r>
        <w:rPr>
          <w:rFonts w:hint="eastAsia" w:eastAsia="仿宋_GB2312"/>
          <w:sz w:val="32"/>
          <w:szCs w:val="32"/>
          <w:lang w:val="zh-CN"/>
        </w:rPr>
        <w:t>的项目共计</w:t>
      </w:r>
      <w:r>
        <w:rPr>
          <w:rFonts w:hint="eastAsia" w:eastAsia="仿宋_GB2312"/>
          <w:sz w:val="32"/>
          <w:szCs w:val="32"/>
        </w:rPr>
        <w:t>9</w:t>
      </w:r>
      <w:r>
        <w:rPr>
          <w:rFonts w:hint="eastAsia" w:eastAsia="仿宋_GB2312"/>
          <w:sz w:val="32"/>
          <w:szCs w:val="32"/>
          <w:lang w:val="zh-CN"/>
        </w:rPr>
        <w:t>个。</w:t>
      </w:r>
    </w:p>
    <w:p>
      <w:pPr>
        <w:adjustRightInd w:val="0"/>
        <w:snapToGrid w:val="0"/>
        <w:spacing w:line="578" w:lineRule="exact"/>
        <w:ind w:firstLine="640" w:firstLineChars="200"/>
        <w:contextualSpacing/>
        <w:jc w:val="left"/>
        <w:rPr>
          <w:rFonts w:ascii="楷体_GB2312" w:hAnsi="楷体_GB2312" w:eastAsia="楷体_GB2312" w:cs="楷体_GB2312"/>
          <w:color w:val="000000"/>
          <w:kern w:val="0"/>
          <w:sz w:val="32"/>
          <w:szCs w:val="32"/>
          <w:shd w:val="clear" w:color="auto" w:fill="FFFFFF"/>
        </w:rPr>
      </w:pPr>
      <w:r>
        <w:rPr>
          <w:rFonts w:hint="eastAsia" w:ascii="楷体_GB2312" w:hAnsi="楷体_GB2312" w:eastAsia="楷体_GB2312" w:cs="楷体_GB2312"/>
          <w:color w:val="000000"/>
          <w:kern w:val="0"/>
          <w:sz w:val="32"/>
          <w:szCs w:val="32"/>
          <w:shd w:val="clear" w:color="auto" w:fill="FFFFFF"/>
        </w:rPr>
        <w:t>1.项目决策。</w:t>
      </w:r>
    </w:p>
    <w:p>
      <w:pPr>
        <w:ind w:firstLine="640" w:firstLineChars="200"/>
        <w:rPr>
          <w:rFonts w:eastAsia="仿宋_GB2312"/>
          <w:sz w:val="32"/>
          <w:szCs w:val="32"/>
        </w:rPr>
      </w:pPr>
      <w:r>
        <w:rPr>
          <w:rFonts w:hint="eastAsia" w:eastAsia="仿宋_GB2312"/>
          <w:sz w:val="32"/>
          <w:szCs w:val="32"/>
          <w:lang w:val="zh-CN"/>
        </w:rPr>
        <w:t>决策程序：</w:t>
      </w:r>
      <w:r>
        <w:rPr>
          <w:rFonts w:hint="eastAsia" w:eastAsia="仿宋_GB2312"/>
          <w:sz w:val="32"/>
          <w:szCs w:val="32"/>
        </w:rPr>
        <w:t>加强对领导机关、领导干部特别是各级领导班子主要负责人的监督。认真检查党的路线、方针、政策和决议的执行情况，监督民主集中制及领导班子议事规则落实情况，反属重大决策、重要干部任免、重大项目安排和大额度资金的使用，必须由领导班子集体作出决定。</w:t>
      </w:r>
    </w:p>
    <w:p>
      <w:pPr>
        <w:ind w:firstLine="640" w:firstLineChars="200"/>
        <w:rPr>
          <w:rFonts w:eastAsia="仿宋_GB2312"/>
          <w:sz w:val="32"/>
          <w:szCs w:val="32"/>
          <w:lang w:val="zh-CN"/>
        </w:rPr>
      </w:pPr>
      <w:r>
        <w:rPr>
          <w:rFonts w:hint="eastAsia" w:eastAsia="仿宋_GB2312"/>
          <w:sz w:val="32"/>
          <w:szCs w:val="32"/>
          <w:lang w:val="zh-CN"/>
        </w:rPr>
        <w:t>目标设置：加强对你党的理论、基本路线、基本纲领，提高党员干部思想政治素质、业务素质和道德水平教育培训;红财发[2021]75号7-12021浙江援建红原县委党校长征干部学院建设项目;</w:t>
      </w:r>
    </w:p>
    <w:p>
      <w:pPr>
        <w:ind w:firstLine="640" w:firstLineChars="200"/>
        <w:rPr>
          <w:rFonts w:eastAsia="仿宋_GB2312"/>
          <w:sz w:val="32"/>
          <w:szCs w:val="32"/>
          <w:lang w:val="zh-CN"/>
        </w:rPr>
      </w:pPr>
      <w:r>
        <w:rPr>
          <w:rFonts w:hint="eastAsia" w:eastAsia="仿宋_GB2312"/>
          <w:sz w:val="32"/>
          <w:szCs w:val="32"/>
          <w:lang w:val="zh-CN"/>
        </w:rPr>
        <w:t>项目入库：</w:t>
      </w:r>
      <w:r>
        <w:rPr>
          <w:rFonts w:hint="eastAsia" w:eastAsia="仿宋_GB2312"/>
          <w:sz w:val="32"/>
          <w:szCs w:val="32"/>
        </w:rPr>
        <w:t>严格</w:t>
      </w:r>
      <w:r>
        <w:rPr>
          <w:rFonts w:hint="eastAsia" w:eastAsia="仿宋_GB2312"/>
          <w:sz w:val="32"/>
          <w:szCs w:val="32"/>
          <w:lang w:val="zh-CN"/>
        </w:rPr>
        <w:t>按照程序以及要求，项目在资金使用前必须进行项目入库。</w:t>
      </w:r>
    </w:p>
    <w:p>
      <w:pPr>
        <w:ind w:firstLine="640" w:firstLineChars="200"/>
        <w:rPr>
          <w:rFonts w:ascii="楷体_GB2312" w:hAnsi="楷体_GB2312" w:eastAsia="楷体_GB2312" w:cs="楷体_GB2312"/>
          <w:color w:val="000000"/>
          <w:kern w:val="0"/>
          <w:sz w:val="32"/>
          <w:szCs w:val="32"/>
          <w:shd w:val="clear" w:color="auto" w:fill="FFFFFF"/>
        </w:rPr>
      </w:pPr>
      <w:r>
        <w:rPr>
          <w:rFonts w:hint="eastAsia" w:ascii="楷体_GB2312" w:hAnsi="楷体_GB2312" w:eastAsia="楷体_GB2312" w:cs="楷体_GB2312"/>
          <w:color w:val="000000"/>
          <w:kern w:val="0"/>
          <w:sz w:val="32"/>
          <w:szCs w:val="32"/>
          <w:shd w:val="clear" w:color="auto" w:fill="FFFFFF"/>
        </w:rPr>
        <w:t>2.项目执行。</w:t>
      </w:r>
    </w:p>
    <w:p>
      <w:pPr>
        <w:ind w:firstLine="640" w:firstLineChars="200"/>
        <w:rPr>
          <w:rFonts w:eastAsia="仿宋_GB2312"/>
          <w:sz w:val="32"/>
          <w:szCs w:val="32"/>
          <w:lang w:val="zh-CN"/>
        </w:rPr>
      </w:pPr>
      <w:r>
        <w:rPr>
          <w:rFonts w:hint="eastAsia" w:ascii="仿宋_GB2312" w:hAnsi="仿宋"/>
          <w:sz w:val="32"/>
          <w:szCs w:val="32"/>
        </w:rPr>
        <w:t>2023年预算决算总收入1645.77</w:t>
      </w:r>
      <w:r>
        <w:rPr>
          <w:rFonts w:hint="eastAsia" w:ascii="仿宋_GB2312" w:hAnsi="仿宋" w:eastAsia="仿宋_GB2312"/>
          <w:sz w:val="32"/>
          <w:szCs w:val="32"/>
        </w:rPr>
        <w:t>万元，</w:t>
      </w:r>
      <w:r>
        <w:rPr>
          <w:rFonts w:hint="eastAsia" w:ascii="仿宋_GB2312" w:hAnsi="仿宋"/>
          <w:sz w:val="32"/>
          <w:szCs w:val="32"/>
        </w:rPr>
        <w:t>2023年支出合计1645.77</w:t>
      </w:r>
      <w:r>
        <w:rPr>
          <w:rFonts w:hint="eastAsia" w:ascii="仿宋_GB2312" w:hAnsi="仿宋" w:eastAsia="仿宋_GB2312"/>
          <w:sz w:val="32"/>
          <w:szCs w:val="32"/>
        </w:rPr>
        <w:t>万元，</w:t>
      </w:r>
      <w:r>
        <w:rPr>
          <w:rFonts w:hint="eastAsia" w:ascii="仿宋_GB2312" w:hAnsi="仿宋"/>
          <w:sz w:val="32"/>
          <w:szCs w:val="32"/>
        </w:rPr>
        <w:t>资金使用率</w:t>
      </w:r>
      <w:r>
        <w:rPr>
          <w:rFonts w:hint="eastAsia" w:ascii="仿宋_GB2312" w:hAnsi="仿宋" w:eastAsia="仿宋_GB2312"/>
          <w:sz w:val="32"/>
          <w:szCs w:val="32"/>
        </w:rPr>
        <w:t>100%</w:t>
      </w:r>
      <w:r>
        <w:rPr>
          <w:rFonts w:hint="eastAsia" w:ascii="仿宋_GB2312" w:hAnsi="仿宋"/>
          <w:sz w:val="32"/>
          <w:szCs w:val="32"/>
        </w:rPr>
        <w:t>。</w:t>
      </w:r>
      <w:r>
        <w:rPr>
          <w:rFonts w:eastAsia="仿宋_GB2312"/>
          <w:sz w:val="32"/>
          <w:lang w:val="zh-CN"/>
        </w:rPr>
        <w:t>其中：</w:t>
      </w:r>
      <w:r>
        <w:rPr>
          <w:rFonts w:hint="eastAsia"/>
          <w:sz w:val="32"/>
        </w:rPr>
        <w:t>一般公共服务支出15万元，占0.91%；</w:t>
      </w:r>
      <w:r>
        <w:rPr>
          <w:sz w:val="32"/>
          <w:lang w:val="zh-CN"/>
        </w:rPr>
        <w:t>教育</w:t>
      </w:r>
      <w:r>
        <w:rPr>
          <w:rFonts w:eastAsia="仿宋_GB2312"/>
          <w:sz w:val="32"/>
          <w:lang w:val="zh-CN"/>
        </w:rPr>
        <w:t>支出</w:t>
      </w:r>
      <w:r>
        <w:rPr>
          <w:rFonts w:hint="eastAsia"/>
          <w:sz w:val="32"/>
        </w:rPr>
        <w:t>1482.41</w:t>
      </w:r>
      <w:r>
        <w:rPr>
          <w:rFonts w:eastAsia="仿宋_GB2312"/>
          <w:sz w:val="32"/>
          <w:lang w:val="zh-CN"/>
        </w:rPr>
        <w:t>万元，占</w:t>
      </w:r>
      <w:r>
        <w:rPr>
          <w:rFonts w:hint="eastAsia"/>
          <w:sz w:val="32"/>
        </w:rPr>
        <w:t>90.07</w:t>
      </w:r>
      <w:r>
        <w:rPr>
          <w:rFonts w:eastAsia="仿宋_GB2312"/>
          <w:sz w:val="32"/>
          <w:lang w:val="zh-CN"/>
        </w:rPr>
        <w:t>%；社会保障和就业支出</w:t>
      </w:r>
      <w:r>
        <w:rPr>
          <w:rFonts w:hint="eastAsia"/>
          <w:sz w:val="32"/>
        </w:rPr>
        <w:t>74.24</w:t>
      </w:r>
      <w:r>
        <w:rPr>
          <w:rFonts w:eastAsia="仿宋_GB2312"/>
          <w:sz w:val="32"/>
          <w:lang w:val="zh-CN"/>
        </w:rPr>
        <w:t>万元，</w:t>
      </w:r>
      <w:r>
        <w:rPr>
          <w:rFonts w:hint="eastAsia"/>
          <w:sz w:val="32"/>
        </w:rPr>
        <w:t>占4.51</w:t>
      </w:r>
      <w:r>
        <w:rPr>
          <w:rFonts w:eastAsia="仿宋_GB2312"/>
          <w:sz w:val="32"/>
          <w:lang w:val="zh-CN"/>
        </w:rPr>
        <w:t>%；</w:t>
      </w:r>
      <w:r>
        <w:rPr>
          <w:sz w:val="32"/>
          <w:lang w:val="zh-CN"/>
        </w:rPr>
        <w:t>卫生健康</w:t>
      </w:r>
      <w:r>
        <w:rPr>
          <w:rFonts w:eastAsia="仿宋_GB2312"/>
          <w:sz w:val="32"/>
          <w:lang w:val="zh-CN"/>
        </w:rPr>
        <w:t>支出</w:t>
      </w:r>
      <w:r>
        <w:rPr>
          <w:rFonts w:hint="eastAsia"/>
          <w:sz w:val="32"/>
        </w:rPr>
        <w:t>31.01</w:t>
      </w:r>
      <w:r>
        <w:rPr>
          <w:rFonts w:eastAsia="仿宋_GB2312"/>
          <w:sz w:val="32"/>
          <w:lang w:val="zh-CN"/>
        </w:rPr>
        <w:t>万元，占</w:t>
      </w:r>
      <w:r>
        <w:rPr>
          <w:rFonts w:hint="eastAsia"/>
          <w:sz w:val="32"/>
        </w:rPr>
        <w:t>1.88</w:t>
      </w:r>
      <w:r>
        <w:rPr>
          <w:rFonts w:eastAsia="仿宋_GB2312"/>
          <w:sz w:val="32"/>
          <w:lang w:val="zh-CN"/>
        </w:rPr>
        <w:t>%；住房保障支出</w:t>
      </w:r>
      <w:r>
        <w:rPr>
          <w:rFonts w:hint="eastAsia"/>
          <w:sz w:val="32"/>
        </w:rPr>
        <w:t>36.28</w:t>
      </w:r>
      <w:r>
        <w:rPr>
          <w:rFonts w:eastAsia="仿宋_GB2312"/>
          <w:sz w:val="32"/>
          <w:lang w:val="zh-CN"/>
        </w:rPr>
        <w:t>万元，占</w:t>
      </w:r>
      <w:r>
        <w:rPr>
          <w:rFonts w:hint="eastAsia"/>
          <w:sz w:val="32"/>
        </w:rPr>
        <w:t>2.20</w:t>
      </w:r>
      <w:r>
        <w:rPr>
          <w:rFonts w:eastAsia="仿宋_GB2312"/>
          <w:sz w:val="32"/>
          <w:lang w:val="zh-CN"/>
        </w:rPr>
        <w:t>%</w:t>
      </w:r>
      <w:r>
        <w:rPr>
          <w:rFonts w:hint="eastAsia"/>
          <w:sz w:val="32"/>
          <w:lang w:val="zh-CN"/>
        </w:rPr>
        <w:t>；</w:t>
      </w:r>
      <w:r>
        <w:rPr>
          <w:rFonts w:hint="eastAsia"/>
          <w:sz w:val="32"/>
        </w:rPr>
        <w:t>其他支出6.85万元，占0.42%</w:t>
      </w:r>
      <w:r>
        <w:rPr>
          <w:rFonts w:hint="eastAsia"/>
          <w:sz w:val="32"/>
          <w:lang w:val="zh-CN"/>
        </w:rPr>
        <w:t>。</w:t>
      </w:r>
    </w:p>
    <w:p>
      <w:pPr>
        <w:ind w:firstLine="640" w:firstLineChars="200"/>
        <w:rPr>
          <w:rFonts w:eastAsia="仿宋_GB2312"/>
          <w:sz w:val="32"/>
          <w:szCs w:val="32"/>
          <w:lang w:val="zh-CN"/>
        </w:rPr>
      </w:pPr>
      <w:r>
        <w:rPr>
          <w:rFonts w:hint="eastAsia" w:ascii="楷体_GB2312" w:hAnsi="楷体_GB2312" w:eastAsia="楷体_GB2312" w:cs="楷体_GB2312"/>
          <w:color w:val="000000"/>
          <w:kern w:val="0"/>
          <w:sz w:val="32"/>
          <w:szCs w:val="32"/>
          <w:shd w:val="clear" w:color="auto" w:fill="FFFFFF"/>
        </w:rPr>
        <w:t>3.目标实现。</w:t>
      </w:r>
      <w:r>
        <w:rPr>
          <w:rFonts w:hint="eastAsia" w:eastAsia="仿宋_GB2312"/>
          <w:sz w:val="32"/>
          <w:szCs w:val="32"/>
          <w:lang w:val="zh-CN"/>
        </w:rPr>
        <w:t>围绕目标完成、目标偏离、实现效果进行绩效分析。</w:t>
      </w:r>
    </w:p>
    <w:p>
      <w:pPr>
        <w:ind w:firstLine="640" w:firstLineChars="200"/>
        <w:rPr>
          <w:rFonts w:eastAsia="仿宋_GB2312"/>
          <w:sz w:val="32"/>
          <w:szCs w:val="32"/>
          <w:lang w:val="zh-CN"/>
        </w:rPr>
      </w:pPr>
      <w:r>
        <w:rPr>
          <w:rFonts w:hint="eastAsia" w:eastAsia="仿宋_GB2312"/>
          <w:sz w:val="32"/>
          <w:szCs w:val="32"/>
        </w:rPr>
        <w:t>2023年</w:t>
      </w:r>
      <w:r>
        <w:rPr>
          <w:rFonts w:hint="eastAsia" w:eastAsia="仿宋_GB2312"/>
          <w:sz w:val="32"/>
          <w:szCs w:val="32"/>
          <w:lang w:val="zh-CN"/>
        </w:rPr>
        <w:t>我</w:t>
      </w:r>
      <w:r>
        <w:rPr>
          <w:rFonts w:hint="eastAsia" w:eastAsia="仿宋_GB2312"/>
          <w:sz w:val="32"/>
          <w:szCs w:val="32"/>
        </w:rPr>
        <w:t>单位目标完成100%，未偏离目标。</w:t>
      </w:r>
      <w:r>
        <w:rPr>
          <w:rFonts w:hint="eastAsia" w:eastAsia="仿宋_GB2312"/>
          <w:sz w:val="32"/>
          <w:szCs w:val="32"/>
          <w:lang w:val="zh-CN"/>
        </w:rPr>
        <w:t>加强对你党的理论、基本路线、基本纲领，提高党员干部思想政治素质、业务素质和道德水平教育培训;红财发[2021]75号7-12021浙江援建红原县委党校长征干部学院建设项目;</w:t>
      </w:r>
    </w:p>
    <w:p>
      <w:pPr>
        <w:widowControl/>
        <w:numPr>
          <w:ilvl w:val="0"/>
          <w:numId w:val="6"/>
        </w:numPr>
        <w:adjustRightInd w:val="0"/>
        <w:snapToGrid w:val="0"/>
        <w:spacing w:line="578" w:lineRule="exact"/>
        <w:ind w:firstLine="643" w:firstLineChars="200"/>
        <w:contextualSpacing/>
        <w:jc w:val="left"/>
        <w:rPr>
          <w:rFonts w:ascii="楷体_GB2312" w:eastAsia="楷体_GB2312"/>
          <w:b/>
          <w:sz w:val="32"/>
          <w:szCs w:val="32"/>
        </w:rPr>
      </w:pPr>
      <w:r>
        <w:rPr>
          <w:rFonts w:hint="eastAsia" w:ascii="楷体_GB2312" w:eastAsia="楷体_GB2312"/>
          <w:b/>
          <w:sz w:val="32"/>
          <w:szCs w:val="32"/>
        </w:rPr>
        <w:t>重点领域绩效分析。</w:t>
      </w:r>
    </w:p>
    <w:p>
      <w:pPr>
        <w:ind w:firstLine="640" w:firstLineChars="200"/>
        <w:rPr>
          <w:rFonts w:eastAsia="仿宋_GB2312"/>
          <w:sz w:val="32"/>
          <w:szCs w:val="32"/>
        </w:rPr>
      </w:pPr>
      <w:r>
        <w:rPr>
          <w:rFonts w:hint="eastAsia" w:eastAsia="仿宋_GB2312"/>
          <w:sz w:val="32"/>
          <w:szCs w:val="32"/>
        </w:rPr>
        <w:t>我单位2023年未涉及重点领域事项。</w:t>
      </w:r>
    </w:p>
    <w:p>
      <w:pPr>
        <w:numPr>
          <w:ilvl w:val="0"/>
          <w:numId w:val="6"/>
        </w:numPr>
        <w:ind w:firstLine="643" w:firstLineChars="200"/>
        <w:rPr>
          <w:rFonts w:ascii="楷体_GB2312" w:eastAsia="楷体_GB2312"/>
          <w:b/>
          <w:sz w:val="32"/>
          <w:szCs w:val="32"/>
        </w:rPr>
      </w:pPr>
      <w:r>
        <w:rPr>
          <w:rFonts w:hint="eastAsia" w:ascii="楷体_GB2312" w:eastAsia="楷体_GB2312"/>
          <w:b/>
          <w:sz w:val="32"/>
          <w:szCs w:val="32"/>
        </w:rPr>
        <w:t>绩效结果应用情况。</w:t>
      </w:r>
    </w:p>
    <w:p>
      <w:pPr>
        <w:ind w:firstLine="640" w:firstLineChars="200"/>
        <w:rPr>
          <w:rFonts w:eastAsia="仿宋_GB2312"/>
          <w:sz w:val="32"/>
          <w:szCs w:val="32"/>
          <w:lang w:val="zh-CN"/>
        </w:rPr>
      </w:pPr>
      <w:r>
        <w:rPr>
          <w:rFonts w:hint="eastAsia" w:eastAsia="仿宋_GB2312"/>
          <w:sz w:val="32"/>
          <w:szCs w:val="32"/>
          <w:lang w:val="zh-CN"/>
        </w:rPr>
        <w:t>我</w:t>
      </w:r>
      <w:r>
        <w:rPr>
          <w:rFonts w:hint="eastAsia" w:eastAsia="仿宋_GB2312"/>
          <w:sz w:val="32"/>
          <w:szCs w:val="32"/>
        </w:rPr>
        <w:t>单位</w:t>
      </w:r>
      <w:r>
        <w:rPr>
          <w:rFonts w:hint="eastAsia" w:eastAsia="仿宋_GB2312"/>
          <w:sz w:val="32"/>
          <w:szCs w:val="32"/>
          <w:lang w:val="zh-CN"/>
        </w:rPr>
        <w:t>部门绩效结果应用到了下一年的绩效目标设定与调整。根据支出预决算，为下一年度的预算提供了基础预算数据。优化了</w:t>
      </w:r>
      <w:r>
        <w:rPr>
          <w:rFonts w:hint="eastAsia" w:eastAsia="仿宋_GB2312"/>
          <w:sz w:val="32"/>
          <w:szCs w:val="32"/>
        </w:rPr>
        <w:t>单位</w:t>
      </w:r>
      <w:r>
        <w:rPr>
          <w:rFonts w:hint="eastAsia" w:eastAsia="仿宋_GB2312"/>
          <w:sz w:val="32"/>
          <w:szCs w:val="32"/>
          <w:lang w:val="zh-CN"/>
        </w:rPr>
        <w:t>资金的使用率。保障了机关日常正常运转，专项资金保障了</w:t>
      </w:r>
      <w:r>
        <w:rPr>
          <w:rFonts w:hint="eastAsia" w:eastAsia="仿宋_GB2312"/>
          <w:sz w:val="32"/>
          <w:szCs w:val="32"/>
        </w:rPr>
        <w:t>党员干部思想政治素质、业务素质和道德水平教育培训</w:t>
      </w:r>
      <w:r>
        <w:rPr>
          <w:rFonts w:hint="eastAsia" w:eastAsia="仿宋_GB2312"/>
          <w:sz w:val="32"/>
          <w:szCs w:val="32"/>
          <w:lang w:val="zh-CN"/>
        </w:rPr>
        <w:t>，同时在维护少数民族地区的社会稳定，提高人民生活水平，改善人民生活质量等方面有着极其重要的意义，有力促进了社会和谐发展，为全县及乡镇的经济发展作出了应有的贡献，</w:t>
      </w:r>
      <w:r>
        <w:rPr>
          <w:rFonts w:hint="eastAsia" w:eastAsia="仿宋_GB2312"/>
          <w:sz w:val="32"/>
          <w:szCs w:val="32"/>
        </w:rPr>
        <w:t>2023年预算及决算已在政府信息公开网站进行了公开。</w:t>
      </w:r>
    </w:p>
    <w:p>
      <w:pPr>
        <w:ind w:firstLine="640" w:firstLineChars="200"/>
        <w:rPr>
          <w:rFonts w:hint="eastAsia" w:ascii="黑体" w:hAnsi="黑体" w:eastAsia="黑体"/>
          <w:sz w:val="32"/>
          <w:szCs w:val="32"/>
        </w:rPr>
      </w:pPr>
      <w:r>
        <w:rPr>
          <w:rFonts w:hint="eastAsia" w:ascii="黑体" w:hAnsi="黑体" w:eastAsia="黑体"/>
          <w:sz w:val="32"/>
          <w:szCs w:val="32"/>
        </w:rPr>
        <w:t>四、评价结论及建议</w:t>
      </w:r>
    </w:p>
    <w:p>
      <w:pPr>
        <w:ind w:firstLine="643" w:firstLineChars="200"/>
        <w:rPr>
          <w:rFonts w:ascii="楷体_GB2312" w:eastAsia="楷体_GB2312"/>
          <w:b/>
          <w:sz w:val="32"/>
          <w:szCs w:val="32"/>
        </w:rPr>
      </w:pPr>
      <w:r>
        <w:rPr>
          <w:rFonts w:hint="eastAsia" w:ascii="楷体_GB2312" w:eastAsia="楷体_GB2312"/>
          <w:b/>
          <w:sz w:val="32"/>
          <w:szCs w:val="32"/>
        </w:rPr>
        <w:t>（一）评价结论。</w:t>
      </w:r>
    </w:p>
    <w:p>
      <w:pPr>
        <w:ind w:firstLine="640" w:firstLineChars="200"/>
        <w:rPr>
          <w:rFonts w:eastAsia="仿宋_GB2312"/>
          <w:sz w:val="32"/>
          <w:szCs w:val="32"/>
          <w:lang w:val="zh-CN"/>
        </w:rPr>
      </w:pPr>
      <w:r>
        <w:rPr>
          <w:rFonts w:hint="eastAsia" w:eastAsia="仿宋_GB2312"/>
          <w:sz w:val="32"/>
          <w:szCs w:val="32"/>
          <w:lang w:val="zh-CN"/>
        </w:rPr>
        <w:t>我</w:t>
      </w:r>
      <w:r>
        <w:rPr>
          <w:rFonts w:hint="eastAsia" w:eastAsia="仿宋_GB2312"/>
          <w:sz w:val="32"/>
          <w:szCs w:val="32"/>
        </w:rPr>
        <w:t>单位</w:t>
      </w:r>
      <w:r>
        <w:rPr>
          <w:rFonts w:hint="eastAsia" w:eastAsia="仿宋_GB2312"/>
          <w:sz w:val="32"/>
          <w:szCs w:val="32"/>
          <w:lang w:val="zh-CN"/>
        </w:rPr>
        <w:t>部门支出预算，保障了机关日常正常运转，专项资金保障了</w:t>
      </w:r>
      <w:r>
        <w:rPr>
          <w:rFonts w:hint="eastAsia" w:eastAsia="仿宋_GB2312"/>
          <w:sz w:val="32"/>
          <w:szCs w:val="32"/>
        </w:rPr>
        <w:t>党员干部思想政治素质、业务素质和道德水平教育培训</w:t>
      </w:r>
      <w:r>
        <w:rPr>
          <w:rFonts w:hint="eastAsia" w:eastAsia="仿宋_GB2312"/>
          <w:sz w:val="32"/>
          <w:szCs w:val="32"/>
          <w:lang w:val="zh-CN"/>
        </w:rPr>
        <w:t>，同时在维护少数民族地区的社会稳定，提高人民生活水平，改善人民生活质量等方面有着极其重要的意义，有力促进了社会和谐发展，为全县及乡镇的经济发展作出了应有的贡献，部门整体支出绩效自评等级为优秀。</w:t>
      </w:r>
    </w:p>
    <w:p>
      <w:pPr>
        <w:numPr>
          <w:ilvl w:val="0"/>
          <w:numId w:val="7"/>
        </w:numPr>
        <w:autoSpaceDE w:val="0"/>
        <w:spacing w:line="560" w:lineRule="exact"/>
        <w:ind w:firstLine="643" w:firstLineChars="200"/>
        <w:jc w:val="left"/>
        <w:rPr>
          <w:rFonts w:ascii="楷体_GB2312" w:eastAsia="楷体_GB2312"/>
          <w:b/>
          <w:sz w:val="32"/>
          <w:szCs w:val="32"/>
        </w:rPr>
      </w:pPr>
      <w:r>
        <w:rPr>
          <w:rFonts w:hint="eastAsia" w:ascii="楷体_GB2312" w:eastAsia="楷体_GB2312"/>
          <w:b/>
          <w:sz w:val="32"/>
          <w:szCs w:val="32"/>
        </w:rPr>
        <w:t>存在问题。</w:t>
      </w:r>
    </w:p>
    <w:p>
      <w:pPr>
        <w:autoSpaceDE w:val="0"/>
        <w:spacing w:line="560" w:lineRule="exact"/>
        <w:ind w:firstLine="640" w:firstLineChars="200"/>
        <w:jc w:val="left"/>
        <w:rPr>
          <w:rFonts w:ascii="仿宋_GB2312" w:hAnsi="仿宋" w:eastAsia="仿宋_GB2312" w:cs="仿宋_GB2312"/>
          <w:color w:val="000000"/>
          <w:kern w:val="0"/>
          <w:sz w:val="32"/>
          <w:szCs w:val="32"/>
          <w:lang w:val="zh-CN" w:bidi="ar"/>
        </w:rPr>
      </w:pPr>
      <w:r>
        <w:rPr>
          <w:rFonts w:hint="eastAsia" w:ascii="仿宋_GB2312" w:hAnsi="仿宋" w:eastAsia="仿宋_GB2312" w:cs="仿宋_GB2312"/>
          <w:color w:val="000000"/>
          <w:kern w:val="0"/>
          <w:sz w:val="32"/>
          <w:szCs w:val="32"/>
          <w:lang w:bidi="ar"/>
        </w:rPr>
        <w:t>由于财政支出的多样性和复杂性，绩效评价指标体系设置难度大，即使可以量化，但实际操作中很多项目间缺乏可比性且指标本身也在逐步变化，需要逐步完善。</w:t>
      </w:r>
      <w:r>
        <w:rPr>
          <w:rFonts w:hint="eastAsia" w:ascii="仿宋_GB2312" w:hAnsi="仿宋" w:eastAsia="仿宋_GB2312" w:cs="仿宋_GB2312"/>
          <w:color w:val="000000"/>
          <w:kern w:val="0"/>
          <w:sz w:val="32"/>
          <w:szCs w:val="32"/>
          <w:lang w:bidi="ar"/>
        </w:rPr>
        <w:br w:type="textWrapping"/>
      </w:r>
      <w:r>
        <w:rPr>
          <w:rFonts w:hint="eastAsia" w:ascii="仿宋_GB2312" w:hAnsi="仿宋" w:cs="仿宋_GB2312"/>
          <w:color w:val="000000"/>
          <w:kern w:val="0"/>
          <w:sz w:val="32"/>
          <w:szCs w:val="32"/>
          <w:lang w:bidi="ar"/>
        </w:rPr>
        <w:t xml:space="preserve">    </w:t>
      </w:r>
      <w:r>
        <w:rPr>
          <w:rFonts w:hint="eastAsia" w:ascii="仿宋_GB2312" w:hAnsi="仿宋" w:eastAsia="仿宋_GB2312" w:cs="仿宋_GB2312"/>
          <w:color w:val="000000"/>
          <w:kern w:val="0"/>
          <w:sz w:val="32"/>
          <w:szCs w:val="32"/>
          <w:lang w:bidi="ar"/>
        </w:rPr>
        <w:t>在平时工作推进过程中，缺乏技术人员进行专业指导及培训，工作推进存在一定困难，预算编制还需更加精准。</w:t>
      </w:r>
    </w:p>
    <w:p>
      <w:pPr>
        <w:numPr>
          <w:ilvl w:val="0"/>
          <w:numId w:val="7"/>
        </w:numPr>
        <w:autoSpaceDE w:val="0"/>
        <w:spacing w:line="560" w:lineRule="exact"/>
        <w:ind w:firstLine="643" w:firstLineChars="200"/>
        <w:jc w:val="left"/>
        <w:rPr>
          <w:rFonts w:ascii="楷体_GB2312" w:eastAsia="楷体_GB2312"/>
          <w:b/>
          <w:sz w:val="32"/>
          <w:szCs w:val="32"/>
        </w:rPr>
      </w:pPr>
      <w:r>
        <w:rPr>
          <w:rFonts w:hint="eastAsia" w:ascii="楷体_GB2312" w:eastAsia="楷体_GB2312"/>
          <w:b/>
          <w:sz w:val="32"/>
          <w:szCs w:val="32"/>
        </w:rPr>
        <w:t>改进建议。</w:t>
      </w:r>
    </w:p>
    <w:p>
      <w:pPr>
        <w:autoSpaceDE w:val="0"/>
        <w:spacing w:line="560" w:lineRule="exact"/>
        <w:ind w:firstLine="640" w:firstLineChars="200"/>
        <w:jc w:val="left"/>
        <w:rPr>
          <w:rFonts w:ascii="仿宋_GB2312" w:hAnsi="仿宋" w:eastAsia="仿宋_GB2312" w:cs="仿宋_GB2312"/>
          <w:color w:val="000000"/>
          <w:kern w:val="0"/>
          <w:sz w:val="32"/>
          <w:szCs w:val="32"/>
          <w:lang w:bidi="ar"/>
        </w:rPr>
      </w:pPr>
      <w:r>
        <w:rPr>
          <w:rFonts w:hint="eastAsia" w:ascii="仿宋_GB2312" w:hAnsi="仿宋" w:eastAsia="仿宋_GB2312" w:cs="仿宋_GB2312"/>
          <w:color w:val="000000"/>
          <w:kern w:val="0"/>
          <w:sz w:val="32"/>
          <w:szCs w:val="32"/>
          <w:lang w:bidi="ar"/>
        </w:rPr>
        <w:t>1.通过各种途径加强绩效管理学习，科学合理编制预算，严格执行预算。</w:t>
      </w:r>
    </w:p>
    <w:p>
      <w:pPr>
        <w:autoSpaceDE w:val="0"/>
        <w:spacing w:line="560" w:lineRule="exact"/>
        <w:ind w:firstLine="640" w:firstLineChars="200"/>
        <w:jc w:val="left"/>
        <w:rPr>
          <w:rFonts w:ascii="仿宋_GB2312" w:hAnsi="仿宋" w:eastAsia="仿宋_GB2312" w:cs="仿宋_GB2312"/>
          <w:color w:val="000000"/>
          <w:kern w:val="0"/>
          <w:sz w:val="32"/>
          <w:szCs w:val="32"/>
          <w:lang w:val="zh-CN" w:bidi="ar"/>
        </w:rPr>
      </w:pPr>
      <w:r>
        <w:rPr>
          <w:rFonts w:hint="eastAsia" w:ascii="仿宋_GB2312" w:hAnsi="仿宋" w:eastAsia="仿宋_GB2312" w:cs="仿宋_GB2312"/>
          <w:color w:val="000000"/>
          <w:kern w:val="0"/>
          <w:sz w:val="32"/>
          <w:szCs w:val="32"/>
          <w:lang w:bidi="ar"/>
        </w:rPr>
        <w:t>2.规范账务处理，提高财务信息质量。</w:t>
      </w:r>
    </w:p>
    <w:p>
      <w:pPr>
        <w:rPr>
          <w:rFonts w:eastAsia="仿宋_GB2312"/>
          <w:sz w:val="32"/>
          <w:szCs w:val="32"/>
          <w:lang w:val="zh-CN"/>
        </w:rPr>
      </w:pPr>
    </w:p>
    <w:p>
      <w:pPr>
        <w:ind w:firstLine="640" w:firstLineChars="200"/>
        <w:rPr>
          <w:rFonts w:hint="eastAsia" w:asciiTheme="minorEastAsia" w:hAnsiTheme="minorEastAsia" w:eastAsiaTheme="minorEastAsia"/>
          <w:sz w:val="32"/>
          <w:szCs w:val="32"/>
          <w:lang w:val="zh-CN"/>
        </w:rPr>
      </w:pPr>
      <w:r>
        <w:rPr>
          <w:rFonts w:hint="eastAsia" w:asciiTheme="minorEastAsia" w:hAnsiTheme="minorEastAsia" w:eastAsiaTheme="minorEastAsia"/>
          <w:sz w:val="32"/>
          <w:szCs w:val="32"/>
          <w:lang w:val="zh-CN"/>
        </w:rPr>
        <w:t>附表：</w:t>
      </w:r>
      <w:r>
        <w:rPr>
          <w:rFonts w:hint="eastAsia" w:asciiTheme="minorEastAsia" w:hAnsiTheme="minorEastAsia" w:eastAsiaTheme="minorEastAsia"/>
          <w:sz w:val="32"/>
          <w:szCs w:val="32"/>
        </w:rPr>
        <w:t>部门</w:t>
      </w:r>
      <w:r>
        <w:rPr>
          <w:rFonts w:hint="eastAsia" w:asciiTheme="minorEastAsia" w:hAnsiTheme="minorEastAsia" w:eastAsiaTheme="minorEastAsia"/>
          <w:sz w:val="32"/>
          <w:szCs w:val="32"/>
          <w:lang w:val="zh-CN"/>
        </w:rPr>
        <w:t>预算项目支出绩效自评表（2023年度）</w:t>
      </w:r>
    </w:p>
    <w:p>
      <w:r>
        <w:object>
          <v:shape id="_x0000_i1025" o:spt="75" type="#_x0000_t75" style="height:264pt;width:414.6pt;" o:ole="t" filled="f" o:preferrelative="t" stroked="f" coordsize="21600,21600">
            <v:path/>
            <v:fill on="f" focussize="0,0"/>
            <v:stroke on="f" joinstyle="miter"/>
            <v:imagedata r:id="rId14" o:title=""/>
            <o:lock v:ext="edit" aspectratio="f"/>
            <w10:wrap type="none"/>
            <w10:anchorlock/>
          </v:shape>
          <o:OLEObject Type="Embed" ProgID="Excel.Sheet.12" ShapeID="_x0000_i1025" DrawAspect="Content" ObjectID="_1468075725" r:id="rId13">
            <o:LockedField>false</o:LockedField>
          </o:OLEObject>
        </w:object>
      </w:r>
    </w:p>
    <w:p>
      <w:pPr>
        <w:pStyle w:val="2"/>
        <w:ind w:left="0" w:leftChars="0" w:firstLine="0" w:firstLineChars="0"/>
      </w:pPr>
      <w:r>
        <w:object>
          <v:shape id="_x0000_i1026" o:spt="75" type="#_x0000_t75" style="height:264pt;width:414.6pt;" o:ole="t" filled="f" o:preferrelative="t" stroked="f" coordsize="21600,21600">
            <v:path/>
            <v:fill on="f" focussize="0,0"/>
            <v:stroke on="f" joinstyle="miter"/>
            <v:imagedata r:id="rId16" o:title=""/>
            <o:lock v:ext="edit" aspectratio="f"/>
            <w10:wrap type="none"/>
            <w10:anchorlock/>
          </v:shape>
          <o:OLEObject Type="Embed" ProgID="Excel.Sheet.12" ShapeID="_x0000_i1026" DrawAspect="Content" ObjectID="_1468075726" r:id="rId15">
            <o:LockedField>false</o:LockedField>
          </o:OLEObject>
        </w:object>
      </w:r>
    </w:p>
    <w:p/>
    <w:p>
      <w:pPr>
        <w:pStyle w:val="2"/>
        <w:ind w:left="0" w:leftChars="0" w:firstLine="0" w:firstLineChars="0"/>
      </w:pPr>
      <w:r>
        <w:object>
          <v:shape id="_x0000_i1027" o:spt="75" type="#_x0000_t75" style="height:264pt;width:414.6pt;" o:ole="t" filled="f" o:preferrelative="t" stroked="f" coordsize="21600,21600">
            <v:path/>
            <v:fill on="f" focussize="0,0"/>
            <v:stroke on="f" joinstyle="miter"/>
            <v:imagedata r:id="rId18" o:title=""/>
            <o:lock v:ext="edit" aspectratio="f"/>
            <w10:wrap type="none"/>
            <w10:anchorlock/>
          </v:shape>
          <o:OLEObject Type="Embed" ProgID="Excel.Sheet.12" ShapeID="_x0000_i1027" DrawAspect="Content" ObjectID="_1468075727" r:id="rId17">
            <o:LockedField>false</o:LockedField>
          </o:OLEObject>
        </w:object>
      </w:r>
    </w:p>
    <w:p>
      <w:r>
        <w:object>
          <v:shape id="_x0000_i1028" o:spt="75" type="#_x0000_t75" style="height:264pt;width:414.6pt;" o:ole="t" filled="f" o:preferrelative="t" stroked="f" coordsize="21600,21600">
            <v:path/>
            <v:fill on="f" focussize="0,0"/>
            <v:stroke on="f" joinstyle="miter"/>
            <v:imagedata r:id="rId20" o:title=""/>
            <o:lock v:ext="edit" aspectratio="f"/>
            <w10:wrap type="none"/>
            <w10:anchorlock/>
          </v:shape>
          <o:OLEObject Type="Embed" ProgID="Excel.Sheet.12" ShapeID="_x0000_i1028" DrawAspect="Content" ObjectID="_1468075728" r:id="rId19">
            <o:LockedField>false</o:LockedField>
          </o:OLEObject>
        </w:object>
      </w:r>
    </w:p>
    <w:p>
      <w:pPr>
        <w:pStyle w:val="2"/>
        <w:ind w:left="420"/>
      </w:pPr>
    </w:p>
    <w:p>
      <w:r>
        <w:object>
          <v:shape id="_x0000_i1029" o:spt="75" type="#_x0000_t75" style="height:264pt;width:414.6pt;" o:ole="t" filled="f" o:preferrelative="t" stroked="f" coordsize="21600,21600">
            <v:path/>
            <v:fill on="f" focussize="0,0"/>
            <v:stroke on="f" joinstyle="miter"/>
            <v:imagedata r:id="rId22" o:title=""/>
            <o:lock v:ext="edit" aspectratio="f"/>
            <w10:wrap type="none"/>
            <w10:anchorlock/>
          </v:shape>
          <o:OLEObject Type="Embed" ProgID="Excel.Sheet.12" ShapeID="_x0000_i1029" DrawAspect="Content" ObjectID="_1468075729" r:id="rId21">
            <o:LockedField>false</o:LockedField>
          </o:OLEObject>
        </w:object>
      </w:r>
    </w:p>
    <w:p>
      <w:pPr>
        <w:pStyle w:val="2"/>
        <w:ind w:left="420"/>
      </w:pPr>
    </w:p>
    <w:p>
      <w:r>
        <w:object>
          <v:shape id="_x0000_i1030" o:spt="75" type="#_x0000_t75" style="height:264pt;width:414.6pt;" o:ole="t" filled="f" o:preferrelative="t" stroked="f" coordsize="21600,21600">
            <v:path/>
            <v:fill on="f" focussize="0,0"/>
            <v:stroke on="f" joinstyle="miter"/>
            <v:imagedata r:id="rId24" o:title=""/>
            <o:lock v:ext="edit" aspectratio="f"/>
            <w10:wrap type="none"/>
            <w10:anchorlock/>
          </v:shape>
          <o:OLEObject Type="Embed" ProgID="Excel.Sheet.12" ShapeID="_x0000_i1030" DrawAspect="Content" ObjectID="_1468075730" r:id="rId23">
            <o:LockedField>false</o:LockedField>
          </o:OLEObject>
        </w:object>
      </w:r>
    </w:p>
    <w:p>
      <w:pPr>
        <w:pStyle w:val="2"/>
        <w:ind w:left="420"/>
      </w:pPr>
    </w:p>
    <w:p/>
    <w:p>
      <w:pPr>
        <w:pStyle w:val="2"/>
        <w:ind w:left="420"/>
      </w:pPr>
    </w:p>
    <w:p/>
    <w:p>
      <w:pPr>
        <w:pStyle w:val="2"/>
        <w:ind w:left="420"/>
      </w:pPr>
    </w:p>
    <w:p/>
    <w:p>
      <w:pPr>
        <w:pStyle w:val="2"/>
        <w:ind w:left="420"/>
      </w:pPr>
    </w:p>
    <w:p/>
    <w:p/>
    <w:p>
      <w:pPr>
        <w:pStyle w:val="4"/>
        <w:jc w:val="center"/>
        <w:rPr>
          <w:rFonts w:hint="eastAsia" w:ascii="黑体" w:hAnsi="黑体" w:eastAsia="黑体"/>
        </w:rPr>
      </w:pPr>
      <w:bookmarkStart w:id="80" w:name="_Toc15359"/>
      <w:r>
        <w:rPr>
          <w:rFonts w:hint="eastAsia" w:ascii="黑体" w:hAnsi="黑体" w:eastAsia="黑体"/>
        </w:rPr>
        <w:t>第五部分 附表</w:t>
      </w:r>
      <w:bookmarkEnd w:id="80"/>
    </w:p>
    <w:p>
      <w:pPr>
        <w:rPr>
          <w:rFonts w:hint="eastAsia" w:ascii="仿宋" w:hAnsi="仿宋" w:eastAsia="仿宋"/>
          <w:sz w:val="32"/>
          <w:szCs w:val="32"/>
        </w:rPr>
      </w:pPr>
      <w:r>
        <w:rPr>
          <w:rFonts w:hint="eastAsia" w:ascii="仿宋" w:hAnsi="仿宋" w:eastAsia="仿宋"/>
          <w:sz w:val="32"/>
          <w:szCs w:val="32"/>
        </w:rPr>
        <w:t>一、收入支出决算总表</w:t>
      </w:r>
    </w:p>
    <w:p>
      <w:pPr>
        <w:rPr>
          <w:rFonts w:hint="eastAsia" w:ascii="仿宋" w:hAnsi="仿宋" w:eastAsia="仿宋"/>
          <w:sz w:val="32"/>
          <w:szCs w:val="32"/>
        </w:rPr>
      </w:pPr>
      <w:r>
        <w:rPr>
          <w:rFonts w:hint="eastAsia" w:ascii="仿宋" w:hAnsi="仿宋" w:eastAsia="仿宋"/>
          <w:sz w:val="32"/>
          <w:szCs w:val="32"/>
        </w:rPr>
        <w:t>二、收入决算表</w:t>
      </w:r>
    </w:p>
    <w:p>
      <w:pPr>
        <w:rPr>
          <w:rFonts w:hint="eastAsia" w:ascii="仿宋" w:hAnsi="仿宋" w:eastAsia="仿宋"/>
          <w:sz w:val="32"/>
          <w:szCs w:val="32"/>
        </w:rPr>
      </w:pPr>
      <w:r>
        <w:rPr>
          <w:rFonts w:hint="eastAsia" w:ascii="仿宋" w:hAnsi="仿宋" w:eastAsia="仿宋"/>
          <w:sz w:val="32"/>
          <w:szCs w:val="32"/>
        </w:rPr>
        <w:t>三、支出决算表</w:t>
      </w:r>
    </w:p>
    <w:p>
      <w:pPr>
        <w:rPr>
          <w:rFonts w:hint="eastAsia" w:ascii="仿宋" w:hAnsi="仿宋" w:eastAsia="仿宋"/>
          <w:sz w:val="32"/>
          <w:szCs w:val="32"/>
        </w:rPr>
      </w:pPr>
      <w:r>
        <w:rPr>
          <w:rFonts w:hint="eastAsia" w:ascii="仿宋" w:hAnsi="仿宋" w:eastAsia="仿宋"/>
          <w:sz w:val="32"/>
          <w:szCs w:val="32"/>
        </w:rPr>
        <w:t>四、财政拨款收入支出决算总表</w:t>
      </w:r>
    </w:p>
    <w:p>
      <w:pPr>
        <w:rPr>
          <w:rFonts w:hint="eastAsia" w:ascii="仿宋" w:hAnsi="仿宋" w:eastAsia="仿宋"/>
          <w:sz w:val="32"/>
          <w:szCs w:val="32"/>
        </w:rPr>
      </w:pPr>
      <w:r>
        <w:rPr>
          <w:rFonts w:hint="eastAsia" w:ascii="仿宋" w:hAnsi="仿宋" w:eastAsia="仿宋"/>
          <w:sz w:val="32"/>
          <w:szCs w:val="32"/>
        </w:rPr>
        <w:t>五、财政拨款支出决算明细表</w:t>
      </w:r>
    </w:p>
    <w:p>
      <w:pPr>
        <w:rPr>
          <w:rFonts w:hint="eastAsia" w:ascii="仿宋" w:hAnsi="仿宋" w:eastAsia="仿宋"/>
          <w:sz w:val="32"/>
          <w:szCs w:val="32"/>
        </w:rPr>
      </w:pPr>
      <w:r>
        <w:rPr>
          <w:rFonts w:hint="eastAsia" w:ascii="仿宋" w:hAnsi="仿宋" w:eastAsia="仿宋"/>
          <w:sz w:val="32"/>
          <w:szCs w:val="32"/>
        </w:rPr>
        <w:t>六、一般公共预算财政拨款支出决算表</w:t>
      </w:r>
    </w:p>
    <w:p>
      <w:pPr>
        <w:rPr>
          <w:rFonts w:hint="eastAsia" w:ascii="仿宋" w:hAnsi="仿宋" w:eastAsia="仿宋"/>
          <w:sz w:val="32"/>
          <w:szCs w:val="32"/>
        </w:rPr>
      </w:pPr>
      <w:r>
        <w:rPr>
          <w:rFonts w:hint="eastAsia" w:ascii="仿宋" w:hAnsi="仿宋" w:eastAsia="仿宋"/>
          <w:sz w:val="32"/>
          <w:szCs w:val="32"/>
        </w:rPr>
        <w:t>七、一般公共预算财政拨款支出决算明细表</w:t>
      </w:r>
    </w:p>
    <w:p>
      <w:pPr>
        <w:rPr>
          <w:rFonts w:hint="eastAsia" w:ascii="仿宋" w:hAnsi="仿宋" w:eastAsia="仿宋"/>
          <w:sz w:val="32"/>
          <w:szCs w:val="32"/>
        </w:rPr>
      </w:pPr>
      <w:r>
        <w:rPr>
          <w:rFonts w:hint="eastAsia" w:ascii="仿宋" w:hAnsi="仿宋" w:eastAsia="仿宋"/>
          <w:sz w:val="32"/>
          <w:szCs w:val="32"/>
        </w:rPr>
        <w:t>八、一般公共预算财政拨款基本支出决算表</w:t>
      </w:r>
    </w:p>
    <w:p>
      <w:pPr>
        <w:rPr>
          <w:rFonts w:hint="eastAsia" w:ascii="仿宋" w:hAnsi="仿宋" w:eastAsia="仿宋"/>
          <w:sz w:val="32"/>
          <w:szCs w:val="32"/>
        </w:rPr>
      </w:pPr>
      <w:r>
        <w:rPr>
          <w:rFonts w:hint="eastAsia" w:ascii="仿宋" w:hAnsi="仿宋" w:eastAsia="仿宋"/>
          <w:sz w:val="32"/>
          <w:szCs w:val="32"/>
        </w:rPr>
        <w:t>九、一般公共预算财政拨款项目支出决算表</w:t>
      </w:r>
    </w:p>
    <w:p>
      <w:pPr>
        <w:rPr>
          <w:rFonts w:hint="eastAsia" w:ascii="仿宋" w:hAnsi="仿宋" w:eastAsia="仿宋"/>
          <w:sz w:val="32"/>
          <w:szCs w:val="32"/>
        </w:rPr>
      </w:pPr>
      <w:r>
        <w:rPr>
          <w:rFonts w:hint="eastAsia" w:ascii="仿宋" w:hAnsi="仿宋" w:eastAsia="仿宋"/>
          <w:sz w:val="32"/>
          <w:szCs w:val="32"/>
        </w:rPr>
        <w:t>十、政府性基金预算财政拨款收入支出决算表</w:t>
      </w:r>
    </w:p>
    <w:p>
      <w:pPr>
        <w:rPr>
          <w:rFonts w:hint="eastAsia" w:ascii="仿宋" w:hAnsi="仿宋" w:eastAsia="仿宋"/>
          <w:sz w:val="32"/>
          <w:szCs w:val="32"/>
        </w:rPr>
      </w:pPr>
      <w:r>
        <w:rPr>
          <w:rFonts w:hint="eastAsia" w:ascii="仿宋" w:hAnsi="仿宋" w:eastAsia="仿宋"/>
          <w:sz w:val="32"/>
          <w:szCs w:val="32"/>
        </w:rPr>
        <w:t>十一、国有资本经营预算财政拨款收入支出决算表</w:t>
      </w:r>
    </w:p>
    <w:p>
      <w:pPr>
        <w:rPr>
          <w:rFonts w:hint="eastAsia" w:ascii="仿宋" w:hAnsi="仿宋" w:eastAsia="仿宋"/>
          <w:sz w:val="32"/>
          <w:szCs w:val="32"/>
        </w:rPr>
      </w:pPr>
      <w:r>
        <w:rPr>
          <w:rFonts w:hint="eastAsia" w:ascii="仿宋" w:hAnsi="仿宋" w:eastAsia="仿宋"/>
          <w:sz w:val="32"/>
          <w:szCs w:val="32"/>
        </w:rPr>
        <w:t>十二、国有资本经营预算财政拨款支出决算表</w:t>
      </w:r>
    </w:p>
    <w:p>
      <w:pPr>
        <w:rPr>
          <w:rFonts w:hint="eastAsia" w:ascii="仿宋" w:hAnsi="仿宋" w:eastAsia="仿宋"/>
          <w:sz w:val="32"/>
          <w:szCs w:val="32"/>
        </w:rPr>
      </w:pPr>
      <w:r>
        <w:rPr>
          <w:rFonts w:hint="eastAsia" w:ascii="仿宋" w:hAnsi="仿宋" w:eastAsia="仿宋"/>
          <w:sz w:val="32"/>
          <w:szCs w:val="32"/>
        </w:rPr>
        <w:t>十三、财政拨款“三公”经费支出决算表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12"/>
          <w:jc w:val="center"/>
        </w:pPr>
        <w:r>
          <w:fldChar w:fldCharType="begin"/>
        </w:r>
        <w:r>
          <w:instrText xml:space="preserve">PAGE   \* MERGEFORMAT</w:instrText>
        </w:r>
        <w:r>
          <w:fldChar w:fldCharType="separate"/>
        </w:r>
        <w:r>
          <w:rPr>
            <w:lang w:val="zh-CN"/>
          </w:rPr>
          <w:t>23</w:t>
        </w:r>
        <w:r>
          <w:fldChar w:fldCharType="end"/>
        </w:r>
      </w:p>
    </w:sdtContent>
  </w:sdt>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F39091BB"/>
    <w:multiLevelType w:val="singleLevel"/>
    <w:tmpl w:val="F39091BB"/>
    <w:lvl w:ilvl="0" w:tentative="0">
      <w:start w:val="1"/>
      <w:numFmt w:val="decimal"/>
      <w:lvlText w:val="%1."/>
      <w:lvlJc w:val="left"/>
      <w:pPr>
        <w:tabs>
          <w:tab w:val="left" w:pos="312"/>
        </w:tabs>
      </w:pPr>
    </w:lvl>
  </w:abstractNum>
  <w:abstractNum w:abstractNumId="2">
    <w:nsid w:val="F6E6025D"/>
    <w:multiLevelType w:val="singleLevel"/>
    <w:tmpl w:val="F6E6025D"/>
    <w:lvl w:ilvl="0" w:tentative="0">
      <w:start w:val="2"/>
      <w:numFmt w:val="chineseCounting"/>
      <w:suff w:val="nothing"/>
      <w:lvlText w:val="（%1）"/>
      <w:lvlJc w:val="left"/>
      <w:rPr>
        <w:rFonts w:hint="eastAsia"/>
      </w:rPr>
    </w:lvl>
  </w:abstractNum>
  <w:abstractNum w:abstractNumId="3">
    <w:nsid w:val="0F57EF90"/>
    <w:multiLevelType w:val="singleLevel"/>
    <w:tmpl w:val="0F57EF90"/>
    <w:lvl w:ilvl="0" w:tentative="0">
      <w:start w:val="3"/>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2EABEB76"/>
    <w:multiLevelType w:val="singleLevel"/>
    <w:tmpl w:val="2EABEB76"/>
    <w:lvl w:ilvl="0" w:tentative="0">
      <w:start w:val="1"/>
      <w:numFmt w:val="chineseCounting"/>
      <w:suff w:val="nothing"/>
      <w:lvlText w:val="%1、"/>
      <w:lvlJc w:val="left"/>
      <w:rPr>
        <w:rFonts w:hint="eastAsia"/>
      </w:rPr>
    </w:lvl>
  </w:abstractNum>
  <w:abstractNum w:abstractNumId="6">
    <w:nsid w:val="7CE856E0"/>
    <w:multiLevelType w:val="singleLevel"/>
    <w:tmpl w:val="7CE856E0"/>
    <w:lvl w:ilvl="0" w:tentative="0">
      <w:start w:val="2"/>
      <w:numFmt w:val="chineseCounting"/>
      <w:suff w:val="nothing"/>
      <w:lvlText w:val="（%1）"/>
      <w:lvlJc w:val="left"/>
      <w:rPr>
        <w:rFonts w:hint="eastAsia"/>
      </w:rPr>
    </w:lvl>
  </w:abstractNum>
  <w:num w:numId="1">
    <w:abstractNumId w:val="5"/>
  </w:num>
  <w:num w:numId="2">
    <w:abstractNumId w:val="4"/>
  </w:num>
  <w:num w:numId="3">
    <w:abstractNumId w:val="1"/>
  </w:num>
  <w:num w:numId="4">
    <w:abstractNumId w:val="0"/>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366D5"/>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31BC"/>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7531D"/>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2FEBE30"/>
    <w:rsid w:val="036F8141"/>
    <w:rsid w:val="066E0107"/>
    <w:rsid w:val="06B70318"/>
    <w:rsid w:val="07996F6E"/>
    <w:rsid w:val="07DFD8BA"/>
    <w:rsid w:val="08191E1C"/>
    <w:rsid w:val="09812555"/>
    <w:rsid w:val="0A2032A3"/>
    <w:rsid w:val="0D35B1ED"/>
    <w:rsid w:val="0E7ED1F5"/>
    <w:rsid w:val="0F98263C"/>
    <w:rsid w:val="101860EC"/>
    <w:rsid w:val="10C055FF"/>
    <w:rsid w:val="118107EC"/>
    <w:rsid w:val="13D50BC4"/>
    <w:rsid w:val="13F5616D"/>
    <w:rsid w:val="16BB723D"/>
    <w:rsid w:val="172D014C"/>
    <w:rsid w:val="17411F1D"/>
    <w:rsid w:val="17F9714D"/>
    <w:rsid w:val="19075BF2"/>
    <w:rsid w:val="1918F934"/>
    <w:rsid w:val="1A9A608A"/>
    <w:rsid w:val="1B535B70"/>
    <w:rsid w:val="1BA02093"/>
    <w:rsid w:val="1BE8440E"/>
    <w:rsid w:val="1CF606D5"/>
    <w:rsid w:val="1D155CEE"/>
    <w:rsid w:val="1DFBC4B3"/>
    <w:rsid w:val="1E740ACF"/>
    <w:rsid w:val="1F19C781"/>
    <w:rsid w:val="1F33FCE5"/>
    <w:rsid w:val="1F6D732C"/>
    <w:rsid w:val="1F7F7398"/>
    <w:rsid w:val="1F846252"/>
    <w:rsid w:val="1FD2DB6F"/>
    <w:rsid w:val="1FF35744"/>
    <w:rsid w:val="1FF6BC77"/>
    <w:rsid w:val="1FF9236D"/>
    <w:rsid w:val="2333840E"/>
    <w:rsid w:val="23703891"/>
    <w:rsid w:val="23860B96"/>
    <w:rsid w:val="240371BF"/>
    <w:rsid w:val="257C638F"/>
    <w:rsid w:val="29FD04D3"/>
    <w:rsid w:val="2BFF7BC6"/>
    <w:rsid w:val="2C8A61B5"/>
    <w:rsid w:val="2CD59C95"/>
    <w:rsid w:val="2DF04E50"/>
    <w:rsid w:val="2EFD05E5"/>
    <w:rsid w:val="2F040D46"/>
    <w:rsid w:val="2F4F95CE"/>
    <w:rsid w:val="2FACAFDD"/>
    <w:rsid w:val="2FAE5751"/>
    <w:rsid w:val="2FB1A395"/>
    <w:rsid w:val="2FCF0B76"/>
    <w:rsid w:val="2FD9A7D8"/>
    <w:rsid w:val="31005D5C"/>
    <w:rsid w:val="319F7F4E"/>
    <w:rsid w:val="3304709D"/>
    <w:rsid w:val="335013A3"/>
    <w:rsid w:val="3518066E"/>
    <w:rsid w:val="36A9025E"/>
    <w:rsid w:val="36AA5135"/>
    <w:rsid w:val="36BE0DA7"/>
    <w:rsid w:val="376B6AA6"/>
    <w:rsid w:val="376D39B2"/>
    <w:rsid w:val="37DB7C20"/>
    <w:rsid w:val="37E16F03"/>
    <w:rsid w:val="37F53A3B"/>
    <w:rsid w:val="38D469F0"/>
    <w:rsid w:val="38F78389"/>
    <w:rsid w:val="397BAF1F"/>
    <w:rsid w:val="39B55D26"/>
    <w:rsid w:val="39E7B272"/>
    <w:rsid w:val="39F7642F"/>
    <w:rsid w:val="39FF7B37"/>
    <w:rsid w:val="3AB79AF3"/>
    <w:rsid w:val="3AFDCB77"/>
    <w:rsid w:val="3B7EF35A"/>
    <w:rsid w:val="3B9FDB6C"/>
    <w:rsid w:val="3BF5BC2F"/>
    <w:rsid w:val="3BF7C23A"/>
    <w:rsid w:val="3BFF223E"/>
    <w:rsid w:val="3C6EC0A1"/>
    <w:rsid w:val="3CDB0824"/>
    <w:rsid w:val="3CEBA265"/>
    <w:rsid w:val="3D6A7F9F"/>
    <w:rsid w:val="3D7E7F4D"/>
    <w:rsid w:val="3D98207C"/>
    <w:rsid w:val="3D9CF30A"/>
    <w:rsid w:val="3DFF5A3E"/>
    <w:rsid w:val="3E78745D"/>
    <w:rsid w:val="3ECF68D7"/>
    <w:rsid w:val="3EEE77E9"/>
    <w:rsid w:val="3F2327F3"/>
    <w:rsid w:val="3F394AF5"/>
    <w:rsid w:val="3FBE5714"/>
    <w:rsid w:val="3FDD8615"/>
    <w:rsid w:val="3FDFB2FF"/>
    <w:rsid w:val="3FF4CAE0"/>
    <w:rsid w:val="3FF75FAF"/>
    <w:rsid w:val="3FF7B227"/>
    <w:rsid w:val="40555922"/>
    <w:rsid w:val="41DE5690"/>
    <w:rsid w:val="44E268DA"/>
    <w:rsid w:val="452C787A"/>
    <w:rsid w:val="457F4F6B"/>
    <w:rsid w:val="4737FB58"/>
    <w:rsid w:val="47ECCB02"/>
    <w:rsid w:val="47FA6A3F"/>
    <w:rsid w:val="49D7AE48"/>
    <w:rsid w:val="49DB3D21"/>
    <w:rsid w:val="4A3F6C7E"/>
    <w:rsid w:val="4A5A49CC"/>
    <w:rsid w:val="4A627F82"/>
    <w:rsid w:val="4B0E749A"/>
    <w:rsid w:val="4B4F25DA"/>
    <w:rsid w:val="4BBB4781"/>
    <w:rsid w:val="4BD709A5"/>
    <w:rsid w:val="4BDD9BFF"/>
    <w:rsid w:val="4BE068DB"/>
    <w:rsid w:val="4CEE5C61"/>
    <w:rsid w:val="4D577224"/>
    <w:rsid w:val="4DBF1CEB"/>
    <w:rsid w:val="4DBF6A6B"/>
    <w:rsid w:val="4DF6A672"/>
    <w:rsid w:val="4EAB630A"/>
    <w:rsid w:val="4ECE2238"/>
    <w:rsid w:val="4F7EA413"/>
    <w:rsid w:val="4FAB812F"/>
    <w:rsid w:val="4FE9BD67"/>
    <w:rsid w:val="4FEE4C07"/>
    <w:rsid w:val="4FFB052F"/>
    <w:rsid w:val="504E7D5F"/>
    <w:rsid w:val="523B4DD9"/>
    <w:rsid w:val="52A816BA"/>
    <w:rsid w:val="537E6D0A"/>
    <w:rsid w:val="53AB6B88"/>
    <w:rsid w:val="53F74C96"/>
    <w:rsid w:val="54BD74E5"/>
    <w:rsid w:val="5583522D"/>
    <w:rsid w:val="57BD3DD4"/>
    <w:rsid w:val="57F9CD1E"/>
    <w:rsid w:val="5856593D"/>
    <w:rsid w:val="5AF92295"/>
    <w:rsid w:val="5AF9D8E9"/>
    <w:rsid w:val="5B0D325A"/>
    <w:rsid w:val="5BDD38BD"/>
    <w:rsid w:val="5BDD79E6"/>
    <w:rsid w:val="5BEFC772"/>
    <w:rsid w:val="5BFF5DFC"/>
    <w:rsid w:val="5CD71FC4"/>
    <w:rsid w:val="5D1F11B5"/>
    <w:rsid w:val="5D3647F9"/>
    <w:rsid w:val="5DA644D4"/>
    <w:rsid w:val="5DAE1B18"/>
    <w:rsid w:val="5DE7D9E5"/>
    <w:rsid w:val="5E2D5EE0"/>
    <w:rsid w:val="5E8C4F92"/>
    <w:rsid w:val="5EBC3FCE"/>
    <w:rsid w:val="5ECEC941"/>
    <w:rsid w:val="5EFF8FC6"/>
    <w:rsid w:val="5F5BA39A"/>
    <w:rsid w:val="5F7D3B79"/>
    <w:rsid w:val="5F7F4610"/>
    <w:rsid w:val="5FBF9FF3"/>
    <w:rsid w:val="5FCD4E2C"/>
    <w:rsid w:val="5FEF394A"/>
    <w:rsid w:val="5FF67715"/>
    <w:rsid w:val="61CA71D5"/>
    <w:rsid w:val="627EE9EA"/>
    <w:rsid w:val="63B23AA5"/>
    <w:rsid w:val="63BF18E4"/>
    <w:rsid w:val="647F5392"/>
    <w:rsid w:val="64E322C4"/>
    <w:rsid w:val="65FB93B9"/>
    <w:rsid w:val="6633C463"/>
    <w:rsid w:val="66C92CBC"/>
    <w:rsid w:val="67D55B77"/>
    <w:rsid w:val="67EE7F84"/>
    <w:rsid w:val="686F5F53"/>
    <w:rsid w:val="69AF71E9"/>
    <w:rsid w:val="6AFFCEAF"/>
    <w:rsid w:val="6B96E9E6"/>
    <w:rsid w:val="6BCE57B5"/>
    <w:rsid w:val="6BFEA4DB"/>
    <w:rsid w:val="6BFFB662"/>
    <w:rsid w:val="6C4A05C8"/>
    <w:rsid w:val="6CFF4FB8"/>
    <w:rsid w:val="6D0F38F2"/>
    <w:rsid w:val="6D126204"/>
    <w:rsid w:val="6D6BD6E0"/>
    <w:rsid w:val="6D70426C"/>
    <w:rsid w:val="6D77E73C"/>
    <w:rsid w:val="6DBF5E93"/>
    <w:rsid w:val="6DFF077E"/>
    <w:rsid w:val="6E7E3605"/>
    <w:rsid w:val="6E7FDCC7"/>
    <w:rsid w:val="6ED6A62E"/>
    <w:rsid w:val="6EE00B15"/>
    <w:rsid w:val="6EE737B2"/>
    <w:rsid w:val="6EEB2329"/>
    <w:rsid w:val="6EECE67A"/>
    <w:rsid w:val="6F6F90A8"/>
    <w:rsid w:val="6F6FB3EB"/>
    <w:rsid w:val="6F8731EA"/>
    <w:rsid w:val="6FBC2ADD"/>
    <w:rsid w:val="6FD57C00"/>
    <w:rsid w:val="6FEFFFD8"/>
    <w:rsid w:val="6FF5CC65"/>
    <w:rsid w:val="6FFB47EC"/>
    <w:rsid w:val="6FFF034A"/>
    <w:rsid w:val="71243262"/>
    <w:rsid w:val="712A28F1"/>
    <w:rsid w:val="715C0E4B"/>
    <w:rsid w:val="71FFD401"/>
    <w:rsid w:val="72233669"/>
    <w:rsid w:val="72734D90"/>
    <w:rsid w:val="73120F9D"/>
    <w:rsid w:val="7332FE48"/>
    <w:rsid w:val="73AD73D5"/>
    <w:rsid w:val="73B6EB34"/>
    <w:rsid w:val="73FA497D"/>
    <w:rsid w:val="744731E5"/>
    <w:rsid w:val="74BBD01D"/>
    <w:rsid w:val="74ED5379"/>
    <w:rsid w:val="75DEEEC2"/>
    <w:rsid w:val="767F479D"/>
    <w:rsid w:val="76E3355F"/>
    <w:rsid w:val="76F742AF"/>
    <w:rsid w:val="76F7BE7D"/>
    <w:rsid w:val="76FF5125"/>
    <w:rsid w:val="773570D3"/>
    <w:rsid w:val="77597F31"/>
    <w:rsid w:val="776F6FFA"/>
    <w:rsid w:val="7777A522"/>
    <w:rsid w:val="77858688"/>
    <w:rsid w:val="778769C8"/>
    <w:rsid w:val="77CB741A"/>
    <w:rsid w:val="77D7BE3A"/>
    <w:rsid w:val="77DC22F5"/>
    <w:rsid w:val="781F64F9"/>
    <w:rsid w:val="797E3A6C"/>
    <w:rsid w:val="79CF70E2"/>
    <w:rsid w:val="79D7FD79"/>
    <w:rsid w:val="79E75806"/>
    <w:rsid w:val="79EE5BA4"/>
    <w:rsid w:val="7A641148"/>
    <w:rsid w:val="7A6F8BF5"/>
    <w:rsid w:val="7A894339"/>
    <w:rsid w:val="7ACF82B5"/>
    <w:rsid w:val="7AFF28C9"/>
    <w:rsid w:val="7AFF72A0"/>
    <w:rsid w:val="7AFF7572"/>
    <w:rsid w:val="7B6C7DFB"/>
    <w:rsid w:val="7B7D76A7"/>
    <w:rsid w:val="7BAE2FE2"/>
    <w:rsid w:val="7BAF6951"/>
    <w:rsid w:val="7BBFBED0"/>
    <w:rsid w:val="7BC3E394"/>
    <w:rsid w:val="7BF3FE4C"/>
    <w:rsid w:val="7BFB5035"/>
    <w:rsid w:val="7BFDE17E"/>
    <w:rsid w:val="7CBFC87B"/>
    <w:rsid w:val="7CFE0F48"/>
    <w:rsid w:val="7D3DE31C"/>
    <w:rsid w:val="7D7EC23E"/>
    <w:rsid w:val="7D7F8A13"/>
    <w:rsid w:val="7DBBCB01"/>
    <w:rsid w:val="7DC765D0"/>
    <w:rsid w:val="7DDB0EE0"/>
    <w:rsid w:val="7DFF51D8"/>
    <w:rsid w:val="7E634199"/>
    <w:rsid w:val="7E8ADEBF"/>
    <w:rsid w:val="7EEF11D3"/>
    <w:rsid w:val="7EF78C20"/>
    <w:rsid w:val="7F3F679B"/>
    <w:rsid w:val="7F4FC4EF"/>
    <w:rsid w:val="7F5E4D54"/>
    <w:rsid w:val="7F6B75FA"/>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BF3FA15"/>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010E"/>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pPr>
  </w:style>
  <w:style w:type="paragraph" w:styleId="3">
    <w:name w:val="Body Text Indent"/>
    <w:basedOn w:val="1"/>
    <w:next w:val="2"/>
    <w:qFormat/>
    <w:uiPriority w:val="0"/>
    <w:pPr>
      <w:spacing w:after="120"/>
      <w:ind w:left="200" w:leftChars="200"/>
    </w:pPr>
    <w:rPr>
      <w:rFonts w:ascii="仿宋_GB2312"/>
      <w:szCs w:val="32"/>
    </w:rPr>
  </w:style>
  <w:style w:type="paragraph" w:styleId="7">
    <w:name w:val="toa heading"/>
    <w:basedOn w:val="1"/>
    <w:next w:val="1"/>
    <w:qFormat/>
    <w:uiPriority w:val="0"/>
    <w:pPr>
      <w:spacing w:before="120"/>
    </w:pPr>
    <w:rPr>
      <w:rFonts w:ascii="Arial" w:hAnsi="Arial" w:cs="Arial"/>
      <w:sz w:val="24"/>
    </w:rPr>
  </w:style>
  <w:style w:type="paragraph" w:styleId="8">
    <w:name w:val="Body Text"/>
    <w:basedOn w:val="1"/>
    <w:link w:val="27"/>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Plain Text"/>
    <w:basedOn w:val="1"/>
    <w:unhideWhenUsed/>
    <w:qFormat/>
    <w:uiPriority w:val="99"/>
    <w:rPr>
      <w:rFonts w:ascii="宋体" w:hAnsi="Courier New"/>
    </w:rPr>
  </w:style>
  <w:style w:type="paragraph" w:styleId="11">
    <w:name w:val="Balloon Text"/>
    <w:basedOn w:val="1"/>
    <w:link w:val="33"/>
    <w:semiHidden/>
    <w:unhideWhenUsed/>
    <w:qFormat/>
    <w:uiPriority w:val="99"/>
    <w:rPr>
      <w:sz w:val="18"/>
      <w:szCs w:val="18"/>
    </w:rPr>
  </w:style>
  <w:style w:type="paragraph" w:styleId="12">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qFormat/>
    <w:uiPriority w:val="0"/>
    <w:pPr>
      <w:spacing w:before="100" w:beforeAutospacing="1" w:after="100" w:afterAutospacing="1"/>
      <w:jc w:val="left"/>
    </w:pPr>
    <w:rPr>
      <w:kern w:val="0"/>
      <w:sz w:val="24"/>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字符"/>
    <w:link w:val="13"/>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字符"/>
    <w:link w:val="12"/>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字符"/>
    <w:link w:val="8"/>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字符"/>
    <w:basedOn w:val="18"/>
    <w:link w:val="4"/>
    <w:qFormat/>
    <w:uiPriority w:val="9"/>
    <w:rPr>
      <w:rFonts w:ascii="Times New Roman" w:hAnsi="Times New Roman"/>
      <w:b/>
      <w:bCs/>
      <w:kern w:val="44"/>
      <w:sz w:val="44"/>
      <w:szCs w:val="44"/>
    </w:rPr>
  </w:style>
  <w:style w:type="character" w:customStyle="1" w:styleId="31">
    <w:name w:val="标题 2 字符"/>
    <w:basedOn w:val="18"/>
    <w:link w:val="5"/>
    <w:qFormat/>
    <w:uiPriority w:val="9"/>
    <w:rPr>
      <w:rFonts w:asciiTheme="majorHAnsi" w:hAnsiTheme="majorHAnsi" w:eastAsiaTheme="majorEastAsia" w:cstheme="majorBidi"/>
      <w:b/>
      <w:bCs/>
      <w:kern w:val="2"/>
      <w:sz w:val="32"/>
      <w:szCs w:val="32"/>
    </w:rPr>
  </w:style>
  <w:style w:type="paragraph" w:customStyle="1" w:styleId="32">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8"/>
    <w:link w:val="11"/>
    <w:semiHidden/>
    <w:qFormat/>
    <w:uiPriority w:val="99"/>
    <w:rPr>
      <w:rFonts w:ascii="Times New Roman" w:hAnsi="Times New Roman"/>
      <w:kern w:val="2"/>
      <w:sz w:val="18"/>
      <w:szCs w:val="18"/>
    </w:rPr>
  </w:style>
  <w:style w:type="character" w:customStyle="1" w:styleId="34">
    <w:name w:val="标题 3 字符"/>
    <w:basedOn w:val="18"/>
    <w:link w:val="6"/>
    <w:qFormat/>
    <w:uiPriority w:val="9"/>
    <w:rPr>
      <w:rFonts w:ascii="Times New Roman" w:hAnsi="Times New Roman"/>
      <w:b/>
      <w:bCs/>
      <w:kern w:val="2"/>
      <w:sz w:val="32"/>
      <w:szCs w:val="32"/>
    </w:rPr>
  </w:style>
  <w:style w:type="paragraph" w:customStyle="1" w:styleId="35">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 w:type="paragraph" w:customStyle="1" w:styleId="37">
    <w:name w:val="WPSOffice手动目录 1"/>
    <w:qFormat/>
    <w:uiPriority w:val="0"/>
    <w:rPr>
      <w:rFonts w:asciiTheme="minorHAnsi" w:hAnsiTheme="minorHAnsi" w:eastAsiaTheme="minorEastAsia" w:cstheme="minorBidi"/>
      <w:lang w:val="en-US" w:eastAsia="zh-CN" w:bidi="ar-SA"/>
    </w:rPr>
  </w:style>
  <w:style w:type="paragraph" w:customStyle="1" w:styleId="38">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39">
    <w:name w:val="WPSOffice手动目录 3"/>
    <w:qFormat/>
    <w:uiPriority w:val="0"/>
    <w:pPr>
      <w:ind w:left="400" w:leftChars="400"/>
    </w:pPr>
    <w:rPr>
      <w:rFonts w:asciiTheme="minorHAnsi" w:hAnsiTheme="minorHAnsi" w:eastAsiaTheme="minorEastAsia" w:cstheme="minorBidi"/>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image" Target="media/image6.emf"/><Relationship Id="rId23" Type="http://schemas.openxmlformats.org/officeDocument/2006/relationships/package" Target="embeddings/Workbook6.xlsx"/><Relationship Id="rId22" Type="http://schemas.openxmlformats.org/officeDocument/2006/relationships/image" Target="media/image5.emf"/><Relationship Id="rId21" Type="http://schemas.openxmlformats.org/officeDocument/2006/relationships/package" Target="embeddings/Workbook5.xlsx"/><Relationship Id="rId20" Type="http://schemas.openxmlformats.org/officeDocument/2006/relationships/image" Target="media/image4.emf"/><Relationship Id="rId2" Type="http://schemas.openxmlformats.org/officeDocument/2006/relationships/settings" Target="settings.xml"/><Relationship Id="rId19" Type="http://schemas.openxmlformats.org/officeDocument/2006/relationships/package" Target="embeddings/Workbook4.xlsx"/><Relationship Id="rId18" Type="http://schemas.openxmlformats.org/officeDocument/2006/relationships/image" Target="media/image3.emf"/><Relationship Id="rId17" Type="http://schemas.openxmlformats.org/officeDocument/2006/relationships/package" Target="embeddings/Workbook3.xlsx"/><Relationship Id="rId16" Type="http://schemas.openxmlformats.org/officeDocument/2006/relationships/image" Target="media/image2.emf"/><Relationship Id="rId15" Type="http://schemas.openxmlformats.org/officeDocument/2006/relationships/package" Target="embeddings/Workbook2.xlsx"/><Relationship Id="rId14" Type="http://schemas.openxmlformats.org/officeDocument/2006/relationships/image" Target="media/image1.emf"/><Relationship Id="rId13" Type="http://schemas.openxmlformats.org/officeDocument/2006/relationships/package" Target="embeddings/Workbook1.xlsx"/><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11.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10.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9.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12.xlsx"/></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13.xlsx"/></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 支表决算变动情况</c:v>
                </c:pt>
              </c:strCache>
            </c:strRef>
          </c:tx>
          <c:spPr>
            <a:solidFill>
              <a:schemeClr val="accent1"/>
            </a:solidFill>
            <a:ln>
              <a:noFill/>
            </a:ln>
            <a:effectLst/>
          </c:spPr>
          <c:invertIfNegative val="0"/>
          <c:dLbls>
            <c:delete val="1"/>
          </c:dLbls>
          <c:cat>
            <c:strRef>
              <c:f>Sheet1!$A$2:$A$5</c:f>
              <c:strCache>
                <c:ptCount val="4"/>
                <c:pt idx="0">
                  <c:v>2022年</c:v>
                </c:pt>
                <c:pt idx="1">
                  <c:v>2023年</c:v>
                </c:pt>
              </c:strCache>
            </c:strRef>
          </c:cat>
          <c:val>
            <c:numRef>
              <c:f>Sheet1!$B$2:$B$5</c:f>
              <c:numCache>
                <c:formatCode>General</c:formatCode>
                <c:ptCount val="4"/>
                <c:pt idx="0">
                  <c:v>2385.11</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2022年</c:v>
                </c:pt>
                <c:pt idx="1">
                  <c:v>2023年</c:v>
                </c:pt>
              </c:strCache>
            </c:strRef>
          </c:cat>
          <c:val>
            <c:numRef>
              <c:f>Sheet1!$C$2:$C$5</c:f>
              <c:numCache>
                <c:formatCode>General</c:formatCode>
                <c:ptCount val="4"/>
                <c:pt idx="1">
                  <c:v>1645.77</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2022年</c:v>
                </c:pt>
                <c:pt idx="1">
                  <c:v>2023年</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768830361"/>
        <c:axId val="900435395"/>
      </c:barChart>
      <c:catAx>
        <c:axId val="768830361"/>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00435395"/>
        <c:crosses val="autoZero"/>
        <c:auto val="1"/>
        <c:lblAlgn val="ctr"/>
        <c:lblOffset val="100"/>
        <c:noMultiLvlLbl val="0"/>
      </c:catAx>
      <c:valAx>
        <c:axId val="9004353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6883036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本年度收入情况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一般公共预算财政拨款收入</c:v>
                </c:pt>
                <c:pt idx="1">
                  <c:v>其他收入</c:v>
                </c:pt>
              </c:strCache>
            </c:strRef>
          </c:cat>
          <c:val>
            <c:numRef>
              <c:f>Sheet1!$B$2:$B$5</c:f>
              <c:numCache>
                <c:formatCode>General</c:formatCode>
                <c:ptCount val="4"/>
                <c:pt idx="0">
                  <c:v>1622.09</c:v>
                </c:pt>
                <c:pt idx="1">
                  <c:v>23.68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manualLayout>
          <c:layoutTarget val="inner"/>
          <c:xMode val="edge"/>
          <c:yMode val="edge"/>
          <c:x val="0.0892524332159867"/>
          <c:y val="0.167311411992263"/>
          <c:w val="0.773452060468006"/>
          <c:h val="0.722437137330754"/>
        </c:manualLayout>
      </c:layout>
      <c:pieChart>
        <c:varyColors val="1"/>
        <c:ser>
          <c:idx val="0"/>
          <c:order val="0"/>
          <c:tx>
            <c:strRef>
              <c:f>Sheet1!$B$1</c:f>
              <c:strCache>
                <c:ptCount val="1"/>
                <c:pt idx="0">
                  <c:v>支出情况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基本支出</c:v>
                </c:pt>
                <c:pt idx="1">
                  <c:v>项目支出</c:v>
                </c:pt>
              </c:strCache>
            </c:strRef>
          </c:cat>
          <c:val>
            <c:numRef>
              <c:f>Sheet1!$B$2:$B$5</c:f>
              <c:numCache>
                <c:formatCode>General</c:formatCode>
                <c:ptCount val="4"/>
                <c:pt idx="0">
                  <c:v>586.5</c:v>
                </c:pt>
                <c:pt idx="1">
                  <c:v>1035.59</c:v>
                </c:pt>
                <c:pt idx="2">
                  <c:v>1.4</c:v>
                </c:pt>
              </c:numCache>
            </c:numRef>
          </c:val>
        </c:ser>
        <c:ser>
          <c:idx val="1"/>
          <c:order val="1"/>
          <c:tx>
            <c:strRef>
              <c:f>Sheet1!$C$1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基本支出</c:v>
                </c:pt>
                <c:pt idx="1">
                  <c:v>项目支出</c:v>
                </c:pt>
              </c:strCache>
            </c:strRef>
          </c:cat>
          <c:val>
            <c:numRef>
              <c:f>Sheet1!$C$2:$C$5</c:f>
              <c:numCache>
                <c:formatCode>General</c:formatCode>
                <c:ptCount val="4"/>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本年度财政拨款情况</c:v>
                </c:pt>
              </c:strCache>
            </c:strRef>
          </c:tx>
          <c:spPr>
            <a:solidFill>
              <a:schemeClr val="accent1"/>
            </a:solidFill>
            <a:ln>
              <a:noFill/>
            </a:ln>
            <a:effectLst/>
          </c:spPr>
          <c:invertIfNegative val="0"/>
          <c:dLbls>
            <c:delete val="1"/>
          </c:dLbls>
          <c:cat>
            <c:strRef>
              <c:f>Sheet1!$A$2:$A$5</c:f>
              <c:strCache>
                <c:ptCount val="4"/>
                <c:pt idx="0">
                  <c:v>2022年</c:v>
                </c:pt>
                <c:pt idx="1">
                  <c:v>2023年</c:v>
                </c:pt>
              </c:strCache>
            </c:strRef>
          </c:cat>
          <c:val>
            <c:numRef>
              <c:f>Sheet1!$B$2:$B$5</c:f>
              <c:numCache>
                <c:formatCode>General</c:formatCode>
                <c:ptCount val="4"/>
                <c:pt idx="0">
                  <c:v>2382.63</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2022年</c:v>
                </c:pt>
                <c:pt idx="1">
                  <c:v>2023年</c:v>
                </c:pt>
              </c:strCache>
            </c:strRef>
          </c:cat>
          <c:val>
            <c:numRef>
              <c:f>Sheet1!$C$2:$C$5</c:f>
              <c:numCache>
                <c:formatCode>General</c:formatCode>
                <c:ptCount val="4"/>
                <c:pt idx="1">
                  <c:v>1622.09</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2022年</c:v>
                </c:pt>
                <c:pt idx="1">
                  <c:v>2023年</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159171173"/>
        <c:axId val="66071507"/>
      </c:barChart>
      <c:catAx>
        <c:axId val="159171173"/>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071507"/>
        <c:crosses val="autoZero"/>
        <c:auto val="1"/>
        <c:lblAlgn val="ctr"/>
        <c:lblOffset val="100"/>
        <c:noMultiLvlLbl val="0"/>
      </c:catAx>
      <c:valAx>
        <c:axId val="660715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917117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支出情况</c:v>
                </c:pt>
              </c:strCache>
            </c:strRef>
          </c:tx>
          <c:spPr>
            <a:solidFill>
              <a:schemeClr val="accent1"/>
            </a:solidFill>
            <a:ln>
              <a:noFill/>
            </a:ln>
            <a:effectLst/>
          </c:spPr>
          <c:invertIfNegative val="0"/>
          <c:dLbls>
            <c:delete val="1"/>
          </c:dLbls>
          <c:cat>
            <c:strRef>
              <c:f>Sheet1!$A$2:$A$5</c:f>
              <c:strCache>
                <c:ptCount val="4"/>
                <c:pt idx="0">
                  <c:v>2022年</c:v>
                </c:pt>
                <c:pt idx="1">
                  <c:v>2023年</c:v>
                </c:pt>
              </c:strCache>
            </c:strRef>
          </c:cat>
          <c:val>
            <c:numRef>
              <c:f>Sheet1!$B$2:$B$5</c:f>
              <c:numCache>
                <c:formatCode>General</c:formatCode>
                <c:ptCount val="4"/>
                <c:pt idx="0">
                  <c:v>2382.63</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Sheet1!$A$2:$A$5</c:f>
              <c:strCache>
                <c:ptCount val="4"/>
                <c:pt idx="0">
                  <c:v>2022年</c:v>
                </c:pt>
                <c:pt idx="1">
                  <c:v>2023年</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2022年</c:v>
                </c:pt>
                <c:pt idx="1">
                  <c:v>2023年</c:v>
                </c:pt>
              </c:strCache>
            </c:strRef>
          </c:cat>
          <c:val>
            <c:numRef>
              <c:f>Sheet1!$D$2:$D$5</c:f>
              <c:numCache>
                <c:formatCode>General</c:formatCode>
                <c:ptCount val="4"/>
                <c:pt idx="1">
                  <c:v>1622.09</c:v>
                </c:pt>
              </c:numCache>
            </c:numRef>
          </c:val>
        </c:ser>
        <c:dLbls>
          <c:showLegendKey val="0"/>
          <c:showVal val="0"/>
          <c:showCatName val="0"/>
          <c:showSerName val="0"/>
          <c:showPercent val="0"/>
          <c:showBubbleSize val="0"/>
        </c:dLbls>
        <c:gapWidth val="219"/>
        <c:overlap val="-27"/>
        <c:axId val="65606843"/>
        <c:axId val="227512899"/>
      </c:barChart>
      <c:catAx>
        <c:axId val="65606843"/>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7512899"/>
        <c:crosses val="autoZero"/>
        <c:auto val="1"/>
        <c:lblAlgn val="ctr"/>
        <c:lblOffset val="100"/>
        <c:noMultiLvlLbl val="0"/>
      </c:catAx>
      <c:valAx>
        <c:axId val="2275128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560684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预算拨款支出情况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elete val="1"/>
          </c:dLbls>
          <c:cat>
            <c:strRef>
              <c:f>Sheet1!$A$2:$A$7</c:f>
              <c:strCache>
                <c:ptCount val="6"/>
                <c:pt idx="0">
                  <c:v>一般公共服务支出</c:v>
                </c:pt>
                <c:pt idx="1">
                  <c:v>教育支出</c:v>
                </c:pt>
                <c:pt idx="2">
                  <c:v>社会保障和就业支出</c:v>
                </c:pt>
                <c:pt idx="3">
                  <c:v>卫生健康支出</c:v>
                </c:pt>
                <c:pt idx="4">
                  <c:v>住房保障支出</c:v>
                </c:pt>
              </c:strCache>
            </c:strRef>
          </c:cat>
          <c:val>
            <c:numRef>
              <c:f>Sheet1!$B$2:$B$7</c:f>
              <c:numCache>
                <c:formatCode>General</c:formatCode>
                <c:ptCount val="6"/>
                <c:pt idx="0">
                  <c:v>15</c:v>
                </c:pt>
                <c:pt idx="1">
                  <c:v>1465.58</c:v>
                </c:pt>
                <c:pt idx="2">
                  <c:v>74.22</c:v>
                </c:pt>
                <c:pt idx="3">
                  <c:v>31.01</c:v>
                </c:pt>
                <c:pt idx="4">
                  <c:v>36.28</c:v>
                </c:pt>
              </c:numCache>
            </c:numRef>
          </c:val>
        </c:ser>
        <c:ser>
          <c:idx val="1"/>
          <c:order val="1"/>
          <c:tx>
            <c:strRef>
              <c:f>Sheet1!$C$1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elete val="1"/>
          </c:dLbls>
          <c:cat>
            <c:strRef>
              <c:f>Sheet1!$A$2:$A$7</c:f>
              <c:strCache>
                <c:ptCount val="6"/>
                <c:pt idx="0">
                  <c:v>一般公共服务支出</c:v>
                </c:pt>
                <c:pt idx="1">
                  <c:v>教育支出</c:v>
                </c:pt>
                <c:pt idx="2">
                  <c:v>社会保障和就业支出</c:v>
                </c:pt>
                <c:pt idx="3">
                  <c:v>卫生健康支出</c:v>
                </c:pt>
                <c:pt idx="4">
                  <c:v>住房保障支出</c:v>
                </c:pt>
              </c:strCache>
            </c:strRef>
          </c:cat>
          <c:val>
            <c:numRef>
              <c:f>Sheet1!$C$2:$C$7</c:f>
              <c:numCache>
                <c:formatCode>General</c:formatCode>
                <c:ptCount val="6"/>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公务用车购置及运行维护</c:v>
                </c:pt>
                <c:pt idx="1">
                  <c:v>公务接待</c:v>
                </c:pt>
              </c:strCache>
            </c:strRef>
          </c:cat>
          <c:val>
            <c:numRef>
              <c:f>Sheet1!$B$2:$B$5</c:f>
              <c:numCache>
                <c:formatCode>General</c:formatCode>
                <c:ptCount val="4"/>
                <c:pt idx="0">
                  <c:v>29.58</c:v>
                </c:pt>
                <c:pt idx="1">
                  <c:v>0.25</c:v>
                </c:pt>
              </c:numCache>
            </c:numRef>
          </c:val>
        </c:ser>
        <c:ser>
          <c:idx val="1"/>
          <c:order val="1"/>
          <c:tx>
            <c:strRef>
              <c:f>Sheet1!$C$1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公务用车购置及运行维护</c:v>
                </c:pt>
                <c:pt idx="1">
                  <c:v>公务接待</c:v>
                </c:pt>
              </c:strCache>
            </c:strRef>
          </c:cat>
          <c:val>
            <c:numRef>
              <c:f>Sheet1!$C$2:$C$5</c:f>
              <c:numCache>
                <c:formatCode>General</c:formatCode>
                <c:ptCount val="4"/>
              </c:numCache>
            </c:numRef>
          </c:val>
        </c:ser>
        <c:ser>
          <c:idx val="2"/>
          <c:order val="2"/>
          <c:tx>
            <c:strRef>
              <c:f>Sheet1!$D$1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公务用车购置及运行维护</c:v>
                </c:pt>
                <c:pt idx="1">
                  <c:v>公务接待</c:v>
                </c:pt>
              </c:strCache>
            </c:strRef>
          </c:cat>
          <c:val>
            <c:numRef>
              <c:f>Sheet1!$D$2:$D$5</c:f>
              <c:numCache>
                <c:formatCode>General</c:formatCode>
                <c:ptCount val="4"/>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31</Pages>
  <Words>9979</Words>
  <Characters>3376</Characters>
  <Lines>28</Lines>
  <Paragraphs>26</Paragraphs>
  <TotalTime>1</TotalTime>
  <ScaleCrop>false</ScaleCrop>
  <LinksUpToDate>false</LinksUpToDate>
  <CharactersWithSpaces>13329</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2024-08-05T23:12:00Z</dcterms:created>
  <dc:creator>曹颖</dc:creator>
  <cp:lastModifiedBy>ruijie</cp:lastModifiedBy>
  <cp:lastPrinted>2024-11-18T03:24:00Z</cp:lastPrinted>
  <dcterms:modified xsi:type="dcterms:W3CDTF">2025-01-26T14:44:52Z</dcterms:modified>
  <dc:title>四川省***</dc:title>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D315DAA1D89542D79182A8BF5295DCA3</vt:lpwstr>
  </property>
</Properties>
</file>