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黑体" w:hAnsi="黑体" w:eastAsia="黑体"/>
          <w:color w:val="000000"/>
          <w:sz w:val="72"/>
          <w:szCs w:val="72"/>
        </w:rPr>
      </w:pPr>
      <w:bookmarkStart w:id="0" w:name="_Toc15651"/>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259"/>
      <w:r>
        <w:rPr>
          <w:rFonts w:ascii="黑体" w:hAnsi="黑体" w:eastAsia="黑体"/>
          <w:color w:val="000000"/>
          <w:sz w:val="72"/>
          <w:szCs w:val="72"/>
        </w:rPr>
        <w:t>20</w:t>
      </w:r>
      <w:r>
        <w:rPr>
          <w:rFonts w:hint="eastAsia" w:ascii="黑体" w:hAnsi="黑体" w:eastAsia="黑体"/>
          <w:color w:val="000000"/>
          <w:sz w:val="72"/>
          <w:szCs w:val="72"/>
          <w:lang w:val="en-US" w:eastAsia="zh-CN"/>
        </w:rPr>
        <w:t>24</w:t>
      </w:r>
      <w:r>
        <w:rPr>
          <w:rFonts w:hint="eastAsia" w:ascii="方正小标宋简体" w:hAnsi="宋体" w:eastAsia="方正小标宋简体"/>
          <w:color w:val="000000"/>
          <w:sz w:val="72"/>
          <w:szCs w:val="72"/>
        </w:rPr>
        <w:t>年度</w:t>
      </w:r>
      <w:bookmarkEnd w:id="0"/>
      <w:bookmarkEnd w:id="1"/>
    </w:p>
    <w:p>
      <w:pPr>
        <w:adjustRightInd w:val="0"/>
        <w:snapToGrid w:val="0"/>
        <w:spacing w:line="360" w:lineRule="auto"/>
        <w:jc w:val="center"/>
        <w:outlineLvl w:val="0"/>
        <w:rPr>
          <w:rFonts w:hint="default" w:ascii="黑体" w:hAnsi="黑体" w:eastAsia="黑体"/>
          <w:color w:val="000000"/>
          <w:sz w:val="72"/>
          <w:szCs w:val="72"/>
          <w:lang w:val="en-US" w:eastAsia="zh-CN"/>
        </w:rPr>
      </w:pPr>
      <w:bookmarkStart w:id="2" w:name="_Toc13333"/>
      <w:bookmarkStart w:id="3" w:name="_Toc20677"/>
      <w:bookmarkStart w:id="4" w:name="_Toc22903"/>
      <w:bookmarkStart w:id="5" w:name="_Toc14468"/>
      <w:r>
        <w:rPr>
          <w:rFonts w:hint="eastAsia" w:ascii="黑体" w:hAnsi="黑体" w:eastAsia="黑体"/>
          <w:color w:val="000000"/>
          <w:sz w:val="72"/>
          <w:szCs w:val="72"/>
          <w:lang w:eastAsia="zh-CN"/>
        </w:rPr>
        <w:t>红原县</w:t>
      </w:r>
      <w:bookmarkEnd w:id="2"/>
      <w:bookmarkEnd w:id="3"/>
      <w:bookmarkEnd w:id="4"/>
      <w:r>
        <w:rPr>
          <w:rFonts w:hint="eastAsia" w:ascii="黑体" w:hAnsi="黑体" w:eastAsia="黑体"/>
          <w:color w:val="000000"/>
          <w:sz w:val="72"/>
          <w:szCs w:val="72"/>
          <w:lang w:val="en-US" w:eastAsia="zh-CN"/>
        </w:rPr>
        <w:t>委员会党校</w:t>
      </w:r>
      <w:bookmarkEnd w:id="5"/>
    </w:p>
    <w:p>
      <w:pPr>
        <w:adjustRightInd w:val="0"/>
        <w:snapToGrid w:val="0"/>
        <w:spacing w:line="360" w:lineRule="auto"/>
        <w:jc w:val="center"/>
        <w:outlineLvl w:val="0"/>
        <w:rPr>
          <w:rFonts w:ascii="黑体" w:hAnsi="黑体" w:eastAsia="黑体"/>
          <w:color w:val="000000"/>
          <w:sz w:val="72"/>
          <w:szCs w:val="72"/>
        </w:rPr>
      </w:pPr>
      <w:bookmarkStart w:id="6" w:name="_Toc19355"/>
      <w:bookmarkStart w:id="7" w:name="_Toc17971"/>
      <w:bookmarkStart w:id="8" w:name="_Toc20051"/>
      <w:bookmarkStart w:id="9" w:name="_Toc15469"/>
      <w:r>
        <w:rPr>
          <w:rFonts w:hint="eastAsia" w:ascii="黑体" w:hAnsi="黑体" w:eastAsia="黑体"/>
          <w:color w:val="000000"/>
          <w:sz w:val="72"/>
          <w:szCs w:val="72"/>
        </w:rPr>
        <w:t>关于</w:t>
      </w:r>
      <w:r>
        <w:rPr>
          <w:rFonts w:hint="eastAsia" w:ascii="黑体" w:hAnsi="黑体" w:eastAsia="黑体"/>
          <w:color w:val="000000"/>
          <w:sz w:val="72"/>
          <w:szCs w:val="72"/>
          <w:lang w:eastAsia="zh-CN"/>
        </w:rPr>
        <w:t>202</w:t>
      </w:r>
      <w:r>
        <w:rPr>
          <w:rFonts w:hint="eastAsia" w:ascii="黑体" w:hAnsi="黑体" w:eastAsia="黑体"/>
          <w:color w:val="000000"/>
          <w:sz w:val="72"/>
          <w:szCs w:val="72"/>
          <w:lang w:val="en-US" w:eastAsia="zh-CN"/>
        </w:rPr>
        <w:t>4</w:t>
      </w:r>
      <w:r>
        <w:rPr>
          <w:rFonts w:hint="eastAsia" w:ascii="黑体" w:hAnsi="黑体" w:eastAsia="黑体"/>
          <w:color w:val="000000"/>
          <w:sz w:val="72"/>
          <w:szCs w:val="72"/>
        </w:rPr>
        <w:t>年部门预算编制的说明</w:t>
      </w:r>
      <w:bookmarkEnd w:id="6"/>
      <w:bookmarkEnd w:id="7"/>
      <w:bookmarkEnd w:id="8"/>
      <w:bookmarkEnd w:id="9"/>
    </w:p>
    <w:p>
      <w:pPr>
        <w:pStyle w:val="2"/>
      </w:pPr>
    </w:p>
    <w:p>
      <w:pPr>
        <w:rPr>
          <w:rFonts w:ascii="方正小标宋简体" w:hAnsi="宋体" w:eastAsia="方正小标宋简体"/>
          <w:sz w:val="36"/>
          <w:szCs w:val="36"/>
        </w:rPr>
      </w:pPr>
    </w:p>
    <w:p>
      <w:pPr>
        <w:pStyle w:val="2"/>
        <w:rPr>
          <w:rFonts w:ascii="方正小标宋简体" w:hAnsi="宋体" w:eastAsia="方正小标宋简体"/>
          <w:sz w:val="36"/>
          <w:szCs w:val="36"/>
        </w:rPr>
      </w:pPr>
    </w:p>
    <w:p>
      <w:pPr>
        <w:pStyle w:val="2"/>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bookmarkStart w:id="10" w:name="_Toc19399"/>
      <w:r>
        <w:rPr>
          <w:rFonts w:hint="eastAsia" w:ascii="仿宋_GB2312" w:hAnsi="Calibri" w:eastAsia="仿宋_GB2312" w:cs="仿宋_GB2312"/>
          <w:sz w:val="32"/>
          <w:szCs w:val="32"/>
        </w:rPr>
        <w:t>保密审查情况：已审查，内容审定</w:t>
      </w:r>
      <w:bookmarkEnd w:id="10"/>
    </w:p>
    <w:p>
      <w:pPr>
        <w:autoSpaceDE w:val="0"/>
        <w:autoSpaceDN w:val="0"/>
        <w:adjustRightInd w:val="0"/>
        <w:ind w:firstLine="1276"/>
        <w:jc w:val="left"/>
        <w:rPr>
          <w:rFonts w:eastAsia="仿宋_GB2312"/>
          <w:sz w:val="32"/>
          <w:szCs w:val="32"/>
        </w:rPr>
      </w:pPr>
      <w:bookmarkStart w:id="11" w:name="_Toc9965"/>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bookmarkEnd w:id="11"/>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sz w:val="32"/>
          <w:szCs w:val="32"/>
        </w:rPr>
      </w:pPr>
      <w:r>
        <w:rPr>
          <w:rFonts w:hint="eastAsia" w:ascii="宋体" w:hAnsi="宋体" w:eastAsia="宋体"/>
          <w:b/>
          <w:sz w:val="44"/>
          <w:szCs w:val="44"/>
        </w:rPr>
        <w:t xml:space="preserve">    </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880" w:firstLineChars="200"/>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目录</w:t>
      </w:r>
    </w:p>
    <w:p>
      <w:pPr>
        <w:pStyle w:val="6"/>
        <w:tabs>
          <w:tab w:val="right" w:leader="dot" w:pos="8844"/>
        </w:tabs>
        <w:rPr>
          <w:rFonts w:hint="eastAsia" w:ascii="仿宋" w:hAnsi="仿宋" w:eastAsia="仿宋" w:cs="仿宋"/>
          <w:sz w:val="32"/>
          <w:szCs w:val="32"/>
        </w:rPr>
      </w:pPr>
      <w:r>
        <w:rPr>
          <w:rFonts w:hint="eastAsia"/>
          <w:sz w:val="32"/>
          <w:szCs w:val="32"/>
        </w:rPr>
        <w:fldChar w:fldCharType="begin"/>
      </w:r>
      <w:r>
        <w:rPr>
          <w:rFonts w:hint="eastAsia"/>
          <w:sz w:val="32"/>
          <w:szCs w:val="32"/>
        </w:rPr>
        <w:instrText xml:space="preserve">TOC \f F \t "正文" \h \c</w:instrText>
      </w:r>
      <w:r>
        <w:rPr>
          <w:rFonts w:hint="eastAsia"/>
          <w:sz w:val="32"/>
          <w:szCs w:val="32"/>
        </w:rPr>
        <w:fldChar w:fldCharType="separate"/>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_Toc1259 </w:instrText>
      </w:r>
      <w:r>
        <w:rPr>
          <w:rFonts w:hint="eastAsia" w:ascii="仿宋" w:hAnsi="仿宋" w:eastAsia="仿宋" w:cs="仿宋"/>
          <w:sz w:val="32"/>
          <w:szCs w:val="32"/>
        </w:rPr>
        <w:fldChar w:fldCharType="separate"/>
      </w:r>
      <w:r>
        <w:rPr>
          <w:rFonts w:hint="eastAsia" w:ascii="仿宋" w:hAnsi="仿宋" w:eastAsia="仿宋" w:cs="仿宋"/>
          <w:sz w:val="32"/>
          <w:szCs w:val="32"/>
        </w:rPr>
        <w:t>20</w:t>
      </w:r>
      <w:r>
        <w:rPr>
          <w:rFonts w:hint="eastAsia" w:ascii="仿宋" w:hAnsi="仿宋" w:eastAsia="仿宋" w:cs="仿宋"/>
          <w:sz w:val="32"/>
          <w:szCs w:val="32"/>
          <w:lang w:val="en-US" w:eastAsia="zh-CN"/>
        </w:rPr>
        <w:t>24</w:t>
      </w:r>
      <w:r>
        <w:rPr>
          <w:rFonts w:hint="eastAsia" w:ascii="仿宋" w:hAnsi="仿宋" w:eastAsia="仿宋" w:cs="仿宋"/>
          <w:sz w:val="32"/>
          <w:szCs w:val="32"/>
        </w:rPr>
        <w:t>年度</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_Toc1259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_Toc14468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红原县</w:t>
      </w:r>
      <w:r>
        <w:rPr>
          <w:rFonts w:hint="eastAsia" w:ascii="仿宋" w:hAnsi="仿宋" w:eastAsia="仿宋" w:cs="仿宋"/>
          <w:sz w:val="32"/>
          <w:szCs w:val="32"/>
          <w:lang w:val="en-US" w:eastAsia="zh-CN"/>
        </w:rPr>
        <w:t>委员会党校</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_Toc14468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_Toc15469 </w:instrText>
      </w:r>
      <w:r>
        <w:rPr>
          <w:rFonts w:hint="eastAsia" w:ascii="仿宋" w:hAnsi="仿宋" w:eastAsia="仿宋" w:cs="仿宋"/>
          <w:sz w:val="32"/>
          <w:szCs w:val="32"/>
        </w:rPr>
        <w:fldChar w:fldCharType="separate"/>
      </w:r>
      <w:r>
        <w:rPr>
          <w:rFonts w:hint="eastAsia" w:ascii="仿宋" w:hAnsi="仿宋" w:eastAsia="仿宋" w:cs="仿宋"/>
          <w:sz w:val="32"/>
          <w:szCs w:val="32"/>
        </w:rPr>
        <w:t>关于</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年部门预算编制的说明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_Toc15469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_Toc10893 </w:instrText>
      </w:r>
      <w:r>
        <w:rPr>
          <w:rFonts w:hint="eastAsia" w:ascii="仿宋" w:hAnsi="仿宋" w:eastAsia="仿宋" w:cs="仿宋"/>
          <w:sz w:val="32"/>
          <w:szCs w:val="32"/>
        </w:rPr>
        <w:fldChar w:fldCharType="separate"/>
      </w:r>
      <w:r>
        <w:rPr>
          <w:rFonts w:hint="eastAsia" w:ascii="仿宋" w:hAnsi="仿宋" w:eastAsia="仿宋" w:cs="仿宋"/>
          <w:sz w:val="32"/>
          <w:szCs w:val="32"/>
        </w:rPr>
        <w:t>一、基本职能及主要工作</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_Toc10893 \h </w:instrText>
      </w:r>
      <w:r>
        <w:rPr>
          <w:rFonts w:hint="eastAsia" w:ascii="仿宋" w:hAnsi="仿宋" w:eastAsia="仿宋" w:cs="仿宋"/>
          <w:sz w:val="32"/>
          <w:szCs w:val="32"/>
        </w:rPr>
        <w:fldChar w:fldCharType="separate"/>
      </w:r>
      <w:r>
        <w:rPr>
          <w:rFonts w:hint="eastAsia" w:ascii="仿宋" w:hAnsi="仿宋" w:eastAsia="仿宋" w:cs="仿宋"/>
          <w:sz w:val="32"/>
          <w:szCs w:val="32"/>
        </w:rPr>
        <w:t>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_Toc19685 </w:instrText>
      </w:r>
      <w:r>
        <w:rPr>
          <w:rFonts w:hint="eastAsia" w:ascii="仿宋" w:hAnsi="仿宋" w:eastAsia="仿宋" w:cs="仿宋"/>
          <w:sz w:val="32"/>
          <w:szCs w:val="32"/>
        </w:rPr>
        <w:fldChar w:fldCharType="separate"/>
      </w:r>
      <w:r>
        <w:rPr>
          <w:rFonts w:hint="eastAsia" w:ascii="仿宋" w:hAnsi="仿宋" w:eastAsia="仿宋" w:cs="仿宋"/>
          <w:sz w:val="32"/>
          <w:szCs w:val="32"/>
        </w:rPr>
        <w:t>二、部门</w:t>
      </w:r>
      <w:r>
        <w:rPr>
          <w:rFonts w:hint="eastAsia" w:ascii="仿宋" w:hAnsi="仿宋" w:eastAsia="仿宋" w:cs="仿宋"/>
          <w:sz w:val="32"/>
          <w:szCs w:val="32"/>
          <w:lang w:eastAsia="zh-CN"/>
        </w:rPr>
        <w:t>预算单位构成</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_Toc19685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_Toc20196 </w:instrText>
      </w:r>
      <w:r>
        <w:rPr>
          <w:rFonts w:hint="eastAsia" w:ascii="仿宋" w:hAnsi="仿宋" w:eastAsia="仿宋" w:cs="仿宋"/>
          <w:sz w:val="32"/>
          <w:szCs w:val="32"/>
        </w:rPr>
        <w:fldChar w:fldCharType="separate"/>
      </w:r>
      <w:r>
        <w:rPr>
          <w:rFonts w:hint="eastAsia" w:ascii="仿宋" w:hAnsi="仿宋" w:eastAsia="仿宋" w:cs="仿宋"/>
          <w:sz w:val="32"/>
          <w:szCs w:val="32"/>
        </w:rPr>
        <w:t>三、收支预算总体情况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_Toc20196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_Toc19837 </w:instrText>
      </w:r>
      <w:r>
        <w:rPr>
          <w:rFonts w:hint="eastAsia" w:ascii="仿宋" w:hAnsi="仿宋" w:eastAsia="仿宋" w:cs="仿宋"/>
          <w:sz w:val="32"/>
          <w:szCs w:val="32"/>
        </w:rPr>
        <w:fldChar w:fldCharType="separate"/>
      </w:r>
      <w:r>
        <w:rPr>
          <w:rFonts w:hint="eastAsia" w:ascii="仿宋" w:hAnsi="仿宋" w:eastAsia="仿宋" w:cs="仿宋"/>
          <w:sz w:val="32"/>
          <w:szCs w:val="32"/>
        </w:rPr>
        <w:t>四、 支出预算安排情况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_Toc19837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_Toc20842 </w:instrText>
      </w:r>
      <w:r>
        <w:rPr>
          <w:rFonts w:hint="eastAsia" w:ascii="仿宋" w:hAnsi="仿宋" w:eastAsia="仿宋" w:cs="仿宋"/>
          <w:sz w:val="32"/>
          <w:szCs w:val="32"/>
        </w:rPr>
        <w:fldChar w:fldCharType="separate"/>
      </w:r>
      <w:r>
        <w:rPr>
          <w:rFonts w:hint="eastAsia" w:ascii="仿宋" w:hAnsi="仿宋" w:eastAsia="仿宋" w:cs="仿宋"/>
          <w:kern w:val="0"/>
          <w:sz w:val="32"/>
          <w:szCs w:val="32"/>
          <w:shd w:val="clear" w:color="auto" w:fill="FFFFFF"/>
          <w:lang w:val="en-US" w:eastAsia="zh-CN" w:bidi="ar"/>
        </w:rPr>
        <w:t>五、较上年度增减变化</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_Toc20842 \h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_Toc12323 </w:instrText>
      </w:r>
      <w:r>
        <w:rPr>
          <w:rFonts w:hint="eastAsia" w:ascii="仿宋" w:hAnsi="仿宋" w:eastAsia="仿宋" w:cs="仿宋"/>
          <w:sz w:val="32"/>
          <w:szCs w:val="32"/>
        </w:rPr>
        <w:fldChar w:fldCharType="separate"/>
      </w:r>
      <w:r>
        <w:rPr>
          <w:rFonts w:hint="eastAsia" w:ascii="仿宋" w:hAnsi="仿宋" w:eastAsia="仿宋" w:cs="仿宋"/>
          <w:kern w:val="0"/>
          <w:sz w:val="32"/>
          <w:szCs w:val="32"/>
          <w:shd w:val="clear" w:color="auto" w:fill="FFFFFF"/>
          <w:lang w:val="en-US" w:eastAsia="zh-CN" w:bidi="ar"/>
        </w:rPr>
        <w:t>六、“三公”经费预算</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_Toc12323 \h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_Toc31982 </w:instrText>
      </w:r>
      <w:r>
        <w:rPr>
          <w:rFonts w:hint="eastAsia" w:ascii="仿宋" w:hAnsi="仿宋" w:eastAsia="仿宋" w:cs="仿宋"/>
          <w:sz w:val="32"/>
          <w:szCs w:val="32"/>
        </w:rPr>
        <w:fldChar w:fldCharType="separate"/>
      </w:r>
      <w:r>
        <w:rPr>
          <w:rFonts w:hint="eastAsia" w:ascii="仿宋" w:hAnsi="仿宋" w:eastAsia="仿宋" w:cs="仿宋"/>
          <w:kern w:val="0"/>
          <w:sz w:val="32"/>
          <w:szCs w:val="32"/>
          <w:shd w:val="clear" w:color="auto" w:fill="FFFFFF"/>
          <w:lang w:val="en-US" w:eastAsia="zh-CN" w:bidi="ar"/>
        </w:rPr>
        <w:t>七、政府性基金预算收支情况说明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_Toc31982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_Toc7931 </w:instrText>
      </w:r>
      <w:r>
        <w:rPr>
          <w:rFonts w:hint="eastAsia" w:ascii="仿宋" w:hAnsi="仿宋" w:eastAsia="仿宋" w:cs="仿宋"/>
          <w:sz w:val="32"/>
          <w:szCs w:val="32"/>
        </w:rPr>
        <w:fldChar w:fldCharType="separate"/>
      </w:r>
      <w:r>
        <w:rPr>
          <w:rFonts w:hint="eastAsia" w:ascii="仿宋" w:hAnsi="仿宋" w:eastAsia="仿宋" w:cs="仿宋"/>
          <w:kern w:val="0"/>
          <w:sz w:val="32"/>
          <w:szCs w:val="32"/>
          <w:shd w:val="clear" w:color="auto" w:fill="FFFFFF"/>
          <w:lang w:val="en-US" w:eastAsia="zh-CN" w:bidi="ar"/>
        </w:rPr>
        <w:t>八、国有资本经营预算收支情况说明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_Toc7931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_Toc4150 </w:instrText>
      </w:r>
      <w:r>
        <w:rPr>
          <w:rFonts w:hint="eastAsia" w:ascii="仿宋" w:hAnsi="仿宋" w:eastAsia="仿宋" w:cs="仿宋"/>
          <w:sz w:val="32"/>
          <w:szCs w:val="32"/>
        </w:rPr>
        <w:fldChar w:fldCharType="separate"/>
      </w:r>
      <w:r>
        <w:rPr>
          <w:rFonts w:hint="eastAsia" w:ascii="仿宋" w:hAnsi="仿宋" w:eastAsia="仿宋" w:cs="仿宋"/>
          <w:kern w:val="0"/>
          <w:sz w:val="32"/>
          <w:szCs w:val="32"/>
          <w:shd w:val="clear" w:color="auto" w:fill="FFFFFF"/>
          <w:lang w:val="en-US" w:eastAsia="zh-CN" w:bidi="ar"/>
        </w:rPr>
        <w:t>九、其他重要事项的情况说明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_Toc4150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_Toc12414 </w:instrText>
      </w:r>
      <w:r>
        <w:rPr>
          <w:rFonts w:hint="eastAsia" w:ascii="仿宋" w:hAnsi="仿宋" w:eastAsia="仿宋" w:cs="仿宋"/>
          <w:sz w:val="32"/>
          <w:szCs w:val="32"/>
        </w:rPr>
        <w:fldChar w:fldCharType="separate"/>
      </w:r>
      <w:r>
        <w:rPr>
          <w:rFonts w:hint="eastAsia" w:ascii="仿宋" w:hAnsi="仿宋" w:eastAsia="仿宋" w:cs="仿宋"/>
          <w:bCs/>
          <w:kern w:val="0"/>
          <w:sz w:val="32"/>
          <w:szCs w:val="32"/>
          <w:shd w:val="clear" w:color="auto" w:fill="FFFFFF"/>
          <w:lang w:val="en-US" w:eastAsia="zh-CN" w:bidi="ar"/>
        </w:rPr>
        <w:t>（一）政府采购预算情况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_Toc12414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_Toc4263 </w:instrText>
      </w:r>
      <w:r>
        <w:rPr>
          <w:rFonts w:hint="eastAsia" w:ascii="仿宋" w:hAnsi="仿宋" w:eastAsia="仿宋" w:cs="仿宋"/>
          <w:sz w:val="32"/>
          <w:szCs w:val="32"/>
        </w:rPr>
        <w:fldChar w:fldCharType="separate"/>
      </w:r>
      <w:r>
        <w:rPr>
          <w:rFonts w:hint="eastAsia" w:ascii="仿宋" w:hAnsi="仿宋" w:eastAsia="仿宋" w:cs="仿宋"/>
          <w:bCs/>
          <w:kern w:val="0"/>
          <w:sz w:val="32"/>
          <w:szCs w:val="32"/>
          <w:shd w:val="clear" w:color="auto" w:fill="FFFFFF"/>
          <w:lang w:val="en-US" w:eastAsia="zh-CN" w:bidi="ar"/>
        </w:rPr>
        <w:t>（二）政府财政国有资产占用情况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_Toc4263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_Toc22675 </w:instrText>
      </w:r>
      <w:r>
        <w:rPr>
          <w:rFonts w:hint="eastAsia" w:ascii="仿宋" w:hAnsi="仿宋" w:eastAsia="仿宋" w:cs="仿宋"/>
          <w:sz w:val="32"/>
          <w:szCs w:val="32"/>
        </w:rPr>
        <w:fldChar w:fldCharType="separate"/>
      </w:r>
      <w:r>
        <w:rPr>
          <w:rFonts w:hint="eastAsia" w:ascii="仿宋" w:hAnsi="仿宋" w:eastAsia="仿宋" w:cs="仿宋"/>
          <w:bCs/>
          <w:kern w:val="0"/>
          <w:sz w:val="32"/>
          <w:szCs w:val="32"/>
          <w:shd w:val="clear" w:color="auto" w:fill="FFFFFF"/>
          <w:lang w:val="en-US" w:eastAsia="zh-CN" w:bidi="ar"/>
        </w:rPr>
        <w:t>（三）绩效目标设置情况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_Toc22675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844"/>
        </w:tabs>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_Toc27831 </w:instrText>
      </w:r>
      <w:r>
        <w:rPr>
          <w:rFonts w:hint="eastAsia" w:ascii="仿宋" w:hAnsi="仿宋" w:eastAsia="仿宋" w:cs="仿宋"/>
          <w:sz w:val="32"/>
          <w:szCs w:val="32"/>
        </w:rPr>
        <w:fldChar w:fldCharType="separate"/>
      </w:r>
      <w:r>
        <w:rPr>
          <w:rFonts w:hint="eastAsia" w:ascii="仿宋" w:hAnsi="仿宋" w:eastAsia="仿宋" w:cs="仿宋"/>
          <w:kern w:val="0"/>
          <w:sz w:val="32"/>
          <w:szCs w:val="32"/>
          <w:shd w:val="clear" w:color="auto" w:fill="FFFFFF"/>
          <w:lang w:val="en-US" w:eastAsia="zh-CN" w:bidi="ar"/>
        </w:rPr>
        <w:t xml:space="preserve">十、名词解释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_Toc27831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00" w:firstLineChars="200"/>
        <w:textAlignment w:val="auto"/>
        <w:rPr>
          <w:rFonts w:hint="eastAsia"/>
          <w:sz w:val="32"/>
          <w:szCs w:val="32"/>
        </w:rPr>
      </w:pPr>
      <w:r>
        <w:rPr>
          <w:rFonts w:hint="eastAsia"/>
          <w:szCs w:val="32"/>
        </w:rPr>
        <w:fldChar w:fldCharType="end"/>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bookmarkStart w:id="12" w:name="_Toc10893"/>
      <w:r>
        <w:rPr>
          <w:rFonts w:hint="eastAsia" w:ascii="黑体" w:eastAsia="黑体"/>
          <w:sz w:val="32"/>
          <w:szCs w:val="32"/>
        </w:rPr>
        <w:t>一、基本职能及主要工作</w:t>
      </w:r>
      <w:bookmarkEnd w:id="12"/>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4"/>
        <w:adjustRightInd w:val="0"/>
        <w:snapToGrid w:val="0"/>
        <w:spacing w:before="93" w:line="560" w:lineRule="exact"/>
        <w:ind w:firstLine="672" w:firstLineChars="210"/>
        <w:rPr>
          <w:rFonts w:hint="eastAsia" w:ascii="仿宋" w:hAnsi="仿宋" w:eastAsia="仿宋" w:cs="仿宋"/>
          <w:bCs/>
          <w:sz w:val="32"/>
          <w:szCs w:val="32"/>
        </w:rPr>
      </w:pPr>
      <w:r>
        <w:rPr>
          <w:rFonts w:hint="eastAsia" w:ascii="仿宋" w:hAnsi="仿宋" w:eastAsia="仿宋" w:cs="仿宋"/>
          <w:bCs/>
          <w:sz w:val="32"/>
          <w:szCs w:val="32"/>
        </w:rPr>
        <w:t>中国共产党的党校是在党委直接领导下培养党员领导干部和理论干部的学校。党校既是党教育培训各级各类干部的重要阵地，又是党委的一个重要部门。其主要职责是：1、轮训各级各类党员领导干部；2、培训中青年党员干部，轮（培）训入党积极分子；3、培训意识形态部门的领导干部和理论骨干；4、协同组织人事部门，对学员在校期间进行考核和考察；5、围绕国际国内出现的新情况、新问题，开展科学研究，教学研究，当好县委的参谋；6、宣传马克思列宁主义、毛泽东思想、邓小平理论、“三个代表”重要思想、宣传建设中国特色社会主义和党的基本路线、方针、政策；7、加强对党的理论、党的基本路线、基本纲领的研究，以提高各级各类干部思想政治素质、业务素质和道德水平为目的，充分体现党校干部教育培训的特色；8、服从和服务于党的中心工作，承办县委、</w:t>
      </w:r>
      <w:r>
        <w:rPr>
          <w:rFonts w:hint="eastAsia" w:ascii="仿宋" w:hAnsi="仿宋" w:eastAsia="仿宋" w:cs="仿宋"/>
          <w:bCs/>
          <w:sz w:val="32"/>
          <w:szCs w:val="32"/>
          <w:lang w:val="en-US" w:eastAsia="zh-CN"/>
        </w:rPr>
        <w:t>县</w:t>
      </w:r>
      <w:r>
        <w:rPr>
          <w:rFonts w:hint="eastAsia" w:ascii="仿宋" w:hAnsi="仿宋" w:eastAsia="仿宋" w:cs="仿宋"/>
          <w:bCs/>
          <w:sz w:val="32"/>
          <w:szCs w:val="32"/>
        </w:rPr>
        <w:t>政府临时决定和安排的各类班次。</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lang w:eastAsia="zh-CN"/>
        </w:rPr>
        <w:t>年重点工作任务</w:t>
      </w:r>
    </w:p>
    <w:p>
      <w:pPr>
        <w:pStyle w:val="4"/>
        <w:adjustRightInd w:val="0"/>
        <w:snapToGrid w:val="0"/>
        <w:spacing w:line="560" w:lineRule="exact"/>
        <w:ind w:firstLine="672" w:firstLineChars="210"/>
        <w:rPr>
          <w:rFonts w:hint="eastAsia" w:ascii="仿宋" w:hAnsi="仿宋" w:eastAsia="仿宋" w:cs="仿宋"/>
          <w:bCs/>
          <w:sz w:val="32"/>
          <w:szCs w:val="32"/>
        </w:rPr>
      </w:pPr>
      <w:r>
        <w:rPr>
          <w:rFonts w:hint="eastAsia" w:ascii="仿宋" w:hAnsi="仿宋" w:eastAsia="仿宋" w:cs="仿宋"/>
          <w:bCs/>
          <w:sz w:val="32"/>
          <w:szCs w:val="32"/>
        </w:rPr>
        <w:t>1、轮训各级党员领导干部；</w:t>
      </w:r>
    </w:p>
    <w:p>
      <w:pPr>
        <w:pStyle w:val="4"/>
        <w:adjustRightInd w:val="0"/>
        <w:snapToGrid w:val="0"/>
        <w:spacing w:line="560" w:lineRule="exact"/>
        <w:ind w:firstLine="672" w:firstLineChars="210"/>
        <w:rPr>
          <w:rFonts w:hint="eastAsia" w:ascii="仿宋" w:hAnsi="仿宋" w:eastAsia="仿宋" w:cs="仿宋"/>
          <w:bCs/>
          <w:sz w:val="32"/>
          <w:szCs w:val="32"/>
        </w:rPr>
      </w:pPr>
      <w:r>
        <w:rPr>
          <w:rFonts w:hint="eastAsia" w:ascii="仿宋" w:hAnsi="仿宋" w:eastAsia="仿宋" w:cs="仿宋"/>
          <w:bCs/>
          <w:sz w:val="32"/>
          <w:szCs w:val="32"/>
        </w:rPr>
        <w:t>2、培训中青年党员领导干部；</w:t>
      </w:r>
    </w:p>
    <w:p>
      <w:pPr>
        <w:pStyle w:val="4"/>
        <w:adjustRightInd w:val="0"/>
        <w:snapToGrid w:val="0"/>
        <w:spacing w:line="560" w:lineRule="exact"/>
        <w:ind w:firstLine="672" w:firstLineChars="210"/>
        <w:rPr>
          <w:rFonts w:hint="eastAsia" w:ascii="仿宋" w:hAnsi="仿宋" w:eastAsia="仿宋" w:cs="仿宋"/>
          <w:bCs/>
          <w:sz w:val="32"/>
          <w:szCs w:val="32"/>
        </w:rPr>
      </w:pPr>
      <w:r>
        <w:rPr>
          <w:rFonts w:hint="eastAsia" w:ascii="仿宋" w:hAnsi="仿宋" w:eastAsia="仿宋" w:cs="仿宋"/>
          <w:bCs/>
          <w:sz w:val="32"/>
          <w:szCs w:val="32"/>
        </w:rPr>
        <w:t>3、围绕国际国内出现的新情况、新问题，开展科学研究，当好县委的参谋；</w:t>
      </w:r>
    </w:p>
    <w:p>
      <w:pPr>
        <w:pStyle w:val="4"/>
        <w:adjustRightInd w:val="0"/>
        <w:snapToGrid w:val="0"/>
        <w:spacing w:line="560" w:lineRule="exact"/>
        <w:ind w:firstLine="672" w:firstLineChars="210"/>
        <w:rPr>
          <w:rFonts w:hint="eastAsia" w:ascii="仿宋" w:hAnsi="仿宋" w:eastAsia="仿宋" w:cs="仿宋"/>
          <w:bCs/>
          <w:sz w:val="32"/>
          <w:szCs w:val="32"/>
        </w:rPr>
      </w:pPr>
      <w:r>
        <w:rPr>
          <w:rFonts w:hint="eastAsia" w:ascii="仿宋" w:hAnsi="仿宋" w:eastAsia="仿宋" w:cs="仿宋"/>
          <w:bCs/>
          <w:sz w:val="32"/>
          <w:szCs w:val="32"/>
        </w:rPr>
        <w:t>4、宣传马克思列宁主义、毛泽东思想；宣传建设中国特色社会主义和党的路线、方针、政策；</w:t>
      </w:r>
    </w:p>
    <w:p>
      <w:pPr>
        <w:spacing w:line="560" w:lineRule="exact"/>
        <w:ind w:firstLine="640" w:firstLineChars="200"/>
        <w:rPr>
          <w:rFonts w:hint="eastAsia" w:ascii="仿宋" w:hAnsi="仿宋" w:eastAsia="仿宋" w:cs="仿宋"/>
          <w:bCs/>
          <w:sz w:val="32"/>
          <w:szCs w:val="32"/>
        </w:rPr>
      </w:pPr>
      <w:bookmarkStart w:id="13" w:name="_Toc3685"/>
      <w:r>
        <w:rPr>
          <w:rFonts w:hint="eastAsia" w:ascii="仿宋" w:hAnsi="仿宋" w:eastAsia="仿宋" w:cs="仿宋"/>
          <w:bCs/>
          <w:sz w:val="32"/>
          <w:szCs w:val="32"/>
        </w:rPr>
        <w:t>5、服从和服务于党的中心工作，承办县委、县政府临时决定和安排的各类班次。</w:t>
      </w:r>
      <w:bookmarkEnd w:id="13"/>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bookmarkStart w:id="14" w:name="_Toc19685"/>
      <w:r>
        <w:rPr>
          <w:rFonts w:hint="eastAsia" w:ascii="黑体" w:eastAsia="黑体"/>
          <w:sz w:val="32"/>
          <w:szCs w:val="32"/>
        </w:rPr>
        <w:t>二、部门</w:t>
      </w:r>
      <w:r>
        <w:rPr>
          <w:rFonts w:hint="eastAsia" w:ascii="黑体" w:eastAsia="黑体"/>
          <w:sz w:val="32"/>
          <w:szCs w:val="32"/>
          <w:lang w:eastAsia="zh-CN"/>
        </w:rPr>
        <w:t>预算单位构成</w:t>
      </w:r>
      <w:bookmarkEnd w:id="14"/>
    </w:p>
    <w:p>
      <w:pPr>
        <w:widowControl/>
        <w:spacing w:line="560" w:lineRule="exact"/>
        <w:ind w:firstLine="640" w:firstLineChars="200"/>
        <w:jc w:val="left"/>
        <w:rPr>
          <w:rFonts w:hint="eastAsia" w:ascii="仿宋" w:hAnsi="仿宋" w:eastAsia="仿宋" w:cs="仿宋"/>
          <w:sz w:val="32"/>
          <w:szCs w:val="32"/>
        </w:rPr>
      </w:pPr>
      <w:bookmarkStart w:id="15" w:name="_Toc28860"/>
      <w:r>
        <w:rPr>
          <w:rFonts w:hint="eastAsia" w:ascii="仿宋" w:hAnsi="仿宋" w:eastAsia="仿宋" w:cs="仿宋"/>
          <w:color w:val="auto"/>
          <w:sz w:val="32"/>
          <w:szCs w:val="32"/>
        </w:rPr>
        <w:t>红原县委党校下设单位（股室）三个：办公室、教务室、总务室，其中行政单位1个，参照公务员法管理的事业单位</w:t>
      </w:r>
      <w:r>
        <w:rPr>
          <w:rFonts w:hint="eastAsia" w:ascii="仿宋" w:hAnsi="仿宋" w:eastAsia="仿宋" w:cs="仿宋"/>
          <w:bCs/>
          <w:color w:val="auto"/>
          <w:sz w:val="32"/>
          <w:szCs w:val="32"/>
        </w:rPr>
        <w:t>1</w:t>
      </w:r>
      <w:r>
        <w:rPr>
          <w:rFonts w:hint="eastAsia" w:ascii="仿宋" w:hAnsi="仿宋" w:eastAsia="仿宋" w:cs="仿宋"/>
          <w:color w:val="auto"/>
          <w:sz w:val="32"/>
          <w:szCs w:val="32"/>
        </w:rPr>
        <w:t>个，其他事业单位0个。</w:t>
      </w:r>
      <w:r>
        <w:rPr>
          <w:rFonts w:hint="eastAsia" w:ascii="仿宋" w:hAnsi="仿宋" w:eastAsia="仿宋" w:cs="仿宋"/>
          <w:color w:val="auto"/>
          <w:kern w:val="0"/>
          <w:sz w:val="32"/>
          <w:szCs w:val="32"/>
        </w:rPr>
        <w:t xml:space="preserve">在职人员编制 </w:t>
      </w:r>
      <w:r>
        <w:rPr>
          <w:rFonts w:hint="eastAsia" w:ascii="仿宋" w:hAnsi="仿宋" w:eastAsia="仿宋" w:cs="仿宋"/>
          <w:color w:val="auto"/>
          <w:kern w:val="0"/>
          <w:sz w:val="32"/>
          <w:szCs w:val="32"/>
          <w:lang w:val="en-US" w:eastAsia="zh-CN"/>
        </w:rPr>
        <w:t>20</w:t>
      </w:r>
      <w:r>
        <w:rPr>
          <w:rFonts w:hint="eastAsia" w:ascii="仿宋" w:hAnsi="仿宋" w:eastAsia="仿宋" w:cs="仿宋"/>
          <w:color w:val="auto"/>
          <w:kern w:val="0"/>
          <w:sz w:val="32"/>
          <w:szCs w:val="32"/>
        </w:rPr>
        <w:t xml:space="preserve">人，其中：行政编制 </w:t>
      </w:r>
      <w:r>
        <w:rPr>
          <w:rFonts w:hint="eastAsia" w:ascii="仿宋" w:hAnsi="仿宋" w:eastAsia="仿宋" w:cs="仿宋"/>
          <w:color w:val="auto"/>
          <w:kern w:val="0"/>
          <w:sz w:val="32"/>
          <w:szCs w:val="32"/>
          <w:lang w:val="en-US" w:eastAsia="zh-CN"/>
        </w:rPr>
        <w:t>9</w:t>
      </w:r>
      <w:r>
        <w:rPr>
          <w:rFonts w:hint="eastAsia" w:ascii="仿宋" w:hAnsi="仿宋" w:eastAsia="仿宋" w:cs="仿宋"/>
          <w:color w:val="auto"/>
          <w:kern w:val="0"/>
          <w:sz w:val="32"/>
          <w:szCs w:val="32"/>
        </w:rPr>
        <w:t xml:space="preserve"> 人，事业编制 11  人。工勤人员3 人，在职实有 </w:t>
      </w:r>
      <w:r>
        <w:rPr>
          <w:rFonts w:hint="eastAsia" w:ascii="仿宋" w:hAnsi="仿宋" w:eastAsia="仿宋" w:cs="仿宋"/>
          <w:color w:val="auto"/>
          <w:kern w:val="0"/>
          <w:sz w:val="32"/>
          <w:szCs w:val="32"/>
          <w:lang w:val="en-US" w:eastAsia="zh-CN"/>
        </w:rPr>
        <w:t>20</w:t>
      </w:r>
      <w:r>
        <w:rPr>
          <w:rFonts w:hint="eastAsia" w:ascii="仿宋" w:hAnsi="仿宋" w:eastAsia="仿宋" w:cs="仿宋"/>
          <w:color w:val="auto"/>
          <w:kern w:val="0"/>
          <w:sz w:val="32"/>
          <w:szCs w:val="32"/>
        </w:rPr>
        <w:t xml:space="preserve">  人，退休 1</w:t>
      </w: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rPr>
        <w:t xml:space="preserve"> 人,离休人员1个。</w:t>
      </w:r>
      <w:bookmarkEnd w:id="15"/>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bookmarkStart w:id="16" w:name="_Toc20196"/>
      <w:r>
        <w:rPr>
          <w:rFonts w:hint="eastAsia" w:ascii="黑体" w:eastAsia="黑体"/>
          <w:sz w:val="32"/>
          <w:szCs w:val="32"/>
        </w:rPr>
        <w:t>三、收支预算总体情况</w:t>
      </w:r>
      <w:bookmarkEnd w:id="16"/>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17" w:name="_Toc24660"/>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hAnsi="仿宋_GB2312" w:eastAsia="仿宋_GB2312" w:cs="仿宋_GB2312"/>
          <w:color w:val="auto"/>
          <w:spacing w:val="0"/>
          <w:position w:val="0"/>
          <w:sz w:val="32"/>
          <w:shd w:val="clear" w:fill="auto"/>
          <w:lang w:val="en-US" w:eastAsia="zh-CN"/>
        </w:rPr>
        <w:t>中共红原县委员会党校</w:t>
      </w:r>
      <w:r>
        <w:rPr>
          <w:rFonts w:hint="eastAsia" w:ascii="仿宋_GB2312" w:eastAsia="仿宋_GB2312"/>
          <w:sz w:val="32"/>
          <w:szCs w:val="32"/>
        </w:rPr>
        <w:t>收入预算总额为</w:t>
      </w:r>
      <w:r>
        <w:rPr>
          <w:rFonts w:hint="eastAsia" w:ascii="仿宋_GB2312" w:eastAsia="仿宋_GB2312"/>
          <w:sz w:val="32"/>
          <w:szCs w:val="32"/>
          <w:lang w:val="en-US" w:eastAsia="zh-CN"/>
        </w:rPr>
        <w:t>584.25</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584.25</w:t>
      </w:r>
      <w:r>
        <w:rPr>
          <w:rFonts w:hint="eastAsia" w:ascii="仿宋_GB2312" w:eastAsia="仿宋_GB2312"/>
          <w:sz w:val="32"/>
          <w:szCs w:val="32"/>
        </w:rPr>
        <w:t>万元。相应安排支出预算</w:t>
      </w:r>
      <w:r>
        <w:rPr>
          <w:rFonts w:hint="eastAsia" w:ascii="仿宋_GB2312" w:eastAsia="仿宋_GB2312"/>
          <w:sz w:val="32"/>
          <w:szCs w:val="32"/>
          <w:lang w:val="en-US" w:eastAsia="zh-CN"/>
        </w:rPr>
        <w:t>584.25</w:t>
      </w:r>
      <w:r>
        <w:rPr>
          <w:rFonts w:hint="eastAsia" w:ascii="仿宋_GB2312" w:eastAsia="仿宋_GB2312"/>
          <w:sz w:val="32"/>
          <w:szCs w:val="32"/>
        </w:rPr>
        <w:t>万元，其中：</w:t>
      </w:r>
      <w:r>
        <w:rPr>
          <w:rFonts w:hint="eastAsia" w:ascii="仿宋_GB2312" w:eastAsia="仿宋_GB2312"/>
          <w:sz w:val="32"/>
          <w:szCs w:val="32"/>
          <w:lang w:val="en-US" w:eastAsia="zh-CN"/>
        </w:rPr>
        <w:t>教育支出432.81</w:t>
      </w:r>
      <w:r>
        <w:rPr>
          <w:rFonts w:hint="eastAsia" w:ascii="仿宋_GB2312" w:eastAsia="仿宋_GB2312"/>
          <w:sz w:val="32"/>
          <w:szCs w:val="32"/>
        </w:rPr>
        <w:t>万元，社会保障和就业</w:t>
      </w:r>
      <w:r>
        <w:rPr>
          <w:rFonts w:hint="eastAsia" w:ascii="仿宋_GB2312" w:eastAsia="仿宋_GB2312"/>
          <w:sz w:val="32"/>
          <w:szCs w:val="32"/>
          <w:lang w:val="en-US" w:eastAsia="zh-CN"/>
        </w:rPr>
        <w:t>79.03</w:t>
      </w:r>
      <w:r>
        <w:rPr>
          <w:rFonts w:hint="eastAsia" w:ascii="仿宋_GB2312" w:eastAsia="仿宋_GB2312"/>
          <w:sz w:val="32"/>
          <w:szCs w:val="32"/>
        </w:rPr>
        <w:t>万元，医疗卫生</w:t>
      </w:r>
      <w:r>
        <w:rPr>
          <w:rFonts w:hint="eastAsia" w:ascii="仿宋_GB2312" w:eastAsia="仿宋_GB2312"/>
          <w:sz w:val="32"/>
          <w:szCs w:val="32"/>
          <w:lang w:val="en-US" w:eastAsia="zh-CN"/>
        </w:rPr>
        <w:t>29.33</w:t>
      </w:r>
      <w:r>
        <w:rPr>
          <w:rFonts w:hint="eastAsia" w:ascii="仿宋_GB2312" w:eastAsia="仿宋_GB2312"/>
          <w:sz w:val="32"/>
          <w:szCs w:val="32"/>
        </w:rPr>
        <w:t>万元，住房保障支出</w:t>
      </w:r>
      <w:r>
        <w:rPr>
          <w:rFonts w:hint="eastAsia" w:ascii="仿宋_GB2312" w:eastAsia="仿宋_GB2312"/>
          <w:sz w:val="32"/>
          <w:szCs w:val="32"/>
          <w:lang w:val="en-US" w:eastAsia="zh-CN"/>
        </w:rPr>
        <w:t>43.09</w:t>
      </w:r>
      <w:r>
        <w:rPr>
          <w:rFonts w:hint="eastAsia" w:ascii="仿宋_GB2312" w:eastAsia="仿宋_GB2312"/>
          <w:sz w:val="32"/>
          <w:szCs w:val="32"/>
        </w:rPr>
        <w:t>万元。</w:t>
      </w:r>
      <w:bookmarkEnd w:id="17"/>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bookmarkStart w:id="18" w:name="_Toc19837"/>
      <w:r>
        <w:rPr>
          <w:rFonts w:hint="eastAsia" w:ascii="黑体" w:eastAsia="黑体"/>
          <w:sz w:val="32"/>
          <w:szCs w:val="32"/>
        </w:rPr>
        <w:t>支出预算安排情况</w:t>
      </w:r>
      <w:bookmarkEnd w:id="18"/>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ascii="仿宋_GB2312" w:hAnsi="仿宋_GB2312" w:eastAsia="仿宋_GB2312" w:cs="仿宋_GB2312"/>
          <w:color w:val="auto"/>
          <w:spacing w:val="0"/>
          <w:position w:val="0"/>
          <w:sz w:val="32"/>
          <w:shd w:val="clear" w:fill="auto"/>
        </w:rPr>
        <w:t xml:space="preserve"> </w:t>
      </w:r>
      <w:bookmarkStart w:id="43" w:name="_GoBack"/>
      <w:bookmarkEnd w:id="43"/>
      <w:bookmarkStart w:id="19" w:name="_Toc29189"/>
      <w:r>
        <w:rPr>
          <w:rFonts w:hint="eastAsia" w:ascii="仿宋_GB2312" w:hAnsi="仿宋_GB2312" w:eastAsia="仿宋_GB2312" w:cs="仿宋_GB2312"/>
          <w:color w:val="auto"/>
          <w:spacing w:val="0"/>
          <w:position w:val="0"/>
          <w:sz w:val="32"/>
          <w:shd w:val="clear" w:fill="auto"/>
          <w:lang w:val="en-US" w:eastAsia="zh-CN"/>
        </w:rPr>
        <w:t>中共红原县委员会党校</w:t>
      </w:r>
      <w:r>
        <w:rPr>
          <w:rFonts w:hint="eastAsia" w:ascii="仿宋_GB2312" w:eastAsia="仿宋_GB2312"/>
          <w:sz w:val="32"/>
          <w:szCs w:val="32"/>
        </w:rPr>
        <w:t>预算安排支出主要用于保障该部门机构正常运转、完成日常工作任务以及承担</w:t>
      </w:r>
      <w:r>
        <w:rPr>
          <w:rFonts w:ascii="仿宋_GB2312" w:hAnsi="仿宋_GB2312" w:eastAsia="仿宋_GB2312" w:cs="仿宋_GB2312"/>
          <w:color w:val="auto"/>
          <w:spacing w:val="0"/>
          <w:position w:val="0"/>
          <w:sz w:val="32"/>
          <w:shd w:val="clear" w:fill="auto"/>
        </w:rPr>
        <w:t>我乡</w:t>
      </w:r>
      <w:r>
        <w:rPr>
          <w:rFonts w:hint="eastAsia" w:ascii="仿宋_GB2312" w:eastAsia="仿宋_GB2312"/>
          <w:sz w:val="32"/>
          <w:szCs w:val="32"/>
        </w:rPr>
        <w:t>事业发展相关工作。</w:t>
      </w:r>
      <w:bookmarkEnd w:id="19"/>
      <w:r>
        <w:rPr>
          <w:rFonts w:hint="eastAsia" w:ascii="仿宋_GB2312" w:eastAsia="仿宋_GB2312"/>
          <w:sz w:val="32"/>
          <w:szCs w:val="32"/>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bookmarkStart w:id="20" w:name="_Toc3859"/>
      <w:r>
        <w:rPr>
          <w:rFonts w:hint="eastAsia" w:ascii="仿宋_GB2312" w:eastAsia="仿宋_GB2312"/>
          <w:sz w:val="32"/>
          <w:szCs w:val="32"/>
        </w:rPr>
        <w:t>基本支出</w:t>
      </w:r>
      <w:r>
        <w:rPr>
          <w:rFonts w:hint="eastAsia" w:ascii="仿宋_GB2312" w:eastAsia="仿宋_GB2312"/>
          <w:sz w:val="32"/>
          <w:szCs w:val="32"/>
          <w:lang w:val="en-US" w:eastAsia="zh-CN"/>
        </w:rPr>
        <w:t>584.03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554.16万元，机关运行经费29.86万元，其中：办公费9.94万元，差旅费7.96万元，工会经费3.95万元，公务用车运行维护费2.62万元，邮电费1.5万元，电费2万元，印刷费1.6万元，取暖费0万元，公务接待费0.3万元。</w:t>
      </w:r>
      <w:bookmarkEnd w:id="20"/>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21" w:name="_Toc27629"/>
      <w:r>
        <w:rPr>
          <w:rFonts w:hint="eastAsia" w:ascii="仿宋_GB2312" w:eastAsia="仿宋_GB2312"/>
          <w:sz w:val="32"/>
          <w:szCs w:val="32"/>
        </w:rPr>
        <w:t>按支出功能分类主要用于以下方面:</w:t>
      </w:r>
      <w:bookmarkEnd w:id="21"/>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22" w:name="_Toc32132"/>
      <w:r>
        <w:rPr>
          <w:rFonts w:hint="eastAsia" w:ascii="仿宋_GB2312" w:eastAsia="仿宋_GB2312"/>
          <w:sz w:val="32"/>
          <w:szCs w:val="32"/>
        </w:rPr>
        <w:t>（一）</w:t>
      </w:r>
      <w:r>
        <w:rPr>
          <w:rFonts w:hint="eastAsia" w:ascii="仿宋_GB2312" w:eastAsia="仿宋_GB2312"/>
          <w:sz w:val="32"/>
          <w:szCs w:val="32"/>
          <w:lang w:val="en-US" w:eastAsia="zh-CN"/>
        </w:rPr>
        <w:t>教育支出432.81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bookmarkEnd w:id="22"/>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23" w:name="_Toc17340"/>
      <w:r>
        <w:rPr>
          <w:rFonts w:hint="eastAsia" w:ascii="仿宋_GB2312" w:eastAsia="仿宋_GB2312"/>
          <w:sz w:val="32"/>
          <w:szCs w:val="32"/>
        </w:rPr>
        <w:t>（二）社会保障和就业</w:t>
      </w:r>
      <w:r>
        <w:rPr>
          <w:rFonts w:hint="eastAsia" w:ascii="仿宋_GB2312" w:eastAsia="仿宋_GB2312"/>
          <w:sz w:val="32"/>
          <w:szCs w:val="32"/>
          <w:lang w:val="en-US" w:eastAsia="zh-CN"/>
        </w:rPr>
        <w:t>79.03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bookmarkEnd w:id="23"/>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24" w:name="_Toc26060"/>
      <w:r>
        <w:rPr>
          <w:rFonts w:hint="eastAsia" w:ascii="仿宋_GB2312" w:eastAsia="仿宋_GB2312"/>
          <w:sz w:val="32"/>
          <w:szCs w:val="32"/>
        </w:rPr>
        <w:t>（三）医疗卫生</w:t>
      </w:r>
      <w:r>
        <w:rPr>
          <w:rFonts w:hint="eastAsia" w:ascii="仿宋_GB2312" w:eastAsia="仿宋_GB2312"/>
          <w:sz w:val="32"/>
          <w:szCs w:val="32"/>
          <w:lang w:val="en-US" w:eastAsia="zh-CN"/>
        </w:rPr>
        <w:t>29.33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bookmarkEnd w:id="24"/>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pacing w:val="0"/>
          <w:position w:val="0"/>
          <w:sz w:val="32"/>
          <w:shd w:val="clear" w:fill="auto"/>
          <w:lang w:val="en-US" w:eastAsia="zh-CN"/>
        </w:rPr>
      </w:pPr>
      <w:bookmarkStart w:id="25" w:name="_Toc12389"/>
      <w:r>
        <w:rPr>
          <w:rFonts w:hint="eastAsia" w:ascii="仿宋_GB2312" w:eastAsia="仿宋_GB2312"/>
          <w:sz w:val="32"/>
          <w:szCs w:val="32"/>
        </w:rPr>
        <w:t>（四）住房保障支出</w:t>
      </w:r>
      <w:r>
        <w:rPr>
          <w:rFonts w:hint="eastAsia" w:ascii="仿宋_GB2312" w:eastAsia="仿宋_GB2312"/>
          <w:sz w:val="32"/>
          <w:szCs w:val="32"/>
          <w:lang w:val="en-US" w:eastAsia="zh-CN"/>
        </w:rPr>
        <w:t>43.09</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bookmarkEnd w:id="25"/>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w:t>
      </w:r>
      <w:bookmarkStart w:id="26" w:name="_Toc20842"/>
      <w:r>
        <w:rPr>
          <w:rFonts w:hint="eastAsia" w:ascii="黑体" w:hAnsi="黑体" w:eastAsia="黑体" w:cs="黑体"/>
          <w:color w:val="333333"/>
          <w:kern w:val="0"/>
          <w:sz w:val="32"/>
          <w:szCs w:val="32"/>
          <w:shd w:val="clear" w:color="auto" w:fill="FFFFFF"/>
          <w:lang w:val="en-US" w:eastAsia="zh-CN" w:bidi="ar"/>
        </w:rPr>
        <w:t>五、较上年度增减变化</w:t>
      </w:r>
      <w:bookmarkEnd w:id="26"/>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27" w:name="_Toc29280"/>
      <w:r>
        <w:rPr>
          <w:rFonts w:hint="eastAsia" w:ascii="仿宋_GB2312" w:eastAsia="仿宋_GB2312"/>
          <w:sz w:val="32"/>
          <w:szCs w:val="32"/>
          <w:lang w:val="en-US" w:eastAsia="zh-CN"/>
        </w:rPr>
        <w:t>本年度预算拨款收入584.25万元较上年度预算568.33万元增减了2.80%，其中基本行政运行经费预算584.03万元，占全部总预算的99.96%，较上年382.53万元增减52.67%，原因为增减各项开支，增加基本支出；专项业务工作经费预算0.22万元，占总预算的0.04%，较上年预算27.86万元增减了99.21%，主要原因为减少专项经费开支。</w:t>
      </w:r>
      <w:bookmarkEnd w:id="27"/>
      <w:r>
        <w:rPr>
          <w:rFonts w:hint="eastAsia" w:ascii="仿宋_GB2312" w:eastAsia="仿宋_GB2312"/>
          <w:sz w:val="32"/>
          <w:szCs w:val="32"/>
          <w:lang w:val="en-US" w:eastAsia="zh-CN"/>
        </w:rPr>
        <w:t xml:space="preserve">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28" w:name="_Toc12323"/>
      <w:r>
        <w:rPr>
          <w:rFonts w:hint="eastAsia" w:ascii="黑体" w:hAnsi="黑体" w:eastAsia="黑体" w:cs="黑体"/>
          <w:color w:val="333333"/>
          <w:kern w:val="0"/>
          <w:sz w:val="32"/>
          <w:szCs w:val="32"/>
          <w:shd w:val="clear" w:color="auto" w:fill="FFFFFF"/>
          <w:lang w:val="en-US" w:eastAsia="zh-CN" w:bidi="ar"/>
        </w:rPr>
        <w:t>六、“三公”经费预算</w:t>
      </w:r>
      <w:bookmarkEnd w:id="28"/>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29" w:name="_Toc20184"/>
      <w:r>
        <w:rPr>
          <w:rFonts w:hint="eastAsia" w:ascii="仿宋_GB2312" w:eastAsia="仿宋_GB2312"/>
          <w:sz w:val="32"/>
          <w:szCs w:val="32"/>
          <w:lang w:val="en-US" w:eastAsia="zh-CN"/>
        </w:rPr>
        <w:t>本年度三公经费预算安排支出为2.92万元，其中：出国费0万元，与上年持平，主要原因为未安排因公出国；公车购置费0元，与上年减少/持平/增加；公务用车维护费支出2.62万元，较上年度预算</w:t>
      </w:r>
      <w:r>
        <w:rPr>
          <w:rFonts w:hint="eastAsia" w:ascii="仿宋_GB2312" w:eastAsia="仿宋_GB2312"/>
          <w:color w:val="auto"/>
          <w:sz w:val="32"/>
          <w:szCs w:val="32"/>
        </w:rPr>
        <w:t>2.62</w:t>
      </w:r>
      <w:r>
        <w:rPr>
          <w:rFonts w:hint="eastAsia" w:ascii="仿宋_GB2312" w:eastAsia="仿宋_GB2312"/>
          <w:sz w:val="32"/>
          <w:szCs w:val="32"/>
          <w:lang w:val="en-US" w:eastAsia="zh-CN"/>
        </w:rPr>
        <w:t>万元持平，主要原因严格执行“八项规定、六项禁令”；二是将有关股室的工作有机地结合起来，减少不必要的资源浪费。/较上年度预算增加0万元，</w:t>
      </w:r>
      <w:r>
        <w:rPr>
          <w:rFonts w:ascii="仿宋_GB2312" w:hAnsi="仿宋_GB2312" w:eastAsia="仿宋_GB2312" w:cs="仿宋_GB2312"/>
          <w:color w:val="auto"/>
          <w:spacing w:val="0"/>
          <w:position w:val="0"/>
          <w:sz w:val="32"/>
          <w:shd w:val="clear" w:fill="auto"/>
        </w:rPr>
        <w:t>主要是安排的专项工作用车较多</w:t>
      </w:r>
      <w:r>
        <w:rPr>
          <w:rFonts w:hint="eastAsia" w:ascii="仿宋_GB2312" w:eastAsia="仿宋_GB2312"/>
          <w:sz w:val="32"/>
          <w:szCs w:val="32"/>
          <w:lang w:val="en-US" w:eastAsia="zh-CN"/>
        </w:rPr>
        <w:t>；公务接待费0.3万元，较上年度预算减少/持平/增</w:t>
      </w:r>
      <w:r>
        <w:rPr>
          <w:rFonts w:hint="eastAsia" w:ascii="仿宋_GB2312" w:eastAsia="仿宋_GB2312"/>
          <w:color w:val="auto"/>
          <w:sz w:val="32"/>
          <w:szCs w:val="32"/>
        </w:rPr>
        <w:t>0</w:t>
      </w:r>
      <w:r>
        <w:rPr>
          <w:rFonts w:hint="eastAsia" w:ascii="仿宋_GB2312" w:eastAsia="仿宋_GB2312"/>
          <w:color w:val="auto"/>
          <w:sz w:val="32"/>
          <w:szCs w:val="32"/>
          <w:lang w:val="en-US" w:eastAsia="zh-CN"/>
        </w:rPr>
        <w:t>.3</w:t>
      </w:r>
      <w:r>
        <w:rPr>
          <w:rFonts w:hint="eastAsia" w:ascii="仿宋_GB2312" w:eastAsia="仿宋_GB2312"/>
          <w:sz w:val="32"/>
          <w:szCs w:val="32"/>
          <w:lang w:val="en-US" w:eastAsia="zh-CN"/>
        </w:rPr>
        <w:t>万元持平，</w:t>
      </w:r>
      <w:r>
        <w:rPr>
          <w:rFonts w:ascii="仿宋_GB2312" w:hAnsi="仿宋_GB2312" w:eastAsia="仿宋_GB2312" w:cs="仿宋_GB2312"/>
          <w:color w:val="auto"/>
          <w:spacing w:val="0"/>
          <w:position w:val="0"/>
          <w:sz w:val="32"/>
          <w:shd w:val="clear" w:fill="auto"/>
        </w:rPr>
        <w:t>主要原因为本年度我们将严格执行“八项规定、六项禁令”</w:t>
      </w:r>
      <w:r>
        <w:rPr>
          <w:rFonts w:hint="eastAsia" w:ascii="仿宋_GB2312" w:eastAsia="仿宋_GB2312"/>
          <w:sz w:val="32"/>
          <w:szCs w:val="32"/>
          <w:lang w:val="en-US" w:eastAsia="zh-CN"/>
        </w:rPr>
        <w:t>，本年度我们将严格执行“八项规定、六项禁令”，结合本年度工作需要，减少不必要的开支。</w:t>
      </w:r>
      <w:bookmarkEnd w:id="29"/>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30" w:name="_Toc31982"/>
      <w:r>
        <w:rPr>
          <w:rFonts w:hint="eastAsia" w:ascii="黑体" w:hAnsi="黑体" w:eastAsia="黑体" w:cs="黑体"/>
          <w:color w:val="333333"/>
          <w:kern w:val="0"/>
          <w:sz w:val="32"/>
          <w:szCs w:val="32"/>
          <w:shd w:val="clear" w:color="auto" w:fill="FFFFFF"/>
          <w:lang w:val="en-US" w:eastAsia="zh-CN" w:bidi="ar"/>
        </w:rPr>
        <w:t>七、政府性基金预算收支情况说明</w:t>
      </w:r>
      <w:bookmarkEnd w:id="30"/>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31" w:name="_Toc23936"/>
      <w:r>
        <w:rPr>
          <w:rFonts w:hint="eastAsia" w:ascii="仿宋_GB2312" w:eastAsia="仿宋_GB2312"/>
          <w:sz w:val="32"/>
          <w:szCs w:val="32"/>
          <w:lang w:val="en-US" w:eastAsia="zh-CN"/>
        </w:rPr>
        <w:t>2024年没有使用政府性基金预算拨款安排的支出。</w:t>
      </w:r>
      <w:bookmarkEnd w:id="31"/>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32" w:name="_Toc7931"/>
      <w:r>
        <w:rPr>
          <w:rFonts w:hint="eastAsia" w:ascii="黑体" w:hAnsi="黑体" w:eastAsia="黑体" w:cs="黑体"/>
          <w:color w:val="333333"/>
          <w:kern w:val="0"/>
          <w:sz w:val="32"/>
          <w:szCs w:val="32"/>
          <w:shd w:val="clear" w:color="auto" w:fill="FFFFFF"/>
          <w:lang w:val="en-US" w:eastAsia="zh-CN" w:bidi="ar"/>
        </w:rPr>
        <w:t>八、国有资本经营预算收支情况说明</w:t>
      </w:r>
      <w:bookmarkEnd w:id="32"/>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33" w:name="_Toc1512"/>
      <w:r>
        <w:rPr>
          <w:rFonts w:hint="eastAsia" w:ascii="仿宋_GB2312" w:eastAsia="仿宋_GB2312"/>
          <w:sz w:val="32"/>
          <w:szCs w:val="32"/>
          <w:lang w:val="en-US" w:eastAsia="zh-CN"/>
        </w:rPr>
        <w:t>2024年没有使用国有资本经营预算拨款安排的支出。</w:t>
      </w:r>
      <w:bookmarkEnd w:id="33"/>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34" w:name="_Toc4150"/>
      <w:r>
        <w:rPr>
          <w:rFonts w:hint="eastAsia" w:ascii="黑体" w:hAnsi="黑体" w:eastAsia="黑体" w:cs="黑体"/>
          <w:color w:val="333333"/>
          <w:kern w:val="0"/>
          <w:sz w:val="32"/>
          <w:szCs w:val="32"/>
          <w:shd w:val="clear" w:color="auto" w:fill="FFFFFF"/>
          <w:lang w:val="en-US" w:eastAsia="zh-CN" w:bidi="ar"/>
        </w:rPr>
        <w:t>九、其他重要事项的情况说明</w:t>
      </w:r>
      <w:bookmarkEnd w:id="34"/>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35" w:name="_Toc12414"/>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bookmarkEnd w:id="35"/>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36" w:name="_Toc23742"/>
      <w:r>
        <w:rPr>
          <w:rFonts w:hint="eastAsia" w:ascii="仿宋_GB2312" w:eastAsia="仿宋_GB2312"/>
          <w:sz w:val="32"/>
          <w:szCs w:val="32"/>
          <w:lang w:val="en-US" w:eastAsia="zh-CN"/>
        </w:rPr>
        <w:t>2024年度安排政府采购预算0万元。</w:t>
      </w:r>
      <w:bookmarkEnd w:id="36"/>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37" w:name="_Toc4263"/>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bookmarkEnd w:id="37"/>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38" w:name="_Toc27423"/>
      <w:r>
        <w:rPr>
          <w:rFonts w:hint="eastAsia" w:ascii="仿宋_GB2312" w:eastAsia="仿宋_GB2312"/>
          <w:sz w:val="32"/>
          <w:szCs w:val="32"/>
          <w:lang w:val="en-US" w:eastAsia="zh-CN"/>
        </w:rPr>
        <w:t>截止2023年底，实际共有固定资产原值价值596.37</w:t>
      </w:r>
      <w:r>
        <w:rPr>
          <w:rFonts w:hint="eastAsia" w:ascii="仿宋_GB2312" w:eastAsia="仿宋_GB2312"/>
          <w:sz w:val="32"/>
          <w:szCs w:val="32"/>
          <w:lang w:eastAsia="zh-CN"/>
        </w:rPr>
        <w:t>万元：其中：土地、房屋及构筑物</w:t>
      </w:r>
      <w:r>
        <w:rPr>
          <w:rFonts w:hint="eastAsia" w:ascii="仿宋_GB2312" w:eastAsia="仿宋_GB2312"/>
          <w:sz w:val="32"/>
          <w:szCs w:val="32"/>
          <w:lang w:val="en-US" w:eastAsia="zh-CN"/>
        </w:rPr>
        <w:t>502.13</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58.62</w:t>
      </w:r>
      <w:r>
        <w:rPr>
          <w:rFonts w:hint="eastAsia" w:ascii="仿宋_GB2312" w:eastAsia="仿宋_GB2312"/>
          <w:sz w:val="32"/>
          <w:szCs w:val="32"/>
          <w:lang w:eastAsia="zh-CN"/>
        </w:rPr>
        <w:t>万元，家具、用具、装具及动植物</w:t>
      </w:r>
      <w:r>
        <w:rPr>
          <w:rFonts w:hint="eastAsia" w:ascii="仿宋_GB2312" w:eastAsia="仿宋_GB2312"/>
          <w:sz w:val="32"/>
          <w:szCs w:val="32"/>
          <w:lang w:val="en-US" w:eastAsia="zh-CN"/>
        </w:rPr>
        <w:t>35.63万元。</w:t>
      </w:r>
      <w:bookmarkEnd w:id="38"/>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39" w:name="_Toc22675"/>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bookmarkEnd w:id="39"/>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bookmarkStart w:id="40" w:name="_Toc15186"/>
      <w:r>
        <w:rPr>
          <w:rFonts w:hint="eastAsia" w:ascii="仿宋_GB2312" w:eastAsia="仿宋_GB2312"/>
          <w:sz w:val="32"/>
          <w:szCs w:val="32"/>
          <w:lang w:val="en-US" w:eastAsia="zh-CN"/>
        </w:rPr>
        <w:t>绩效目标是预算编制的前提和基础，按照“费随事定”的原则，2024年我单位项目支出按要求编制了绩效目标，从项目完成、项目效益、满意度。</w:t>
      </w:r>
      <w:bookmarkEnd w:id="40"/>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w:t>
      </w:r>
      <w:bookmarkStart w:id="41" w:name="_Toc27831"/>
      <w:r>
        <w:rPr>
          <w:rFonts w:hint="eastAsia" w:ascii="黑体" w:hAnsi="黑体" w:eastAsia="黑体" w:cs="黑体"/>
          <w:color w:val="333333"/>
          <w:kern w:val="0"/>
          <w:sz w:val="32"/>
          <w:szCs w:val="32"/>
          <w:shd w:val="clear" w:color="auto" w:fill="FFFFFF"/>
          <w:lang w:val="en-US" w:eastAsia="zh-CN" w:bidi="ar"/>
        </w:rPr>
        <w:t xml:space="preserve">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bookmarkEnd w:id="41"/>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42" w:name="_Toc31442"/>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End w:id="42"/>
      <w:r>
        <w:rPr>
          <w:rFonts w:hint="eastAsia" w:ascii="仿宋_GB2312" w:eastAsia="仿宋_GB2312"/>
          <w:sz w:val="32"/>
          <w:szCs w:val="32"/>
          <w:lang w:val="en-US" w:eastAsia="zh-CN"/>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EE49A2-8368-447C-B28E-2F1A1FE0C2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A1FA112-0CB5-434E-AFB9-8AC1121F2D06}"/>
  </w:font>
  <w:font w:name="仿宋_GB2312">
    <w:altName w:val="仿宋"/>
    <w:panose1 w:val="02010609030101010101"/>
    <w:charset w:val="86"/>
    <w:family w:val="modern"/>
    <w:pitch w:val="default"/>
    <w:sig w:usb0="00000000" w:usb1="00000000" w:usb2="00000000" w:usb3="00000000" w:csb0="00040000" w:csb1="00000000"/>
    <w:embedRegular r:id="rId3" w:fontKey="{C8A8DFE4-826E-4226-8981-F33693290CE1}"/>
  </w:font>
  <w:font w:name="仿宋">
    <w:panose1 w:val="02010609060101010101"/>
    <w:charset w:val="86"/>
    <w:family w:val="auto"/>
    <w:pitch w:val="default"/>
    <w:sig w:usb0="800002BF" w:usb1="38CF7CFA" w:usb2="00000016" w:usb3="00000000" w:csb0="00040001" w:csb1="00000000"/>
    <w:embedRegular r:id="rId4" w:fontKey="{910B442E-75F1-4F37-86E4-C36CD1DCE3E4}"/>
  </w:font>
  <w:font w:name="方正小标宋简体">
    <w:panose1 w:val="02000000000000000000"/>
    <w:charset w:val="86"/>
    <w:family w:val="auto"/>
    <w:pitch w:val="default"/>
    <w:sig w:usb0="00000001" w:usb1="08000000" w:usb2="00000000" w:usb3="00000000" w:csb0="00040000" w:csb1="00000000"/>
    <w:embedRegular r:id="rId5" w:fontKey="{D72D4FE7-6217-4168-A7B3-3694634BEF9F}"/>
  </w:font>
  <w:font w:name="楷体_GB2312">
    <w:altName w:val="楷体"/>
    <w:panose1 w:val="02010609030101010101"/>
    <w:charset w:val="86"/>
    <w:family w:val="auto"/>
    <w:pitch w:val="default"/>
    <w:sig w:usb0="00000000" w:usb1="00000000" w:usb2="00000000" w:usb3="00000000" w:csb0="00040000" w:csb1="00000000"/>
    <w:embedRegular r:id="rId6" w:fontKey="{CE40F183-7A71-4A7E-A97E-41F95241643E}"/>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7" w:fontKey="{616A033D-09EA-401D-98C9-6638143B9E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172A27"/>
    <w:rsid w:val="011D5503"/>
    <w:rsid w:val="01382115"/>
    <w:rsid w:val="021A1DF9"/>
    <w:rsid w:val="0AD815CE"/>
    <w:rsid w:val="0CD44514"/>
    <w:rsid w:val="10B92046"/>
    <w:rsid w:val="10BC6862"/>
    <w:rsid w:val="10F7684E"/>
    <w:rsid w:val="138B589B"/>
    <w:rsid w:val="15D16A44"/>
    <w:rsid w:val="18870CA9"/>
    <w:rsid w:val="1CDD31DD"/>
    <w:rsid w:val="1EF002A2"/>
    <w:rsid w:val="1FF16DE9"/>
    <w:rsid w:val="211A2370"/>
    <w:rsid w:val="26AD4FEC"/>
    <w:rsid w:val="28BE5CD7"/>
    <w:rsid w:val="293F0359"/>
    <w:rsid w:val="2AB35C6E"/>
    <w:rsid w:val="2AE143F4"/>
    <w:rsid w:val="2D241839"/>
    <w:rsid w:val="2FB1536B"/>
    <w:rsid w:val="3566298D"/>
    <w:rsid w:val="36594F2F"/>
    <w:rsid w:val="39031AEA"/>
    <w:rsid w:val="3B1D46ED"/>
    <w:rsid w:val="3CF17972"/>
    <w:rsid w:val="3D973FB2"/>
    <w:rsid w:val="3EDF2B37"/>
    <w:rsid w:val="40F13726"/>
    <w:rsid w:val="41C14C68"/>
    <w:rsid w:val="44FF2277"/>
    <w:rsid w:val="49934BEA"/>
    <w:rsid w:val="4ADB3B43"/>
    <w:rsid w:val="4D8F77B1"/>
    <w:rsid w:val="4F460C2D"/>
    <w:rsid w:val="51601A98"/>
    <w:rsid w:val="52497AE2"/>
    <w:rsid w:val="555E53B0"/>
    <w:rsid w:val="56F015BA"/>
    <w:rsid w:val="5A322EA2"/>
    <w:rsid w:val="60D5150D"/>
    <w:rsid w:val="60EA3BB6"/>
    <w:rsid w:val="636966A0"/>
    <w:rsid w:val="63A04715"/>
    <w:rsid w:val="641F6497"/>
    <w:rsid w:val="64FF4B43"/>
    <w:rsid w:val="670175BB"/>
    <w:rsid w:val="67112510"/>
    <w:rsid w:val="6ACA62A3"/>
    <w:rsid w:val="6B1F0615"/>
    <w:rsid w:val="6CD94AB3"/>
    <w:rsid w:val="6E22777F"/>
    <w:rsid w:val="6FBF4B32"/>
    <w:rsid w:val="70245D0B"/>
    <w:rsid w:val="70F00356"/>
    <w:rsid w:val="722F2426"/>
    <w:rsid w:val="73EB2393"/>
    <w:rsid w:val="7739090A"/>
    <w:rsid w:val="774626EC"/>
    <w:rsid w:val="77D71A19"/>
    <w:rsid w:val="79FC73F5"/>
    <w:rsid w:val="7B312348"/>
    <w:rsid w:val="7BEE32AB"/>
    <w:rsid w:val="7BFA1CF7"/>
    <w:rsid w:val="7D9E186E"/>
    <w:rsid w:val="7E9E60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spacing w:before="0" w:beforeAutospacing="0" w:after="120" w:afterAutospacing="0"/>
      <w:ind w:left="420" w:leftChars="200" w:right="0" w:firstLine="420" w:firstLineChars="200"/>
      <w:jc w:val="both"/>
    </w:pPr>
    <w:rPr>
      <w:rFonts w:hint="eastAsia" w:ascii="Times New Roman" w:hAnsi="Times New Roman" w:eastAsia="宋体" w:cs="Times New Roman"/>
      <w:kern w:val="2"/>
      <w:sz w:val="21"/>
      <w:szCs w:val="24"/>
      <w:lang w:val="en-US" w:eastAsia="zh-CN" w:bidi="ar-SA"/>
    </w:rPr>
  </w:style>
  <w:style w:type="paragraph" w:styleId="3">
    <w:name w:val="Body Text Indent"/>
    <w:basedOn w:val="1"/>
    <w:next w:val="2"/>
    <w:qFormat/>
    <w:uiPriority w:val="0"/>
    <w:pPr>
      <w:spacing w:line="560" w:lineRule="atLeast"/>
      <w:ind w:firstLine="200" w:firstLineChars="200"/>
    </w:pPr>
    <w:rPr>
      <w:rFonts w:ascii="Times New Roman" w:hAnsi="Times New Roman" w:eastAsia="仿宋_GB2312"/>
      <w:sz w:val="32"/>
      <w:szCs w:val="20"/>
    </w:rPr>
  </w:style>
  <w:style w:type="paragraph" w:styleId="4">
    <w:name w:val="Body Text"/>
    <w:basedOn w:val="1"/>
    <w:qFormat/>
    <w:uiPriority w:val="0"/>
    <w:pPr>
      <w:spacing w:before="93" w:beforeLines="30"/>
    </w:pPr>
    <w:rPr>
      <w:rFonts w:ascii="仿宋_GB2312" w:eastAsia="仿宋_GB2312"/>
      <w:sz w:val="3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table of figures"/>
    <w:basedOn w:val="1"/>
    <w:next w:val="1"/>
    <w:qFormat/>
    <w:uiPriority w:val="0"/>
    <w:pPr>
      <w:ind w:leftChars="200" w:hanging="200" w:hangingChars="200"/>
    </w:pPr>
  </w:style>
  <w:style w:type="character" w:styleId="9">
    <w:name w:val="page number"/>
    <w:basedOn w:val="8"/>
    <w:qFormat/>
    <w:uiPriority w:val="0"/>
  </w:style>
  <w:style w:type="character" w:styleId="10">
    <w:name w:val="line number"/>
    <w:basedOn w:val="8"/>
    <w:qFormat/>
    <w:uiPriority w:val="0"/>
    <w:rPr>
      <w:rFonts w:hint="default"/>
      <w:sz w:val="22"/>
    </w:rPr>
  </w:style>
  <w:style w:type="character" w:styleId="11">
    <w:name w:val="Hyperlink"/>
    <w:qFormat/>
    <w:uiPriority w:val="0"/>
    <w:rPr>
      <w:rFonts w:hint="default"/>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2160</Words>
  <Characters>2353</Characters>
  <Lines>0</Lines>
  <Paragraphs>0</Paragraphs>
  <TotalTime>6</TotalTime>
  <ScaleCrop>false</ScaleCrop>
  <LinksUpToDate>false</LinksUpToDate>
  <CharactersWithSpaces>2411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cp:lastModifiedBy>
  <dcterms:modified xsi:type="dcterms:W3CDTF">2024-04-17T05:31:00Z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499B579CD6AF4520BD77514B1BAE8586</vt:lpwstr>
  </property>
</Properties>
</file>