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44"/>
          <w:szCs w:val="44"/>
        </w:rPr>
      </w:pPr>
      <w:r>
        <w:rPr>
          <w:rFonts w:hint="eastAsia" w:ascii="黑体" w:hAnsi="黑体" w:eastAsia="黑体" w:cs="黑体"/>
          <w:b/>
          <w:bCs/>
          <w:sz w:val="44"/>
          <w:szCs w:val="44"/>
        </w:rPr>
        <w:t>中共红原县委员会党校</w:t>
      </w:r>
    </w:p>
    <w:p>
      <w:pPr>
        <w:jc w:val="center"/>
        <w:rPr>
          <w:rFonts w:hint="eastAsia" w:ascii="黑体" w:hAnsi="黑体" w:eastAsia="黑体" w:cs="黑体"/>
          <w:b/>
          <w:bCs/>
          <w:sz w:val="44"/>
          <w:szCs w:val="44"/>
        </w:rPr>
      </w:pPr>
      <w:r>
        <w:rPr>
          <w:rFonts w:hint="eastAsia" w:ascii="黑体" w:hAnsi="黑体" w:eastAsia="黑体" w:cs="黑体"/>
          <w:b/>
          <w:bCs/>
          <w:sz w:val="44"/>
          <w:szCs w:val="44"/>
        </w:rPr>
        <w:t>关于2023年部门预算编制的说明</w:t>
      </w: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按照预算管理有关规定，目前部门预算的编制实行综合预算制度，即全部收入和支出都反映在预算中。</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基本职能及主要工作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（一）基本职能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中国共产党的党校是在党委直接领导下培养党员领导干部和理论干部的学校。党校既是党教育培训各级各类干部的重要阵地，又是党委的一个重要部门。其主要职责是：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1、轮训各级各类党员领导干部；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2、培训中青年党员干部，轮（培）训入党积极分子；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3、培训意识形态部门的领导干部和理论骨干；</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4、协同组织人事部门，对学员在校期间进行考核和考察；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5、围绕国际国内出现的新情况、新问题，开展科学研究，教学研究，当好县委的参谋；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6、宣传马克思列宁主义、毛泽东思想、邓小平理论、“三个代表”重要思想、宣传建设中国特色社会主义理论和党的基本路线、方针、政策；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7、加强对党的理论、党的基本路线、基本纲领的研究，以提高各级各类干部思想政治素质、业务素质和道德水平为目的，充分体现党校干部教育培训的特色；</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8、服从和服务于党的中心工作，承办县委、政府临时决定和安排的各类班次。</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（二）2023年重点工作任务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1、轮训各级党员领导干部；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2、培训中青年党员领导干部；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3、围绕国际国内出现的新情况、新问题，开展科学研究，当好县委的参谋；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4、宣传马克思列宁主义、毛泽东思想；宣传建设中国特色社会主义理论和党的路线、方针、政策；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5、服从和服务于党的中心工作，承办县委、县政府临时决定和安排的各类班次。</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原县委党校下设单位（股室）三个：办公室、教务室、总务室，其中行政单位1个，参照公务员法管理的事业单位1个，其他事业单位0个。在职人员编制20人，其中：行政编制9 人，事业编制11 人。工勤人员3人，在职实有20  人，退休12 人,离休人员1个。</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三、收支预算总体情况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中共红原县委员会党校部门（单位）收入预算总额为568.33万元，其中：当年财政拨款收入568.337万元。相应安排支出预算595.97万元，其中：教育支出449.64万元，社会保障和就业76.10万元，医疗卫生28.25万元，住房保障支出41.98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四、支出预算安排情况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红原县中共红原县委员会党校部门（单位）预算安排支出主要用于保障该部门机构正常运转、完成日常工作任务以及承担我乡事业发展相关工作。 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基本支出568.11万元。其中人员经费支出539.51万元，机关运行经费28.6万元，其中：办公费8.81万元，差旅费4.96万元，工会经费3.80万元，公务用车运行维护费2.62万元，邮电费1.5万元，电费2万元，印刷费2.6万元，取暖费2万元，公务接待费0.3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（一）教育支出449.64万元，主要用于机关及下属事业单位人员工资、日常运转以及为完成特定行政工作任务和事业发展目标而安排的年度项目支出。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（二）社会保障和就业76.1万元，主要用于机关及下属事业单位养老保险及职业年金缴费。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（三）医疗卫生28.25万元，主要用于机关及下属事业单位按照规定标准为职工缴纳的基本医疗保险及公务员医疗补助等支出。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（四）住房保障支出41.98万元，用于机关及下属事业单位按照规定标准为职工缴纳住房公积金等支出。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五、较上年度增减变化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预算拨款收入568.33万元较上年度预算380.77万元减少了49.26%，其中基本行政运行经费预算382.53万元，占全部总预算的67.31%，较上年382.53万元持平，原因为压缩各项开支，减少基本支出；专项业务工作经费预算27.86万元，占总预算的4.9%，较上年预算0.24万元增加了115.08%，主要原因为增加项目经费开支。  </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六、“三公”经费预算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三公经费预算安排支出为2.92万元，其中：出国费0万元，与上年持平，主要原因为未安排因公出国；公车购置费0元，与上年减少/持平/增加；公务用车维护费支出2.62万元，较上年度预算2.62万元持平，主要原因严格执行“八项规定、六项禁令”；二是将有关股室的工作有机地结合起来，减少不必要的资源浪费。/较上年度预算增加0万元，主要是安排的专项工作用车较多；公务接待费0.3万元，较上年度预算减少/持平/增0.37万元减少0.07万元，主要原因为本年度我们将严格执行“八项规定、六项禁令”，本年度我们将严格执行“八项规定、六项禁令”，结合本年度工作需要，减少不必要的开支。</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七、政府性基金预算收支情况说明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八、国有资本经营预算收支情况说明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2023年没有使用国有资本经营预算拨款安排的支出。</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其他重要事项的情况说明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（一）政府采购预算情况</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2023年度安排政府采购预算0万元。</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b/>
          <w:bCs/>
          <w:sz w:val="32"/>
          <w:szCs w:val="32"/>
        </w:rPr>
        <w:t>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（二）政府财政国有资产占用情况</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截止2022年底，实际共有固定资产原值价值570.82万元：其中：土地、房屋及构筑物502.13万元；通用设备33.06万元，家具、用具、装具及动植物35.63万元。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绩效目标是预算编制的前提和基础，按照“费随事定”的原则，2023年我单位项目支出按要求编制了绩效目标，从项目完成、项目效益、满意度。</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1.财政拨款收入：指财政部门核拨给单位的财政预算资金。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2.其他收入：指除上述财政部门拨付单位以外的收入。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3.基本支出：指为保障单位机关正常运转、完成日常工作任务而发生的人员支出和公用支出。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附件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表1.部门收支总表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表2.部门收入总表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表3.部门支出总表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表4.财政拨款收支预算总表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表6.一般公共预算支出预算表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表7.一般公共预算基本支出预算表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表8.一般公共预算项目支出预算表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表10.政府性基金支出预算表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表12.国有资本经营预算支出预算表</w:t>
      </w:r>
    </w:p>
    <w:p>
      <w:pPr>
        <w:rPr>
          <w:rFonts w:hint="eastAsia"/>
        </w:rPr>
      </w:pPr>
      <w:r>
        <w:rPr>
          <w:rFonts w:hint="eastAsia" w:ascii="仿宋" w:hAnsi="仿宋" w:eastAsia="仿宋" w:cs="仿宋"/>
          <w:sz w:val="32"/>
          <w:szCs w:val="32"/>
        </w:rPr>
        <w:t>表13.部门项目支出绩效</w:t>
      </w:r>
      <w:r>
        <w:rPr>
          <w:rFonts w:hint="eastAsia" w:ascii="仿宋" w:hAnsi="仿宋" w:eastAsia="仿宋" w:cs="仿宋"/>
          <w:sz w:val="32"/>
          <w:szCs w:val="32"/>
          <w:lang w:val="en-US" w:eastAsia="zh-CN"/>
        </w:rPr>
        <w:t>目标申报表</w:t>
      </w:r>
      <w:r>
        <w:rPr>
          <w:rFonts w:hint="eastAsia" w:ascii="仿宋" w:hAnsi="仿宋" w:eastAsia="仿宋" w:cs="仿宋"/>
          <w:sz w:val="32"/>
          <w:szCs w:val="32"/>
        </w:rPr>
        <w:t>（2023年度)</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CE9FEF"/>
    <w:multiLevelType w:val="singleLevel"/>
    <w:tmpl w:val="91CE9FEF"/>
    <w:lvl w:ilvl="0" w:tentative="0">
      <w:start w:val="9"/>
      <w:numFmt w:val="chineseCounting"/>
      <w:suff w:val="nothing"/>
      <w:lvlText w:val="%1、"/>
      <w:lvlJc w:val="left"/>
      <w:rPr>
        <w:rFonts w:hint="eastAsia"/>
      </w:rPr>
    </w:lvl>
  </w:abstractNum>
  <w:abstractNum w:abstractNumId="1">
    <w:nsid w:val="980A7EE0"/>
    <w:multiLevelType w:val="singleLevel"/>
    <w:tmpl w:val="980A7EE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4A"/>
    <w:rsid w:val="001832EB"/>
    <w:rsid w:val="00396A3D"/>
    <w:rsid w:val="00710B46"/>
    <w:rsid w:val="008D64A0"/>
    <w:rsid w:val="00910755"/>
    <w:rsid w:val="00993F4A"/>
    <w:rsid w:val="00FB4896"/>
    <w:rsid w:val="038E541B"/>
    <w:rsid w:val="0BE8792B"/>
    <w:rsid w:val="0EBD74F5"/>
    <w:rsid w:val="1EAB34DC"/>
    <w:rsid w:val="3B976702"/>
    <w:rsid w:val="504E0612"/>
    <w:rsid w:val="59681FD9"/>
    <w:rsid w:val="5C3A36D0"/>
    <w:rsid w:val="765D1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360</Words>
  <Characters>2057</Characters>
  <Lines>17</Lines>
  <Paragraphs>4</Paragraphs>
  <TotalTime>0</TotalTime>
  <ScaleCrop>false</ScaleCrop>
  <LinksUpToDate>false</LinksUpToDate>
  <CharactersWithSpaces>2413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2024-08-21T03:05:00Z</dcterms:created>
  <dc:creator>永容 田</dc:creator>
  <cp:lastModifiedBy>Admin</cp:lastModifiedBy>
  <dcterms:modified xsi:type="dcterms:W3CDTF">2024-08-23T03:34:22Z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DA790A0C963147229E8FDEED59F60FB8</vt:lpwstr>
  </property>
</Properties>
</file>