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23510"/>
      <w:bookmarkStart w:id="3" w:name="_Toc15396475"/>
      <w:bookmarkStart w:id="4" w:name="_Toc15378441"/>
      <w:bookmarkStart w:id="5" w:name="_Toc15396597"/>
      <w:bookmarkStart w:id="6" w:name="_Toc15377193"/>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194"/>
      <w:bookmarkStart w:id="8" w:name="_Toc15378442"/>
      <w:bookmarkStart w:id="9" w:name="_Toc15377426"/>
      <w:bookmarkStart w:id="10" w:name="_Toc15396598"/>
      <w:bookmarkStart w:id="11" w:name="_Toc15396476"/>
      <w:bookmarkStart w:id="12" w:name="_Toc27119"/>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val="en-US" w:eastAsia="zh-CN"/>
        </w:rPr>
        <w:t>中共</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委员会党校</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0"/>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8306"/>
              <w:tab w:val="clear" w:pos="829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_Toc23510 </w:instrText>
          </w:r>
          <w:r>
            <w:rPr>
              <w:rFonts w:hint="eastAsia"/>
            </w:rPr>
            <w:fldChar w:fldCharType="separate"/>
          </w:r>
          <w:r>
            <w:rPr>
              <w:rFonts w:ascii="黑体" w:hAnsi="黑体" w:eastAsia="黑体"/>
              <w:szCs w:val="72"/>
            </w:rPr>
            <w:t>20</w:t>
          </w:r>
          <w:r>
            <w:rPr>
              <w:rFonts w:hint="eastAsia" w:ascii="黑体" w:hAnsi="黑体" w:eastAsia="黑体"/>
              <w:szCs w:val="72"/>
              <w:lang w:val="en-US" w:eastAsia="zh-CN"/>
            </w:rPr>
            <w:t>21</w:t>
          </w:r>
          <w:r>
            <w:rPr>
              <w:rFonts w:hint="eastAsia" w:ascii="方正小标宋简体" w:hAnsi="宋体" w:eastAsia="方正小标宋简体"/>
              <w:szCs w:val="72"/>
            </w:rPr>
            <w:t>年度</w:t>
          </w:r>
          <w:r>
            <w:tab/>
          </w:r>
          <w:r>
            <w:fldChar w:fldCharType="begin"/>
          </w:r>
          <w:r>
            <w:instrText xml:space="preserve"> PAGEREF _Toc23510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_Toc27119 </w:instrText>
          </w:r>
          <w:r>
            <w:rPr>
              <w:rFonts w:hint="eastAsia"/>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val="en-US" w:eastAsia="zh-CN"/>
            </w:rPr>
            <w:t>中共</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委员会党校</w:t>
          </w:r>
          <w:r>
            <w:rPr>
              <w:rFonts w:hint="eastAsia" w:ascii="方正小标宋简体" w:hAnsi="宋体" w:eastAsia="方正小标宋简体"/>
              <w:szCs w:val="72"/>
            </w:rPr>
            <w:t>部门决算</w:t>
          </w:r>
          <w:r>
            <w:tab/>
          </w:r>
          <w:r>
            <w:fldChar w:fldCharType="begin"/>
          </w:r>
          <w:r>
            <w:instrText xml:space="preserve"> PAGEREF _Toc27119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_Toc32455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_Toc32455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_Toc5506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_Toc5506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_Toc22910 </w:instrText>
          </w:r>
          <w:r>
            <w:rPr>
              <w:rFonts w:hint="eastAsia"/>
            </w:rPr>
            <w:fldChar w:fldCharType="separate"/>
          </w:r>
          <w:r>
            <w:rPr>
              <w:rFonts w:hint="eastAsia" w:ascii="宋体" w:hAnsi="宋体" w:eastAsia="宋体" w:cs="宋体"/>
              <w:bCs/>
              <w:i w:val="0"/>
              <w:iCs w:val="0"/>
              <w:caps w:val="0"/>
              <w:spacing w:val="0"/>
              <w:szCs w:val="32"/>
              <w:shd w:val="clear" w:color="auto" w:fill="FFFFFF"/>
            </w:rPr>
            <w:t>（一）基本职能</w:t>
          </w:r>
          <w:r>
            <w:tab/>
          </w:r>
          <w:r>
            <w:fldChar w:fldCharType="begin"/>
          </w:r>
          <w:r>
            <w:instrText xml:space="preserve"> PAGEREF _Toc22910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_Toc7476 </w:instrText>
          </w:r>
          <w:r>
            <w:rPr>
              <w:rFonts w:hint="eastAsia"/>
            </w:rPr>
            <w:fldChar w:fldCharType="separate"/>
          </w:r>
          <w:r>
            <w:rPr>
              <w:rFonts w:hint="eastAsia" w:ascii="宋体" w:hAnsi="宋体" w:eastAsia="宋体" w:cs="宋体"/>
              <w:bCs/>
              <w:i w:val="0"/>
              <w:iCs w:val="0"/>
              <w:caps w:val="0"/>
              <w:spacing w:val="0"/>
              <w:szCs w:val="32"/>
              <w:shd w:val="clear" w:color="auto" w:fill="FFFFFF"/>
            </w:rPr>
            <w:t>（二）202</w:t>
          </w:r>
          <w:r>
            <w:rPr>
              <w:rFonts w:hint="eastAsia" w:ascii="宋体" w:hAnsi="宋体" w:eastAsia="宋体" w:cs="宋体"/>
              <w:bCs/>
              <w:i w:val="0"/>
              <w:iCs w:val="0"/>
              <w:caps w:val="0"/>
              <w:spacing w:val="0"/>
              <w:szCs w:val="32"/>
              <w:shd w:val="clear" w:color="auto" w:fill="FFFFFF"/>
              <w:lang w:val="en-US" w:eastAsia="zh-CN"/>
            </w:rPr>
            <w:t>1</w:t>
          </w:r>
          <w:r>
            <w:rPr>
              <w:rFonts w:hint="eastAsia" w:ascii="宋体" w:hAnsi="宋体" w:eastAsia="宋体" w:cs="宋体"/>
              <w:bCs/>
              <w:i w:val="0"/>
              <w:iCs w:val="0"/>
              <w:caps w:val="0"/>
              <w:spacing w:val="0"/>
              <w:szCs w:val="32"/>
              <w:shd w:val="clear" w:color="auto" w:fill="FFFFFF"/>
            </w:rPr>
            <w:t>年重点工作任务</w:t>
          </w:r>
          <w:r>
            <w:tab/>
          </w:r>
          <w:r>
            <w:fldChar w:fldCharType="begin"/>
          </w:r>
          <w:r>
            <w:instrText xml:space="preserve"> PAGEREF _Toc7476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_Toc27265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_Toc27265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_Toc8959 </w:instrText>
          </w:r>
          <w:r>
            <w:rPr>
              <w:rFonts w:hint="eastAsia"/>
            </w:rPr>
            <w:fldChar w:fldCharType="separate"/>
          </w:r>
          <w:r>
            <w:rPr>
              <w:rFonts w:hint="eastAsia" w:ascii="黑体" w:hAnsi="黑体" w:eastAsia="黑体"/>
              <w:szCs w:val="32"/>
              <w:lang w:eastAsia="zh-CN"/>
            </w:rPr>
            <w:t>三、</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_Toc8959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_Toc6983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_Toc6983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_Toc1107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年本年收入合计528.91万元，其中：一般公共预算财政拨款收入519.38万元，占98.20%；政府性基金预算财政拨款收入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%；上级补助收入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%；事业收入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%；经营收入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%；附属单位上缴收入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%；其他收入9.53万元，占1.80%。</w:t>
          </w:r>
          <w:r>
            <w:tab/>
          </w:r>
          <w:r>
            <w:fldChar w:fldCharType="begin"/>
          </w:r>
          <w:r>
            <w:instrText xml:space="preserve"> PAGEREF _Toc1107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_Toc28148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_Toc28148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_Toc13171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年本年支出合计528.91万元，其中：基本支出</w:t>
          </w:r>
          <w:r>
            <w:rPr>
              <w:rFonts w:hint="eastAsia" w:ascii="仿宋" w:hAnsi="仿宋" w:eastAsia="仿宋"/>
              <w:szCs w:val="32"/>
              <w:lang w:val="en-US" w:eastAsia="zh-CN"/>
            </w:rPr>
            <w:t>490.50</w:t>
          </w:r>
          <w:r>
            <w:rPr>
              <w:rFonts w:hint="eastAsia" w:ascii="仿宋" w:hAnsi="仿宋" w:eastAsia="仿宋"/>
              <w:szCs w:val="32"/>
            </w:rPr>
            <w:t>万元，占</w:t>
          </w:r>
          <w:r>
            <w:rPr>
              <w:rFonts w:hint="eastAsia" w:ascii="仿宋" w:hAnsi="仿宋" w:eastAsia="仿宋"/>
              <w:szCs w:val="32"/>
              <w:lang w:val="en-US" w:eastAsia="zh-CN"/>
            </w:rPr>
            <w:t>92.74</w:t>
          </w:r>
          <w:r>
            <w:rPr>
              <w:rFonts w:hint="eastAsia" w:ascii="仿宋" w:hAnsi="仿宋" w:eastAsia="仿宋"/>
              <w:szCs w:val="32"/>
            </w:rPr>
            <w:t>%；项目支出</w:t>
          </w:r>
          <w:r>
            <w:rPr>
              <w:rFonts w:hint="eastAsia" w:ascii="仿宋" w:hAnsi="仿宋" w:eastAsia="仿宋"/>
              <w:szCs w:val="32"/>
              <w:lang w:val="en-US" w:eastAsia="zh-CN"/>
            </w:rPr>
            <w:t>38.41</w:t>
          </w:r>
          <w:r>
            <w:rPr>
              <w:rFonts w:hint="eastAsia" w:ascii="仿宋" w:hAnsi="仿宋" w:eastAsia="仿宋"/>
              <w:szCs w:val="32"/>
            </w:rPr>
            <w:t>万元，占</w:t>
          </w:r>
          <w:r>
            <w:rPr>
              <w:rFonts w:hint="eastAsia" w:ascii="仿宋" w:hAnsi="仿宋" w:eastAsia="仿宋"/>
              <w:szCs w:val="32"/>
              <w:lang w:val="en-US" w:eastAsia="zh-CN"/>
            </w:rPr>
            <w:t>7.26</w:t>
          </w:r>
          <w:r>
            <w:rPr>
              <w:rFonts w:hint="eastAsia" w:ascii="仿宋" w:hAnsi="仿宋" w:eastAsia="仿宋"/>
              <w:szCs w:val="32"/>
            </w:rPr>
            <w:t>%；经营支出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%；对附属单位补助支出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w:t>
          </w:r>
          <w:r>
            <w:tab/>
          </w:r>
          <w:r>
            <w:fldChar w:fldCharType="begin"/>
          </w:r>
          <w:r>
            <w:instrText xml:space="preserve"> PAGEREF _Toc13171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_Toc18879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_Toc18879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_Toc18611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_Toc18611 \h </w:instrText>
          </w:r>
          <w:r>
            <w:fldChar w:fldCharType="separate"/>
          </w:r>
          <w:r>
            <w:t>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_Toc25532 </w:instrText>
          </w:r>
          <w:r>
            <w:rPr>
              <w:rFonts w:hint="eastAsia"/>
            </w:rPr>
            <w:fldChar w:fldCharType="separate"/>
          </w:r>
          <w:r>
            <w:rPr>
              <w:rFonts w:hint="eastAsia" w:ascii="仿宋" w:hAnsi="仿宋" w:eastAsia="仿宋" w:cs="仿宋"/>
              <w:szCs w:val="32"/>
              <w:lang w:val="en-US" w:eastAsia="zh-CN"/>
            </w:rPr>
            <w:t>2021</w:t>
          </w:r>
          <w:r>
            <w:rPr>
              <w:rFonts w:hint="eastAsia" w:ascii="仿宋" w:hAnsi="仿宋" w:eastAsia="仿宋" w:cs="仿宋"/>
              <w:szCs w:val="32"/>
            </w:rPr>
            <w:t>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519.83万元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_Toc25532 \h </w:instrText>
          </w:r>
          <w:r>
            <w:fldChar w:fldCharType="separate"/>
          </w:r>
          <w:r>
            <w:t>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_Toc29344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_Toc29344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_Toc28396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_Toc28396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_Toc25681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_Toc25681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_Toc21941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_Toc21941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_Toc7039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_Toc7039 \h </w:instrText>
          </w:r>
          <w:r>
            <w:fldChar w:fldCharType="separate"/>
          </w:r>
          <w:r>
            <w:t>10</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_Toc4146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_Toc4146 \h </w:instrText>
          </w:r>
          <w:r>
            <w:fldChar w:fldCharType="separate"/>
          </w:r>
          <w:r>
            <w:t>15</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_Toc25617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_Toc25617 \h </w:instrText>
          </w:r>
          <w:r>
            <w:fldChar w:fldCharType="separate"/>
          </w:r>
          <w:r>
            <w:t>20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_Toc1538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_Toc1538 \h </w:instrText>
          </w:r>
          <w:r>
            <w:fldChar w:fldCharType="separate"/>
          </w:r>
          <w:r>
            <w:t>20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_Toc27957 </w:instrText>
          </w:r>
          <w:r>
            <w:rPr>
              <w:rFonts w:hint="eastAsia"/>
            </w:rPr>
            <w:fldChar w:fldCharType="separate"/>
          </w:r>
          <w:r>
            <w:rPr>
              <w:rFonts w:hint="eastAsia" w:ascii="黑体" w:hAnsi="黑体" w:eastAsia="黑体" w:cs="黑体"/>
              <w:szCs w:val="32"/>
            </w:rPr>
            <w:t>附件2</w:t>
          </w:r>
          <w:r>
            <w:tab/>
          </w:r>
          <w:r>
            <w:fldChar w:fldCharType="begin"/>
          </w:r>
          <w:r>
            <w:instrText xml:space="preserve"> PAGEREF _Toc27957 \h </w:instrText>
          </w:r>
          <w:r>
            <w:fldChar w:fldCharType="separate"/>
          </w:r>
          <w:r>
            <w:t>25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_Toc8054 </w:instrText>
          </w:r>
          <w:r>
            <w:rPr>
              <w:rFonts w:hint="eastAsia"/>
            </w:rPr>
            <w:fldChar w:fldCharType="separate"/>
          </w:r>
          <w:r>
            <w:rPr>
              <w:rFonts w:hint="eastAsia" w:ascii="黑体" w:hAnsi="宋体" w:eastAsia="黑体"/>
              <w:szCs w:val="32"/>
            </w:rPr>
            <w:t>一、</w:t>
          </w:r>
          <w:r>
            <w:rPr>
              <w:rFonts w:hint="eastAsia" w:ascii="黑体" w:hAnsi="宋体" w:eastAsia="黑体"/>
              <w:szCs w:val="32"/>
              <w:lang w:val="zh-CN"/>
            </w:rPr>
            <w:t>项目概况</w:t>
          </w:r>
          <w:r>
            <w:tab/>
          </w:r>
          <w:r>
            <w:fldChar w:fldCharType="begin"/>
          </w:r>
          <w:r>
            <w:instrText xml:space="preserve"> PAGEREF _Toc8054 \h </w:instrText>
          </w:r>
          <w:r>
            <w:fldChar w:fldCharType="separate"/>
          </w:r>
          <w:r>
            <w:t>25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_Toc9298 </w:instrText>
          </w:r>
          <w:r>
            <w:rPr>
              <w:rFonts w:hint="eastAsia"/>
            </w:rPr>
            <w:fldChar w:fldCharType="separate"/>
          </w:r>
          <w:r>
            <w:rPr>
              <w:rFonts w:hint="eastAsia" w:ascii="黑体" w:hAnsi="宋体" w:eastAsia="黑体"/>
              <w:szCs w:val="32"/>
            </w:rPr>
            <w:t>二、项目资金申报及使用情况</w:t>
          </w:r>
          <w:r>
            <w:tab/>
          </w:r>
          <w:r>
            <w:fldChar w:fldCharType="begin"/>
          </w:r>
          <w:r>
            <w:instrText xml:space="preserve"> PAGEREF _Toc9298 \h </w:instrText>
          </w:r>
          <w:r>
            <w:fldChar w:fldCharType="separate"/>
          </w:r>
          <w:r>
            <w:t>25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_Toc2388 </w:instrText>
          </w:r>
          <w:r>
            <w:rPr>
              <w:rFonts w:hint="eastAsia"/>
            </w:rPr>
            <w:fldChar w:fldCharType="separate"/>
          </w:r>
          <w:r>
            <w:rPr>
              <w:rFonts w:hint="eastAsia" w:ascii="楷体_GB2312" w:hAnsi="宋体" w:eastAsia="楷体_GB2312"/>
              <w:szCs w:val="32"/>
              <w:lang w:val="en-US" w:eastAsia="zh-CN"/>
            </w:rPr>
            <w:t>一、</w:t>
          </w:r>
          <w:r>
            <w:rPr>
              <w:rFonts w:hint="eastAsia" w:ascii="楷体_GB2312" w:hAnsi="宋体" w:eastAsia="楷体_GB2312" w:cs="Times New Roman"/>
              <w:szCs w:val="32"/>
              <w:lang w:val="en-US" w:eastAsia="zh-CN"/>
            </w:rPr>
            <w:t>红原县党校建设项目</w:t>
          </w:r>
          <w:r>
            <w:tab/>
          </w:r>
          <w:r>
            <w:fldChar w:fldCharType="begin"/>
          </w:r>
          <w:r>
            <w:instrText xml:space="preserve"> PAGEREF _Toc2388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_Toc27715 </w:instrText>
          </w:r>
          <w:r>
            <w:rPr>
              <w:rFonts w:hint="eastAsia"/>
            </w:rPr>
            <w:fldChar w:fldCharType="separate"/>
          </w:r>
          <w:r>
            <w:rPr>
              <w:rFonts w:hint="eastAsia" w:ascii="黑体" w:hAnsi="宋体" w:eastAsia="黑体"/>
              <w:szCs w:val="32"/>
            </w:rPr>
            <w:t>三、项目实施及管理情况</w:t>
          </w:r>
          <w:r>
            <w:tab/>
          </w:r>
          <w:r>
            <w:fldChar w:fldCharType="begin"/>
          </w:r>
          <w:r>
            <w:instrText xml:space="preserve"> PAGEREF _Toc27715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_Toc1924 </w:instrText>
          </w:r>
          <w:r>
            <w:rPr>
              <w:rFonts w:hint="eastAsia"/>
            </w:rPr>
            <w:fldChar w:fldCharType="separate"/>
          </w:r>
          <w:r>
            <w:rPr>
              <w:rFonts w:hint="eastAsia" w:ascii="黑体" w:hAnsi="宋体" w:eastAsia="黑体"/>
              <w:szCs w:val="32"/>
            </w:rPr>
            <w:t>四、项目绩效情况</w:t>
          </w:r>
          <w:r>
            <w:tab/>
          </w:r>
          <w:r>
            <w:fldChar w:fldCharType="begin"/>
          </w:r>
          <w:r>
            <w:instrText xml:space="preserve"> PAGEREF _Toc1924 \h </w:instrText>
          </w:r>
          <w:r>
            <w:fldChar w:fldCharType="separate"/>
          </w:r>
          <w:r>
            <w:t>27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_Toc15300 </w:instrText>
          </w:r>
          <w:r>
            <w:rPr>
              <w:rFonts w:hint="eastAsia"/>
            </w:rPr>
            <w:fldChar w:fldCharType="separate"/>
          </w:r>
          <w:r>
            <w:rPr>
              <w:rFonts w:hint="eastAsia" w:ascii="黑体" w:hAnsi="宋体" w:eastAsia="黑体"/>
              <w:szCs w:val="32"/>
            </w:rPr>
            <w:t>五、评价结论及建议</w:t>
          </w:r>
          <w:r>
            <w:tab/>
          </w:r>
          <w:r>
            <w:fldChar w:fldCharType="begin"/>
          </w:r>
          <w:r>
            <w:instrText xml:space="preserve"> PAGEREF _Toc15300 \h </w:instrText>
          </w:r>
          <w:r>
            <w:fldChar w:fldCharType="separate"/>
          </w:r>
          <w:r>
            <w:t>28</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_Toc22120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_Toc22120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_Toc17405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_Toc17405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_Toc22446 </w:instrText>
          </w:r>
          <w:r>
            <w:rPr>
              <w:rFonts w:hint="eastAsia"/>
            </w:rPr>
            <w:fldChar w:fldCharType="separate"/>
          </w:r>
          <w:r>
            <w:rPr>
              <w:rFonts w:hint="eastAsia" w:ascii="仿宋" w:hAnsi="仿宋" w:eastAsia="仿宋"/>
            </w:rPr>
            <w:t>二、收入支出决算表</w:t>
          </w:r>
          <w:r>
            <w:tab/>
          </w:r>
          <w:r>
            <w:fldChar w:fldCharType="begin"/>
          </w:r>
          <w:r>
            <w:instrText xml:space="preserve"> PAGEREF _Toc22446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_Toc2174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_Toc2174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_Toc28370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_Toc28370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_Toc23613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_Toc23613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_Toc21174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_Toc21174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_Toc4939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_Toc4939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_Toc1274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_Toc1274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_Toc30552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_Toc30552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_Toc25839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_Toc25839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_Toc15685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_Toc15685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_Toc17252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_Toc17252 \h </w:instrText>
          </w:r>
          <w:r>
            <w:fldChar w:fldCharType="separate"/>
          </w:r>
          <w:r>
            <w:t>29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_Toc27729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_Toc27729 \h </w:instrText>
          </w:r>
          <w:r>
            <w:fldChar w:fldCharType="separate"/>
          </w:r>
          <w:r>
            <w:t>29</w:t>
          </w:r>
          <w:r>
            <w:fldChar w:fldCharType="end"/>
          </w:r>
          <w:r>
            <w:rPr>
              <w:rFonts w:hint="eastAsia"/>
            </w:rPr>
            <w:fldChar w:fldCharType="end"/>
          </w:r>
        </w:p>
        <w:p>
          <w:pPr>
            <w:pStyle w:val="7"/>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rPr>
            <w:fldChar w:fldCharType="end"/>
          </w:r>
        </w:p>
      </w:sdtContent>
    </w:sdt>
    <w:p>
      <w:pPr>
        <w:rPr>
          <w:rFonts w:hint="eastAsia"/>
        </w:rPr>
      </w:pPr>
    </w:p>
    <w:p>
      <w:pPr>
        <w:pStyle w:val="2"/>
        <w:jc w:val="center"/>
        <w:rPr>
          <w:rFonts w:ascii="黑体" w:eastAsia="黑体"/>
          <w:color w:val="000000"/>
          <w:sz w:val="32"/>
          <w:szCs w:val="32"/>
        </w:rPr>
      </w:pPr>
      <w:bookmarkStart w:id="14" w:name="_Toc32455"/>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5506"/>
      <w:bookmarkStart w:id="16" w:name="_Toc15377197"/>
      <w:bookmarkStart w:id="17" w:name="_Toc15396600"/>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18" w:name="_Toc22910"/>
      <w:bookmarkStart w:id="19" w:name="_Toc22423"/>
      <w:bookmarkStart w:id="20" w:name="_Toc15377200"/>
      <w:bookmarkStart w:id="21" w:name="_Toc15396601"/>
      <w:r>
        <w:rPr>
          <w:rFonts w:hint="eastAsia" w:ascii="宋体" w:hAnsi="宋体" w:eastAsia="宋体" w:cs="宋体"/>
          <w:b/>
          <w:bCs/>
          <w:i w:val="0"/>
          <w:iCs w:val="0"/>
          <w:caps w:val="0"/>
          <w:color w:val="333333"/>
          <w:spacing w:val="0"/>
          <w:sz w:val="32"/>
          <w:szCs w:val="32"/>
          <w:shd w:val="clear" w:color="auto" w:fill="FFFFFF"/>
        </w:rPr>
        <w:t>（一）基本职能</w:t>
      </w:r>
      <w:bookmarkEnd w:id="18"/>
      <w:bookmarkEnd w:id="19"/>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根据县编制委员会批准的三定方案，中共红原县委员会党校主要职能职责及工作如下；</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1.轮训各级党员领导干部；</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2.培训中青年党员领导干部；</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3.培训意识形态部门的领导干部的理论骨干；</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4.协同组织人事部门，对学员在校期间进行考核和考察；</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5.围绕国际国内出现的新情况、新问题，开展科学研究，当好县委的参谋；</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6.宣传马克思列宁主义、毛泽东思想；宣传建设中国特色社会主义理论和党的路线、方针、政策；</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7.服从和服务于党的中心工作，承办县委、县政府临时安排的各类班次。</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22" w:name="_Toc9610"/>
      <w:bookmarkStart w:id="23" w:name="_Toc7476"/>
      <w:r>
        <w:rPr>
          <w:rFonts w:hint="eastAsia" w:ascii="宋体" w:hAnsi="宋体" w:eastAsia="宋体" w:cs="宋体"/>
          <w:b/>
          <w:bCs/>
          <w:i w:val="0"/>
          <w:iCs w:val="0"/>
          <w:caps w:val="0"/>
          <w:color w:val="333333"/>
          <w:spacing w:val="0"/>
          <w:sz w:val="32"/>
          <w:szCs w:val="32"/>
          <w:shd w:val="clear" w:color="auto" w:fill="FFFFFF"/>
        </w:rPr>
        <w:t>（二）202</w:t>
      </w:r>
      <w:r>
        <w:rPr>
          <w:rFonts w:hint="eastAsia" w:ascii="宋体" w:hAnsi="宋体" w:eastAsia="宋体" w:cs="宋体"/>
          <w:b/>
          <w:bCs/>
          <w:i w:val="0"/>
          <w:iCs w:val="0"/>
          <w:caps w:val="0"/>
          <w:color w:val="333333"/>
          <w:spacing w:val="0"/>
          <w:sz w:val="32"/>
          <w:szCs w:val="32"/>
          <w:shd w:val="clear" w:color="auto" w:fill="FFFFFF"/>
          <w:lang w:val="en-US" w:eastAsia="zh-CN"/>
        </w:rPr>
        <w:t>1</w:t>
      </w:r>
      <w:r>
        <w:rPr>
          <w:rFonts w:hint="eastAsia" w:ascii="宋体" w:hAnsi="宋体" w:eastAsia="宋体" w:cs="宋体"/>
          <w:b/>
          <w:bCs/>
          <w:i w:val="0"/>
          <w:iCs w:val="0"/>
          <w:caps w:val="0"/>
          <w:color w:val="333333"/>
          <w:spacing w:val="0"/>
          <w:sz w:val="32"/>
          <w:szCs w:val="32"/>
          <w:shd w:val="clear" w:color="auto" w:fill="FFFFFF"/>
        </w:rPr>
        <w:t>年重点工作任务</w:t>
      </w:r>
      <w:bookmarkEnd w:id="22"/>
      <w:bookmarkEnd w:id="23"/>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1.轮训各级党员领导干部；</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2.培训中青年党员领导干部；</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3.围绕国际国内出现的新情况、新问题，开展科学研究，当好县委的参谋；</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4.宣传马克思列宁主义、毛泽东思想；宣传建设中国特色社会主义理论和党的路线、方针、政策；</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5.服从和服务于党的中心工作，承办县委、县政府临时决定和安排的各类班次。</w:t>
      </w:r>
    </w:p>
    <w:p>
      <w:pPr>
        <w:pStyle w:val="3"/>
        <w:pageBreakBefore w:val="0"/>
        <w:widowControl w:val="0"/>
        <w:kinsoku/>
        <w:wordWrap/>
        <w:overflowPunct/>
        <w:topLinePunct w:val="0"/>
        <w:autoSpaceDE/>
        <w:autoSpaceDN/>
        <w:bidi w:val="0"/>
        <w:spacing w:line="576" w:lineRule="exact"/>
        <w:ind w:firstLine="640" w:firstLineChars="200"/>
        <w:textAlignment w:val="auto"/>
        <w:rPr>
          <w:rStyle w:val="31"/>
          <w:b w:val="0"/>
          <w:bCs w:val="0"/>
        </w:rPr>
      </w:pPr>
      <w:bookmarkStart w:id="24" w:name="_Toc27265"/>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bookmarkEnd w:id="24"/>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bookmarkStart w:id="25" w:name="_Toc15396602"/>
      <w:bookmarkStart w:id="26" w:name="_Toc15377204"/>
      <w:r>
        <w:rPr>
          <w:rFonts w:hint="eastAsia" w:ascii="仿宋" w:hAnsi="仿宋" w:eastAsia="仿宋" w:cs="Times New Roman"/>
          <w:color w:val="000000"/>
          <w:kern w:val="2"/>
          <w:sz w:val="32"/>
          <w:szCs w:val="32"/>
          <w:lang w:val="en-US" w:eastAsia="zh-CN" w:bidi="ar-SA"/>
        </w:rPr>
        <w:t>本单位本年度纳入本套决算编制范围的独立编制机构数共2个，比上年增加0个；独立核算机构数共2个，比上年增加0个</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本年度年末实有人数为21人，比上年增加1人；年末实有离退休人数为1人，比上年增加1人</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年末实有其他人数为0人，比上年增加0人</w:t>
      </w:r>
      <w:r>
        <w:rPr>
          <w:rFonts w:hint="default" w:ascii="仿宋" w:hAnsi="仿宋" w:eastAsia="仿宋" w:cs="Times New Roman"/>
          <w:color w:val="000000"/>
          <w:kern w:val="2"/>
          <w:sz w:val="32"/>
          <w:szCs w:val="32"/>
          <w:lang w:val="en-US" w:eastAsia="zh-CN" w:bidi="ar-SA"/>
        </w:rPr>
        <w:t>。</w:t>
      </w:r>
    </w:p>
    <w:bookmarkEnd w:id="25"/>
    <w:bookmarkEnd w:id="26"/>
    <w:p>
      <w:pPr>
        <w:pStyle w:val="29"/>
        <w:pageBreakBefore w:val="0"/>
        <w:widowControl w:val="0"/>
        <w:numPr>
          <w:ilvl w:val="0"/>
          <w:numId w:val="0"/>
        </w:numPr>
        <w:kinsoku/>
        <w:wordWrap/>
        <w:overflowPunct/>
        <w:topLinePunct w:val="0"/>
        <w:autoSpaceDE/>
        <w:autoSpaceDN/>
        <w:bidi w:val="0"/>
        <w:spacing w:line="576" w:lineRule="exact"/>
        <w:ind w:left="640" w:leftChars="0"/>
        <w:textAlignment w:val="auto"/>
        <w:outlineLvl w:val="1"/>
        <w:rPr>
          <w:rStyle w:val="31"/>
          <w:rFonts w:ascii="黑体" w:hAnsi="黑体" w:eastAsia="黑体"/>
          <w:b w:val="0"/>
        </w:rPr>
      </w:pPr>
      <w:bookmarkStart w:id="27" w:name="_Toc8959"/>
      <w:bookmarkStart w:id="28" w:name="_Toc15396603"/>
      <w:bookmarkStart w:id="29" w:name="_Toc15377205"/>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7"/>
      <w:bookmarkEnd w:id="28"/>
      <w:bookmarkEnd w:id="29"/>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本单位本年度收入调整预算数为528.91万元，收入决算数为528.91万元，预算完成度为100.00%，上年度预算完成度为100.00%。 本年度支出调整预算数为528.91万元，支出决算数为528.91万元，预算完成度为100.00%，上年度预算完成度为100.00%。</w:t>
      </w:r>
      <w:r>
        <w:rPr>
          <w:rFonts w:hint="default" w:ascii="仿宋" w:hAnsi="仿宋" w:eastAsia="仿宋" w:cs="Times New Roman"/>
          <w:color w:val="000000"/>
          <w:kern w:val="2"/>
          <w:sz w:val="32"/>
          <w:szCs w:val="32"/>
          <w:lang w:val="en-US" w:eastAsia="zh-CN" w:bidi="ar-SA"/>
        </w:rPr>
        <w:t>(可用柱形图或折线图)</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0"/>
          <w:rFonts w:hint="eastAsia" w:ascii="Arial" w:hAnsi="Arial" w:eastAsia="宋体" w:cs="Arial"/>
          <w:i w:val="0"/>
          <w:caps w:val="0"/>
          <w:color w:val="000000"/>
          <w:spacing w:val="0"/>
          <w:sz w:val="24"/>
          <w:szCs w:val="24"/>
          <w:shd w:val="clear" w:fill="FFFFFF"/>
          <w:lang w:eastAsia="zh-CN"/>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5238750" cy="2896235"/>
            <wp:effectExtent l="4445" t="4445" r="1460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7"/>
        <w:rPr>
          <w:rFonts w:hint="eastAsia" w:ascii="仿宋_GB2312" w:eastAsia="仿宋_GB2312"/>
          <w:color w:val="000000"/>
          <w:sz w:val="32"/>
          <w:szCs w:val="32"/>
          <w:lang w:eastAsia="zh-CN"/>
        </w:rPr>
      </w:pPr>
    </w:p>
    <w:p>
      <w:pPr>
        <w:pStyle w:val="29"/>
        <w:numPr>
          <w:ilvl w:val="0"/>
          <w:numId w:val="0"/>
        </w:numPr>
        <w:spacing w:line="600" w:lineRule="exact"/>
        <w:ind w:left="640" w:leftChars="0"/>
        <w:outlineLvl w:val="1"/>
        <w:rPr>
          <w:rStyle w:val="31"/>
          <w:rFonts w:ascii="黑体" w:hAnsi="黑体" w:eastAsia="黑体"/>
          <w:b w:val="0"/>
        </w:rPr>
      </w:pPr>
      <w:bookmarkStart w:id="30" w:name="_Toc6983"/>
      <w:bookmarkStart w:id="31" w:name="_Toc15377206"/>
      <w:bookmarkStart w:id="32" w:name="_Toc15396604"/>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30"/>
      <w:bookmarkEnd w:id="31"/>
      <w:bookmarkEnd w:id="32"/>
    </w:p>
    <w:p>
      <w:pPr>
        <w:spacing w:line="600" w:lineRule="exact"/>
        <w:ind w:firstLine="640" w:firstLineChars="200"/>
        <w:outlineLvl w:val="1"/>
        <w:rPr>
          <w:rFonts w:hint="eastAsia" w:ascii="仿宋" w:hAnsi="仿宋" w:eastAsia="仿宋"/>
          <w:color w:val="000000"/>
          <w:sz w:val="32"/>
          <w:szCs w:val="32"/>
        </w:rPr>
      </w:pPr>
      <w:bookmarkStart w:id="33" w:name="_Toc1820"/>
      <w:bookmarkStart w:id="34" w:name="_Toc12789"/>
      <w:bookmarkStart w:id="35" w:name="_Toc1107"/>
      <w:bookmarkStart w:id="36" w:name="_Toc29935"/>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年本年收入合计528.91万元，其中：一般公共预算财政拨款收入519.38万元，占98.20%；政府性基金预算财政拨款收入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%；其他收入9.53万元，占1.80%。</w:t>
      </w:r>
      <w:bookmarkEnd w:id="33"/>
      <w:bookmarkEnd w:id="34"/>
      <w:bookmarkEnd w:id="35"/>
      <w:bookmarkEnd w:id="36"/>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0"/>
        <w:ind w:left="420" w:leftChars="200" w:firstLine="0" w:firstLineChars="0"/>
        <w:rPr>
          <w:rFonts w:ascii="仿宋_GB2312" w:eastAsia="仿宋_GB2312"/>
          <w:color w:val="FF0000"/>
          <w:sz w:val="32"/>
          <w:szCs w:val="32"/>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2254250" cy="227965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7" w:name="_Toc15377207"/>
      <w:bookmarkStart w:id="38" w:name="_Toc15396605"/>
      <w:bookmarkStart w:id="39" w:name="_Toc28148"/>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7"/>
      <w:bookmarkEnd w:id="38"/>
      <w:bookmarkEnd w:id="39"/>
    </w:p>
    <w:p>
      <w:pPr>
        <w:spacing w:line="600" w:lineRule="exact"/>
        <w:ind w:firstLine="640" w:firstLineChars="200"/>
        <w:outlineLvl w:val="1"/>
        <w:rPr>
          <w:rFonts w:ascii="仿宋" w:hAnsi="仿宋" w:eastAsia="仿宋"/>
          <w:color w:val="000000"/>
          <w:sz w:val="32"/>
          <w:szCs w:val="32"/>
        </w:rPr>
      </w:pPr>
      <w:bookmarkStart w:id="40" w:name="_Toc30411"/>
      <w:bookmarkStart w:id="41" w:name="_Toc13171"/>
      <w:bookmarkStart w:id="42" w:name="_Toc31017"/>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年本年支出合计528.91万元，其中：基本支出</w:t>
      </w:r>
      <w:r>
        <w:rPr>
          <w:rFonts w:hint="eastAsia" w:ascii="仿宋" w:hAnsi="仿宋" w:eastAsia="仿宋"/>
          <w:color w:val="000000"/>
          <w:sz w:val="32"/>
          <w:szCs w:val="32"/>
          <w:lang w:val="en-US" w:eastAsia="zh-CN"/>
        </w:rPr>
        <w:t>490.50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92.74</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38.41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7.26</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bookmarkEnd w:id="40"/>
      <w:bookmarkEnd w:id="41"/>
      <w:bookmarkEnd w:id="42"/>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10"/>
        <w:ind w:left="0" w:leftChars="0" w:firstLine="0" w:firstLineChars="0"/>
        <w:rPr>
          <w:rFonts w:ascii="仿宋_GB2312" w:eastAsia="仿宋_GB2312"/>
          <w:color w:val="FF0000"/>
          <w:sz w:val="32"/>
          <w:szCs w:val="32"/>
        </w:rPr>
      </w:pPr>
      <w:r>
        <w:drawing>
          <wp:inline distT="0" distB="0" distL="114300" distR="114300">
            <wp:extent cx="5264150" cy="2735580"/>
            <wp:effectExtent l="4445" t="4445" r="14605" b="1587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43" w:name="_Toc15377208"/>
      <w:bookmarkStart w:id="44" w:name="_Toc15396606"/>
    </w:p>
    <w:p>
      <w:pPr>
        <w:numPr>
          <w:ilvl w:val="0"/>
          <w:numId w:val="0"/>
        </w:numPr>
        <w:spacing w:line="600" w:lineRule="exact"/>
        <w:ind w:left="640" w:leftChars="0"/>
        <w:outlineLvl w:val="1"/>
        <w:rPr>
          <w:rStyle w:val="31"/>
          <w:rFonts w:hint="eastAsia" w:ascii="黑体" w:hAnsi="黑体" w:eastAsia="黑体"/>
          <w:b w:val="0"/>
        </w:rPr>
      </w:pPr>
      <w:bookmarkStart w:id="45" w:name="_Toc18879"/>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3"/>
      <w:bookmarkEnd w:id="44"/>
      <w:bookmarkEnd w:id="45"/>
    </w:p>
    <w:p>
      <w:pPr>
        <w:spacing w:line="600" w:lineRule="exact"/>
        <w:ind w:firstLine="640" w:firstLineChars="200"/>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519.38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519.38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126.46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24.34</w:t>
      </w:r>
      <w:r>
        <w:rPr>
          <w:rFonts w:ascii="仿宋" w:hAnsi="仿宋" w:eastAsia="仿宋"/>
          <w:color w:val="000000"/>
          <w:sz w:val="32"/>
          <w:szCs w:val="32"/>
        </w:rPr>
        <w:t>%</w:t>
      </w:r>
      <w:r>
        <w:rPr>
          <w:rFonts w:hint="eastAsia" w:ascii="仿宋" w:hAnsi="仿宋" w:eastAsia="仿宋"/>
          <w:color w:val="000000"/>
          <w:sz w:val="32"/>
          <w:szCs w:val="32"/>
          <w:lang w:eastAsia="zh-CN"/>
        </w:rPr>
        <w:t>，支出总计增加</w:t>
      </w:r>
      <w:r>
        <w:rPr>
          <w:rFonts w:hint="eastAsia" w:ascii="仿宋" w:hAnsi="仿宋" w:eastAsia="仿宋"/>
          <w:color w:val="000000"/>
          <w:sz w:val="32"/>
          <w:szCs w:val="32"/>
          <w:lang w:val="en-US" w:eastAsia="zh-CN"/>
        </w:rPr>
        <w:t>133.52万元，上涨25.24%</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7"/>
      </w:pPr>
      <w:r>
        <w:drawing>
          <wp:inline distT="0" distB="0" distL="114300" distR="114300">
            <wp:extent cx="5290820" cy="2924810"/>
            <wp:effectExtent l="4445" t="4445" r="13335" b="1714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黑体" w:hAnsi="黑体" w:eastAsia="黑体"/>
          <w:b w:val="0"/>
        </w:rPr>
      </w:pPr>
      <w:bookmarkStart w:id="46" w:name="_Toc15377209"/>
      <w:bookmarkStart w:id="47" w:name="_Toc18611"/>
      <w:bookmarkStart w:id="48" w:name="_Toc15396607"/>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6"/>
      <w:bookmarkEnd w:id="47"/>
      <w:bookmarkEnd w:id="48"/>
    </w:p>
    <w:p>
      <w:pPr>
        <w:spacing w:line="600" w:lineRule="exact"/>
        <w:ind w:firstLine="643" w:firstLineChars="200"/>
        <w:outlineLvl w:val="2"/>
        <w:rPr>
          <w:rFonts w:ascii="仿宋" w:hAnsi="仿宋" w:eastAsia="仿宋"/>
          <w:b/>
          <w:color w:val="000000"/>
          <w:sz w:val="32"/>
          <w:szCs w:val="32"/>
        </w:rPr>
      </w:pPr>
      <w:bookmarkStart w:id="49" w:name="_Toc15377210"/>
      <w:r>
        <w:rPr>
          <w:rFonts w:hint="eastAsia" w:ascii="仿宋" w:hAnsi="仿宋" w:eastAsia="仿宋"/>
          <w:b/>
          <w:color w:val="000000"/>
          <w:sz w:val="32"/>
          <w:szCs w:val="32"/>
        </w:rPr>
        <w:t>（一）一般公共预算财政拨款支出决算总体情况</w:t>
      </w:r>
      <w:bookmarkEnd w:id="49"/>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519.38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126.47万元，上涨24.35%</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10"/>
        <w:rPr>
          <w:rFonts w:ascii="仿宋" w:hAnsi="仿宋" w:eastAsia="仿宋"/>
          <w:color w:val="000000" w:themeColor="text1"/>
          <w:sz w:val="32"/>
          <w:szCs w:val="32"/>
          <w14:textFill>
            <w14:solidFill>
              <w14:schemeClr w14:val="tx1"/>
            </w14:solidFill>
          </w14:textFill>
        </w:rPr>
      </w:pPr>
      <w:r>
        <w:drawing>
          <wp:inline distT="0" distB="0" distL="114300" distR="114300">
            <wp:extent cx="4572000" cy="2743200"/>
            <wp:effectExtent l="4445" t="4445" r="14605" b="14605"/>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50" w:name="_Toc15377211"/>
      <w:r>
        <w:rPr>
          <w:rFonts w:hint="eastAsia" w:ascii="仿宋" w:hAnsi="仿宋" w:eastAsia="仿宋"/>
          <w:b/>
          <w:color w:val="000000"/>
          <w:sz w:val="32"/>
          <w:szCs w:val="32"/>
        </w:rPr>
        <w:t>（二）一般公共预算财政拨款支出决算结构情况</w:t>
      </w:r>
      <w:bookmarkEnd w:id="50"/>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519.38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教育</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417.09</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80.31</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56.43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10.86</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22.22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4.28</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33.16</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6.38</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10"/>
        <w:ind w:left="420" w:leftChars="20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234815" cy="2385695"/>
            <wp:effectExtent l="5080" t="4445" r="14605" b="101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1" w:firstLineChars="100"/>
        <w:outlineLvl w:val="2"/>
        <w:rPr>
          <w:rFonts w:ascii="仿宋" w:hAnsi="仿宋" w:eastAsia="仿宋"/>
          <w:b/>
          <w:color w:val="000000"/>
          <w:sz w:val="32"/>
          <w:szCs w:val="32"/>
        </w:rPr>
      </w:pPr>
      <w:bookmarkStart w:id="51" w:name="_Toc15377212"/>
      <w:r>
        <w:rPr>
          <w:rFonts w:hint="eastAsia" w:ascii="仿宋" w:hAnsi="仿宋" w:eastAsia="仿宋"/>
          <w:b/>
          <w:color w:val="000000"/>
          <w:sz w:val="32"/>
          <w:szCs w:val="32"/>
        </w:rPr>
        <w:t>（三）一般公共预算财政拨款支出决算具体情况</w:t>
      </w:r>
      <w:bookmarkEnd w:id="51"/>
    </w:p>
    <w:p>
      <w:pPr>
        <w:spacing w:line="600" w:lineRule="exact"/>
        <w:ind w:firstLine="643" w:firstLineChars="200"/>
        <w:outlineLvl w:val="1"/>
        <w:rPr>
          <w:rFonts w:hint="eastAsia" w:ascii="仿宋" w:hAnsi="仿宋" w:eastAsia="仿宋" w:cs="仿宋"/>
          <w:color w:val="FF0000"/>
          <w:sz w:val="32"/>
          <w:szCs w:val="32"/>
        </w:rPr>
      </w:pPr>
      <w:bookmarkStart w:id="52" w:name="_Toc15377213"/>
      <w:bookmarkStart w:id="53" w:name="_Toc9371"/>
      <w:bookmarkStart w:id="54" w:name="_Toc15377444"/>
      <w:bookmarkStart w:id="55" w:name="_Toc18179"/>
      <w:bookmarkStart w:id="56" w:name="_Toc15378460"/>
      <w:bookmarkStart w:id="57" w:name="_Toc25532"/>
      <w:r>
        <w:rPr>
          <w:rFonts w:hint="eastAsia" w:ascii="仿宋" w:hAnsi="仿宋" w:eastAsia="仿宋" w:cs="仿宋"/>
          <w:b/>
          <w:color w:val="000000" w:themeColor="text1"/>
          <w:sz w:val="32"/>
          <w:szCs w:val="32"/>
          <w:lang w:val="en-US" w:eastAsia="zh-CN"/>
          <w14:textFill>
            <w14:solidFill>
              <w14:schemeClr w14:val="tx1"/>
            </w14:solidFill>
          </w14:textFill>
        </w:rPr>
        <w:t>2021</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s="仿宋"/>
          <w:b/>
          <w:color w:val="000000" w:themeColor="text1"/>
          <w:sz w:val="32"/>
          <w:szCs w:val="32"/>
          <w:lang w:val="en-US" w:eastAsia="zh-CN"/>
          <w14:textFill>
            <w14:solidFill>
              <w14:schemeClr w14:val="tx1"/>
            </w14:solidFill>
          </w14:textFill>
        </w:rPr>
        <w:t>519.83万元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52"/>
      <w:bookmarkEnd w:id="53"/>
      <w:bookmarkEnd w:id="54"/>
      <w:bookmarkEnd w:id="55"/>
      <w:bookmarkEnd w:id="56"/>
      <w:bookmarkEnd w:id="57"/>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教育支出</w:t>
      </w:r>
      <w:r>
        <w:rPr>
          <w:rFonts w:hint="eastAsia" w:ascii="仿宋" w:hAnsi="仿宋" w:eastAsia="仿宋"/>
          <w:b/>
          <w:bCs/>
          <w:color w:val="000000"/>
          <w:sz w:val="32"/>
          <w:szCs w:val="32"/>
          <w:lang w:val="en-US" w:eastAsia="zh-CN"/>
        </w:rPr>
        <w:t>205：支出决算为417.09万元，完成预算100%。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干部教育</w:t>
      </w:r>
      <w:r>
        <w:rPr>
          <w:rFonts w:hint="eastAsia" w:ascii="仿宋" w:hAnsi="仿宋" w:eastAsia="仿宋"/>
          <w:color w:val="000000"/>
          <w:sz w:val="32"/>
          <w:szCs w:val="32"/>
          <w:lang w:val="en-US" w:eastAsia="zh-CN"/>
        </w:rPr>
        <w:t>2050802</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417.09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2.社会保障和就业支出208：支出决算为56.43万元，完成预算100%。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（1）社会保障和就业支出 事业单位离退休2080502：支出决算为2.69万元，完成预算100%。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行机关事业单位基本养老保险缴费支出2080505：支出决算为：35.83万元，完成预算100%。</w:t>
      </w:r>
    </w:p>
    <w:p>
      <w:pPr>
        <w:spacing w:line="600"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机关事业单位职业年金缴费支出2080506：支出决算为17.91万元，完成预算100%。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3.卫生健康支出210：支出决算为22.22万元，完成预算100%。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行政单位医疗2101101：支出决算为7.54万元，完成预算100%。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（2）卫生健康支出 事业单位医疗2101103：支出决算为9.05万元，完成预算100%。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（3）卫生健康支出 公务员医疗补助2101103：支出决算为2.27万元，完成预算100%。</w:t>
      </w:r>
    </w:p>
    <w:p>
      <w:pPr>
        <w:spacing w:line="600" w:lineRule="exact"/>
        <w:ind w:firstLine="640" w:firstLineChars="200"/>
        <w:rPr>
          <w:rFonts w:hint="eastAsia"/>
          <w:lang w:val="en-US" w:eastAsia="zh-CN"/>
        </w:rPr>
      </w:pPr>
      <w:r>
        <w:rPr>
          <w:rFonts w:hint="eastAsia" w:ascii="仿宋" w:hAnsi="仿宋" w:eastAsia="仿宋"/>
          <w:color w:val="000000"/>
          <w:sz w:val="32"/>
          <w:szCs w:val="32"/>
          <w:lang w:val="en-US" w:eastAsia="zh-CN"/>
        </w:rPr>
        <w:t>（4）卫生健康支出   其他行政事业单位医疗支出2101199：支出决算为3.37万元，完成预算100%。</w:t>
      </w:r>
    </w:p>
    <w:p>
      <w:pPr>
        <w:spacing w:line="600" w:lineRule="exact"/>
        <w:ind w:firstLine="643" w:firstLineChars="200"/>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4.城乡社区支出212：支出决算4.92万元，完成预算100%。</w:t>
      </w:r>
    </w:p>
    <w:p>
      <w:pPr>
        <w:pStyle w:val="7"/>
        <w:rPr>
          <w:rFonts w:hint="default"/>
          <w:b w:val="0"/>
          <w:bCs w:val="0"/>
          <w:lang w:val="en-US" w:eastAsia="zh-CN"/>
        </w:rPr>
      </w:pPr>
      <w:r>
        <w:rPr>
          <w:rFonts w:hint="eastAsia" w:ascii="仿宋" w:hAnsi="仿宋" w:eastAsia="仿宋"/>
          <w:b/>
          <w:bCs/>
          <w:color w:val="000000"/>
          <w:sz w:val="32"/>
          <w:szCs w:val="32"/>
          <w:lang w:val="en-US" w:eastAsia="zh-CN"/>
        </w:rPr>
        <w:t xml:space="preserve">    </w:t>
      </w:r>
      <w:r>
        <w:rPr>
          <w:rFonts w:hint="eastAsia" w:ascii="仿宋" w:hAnsi="仿宋" w:eastAsia="仿宋"/>
          <w:b w:val="0"/>
          <w:bCs w:val="0"/>
          <w:color w:val="000000"/>
          <w:sz w:val="32"/>
          <w:szCs w:val="32"/>
          <w:lang w:val="en-US" w:eastAsia="zh-CN"/>
        </w:rPr>
        <w:t>（1）城乡社区支出 城乡社区环境卫生 城乡社区环境卫生212 05 01：支出决算为4.92万元，完成预算100%。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5.住房保障支出221：支出决算为49.67万元，完成预算100%。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住房改革支出住房公积金2210201：支出决算为33.16万元，完成预算100%。</w:t>
      </w:r>
    </w:p>
    <w:p>
      <w:pPr>
        <w:tabs>
          <w:tab w:val="right" w:pos="8306"/>
        </w:tabs>
        <w:spacing w:line="600" w:lineRule="exact"/>
        <w:ind w:firstLine="640"/>
        <w:outlineLvl w:val="1"/>
        <w:rPr>
          <w:rStyle w:val="31"/>
        </w:rPr>
      </w:pPr>
      <w:bookmarkStart w:id="58" w:name="_Toc15396608"/>
      <w:bookmarkStart w:id="59" w:name="_Toc29344"/>
      <w:bookmarkStart w:id="60" w:name="_Toc15377214"/>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8"/>
      <w:bookmarkEnd w:id="59"/>
      <w:bookmarkEnd w:id="60"/>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490.50</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人员经费472.29</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89.10万元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188.70万元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3.43万元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41.24万元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35.83万元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17.91万元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16.59</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5.63万元、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4.38万元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33.16万元、医疗费1.74万元，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34.57万元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18.21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6.51万元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2.44万元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2.46万元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1.40万元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0.19万元、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1.71万元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61" w:name="_Toc28396"/>
      <w:bookmarkStart w:id="62" w:name="_Toc15396609"/>
      <w:bookmarkStart w:id="63" w:name="_Toc15377215"/>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61"/>
      <w:bookmarkEnd w:id="62"/>
      <w:bookmarkEnd w:id="63"/>
    </w:p>
    <w:p>
      <w:pPr>
        <w:spacing w:line="600" w:lineRule="exact"/>
        <w:ind w:firstLine="640"/>
        <w:outlineLvl w:val="2"/>
        <w:rPr>
          <w:rFonts w:ascii="仿宋" w:hAnsi="仿宋" w:eastAsia="仿宋"/>
          <w:b/>
          <w:color w:val="000000"/>
          <w:sz w:val="32"/>
          <w:szCs w:val="32"/>
        </w:rPr>
      </w:pPr>
      <w:bookmarkStart w:id="64" w:name="_Toc15377216"/>
      <w:r>
        <w:rPr>
          <w:rFonts w:hint="eastAsia" w:ascii="仿宋" w:hAnsi="仿宋" w:eastAsia="仿宋"/>
          <w:b/>
          <w:color w:val="000000"/>
          <w:sz w:val="32"/>
          <w:szCs w:val="32"/>
        </w:rPr>
        <w:t>（一）“三公”经费财政拨款支出决算总体情况说明</w:t>
      </w:r>
      <w:bookmarkEnd w:id="6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1.90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5" w:name="_Toc15377217"/>
      <w:r>
        <w:rPr>
          <w:rFonts w:hint="eastAsia" w:ascii="仿宋" w:hAnsi="仿宋" w:eastAsia="仿宋"/>
          <w:b/>
          <w:color w:val="000000"/>
          <w:sz w:val="32"/>
          <w:szCs w:val="32"/>
        </w:rPr>
        <w:t>（二）“三公”经费财政拨款支出决算具体情况说明</w:t>
      </w:r>
      <w:bookmarkEnd w:id="6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0"/>
        <w:rPr>
          <w:rFonts w:hint="eastAsia" w:eastAsia="宋体"/>
          <w:lang w:eastAsia="zh-CN"/>
        </w:rPr>
      </w:pPr>
      <w:r>
        <w:rPr>
          <w:rFonts w:hint="eastAsia" w:eastAsia="宋体"/>
          <w:lang w:eastAsia="zh-CN"/>
        </w:rPr>
        <w:drawing>
          <wp:inline distT="0" distB="0" distL="114300" distR="114300">
            <wp:extent cx="4126865" cy="2150110"/>
            <wp:effectExtent l="5080" t="4445" r="8255"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1"/>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1.71</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增加，因维修公车。</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1.71</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0.19</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人次（包括陪同人员）。</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66" w:name="_Toc15396610"/>
      <w:bookmarkStart w:id="67" w:name="_Toc15377218"/>
    </w:p>
    <w:p>
      <w:pPr>
        <w:spacing w:line="600" w:lineRule="exact"/>
        <w:ind w:firstLine="640"/>
        <w:outlineLvl w:val="1"/>
        <w:rPr>
          <w:rStyle w:val="31"/>
          <w:rFonts w:ascii="黑体" w:hAnsi="黑体" w:eastAsia="黑体"/>
        </w:rPr>
      </w:pPr>
      <w:bookmarkStart w:id="68" w:name="_Toc25681"/>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66"/>
      <w:bookmarkEnd w:id="67"/>
      <w:bookmarkEnd w:id="6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31"/>
          <w:rFonts w:ascii="黑体" w:hAnsi="黑体" w:eastAsia="黑体"/>
          <w:b w:val="0"/>
        </w:rPr>
      </w:pPr>
      <w:bookmarkStart w:id="69" w:name="_Toc21941"/>
      <w:bookmarkStart w:id="70" w:name="_Toc15377219"/>
      <w:bookmarkStart w:id="71" w:name="_Toc15396611"/>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69"/>
      <w:bookmarkEnd w:id="70"/>
      <w:bookmarkEnd w:id="71"/>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72" w:name="_Toc15377221"/>
      <w:bookmarkStart w:id="73" w:name="_Toc15396612"/>
      <w:bookmarkStart w:id="74" w:name="_Toc7039"/>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72"/>
      <w:bookmarkEnd w:id="73"/>
      <w:bookmarkEnd w:id="74"/>
    </w:p>
    <w:p>
      <w:pPr>
        <w:spacing w:line="600" w:lineRule="exact"/>
        <w:ind w:firstLine="643" w:firstLineChars="200"/>
        <w:outlineLvl w:val="2"/>
        <w:rPr>
          <w:rFonts w:ascii="仿宋" w:hAnsi="仿宋" w:eastAsia="仿宋"/>
          <w:color w:val="000000"/>
          <w:sz w:val="32"/>
          <w:szCs w:val="32"/>
        </w:rPr>
      </w:pPr>
      <w:bookmarkStart w:id="75" w:name="_Toc15377222"/>
      <w:r>
        <w:rPr>
          <w:rFonts w:hint="eastAsia" w:ascii="仿宋" w:hAnsi="仿宋" w:eastAsia="仿宋"/>
          <w:b/>
          <w:color w:val="000000"/>
          <w:sz w:val="32"/>
          <w:szCs w:val="32"/>
        </w:rPr>
        <w:t>（一）机关运行经费支出情况</w:t>
      </w:r>
      <w:bookmarkEnd w:id="75"/>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themeColor="text1"/>
          <w:sz w:val="32"/>
          <w:szCs w:val="32"/>
          <w:lang w:val="en-US" w:eastAsia="zh-CN"/>
          <w14:textFill>
            <w14:solidFill>
              <w14:schemeClr w14:val="tx1"/>
            </w14:solidFill>
          </w14:textFill>
        </w:rPr>
        <w:t>红原县委员会党校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1.71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2020年增加</w:t>
      </w:r>
      <w:r>
        <w:rPr>
          <w:rFonts w:hint="eastAsia" w:ascii="仿宋_GB2312" w:eastAsia="仿宋_GB2312"/>
          <w:color w:val="000000"/>
          <w:sz w:val="32"/>
          <w:szCs w:val="32"/>
          <w:lang w:eastAsia="zh-CN"/>
        </w:rPr>
        <w:t>。</w:t>
      </w:r>
      <w:bookmarkStart w:id="120" w:name="_GoBack"/>
      <w:bookmarkEnd w:id="120"/>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3"/>
      <w:r>
        <w:rPr>
          <w:rFonts w:hint="eastAsia" w:ascii="仿宋" w:hAnsi="仿宋" w:eastAsia="仿宋"/>
          <w:b/>
          <w:color w:val="000000"/>
          <w:sz w:val="32"/>
          <w:szCs w:val="32"/>
        </w:rPr>
        <w:t>（二）政府采购支出情况</w:t>
      </w:r>
      <w:bookmarkEnd w:id="76"/>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themeColor="text1"/>
          <w:sz w:val="32"/>
          <w:szCs w:val="32"/>
          <w:lang w:val="en-US" w:eastAsia="zh-CN"/>
          <w14:textFill>
            <w14:solidFill>
              <w14:schemeClr w14:val="tx1"/>
            </w14:solidFill>
          </w14:textFill>
        </w:rPr>
        <w:t>红原县委员会党校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7" w:name="_Toc15377224"/>
      <w:r>
        <w:rPr>
          <w:rFonts w:hint="eastAsia" w:ascii="仿宋" w:hAnsi="仿宋" w:eastAsia="仿宋"/>
          <w:b/>
          <w:color w:val="000000"/>
          <w:sz w:val="32"/>
          <w:szCs w:val="32"/>
        </w:rPr>
        <w:t>（三）国有资产占有使用情况</w:t>
      </w:r>
      <w:bookmarkEnd w:id="77"/>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lang w:val="en-US" w:eastAsia="zh-CN"/>
          <w14:textFill>
            <w14:solidFill>
              <w14:schemeClr w14:val="tx1"/>
            </w14:solidFill>
          </w14:textFill>
        </w:rPr>
        <w:t>红原县委员会党校</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红原县委党校建设项目等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pPr>
        <w:numPr>
          <w:ilvl w:val="0"/>
          <w:numId w:val="0"/>
        </w:numPr>
        <w:spacing w:line="580" w:lineRule="exact"/>
        <w:ind w:firstLine="640" w:firstLineChars="200"/>
        <w:rPr>
          <w:rFonts w:hint="eastAsia"/>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教师节慰问金、红原县委党校建设项目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widowControl/>
        <w:jc w:val="left"/>
        <w:textAlignment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（1）</w:t>
      </w:r>
      <w:r>
        <w:rPr>
          <w:rFonts w:hint="eastAsia" w:ascii="仿宋_GB2312" w:hAnsi="仿宋_GB2312" w:eastAsia="仿宋_GB2312" w:cs="仿宋_GB2312"/>
          <w:sz w:val="32"/>
          <w:szCs w:val="32"/>
          <w:lang w:eastAsia="zh-CN"/>
        </w:rPr>
        <w:t>红原县委党校建设项目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15.9987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是改善</w:t>
      </w:r>
      <w:r>
        <w:rPr>
          <w:rFonts w:hint="eastAsia" w:ascii="仿宋_GB2312" w:hAnsi="仿宋_GB2312" w:eastAsia="仿宋_GB2312" w:cs="仿宋_GB2312"/>
          <w:sz w:val="32"/>
          <w:szCs w:val="32"/>
          <w:lang w:eastAsia="zh-CN"/>
        </w:rPr>
        <w:t>提升县级党校办学质量，让广大基层党员干部享受到更丰富、更高质量的培训“大餐”</w:t>
      </w:r>
      <w:r>
        <w:rPr>
          <w:rFonts w:hint="eastAsia" w:ascii="仿宋_GB2312" w:hAnsi="仿宋_GB2312" w:eastAsia="仿宋_GB2312" w:cs="仿宋_GB2312"/>
          <w:sz w:val="32"/>
          <w:szCs w:val="32"/>
          <w:lang w:val="en-US" w:eastAsia="zh-CN"/>
        </w:rPr>
        <w:t>。</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红原县委党校建设项目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中共</w:t>
            </w:r>
            <w:r>
              <w:rPr>
                <w:rFonts w:hint="eastAsia" w:ascii="宋体" w:hAnsi="宋体" w:cs="宋体"/>
                <w:b/>
                <w:color w:val="000000"/>
                <w:sz w:val="24"/>
              </w:rPr>
              <w:t>红原县</w:t>
            </w:r>
            <w:r>
              <w:rPr>
                <w:rFonts w:hint="eastAsia" w:ascii="宋体" w:hAnsi="宋体" w:cs="宋体"/>
                <w:b/>
                <w:color w:val="000000"/>
                <w:sz w:val="24"/>
                <w:lang w:val="en-US" w:eastAsia="zh-CN"/>
              </w:rPr>
              <w:t>委员会党校</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160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15.9987</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160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15.9987</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是改善提升县级党校办学质量，让广大基层党员干部享受到更丰富、更高质量的培训“大餐”</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是改善提升县级党校办学质量，让广大基层党员干部享受到更丰富、更高质量的培训“大餐”</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cs="宋体"/>
                <w:color w:val="000000"/>
                <w:kern w:val="0"/>
                <w:sz w:val="20"/>
                <w:szCs w:val="20"/>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是改善提升县级党校办学质量，让广大基层党员干部享受到更丰富、更高质量的培训“大餐”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是改善提升县级党校办学质量，让广大基层党员干部享受到更丰富、更高质量的培训“大餐”</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是改善提升县级党校办学质量，让广大基层党员干部享受到更丰富、更高质量的培训“大餐”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是改善提升县级党校办学质量，让广大基层党员干部享受到更丰富、更高质量的培训“大餐”</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0"/>
        <w:rPr>
          <w:rFonts w:hint="eastAsia"/>
          <w:lang w:val="en-US" w:eastAsia="zh-CN"/>
        </w:rPr>
      </w:pP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红原县委员会党校2021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教师节慰问金、红原县委党校建设项目</w:t>
      </w:r>
      <w:r>
        <w:rPr>
          <w:rFonts w:hint="eastAsia" w:ascii="仿宋_GB2312" w:hAnsi="仿宋_GB2312" w:eastAsia="仿宋_GB2312" w:cs="仿宋_GB2312"/>
          <w:sz w:val="32"/>
          <w:szCs w:val="32"/>
        </w:rPr>
        <w:t>开展了</w:t>
      </w:r>
      <w:r>
        <w:rPr>
          <w:rFonts w:hint="eastAsia" w:ascii="仿宋_GB2312" w:hAnsi="仿宋_GB2312" w:eastAsia="仿宋_GB2312" w:cs="仿宋_GB2312"/>
          <w:w w:val="95"/>
          <w:sz w:val="32"/>
          <w:szCs w:val="32"/>
        </w:rPr>
        <w:t>绩效评价，《</w:t>
      </w:r>
      <w:r>
        <w:rPr>
          <w:rFonts w:hint="eastAsia" w:ascii="仿宋_GB2312" w:hAnsi="仿宋_GB2312" w:eastAsia="仿宋_GB2312" w:cs="仿宋_GB2312"/>
          <w:sz w:val="32"/>
          <w:szCs w:val="32"/>
          <w:lang w:val="en-US" w:eastAsia="zh-CN"/>
        </w:rPr>
        <w:t>红原县委员会党校</w:t>
      </w:r>
      <w:r>
        <w:rPr>
          <w:rFonts w:hint="eastAsia" w:ascii="仿宋_GB2312" w:hAnsi="仿宋_GB2312" w:eastAsia="仿宋_GB2312" w:cs="仿宋_GB2312"/>
          <w:w w:val="95"/>
          <w:sz w:val="32"/>
          <w:szCs w:val="32"/>
          <w:lang w:val="en-US" w:eastAsia="zh-CN"/>
        </w:rPr>
        <w:t>2021</w:t>
      </w:r>
      <w:r>
        <w:rPr>
          <w:rFonts w:hint="eastAsia" w:ascii="仿宋_GB2312" w:hAnsi="仿宋_GB2312" w:eastAsia="仿宋_GB2312" w:cs="仿宋_GB2312"/>
          <w:w w:val="95"/>
          <w:sz w:val="32"/>
          <w:szCs w:val="32"/>
        </w:rPr>
        <w:t>年绩效评价报告》见附件（附</w:t>
      </w:r>
      <w:r>
        <w:rPr>
          <w:rFonts w:hint="eastAsia" w:ascii="仿宋_GB2312" w:hAnsi="仿宋_GB2312" w:eastAsia="仿宋_GB2312" w:cs="仿宋_GB2312"/>
          <w:sz w:val="32"/>
          <w:szCs w:val="32"/>
        </w:rPr>
        <w:t>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Style w:val="30"/>
          <w:rFonts w:ascii="黑体" w:hAnsi="黑体" w:eastAsia="黑体"/>
          <w:b w:val="0"/>
        </w:rPr>
      </w:pPr>
      <w:bookmarkStart w:id="78" w:name="_Toc15377225"/>
      <w:bookmarkStart w:id="79" w:name="_Toc15396613"/>
      <w:bookmarkStart w:id="80" w:name="_Toc4146"/>
      <w:r>
        <w:rPr>
          <w:rFonts w:hint="eastAsia" w:ascii="黑体" w:hAnsi="黑体" w:eastAsia="黑体"/>
          <w:color w:val="000000"/>
          <w:sz w:val="44"/>
          <w:szCs w:val="44"/>
        </w:rPr>
        <w:t>名</w:t>
      </w:r>
      <w:r>
        <w:rPr>
          <w:rStyle w:val="30"/>
          <w:rFonts w:hint="eastAsia" w:ascii="黑体" w:hAnsi="黑体" w:eastAsia="黑体"/>
          <w:b w:val="0"/>
        </w:rPr>
        <w:t>词解释</w:t>
      </w:r>
      <w:bookmarkEnd w:id="78"/>
      <w:bookmarkEnd w:id="79"/>
      <w:bookmarkEnd w:id="80"/>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81"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82" w:name="_Toc15396614"/>
      <w:bookmarkStart w:id="83" w:name="_Toc25617"/>
      <w:r>
        <w:rPr>
          <w:rFonts w:hint="eastAsia" w:ascii="黑体" w:hAnsi="黑体" w:eastAsia="黑体"/>
          <w:color w:val="000000"/>
          <w:sz w:val="44"/>
          <w:szCs w:val="44"/>
        </w:rPr>
        <w:t>第</w:t>
      </w:r>
      <w:r>
        <w:rPr>
          <w:rStyle w:val="30"/>
          <w:rFonts w:hint="eastAsia" w:ascii="黑体" w:hAnsi="黑体" w:eastAsia="黑体"/>
          <w:b w:val="0"/>
        </w:rPr>
        <w:t>四部分 附件</w:t>
      </w:r>
      <w:bookmarkEnd w:id="82"/>
      <w:bookmarkEnd w:id="83"/>
    </w:p>
    <w:p>
      <w:pPr>
        <w:spacing w:line="600" w:lineRule="exact"/>
        <w:jc w:val="left"/>
        <w:outlineLvl w:val="1"/>
        <w:rPr>
          <w:rFonts w:ascii="方正小标宋简体" w:hAnsi="方正小标宋简体" w:eastAsia="方正小标宋简体" w:cs="方正小标宋简体"/>
          <w:sz w:val="32"/>
          <w:szCs w:val="32"/>
        </w:rPr>
      </w:pPr>
      <w:bookmarkStart w:id="84" w:name="_Toc1538"/>
      <w:r>
        <w:rPr>
          <w:rFonts w:hint="eastAsia" w:ascii="黑体" w:hAnsi="黑体" w:eastAsia="黑体" w:cs="黑体"/>
          <w:sz w:val="32"/>
          <w:szCs w:val="32"/>
        </w:rPr>
        <w:t>附件1</w:t>
      </w:r>
      <w:bookmarkEnd w:id="84"/>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kinsoku/>
        <w:wordWrap/>
        <w:overflowPunct/>
        <w:topLinePunct w:val="0"/>
        <w:autoSpaceDE/>
        <w:autoSpaceDN/>
        <w:bidi w:val="0"/>
        <w:spacing w:line="500" w:lineRule="exact"/>
        <w:jc w:val="center"/>
        <w:textAlignment w:val="auto"/>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eastAsia="zh-CN"/>
        </w:rPr>
        <w:t>红原县</w:t>
      </w:r>
      <w:r>
        <w:rPr>
          <w:rFonts w:hint="eastAsia" w:ascii="方正小标宋简体" w:hAnsi="宋体" w:eastAsia="方正小标宋简体"/>
          <w:sz w:val="44"/>
          <w:szCs w:val="44"/>
          <w:lang w:val="en-US" w:eastAsia="zh-CN"/>
        </w:rPr>
        <w:t>中共委员会党校</w:t>
      </w:r>
    </w:p>
    <w:p>
      <w:pPr>
        <w:keepNext w:val="0"/>
        <w:keepLines w:val="0"/>
        <w:pageBreakBefore w:val="0"/>
        <w:widowControl/>
        <w:kinsoku/>
        <w:wordWrap/>
        <w:overflowPunct/>
        <w:topLinePunct w:val="0"/>
        <w:autoSpaceDE/>
        <w:autoSpaceDN/>
        <w:bidi w:val="0"/>
        <w:spacing w:line="500" w:lineRule="exact"/>
        <w:jc w:val="center"/>
        <w:textAlignment w:val="auto"/>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w:t>
      </w:r>
      <w:r>
        <w:rPr>
          <w:rFonts w:hint="eastAsia" w:ascii="方正小标宋简体" w:hAnsi="宋体" w:eastAsia="方正小标宋简体"/>
          <w:sz w:val="44"/>
          <w:szCs w:val="44"/>
          <w:lang w:val="en-US" w:eastAsia="zh-CN"/>
        </w:rPr>
        <w:t>1</w:t>
      </w:r>
      <w:r>
        <w:rPr>
          <w:rFonts w:hint="eastAsia" w:ascii="方正小标宋简体" w:hAnsi="宋体" w:eastAsia="方正小标宋简体"/>
          <w:sz w:val="44"/>
          <w:szCs w:val="44"/>
        </w:rPr>
        <w:t>年部门</w:t>
      </w:r>
      <w:r>
        <w:rPr>
          <w:rFonts w:hint="eastAsia" w:ascii="方正小标宋简体" w:hAnsi="宋体" w:eastAsia="方正小标宋简体"/>
          <w:sz w:val="44"/>
          <w:szCs w:val="44"/>
          <w:lang w:eastAsia="zh-CN"/>
        </w:rPr>
        <w:t>整体</w:t>
      </w:r>
      <w:r>
        <w:rPr>
          <w:rFonts w:hint="eastAsia" w:ascii="方正小标宋简体" w:hAnsi="宋体" w:eastAsia="方正小标宋简体"/>
          <w:sz w:val="44"/>
          <w:szCs w:val="44"/>
        </w:rPr>
        <w:t>支出绩效报告</w:t>
      </w:r>
    </w:p>
    <w:p>
      <w:pPr>
        <w:pStyle w:val="10"/>
        <w:keepNext w:val="0"/>
        <w:keepLines w:val="0"/>
        <w:pageBreakBefore w:val="0"/>
        <w:kinsoku/>
        <w:wordWrap/>
        <w:overflowPunct/>
        <w:topLinePunct w:val="0"/>
        <w:autoSpaceDE/>
        <w:autoSpaceDN/>
        <w:bidi w:val="0"/>
        <w:spacing w:line="500" w:lineRule="exact"/>
        <w:ind w:left="0" w:leftChars="0" w:firstLine="0" w:firstLineChars="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color w:val="000000"/>
          <w:kern w:val="0"/>
          <w:lang w:val="zh-CN"/>
        </w:rPr>
      </w:pPr>
      <w:r>
        <w:rPr>
          <w:rFonts w:hint="eastAsia" w:ascii="黑体" w:hAnsi="黑体" w:eastAsia="黑体" w:cs="黑体"/>
          <w:color w:val="000000"/>
          <w:kern w:val="0"/>
        </w:rPr>
        <w:t>一、</w:t>
      </w:r>
      <w:r>
        <w:rPr>
          <w:rFonts w:hint="eastAsia" w:ascii="黑体" w:hAnsi="黑体" w:eastAsia="黑体" w:cs="黑体"/>
          <w:color w:val="000000"/>
          <w:kern w:val="0"/>
          <w:lang w:val="zh-CN"/>
        </w:rPr>
        <w:t>部门（单位）概况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楷体_GB2312" w:cs="Times New Roman"/>
          <w:b/>
          <w:sz w:val="32"/>
          <w:lang w:val="zh-CN"/>
        </w:rPr>
      </w:pPr>
      <w:r>
        <w:rPr>
          <w:rFonts w:hint="default" w:ascii="Times New Roman" w:hAnsi="Times New Roman" w:eastAsia="楷体_GB2312" w:cs="Times New Roman"/>
          <w:b/>
          <w:sz w:val="32"/>
          <w:lang w:val="zh-CN"/>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lang w:val="zh-CN"/>
        </w:rPr>
      </w:pPr>
      <w:r>
        <w:rPr>
          <w:rFonts w:hint="default" w:ascii="Times New Roman" w:hAnsi="Times New Roman" w:eastAsia="仿宋_GB2312" w:cs="Times New Roman"/>
          <w:sz w:val="32"/>
          <w:lang w:val="zh-CN"/>
        </w:rPr>
        <w:t>红原县</w:t>
      </w:r>
      <w:r>
        <w:rPr>
          <w:rFonts w:hint="default" w:ascii="Times New Roman" w:hAnsi="Times New Roman" w:eastAsia="仿宋" w:cs="Times New Roman"/>
          <w:color w:val="000000"/>
          <w:spacing w:val="0"/>
          <w:position w:val="0"/>
          <w:sz w:val="32"/>
          <w:shd w:val="clear" w:fill="auto"/>
        </w:rPr>
        <w:t>中共委员会党校</w:t>
      </w:r>
      <w:r>
        <w:rPr>
          <w:rFonts w:hint="default" w:ascii="Times New Roman" w:hAnsi="Times New Roman" w:eastAsia="仿宋_GB2312" w:cs="Times New Roman"/>
          <w:sz w:val="32"/>
          <w:lang w:val="zh-CN"/>
        </w:rPr>
        <w:t>是行政单位，执行行政单位会计制度，我局下属二级决算单位</w:t>
      </w:r>
      <w:r>
        <w:rPr>
          <w:rFonts w:hint="eastAsia" w:ascii="Times New Roman" w:hAnsi="Times New Roman" w:cs="Times New Roman"/>
          <w:sz w:val="32"/>
          <w:lang w:val="en-US" w:eastAsia="zh-CN"/>
        </w:rPr>
        <w:t>1</w:t>
      </w:r>
      <w:r>
        <w:rPr>
          <w:rFonts w:hint="default" w:ascii="Times New Roman" w:hAnsi="Times New Roman" w:eastAsia="仿宋_GB2312" w:cs="Times New Roman"/>
          <w:sz w:val="32"/>
          <w:lang w:val="zh-CN"/>
        </w:rPr>
        <w:t>个，其中行政单位0个，参照公务员法管理的事业单位</w:t>
      </w:r>
      <w:r>
        <w:rPr>
          <w:rFonts w:hint="eastAsia" w:ascii="Times New Roman" w:hAnsi="Times New Roman" w:cs="Times New Roman"/>
          <w:sz w:val="32"/>
          <w:lang w:val="en-US" w:eastAsia="zh-CN"/>
        </w:rPr>
        <w:t>1</w:t>
      </w:r>
      <w:r>
        <w:rPr>
          <w:rFonts w:hint="default" w:ascii="Times New Roman" w:hAnsi="Times New Roman" w:eastAsia="仿宋_GB2312" w:cs="Times New Roman"/>
          <w:sz w:val="32"/>
          <w:lang w:val="zh-CN"/>
        </w:rPr>
        <w:t xml:space="preserve">个，其他事业单位0个。是独立核算的机构，是独立编报决算的单位。 </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楷体_GB2312" w:cs="Times New Roman"/>
          <w:b/>
          <w:sz w:val="32"/>
          <w:lang w:val="zh-CN"/>
        </w:rPr>
      </w:pPr>
      <w:r>
        <w:rPr>
          <w:rFonts w:hint="default" w:ascii="Times New Roman" w:hAnsi="Times New Roman" w:eastAsia="楷体_GB2312" w:cs="Times New Roman"/>
          <w:b/>
          <w:sz w:val="32"/>
          <w:lang w:val="zh-CN"/>
        </w:rPr>
        <w:t>（二）机构职能。</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000000"/>
          <w:spacing w:val="0"/>
          <w:position w:val="0"/>
          <w:sz w:val="32"/>
          <w:shd w:val="clear" w:fill="auto"/>
        </w:rPr>
      </w:pPr>
      <w:r>
        <w:rPr>
          <w:rFonts w:hint="default" w:ascii="Times New Roman" w:hAnsi="Times New Roman" w:eastAsia="仿宋_GB2312" w:cs="Times New Roman"/>
          <w:color w:val="000000"/>
          <w:spacing w:val="0"/>
          <w:position w:val="0"/>
          <w:sz w:val="32"/>
          <w:shd w:val="clear" w:fill="auto"/>
        </w:rPr>
        <w:t>（一）主要职能。</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auto"/>
          <w:spacing w:val="0"/>
          <w:position w:val="0"/>
          <w:sz w:val="32"/>
          <w:shd w:val="clear" w:fill="auto"/>
        </w:rPr>
      </w:pPr>
      <w:r>
        <w:rPr>
          <w:rFonts w:hint="default" w:ascii="Times New Roman" w:hAnsi="Times New Roman" w:eastAsia="仿宋" w:cs="Times New Roman"/>
          <w:color w:val="auto"/>
          <w:spacing w:val="0"/>
          <w:position w:val="0"/>
          <w:sz w:val="32"/>
          <w:shd w:val="clear" w:fill="auto"/>
        </w:rPr>
        <w:t>根据县编制委员会批准的三定方案中共红原县委员会党校主要职能职责及工作如下；</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auto"/>
          <w:spacing w:val="0"/>
          <w:position w:val="0"/>
          <w:sz w:val="32"/>
          <w:shd w:val="clear" w:fill="auto"/>
        </w:rPr>
      </w:pPr>
      <w:r>
        <w:rPr>
          <w:rFonts w:hint="default" w:ascii="Times New Roman" w:hAnsi="Times New Roman" w:eastAsia="仿宋" w:cs="Times New Roman"/>
          <w:color w:val="auto"/>
          <w:spacing w:val="0"/>
          <w:position w:val="0"/>
          <w:sz w:val="32"/>
          <w:shd w:val="clear" w:fill="auto"/>
        </w:rPr>
        <w:t>1、轮训各级党员领导干部；</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auto"/>
          <w:spacing w:val="0"/>
          <w:position w:val="0"/>
          <w:sz w:val="32"/>
          <w:shd w:val="clear" w:fill="auto"/>
        </w:rPr>
      </w:pPr>
      <w:r>
        <w:rPr>
          <w:rFonts w:hint="default" w:ascii="Times New Roman" w:hAnsi="Times New Roman" w:eastAsia="仿宋" w:cs="Times New Roman"/>
          <w:color w:val="auto"/>
          <w:spacing w:val="0"/>
          <w:position w:val="0"/>
          <w:sz w:val="32"/>
          <w:shd w:val="clear" w:fill="auto"/>
        </w:rPr>
        <w:t>2、培训中青年党员领导干部；</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auto"/>
          <w:spacing w:val="0"/>
          <w:position w:val="0"/>
          <w:sz w:val="32"/>
          <w:shd w:val="clear" w:fill="auto"/>
        </w:rPr>
      </w:pPr>
      <w:r>
        <w:rPr>
          <w:rFonts w:hint="default" w:ascii="Times New Roman" w:hAnsi="Times New Roman" w:eastAsia="仿宋" w:cs="Times New Roman"/>
          <w:color w:val="auto"/>
          <w:spacing w:val="0"/>
          <w:position w:val="0"/>
          <w:sz w:val="32"/>
          <w:shd w:val="clear" w:fill="auto"/>
        </w:rPr>
        <w:t>3、培训意识形态部门的领导干部的理论骨干；</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auto"/>
          <w:spacing w:val="0"/>
          <w:position w:val="0"/>
          <w:sz w:val="32"/>
          <w:shd w:val="clear" w:fill="auto"/>
        </w:rPr>
      </w:pPr>
      <w:r>
        <w:rPr>
          <w:rFonts w:hint="default" w:ascii="Times New Roman" w:hAnsi="Times New Roman" w:eastAsia="仿宋" w:cs="Times New Roman"/>
          <w:color w:val="auto"/>
          <w:spacing w:val="0"/>
          <w:position w:val="0"/>
          <w:sz w:val="32"/>
          <w:shd w:val="clear" w:fill="auto"/>
        </w:rPr>
        <w:t>4、协同组织人事部门，对学员在校期间进行考核和考察；</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auto"/>
          <w:spacing w:val="0"/>
          <w:position w:val="0"/>
          <w:sz w:val="32"/>
          <w:shd w:val="clear" w:fill="auto"/>
        </w:rPr>
      </w:pPr>
      <w:r>
        <w:rPr>
          <w:rFonts w:hint="default" w:ascii="Times New Roman" w:hAnsi="Times New Roman" w:eastAsia="仿宋" w:cs="Times New Roman"/>
          <w:color w:val="auto"/>
          <w:spacing w:val="0"/>
          <w:position w:val="0"/>
          <w:sz w:val="32"/>
          <w:shd w:val="clear" w:fill="auto"/>
        </w:rPr>
        <w:t>5、围绕国际国内出现的新情况、新问题，开展科学研究，当好县委的参谋；</w:t>
      </w:r>
    </w:p>
    <w:p>
      <w:pPr>
        <w:keepNext w:val="0"/>
        <w:keepLines w:val="0"/>
        <w:pageBreakBefore w:val="0"/>
        <w:widowControl w:val="0"/>
        <w:kinsoku/>
        <w:wordWrap/>
        <w:overflowPunct/>
        <w:topLinePunct w:val="0"/>
        <w:autoSpaceDE/>
        <w:autoSpaceDN/>
        <w:bidi w:val="0"/>
        <w:adjustRightInd/>
        <w:spacing w:before="93" w:after="0" w:line="560" w:lineRule="exact"/>
        <w:ind w:left="0" w:right="0" w:firstLine="672"/>
        <w:jc w:val="both"/>
        <w:textAlignment w:val="auto"/>
        <w:rPr>
          <w:rFonts w:hint="default" w:ascii="Times New Roman" w:hAnsi="Times New Roman" w:eastAsia="仿宋" w:cs="Times New Roman"/>
          <w:color w:val="auto"/>
          <w:spacing w:val="0"/>
          <w:position w:val="0"/>
          <w:sz w:val="32"/>
          <w:shd w:val="clear" w:fill="auto"/>
        </w:rPr>
      </w:pPr>
      <w:r>
        <w:rPr>
          <w:rFonts w:hint="default" w:ascii="Times New Roman" w:hAnsi="Times New Roman" w:eastAsia="仿宋" w:cs="Times New Roman"/>
          <w:color w:val="auto"/>
          <w:spacing w:val="0"/>
          <w:position w:val="0"/>
          <w:sz w:val="32"/>
          <w:shd w:val="clear" w:fill="auto"/>
        </w:rPr>
        <w:t>6、宣传马克思列宁主义、毛泽东思想；宣传建设中国特色社会主义理论和党的路线、方针、政策；</w:t>
      </w:r>
    </w:p>
    <w:p>
      <w:pPr>
        <w:keepNext w:val="0"/>
        <w:keepLines w:val="0"/>
        <w:pageBreakBefore w:val="0"/>
        <w:widowControl w:val="0"/>
        <w:kinsoku/>
        <w:wordWrap/>
        <w:overflowPunct/>
        <w:topLinePunct w:val="0"/>
        <w:autoSpaceDE/>
        <w:autoSpaceDN/>
        <w:bidi w:val="0"/>
        <w:adjustRightInd/>
        <w:spacing w:before="0" w:after="0" w:line="560" w:lineRule="exact"/>
        <w:ind w:left="0" w:right="0" w:firstLine="640"/>
        <w:jc w:val="both"/>
        <w:textAlignment w:val="auto"/>
        <w:rPr>
          <w:rFonts w:hint="default" w:ascii="Times New Roman" w:hAnsi="Times New Roman" w:eastAsia="仿宋_GB2312" w:cs="Times New Roman"/>
          <w:color w:val="auto"/>
          <w:spacing w:val="0"/>
          <w:position w:val="0"/>
          <w:sz w:val="32"/>
          <w:shd w:val="clear" w:fill="auto"/>
        </w:rPr>
      </w:pPr>
      <w:r>
        <w:rPr>
          <w:rFonts w:hint="default" w:ascii="Times New Roman" w:hAnsi="Times New Roman" w:eastAsia="仿宋_GB2312" w:cs="Times New Roman"/>
          <w:color w:val="auto"/>
          <w:spacing w:val="0"/>
          <w:position w:val="0"/>
          <w:sz w:val="32"/>
          <w:shd w:val="clear" w:fill="auto"/>
        </w:rPr>
        <w:t>7、服从和服务于党的中心工作，承办县委、县政府临时安排的各类班次。</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（一）部门财政资金收入情况。</w:t>
      </w:r>
    </w:p>
    <w:p>
      <w:pPr>
        <w:pStyle w:val="41"/>
        <w:keepNext w:val="0"/>
        <w:keepLines w:val="0"/>
        <w:pageBreakBefore w:val="0"/>
        <w:widowControl/>
        <w:kinsoku/>
        <w:wordWrap/>
        <w:overflowPunct/>
        <w:topLinePunct w:val="0"/>
        <w:autoSpaceDE/>
        <w:autoSpaceDN/>
        <w:bidi w:val="0"/>
        <w:snapToGrid/>
        <w:spacing w:beforeAutospacing="0" w:afterAutospacing="0" w:line="560" w:lineRule="exact"/>
        <w:ind w:firstLine="624" w:firstLineChars="200"/>
        <w:textAlignment w:val="auto"/>
        <w:rPr>
          <w:rStyle w:val="42"/>
          <w:rFonts w:hint="eastAsia" w:ascii="仿宋_GB2312" w:hAnsi="Calibri" w:eastAsia="仿宋_GB2312"/>
          <w:kern w:val="2"/>
          <w:sz w:val="32"/>
          <w:szCs w:val="32"/>
          <w:lang w:val="zh-CN" w:eastAsia="zh-CN" w:bidi="ar-SA"/>
        </w:rPr>
      </w:pPr>
      <w:r>
        <w:rPr>
          <w:rFonts w:hint="eastAsia" w:eastAsia="仿宋_GB2312"/>
          <w:sz w:val="32"/>
          <w:szCs w:val="32"/>
          <w:lang w:eastAsia="zh-CN"/>
        </w:rPr>
        <w:t>本单位本年度总收入为</w:t>
      </w:r>
      <w:r>
        <w:rPr>
          <w:rFonts w:hint="eastAsia"/>
          <w:sz w:val="32"/>
          <w:szCs w:val="32"/>
          <w:lang w:val="en-US" w:eastAsia="zh-CN"/>
        </w:rPr>
        <w:t>528.91</w:t>
      </w:r>
      <w:r>
        <w:rPr>
          <w:rFonts w:hint="eastAsia" w:eastAsia="仿宋_GB2312"/>
          <w:sz w:val="32"/>
          <w:szCs w:val="32"/>
          <w:lang w:eastAsia="zh-CN"/>
        </w:rPr>
        <w:t>万元。其中：一般公共预算财政拨款收入为</w:t>
      </w:r>
      <w:r>
        <w:rPr>
          <w:rFonts w:hint="eastAsia"/>
          <w:sz w:val="32"/>
          <w:szCs w:val="32"/>
          <w:lang w:val="en-US" w:eastAsia="zh-CN"/>
        </w:rPr>
        <w:t>519.38</w:t>
      </w:r>
      <w:r>
        <w:rPr>
          <w:rFonts w:hint="eastAsia" w:eastAsia="仿宋_GB2312"/>
          <w:sz w:val="32"/>
          <w:szCs w:val="32"/>
          <w:lang w:eastAsia="zh-CN"/>
        </w:rPr>
        <w:t>万元，占比</w:t>
      </w:r>
      <w:r>
        <w:rPr>
          <w:rFonts w:hint="eastAsia"/>
          <w:sz w:val="32"/>
          <w:szCs w:val="32"/>
          <w:lang w:val="en-US" w:eastAsia="zh-CN"/>
        </w:rPr>
        <w:t>98.20</w:t>
      </w:r>
      <w:r>
        <w:rPr>
          <w:rFonts w:hint="eastAsia" w:eastAsia="仿宋_GB2312"/>
          <w:sz w:val="32"/>
          <w:szCs w:val="32"/>
          <w:lang w:eastAsia="zh-CN"/>
        </w:rPr>
        <w:t xml:space="preserve">%；其他收入为 </w:t>
      </w:r>
      <w:r>
        <w:rPr>
          <w:rFonts w:hint="eastAsia"/>
          <w:sz w:val="32"/>
          <w:szCs w:val="32"/>
          <w:lang w:val="en-US" w:eastAsia="zh-CN"/>
        </w:rPr>
        <w:t>9.53</w:t>
      </w:r>
      <w:r>
        <w:rPr>
          <w:rFonts w:hint="eastAsia" w:eastAsia="仿宋_GB2312"/>
          <w:sz w:val="32"/>
          <w:szCs w:val="32"/>
          <w:lang w:eastAsia="zh-CN"/>
        </w:rPr>
        <w:t>万元，占比</w:t>
      </w:r>
      <w:r>
        <w:rPr>
          <w:rFonts w:hint="eastAsia"/>
          <w:sz w:val="32"/>
          <w:szCs w:val="32"/>
          <w:lang w:val="en-US" w:eastAsia="zh-CN"/>
        </w:rPr>
        <w:t>1.8</w:t>
      </w:r>
      <w:r>
        <w:rPr>
          <w:rFonts w:hint="eastAsia" w:eastAsia="仿宋_GB2312"/>
          <w:sz w:val="32"/>
          <w:szCs w:val="32"/>
          <w:lang w:eastAsia="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color w:val="000000"/>
          <w:kern w:val="0"/>
          <w:sz w:val="32"/>
          <w:szCs w:val="24"/>
          <w:lang w:val="en-US" w:eastAsia="zh-CN" w:bidi="ar"/>
        </w:rPr>
      </w:pPr>
      <w:r>
        <w:rPr>
          <w:rFonts w:hint="eastAsia" w:ascii="仿宋_GB2312" w:hAnsi="宋体" w:cs="宋体"/>
          <w:b/>
          <w:bCs/>
          <w:color w:val="000000"/>
          <w:kern w:val="0"/>
          <w:lang w:val="zh-CN"/>
        </w:rPr>
        <w:t>部门财政资金支出情况。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default" w:eastAsia="仿宋_GB2312"/>
          <w:lang w:val="en-US" w:eastAsia="zh-CN"/>
        </w:rPr>
      </w:pPr>
      <w:r>
        <w:rPr>
          <w:rFonts w:hint="default" w:ascii="Times New Roman" w:hAnsi="Times New Roman" w:eastAsia="仿宋_GB2312" w:cs="Times New Roman"/>
          <w:sz w:val="32"/>
          <w:lang w:val="zh-CN"/>
        </w:rPr>
        <w:t>20</w:t>
      </w:r>
      <w:r>
        <w:rPr>
          <w:rFonts w:hint="default" w:ascii="Times New Roman" w:hAnsi="Times New Roman" w:cs="Times New Roman"/>
          <w:sz w:val="32"/>
          <w:lang w:val="en-US" w:eastAsia="zh-CN"/>
        </w:rPr>
        <w:t>2</w:t>
      </w:r>
      <w:r>
        <w:rPr>
          <w:rFonts w:hint="eastAsia" w:ascii="Times New Roman" w:hAnsi="Times New Roman" w:cs="Times New Roman"/>
          <w:sz w:val="32"/>
          <w:lang w:val="en-US" w:eastAsia="zh-CN"/>
        </w:rPr>
        <w:t>1</w:t>
      </w:r>
      <w:r>
        <w:rPr>
          <w:rFonts w:hint="default" w:ascii="Times New Roman" w:hAnsi="Times New Roman" w:eastAsia="仿宋_GB2312" w:cs="Times New Roman"/>
          <w:sz w:val="32"/>
          <w:lang w:val="zh-CN"/>
        </w:rPr>
        <w:t>年支出合计</w:t>
      </w:r>
      <w:r>
        <w:rPr>
          <w:rFonts w:hint="eastAsia" w:ascii="Times New Roman" w:hAnsi="Times New Roman" w:cs="Times New Roman"/>
          <w:sz w:val="32"/>
          <w:lang w:val="en-US" w:eastAsia="zh-CN"/>
        </w:rPr>
        <w:t>528.91</w:t>
      </w:r>
      <w:r>
        <w:rPr>
          <w:rFonts w:hint="default" w:ascii="Times New Roman" w:hAnsi="Times New Roman" w:eastAsia="仿宋_GB2312" w:cs="Times New Roman"/>
          <w:sz w:val="32"/>
          <w:lang w:val="zh-CN"/>
        </w:rPr>
        <w:t>万元，其中：</w:t>
      </w:r>
      <w:r>
        <w:rPr>
          <w:rFonts w:hint="default" w:ascii="Times New Roman" w:hAnsi="Times New Roman" w:cs="Times New Roman"/>
          <w:sz w:val="32"/>
          <w:lang w:val="zh-CN"/>
        </w:rPr>
        <w:t>教育</w:t>
      </w:r>
      <w:r>
        <w:rPr>
          <w:rFonts w:hint="default" w:ascii="Times New Roman" w:hAnsi="Times New Roman" w:eastAsia="仿宋_GB2312" w:cs="Times New Roman"/>
          <w:sz w:val="32"/>
          <w:lang w:val="zh-CN"/>
        </w:rPr>
        <w:t>支出</w:t>
      </w:r>
      <w:r>
        <w:rPr>
          <w:rFonts w:hint="eastAsia" w:ascii="Times New Roman" w:hAnsi="Times New Roman" w:cs="Times New Roman"/>
          <w:sz w:val="32"/>
          <w:lang w:val="en-US" w:eastAsia="zh-CN"/>
        </w:rPr>
        <w:t>417.09</w:t>
      </w:r>
      <w:r>
        <w:rPr>
          <w:rFonts w:hint="default" w:ascii="Times New Roman" w:hAnsi="Times New Roman" w:eastAsia="仿宋_GB2312" w:cs="Times New Roman"/>
          <w:sz w:val="32"/>
          <w:lang w:val="zh-CN"/>
        </w:rPr>
        <w:t>万元，占</w:t>
      </w:r>
      <w:r>
        <w:rPr>
          <w:rFonts w:hint="default" w:ascii="Times New Roman" w:hAnsi="Times New Roman" w:cs="Times New Roman"/>
          <w:sz w:val="32"/>
          <w:lang w:val="en-US" w:eastAsia="zh-CN"/>
        </w:rPr>
        <w:t>7</w:t>
      </w:r>
      <w:r>
        <w:rPr>
          <w:rFonts w:hint="eastAsia" w:ascii="Times New Roman" w:hAnsi="Times New Roman" w:cs="Times New Roman"/>
          <w:sz w:val="32"/>
          <w:lang w:val="en-US" w:eastAsia="zh-CN"/>
        </w:rPr>
        <w:t>8.86</w:t>
      </w:r>
      <w:r>
        <w:rPr>
          <w:rFonts w:hint="default" w:ascii="Times New Roman" w:hAnsi="Times New Roman" w:eastAsia="仿宋_GB2312" w:cs="Times New Roman"/>
          <w:sz w:val="32"/>
          <w:lang w:val="zh-CN"/>
        </w:rPr>
        <w:t>%；社会保障和就业支出</w:t>
      </w:r>
      <w:r>
        <w:rPr>
          <w:rFonts w:hint="eastAsia" w:ascii="Times New Roman" w:hAnsi="Times New Roman" w:cs="Times New Roman"/>
          <w:sz w:val="32"/>
          <w:lang w:val="en-US" w:eastAsia="zh-CN"/>
        </w:rPr>
        <w:t>56.43</w:t>
      </w:r>
      <w:r>
        <w:rPr>
          <w:rFonts w:hint="default" w:ascii="Times New Roman" w:hAnsi="Times New Roman" w:eastAsia="仿宋_GB2312" w:cs="Times New Roman"/>
          <w:sz w:val="32"/>
          <w:lang w:val="zh-CN"/>
        </w:rPr>
        <w:t>万元，</w:t>
      </w:r>
      <w:r>
        <w:rPr>
          <w:rFonts w:hint="eastAsia" w:ascii="Times New Roman" w:hAnsi="Times New Roman" w:cs="Times New Roman"/>
          <w:sz w:val="32"/>
          <w:lang w:val="en-US" w:eastAsia="zh-CN"/>
        </w:rPr>
        <w:t>占</w:t>
      </w:r>
      <w:r>
        <w:rPr>
          <w:rFonts w:hint="default" w:ascii="Times New Roman" w:hAnsi="Times New Roman" w:cs="Times New Roman"/>
          <w:sz w:val="32"/>
          <w:lang w:val="en-US" w:eastAsia="zh-CN"/>
        </w:rPr>
        <w:t>1</w:t>
      </w:r>
      <w:r>
        <w:rPr>
          <w:rFonts w:hint="eastAsia" w:ascii="Times New Roman" w:hAnsi="Times New Roman" w:cs="Times New Roman"/>
          <w:sz w:val="32"/>
          <w:lang w:val="en-US" w:eastAsia="zh-CN"/>
        </w:rPr>
        <w:t>0.67</w:t>
      </w:r>
      <w:r>
        <w:rPr>
          <w:rFonts w:hint="default" w:ascii="Times New Roman" w:hAnsi="Times New Roman" w:eastAsia="仿宋_GB2312" w:cs="Times New Roman"/>
          <w:sz w:val="32"/>
          <w:lang w:val="zh-CN"/>
        </w:rPr>
        <w:t>%；</w:t>
      </w:r>
      <w:r>
        <w:rPr>
          <w:rFonts w:hint="default" w:ascii="Times New Roman" w:hAnsi="Times New Roman" w:cs="Times New Roman"/>
          <w:sz w:val="32"/>
          <w:lang w:val="zh-CN"/>
        </w:rPr>
        <w:t>卫生健康</w:t>
      </w:r>
      <w:r>
        <w:rPr>
          <w:rFonts w:hint="default" w:ascii="Times New Roman" w:hAnsi="Times New Roman" w:eastAsia="仿宋_GB2312" w:cs="Times New Roman"/>
          <w:sz w:val="32"/>
          <w:lang w:val="zh-CN"/>
        </w:rPr>
        <w:t>支出</w:t>
      </w:r>
      <w:r>
        <w:rPr>
          <w:rFonts w:hint="eastAsia" w:ascii="Times New Roman" w:hAnsi="Times New Roman" w:cs="Times New Roman"/>
          <w:sz w:val="32"/>
          <w:lang w:val="en-US" w:eastAsia="zh-CN"/>
        </w:rPr>
        <w:t>22.22</w:t>
      </w:r>
      <w:r>
        <w:rPr>
          <w:rFonts w:hint="default" w:ascii="Times New Roman" w:hAnsi="Times New Roman" w:eastAsia="仿宋_GB2312" w:cs="Times New Roman"/>
          <w:sz w:val="32"/>
          <w:lang w:val="zh-CN"/>
        </w:rPr>
        <w:t>万元，占</w:t>
      </w:r>
      <w:r>
        <w:rPr>
          <w:rFonts w:hint="eastAsia" w:ascii="Times New Roman" w:hAnsi="Times New Roman" w:cs="Times New Roman"/>
          <w:sz w:val="32"/>
          <w:lang w:val="en-US" w:eastAsia="zh-CN"/>
        </w:rPr>
        <w:t>4.20</w:t>
      </w:r>
      <w:r>
        <w:rPr>
          <w:rFonts w:hint="default" w:ascii="Times New Roman" w:hAnsi="Times New Roman" w:eastAsia="仿宋_GB2312" w:cs="Times New Roman"/>
          <w:sz w:val="32"/>
          <w:lang w:val="zh-CN"/>
        </w:rPr>
        <w:t>%；住房保障支出</w:t>
      </w:r>
      <w:r>
        <w:rPr>
          <w:rFonts w:hint="eastAsia" w:ascii="Times New Roman" w:hAnsi="Times New Roman" w:cs="Times New Roman"/>
          <w:sz w:val="32"/>
          <w:lang w:val="en-US" w:eastAsia="zh-CN"/>
        </w:rPr>
        <w:t>33.16</w:t>
      </w:r>
      <w:r>
        <w:rPr>
          <w:rFonts w:hint="default" w:ascii="Times New Roman" w:hAnsi="Times New Roman" w:eastAsia="仿宋_GB2312" w:cs="Times New Roman"/>
          <w:sz w:val="32"/>
          <w:lang w:val="zh-CN"/>
        </w:rPr>
        <w:t>万元，占</w:t>
      </w:r>
      <w:r>
        <w:rPr>
          <w:rFonts w:hint="eastAsia" w:ascii="Times New Roman" w:hAnsi="Times New Roman" w:cs="Times New Roman"/>
          <w:sz w:val="32"/>
          <w:lang w:val="en-US" w:eastAsia="zh-CN"/>
        </w:rPr>
        <w:t>6.29</w:t>
      </w:r>
      <w:r>
        <w:rPr>
          <w:rFonts w:hint="default" w:ascii="Times New Roman" w:hAnsi="Times New Roman" w:eastAsia="仿宋_GB2312" w:cs="Times New Roman"/>
          <w:sz w:val="32"/>
          <w:lang w:val="zh-CN"/>
        </w:rPr>
        <w:t>%</w:t>
      </w:r>
      <w:r>
        <w:rPr>
          <w:rFonts w:hint="eastAsia" w:ascii="Times New Roman" w:hAnsi="Times New Roman" w:cs="Times New Roman"/>
          <w:sz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rPr>
      </w:pPr>
      <w:r>
        <w:rPr>
          <w:rFonts w:hint="eastAsia" w:ascii="黑体" w:hAnsi="宋体" w:eastAsia="黑体" w:cs="宋体"/>
          <w:color w:val="000000"/>
          <w:kern w:val="0"/>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（一）预算编制情况。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rPr>
      </w:pPr>
      <w:r>
        <w:rPr>
          <w:rFonts w:hint="eastAsia" w:ascii="仿宋_GB2312" w:hAnsi="仿宋_GB2312" w:eastAsia="仿宋_GB2312" w:cs="仿宋_GB2312"/>
          <w:sz w:val="32"/>
          <w:szCs w:val="32"/>
        </w:rPr>
        <w:t>我</w:t>
      </w:r>
      <w:r>
        <w:rPr>
          <w:rFonts w:hint="eastAsia" w:ascii="仿宋_GB2312" w:hAnsi="仿宋_GB2312" w:cs="仿宋_GB2312"/>
          <w:sz w:val="32"/>
          <w:szCs w:val="32"/>
          <w:lang w:val="en-US" w:eastAsia="zh-CN"/>
        </w:rPr>
        <w:t>校</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w:t>
      </w:r>
      <w:r>
        <w:rPr>
          <w:rFonts w:hint="eastAsia" w:ascii="仿宋_GB2312" w:hAnsi="仿宋_GB2312" w:cs="仿宋_GB2312"/>
          <w:sz w:val="32"/>
          <w:szCs w:val="32"/>
          <w:lang w:eastAsia="zh-CN"/>
        </w:rPr>
        <w:t>。预算中</w:t>
      </w:r>
      <w:r>
        <w:rPr>
          <w:rFonts w:hint="eastAsia" w:ascii="仿宋_GB2312" w:hAnsi="仿宋_GB2312" w:eastAsia="仿宋_GB2312" w:cs="仿宋_GB2312"/>
          <w:sz w:val="32"/>
          <w:szCs w:val="32"/>
        </w:rPr>
        <w:t>基本支出，是用于保障</w:t>
      </w: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校</w:t>
      </w:r>
      <w:r>
        <w:rPr>
          <w:rFonts w:hint="eastAsia" w:ascii="仿宋_GB2312" w:hAnsi="仿宋_GB2312" w:eastAsia="仿宋_GB2312" w:cs="仿宋_GB2312"/>
          <w:sz w:val="32"/>
          <w:szCs w:val="32"/>
        </w:rPr>
        <w:t>正常运转的日常支出，包括基本工资、津贴补贴等人员经费以及办公费、印刷费、水电费、</w:t>
      </w:r>
      <w:r>
        <w:rPr>
          <w:rFonts w:hint="eastAsia" w:ascii="仿宋_GB2312" w:hAnsi="仿宋_GB2312" w:eastAsia="仿宋_GB2312" w:cs="仿宋_GB2312"/>
          <w:sz w:val="32"/>
          <w:szCs w:val="32"/>
          <w:lang w:eastAsia="zh-CN"/>
        </w:rPr>
        <w:t>培训费、会议费</w:t>
      </w:r>
      <w:r>
        <w:rPr>
          <w:rFonts w:hint="eastAsia" w:ascii="仿宋_GB2312" w:hAnsi="仿宋_GB2312" w:eastAsia="仿宋_GB2312" w:cs="仿宋_GB2312"/>
          <w:sz w:val="32"/>
          <w:szCs w:val="32"/>
        </w:rPr>
        <w:t>等日常公用经</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lang w:val="en-US" w:eastAsia="zh-CN"/>
        </w:rPr>
        <w:t>2021年绩效目标执行率96%以上完成度较好，2021年我</w:t>
      </w:r>
      <w:r>
        <w:rPr>
          <w:rFonts w:hint="eastAsia" w:ascii="仿宋_GB2312" w:hAnsi="仿宋_GB2312" w:cs="仿宋_GB2312"/>
          <w:sz w:val="32"/>
          <w:szCs w:val="32"/>
          <w:lang w:val="en-US" w:eastAsia="zh-CN"/>
        </w:rPr>
        <w:t>校</w:t>
      </w:r>
      <w:r>
        <w:rPr>
          <w:rFonts w:hint="eastAsia" w:ascii="仿宋_GB2312" w:hAnsi="仿宋_GB2312" w:eastAsia="仿宋_GB2312" w:cs="仿宋_GB2312"/>
          <w:sz w:val="32"/>
          <w:szCs w:val="32"/>
          <w:lang w:val="en-US" w:eastAsia="zh-CN"/>
        </w:rPr>
        <w:t>及时公开部门预算</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决算</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绩效报告等，对预算编制进一步细化。</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i w:val="0"/>
          <w:iCs w:val="0"/>
          <w:color w:val="000000"/>
          <w:kern w:val="0"/>
          <w:sz w:val="32"/>
          <w:szCs w:val="32"/>
          <w:lang w:val="zh-CN"/>
        </w:rPr>
      </w:pPr>
      <w:r>
        <w:rPr>
          <w:rFonts w:hint="eastAsia" w:ascii="仿宋_GB2312" w:hAnsi="仿宋_GB2312" w:eastAsia="仿宋_GB2312" w:cs="仿宋_GB2312"/>
          <w:b/>
          <w:bCs/>
          <w:i w:val="0"/>
          <w:iCs w:val="0"/>
          <w:color w:val="000000"/>
          <w:kern w:val="0"/>
          <w:sz w:val="32"/>
          <w:szCs w:val="32"/>
          <w:lang w:val="zh-CN"/>
        </w:rPr>
        <w:t>（二）执行管理情况。</w:t>
      </w:r>
      <w:r>
        <w:rPr>
          <w:rFonts w:hint="eastAsia" w:ascii="仿宋_GB2312" w:hAnsi="仿宋_GB2312" w:eastAsia="仿宋_GB2312" w:cs="仿宋_GB2312"/>
          <w:b/>
          <w:bCs/>
          <w:i w:val="0"/>
          <w:iCs w:val="0"/>
          <w:color w:val="000000"/>
          <w:kern w:val="0"/>
          <w:sz w:val="32"/>
          <w:szCs w:val="32"/>
          <w:lang w:val="zh-CN"/>
        </w:rPr>
        <w:tab/>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lang w:val="zh-CN" w:eastAsia="zh-CN"/>
        </w:rPr>
      </w:pP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校</w:t>
      </w:r>
      <w:r>
        <w:rPr>
          <w:rFonts w:hint="eastAsia" w:ascii="仿宋_GB2312" w:hAnsi="仿宋_GB2312" w:eastAsia="仿宋_GB2312" w:cs="仿宋_GB2312"/>
          <w:sz w:val="32"/>
          <w:szCs w:val="32"/>
        </w:rPr>
        <w:t>预算执行到位，严格按照预算管理进行支付并做到节能降耗，“三公”经费严格按照年初预算执行</w:t>
      </w:r>
      <w:r>
        <w:rPr>
          <w:rFonts w:hint="eastAsia" w:ascii="仿宋_GB2312" w:hAnsi="仿宋_GB2312" w:cs="仿宋_GB2312"/>
          <w:sz w:val="32"/>
          <w:szCs w:val="32"/>
          <w:lang w:eastAsia="zh-CN"/>
        </w:rPr>
        <w:t>，预算数为</w:t>
      </w:r>
      <w:r>
        <w:rPr>
          <w:rFonts w:hint="eastAsia" w:ascii="仿宋_GB2312" w:hAnsi="仿宋_GB2312" w:cs="仿宋_GB2312"/>
          <w:sz w:val="32"/>
          <w:szCs w:val="32"/>
          <w:lang w:val="en-US" w:eastAsia="zh-CN"/>
        </w:rPr>
        <w:t>1.91万元，</w:t>
      </w:r>
      <w:r>
        <w:rPr>
          <w:rFonts w:hint="eastAsia" w:eastAsia="仿宋_GB2312"/>
          <w:sz w:val="32"/>
          <w:szCs w:val="32"/>
          <w:lang w:eastAsia="zh-CN"/>
        </w:rPr>
        <w:t>决算数为</w:t>
      </w:r>
      <w:r>
        <w:rPr>
          <w:rFonts w:hint="eastAsia"/>
          <w:sz w:val="32"/>
          <w:szCs w:val="32"/>
          <w:lang w:val="en-US" w:eastAsia="zh-CN"/>
        </w:rPr>
        <w:t>1.91</w:t>
      </w:r>
      <w:r>
        <w:rPr>
          <w:rFonts w:hint="eastAsia" w:eastAsia="仿宋_GB2312"/>
          <w:sz w:val="32"/>
          <w:szCs w:val="32"/>
          <w:lang w:eastAsia="zh-CN"/>
        </w:rPr>
        <w:t>万元</w:t>
      </w:r>
      <w:r>
        <w:rPr>
          <w:rFonts w:hint="eastAsia"/>
          <w:sz w:val="32"/>
          <w:szCs w:val="32"/>
          <w:lang w:eastAsia="zh-CN"/>
        </w:rPr>
        <w:t>，</w:t>
      </w:r>
      <w:r>
        <w:rPr>
          <w:rFonts w:hint="eastAsia" w:eastAsia="仿宋_GB2312"/>
          <w:sz w:val="32"/>
          <w:szCs w:val="32"/>
          <w:lang w:eastAsia="zh-CN"/>
        </w:rPr>
        <w:t>预算完成度为</w:t>
      </w:r>
      <w:r>
        <w:rPr>
          <w:rFonts w:hint="eastAsia"/>
          <w:sz w:val="32"/>
          <w:szCs w:val="32"/>
          <w:lang w:val="en-US" w:eastAsia="zh-CN"/>
        </w:rPr>
        <w:t>100</w:t>
      </w:r>
      <w:r>
        <w:rPr>
          <w:rFonts w:hint="eastAsia" w:eastAsia="仿宋_GB2312"/>
          <w:sz w:val="32"/>
          <w:szCs w:val="32"/>
          <w:lang w:eastAsia="zh-CN"/>
        </w:rPr>
        <w:t>%</w:t>
      </w:r>
      <w:r>
        <w:rPr>
          <w:rFonts w:hint="eastAsia"/>
          <w:sz w:val="32"/>
          <w:szCs w:val="32"/>
          <w:lang w:eastAsia="zh-CN"/>
        </w:rPr>
        <w:t>，</w:t>
      </w:r>
      <w:r>
        <w:rPr>
          <w:rFonts w:hint="eastAsia" w:eastAsia="仿宋_GB2312"/>
          <w:sz w:val="32"/>
          <w:szCs w:val="32"/>
          <w:lang w:eastAsia="zh-CN"/>
        </w:rPr>
        <w:t>其中:公务用车购置及运行维护费支出决算数为</w:t>
      </w:r>
      <w:r>
        <w:rPr>
          <w:rFonts w:hint="eastAsia"/>
          <w:sz w:val="32"/>
          <w:szCs w:val="32"/>
          <w:lang w:val="en-US" w:eastAsia="zh-CN"/>
        </w:rPr>
        <w:t>1.72</w:t>
      </w:r>
      <w:r>
        <w:rPr>
          <w:rFonts w:hint="eastAsia" w:eastAsia="仿宋_GB2312"/>
          <w:sz w:val="32"/>
          <w:szCs w:val="32"/>
          <w:lang w:eastAsia="zh-CN"/>
        </w:rPr>
        <w:t>万元，相比上年度增加0.4</w:t>
      </w:r>
      <w:r>
        <w:rPr>
          <w:rFonts w:hint="eastAsia"/>
          <w:sz w:val="32"/>
          <w:szCs w:val="32"/>
          <w:lang w:val="en-US" w:eastAsia="zh-CN"/>
        </w:rPr>
        <w:t>1</w:t>
      </w:r>
      <w:r>
        <w:rPr>
          <w:rFonts w:hint="eastAsia" w:eastAsia="仿宋_GB2312"/>
          <w:sz w:val="32"/>
          <w:szCs w:val="32"/>
          <w:lang w:eastAsia="zh-CN"/>
        </w:rPr>
        <w:t>万元，主要原因是</w:t>
      </w:r>
      <w:r>
        <w:rPr>
          <w:rFonts w:hint="eastAsia" w:ascii="Times New Roman" w:hAnsi="Times New Roman" w:eastAsia="仿宋_GB2312" w:cs="Times New Roman"/>
          <w:sz w:val="32"/>
          <w:szCs w:val="32"/>
          <w:lang w:eastAsia="zh-CN"/>
        </w:rPr>
        <w:t>因</w:t>
      </w:r>
      <w:r>
        <w:rPr>
          <w:rFonts w:hint="eastAsia" w:ascii="Times New Roman" w:hAnsi="Times New Roman" w:eastAsia="仿宋_GB2312" w:cs="Times New Roman"/>
          <w:sz w:val="32"/>
          <w:szCs w:val="32"/>
          <w:lang w:val="en-US" w:eastAsia="zh-CN"/>
        </w:rPr>
        <w:t>为我校公务用车车辆维修维护费用增加</w:t>
      </w:r>
      <w:r>
        <w:rPr>
          <w:rFonts w:hint="eastAsia" w:eastAsia="仿宋_GB2312"/>
          <w:sz w:val="32"/>
          <w:szCs w:val="32"/>
          <w:lang w:eastAsia="zh-CN"/>
        </w:rPr>
        <w:t>；公务接待费支出决算数为0.</w:t>
      </w:r>
      <w:r>
        <w:rPr>
          <w:rFonts w:hint="eastAsia"/>
          <w:sz w:val="32"/>
          <w:szCs w:val="32"/>
          <w:lang w:val="en-US" w:eastAsia="zh-CN"/>
        </w:rPr>
        <w:t>19</w:t>
      </w:r>
      <w:r>
        <w:rPr>
          <w:rFonts w:hint="eastAsia" w:eastAsia="仿宋_GB2312"/>
          <w:sz w:val="32"/>
          <w:szCs w:val="32"/>
          <w:lang w:eastAsia="zh-CN"/>
        </w:rPr>
        <w:t>万元，相比上年度</w:t>
      </w:r>
      <w:r>
        <w:rPr>
          <w:rFonts w:hint="eastAsia"/>
          <w:sz w:val="32"/>
          <w:szCs w:val="32"/>
          <w:lang w:val="en-US" w:eastAsia="zh-CN"/>
        </w:rPr>
        <w:t>增加-0.18</w:t>
      </w:r>
      <w:r>
        <w:rPr>
          <w:rFonts w:hint="eastAsia" w:eastAsia="仿宋_GB2312"/>
          <w:sz w:val="32"/>
          <w:szCs w:val="32"/>
          <w:lang w:eastAsia="zh-CN"/>
        </w:rPr>
        <w:t xml:space="preserve">。 </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sz w:val="32"/>
          <w:szCs w:val="32"/>
          <w:lang w:val="zh-CN"/>
        </w:rPr>
      </w:pPr>
      <w:r>
        <w:rPr>
          <w:rFonts w:hint="eastAsia" w:ascii="仿宋_GB2312" w:hAnsi="仿宋_GB2312" w:eastAsia="仿宋_GB2312" w:cs="仿宋_GB2312"/>
          <w:b/>
          <w:bCs/>
          <w:i w:val="0"/>
          <w:iCs w:val="0"/>
          <w:color w:val="000000"/>
          <w:kern w:val="0"/>
          <w:sz w:val="32"/>
          <w:szCs w:val="32"/>
          <w:lang w:val="zh-CN"/>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仿宋_GB2312" w:hAnsi="宋体" w:eastAsia="仿宋_GB2312" w:cs="宋体"/>
          <w:color w:val="000000"/>
          <w:kern w:val="0"/>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43"/>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1.</w:t>
      </w:r>
      <w:r>
        <w:rPr>
          <w:rFonts w:hint="eastAsia" w:ascii="仿宋_GB2312" w:hAnsi="宋体" w:cs="宋体"/>
          <w:sz w:val="32"/>
          <w:szCs w:val="32"/>
        </w:rPr>
        <w:t>资产管理</w:t>
      </w:r>
    </w:p>
    <w:p>
      <w:pPr>
        <w:pStyle w:val="43"/>
        <w:keepNext w:val="0"/>
        <w:keepLines w:val="0"/>
        <w:pageBreakBefore w:val="0"/>
        <w:kinsoku/>
        <w:wordWrap/>
        <w:overflowPunct/>
        <w:topLinePunct w:val="0"/>
        <w:autoSpaceDE/>
        <w:autoSpaceDN/>
        <w:bidi w:val="0"/>
        <w:spacing w:line="560" w:lineRule="exact"/>
        <w:ind w:firstLine="600"/>
        <w:jc w:val="both"/>
        <w:textAlignment w:val="auto"/>
        <w:rPr>
          <w:rFonts w:hint="eastAsia" w:ascii="仿宋_GB2312" w:hAnsi="宋体" w:cs="宋体"/>
          <w:sz w:val="32"/>
          <w:szCs w:val="32"/>
        </w:rPr>
      </w:pPr>
      <w:r>
        <w:rPr>
          <w:rFonts w:hint="eastAsia" w:ascii="仿宋_GB2312" w:hAnsi="宋体" w:cs="宋体"/>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43"/>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2.</w:t>
      </w:r>
      <w:r>
        <w:rPr>
          <w:rFonts w:hint="eastAsia" w:ascii="仿宋_GB2312" w:hAnsi="宋体" w:cs="宋体"/>
          <w:sz w:val="32"/>
          <w:szCs w:val="32"/>
        </w:rPr>
        <w:t>单位内控管理</w:t>
      </w:r>
    </w:p>
    <w:p>
      <w:pPr>
        <w:keepNext w:val="0"/>
        <w:keepLines w:val="0"/>
        <w:pageBreakBefore w:val="0"/>
        <w:kinsoku/>
        <w:wordWrap/>
        <w:overflowPunct/>
        <w:topLinePunct w:val="0"/>
        <w:autoSpaceDE/>
        <w:autoSpaceDN/>
        <w:bidi w:val="0"/>
        <w:spacing w:before="72" w:line="560" w:lineRule="exact"/>
        <w:ind w:firstLine="640"/>
        <w:textAlignment w:val="auto"/>
        <w:rPr>
          <w:rFonts w:hint="eastAsia" w:ascii="仿宋_GB2312" w:eastAsia="仿宋_GB2312"/>
          <w:sz w:val="32"/>
          <w:szCs w:val="32"/>
        </w:rPr>
      </w:pPr>
      <w:r>
        <w:rPr>
          <w:rFonts w:hint="eastAsia" w:ascii="仿宋_GB2312" w:eastAsia="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7"/>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ascii="仿宋_GB2312" w:eastAsia="仿宋_GB2312"/>
          <w:sz w:val="32"/>
          <w:szCs w:val="32"/>
        </w:rPr>
      </w:pPr>
      <w:r>
        <w:rPr>
          <w:rFonts w:hint="eastAsia" w:ascii="仿宋_GB2312"/>
          <w:sz w:val="32"/>
          <w:szCs w:val="32"/>
          <w:lang w:val="en-US" w:eastAsia="zh-CN"/>
        </w:rPr>
        <w:t>3.</w:t>
      </w:r>
      <w:r>
        <w:rPr>
          <w:rFonts w:hint="eastAsia" w:ascii="仿宋_GB2312" w:eastAsia="仿宋_GB2312"/>
          <w:sz w:val="32"/>
          <w:szCs w:val="32"/>
        </w:rPr>
        <w:t>部门预算管理</w:t>
      </w:r>
    </w:p>
    <w:p>
      <w:pPr>
        <w:pStyle w:val="10"/>
        <w:keepNext w:val="0"/>
        <w:keepLines w:val="0"/>
        <w:pageBreakBefore w:val="0"/>
        <w:kinsoku/>
        <w:wordWrap/>
        <w:overflowPunct/>
        <w:topLinePunct w:val="0"/>
        <w:autoSpaceDE/>
        <w:autoSpaceDN/>
        <w:bidi w:val="0"/>
        <w:spacing w:line="560" w:lineRule="exact"/>
        <w:textAlignment w:val="auto"/>
        <w:rPr>
          <w:rFonts w:hint="eastAsia" w:ascii="仿宋_GB2312" w:hAnsi="宋体" w:cs="宋体"/>
          <w:sz w:val="32"/>
          <w:szCs w:val="32"/>
        </w:rPr>
      </w:pPr>
      <w:r>
        <w:rPr>
          <w:rFonts w:hint="eastAsia" w:ascii="仿宋_GB2312" w:eastAsia="仿宋_GB2312"/>
          <w:sz w:val="32"/>
          <w:szCs w:val="32"/>
        </w:rPr>
        <w:t>严格按照综合预算原则。统一编制、统一管理、统筹安排资金，将</w:t>
      </w:r>
      <w:r>
        <w:rPr>
          <w:rFonts w:hint="eastAsia" w:ascii="仿宋_GB2312"/>
          <w:sz w:val="32"/>
          <w:szCs w:val="32"/>
          <w:lang w:val="en-US" w:eastAsia="zh-CN"/>
        </w:rPr>
        <w:t>我校</w:t>
      </w:r>
      <w:r>
        <w:rPr>
          <w:rFonts w:hint="eastAsia" w:ascii="仿宋_GB2312" w:eastAsia="仿宋_GB2312"/>
          <w:sz w:val="32"/>
          <w:szCs w:val="32"/>
        </w:rPr>
        <w:t xml:space="preserve">所有安排的各项支出纳入综合预算，确保预算全面、真实反映单位实际的收支情况，使所有收支活动纳入预算管理与监督的范围。 </w:t>
      </w:r>
      <w:r>
        <w:rPr>
          <w:rFonts w:hint="eastAsia" w:ascii="仿宋_GB2312"/>
          <w:sz w:val="32"/>
          <w:szCs w:val="32"/>
        </w:rPr>
        <w:t xml:space="preserve">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default" w:ascii="楷体" w:hAnsi="楷体" w:eastAsia="楷体" w:cs="宋体"/>
          <w:color w:val="000000"/>
          <w:kern w:val="0"/>
          <w:lang w:val="en-US" w:eastAsia="zh-CN"/>
        </w:rPr>
      </w:pPr>
      <w:r>
        <w:rPr>
          <w:rFonts w:hint="eastAsia" w:ascii="楷体" w:hAnsi="楷体" w:eastAsia="楷体" w:cs="宋体"/>
          <w:color w:val="000000"/>
          <w:kern w:val="0"/>
          <w:sz w:val="32"/>
          <w:szCs w:val="24"/>
          <w:lang w:val="en-US" w:eastAsia="zh-CN" w:bidi="ar"/>
        </w:rPr>
        <w:t>4.</w:t>
      </w:r>
      <w:r>
        <w:rPr>
          <w:rFonts w:hint="eastAsia" w:ascii="楷体" w:hAnsi="楷体" w:eastAsia="楷体" w:cs="宋体"/>
          <w:color w:val="000000"/>
          <w:kern w:val="0"/>
          <w:sz w:val="32"/>
          <w:szCs w:val="24"/>
          <w:lang w:val="zh-CN" w:eastAsia="zh-CN" w:bidi="ar"/>
        </w:rPr>
        <w:t>绩效管理</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lang w:val="zh-CN"/>
        </w:rPr>
      </w:pPr>
      <w:r>
        <w:rPr>
          <w:rFonts w:hint="eastAsia" w:ascii="仿宋_GB2312" w:hAnsi="仿宋_GB2312" w:eastAsia="仿宋_GB2312" w:cs="仿宋_GB2312"/>
          <w:b w:val="0"/>
          <w:bCs w:val="0"/>
          <w:color w:val="000000"/>
          <w:sz w:val="32"/>
          <w:szCs w:val="32"/>
          <w:lang w:val="en-US" w:eastAsia="zh-CN"/>
        </w:rPr>
        <w:t>我</w:t>
      </w:r>
      <w:r>
        <w:rPr>
          <w:rFonts w:hint="eastAsia" w:ascii="仿宋_GB2312" w:hAnsi="仿宋_GB2312" w:cs="仿宋_GB2312"/>
          <w:b w:val="0"/>
          <w:bCs w:val="0"/>
          <w:color w:val="000000"/>
          <w:sz w:val="32"/>
          <w:szCs w:val="32"/>
          <w:lang w:val="en-US" w:eastAsia="zh-CN"/>
        </w:rPr>
        <w:t>校</w:t>
      </w:r>
      <w:r>
        <w:rPr>
          <w:rFonts w:hint="eastAsia" w:ascii="仿宋_GB2312" w:hAnsi="仿宋_GB2312" w:eastAsia="仿宋_GB2312" w:cs="仿宋_GB2312"/>
          <w:b w:val="0"/>
          <w:bCs w:val="0"/>
          <w:color w:val="000000"/>
          <w:sz w:val="32"/>
          <w:szCs w:val="32"/>
          <w:lang w:val="en-US" w:eastAsia="zh-CN"/>
        </w:rPr>
        <w:t>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w:t>
      </w:r>
      <w:r>
        <w:rPr>
          <w:rFonts w:hint="eastAsia" w:ascii="仿宋_GB2312" w:hAnsi="仿宋_GB2312" w:cs="仿宋_GB2312"/>
          <w:b w:val="0"/>
          <w:bCs w:val="0"/>
          <w:color w:val="000000"/>
          <w:sz w:val="32"/>
          <w:szCs w:val="32"/>
          <w:lang w:val="en-US" w:eastAsia="zh-CN"/>
        </w:rPr>
        <w:t>专项办公费、会议费等</w:t>
      </w:r>
      <w:r>
        <w:rPr>
          <w:rFonts w:hint="eastAsia" w:ascii="仿宋_GB2312" w:hAnsi="仿宋_GB2312" w:eastAsia="仿宋_GB2312" w:cs="仿宋_GB2312"/>
          <w:b w:val="0"/>
          <w:bCs w:val="0"/>
          <w:color w:val="000000"/>
          <w:sz w:val="32"/>
          <w:szCs w:val="32"/>
          <w:lang w:val="en-US" w:eastAsia="zh-CN"/>
        </w:rPr>
        <w:t>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部门预算严格按照上级部门预算编制通知和有关要求，结合单位具体工作及县级相关规定编制，按时完成基础、项目报送工作，</w:t>
      </w:r>
      <w:r>
        <w:rPr>
          <w:rFonts w:hint="eastAsia" w:ascii="仿宋_GB2312" w:hAnsi="仿宋_GB2312" w:cs="仿宋_GB2312"/>
          <w:b w:val="0"/>
          <w:bCs w:val="0"/>
          <w:color w:val="000000"/>
          <w:sz w:val="32"/>
          <w:szCs w:val="32"/>
          <w:lang w:val="en-US" w:eastAsia="zh-CN"/>
        </w:rPr>
        <w:t>我校</w:t>
      </w:r>
      <w:r>
        <w:rPr>
          <w:rFonts w:hint="eastAsia" w:ascii="仿宋_GB2312" w:hAnsi="仿宋_GB2312" w:eastAsia="仿宋_GB2312" w:cs="仿宋_GB2312"/>
          <w:b w:val="0"/>
          <w:bCs w:val="0"/>
          <w:color w:val="000000"/>
          <w:sz w:val="32"/>
          <w:szCs w:val="32"/>
          <w:lang w:val="en-US" w:eastAsia="zh-CN"/>
        </w:rPr>
        <w:t>预算按时在</w:t>
      </w:r>
      <w:r>
        <w:rPr>
          <w:rFonts w:hint="eastAsia" w:ascii="仿宋_GB2312" w:hAnsi="仿宋_GB2312" w:cs="仿宋_GB2312"/>
          <w:b w:val="0"/>
          <w:bCs w:val="0"/>
          <w:color w:val="000000"/>
          <w:sz w:val="32"/>
          <w:szCs w:val="32"/>
          <w:lang w:val="en-US" w:eastAsia="zh-CN"/>
        </w:rPr>
        <w:t>红原县门户网站</w:t>
      </w:r>
      <w:r>
        <w:rPr>
          <w:rFonts w:hint="eastAsia" w:ascii="仿宋_GB2312" w:hAnsi="仿宋_GB2312" w:eastAsia="仿宋_GB2312" w:cs="仿宋_GB2312"/>
          <w:b w:val="0"/>
          <w:bCs w:val="0"/>
          <w:color w:val="000000"/>
          <w:sz w:val="32"/>
          <w:szCs w:val="32"/>
          <w:lang w:val="en-US" w:eastAsia="zh-CN"/>
        </w:rPr>
        <w:t>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认真开展部门绩效评价工作，绩效评价规章制度</w:t>
      </w:r>
      <w:r>
        <w:rPr>
          <w:rFonts w:hint="eastAsia" w:ascii="仿宋_GB2312" w:hAnsi="仿宋_GB2312" w:cs="仿宋_GB2312"/>
          <w:b w:val="0"/>
          <w:bCs w:val="0"/>
          <w:color w:val="000000"/>
          <w:sz w:val="32"/>
          <w:szCs w:val="32"/>
          <w:lang w:val="en-US" w:eastAsia="zh-CN"/>
        </w:rPr>
        <w:t>逐渐</w:t>
      </w:r>
      <w:r>
        <w:rPr>
          <w:rFonts w:hint="eastAsia" w:ascii="仿宋_GB2312" w:hAnsi="仿宋_GB2312" w:eastAsia="仿宋_GB2312" w:cs="仿宋_GB2312"/>
          <w:b w:val="0"/>
          <w:bCs w:val="0"/>
          <w:color w:val="000000"/>
          <w:sz w:val="32"/>
          <w:szCs w:val="32"/>
          <w:lang w:val="en-US" w:eastAsia="zh-CN"/>
        </w:rPr>
        <w:t>健全;严格按照相关法律、法规进行会计核算，严格资金管理，专款专用，资金拨付严格按相关程序报批后支付。认真开展</w:t>
      </w:r>
      <w:r>
        <w:rPr>
          <w:rFonts w:hint="eastAsia" w:ascii="仿宋_GB2312" w:hAnsi="仿宋_GB2312" w:cs="仿宋_GB2312"/>
          <w:b w:val="0"/>
          <w:bCs w:val="0"/>
          <w:color w:val="000000"/>
          <w:sz w:val="32"/>
          <w:szCs w:val="32"/>
          <w:lang w:val="en-US" w:eastAsia="zh-CN"/>
        </w:rPr>
        <w:t>部门整体</w:t>
      </w:r>
      <w:r>
        <w:rPr>
          <w:rFonts w:hint="eastAsia" w:ascii="仿宋_GB2312" w:hAnsi="仿宋_GB2312" w:eastAsia="仿宋_GB2312" w:cs="仿宋_GB2312"/>
          <w:b w:val="0"/>
          <w:bCs w:val="0"/>
          <w:color w:val="000000"/>
          <w:sz w:val="32"/>
          <w:szCs w:val="32"/>
          <w:lang w:val="en-US" w:eastAsia="zh-CN"/>
        </w:rPr>
        <w:t>绩效评价工作，绩效评价工作</w:t>
      </w:r>
      <w:r>
        <w:rPr>
          <w:rFonts w:hint="eastAsia" w:ascii="仿宋_GB2312" w:hAnsi="仿宋_GB2312" w:cs="仿宋_GB2312"/>
          <w:b w:val="0"/>
          <w:bCs w:val="0"/>
          <w:color w:val="000000"/>
          <w:sz w:val="32"/>
          <w:szCs w:val="32"/>
          <w:lang w:val="en-US" w:eastAsia="zh-CN"/>
        </w:rPr>
        <w:t>正逐步</w:t>
      </w:r>
      <w:r>
        <w:rPr>
          <w:rFonts w:hint="eastAsia" w:ascii="仿宋_GB2312" w:hAnsi="仿宋_GB2312" w:eastAsia="仿宋_GB2312" w:cs="仿宋_GB2312"/>
          <w:b w:val="0"/>
          <w:bCs w:val="0"/>
          <w:color w:val="000000"/>
          <w:sz w:val="32"/>
          <w:szCs w:val="32"/>
          <w:lang w:val="en-US" w:eastAsia="zh-CN"/>
        </w:rPr>
        <w:t xml:space="preserve">完善。    </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i w:val="0"/>
          <w:iCs w:val="0"/>
          <w:color w:val="000000"/>
          <w:kern w:val="0"/>
          <w:sz w:val="32"/>
          <w:szCs w:val="32"/>
          <w:lang w:val="zh-CN"/>
        </w:rPr>
      </w:pPr>
      <w:r>
        <w:rPr>
          <w:rFonts w:hint="eastAsia" w:ascii="仿宋_GB2312" w:hAnsi="仿宋_GB2312" w:eastAsia="仿宋_GB2312" w:cs="仿宋_GB2312"/>
          <w:b/>
          <w:bCs/>
          <w:i w:val="0"/>
          <w:iCs w:val="0"/>
          <w:color w:val="000000"/>
          <w:kern w:val="0"/>
          <w:sz w:val="32"/>
          <w:szCs w:val="32"/>
          <w:lang w:val="zh-CN"/>
        </w:rPr>
        <w:t>（四）整体绩效。</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绩效目标是预算编制的前提和基础，按照“费随事定”的原则，202</w:t>
      </w:r>
      <w:r>
        <w:rPr>
          <w:rFonts w:hint="eastAsia" w:ascii="仿宋_GB2312" w:hAnsi="Times New Roman"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年我</w:t>
      </w:r>
      <w:r>
        <w:rPr>
          <w:rFonts w:hint="eastAsia" w:ascii="仿宋_GB2312" w:hAnsi="Times New Roman" w:cs="Times New Roman"/>
          <w:kern w:val="2"/>
          <w:sz w:val="32"/>
          <w:szCs w:val="32"/>
          <w:lang w:val="en-US" w:eastAsia="zh-CN" w:bidi="ar-SA"/>
        </w:rPr>
        <w:t>校</w:t>
      </w:r>
      <w:r>
        <w:rPr>
          <w:rFonts w:hint="eastAsia" w:ascii="仿宋_GB2312" w:hAnsi="Times New Roman" w:eastAsia="仿宋_GB2312" w:cs="Times New Roman"/>
          <w:kern w:val="2"/>
          <w:sz w:val="32"/>
          <w:szCs w:val="32"/>
          <w:lang w:val="en-US" w:eastAsia="zh-CN" w:bidi="ar-SA"/>
        </w:rPr>
        <w:t>项目支出按要求编制了绩效目标，从项目完成、项目效益、满意度等方面设置了绩效指标，综合反映项目预期完成的数量、成本、时效、质量，预期达到的社会效益、经济效益、生态效益以及服务对象满意度等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（五）结果应用情况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2021年我校从收支执行，三公经费管理，预算管理，绩效管理等方面进行了详尽</w:t>
      </w:r>
      <w:r>
        <w:rPr>
          <w:rFonts w:hint="eastAsia" w:ascii="仿宋_GB2312" w:hAnsi="Times New Roman" w:eastAsia="仿宋_GB2312" w:cs="Times New Roman"/>
          <w:kern w:val="2"/>
          <w:sz w:val="32"/>
          <w:szCs w:val="32"/>
          <w:lang w:val="zh-CN" w:eastAsia="zh-CN" w:bidi="ar-SA"/>
        </w:rPr>
        <w:t>部门自评、</w:t>
      </w:r>
      <w:r>
        <w:rPr>
          <w:rFonts w:hint="eastAsia" w:ascii="仿宋_GB2312" w:hAnsi="Times New Roman" w:eastAsia="仿宋_GB2312" w:cs="Times New Roman"/>
          <w:kern w:val="2"/>
          <w:sz w:val="32"/>
          <w:szCs w:val="32"/>
          <w:lang w:val="en-US" w:eastAsia="zh-CN" w:bidi="ar-SA"/>
        </w:rPr>
        <w:t>21年预算绩效目标，项目预算绩效目标等均进行了公开，评价结果较好，对部门预算编制不够精准细化的问题将在后续工作中逐步改进。</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（一）评价结论。</w:t>
      </w:r>
    </w:p>
    <w:p>
      <w:pPr>
        <w:pStyle w:val="10"/>
        <w:keepNext w:val="0"/>
        <w:keepLines w:val="0"/>
        <w:pageBreakBefore w:val="0"/>
        <w:kinsoku/>
        <w:wordWrap/>
        <w:overflowPunct/>
        <w:topLinePunct w:val="0"/>
        <w:autoSpaceDE/>
        <w:autoSpaceDN/>
        <w:bidi w:val="0"/>
        <w:spacing w:line="560" w:lineRule="exact"/>
        <w:textAlignment w:val="auto"/>
        <w:rPr>
          <w:lang w:val="zh-CN"/>
        </w:rPr>
      </w:pPr>
      <w:r>
        <w:rPr>
          <w:rFonts w:hint="eastAsia" w:ascii="仿宋_GB2312" w:hAnsi="仿宋_GB2312" w:cs="仿宋_GB2312"/>
          <w:b w:val="0"/>
          <w:bCs w:val="0"/>
          <w:color w:val="000000"/>
          <w:sz w:val="32"/>
          <w:szCs w:val="32"/>
          <w:lang w:val="en-US" w:eastAsia="zh-CN"/>
        </w:rPr>
        <w:t>根据《红原县部门支出绩效评价指标体系》自查的分98分，总体评价较好。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720" w:leftChars="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（二）存在问题。</w:t>
      </w:r>
    </w:p>
    <w:p>
      <w:pPr>
        <w:pStyle w:val="10"/>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lang w:val="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w:t>
      </w:r>
      <w:r>
        <w:rPr>
          <w:rFonts w:hint="eastAsia" w:ascii="仿宋_GB2312" w:hAnsi="仿宋_GB2312" w:cs="仿宋_GB2312"/>
          <w:b w:val="0"/>
          <w:bCs w:val="0"/>
          <w:color w:val="000000"/>
          <w:sz w:val="32"/>
          <w:szCs w:val="32"/>
          <w:lang w:val="en-US" w:eastAsia="zh-CN"/>
        </w:rPr>
        <w:t>及培训，工作推进存在一定困难，预算编制还需更加精准</w:t>
      </w:r>
      <w:r>
        <w:rPr>
          <w:rFonts w:hint="eastAsia" w:ascii="仿宋_GB2312" w:hAnsi="仿宋_GB2312" w:eastAsia="仿宋_GB2312" w:cs="仿宋_GB2312"/>
          <w:b w:val="0"/>
          <w:bCs w:val="0"/>
          <w:color w:val="000000"/>
          <w:sz w:val="32"/>
          <w:szCs w:val="32"/>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720" w:firstLineChars="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改进建议。</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1.通过各种途径加强绩效管理学习，</w:t>
      </w:r>
      <w:r>
        <w:rPr>
          <w:rFonts w:hint="eastAsia" w:ascii="仿宋_GB2312" w:hAnsi="仿宋_GB2312" w:eastAsia="仿宋_GB2312" w:cs="仿宋_GB2312"/>
          <w:b w:val="0"/>
          <w:bCs w:val="0"/>
          <w:color w:val="000000"/>
          <w:sz w:val="32"/>
          <w:szCs w:val="32"/>
          <w:lang w:val="en-US" w:eastAsia="zh-CN"/>
        </w:rPr>
        <w:t>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10"/>
        <w:ind w:left="0" w:leftChars="0" w:firstLine="0" w:firstLineChars="0"/>
        <w:rPr>
          <w:rFonts w:ascii="仿宋_GB2312" w:hAnsi="仿宋_GB2312" w:eastAsia="仿宋_GB2312" w:cs="仿宋_GB2312"/>
          <w:sz w:val="32"/>
          <w:szCs w:val="32"/>
        </w:rPr>
      </w:pPr>
    </w:p>
    <w:p>
      <w:pPr>
        <w:spacing w:line="580" w:lineRule="exact"/>
        <w:outlineLvl w:val="1"/>
        <w:rPr>
          <w:rFonts w:ascii="仿宋_GB2312" w:hAnsi="仿宋_GB2312" w:eastAsia="仿宋_GB2312" w:cs="仿宋_GB2312"/>
          <w:color w:val="000000" w:themeColor="text1"/>
          <w:sz w:val="32"/>
          <w:szCs w:val="32"/>
          <w14:textFill>
            <w14:solidFill>
              <w14:schemeClr w14:val="tx1"/>
            </w14:solidFill>
          </w14:textFill>
        </w:rPr>
      </w:pPr>
      <w:bookmarkStart w:id="85" w:name="_Toc27957"/>
      <w:r>
        <w:rPr>
          <w:rFonts w:hint="eastAsia" w:ascii="黑体" w:hAnsi="黑体" w:eastAsia="黑体" w:cs="黑体"/>
          <w:color w:val="000000" w:themeColor="text1"/>
          <w:sz w:val="32"/>
          <w:szCs w:val="32"/>
          <w14:textFill>
            <w14:solidFill>
              <w14:schemeClr w14:val="tx1"/>
            </w14:solidFill>
          </w14:textFill>
        </w:rPr>
        <w:t>附件2</w:t>
      </w:r>
      <w:bookmarkEnd w:id="85"/>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4"/>
          <w:szCs w:val="44"/>
          <w:lang w:val="zh-CN"/>
          <w14:textFill>
            <w14:solidFill>
              <w14:schemeClr w14:val="tx1"/>
            </w14:solidFill>
          </w14:textFill>
        </w:rPr>
      </w:pPr>
      <w:r>
        <w:rPr>
          <w:rFonts w:hint="eastAsia" w:ascii="方正小标宋简体" w:hAnsi="宋体" w:eastAsia="方正小标宋简体"/>
          <w:color w:val="000000" w:themeColor="text1"/>
          <w:kern w:val="0"/>
          <w:sz w:val="44"/>
          <w:szCs w:val="44"/>
          <w:lang w:val="en-US" w:eastAsia="zh-CN"/>
          <w14:textFill>
            <w14:solidFill>
              <w14:schemeClr w14:val="tx1"/>
            </w14:solidFill>
          </w14:textFill>
        </w:rPr>
        <w:t>党校</w:t>
      </w:r>
      <w:r>
        <w:rPr>
          <w:rFonts w:hint="eastAsia" w:ascii="方正小标宋简体" w:hAnsi="宋体" w:eastAsia="方正小标宋简体"/>
          <w:color w:val="000000" w:themeColor="text1"/>
          <w:kern w:val="0"/>
          <w:sz w:val="44"/>
          <w:szCs w:val="44"/>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lang w:eastAsia="zh-CN"/>
          <w14:textFill>
            <w14:solidFill>
              <w14:schemeClr w14:val="tx1"/>
            </w14:solidFill>
          </w14:textFill>
        </w:rPr>
        <w:t>2021</w:t>
      </w:r>
      <w:r>
        <w:rPr>
          <w:rFonts w:hint="eastAsia" w:ascii="方正小标宋简体" w:hAnsi="宋体" w:eastAsia="方正小标宋简体"/>
          <w:color w:val="000000" w:themeColor="text1"/>
          <w:kern w:val="0"/>
          <w:sz w:val="44"/>
          <w:szCs w:val="44"/>
          <w14:textFill>
            <w14:solidFill>
              <w14:schemeClr w14:val="tx1"/>
            </w14:solidFill>
          </w14:textFill>
        </w:rPr>
        <w:t>年</w:t>
      </w:r>
      <w:r>
        <w:rPr>
          <w:rFonts w:hint="eastAsia" w:ascii="方正小标宋简体" w:hAnsi="宋体" w:eastAsia="方正小标宋简体"/>
          <w:color w:val="000000" w:themeColor="text1"/>
          <w:kern w:val="0"/>
          <w:sz w:val="44"/>
          <w:szCs w:val="44"/>
          <w:lang w:val="zh-CN"/>
          <w14:textFill>
            <w14:solidFill>
              <w14:schemeClr w14:val="tx1"/>
            </w14:solidFill>
          </w14:textFill>
        </w:rPr>
        <w:t>绩效评价报告</w:t>
      </w:r>
    </w:p>
    <w:p>
      <w:pPr>
        <w:spacing w:line="600" w:lineRule="exact"/>
        <w:rPr>
          <w:rFonts w:ascii="宋体" w:hAnsi="宋体"/>
          <w:color w:val="000000" w:themeColor="text1"/>
          <w:sz w:val="32"/>
          <w:szCs w:val="32"/>
          <w:lang w:val="zh-CN"/>
          <w14:textFill>
            <w14:solidFill>
              <w14:schemeClr w14:val="tx1"/>
            </w14:solidFill>
          </w14:textFill>
        </w:rPr>
      </w:pPr>
    </w:p>
    <w:p>
      <w:pPr>
        <w:adjustRightInd w:val="0"/>
        <w:snapToGrid w:val="0"/>
        <w:spacing w:line="600" w:lineRule="exact"/>
        <w:ind w:firstLine="720"/>
        <w:outlineLvl w:val="1"/>
        <w:rPr>
          <w:rFonts w:ascii="黑体" w:hAnsi="宋体" w:eastAsia="黑体"/>
          <w:color w:val="000000" w:themeColor="text1"/>
          <w:sz w:val="32"/>
          <w:szCs w:val="32"/>
          <w:lang w:val="zh-CN"/>
          <w14:textFill>
            <w14:solidFill>
              <w14:schemeClr w14:val="tx1"/>
            </w14:solidFill>
          </w14:textFill>
        </w:rPr>
      </w:pPr>
      <w:bookmarkStart w:id="86" w:name="_Toc8054"/>
      <w:r>
        <w:rPr>
          <w:rFonts w:hint="eastAsia" w:ascii="黑体" w:hAnsi="宋体" w:eastAsia="黑体"/>
          <w:color w:val="000000" w:themeColor="text1"/>
          <w:sz w:val="32"/>
          <w:szCs w:val="32"/>
          <w14:textFill>
            <w14:solidFill>
              <w14:schemeClr w14:val="tx1"/>
            </w14:solidFill>
          </w14:textFill>
        </w:rPr>
        <w:t>一、</w:t>
      </w:r>
      <w:r>
        <w:rPr>
          <w:rFonts w:hint="eastAsia" w:ascii="黑体" w:hAnsi="宋体" w:eastAsia="黑体"/>
          <w:color w:val="000000" w:themeColor="text1"/>
          <w:sz w:val="32"/>
          <w:szCs w:val="32"/>
          <w:lang w:val="zh-CN"/>
          <w14:textFill>
            <w14:solidFill>
              <w14:schemeClr w14:val="tx1"/>
            </w14:solidFill>
          </w14:textFill>
        </w:rPr>
        <w:t>项目概况</w:t>
      </w:r>
      <w:bookmarkEnd w:id="86"/>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（二）项目绩效目标。</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sz w:val="32"/>
          <w:szCs w:val="32"/>
          <w:lang w:eastAsia="zh-CN"/>
        </w:rPr>
        <w:t>红原县委党校建设项目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15.9987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改善提升县级党校办学质量，让广大基层党员干部享受到更丰富、更高质量的培训“大餐”</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（三）项目自评步骤及方法。</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adjustRightInd w:val="0"/>
        <w:snapToGrid w:val="0"/>
        <w:spacing w:line="600" w:lineRule="exact"/>
        <w:ind w:firstLine="720"/>
        <w:outlineLvl w:val="1"/>
        <w:rPr>
          <w:rFonts w:ascii="黑体" w:hAnsi="宋体" w:eastAsia="黑体"/>
          <w:color w:val="000000" w:themeColor="text1"/>
          <w:sz w:val="32"/>
          <w:szCs w:val="32"/>
          <w14:textFill>
            <w14:solidFill>
              <w14:schemeClr w14:val="tx1"/>
            </w14:solidFill>
          </w14:textFill>
        </w:rPr>
      </w:pPr>
      <w:bookmarkStart w:id="87" w:name="_Toc9298"/>
      <w:r>
        <w:rPr>
          <w:rFonts w:hint="eastAsia" w:ascii="黑体" w:hAnsi="宋体" w:eastAsia="黑体"/>
          <w:color w:val="000000" w:themeColor="text1"/>
          <w:sz w:val="32"/>
          <w:szCs w:val="32"/>
          <w14:textFill>
            <w14:solidFill>
              <w14:schemeClr w14:val="tx1"/>
            </w14:solidFill>
          </w14:textFill>
        </w:rPr>
        <w:t>二、项目资金申报及使用情况</w:t>
      </w:r>
      <w:bookmarkEnd w:id="87"/>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一是通过实地查看和</w:t>
      </w:r>
      <w:r>
        <w:rPr>
          <w:rFonts w:hint="eastAsia" w:ascii="仿宋_GB2312" w:hAnsi="宋体" w:eastAsia="仿宋_GB2312"/>
          <w:color w:val="000000" w:themeColor="text1"/>
          <w:sz w:val="32"/>
          <w:szCs w:val="32"/>
          <w:lang w:val="en-US" w:eastAsia="zh-CN"/>
          <w14:textFill>
            <w14:solidFill>
              <w14:schemeClr w14:val="tx1"/>
            </w14:solidFill>
          </w14:textFill>
        </w:rPr>
        <w:t>党组</w:t>
      </w:r>
      <w:r>
        <w:rPr>
          <w:rFonts w:hint="eastAsia" w:ascii="仿宋_GB2312" w:hAnsi="宋体" w:eastAsia="仿宋_GB2312"/>
          <w:color w:val="000000" w:themeColor="text1"/>
          <w:sz w:val="32"/>
          <w:szCs w:val="32"/>
          <w:lang w:val="zh-CN" w:eastAsia="zh-CN"/>
          <w14:textFill>
            <w14:solidFill>
              <w14:schemeClr w14:val="tx1"/>
            </w14:solidFill>
          </w14:textFill>
        </w:rPr>
        <w:t>会的召开讨论</w:t>
      </w:r>
      <w:r>
        <w:rPr>
          <w:rFonts w:hint="eastAsia" w:ascii="仿宋_GB2312" w:hAnsi="宋体" w:eastAsia="仿宋_GB2312"/>
          <w:color w:val="000000" w:themeColor="text1"/>
          <w:sz w:val="32"/>
          <w:szCs w:val="32"/>
          <w:lang w:val="en-US" w:eastAsia="zh-CN"/>
          <w14:textFill>
            <w14:solidFill>
              <w14:schemeClr w14:val="tx1"/>
            </w14:solidFill>
          </w14:textFill>
        </w:rPr>
        <w:t>集体研究</w:t>
      </w:r>
      <w:r>
        <w:rPr>
          <w:rFonts w:hint="eastAsia" w:ascii="仿宋_GB2312" w:hAnsi="宋体" w:eastAsia="仿宋_GB2312"/>
          <w:color w:val="000000" w:themeColor="text1"/>
          <w:sz w:val="32"/>
          <w:szCs w:val="32"/>
          <w:lang w:val="zh-CN" w:eastAsia="zh-CN"/>
          <w14:textFill>
            <w14:solidFill>
              <w14:schemeClr w14:val="tx1"/>
            </w14:solidFill>
          </w14:textFill>
        </w:rPr>
        <w:t>定好项目的具体内容；二是询问专业人员确定项目资金的预算及编制实施方案并上报相关部门</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4"/>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资金计划、到位及使用情况。</w:t>
      </w:r>
    </w:p>
    <w:p>
      <w:pPr>
        <w:numPr>
          <w:ilvl w:val="0"/>
          <w:numId w:val="0"/>
        </w:numPr>
        <w:adjustRightInd w:val="0"/>
        <w:snapToGrid w:val="0"/>
        <w:spacing w:line="600" w:lineRule="exact"/>
        <w:ind w:firstLine="643" w:firstLineChars="200"/>
        <w:outlineLvl w:val="1"/>
        <w:rPr>
          <w:rFonts w:hint="eastAsia" w:ascii="楷体_GB2312" w:hAnsi="宋体" w:eastAsia="楷体_GB2312"/>
          <w:b/>
          <w:color w:val="000000" w:themeColor="text1"/>
          <w:sz w:val="32"/>
          <w:szCs w:val="32"/>
          <w:lang w:val="en-US" w:eastAsia="zh-CN"/>
          <w14:textFill>
            <w14:solidFill>
              <w14:schemeClr w14:val="tx1"/>
            </w14:solidFill>
          </w14:textFill>
        </w:rPr>
      </w:pPr>
      <w:bookmarkStart w:id="88" w:name="_Toc2388"/>
      <w:r>
        <w:rPr>
          <w:rFonts w:hint="eastAsia" w:ascii="楷体_GB2312" w:hAnsi="宋体" w:eastAsia="楷体_GB2312"/>
          <w:b/>
          <w:color w:val="000000" w:themeColor="text1"/>
          <w:sz w:val="32"/>
          <w:szCs w:val="32"/>
          <w:lang w:val="en-US" w:eastAsia="zh-CN"/>
          <w14:textFill>
            <w14:solidFill>
              <w14:schemeClr w14:val="tx1"/>
            </w14:solidFill>
          </w14:textFill>
        </w:rPr>
        <w:t>一、</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红原县党校建设项目</w:t>
      </w:r>
      <w:bookmarkEnd w:id="88"/>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红原县党校建设项目全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年预算数160万元，执行数为15.9987万元，完成预算的10%。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en-US" w:eastAsia="zh-CN"/>
          <w14:textFill>
            <w14:solidFill>
              <w14:schemeClr w14:val="tx1"/>
            </w14:solidFill>
          </w14:textFill>
        </w:rPr>
        <w:t>2021</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lang w:val="zh-CN" w:eastAsia="zh-CN"/>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w:t>
      </w:r>
      <w:r>
        <w:rPr>
          <w:rFonts w:hint="eastAsia" w:ascii="仿宋_GB2312" w:hAnsi="宋体" w:eastAsia="仿宋_GB2312"/>
          <w:color w:val="000000" w:themeColor="text1"/>
          <w:sz w:val="32"/>
          <w:szCs w:val="32"/>
          <w:lang w:val="en-US" w:eastAsia="zh-CN"/>
          <w14:textFill>
            <w14:solidFill>
              <w14:schemeClr w14:val="tx1"/>
            </w14:solidFill>
          </w14:textFill>
        </w:rPr>
        <w:t>相关前期经费</w:t>
      </w:r>
      <w:r>
        <w:rPr>
          <w:rFonts w:hint="eastAsia" w:ascii="仿宋_GB2312" w:hAnsi="宋体" w:eastAsia="仿宋_GB2312"/>
          <w:color w:val="000000" w:themeColor="text1"/>
          <w:sz w:val="32"/>
          <w:szCs w:val="32"/>
          <w:lang w:val="zh-CN" w:eastAsia="zh-CN"/>
          <w14:textFill>
            <w14:solidFill>
              <w14:schemeClr w14:val="tx1"/>
            </w14:solidFill>
          </w14:textFill>
        </w:rPr>
        <w:t>，拨付</w:t>
      </w:r>
      <w:r>
        <w:rPr>
          <w:rFonts w:hint="eastAsia" w:ascii="仿宋_GB2312" w:hAnsi="宋体" w:eastAsia="仿宋_GB2312"/>
          <w:color w:val="000000" w:themeColor="text1"/>
          <w:sz w:val="32"/>
          <w:szCs w:val="32"/>
          <w:lang w:val="en-US" w:eastAsia="zh-CN"/>
          <w14:textFill>
            <w14:solidFill>
              <w14:schemeClr w14:val="tx1"/>
            </w14:solidFill>
          </w14:textFill>
        </w:rPr>
        <w:t>10%款项，项目资金与预算相符合。</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（三）项目财务管理情况。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一是项目资金的使用进行透明化管理，资金的来源及使用途径均已公示公告，并成立了以</w:t>
      </w:r>
      <w:r>
        <w:rPr>
          <w:rFonts w:hint="eastAsia" w:ascii="仿宋_GB2312" w:hAnsi="宋体" w:eastAsia="仿宋_GB2312"/>
          <w:color w:val="000000" w:themeColor="text1"/>
          <w:sz w:val="32"/>
          <w:szCs w:val="32"/>
          <w:lang w:val="en-US" w:eastAsia="zh-CN"/>
          <w14:textFill>
            <w14:solidFill>
              <w14:schemeClr w14:val="tx1"/>
            </w14:solidFill>
          </w14:textFill>
        </w:rPr>
        <w:t>党组</w:t>
      </w:r>
      <w:r>
        <w:rPr>
          <w:rFonts w:hint="eastAsia" w:ascii="仿宋_GB2312" w:hAnsi="宋体" w:eastAsia="仿宋_GB2312"/>
          <w:color w:val="000000" w:themeColor="text1"/>
          <w:sz w:val="32"/>
          <w:szCs w:val="32"/>
          <w:lang w:val="zh-CN"/>
          <w14:textFill>
            <w14:solidFill>
              <w14:schemeClr w14:val="tx1"/>
            </w14:solidFill>
          </w14:textFill>
        </w:rPr>
        <w:t>成员</w:t>
      </w:r>
      <w:r>
        <w:rPr>
          <w:rFonts w:hint="eastAsia" w:ascii="仿宋_GB2312" w:hAnsi="宋体" w:eastAsia="仿宋_GB2312"/>
          <w:color w:val="000000" w:themeColor="text1"/>
          <w:sz w:val="32"/>
          <w:szCs w:val="32"/>
          <w:lang w:val="en-US" w:eastAsia="zh-CN"/>
          <w14:textFill>
            <w14:solidFill>
              <w14:schemeClr w14:val="tx1"/>
            </w14:solidFill>
          </w14:textFill>
        </w:rPr>
        <w:t>和财务人员</w:t>
      </w:r>
      <w:r>
        <w:rPr>
          <w:rFonts w:hint="eastAsia" w:ascii="仿宋_GB2312" w:hAnsi="宋体" w:eastAsia="仿宋_GB2312"/>
          <w:color w:val="000000" w:themeColor="text1"/>
          <w:sz w:val="32"/>
          <w:szCs w:val="32"/>
          <w:lang w:val="zh-CN"/>
          <w14:textFill>
            <w14:solidFill>
              <w14:schemeClr w14:val="tx1"/>
            </w14:solidFill>
          </w14:textFill>
        </w:rPr>
        <w:t>的项目资金监管小组做到项目资金用到实处；二是严格按照合同、方案、项目进度拨付资金。</w:t>
      </w:r>
    </w:p>
    <w:p>
      <w:pPr>
        <w:adjustRightInd w:val="0"/>
        <w:snapToGrid w:val="0"/>
        <w:spacing w:line="600" w:lineRule="exact"/>
        <w:ind w:firstLine="720"/>
        <w:outlineLvl w:val="1"/>
        <w:rPr>
          <w:rFonts w:ascii="黑体" w:hAnsi="宋体" w:eastAsia="黑体"/>
          <w:color w:val="000000" w:themeColor="text1"/>
          <w:sz w:val="32"/>
          <w:szCs w:val="32"/>
          <w14:textFill>
            <w14:solidFill>
              <w14:schemeClr w14:val="tx1"/>
            </w14:solidFill>
          </w14:textFill>
        </w:rPr>
      </w:pPr>
      <w:bookmarkStart w:id="89" w:name="_Toc27715"/>
      <w:r>
        <w:rPr>
          <w:rFonts w:hint="eastAsia" w:ascii="黑体" w:hAnsi="宋体" w:eastAsia="黑体"/>
          <w:color w:val="000000" w:themeColor="text1"/>
          <w:sz w:val="32"/>
          <w:szCs w:val="32"/>
          <w14:textFill>
            <w14:solidFill>
              <w14:schemeClr w14:val="tx1"/>
            </w14:solidFill>
          </w14:textFill>
        </w:rPr>
        <w:t>三、项目实施及管理情况</w:t>
      </w:r>
      <w:bookmarkEnd w:id="89"/>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numPr>
          <w:ilvl w:val="0"/>
          <w:numId w:val="5"/>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项目组织架构及实施流程。</w:t>
      </w:r>
    </w:p>
    <w:p>
      <w:pPr>
        <w:adjustRightInd w:val="0"/>
        <w:snapToGrid w:val="0"/>
        <w:spacing w:line="600" w:lineRule="exact"/>
        <w:ind w:firstLine="720"/>
        <w:rPr>
          <w:rFonts w:hint="eastAsia" w:ascii="仿宋_GB2312" w:hAnsi="宋体" w:eastAsia="仿宋_GB2312" w:cs="Times New Roman"/>
          <w:color w:val="000000" w:themeColor="text1"/>
          <w:sz w:val="32"/>
          <w:szCs w:val="32"/>
          <w:lang w:val="zh-CN"/>
          <w14:textFill>
            <w14:solidFill>
              <w14:schemeClr w14:val="tx1"/>
            </w14:solidFill>
          </w14:textFill>
        </w:rPr>
      </w:pPr>
      <w:r>
        <w:rPr>
          <w:rFonts w:hint="eastAsia" w:ascii="仿宋_GB2312" w:hAnsi="宋体" w:eastAsia="仿宋_GB2312" w:cs="Times New Roman"/>
          <w:color w:val="000000" w:themeColor="text1"/>
          <w:sz w:val="32"/>
          <w:szCs w:val="32"/>
          <w:lang w:val="zh-CN"/>
          <w14:textFill>
            <w14:solidFill>
              <w14:schemeClr w14:val="tx1"/>
            </w14:solidFill>
          </w14:textFill>
        </w:rPr>
        <w:t>为了保证项目的顺利实施，在采购项目实施过程中，项目将做到“三个到位”，项目工作领导小组负责协调相关工作，项目实施及资金管理项目监管情况。照县财政安排部署，我局高度重视项目监管工作，明确责任，细化分工，落实专人负责，规范审批流程，做好检查验收工作该项目不存在项目监管不力，截留、挪用、挤占、套取、骗取项目资金等问题</w:t>
      </w:r>
      <w:r>
        <w:rPr>
          <w:rFonts w:hint="eastAsia" w:ascii="仿宋_GB2312" w:hAnsi="宋体" w:eastAsia="仿宋_GB2312" w:cs="Times New Roman"/>
          <w:color w:val="000000" w:themeColor="text1"/>
          <w:sz w:val="32"/>
          <w:szCs w:val="32"/>
          <w:lang w:val="zh-CN" w:eastAsia="zh-CN"/>
          <w14:textFill>
            <w14:solidFill>
              <w14:schemeClr w14:val="tx1"/>
            </w14:solidFill>
          </w14:textFill>
        </w:rPr>
        <w:t>。</w:t>
      </w:r>
    </w:p>
    <w:p>
      <w:pPr>
        <w:numPr>
          <w:ilvl w:val="0"/>
          <w:numId w:val="5"/>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一是项目资金的使用进行透明化管理，资金的来源及使用途径均已公示公告，并成立了以</w:t>
      </w:r>
      <w:r>
        <w:rPr>
          <w:rFonts w:hint="eastAsia" w:ascii="仿宋_GB2312" w:hAnsi="宋体" w:eastAsia="仿宋_GB2312"/>
          <w:color w:val="000000" w:themeColor="text1"/>
          <w:sz w:val="32"/>
          <w:szCs w:val="32"/>
          <w:lang w:val="en-US" w:eastAsia="zh-CN"/>
          <w14:textFill>
            <w14:solidFill>
              <w14:schemeClr w14:val="tx1"/>
            </w14:solidFill>
          </w14:textFill>
        </w:rPr>
        <w:t>党组</w:t>
      </w:r>
      <w:r>
        <w:rPr>
          <w:rFonts w:hint="eastAsia" w:ascii="仿宋_GB2312" w:hAnsi="宋体" w:eastAsia="仿宋_GB2312"/>
          <w:color w:val="000000" w:themeColor="text1"/>
          <w:sz w:val="32"/>
          <w:szCs w:val="32"/>
          <w:lang w:val="zh-CN"/>
          <w14:textFill>
            <w14:solidFill>
              <w14:schemeClr w14:val="tx1"/>
            </w14:solidFill>
          </w14:textFill>
        </w:rPr>
        <w:t>成员和</w:t>
      </w:r>
      <w:r>
        <w:rPr>
          <w:rFonts w:hint="eastAsia" w:ascii="仿宋_GB2312" w:hAnsi="宋体" w:eastAsia="仿宋_GB2312"/>
          <w:color w:val="000000" w:themeColor="text1"/>
          <w:sz w:val="32"/>
          <w:szCs w:val="32"/>
          <w:lang w:val="en-US" w:eastAsia="zh-CN"/>
          <w14:textFill>
            <w14:solidFill>
              <w14:schemeClr w14:val="tx1"/>
            </w14:solidFill>
          </w14:textFill>
        </w:rPr>
        <w:t>财务人员</w:t>
      </w:r>
      <w:r>
        <w:rPr>
          <w:rFonts w:hint="eastAsia" w:ascii="仿宋_GB2312" w:hAnsi="宋体" w:eastAsia="仿宋_GB2312"/>
          <w:color w:val="000000" w:themeColor="text1"/>
          <w:sz w:val="32"/>
          <w:szCs w:val="32"/>
          <w:lang w:val="zh-CN"/>
          <w14:textFill>
            <w14:solidFill>
              <w14:schemeClr w14:val="tx1"/>
            </w14:solidFill>
          </w14:textFill>
        </w:rPr>
        <w:t>的项目资金监管小组做到项目资金用到实处；二是严格按照合同、方案、项目进度拨付资金。</w:t>
      </w:r>
    </w:p>
    <w:p>
      <w:pPr>
        <w:numPr>
          <w:ilvl w:val="0"/>
          <w:numId w:val="5"/>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项目监管情况。</w:t>
      </w:r>
    </w:p>
    <w:p>
      <w:pPr>
        <w:snapToGrid w:val="0"/>
        <w:spacing w:line="360" w:lineRule="auto"/>
        <w:ind w:firstLine="540"/>
        <w:contextualSpacing/>
        <w:rPr>
          <w:rFonts w:ascii="仿宋_GB2312" w:hAnsi="Times New Roman" w:eastAsia="仿宋_GB2312"/>
          <w:sz w:val="28"/>
          <w:szCs w:val="28"/>
        </w:rPr>
      </w:pPr>
      <w:r>
        <w:rPr>
          <w:rFonts w:ascii="仿宋_GB2312" w:hAnsi="Times New Roman" w:eastAsia="仿宋_GB2312"/>
          <w:sz w:val="28"/>
          <w:szCs w:val="28"/>
        </w:rPr>
        <w:t>建立对项目建设的监督检查制度，确保项目工作规范化运作和顺利实施。</w:t>
      </w:r>
    </w:p>
    <w:p>
      <w:pPr>
        <w:snapToGrid w:val="0"/>
        <w:spacing w:line="360" w:lineRule="auto"/>
        <w:ind w:firstLine="540"/>
        <w:contextualSpacing/>
        <w:rPr>
          <w:rFonts w:ascii="仿宋_GB2312" w:hAnsi="Times New Roman" w:eastAsia="仿宋_GB2312"/>
          <w:sz w:val="28"/>
          <w:szCs w:val="28"/>
        </w:rPr>
      </w:pPr>
      <w:r>
        <w:rPr>
          <w:rFonts w:ascii="仿宋_GB2312" w:hAnsi="Times New Roman" w:eastAsia="仿宋_GB2312"/>
          <w:sz w:val="28"/>
          <w:szCs w:val="28"/>
        </w:rPr>
        <w:t>监控的主要任务包括：项目实施计划，项目执行机构的人员配备，工作质量和进度是否符合要求，财务管理体制是否符合规定程序，土建施工和安装工程是否符合标准和合同。</w:t>
      </w:r>
    </w:p>
    <w:p>
      <w:pPr>
        <w:snapToGrid w:val="0"/>
        <w:spacing w:line="360" w:lineRule="auto"/>
        <w:ind w:firstLine="540"/>
        <w:contextualSpacing/>
        <w:rPr>
          <w:rFonts w:ascii="仿宋_GB2312" w:hAnsi="Times New Roman" w:eastAsia="仿宋_GB2312"/>
          <w:sz w:val="28"/>
          <w:szCs w:val="28"/>
        </w:rPr>
      </w:pPr>
      <w:r>
        <w:rPr>
          <w:rFonts w:ascii="仿宋_GB2312" w:hAnsi="Times New Roman" w:eastAsia="仿宋_GB2312"/>
          <w:sz w:val="28"/>
          <w:szCs w:val="28"/>
        </w:rPr>
        <w:t>监控方法包括：项目报告制度、现场视察和派驻监理代表等。</w:t>
      </w:r>
    </w:p>
    <w:p>
      <w:pPr>
        <w:adjustRightInd w:val="0"/>
        <w:snapToGrid w:val="0"/>
        <w:spacing w:line="600" w:lineRule="exact"/>
        <w:ind w:firstLine="720"/>
        <w:outlineLvl w:val="1"/>
        <w:rPr>
          <w:rFonts w:ascii="仿宋_GB2312" w:hAnsi="宋体" w:eastAsia="仿宋_GB2312"/>
          <w:color w:val="000000" w:themeColor="text1"/>
          <w:sz w:val="32"/>
          <w:szCs w:val="32"/>
          <w:lang w:val="zh-CN"/>
          <w14:textFill>
            <w14:solidFill>
              <w14:schemeClr w14:val="tx1"/>
            </w14:solidFill>
          </w14:textFill>
        </w:rPr>
      </w:pPr>
      <w:bookmarkStart w:id="90" w:name="_Toc1924"/>
      <w:r>
        <w:rPr>
          <w:rFonts w:hint="eastAsia" w:ascii="黑体" w:hAnsi="宋体" w:eastAsia="黑体"/>
          <w:color w:val="000000" w:themeColor="text1"/>
          <w:sz w:val="32"/>
          <w:szCs w:val="32"/>
          <w14:textFill>
            <w14:solidFill>
              <w14:schemeClr w14:val="tx1"/>
            </w14:solidFill>
          </w14:textFill>
        </w:rPr>
        <w:t>四、项目绩效情况</w:t>
      </w:r>
      <w:bookmarkEnd w:id="90"/>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（一）项目完成情况。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严格按照实施方案完成，完成绩效目标设定的任务量。符合绩效目标设定的验收标准，达到行业基准水平。</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（二）项目效益情况。</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宋体" w:eastAsia="仿宋_GB2312" w:cs="Times New Roman"/>
          <w:color w:val="000000" w:themeColor="text1"/>
          <w:sz w:val="32"/>
          <w:szCs w:val="32"/>
          <w:lang w:val="zh-CN"/>
          <w14:textFill>
            <w14:solidFill>
              <w14:schemeClr w14:val="tx1"/>
            </w14:solidFill>
          </w14:textFill>
        </w:rPr>
      </w:pP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w:t>
      </w:r>
      <w:r>
        <w:rPr>
          <w:rFonts w:hint="eastAsia" w:ascii="仿宋_GB2312" w:hAnsi="宋体" w:eastAsia="仿宋_GB2312" w:cs="Times New Roman"/>
          <w:color w:val="000000" w:themeColor="text1"/>
          <w:sz w:val="32"/>
          <w:szCs w:val="32"/>
          <w:lang w:val="zh-CN"/>
          <w14:textFill>
            <w14:solidFill>
              <w14:schemeClr w14:val="tx1"/>
            </w14:solidFill>
          </w14:textFill>
        </w:rPr>
        <w:t>能够使教学用房得到改善，从而能够最大限度地发挥党性教育的功效，为党提供优秀的党员干部，间接提高人民群众的收入，促进生产力的发展，促进社会经济发展和社会进</w:t>
      </w:r>
    </w:p>
    <w:p>
      <w:pPr>
        <w:adjustRightInd w:val="0"/>
        <w:snapToGrid w:val="0"/>
        <w:spacing w:line="600" w:lineRule="exact"/>
        <w:ind w:firstLine="720"/>
        <w:outlineLvl w:val="1"/>
        <w:rPr>
          <w:rFonts w:ascii="黑体" w:hAnsi="宋体" w:eastAsia="黑体"/>
          <w:color w:val="000000" w:themeColor="text1"/>
          <w:sz w:val="32"/>
          <w:szCs w:val="32"/>
          <w14:textFill>
            <w14:solidFill>
              <w14:schemeClr w14:val="tx1"/>
            </w14:solidFill>
          </w14:textFill>
        </w:rPr>
      </w:pPr>
      <w:bookmarkStart w:id="91" w:name="_Toc15300"/>
      <w:r>
        <w:rPr>
          <w:rFonts w:hint="eastAsia" w:ascii="黑体" w:hAnsi="宋体" w:eastAsia="黑体"/>
          <w:color w:val="000000" w:themeColor="text1"/>
          <w:sz w:val="32"/>
          <w:szCs w:val="32"/>
          <w14:textFill>
            <w14:solidFill>
              <w14:schemeClr w14:val="tx1"/>
            </w14:solidFill>
          </w14:textFill>
        </w:rPr>
        <w:t>五、评价结论及建议</w:t>
      </w:r>
      <w:bookmarkEnd w:id="91"/>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无</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（三）相关建议。</w:t>
      </w:r>
    </w:p>
    <w:p>
      <w:pPr>
        <w:pStyle w:val="10"/>
        <w:rPr>
          <w:rFonts w:hint="eastAsia" w:ascii="仿宋_GB2312" w:hAnsi="仿宋_GB2312" w:eastAsia="仿宋_GB2312" w:cs="仿宋_GB2312"/>
          <w:sz w:val="32"/>
          <w:szCs w:val="32"/>
          <w:lang w:eastAsia="zh-CN"/>
        </w:rPr>
      </w:pPr>
      <w:r>
        <w:rPr>
          <w:rFonts w:hint="eastAsia" w:ascii="仿宋_GB2312" w:hAnsi="宋体" w:eastAsia="仿宋_GB2312"/>
          <w:color w:val="000000" w:themeColor="text1"/>
          <w:sz w:val="32"/>
          <w:szCs w:val="32"/>
          <w:lang w:val="en-US" w:eastAsia="zh-CN"/>
          <w14:textFill>
            <w14:solidFill>
              <w14:schemeClr w14:val="tx1"/>
            </w14:solidFill>
          </w14:textFill>
        </w:rPr>
        <w:t>无</w:t>
      </w:r>
    </w:p>
    <w:p>
      <w:pPr>
        <w:widowControl/>
        <w:jc w:val="left"/>
        <w:rPr>
          <w:rStyle w:val="30"/>
          <w:rFonts w:ascii="黑体" w:hAnsi="黑体" w:eastAsia="黑体"/>
          <w:b w:val="0"/>
        </w:rPr>
      </w:pPr>
    </w:p>
    <w:p>
      <w:pPr>
        <w:widowControl/>
        <w:jc w:val="left"/>
        <w:rPr>
          <w:rStyle w:val="30"/>
          <w:rFonts w:ascii="黑体" w:hAnsi="黑体" w:eastAsia="黑体"/>
          <w:b w:val="0"/>
        </w:rPr>
      </w:pPr>
      <w:r>
        <w:rPr>
          <w:rStyle w:val="30"/>
          <w:rFonts w:ascii="黑体" w:hAnsi="黑体" w:eastAsia="黑体"/>
          <w:b w:val="0"/>
        </w:rPr>
        <w:br w:type="page"/>
      </w:r>
    </w:p>
    <w:p>
      <w:pPr>
        <w:spacing w:line="600" w:lineRule="exact"/>
        <w:jc w:val="center"/>
        <w:outlineLvl w:val="9"/>
        <w:rPr>
          <w:rStyle w:val="30"/>
          <w:rFonts w:ascii="黑体" w:hAnsi="黑体" w:eastAsia="黑体"/>
          <w:b w:val="0"/>
        </w:rPr>
      </w:pPr>
    </w:p>
    <w:p>
      <w:pPr>
        <w:spacing w:line="600" w:lineRule="exact"/>
        <w:jc w:val="center"/>
        <w:outlineLvl w:val="0"/>
        <w:rPr>
          <w:rStyle w:val="30"/>
          <w:rFonts w:ascii="黑体" w:hAnsi="黑体" w:eastAsia="黑体"/>
          <w:b w:val="0"/>
        </w:rPr>
      </w:pPr>
      <w:bookmarkStart w:id="92" w:name="_Toc22120"/>
      <w:bookmarkStart w:id="93"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81"/>
      <w:bookmarkEnd w:id="92"/>
      <w:bookmarkEnd w:id="93"/>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94" w:name="_Toc15396619"/>
      <w:bookmarkStart w:id="95" w:name="_Toc17405"/>
      <w:r>
        <w:rPr>
          <w:rFonts w:hint="eastAsia" w:ascii="仿宋" w:hAnsi="仿宋" w:eastAsia="仿宋"/>
          <w:b w:val="0"/>
          <w:color w:val="000000"/>
        </w:rPr>
        <w:t>一、</w:t>
      </w:r>
      <w:bookmarkEnd w:id="94"/>
      <w:r>
        <w:rPr>
          <w:rFonts w:hint="eastAsia" w:ascii="仿宋" w:hAnsi="仿宋" w:eastAsia="仿宋"/>
          <w:b w:val="0"/>
          <w:color w:val="000000"/>
        </w:rPr>
        <w:t>收入支出决算总表</w:t>
      </w:r>
      <w:bookmarkEnd w:id="95"/>
    </w:p>
    <w:p>
      <w:pPr>
        <w:pStyle w:val="3"/>
        <w:rPr>
          <w:rFonts w:ascii="仿宋" w:hAnsi="仿宋" w:eastAsia="仿宋"/>
          <w:color w:val="000000"/>
        </w:rPr>
      </w:pPr>
      <w:bookmarkStart w:id="96" w:name="_Toc15396620"/>
      <w:bookmarkStart w:id="97" w:name="_Toc22446"/>
      <w:r>
        <w:rPr>
          <w:rFonts w:hint="eastAsia" w:ascii="仿宋" w:hAnsi="仿宋" w:eastAsia="仿宋"/>
          <w:b w:val="0"/>
          <w:color w:val="000000"/>
        </w:rPr>
        <w:t>二、</w:t>
      </w:r>
      <w:bookmarkEnd w:id="96"/>
      <w:r>
        <w:rPr>
          <w:rFonts w:hint="eastAsia" w:ascii="仿宋" w:hAnsi="仿宋" w:eastAsia="仿宋"/>
          <w:b w:val="0"/>
          <w:color w:val="000000"/>
        </w:rPr>
        <w:t>收入支出决算表</w:t>
      </w:r>
      <w:bookmarkEnd w:id="97"/>
    </w:p>
    <w:p>
      <w:pPr>
        <w:pStyle w:val="3"/>
        <w:rPr>
          <w:rFonts w:ascii="仿宋" w:hAnsi="仿宋" w:eastAsia="仿宋"/>
          <w:color w:val="000000"/>
        </w:rPr>
      </w:pPr>
      <w:bookmarkStart w:id="98" w:name="_Toc15396621"/>
      <w:bookmarkStart w:id="99" w:name="_Toc2174"/>
      <w:r>
        <w:rPr>
          <w:rStyle w:val="31"/>
          <w:rFonts w:hint="eastAsia" w:ascii="仿宋" w:hAnsi="仿宋" w:eastAsia="仿宋"/>
          <w:b w:val="0"/>
          <w:bCs w:val="0"/>
        </w:rPr>
        <w:t>三、</w:t>
      </w:r>
      <w:bookmarkEnd w:id="98"/>
      <w:r>
        <w:rPr>
          <w:rFonts w:hint="eastAsia" w:ascii="仿宋" w:hAnsi="仿宋" w:eastAsia="仿宋"/>
          <w:b w:val="0"/>
          <w:color w:val="000000"/>
        </w:rPr>
        <w:t>收入决算表</w:t>
      </w:r>
      <w:bookmarkEnd w:id="99"/>
    </w:p>
    <w:p>
      <w:pPr>
        <w:pStyle w:val="3"/>
        <w:rPr>
          <w:rFonts w:ascii="仿宋" w:hAnsi="仿宋" w:eastAsia="仿宋"/>
          <w:b w:val="0"/>
          <w:color w:val="000000"/>
        </w:rPr>
      </w:pPr>
      <w:bookmarkStart w:id="100" w:name="_Toc15396622"/>
      <w:bookmarkStart w:id="101" w:name="_Toc28370"/>
      <w:r>
        <w:rPr>
          <w:rStyle w:val="31"/>
          <w:rFonts w:hint="eastAsia" w:ascii="仿宋" w:hAnsi="仿宋" w:eastAsia="仿宋"/>
          <w:b w:val="0"/>
          <w:bCs w:val="0"/>
        </w:rPr>
        <w:t>四、</w:t>
      </w:r>
      <w:bookmarkEnd w:id="100"/>
      <w:r>
        <w:rPr>
          <w:rFonts w:hint="eastAsia" w:ascii="仿宋" w:hAnsi="仿宋" w:eastAsia="仿宋"/>
          <w:b w:val="0"/>
          <w:color w:val="000000"/>
        </w:rPr>
        <w:t>支出决算表</w:t>
      </w:r>
      <w:bookmarkEnd w:id="101"/>
    </w:p>
    <w:p>
      <w:pPr>
        <w:pStyle w:val="3"/>
        <w:rPr>
          <w:rStyle w:val="31"/>
          <w:rFonts w:ascii="仿宋" w:hAnsi="仿宋" w:eastAsia="仿宋"/>
          <w:b w:val="0"/>
          <w:bCs w:val="0"/>
        </w:rPr>
      </w:pPr>
      <w:bookmarkStart w:id="102" w:name="_Toc15396623"/>
      <w:bookmarkStart w:id="103" w:name="_Toc23613"/>
      <w:r>
        <w:rPr>
          <w:rStyle w:val="31"/>
          <w:rFonts w:hint="eastAsia" w:ascii="仿宋" w:hAnsi="仿宋" w:eastAsia="仿宋"/>
          <w:b w:val="0"/>
          <w:bCs w:val="0"/>
        </w:rPr>
        <w:t>五、</w:t>
      </w:r>
      <w:bookmarkEnd w:id="102"/>
      <w:bookmarkStart w:id="104" w:name="_Toc15396624"/>
      <w:r>
        <w:rPr>
          <w:rFonts w:hint="eastAsia" w:ascii="仿宋" w:hAnsi="仿宋" w:eastAsia="仿宋"/>
          <w:b w:val="0"/>
          <w:color w:val="000000"/>
        </w:rPr>
        <w:t>支出决算明细表</w:t>
      </w:r>
      <w:bookmarkEnd w:id="103"/>
    </w:p>
    <w:p>
      <w:pPr>
        <w:pStyle w:val="3"/>
        <w:rPr>
          <w:rFonts w:ascii="仿宋" w:hAnsi="仿宋" w:eastAsia="仿宋"/>
          <w:color w:val="000000"/>
        </w:rPr>
      </w:pPr>
      <w:bookmarkStart w:id="105" w:name="_Toc21174"/>
      <w:r>
        <w:rPr>
          <w:rStyle w:val="31"/>
          <w:rFonts w:hint="eastAsia" w:ascii="仿宋" w:hAnsi="仿宋" w:eastAsia="仿宋"/>
          <w:b w:val="0"/>
          <w:bCs w:val="0"/>
        </w:rPr>
        <w:t>六、</w:t>
      </w:r>
      <w:bookmarkEnd w:id="104"/>
      <w:r>
        <w:rPr>
          <w:rFonts w:hint="eastAsia" w:ascii="仿宋" w:hAnsi="仿宋" w:eastAsia="仿宋"/>
          <w:b w:val="0"/>
          <w:color w:val="000000"/>
        </w:rPr>
        <w:t>项目收入支出决算表</w:t>
      </w:r>
      <w:bookmarkEnd w:id="105"/>
    </w:p>
    <w:p>
      <w:pPr>
        <w:pStyle w:val="3"/>
        <w:rPr>
          <w:rFonts w:ascii="仿宋" w:hAnsi="仿宋" w:eastAsia="仿宋"/>
          <w:color w:val="000000"/>
        </w:rPr>
      </w:pPr>
      <w:bookmarkStart w:id="106" w:name="_Toc15396625"/>
      <w:bookmarkStart w:id="107" w:name="_Toc4939"/>
      <w:r>
        <w:rPr>
          <w:rStyle w:val="31"/>
          <w:rFonts w:hint="eastAsia" w:ascii="仿宋" w:hAnsi="仿宋" w:eastAsia="仿宋"/>
          <w:b w:val="0"/>
          <w:bCs w:val="0"/>
        </w:rPr>
        <w:t>七、</w:t>
      </w:r>
      <w:bookmarkEnd w:id="106"/>
      <w:r>
        <w:rPr>
          <w:rFonts w:hint="eastAsia" w:ascii="仿宋" w:hAnsi="仿宋" w:eastAsia="仿宋"/>
          <w:b w:val="0"/>
          <w:color w:val="000000"/>
        </w:rPr>
        <w:t>一般公共预算财政拨款收入支出决算表</w:t>
      </w:r>
      <w:bookmarkEnd w:id="107"/>
    </w:p>
    <w:p>
      <w:pPr>
        <w:pStyle w:val="3"/>
        <w:rPr>
          <w:rFonts w:hint="eastAsia" w:ascii="仿宋" w:hAnsi="仿宋" w:eastAsia="仿宋"/>
          <w:b w:val="0"/>
          <w:color w:val="000000"/>
        </w:rPr>
      </w:pPr>
      <w:bookmarkStart w:id="108" w:name="_Toc15396626"/>
      <w:bookmarkStart w:id="109" w:name="_Toc1274"/>
      <w:r>
        <w:rPr>
          <w:rStyle w:val="31"/>
          <w:rFonts w:hint="eastAsia" w:ascii="仿宋" w:hAnsi="仿宋" w:eastAsia="仿宋"/>
          <w:b w:val="0"/>
          <w:bCs w:val="0"/>
        </w:rPr>
        <w:t>八、</w:t>
      </w:r>
      <w:bookmarkEnd w:id="108"/>
      <w:bookmarkStart w:id="110" w:name="_Toc15396627"/>
      <w:r>
        <w:rPr>
          <w:rFonts w:hint="eastAsia" w:ascii="仿宋" w:hAnsi="仿宋" w:eastAsia="仿宋"/>
          <w:b w:val="0"/>
          <w:color w:val="000000"/>
        </w:rPr>
        <w:t>一般公共预算财政拨款支出决算明细表</w:t>
      </w:r>
      <w:bookmarkEnd w:id="109"/>
    </w:p>
    <w:p>
      <w:pPr>
        <w:pStyle w:val="3"/>
        <w:rPr>
          <w:rFonts w:hint="eastAsia" w:ascii="仿宋" w:hAnsi="仿宋" w:eastAsia="仿宋"/>
          <w:b w:val="0"/>
          <w:color w:val="000000"/>
        </w:rPr>
      </w:pPr>
      <w:bookmarkStart w:id="111" w:name="_Toc30552"/>
      <w:r>
        <w:rPr>
          <w:rStyle w:val="31"/>
          <w:rFonts w:hint="eastAsia" w:ascii="仿宋" w:hAnsi="仿宋" w:eastAsia="仿宋"/>
          <w:b w:val="0"/>
          <w:bCs w:val="0"/>
        </w:rPr>
        <w:t>九、</w:t>
      </w:r>
      <w:bookmarkEnd w:id="110"/>
      <w:bookmarkStart w:id="112" w:name="_Toc15396628"/>
      <w:r>
        <w:rPr>
          <w:rFonts w:hint="eastAsia" w:ascii="仿宋" w:hAnsi="仿宋" w:eastAsia="仿宋"/>
          <w:b w:val="0"/>
          <w:color w:val="000000"/>
        </w:rPr>
        <w:t>一般公共预算财政拨款基本支出决算明细表</w:t>
      </w:r>
      <w:bookmarkEnd w:id="111"/>
    </w:p>
    <w:p>
      <w:pPr>
        <w:pStyle w:val="3"/>
        <w:rPr>
          <w:rFonts w:ascii="仿宋" w:hAnsi="仿宋" w:eastAsia="仿宋"/>
          <w:color w:val="000000"/>
        </w:rPr>
      </w:pPr>
      <w:bookmarkStart w:id="113" w:name="_Toc25839"/>
      <w:r>
        <w:rPr>
          <w:rStyle w:val="31"/>
          <w:rFonts w:hint="eastAsia" w:ascii="仿宋" w:hAnsi="仿宋" w:eastAsia="仿宋"/>
          <w:b w:val="0"/>
          <w:bCs w:val="0"/>
        </w:rPr>
        <w:t>十、</w:t>
      </w:r>
      <w:bookmarkEnd w:id="112"/>
      <w:r>
        <w:rPr>
          <w:rFonts w:hint="eastAsia" w:ascii="仿宋" w:hAnsi="仿宋" w:eastAsia="仿宋"/>
          <w:b w:val="0"/>
          <w:color w:val="000000"/>
        </w:rPr>
        <w:t>一般公共预算财政拨款项目支出决算明细表</w:t>
      </w:r>
      <w:bookmarkEnd w:id="113"/>
    </w:p>
    <w:p>
      <w:pPr>
        <w:pStyle w:val="3"/>
        <w:rPr>
          <w:rFonts w:ascii="仿宋" w:hAnsi="仿宋" w:eastAsia="仿宋"/>
          <w:color w:val="000000"/>
        </w:rPr>
      </w:pPr>
      <w:bookmarkStart w:id="114" w:name="_Toc15396629"/>
      <w:bookmarkStart w:id="115" w:name="_Toc15685"/>
      <w:r>
        <w:rPr>
          <w:rStyle w:val="31"/>
          <w:rFonts w:hint="eastAsia" w:ascii="仿宋" w:hAnsi="仿宋" w:eastAsia="仿宋"/>
          <w:b w:val="0"/>
          <w:bCs w:val="0"/>
        </w:rPr>
        <w:t>十一、</w:t>
      </w:r>
      <w:bookmarkEnd w:id="114"/>
      <w:r>
        <w:rPr>
          <w:rFonts w:hint="eastAsia" w:ascii="仿宋" w:hAnsi="仿宋" w:eastAsia="仿宋"/>
          <w:b w:val="0"/>
          <w:color w:val="000000"/>
        </w:rPr>
        <w:t>预算支出相关信息表</w:t>
      </w:r>
      <w:bookmarkEnd w:id="115"/>
    </w:p>
    <w:p>
      <w:pPr>
        <w:pStyle w:val="3"/>
        <w:rPr>
          <w:rFonts w:ascii="仿宋" w:hAnsi="仿宋" w:eastAsia="仿宋"/>
          <w:color w:val="000000"/>
        </w:rPr>
      </w:pPr>
      <w:bookmarkStart w:id="116" w:name="_Toc15396630"/>
      <w:bookmarkStart w:id="117" w:name="_Toc17252"/>
      <w:r>
        <w:rPr>
          <w:rStyle w:val="31"/>
          <w:rFonts w:hint="eastAsia" w:ascii="仿宋" w:hAnsi="仿宋" w:eastAsia="仿宋"/>
          <w:b w:val="0"/>
          <w:bCs w:val="0"/>
        </w:rPr>
        <w:t>十二、</w:t>
      </w:r>
      <w:r>
        <w:rPr>
          <w:rFonts w:hint="eastAsia" w:ascii="仿宋" w:hAnsi="仿宋" w:eastAsia="仿宋"/>
          <w:b w:val="0"/>
          <w:color w:val="000000"/>
        </w:rPr>
        <w:t>基本数字表</w:t>
      </w:r>
      <w:bookmarkEnd w:id="116"/>
      <w:bookmarkEnd w:id="117"/>
    </w:p>
    <w:p>
      <w:pPr>
        <w:pStyle w:val="3"/>
        <w:rPr>
          <w:rFonts w:hint="eastAsia" w:ascii="仿宋" w:hAnsi="仿宋" w:eastAsia="仿宋"/>
          <w:b w:val="0"/>
          <w:color w:val="000000"/>
        </w:rPr>
      </w:pPr>
      <w:bookmarkStart w:id="118" w:name="_Toc15396631"/>
      <w:bookmarkStart w:id="119" w:name="_Toc27729"/>
      <w:r>
        <w:rPr>
          <w:rStyle w:val="31"/>
          <w:rFonts w:hint="eastAsia" w:ascii="仿宋" w:hAnsi="仿宋" w:eastAsia="仿宋"/>
          <w:b w:val="0"/>
          <w:bCs w:val="0"/>
        </w:rPr>
        <w:t>十三、</w:t>
      </w:r>
      <w:bookmarkEnd w:id="118"/>
      <w:r>
        <w:rPr>
          <w:rFonts w:hint="eastAsia" w:ascii="仿宋" w:hAnsi="仿宋" w:eastAsia="仿宋"/>
          <w:b w:val="0"/>
          <w:color w:val="000000"/>
        </w:rPr>
        <w:t>机构运行信息表</w:t>
      </w:r>
      <w:bookmarkEnd w:id="119"/>
    </w:p>
    <w:p>
      <w:pPr>
        <w:pStyle w:val="5"/>
        <w:ind w:left="0" w:leftChars="0" w:firstLine="0" w:firstLineChars="0"/>
        <w:rPr>
          <w:rFonts w:hint="eastAsia"/>
          <w:lang w:eastAsia="zh-CN"/>
        </w:rPr>
      </w:pPr>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BAFAC"/>
    <w:multiLevelType w:val="singleLevel"/>
    <w:tmpl w:val="BBFBAFAC"/>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27A03B2"/>
    <w:multiLevelType w:val="singleLevel"/>
    <w:tmpl w:val="027A03B2"/>
    <w:lvl w:ilvl="0" w:tentative="0">
      <w:start w:val="1"/>
      <w:numFmt w:val="decimal"/>
      <w:lvlText w:val="%1."/>
      <w:lvlJc w:val="left"/>
      <w:pPr>
        <w:tabs>
          <w:tab w:val="left" w:pos="312"/>
        </w:tabs>
      </w:pPr>
    </w:lvl>
  </w:abstractNum>
  <w:abstractNum w:abstractNumId="3">
    <w:nsid w:val="51E1B2A3"/>
    <w:multiLevelType w:val="singleLevel"/>
    <w:tmpl w:val="51E1B2A3"/>
    <w:lvl w:ilvl="0" w:tentative="0">
      <w:start w:val="2"/>
      <w:numFmt w:val="chineseCounting"/>
      <w:suff w:val="nothing"/>
      <w:lvlText w:val="（%1）"/>
      <w:lvlJc w:val="left"/>
      <w:rPr>
        <w:rFonts w:hint="eastAsia"/>
      </w:rPr>
    </w:lvl>
  </w:abstractNum>
  <w:abstractNum w:abstractNumId="4">
    <w:nsid w:val="6B25997A"/>
    <w:multiLevelType w:val="singleLevel"/>
    <w:tmpl w:val="6B25997A"/>
    <w:lvl w:ilvl="0" w:tentative="0">
      <w:start w:val="1"/>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27A5940"/>
    <w:rsid w:val="0343119B"/>
    <w:rsid w:val="05E11832"/>
    <w:rsid w:val="0A6F4298"/>
    <w:rsid w:val="10C055FF"/>
    <w:rsid w:val="10CA00A9"/>
    <w:rsid w:val="11EB6425"/>
    <w:rsid w:val="16734728"/>
    <w:rsid w:val="16BB723D"/>
    <w:rsid w:val="183500C9"/>
    <w:rsid w:val="1BB76E65"/>
    <w:rsid w:val="1DA076DC"/>
    <w:rsid w:val="1FF26CD4"/>
    <w:rsid w:val="20836900"/>
    <w:rsid w:val="219263AA"/>
    <w:rsid w:val="21FF3314"/>
    <w:rsid w:val="223D08AC"/>
    <w:rsid w:val="240371BF"/>
    <w:rsid w:val="29FD04D3"/>
    <w:rsid w:val="2B3A2F0F"/>
    <w:rsid w:val="2BA2543C"/>
    <w:rsid w:val="2C4A141C"/>
    <w:rsid w:val="2C673F57"/>
    <w:rsid w:val="2D6A3274"/>
    <w:rsid w:val="319F7F4E"/>
    <w:rsid w:val="32C97752"/>
    <w:rsid w:val="34A15809"/>
    <w:rsid w:val="35265386"/>
    <w:rsid w:val="35C24C31"/>
    <w:rsid w:val="365340C6"/>
    <w:rsid w:val="37434CCD"/>
    <w:rsid w:val="3B162F0A"/>
    <w:rsid w:val="3B2F3EE1"/>
    <w:rsid w:val="3BD45317"/>
    <w:rsid w:val="3D9301D1"/>
    <w:rsid w:val="3D95132A"/>
    <w:rsid w:val="3FB83028"/>
    <w:rsid w:val="44221C29"/>
    <w:rsid w:val="46596F2F"/>
    <w:rsid w:val="46C43FE0"/>
    <w:rsid w:val="49A465D6"/>
    <w:rsid w:val="49FB4B2E"/>
    <w:rsid w:val="4B1931D8"/>
    <w:rsid w:val="4D1646FD"/>
    <w:rsid w:val="4ECE2238"/>
    <w:rsid w:val="50485D02"/>
    <w:rsid w:val="50506A35"/>
    <w:rsid w:val="51FD7221"/>
    <w:rsid w:val="57A70DE1"/>
    <w:rsid w:val="5EB81EBA"/>
    <w:rsid w:val="642A7FC1"/>
    <w:rsid w:val="65313523"/>
    <w:rsid w:val="67DB317E"/>
    <w:rsid w:val="68C3694D"/>
    <w:rsid w:val="6A65701B"/>
    <w:rsid w:val="6F3B504A"/>
    <w:rsid w:val="72734D90"/>
    <w:rsid w:val="72B33C76"/>
    <w:rsid w:val="733009D8"/>
    <w:rsid w:val="75161F2C"/>
    <w:rsid w:val="7A5C3C8D"/>
    <w:rsid w:val="7F8245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cs="黑体"/>
    </w:rPr>
  </w:style>
  <w:style w:type="paragraph" w:styleId="6">
    <w:name w:val="toa heading"/>
    <w:basedOn w:val="1"/>
    <w:next w:val="1"/>
    <w:qFormat/>
    <w:uiPriority w:val="0"/>
    <w:pPr>
      <w:spacing w:before="120" w:beforeAutospacing="0"/>
    </w:pPr>
    <w:rPr>
      <w:rFonts w:ascii="Arial" w:hAnsi="Arial"/>
      <w:sz w:val="24"/>
    </w:rPr>
  </w:style>
  <w:style w:type="paragraph" w:styleId="7">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Body Text Indent"/>
    <w:basedOn w:val="1"/>
    <w:next w:val="10"/>
    <w:qFormat/>
    <w:uiPriority w:val="99"/>
    <w:pPr>
      <w:spacing w:after="120"/>
      <w:ind w:left="420" w:leftChars="200"/>
    </w:pPr>
    <w:rPr>
      <w:szCs w:val="20"/>
    </w:rPr>
  </w:style>
  <w:style w:type="paragraph" w:styleId="10">
    <w:name w:val="Body Text First Indent 2"/>
    <w:basedOn w:val="9"/>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2"/>
    <w:qFormat/>
    <w:uiPriority w:val="9"/>
    <w:rPr>
      <w:rFonts w:ascii="Times New Roman" w:hAnsi="Times New Roman"/>
      <w:b/>
      <w:bCs/>
      <w:kern w:val="44"/>
      <w:sz w:val="44"/>
      <w:szCs w:val="44"/>
    </w:rPr>
  </w:style>
  <w:style w:type="character" w:customStyle="1" w:styleId="31">
    <w:name w:val="标题 2 字符"/>
    <w:basedOn w:val="19"/>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2"/>
    <w:semiHidden/>
    <w:qFormat/>
    <w:uiPriority w:val="99"/>
    <w:rPr>
      <w:rFonts w:ascii="Times New Roman" w:hAnsi="Times New Roman"/>
      <w:kern w:val="2"/>
      <w:sz w:val="18"/>
      <w:szCs w:val="18"/>
    </w:rPr>
  </w:style>
  <w:style w:type="character" w:customStyle="1" w:styleId="34">
    <w:name w:val="标题 3 字符"/>
    <w:basedOn w:val="19"/>
    <w:link w:val="4"/>
    <w:qFormat/>
    <w:uiPriority w:val="9"/>
    <w:rPr>
      <w:rFonts w:ascii="Times New Roman" w:hAnsi="Times New Roman"/>
      <w:b/>
      <w:bCs/>
      <w:kern w:val="2"/>
      <w:sz w:val="32"/>
      <w:szCs w:val="32"/>
    </w:rPr>
  </w:style>
  <w:style w:type="paragraph" w:customStyle="1" w:styleId="35">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42">
    <w:name w:val="NormalCharacter"/>
    <w:qFormat/>
    <w:uiPriority w:val="0"/>
    <w:rPr>
      <w:rFonts w:ascii="Calibri" w:hAnsi="Calibri" w:eastAsia="宋体" w:cs="Times New Roman"/>
      <w:kern w:val="2"/>
      <w:sz w:val="21"/>
      <w:szCs w:val="24"/>
      <w:lang w:val="en-US" w:eastAsia="zh-CN" w:bidi="ar-SA"/>
    </w:rPr>
  </w:style>
  <w:style w:type="paragraph" w:customStyle="1" w:styleId="43">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收入支出预算执行情况（万元）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本年度收入预算数</c:v>
                </c:pt>
              </c:strCache>
            </c:strRef>
          </c:tx>
          <c:spPr>
            <a:solidFill>
              <a:schemeClr val="accent1"/>
            </a:solidFill>
            <a:ln>
              <a:noFill/>
            </a:ln>
            <a:effectLst/>
          </c:spPr>
          <c:invertIfNegative val="0"/>
          <c:dLbls>
            <c:delete val="1"/>
          </c:dLbls>
          <c:cat>
            <c:numRef>
              <c:f>Sheet1!$A$2:$A$3</c:f>
              <c:numCache>
                <c:formatCode>General</c:formatCode>
                <c:ptCount val="2"/>
                <c:pt idx="0">
                  <c:v>2021</c:v>
                </c:pt>
                <c:pt idx="1">
                  <c:v>2020</c:v>
                </c:pt>
              </c:numCache>
            </c:numRef>
          </c:cat>
          <c:val>
            <c:numRef>
              <c:f>Sheet1!$B$2:$B$3</c:f>
              <c:numCache>
                <c:formatCode>General</c:formatCode>
                <c:ptCount val="2"/>
                <c:pt idx="0">
                  <c:v>528.91</c:v>
                </c:pt>
                <c:pt idx="1">
                  <c:v>528.91</c:v>
                </c:pt>
              </c:numCache>
            </c:numRef>
          </c:val>
        </c:ser>
        <c:ser>
          <c:idx val="1"/>
          <c:order val="1"/>
          <c:tx>
            <c:strRef>
              <c:f>Sheet1!$C$1</c:f>
              <c:strCache>
                <c:ptCount val="1"/>
                <c:pt idx="0">
                  <c:v>本年度收入决算数</c:v>
                </c:pt>
              </c:strCache>
            </c:strRef>
          </c:tx>
          <c:spPr>
            <a:solidFill>
              <a:schemeClr val="accent2"/>
            </a:solidFill>
            <a:ln>
              <a:noFill/>
            </a:ln>
            <a:effectLst/>
          </c:spPr>
          <c:invertIfNegative val="0"/>
          <c:dLbls>
            <c:delete val="1"/>
          </c:dLbls>
          <c:cat>
            <c:numRef>
              <c:f>Sheet1!$A$2:$A$3</c:f>
              <c:numCache>
                <c:formatCode>General</c:formatCode>
                <c:ptCount val="2"/>
                <c:pt idx="0">
                  <c:v>2021</c:v>
                </c:pt>
                <c:pt idx="1">
                  <c:v>2020</c:v>
                </c:pt>
              </c:numCache>
            </c:numRef>
          </c:cat>
          <c:val>
            <c:numRef>
              <c:f>Sheet1!$C$2:$C$3</c:f>
              <c:numCache>
                <c:formatCode>General</c:formatCode>
                <c:ptCount val="2"/>
                <c:pt idx="0">
                  <c:v>528.91</c:v>
                </c:pt>
                <c:pt idx="1">
                  <c:v>528.91</c:v>
                </c:pt>
              </c:numCache>
            </c:numRef>
          </c:val>
        </c:ser>
        <c:ser>
          <c:idx val="2"/>
          <c:order val="2"/>
          <c:tx>
            <c:strRef>
              <c:f>Sheet1!$D$1</c:f>
              <c:strCache>
                <c:ptCount val="1"/>
                <c:pt idx="0">
                  <c:v>完成度</c:v>
                </c:pt>
              </c:strCache>
            </c:strRef>
          </c:tx>
          <c:spPr>
            <a:solidFill>
              <a:schemeClr val="accent3"/>
            </a:solidFill>
            <a:ln>
              <a:noFill/>
            </a:ln>
            <a:effectLst/>
          </c:spPr>
          <c:invertIfNegative val="0"/>
          <c:dLbls>
            <c:delete val="1"/>
          </c:dLbls>
          <c:cat>
            <c:numRef>
              <c:f>Sheet1!$A$2:$A$3</c:f>
              <c:numCache>
                <c:formatCode>General</c:formatCode>
                <c:ptCount val="2"/>
                <c:pt idx="0">
                  <c:v>2021</c:v>
                </c:pt>
                <c:pt idx="1">
                  <c:v>2020</c:v>
                </c:pt>
              </c:numCache>
            </c:numRef>
          </c:cat>
          <c:val>
            <c:numRef>
              <c:f>Sheet1!$D$2:$D$3</c:f>
              <c:numCache>
                <c:formatCode>General</c:formatCode>
                <c:ptCount val="2"/>
                <c:pt idx="0">
                  <c:v>528.91</c:v>
                </c:pt>
                <c:pt idx="1">
                  <c:v>528.91</c:v>
                </c:pt>
              </c:numCache>
            </c:numRef>
          </c:val>
        </c:ser>
        <c:dLbls>
          <c:showLegendKey val="0"/>
          <c:showVal val="0"/>
          <c:showCatName val="0"/>
          <c:showSerName val="0"/>
          <c:showPercent val="0"/>
          <c:showBubbleSize val="0"/>
        </c:dLbls>
        <c:gapWidth val="219"/>
        <c:overlap val="-27"/>
        <c:axId val="327530003"/>
        <c:axId val="662997339"/>
      </c:barChart>
      <c:catAx>
        <c:axId val="3275300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2997339"/>
        <c:crosses val="autoZero"/>
        <c:auto val="1"/>
        <c:lblAlgn val="ctr"/>
        <c:lblOffset val="100"/>
        <c:noMultiLvlLbl val="0"/>
      </c:catAx>
      <c:valAx>
        <c:axId val="66299733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530003"/>
        <c:crosses val="autoZero"/>
        <c:crossBetween val="between"/>
      </c:valAx>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spc="0" normalizeH="0" baseline="0">
                <a:solidFill>
                  <a:schemeClr val="dk1">
                    <a:lumMod val="50000"/>
                    <a:lumOff val="50000"/>
                  </a:schemeClr>
                </a:solidFill>
                <a:latin typeface="+mj-lt"/>
                <a:ea typeface="+mj-ea"/>
                <a:cs typeface="+mj-cs"/>
              </a:defRPr>
            </a:pPr>
            <a:r>
              <a:rPr sz="1600" b="1" i="0" u="none" strike="noStrike" kern="1200" cap="none" spc="0" normalizeH="0" baseline="0">
                <a:solidFill>
                  <a:schemeClr val="dk1">
                    <a:lumMod val="50000"/>
                    <a:lumOff val="50000"/>
                  </a:schemeClr>
                </a:solidFill>
                <a:effectLst/>
                <a:latin typeface="+mj-lt"/>
                <a:ea typeface="+mj-ea"/>
                <a:cs typeface="+mj-cs"/>
              </a:rPr>
              <a:t>收入支出结构分析（万元）</a:t>
            </a:r>
            <a:endParaRPr sz="1600" b="1" i="0" u="none" strike="noStrike" kern="1200" cap="none" spc="0" normalizeH="0" baseline="0">
              <a:solidFill>
                <a:schemeClr val="dk1">
                  <a:lumMod val="50000"/>
                  <a:lumOff val="50000"/>
                </a:schemeClr>
              </a:solidFill>
              <a:effectLst/>
              <a:latin typeface="+mj-lt"/>
              <a:ea typeface="+mj-ea"/>
              <a:cs typeface="+mj-cs"/>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519.38</c:v>
                </c:pt>
                <c:pt idx="1">
                  <c:v>9.53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dk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490.5</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38.41</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基本支出</c:v>
                </c:pt>
                <c:pt idx="1">
                  <c:v>项目支出</c:v>
                </c:pt>
              </c:strCache>
            </c:strRef>
          </c:cat>
          <c:val>
            <c:numRef>
              <c:f>[工作簿1]Sheet1!$D$4:$E$4</c:f>
              <c:numCache>
                <c:formatCode>0%</c:formatCode>
                <c:ptCount val="2"/>
                <c:pt idx="0">
                  <c:v>0.82</c:v>
                </c:pt>
                <c:pt idx="1">
                  <c:v>0.18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[工作簿1]Sheet1!$C$4</c:f>
              <c:strCache>
                <c:ptCount val="1"/>
                <c:pt idx="0">
                  <c:v>2020年</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392.93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395.4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收入（万元）</c:v>
                </c:pt>
                <c:pt idx="1">
                  <c:v>支出（万元）</c:v>
                </c:pt>
              </c:strCache>
            </c:strRef>
          </c:cat>
          <c:val>
            <c:numRef>
              <c:f>[工作簿1]Sheet1!$D$4:$E$4</c:f>
              <c:numCache>
                <c:formatCode>General</c:formatCode>
                <c:ptCount val="2"/>
                <c:pt idx="0">
                  <c:v>695.56</c:v>
                </c:pt>
                <c:pt idx="1">
                  <c:v>678.7</c:v>
                </c:pt>
              </c:numCache>
            </c:numRef>
          </c:val>
        </c:ser>
        <c:ser>
          <c:idx val="1"/>
          <c:order val="1"/>
          <c:tx>
            <c:strRef>
              <c:f>[工作簿1]Sheet1!$C$5</c:f>
              <c:strCache>
                <c:ptCount val="1"/>
                <c:pt idx="0">
                  <c:v>2021年</c:v>
                </c:pt>
              </c:strCache>
            </c:strRef>
          </c:tx>
          <c:spPr>
            <a:solidFill>
              <a:schemeClr val="accent2"/>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519.38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519.38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收入（万元）</c:v>
                </c:pt>
                <c:pt idx="1">
                  <c:v>支出（万元）</c:v>
                </c:pt>
              </c:strCache>
            </c:strRef>
          </c:cat>
          <c:val>
            <c:numRef>
              <c:f>[工作簿1]Sheet1!$D$5:$E$5</c:f>
              <c:numCache>
                <c:formatCode>General</c:formatCode>
                <c:ptCount val="2"/>
                <c:pt idx="0">
                  <c:v>853.31</c:v>
                </c:pt>
                <c:pt idx="1">
                  <c:v>853.31</c:v>
                </c:pt>
              </c:numCache>
            </c:numRef>
          </c:val>
        </c:ser>
        <c:dLbls>
          <c:showLegendKey val="0"/>
          <c:showVal val="1"/>
          <c:showCatName val="0"/>
          <c:showSerName val="0"/>
          <c:showPercent val="0"/>
          <c:showBubbleSize val="0"/>
        </c:dLbls>
        <c:gapWidth val="219"/>
        <c:overlap val="-27"/>
        <c:axId val="169725620"/>
        <c:axId val="401098016"/>
      </c:barChart>
      <c:catAx>
        <c:axId val="1697256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098016"/>
        <c:crosses val="autoZero"/>
        <c:auto val="1"/>
        <c:lblAlgn val="ctr"/>
        <c:lblOffset val="100"/>
        <c:noMultiLvlLbl val="0"/>
      </c:catAx>
      <c:valAx>
        <c:axId val="40109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972562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[工作簿1]Sheet1!$G$4</c:f>
              <c:strCache>
                <c:ptCount val="1"/>
                <c:pt idx="0">
                  <c:v>一般公共预算财政拨款（万元）</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392.91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519.38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[工作簿1]Sheet1!$F$5:$F$6</c:f>
              <c:numCache>
                <c:formatCode>General</c:formatCode>
                <c:ptCount val="2"/>
                <c:pt idx="0">
                  <c:v>2020</c:v>
                </c:pt>
                <c:pt idx="1">
                  <c:v>2021</c:v>
                </c:pt>
              </c:numCache>
            </c:numRef>
          </c:cat>
          <c:val>
            <c:numRef>
              <c:f>[工作簿1]Sheet1!$G$5:$G$6</c:f>
              <c:numCache>
                <c:formatCode>General</c:formatCode>
                <c:ptCount val="2"/>
                <c:pt idx="0">
                  <c:v>678.7</c:v>
                </c:pt>
                <c:pt idx="1">
                  <c:v>853.31</c:v>
                </c:pt>
              </c:numCache>
            </c:numRef>
          </c:val>
        </c:ser>
        <c:dLbls>
          <c:showLegendKey val="0"/>
          <c:showVal val="1"/>
          <c:showCatName val="0"/>
          <c:showSerName val="0"/>
          <c:showPercent val="0"/>
          <c:showBubbleSize val="0"/>
        </c:dLbls>
        <c:gapWidth val="219"/>
        <c:overlap val="-27"/>
        <c:axId val="286237299"/>
        <c:axId val="303841188"/>
      </c:barChart>
      <c:catAx>
        <c:axId val="2862372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3841188"/>
        <c:crosses val="autoZero"/>
        <c:auto val="1"/>
        <c:lblAlgn val="ctr"/>
        <c:lblOffset val="100"/>
        <c:noMultiLvlLbl val="0"/>
      </c:catAx>
      <c:valAx>
        <c:axId val="3038411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62372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教育支出</c:v>
                </c:pt>
                <c:pt idx="1">
                  <c:v>社会保障和就业（类）支出</c:v>
                </c:pt>
                <c:pt idx="2">
                  <c:v>卫生健康支出</c:v>
                </c:pt>
                <c:pt idx="3">
                  <c:v>住房保障支出</c:v>
                </c:pt>
              </c:strCache>
            </c:strRef>
          </c:cat>
          <c:val>
            <c:numRef>
              <c:f>Sheet1!$B$2:$B$5</c:f>
              <c:numCache>
                <c:formatCode>General</c:formatCode>
                <c:ptCount val="4"/>
                <c:pt idx="0">
                  <c:v>80.31</c:v>
                </c:pt>
                <c:pt idx="1">
                  <c:v>10.86</c:v>
                </c:pt>
                <c:pt idx="2">
                  <c:v>4.28</c:v>
                </c:pt>
                <c:pt idx="3">
                  <c:v>6.38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公务用车购置及运行维护费支出</c:v>
                </c:pt>
                <c:pt idx="1">
                  <c:v>公务接待费支出</c:v>
                </c:pt>
              </c:strCache>
            </c:strRef>
          </c:cat>
          <c:val>
            <c:numRef>
              <c:f>Sheet1!$B$2:$B$3</c:f>
              <c:numCache>
                <c:formatCode>General</c:formatCode>
                <c:ptCount val="2"/>
                <c:pt idx="0">
                  <c:v>90</c:v>
                </c:pt>
                <c:pt idx="1">
                  <c:v>10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0</TotalTime>
  <ScaleCrop>false</ScaleCrop>
  <LinksUpToDate>false</LinksUpToDate>
  <CharactersWithSpaces>23081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cp:lastModifiedBy>
  <cp:lastPrinted>2020-07-23T02:58:00Z</cp:lastPrinted>
  <dcterms:modified xsi:type="dcterms:W3CDTF">2023-10-24T16:29:22Z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99F0A60A3B64473E82D8A71841685294_13</vt:lpwstr>
  </property>
</Properties>
</file>