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7907"/>
      <w:bookmarkStart w:id="2" w:name="_Toc15396597"/>
      <w:bookmarkStart w:id="3" w:name="_Toc15377425"/>
      <w:bookmarkStart w:id="4" w:name="_Toc15378441"/>
      <w:bookmarkStart w:id="5" w:name="_Toc15377193"/>
      <w:bookmarkStart w:id="6" w:name="_Toc15396475"/>
      <w:r>
        <w:rPr>
          <w:rFonts w:ascii="黑体" w:hAnsi="黑体" w:eastAsia="黑体"/>
          <w:color w:val="000000"/>
          <w:sz w:val="72"/>
          <w:szCs w:val="72"/>
        </w:rPr>
        <w:t>2019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78442"/>
      <w:bookmarkStart w:id="8" w:name="_Toc15396598"/>
      <w:bookmarkStart w:id="9" w:name="_Toc15396476"/>
      <w:bookmarkStart w:id="10" w:name="_Toc15377426"/>
      <w:bookmarkStart w:id="11" w:name="_Toc15377194"/>
      <w:bookmarkStart w:id="12" w:name="_Toc18771"/>
      <w:r>
        <w:rPr>
          <w:rFonts w:hint="eastAsia" w:ascii="方正小标宋简体" w:hAnsi="宋体" w:eastAsia="方正小标宋简体"/>
          <w:color w:val="000000"/>
          <w:sz w:val="72"/>
          <w:szCs w:val="72"/>
        </w:rPr>
        <w:t>四川省阿坝州红原县</w:t>
      </w:r>
      <w:bookmarkEnd w:id="0"/>
      <w:bookmarkStart w:id="13" w:name="_Toc15306268"/>
      <w:r>
        <w:rPr>
          <w:rFonts w:hint="eastAsia" w:ascii="方正小标宋简体" w:hAnsi="宋体" w:eastAsia="方正小标宋简体"/>
          <w:color w:val="000000"/>
          <w:sz w:val="72"/>
          <w:szCs w:val="72"/>
        </w:rPr>
        <w:t>文化馆部门决算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rPr>
          <w:rFonts w:ascii="方正小标宋简体" w:hAnsi="宋体" w:eastAsia="方正小标宋简体"/>
          <w:sz w:val="36"/>
          <w:szCs w:val="36"/>
        </w:rPr>
      </w:pPr>
    </w:p>
    <w:p>
      <w:pPr>
        <w:pStyle w:val="11"/>
      </w:pPr>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r>
        <w:rPr>
          <w:rFonts w:hint="eastAsia" w:ascii="方正小标宋简体" w:hAnsi="宋体" w:eastAsia="方正小标宋简体"/>
          <w:color w:val="000000"/>
          <w:sz w:val="72"/>
          <w:szCs w:val="72"/>
          <w:lang w:eastAsia="zh-CN"/>
        </w:rPr>
        <w:t>目录</w:t>
      </w:r>
    </w:p>
    <w:p>
      <w:pPr>
        <w:pStyle w:val="11"/>
        <w:adjustRightInd w:val="0"/>
        <w:snapToGrid w:val="0"/>
        <w:spacing w:before="0" w:line="440" w:lineRule="exact"/>
        <w:jc w:val="left"/>
        <w:rPr>
          <w:sz w:val="24"/>
          <w:szCs w:val="24"/>
        </w:rPr>
      </w:pPr>
      <w:r>
        <w:rPr>
          <w:rFonts w:hint="eastAsia"/>
          <w:sz w:val="24"/>
        </w:rPr>
        <w:t>第一部分</w:t>
      </w:r>
      <w:r>
        <w:rPr>
          <w:sz w:val="24"/>
        </w:rPr>
        <w:t xml:space="preserve"> </w:t>
      </w:r>
      <w:r>
        <w:rPr>
          <w:rFonts w:hint="eastAsia"/>
          <w:sz w:val="24"/>
        </w:rPr>
        <w:t>部门概况</w:t>
      </w:r>
    </w:p>
    <w:p>
      <w:pPr>
        <w:pStyle w:val="12"/>
        <w:adjustRightInd w:val="0"/>
        <w:snapToGrid w:val="0"/>
        <w:spacing w:line="440" w:lineRule="exact"/>
        <w:jc w:val="left"/>
        <w:rPr>
          <w:rFonts w:ascii="仿宋" w:hAnsi="仿宋" w:eastAsia="仿宋"/>
          <w:sz w:val="24"/>
        </w:rPr>
      </w:pPr>
      <w:r>
        <w:rPr>
          <w:rFonts w:hint="eastAsia"/>
          <w:sz w:val="24"/>
        </w:rPr>
        <w:t>一、基本职能及主要工作</w:t>
      </w:r>
      <w:r>
        <w:rPr>
          <w:sz w:val="24"/>
        </w:rPr>
        <w:t>………………………………………………4</w:t>
      </w:r>
    </w:p>
    <w:p>
      <w:pPr>
        <w:pStyle w:val="12"/>
        <w:adjustRightInd w:val="0"/>
        <w:snapToGrid w:val="0"/>
        <w:spacing w:line="440" w:lineRule="exact"/>
        <w:jc w:val="left"/>
        <w:rPr>
          <w:rFonts w:ascii="仿宋" w:hAnsi="仿宋" w:eastAsia="仿宋"/>
          <w:sz w:val="24"/>
        </w:rPr>
      </w:pPr>
      <w:r>
        <w:rPr>
          <w:rFonts w:hint="eastAsia"/>
          <w:sz w:val="24"/>
        </w:rPr>
        <w:t>二、机构设置</w:t>
      </w:r>
      <w:r>
        <w:rPr>
          <w:sz w:val="24"/>
        </w:rPr>
        <w:t>……………………………………………………………5</w:t>
      </w:r>
    </w:p>
    <w:p>
      <w:pPr>
        <w:pStyle w:val="11"/>
        <w:adjustRightInd w:val="0"/>
        <w:snapToGrid w:val="0"/>
        <w:spacing w:before="0" w:line="440" w:lineRule="exact"/>
        <w:jc w:val="left"/>
        <w:rPr>
          <w:sz w:val="24"/>
          <w:szCs w:val="24"/>
        </w:rPr>
      </w:pPr>
      <w:r>
        <w:rPr>
          <w:rFonts w:hint="eastAsia"/>
          <w:sz w:val="24"/>
        </w:rPr>
        <w:t>第二部分度部门决算情况说明</w:t>
      </w:r>
    </w:p>
    <w:p>
      <w:pPr>
        <w:pStyle w:val="12"/>
        <w:adjustRightInd w:val="0"/>
        <w:snapToGrid w:val="0"/>
        <w:spacing w:line="440" w:lineRule="exact"/>
        <w:jc w:val="left"/>
        <w:rPr>
          <w:rFonts w:ascii="仿宋" w:hAnsi="仿宋" w:eastAsia="仿宋"/>
          <w:sz w:val="24"/>
        </w:rPr>
      </w:pPr>
      <w:r>
        <w:rPr>
          <w:rFonts w:hint="eastAsia"/>
          <w:sz w:val="24"/>
        </w:rPr>
        <w:t>一、收入支出决算总体情况说明</w:t>
      </w:r>
      <w:r>
        <w:rPr>
          <w:sz w:val="24"/>
        </w:rPr>
        <w:t>……………………………………….6</w:t>
      </w:r>
    </w:p>
    <w:p>
      <w:pPr>
        <w:pStyle w:val="12"/>
        <w:adjustRightInd w:val="0"/>
        <w:snapToGrid w:val="0"/>
        <w:spacing w:line="440" w:lineRule="exact"/>
        <w:jc w:val="left"/>
        <w:rPr>
          <w:rFonts w:ascii="仿宋" w:hAnsi="仿宋" w:eastAsia="仿宋"/>
          <w:sz w:val="24"/>
        </w:rPr>
      </w:pPr>
      <w:r>
        <w:rPr>
          <w:rFonts w:hint="eastAsia"/>
          <w:sz w:val="24"/>
        </w:rPr>
        <w:t>二、收入决算情况说明</w:t>
      </w:r>
      <w:r>
        <w:rPr>
          <w:sz w:val="24"/>
        </w:rPr>
        <w:t>…………………………………………………..6</w:t>
      </w:r>
    </w:p>
    <w:p>
      <w:pPr>
        <w:pStyle w:val="12"/>
        <w:adjustRightInd w:val="0"/>
        <w:snapToGrid w:val="0"/>
        <w:spacing w:line="440" w:lineRule="exact"/>
        <w:jc w:val="left"/>
        <w:rPr>
          <w:rFonts w:ascii="仿宋" w:hAnsi="仿宋" w:eastAsia="仿宋"/>
          <w:sz w:val="24"/>
        </w:rPr>
      </w:pPr>
      <w:r>
        <w:rPr>
          <w:rFonts w:hint="eastAsia"/>
          <w:sz w:val="24"/>
        </w:rPr>
        <w:t>三、支出决算情况说明</w:t>
      </w:r>
      <w:r>
        <w:rPr>
          <w:sz w:val="24"/>
        </w:rPr>
        <w:t>………………………………………………….7</w:t>
      </w:r>
    </w:p>
    <w:p>
      <w:pPr>
        <w:pStyle w:val="12"/>
        <w:adjustRightInd w:val="0"/>
        <w:snapToGrid w:val="0"/>
        <w:spacing w:line="440" w:lineRule="exact"/>
        <w:jc w:val="left"/>
        <w:rPr>
          <w:rFonts w:ascii="仿宋" w:hAnsi="仿宋" w:eastAsia="仿宋"/>
          <w:sz w:val="24"/>
        </w:rPr>
      </w:pPr>
      <w:r>
        <w:rPr>
          <w:rFonts w:hint="eastAsia"/>
          <w:sz w:val="24"/>
        </w:rPr>
        <w:t>四、财政拨款收入支出决算总体情况说明</w:t>
      </w:r>
      <w:r>
        <w:rPr>
          <w:sz w:val="24"/>
        </w:rPr>
        <w:t>…………………………….7</w:t>
      </w:r>
    </w:p>
    <w:p>
      <w:pPr>
        <w:pStyle w:val="12"/>
        <w:adjustRightInd w:val="0"/>
        <w:snapToGrid w:val="0"/>
        <w:spacing w:line="440" w:lineRule="exact"/>
        <w:jc w:val="left"/>
        <w:rPr>
          <w:rFonts w:ascii="仿宋" w:hAnsi="仿宋" w:eastAsia="仿宋"/>
          <w:sz w:val="24"/>
        </w:rPr>
      </w:pPr>
      <w:r>
        <w:rPr>
          <w:rFonts w:hint="eastAsia"/>
          <w:sz w:val="24"/>
        </w:rPr>
        <w:t>五、一般公共预算财政拨款支出决算情况说明</w:t>
      </w:r>
      <w:r>
        <w:rPr>
          <w:sz w:val="24"/>
        </w:rPr>
        <w:t>………………………..8</w:t>
      </w:r>
    </w:p>
    <w:p>
      <w:pPr>
        <w:pStyle w:val="12"/>
        <w:adjustRightInd w:val="0"/>
        <w:snapToGrid w:val="0"/>
        <w:spacing w:line="440" w:lineRule="exact"/>
        <w:jc w:val="left"/>
        <w:rPr>
          <w:rFonts w:ascii="仿宋" w:hAnsi="仿宋" w:eastAsia="仿宋"/>
          <w:sz w:val="24"/>
        </w:rPr>
      </w:pPr>
      <w:r>
        <w:rPr>
          <w:rFonts w:hint="eastAsia"/>
          <w:sz w:val="24"/>
        </w:rPr>
        <w:t>六、一般公共预算财政拨款基本支出决算情况说明</w:t>
      </w:r>
      <w:r>
        <w:rPr>
          <w:sz w:val="24"/>
        </w:rPr>
        <w:t>…………………..10</w:t>
      </w:r>
    </w:p>
    <w:p>
      <w:pPr>
        <w:pStyle w:val="12"/>
        <w:adjustRightInd w:val="0"/>
        <w:snapToGrid w:val="0"/>
        <w:spacing w:line="440" w:lineRule="exact"/>
        <w:jc w:val="left"/>
        <w:rPr>
          <w:rFonts w:ascii="仿宋" w:hAnsi="仿宋" w:eastAsia="仿宋"/>
          <w:sz w:val="24"/>
        </w:rPr>
      </w:pPr>
      <w:r>
        <w:rPr>
          <w:rFonts w:hint="eastAsia"/>
          <w:sz w:val="24"/>
        </w:rPr>
        <w:t>七、</w:t>
      </w:r>
      <w:r>
        <w:rPr>
          <w:sz w:val="24"/>
        </w:rPr>
        <w:t>“</w:t>
      </w:r>
      <w:r>
        <w:rPr>
          <w:rFonts w:hint="eastAsia"/>
          <w:sz w:val="24"/>
        </w:rPr>
        <w:t>三公”经费财政拨款支出决算情况说明</w:t>
      </w:r>
      <w:r>
        <w:rPr>
          <w:sz w:val="24"/>
        </w:rPr>
        <w:t>…………………………10</w:t>
      </w:r>
    </w:p>
    <w:p>
      <w:pPr>
        <w:pStyle w:val="12"/>
        <w:adjustRightInd w:val="0"/>
        <w:snapToGrid w:val="0"/>
        <w:spacing w:line="440" w:lineRule="exact"/>
        <w:jc w:val="left"/>
        <w:rPr>
          <w:rFonts w:ascii="仿宋" w:hAnsi="仿宋" w:eastAsia="仿宋"/>
          <w:sz w:val="24"/>
        </w:rPr>
      </w:pPr>
      <w:r>
        <w:rPr>
          <w:rFonts w:hint="eastAsia"/>
          <w:sz w:val="24"/>
        </w:rPr>
        <w:t>八、政府性基金预算支出决算情况说明</w:t>
      </w:r>
      <w:r>
        <w:rPr>
          <w:sz w:val="24"/>
        </w:rPr>
        <w:t>…………………………………11</w:t>
      </w:r>
    </w:p>
    <w:p>
      <w:pPr>
        <w:pStyle w:val="12"/>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w:t>
      </w:r>
      <w:r>
        <w:rPr>
          <w:rFonts w:hint="eastAsia"/>
          <w:sz w:val="24"/>
        </w:rPr>
        <w:t>国有资本经营预算支出决算情况说明</w:t>
      </w:r>
      <w:r>
        <w:rPr>
          <w:sz w:val="24"/>
        </w:rPr>
        <w:t>……………………………..11</w:t>
      </w:r>
    </w:p>
    <w:p>
      <w:pPr>
        <w:adjustRightInd w:val="0"/>
        <w:snapToGrid w:val="0"/>
        <w:spacing w:line="440" w:lineRule="exact"/>
        <w:ind w:firstLine="480" w:firstLineChars="200"/>
        <w:jc w:val="left"/>
        <w:rPr>
          <w:rFonts w:ascii="仿宋" w:hAnsi="仿宋" w:eastAsia="仿宋"/>
          <w:sz w:val="24"/>
        </w:rPr>
      </w:pPr>
      <w:r>
        <w:rPr>
          <w:rStyle w:val="17"/>
          <w:rFonts w:hint="eastAsia" w:ascii="仿宋" w:hAnsi="仿宋" w:eastAsia="仿宋"/>
          <w:color w:val="000000"/>
          <w:sz w:val="24"/>
          <w:u w:val="none"/>
        </w:rPr>
        <w:t>十、</w:t>
      </w:r>
      <w:r>
        <w:rPr>
          <w:rFonts w:hint="eastAsia"/>
          <w:sz w:val="24"/>
        </w:rPr>
        <w:t>其他重要事项的情况说明</w:t>
      </w:r>
      <w:r>
        <w:rPr>
          <w:rFonts w:ascii="仿宋" w:hAnsi="仿宋" w:eastAsia="仿宋"/>
          <w:sz w:val="24"/>
        </w:rPr>
        <w:tab/>
      </w:r>
      <w:r>
        <w:rPr>
          <w:rFonts w:ascii="仿宋" w:hAnsi="仿宋" w:eastAsia="仿宋"/>
          <w:sz w:val="24"/>
        </w:rPr>
        <w:t>…………………………………….….11</w:t>
      </w:r>
    </w:p>
    <w:p>
      <w:pPr>
        <w:pStyle w:val="11"/>
        <w:adjustRightInd w:val="0"/>
        <w:snapToGrid w:val="0"/>
        <w:spacing w:before="0" w:line="440" w:lineRule="exact"/>
        <w:jc w:val="left"/>
        <w:rPr>
          <w:sz w:val="24"/>
          <w:szCs w:val="24"/>
        </w:rPr>
      </w:pPr>
      <w:r>
        <w:rPr>
          <w:rFonts w:hint="eastAsia"/>
          <w:sz w:val="24"/>
        </w:rPr>
        <w:t>第三部分</w:t>
      </w:r>
      <w:r>
        <w:rPr>
          <w:sz w:val="24"/>
        </w:rPr>
        <w:t xml:space="preserve"> </w:t>
      </w:r>
      <w:r>
        <w:rPr>
          <w:rFonts w:hint="eastAsia"/>
          <w:sz w:val="24"/>
        </w:rPr>
        <w:t>名词解释</w:t>
      </w:r>
      <w:r>
        <w:rPr>
          <w:sz w:val="24"/>
        </w:rPr>
        <w:t>……………………………………………………………12</w:t>
      </w:r>
    </w:p>
    <w:p>
      <w:pPr>
        <w:widowControl/>
        <w:spacing w:line="440" w:lineRule="exact"/>
        <w:jc w:val="left"/>
        <w:rPr>
          <w:rFonts w:ascii="仿宋" w:hAnsi="仿宋" w:eastAsia="仿宋"/>
          <w:bCs/>
          <w:kern w:val="44"/>
          <w:sz w:val="24"/>
        </w:rPr>
      </w:pPr>
      <w:bookmarkStart w:id="14" w:name="_Toc15396599"/>
      <w:bookmarkStart w:id="15" w:name="_Toc15377196"/>
      <w:r>
        <w:rPr>
          <w:rFonts w:hint="eastAsia" w:ascii="仿宋" w:hAnsi="仿宋" w:eastAsia="仿宋"/>
          <w:bCs/>
          <w:kern w:val="44"/>
          <w:sz w:val="24"/>
        </w:rPr>
        <w:t>第四部分红原县文化馆绩效评价</w:t>
      </w:r>
      <w:r>
        <w:rPr>
          <w:rFonts w:ascii="仿宋" w:hAnsi="仿宋" w:eastAsia="仿宋"/>
          <w:bCs/>
          <w:kern w:val="44"/>
          <w:sz w:val="24"/>
        </w:rPr>
        <w:t>…………………………………………….14</w:t>
      </w:r>
    </w:p>
    <w:p>
      <w:pPr>
        <w:pStyle w:val="2"/>
        <w:jc w:val="center"/>
      </w:pPr>
      <w:bookmarkStart w:id="16" w:name="_Toc11882"/>
    </w:p>
    <w:p/>
    <w:p/>
    <w:p/>
    <w:p/>
    <w:p/>
    <w:p/>
    <w:p/>
    <w:p/>
    <w:p/>
    <w:p/>
    <w:p>
      <w:bookmarkStart w:id="111" w:name="_GoBack"/>
      <w:bookmarkEnd w:id="111"/>
    </w:p>
    <w:p/>
    <w:p>
      <w:pPr>
        <w:pStyle w:val="2"/>
        <w:jc w:val="center"/>
        <w:rPr>
          <w:rFonts w:ascii="黑体" w:hAnsi="黑体" w:eastAsia="黑体"/>
          <w:bCs w:val="0"/>
        </w:rPr>
      </w:pPr>
      <w:r>
        <w:rPr>
          <w:rFonts w:hint="eastAsia"/>
        </w:rPr>
        <w:t>第一部分</w:t>
      </w:r>
      <w:r>
        <w:t xml:space="preserve"> </w:t>
      </w:r>
      <w:r>
        <w:rPr>
          <w:rStyle w:val="18"/>
          <w:rFonts w:hint="eastAsia" w:ascii="黑体" w:hAnsi="黑体" w:eastAsia="黑体"/>
          <w:b w:val="0"/>
          <w:bCs w:val="0"/>
        </w:rPr>
        <w:t>部门概况</w:t>
      </w:r>
      <w:bookmarkEnd w:id="14"/>
      <w:bookmarkEnd w:id="15"/>
      <w:bookmarkEnd w:id="16"/>
    </w:p>
    <w:p>
      <w:pPr>
        <w:pStyle w:val="3"/>
        <w:rPr>
          <w:rStyle w:val="19"/>
          <w:rFonts w:ascii="仿宋" w:hAnsi="仿宋" w:eastAsia="仿宋"/>
          <w:b w:val="0"/>
          <w:bCs w:val="0"/>
        </w:rPr>
      </w:pPr>
      <w:bookmarkStart w:id="17" w:name="_Toc15396600"/>
      <w:bookmarkStart w:id="18" w:name="_Toc15377197"/>
      <w:bookmarkStart w:id="19" w:name="_Toc1757"/>
      <w:r>
        <w:rPr>
          <w:rFonts w:hint="eastAsia" w:ascii="黑体" w:hAnsi="黑体" w:eastAsia="黑体"/>
          <w:b w:val="0"/>
          <w:color w:val="000000"/>
        </w:rPr>
        <w:t>一、基</w:t>
      </w:r>
      <w:r>
        <w:rPr>
          <w:rStyle w:val="19"/>
          <w:rFonts w:hint="eastAsia" w:ascii="黑体" w:hAnsi="黑体" w:eastAsia="黑体"/>
          <w:b w:val="0"/>
          <w:bCs w:val="0"/>
        </w:rPr>
        <w:t>本职能及主要工作</w:t>
      </w:r>
      <w:bookmarkEnd w:id="17"/>
      <w:bookmarkEnd w:id="18"/>
      <w:bookmarkEnd w:id="19"/>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15377198"/>
      <w:bookmarkStart w:id="21" w:name="_Toc15378445"/>
      <w:bookmarkStart w:id="22" w:name="_Toc1936"/>
      <w:r>
        <w:rPr>
          <w:rFonts w:hint="eastAsia" w:ascii="仿宋" w:hAnsi="仿宋" w:eastAsia="仿宋"/>
          <w:bCs/>
          <w:color w:val="000000"/>
          <w:sz w:val="32"/>
          <w:szCs w:val="32"/>
        </w:rPr>
        <w:t>（一）主要职能。</w:t>
      </w:r>
      <w:bookmarkEnd w:id="20"/>
      <w:bookmarkEnd w:id="21"/>
      <w:bookmarkStart w:id="23" w:name="_Toc15378446"/>
      <w:bookmarkStart w:id="24" w:name="_Toc15377199"/>
      <w:r>
        <w:rPr>
          <w:rFonts w:hint="eastAsia" w:ascii="仿宋" w:hAnsi="仿宋" w:eastAsia="仿宋"/>
          <w:bCs/>
          <w:color w:val="000000"/>
          <w:sz w:val="32"/>
          <w:szCs w:val="32"/>
        </w:rPr>
        <w:t>（一）主要职能：</w:t>
      </w:r>
      <w:r>
        <w:rPr>
          <w:rFonts w:hint="eastAsia" w:ascii="仿宋" w:hAnsi="仿宋" w:eastAsia="仿宋"/>
          <w:sz w:val="32"/>
          <w:szCs w:val="32"/>
        </w:rPr>
        <w:t>贯彻执行党和国家有关文化艺术、体育、文物保护、新闻出版版权、广播影视和新闻宣传工作的方针、政策和法律、法规；受委托研究起草有关文化艺术、体育、文物、广播影视、新闻出版、版权管理等方面的地方政策规定，经审议通过后组织实施。管理全县社会文化、文物、体育、新闻出版、版权和广播影视事业；负责研究拟订全县文化、文物、体育、新闻出版、版权和广播影视事业发展规划，经批准后组织和监督实施；指导文体广新系统下属单位的体制改革；规划、指导重点文化、广播基础设施建设；负责全县广播电视技术发展目标、规划和实施措施的制订，组织广播电视新技术新工艺的技术改良和推广；根据国家和省、州的统筹规划，对全县广播电视专用网络进行具体规划并管理，指导分级建设和开发工作；参与拟订全县信息网络的总体规划；负责全县农村公益电影放映的协调、资金配套等事项。负责推动全县文化、体育、文物、新闻出版、版权和广播影视产业发展。</w:t>
      </w:r>
      <w:bookmarkEnd w:id="22"/>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25" w:name="_Toc17345"/>
      <w:r>
        <w:rPr>
          <w:rFonts w:hint="eastAsia" w:ascii="仿宋" w:hAnsi="仿宋" w:eastAsia="仿宋"/>
          <w:bCs/>
          <w:color w:val="000000"/>
          <w:sz w:val="32"/>
          <w:szCs w:val="32"/>
        </w:rPr>
        <w:t>（二）</w:t>
      </w:r>
      <w:r>
        <w:rPr>
          <w:rFonts w:ascii="仿宋" w:hAnsi="仿宋" w:eastAsia="仿宋"/>
          <w:bCs/>
          <w:color w:val="000000"/>
          <w:sz w:val="32"/>
          <w:szCs w:val="32"/>
        </w:rPr>
        <w:t>2019</w:t>
      </w:r>
      <w:r>
        <w:rPr>
          <w:rFonts w:hint="eastAsia" w:ascii="仿宋" w:hAnsi="仿宋" w:eastAsia="仿宋"/>
          <w:bCs/>
          <w:color w:val="000000"/>
          <w:sz w:val="32"/>
          <w:szCs w:val="32"/>
        </w:rPr>
        <w:t>年重点工作完成情况。</w:t>
      </w:r>
      <w:bookmarkEnd w:id="23"/>
      <w:bookmarkEnd w:id="24"/>
      <w:bookmarkEnd w:id="25"/>
    </w:p>
    <w:p>
      <w:pPr>
        <w:pStyle w:val="32"/>
        <w:adjustRightInd w:val="0"/>
        <w:snapToGrid w:val="0"/>
        <w:spacing w:line="540" w:lineRule="exact"/>
        <w:ind w:firstLine="645"/>
        <w:textAlignment w:val="baseline"/>
        <w:rPr>
          <w:rFonts w:ascii="仿宋_GB2312" w:hAnsi="仿宋_GB2312" w:eastAsia="仿宋_GB2312"/>
          <w:color w:val="000000"/>
          <w:sz w:val="32"/>
          <w:szCs w:val="32"/>
        </w:rPr>
      </w:pPr>
      <w:r>
        <w:rPr>
          <w:rFonts w:hint="eastAsia" w:ascii="仿宋_GB2312" w:eastAsia="仿宋_GB2312"/>
          <w:b/>
          <w:color w:val="000000"/>
          <w:sz w:val="32"/>
          <w:szCs w:val="32"/>
        </w:rPr>
        <w:t>一是</w:t>
      </w:r>
      <w:r>
        <w:rPr>
          <w:rFonts w:hint="eastAsia" w:ascii="仿宋_GB2312" w:eastAsia="仿宋_GB2312"/>
          <w:color w:val="000000"/>
          <w:sz w:val="32"/>
          <w:szCs w:val="32"/>
        </w:rPr>
        <w:t>我局共组织开展各类文化艺术活动</w:t>
      </w:r>
      <w:r>
        <w:rPr>
          <w:rFonts w:ascii="仿宋_GB2312" w:eastAsia="仿宋_GB2312"/>
          <w:color w:val="000000"/>
          <w:sz w:val="32"/>
          <w:szCs w:val="32"/>
        </w:rPr>
        <w:t>20</w:t>
      </w:r>
      <w:r>
        <w:rPr>
          <w:rFonts w:hint="eastAsia" w:ascii="仿宋_GB2312" w:eastAsia="仿宋_GB2312"/>
          <w:color w:val="000000"/>
          <w:sz w:val="32"/>
          <w:szCs w:val="32"/>
        </w:rPr>
        <w:t>余场。其中，</w:t>
      </w:r>
      <w:r>
        <w:rPr>
          <w:rFonts w:ascii="仿宋_GB2312" w:eastAsia="仿宋_GB2312"/>
          <w:color w:val="000000"/>
          <w:sz w:val="32"/>
          <w:szCs w:val="32"/>
        </w:rPr>
        <w:t>3</w:t>
      </w:r>
      <w:r>
        <w:rPr>
          <w:rFonts w:hint="eastAsia" w:ascii="仿宋_GB2312" w:eastAsia="仿宋_GB2312"/>
          <w:color w:val="000000"/>
          <w:sz w:val="32"/>
          <w:szCs w:val="32"/>
        </w:rPr>
        <w:t>次深入乡镇开展文艺活动，平均每季度</w:t>
      </w:r>
      <w:r>
        <w:rPr>
          <w:rFonts w:ascii="仿宋_GB2312" w:eastAsia="仿宋_GB2312"/>
          <w:color w:val="000000"/>
          <w:sz w:val="32"/>
          <w:szCs w:val="32"/>
        </w:rPr>
        <w:t>1</w:t>
      </w:r>
      <w:r>
        <w:rPr>
          <w:rFonts w:hint="eastAsia" w:ascii="仿宋_GB2312" w:eastAsia="仿宋_GB2312"/>
          <w:color w:val="000000"/>
          <w:sz w:val="32"/>
          <w:szCs w:val="32"/>
        </w:rPr>
        <w:t>次，将文艺送到了群众家门口；开展较大型文艺活动</w:t>
      </w:r>
      <w:r>
        <w:rPr>
          <w:rFonts w:ascii="仿宋_GB2312" w:eastAsia="仿宋_GB2312"/>
          <w:color w:val="000000"/>
          <w:sz w:val="32"/>
          <w:szCs w:val="32"/>
        </w:rPr>
        <w:t>3</w:t>
      </w:r>
      <w:r>
        <w:rPr>
          <w:rFonts w:hint="eastAsia" w:ascii="仿宋_GB2312" w:eastAsia="仿宋_GB2312"/>
          <w:color w:val="000000"/>
          <w:sz w:val="32"/>
          <w:szCs w:val="32"/>
        </w:rPr>
        <w:t>次；组织队伍参加各类比赛，交流活动</w:t>
      </w:r>
      <w:r>
        <w:rPr>
          <w:rFonts w:ascii="仿宋_GB2312" w:eastAsia="仿宋_GB2312"/>
          <w:color w:val="000000"/>
          <w:sz w:val="32"/>
          <w:szCs w:val="32"/>
        </w:rPr>
        <w:t>7</w:t>
      </w:r>
      <w:r>
        <w:rPr>
          <w:rFonts w:hint="eastAsia" w:ascii="仿宋_GB2312" w:eastAsia="仿宋_GB2312"/>
          <w:color w:val="000000"/>
          <w:sz w:val="32"/>
          <w:szCs w:val="32"/>
        </w:rPr>
        <w:t>次</w:t>
      </w:r>
      <w:r>
        <w:rPr>
          <w:rFonts w:ascii="仿宋_GB2312" w:eastAsia="仿宋_GB2312"/>
          <w:color w:val="000000"/>
          <w:sz w:val="32"/>
          <w:szCs w:val="32"/>
        </w:rPr>
        <w:t>,</w:t>
      </w:r>
      <w:r>
        <w:rPr>
          <w:rFonts w:hint="eastAsia" w:ascii="仿宋_GB2312" w:eastAsia="仿宋_GB2312"/>
          <w:color w:val="000000"/>
          <w:sz w:val="32"/>
          <w:szCs w:val="32"/>
        </w:rPr>
        <w:t>获得阿坝州庆祝中华人民共和国成立</w:t>
      </w:r>
      <w:r>
        <w:rPr>
          <w:rFonts w:ascii="仿宋_GB2312" w:eastAsia="仿宋_GB2312"/>
          <w:color w:val="000000"/>
          <w:sz w:val="32"/>
          <w:szCs w:val="32"/>
        </w:rPr>
        <w:t>70</w:t>
      </w:r>
      <w:r>
        <w:rPr>
          <w:rFonts w:hint="eastAsia" w:ascii="仿宋_GB2312" w:eastAsia="仿宋_GB2312"/>
          <w:color w:val="000000"/>
          <w:sz w:val="32"/>
          <w:szCs w:val="32"/>
        </w:rPr>
        <w:t>周年“歌唱祖国”合唱大赛“三等奖”，我县“草原之心”艺术团歌手让波获得首届中国藏族山歌传承邀请赛冠军；文化助力旅游宣传活动</w:t>
      </w:r>
      <w:r>
        <w:rPr>
          <w:rFonts w:ascii="仿宋_GB2312" w:eastAsia="仿宋_GB2312"/>
          <w:color w:val="000000"/>
          <w:sz w:val="32"/>
          <w:szCs w:val="32"/>
        </w:rPr>
        <w:t>13</w:t>
      </w:r>
      <w:r>
        <w:rPr>
          <w:rFonts w:hint="eastAsia" w:ascii="仿宋_GB2312" w:eastAsia="仿宋_GB2312"/>
          <w:color w:val="000000"/>
          <w:sz w:val="32"/>
          <w:szCs w:val="32"/>
        </w:rPr>
        <w:t>次，足迹自州府马尔康，北到兰州、西安，东到杭州、永嘉等地，川内多地数次登门拜访，成功递出“红原名片”。</w:t>
      </w:r>
    </w:p>
    <w:p>
      <w:pPr>
        <w:adjustRightInd w:val="0"/>
        <w:snapToGrid w:val="0"/>
        <w:spacing w:line="540" w:lineRule="exact"/>
        <w:ind w:firstLine="643" w:firstLineChars="200"/>
        <w:rPr>
          <w:rFonts w:ascii="仿宋_GB2312" w:hAnsi="黑体" w:eastAsia="仿宋_GB2312"/>
          <w:color w:val="000000"/>
          <w:sz w:val="32"/>
          <w:szCs w:val="32"/>
        </w:rPr>
      </w:pPr>
      <w:r>
        <w:rPr>
          <w:rFonts w:hint="eastAsia" w:ascii="仿宋_GB2312" w:eastAsia="仿宋_GB2312"/>
          <w:b/>
          <w:color w:val="000000"/>
          <w:sz w:val="32"/>
          <w:szCs w:val="32"/>
        </w:rPr>
        <w:t>二是</w:t>
      </w:r>
      <w:r>
        <w:rPr>
          <w:rFonts w:hint="eastAsia" w:ascii="仿宋_GB2312" w:eastAsia="仿宋_GB2312"/>
          <w:color w:val="000000"/>
          <w:sz w:val="32"/>
          <w:szCs w:val="32"/>
        </w:rPr>
        <w:t>以</w:t>
      </w:r>
      <w:r>
        <w:rPr>
          <w:rFonts w:hint="eastAsia" w:ascii="仿宋_GB2312" w:hAnsi="黑体" w:eastAsia="仿宋_GB2312"/>
          <w:color w:val="000000"/>
          <w:sz w:val="32"/>
          <w:szCs w:val="32"/>
        </w:rPr>
        <w:t>乡镇综合文化站、村级（社区）文化活动室、农家书屋、社区书屋及寺院书屋为宣传阵地。每年</w:t>
      </w:r>
      <w:r>
        <w:rPr>
          <w:rFonts w:hint="eastAsia" w:ascii="仿宋_GB2312" w:eastAsia="仿宋_GB2312"/>
          <w:color w:val="000000"/>
          <w:sz w:val="32"/>
          <w:szCs w:val="32"/>
        </w:rPr>
        <w:t>组织民间文艺团体和文艺青年开展山歌、弹唱、龙鼓舞、百汪说唱等专业培训，目前已在</w:t>
      </w:r>
      <w:r>
        <w:rPr>
          <w:rFonts w:hint="eastAsia" w:ascii="仿宋_GB2312" w:hAnsi="黑体" w:eastAsia="仿宋_GB2312"/>
          <w:color w:val="000000"/>
          <w:sz w:val="32"/>
          <w:szCs w:val="32"/>
        </w:rPr>
        <w:t>龙日乡新组织队伍培训龙头琴；规范管理县级图书馆、文化馆，不断深入推进免费开放工作，持续加大文化供给。</w:t>
      </w:r>
      <w:r>
        <w:rPr>
          <w:rFonts w:hint="eastAsia" w:ascii="仿宋" w:hAnsi="仿宋" w:eastAsia="仿宋"/>
          <w:color w:val="000000"/>
          <w:sz w:val="32"/>
        </w:rPr>
        <w:t>以</w:t>
      </w:r>
      <w:r>
        <w:rPr>
          <w:rFonts w:ascii="仿宋" w:hAnsi="仿宋" w:eastAsia="仿宋"/>
          <w:color w:val="000000"/>
          <w:sz w:val="32"/>
        </w:rPr>
        <w:t>4</w:t>
      </w:r>
      <w:r>
        <w:rPr>
          <w:rFonts w:hint="eastAsia" w:ascii="仿宋" w:hAnsi="仿宋" w:eastAsia="仿宋"/>
          <w:color w:val="000000"/>
          <w:sz w:val="32"/>
        </w:rPr>
        <w:t>月</w:t>
      </w:r>
      <w:r>
        <w:rPr>
          <w:rFonts w:ascii="仿宋" w:hAnsi="仿宋" w:eastAsia="仿宋"/>
          <w:color w:val="000000"/>
          <w:sz w:val="32"/>
        </w:rPr>
        <w:t>23</w:t>
      </w:r>
      <w:r>
        <w:rPr>
          <w:rFonts w:hint="eastAsia" w:ascii="仿宋" w:hAnsi="仿宋" w:eastAsia="仿宋"/>
          <w:color w:val="000000"/>
          <w:sz w:val="32"/>
        </w:rPr>
        <w:t>号世界读书日为契约，在我局学术报告厅举办了“读经典</w:t>
      </w:r>
      <w:r>
        <w:rPr>
          <w:rFonts w:ascii="仿宋" w:hAnsi="仿宋" w:eastAsia="仿宋"/>
          <w:color w:val="000000"/>
          <w:sz w:val="32"/>
        </w:rPr>
        <w:t xml:space="preserve"> </w:t>
      </w:r>
      <w:r>
        <w:rPr>
          <w:rFonts w:hint="eastAsia" w:ascii="仿宋" w:hAnsi="仿宋" w:eastAsia="仿宋"/>
          <w:color w:val="000000"/>
          <w:sz w:val="32"/>
        </w:rPr>
        <w:t>学新知</w:t>
      </w:r>
      <w:r>
        <w:rPr>
          <w:rFonts w:ascii="仿宋" w:hAnsi="仿宋" w:eastAsia="仿宋"/>
          <w:color w:val="000000"/>
          <w:sz w:val="32"/>
        </w:rPr>
        <w:t xml:space="preserve"> </w:t>
      </w:r>
      <w:r>
        <w:rPr>
          <w:rFonts w:hint="eastAsia" w:ascii="仿宋" w:hAnsi="仿宋" w:eastAsia="仿宋"/>
          <w:color w:val="000000"/>
          <w:sz w:val="32"/>
        </w:rPr>
        <w:t>链接美好生活”的阅读活动，参加此次活动有</w:t>
      </w:r>
      <w:r>
        <w:rPr>
          <w:rFonts w:ascii="仿宋" w:hAnsi="仿宋" w:eastAsia="仿宋"/>
          <w:color w:val="000000"/>
          <w:sz w:val="32"/>
        </w:rPr>
        <w:t>400</w:t>
      </w:r>
      <w:r>
        <w:rPr>
          <w:rFonts w:hint="eastAsia" w:ascii="仿宋" w:hAnsi="仿宋" w:eastAsia="仿宋"/>
          <w:color w:val="000000"/>
          <w:sz w:val="32"/>
        </w:rPr>
        <w:t>多人次。</w:t>
      </w:r>
    </w:p>
    <w:p>
      <w:pPr>
        <w:pStyle w:val="3"/>
        <w:rPr>
          <w:rStyle w:val="19"/>
          <w:b w:val="0"/>
          <w:bCs w:val="0"/>
        </w:rPr>
      </w:pPr>
      <w:bookmarkStart w:id="26" w:name="_Toc15396601"/>
      <w:bookmarkStart w:id="27" w:name="_Toc15377200"/>
      <w:bookmarkStart w:id="28" w:name="_Toc32510"/>
      <w:r>
        <w:rPr>
          <w:rFonts w:hint="eastAsia" w:ascii="黑体" w:eastAsia="黑体"/>
          <w:b w:val="0"/>
          <w:color w:val="000000"/>
        </w:rPr>
        <w:t>二、</w:t>
      </w:r>
      <w:r>
        <w:rPr>
          <w:rFonts w:hint="eastAsia" w:ascii="黑体" w:hAnsi="黑体" w:eastAsia="黑体"/>
          <w:b w:val="0"/>
          <w:color w:val="000000"/>
        </w:rPr>
        <w:t>机</w:t>
      </w:r>
      <w:r>
        <w:rPr>
          <w:rStyle w:val="19"/>
          <w:rFonts w:hint="eastAsia" w:ascii="黑体" w:hAnsi="黑体" w:eastAsia="黑体"/>
          <w:b w:val="0"/>
          <w:bCs w:val="0"/>
        </w:rPr>
        <w:t>构设置</w:t>
      </w:r>
      <w:bookmarkEnd w:id="26"/>
      <w:bookmarkEnd w:id="27"/>
      <w:bookmarkEnd w:id="28"/>
    </w:p>
    <w:p>
      <w:pPr>
        <w:ind w:firstLine="800" w:firstLineChars="250"/>
        <w:rPr>
          <w:rFonts w:ascii="仿宋" w:hAnsi="仿宋" w:eastAsia="仿宋"/>
          <w:sz w:val="32"/>
          <w:szCs w:val="32"/>
        </w:rPr>
      </w:pPr>
      <w:r>
        <w:rPr>
          <w:rFonts w:hint="eastAsia" w:ascii="仿宋" w:hAnsi="仿宋" w:eastAsia="仿宋"/>
          <w:sz w:val="32"/>
          <w:szCs w:val="32"/>
        </w:rPr>
        <w:t>红原县文化馆下属二级单位</w:t>
      </w:r>
      <w:r>
        <w:rPr>
          <w:rFonts w:ascii="仿宋" w:hAnsi="仿宋" w:eastAsia="仿宋"/>
          <w:sz w:val="32"/>
          <w:szCs w:val="32"/>
        </w:rPr>
        <w:t>0</w:t>
      </w:r>
      <w:r>
        <w:rPr>
          <w:rFonts w:hint="eastAsia" w:ascii="仿宋" w:hAnsi="仿宋" w:eastAsia="仿宋"/>
          <w:sz w:val="32"/>
          <w:szCs w:val="32"/>
        </w:rPr>
        <w:t>个，其中行政单位</w:t>
      </w:r>
      <w:r>
        <w:rPr>
          <w:rFonts w:ascii="仿宋" w:hAnsi="仿宋" w:eastAsia="仿宋"/>
          <w:sz w:val="32"/>
          <w:szCs w:val="32"/>
        </w:rPr>
        <w:t>0</w:t>
      </w:r>
      <w:r>
        <w:rPr>
          <w:rFonts w:hint="eastAsia" w:ascii="仿宋" w:hAnsi="仿宋" w:eastAsia="仿宋"/>
          <w:sz w:val="32"/>
          <w:szCs w:val="32"/>
        </w:rPr>
        <w:t>个，参照公务员法管理的事业单位</w:t>
      </w:r>
      <w:r>
        <w:rPr>
          <w:rFonts w:ascii="仿宋" w:hAnsi="仿宋" w:eastAsia="仿宋"/>
          <w:bCs/>
          <w:sz w:val="32"/>
          <w:szCs w:val="32"/>
        </w:rPr>
        <w:t>0</w:t>
      </w:r>
      <w:r>
        <w:rPr>
          <w:rFonts w:hint="eastAsia" w:ascii="仿宋" w:hAnsi="仿宋" w:eastAsia="仿宋"/>
          <w:sz w:val="32"/>
          <w:szCs w:val="32"/>
        </w:rPr>
        <w:t>个，其他事业单位</w:t>
      </w:r>
      <w:r>
        <w:rPr>
          <w:rFonts w:ascii="仿宋" w:hAnsi="仿宋" w:eastAsia="仿宋"/>
          <w:sz w:val="32"/>
          <w:szCs w:val="32"/>
        </w:rPr>
        <w:t>5</w:t>
      </w:r>
      <w:r>
        <w:rPr>
          <w:rFonts w:hint="eastAsia" w:ascii="仿宋" w:hAnsi="仿宋" w:eastAsia="仿宋"/>
          <w:sz w:val="32"/>
          <w:szCs w:val="32"/>
        </w:rPr>
        <w:t>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18"/>
          <w:rFonts w:ascii="黑体" w:hAnsi="黑体" w:eastAsia="黑体"/>
          <w:b w:val="0"/>
          <w:bCs w:val="0"/>
        </w:rPr>
      </w:pPr>
      <w:bookmarkStart w:id="29" w:name="_Toc15377204"/>
      <w:bookmarkStart w:id="30" w:name="_Toc15396602"/>
      <w:bookmarkStart w:id="31" w:name="_Toc15818"/>
      <w:r>
        <w:rPr>
          <w:rFonts w:hint="eastAsia" w:ascii="黑体" w:hAnsi="黑体" w:eastAsia="黑体"/>
          <w:b w:val="0"/>
          <w:color w:val="000000"/>
        </w:rPr>
        <w:t>第二部分</w:t>
      </w:r>
      <w:r>
        <w:rPr>
          <w:rFonts w:ascii="黑体" w:hAnsi="黑体" w:eastAsia="黑体"/>
          <w:color w:val="000000"/>
        </w:rPr>
        <w:t xml:space="preserve"> </w:t>
      </w:r>
      <w:r>
        <w:rPr>
          <w:rStyle w:val="18"/>
          <w:rFonts w:ascii="黑体" w:hAnsi="黑体" w:eastAsia="黑体"/>
          <w:b w:val="0"/>
          <w:bCs w:val="0"/>
        </w:rPr>
        <w:t>2019</w:t>
      </w:r>
      <w:r>
        <w:rPr>
          <w:rStyle w:val="18"/>
          <w:rFonts w:hint="eastAsia" w:ascii="黑体" w:hAnsi="黑体" w:eastAsia="黑体"/>
          <w:b w:val="0"/>
          <w:bCs w:val="0"/>
        </w:rPr>
        <w:t>年度部门决算情况说明</w:t>
      </w:r>
      <w:bookmarkEnd w:id="29"/>
      <w:bookmarkEnd w:id="30"/>
      <w:bookmarkEnd w:id="31"/>
    </w:p>
    <w:p/>
    <w:p>
      <w:pPr>
        <w:pStyle w:val="29"/>
        <w:numPr>
          <w:ilvl w:val="0"/>
          <w:numId w:val="1"/>
        </w:numPr>
        <w:spacing w:line="600" w:lineRule="exact"/>
        <w:ind w:firstLineChars="0"/>
        <w:outlineLvl w:val="1"/>
        <w:rPr>
          <w:rStyle w:val="19"/>
          <w:rFonts w:ascii="黑体" w:hAnsi="黑体" w:eastAsia="黑体"/>
          <w:b w:val="0"/>
        </w:rPr>
      </w:pPr>
      <w:bookmarkStart w:id="32" w:name="_Toc12303"/>
      <w:bookmarkStart w:id="33" w:name="_Toc15396603"/>
      <w:bookmarkStart w:id="34" w:name="_Toc15377205"/>
      <w:r>
        <w:rPr>
          <w:rFonts w:hint="eastAsia" w:ascii="黑体" w:hAnsi="黑体" w:eastAsia="黑体"/>
          <w:color w:val="000000"/>
          <w:sz w:val="32"/>
          <w:szCs w:val="32"/>
        </w:rPr>
        <w:t>收</w:t>
      </w:r>
      <w:r>
        <w:rPr>
          <w:rStyle w:val="19"/>
          <w:rFonts w:hint="eastAsia" w:ascii="黑体" w:hAnsi="黑体" w:eastAsia="黑体"/>
          <w:b w:val="0"/>
        </w:rPr>
        <w:t>入支出决算总体情况说明</w:t>
      </w:r>
      <w:bookmarkEnd w:id="32"/>
      <w:bookmarkEnd w:id="33"/>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年度收入</w:t>
      </w:r>
      <w:r>
        <w:rPr>
          <w:rFonts w:ascii="仿宋" w:hAnsi="仿宋" w:eastAsia="仿宋"/>
          <w:color w:val="000000"/>
          <w:sz w:val="32"/>
          <w:szCs w:val="32"/>
        </w:rPr>
        <w:t>65.82</w:t>
      </w:r>
      <w:r>
        <w:rPr>
          <w:rFonts w:hint="eastAsia" w:ascii="仿宋" w:hAnsi="仿宋" w:eastAsia="仿宋"/>
          <w:color w:val="000000"/>
          <w:sz w:val="32"/>
          <w:szCs w:val="32"/>
        </w:rPr>
        <w:t>万元、支总计</w:t>
      </w:r>
      <w:r>
        <w:rPr>
          <w:rFonts w:ascii="仿宋" w:hAnsi="仿宋" w:eastAsia="仿宋"/>
          <w:color w:val="000000"/>
          <w:sz w:val="32"/>
          <w:szCs w:val="32"/>
        </w:rPr>
        <w:t>65.82</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年相比，收入减少</w:t>
      </w:r>
      <w:r>
        <w:rPr>
          <w:rFonts w:ascii="仿宋" w:hAnsi="仿宋" w:eastAsia="仿宋"/>
          <w:color w:val="000000"/>
          <w:sz w:val="32"/>
          <w:szCs w:val="32"/>
        </w:rPr>
        <w:t>19.85</w:t>
      </w:r>
      <w:r>
        <w:rPr>
          <w:rFonts w:hint="eastAsia" w:ascii="仿宋" w:hAnsi="仿宋" w:eastAsia="仿宋"/>
          <w:color w:val="000000"/>
          <w:sz w:val="32"/>
          <w:szCs w:val="32"/>
        </w:rPr>
        <w:t>万元，下降</w:t>
      </w:r>
      <w:r>
        <w:rPr>
          <w:rFonts w:ascii="仿宋" w:hAnsi="仿宋" w:eastAsia="仿宋"/>
          <w:color w:val="000000"/>
          <w:sz w:val="32"/>
          <w:szCs w:val="32"/>
        </w:rPr>
        <w:t>23.17%</w:t>
      </w:r>
      <w:r>
        <w:rPr>
          <w:rFonts w:hint="eastAsia" w:ascii="仿宋" w:hAnsi="仿宋" w:eastAsia="仿宋"/>
          <w:color w:val="000000"/>
          <w:sz w:val="32"/>
          <w:szCs w:val="32"/>
        </w:rPr>
        <w:t>，支出减少</w:t>
      </w:r>
      <w:r>
        <w:rPr>
          <w:rFonts w:ascii="仿宋" w:hAnsi="仿宋" w:eastAsia="仿宋"/>
          <w:color w:val="000000"/>
          <w:sz w:val="32"/>
          <w:szCs w:val="32"/>
        </w:rPr>
        <w:t>19.85</w:t>
      </w:r>
      <w:r>
        <w:rPr>
          <w:rFonts w:hint="eastAsia" w:ascii="仿宋" w:hAnsi="仿宋" w:eastAsia="仿宋"/>
          <w:color w:val="000000"/>
          <w:sz w:val="32"/>
          <w:szCs w:val="32"/>
        </w:rPr>
        <w:t>万元，下降</w:t>
      </w:r>
      <w:r>
        <w:rPr>
          <w:rFonts w:ascii="仿宋" w:hAnsi="仿宋" w:eastAsia="仿宋"/>
          <w:color w:val="000000"/>
          <w:sz w:val="32"/>
          <w:szCs w:val="32"/>
        </w:rPr>
        <w:t>23.17%</w:t>
      </w:r>
      <w:r>
        <w:rPr>
          <w:rFonts w:hint="eastAsia" w:ascii="仿宋" w:hAnsi="仿宋" w:eastAsia="仿宋"/>
          <w:color w:val="000000"/>
          <w:sz w:val="32"/>
          <w:szCs w:val="32"/>
        </w:rPr>
        <w:t>。主要变动原因是人员减少变动。</w:t>
      </w:r>
    </w:p>
    <w:p>
      <w:pPr>
        <w:spacing w:line="600" w:lineRule="exact"/>
        <w:ind w:firstLine="420" w:firstLineChars="200"/>
        <w:jc w:val="left"/>
        <w:rPr>
          <w:rFonts w:ascii="仿宋_GB2312" w:eastAsia="仿宋_GB2312"/>
          <w:color w:val="000000"/>
          <w:sz w:val="32"/>
          <w:szCs w:val="32"/>
        </w:rPr>
      </w:pPr>
      <w:r>
        <w:pict>
          <v:shape id="_x0000_s1026" o:spid="_x0000_s1026" o:spt="75" type="#_x0000_t75" style="position:absolute;left:0pt;margin-left:36.75pt;margin-top:19.55pt;height:194.4pt;width:304.8pt;mso-wrap-distance-bottom:0pt;mso-wrap-distance-left:9pt;mso-wrap-distance-right:9pt;mso-wrap-distance-top:0pt;z-index:-251660288;mso-width-relative:page;mso-height-relative:page;" o:ole="t" filled="f" o:preferrelative="t" stroked="f" coordsize="21600,21600">
            <v:path/>
            <v:fill on="f" focussize="0,0"/>
            <v:stroke on="f" joinstyle="miter"/>
            <v:imagedata r:id="rId7" o:title=""/>
            <o:lock v:ext="edit" aspectratio="t"/>
            <w10:wrap type="square"/>
          </v:shape>
          <o:OLEObject Type="Embed" ProgID="Excel.Chart.8" ShapeID="_x0000_s1026" DrawAspect="Content" ObjectID="_1468075725" r:id="rId6">
            <o:LockedField>false</o:LockedField>
          </o:OLEObject>
        </w:pic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9"/>
        <w:numPr>
          <w:ilvl w:val="0"/>
          <w:numId w:val="1"/>
        </w:numPr>
        <w:spacing w:line="600" w:lineRule="exact"/>
        <w:ind w:firstLineChars="0"/>
        <w:outlineLvl w:val="1"/>
        <w:rPr>
          <w:rStyle w:val="19"/>
          <w:rFonts w:ascii="黑体" w:hAnsi="黑体" w:eastAsia="黑体"/>
          <w:b w:val="0"/>
        </w:rPr>
      </w:pPr>
      <w:bookmarkStart w:id="35" w:name="_Toc15396604"/>
      <w:bookmarkStart w:id="36" w:name="_Toc3252"/>
      <w:bookmarkStart w:id="37" w:name="_Toc15377206"/>
      <w:r>
        <w:rPr>
          <w:rFonts w:hint="eastAsia" w:ascii="黑体" w:hAnsi="黑体" w:eastAsia="黑体"/>
          <w:color w:val="000000"/>
          <w:sz w:val="32"/>
          <w:szCs w:val="32"/>
        </w:rPr>
        <w:t>收</w:t>
      </w:r>
      <w:r>
        <w:rPr>
          <w:rStyle w:val="19"/>
          <w:rFonts w:hint="eastAsia" w:ascii="黑体" w:hAnsi="黑体" w:eastAsia="黑体"/>
          <w:b w:val="0"/>
        </w:rPr>
        <w:t>入决算情况说明</w:t>
      </w:r>
      <w:bookmarkEnd w:id="35"/>
      <w:bookmarkEnd w:id="36"/>
      <w:bookmarkEnd w:id="37"/>
    </w:p>
    <w:p>
      <w:pPr>
        <w:spacing w:line="600" w:lineRule="exact"/>
        <w:ind w:firstLine="640" w:firstLineChars="200"/>
        <w:outlineLvl w:val="1"/>
        <w:rPr>
          <w:rFonts w:ascii="仿宋" w:hAnsi="仿宋" w:eastAsia="仿宋"/>
          <w:color w:val="000000"/>
          <w:sz w:val="32"/>
          <w:szCs w:val="32"/>
        </w:rPr>
      </w:pPr>
      <w:bookmarkStart w:id="38" w:name="_Toc24086"/>
      <w:r>
        <w:rPr>
          <w:rFonts w:ascii="仿宋" w:hAnsi="仿宋" w:eastAsia="仿宋"/>
          <w:color w:val="000000"/>
          <w:sz w:val="32"/>
          <w:szCs w:val="32"/>
        </w:rPr>
        <w:t>2019</w:t>
      </w:r>
      <w:r>
        <w:rPr>
          <w:rFonts w:hint="eastAsia" w:ascii="仿宋" w:hAnsi="仿宋" w:eastAsia="仿宋"/>
          <w:color w:val="000000"/>
          <w:sz w:val="32"/>
          <w:szCs w:val="32"/>
        </w:rPr>
        <w:t>年本年收入合计</w:t>
      </w:r>
      <w:r>
        <w:rPr>
          <w:rFonts w:ascii="仿宋" w:hAnsi="仿宋" w:eastAsia="仿宋"/>
          <w:color w:val="000000"/>
          <w:sz w:val="32"/>
          <w:szCs w:val="32"/>
        </w:rPr>
        <w:t>65.82</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65.82</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w:t>
      </w:r>
      <w:bookmarkEnd w:id="38"/>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420" w:firstLineChars="200"/>
        <w:rPr>
          <w:rFonts w:ascii="仿宋_GB2312" w:eastAsia="仿宋_GB2312"/>
          <w:color w:val="FF0000"/>
          <w:sz w:val="32"/>
          <w:szCs w:val="32"/>
        </w:rPr>
      </w:pPr>
      <w:r>
        <w:pict>
          <v:shape id="_x0000_s1027" o:spid="_x0000_s1027" o:spt="75" type="#_x0000_t75" style="position:absolute;left:0pt;margin-left:26.25pt;margin-top:10.55pt;height:155.5pt;width:316.3pt;mso-wrap-distance-left:9pt;mso-wrap-distance-right:9pt;z-index:-251659264;mso-width-relative:page;mso-height-relative:page;" o:ole="t" filled="f" o:preferrelative="t" stroked="f" coordsize="21600,21600" wrapcoords="154 522 154 20974 21395 20974 21395 522 154 522">
            <v:path/>
            <v:fill on="f" focussize="0,0"/>
            <v:stroke on="f" joinstyle="miter"/>
            <v:imagedata r:id="rId9" o:title=""/>
            <o:lock v:ext="edit" aspectratio="t"/>
            <w10:wrap type="tight"/>
          </v:shape>
          <o:OLEObject Type="Embed" ProgID="Excel.Chart.8" ShapeID="_x0000_s1027" DrawAspect="Content" ObjectID="_1468075726" r:id="rId8">
            <o:LockedField>false</o:LockedField>
          </o:OLEObject>
        </w:pict>
      </w:r>
    </w:p>
    <w:p>
      <w:pPr>
        <w:spacing w:line="600" w:lineRule="exact"/>
        <w:ind w:firstLine="640" w:firstLineChars="200"/>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9"/>
        <w:numPr>
          <w:ilvl w:val="0"/>
          <w:numId w:val="1"/>
        </w:numPr>
        <w:spacing w:line="600" w:lineRule="exact"/>
        <w:ind w:firstLineChars="0"/>
        <w:outlineLvl w:val="1"/>
        <w:rPr>
          <w:rStyle w:val="19"/>
          <w:rFonts w:ascii="黑体" w:hAnsi="黑体" w:eastAsia="黑体"/>
          <w:b w:val="0"/>
        </w:rPr>
      </w:pPr>
      <w:bookmarkStart w:id="39" w:name="_Toc28394"/>
      <w:bookmarkStart w:id="40" w:name="_Toc15396605"/>
      <w:bookmarkStart w:id="41" w:name="_Toc15377207"/>
      <w:r>
        <w:rPr>
          <w:rFonts w:hint="eastAsia" w:ascii="黑体" w:hAnsi="黑体" w:eastAsia="黑体"/>
          <w:color w:val="000000"/>
          <w:sz w:val="32"/>
          <w:szCs w:val="32"/>
        </w:rPr>
        <w:t>支</w:t>
      </w:r>
      <w:r>
        <w:rPr>
          <w:rStyle w:val="19"/>
          <w:rFonts w:hint="eastAsia" w:ascii="黑体" w:hAnsi="黑体" w:eastAsia="黑体"/>
          <w:b w:val="0"/>
        </w:rPr>
        <w:t>出决算情况说明</w:t>
      </w:r>
      <w:bookmarkEnd w:id="39"/>
      <w:bookmarkEnd w:id="40"/>
      <w:bookmarkEnd w:id="41"/>
    </w:p>
    <w:p>
      <w:pPr>
        <w:spacing w:line="600" w:lineRule="exact"/>
        <w:ind w:firstLine="640" w:firstLineChars="200"/>
        <w:outlineLvl w:val="1"/>
        <w:rPr>
          <w:rFonts w:ascii="仿宋" w:hAnsi="仿宋" w:eastAsia="仿宋"/>
          <w:color w:val="000000"/>
          <w:sz w:val="32"/>
          <w:szCs w:val="32"/>
        </w:rPr>
      </w:pPr>
      <w:bookmarkStart w:id="42" w:name="_Toc15536"/>
      <w:r>
        <w:rPr>
          <w:rFonts w:ascii="仿宋" w:hAnsi="仿宋" w:eastAsia="仿宋"/>
          <w:color w:val="000000"/>
          <w:sz w:val="32"/>
          <w:szCs w:val="32"/>
        </w:rPr>
        <w:t>2019</w:t>
      </w:r>
      <w:r>
        <w:rPr>
          <w:rFonts w:hint="eastAsia" w:ascii="仿宋" w:hAnsi="仿宋" w:eastAsia="仿宋"/>
          <w:color w:val="000000"/>
          <w:sz w:val="32"/>
          <w:szCs w:val="32"/>
        </w:rPr>
        <w:t>年本年支出合计</w:t>
      </w:r>
      <w:r>
        <w:rPr>
          <w:rFonts w:ascii="仿宋" w:hAnsi="仿宋" w:eastAsia="仿宋"/>
          <w:color w:val="000000"/>
          <w:sz w:val="32"/>
          <w:szCs w:val="32"/>
        </w:rPr>
        <w:t>65.82</w:t>
      </w:r>
      <w:r>
        <w:rPr>
          <w:rFonts w:hint="eastAsia" w:ascii="仿宋" w:hAnsi="仿宋" w:eastAsia="仿宋"/>
          <w:color w:val="000000"/>
          <w:sz w:val="32"/>
          <w:szCs w:val="32"/>
        </w:rPr>
        <w:t>万元，其中：基本支出</w:t>
      </w:r>
      <w:r>
        <w:rPr>
          <w:rFonts w:ascii="仿宋" w:hAnsi="仿宋" w:eastAsia="仿宋"/>
          <w:color w:val="000000"/>
          <w:sz w:val="32"/>
          <w:szCs w:val="32"/>
        </w:rPr>
        <w:t>65.82</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w:t>
      </w:r>
      <w:bookmarkEnd w:id="42"/>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420" w:firstLineChars="200"/>
        <w:rPr>
          <w:rFonts w:ascii="仿宋_GB2312" w:eastAsia="仿宋_GB2312"/>
          <w:color w:val="FF0000"/>
          <w:sz w:val="32"/>
          <w:szCs w:val="32"/>
        </w:rPr>
      </w:pPr>
      <w:r>
        <w:pict>
          <v:shape id="_x0000_s1028" o:spid="_x0000_s1028" o:spt="75" type="#_x0000_t75" style="position:absolute;left:0pt;margin-left:23.4pt;margin-top:2.1pt;height:137.75pt;width:357.1pt;mso-wrap-distance-left:9pt;mso-wrap-distance-right:9pt;z-index:-251658240;mso-width-relative:page;mso-height-relative:page;" o:ole="t" filled="f" o:preferrelative="t" stroked="f" coordsize="21600,21600" wrapcoords="136 587 136 20896 21418 20896 21418 587 136 587">
            <v:path/>
            <v:fill on="f" focussize="0,0"/>
            <v:stroke on="f" joinstyle="miter"/>
            <v:imagedata r:id="rId11" o:title=""/>
            <o:lock v:ext="edit" aspectratio="t"/>
            <w10:wrap type="tight"/>
          </v:shape>
          <o:OLEObject Type="Embed" ProgID="Excel.Chart.8" ShapeID="_x0000_s1028" DrawAspect="Content" ObjectID="_1468075727" r:id="rId10">
            <o:LockedField>false</o:LockedField>
          </o:OLEObject>
        </w:pic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19"/>
          <w:rFonts w:ascii="黑体" w:hAnsi="黑体" w:eastAsia="黑体"/>
          <w:b w:val="0"/>
        </w:rPr>
      </w:pPr>
      <w:bookmarkStart w:id="43" w:name="_Toc15396606"/>
      <w:bookmarkStart w:id="44" w:name="_Toc15377208"/>
      <w:bookmarkStart w:id="45" w:name="_Toc25865"/>
      <w:r>
        <w:rPr>
          <w:rFonts w:hint="eastAsia" w:ascii="黑体" w:hAnsi="黑体" w:eastAsia="黑体"/>
          <w:color w:val="000000"/>
          <w:sz w:val="32"/>
          <w:szCs w:val="32"/>
        </w:rPr>
        <w:t>四、财</w:t>
      </w:r>
      <w:r>
        <w:rPr>
          <w:rStyle w:val="19"/>
          <w:rFonts w:hint="eastAsia" w:ascii="黑体" w:hAnsi="黑体" w:eastAsia="黑体"/>
          <w:b w:val="0"/>
        </w:rPr>
        <w:t>政拨款收入支出决算总体情况说明</w:t>
      </w:r>
      <w:bookmarkEnd w:id="43"/>
      <w:bookmarkEnd w:id="44"/>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年财政拨款收、支各总计</w:t>
      </w:r>
      <w:r>
        <w:rPr>
          <w:rFonts w:ascii="仿宋" w:hAnsi="仿宋" w:eastAsia="仿宋"/>
          <w:color w:val="000000"/>
          <w:sz w:val="32"/>
          <w:szCs w:val="32"/>
        </w:rPr>
        <w:t>65.82</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年相比，财政拨款收、支总计各减少</w:t>
      </w:r>
      <w:r>
        <w:rPr>
          <w:rFonts w:ascii="仿宋" w:hAnsi="仿宋" w:eastAsia="仿宋"/>
          <w:color w:val="000000"/>
          <w:sz w:val="32"/>
          <w:szCs w:val="32"/>
        </w:rPr>
        <w:t>19.85</w:t>
      </w:r>
      <w:r>
        <w:rPr>
          <w:rFonts w:hint="eastAsia" w:ascii="仿宋" w:hAnsi="仿宋" w:eastAsia="仿宋"/>
          <w:color w:val="000000"/>
          <w:sz w:val="32"/>
          <w:szCs w:val="32"/>
        </w:rPr>
        <w:t>万元，下降</w:t>
      </w:r>
      <w:r>
        <w:rPr>
          <w:rFonts w:ascii="仿宋" w:hAnsi="仿宋" w:eastAsia="仿宋"/>
          <w:color w:val="000000"/>
          <w:sz w:val="32"/>
          <w:szCs w:val="32"/>
        </w:rPr>
        <w:t>23.17%</w:t>
      </w:r>
      <w:r>
        <w:rPr>
          <w:rFonts w:hint="eastAsia" w:ascii="仿宋" w:hAnsi="仿宋" w:eastAsia="仿宋"/>
          <w:color w:val="000000"/>
          <w:sz w:val="32"/>
          <w:szCs w:val="32"/>
        </w:rPr>
        <w:t>。主要变动原因是人员变动，人员减少。</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r>
        <w:pict>
          <v:shape id="_x0000_s1029" o:spid="_x0000_s1029" o:spt="75" type="#_x0000_t75" style="position:absolute;left:0pt;margin-left:25.65pt;margin-top:27.3pt;height:194.9pt;width:351.35pt;mso-wrap-distance-bottom:0.05pt;mso-wrap-distance-left:9pt;mso-wrap-distance-right:9pt;mso-wrap-distance-top:0pt;z-index:-251657216;mso-width-relative:page;mso-height-relative:page;" o:ole="t" filled="f" o:preferrelative="t" stroked="f" coordsize="21600,21600">
            <v:path/>
            <v:fill on="f" focussize="0,0"/>
            <v:stroke on="f" joinstyle="miter"/>
            <v:imagedata r:id="rId13" o:title=""/>
            <o:lock v:ext="edit" aspectratio="t"/>
            <w10:wrap type="square"/>
          </v:shape>
          <o:OLEObject Type="Embed" ProgID="Excel.Chart.8" ShapeID="_x0000_s1029" DrawAspect="Content" ObjectID="_1468075728" r:id="rId12">
            <o:LockedField>false</o:LockedField>
          </o:OLEObject>
        </w:pict>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19"/>
          <w:rFonts w:ascii="黑体" w:hAnsi="黑体" w:eastAsia="黑体"/>
          <w:b w:val="0"/>
        </w:rPr>
      </w:pPr>
      <w:bookmarkStart w:id="46" w:name="_Toc16302"/>
      <w:bookmarkStart w:id="47" w:name="_Toc15377209"/>
      <w:bookmarkStart w:id="48" w:name="_Toc15396607"/>
      <w:r>
        <w:rPr>
          <w:rFonts w:hint="eastAsia" w:ascii="黑体" w:hAnsi="黑体" w:eastAsia="黑体"/>
          <w:color w:val="000000"/>
          <w:sz w:val="32"/>
          <w:szCs w:val="32"/>
        </w:rPr>
        <w:t>五五、</w:t>
      </w:r>
      <w:r>
        <w:rPr>
          <w:rFonts w:hint="eastAsia" w:ascii="黑体" w:hAnsi="黑体" w:eastAsia="黑体"/>
          <w:b/>
          <w:color w:val="000000"/>
          <w:sz w:val="32"/>
          <w:szCs w:val="32"/>
        </w:rPr>
        <w:t>一</w:t>
      </w:r>
      <w:r>
        <w:rPr>
          <w:rStyle w:val="19"/>
          <w:rFonts w:hint="eastAsia" w:ascii="黑体" w:hAnsi="黑体" w:eastAsia="黑体"/>
          <w:b w:val="0"/>
        </w:rPr>
        <w:t>般公共预算财政拨款支出决算情况说明</w:t>
      </w:r>
      <w:bookmarkEnd w:id="46"/>
      <w:bookmarkEnd w:id="47"/>
      <w:bookmarkEnd w:id="48"/>
    </w:p>
    <w:p>
      <w:pPr>
        <w:spacing w:line="600" w:lineRule="exact"/>
        <w:ind w:firstLine="643" w:firstLineChars="200"/>
        <w:outlineLvl w:val="2"/>
        <w:rPr>
          <w:rFonts w:ascii="仿宋" w:hAnsi="仿宋" w:eastAsia="仿宋"/>
          <w:b/>
          <w:color w:val="000000"/>
          <w:sz w:val="32"/>
          <w:szCs w:val="32"/>
        </w:rPr>
      </w:pPr>
      <w:bookmarkStart w:id="49" w:name="_Toc15377210"/>
      <w:bookmarkStart w:id="50" w:name="_Toc23198"/>
      <w:r>
        <w:rPr>
          <w:rFonts w:hint="eastAsia" w:ascii="仿宋" w:hAnsi="仿宋" w:eastAsia="仿宋"/>
          <w:b/>
          <w:color w:val="000000"/>
          <w:sz w:val="32"/>
          <w:szCs w:val="32"/>
        </w:rPr>
        <w:t>（一）一般公共预算财政拨款支出决算总体情况</w:t>
      </w:r>
      <w:bookmarkEnd w:id="49"/>
      <w:bookmarkEnd w:id="50"/>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w:t>
      </w:r>
      <w:r>
        <w:rPr>
          <w:rFonts w:ascii="仿宋" w:hAnsi="仿宋" w:eastAsia="仿宋"/>
          <w:color w:val="000000"/>
          <w:sz w:val="32"/>
          <w:szCs w:val="32"/>
        </w:rPr>
        <w:t>65.82</w:t>
      </w:r>
      <w:r>
        <w:rPr>
          <w:rFonts w:hint="eastAsia" w:ascii="仿宋" w:hAnsi="仿宋" w:eastAsia="仿宋"/>
          <w:color w:val="000000"/>
          <w:sz w:val="32"/>
          <w:szCs w:val="32"/>
        </w:rPr>
        <w:t>万元，占本年支出合计的</w:t>
      </w:r>
      <w:r>
        <w:rPr>
          <w:rFonts w:ascii="仿宋" w:hAnsi="仿宋" w:eastAsia="仿宋"/>
          <w:color w:val="000000"/>
          <w:sz w:val="32"/>
          <w:szCs w:val="32"/>
        </w:rPr>
        <w:t>65.82%</w:t>
      </w:r>
      <w:r>
        <w:rPr>
          <w:rFonts w:hint="eastAsia" w:ascii="仿宋" w:hAnsi="仿宋" w:eastAsia="仿宋"/>
          <w:color w:val="000000"/>
          <w:sz w:val="32"/>
          <w:szCs w:val="32"/>
        </w:rPr>
        <w:t>。与</w:t>
      </w:r>
      <w:r>
        <w:rPr>
          <w:rFonts w:ascii="仿宋" w:hAnsi="仿宋" w:eastAsia="仿宋"/>
          <w:color w:val="000000"/>
          <w:sz w:val="32"/>
          <w:szCs w:val="32"/>
        </w:rPr>
        <w:t>2018</w:t>
      </w:r>
      <w:r>
        <w:rPr>
          <w:rFonts w:hint="eastAsia" w:ascii="仿宋" w:hAnsi="仿宋" w:eastAsia="仿宋"/>
          <w:color w:val="000000"/>
          <w:sz w:val="32"/>
          <w:szCs w:val="32"/>
        </w:rPr>
        <w:t>年相比，一般公共预算财政拨款减少</w:t>
      </w:r>
      <w:r>
        <w:rPr>
          <w:rFonts w:ascii="仿宋" w:hAnsi="仿宋" w:eastAsia="仿宋"/>
          <w:color w:val="000000"/>
          <w:sz w:val="32"/>
          <w:szCs w:val="32"/>
        </w:rPr>
        <w:t>19.85</w:t>
      </w:r>
      <w:r>
        <w:rPr>
          <w:rFonts w:hint="eastAsia" w:ascii="仿宋" w:hAnsi="仿宋" w:eastAsia="仿宋"/>
          <w:color w:val="000000"/>
          <w:sz w:val="32"/>
          <w:szCs w:val="32"/>
        </w:rPr>
        <w:t>万元，下降</w:t>
      </w:r>
      <w:r>
        <w:rPr>
          <w:rFonts w:ascii="仿宋" w:hAnsi="仿宋" w:eastAsia="仿宋"/>
          <w:color w:val="000000"/>
          <w:sz w:val="32"/>
          <w:szCs w:val="32"/>
        </w:rPr>
        <w:t>23.17%</w:t>
      </w:r>
      <w:r>
        <w:rPr>
          <w:rFonts w:hint="eastAsia" w:ascii="仿宋" w:hAnsi="仿宋" w:eastAsia="仿宋"/>
          <w:color w:val="000000"/>
          <w:sz w:val="32"/>
          <w:szCs w:val="32"/>
        </w:rPr>
        <w:t>。主要变动原因是人员变动，人员减少。</w:t>
      </w: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pict>
          <v:shape id="_x0000_s1030" o:spid="_x0000_s1030" o:spt="75" type="#_x0000_t75" style="position:absolute;left:0pt;margin-left:6.15pt;margin-top:0.6pt;height:191.05pt;width:385.9pt;mso-wrap-distance-bottom:0pt;mso-wrap-distance-left:9pt;mso-wrap-distance-right:9pt;mso-wrap-distance-top:0pt;z-index:-251656192;mso-width-relative:page;mso-height-relative:page;" o:ole="t" filled="f" o:preferrelative="t" stroked="f" coordsize="21600,21600">
            <v:path/>
            <v:fill on="f" focussize="0,0"/>
            <v:stroke on="f" joinstyle="miter"/>
            <v:imagedata r:id="rId15" o:title=""/>
            <o:lock v:ext="edit" aspectratio="t"/>
            <w10:wrap type="square"/>
          </v:shape>
          <o:OLEObject Type="Embed" ProgID="Excel.Chart.8" ShapeID="_x0000_s1030" DrawAspect="Content" ObjectID="_1468075729" r:id="rId14">
            <o:LockedField>false</o:LockedField>
          </o:OLEObject>
        </w:pict>
      </w:r>
    </w:p>
    <w:p>
      <w:pPr>
        <w:spacing w:line="600" w:lineRule="exact"/>
        <w:ind w:firstLine="643" w:firstLineChars="200"/>
        <w:outlineLvl w:val="2"/>
        <w:rPr>
          <w:rFonts w:ascii="仿宋" w:hAnsi="仿宋" w:eastAsia="仿宋"/>
          <w:b/>
          <w:color w:val="000000"/>
          <w:sz w:val="32"/>
          <w:szCs w:val="32"/>
        </w:rPr>
      </w:pPr>
      <w:bookmarkStart w:id="51" w:name="_Toc15377211"/>
      <w:bookmarkStart w:id="52" w:name="_Toc22373"/>
      <w:r>
        <w:rPr>
          <w:rFonts w:hint="eastAsia" w:ascii="仿宋" w:hAnsi="仿宋" w:eastAsia="仿宋"/>
          <w:b/>
          <w:color w:val="000000"/>
          <w:sz w:val="32"/>
          <w:szCs w:val="32"/>
        </w:rPr>
        <w:t>（二）一般公共预算财政拨款支出决算结构情况</w:t>
      </w:r>
      <w:bookmarkEnd w:id="51"/>
      <w:bookmarkEnd w:id="52"/>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w:t>
      </w:r>
      <w:r>
        <w:rPr>
          <w:rFonts w:ascii="仿宋" w:hAnsi="仿宋" w:eastAsia="仿宋"/>
          <w:color w:val="000000"/>
          <w:sz w:val="32"/>
          <w:szCs w:val="32"/>
        </w:rPr>
        <w:t>65.82</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bCs/>
          <w:color w:val="000000"/>
          <w:sz w:val="32"/>
          <w:szCs w:val="32"/>
        </w:rPr>
        <w:t>文化旅游体育与传媒（类）支出</w:t>
      </w:r>
      <w:r>
        <w:rPr>
          <w:rFonts w:ascii="仿宋" w:hAnsi="仿宋" w:eastAsia="仿宋"/>
          <w:b/>
          <w:bCs/>
          <w:color w:val="000000"/>
          <w:sz w:val="32"/>
          <w:szCs w:val="32"/>
        </w:rPr>
        <w:t>46.37</w:t>
      </w:r>
      <w:r>
        <w:rPr>
          <w:rFonts w:hint="eastAsia" w:ascii="仿宋" w:hAnsi="仿宋" w:eastAsia="仿宋"/>
          <w:b/>
          <w:bCs/>
          <w:color w:val="000000"/>
          <w:sz w:val="32"/>
          <w:szCs w:val="32"/>
        </w:rPr>
        <w:t>万元，占</w:t>
      </w:r>
      <w:r>
        <w:rPr>
          <w:rFonts w:ascii="仿宋" w:hAnsi="仿宋" w:eastAsia="仿宋"/>
          <w:b/>
          <w:bCs/>
          <w:color w:val="000000"/>
          <w:sz w:val="32"/>
          <w:szCs w:val="32"/>
        </w:rPr>
        <w:t>70.45%</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ascii="仿宋" w:hAnsi="仿宋" w:eastAsia="仿宋"/>
          <w:color w:val="000000"/>
          <w:sz w:val="32"/>
          <w:szCs w:val="32"/>
        </w:rPr>
        <w:t>9.4</w:t>
      </w:r>
      <w:r>
        <w:rPr>
          <w:rFonts w:hint="eastAsia" w:ascii="仿宋" w:hAnsi="仿宋" w:eastAsia="仿宋"/>
          <w:color w:val="000000"/>
          <w:sz w:val="32"/>
          <w:szCs w:val="32"/>
        </w:rPr>
        <w:t>万元，占</w:t>
      </w:r>
      <w:r>
        <w:rPr>
          <w:rFonts w:ascii="仿宋" w:hAnsi="仿宋" w:eastAsia="仿宋"/>
          <w:color w:val="000000"/>
          <w:sz w:val="32"/>
          <w:szCs w:val="32"/>
        </w:rPr>
        <w:t>70.45%</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ascii="仿宋" w:hAnsi="仿宋" w:eastAsia="仿宋"/>
          <w:color w:val="000000"/>
          <w:sz w:val="32"/>
          <w:szCs w:val="32"/>
        </w:rPr>
        <w:t>4.36</w:t>
      </w:r>
      <w:r>
        <w:rPr>
          <w:rFonts w:hint="eastAsia" w:ascii="仿宋" w:hAnsi="仿宋" w:eastAsia="仿宋"/>
          <w:color w:val="000000"/>
          <w:sz w:val="32"/>
          <w:szCs w:val="32"/>
        </w:rPr>
        <w:t>万元，占</w:t>
      </w:r>
      <w:r>
        <w:rPr>
          <w:rFonts w:ascii="仿宋" w:hAnsi="仿宋" w:eastAsia="仿宋"/>
          <w:color w:val="000000"/>
          <w:sz w:val="32"/>
          <w:szCs w:val="32"/>
        </w:rPr>
        <w:t>6.62%</w:t>
      </w:r>
      <w:r>
        <w:rPr>
          <w:rFonts w:hint="eastAsia" w:ascii="仿宋" w:hAnsi="仿宋" w:eastAsia="仿宋"/>
          <w:color w:val="000000"/>
          <w:sz w:val="32"/>
          <w:szCs w:val="32"/>
        </w:rPr>
        <w:t>；住房保障支出</w:t>
      </w:r>
      <w:r>
        <w:rPr>
          <w:rFonts w:ascii="仿宋" w:hAnsi="仿宋" w:eastAsia="仿宋"/>
          <w:color w:val="000000"/>
          <w:sz w:val="32"/>
          <w:szCs w:val="32"/>
        </w:rPr>
        <w:t>5.7</w:t>
      </w:r>
      <w:r>
        <w:rPr>
          <w:rFonts w:hint="eastAsia" w:ascii="仿宋" w:hAnsi="仿宋" w:eastAsia="仿宋"/>
          <w:color w:val="000000"/>
          <w:sz w:val="32"/>
          <w:szCs w:val="32"/>
        </w:rPr>
        <w:t>万元，占</w:t>
      </w:r>
      <w:r>
        <w:rPr>
          <w:rFonts w:ascii="仿宋" w:hAnsi="仿宋" w:eastAsia="仿宋"/>
          <w:color w:val="000000"/>
          <w:sz w:val="32"/>
          <w:szCs w:val="32"/>
        </w:rPr>
        <w:t>8.66%</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rPr>
      </w:pPr>
      <w:r>
        <w:pict>
          <v:shape id="_x0000_s1031" o:spid="_x0000_s1031" o:spt="75" type="#_x0000_t75" style="position:absolute;left:0pt;margin-left:23.2pt;margin-top:25pt;height:300.5pt;width:401.3pt;mso-wrap-distance-bottom:0pt;mso-wrap-distance-left:9pt;mso-wrap-distance-right:9pt;mso-wrap-distance-top:0pt;z-index:251655168;mso-width-relative:page;mso-height-relative:page;" o:ole="t" filled="f" o:preferrelative="t" stroked="f" coordsize="21600,21600">
            <v:path/>
            <v:fill on="f" focussize="0,0"/>
            <v:stroke on="f" joinstyle="miter"/>
            <v:imagedata r:id="rId17" o:title=""/>
            <o:lock v:ext="edit" aspectratio="t"/>
            <w10:wrap type="square"/>
          </v:shape>
          <o:OLEObject Type="Embed" ProgID="Excel.Chart.8" ShapeID="_x0000_s1031" DrawAspect="Content" ObjectID="_1468075730" r:id="rId16">
            <o:LockedField>false</o:LockedField>
          </o:OLEObject>
        </w:pict>
      </w:r>
    </w:p>
    <w:p>
      <w:pPr>
        <w:spacing w:line="600" w:lineRule="exact"/>
        <w:ind w:firstLine="643" w:firstLineChars="200"/>
        <w:outlineLvl w:val="2"/>
        <w:rPr>
          <w:rFonts w:ascii="仿宋" w:hAnsi="仿宋" w:eastAsia="仿宋"/>
          <w:b/>
          <w:color w:val="000000"/>
          <w:sz w:val="32"/>
          <w:szCs w:val="32"/>
        </w:rPr>
      </w:pPr>
      <w:bookmarkStart w:id="53" w:name="_Toc19900"/>
      <w:bookmarkStart w:id="54" w:name="_Toc15377212"/>
      <w:r>
        <w:rPr>
          <w:rFonts w:hint="eastAsia" w:ascii="仿宋" w:hAnsi="仿宋" w:eastAsia="仿宋"/>
          <w:b/>
          <w:color w:val="000000"/>
          <w:sz w:val="32"/>
          <w:szCs w:val="32"/>
        </w:rPr>
        <w:t>（三）一般公共预算财政拨款支出决算具体情况</w:t>
      </w:r>
      <w:bookmarkEnd w:id="53"/>
      <w:bookmarkEnd w:id="54"/>
    </w:p>
    <w:p>
      <w:pPr>
        <w:spacing w:line="600" w:lineRule="exact"/>
        <w:ind w:firstLine="643" w:firstLineChars="200"/>
        <w:outlineLvl w:val="2"/>
        <w:rPr>
          <w:rFonts w:ascii="仿宋" w:hAnsi="仿宋" w:eastAsia="仿宋"/>
          <w:color w:val="FF0000"/>
          <w:sz w:val="32"/>
          <w:szCs w:val="32"/>
        </w:rPr>
      </w:pPr>
      <w:bookmarkStart w:id="55" w:name="_Toc15377444"/>
      <w:bookmarkStart w:id="56" w:name="_Toc15378460"/>
      <w:bookmarkStart w:id="57" w:name="_Toc15377213"/>
      <w:bookmarkStart w:id="58" w:name="_Toc25698"/>
      <w:r>
        <w:rPr>
          <w:rFonts w:ascii="仿宋" w:hAnsi="仿宋" w:eastAsia="仿宋"/>
          <w:b/>
          <w:color w:val="000000"/>
          <w:sz w:val="32"/>
          <w:szCs w:val="32"/>
        </w:rPr>
        <w:t>2019</w:t>
      </w:r>
      <w:r>
        <w:rPr>
          <w:rFonts w:hint="eastAsia" w:ascii="仿宋" w:hAnsi="仿宋" w:eastAsia="仿宋"/>
          <w:b/>
          <w:color w:val="000000"/>
          <w:sz w:val="32"/>
          <w:szCs w:val="32"/>
        </w:rPr>
        <w:t>年般公共预算支出决算数为</w:t>
      </w:r>
      <w:r>
        <w:rPr>
          <w:rFonts w:ascii="仿宋" w:hAnsi="仿宋" w:eastAsia="仿宋"/>
          <w:b/>
          <w:color w:val="000000"/>
          <w:sz w:val="32"/>
          <w:szCs w:val="32"/>
        </w:rPr>
        <w:t>65.82</w:t>
      </w:r>
      <w:r>
        <w:rPr>
          <w:rFonts w:hint="eastAsia" w:ascii="仿宋" w:hAnsi="仿宋" w:eastAsia="仿宋"/>
          <w:color w:val="000000"/>
          <w:sz w:val="32"/>
          <w:szCs w:val="32"/>
        </w:rPr>
        <w:t>，</w:t>
      </w:r>
      <w:r>
        <w:rPr>
          <w:rStyle w:val="16"/>
          <w:rFonts w:hint="eastAsia" w:ascii="仿宋" w:hAnsi="仿宋" w:eastAsia="仿宋"/>
          <w:bCs/>
          <w:color w:val="000000"/>
          <w:sz w:val="32"/>
          <w:szCs w:val="32"/>
        </w:rPr>
        <w:t>完成预算</w:t>
      </w:r>
      <w:r>
        <w:rPr>
          <w:rStyle w:val="16"/>
          <w:rFonts w:ascii="仿宋" w:hAnsi="仿宋" w:eastAsia="仿宋"/>
          <w:bCs/>
          <w:color w:val="000000"/>
          <w:sz w:val="32"/>
          <w:szCs w:val="32"/>
        </w:rPr>
        <w:t>100%</w:t>
      </w:r>
      <w:r>
        <w:rPr>
          <w:rStyle w:val="16"/>
          <w:rFonts w:hint="eastAsia" w:ascii="仿宋" w:hAnsi="仿宋" w:eastAsia="仿宋"/>
          <w:bCs/>
          <w:color w:val="000000"/>
          <w:sz w:val="32"/>
          <w:szCs w:val="32"/>
        </w:rPr>
        <w:t>。其中：</w:t>
      </w:r>
      <w:bookmarkEnd w:id="55"/>
      <w:bookmarkEnd w:id="56"/>
      <w:bookmarkEnd w:id="57"/>
      <w:bookmarkEnd w:id="58"/>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文化体育与传媒</w:t>
      </w:r>
      <w:r>
        <w:rPr>
          <w:rStyle w:val="16"/>
          <w:rFonts w:ascii="仿宋" w:hAnsi="仿宋" w:eastAsia="仿宋"/>
          <w:bCs/>
          <w:color w:val="000000"/>
          <w:sz w:val="32"/>
          <w:szCs w:val="32"/>
        </w:rPr>
        <w:t xml:space="preserve">207: </w:t>
      </w:r>
      <w:r>
        <w:rPr>
          <w:rStyle w:val="16"/>
          <w:rFonts w:hint="eastAsia" w:ascii="仿宋" w:hAnsi="仿宋" w:eastAsia="仿宋"/>
          <w:bCs/>
          <w:color w:val="000000"/>
          <w:sz w:val="32"/>
          <w:szCs w:val="32"/>
        </w:rPr>
        <w:t>支出决算为</w:t>
      </w:r>
      <w:r>
        <w:rPr>
          <w:rStyle w:val="16"/>
          <w:rFonts w:ascii="仿宋" w:hAnsi="仿宋" w:eastAsia="仿宋"/>
          <w:bCs/>
          <w:color w:val="000000"/>
          <w:sz w:val="32"/>
          <w:szCs w:val="32"/>
        </w:rPr>
        <w:t>46.37</w:t>
      </w:r>
      <w:r>
        <w:rPr>
          <w:rStyle w:val="16"/>
          <w:rFonts w:hint="eastAsia" w:ascii="仿宋" w:hAnsi="仿宋" w:eastAsia="仿宋"/>
          <w:bCs/>
          <w:color w:val="000000"/>
          <w:sz w:val="32"/>
          <w:szCs w:val="32"/>
        </w:rPr>
        <w:t>万元，完成预算</w:t>
      </w:r>
      <w:r>
        <w:rPr>
          <w:rStyle w:val="16"/>
          <w:rFonts w:ascii="仿宋" w:hAnsi="仿宋" w:eastAsia="仿宋"/>
          <w:bCs/>
          <w:color w:val="000000"/>
          <w:sz w:val="32"/>
          <w:szCs w:val="32"/>
        </w:rPr>
        <w:t>100%</w:t>
      </w:r>
      <w:r>
        <w:rPr>
          <w:rStyle w:val="16"/>
          <w:rFonts w:hint="eastAsia" w:ascii="仿宋" w:hAnsi="仿宋" w:eastAsia="仿宋"/>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2070109—</w:t>
      </w:r>
      <w:r>
        <w:rPr>
          <w:rStyle w:val="16"/>
          <w:rFonts w:hint="eastAsia" w:ascii="仿宋" w:hAnsi="仿宋" w:eastAsia="仿宋"/>
          <w:bCs/>
          <w:color w:val="000000"/>
          <w:sz w:val="32"/>
          <w:szCs w:val="32"/>
        </w:rPr>
        <w:t>群众文化支出</w:t>
      </w:r>
      <w:r>
        <w:rPr>
          <w:rStyle w:val="16"/>
          <w:rFonts w:ascii="仿宋" w:hAnsi="仿宋" w:eastAsia="仿宋"/>
          <w:bCs/>
          <w:color w:val="000000"/>
          <w:sz w:val="32"/>
          <w:szCs w:val="32"/>
        </w:rPr>
        <w:t>46.37</w:t>
      </w:r>
      <w:r>
        <w:rPr>
          <w:rStyle w:val="16"/>
          <w:rFonts w:hint="eastAsia" w:ascii="仿宋" w:hAnsi="仿宋" w:eastAsia="仿宋"/>
          <w:bCs/>
          <w:color w:val="000000"/>
          <w:sz w:val="32"/>
          <w:szCs w:val="32"/>
        </w:rPr>
        <w:t>万元。</w:t>
      </w:r>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rPr>
        <w:t>社会保障和就业</w:t>
      </w:r>
      <w:r>
        <w:rPr>
          <w:rStyle w:val="16"/>
          <w:rFonts w:ascii="仿宋" w:hAnsi="仿宋" w:eastAsia="仿宋"/>
          <w:bCs/>
          <w:color w:val="000000"/>
          <w:sz w:val="32"/>
          <w:szCs w:val="32"/>
        </w:rPr>
        <w:t xml:space="preserve">208: </w:t>
      </w:r>
      <w:r>
        <w:rPr>
          <w:rStyle w:val="16"/>
          <w:rFonts w:hint="eastAsia" w:ascii="仿宋" w:hAnsi="仿宋" w:eastAsia="仿宋"/>
          <w:bCs/>
          <w:color w:val="000000"/>
          <w:sz w:val="32"/>
          <w:szCs w:val="32"/>
        </w:rPr>
        <w:t>支出决算为</w:t>
      </w:r>
      <w:r>
        <w:rPr>
          <w:rStyle w:val="16"/>
          <w:rFonts w:ascii="仿宋" w:hAnsi="仿宋" w:eastAsia="仿宋"/>
          <w:bCs/>
          <w:color w:val="000000"/>
          <w:sz w:val="32"/>
          <w:szCs w:val="32"/>
        </w:rPr>
        <w:t>9.4</w:t>
      </w:r>
      <w:r>
        <w:rPr>
          <w:rStyle w:val="16"/>
          <w:rFonts w:hint="eastAsia" w:ascii="仿宋" w:hAnsi="仿宋" w:eastAsia="仿宋"/>
          <w:bCs/>
          <w:color w:val="000000"/>
          <w:sz w:val="32"/>
          <w:szCs w:val="32"/>
        </w:rPr>
        <w:t>万元，完成预算</w:t>
      </w:r>
      <w:r>
        <w:rPr>
          <w:rStyle w:val="16"/>
          <w:rFonts w:ascii="仿宋" w:hAnsi="仿宋" w:eastAsia="仿宋"/>
          <w:bCs/>
          <w:color w:val="000000"/>
          <w:sz w:val="32"/>
          <w:szCs w:val="32"/>
        </w:rPr>
        <w:t>100%</w:t>
      </w:r>
      <w:r>
        <w:rPr>
          <w:rStyle w:val="16"/>
          <w:rFonts w:hint="eastAsia" w:ascii="仿宋" w:hAnsi="仿宋" w:eastAsia="仿宋"/>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2080505—</w:t>
      </w:r>
      <w:r>
        <w:rPr>
          <w:rStyle w:val="16"/>
          <w:rFonts w:hint="eastAsia" w:ascii="仿宋" w:hAnsi="仿宋" w:eastAsia="仿宋"/>
          <w:bCs/>
          <w:color w:val="000000"/>
          <w:sz w:val="32"/>
          <w:szCs w:val="32"/>
        </w:rPr>
        <w:t>机关事业单位基本养老保险缴费支出</w:t>
      </w:r>
      <w:r>
        <w:rPr>
          <w:rStyle w:val="16"/>
          <w:rFonts w:ascii="仿宋" w:hAnsi="仿宋" w:eastAsia="仿宋"/>
          <w:bCs/>
          <w:color w:val="000000"/>
          <w:sz w:val="32"/>
          <w:szCs w:val="32"/>
        </w:rPr>
        <w:t>6.35</w:t>
      </w:r>
      <w:r>
        <w:rPr>
          <w:rStyle w:val="16"/>
          <w:rFonts w:hint="eastAsia" w:ascii="仿宋" w:hAnsi="仿宋" w:eastAsia="仿宋"/>
          <w:bCs/>
          <w:color w:val="000000"/>
          <w:sz w:val="32"/>
          <w:szCs w:val="32"/>
        </w:rPr>
        <w:t>万元；</w:t>
      </w:r>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2080506—</w:t>
      </w:r>
      <w:r>
        <w:rPr>
          <w:rStyle w:val="16"/>
          <w:rFonts w:hint="eastAsia" w:ascii="仿宋" w:hAnsi="仿宋" w:eastAsia="仿宋"/>
          <w:bCs/>
          <w:color w:val="000000"/>
          <w:sz w:val="32"/>
          <w:szCs w:val="32"/>
        </w:rPr>
        <w:t>机关事业单位职业年金缴费支出</w:t>
      </w:r>
      <w:r>
        <w:rPr>
          <w:rStyle w:val="16"/>
          <w:rFonts w:ascii="仿宋" w:hAnsi="仿宋" w:eastAsia="仿宋"/>
          <w:bCs/>
          <w:color w:val="000000"/>
          <w:sz w:val="32"/>
          <w:szCs w:val="32"/>
        </w:rPr>
        <w:t>3.05</w:t>
      </w:r>
      <w:r>
        <w:rPr>
          <w:rStyle w:val="16"/>
          <w:rFonts w:hint="eastAsia" w:ascii="仿宋" w:hAnsi="仿宋" w:eastAsia="仿宋"/>
          <w:bCs/>
          <w:color w:val="000000"/>
          <w:sz w:val="32"/>
          <w:szCs w:val="32"/>
        </w:rPr>
        <w:t>万元。</w:t>
      </w:r>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3.</w:t>
      </w:r>
      <w:r>
        <w:rPr>
          <w:rStyle w:val="16"/>
          <w:rFonts w:hint="eastAsia" w:ascii="仿宋" w:hAnsi="仿宋" w:eastAsia="仿宋"/>
          <w:bCs/>
          <w:color w:val="000000"/>
          <w:sz w:val="32"/>
          <w:szCs w:val="32"/>
        </w:rPr>
        <w:t>医疗卫生与计划生育</w:t>
      </w:r>
      <w:r>
        <w:rPr>
          <w:rStyle w:val="16"/>
          <w:rFonts w:ascii="仿宋" w:hAnsi="仿宋" w:eastAsia="仿宋"/>
          <w:bCs/>
          <w:color w:val="000000"/>
          <w:sz w:val="32"/>
          <w:szCs w:val="32"/>
        </w:rPr>
        <w:t>210:</w:t>
      </w:r>
      <w:r>
        <w:rPr>
          <w:rStyle w:val="16"/>
          <w:rFonts w:hint="eastAsia" w:ascii="仿宋" w:hAnsi="仿宋" w:eastAsia="仿宋"/>
          <w:bCs/>
          <w:color w:val="000000"/>
          <w:sz w:val="32"/>
          <w:szCs w:val="32"/>
        </w:rPr>
        <w:t>支出决算为</w:t>
      </w:r>
      <w:r>
        <w:rPr>
          <w:rStyle w:val="16"/>
          <w:rFonts w:ascii="仿宋" w:hAnsi="仿宋" w:eastAsia="仿宋"/>
          <w:bCs/>
          <w:color w:val="000000"/>
          <w:sz w:val="32"/>
          <w:szCs w:val="32"/>
        </w:rPr>
        <w:t>4.36</w:t>
      </w:r>
      <w:r>
        <w:rPr>
          <w:rStyle w:val="16"/>
          <w:rFonts w:hint="eastAsia" w:ascii="仿宋" w:hAnsi="仿宋" w:eastAsia="仿宋"/>
          <w:bCs/>
          <w:color w:val="000000"/>
          <w:sz w:val="32"/>
          <w:szCs w:val="32"/>
        </w:rPr>
        <w:t>万元，完成预算</w:t>
      </w:r>
      <w:r>
        <w:rPr>
          <w:rStyle w:val="16"/>
          <w:rFonts w:ascii="仿宋" w:hAnsi="仿宋" w:eastAsia="仿宋"/>
          <w:bCs/>
          <w:color w:val="000000"/>
          <w:sz w:val="32"/>
          <w:szCs w:val="32"/>
        </w:rPr>
        <w:t>100%</w:t>
      </w:r>
      <w:r>
        <w:rPr>
          <w:rStyle w:val="16"/>
          <w:rFonts w:hint="eastAsia" w:ascii="仿宋" w:hAnsi="仿宋" w:eastAsia="仿宋"/>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2101102—</w:t>
      </w:r>
      <w:r>
        <w:rPr>
          <w:rStyle w:val="16"/>
          <w:rFonts w:hint="eastAsia" w:ascii="仿宋" w:hAnsi="仿宋" w:eastAsia="仿宋"/>
          <w:bCs/>
          <w:color w:val="000000"/>
          <w:sz w:val="32"/>
          <w:szCs w:val="32"/>
        </w:rPr>
        <w:t>事业单位医疗支出</w:t>
      </w:r>
      <w:r>
        <w:rPr>
          <w:rStyle w:val="16"/>
          <w:rFonts w:ascii="仿宋" w:hAnsi="仿宋" w:eastAsia="仿宋"/>
          <w:bCs/>
          <w:color w:val="000000"/>
          <w:sz w:val="32"/>
          <w:szCs w:val="32"/>
        </w:rPr>
        <w:t>3.12</w:t>
      </w:r>
      <w:r>
        <w:rPr>
          <w:rStyle w:val="16"/>
          <w:rFonts w:hint="eastAsia" w:ascii="仿宋" w:hAnsi="仿宋" w:eastAsia="仿宋"/>
          <w:bCs/>
          <w:color w:val="000000"/>
          <w:sz w:val="32"/>
          <w:szCs w:val="32"/>
        </w:rPr>
        <w:t>万元；</w:t>
      </w:r>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2101199—</w:t>
      </w:r>
      <w:r>
        <w:rPr>
          <w:rStyle w:val="16"/>
          <w:rFonts w:hint="eastAsia" w:ascii="仿宋" w:hAnsi="仿宋" w:eastAsia="仿宋"/>
          <w:bCs/>
          <w:color w:val="000000"/>
          <w:sz w:val="32"/>
          <w:szCs w:val="32"/>
        </w:rPr>
        <w:t>其他行政事业单位医疗支出</w:t>
      </w:r>
      <w:r>
        <w:rPr>
          <w:rStyle w:val="16"/>
          <w:rFonts w:ascii="仿宋" w:hAnsi="仿宋" w:eastAsia="仿宋"/>
          <w:bCs/>
          <w:color w:val="000000"/>
          <w:sz w:val="32"/>
          <w:szCs w:val="32"/>
        </w:rPr>
        <w:t>1.24</w:t>
      </w:r>
      <w:r>
        <w:rPr>
          <w:rStyle w:val="16"/>
          <w:rFonts w:hint="eastAsia" w:ascii="仿宋" w:hAnsi="仿宋" w:eastAsia="仿宋"/>
          <w:bCs/>
          <w:color w:val="000000"/>
          <w:sz w:val="32"/>
          <w:szCs w:val="32"/>
        </w:rPr>
        <w:t>万元。</w:t>
      </w:r>
    </w:p>
    <w:p>
      <w:pPr>
        <w:spacing w:line="600" w:lineRule="exact"/>
        <w:ind w:firstLine="640"/>
        <w:rPr>
          <w:rFonts w:ascii="仿宋" w:hAnsi="仿宋" w:eastAsia="仿宋"/>
          <w:b/>
          <w:color w:val="000000"/>
          <w:sz w:val="32"/>
          <w:szCs w:val="32"/>
        </w:rPr>
      </w:pPr>
      <w:r>
        <w:rPr>
          <w:rFonts w:ascii="仿宋" w:hAnsi="仿宋" w:eastAsia="仿宋"/>
          <w:b/>
          <w:color w:val="000000"/>
          <w:sz w:val="32"/>
          <w:szCs w:val="32"/>
        </w:rPr>
        <w:t>4.</w:t>
      </w:r>
      <w:r>
        <w:rPr>
          <w:rFonts w:hint="eastAsia" w:ascii="仿宋" w:hAnsi="仿宋" w:eastAsia="仿宋"/>
          <w:b/>
          <w:color w:val="000000"/>
          <w:sz w:val="32"/>
          <w:szCs w:val="32"/>
        </w:rPr>
        <w:t>住房保障支出</w:t>
      </w:r>
      <w:r>
        <w:rPr>
          <w:rFonts w:ascii="仿宋" w:hAnsi="仿宋" w:eastAsia="仿宋"/>
          <w:b/>
          <w:color w:val="000000"/>
          <w:sz w:val="32"/>
          <w:szCs w:val="32"/>
        </w:rPr>
        <w:t>221</w:t>
      </w:r>
      <w:r>
        <w:rPr>
          <w:rFonts w:hint="eastAsia" w:ascii="仿宋" w:hAnsi="仿宋" w:eastAsia="仿宋"/>
          <w:b/>
          <w:color w:val="000000"/>
          <w:sz w:val="32"/>
          <w:szCs w:val="32"/>
        </w:rPr>
        <w:t>：</w:t>
      </w:r>
      <w:r>
        <w:rPr>
          <w:rStyle w:val="16"/>
          <w:rFonts w:hint="eastAsia" w:ascii="仿宋" w:hAnsi="仿宋" w:eastAsia="仿宋"/>
          <w:bCs/>
          <w:color w:val="000000"/>
          <w:sz w:val="32"/>
          <w:szCs w:val="32"/>
        </w:rPr>
        <w:t>支出决算为</w:t>
      </w:r>
      <w:r>
        <w:rPr>
          <w:rStyle w:val="16"/>
          <w:rFonts w:ascii="仿宋" w:hAnsi="仿宋" w:eastAsia="仿宋"/>
          <w:bCs/>
          <w:color w:val="000000"/>
          <w:sz w:val="32"/>
          <w:szCs w:val="32"/>
        </w:rPr>
        <w:t>5.7</w:t>
      </w:r>
      <w:r>
        <w:rPr>
          <w:rStyle w:val="16"/>
          <w:rFonts w:hint="eastAsia" w:ascii="仿宋" w:hAnsi="仿宋" w:eastAsia="仿宋"/>
          <w:bCs/>
          <w:color w:val="000000"/>
          <w:sz w:val="32"/>
          <w:szCs w:val="32"/>
        </w:rPr>
        <w:t>万元，完成预算</w:t>
      </w:r>
      <w:r>
        <w:rPr>
          <w:rStyle w:val="16"/>
          <w:rFonts w:ascii="仿宋" w:hAnsi="仿宋" w:eastAsia="仿宋"/>
          <w:bCs/>
          <w:color w:val="000000"/>
          <w:sz w:val="32"/>
          <w:szCs w:val="32"/>
        </w:rPr>
        <w:t>100%</w:t>
      </w:r>
      <w:r>
        <w:rPr>
          <w:rStyle w:val="16"/>
          <w:rFonts w:hint="eastAsia" w:ascii="仿宋" w:hAnsi="仿宋" w:eastAsia="仿宋"/>
          <w:bCs/>
          <w:color w:val="000000"/>
          <w:sz w:val="32"/>
          <w:szCs w:val="32"/>
        </w:rPr>
        <w:t>，决算数等于预算数。</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19"/>
        </w:rPr>
      </w:pPr>
      <w:bookmarkStart w:id="59" w:name="_Toc15396608"/>
      <w:bookmarkStart w:id="60" w:name="_Toc15377214"/>
      <w:bookmarkStart w:id="61" w:name="_Toc13405"/>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9"/>
          <w:rFonts w:hint="eastAsia" w:ascii="黑体" w:hAnsi="黑体" w:eastAsia="黑体"/>
          <w:b w:val="0"/>
        </w:rPr>
        <w:t>般公共预算财政拨款基本支出决算情况说明</w:t>
      </w:r>
      <w:bookmarkEnd w:id="59"/>
      <w:bookmarkEnd w:id="60"/>
      <w:bookmarkEnd w:id="61"/>
      <w:r>
        <w:rPr>
          <w:rStyle w:val="1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65.82</w:t>
      </w:r>
      <w:r>
        <w:rPr>
          <w:rFonts w:hint="eastAsia" w:ascii="仿宋" w:hAnsi="仿宋" w:eastAsia="仿宋"/>
          <w:color w:val="000000"/>
          <w:sz w:val="32"/>
          <w:szCs w:val="32"/>
        </w:rPr>
        <w:t>万元，其中：</w:t>
      </w:r>
    </w:p>
    <w:p>
      <w:pPr>
        <w:ind w:firstLine="960" w:firstLineChars="300"/>
        <w:rPr>
          <w:rFonts w:ascii="宋体" w:cs="Arial"/>
          <w:color w:val="000000"/>
          <w:kern w:val="0"/>
          <w:sz w:val="22"/>
          <w:szCs w:val="22"/>
        </w:rPr>
      </w:pPr>
      <w:bookmarkStart w:id="62" w:name="_Toc15377215"/>
      <w:bookmarkStart w:id="63" w:name="_Toc15396609"/>
      <w:r>
        <w:rPr>
          <w:rFonts w:ascii="仿宋" w:hAnsi="仿宋" w:eastAsia="仿宋"/>
          <w:color w:val="000000"/>
          <w:sz w:val="32"/>
          <w:szCs w:val="32"/>
        </w:rPr>
        <w:t>2019</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59.2</w:t>
      </w:r>
      <w:r>
        <w:rPr>
          <w:rFonts w:hint="eastAsia" w:ascii="仿宋" w:hAnsi="仿宋" w:eastAsia="仿宋"/>
          <w:color w:val="000000"/>
          <w:sz w:val="32"/>
          <w:szCs w:val="32"/>
        </w:rPr>
        <w:t>万元，其中：人员经费</w:t>
      </w:r>
      <w:r>
        <w:rPr>
          <w:rFonts w:ascii="仿宋" w:hAnsi="仿宋" w:eastAsia="仿宋"/>
          <w:color w:val="000000"/>
          <w:sz w:val="32"/>
          <w:szCs w:val="32"/>
        </w:rPr>
        <w:t>81.49</w:t>
      </w:r>
      <w:r>
        <w:rPr>
          <w:rFonts w:hint="eastAsia" w:ascii="仿宋" w:hAnsi="仿宋" w:eastAsia="仿宋"/>
          <w:color w:val="000000"/>
          <w:sz w:val="32"/>
          <w:szCs w:val="32"/>
        </w:rPr>
        <w:t>万元，主要包括：基本工资</w:t>
      </w:r>
      <w:r>
        <w:rPr>
          <w:rFonts w:ascii="仿宋" w:hAnsi="仿宋" w:eastAsia="仿宋"/>
          <w:color w:val="000000"/>
          <w:sz w:val="32"/>
          <w:szCs w:val="32"/>
        </w:rPr>
        <w:t>13.03</w:t>
      </w:r>
      <w:r>
        <w:rPr>
          <w:rFonts w:hint="eastAsia" w:ascii="仿宋" w:hAnsi="仿宋" w:eastAsia="仿宋"/>
          <w:color w:val="000000"/>
          <w:sz w:val="32"/>
          <w:szCs w:val="32"/>
        </w:rPr>
        <w:t>万元、津贴补贴</w:t>
      </w:r>
      <w:r>
        <w:rPr>
          <w:rFonts w:ascii="仿宋" w:hAnsi="仿宋" w:eastAsia="仿宋"/>
          <w:color w:val="000000"/>
          <w:sz w:val="32"/>
          <w:szCs w:val="32"/>
        </w:rPr>
        <w:t>8.34</w:t>
      </w:r>
      <w:r>
        <w:rPr>
          <w:rFonts w:hint="eastAsia" w:ascii="仿宋" w:hAnsi="仿宋" w:eastAsia="仿宋"/>
          <w:color w:val="000000"/>
          <w:sz w:val="32"/>
          <w:szCs w:val="32"/>
        </w:rPr>
        <w:t>万元、奖金</w:t>
      </w:r>
      <w:r>
        <w:rPr>
          <w:rFonts w:ascii="仿宋" w:hAnsi="仿宋" w:eastAsia="仿宋"/>
          <w:color w:val="000000"/>
          <w:sz w:val="32"/>
          <w:szCs w:val="32"/>
        </w:rPr>
        <w:t>12.65</w:t>
      </w:r>
      <w:r>
        <w:rPr>
          <w:rFonts w:hint="eastAsia" w:ascii="仿宋" w:hAnsi="仿宋" w:eastAsia="仿宋"/>
          <w:color w:val="000000"/>
          <w:sz w:val="32"/>
          <w:szCs w:val="32"/>
        </w:rPr>
        <w:t>万元、绩效工资</w:t>
      </w:r>
      <w:r>
        <w:rPr>
          <w:rFonts w:ascii="仿宋" w:hAnsi="仿宋" w:eastAsia="仿宋"/>
          <w:color w:val="000000"/>
          <w:sz w:val="32"/>
          <w:szCs w:val="32"/>
        </w:rPr>
        <w:t>4.95</w:t>
      </w:r>
      <w:r>
        <w:rPr>
          <w:rFonts w:hint="eastAsia" w:ascii="仿宋" w:hAnsi="仿宋" w:eastAsia="仿宋"/>
          <w:color w:val="000000"/>
          <w:sz w:val="32"/>
          <w:szCs w:val="32"/>
        </w:rPr>
        <w:t>万元、机关事业单位基本养老保险缴费</w:t>
      </w:r>
      <w:r>
        <w:rPr>
          <w:rFonts w:ascii="仿宋" w:hAnsi="仿宋" w:eastAsia="仿宋"/>
          <w:color w:val="000000"/>
          <w:sz w:val="32"/>
          <w:szCs w:val="32"/>
        </w:rPr>
        <w:t>6.35</w:t>
      </w:r>
      <w:r>
        <w:rPr>
          <w:rFonts w:hint="eastAsia" w:ascii="仿宋" w:hAnsi="仿宋" w:eastAsia="仿宋"/>
          <w:color w:val="000000"/>
          <w:sz w:val="32"/>
          <w:szCs w:val="32"/>
        </w:rPr>
        <w:t>万元、职业年金缴费</w:t>
      </w:r>
      <w:r>
        <w:rPr>
          <w:rFonts w:ascii="仿宋" w:hAnsi="仿宋" w:eastAsia="仿宋"/>
          <w:color w:val="000000"/>
          <w:sz w:val="32"/>
          <w:szCs w:val="32"/>
        </w:rPr>
        <w:t>3.05</w:t>
      </w:r>
      <w:r>
        <w:rPr>
          <w:rFonts w:hint="eastAsia" w:ascii="仿宋" w:hAnsi="仿宋" w:eastAsia="仿宋"/>
          <w:color w:val="000000"/>
          <w:sz w:val="32"/>
          <w:szCs w:val="32"/>
        </w:rPr>
        <w:t>万元、其他社会保障缴费</w:t>
      </w:r>
      <w:r>
        <w:rPr>
          <w:rFonts w:ascii="仿宋" w:hAnsi="仿宋" w:eastAsia="仿宋"/>
          <w:color w:val="000000"/>
          <w:sz w:val="32"/>
          <w:szCs w:val="32"/>
        </w:rPr>
        <w:t>1.24</w:t>
      </w:r>
      <w:r>
        <w:rPr>
          <w:rFonts w:hint="eastAsia" w:ascii="仿宋" w:hAnsi="仿宋" w:eastAsia="仿宋"/>
          <w:color w:val="000000"/>
          <w:sz w:val="32"/>
          <w:szCs w:val="32"/>
        </w:rPr>
        <w:t>万元、医疗费</w:t>
      </w:r>
      <w:r>
        <w:rPr>
          <w:rFonts w:ascii="仿宋" w:hAnsi="仿宋" w:eastAsia="仿宋"/>
          <w:color w:val="000000"/>
          <w:sz w:val="32"/>
          <w:szCs w:val="32"/>
        </w:rPr>
        <w:t>3.12</w:t>
      </w:r>
      <w:r>
        <w:rPr>
          <w:rFonts w:hint="eastAsia" w:ascii="仿宋" w:hAnsi="仿宋" w:eastAsia="仿宋"/>
          <w:color w:val="000000"/>
          <w:sz w:val="32"/>
          <w:szCs w:val="32"/>
        </w:rPr>
        <w:t>万元、住房公积金</w:t>
      </w:r>
      <w:r>
        <w:rPr>
          <w:rFonts w:ascii="仿宋" w:hAnsi="仿宋" w:eastAsia="仿宋"/>
          <w:color w:val="000000"/>
          <w:sz w:val="32"/>
          <w:szCs w:val="32"/>
        </w:rPr>
        <w:t>5.7</w:t>
      </w:r>
      <w:r>
        <w:rPr>
          <w:rFonts w:hint="eastAsia" w:ascii="仿宋" w:hAnsi="仿宋" w:eastAsia="仿宋"/>
          <w:color w:val="000000"/>
          <w:sz w:val="32"/>
          <w:szCs w:val="32"/>
        </w:rPr>
        <w:t>万元。</w:t>
      </w:r>
      <w:r>
        <w:rPr>
          <w:rFonts w:ascii="仿宋" w:hAnsi="仿宋" w:eastAsia="仿宋"/>
          <w:color w:val="0000FF"/>
          <w:sz w:val="32"/>
          <w:szCs w:val="32"/>
        </w:rPr>
        <w:br w:type="textWrapping"/>
      </w:r>
      <w:r>
        <w:rPr>
          <w:rFonts w:hint="eastAsia" w:ascii="仿宋" w:hAnsi="仿宋" w:eastAsia="仿宋"/>
          <w:color w:val="0000FF"/>
          <w:sz w:val="32"/>
          <w:szCs w:val="32"/>
        </w:rPr>
        <w:t>　　</w:t>
      </w:r>
      <w:r>
        <w:rPr>
          <w:rFonts w:hint="eastAsia" w:ascii="仿宋" w:hAnsi="仿宋" w:eastAsia="仿宋"/>
          <w:color w:val="000000"/>
          <w:sz w:val="32"/>
          <w:szCs w:val="32"/>
        </w:rPr>
        <w:t>公用经费</w:t>
      </w:r>
      <w:r>
        <w:rPr>
          <w:rFonts w:ascii="仿宋" w:hAnsi="仿宋" w:eastAsia="仿宋"/>
          <w:color w:val="000000"/>
          <w:sz w:val="32"/>
          <w:szCs w:val="32"/>
        </w:rPr>
        <w:t>5.48</w:t>
      </w:r>
      <w:r>
        <w:rPr>
          <w:rFonts w:hint="eastAsia" w:ascii="仿宋" w:hAnsi="仿宋" w:eastAsia="仿宋"/>
          <w:color w:val="000000"/>
          <w:sz w:val="32"/>
          <w:szCs w:val="32"/>
        </w:rPr>
        <w:t>万元，主要包括：办公费</w:t>
      </w:r>
      <w:r>
        <w:rPr>
          <w:rFonts w:ascii="仿宋" w:hAnsi="仿宋" w:eastAsia="仿宋"/>
          <w:color w:val="000000"/>
          <w:sz w:val="32"/>
          <w:szCs w:val="32"/>
        </w:rPr>
        <w:t>0.92</w:t>
      </w:r>
      <w:r>
        <w:rPr>
          <w:rFonts w:hint="eastAsia" w:ascii="仿宋" w:hAnsi="仿宋" w:eastAsia="仿宋"/>
          <w:color w:val="000000"/>
          <w:sz w:val="32"/>
          <w:szCs w:val="32"/>
        </w:rPr>
        <w:t>万元、手续费</w:t>
      </w:r>
      <w:r>
        <w:rPr>
          <w:rFonts w:ascii="仿宋" w:hAnsi="仿宋" w:eastAsia="仿宋"/>
          <w:color w:val="000000"/>
          <w:sz w:val="32"/>
          <w:szCs w:val="32"/>
        </w:rPr>
        <w:t>0.04</w:t>
      </w:r>
      <w:r>
        <w:rPr>
          <w:rFonts w:hint="eastAsia" w:ascii="仿宋" w:hAnsi="仿宋" w:eastAsia="仿宋"/>
          <w:color w:val="000000"/>
          <w:sz w:val="32"/>
          <w:szCs w:val="32"/>
        </w:rPr>
        <w:t>万元、差旅费</w:t>
      </w:r>
      <w:r>
        <w:rPr>
          <w:rFonts w:ascii="仿宋" w:hAnsi="仿宋" w:eastAsia="仿宋"/>
          <w:color w:val="000000"/>
          <w:sz w:val="32"/>
          <w:szCs w:val="32"/>
        </w:rPr>
        <w:t>3.72</w:t>
      </w:r>
      <w:r>
        <w:rPr>
          <w:rFonts w:hint="eastAsia" w:ascii="仿宋" w:hAnsi="仿宋" w:eastAsia="仿宋"/>
          <w:color w:val="000000"/>
          <w:sz w:val="32"/>
          <w:szCs w:val="32"/>
        </w:rPr>
        <w:t>万元、培训费</w:t>
      </w:r>
      <w:r>
        <w:rPr>
          <w:rFonts w:ascii="仿宋" w:hAnsi="仿宋" w:eastAsia="仿宋"/>
          <w:color w:val="000000"/>
          <w:sz w:val="32"/>
          <w:szCs w:val="32"/>
        </w:rPr>
        <w:t>0.5</w:t>
      </w:r>
      <w:r>
        <w:rPr>
          <w:rFonts w:hint="eastAsia" w:ascii="仿宋" w:hAnsi="仿宋" w:eastAsia="仿宋"/>
          <w:color w:val="000000"/>
          <w:sz w:val="32"/>
          <w:szCs w:val="32"/>
        </w:rPr>
        <w:t>万元、公务接待费、劳务费、委托业务费</w:t>
      </w:r>
      <w:r>
        <w:rPr>
          <w:rFonts w:ascii="仿宋" w:hAnsi="仿宋" w:eastAsia="仿宋"/>
          <w:color w:val="000000"/>
          <w:sz w:val="32"/>
          <w:szCs w:val="32"/>
        </w:rPr>
        <w:t>0.66</w:t>
      </w:r>
      <w:r>
        <w:rPr>
          <w:rFonts w:hint="eastAsia" w:ascii="仿宋" w:hAnsi="仿宋" w:eastAsia="仿宋"/>
          <w:color w:val="000000"/>
          <w:sz w:val="32"/>
          <w:szCs w:val="32"/>
        </w:rPr>
        <w:t>万元。</w:t>
      </w:r>
    </w:p>
    <w:p>
      <w:pPr>
        <w:spacing w:line="600" w:lineRule="exact"/>
        <w:ind w:firstLine="640"/>
        <w:outlineLvl w:val="1"/>
        <w:rPr>
          <w:rStyle w:val="19"/>
          <w:rFonts w:ascii="黑体" w:hAnsi="黑体" w:eastAsia="黑体"/>
          <w:b w:val="0"/>
        </w:rPr>
      </w:pPr>
      <w:bookmarkStart w:id="64" w:name="_Toc17875"/>
      <w:r>
        <w:rPr>
          <w:rFonts w:hint="eastAsia" w:ascii="黑体" w:eastAsia="黑体"/>
          <w:color w:val="000000"/>
          <w:sz w:val="32"/>
          <w:szCs w:val="32"/>
        </w:rPr>
        <w:t>七、</w:t>
      </w:r>
      <w:r>
        <w:rPr>
          <w:rStyle w:val="19"/>
          <w:rFonts w:hint="eastAsia" w:ascii="黑体" w:hAnsi="黑体" w:eastAsia="黑体"/>
        </w:rPr>
        <w:t>“</w:t>
      </w:r>
      <w:r>
        <w:rPr>
          <w:rStyle w:val="19"/>
          <w:rFonts w:hint="eastAsia" w:ascii="黑体" w:hAnsi="黑体" w:eastAsia="黑体"/>
          <w:b w:val="0"/>
        </w:rPr>
        <w:t>三公”经费财政拨款支出决算情况说明</w:t>
      </w:r>
      <w:bookmarkEnd w:id="62"/>
      <w:bookmarkEnd w:id="63"/>
      <w:bookmarkEnd w:id="64"/>
    </w:p>
    <w:p>
      <w:pPr>
        <w:spacing w:line="600" w:lineRule="exact"/>
        <w:ind w:firstLine="640"/>
        <w:outlineLvl w:val="2"/>
        <w:rPr>
          <w:rFonts w:ascii="仿宋" w:hAnsi="仿宋" w:eastAsia="仿宋"/>
          <w:b/>
          <w:color w:val="000000"/>
          <w:sz w:val="32"/>
          <w:szCs w:val="32"/>
        </w:rPr>
      </w:pPr>
      <w:bookmarkStart w:id="65" w:name="_Toc15377216"/>
      <w:bookmarkStart w:id="66" w:name="_Toc5547"/>
      <w:r>
        <w:rPr>
          <w:rFonts w:hint="eastAsia" w:ascii="仿宋" w:hAnsi="仿宋" w:eastAsia="仿宋"/>
          <w:b/>
          <w:color w:val="000000"/>
          <w:sz w:val="32"/>
          <w:szCs w:val="32"/>
        </w:rPr>
        <w:t>（一）“三公”经费财政拨款支出决算总体情况说明</w:t>
      </w:r>
      <w:bookmarkEnd w:id="65"/>
      <w:bookmarkEnd w:id="6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0.08</w:t>
      </w:r>
      <w:r>
        <w:rPr>
          <w:rFonts w:hint="eastAsia" w:ascii="仿宋" w:hAnsi="仿宋" w:eastAsia="仿宋"/>
          <w:color w:val="000000"/>
          <w:sz w:val="32"/>
          <w:szCs w:val="32"/>
        </w:rPr>
        <w:t>万元，完成预算</w:t>
      </w:r>
      <w:r>
        <w:rPr>
          <w:rFonts w:ascii="仿宋" w:hAnsi="仿宋" w:eastAsia="仿宋"/>
          <w:color w:val="000000"/>
          <w:sz w:val="32"/>
          <w:szCs w:val="32"/>
        </w:rPr>
        <w:t>100%</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67" w:name="_Toc15377217"/>
      <w:bookmarkStart w:id="68" w:name="_Toc16422"/>
      <w:r>
        <w:rPr>
          <w:rFonts w:hint="eastAsia" w:ascii="仿宋" w:hAnsi="仿宋" w:eastAsia="仿宋"/>
          <w:b/>
          <w:color w:val="000000"/>
          <w:sz w:val="32"/>
          <w:szCs w:val="32"/>
        </w:rPr>
        <w:t>（二）“三公”经费财政拨款支出决算具体情况说明</w:t>
      </w:r>
      <w:bookmarkEnd w:id="67"/>
      <w:bookmarkEnd w:id="6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0.09</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0</w:t>
      </w:r>
      <w:r>
        <w:rPr>
          <w:rFonts w:hint="eastAsia" w:ascii="仿宋" w:hAnsi="仿宋" w:eastAsia="仿宋"/>
          <w:color w:val="000000"/>
          <w:sz w:val="32"/>
          <w:szCs w:val="32"/>
        </w:rPr>
        <w:t>万元。</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0%</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0.09</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2018</w:t>
      </w:r>
      <w:r>
        <w:rPr>
          <w:rFonts w:hint="eastAsia" w:ascii="仿宋_GB2312" w:eastAsia="仿宋_GB2312"/>
          <w:color w:val="000000"/>
          <w:sz w:val="32"/>
          <w:szCs w:val="32"/>
        </w:rPr>
        <w:t>年减少</w:t>
      </w:r>
      <w:r>
        <w:rPr>
          <w:rFonts w:ascii="仿宋_GB2312" w:eastAsia="仿宋_GB2312"/>
          <w:color w:val="000000"/>
          <w:sz w:val="32"/>
          <w:szCs w:val="32"/>
        </w:rPr>
        <w:t>0.015</w:t>
      </w:r>
      <w:r>
        <w:rPr>
          <w:rFonts w:hint="eastAsia" w:ascii="仿宋_GB2312" w:eastAsia="仿宋_GB2312"/>
          <w:color w:val="000000"/>
          <w:sz w:val="32"/>
          <w:szCs w:val="32"/>
        </w:rPr>
        <w:t>万元，下降</w:t>
      </w:r>
      <w:r>
        <w:rPr>
          <w:rFonts w:ascii="仿宋_GB2312" w:eastAsia="仿宋_GB2312"/>
          <w:color w:val="000000"/>
          <w:sz w:val="32"/>
          <w:szCs w:val="32"/>
        </w:rPr>
        <w:t>160.67%</w:t>
      </w:r>
      <w:r>
        <w:rPr>
          <w:rFonts w:hint="eastAsia" w:ascii="仿宋_GB2312" w:eastAsia="仿宋_GB2312"/>
          <w:color w:val="000000"/>
          <w:sz w:val="32"/>
          <w:szCs w:val="32"/>
        </w:rPr>
        <w:t>。主要原因是我局例行节约。</w:t>
      </w:r>
    </w:p>
    <w:p>
      <w:pPr>
        <w:spacing w:line="600" w:lineRule="exact"/>
        <w:ind w:firstLine="640"/>
        <w:outlineLvl w:val="1"/>
        <w:rPr>
          <w:rStyle w:val="19"/>
          <w:rFonts w:ascii="黑体" w:hAnsi="黑体" w:eastAsia="黑体"/>
        </w:rPr>
      </w:pPr>
      <w:bookmarkStart w:id="69" w:name="_Toc15396610"/>
      <w:bookmarkStart w:id="70" w:name="_Toc15377218"/>
      <w:bookmarkStart w:id="71" w:name="_Toc16031"/>
      <w:r>
        <w:rPr>
          <w:rFonts w:hint="eastAsia" w:ascii="黑体" w:eastAsia="黑体"/>
          <w:color w:val="000000"/>
          <w:sz w:val="32"/>
          <w:szCs w:val="32"/>
        </w:rPr>
        <w:t>八、</w:t>
      </w:r>
      <w:r>
        <w:rPr>
          <w:rStyle w:val="19"/>
          <w:rFonts w:hint="eastAsia" w:ascii="黑体" w:hAnsi="黑体" w:eastAsia="黑体"/>
          <w:b w:val="0"/>
        </w:rPr>
        <w:t>政府性基金预算支出决算情况说明</w:t>
      </w:r>
      <w:bookmarkEnd w:id="69"/>
      <w:bookmarkEnd w:id="70"/>
      <w:bookmarkEnd w:id="7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19"/>
          <w:rFonts w:ascii="黑体" w:hAnsi="黑体" w:eastAsia="黑体"/>
          <w:b w:val="0"/>
        </w:rPr>
      </w:pPr>
      <w:bookmarkStart w:id="72" w:name="_Toc15377219"/>
      <w:bookmarkStart w:id="73" w:name="_Toc15396611"/>
      <w:bookmarkStart w:id="74" w:name="_Toc9641"/>
      <w:r>
        <w:rPr>
          <w:rStyle w:val="19"/>
          <w:rFonts w:hint="eastAsia" w:ascii="黑体" w:hAnsi="黑体" w:eastAsia="黑体"/>
          <w:b w:val="0"/>
        </w:rPr>
        <w:t>国有资本经营预算支出决算情况说明</w:t>
      </w:r>
      <w:bookmarkEnd w:id="72"/>
      <w:bookmarkEnd w:id="73"/>
      <w:bookmarkEnd w:id="7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18"/>
          <w:rFonts w:ascii="黑体" w:hAnsi="黑体" w:eastAsia="黑体"/>
          <w:b w:val="0"/>
        </w:rPr>
      </w:pPr>
      <w:bookmarkStart w:id="75" w:name="_Toc29853"/>
      <w:bookmarkStart w:id="76" w:name="_Toc15396613"/>
      <w:bookmarkStart w:id="77" w:name="_Toc15377225"/>
      <w:r>
        <w:rPr>
          <w:rFonts w:hint="eastAsia" w:ascii="黑体" w:hAnsi="黑体" w:eastAsia="黑体"/>
          <w:color w:val="000000"/>
          <w:sz w:val="44"/>
          <w:szCs w:val="44"/>
        </w:rPr>
        <w:t>名</w:t>
      </w:r>
      <w:r>
        <w:rPr>
          <w:rStyle w:val="18"/>
          <w:rFonts w:hint="eastAsia" w:ascii="黑体" w:hAnsi="黑体" w:eastAsia="黑体"/>
          <w:b w:val="0"/>
        </w:rPr>
        <w:t>词解释</w:t>
      </w:r>
      <w:bookmarkEnd w:id="75"/>
      <w:bookmarkEnd w:id="76"/>
      <w:bookmarkEnd w:id="77"/>
    </w:p>
    <w:p>
      <w:pPr>
        <w:spacing w:line="600" w:lineRule="exact"/>
        <w:jc w:val="left"/>
        <w:rPr>
          <w:rFonts w:ascii="宋体"/>
          <w:b/>
          <w:color w:val="000000"/>
          <w:sz w:val="44"/>
          <w:szCs w:val="44"/>
        </w:rPr>
      </w:pPr>
    </w:p>
    <w:p>
      <w:pPr>
        <w:pStyle w:val="28"/>
        <w:spacing w:line="57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lang w:val="en-US" w:eastAsia="zh-CN"/>
        </w:rPr>
        <w:t>2</w:t>
      </w:r>
      <w:r>
        <w:rPr>
          <w:rFonts w:ascii="仿宋" w:hAnsi="仿宋" w:eastAsia="仿宋"/>
          <w:color w:val="000000" w:themeColor="text1"/>
          <w:sz w:val="32"/>
          <w:szCs w:val="32"/>
        </w:rPr>
        <w:t>.</w:t>
      </w:r>
      <w:r>
        <w:rPr>
          <w:rFonts w:hint="eastAsia" w:ascii="仿宋" w:hAnsi="仿宋" w:eastAsia="仿宋"/>
          <w:color w:val="000000" w:themeColor="text1"/>
          <w:sz w:val="32"/>
          <w:szCs w:val="32"/>
        </w:rPr>
        <w:t>文化体育与传媒（207）文化（01）一般行政管理事务（02）：指行政单位（包括实行公务员管理的事业单位）未单独设置项级科目的其他项目支出。</w:t>
      </w:r>
    </w:p>
    <w:p>
      <w:pPr>
        <w:pStyle w:val="13"/>
        <w:ind w:left="0" w:leftChars="0" w:firstLine="0" w:firstLineChars="0"/>
        <w:rPr>
          <w:rFonts w:ascii="仿宋" w:hAnsi="仿宋" w:eastAsia="仿宋"/>
          <w:color w:val="000000" w:themeColor="text1"/>
          <w:sz w:val="32"/>
          <w:szCs w:val="32"/>
        </w:rPr>
      </w:pPr>
      <w:r>
        <w:rPr>
          <w:rFonts w:hint="eastAsia" w:ascii="仿宋" w:hAnsi="仿宋" w:eastAsia="仿宋"/>
          <w:color w:val="000000" w:themeColor="text1"/>
          <w:sz w:val="32"/>
          <w:szCs w:val="32"/>
        </w:rPr>
        <w:t>文化体育与传媒（207）文化（01）群众文化（09）指：群众文化方面的支出，包括基层文化馆（站）、群众艺术馆支出等。</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lang w:val="en-US" w:eastAsia="zh-CN"/>
        </w:rPr>
        <w:t>3</w:t>
      </w:r>
      <w:r>
        <w:rPr>
          <w:rFonts w:ascii="仿宋" w:hAnsi="仿宋" w:eastAsia="仿宋"/>
          <w:color w:val="000000" w:themeColor="text1"/>
          <w:sz w:val="32"/>
          <w:szCs w:val="32"/>
        </w:rPr>
        <w:t>.</w:t>
      </w:r>
      <w:r>
        <w:rPr>
          <w:rFonts w:hint="eastAsia" w:ascii="仿宋" w:hAnsi="仿宋" w:eastAsia="仿宋"/>
          <w:color w:val="000000" w:themeColor="text1"/>
          <w:sz w:val="32"/>
          <w:szCs w:val="32"/>
        </w:rPr>
        <w:t xml:space="preserve"> 社会保障和就业（208）行政事业单位离退休（05）机关事业单位基本养老保险缴费支出（05）：指机关事业单位实施养老保险制度由单位缴纳的基本养老保险费支出。</w:t>
      </w:r>
    </w:p>
    <w:p>
      <w:pPr>
        <w:pStyle w:val="13"/>
        <w:ind w:left="0" w:leftChars="0" w:firstLine="0" w:firstLineChars="0"/>
        <w:rPr>
          <w:rFonts w:ascii="仿宋" w:hAnsi="仿宋" w:eastAsia="仿宋"/>
          <w:color w:val="000000" w:themeColor="text1"/>
          <w:sz w:val="32"/>
          <w:szCs w:val="32"/>
        </w:rPr>
      </w:pPr>
      <w:r>
        <w:rPr>
          <w:rFonts w:hint="eastAsia" w:ascii="仿宋" w:hAnsi="仿宋" w:eastAsia="仿宋"/>
          <w:color w:val="000000" w:themeColor="text1"/>
          <w:sz w:val="32"/>
          <w:szCs w:val="32"/>
        </w:rPr>
        <w:t>社会保障和就业（208）行政事业单位离退休（05）机关事业单位职业年金缴费支出（06）：指机关事业单位实施养老保险制度由单位实际缴纳的职业年金支出。</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lang w:val="en-US" w:eastAsia="zh-CN"/>
        </w:rPr>
        <w:t>4</w:t>
      </w:r>
      <w:r>
        <w:rPr>
          <w:rFonts w:ascii="仿宋" w:hAnsi="仿宋" w:eastAsia="仿宋"/>
          <w:color w:val="000000" w:themeColor="text1"/>
          <w:sz w:val="32"/>
          <w:szCs w:val="32"/>
        </w:rPr>
        <w:t>.</w:t>
      </w:r>
      <w:r>
        <w:rPr>
          <w:rFonts w:hint="eastAsia" w:ascii="仿宋" w:hAnsi="仿宋" w:eastAsia="仿宋"/>
          <w:color w:val="000000" w:themeColor="text1"/>
          <w:sz w:val="32"/>
          <w:szCs w:val="32"/>
        </w:rPr>
        <w:t>医疗卫生与计划生育（210）行政事业单位医疗（11）行政单位医疗（01）：指财政部门集中安排的行政单位基本医疗保险缴费经费，未参加医疗保险的行政单位的公费医疗费，按国家规定享受离休人员、红军老战士待遇人员的医疗经费。</w:t>
      </w:r>
    </w:p>
    <w:p>
      <w:pPr>
        <w:pStyle w:val="13"/>
        <w:ind w:left="0" w:leftChars="0" w:firstLine="0" w:firstLineChars="0"/>
        <w:rPr>
          <w:color w:val="000000" w:themeColor="text1"/>
        </w:rPr>
      </w:pPr>
      <w:r>
        <w:rPr>
          <w:rFonts w:hint="eastAsia" w:ascii="仿宋" w:hAnsi="仿宋" w:eastAsia="仿宋"/>
          <w:color w:val="000000" w:themeColor="text1"/>
          <w:sz w:val="32"/>
          <w:szCs w:val="32"/>
        </w:rPr>
        <w:t>医疗卫生与计划生育（210）行政事业单位医疗（11）公务员医疗补助（03）指：财政部门集中安排的公务员医疗补助经费。</w:t>
      </w:r>
    </w:p>
    <w:p>
      <w:pPr>
        <w:ind w:firstLine="640" w:firstLineChars="200"/>
        <w:rPr>
          <w:rFonts w:ascii="仿宋" w:hAnsi="仿宋" w:eastAsia="仿宋"/>
          <w:color w:val="0000FF"/>
          <w:sz w:val="32"/>
          <w:szCs w:val="32"/>
        </w:rPr>
      </w:pPr>
      <w:r>
        <w:rPr>
          <w:rFonts w:hint="eastAsia" w:ascii="仿宋" w:hAnsi="仿宋" w:eastAsia="仿宋"/>
          <w:color w:val="000000" w:themeColor="text1"/>
          <w:sz w:val="32"/>
          <w:szCs w:val="32"/>
          <w:lang w:val="en-US" w:eastAsia="zh-CN"/>
        </w:rPr>
        <w:t>5</w:t>
      </w:r>
      <w:r>
        <w:rPr>
          <w:rFonts w:ascii="仿宋" w:hAnsi="仿宋" w:eastAsia="仿宋"/>
          <w:color w:val="000000" w:themeColor="text1"/>
          <w:sz w:val="32"/>
          <w:szCs w:val="32"/>
        </w:rPr>
        <w:t>.</w:t>
      </w:r>
      <w:r>
        <w:rPr>
          <w:rFonts w:hint="eastAsia" w:ascii="仿宋" w:hAnsi="仿宋" w:eastAsia="仿宋"/>
          <w:color w:val="000000" w:themeColor="text1"/>
          <w:sz w:val="32"/>
          <w:szCs w:val="32"/>
        </w:rPr>
        <w:t xml:space="preserve"> 住房保障（221）住房改革支出（02）住房公积金（01）：指行政事业单位按人力资源和社会保障部、财政部规定的基本工资和津贴补贴以及规定比例为职工缴纳的住房公积金</w:t>
      </w:r>
      <w:r>
        <w:rPr>
          <w:rFonts w:hint="eastAsia" w:ascii="仿宋" w:hAnsi="仿宋" w:eastAsia="仿宋"/>
          <w:color w:val="0000FF"/>
          <w:sz w:val="32"/>
          <w:szCs w:val="32"/>
        </w:rPr>
        <w:t>。</w:t>
      </w:r>
    </w:p>
    <w:p>
      <w:pPr>
        <w:ind w:firstLine="640" w:firstLineChars="200"/>
        <w:rPr>
          <w:rFonts w:ascii="仿宋_GB2312" w:eastAsia="仿宋_GB2312"/>
          <w:color w:val="000000"/>
          <w:sz w:val="32"/>
          <w:szCs w:val="32"/>
        </w:rPr>
      </w:pPr>
      <w:r>
        <w:rPr>
          <w:rFonts w:hint="eastAsia" w:ascii="仿宋" w:hAnsi="仿宋" w:eastAsia="仿宋"/>
          <w:color w:val="000000"/>
          <w:sz w:val="32"/>
          <w:szCs w:val="32"/>
          <w:lang w:val="en-US" w:eastAsia="zh-CN"/>
        </w:rPr>
        <w:t>6</w:t>
      </w:r>
      <w:r>
        <w:rPr>
          <w:rFonts w:ascii="仿宋" w:hAnsi="仿宋" w:eastAsia="仿宋"/>
          <w:color w:val="000000"/>
          <w:sz w:val="32"/>
          <w:szCs w:val="32"/>
        </w:rPr>
        <w:t>.</w:t>
      </w:r>
      <w:r>
        <w:rPr>
          <w:rFonts w:hint="eastAsia" w:ascii="仿宋" w:hAnsi="仿宋" w:eastAsia="仿宋"/>
          <w:color w:val="000000"/>
          <w:sz w:val="32"/>
          <w:szCs w:val="32"/>
        </w:rPr>
        <w:t>基本支出：指为保障机构正常运转、完成日常工作任务而发生的人员支出和公用支出。</w:t>
      </w:r>
      <w:r>
        <w:rPr>
          <w:rFonts w:hint="eastAsia" w:ascii="仿宋_GB2312" w:eastAsia="仿宋_GB2312"/>
          <w:color w:val="000000"/>
          <w:sz w:val="32"/>
          <w:szCs w:val="32"/>
        </w:rPr>
        <w:t xml:space="preserve"> </w:t>
      </w:r>
    </w:p>
    <w:p>
      <w:pPr>
        <w:pStyle w:val="28"/>
        <w:keepNext w:val="0"/>
        <w:keepLines w:val="0"/>
        <w:pageBreakBefore w:val="0"/>
        <w:widowControl w:val="0"/>
        <w:kinsoku/>
        <w:wordWrap/>
        <w:overflowPunct/>
        <w:topLinePunct w:val="0"/>
        <w:autoSpaceDE w:val="0"/>
        <w:autoSpaceDN w:val="0"/>
        <w:bidi w:val="0"/>
        <w:adjustRightInd w:val="0"/>
        <w:snapToGrid/>
        <w:spacing w:line="53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以及其他费用。</w:t>
      </w:r>
    </w:p>
    <w:p>
      <w:pPr>
        <w:spacing w:line="600" w:lineRule="exact"/>
        <w:jc w:val="center"/>
        <w:outlineLvl w:val="0"/>
        <w:rPr>
          <w:rFonts w:ascii="黑体" w:hAnsi="黑体" w:eastAsia="黑体"/>
          <w:color w:val="000000"/>
          <w:sz w:val="44"/>
          <w:szCs w:val="44"/>
        </w:rPr>
      </w:pPr>
      <w:bookmarkStart w:id="78" w:name="_Toc15396614"/>
      <w:bookmarkStart w:id="79" w:name="_Toc14647"/>
      <w:bookmarkStart w:id="80" w:name="_Toc15377226"/>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18"/>
          <w:rFonts w:ascii="黑体" w:hAnsi="黑体" w:eastAsia="黑体"/>
          <w:b w:val="0"/>
        </w:rPr>
      </w:pPr>
      <w:r>
        <w:rPr>
          <w:rFonts w:hint="eastAsia" w:ascii="黑体" w:hAnsi="黑体" w:eastAsia="黑体"/>
          <w:color w:val="000000"/>
          <w:sz w:val="44"/>
          <w:szCs w:val="44"/>
        </w:rPr>
        <w:t>第</w:t>
      </w:r>
      <w:r>
        <w:rPr>
          <w:rStyle w:val="18"/>
          <w:rFonts w:hint="eastAsia" w:ascii="黑体" w:hAnsi="黑体" w:eastAsia="黑体"/>
          <w:b w:val="0"/>
        </w:rPr>
        <w:t>四部分</w:t>
      </w:r>
      <w:r>
        <w:rPr>
          <w:rStyle w:val="18"/>
          <w:rFonts w:ascii="黑体" w:hAnsi="黑体" w:eastAsia="黑体"/>
          <w:b w:val="0"/>
        </w:rPr>
        <w:t xml:space="preserve"> </w:t>
      </w:r>
      <w:r>
        <w:rPr>
          <w:rStyle w:val="18"/>
          <w:rFonts w:hint="eastAsia" w:ascii="黑体" w:hAnsi="黑体" w:eastAsia="黑体"/>
          <w:b w:val="0"/>
        </w:rPr>
        <w:t>附件</w:t>
      </w:r>
      <w:bookmarkEnd w:id="78"/>
      <w:bookmarkEnd w:id="79"/>
    </w:p>
    <w:p>
      <w:pPr>
        <w:spacing w:line="600" w:lineRule="exact"/>
        <w:jc w:val="left"/>
        <w:outlineLvl w:val="0"/>
        <w:rPr>
          <w:rFonts w:ascii="方正小标宋简体" w:hAnsi="方正小标宋简体" w:eastAsia="方正小标宋简体" w:cs="方正小标宋简体"/>
          <w:sz w:val="32"/>
          <w:szCs w:val="32"/>
        </w:rPr>
      </w:pPr>
      <w:bookmarkStart w:id="81" w:name="_Toc24057"/>
      <w:r>
        <w:rPr>
          <w:rFonts w:hint="eastAsia" w:ascii="黑体" w:hAnsi="黑体" w:eastAsia="黑体" w:cs="黑体"/>
          <w:sz w:val="32"/>
          <w:szCs w:val="32"/>
        </w:rPr>
        <w:t>附件</w:t>
      </w:r>
      <w:r>
        <w:rPr>
          <w:rFonts w:ascii="黑体" w:hAnsi="黑体" w:eastAsia="黑体" w:cs="黑体"/>
          <w:sz w:val="32"/>
          <w:szCs w:val="32"/>
        </w:rPr>
        <w:t>1</w:t>
      </w:r>
      <w:bookmarkEnd w:id="81"/>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红原县文化馆</w:t>
      </w:r>
      <w:r>
        <w:rPr>
          <w:rFonts w:ascii="方正小标宋简体" w:hAnsi="宋体" w:eastAsia="方正小标宋简体"/>
          <w:color w:val="000000"/>
          <w:kern w:val="0"/>
          <w:sz w:val="40"/>
          <w:szCs w:val="44"/>
        </w:rPr>
        <w:t>2019</w:t>
      </w:r>
      <w:r>
        <w:rPr>
          <w:rFonts w:hint="eastAsia"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w:t>
      </w: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报</w:t>
      </w:r>
      <w:r>
        <w:rPr>
          <w:rFonts w:ascii="方正小标宋简体" w:hAnsi="宋体" w:eastAsia="方正小标宋简体"/>
          <w:color w:val="000000"/>
          <w:kern w:val="0"/>
          <w:sz w:val="40"/>
          <w:szCs w:val="44"/>
          <w:lang w:val="zh-CN"/>
        </w:rPr>
        <w:t xml:space="preserve">   </w:t>
      </w:r>
      <w:r>
        <w:rPr>
          <w:rFonts w:hint="eastAsia" w:ascii="方正小标宋简体" w:hAnsi="宋体" w:eastAsia="方正小标宋简体"/>
          <w:color w:val="000000"/>
          <w:kern w:val="0"/>
          <w:sz w:val="40"/>
          <w:szCs w:val="44"/>
          <w:lang w:val="zh-CN"/>
        </w:rPr>
        <w:t>告</w:t>
      </w:r>
    </w:p>
    <w:p>
      <w:pPr>
        <w:spacing w:line="580" w:lineRule="exact"/>
        <w:rPr>
          <w:rFonts w:ascii="方正小标宋简体" w:hAnsi="方正小标宋简体" w:eastAsia="方正小标宋简体" w:cs="方正小标宋简体"/>
          <w:sz w:val="44"/>
          <w:szCs w:val="44"/>
        </w:rPr>
      </w:pPr>
    </w:p>
    <w:p>
      <w:pPr>
        <w:adjustRightInd w:val="0"/>
        <w:snapToGrid w:val="0"/>
        <w:spacing w:line="576" w:lineRule="exact"/>
        <w:ind w:left="640"/>
        <w:rPr>
          <w:rFonts w:ascii="黑体" w:hAnsi="宋体" w:eastAsia="黑体" w:cs="宋体"/>
          <w:color w:val="000000"/>
          <w:sz w:val="32"/>
          <w:lang w:val="zh-CN"/>
        </w:rPr>
      </w:pPr>
      <w:r>
        <w:rPr>
          <w:rFonts w:hint="eastAsia" w:ascii="黑体" w:hAnsi="黑体" w:eastAsia="黑体" w:cs="黑体"/>
          <w:color w:val="000000"/>
          <w:sz w:val="32"/>
          <w:lang w:val="zh-CN"/>
        </w:rPr>
        <w:t>一、部门概况</w:t>
      </w:r>
    </w:p>
    <w:p>
      <w:pPr>
        <w:adjustRightInd w:val="0"/>
        <w:snapToGrid w:val="0"/>
        <w:spacing w:line="576" w:lineRule="exact"/>
        <w:ind w:left="640" w:firstLine="160" w:firstLineChars="50"/>
        <w:rPr>
          <w:rFonts w:ascii="楷体_GB2312" w:hAnsi="楷体_GB2312" w:eastAsia="楷体_GB2312" w:cs="楷体_GB2312"/>
          <w:color w:val="000000"/>
          <w:sz w:val="32"/>
          <w:szCs w:val="32"/>
          <w:lang w:val="zh-CN"/>
        </w:rPr>
      </w:pPr>
      <w:r>
        <w:rPr>
          <w:rFonts w:ascii="楷体_GB2312" w:hAnsi="楷体_GB2312" w:eastAsia="楷体_GB2312" w:cs="楷体_GB2312"/>
          <w:color w:val="000000"/>
          <w:sz w:val="32"/>
          <w:szCs w:val="32"/>
          <w:lang w:val="zh-CN"/>
        </w:rPr>
        <w:t>(</w:t>
      </w:r>
      <w:r>
        <w:rPr>
          <w:rFonts w:hint="eastAsia" w:ascii="楷体_GB2312" w:hAnsi="楷体_GB2312" w:eastAsia="楷体_GB2312" w:cs="楷体_GB2312"/>
          <w:color w:val="000000"/>
          <w:sz w:val="32"/>
          <w:szCs w:val="32"/>
          <w:lang w:val="zh-CN"/>
        </w:rPr>
        <w:t>一</w:t>
      </w:r>
      <w:r>
        <w:rPr>
          <w:rFonts w:ascii="楷体_GB2312" w:hAnsi="楷体_GB2312" w:eastAsia="楷体_GB2312" w:cs="楷体_GB2312"/>
          <w:color w:val="000000"/>
          <w:sz w:val="32"/>
          <w:szCs w:val="32"/>
          <w:lang w:val="zh-CN"/>
        </w:rPr>
        <w:t>)</w:t>
      </w:r>
      <w:r>
        <w:rPr>
          <w:rFonts w:hint="eastAsia" w:ascii="楷体_GB2312" w:hAnsi="楷体_GB2312" w:eastAsia="楷体_GB2312" w:cs="楷体_GB2312"/>
          <w:color w:val="000000"/>
          <w:sz w:val="32"/>
          <w:szCs w:val="32"/>
          <w:lang w:val="zh-CN"/>
        </w:rPr>
        <w:t>机构组成</w:t>
      </w:r>
    </w:p>
    <w:p>
      <w:pPr>
        <w:ind w:firstLine="630"/>
        <w:outlineLvl w:val="0"/>
        <w:rPr>
          <w:rFonts w:ascii="仿宋" w:hAnsi="仿宋" w:eastAsia="仿宋"/>
          <w:sz w:val="32"/>
          <w:szCs w:val="32"/>
        </w:rPr>
      </w:pPr>
      <w:bookmarkStart w:id="82" w:name="_Toc17201"/>
      <w:r>
        <w:rPr>
          <w:rFonts w:hint="eastAsia" w:ascii="仿宋" w:hAnsi="仿宋" w:eastAsia="仿宋"/>
          <w:bCs/>
          <w:sz w:val="32"/>
          <w:szCs w:val="32"/>
        </w:rPr>
        <w:t>是</w:t>
      </w:r>
      <w:r>
        <w:rPr>
          <w:rFonts w:hint="eastAsia" w:ascii="仿宋" w:hAnsi="仿宋" w:eastAsia="仿宋"/>
          <w:sz w:val="30"/>
          <w:szCs w:val="30"/>
        </w:rPr>
        <w:t>独立核算的机构，是独立编报预算的事业单位。</w:t>
      </w:r>
      <w:bookmarkEnd w:id="82"/>
    </w:p>
    <w:p>
      <w:pPr>
        <w:adjustRightInd w:val="0"/>
        <w:snapToGrid w:val="0"/>
        <w:spacing w:line="576" w:lineRule="exact"/>
        <w:ind w:firstLine="640" w:firstLineChars="200"/>
        <w:rPr>
          <w:rFonts w:ascii="仿宋_GB2312" w:hAnsi="宋体" w:eastAsia="仿宋_GB2312" w:cs="宋体"/>
          <w:color w:val="000000"/>
          <w:sz w:val="32"/>
          <w:lang w:val="zh-CN"/>
        </w:rPr>
      </w:pPr>
      <w:r>
        <w:rPr>
          <w:rFonts w:hint="eastAsia" w:ascii="楷体_GB2312" w:hAnsi="楷体_GB2312" w:eastAsia="楷体_GB2312" w:cs="楷体_GB2312"/>
          <w:color w:val="000000"/>
          <w:sz w:val="32"/>
          <w:lang w:val="zh-CN"/>
        </w:rPr>
        <w:t>（二）机构职能</w:t>
      </w:r>
    </w:p>
    <w:p>
      <w:pPr>
        <w:spacing w:line="570" w:lineRule="exact"/>
        <w:ind w:left="284" w:firstLine="643" w:firstLineChars="200"/>
        <w:rPr>
          <w:rFonts w:ascii="仿宋_GB2312" w:eastAsia="仿宋_GB2312"/>
          <w:sz w:val="32"/>
          <w:szCs w:val="32"/>
        </w:rPr>
      </w:pPr>
      <w:r>
        <w:rPr>
          <w:rFonts w:ascii="黑体" w:hAnsi="黑体" w:eastAsia="黑体" w:cs="黑体"/>
          <w:b/>
          <w:bCs/>
          <w:sz w:val="32"/>
          <w:szCs w:val="32"/>
        </w:rPr>
        <w:t xml:space="preserve"> </w:t>
      </w:r>
      <w:r>
        <w:rPr>
          <w:rFonts w:ascii="仿宋_GB2312" w:eastAsia="仿宋_GB2312"/>
          <w:sz w:val="32"/>
          <w:szCs w:val="32"/>
        </w:rPr>
        <w:t>1</w:t>
      </w:r>
      <w:r>
        <w:rPr>
          <w:rFonts w:hint="eastAsia" w:ascii="仿宋_GB2312" w:eastAsia="仿宋_GB2312"/>
          <w:sz w:val="32"/>
          <w:szCs w:val="32"/>
        </w:rPr>
        <w:t>、拟订文化、体育和旅游政策措施，起草文化、体育和旅游地方性政策、法规、规范性文件草案，负责本部门依法行政工作。</w:t>
      </w:r>
    </w:p>
    <w:p>
      <w:pPr>
        <w:spacing w:line="570" w:lineRule="exact"/>
        <w:ind w:left="284"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、推进文化、体育、旅游体制机制改革。组织推动全县文化、体育事业和旅游业发展，拟订发展规划并组织实施。推进文化、体育和旅游产业融合发展，促进文化、体育和旅游与相关产业融合发展。</w:t>
      </w:r>
    </w:p>
    <w:p>
      <w:pPr>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（三）人员概况</w:t>
      </w:r>
    </w:p>
    <w:p>
      <w:pPr>
        <w:adjustRightInd w:val="0"/>
        <w:snapToGrid w:val="0"/>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截止</w:t>
      </w:r>
      <w:r>
        <w:rPr>
          <w:rFonts w:ascii="仿宋_GB2312" w:hAnsi="仿宋_GB2312" w:eastAsia="仿宋_GB2312" w:cs="仿宋_GB2312"/>
          <w:bCs/>
          <w:sz w:val="32"/>
          <w:szCs w:val="32"/>
        </w:rPr>
        <w:t>2019</w:t>
      </w:r>
      <w:r>
        <w:rPr>
          <w:rFonts w:hint="eastAsia" w:ascii="仿宋_GB2312" w:hAnsi="仿宋_GB2312" w:eastAsia="仿宋_GB2312" w:cs="仿宋_GB2312"/>
          <w:bCs/>
          <w:sz w:val="32"/>
          <w:szCs w:val="32"/>
        </w:rPr>
        <w:t>年底</w:t>
      </w:r>
      <w:r>
        <w:rPr>
          <w:rFonts w:hint="eastAsia" w:ascii="仿宋" w:hAnsi="仿宋" w:eastAsia="仿宋"/>
          <w:bCs/>
          <w:sz w:val="32"/>
          <w:szCs w:val="32"/>
        </w:rPr>
        <w:t>我馆核定编制</w:t>
      </w:r>
      <w:r>
        <w:rPr>
          <w:rFonts w:ascii="仿宋" w:hAnsi="仿宋" w:eastAsia="仿宋"/>
          <w:bCs/>
          <w:sz w:val="32"/>
          <w:szCs w:val="32"/>
        </w:rPr>
        <w:t>6</w:t>
      </w:r>
      <w:r>
        <w:rPr>
          <w:rFonts w:hint="eastAsia" w:ascii="仿宋" w:hAnsi="仿宋" w:eastAsia="仿宋"/>
          <w:bCs/>
          <w:sz w:val="32"/>
          <w:szCs w:val="32"/>
        </w:rPr>
        <w:t>人，在职：行政</w:t>
      </w:r>
      <w:r>
        <w:rPr>
          <w:rFonts w:ascii="仿宋" w:hAnsi="仿宋" w:eastAsia="仿宋"/>
          <w:bCs/>
          <w:sz w:val="32"/>
          <w:szCs w:val="32"/>
        </w:rPr>
        <w:t>0</w:t>
      </w:r>
      <w:r>
        <w:rPr>
          <w:rFonts w:hint="eastAsia" w:ascii="仿宋" w:hAnsi="仿宋" w:eastAsia="仿宋"/>
          <w:bCs/>
          <w:sz w:val="32"/>
          <w:szCs w:val="32"/>
        </w:rPr>
        <w:t>人，行政工勤</w:t>
      </w:r>
      <w:r>
        <w:rPr>
          <w:rFonts w:ascii="仿宋" w:hAnsi="仿宋" w:eastAsia="仿宋"/>
          <w:bCs/>
          <w:sz w:val="32"/>
          <w:szCs w:val="32"/>
        </w:rPr>
        <w:t>0</w:t>
      </w:r>
      <w:r>
        <w:rPr>
          <w:rFonts w:hint="eastAsia" w:ascii="仿宋" w:hAnsi="仿宋" w:eastAsia="仿宋"/>
          <w:bCs/>
          <w:sz w:val="32"/>
          <w:szCs w:val="32"/>
        </w:rPr>
        <w:t>人，参公</w:t>
      </w:r>
      <w:r>
        <w:rPr>
          <w:rFonts w:ascii="仿宋" w:hAnsi="仿宋" w:eastAsia="仿宋"/>
          <w:bCs/>
          <w:sz w:val="32"/>
          <w:szCs w:val="32"/>
        </w:rPr>
        <w:t>0</w:t>
      </w:r>
      <w:r>
        <w:rPr>
          <w:rFonts w:hint="eastAsia" w:ascii="仿宋" w:hAnsi="仿宋" w:eastAsia="仿宋"/>
          <w:bCs/>
          <w:sz w:val="32"/>
          <w:szCs w:val="32"/>
        </w:rPr>
        <w:t>人，事业</w:t>
      </w:r>
      <w:r>
        <w:rPr>
          <w:rFonts w:ascii="仿宋" w:hAnsi="仿宋" w:eastAsia="仿宋"/>
          <w:bCs/>
          <w:sz w:val="32"/>
          <w:szCs w:val="32"/>
        </w:rPr>
        <w:t>5</w:t>
      </w:r>
      <w:r>
        <w:rPr>
          <w:rFonts w:hint="eastAsia" w:ascii="仿宋" w:hAnsi="仿宋" w:eastAsia="仿宋"/>
          <w:bCs/>
          <w:sz w:val="32"/>
          <w:szCs w:val="32"/>
        </w:rPr>
        <w:t>人。</w:t>
      </w:r>
    </w:p>
    <w:p>
      <w:pPr>
        <w:adjustRightInd w:val="0"/>
        <w:snapToGrid w:val="0"/>
        <w:spacing w:line="576" w:lineRule="exact"/>
        <w:ind w:firstLine="640" w:firstLineChars="200"/>
        <w:rPr>
          <w:rFonts w:ascii="黑体" w:hAnsi="宋体" w:eastAsia="黑体" w:cs="宋体"/>
          <w:color w:val="000000"/>
          <w:sz w:val="32"/>
          <w:szCs w:val="32"/>
        </w:rPr>
      </w:pPr>
      <w:r>
        <w:rPr>
          <w:rFonts w:hint="eastAsia" w:ascii="黑体" w:hAnsi="宋体" w:eastAsia="黑体" w:cs="宋体"/>
          <w:color w:val="000000"/>
          <w:sz w:val="32"/>
          <w:szCs w:val="32"/>
        </w:rPr>
        <w:t>二、部门财政资金收支情况</w:t>
      </w:r>
    </w:p>
    <w:p>
      <w:pPr>
        <w:adjustRightInd w:val="0"/>
        <w:snapToGrid w:val="0"/>
        <w:spacing w:line="576" w:lineRule="exact"/>
        <w:ind w:left="640"/>
        <w:rPr>
          <w:rFonts w:ascii="楷体_GB2312" w:hAnsi="楷体_GB2312" w:eastAsia="楷体_GB2312" w:cs="楷体_GB2312"/>
          <w:color w:val="000000"/>
          <w:sz w:val="32"/>
          <w:lang w:val="zh-CN"/>
        </w:rPr>
      </w:pPr>
      <w:r>
        <w:rPr>
          <w:rFonts w:hint="eastAsia" w:ascii="楷体_GB2312" w:hAnsi="楷体_GB2312" w:eastAsia="楷体_GB2312" w:cs="楷体_GB2312"/>
          <w:color w:val="000000"/>
          <w:sz w:val="32"/>
          <w:lang w:val="zh-CN"/>
        </w:rPr>
        <w:t>（一）部门财政资金收入情况</w:t>
      </w:r>
    </w:p>
    <w:p>
      <w:pPr>
        <w:spacing w:line="576" w:lineRule="exact"/>
        <w:ind w:firstLine="800" w:firstLineChars="25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年红原县文化馆本年收入合计</w:t>
      </w:r>
      <w:r>
        <w:rPr>
          <w:rFonts w:ascii="仿宋_GB2312" w:eastAsia="仿宋_GB2312"/>
          <w:color w:val="000000"/>
          <w:sz w:val="32"/>
          <w:szCs w:val="32"/>
        </w:rPr>
        <w:t>65.82</w:t>
      </w:r>
      <w:r>
        <w:rPr>
          <w:rFonts w:hint="eastAsia" w:ascii="仿宋_GB2312" w:eastAsia="仿宋_GB2312"/>
          <w:color w:val="000000"/>
          <w:sz w:val="32"/>
          <w:szCs w:val="32"/>
        </w:rPr>
        <w:t>万元，其中：一般公共预算财政拨款收入</w:t>
      </w:r>
      <w:r>
        <w:rPr>
          <w:rFonts w:ascii="仿宋_GB2312" w:eastAsia="仿宋_GB2312"/>
          <w:color w:val="000000"/>
          <w:sz w:val="32"/>
          <w:szCs w:val="32"/>
        </w:rPr>
        <w:t>65.82</w:t>
      </w:r>
      <w:r>
        <w:rPr>
          <w:rFonts w:hint="eastAsia" w:ascii="仿宋_GB2312" w:eastAsia="仿宋_GB2312"/>
          <w:color w:val="000000"/>
          <w:sz w:val="32"/>
          <w:szCs w:val="32"/>
        </w:rPr>
        <w:t>万元，占</w:t>
      </w:r>
      <w:r>
        <w:rPr>
          <w:rFonts w:ascii="仿宋_GB2312" w:eastAsia="仿宋_GB2312"/>
          <w:color w:val="000000"/>
          <w:sz w:val="32"/>
          <w:szCs w:val="32"/>
        </w:rPr>
        <w:t>100%</w:t>
      </w:r>
      <w:r>
        <w:rPr>
          <w:rFonts w:hint="eastAsia" w:ascii="仿宋_GB2312" w:eastAsia="仿宋_GB2312"/>
          <w:color w:val="000000"/>
          <w:sz w:val="32"/>
          <w:szCs w:val="32"/>
        </w:rPr>
        <w:t>。</w:t>
      </w:r>
    </w:p>
    <w:p>
      <w:pPr>
        <w:spacing w:line="576" w:lineRule="exact"/>
        <w:ind w:firstLine="800" w:firstLineChars="250"/>
        <w:rPr>
          <w:rFonts w:ascii="仿宋_GB2312" w:eastAsia="仿宋_GB2312"/>
          <w:color w:val="FF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年红原县文化馆预算下达资金收入</w:t>
      </w:r>
      <w:r>
        <w:rPr>
          <w:rFonts w:ascii="仿宋_GB2312" w:eastAsia="仿宋_GB2312"/>
          <w:color w:val="000000"/>
          <w:sz w:val="32"/>
          <w:szCs w:val="32"/>
        </w:rPr>
        <w:t>65.82</w:t>
      </w:r>
      <w:r>
        <w:rPr>
          <w:rFonts w:hint="eastAsia" w:ascii="仿宋_GB2312" w:eastAsia="仿宋_GB2312"/>
          <w:color w:val="000000"/>
          <w:sz w:val="32"/>
          <w:szCs w:val="32"/>
        </w:rPr>
        <w:t>万元，其中：一般公共预算财政拨款收入</w:t>
      </w:r>
      <w:r>
        <w:rPr>
          <w:rFonts w:ascii="仿宋_GB2312" w:eastAsia="仿宋_GB2312"/>
          <w:color w:val="000000"/>
          <w:sz w:val="32"/>
          <w:szCs w:val="32"/>
        </w:rPr>
        <w:t>65.82</w:t>
      </w:r>
      <w:r>
        <w:rPr>
          <w:rFonts w:hint="eastAsia" w:ascii="仿宋_GB2312" w:eastAsia="仿宋_GB2312"/>
          <w:color w:val="000000"/>
          <w:sz w:val="32"/>
          <w:szCs w:val="32"/>
        </w:rPr>
        <w:t>万元。</w:t>
      </w:r>
    </w:p>
    <w:p>
      <w:pPr>
        <w:adjustRightInd w:val="0"/>
        <w:snapToGrid w:val="0"/>
        <w:spacing w:line="576" w:lineRule="exact"/>
        <w:ind w:firstLine="640" w:firstLineChars="200"/>
        <w:rPr>
          <w:rFonts w:ascii="仿宋_GB2312" w:hAnsi="宋体" w:eastAsia="仿宋_GB2312" w:cs="宋体"/>
          <w:color w:val="000000"/>
          <w:sz w:val="32"/>
          <w:lang w:val="zh-CN"/>
        </w:rPr>
      </w:pPr>
      <w:r>
        <w:rPr>
          <w:rFonts w:hint="eastAsia" w:ascii="楷体_GB2312" w:hAnsi="楷体_GB2312" w:eastAsia="楷体_GB2312" w:cs="楷体_GB2312"/>
          <w:color w:val="000000"/>
          <w:sz w:val="32"/>
          <w:lang w:val="zh-CN"/>
        </w:rPr>
        <w:t>（二）部门财政资金支出情况</w:t>
      </w:r>
    </w:p>
    <w:p>
      <w:pPr>
        <w:spacing w:line="576" w:lineRule="exact"/>
        <w:ind w:firstLine="800" w:firstLineChars="25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年红原县文化馆本年支出合计</w:t>
      </w:r>
      <w:r>
        <w:rPr>
          <w:rFonts w:ascii="仿宋_GB2312" w:hAnsi="仿宋_GB2312" w:eastAsia="仿宋_GB2312" w:cs="仿宋_GB2312"/>
          <w:color w:val="000000"/>
          <w:sz w:val="32"/>
          <w:szCs w:val="32"/>
        </w:rPr>
        <w:t>65.82</w:t>
      </w:r>
      <w:r>
        <w:rPr>
          <w:rFonts w:hint="eastAsia" w:ascii="仿宋_GB2312" w:hAnsi="仿宋_GB2312" w:eastAsia="仿宋_GB2312" w:cs="仿宋_GB2312"/>
          <w:color w:val="000000"/>
          <w:sz w:val="32"/>
          <w:szCs w:val="32"/>
        </w:rPr>
        <w:t>万元，其中：基本支出</w:t>
      </w:r>
      <w:r>
        <w:rPr>
          <w:rFonts w:ascii="仿宋_GB2312" w:hAnsi="仿宋_GB2312" w:eastAsia="仿宋_GB2312" w:cs="仿宋_GB2312"/>
          <w:color w:val="000000"/>
          <w:sz w:val="32"/>
          <w:szCs w:val="32"/>
        </w:rPr>
        <w:t>65.82</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 (</w:t>
      </w:r>
      <w:r>
        <w:rPr>
          <w:rFonts w:hint="eastAsia" w:ascii="仿宋_GB2312" w:hAnsi="仿宋_GB2312" w:eastAsia="仿宋_GB2312" w:cs="仿宋_GB2312"/>
          <w:color w:val="000000"/>
          <w:sz w:val="32"/>
          <w:szCs w:val="32"/>
        </w:rPr>
        <w:t>其中：人员经费</w:t>
      </w:r>
      <w:r>
        <w:rPr>
          <w:rFonts w:ascii="仿宋_GB2312" w:hAnsi="仿宋_GB2312" w:eastAsia="仿宋_GB2312" w:cs="仿宋_GB2312"/>
          <w:color w:val="000000"/>
          <w:sz w:val="32"/>
          <w:szCs w:val="32"/>
        </w:rPr>
        <w:t>60.34</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公用经费</w:t>
      </w:r>
      <w:r>
        <w:rPr>
          <w:rFonts w:ascii="仿宋_GB2312" w:hAnsi="仿宋_GB2312" w:eastAsia="仿宋_GB2312" w:cs="仿宋_GB2312"/>
          <w:color w:val="000000"/>
          <w:sz w:val="32"/>
          <w:szCs w:val="32"/>
        </w:rPr>
        <w:t>5.48</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；项目支出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w:t>
      </w:r>
    </w:p>
    <w:p>
      <w:pPr>
        <w:adjustRightInd w:val="0"/>
        <w:snapToGrid w:val="0"/>
        <w:spacing w:line="576" w:lineRule="exact"/>
        <w:ind w:left="640"/>
        <w:rPr>
          <w:rFonts w:ascii="黑体" w:hAnsi="宋体" w:eastAsia="黑体" w:cs="宋体"/>
          <w:color w:val="000000"/>
          <w:sz w:val="32"/>
        </w:rPr>
      </w:pPr>
      <w:r>
        <w:rPr>
          <w:rFonts w:hint="eastAsia" w:ascii="黑体" w:hAnsi="宋体" w:eastAsia="黑体" w:cs="宋体"/>
          <w:color w:val="000000"/>
          <w:sz w:val="32"/>
        </w:rPr>
        <w:t>三、部门财政支出管理情况</w:t>
      </w:r>
    </w:p>
    <w:p>
      <w:pPr>
        <w:adjustRightInd w:val="0"/>
        <w:snapToGrid w:val="0"/>
        <w:spacing w:line="576" w:lineRule="exact"/>
        <w:ind w:left="426"/>
        <w:rPr>
          <w:rFonts w:ascii="楷体_GB2312" w:hAnsi="楷体_GB2312" w:eastAsia="楷体_GB2312" w:cs="楷体_GB2312"/>
          <w:color w:val="000000"/>
          <w:sz w:val="32"/>
          <w:lang w:val="zh-CN"/>
        </w:rPr>
      </w:pPr>
      <w:r>
        <w:rPr>
          <w:rFonts w:hint="eastAsia" w:ascii="楷体_GB2312" w:hAnsi="楷体_GB2312" w:eastAsia="楷体_GB2312" w:cs="楷体_GB2312"/>
          <w:color w:val="000000"/>
          <w:sz w:val="32"/>
          <w:lang w:val="zh-CN"/>
        </w:rPr>
        <w:t>（一）预算编制情况</w:t>
      </w:r>
    </w:p>
    <w:p>
      <w:pPr>
        <w:adjustRightInd w:val="0"/>
        <w:snapToGrid w:val="0"/>
        <w:spacing w:line="576" w:lineRule="exact"/>
        <w:rPr>
          <w:rFonts w:ascii="楷体" w:hAnsi="楷体" w:eastAsia="楷体" w:cs="宋体"/>
          <w:color w:val="000000"/>
          <w:sz w:val="32"/>
          <w:lang w:val="zh-CN"/>
        </w:rPr>
      </w:pPr>
      <w:r>
        <w:rPr>
          <w:rFonts w:ascii="楷体" w:hAnsi="楷体" w:eastAsia="楷体" w:cs="宋体"/>
          <w:color w:val="000000"/>
          <w:sz w:val="32"/>
          <w:lang w:val="zh-CN"/>
        </w:rPr>
        <w:t xml:space="preserve">    </w:t>
      </w:r>
      <w:r>
        <w:rPr>
          <w:rFonts w:hint="eastAsia" w:ascii="仿宋_GB2312" w:eastAsia="仿宋_GB2312"/>
          <w:color w:val="000000"/>
          <w:sz w:val="32"/>
          <w:szCs w:val="32"/>
          <w:lang w:val="zh-CN"/>
        </w:rPr>
        <w:t>我馆</w:t>
      </w:r>
      <w:r>
        <w:rPr>
          <w:rFonts w:ascii="仿宋_GB2312" w:eastAsia="仿宋_GB2312"/>
          <w:color w:val="000000"/>
          <w:sz w:val="32"/>
          <w:szCs w:val="32"/>
          <w:lang w:val="zh-CN"/>
        </w:rPr>
        <w:t>2019</w:t>
      </w:r>
      <w:r>
        <w:rPr>
          <w:rFonts w:hint="eastAsia" w:ascii="仿宋_GB2312" w:eastAsia="仿宋_GB2312"/>
          <w:color w:val="000000"/>
          <w:sz w:val="32"/>
          <w:szCs w:val="32"/>
          <w:lang w:val="zh-CN"/>
        </w:rPr>
        <w:t>年预算编制严格按照县财政《关于编制</w:t>
      </w:r>
      <w:r>
        <w:rPr>
          <w:rFonts w:ascii="仿宋_GB2312" w:eastAsia="仿宋_GB2312"/>
          <w:color w:val="000000"/>
          <w:sz w:val="32"/>
          <w:szCs w:val="32"/>
          <w:lang w:val="zh-CN"/>
        </w:rPr>
        <w:t>2018</w:t>
      </w:r>
      <w:r>
        <w:rPr>
          <w:rFonts w:hint="eastAsia" w:ascii="仿宋_GB2312" w:eastAsia="仿宋_GB2312"/>
          <w:color w:val="000000"/>
          <w:sz w:val="32"/>
          <w:szCs w:val="32"/>
          <w:lang w:val="zh-CN"/>
        </w:rPr>
        <w:t>年县本级预算通知》相关精神，认真学习《预算法》及其实施条例等预算编制的法律、法规，掌握预算编制想相关政策，及时与县编办等部门核对人员编制、实有人数、工资、车辆等信息，并实时更新单位基础信息数据库，准确编制部门预算，全面完整地反映部门真实收入情况。基本支出预算包括人员经费和日常公用经费两部分，采取人员经费按标准，公用经费按定额的方法客观编制基本支出预算。</w:t>
      </w:r>
    </w:p>
    <w:p>
      <w:pPr>
        <w:adjustRightInd w:val="0"/>
        <w:snapToGrid w:val="0"/>
        <w:spacing w:line="576" w:lineRule="exact"/>
        <w:ind w:firstLine="640" w:firstLineChars="200"/>
        <w:rPr>
          <w:rFonts w:ascii="楷体_GB2312" w:hAnsi="楷体_GB2312" w:eastAsia="楷体_GB2312" w:cs="楷体_GB2312"/>
          <w:color w:val="000000"/>
          <w:sz w:val="32"/>
          <w:lang w:val="zh-CN"/>
        </w:rPr>
      </w:pPr>
      <w:r>
        <w:rPr>
          <w:rFonts w:hint="eastAsia" w:ascii="楷体_GB2312" w:hAnsi="楷体_GB2312" w:eastAsia="楷体_GB2312" w:cs="楷体_GB2312"/>
          <w:color w:val="000000"/>
          <w:sz w:val="32"/>
          <w:lang w:val="zh-CN"/>
        </w:rPr>
        <w:t>（二）执行管理情况</w:t>
      </w:r>
    </w:p>
    <w:p>
      <w:pPr>
        <w:spacing w:line="576"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年度“三公”经费财政拨款支出决算中，因公出国（境）费支出决算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。公务用车购置及运行维护费支出决算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；公务接待费支出决算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。具体情况如下：</w:t>
      </w:r>
    </w:p>
    <w:p>
      <w:pPr>
        <w:spacing w:line="576" w:lineRule="exact"/>
        <w:ind w:firstLine="640"/>
        <w:rPr>
          <w:rFonts w:ascii="仿宋_GB2312" w:hAnsi="仿宋_GB2312" w:eastAsia="仿宋_GB2312" w:cs="仿宋_GB2312"/>
          <w:bCs/>
          <w:color w:val="000000"/>
          <w:sz w:val="32"/>
          <w:szCs w:val="32"/>
        </w:rPr>
      </w:pPr>
      <w:r>
        <w:rPr>
          <w:rFonts w:ascii="仿宋_GB2312" w:hAnsi="仿宋_GB2312" w:eastAsia="仿宋_GB2312" w:cs="仿宋_GB2312"/>
          <w:bCs/>
          <w:color w:val="000000"/>
          <w:sz w:val="32"/>
          <w:szCs w:val="32"/>
        </w:rPr>
        <w:t>1.</w:t>
      </w:r>
      <w:r>
        <w:rPr>
          <w:rFonts w:hint="eastAsia" w:ascii="仿宋_GB2312" w:hAnsi="仿宋_GB2312" w:eastAsia="仿宋_GB2312" w:cs="仿宋_GB2312"/>
          <w:bCs/>
          <w:color w:val="000000"/>
          <w:sz w:val="32"/>
          <w:szCs w:val="32"/>
        </w:rPr>
        <w:t>因公出国（境）经费支出</w:t>
      </w:r>
      <w:r>
        <w:rPr>
          <w:rFonts w:ascii="仿宋_GB2312" w:hAnsi="仿宋_GB2312" w:eastAsia="仿宋_GB2312" w:cs="仿宋_GB2312"/>
          <w:bCs/>
          <w:color w:val="000000"/>
          <w:sz w:val="32"/>
          <w:szCs w:val="32"/>
        </w:rPr>
        <w:t>0</w:t>
      </w:r>
      <w:r>
        <w:rPr>
          <w:rFonts w:hint="eastAsia" w:ascii="仿宋_GB2312" w:hAnsi="仿宋_GB2312" w:eastAsia="仿宋_GB2312" w:cs="仿宋_GB2312"/>
          <w:bCs/>
          <w:color w:val="000000"/>
          <w:sz w:val="32"/>
          <w:szCs w:val="32"/>
        </w:rPr>
        <w:t>元。</w:t>
      </w:r>
    </w:p>
    <w:p>
      <w:pPr>
        <w:spacing w:line="576" w:lineRule="exact"/>
        <w:ind w:firstLine="640" w:firstLineChars="200"/>
        <w:rPr>
          <w:rFonts w:ascii="仿宋_GB2312" w:hAnsi="仿宋_GB2312" w:eastAsia="仿宋_GB2312" w:cs="仿宋_GB2312"/>
          <w:bCs/>
          <w:color w:val="000000"/>
          <w:sz w:val="32"/>
          <w:szCs w:val="32"/>
        </w:rPr>
      </w:pPr>
      <w:r>
        <w:rPr>
          <w:rFonts w:ascii="仿宋_GB2312" w:hAnsi="仿宋_GB2312" w:eastAsia="仿宋_GB2312" w:cs="仿宋_GB2312"/>
          <w:bCs/>
          <w:color w:val="000000"/>
          <w:sz w:val="32"/>
          <w:szCs w:val="32"/>
        </w:rPr>
        <w:t>2.</w:t>
      </w:r>
      <w:r>
        <w:rPr>
          <w:rFonts w:hint="eastAsia" w:ascii="仿宋_GB2312" w:hAnsi="仿宋_GB2312" w:eastAsia="仿宋_GB2312" w:cs="仿宋_GB2312"/>
          <w:bCs/>
          <w:color w:val="000000"/>
          <w:sz w:val="32"/>
          <w:szCs w:val="32"/>
        </w:rPr>
        <w:t>公务用车购置及运行维护费支出</w:t>
      </w:r>
      <w:r>
        <w:rPr>
          <w:rFonts w:ascii="仿宋_GB2312" w:hAnsi="仿宋_GB2312" w:eastAsia="仿宋_GB2312" w:cs="仿宋_GB2312"/>
          <w:color w:val="000000"/>
          <w:sz w:val="32"/>
          <w:szCs w:val="32"/>
        </w:rPr>
        <w:t>0</w:t>
      </w:r>
      <w:r>
        <w:rPr>
          <w:rFonts w:hint="eastAsia" w:ascii="仿宋_GB2312" w:hAnsi="仿宋_GB2312" w:eastAsia="仿宋_GB2312" w:cs="仿宋_GB2312"/>
          <w:bCs/>
          <w:color w:val="000000"/>
          <w:sz w:val="32"/>
          <w:szCs w:val="32"/>
        </w:rPr>
        <w:t>元。其中：</w:t>
      </w:r>
    </w:p>
    <w:p>
      <w:pPr>
        <w:spacing w:line="576" w:lineRule="exact"/>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公务用车购置支出</w:t>
      </w:r>
      <w:r>
        <w:rPr>
          <w:rFonts w:ascii="仿宋_GB2312" w:hAnsi="仿宋_GB2312" w:eastAsia="仿宋_GB2312" w:cs="仿宋_GB2312"/>
          <w:bCs/>
          <w:color w:val="000000"/>
          <w:sz w:val="32"/>
          <w:szCs w:val="32"/>
        </w:rPr>
        <w:t>0</w:t>
      </w:r>
      <w:r>
        <w:rPr>
          <w:rFonts w:hint="eastAsia" w:ascii="仿宋_GB2312" w:hAnsi="仿宋_GB2312" w:eastAsia="仿宋_GB2312" w:cs="仿宋_GB2312"/>
          <w:bCs/>
          <w:color w:val="000000"/>
          <w:sz w:val="32"/>
          <w:szCs w:val="32"/>
        </w:rPr>
        <w:t>元。</w:t>
      </w:r>
    </w:p>
    <w:p>
      <w:pPr>
        <w:spacing w:line="576" w:lineRule="exact"/>
        <w:ind w:firstLine="64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公务用车运行维护费支出</w:t>
      </w:r>
      <w:r>
        <w:rPr>
          <w:rFonts w:ascii="仿宋_GB2312" w:hAnsi="仿宋_GB2312" w:eastAsia="仿宋_GB2312" w:cs="仿宋_GB2312"/>
          <w:color w:val="000000"/>
          <w:sz w:val="32"/>
          <w:szCs w:val="32"/>
        </w:rPr>
        <w:t>0</w:t>
      </w:r>
      <w:r>
        <w:rPr>
          <w:rFonts w:hint="eastAsia" w:ascii="仿宋_GB2312" w:hAnsi="仿宋_GB2312" w:eastAsia="仿宋_GB2312" w:cs="仿宋_GB2312"/>
          <w:bCs/>
          <w:color w:val="000000"/>
          <w:sz w:val="32"/>
          <w:szCs w:val="32"/>
        </w:rPr>
        <w:t>元。</w:t>
      </w:r>
    </w:p>
    <w:p>
      <w:pPr>
        <w:spacing w:line="576"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公务用车购置及运行维护费支出决算较</w:t>
      </w:r>
      <w:r>
        <w:rPr>
          <w:rFonts w:ascii="仿宋_GB2312" w:hAnsi="仿宋_GB2312" w:eastAsia="仿宋_GB2312" w:cs="仿宋_GB2312"/>
          <w:bCs/>
          <w:color w:val="000000"/>
          <w:sz w:val="32"/>
          <w:szCs w:val="32"/>
        </w:rPr>
        <w:t>2017</w:t>
      </w:r>
      <w:r>
        <w:rPr>
          <w:rFonts w:hint="eastAsia" w:ascii="仿宋_GB2312" w:hAnsi="仿宋_GB2312" w:eastAsia="仿宋_GB2312" w:cs="仿宋_GB2312"/>
          <w:bCs/>
          <w:color w:val="000000"/>
          <w:sz w:val="32"/>
          <w:szCs w:val="32"/>
        </w:rPr>
        <w:t>年持平。公务接待费支出</w:t>
      </w:r>
      <w:r>
        <w:rPr>
          <w:rFonts w:ascii="仿宋_GB2312" w:hAnsi="仿宋_GB2312" w:eastAsia="仿宋_GB2312" w:cs="仿宋_GB2312"/>
          <w:bCs/>
          <w:color w:val="000000"/>
          <w:sz w:val="32"/>
          <w:szCs w:val="32"/>
        </w:rPr>
        <w:t>0</w:t>
      </w:r>
      <w:r>
        <w:rPr>
          <w:rFonts w:hint="eastAsia" w:ascii="仿宋_GB2312" w:hAnsi="仿宋_GB2312" w:eastAsia="仿宋_GB2312" w:cs="仿宋_GB2312"/>
          <w:bCs/>
          <w:color w:val="000000"/>
          <w:sz w:val="32"/>
          <w:szCs w:val="32"/>
        </w:rPr>
        <w:t>元。</w:t>
      </w:r>
    </w:p>
    <w:p>
      <w:pPr>
        <w:spacing w:line="576" w:lineRule="exact"/>
        <w:ind w:firstLine="640" w:firstLineChars="200"/>
        <w:rPr>
          <w:rFonts w:ascii="仿宋_GB2312" w:hAnsi="仿宋_GB2312" w:eastAsia="仿宋_GB2312" w:cs="仿宋_GB2312"/>
          <w:bCs/>
          <w:color w:val="000000"/>
          <w:sz w:val="32"/>
          <w:szCs w:val="32"/>
        </w:rPr>
      </w:pPr>
      <w:r>
        <w:rPr>
          <w:rFonts w:ascii="仿宋_GB2312" w:hAnsi="仿宋_GB2312" w:eastAsia="仿宋_GB2312" w:cs="仿宋_GB2312"/>
          <w:bCs/>
          <w:color w:val="000000"/>
          <w:sz w:val="32"/>
          <w:szCs w:val="32"/>
        </w:rPr>
        <w:t>2019</w:t>
      </w:r>
      <w:r>
        <w:rPr>
          <w:rFonts w:hint="eastAsia" w:ascii="仿宋_GB2312" w:hAnsi="仿宋_GB2312" w:eastAsia="仿宋_GB2312" w:cs="仿宋_GB2312"/>
          <w:bCs/>
          <w:color w:val="000000"/>
          <w:sz w:val="32"/>
          <w:szCs w:val="32"/>
        </w:rPr>
        <w:t>年项目支出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元。</w:t>
      </w:r>
    </w:p>
    <w:p>
      <w:pPr>
        <w:adjustRightInd w:val="0"/>
        <w:snapToGrid w:val="0"/>
        <w:spacing w:line="576" w:lineRule="exact"/>
        <w:ind w:firstLine="640" w:firstLineChars="200"/>
        <w:rPr>
          <w:rFonts w:ascii="仿宋_GB2312" w:hAnsi="仿宋_GB2312" w:eastAsia="仿宋_GB2312" w:cs="仿宋_GB2312"/>
          <w:bCs/>
          <w:color w:val="000000"/>
          <w:sz w:val="32"/>
          <w:szCs w:val="32"/>
          <w:lang w:val="zh-CN"/>
        </w:rPr>
      </w:pPr>
      <w:r>
        <w:rPr>
          <w:rFonts w:ascii="仿宋_GB2312" w:hAnsi="仿宋_GB2312" w:eastAsia="仿宋_GB2312" w:cs="仿宋_GB2312"/>
          <w:bCs/>
          <w:color w:val="000000"/>
          <w:sz w:val="32"/>
          <w:szCs w:val="32"/>
          <w:lang w:val="zh-CN"/>
        </w:rPr>
        <w:t>2</w:t>
      </w:r>
      <w:r>
        <w:rPr>
          <w:rFonts w:ascii="仿宋_GB2312" w:hAnsi="仿宋_GB2312" w:eastAsia="仿宋_GB2312" w:cs="仿宋_GB2312"/>
          <w:bCs/>
          <w:color w:val="000000"/>
          <w:sz w:val="32"/>
          <w:szCs w:val="32"/>
        </w:rPr>
        <w:t>019</w:t>
      </w:r>
      <w:r>
        <w:rPr>
          <w:rFonts w:hint="eastAsia" w:ascii="仿宋_GB2312" w:hAnsi="仿宋_GB2312" w:eastAsia="仿宋_GB2312" w:cs="仿宋_GB2312"/>
          <w:bCs/>
          <w:color w:val="000000"/>
          <w:sz w:val="32"/>
          <w:szCs w:val="32"/>
        </w:rPr>
        <w:t>年</w:t>
      </w:r>
      <w:r>
        <w:rPr>
          <w:rFonts w:hint="eastAsia" w:ascii="仿宋_GB2312" w:hAnsi="仿宋_GB2312" w:eastAsia="仿宋_GB2312" w:cs="仿宋_GB2312"/>
          <w:bCs/>
          <w:color w:val="000000"/>
          <w:sz w:val="32"/>
          <w:szCs w:val="32"/>
          <w:lang w:val="zh-CN"/>
        </w:rPr>
        <w:t>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adjustRightInd w:val="0"/>
        <w:snapToGrid w:val="0"/>
        <w:spacing w:line="576" w:lineRule="exact"/>
        <w:ind w:firstLine="640" w:firstLineChars="200"/>
        <w:rPr>
          <w:rFonts w:ascii="楷体_GB2312" w:hAnsi="楷体_GB2312" w:eastAsia="楷体_GB2312" w:cs="楷体_GB2312"/>
          <w:color w:val="000000"/>
          <w:sz w:val="32"/>
        </w:rPr>
      </w:pPr>
      <w:r>
        <w:rPr>
          <w:rFonts w:hint="eastAsia" w:ascii="楷体_GB2312" w:hAnsi="楷体_GB2312" w:eastAsia="楷体_GB2312" w:cs="楷体_GB2312"/>
          <w:color w:val="000000"/>
          <w:sz w:val="32"/>
        </w:rPr>
        <w:t>（三）综合管理情况</w:t>
      </w:r>
    </w:p>
    <w:p>
      <w:pPr>
        <w:adjustRightInd w:val="0"/>
        <w:snapToGrid w:val="0"/>
        <w:spacing w:line="576" w:lineRule="exact"/>
        <w:ind w:firstLine="640" w:firstLineChars="200"/>
        <w:rPr>
          <w:rFonts w:ascii="仿宋_GB2312" w:eastAsia="仿宋_GB2312"/>
          <w:color w:val="000000"/>
          <w:sz w:val="32"/>
          <w:szCs w:val="32"/>
          <w:lang w:val="zh-CN"/>
        </w:rPr>
      </w:pPr>
      <w:r>
        <w:rPr>
          <w:rFonts w:hint="eastAsia" w:ascii="仿宋_GB2312" w:eastAsia="仿宋_GB2312"/>
          <w:color w:val="000000"/>
          <w:sz w:val="32"/>
          <w:szCs w:val="32"/>
        </w:rPr>
        <w:t>我馆在执行有关法律法规、财经纪律、财务规章制度的同时，结合自身实际情况，制度相关财务制度、政府采购管理制度、项目管理制度等。</w:t>
      </w:r>
      <w:r>
        <w:rPr>
          <w:rFonts w:ascii="仿宋_GB2312" w:eastAsia="仿宋_GB2312"/>
          <w:color w:val="000000"/>
          <w:sz w:val="32"/>
          <w:szCs w:val="32"/>
        </w:rPr>
        <w:t>2019</w:t>
      </w:r>
      <w:r>
        <w:rPr>
          <w:rFonts w:hint="eastAsia" w:ascii="仿宋_GB2312" w:eastAsia="仿宋_GB2312"/>
          <w:color w:val="000000"/>
          <w:sz w:val="32"/>
          <w:szCs w:val="32"/>
        </w:rPr>
        <w:t>年所有物资采购均按政府采购要求执行，固定资产全部按要求录入资产管理系统并由专人负责管理。内控制度健全并执行良好，并及时向社会公开了本部门的预、决算</w:t>
      </w:r>
      <w:r>
        <w:rPr>
          <w:rFonts w:hint="eastAsia" w:ascii="仿宋_GB2312" w:eastAsia="仿宋_GB2312"/>
          <w:color w:val="000000"/>
          <w:sz w:val="32"/>
          <w:szCs w:val="32"/>
          <w:lang w:val="zh-CN"/>
        </w:rPr>
        <w:t>，依法接受财政监督。</w:t>
      </w:r>
    </w:p>
    <w:p>
      <w:pPr>
        <w:adjustRightInd w:val="0"/>
        <w:snapToGrid w:val="0"/>
        <w:spacing w:line="576" w:lineRule="exact"/>
        <w:ind w:firstLine="640" w:firstLineChars="200"/>
        <w:rPr>
          <w:rFonts w:ascii="楷体_GB2312" w:hAnsi="楷体_GB2312" w:eastAsia="楷体_GB2312" w:cs="楷体_GB2312"/>
          <w:color w:val="000000"/>
          <w:sz w:val="32"/>
          <w:lang w:val="zh-CN"/>
        </w:rPr>
      </w:pPr>
      <w:r>
        <w:rPr>
          <w:rFonts w:hint="eastAsia" w:ascii="楷体_GB2312" w:hAnsi="楷体_GB2312" w:eastAsia="楷体_GB2312" w:cs="楷体_GB2312"/>
          <w:color w:val="000000"/>
          <w:sz w:val="32"/>
          <w:lang w:val="zh-CN"/>
        </w:rPr>
        <w:t>（四）整体绩效</w:t>
      </w:r>
    </w:p>
    <w:p>
      <w:pPr>
        <w:adjustRightInd w:val="0"/>
        <w:snapToGrid w:val="0"/>
        <w:spacing w:line="576" w:lineRule="exact"/>
        <w:ind w:firstLine="640" w:firstLineChars="200"/>
        <w:rPr>
          <w:rFonts w:ascii="仿宋_GB2312" w:eastAsia="仿宋_GB2312"/>
          <w:color w:val="000000"/>
          <w:sz w:val="32"/>
          <w:szCs w:val="32"/>
          <w:lang w:val="zh-CN"/>
        </w:rPr>
      </w:pPr>
      <w:r>
        <w:rPr>
          <w:rFonts w:ascii="仿宋_GB2312" w:eastAsia="仿宋_GB2312"/>
          <w:color w:val="000000"/>
          <w:sz w:val="32"/>
          <w:szCs w:val="32"/>
          <w:lang w:val="zh-CN"/>
        </w:rPr>
        <w:t>201</w:t>
      </w:r>
      <w:r>
        <w:rPr>
          <w:rFonts w:ascii="仿宋_GB2312" w:eastAsia="仿宋_GB2312"/>
          <w:color w:val="000000"/>
          <w:sz w:val="32"/>
          <w:szCs w:val="32"/>
        </w:rPr>
        <w:t>9</w:t>
      </w:r>
      <w:r>
        <w:rPr>
          <w:rFonts w:hint="eastAsia" w:ascii="仿宋_GB2312" w:eastAsia="仿宋_GB2312"/>
          <w:color w:val="000000"/>
          <w:sz w:val="32"/>
          <w:szCs w:val="32"/>
          <w:lang w:val="zh-CN"/>
        </w:rPr>
        <w:t>年度我单位年初</w:t>
      </w:r>
      <w:r>
        <w:rPr>
          <w:rFonts w:hint="eastAsia" w:ascii="仿宋_GB2312" w:eastAsia="仿宋_GB2312"/>
          <w:color w:val="000000"/>
          <w:sz w:val="32"/>
          <w:szCs w:val="32"/>
        </w:rPr>
        <w:t>根据</w:t>
      </w:r>
      <w:r>
        <w:rPr>
          <w:rFonts w:hint="eastAsia" w:ascii="仿宋_GB2312" w:eastAsia="仿宋_GB2312"/>
          <w:color w:val="000000"/>
          <w:sz w:val="32"/>
          <w:szCs w:val="32"/>
          <w:lang w:val="zh-CN"/>
        </w:rPr>
        <w:t>工作规划和重点工作</w:t>
      </w:r>
      <w:r>
        <w:rPr>
          <w:rFonts w:hint="eastAsia" w:ascii="仿宋_GB2312" w:eastAsia="仿宋_GB2312"/>
          <w:color w:val="000000"/>
          <w:sz w:val="32"/>
          <w:szCs w:val="32"/>
        </w:rPr>
        <w:t>规划</w:t>
      </w:r>
      <w:r>
        <w:rPr>
          <w:rFonts w:hint="eastAsia" w:ascii="仿宋_GB2312" w:eastAsia="仿宋_GB2312"/>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adjustRightInd w:val="0"/>
        <w:snapToGrid w:val="0"/>
        <w:spacing w:line="576" w:lineRule="exact"/>
        <w:ind w:firstLine="640" w:firstLineChars="200"/>
        <w:rPr>
          <w:rFonts w:ascii="黑体" w:hAnsi="黑体" w:eastAsia="黑体" w:cs="黑体"/>
          <w:color w:val="000000"/>
          <w:sz w:val="32"/>
          <w:lang w:val="zh-CN"/>
        </w:rPr>
      </w:pPr>
      <w:r>
        <w:rPr>
          <w:rFonts w:hint="eastAsia" w:ascii="黑体" w:hAnsi="黑体" w:eastAsia="黑体" w:cs="黑体"/>
          <w:color w:val="000000"/>
          <w:sz w:val="32"/>
          <w:lang w:val="zh-CN"/>
        </w:rPr>
        <w:t>四、存在的问题及建议</w:t>
      </w:r>
    </w:p>
    <w:p>
      <w:pPr>
        <w:adjustRightInd w:val="0"/>
        <w:snapToGrid w:val="0"/>
        <w:spacing w:line="576" w:lineRule="exact"/>
        <w:ind w:left="426" w:firstLine="320" w:firstLineChars="100"/>
        <w:rPr>
          <w:rFonts w:ascii="楷体_GB2312" w:hAnsi="楷体_GB2312" w:eastAsia="楷体_GB2312" w:cs="楷体_GB2312"/>
          <w:color w:val="000000"/>
          <w:sz w:val="32"/>
          <w:lang w:val="zh-CN"/>
        </w:rPr>
      </w:pPr>
      <w:r>
        <w:rPr>
          <w:rFonts w:hint="eastAsia" w:ascii="楷体_GB2312" w:hAnsi="楷体_GB2312" w:eastAsia="楷体_GB2312" w:cs="楷体_GB2312"/>
          <w:color w:val="000000"/>
          <w:sz w:val="32"/>
          <w:lang w:val="zh-CN"/>
        </w:rPr>
        <w:t>（一）存在的问题</w:t>
      </w:r>
    </w:p>
    <w:p>
      <w:pPr>
        <w:adjustRightInd w:val="0"/>
        <w:snapToGrid w:val="0"/>
        <w:spacing w:line="576" w:lineRule="exact"/>
        <w:ind w:firstLine="803" w:firstLineChars="250"/>
        <w:rPr>
          <w:rFonts w:ascii="仿宋_GB2312" w:hAnsi="仿宋_GB2312" w:eastAsia="仿宋_GB2312" w:cs="仿宋_GB2312"/>
          <w:color w:val="000000"/>
          <w:sz w:val="32"/>
          <w:szCs w:val="32"/>
          <w:lang w:val="zh-CN"/>
        </w:rPr>
      </w:pPr>
      <w:r>
        <w:rPr>
          <w:rFonts w:hint="eastAsia" w:ascii="仿宋_GB2312" w:hAnsi="仿宋_GB2312" w:eastAsia="仿宋_GB2312" w:cs="仿宋_GB2312"/>
          <w:b/>
          <w:bCs/>
          <w:color w:val="333333"/>
          <w:sz w:val="32"/>
          <w:szCs w:val="32"/>
          <w:shd w:val="clear" w:color="auto" w:fill="FFFFFF"/>
        </w:rPr>
        <w:t>一是</w:t>
      </w:r>
      <w:r>
        <w:rPr>
          <w:rFonts w:hint="eastAsia" w:ascii="仿宋_GB2312" w:hAnsi="仿宋_GB2312" w:eastAsia="仿宋_GB2312" w:cs="仿宋_GB2312"/>
          <w:color w:val="333333"/>
          <w:sz w:val="32"/>
          <w:szCs w:val="32"/>
          <w:shd w:val="clear" w:color="auto" w:fill="FFFFFF"/>
        </w:rPr>
        <w:t>应加强公务卡使用力度，保证资金的合理使用；</w:t>
      </w:r>
      <w:r>
        <w:rPr>
          <w:rFonts w:hint="eastAsia" w:ascii="仿宋_GB2312" w:hAnsi="仿宋_GB2312" w:eastAsia="仿宋_GB2312" w:cs="仿宋_GB2312"/>
          <w:b/>
          <w:bCs/>
          <w:color w:val="333333"/>
          <w:sz w:val="32"/>
          <w:szCs w:val="32"/>
          <w:shd w:val="clear" w:color="auto" w:fill="FFFFFF"/>
        </w:rPr>
        <w:t>二是</w:t>
      </w:r>
      <w:r>
        <w:rPr>
          <w:rFonts w:hint="eastAsia" w:ascii="仿宋_GB2312" w:hAnsi="仿宋_GB2312" w:eastAsia="仿宋_GB2312" w:cs="仿宋_GB2312"/>
          <w:color w:val="333333"/>
          <w:sz w:val="32"/>
          <w:szCs w:val="32"/>
          <w:shd w:val="clear" w:color="auto" w:fill="FFFFFF"/>
        </w:rPr>
        <w:t>了解财政各项规定，严格按照规定执行，做好费用报销审核工作。</w:t>
      </w:r>
      <w:r>
        <w:rPr>
          <w:rFonts w:ascii="仿宋_GB2312" w:hAnsi="仿宋_GB2312" w:eastAsia="仿宋_GB2312" w:cs="仿宋_GB2312"/>
          <w:color w:val="000000"/>
          <w:sz w:val="32"/>
          <w:szCs w:val="32"/>
          <w:lang w:val="zh-CN"/>
        </w:rPr>
        <w:t xml:space="preserve"> </w:t>
      </w:r>
    </w:p>
    <w:p>
      <w:pPr>
        <w:adjustRightInd w:val="0"/>
        <w:snapToGrid w:val="0"/>
        <w:spacing w:line="576" w:lineRule="exact"/>
        <w:ind w:left="640"/>
        <w:rPr>
          <w:rFonts w:ascii="楷体_GB2312" w:hAnsi="楷体_GB2312" w:eastAsia="楷体_GB2312" w:cs="楷体_GB2312"/>
          <w:color w:val="000000"/>
          <w:sz w:val="32"/>
          <w:lang w:val="zh-CN"/>
        </w:rPr>
      </w:pPr>
      <w:r>
        <w:rPr>
          <w:rFonts w:ascii="楷体_GB2312" w:hAnsi="楷体_GB2312" w:eastAsia="楷体_GB2312" w:cs="楷体_GB2312"/>
          <w:color w:val="000000"/>
          <w:sz w:val="32"/>
          <w:lang w:val="zh-CN"/>
        </w:rPr>
        <w:t>(</w:t>
      </w:r>
      <w:r>
        <w:rPr>
          <w:rFonts w:hint="eastAsia" w:ascii="楷体_GB2312" w:hAnsi="楷体_GB2312" w:eastAsia="楷体_GB2312" w:cs="楷体_GB2312"/>
          <w:color w:val="000000"/>
          <w:sz w:val="32"/>
          <w:lang w:val="zh-CN"/>
        </w:rPr>
        <w:t>二</w:t>
      </w:r>
      <w:r>
        <w:rPr>
          <w:rFonts w:ascii="楷体_GB2312" w:hAnsi="楷体_GB2312" w:eastAsia="楷体_GB2312" w:cs="楷体_GB2312"/>
          <w:color w:val="000000"/>
          <w:sz w:val="32"/>
          <w:lang w:val="zh-CN"/>
        </w:rPr>
        <w:t>)</w:t>
      </w:r>
      <w:r>
        <w:rPr>
          <w:rFonts w:hint="eastAsia" w:ascii="楷体_GB2312" w:hAnsi="楷体_GB2312" w:eastAsia="楷体_GB2312" w:cs="楷体_GB2312"/>
          <w:color w:val="000000"/>
          <w:sz w:val="32"/>
          <w:lang w:val="zh-CN"/>
        </w:rPr>
        <w:t>改进建议</w:t>
      </w:r>
    </w:p>
    <w:p>
      <w:pPr>
        <w:spacing w:line="576" w:lineRule="exact"/>
        <w:ind w:firstLine="800" w:firstLineChars="250"/>
        <w:rPr>
          <w:rFonts w:ascii="仿宋_GB2312" w:eastAsia="仿宋_GB2312"/>
          <w:sz w:val="32"/>
          <w:szCs w:val="32"/>
        </w:rPr>
      </w:pPr>
      <w:r>
        <w:rPr>
          <w:rFonts w:hint="eastAsia" w:ascii="仿宋_GB2312" w:hAnsi="仿宋_GB2312" w:eastAsia="仿宋_GB2312" w:cs="仿宋_GB2312"/>
          <w:sz w:val="32"/>
          <w:szCs w:val="32"/>
        </w:rPr>
        <w:t>加强内控制度建设力度，建立内控长效机制，严格财务管理，加强财务监督，坚持厉行节约，控制“三公经费”支出，严格管理现金支出，加强财务人员业务培训，提高业务水平。</w:t>
      </w: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Style w:val="18"/>
          <w:rFonts w:ascii="黑体" w:hAnsi="黑体" w:eastAsia="黑体"/>
          <w:b w:val="0"/>
        </w:rPr>
      </w:pPr>
    </w:p>
    <w:p>
      <w:pPr>
        <w:spacing w:line="600" w:lineRule="exact"/>
        <w:jc w:val="center"/>
        <w:outlineLvl w:val="0"/>
        <w:rPr>
          <w:rFonts w:ascii="黑体" w:hAnsi="黑体" w:eastAsia="黑体"/>
          <w:color w:val="000000"/>
          <w:sz w:val="44"/>
          <w:szCs w:val="44"/>
        </w:rPr>
      </w:pPr>
      <w:bookmarkStart w:id="83" w:name="_Toc22402"/>
      <w:bookmarkStart w:id="84" w:name="_Toc15396618"/>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18"/>
          <w:rFonts w:ascii="黑体" w:hAnsi="黑体" w:eastAsia="黑体"/>
          <w:b w:val="0"/>
        </w:rPr>
      </w:pPr>
      <w:r>
        <w:rPr>
          <w:rFonts w:hint="eastAsia" w:ascii="黑体" w:hAnsi="黑体" w:eastAsia="黑体"/>
          <w:color w:val="000000"/>
          <w:sz w:val="44"/>
          <w:szCs w:val="44"/>
        </w:rPr>
        <w:t>第</w:t>
      </w:r>
      <w:r>
        <w:rPr>
          <w:rStyle w:val="18"/>
          <w:rFonts w:hint="eastAsia" w:ascii="黑体" w:hAnsi="黑体" w:eastAsia="黑体"/>
          <w:b w:val="0"/>
        </w:rPr>
        <w:t>五部分</w:t>
      </w:r>
      <w:r>
        <w:rPr>
          <w:rStyle w:val="18"/>
          <w:rFonts w:ascii="黑体" w:hAnsi="黑体" w:eastAsia="黑体"/>
          <w:b w:val="0"/>
        </w:rPr>
        <w:t xml:space="preserve"> </w:t>
      </w:r>
      <w:r>
        <w:rPr>
          <w:rStyle w:val="18"/>
          <w:rFonts w:hint="eastAsia" w:ascii="黑体" w:hAnsi="黑体" w:eastAsia="黑体"/>
          <w:b w:val="0"/>
        </w:rPr>
        <w:t>附表</w:t>
      </w:r>
      <w:bookmarkEnd w:id="80"/>
      <w:bookmarkEnd w:id="83"/>
      <w:bookmarkEnd w:id="84"/>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85" w:name="_Toc15396619"/>
      <w:bookmarkStart w:id="86" w:name="_Toc21330"/>
      <w:r>
        <w:rPr>
          <w:rFonts w:hint="eastAsia" w:ascii="仿宋" w:hAnsi="仿宋" w:eastAsia="仿宋"/>
          <w:b w:val="0"/>
          <w:color w:val="000000"/>
        </w:rPr>
        <w:t>一、收</w:t>
      </w:r>
      <w:r>
        <w:rPr>
          <w:rStyle w:val="19"/>
          <w:rFonts w:hint="eastAsia" w:ascii="仿宋" w:hAnsi="仿宋" w:eastAsia="仿宋"/>
          <w:b w:val="0"/>
          <w:bCs w:val="0"/>
        </w:rPr>
        <w:t>入支出决算总表</w:t>
      </w:r>
      <w:bookmarkEnd w:id="85"/>
      <w:bookmarkEnd w:id="86"/>
    </w:p>
    <w:p>
      <w:pPr>
        <w:pStyle w:val="3"/>
        <w:rPr>
          <w:rFonts w:ascii="仿宋" w:hAnsi="仿宋" w:eastAsia="仿宋"/>
          <w:color w:val="000000"/>
        </w:rPr>
      </w:pPr>
      <w:bookmarkStart w:id="87" w:name="_Toc15396620"/>
      <w:bookmarkStart w:id="88" w:name="_Toc26505"/>
      <w:r>
        <w:rPr>
          <w:rFonts w:hint="eastAsia" w:ascii="仿宋" w:hAnsi="仿宋" w:eastAsia="仿宋"/>
          <w:b w:val="0"/>
          <w:color w:val="000000"/>
        </w:rPr>
        <w:t>二、收</w:t>
      </w:r>
      <w:r>
        <w:rPr>
          <w:rStyle w:val="19"/>
          <w:rFonts w:hint="eastAsia" w:ascii="仿宋" w:hAnsi="仿宋" w:eastAsia="仿宋"/>
          <w:b w:val="0"/>
          <w:bCs w:val="0"/>
        </w:rPr>
        <w:t>入决算表</w:t>
      </w:r>
      <w:bookmarkEnd w:id="87"/>
      <w:bookmarkEnd w:id="88"/>
    </w:p>
    <w:p>
      <w:pPr>
        <w:pStyle w:val="3"/>
        <w:rPr>
          <w:rFonts w:ascii="仿宋" w:hAnsi="仿宋" w:eastAsia="仿宋"/>
          <w:color w:val="000000"/>
        </w:rPr>
      </w:pPr>
      <w:bookmarkStart w:id="89" w:name="_Toc15396621"/>
      <w:bookmarkStart w:id="90" w:name="_Toc15909"/>
      <w:r>
        <w:rPr>
          <w:rStyle w:val="19"/>
          <w:rFonts w:hint="eastAsia" w:ascii="仿宋" w:hAnsi="仿宋" w:eastAsia="仿宋"/>
          <w:b w:val="0"/>
          <w:bCs w:val="0"/>
        </w:rPr>
        <w:t>三、</w:t>
      </w:r>
      <w:r>
        <w:rPr>
          <w:rFonts w:hint="eastAsia" w:ascii="仿宋" w:hAnsi="仿宋" w:eastAsia="仿宋"/>
          <w:b w:val="0"/>
          <w:color w:val="000000"/>
        </w:rPr>
        <w:t>支</w:t>
      </w:r>
      <w:r>
        <w:rPr>
          <w:rStyle w:val="19"/>
          <w:rFonts w:hint="eastAsia" w:ascii="仿宋" w:hAnsi="仿宋" w:eastAsia="仿宋"/>
          <w:b w:val="0"/>
          <w:bCs w:val="0"/>
        </w:rPr>
        <w:t>出决算表</w:t>
      </w:r>
      <w:bookmarkEnd w:id="89"/>
      <w:bookmarkEnd w:id="90"/>
    </w:p>
    <w:p>
      <w:pPr>
        <w:pStyle w:val="3"/>
        <w:rPr>
          <w:rFonts w:ascii="仿宋" w:hAnsi="仿宋" w:eastAsia="仿宋"/>
          <w:b w:val="0"/>
          <w:color w:val="000000"/>
        </w:rPr>
      </w:pPr>
      <w:bookmarkStart w:id="91" w:name="_Toc15396622"/>
      <w:bookmarkStart w:id="92" w:name="_Toc16893"/>
      <w:r>
        <w:rPr>
          <w:rStyle w:val="19"/>
          <w:rFonts w:hint="eastAsia" w:ascii="仿宋" w:hAnsi="仿宋" w:eastAsia="仿宋"/>
          <w:b w:val="0"/>
          <w:bCs w:val="0"/>
        </w:rPr>
        <w:t>四、</w:t>
      </w:r>
      <w:r>
        <w:rPr>
          <w:rFonts w:hint="eastAsia" w:ascii="仿宋" w:hAnsi="仿宋" w:eastAsia="仿宋"/>
          <w:b w:val="0"/>
          <w:color w:val="000000"/>
        </w:rPr>
        <w:t>财</w:t>
      </w:r>
      <w:r>
        <w:rPr>
          <w:rStyle w:val="19"/>
          <w:rFonts w:hint="eastAsia" w:ascii="仿宋" w:hAnsi="仿宋" w:eastAsia="仿宋"/>
          <w:b w:val="0"/>
          <w:bCs w:val="0"/>
        </w:rPr>
        <w:t>政拨款收入支出决算总表</w:t>
      </w:r>
      <w:bookmarkEnd w:id="91"/>
      <w:bookmarkEnd w:id="92"/>
    </w:p>
    <w:p>
      <w:pPr>
        <w:pStyle w:val="3"/>
        <w:rPr>
          <w:rStyle w:val="19"/>
          <w:rFonts w:ascii="仿宋" w:hAnsi="仿宋" w:eastAsia="仿宋"/>
          <w:b w:val="0"/>
          <w:bCs w:val="0"/>
        </w:rPr>
      </w:pPr>
      <w:bookmarkStart w:id="93" w:name="_Toc6947"/>
      <w:bookmarkStart w:id="94" w:name="_Toc15396623"/>
      <w:r>
        <w:rPr>
          <w:rStyle w:val="19"/>
          <w:rFonts w:hint="eastAsia" w:ascii="仿宋" w:hAnsi="仿宋" w:eastAsia="仿宋"/>
          <w:b w:val="0"/>
          <w:bCs w:val="0"/>
        </w:rPr>
        <w:t>五、</w:t>
      </w:r>
      <w:r>
        <w:rPr>
          <w:rFonts w:hint="eastAsia" w:ascii="仿宋" w:hAnsi="仿宋" w:eastAsia="仿宋"/>
          <w:b w:val="0"/>
          <w:color w:val="000000"/>
        </w:rPr>
        <w:t>财</w:t>
      </w:r>
      <w:r>
        <w:rPr>
          <w:rStyle w:val="19"/>
          <w:rFonts w:hint="eastAsia" w:ascii="仿宋" w:hAnsi="仿宋" w:eastAsia="仿宋"/>
          <w:b w:val="0"/>
          <w:bCs w:val="0"/>
        </w:rPr>
        <w:t>政拨款支出决算明细表</w:t>
      </w:r>
      <w:bookmarkEnd w:id="93"/>
      <w:bookmarkEnd w:id="94"/>
      <w:bookmarkStart w:id="95" w:name="_Toc15396624"/>
    </w:p>
    <w:p>
      <w:pPr>
        <w:pStyle w:val="3"/>
        <w:rPr>
          <w:rFonts w:ascii="仿宋" w:hAnsi="仿宋" w:eastAsia="仿宋"/>
          <w:color w:val="000000"/>
        </w:rPr>
      </w:pPr>
      <w:bookmarkStart w:id="96" w:name="_Toc11924"/>
      <w:r>
        <w:rPr>
          <w:rStyle w:val="19"/>
          <w:rFonts w:hint="eastAsia" w:ascii="仿宋" w:hAnsi="仿宋" w:eastAsia="仿宋"/>
          <w:b w:val="0"/>
          <w:bCs w:val="0"/>
        </w:rPr>
        <w:t>六、</w:t>
      </w:r>
      <w:r>
        <w:rPr>
          <w:rFonts w:hint="eastAsia" w:ascii="仿宋" w:hAnsi="仿宋" w:eastAsia="仿宋"/>
          <w:b w:val="0"/>
          <w:color w:val="000000"/>
        </w:rPr>
        <w:t>一</w:t>
      </w:r>
      <w:r>
        <w:rPr>
          <w:rStyle w:val="19"/>
          <w:rFonts w:hint="eastAsia" w:ascii="仿宋" w:hAnsi="仿宋" w:eastAsia="仿宋"/>
          <w:b w:val="0"/>
          <w:bCs w:val="0"/>
        </w:rPr>
        <w:t>般公共预算财政拨款支出决算表</w:t>
      </w:r>
      <w:bookmarkEnd w:id="95"/>
      <w:bookmarkEnd w:id="96"/>
    </w:p>
    <w:p>
      <w:pPr>
        <w:pStyle w:val="3"/>
        <w:rPr>
          <w:rFonts w:ascii="仿宋" w:hAnsi="仿宋" w:eastAsia="仿宋"/>
          <w:color w:val="000000"/>
        </w:rPr>
      </w:pPr>
      <w:bookmarkStart w:id="97" w:name="_Toc28867"/>
      <w:bookmarkStart w:id="98" w:name="_Toc15396625"/>
      <w:r>
        <w:rPr>
          <w:rStyle w:val="19"/>
          <w:rFonts w:hint="eastAsia" w:ascii="仿宋" w:hAnsi="仿宋" w:eastAsia="仿宋"/>
          <w:b w:val="0"/>
          <w:bCs w:val="0"/>
        </w:rPr>
        <w:t>七、</w:t>
      </w:r>
      <w:r>
        <w:rPr>
          <w:rFonts w:hint="eastAsia" w:ascii="仿宋" w:hAnsi="仿宋" w:eastAsia="仿宋"/>
          <w:b w:val="0"/>
          <w:color w:val="000000"/>
        </w:rPr>
        <w:t>一</w:t>
      </w:r>
      <w:r>
        <w:rPr>
          <w:rStyle w:val="19"/>
          <w:rFonts w:hint="eastAsia" w:ascii="仿宋" w:hAnsi="仿宋" w:eastAsia="仿宋"/>
          <w:b w:val="0"/>
          <w:bCs w:val="0"/>
        </w:rPr>
        <w:t>般公共预算财政拨款支出决算明细表</w:t>
      </w:r>
      <w:bookmarkEnd w:id="97"/>
      <w:bookmarkEnd w:id="98"/>
    </w:p>
    <w:p>
      <w:pPr>
        <w:pStyle w:val="3"/>
        <w:rPr>
          <w:rFonts w:ascii="仿宋" w:hAnsi="仿宋" w:eastAsia="仿宋"/>
          <w:color w:val="000000"/>
        </w:rPr>
      </w:pPr>
      <w:bookmarkStart w:id="99" w:name="_Toc15396626"/>
      <w:bookmarkStart w:id="100" w:name="_Toc26911"/>
      <w:r>
        <w:rPr>
          <w:rStyle w:val="19"/>
          <w:rFonts w:hint="eastAsia" w:ascii="仿宋" w:hAnsi="仿宋" w:eastAsia="仿宋"/>
          <w:b w:val="0"/>
          <w:bCs w:val="0"/>
        </w:rPr>
        <w:t>八、</w:t>
      </w:r>
      <w:r>
        <w:rPr>
          <w:rFonts w:hint="eastAsia" w:ascii="仿宋" w:hAnsi="仿宋" w:eastAsia="仿宋"/>
          <w:b w:val="0"/>
          <w:color w:val="000000"/>
        </w:rPr>
        <w:t>一</w:t>
      </w:r>
      <w:r>
        <w:rPr>
          <w:rStyle w:val="19"/>
          <w:rFonts w:hint="eastAsia" w:ascii="仿宋" w:hAnsi="仿宋" w:eastAsia="仿宋"/>
          <w:b w:val="0"/>
          <w:bCs w:val="0"/>
        </w:rPr>
        <w:t>般公共预算财政拨款基本支出决算表</w:t>
      </w:r>
      <w:bookmarkEnd w:id="99"/>
      <w:bookmarkEnd w:id="100"/>
    </w:p>
    <w:p>
      <w:pPr>
        <w:pStyle w:val="3"/>
        <w:rPr>
          <w:rFonts w:ascii="仿宋" w:hAnsi="仿宋" w:eastAsia="仿宋"/>
          <w:color w:val="000000"/>
        </w:rPr>
      </w:pPr>
      <w:bookmarkStart w:id="101" w:name="_Toc15396627"/>
      <w:bookmarkStart w:id="102" w:name="_Toc26112"/>
      <w:r>
        <w:rPr>
          <w:rStyle w:val="19"/>
          <w:rFonts w:hint="eastAsia" w:ascii="仿宋" w:hAnsi="仿宋" w:eastAsia="仿宋"/>
          <w:b w:val="0"/>
          <w:bCs w:val="0"/>
        </w:rPr>
        <w:t>九、</w:t>
      </w:r>
      <w:r>
        <w:rPr>
          <w:rFonts w:hint="eastAsia" w:ascii="仿宋" w:hAnsi="仿宋" w:eastAsia="仿宋"/>
          <w:b w:val="0"/>
          <w:color w:val="000000"/>
        </w:rPr>
        <w:t>一</w:t>
      </w:r>
      <w:r>
        <w:rPr>
          <w:rStyle w:val="19"/>
          <w:rFonts w:hint="eastAsia" w:ascii="仿宋" w:hAnsi="仿宋" w:eastAsia="仿宋"/>
          <w:b w:val="0"/>
          <w:bCs w:val="0"/>
        </w:rPr>
        <w:t>般公共预算财政拨款项目支出决算表</w:t>
      </w:r>
      <w:bookmarkEnd w:id="101"/>
      <w:bookmarkEnd w:id="102"/>
    </w:p>
    <w:p>
      <w:pPr>
        <w:pStyle w:val="3"/>
        <w:rPr>
          <w:rFonts w:ascii="仿宋" w:hAnsi="仿宋" w:eastAsia="仿宋"/>
          <w:color w:val="000000"/>
        </w:rPr>
      </w:pPr>
      <w:bookmarkStart w:id="103" w:name="_Toc15396628"/>
      <w:bookmarkStart w:id="104" w:name="_Toc5486"/>
      <w:r>
        <w:rPr>
          <w:rStyle w:val="19"/>
          <w:rFonts w:hint="eastAsia" w:ascii="仿宋" w:hAnsi="仿宋" w:eastAsia="仿宋"/>
          <w:b w:val="0"/>
          <w:bCs w:val="0"/>
        </w:rPr>
        <w:t>十、</w:t>
      </w:r>
      <w:r>
        <w:rPr>
          <w:rFonts w:hint="eastAsia" w:ascii="仿宋" w:hAnsi="仿宋" w:eastAsia="仿宋"/>
          <w:b w:val="0"/>
          <w:color w:val="000000"/>
        </w:rPr>
        <w:t>一</w:t>
      </w:r>
      <w:r>
        <w:rPr>
          <w:rStyle w:val="19"/>
          <w:rFonts w:hint="eastAsia" w:ascii="仿宋" w:hAnsi="仿宋" w:eastAsia="仿宋"/>
          <w:b w:val="0"/>
          <w:bCs w:val="0"/>
        </w:rPr>
        <w:t>般公共预算财政拨款“三公”经费支出决算表</w:t>
      </w:r>
      <w:bookmarkEnd w:id="103"/>
      <w:bookmarkEnd w:id="104"/>
    </w:p>
    <w:p>
      <w:pPr>
        <w:pStyle w:val="3"/>
        <w:rPr>
          <w:rFonts w:ascii="仿宋" w:hAnsi="仿宋" w:eastAsia="仿宋"/>
          <w:color w:val="000000"/>
        </w:rPr>
      </w:pPr>
      <w:bookmarkStart w:id="105" w:name="_Toc15396629"/>
      <w:bookmarkStart w:id="106" w:name="_Toc19747"/>
      <w:r>
        <w:rPr>
          <w:rStyle w:val="19"/>
          <w:rFonts w:hint="eastAsia" w:ascii="仿宋" w:hAnsi="仿宋" w:eastAsia="仿宋"/>
          <w:b w:val="0"/>
          <w:bCs w:val="0"/>
        </w:rPr>
        <w:t>十一、</w:t>
      </w:r>
      <w:r>
        <w:rPr>
          <w:rFonts w:hint="eastAsia" w:ascii="仿宋" w:hAnsi="仿宋" w:eastAsia="仿宋"/>
          <w:b w:val="0"/>
          <w:color w:val="000000"/>
        </w:rPr>
        <w:t>政</w:t>
      </w:r>
      <w:r>
        <w:rPr>
          <w:rStyle w:val="19"/>
          <w:rFonts w:hint="eastAsia" w:ascii="仿宋" w:hAnsi="仿宋" w:eastAsia="仿宋"/>
          <w:b w:val="0"/>
          <w:bCs w:val="0"/>
        </w:rPr>
        <w:t>府性基金预算财政拨款收入支出决算表</w:t>
      </w:r>
      <w:bookmarkEnd w:id="105"/>
      <w:bookmarkEnd w:id="106"/>
    </w:p>
    <w:p>
      <w:pPr>
        <w:pStyle w:val="3"/>
        <w:rPr>
          <w:rFonts w:ascii="仿宋" w:hAnsi="仿宋" w:eastAsia="仿宋"/>
          <w:color w:val="000000"/>
        </w:rPr>
      </w:pPr>
      <w:bookmarkStart w:id="107" w:name="_Toc15396630"/>
      <w:bookmarkStart w:id="108" w:name="_Toc27510"/>
      <w:r>
        <w:rPr>
          <w:rStyle w:val="19"/>
          <w:rFonts w:hint="eastAsia" w:ascii="仿宋" w:hAnsi="仿宋" w:eastAsia="仿宋"/>
          <w:b w:val="0"/>
          <w:bCs w:val="0"/>
        </w:rPr>
        <w:t>十二、</w:t>
      </w:r>
      <w:r>
        <w:rPr>
          <w:rFonts w:hint="eastAsia" w:ascii="仿宋" w:hAnsi="仿宋" w:eastAsia="仿宋"/>
          <w:b w:val="0"/>
          <w:color w:val="000000"/>
        </w:rPr>
        <w:t>政</w:t>
      </w:r>
      <w:r>
        <w:rPr>
          <w:rStyle w:val="19"/>
          <w:rFonts w:hint="eastAsia" w:ascii="仿宋" w:hAnsi="仿宋" w:eastAsia="仿宋"/>
          <w:b w:val="0"/>
          <w:bCs w:val="0"/>
        </w:rPr>
        <w:t>府性基金预算财政拨款“三公”经费支出决算表</w:t>
      </w:r>
      <w:bookmarkEnd w:id="107"/>
      <w:bookmarkEnd w:id="108"/>
    </w:p>
    <w:p>
      <w:pPr>
        <w:pStyle w:val="3"/>
        <w:rPr>
          <w:rFonts w:ascii="仿宋" w:hAnsi="仿宋" w:eastAsia="仿宋"/>
          <w:color w:val="000000"/>
        </w:rPr>
      </w:pPr>
      <w:bookmarkStart w:id="109" w:name="_Toc15396631"/>
      <w:bookmarkStart w:id="110" w:name="_Toc14807"/>
      <w:r>
        <w:rPr>
          <w:rStyle w:val="19"/>
          <w:rFonts w:hint="eastAsia" w:ascii="仿宋" w:hAnsi="仿宋" w:eastAsia="仿宋"/>
          <w:b w:val="0"/>
          <w:bCs w:val="0"/>
        </w:rPr>
        <w:t>十三、</w:t>
      </w:r>
      <w:r>
        <w:rPr>
          <w:rFonts w:hint="eastAsia" w:ascii="仿宋" w:hAnsi="仿宋" w:eastAsia="仿宋"/>
          <w:b w:val="0"/>
          <w:color w:val="000000"/>
        </w:rPr>
        <w:t>国</w:t>
      </w:r>
      <w:r>
        <w:rPr>
          <w:rStyle w:val="19"/>
          <w:rFonts w:hint="eastAsia" w:ascii="仿宋" w:hAnsi="仿宋" w:eastAsia="仿宋"/>
          <w:b w:val="0"/>
          <w:bCs w:val="0"/>
        </w:rPr>
        <w:t>有资本经营预算支出决算表</w:t>
      </w:r>
      <w:bookmarkEnd w:id="109"/>
      <w:bookmarkEnd w:id="11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w:t>
    </w:r>
    <w:r>
      <w:rPr>
        <w:lang w:val="zh-CN"/>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15A7F"/>
    <w:rsid w:val="000222C6"/>
    <w:rsid w:val="0002549F"/>
    <w:rsid w:val="00032B0E"/>
    <w:rsid w:val="000372EA"/>
    <w:rsid w:val="000468DB"/>
    <w:rsid w:val="0006487A"/>
    <w:rsid w:val="00065F8F"/>
    <w:rsid w:val="00070A43"/>
    <w:rsid w:val="000768F2"/>
    <w:rsid w:val="0009184B"/>
    <w:rsid w:val="00094236"/>
    <w:rsid w:val="0009593C"/>
    <w:rsid w:val="00097322"/>
    <w:rsid w:val="000A5940"/>
    <w:rsid w:val="000A6A92"/>
    <w:rsid w:val="000A6B7D"/>
    <w:rsid w:val="000B047F"/>
    <w:rsid w:val="000B095E"/>
    <w:rsid w:val="000B15F4"/>
    <w:rsid w:val="000B5923"/>
    <w:rsid w:val="000B5A48"/>
    <w:rsid w:val="000B6FF3"/>
    <w:rsid w:val="000C3467"/>
    <w:rsid w:val="000C3CA6"/>
    <w:rsid w:val="000D1267"/>
    <w:rsid w:val="000D1D50"/>
    <w:rsid w:val="000D5782"/>
    <w:rsid w:val="000E6613"/>
    <w:rsid w:val="000E7119"/>
    <w:rsid w:val="000F4B8F"/>
    <w:rsid w:val="00103670"/>
    <w:rsid w:val="00114E9B"/>
    <w:rsid w:val="00141834"/>
    <w:rsid w:val="00142216"/>
    <w:rsid w:val="00144D6A"/>
    <w:rsid w:val="0014729F"/>
    <w:rsid w:val="00157BAB"/>
    <w:rsid w:val="001654D1"/>
    <w:rsid w:val="00174518"/>
    <w:rsid w:val="0018106D"/>
    <w:rsid w:val="001877A7"/>
    <w:rsid w:val="00191536"/>
    <w:rsid w:val="00196687"/>
    <w:rsid w:val="001B162D"/>
    <w:rsid w:val="001C0962"/>
    <w:rsid w:val="001D7531"/>
    <w:rsid w:val="001E737D"/>
    <w:rsid w:val="001F0592"/>
    <w:rsid w:val="001F7506"/>
    <w:rsid w:val="002006CD"/>
    <w:rsid w:val="00202B36"/>
    <w:rsid w:val="00204B7A"/>
    <w:rsid w:val="00204CDE"/>
    <w:rsid w:val="0021101A"/>
    <w:rsid w:val="002168E2"/>
    <w:rsid w:val="00220536"/>
    <w:rsid w:val="00235629"/>
    <w:rsid w:val="00235C31"/>
    <w:rsid w:val="002469AB"/>
    <w:rsid w:val="00260C38"/>
    <w:rsid w:val="002616C0"/>
    <w:rsid w:val="00265372"/>
    <w:rsid w:val="002662AA"/>
    <w:rsid w:val="00270E45"/>
    <w:rsid w:val="00280496"/>
    <w:rsid w:val="00294DC9"/>
    <w:rsid w:val="00295495"/>
    <w:rsid w:val="002A0801"/>
    <w:rsid w:val="002A31DE"/>
    <w:rsid w:val="002B2613"/>
    <w:rsid w:val="002D19B0"/>
    <w:rsid w:val="002D6D05"/>
    <w:rsid w:val="002E2334"/>
    <w:rsid w:val="002F1818"/>
    <w:rsid w:val="002F567B"/>
    <w:rsid w:val="003000B7"/>
    <w:rsid w:val="00311B89"/>
    <w:rsid w:val="003216A9"/>
    <w:rsid w:val="00331612"/>
    <w:rsid w:val="00335A74"/>
    <w:rsid w:val="00342A1E"/>
    <w:rsid w:val="003437EB"/>
    <w:rsid w:val="00362626"/>
    <w:rsid w:val="0036561B"/>
    <w:rsid w:val="0037013F"/>
    <w:rsid w:val="00380C92"/>
    <w:rsid w:val="00384A74"/>
    <w:rsid w:val="003A484F"/>
    <w:rsid w:val="003A4883"/>
    <w:rsid w:val="003A66D9"/>
    <w:rsid w:val="003B0BE0"/>
    <w:rsid w:val="003B0C1B"/>
    <w:rsid w:val="003B688C"/>
    <w:rsid w:val="003C0291"/>
    <w:rsid w:val="003C39AE"/>
    <w:rsid w:val="003C7B60"/>
    <w:rsid w:val="003D0C0F"/>
    <w:rsid w:val="003D1FB2"/>
    <w:rsid w:val="003D29A1"/>
    <w:rsid w:val="003D66DA"/>
    <w:rsid w:val="003E1310"/>
    <w:rsid w:val="003E6F55"/>
    <w:rsid w:val="003F6619"/>
    <w:rsid w:val="00406254"/>
    <w:rsid w:val="00416CD4"/>
    <w:rsid w:val="004223DE"/>
    <w:rsid w:val="00434489"/>
    <w:rsid w:val="00437085"/>
    <w:rsid w:val="00443880"/>
    <w:rsid w:val="00446128"/>
    <w:rsid w:val="004464F4"/>
    <w:rsid w:val="00453DD9"/>
    <w:rsid w:val="00471401"/>
    <w:rsid w:val="0047232D"/>
    <w:rsid w:val="00473F31"/>
    <w:rsid w:val="0048263A"/>
    <w:rsid w:val="00487E5D"/>
    <w:rsid w:val="004A711F"/>
    <w:rsid w:val="004A729B"/>
    <w:rsid w:val="004B199D"/>
    <w:rsid w:val="004B4690"/>
    <w:rsid w:val="004E0A2D"/>
    <w:rsid w:val="004E206B"/>
    <w:rsid w:val="004E6DF7"/>
    <w:rsid w:val="004F0FBD"/>
    <w:rsid w:val="004F403E"/>
    <w:rsid w:val="00505A47"/>
    <w:rsid w:val="00512FDA"/>
    <w:rsid w:val="00516749"/>
    <w:rsid w:val="00520DA0"/>
    <w:rsid w:val="0056603F"/>
    <w:rsid w:val="005664BB"/>
    <w:rsid w:val="00566FFA"/>
    <w:rsid w:val="0057481D"/>
    <w:rsid w:val="005750BD"/>
    <w:rsid w:val="00575F0B"/>
    <w:rsid w:val="00576D08"/>
    <w:rsid w:val="0058486E"/>
    <w:rsid w:val="00585B33"/>
    <w:rsid w:val="0059014D"/>
    <w:rsid w:val="005B5C64"/>
    <w:rsid w:val="005C6BD0"/>
    <w:rsid w:val="005C6C4C"/>
    <w:rsid w:val="005D1C8B"/>
    <w:rsid w:val="005D468D"/>
    <w:rsid w:val="005D5CED"/>
    <w:rsid w:val="005F1A4C"/>
    <w:rsid w:val="0060081F"/>
    <w:rsid w:val="00605688"/>
    <w:rsid w:val="006070AF"/>
    <w:rsid w:val="00607E6C"/>
    <w:rsid w:val="006101B1"/>
    <w:rsid w:val="00614E44"/>
    <w:rsid w:val="0062270A"/>
    <w:rsid w:val="00622830"/>
    <w:rsid w:val="00623DA0"/>
    <w:rsid w:val="00630AEF"/>
    <w:rsid w:val="006325F8"/>
    <w:rsid w:val="00633463"/>
    <w:rsid w:val="00634C9A"/>
    <w:rsid w:val="0064328A"/>
    <w:rsid w:val="006440E4"/>
    <w:rsid w:val="0066276E"/>
    <w:rsid w:val="0066343B"/>
    <w:rsid w:val="00664777"/>
    <w:rsid w:val="00664B9D"/>
    <w:rsid w:val="006748A4"/>
    <w:rsid w:val="00675958"/>
    <w:rsid w:val="00681A31"/>
    <w:rsid w:val="00683E73"/>
    <w:rsid w:val="006908B8"/>
    <w:rsid w:val="006A3141"/>
    <w:rsid w:val="006A5E34"/>
    <w:rsid w:val="006B2422"/>
    <w:rsid w:val="006B2B9A"/>
    <w:rsid w:val="006C1937"/>
    <w:rsid w:val="006C629B"/>
    <w:rsid w:val="006E3E9D"/>
    <w:rsid w:val="006F020C"/>
    <w:rsid w:val="006F1623"/>
    <w:rsid w:val="007127B7"/>
    <w:rsid w:val="0071798E"/>
    <w:rsid w:val="00727533"/>
    <w:rsid w:val="007416B6"/>
    <w:rsid w:val="00746F48"/>
    <w:rsid w:val="0075404D"/>
    <w:rsid w:val="0076182A"/>
    <w:rsid w:val="00767B7E"/>
    <w:rsid w:val="00774A42"/>
    <w:rsid w:val="007770C3"/>
    <w:rsid w:val="00784D24"/>
    <w:rsid w:val="00785FBA"/>
    <w:rsid w:val="00786E4A"/>
    <w:rsid w:val="007875EB"/>
    <w:rsid w:val="00793FB4"/>
    <w:rsid w:val="0079426B"/>
    <w:rsid w:val="007D1682"/>
    <w:rsid w:val="007D312A"/>
    <w:rsid w:val="007D3F19"/>
    <w:rsid w:val="007E23B0"/>
    <w:rsid w:val="007F1991"/>
    <w:rsid w:val="007F2C2F"/>
    <w:rsid w:val="007F55FC"/>
    <w:rsid w:val="007F5665"/>
    <w:rsid w:val="00800112"/>
    <w:rsid w:val="00812024"/>
    <w:rsid w:val="00813348"/>
    <w:rsid w:val="008253BB"/>
    <w:rsid w:val="00833962"/>
    <w:rsid w:val="0083706E"/>
    <w:rsid w:val="008400D8"/>
    <w:rsid w:val="008408F6"/>
    <w:rsid w:val="008423A5"/>
    <w:rsid w:val="00850625"/>
    <w:rsid w:val="00853718"/>
    <w:rsid w:val="00855221"/>
    <w:rsid w:val="00856E2B"/>
    <w:rsid w:val="00860645"/>
    <w:rsid w:val="00871F71"/>
    <w:rsid w:val="00872FD8"/>
    <w:rsid w:val="00874D56"/>
    <w:rsid w:val="00885AF4"/>
    <w:rsid w:val="008939CD"/>
    <w:rsid w:val="008942B0"/>
    <w:rsid w:val="008B768C"/>
    <w:rsid w:val="008C4DB1"/>
    <w:rsid w:val="008C4EAF"/>
    <w:rsid w:val="008C5176"/>
    <w:rsid w:val="008C7FD0"/>
    <w:rsid w:val="008D325A"/>
    <w:rsid w:val="008D7AE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2E8E"/>
    <w:rsid w:val="0098660A"/>
    <w:rsid w:val="009931C3"/>
    <w:rsid w:val="009B2C43"/>
    <w:rsid w:val="009B4EAE"/>
    <w:rsid w:val="009B7573"/>
    <w:rsid w:val="009C22F4"/>
    <w:rsid w:val="009C2E98"/>
    <w:rsid w:val="009C37FB"/>
    <w:rsid w:val="009C6156"/>
    <w:rsid w:val="009D3447"/>
    <w:rsid w:val="009D4711"/>
    <w:rsid w:val="009D6643"/>
    <w:rsid w:val="009F1185"/>
    <w:rsid w:val="009F18CD"/>
    <w:rsid w:val="009F2A13"/>
    <w:rsid w:val="009F37C1"/>
    <w:rsid w:val="009F7527"/>
    <w:rsid w:val="00A039ED"/>
    <w:rsid w:val="00A04EB0"/>
    <w:rsid w:val="00A13CC1"/>
    <w:rsid w:val="00A16847"/>
    <w:rsid w:val="00A237D8"/>
    <w:rsid w:val="00A25B4A"/>
    <w:rsid w:val="00A268C4"/>
    <w:rsid w:val="00A307CD"/>
    <w:rsid w:val="00A331C8"/>
    <w:rsid w:val="00A35117"/>
    <w:rsid w:val="00A405ED"/>
    <w:rsid w:val="00A40A00"/>
    <w:rsid w:val="00A4142F"/>
    <w:rsid w:val="00A422EB"/>
    <w:rsid w:val="00A45BB7"/>
    <w:rsid w:val="00A51A5C"/>
    <w:rsid w:val="00A56DF2"/>
    <w:rsid w:val="00A56E6E"/>
    <w:rsid w:val="00A67AB5"/>
    <w:rsid w:val="00A71167"/>
    <w:rsid w:val="00A733B2"/>
    <w:rsid w:val="00A741C2"/>
    <w:rsid w:val="00A91760"/>
    <w:rsid w:val="00A93B00"/>
    <w:rsid w:val="00A93C21"/>
    <w:rsid w:val="00AB64C9"/>
    <w:rsid w:val="00AC3C6A"/>
    <w:rsid w:val="00AD0F83"/>
    <w:rsid w:val="00AD3B4E"/>
    <w:rsid w:val="00AD5620"/>
    <w:rsid w:val="00AD5872"/>
    <w:rsid w:val="00AD656B"/>
    <w:rsid w:val="00AD7C1B"/>
    <w:rsid w:val="00AE16BA"/>
    <w:rsid w:val="00AE1EBE"/>
    <w:rsid w:val="00AF37A0"/>
    <w:rsid w:val="00B03C9D"/>
    <w:rsid w:val="00B060AE"/>
    <w:rsid w:val="00B10496"/>
    <w:rsid w:val="00B10517"/>
    <w:rsid w:val="00B14E76"/>
    <w:rsid w:val="00B161B8"/>
    <w:rsid w:val="00B2048C"/>
    <w:rsid w:val="00B26C86"/>
    <w:rsid w:val="00B310B9"/>
    <w:rsid w:val="00B319C5"/>
    <w:rsid w:val="00B35F3F"/>
    <w:rsid w:val="00B36CBB"/>
    <w:rsid w:val="00B425E0"/>
    <w:rsid w:val="00B440AA"/>
    <w:rsid w:val="00B44B70"/>
    <w:rsid w:val="00B53C56"/>
    <w:rsid w:val="00B53FB9"/>
    <w:rsid w:val="00B57DAF"/>
    <w:rsid w:val="00B77EA6"/>
    <w:rsid w:val="00B81598"/>
    <w:rsid w:val="00B841F1"/>
    <w:rsid w:val="00B944D6"/>
    <w:rsid w:val="00BB1B62"/>
    <w:rsid w:val="00BB4DF0"/>
    <w:rsid w:val="00BC289F"/>
    <w:rsid w:val="00BC2D50"/>
    <w:rsid w:val="00BC5361"/>
    <w:rsid w:val="00BC5460"/>
    <w:rsid w:val="00BC6B50"/>
    <w:rsid w:val="00BD0E25"/>
    <w:rsid w:val="00BE2AF9"/>
    <w:rsid w:val="00BE4227"/>
    <w:rsid w:val="00BF365B"/>
    <w:rsid w:val="00BF4D9D"/>
    <w:rsid w:val="00BF5BD6"/>
    <w:rsid w:val="00C03E31"/>
    <w:rsid w:val="00C1067A"/>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0278"/>
    <w:rsid w:val="00CD1E3F"/>
    <w:rsid w:val="00CE44F6"/>
    <w:rsid w:val="00CE49DA"/>
    <w:rsid w:val="00CE7B61"/>
    <w:rsid w:val="00D00095"/>
    <w:rsid w:val="00D025D6"/>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06C0"/>
    <w:rsid w:val="00DB1913"/>
    <w:rsid w:val="00DC410D"/>
    <w:rsid w:val="00DC5A81"/>
    <w:rsid w:val="00DC68CA"/>
    <w:rsid w:val="00DC7CBA"/>
    <w:rsid w:val="00DD5979"/>
    <w:rsid w:val="00DD73B7"/>
    <w:rsid w:val="00DF28BC"/>
    <w:rsid w:val="00DF34B9"/>
    <w:rsid w:val="00DF7548"/>
    <w:rsid w:val="00E01053"/>
    <w:rsid w:val="00E07ACF"/>
    <w:rsid w:val="00E331A1"/>
    <w:rsid w:val="00E33202"/>
    <w:rsid w:val="00E336A9"/>
    <w:rsid w:val="00E362AC"/>
    <w:rsid w:val="00E472B1"/>
    <w:rsid w:val="00E50624"/>
    <w:rsid w:val="00E527A4"/>
    <w:rsid w:val="00E568DF"/>
    <w:rsid w:val="00E64269"/>
    <w:rsid w:val="00E66797"/>
    <w:rsid w:val="00E82267"/>
    <w:rsid w:val="00E853CE"/>
    <w:rsid w:val="00E867B6"/>
    <w:rsid w:val="00E87F08"/>
    <w:rsid w:val="00E97E5A"/>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47987"/>
    <w:rsid w:val="00F602DF"/>
    <w:rsid w:val="00F754A1"/>
    <w:rsid w:val="00F77E72"/>
    <w:rsid w:val="00F81FD9"/>
    <w:rsid w:val="00F841AA"/>
    <w:rsid w:val="00F84A94"/>
    <w:rsid w:val="00F85304"/>
    <w:rsid w:val="00F87E96"/>
    <w:rsid w:val="00FA23E8"/>
    <w:rsid w:val="00FD3CC1"/>
    <w:rsid w:val="00FE0427"/>
    <w:rsid w:val="00FE2DB5"/>
    <w:rsid w:val="00FF1E02"/>
    <w:rsid w:val="00FF30B4"/>
    <w:rsid w:val="0345433E"/>
    <w:rsid w:val="06DF61FB"/>
    <w:rsid w:val="07D2354D"/>
    <w:rsid w:val="0F842AC3"/>
    <w:rsid w:val="106811BD"/>
    <w:rsid w:val="10C055FF"/>
    <w:rsid w:val="123461D2"/>
    <w:rsid w:val="16BB723D"/>
    <w:rsid w:val="177F2F20"/>
    <w:rsid w:val="19A46DBD"/>
    <w:rsid w:val="19F2215F"/>
    <w:rsid w:val="1BEA0A8B"/>
    <w:rsid w:val="1EDD2A7A"/>
    <w:rsid w:val="1EFE5A1D"/>
    <w:rsid w:val="210D262C"/>
    <w:rsid w:val="229A197A"/>
    <w:rsid w:val="240371BF"/>
    <w:rsid w:val="26C01245"/>
    <w:rsid w:val="27253542"/>
    <w:rsid w:val="29FD04D3"/>
    <w:rsid w:val="2A6F2CD7"/>
    <w:rsid w:val="2E225CED"/>
    <w:rsid w:val="2E824AFB"/>
    <w:rsid w:val="305506F4"/>
    <w:rsid w:val="319F7F4E"/>
    <w:rsid w:val="36E95CAF"/>
    <w:rsid w:val="393C0C03"/>
    <w:rsid w:val="3C9F4E8C"/>
    <w:rsid w:val="3DC731A7"/>
    <w:rsid w:val="3F545F62"/>
    <w:rsid w:val="3FB831D9"/>
    <w:rsid w:val="40931AE2"/>
    <w:rsid w:val="425C7BF2"/>
    <w:rsid w:val="4539718F"/>
    <w:rsid w:val="48D83531"/>
    <w:rsid w:val="4A3C6703"/>
    <w:rsid w:val="4B1931D8"/>
    <w:rsid w:val="4ECE2238"/>
    <w:rsid w:val="576D60FD"/>
    <w:rsid w:val="579C706F"/>
    <w:rsid w:val="57A70DE1"/>
    <w:rsid w:val="65A60463"/>
    <w:rsid w:val="68081ED4"/>
    <w:rsid w:val="6B186654"/>
    <w:rsid w:val="6CD23813"/>
    <w:rsid w:val="6D635D72"/>
    <w:rsid w:val="71DA6D13"/>
    <w:rsid w:val="72734D90"/>
    <w:rsid w:val="79E7551A"/>
    <w:rsid w:val="7A751921"/>
    <w:rsid w:val="7C146F3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0"/>
    <w:qFormat/>
    <w:uiPriority w:val="99"/>
    <w:pPr>
      <w:keepNext/>
      <w:keepLines/>
      <w:spacing w:before="260" w:after="260" w:line="416" w:lineRule="auto"/>
      <w:outlineLvl w:val="2"/>
    </w:pPr>
    <w:rPr>
      <w:b/>
      <w:bCs/>
      <w:sz w:val="32"/>
      <w:szCs w:val="32"/>
    </w:rPr>
  </w:style>
  <w:style w:type="character" w:default="1" w:styleId="15">
    <w:name w:val="Default Paragraph Font"/>
    <w:semiHidden/>
    <w:qFormat/>
    <w:uiPriority w:val="99"/>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7"/>
    <w:qFormat/>
    <w:uiPriority w:val="99"/>
    <w:pPr>
      <w:spacing w:beforeLines="30"/>
    </w:pPr>
    <w:rPr>
      <w:rFonts w:ascii="仿宋_GB2312" w:eastAsia="仿宋_GB2312"/>
      <w:kern w:val="0"/>
      <w:sz w:val="24"/>
      <w:szCs w:val="20"/>
    </w:rPr>
  </w:style>
  <w:style w:type="paragraph" w:styleId="6">
    <w:name w:val="Body Text Indent"/>
    <w:basedOn w:val="1"/>
    <w:semiHidden/>
    <w:unhideWhenUsed/>
    <w:qFormat/>
    <w:uiPriority w:val="99"/>
    <w:pPr>
      <w:spacing w:after="120"/>
      <w:ind w:left="420" w:leftChars="200"/>
    </w:pPr>
  </w:style>
  <w:style w:type="paragraph" w:styleId="7">
    <w:name w:val="toc 3"/>
    <w:basedOn w:val="1"/>
    <w:next w:val="1"/>
    <w:qFormat/>
    <w:uiPriority w:val="99"/>
    <w:pPr>
      <w:tabs>
        <w:tab w:val="right" w:leader="dot" w:pos="8296"/>
      </w:tabs>
      <w:ind w:left="840" w:leftChars="400"/>
    </w:pPr>
  </w:style>
  <w:style w:type="paragraph" w:styleId="8">
    <w:name w:val="Balloon Text"/>
    <w:basedOn w:val="1"/>
    <w:link w:val="22"/>
    <w:qFormat/>
    <w:uiPriority w:val="99"/>
    <w:rPr>
      <w:sz w:val="18"/>
      <w:szCs w:val="18"/>
    </w:rPr>
  </w:style>
  <w:style w:type="paragraph" w:styleId="9">
    <w:name w:val="footer"/>
    <w:basedOn w:val="1"/>
    <w:link w:val="26"/>
    <w:qFormat/>
    <w:uiPriority w:val="99"/>
    <w:pPr>
      <w:tabs>
        <w:tab w:val="center" w:pos="4153"/>
        <w:tab w:val="right" w:pos="8306"/>
      </w:tabs>
      <w:snapToGrid w:val="0"/>
      <w:jc w:val="left"/>
    </w:pPr>
    <w:rPr>
      <w:kern w:val="0"/>
      <w:sz w:val="18"/>
      <w:szCs w:val="20"/>
    </w:rPr>
  </w:style>
  <w:style w:type="paragraph" w:styleId="10">
    <w:name w:val="header"/>
    <w:basedOn w:val="1"/>
    <w:link w:val="25"/>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11">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2">
    <w:name w:val="toc 2"/>
    <w:basedOn w:val="1"/>
    <w:next w:val="1"/>
    <w:qFormat/>
    <w:uiPriority w:val="99"/>
    <w:pPr>
      <w:tabs>
        <w:tab w:val="right" w:leader="dot" w:pos="8296"/>
      </w:tabs>
      <w:ind w:left="420" w:leftChars="200"/>
    </w:pPr>
  </w:style>
  <w:style w:type="paragraph" w:styleId="13">
    <w:name w:val="Body Text First Indent 2"/>
    <w:basedOn w:val="6"/>
    <w:semiHidden/>
    <w:unhideWhenUsed/>
    <w:qFormat/>
    <w:uiPriority w:val="99"/>
    <w:pPr>
      <w:ind w:firstLine="420" w:firstLineChars="200"/>
    </w:pPr>
  </w:style>
  <w:style w:type="character" w:styleId="16">
    <w:name w:val="Strong"/>
    <w:basedOn w:val="15"/>
    <w:qFormat/>
    <w:uiPriority w:val="99"/>
    <w:rPr>
      <w:rFonts w:cs="Times New Roman"/>
      <w:b/>
    </w:rPr>
  </w:style>
  <w:style w:type="character" w:styleId="17">
    <w:name w:val="Hyperlink"/>
    <w:basedOn w:val="15"/>
    <w:qFormat/>
    <w:uiPriority w:val="99"/>
    <w:rPr>
      <w:rFonts w:cs="Times New Roman"/>
      <w:color w:val="0000FF"/>
      <w:u w:val="single"/>
    </w:rPr>
  </w:style>
  <w:style w:type="character" w:customStyle="1" w:styleId="18">
    <w:name w:val="Heading 1 Char"/>
    <w:basedOn w:val="15"/>
    <w:link w:val="2"/>
    <w:qFormat/>
    <w:locked/>
    <w:uiPriority w:val="99"/>
    <w:rPr>
      <w:rFonts w:ascii="Times New Roman" w:hAnsi="Times New Roman" w:cs="Times New Roman"/>
      <w:b/>
      <w:bCs/>
      <w:kern w:val="44"/>
      <w:sz w:val="44"/>
      <w:szCs w:val="44"/>
    </w:rPr>
  </w:style>
  <w:style w:type="character" w:customStyle="1" w:styleId="19">
    <w:name w:val="Heading 2 Char"/>
    <w:basedOn w:val="15"/>
    <w:link w:val="3"/>
    <w:qFormat/>
    <w:locked/>
    <w:uiPriority w:val="99"/>
    <w:rPr>
      <w:rFonts w:ascii="Cambria" w:hAnsi="Cambria" w:eastAsia="宋体" w:cs="Times New Roman"/>
      <w:b/>
      <w:bCs/>
      <w:kern w:val="2"/>
      <w:sz w:val="32"/>
      <w:szCs w:val="32"/>
    </w:rPr>
  </w:style>
  <w:style w:type="character" w:customStyle="1" w:styleId="20">
    <w:name w:val="Heading 3 Char"/>
    <w:basedOn w:val="15"/>
    <w:link w:val="4"/>
    <w:qFormat/>
    <w:locked/>
    <w:uiPriority w:val="99"/>
    <w:rPr>
      <w:rFonts w:ascii="Times New Roman" w:hAnsi="Times New Roman" w:cs="Times New Roman"/>
      <w:b/>
      <w:bCs/>
      <w:kern w:val="2"/>
      <w:sz w:val="32"/>
      <w:szCs w:val="32"/>
    </w:rPr>
  </w:style>
  <w:style w:type="character" w:customStyle="1" w:styleId="21">
    <w:name w:val="Body Text Char"/>
    <w:basedOn w:val="15"/>
    <w:link w:val="5"/>
    <w:semiHidden/>
    <w:qFormat/>
    <w:uiPriority w:val="99"/>
    <w:rPr>
      <w:rFonts w:ascii="Times New Roman" w:hAnsi="Times New Roman" w:cs="Times New Roman"/>
      <w:sz w:val="24"/>
      <w:szCs w:val="24"/>
    </w:rPr>
  </w:style>
  <w:style w:type="character" w:customStyle="1" w:styleId="22">
    <w:name w:val="Balloon Text Char"/>
    <w:basedOn w:val="15"/>
    <w:link w:val="8"/>
    <w:semiHidden/>
    <w:qFormat/>
    <w:locked/>
    <w:uiPriority w:val="99"/>
    <w:rPr>
      <w:rFonts w:ascii="Times New Roman" w:hAnsi="Times New Roman" w:cs="Times New Roman"/>
      <w:kern w:val="2"/>
      <w:sz w:val="18"/>
      <w:szCs w:val="18"/>
    </w:rPr>
  </w:style>
  <w:style w:type="character" w:customStyle="1" w:styleId="23">
    <w:name w:val="Footer Char"/>
    <w:basedOn w:val="15"/>
    <w:link w:val="9"/>
    <w:semiHidden/>
    <w:qFormat/>
    <w:uiPriority w:val="99"/>
    <w:rPr>
      <w:rFonts w:ascii="Times New Roman" w:hAnsi="Times New Roman" w:cs="Times New Roman"/>
      <w:sz w:val="18"/>
      <w:szCs w:val="18"/>
    </w:rPr>
  </w:style>
  <w:style w:type="character" w:customStyle="1" w:styleId="24">
    <w:name w:val="Header Char"/>
    <w:basedOn w:val="15"/>
    <w:link w:val="10"/>
    <w:semiHidden/>
    <w:qFormat/>
    <w:uiPriority w:val="99"/>
    <w:rPr>
      <w:rFonts w:ascii="Times New Roman" w:hAnsi="Times New Roman" w:cs="Times New Roman"/>
      <w:sz w:val="18"/>
      <w:szCs w:val="18"/>
    </w:rPr>
  </w:style>
  <w:style w:type="character" w:customStyle="1" w:styleId="25">
    <w:name w:val="Header Char1"/>
    <w:link w:val="10"/>
    <w:semiHidden/>
    <w:qFormat/>
    <w:locked/>
    <w:uiPriority w:val="99"/>
    <w:rPr>
      <w:sz w:val="18"/>
    </w:rPr>
  </w:style>
  <w:style w:type="character" w:customStyle="1" w:styleId="26">
    <w:name w:val="Footer Char1"/>
    <w:link w:val="9"/>
    <w:qFormat/>
    <w:locked/>
    <w:uiPriority w:val="99"/>
    <w:rPr>
      <w:sz w:val="18"/>
    </w:rPr>
  </w:style>
  <w:style w:type="character" w:customStyle="1" w:styleId="27">
    <w:name w:val="Body Text Char1"/>
    <w:link w:val="5"/>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29">
    <w:name w:val="List Paragraph1"/>
    <w:basedOn w:val="1"/>
    <w:qFormat/>
    <w:uiPriority w:val="99"/>
    <w:pPr>
      <w:ind w:firstLine="420" w:firstLineChars="200"/>
    </w:pPr>
  </w:style>
  <w:style w:type="paragraph" w:customStyle="1" w:styleId="30">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1">
    <w:name w:val="TOC 标题2"/>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2">
    <w:name w:val="p15"/>
    <w:basedOn w:val="1"/>
    <w:qFormat/>
    <w:uiPriority w:val="99"/>
    <w:pPr>
      <w:widowControl/>
    </w:pPr>
    <w:rPr>
      <w:kern w:val="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18</Pages>
  <Words>910</Words>
  <Characters>5189</Characters>
  <Lines>0</Lines>
  <Paragraphs>0</Paragraphs>
  <TotalTime>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2020-07-23T02:58:00Z</cp:lastPrinted>
  <dcterms:modified xsi:type="dcterms:W3CDTF">2020-11-11T09:21:40Z</dcterms:modified>
  <dc:title>四川省***</dc:title>
  <cp:revision>152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