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outlineLvl w:val="0"/>
        <w:rPr>
          <w:rFonts w:ascii="仿宋_GB2312" w:hAnsi="宋体" w:eastAsia="仿宋_GB2312"/>
          <w:color w:val="000000"/>
          <w:sz w:val="72"/>
          <w:szCs w:val="72"/>
        </w:rPr>
      </w:pPr>
      <w:bookmarkStart w:id="0" w:name="_Toc15306267"/>
    </w:p>
    <w:p>
      <w:pPr>
        <w:spacing w:line="570" w:lineRule="exact"/>
        <w:outlineLvl w:val="0"/>
        <w:rPr>
          <w:rFonts w:ascii="仿宋_GB2312" w:hAnsi="宋体" w:eastAsia="仿宋_GB2312"/>
          <w:color w:val="000000"/>
          <w:sz w:val="72"/>
          <w:szCs w:val="72"/>
        </w:rPr>
      </w:pPr>
    </w:p>
    <w:p>
      <w:pPr>
        <w:spacing w:line="570" w:lineRule="exact"/>
        <w:jc w:val="center"/>
        <w:outlineLvl w:val="0"/>
        <w:rPr>
          <w:rFonts w:ascii="仿宋_GB2312" w:hAnsi="宋体" w:eastAsia="仿宋_GB2312"/>
          <w:color w:val="000000"/>
          <w:sz w:val="72"/>
          <w:szCs w:val="72"/>
        </w:rPr>
      </w:pPr>
    </w:p>
    <w:p>
      <w:pPr>
        <w:spacing w:line="570" w:lineRule="exact"/>
        <w:jc w:val="center"/>
        <w:outlineLvl w:val="0"/>
        <w:rPr>
          <w:rFonts w:ascii="仿宋_GB2312" w:hAnsi="宋体" w:eastAsia="仿宋_GB2312"/>
          <w:color w:val="000000"/>
          <w:sz w:val="72"/>
          <w:szCs w:val="72"/>
        </w:rPr>
      </w:pPr>
    </w:p>
    <w:p>
      <w:pPr>
        <w:adjustRightInd w:val="0"/>
        <w:snapToGrid w:val="0"/>
        <w:spacing w:line="570" w:lineRule="exact"/>
        <w:jc w:val="center"/>
        <w:outlineLvl w:val="0"/>
        <w:rPr>
          <w:rFonts w:ascii="仿宋_GB2312" w:hAnsi="黑体" w:eastAsia="仿宋_GB2312"/>
          <w:color w:val="000000"/>
          <w:sz w:val="72"/>
          <w:szCs w:val="72"/>
        </w:rPr>
      </w:pPr>
      <w:bookmarkStart w:id="1" w:name="_Toc15396597"/>
      <w:bookmarkStart w:id="2" w:name="_Toc15396475"/>
      <w:bookmarkStart w:id="3" w:name="_Toc15378441"/>
      <w:bookmarkStart w:id="4" w:name="_Toc15377193"/>
      <w:bookmarkStart w:id="5" w:name="_Toc15377425"/>
    </w:p>
    <w:p>
      <w:pPr>
        <w:adjustRightInd w:val="0"/>
        <w:snapToGrid w:val="0"/>
        <w:spacing w:line="570" w:lineRule="exact"/>
        <w:jc w:val="center"/>
        <w:outlineLvl w:val="0"/>
        <w:rPr>
          <w:rFonts w:ascii="仿宋_GB2312" w:hAnsi="黑体" w:eastAsia="仿宋_GB2312"/>
          <w:color w:val="000000"/>
          <w:sz w:val="72"/>
          <w:szCs w:val="72"/>
        </w:rPr>
      </w:pPr>
    </w:p>
    <w:p>
      <w:pPr>
        <w:adjustRightInd w:val="0"/>
        <w:snapToGrid w:val="0"/>
        <w:spacing w:line="570" w:lineRule="exact"/>
        <w:jc w:val="center"/>
        <w:outlineLvl w:val="0"/>
        <w:rPr>
          <w:rFonts w:ascii="仿宋_GB2312" w:hAnsi="黑体" w:eastAsia="仿宋_GB2312"/>
          <w:color w:val="000000"/>
          <w:sz w:val="72"/>
          <w:szCs w:val="72"/>
        </w:rPr>
      </w:pPr>
    </w:p>
    <w:p>
      <w:pPr>
        <w:adjustRightInd w:val="0"/>
        <w:snapToGrid w:val="0"/>
        <w:spacing w:line="740" w:lineRule="exact"/>
        <w:jc w:val="center"/>
        <w:outlineLvl w:val="0"/>
        <w:rPr>
          <w:rFonts w:ascii="仿宋_GB2312" w:hAnsi="宋体" w:eastAsia="仿宋_GB2312"/>
          <w:color w:val="000000"/>
          <w:sz w:val="72"/>
          <w:szCs w:val="72"/>
        </w:rPr>
      </w:pPr>
      <w:r>
        <w:rPr>
          <w:rFonts w:hint="eastAsia" w:ascii="仿宋_GB2312" w:hAnsi="黑体" w:eastAsia="仿宋_GB2312"/>
          <w:color w:val="000000"/>
          <w:sz w:val="72"/>
          <w:szCs w:val="72"/>
        </w:rPr>
        <w:t>2019</w:t>
      </w:r>
      <w:r>
        <w:rPr>
          <w:rFonts w:hint="eastAsia" w:ascii="仿宋_GB2312" w:hAnsi="宋体" w:eastAsia="仿宋_GB2312"/>
          <w:color w:val="000000"/>
          <w:sz w:val="72"/>
          <w:szCs w:val="72"/>
        </w:rPr>
        <w:t>年度</w:t>
      </w:r>
      <w:bookmarkEnd w:id="1"/>
      <w:bookmarkEnd w:id="2"/>
      <w:bookmarkEnd w:id="3"/>
      <w:bookmarkEnd w:id="4"/>
      <w:bookmarkEnd w:id="5"/>
    </w:p>
    <w:p>
      <w:pPr>
        <w:adjustRightInd w:val="0"/>
        <w:snapToGrid w:val="0"/>
        <w:spacing w:line="740" w:lineRule="exact"/>
        <w:jc w:val="center"/>
        <w:outlineLvl w:val="0"/>
        <w:rPr>
          <w:rFonts w:ascii="仿宋_GB2312" w:hAnsi="宋体" w:eastAsia="仿宋_GB2312"/>
          <w:color w:val="000000"/>
          <w:sz w:val="72"/>
          <w:szCs w:val="72"/>
        </w:rPr>
      </w:pPr>
      <w:bookmarkStart w:id="6" w:name="_Toc15377426"/>
      <w:bookmarkStart w:id="7" w:name="_Toc15377194"/>
      <w:bookmarkStart w:id="8" w:name="_Toc15396476"/>
      <w:bookmarkStart w:id="9" w:name="_Toc15396598"/>
      <w:bookmarkStart w:id="10" w:name="_Toc15378442"/>
      <w:r>
        <w:rPr>
          <w:rFonts w:hint="eastAsia" w:ascii="仿宋_GB2312" w:hAnsi="宋体" w:eastAsia="仿宋_GB2312"/>
          <w:color w:val="000000"/>
          <w:sz w:val="72"/>
          <w:szCs w:val="72"/>
        </w:rPr>
        <w:t>四川省阿坝州红原县</w:t>
      </w:r>
      <w:bookmarkEnd w:id="0"/>
      <w:bookmarkStart w:id="11" w:name="_Toc15306268"/>
      <w:r>
        <w:rPr>
          <w:rFonts w:hint="eastAsia" w:ascii="仿宋_GB2312" w:hAnsi="宋体" w:eastAsia="仿宋_GB2312"/>
          <w:color w:val="000000"/>
          <w:sz w:val="72"/>
          <w:szCs w:val="72"/>
        </w:rPr>
        <w:t>文化体育和旅游局部门决算</w:t>
      </w:r>
      <w:bookmarkEnd w:id="6"/>
      <w:bookmarkEnd w:id="7"/>
      <w:bookmarkEnd w:id="8"/>
      <w:bookmarkEnd w:id="9"/>
      <w:bookmarkEnd w:id="10"/>
      <w:bookmarkEnd w:id="11"/>
    </w:p>
    <w:p>
      <w:pPr>
        <w:widowControl/>
        <w:spacing w:line="570" w:lineRule="exact"/>
        <w:jc w:val="center"/>
        <w:rPr>
          <w:rFonts w:ascii="仿宋_GB2312" w:hAnsi="宋体" w:eastAsia="仿宋_GB2312"/>
          <w:color w:val="000000"/>
          <w:sz w:val="36"/>
          <w:szCs w:val="36"/>
        </w:rPr>
      </w:pPr>
    </w:p>
    <w:p>
      <w:pPr>
        <w:spacing w:line="570" w:lineRule="exact"/>
        <w:rPr>
          <w:rFonts w:ascii="仿宋_GB2312" w:hAnsi="宋体" w:eastAsia="仿宋_GB2312"/>
          <w:sz w:val="36"/>
          <w:szCs w:val="36"/>
        </w:rPr>
      </w:pPr>
    </w:p>
    <w:p>
      <w:pPr>
        <w:spacing w:line="570" w:lineRule="exact"/>
        <w:rPr>
          <w:rFonts w:ascii="仿宋_GB2312" w:hAnsi="宋体" w:eastAsia="仿宋_GB2312"/>
          <w:sz w:val="36"/>
          <w:szCs w:val="36"/>
        </w:rPr>
      </w:pPr>
    </w:p>
    <w:p>
      <w:pPr>
        <w:spacing w:line="570" w:lineRule="exact"/>
        <w:rPr>
          <w:rFonts w:ascii="仿宋_GB2312" w:hAnsi="宋体" w:eastAsia="仿宋_GB2312"/>
          <w:sz w:val="36"/>
          <w:szCs w:val="36"/>
        </w:rPr>
      </w:pPr>
    </w:p>
    <w:p>
      <w:pPr>
        <w:spacing w:line="570" w:lineRule="exact"/>
        <w:rPr>
          <w:rFonts w:ascii="仿宋_GB2312" w:hAnsi="宋体" w:eastAsia="仿宋_GB2312"/>
          <w:sz w:val="36"/>
          <w:szCs w:val="36"/>
        </w:rPr>
      </w:pPr>
    </w:p>
    <w:p>
      <w:pPr>
        <w:widowControl/>
        <w:spacing w:line="570" w:lineRule="exact"/>
        <w:jc w:val="center"/>
        <w:rPr>
          <w:rFonts w:ascii="仿宋_GB2312" w:hAnsi="黑体" w:eastAsia="仿宋_GB2312"/>
          <w:color w:val="000000"/>
          <w:sz w:val="48"/>
          <w:szCs w:val="48"/>
        </w:rPr>
      </w:pPr>
      <w:r>
        <w:rPr>
          <w:rFonts w:hint="eastAsia" w:ascii="仿宋_GB2312" w:hAnsi="宋体" w:eastAsia="仿宋_GB2312"/>
          <w:sz w:val="36"/>
          <w:szCs w:val="36"/>
        </w:rPr>
        <w:br w:type="page"/>
      </w:r>
      <w:r>
        <w:rPr>
          <w:rFonts w:hint="eastAsia" w:ascii="仿宋_GB2312" w:hAnsi="黑体" w:eastAsia="仿宋_GB2312"/>
          <w:color w:val="000000"/>
          <w:sz w:val="48"/>
          <w:szCs w:val="48"/>
        </w:rPr>
        <w:t>目录</w:t>
      </w:r>
    </w:p>
    <w:p>
      <w:pPr>
        <w:widowControl/>
        <w:spacing w:line="570" w:lineRule="exact"/>
        <w:jc w:val="center"/>
        <w:rPr>
          <w:rFonts w:ascii="仿宋_GB2312" w:hAnsi="黑体" w:eastAsia="仿宋_GB2312" w:cstheme="minorBidi"/>
          <w:sz w:val="28"/>
          <w:szCs w:val="28"/>
        </w:rPr>
      </w:pPr>
    </w:p>
    <w:p>
      <w:pPr>
        <w:spacing w:line="570" w:lineRule="exact"/>
        <w:rPr>
          <w:rFonts w:ascii="仿宋_GB2312" w:eastAsia="仿宋_GB2312"/>
        </w:rPr>
      </w:pPr>
      <w:bookmarkStart w:id="66" w:name="_GoBack"/>
      <w:bookmarkEnd w:id="66"/>
    </w:p>
    <w:p>
      <w:pPr>
        <w:pStyle w:val="11"/>
        <w:adjustRightInd w:val="0"/>
        <w:snapToGrid w:val="0"/>
        <w:spacing w:before="0" w:line="570" w:lineRule="exact"/>
        <w:jc w:val="left"/>
        <w:rPr>
          <w:rFonts w:ascii="仿宋_GB2312" w:eastAsia="仿宋_GB2312" w:cstheme="minorBidi"/>
          <w:sz w:val="24"/>
          <w:szCs w:val="24"/>
        </w:rPr>
      </w:pPr>
      <w:r>
        <w:rPr>
          <w:rFonts w:hint="eastAsia" w:ascii="仿宋_GB2312" w:eastAsia="仿宋_GB2312"/>
          <w:sz w:val="24"/>
        </w:rPr>
        <w:t>第一部分 部门概况</w:t>
      </w:r>
    </w:p>
    <w:p>
      <w:pPr>
        <w:pStyle w:val="12"/>
        <w:adjustRightInd w:val="0"/>
        <w:snapToGrid w:val="0"/>
        <w:spacing w:line="570" w:lineRule="exact"/>
        <w:jc w:val="left"/>
        <w:rPr>
          <w:rFonts w:hint="default" w:ascii="仿宋_GB2312" w:hAnsi="仿宋" w:eastAsia="仿宋_GB2312"/>
          <w:sz w:val="24"/>
          <w:lang w:val="en-US" w:eastAsia="zh-CN"/>
        </w:rPr>
      </w:pPr>
      <w:r>
        <w:rPr>
          <w:rFonts w:hint="eastAsia" w:ascii="仿宋_GB2312" w:eastAsia="仿宋_GB2312"/>
          <w:sz w:val="24"/>
        </w:rPr>
        <w:t>一、基本职能及主要工作</w:t>
      </w:r>
      <w:r>
        <w:rPr>
          <w:rFonts w:hint="eastAsia" w:ascii="仿宋_GB2312" w:eastAsia="仿宋_GB2312"/>
          <w:sz w:val="24"/>
          <w:lang w:val="en-US" w:eastAsia="zh-CN"/>
        </w:rPr>
        <w:t>........................................4</w:t>
      </w:r>
    </w:p>
    <w:p>
      <w:pPr>
        <w:pStyle w:val="12"/>
        <w:adjustRightInd w:val="0"/>
        <w:snapToGrid w:val="0"/>
        <w:spacing w:line="570" w:lineRule="exact"/>
        <w:jc w:val="left"/>
        <w:rPr>
          <w:rFonts w:hint="default" w:ascii="仿宋_GB2312" w:hAnsi="仿宋" w:eastAsia="仿宋_GB2312" w:cstheme="minorBidi"/>
          <w:sz w:val="24"/>
          <w:lang w:val="en-US" w:eastAsia="zh-CN"/>
        </w:rPr>
      </w:pPr>
      <w:r>
        <w:rPr>
          <w:rFonts w:hint="eastAsia" w:ascii="仿宋_GB2312" w:eastAsia="仿宋_GB2312"/>
          <w:sz w:val="24"/>
        </w:rPr>
        <w:t>二、机构设置</w:t>
      </w:r>
      <w:r>
        <w:rPr>
          <w:rFonts w:hint="eastAsia" w:ascii="仿宋_GB2312" w:eastAsia="仿宋_GB2312"/>
          <w:sz w:val="24"/>
          <w:lang w:val="en-US" w:eastAsia="zh-CN"/>
        </w:rPr>
        <w:t>.................................................12</w:t>
      </w:r>
    </w:p>
    <w:p>
      <w:pPr>
        <w:pStyle w:val="11"/>
        <w:adjustRightInd w:val="0"/>
        <w:snapToGrid w:val="0"/>
        <w:spacing w:before="0" w:line="570" w:lineRule="exact"/>
        <w:jc w:val="left"/>
        <w:rPr>
          <w:rFonts w:ascii="仿宋_GB2312" w:eastAsia="仿宋_GB2312"/>
          <w:sz w:val="24"/>
          <w:szCs w:val="24"/>
        </w:rPr>
      </w:pPr>
      <w:r>
        <w:rPr>
          <w:rFonts w:hint="eastAsia" w:ascii="仿宋_GB2312" w:eastAsia="仿宋_GB2312"/>
          <w:sz w:val="24"/>
        </w:rPr>
        <w:t>第二部分度部门决算情况说明</w:t>
      </w:r>
    </w:p>
    <w:p>
      <w:pPr>
        <w:pStyle w:val="12"/>
        <w:adjustRightInd w:val="0"/>
        <w:snapToGrid w:val="0"/>
        <w:spacing w:line="570" w:lineRule="exact"/>
        <w:jc w:val="left"/>
        <w:rPr>
          <w:rFonts w:hint="default" w:ascii="仿宋_GB2312" w:hAnsi="仿宋" w:eastAsia="仿宋_GB2312" w:cstheme="minorBidi"/>
          <w:sz w:val="24"/>
          <w:lang w:val="en-US" w:eastAsia="zh-CN"/>
        </w:rPr>
      </w:pPr>
      <w:r>
        <w:rPr>
          <w:rFonts w:hint="eastAsia" w:ascii="仿宋_GB2312" w:eastAsia="仿宋_GB2312"/>
          <w:sz w:val="24"/>
        </w:rPr>
        <w:t>一、收入支出决算总体情况说明</w:t>
      </w:r>
      <w:r>
        <w:rPr>
          <w:rFonts w:hint="eastAsia" w:ascii="仿宋_GB2312" w:eastAsia="仿宋_GB2312"/>
          <w:sz w:val="24"/>
          <w:lang w:val="en-US" w:eastAsia="zh-CN"/>
        </w:rPr>
        <w:t>.................................13</w:t>
      </w:r>
    </w:p>
    <w:p>
      <w:pPr>
        <w:pStyle w:val="12"/>
        <w:adjustRightInd w:val="0"/>
        <w:snapToGrid w:val="0"/>
        <w:spacing w:line="570" w:lineRule="exact"/>
        <w:jc w:val="left"/>
        <w:rPr>
          <w:rFonts w:hint="default" w:ascii="仿宋_GB2312" w:hAnsi="仿宋" w:eastAsia="仿宋_GB2312" w:cstheme="minorBidi"/>
          <w:sz w:val="24"/>
          <w:lang w:val="en-US" w:eastAsia="zh-CN"/>
        </w:rPr>
      </w:pPr>
      <w:r>
        <w:rPr>
          <w:rFonts w:hint="eastAsia" w:ascii="仿宋_GB2312" w:eastAsia="仿宋_GB2312"/>
          <w:sz w:val="24"/>
        </w:rPr>
        <w:t>二、收入决算情况说明</w:t>
      </w:r>
      <w:r>
        <w:rPr>
          <w:rFonts w:hint="eastAsia" w:ascii="仿宋_GB2312" w:eastAsia="仿宋_GB2312"/>
          <w:sz w:val="24"/>
          <w:lang w:val="en-US" w:eastAsia="zh-CN"/>
        </w:rPr>
        <w:t>.........................................13</w:t>
      </w:r>
    </w:p>
    <w:p>
      <w:pPr>
        <w:pStyle w:val="12"/>
        <w:adjustRightInd w:val="0"/>
        <w:snapToGrid w:val="0"/>
        <w:spacing w:line="570" w:lineRule="exact"/>
        <w:jc w:val="left"/>
        <w:rPr>
          <w:rFonts w:hint="default" w:ascii="仿宋_GB2312" w:hAnsi="仿宋" w:eastAsia="仿宋_GB2312" w:cstheme="minorBidi"/>
          <w:sz w:val="24"/>
          <w:lang w:val="en-US" w:eastAsia="zh-CN"/>
        </w:rPr>
      </w:pPr>
      <w:r>
        <w:rPr>
          <w:rFonts w:hint="eastAsia" w:ascii="仿宋_GB2312" w:eastAsia="仿宋_GB2312"/>
          <w:sz w:val="24"/>
        </w:rPr>
        <w:t>三、支出决算情况说明</w:t>
      </w:r>
      <w:r>
        <w:rPr>
          <w:rFonts w:hint="eastAsia" w:ascii="仿宋_GB2312" w:eastAsia="仿宋_GB2312"/>
          <w:sz w:val="24"/>
          <w:lang w:val="en-US" w:eastAsia="zh-CN"/>
        </w:rPr>
        <w:t>.........................................14</w:t>
      </w:r>
    </w:p>
    <w:p>
      <w:pPr>
        <w:pStyle w:val="12"/>
        <w:adjustRightInd w:val="0"/>
        <w:snapToGrid w:val="0"/>
        <w:spacing w:line="570" w:lineRule="exact"/>
        <w:jc w:val="left"/>
        <w:rPr>
          <w:rFonts w:hint="default" w:ascii="仿宋_GB2312" w:hAnsi="仿宋" w:eastAsia="仿宋_GB2312" w:cstheme="minorBidi"/>
          <w:sz w:val="24"/>
          <w:lang w:val="en-US" w:eastAsia="zh-CN"/>
        </w:rPr>
      </w:pPr>
      <w:r>
        <w:rPr>
          <w:rFonts w:hint="eastAsia" w:ascii="仿宋_GB2312" w:eastAsia="仿宋_GB2312"/>
          <w:sz w:val="24"/>
        </w:rPr>
        <w:t>四、财政拨款收入支出决算总体情况说明</w:t>
      </w:r>
      <w:r>
        <w:rPr>
          <w:rFonts w:hint="eastAsia" w:ascii="仿宋_GB2312" w:eastAsia="仿宋_GB2312"/>
          <w:sz w:val="24"/>
          <w:lang w:val="en-US" w:eastAsia="zh-CN"/>
        </w:rPr>
        <w:t>.........................15</w:t>
      </w:r>
    </w:p>
    <w:p>
      <w:pPr>
        <w:pStyle w:val="12"/>
        <w:adjustRightInd w:val="0"/>
        <w:snapToGrid w:val="0"/>
        <w:spacing w:line="570" w:lineRule="exact"/>
        <w:jc w:val="left"/>
        <w:rPr>
          <w:rFonts w:hint="default" w:ascii="仿宋_GB2312" w:hAnsi="仿宋" w:eastAsia="仿宋_GB2312" w:cstheme="minorBidi"/>
          <w:sz w:val="24"/>
          <w:lang w:val="en-US" w:eastAsia="zh-CN"/>
        </w:rPr>
      </w:pPr>
      <w:r>
        <w:rPr>
          <w:rFonts w:hint="eastAsia" w:ascii="仿宋_GB2312" w:eastAsia="仿宋_GB2312"/>
          <w:sz w:val="24"/>
        </w:rPr>
        <w:t>五、一般公共预算财政拨款支出决算情况说明</w:t>
      </w:r>
      <w:r>
        <w:rPr>
          <w:rFonts w:hint="eastAsia" w:ascii="仿宋_GB2312" w:eastAsia="仿宋_GB2312"/>
          <w:sz w:val="24"/>
          <w:lang w:val="en-US" w:eastAsia="zh-CN"/>
        </w:rPr>
        <w:t>.....................15</w:t>
      </w:r>
    </w:p>
    <w:p>
      <w:pPr>
        <w:pStyle w:val="12"/>
        <w:adjustRightInd w:val="0"/>
        <w:snapToGrid w:val="0"/>
        <w:spacing w:line="570" w:lineRule="exact"/>
        <w:jc w:val="left"/>
        <w:rPr>
          <w:rFonts w:hint="default" w:ascii="仿宋_GB2312" w:hAnsi="仿宋" w:eastAsia="仿宋_GB2312" w:cstheme="minorBidi"/>
          <w:sz w:val="24"/>
          <w:lang w:val="en-US" w:eastAsia="zh-CN"/>
        </w:rPr>
      </w:pPr>
      <w:r>
        <w:rPr>
          <w:rFonts w:hint="eastAsia" w:ascii="仿宋_GB2312" w:eastAsia="仿宋_GB2312"/>
          <w:sz w:val="24"/>
        </w:rPr>
        <w:t>六、一般公共预算财政拨款基本支出决算情况说明</w:t>
      </w:r>
      <w:r>
        <w:rPr>
          <w:rFonts w:hint="eastAsia" w:ascii="仿宋_GB2312" w:eastAsia="仿宋_GB2312"/>
          <w:sz w:val="24"/>
          <w:lang w:val="en-US" w:eastAsia="zh-CN"/>
        </w:rPr>
        <w:t>.................18</w:t>
      </w:r>
    </w:p>
    <w:p>
      <w:pPr>
        <w:pStyle w:val="12"/>
        <w:adjustRightInd w:val="0"/>
        <w:snapToGrid w:val="0"/>
        <w:spacing w:line="570" w:lineRule="exact"/>
        <w:jc w:val="left"/>
        <w:rPr>
          <w:rFonts w:hint="default" w:ascii="仿宋_GB2312" w:hAnsi="仿宋" w:eastAsia="仿宋_GB2312" w:cstheme="minorBidi"/>
          <w:sz w:val="24"/>
          <w:lang w:val="en-US" w:eastAsia="zh-CN"/>
        </w:rPr>
      </w:pPr>
      <w:r>
        <w:rPr>
          <w:rFonts w:hint="eastAsia" w:ascii="仿宋_GB2312" w:eastAsia="仿宋_GB2312"/>
          <w:sz w:val="24"/>
        </w:rPr>
        <w:t>七、“三公”经费财政拨款支出决算情况说明</w:t>
      </w:r>
      <w:r>
        <w:rPr>
          <w:rFonts w:hint="eastAsia" w:ascii="仿宋_GB2312" w:eastAsia="仿宋_GB2312"/>
          <w:sz w:val="24"/>
          <w:lang w:val="en-US" w:eastAsia="zh-CN"/>
        </w:rPr>
        <w:t>......................19</w:t>
      </w:r>
    </w:p>
    <w:p>
      <w:pPr>
        <w:pStyle w:val="12"/>
        <w:adjustRightInd w:val="0"/>
        <w:snapToGrid w:val="0"/>
        <w:spacing w:line="570" w:lineRule="exact"/>
        <w:jc w:val="left"/>
        <w:rPr>
          <w:rFonts w:hint="default" w:ascii="仿宋_GB2312" w:hAnsi="仿宋" w:eastAsia="仿宋_GB2312" w:cstheme="minorBidi"/>
          <w:sz w:val="24"/>
          <w:lang w:val="en-US" w:eastAsia="zh-CN"/>
        </w:rPr>
      </w:pPr>
      <w:r>
        <w:rPr>
          <w:rFonts w:hint="eastAsia" w:ascii="仿宋_GB2312" w:eastAsia="仿宋_GB2312"/>
          <w:sz w:val="24"/>
        </w:rPr>
        <w:t>八、政府性基金预算支出决算情况说明</w:t>
      </w:r>
      <w:r>
        <w:rPr>
          <w:rFonts w:hint="eastAsia" w:ascii="仿宋_GB2312" w:eastAsia="仿宋_GB2312"/>
          <w:sz w:val="24"/>
          <w:lang w:val="en-US" w:eastAsia="zh-CN"/>
        </w:rPr>
        <w:t>..........................20</w:t>
      </w:r>
    </w:p>
    <w:p>
      <w:pPr>
        <w:pStyle w:val="12"/>
        <w:adjustRightInd w:val="0"/>
        <w:snapToGrid w:val="0"/>
        <w:spacing w:line="570" w:lineRule="exact"/>
        <w:ind w:leftChars="0"/>
        <w:jc w:val="left"/>
        <w:rPr>
          <w:rFonts w:hint="eastAsia" w:ascii="仿宋_GB2312" w:eastAsia="仿宋_GB2312"/>
          <w:sz w:val="24"/>
          <w:lang w:val="en-US" w:eastAsia="zh-CN"/>
        </w:rPr>
      </w:pPr>
      <w:r>
        <w:rPr>
          <w:rFonts w:hint="eastAsia" w:ascii="仿宋_GB2312" w:hAnsi="仿宋" w:eastAsia="仿宋_GB2312"/>
          <w:sz w:val="24"/>
        </w:rPr>
        <w:t>九、</w:t>
      </w:r>
      <w:r>
        <w:rPr>
          <w:rFonts w:hint="eastAsia" w:ascii="仿宋_GB2312" w:eastAsia="仿宋_GB2312"/>
          <w:sz w:val="24"/>
        </w:rPr>
        <w:t xml:space="preserve"> 国有资本经营预算支出决算情况说明</w:t>
      </w:r>
      <w:r>
        <w:rPr>
          <w:rFonts w:hint="eastAsia" w:ascii="仿宋_GB2312" w:eastAsia="仿宋_GB2312"/>
          <w:sz w:val="24"/>
          <w:lang w:val="en-US" w:eastAsia="zh-CN"/>
        </w:rPr>
        <w:t>.......................20</w:t>
      </w:r>
    </w:p>
    <w:p>
      <w:pPr>
        <w:rPr>
          <w:rFonts w:hint="eastAsia"/>
          <w:lang w:val="en-US" w:eastAsia="zh-CN"/>
        </w:rPr>
      </w:pPr>
    </w:p>
    <w:p>
      <w:pPr>
        <w:rPr>
          <w:rFonts w:hint="default" w:eastAsia="仿宋_GB2312"/>
          <w:lang w:val="en-US" w:eastAsia="zh-CN"/>
        </w:rPr>
      </w:pPr>
      <w:r>
        <w:rPr>
          <w:rFonts w:hint="eastAsia" w:ascii="仿宋_GB2312" w:eastAsia="仿宋_GB2312"/>
          <w:sz w:val="24"/>
          <w:lang w:val="en-US" w:eastAsia="zh-CN"/>
        </w:rPr>
        <w:t xml:space="preserve">    十、预算绩效管理情况........................................21</w:t>
      </w:r>
    </w:p>
    <w:p>
      <w:pPr>
        <w:pStyle w:val="11"/>
        <w:adjustRightInd w:val="0"/>
        <w:snapToGrid w:val="0"/>
        <w:spacing w:before="0" w:line="570" w:lineRule="exact"/>
        <w:jc w:val="left"/>
        <w:rPr>
          <w:rFonts w:hint="default" w:ascii="仿宋_GB2312" w:eastAsia="仿宋_GB2312" w:cstheme="minorBidi"/>
          <w:sz w:val="24"/>
          <w:szCs w:val="24"/>
          <w:lang w:val="en-US" w:eastAsia="zh-CN"/>
        </w:rPr>
      </w:pPr>
      <w:r>
        <w:rPr>
          <w:rFonts w:hint="eastAsia" w:ascii="仿宋_GB2312" w:eastAsia="仿宋_GB2312"/>
          <w:sz w:val="24"/>
        </w:rPr>
        <w:t>第三部分 名词解释</w:t>
      </w:r>
      <w:r>
        <w:rPr>
          <w:rFonts w:hint="eastAsia" w:ascii="仿宋_GB2312" w:eastAsia="仿宋_GB2312"/>
          <w:sz w:val="24"/>
          <w:lang w:val="en-US" w:eastAsia="zh-CN"/>
        </w:rPr>
        <w:t>..............................................40</w:t>
      </w:r>
    </w:p>
    <w:p>
      <w:pPr>
        <w:pStyle w:val="11"/>
        <w:adjustRightInd w:val="0"/>
        <w:snapToGrid w:val="0"/>
        <w:spacing w:before="0" w:line="570" w:lineRule="exact"/>
        <w:jc w:val="left"/>
        <w:rPr>
          <w:rFonts w:hint="default" w:ascii="仿宋_GB2312" w:eastAsia="仿宋_GB2312" w:cstheme="minorBidi"/>
          <w:sz w:val="24"/>
          <w:szCs w:val="24"/>
          <w:lang w:val="en-US" w:eastAsia="zh-CN"/>
        </w:rPr>
      </w:pPr>
      <w:r>
        <w:rPr>
          <w:rFonts w:hint="eastAsia" w:ascii="仿宋_GB2312" w:eastAsia="仿宋_GB2312"/>
          <w:sz w:val="24"/>
        </w:rPr>
        <w:t xml:space="preserve">第四部分 </w:t>
      </w:r>
      <w:r>
        <w:rPr>
          <w:rFonts w:hint="eastAsia" w:ascii="仿宋_GB2312" w:eastAsia="仿宋_GB2312"/>
          <w:sz w:val="24"/>
          <w:lang w:eastAsia="zh-CN"/>
        </w:rPr>
        <w:t>绩效评价报告</w:t>
      </w:r>
      <w:r>
        <w:rPr>
          <w:rFonts w:hint="eastAsia" w:ascii="仿宋_GB2312" w:eastAsia="仿宋_GB2312"/>
          <w:sz w:val="24"/>
          <w:lang w:val="en-US" w:eastAsia="zh-CN"/>
        </w:rPr>
        <w:t>.........................................43</w:t>
      </w:r>
    </w:p>
    <w:p>
      <w:pPr>
        <w:pStyle w:val="2"/>
        <w:spacing w:after="0" w:line="570" w:lineRule="exact"/>
        <w:jc w:val="center"/>
        <w:rPr>
          <w:rFonts w:ascii="仿宋_GB2312" w:hAnsi="黑体" w:eastAsia="仿宋_GB2312"/>
          <w:b w:val="0"/>
        </w:rPr>
      </w:pPr>
      <w:bookmarkStart w:id="12" w:name="_Toc15396599"/>
      <w:bookmarkStart w:id="13" w:name="_Toc15377196"/>
    </w:p>
    <w:p/>
    <w:p>
      <w:pPr>
        <w:pStyle w:val="2"/>
        <w:spacing w:after="0" w:line="570" w:lineRule="exact"/>
        <w:jc w:val="center"/>
        <w:rPr>
          <w:rStyle w:val="26"/>
          <w:rFonts w:ascii="仿宋_GB2312" w:hAnsi="黑体" w:eastAsia="仿宋_GB2312"/>
          <w:b/>
          <w:bCs w:val="0"/>
        </w:rPr>
      </w:pPr>
      <w:r>
        <w:rPr>
          <w:rFonts w:hint="eastAsia" w:ascii="仿宋_GB2312" w:hAnsi="黑体" w:eastAsia="仿宋_GB2312"/>
          <w:b w:val="0"/>
        </w:rPr>
        <w:t xml:space="preserve">第一部分 </w:t>
      </w:r>
      <w:r>
        <w:rPr>
          <w:rStyle w:val="26"/>
          <w:rFonts w:hint="eastAsia" w:ascii="仿宋_GB2312" w:hAnsi="黑体" w:eastAsia="仿宋_GB2312"/>
          <w:b w:val="0"/>
          <w:bCs w:val="0"/>
        </w:rPr>
        <w:t>部门概况</w:t>
      </w:r>
      <w:bookmarkEnd w:id="12"/>
      <w:bookmarkEnd w:id="13"/>
    </w:p>
    <w:p>
      <w:pPr>
        <w:widowControl/>
        <w:spacing w:line="570" w:lineRule="exact"/>
        <w:jc w:val="left"/>
        <w:rPr>
          <w:rFonts w:ascii="仿宋_GB2312" w:eastAsia="仿宋_GB2312"/>
          <w:color w:val="000000"/>
          <w:sz w:val="32"/>
          <w:szCs w:val="32"/>
        </w:rPr>
      </w:pPr>
    </w:p>
    <w:p>
      <w:pPr>
        <w:pStyle w:val="3"/>
        <w:spacing w:after="0" w:line="570" w:lineRule="exact"/>
        <w:ind w:left="993"/>
        <w:rPr>
          <w:rStyle w:val="27"/>
          <w:rFonts w:ascii="黑体" w:hAnsi="黑体" w:eastAsia="黑体"/>
          <w:b w:val="0"/>
          <w:bCs w:val="0"/>
        </w:rPr>
      </w:pPr>
      <w:bookmarkStart w:id="14" w:name="_Toc15396600"/>
      <w:bookmarkStart w:id="15" w:name="_Toc15377197"/>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pStyle w:val="5"/>
        <w:adjustRightInd w:val="0"/>
        <w:snapToGrid w:val="0"/>
        <w:spacing w:before="93" w:line="570" w:lineRule="exact"/>
        <w:ind w:left="993"/>
        <w:rPr>
          <w:rFonts w:hAnsi="楷体_GB2312" w:cs="楷体_GB2312"/>
          <w:b/>
          <w:sz w:val="32"/>
          <w:szCs w:val="32"/>
        </w:rPr>
      </w:pPr>
      <w:r>
        <w:rPr>
          <w:rFonts w:hint="eastAsia" w:hAnsi="楷体_GB2312" w:cs="楷体_GB2312"/>
          <w:b/>
          <w:sz w:val="32"/>
          <w:szCs w:val="32"/>
        </w:rPr>
        <w:t>（一）基本职能</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1、拟订文化、体育和旅游政策措施，起草文化、体育和旅游地方性政策、法规、规范性文件草案，负责本部门依法行政工作。</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2、推进文化、体育、旅游体制机制改革。组织推动全县文化、体育事业和旅游业发展，拟订发展规划并组织实施。推进文化、体育和旅游产业融合发展，促进文化、体育和旅游与相关产业融合发展。</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3、组织实施全县文化、体育和旅游资源的普查、保护与利用。管理全县性重大文化、体育和旅游活动，组织全县重点文化、体育和旅游设施建设。</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4、组织实施全县文化、体育和旅游整体形象推广，促进文化、体育、旅游产业市场推广和对外合作交流。制定文化、体育和旅游市场开发战略并组织实施，推进全域旅游。负责管理文化、体育和旅游国内外交流合作与宣传推广工作，组织大型文化、</w:t>
      </w:r>
    </w:p>
    <w:p>
      <w:pPr>
        <w:spacing w:line="570" w:lineRule="exact"/>
        <w:ind w:left="284"/>
        <w:rPr>
          <w:rFonts w:ascii="仿宋_GB2312" w:eastAsia="仿宋_GB2312"/>
          <w:sz w:val="32"/>
          <w:szCs w:val="32"/>
        </w:rPr>
      </w:pPr>
      <w:r>
        <w:rPr>
          <w:rFonts w:hint="eastAsia" w:ascii="仿宋_GB2312" w:eastAsia="仿宋_GB2312"/>
          <w:sz w:val="32"/>
          <w:szCs w:val="32"/>
        </w:rPr>
        <w:t>体育和旅游对外交流活动。</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5、弘扬优秀传统文化，推动红原本地特色文化传承发展。指导管理辖区内文艺事业，把握正确的创作导向，推动文化艺术创作生产，扶持体现社会主义核心价值观、具有导向性代表性示范性的文化艺术作品，推动各门类艺术、各艺术品种发展。</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6、负责公共文化、体育事业发展，推进全县公共文化体育服务体系建设和旅游公共服务建设，深入实施惠民工程，统筹推进辖区内文化、体育和旅游基本公共服务标准化、均等化。</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7、负责文化、体育和旅游行业信息化、标准化建设，推进文化和旅游科技创新。负责全县体育科研、技术攻关和成果推广。</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8、负责全县非物质文化遗产保护工作，推动非物质文化遗产的传承、普及、弘扬和振兴。</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9、管理和指导全县文物保护、利用和考古工作，组织开展文物资源调查工作。协调、指导和监督全县文物安全工作，履行文物行政督察职能。负责全县文化遗产保护和管理工作，协同相关部门开展文化与自然遗产、文化名城（镇、村）申报和管理工作。负责全县文物和博物馆公共服务体系建设。</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10、负责拟订全县群众体育发展规划并组织实施。贯彻落实全民健身计划，建立和完善全民健身服务体系，指导和开展群众性体育活动。负责社会体育指导员培训、国民体质监测和高危体育项目管理。负责挖掘、传承、保护全县少数民族传统体育项目。协助体育彩票销售的监督管理。</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11、负责拟订全县竞技体育发展规划并组织实施。指导体育训练和运动员队伍建设，协调运动员社会保障工作，统筹组织全县体育活动、组织参加县内外体育竞赛和综合性运动会。负责反兴奋剂监督工作。</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12、负责拟订全县青少年（学校）体育工作发展规划并组织实施。负责青少年体育锻炼标准的组织实施，指导辖区内体育学校的建设和青少年业余训练及相关活动。</w:t>
      </w:r>
    </w:p>
    <w:p>
      <w:pPr>
        <w:spacing w:line="570" w:lineRule="exact"/>
        <w:ind w:left="426" w:firstLine="480" w:firstLineChars="150"/>
        <w:rPr>
          <w:rFonts w:ascii="仿宋_GB2312" w:eastAsia="仿宋_GB2312"/>
          <w:sz w:val="32"/>
          <w:szCs w:val="32"/>
        </w:rPr>
      </w:pPr>
      <w:r>
        <w:rPr>
          <w:rFonts w:hint="eastAsia" w:ascii="仿宋_GB2312" w:eastAsia="仿宋_GB2312"/>
          <w:sz w:val="32"/>
          <w:szCs w:val="32"/>
        </w:rPr>
        <w:t>13、推动全县文化、体育和旅游市场发展，对全县文化、体育和旅游市场依法进行行业监管，依法规范文化、体育和旅游市场。推进文化、体育和旅游行业信用体系建设。</w:t>
      </w:r>
    </w:p>
    <w:p>
      <w:pPr>
        <w:spacing w:line="570" w:lineRule="exact"/>
        <w:ind w:firstLine="800" w:firstLineChars="250"/>
        <w:rPr>
          <w:rFonts w:ascii="仿宋_GB2312" w:eastAsia="仿宋_GB2312"/>
          <w:sz w:val="32"/>
          <w:szCs w:val="32"/>
        </w:rPr>
      </w:pPr>
      <w:r>
        <w:rPr>
          <w:rFonts w:hint="eastAsia" w:ascii="仿宋_GB2312" w:eastAsia="仿宋_GB2312"/>
          <w:sz w:val="32"/>
          <w:szCs w:val="32"/>
        </w:rPr>
        <w:t>14、负责全县旅游景区管理机构、文旅企业的行业管理和标准化建设。</w:t>
      </w:r>
    </w:p>
    <w:p>
      <w:pPr>
        <w:spacing w:line="570" w:lineRule="exact"/>
        <w:ind w:left="426" w:firstLine="320" w:firstLineChars="100"/>
        <w:rPr>
          <w:rFonts w:ascii="仿宋_GB2312" w:eastAsia="仿宋_GB2312"/>
          <w:sz w:val="32"/>
          <w:szCs w:val="32"/>
        </w:rPr>
      </w:pPr>
      <w:r>
        <w:rPr>
          <w:rFonts w:hint="eastAsia" w:ascii="仿宋_GB2312" w:eastAsia="仿宋_GB2312"/>
          <w:sz w:val="32"/>
          <w:szCs w:val="32"/>
        </w:rPr>
        <w:t>15、统筹全县文化、体育、旅游市场综合行政执法，规</w:t>
      </w:r>
    </w:p>
    <w:p>
      <w:pPr>
        <w:spacing w:line="570" w:lineRule="exact"/>
        <w:rPr>
          <w:rFonts w:ascii="仿宋_GB2312" w:eastAsia="仿宋_GB2312"/>
          <w:sz w:val="32"/>
          <w:szCs w:val="32"/>
        </w:rPr>
      </w:pPr>
      <w:r>
        <w:rPr>
          <w:rFonts w:hint="eastAsia" w:ascii="仿宋_GB2312" w:eastAsia="仿宋_GB2312"/>
          <w:sz w:val="32"/>
          <w:szCs w:val="32"/>
        </w:rPr>
        <w:t>范文化、体育、旅游行政执法，组织查处文化、文物、体育、旅游等违法行为，督查督办大案要案。</w:t>
      </w:r>
    </w:p>
    <w:p>
      <w:pPr>
        <w:spacing w:line="570" w:lineRule="exact"/>
        <w:ind w:left="426" w:firstLine="320" w:firstLineChars="100"/>
        <w:rPr>
          <w:rFonts w:ascii="仿宋_GB2312" w:eastAsia="仿宋_GB2312"/>
          <w:sz w:val="32"/>
          <w:szCs w:val="32"/>
        </w:rPr>
      </w:pPr>
      <w:r>
        <w:rPr>
          <w:rFonts w:hint="eastAsia" w:ascii="仿宋_GB2312" w:eastAsia="仿宋_GB2312"/>
          <w:sz w:val="32"/>
          <w:szCs w:val="32"/>
        </w:rPr>
        <w:t>16、负责全县文化、体育和旅游行业安全生产工作的综合协调与监督管理，制定职责范围内的安全生产年度监督检查计划并组织实施。依法履行行业职业健康监管职责，承担职责范围内生态环境保护、公共机构节能减排、审批服务便民化等工作。负责本系统“放管服”改革,承担本部门权责清单制度建设、动态调整等工作。</w:t>
      </w:r>
    </w:p>
    <w:p>
      <w:pPr>
        <w:pStyle w:val="25"/>
        <w:numPr>
          <w:ilvl w:val="0"/>
          <w:numId w:val="1"/>
        </w:numPr>
        <w:spacing w:line="570" w:lineRule="exact"/>
        <w:ind w:firstLineChars="0"/>
        <w:rPr>
          <w:rFonts w:ascii="仿宋_GB2312" w:eastAsia="仿宋_GB2312"/>
          <w:sz w:val="32"/>
          <w:szCs w:val="32"/>
        </w:rPr>
      </w:pPr>
      <w:r>
        <w:rPr>
          <w:rFonts w:hint="eastAsia" w:ascii="仿宋_GB2312" w:eastAsia="仿宋_GB2312"/>
          <w:sz w:val="32"/>
          <w:szCs w:val="32"/>
        </w:rPr>
        <w:t>完成县委、县政府交办的其他任务。</w:t>
      </w:r>
    </w:p>
    <w:p>
      <w:pPr>
        <w:spacing w:line="570" w:lineRule="exact"/>
        <w:ind w:firstLine="480" w:firstLineChars="150"/>
        <w:rPr>
          <w:rFonts w:ascii="仿宋_GB2312" w:eastAsia="仿宋_GB2312"/>
          <w:sz w:val="32"/>
          <w:szCs w:val="32"/>
        </w:rPr>
      </w:pPr>
      <w:r>
        <w:rPr>
          <w:rFonts w:hint="eastAsia" w:ascii="仿宋_GB2312" w:eastAsia="仿宋_GB2312"/>
          <w:sz w:val="32"/>
          <w:szCs w:val="32"/>
        </w:rPr>
        <w:t>18、职能转变。强化文化、体育和旅游要素配置，统筹</w:t>
      </w:r>
    </w:p>
    <w:p>
      <w:pPr>
        <w:spacing w:line="570" w:lineRule="exact"/>
        <w:rPr>
          <w:rFonts w:ascii="仿宋_GB2312" w:eastAsia="仿宋_GB2312"/>
          <w:sz w:val="32"/>
          <w:szCs w:val="32"/>
        </w:rPr>
      </w:pPr>
      <w:r>
        <w:rPr>
          <w:rFonts w:hint="eastAsia" w:ascii="仿宋_GB2312" w:eastAsia="仿宋_GB2312"/>
          <w:sz w:val="32"/>
          <w:szCs w:val="32"/>
        </w:rPr>
        <w:t>整合形成文化、体育和旅游发展新优势，着力打造具有红原地方民族特色的文化、体育和旅游品牌，推进文化、体育和旅游融合发展，巩固旅游业的战略性支柱产业地位，推动旅游业向主导产业发展，提升红原文化软实力，建设体育强县，努力开创文化、体育和旅游工作新局面。</w:t>
      </w:r>
    </w:p>
    <w:p>
      <w:pPr>
        <w:spacing w:line="570" w:lineRule="exact"/>
        <w:ind w:firstLine="320" w:firstLineChars="100"/>
        <w:rPr>
          <w:rFonts w:ascii="仿宋_GB2312" w:eastAsia="仿宋_GB2312"/>
          <w:sz w:val="32"/>
          <w:szCs w:val="32"/>
        </w:rPr>
      </w:pPr>
      <w:r>
        <w:rPr>
          <w:rFonts w:hint="eastAsia" w:ascii="仿宋_GB2312" w:eastAsia="仿宋_GB2312"/>
          <w:sz w:val="32"/>
          <w:szCs w:val="32"/>
        </w:rPr>
        <w:t>19、与县科学技术和农业畜牧局职责分工。县文体旅游</w:t>
      </w:r>
    </w:p>
    <w:p>
      <w:pPr>
        <w:spacing w:line="570" w:lineRule="exact"/>
        <w:rPr>
          <w:rFonts w:ascii="仿宋_GB2312" w:eastAsia="仿宋_GB2312"/>
          <w:sz w:val="32"/>
          <w:szCs w:val="32"/>
        </w:rPr>
      </w:pPr>
      <w:r>
        <w:rPr>
          <w:rFonts w:hint="eastAsia" w:ascii="仿宋_GB2312" w:eastAsia="仿宋_GB2312"/>
          <w:sz w:val="32"/>
          <w:szCs w:val="32"/>
        </w:rPr>
        <w:t>局会同县科学技术和农业畜牧局建立健全协同配合机制，推动乡村旅游工作。</w:t>
      </w:r>
    </w:p>
    <w:p>
      <w:pPr>
        <w:pStyle w:val="5"/>
        <w:adjustRightInd w:val="0"/>
        <w:snapToGrid w:val="0"/>
        <w:spacing w:before="93" w:line="570" w:lineRule="exact"/>
        <w:ind w:firstLine="672" w:firstLineChars="210"/>
        <w:outlineLvl w:val="2"/>
        <w:rPr>
          <w:rFonts w:ascii="黑体" w:hAnsi="黑体" w:eastAsia="黑体"/>
          <w:bCs/>
          <w:color w:val="000000"/>
          <w:sz w:val="32"/>
          <w:szCs w:val="32"/>
        </w:rPr>
      </w:pPr>
      <w:bookmarkStart w:id="16" w:name="_Toc15378446"/>
      <w:bookmarkStart w:id="17" w:name="_Toc15377199"/>
      <w:r>
        <w:rPr>
          <w:rFonts w:hint="eastAsia" w:ascii="黑体" w:hAnsi="黑体" w:eastAsia="黑体"/>
          <w:bCs/>
          <w:color w:val="000000"/>
          <w:sz w:val="32"/>
          <w:szCs w:val="32"/>
        </w:rPr>
        <w:t>（二）2019年重点工作完成情况。</w:t>
      </w:r>
      <w:bookmarkEnd w:id="16"/>
      <w:bookmarkEnd w:id="17"/>
    </w:p>
    <w:p>
      <w:pPr>
        <w:adjustRightInd w:val="0"/>
        <w:snapToGrid w:val="0"/>
        <w:spacing w:line="54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一、文旅融合，推动各项工作深入开展</w:t>
      </w:r>
    </w:p>
    <w:p>
      <w:pPr>
        <w:adjustRightInd w:val="0"/>
        <w:snapToGrid w:val="0"/>
        <w:spacing w:line="540" w:lineRule="exact"/>
        <w:ind w:firstLine="643" w:firstLineChars="200"/>
        <w:rPr>
          <w:rFonts w:ascii="楷体_GB2312" w:hAnsi="黑体" w:eastAsia="楷体_GB2312"/>
          <w:b/>
          <w:color w:val="000000"/>
          <w:sz w:val="32"/>
          <w:szCs w:val="32"/>
        </w:rPr>
      </w:pPr>
      <w:r>
        <w:rPr>
          <w:rFonts w:hint="eastAsia" w:ascii="楷体_GB2312" w:hAnsi="黑体" w:eastAsia="楷体_GB2312"/>
          <w:b/>
          <w:color w:val="000000"/>
          <w:sz w:val="32"/>
          <w:szCs w:val="32"/>
        </w:rPr>
        <w:t>（一）总体发展概况</w:t>
      </w:r>
    </w:p>
    <w:p>
      <w:pPr>
        <w:adjustRightInd w:val="0"/>
        <w:snapToGrid w:val="0"/>
        <w:spacing w:line="540" w:lineRule="exact"/>
        <w:ind w:firstLine="640" w:firstLineChars="200"/>
        <w:rPr>
          <w:rFonts w:ascii="仿宋_GB2312" w:hAnsi="仿宋_GB2312" w:eastAsia="仿宋_GB2312" w:cs="仿宋_GB2312"/>
          <w:color w:val="000000"/>
          <w:sz w:val="32"/>
          <w:szCs w:val="32"/>
        </w:rPr>
      </w:pPr>
      <w:r>
        <w:rPr>
          <w:rFonts w:hint="eastAsia" w:ascii="仿宋_GB2312" w:hAnsi="黑体" w:eastAsia="仿宋_GB2312"/>
          <w:color w:val="000000"/>
          <w:sz w:val="32"/>
          <w:szCs w:val="32"/>
        </w:rPr>
        <w:t>红原现有县级公共图书馆、文化馆、室内体育馆、11人制标准足球场、全民健身活动中心、州级乡镇综合文化站各1个；乡镇综合文化站11个、村级（社区）文化活动室38个、农家书屋、社区书屋及寺院书屋47个。建成非物质文化传习基地两个。国家AAAA级旅游景区3家，AAA级旅游景区1家；旅游扶贫示范村5个；宾馆酒店114家、牧家乐75家。</w:t>
      </w:r>
      <w:r>
        <w:rPr>
          <w:rFonts w:hint="eastAsia" w:ascii="仿宋_GB2312" w:hAnsi="仿宋_GB2312" w:eastAsia="仿宋_GB2312" w:cs="仿宋_GB2312"/>
          <w:color w:val="000000"/>
          <w:sz w:val="32"/>
          <w:szCs w:val="32"/>
        </w:rPr>
        <w:t>2019年我局实施项目12个，累计投资9348.6万元，</w:t>
      </w:r>
      <w:r>
        <w:rPr>
          <w:rFonts w:hint="eastAsia" w:ascii="仿宋_GB2312" w:hAnsi="黑体" w:eastAsia="仿宋_GB2312"/>
          <w:color w:val="000000"/>
          <w:sz w:val="32"/>
          <w:szCs w:val="32"/>
        </w:rPr>
        <w:t>相继建设完成</w:t>
      </w:r>
      <w:r>
        <w:rPr>
          <w:rFonts w:hint="eastAsia" w:ascii="仿宋_GB2312" w:hAnsi="仿宋_GB2312" w:eastAsia="仿宋_GB2312" w:cs="仿宋_GB2312"/>
          <w:color w:val="000000"/>
          <w:sz w:val="32"/>
          <w:szCs w:val="32"/>
        </w:rPr>
        <w:t>红原县旅游基础设施建设项目、红原县乡村旅游富民工程建设采购项目、红原县日干乔景区旅游厕所采购项目。今年底，计划完工6个项目，2020年计划完工3个项目。</w:t>
      </w:r>
    </w:p>
    <w:p>
      <w:pPr>
        <w:adjustRightInd w:val="0"/>
        <w:snapToGrid w:val="0"/>
        <w:spacing w:line="540" w:lineRule="exact"/>
        <w:ind w:firstLine="482" w:firstLineChars="150"/>
        <w:rPr>
          <w:rFonts w:ascii="楷体_GB2312" w:hAnsi="黑体" w:eastAsia="楷体_GB2312"/>
          <w:b/>
          <w:color w:val="000000"/>
          <w:sz w:val="32"/>
          <w:szCs w:val="32"/>
        </w:rPr>
      </w:pPr>
      <w:r>
        <w:rPr>
          <w:rFonts w:hint="eastAsia" w:ascii="楷体_GB2312" w:hAnsi="黑体" w:eastAsia="楷体_GB2312"/>
          <w:b/>
          <w:color w:val="000000"/>
          <w:sz w:val="32"/>
          <w:szCs w:val="32"/>
        </w:rPr>
        <w:t>（二）旅游工作</w:t>
      </w:r>
    </w:p>
    <w:p>
      <w:pPr>
        <w:tabs>
          <w:tab w:val="left" w:pos="2520"/>
        </w:tabs>
        <w:adjustRightInd w:val="0"/>
        <w:snapToGrid w:val="0"/>
        <w:spacing w:line="540" w:lineRule="exac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我局从三方面入手，克服九寨沟地震，国道维修和汶川泥石流等因素影响，着力提升旅游品质，在留住游客、刺激旅游消费等方面“下足力气”。</w:t>
      </w:r>
    </w:p>
    <w:p>
      <w:pPr>
        <w:tabs>
          <w:tab w:val="left" w:pos="2520"/>
        </w:tabs>
        <w:adjustRightInd w:val="0"/>
        <w:snapToGrid w:val="0"/>
        <w:spacing w:line="540" w:lineRule="exact"/>
        <w:ind w:firstLine="640" w:firstLineChars="200"/>
        <w:rPr>
          <w:rFonts w:ascii="仿宋_GB2312" w:hAnsi="华文仿宋" w:eastAsia="仿宋_GB2312"/>
          <w:color w:val="000000"/>
          <w:sz w:val="32"/>
          <w:szCs w:val="32"/>
        </w:rPr>
      </w:pPr>
      <w:r>
        <w:rPr>
          <w:rFonts w:hint="eastAsia" w:ascii="仿宋_GB2312" w:hAnsi="仿宋" w:eastAsia="仿宋_GB2312" w:cs="仿宋"/>
          <w:color w:val="000000"/>
          <w:sz w:val="32"/>
          <w:szCs w:val="32"/>
        </w:rPr>
        <w:t>首先，</w:t>
      </w:r>
      <w:r>
        <w:rPr>
          <w:rFonts w:hint="eastAsia" w:ascii="仿宋_GB2312" w:hAnsi="黑体" w:eastAsia="仿宋_GB2312"/>
          <w:color w:val="000000"/>
          <w:sz w:val="32"/>
          <w:szCs w:val="32"/>
        </w:rPr>
        <w:t>致力于红原旅游发展，努力将</w:t>
      </w:r>
      <w:r>
        <w:rPr>
          <w:rFonts w:hint="eastAsia" w:ascii="仿宋_GB2312" w:eastAsia="仿宋_GB2312"/>
          <w:color w:val="000000"/>
          <w:sz w:val="32"/>
          <w:szCs w:val="32"/>
        </w:rPr>
        <w:t>红色文化、游牧文化、藏民族文化等与草原景观相结合，赋予旅游新的生命力。全力打造雅克音乐季品牌，持续发力宣传营销，多次与杭州、重庆、温州、西安、兰州等地文旅界洽谈旅游事宜，形成了川内外遍地开花的宣传局面，开辟了西北（西安，兰州一带）旅游市场，利用空中航线培育东部地区市场。先后在绵阳三台县及西南民大航空港校区开展第四届雅克音乐季活动及旅游宣传推介。</w:t>
      </w:r>
      <w:r>
        <w:rPr>
          <w:rFonts w:hint="eastAsia" w:ascii="仿宋_GB2312" w:hAnsi="华文仿宋" w:eastAsia="仿宋_GB2312"/>
          <w:color w:val="000000"/>
          <w:sz w:val="32"/>
          <w:szCs w:val="32"/>
        </w:rPr>
        <w:t>通过各种形式的宣传推介共计发放宣传手提袋+宣传画册+宣传折页6000余套、宣传U盘400余个。</w:t>
      </w:r>
    </w:p>
    <w:p>
      <w:pPr>
        <w:adjustRightInd w:val="0"/>
        <w:snapToGrid w:val="0"/>
        <w:spacing w:line="540" w:lineRule="exact"/>
        <w:ind w:firstLine="640" w:firstLineChars="200"/>
        <w:rPr>
          <w:rFonts w:ascii="仿宋_GB2312" w:eastAsia="仿宋_GB2312"/>
          <w:color w:val="000000"/>
          <w:sz w:val="32"/>
          <w:szCs w:val="32"/>
        </w:rPr>
      </w:pPr>
      <w:r>
        <w:rPr>
          <w:rFonts w:hint="eastAsia" w:ascii="仿宋_GB2312" w:hAnsi="华文仿宋" w:eastAsia="仿宋_GB2312"/>
          <w:color w:val="000000"/>
          <w:sz w:val="32"/>
          <w:szCs w:val="32"/>
        </w:rPr>
        <w:t>其次，打造红原品牌，开发体验项目。</w:t>
      </w:r>
      <w:r>
        <w:rPr>
          <w:rFonts w:hint="eastAsia" w:ascii="仿宋_GB2312" w:eastAsia="仿宋_GB2312"/>
          <w:color w:val="000000"/>
          <w:sz w:val="32"/>
          <w:szCs w:val="32"/>
        </w:rPr>
        <w:t>以建设藏羌彝文化走廊为契机，积极挖掘音乐资源，开发体验项目，培育全产业链条。红原大草原夏季雅克音乐季、藏羌彝原创音乐盛典、牦牛文化节以带动红原发展为初衷，在县委县政府的坚强领导下已成为红原最具影响力的文旅品牌，通过设点摆摊，住宿等形式在打响品牌的同时，直接或间接拉动了红原经济发展，带动了群众增收。景区索道、热气球、网红打卡地等项目相继投入运行，增加了游客旅游体验，丰富了旅游内容。</w:t>
      </w:r>
    </w:p>
    <w:p>
      <w:pPr>
        <w:adjustRightInd w:val="0"/>
        <w:snapToGrid w:val="0"/>
        <w:spacing w:line="540" w:lineRule="exact"/>
        <w:ind w:firstLine="640" w:firstLineChars="200"/>
        <w:rPr>
          <w:rFonts w:ascii="仿宋_GB2312" w:eastAsia="仿宋_GB2312"/>
          <w:sz w:val="32"/>
          <w:szCs w:val="32"/>
        </w:rPr>
      </w:pPr>
      <w:r>
        <w:rPr>
          <w:rFonts w:hint="eastAsia" w:ascii="仿宋_GB2312" w:eastAsia="仿宋_GB2312"/>
          <w:color w:val="000000"/>
          <w:sz w:val="32"/>
          <w:szCs w:val="32"/>
        </w:rPr>
        <w:t>最后，文化体育和旅游市场检查常态化，确保市场有序稳定发展，守住红原旅游好口碑。</w:t>
      </w:r>
      <w:r>
        <w:rPr>
          <w:rFonts w:hint="eastAsia" w:ascii="仿宋_GB2312" w:eastAsia="仿宋_GB2312"/>
          <w:sz w:val="32"/>
          <w:szCs w:val="32"/>
        </w:rPr>
        <w:t>截止目前，出动文化旅游市场执法检查151次，</w:t>
      </w:r>
      <w:r>
        <w:rPr>
          <w:rFonts w:hint="eastAsia" w:ascii="仿宋_GB2312" w:eastAsia="仿宋_GB2312"/>
          <w:color w:val="000000"/>
          <w:kern w:val="0"/>
          <w:sz w:val="32"/>
          <w:szCs w:val="32"/>
        </w:rPr>
        <w:t>部门联合执法12次，</w:t>
      </w:r>
      <w:r>
        <w:rPr>
          <w:rFonts w:hint="eastAsia" w:ascii="仿宋_GB2312" w:eastAsia="仿宋_GB2312"/>
          <w:sz w:val="32"/>
          <w:szCs w:val="32"/>
        </w:rPr>
        <w:t>检查网吧 84家次、歌舞娱乐场所98家次、音像制品店82家次、打字复印店132家次、出版物经营单位32家次、电子游艺室10家次、影（剧）院 6家次、营业性演出团体10家次，</w:t>
      </w:r>
      <w:r>
        <w:rPr>
          <w:rFonts w:hint="eastAsia" w:ascii="仿宋_GB2312" w:eastAsia="仿宋_GB2312"/>
          <w:color w:val="000000"/>
          <w:kern w:val="0"/>
          <w:sz w:val="32"/>
          <w:szCs w:val="32"/>
        </w:rPr>
        <w:t>旅行社5家次，购物店270家次，景区130家次，宾馆饭店280家次。查处</w:t>
      </w:r>
      <w:r>
        <w:rPr>
          <w:rFonts w:hint="eastAsia" w:ascii="仿宋_GB2312" w:eastAsia="仿宋_GB2312"/>
          <w:sz w:val="32"/>
          <w:szCs w:val="32"/>
        </w:rPr>
        <w:t>非法出版物案件 1起。</w:t>
      </w:r>
      <w:r>
        <w:rPr>
          <w:rFonts w:hint="eastAsia" w:ascii="仿宋_GB2312" w:eastAsia="仿宋_GB2312"/>
          <w:color w:val="000000"/>
          <w:kern w:val="0"/>
          <w:sz w:val="32"/>
          <w:szCs w:val="32"/>
        </w:rPr>
        <w:t>取缔药材摊1处、流动摊贩3处。调解旅游矛盾纠纷3起，退还游客610元。</w:t>
      </w:r>
    </w:p>
    <w:p>
      <w:pPr>
        <w:tabs>
          <w:tab w:val="left" w:pos="2520"/>
        </w:tabs>
        <w:adjustRightInd w:val="0"/>
        <w:snapToGrid w:val="0"/>
        <w:spacing w:line="560" w:lineRule="exac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据统计，今年累计接待游客192.7万人次，同比增长13</w:t>
      </w:r>
      <w:r>
        <w:rPr>
          <w:rFonts w:hint="eastAsia" w:ascii="仿宋_GB2312" w:hAnsi="宋体" w:cs="宋体"/>
          <w:color w:val="000000"/>
          <w:sz w:val="32"/>
          <w:szCs w:val="32"/>
        </w:rPr>
        <w:t>﹪</w:t>
      </w:r>
      <w:r>
        <w:rPr>
          <w:rFonts w:hint="eastAsia" w:ascii="仿宋_GB2312" w:hAnsi="仿宋" w:eastAsia="仿宋_GB2312" w:cs="仿宋"/>
          <w:color w:val="000000"/>
          <w:sz w:val="32"/>
          <w:szCs w:val="32"/>
        </w:rPr>
        <w:t>；实现旅游总收入156090万元，同比增长12</w:t>
      </w:r>
      <w:r>
        <w:rPr>
          <w:rFonts w:hint="eastAsia" w:ascii="仿宋_GB2312" w:hAnsi="宋体" w:cs="宋体"/>
          <w:color w:val="000000"/>
          <w:sz w:val="32"/>
          <w:szCs w:val="32"/>
        </w:rPr>
        <w:t>﹪</w:t>
      </w:r>
      <w:r>
        <w:rPr>
          <w:rFonts w:hint="eastAsia" w:ascii="仿宋_GB2312" w:hAnsi="仿宋" w:eastAsia="仿宋_GB2312" w:cs="仿宋"/>
          <w:color w:val="000000"/>
          <w:sz w:val="32"/>
          <w:szCs w:val="32"/>
        </w:rPr>
        <w:t>。超额完成州下达目标绩效管理任务。</w:t>
      </w:r>
    </w:p>
    <w:p>
      <w:pPr>
        <w:adjustRightInd w:val="0"/>
        <w:snapToGrid w:val="0"/>
        <w:spacing w:line="540" w:lineRule="exact"/>
        <w:ind w:firstLine="643" w:firstLineChars="200"/>
        <w:rPr>
          <w:rFonts w:ascii="楷体_GB2312" w:hAnsi="黑体" w:eastAsia="楷体_GB2312"/>
          <w:b/>
          <w:color w:val="000000"/>
          <w:sz w:val="32"/>
          <w:szCs w:val="32"/>
        </w:rPr>
      </w:pPr>
      <w:r>
        <w:rPr>
          <w:rFonts w:hint="eastAsia" w:ascii="楷体_GB2312" w:hAnsi="黑体" w:eastAsia="楷体_GB2312"/>
          <w:b/>
          <w:color w:val="000000"/>
          <w:sz w:val="32"/>
          <w:szCs w:val="32"/>
        </w:rPr>
        <w:t>（三）基层文化工作</w:t>
      </w:r>
    </w:p>
    <w:p>
      <w:pPr>
        <w:pStyle w:val="32"/>
        <w:adjustRightInd w:val="0"/>
        <w:snapToGrid w:val="0"/>
        <w:spacing w:line="540" w:lineRule="exact"/>
        <w:ind w:firstLine="645"/>
        <w:textAlignment w:val="baseline"/>
        <w:rPr>
          <w:rFonts w:ascii="仿宋_GB2312" w:hAnsi="仿宋_GB2312" w:eastAsia="仿宋_GB2312"/>
          <w:color w:val="000000"/>
          <w:sz w:val="32"/>
          <w:szCs w:val="32"/>
        </w:rPr>
      </w:pPr>
      <w:r>
        <w:rPr>
          <w:rFonts w:hint="eastAsia" w:ascii="仿宋_GB2312" w:eastAsia="仿宋_GB2312"/>
          <w:b/>
          <w:color w:val="000000"/>
          <w:sz w:val="32"/>
          <w:szCs w:val="32"/>
        </w:rPr>
        <w:t>一是</w:t>
      </w:r>
      <w:r>
        <w:rPr>
          <w:rFonts w:hint="eastAsia" w:ascii="仿宋_GB2312" w:eastAsia="仿宋_GB2312"/>
          <w:color w:val="000000"/>
          <w:sz w:val="32"/>
          <w:szCs w:val="32"/>
        </w:rPr>
        <w:t>截至11月我局共组织开展各类文化艺术活动20余场。其中，3次深入乡镇开展文艺活动，平均每季度1次，将文艺送到了群众家门口；开展较大型文艺活动3次；组织队伍参加各类比赛，交流活动7次,获得阿坝州庆祝中华人民共和国成立70周年“歌唱祖国”合唱大赛“三等奖”，我县“草原之心”艺术团歌手让波获得首届中国藏族山歌传承邀请赛冠军；文化助力旅游宣传活动13次，足迹自州府马尔康，北到兰州、西安，东到杭州、永嘉等地，川内多地数次登门拜访，成功递出“红原名片”。</w:t>
      </w:r>
    </w:p>
    <w:p>
      <w:pPr>
        <w:adjustRightInd w:val="0"/>
        <w:snapToGrid w:val="0"/>
        <w:spacing w:line="540" w:lineRule="exact"/>
        <w:ind w:firstLine="643" w:firstLineChars="200"/>
        <w:rPr>
          <w:rFonts w:ascii="仿宋_GB2312" w:hAnsi="黑体" w:eastAsia="仿宋_GB2312"/>
          <w:color w:val="000000"/>
          <w:sz w:val="32"/>
          <w:szCs w:val="32"/>
        </w:rPr>
      </w:pPr>
      <w:r>
        <w:rPr>
          <w:rFonts w:hint="eastAsia" w:ascii="仿宋_GB2312" w:eastAsia="仿宋_GB2312"/>
          <w:b/>
          <w:color w:val="000000"/>
          <w:sz w:val="32"/>
          <w:szCs w:val="32"/>
        </w:rPr>
        <w:t>二是</w:t>
      </w:r>
      <w:r>
        <w:rPr>
          <w:rFonts w:hint="eastAsia" w:ascii="仿宋_GB2312" w:eastAsia="仿宋_GB2312"/>
          <w:color w:val="000000"/>
          <w:sz w:val="32"/>
          <w:szCs w:val="32"/>
        </w:rPr>
        <w:t>以</w:t>
      </w:r>
      <w:r>
        <w:rPr>
          <w:rFonts w:hint="eastAsia" w:ascii="仿宋_GB2312" w:hAnsi="黑体" w:eastAsia="仿宋_GB2312"/>
          <w:color w:val="000000"/>
          <w:sz w:val="32"/>
          <w:szCs w:val="32"/>
        </w:rPr>
        <w:t>乡镇综合文化站、村级（社区）文化活动室、农家书屋、社区书屋及寺院书屋为宣传阵地。每年</w:t>
      </w:r>
      <w:r>
        <w:rPr>
          <w:rFonts w:hint="eastAsia" w:ascii="仿宋_GB2312" w:eastAsia="仿宋_GB2312"/>
          <w:color w:val="000000"/>
          <w:sz w:val="32"/>
          <w:szCs w:val="32"/>
        </w:rPr>
        <w:t>组织民间文艺团体和文艺青年开展山歌、弹唱、龙鼓舞、百汪说唱等专业培训，目前已在</w:t>
      </w:r>
      <w:r>
        <w:rPr>
          <w:rFonts w:hint="eastAsia" w:ascii="仿宋_GB2312" w:hAnsi="黑体" w:eastAsia="仿宋_GB2312"/>
          <w:color w:val="000000"/>
          <w:sz w:val="32"/>
          <w:szCs w:val="32"/>
        </w:rPr>
        <w:t>龙日乡新组织队伍培训龙头琴；规范管理县级图书馆、文化馆，不断深入推进免费开放工作，持续加大文化供给。</w:t>
      </w:r>
      <w:r>
        <w:rPr>
          <w:rFonts w:hint="eastAsia" w:ascii="仿宋" w:hAnsi="仿宋" w:eastAsia="仿宋"/>
          <w:color w:val="000000"/>
          <w:sz w:val="32"/>
        </w:rPr>
        <w:t>以4月23号世界读书日为契约，在我局学术报告厅举办了“读经典 学新知 链接美好生活”的阅读活动，参加此次活动有400多人次。</w:t>
      </w:r>
    </w:p>
    <w:p>
      <w:pPr>
        <w:adjustRightInd w:val="0"/>
        <w:snapToGrid w:val="0"/>
        <w:spacing w:line="540" w:lineRule="exact"/>
        <w:ind w:firstLine="643" w:firstLineChars="200"/>
        <w:rPr>
          <w:rFonts w:ascii="楷体_GB2312" w:hAnsi="黑体" w:eastAsia="楷体_GB2312"/>
          <w:b/>
          <w:color w:val="000000"/>
          <w:sz w:val="32"/>
          <w:szCs w:val="32"/>
        </w:rPr>
      </w:pPr>
      <w:r>
        <w:rPr>
          <w:rFonts w:hint="eastAsia" w:ascii="楷体_GB2312" w:hAnsi="黑体" w:eastAsia="楷体_GB2312"/>
          <w:b/>
          <w:color w:val="000000"/>
          <w:sz w:val="32"/>
          <w:szCs w:val="32"/>
        </w:rPr>
        <w:t>（四）基层体育工作</w:t>
      </w:r>
    </w:p>
    <w:p>
      <w:pPr>
        <w:adjustRightInd w:val="0"/>
        <w:snapToGrid w:val="0"/>
        <w:spacing w:line="54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一是</w:t>
      </w:r>
      <w:r>
        <w:rPr>
          <w:rFonts w:hint="eastAsia" w:ascii="仿宋_GB2312" w:eastAsia="仿宋_GB2312"/>
          <w:color w:val="000000"/>
          <w:sz w:val="32"/>
          <w:szCs w:val="32"/>
        </w:rPr>
        <w:t>体育场馆免费开放。红原县体育馆累计开放服务人数3.07万人次、红原县全民健身中心累计开放服务人数1.03万人次，老年活动室累计开放服务人数0.75万人次。</w:t>
      </w:r>
    </w:p>
    <w:p>
      <w:pPr>
        <w:adjustRightInd w:val="0"/>
        <w:snapToGrid w:val="0"/>
        <w:spacing w:line="54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二是</w:t>
      </w:r>
      <w:r>
        <w:rPr>
          <w:rFonts w:hint="eastAsia" w:ascii="仿宋_GB2312" w:eastAsia="仿宋_GB2312"/>
          <w:color w:val="000000"/>
          <w:sz w:val="32"/>
          <w:szCs w:val="32"/>
        </w:rPr>
        <w:t>体育场地普查。按照第四次全国体育场地统计调查工作要求，组织工作队深入村、社区调查体育场地情况。经统计，红原县体育场地共计164个，新增97个。现有体育场地基本能满足群众需求，人均拥有体育场地面积位居全州前列。</w:t>
      </w:r>
    </w:p>
    <w:p>
      <w:pPr>
        <w:adjustRightInd w:val="0"/>
        <w:snapToGrid w:val="0"/>
        <w:spacing w:line="540" w:lineRule="exact"/>
        <w:ind w:firstLine="675" w:firstLineChars="200"/>
        <w:rPr>
          <w:rFonts w:ascii="仿宋_GB2312" w:hAnsi="仿宋_GB2312" w:eastAsia="仿宋_GB2312" w:cs="仿宋_GB2312"/>
          <w:bCs/>
          <w:color w:val="000000"/>
          <w:sz w:val="32"/>
          <w:szCs w:val="32"/>
        </w:rPr>
      </w:pPr>
      <w:r>
        <w:rPr>
          <w:rFonts w:hint="eastAsia" w:ascii="仿宋_GB2312" w:hAnsi="黑体" w:eastAsia="仿宋_GB2312"/>
          <w:b/>
          <w:color w:val="000000"/>
          <w:spacing w:val="8"/>
          <w:sz w:val="32"/>
          <w:szCs w:val="32"/>
          <w:shd w:val="clear" w:color="auto" w:fill="FFFFFF"/>
        </w:rPr>
        <w:t>三是</w:t>
      </w:r>
      <w:r>
        <w:rPr>
          <w:rFonts w:hint="eastAsia" w:ascii="仿宋_GB2312" w:hAnsi="黑体" w:eastAsia="仿宋_GB2312"/>
          <w:color w:val="000000"/>
          <w:spacing w:val="8"/>
          <w:sz w:val="32"/>
          <w:szCs w:val="32"/>
          <w:shd w:val="clear" w:color="auto" w:fill="FFFFFF"/>
        </w:rPr>
        <w:t>群众性体育活动蓬勃开展。</w:t>
      </w:r>
      <w:r>
        <w:rPr>
          <w:rFonts w:hint="eastAsia" w:ascii="仿宋_GB2312" w:hAnsi="微软雅黑" w:eastAsia="仿宋_GB2312"/>
          <w:color w:val="000000"/>
          <w:spacing w:val="8"/>
          <w:sz w:val="32"/>
          <w:szCs w:val="32"/>
          <w:shd w:val="clear" w:color="auto" w:fill="FFFFFF"/>
        </w:rPr>
        <w:t>成功举办红原县第十七届“银珠杯”农牧民篮球运动会，协助民间马术协会举办第六届“邛钦杯”赛马大会,</w:t>
      </w:r>
      <w:r>
        <w:rPr>
          <w:rFonts w:hint="eastAsia" w:ascii="仿宋_GB2312" w:hAnsi="仿宋_GB2312" w:eastAsia="仿宋_GB2312" w:cs="仿宋_GB2312"/>
          <w:bCs/>
          <w:color w:val="000000"/>
          <w:sz w:val="32"/>
          <w:szCs w:val="32"/>
        </w:rPr>
        <w:t xml:space="preserve"> 举办第二届“喀唯央诺”赛牦牛比赛，举办首届“奥琅康杯”藏式举重大赛，组织我县优秀篮球运动员赴阿坝县参加第二届“莲宝叶则杯”篮球比赛。</w:t>
      </w:r>
      <w:r>
        <w:rPr>
          <w:rFonts w:hint="eastAsia" w:ascii="仿宋_GB2312" w:eastAsia="仿宋_GB2312"/>
          <w:color w:val="000000"/>
          <w:sz w:val="32"/>
          <w:szCs w:val="32"/>
        </w:rPr>
        <w:t>配合完成了2019年“净土阿坝·红色长征”汽摩拉力赛红原县赛段</w:t>
      </w:r>
      <w:r>
        <w:rPr>
          <w:rFonts w:hint="eastAsia" w:ascii="仿宋_GB2312" w:hAnsi="仿宋_GB2312" w:eastAsia="仿宋_GB2312" w:cs="仿宋_GB2312"/>
          <w:color w:val="000000"/>
          <w:sz w:val="32"/>
          <w:szCs w:val="32"/>
        </w:rPr>
        <w:t>活动；组织我县足球运动健赴马尔康市参加阿坝州第十九届“雪山杯”足球赛，获得了“第四名”。</w:t>
      </w:r>
    </w:p>
    <w:p>
      <w:pPr>
        <w:adjustRightInd w:val="0"/>
        <w:snapToGrid w:val="0"/>
        <w:spacing w:line="540" w:lineRule="exact"/>
        <w:ind w:firstLine="643" w:firstLineChars="200"/>
        <w:rPr>
          <w:rFonts w:ascii="仿宋_GB2312" w:hAnsi="仿宋" w:eastAsia="仿宋_GB2312" w:cs="仿宋"/>
          <w:color w:val="000000"/>
          <w:sz w:val="32"/>
          <w:szCs w:val="32"/>
        </w:rPr>
      </w:pPr>
      <w:r>
        <w:rPr>
          <w:rFonts w:hint="eastAsia" w:ascii="仿宋_GB2312" w:hAnsi="黑体" w:eastAsia="仿宋_GB2312"/>
          <w:b/>
          <w:color w:val="000000"/>
          <w:sz w:val="32"/>
          <w:szCs w:val="32"/>
        </w:rPr>
        <w:t>四是</w:t>
      </w:r>
      <w:r>
        <w:rPr>
          <w:rFonts w:hint="eastAsia" w:ascii="仿宋_GB2312" w:hAnsi="黑体" w:eastAsia="仿宋_GB2312"/>
          <w:color w:val="000000"/>
          <w:sz w:val="32"/>
          <w:szCs w:val="32"/>
        </w:rPr>
        <w:t>体育赛事成果丰硕。</w:t>
      </w:r>
      <w:r>
        <w:rPr>
          <w:rFonts w:hint="eastAsia" w:ascii="仿宋_GB2312" w:hAnsi="仿宋" w:eastAsia="仿宋_GB2312" w:cs="仿宋"/>
          <w:color w:val="000000"/>
          <w:sz w:val="32"/>
          <w:szCs w:val="32"/>
        </w:rPr>
        <w:t>红原县代表团获得第十五届州运会团体总成绩第七名、第十五届州运会体育道德风尚奖以及2016-2019年度体育事业贡献奖。包揽马术三项拾哈达、马上射击、马上射箭三个项目的金银铜牌，团队第一名；马上速度赛获得两金两银；民族式摔跤获得五金、两银、一铜，团体第三名；男子篮球比赛第四名；押加一银一铜，团体第四名；藏棋第三名；田径三银一铜。</w:t>
      </w:r>
    </w:p>
    <w:p>
      <w:pPr>
        <w:adjustRightInd w:val="0"/>
        <w:snapToGrid w:val="0"/>
        <w:spacing w:line="540" w:lineRule="exact"/>
        <w:ind w:firstLine="643" w:firstLineChars="200"/>
        <w:rPr>
          <w:rFonts w:ascii="楷体_GB2312" w:hAnsi="黑体" w:eastAsia="楷体_GB2312"/>
          <w:b/>
          <w:color w:val="000000"/>
          <w:sz w:val="32"/>
          <w:szCs w:val="32"/>
        </w:rPr>
      </w:pPr>
      <w:r>
        <w:rPr>
          <w:rFonts w:hint="eastAsia" w:ascii="楷体_GB2312" w:hAnsi="黑体" w:eastAsia="楷体_GB2312"/>
          <w:b/>
          <w:color w:val="000000"/>
          <w:sz w:val="32"/>
          <w:szCs w:val="32"/>
        </w:rPr>
        <w:t>（五）非遗和文物保护工作</w:t>
      </w:r>
    </w:p>
    <w:p>
      <w:pPr>
        <w:adjustRightInd w:val="0"/>
        <w:snapToGrid w:val="0"/>
        <w:spacing w:line="540" w:lineRule="exact"/>
        <w:ind w:firstLine="640" w:firstLineChars="200"/>
        <w:rPr>
          <w:rFonts w:ascii="仿宋_GB2312" w:hAnsi="方正小标宋简体" w:eastAsia="仿宋_GB2312" w:cs="方正小标宋简体"/>
          <w:color w:val="000000"/>
          <w:sz w:val="32"/>
          <w:szCs w:val="32"/>
          <w:shd w:val="clear" w:color="auto" w:fill="FFFFFF"/>
        </w:rPr>
      </w:pPr>
      <w:r>
        <w:rPr>
          <w:rFonts w:hint="eastAsia" w:ascii="仿宋_GB2312" w:hAnsi="黑体" w:eastAsia="仿宋_GB2312"/>
          <w:color w:val="000000"/>
          <w:sz w:val="32"/>
          <w:szCs w:val="32"/>
        </w:rPr>
        <w:t>红原现有国家级非物质文化遗产项目1项，省级非物质文化遗产项目3项，州级非物质文化遗产项目41项、传承人22人。今年“妙笔金书技艺”“藏式泥灶制作工艺”“牦牛鞍制作工艺”“牦牛皮加工技艺”“藏笛制作技艺”“帐篷制作技艺”6个项目成功列入县级非物质文化遗产保护项目名录，县级非物质文化遗产项目增长到124项。组织</w:t>
      </w:r>
      <w:r>
        <w:rPr>
          <w:rFonts w:hint="eastAsia" w:ascii="仿宋_GB2312" w:hAnsi="Calibri" w:eastAsia="仿宋_GB2312"/>
          <w:color w:val="000000"/>
          <w:sz w:val="32"/>
          <w:szCs w:val="32"/>
        </w:rPr>
        <w:t>参加温州国际时尚文博会和绵阳三台县举办的文化旅游交流会，对其宣传、展销唐卡、藏药、藏族牛羊毛手工编织工艺“非遗”产品，带动部分贫困户增加收入，促经济发展。</w:t>
      </w:r>
      <w:r>
        <w:rPr>
          <w:rFonts w:hint="eastAsia" w:ascii="仿宋_GB2312" w:hAnsi="仿宋_GB2312" w:eastAsia="仿宋_GB2312" w:cs="仿宋_GB2312"/>
          <w:color w:val="000000"/>
          <w:sz w:val="32"/>
          <w:szCs w:val="32"/>
        </w:rPr>
        <w:t>为促进我县红色文化发展需要，</w:t>
      </w:r>
      <w:r>
        <w:rPr>
          <w:rFonts w:hint="eastAsia" w:ascii="仿宋_GB2312" w:hAnsi="Calibri" w:eastAsia="仿宋_GB2312"/>
          <w:color w:val="000000"/>
          <w:sz w:val="32"/>
          <w:szCs w:val="32"/>
        </w:rPr>
        <w:t>弘扬优秀历史文化，加强地方文物保护对我县国家级文物保护单位亚口</w:t>
      </w:r>
      <w:r>
        <w:rPr>
          <w:rFonts w:hint="eastAsia" w:ascii="仿宋_GB2312" w:hAnsi="仿宋_GB2312" w:eastAsia="仿宋_GB2312" w:cs="仿宋_GB2312"/>
          <w:color w:val="000000"/>
          <w:sz w:val="32"/>
          <w:szCs w:val="32"/>
        </w:rPr>
        <w:t>夏红军烈士墓附属设施进行修缮，</w:t>
      </w:r>
      <w:r>
        <w:rPr>
          <w:rFonts w:hint="eastAsia" w:ascii="仿宋_GB2312" w:hAnsi="Calibri" w:eastAsia="仿宋_GB2312"/>
          <w:color w:val="000000"/>
          <w:sz w:val="32"/>
          <w:szCs w:val="32"/>
        </w:rPr>
        <w:t>同时</w:t>
      </w:r>
      <w:r>
        <w:rPr>
          <w:rFonts w:hint="eastAsia" w:ascii="仿宋_GB2312" w:hAnsi="仿宋_GB2312" w:eastAsia="仿宋_GB2312" w:cs="仿宋_GB2312"/>
          <w:color w:val="000000"/>
          <w:sz w:val="32"/>
          <w:szCs w:val="32"/>
        </w:rPr>
        <w:t>对辖区内文物安全隐患进行大排查，进一步完善文物安全责任落实机制。</w:t>
      </w:r>
      <w:r>
        <w:rPr>
          <w:rFonts w:hint="eastAsia" w:ascii="仿宋_GB2312" w:eastAsia="仿宋_GB2312"/>
          <w:sz w:val="32"/>
          <w:szCs w:val="32"/>
        </w:rPr>
        <w:t>根据文物和非物质文化遗产保护和传承相关规定，对全县非遗文化和文物进行普查登记，</w:t>
      </w:r>
      <w:r>
        <w:rPr>
          <w:rFonts w:hint="eastAsia" w:ascii="仿宋_GB2312" w:eastAsia="仿宋_GB2312"/>
          <w:color w:val="000000"/>
          <w:sz w:val="32"/>
          <w:szCs w:val="32"/>
        </w:rPr>
        <w:t>投资70余万元为龙让寺、康玛寺、麦洼寺安装监控设备、防盗门、保险柜等文物保护设施设备。今年投资20万元支持色地镇</w:t>
      </w:r>
      <w:r>
        <w:rPr>
          <w:rFonts w:hint="eastAsia" w:ascii="仿宋_GB2312" w:hAnsi="黑体" w:eastAsia="仿宋_GB2312"/>
          <w:color w:val="000000"/>
          <w:sz w:val="32"/>
          <w:szCs w:val="32"/>
        </w:rPr>
        <w:t>茸塔寺</w:t>
      </w:r>
      <w:r>
        <w:rPr>
          <w:rFonts w:hint="eastAsia" w:ascii="仿宋_GB2312" w:eastAsia="仿宋_GB2312"/>
          <w:color w:val="000000"/>
          <w:sz w:val="32"/>
          <w:szCs w:val="32"/>
        </w:rPr>
        <w:t>寺寺庙书屋提升。安排3万元文化惠民经费用于龙日乡组织队伍培训龙头琴；安排10万元经费用于麦洼锅庄录制；</w:t>
      </w:r>
      <w:r>
        <w:rPr>
          <w:rFonts w:hint="eastAsia" w:ascii="仿宋_GB2312" w:hAnsi="方正小标宋简体" w:eastAsia="仿宋_GB2312" w:cs="方正小标宋简体"/>
          <w:color w:val="000000"/>
          <w:sz w:val="32"/>
          <w:szCs w:val="32"/>
          <w:shd w:val="clear" w:color="auto" w:fill="FFFFFF"/>
        </w:rPr>
        <w:t>使用公共文化服务体系资金4万元支持壤口乡举办文体活动。</w:t>
      </w:r>
    </w:p>
    <w:p>
      <w:pPr>
        <w:adjustRightInd w:val="0"/>
        <w:snapToGrid w:val="0"/>
        <w:spacing w:line="540" w:lineRule="exact"/>
        <w:ind w:firstLine="640"/>
        <w:rPr>
          <w:rFonts w:ascii="楷体_GB2312" w:eastAsia="楷体_GB2312"/>
          <w:b/>
          <w:color w:val="000000"/>
          <w:sz w:val="32"/>
          <w:szCs w:val="32"/>
        </w:rPr>
      </w:pPr>
      <w:r>
        <w:rPr>
          <w:rFonts w:hint="eastAsia" w:ascii="楷体_GB2312" w:eastAsia="楷体_GB2312"/>
          <w:b/>
          <w:color w:val="000000"/>
          <w:sz w:val="32"/>
          <w:szCs w:val="32"/>
        </w:rPr>
        <w:t>（六）广播电视工作</w:t>
      </w:r>
    </w:p>
    <w:p>
      <w:pPr>
        <w:spacing w:line="560" w:lineRule="exact"/>
        <w:ind w:firstLine="640" w:firstLineChars="200"/>
        <w:rPr>
          <w:rFonts w:ascii="仿宋_GB2312" w:eastAsia="仿宋_GB2312"/>
          <w:bCs/>
          <w:sz w:val="32"/>
          <w:szCs w:val="32"/>
        </w:rPr>
      </w:pPr>
      <w:r>
        <w:rPr>
          <w:rFonts w:hint="eastAsia" w:ascii="仿宋_GB2312" w:eastAsia="仿宋_GB2312"/>
          <w:bCs/>
          <w:sz w:val="32"/>
          <w:szCs w:val="32"/>
        </w:rPr>
        <w:t>阿坝州深度贫困县应急广播体系建设项目，在已建成应急广播系统建设项目（试点县应急广播系统建设）的基础上，按照《全国应急广播体系建设总体规划》、相关技术规范和《四川省深度贫困县应急广播体系建设工程实施方案2019年(川广办[2019]26号文)》、《四川省深度贫困县应急广播体系建设工程技术方案2019年(川广办[2019]27号文)》要求，参照信息系统安全等级保护二级，配置必要的软硬件设备，完善应急广播平台。依托红原县原有的广播村村响系统和传输覆盖资源，进一步完善应急广播村村响系统建设，达到村级应急广播重点乡镇覆盖的目标，实现县乡村三级联播。该项目现正在安装应急广播前端设备，已按合同约定拨付20%。</w:t>
      </w:r>
    </w:p>
    <w:p>
      <w:pPr>
        <w:adjustRightInd w:val="0"/>
        <w:snapToGrid w:val="0"/>
        <w:spacing w:line="540" w:lineRule="exact"/>
        <w:ind w:firstLine="640"/>
        <w:rPr>
          <w:rFonts w:ascii="楷体_GB2312" w:eastAsia="楷体_GB2312"/>
          <w:b/>
          <w:color w:val="000000"/>
          <w:sz w:val="32"/>
          <w:szCs w:val="32"/>
        </w:rPr>
      </w:pPr>
      <w:r>
        <w:rPr>
          <w:rFonts w:hint="eastAsia" w:ascii="楷体_GB2312" w:eastAsia="楷体_GB2312"/>
          <w:b/>
          <w:color w:val="000000"/>
          <w:sz w:val="32"/>
          <w:szCs w:val="32"/>
        </w:rPr>
        <w:t>（七）雅克音乐季品牌</w:t>
      </w:r>
    </w:p>
    <w:p>
      <w:pPr>
        <w:adjustRightInd w:val="0"/>
        <w:snapToGrid w:val="0"/>
        <w:spacing w:line="540" w:lineRule="exact"/>
        <w:ind w:firstLine="640"/>
        <w:rPr>
          <w:rFonts w:ascii="仿宋_GB2312" w:eastAsia="仿宋_GB2312"/>
          <w:b/>
          <w:color w:val="000000"/>
          <w:sz w:val="32"/>
          <w:szCs w:val="32"/>
        </w:rPr>
      </w:pPr>
      <w:r>
        <w:rPr>
          <w:rFonts w:hint="eastAsia" w:ascii="仿宋_GB2312" w:hAnsi="仿宋_GB2312" w:eastAsia="仿宋_GB2312" w:cs="仿宋_GB2312"/>
          <w:color w:val="000000"/>
          <w:sz w:val="32"/>
          <w:szCs w:val="32"/>
        </w:rPr>
        <w:t>以“音乐+”为引擎推动文化旅游融合发展，因地制宜将生态文化、红色文化、民族文化、游牧文化、宗教文化、门户文化与旅游、体育、体验全面深度融合，连续成功举办四届红原大草原夏季雅克音乐季，</w:t>
      </w:r>
      <w:r>
        <w:rPr>
          <w:rFonts w:hint="eastAsia" w:ascii="仿宋_GB2312" w:eastAsia="仿宋_GB2312"/>
          <w:color w:val="000000"/>
          <w:sz w:val="32"/>
          <w:szCs w:val="32"/>
        </w:rPr>
        <w:t>第四届雅克音乐季还衍生出了首届中国藏族山歌传承邀请赛，实现游客接待量14.9万人次，旅游收入1.16亿元，票房收入分别为363万元，</w:t>
      </w:r>
      <w:r>
        <w:rPr>
          <w:rFonts w:hint="eastAsia" w:ascii="仿宋_GB2312" w:hAnsi="仿宋_GB2312" w:eastAsia="仿宋_GB2312" w:cs="仿宋_GB2312"/>
          <w:color w:val="000000"/>
          <w:sz w:val="32"/>
          <w:szCs w:val="32"/>
        </w:rPr>
        <w:t>其品牌价值持续提升、综合效益持续突显，成为了川甘青地区乃至全国颇具影响力的文化品牌。</w:t>
      </w:r>
    </w:p>
    <w:p>
      <w:pPr>
        <w:pStyle w:val="3"/>
        <w:spacing w:after="0" w:line="570" w:lineRule="exact"/>
        <w:rPr>
          <w:rStyle w:val="27"/>
          <w:rFonts w:ascii="仿宋_GB2312" w:eastAsia="仿宋_GB2312"/>
          <w:b w:val="0"/>
          <w:bCs w:val="0"/>
        </w:rPr>
      </w:pPr>
      <w:bookmarkStart w:id="18" w:name="_Toc15377200"/>
      <w:bookmarkStart w:id="19" w:name="_Toc15396601"/>
      <w:r>
        <w:rPr>
          <w:rFonts w:hint="eastAsia" w:ascii="仿宋_GB2312" w:eastAsia="仿宋_GB2312"/>
          <w:b w:val="0"/>
          <w:color w:val="000000"/>
        </w:rPr>
        <w:t>二、</w:t>
      </w:r>
      <w:r>
        <w:rPr>
          <w:rFonts w:hint="eastAsia" w:ascii="仿宋_GB2312" w:hAnsi="黑体" w:eastAsia="仿宋_GB2312"/>
          <w:b w:val="0"/>
          <w:color w:val="000000"/>
        </w:rPr>
        <w:t>机</w:t>
      </w:r>
      <w:r>
        <w:rPr>
          <w:rStyle w:val="27"/>
          <w:rFonts w:hint="eastAsia" w:ascii="仿宋_GB2312" w:hAnsi="黑体" w:eastAsia="仿宋_GB2312"/>
          <w:b w:val="0"/>
          <w:bCs w:val="0"/>
        </w:rPr>
        <w:t>构设置</w:t>
      </w:r>
      <w:bookmarkEnd w:id="18"/>
      <w:bookmarkEnd w:id="19"/>
    </w:p>
    <w:p>
      <w:pPr>
        <w:spacing w:line="570" w:lineRule="exact"/>
        <w:ind w:firstLine="800" w:firstLineChars="250"/>
        <w:rPr>
          <w:rFonts w:ascii="仿宋_GB2312" w:hAnsi="仿宋" w:eastAsia="仿宋_GB2312"/>
          <w:sz w:val="32"/>
          <w:szCs w:val="32"/>
        </w:rPr>
      </w:pPr>
      <w:r>
        <w:rPr>
          <w:rFonts w:hint="eastAsia" w:ascii="仿宋_GB2312" w:hAnsi="仿宋" w:eastAsia="仿宋_GB2312"/>
          <w:sz w:val="32"/>
          <w:szCs w:val="32"/>
        </w:rPr>
        <w:t>红原县文化体育和旅游局下属二级单位0个，其中行政单位0个，参照公务员法管理的事业单位</w:t>
      </w:r>
      <w:r>
        <w:rPr>
          <w:rFonts w:hint="eastAsia" w:ascii="仿宋_GB2312" w:hAnsi="仿宋" w:eastAsia="仿宋_GB2312"/>
          <w:bCs/>
          <w:sz w:val="32"/>
          <w:szCs w:val="32"/>
        </w:rPr>
        <w:t>0</w:t>
      </w:r>
      <w:r>
        <w:rPr>
          <w:rFonts w:hint="eastAsia" w:ascii="仿宋_GB2312" w:hAnsi="仿宋" w:eastAsia="仿宋_GB2312"/>
          <w:sz w:val="32"/>
          <w:szCs w:val="32"/>
        </w:rPr>
        <w:t>个，其他事业单位0个。</w:t>
      </w:r>
    </w:p>
    <w:p>
      <w:pPr>
        <w:pStyle w:val="5"/>
        <w:adjustRightInd w:val="0"/>
        <w:snapToGrid w:val="0"/>
        <w:spacing w:before="93" w:line="570" w:lineRule="exact"/>
        <w:ind w:firstLine="672" w:firstLineChars="210"/>
        <w:rPr>
          <w:rFonts w:hAnsi="仿宋"/>
          <w:color w:val="000000"/>
          <w:sz w:val="32"/>
          <w:szCs w:val="32"/>
        </w:rPr>
      </w:pPr>
      <w:r>
        <w:rPr>
          <w:rFonts w:hint="eastAsia" w:hAnsi="仿宋"/>
          <w:color w:val="000000"/>
          <w:sz w:val="32"/>
          <w:szCs w:val="32"/>
        </w:rPr>
        <w:t>纳入红原县文化体育和旅游局2019年度部门决算编制范围的二级预算单位包括：</w:t>
      </w:r>
    </w:p>
    <w:p>
      <w:pPr>
        <w:widowControl/>
        <w:spacing w:line="570" w:lineRule="exact"/>
        <w:jc w:val="left"/>
        <w:rPr>
          <w:rFonts w:ascii="仿宋_GB2312" w:hAnsi="仿宋" w:eastAsia="仿宋_GB2312"/>
          <w:color w:val="000000"/>
          <w:kern w:val="0"/>
          <w:sz w:val="32"/>
          <w:szCs w:val="32"/>
        </w:rPr>
      </w:pPr>
      <w:r>
        <w:rPr>
          <w:rFonts w:hint="eastAsia" w:ascii="仿宋_GB2312" w:hAnsi="仿宋" w:eastAsia="仿宋_GB2312"/>
          <w:color w:val="000000"/>
          <w:sz w:val="32"/>
          <w:szCs w:val="32"/>
        </w:rPr>
        <w:br w:type="page"/>
      </w:r>
    </w:p>
    <w:p>
      <w:pPr>
        <w:pStyle w:val="2"/>
        <w:spacing w:after="0" w:line="570" w:lineRule="exact"/>
        <w:ind w:right="440"/>
        <w:jc w:val="right"/>
        <w:rPr>
          <w:rStyle w:val="26"/>
          <w:rFonts w:ascii="仿宋_GB2312" w:hAnsi="黑体" w:eastAsia="仿宋_GB2312"/>
          <w:b w:val="0"/>
          <w:bCs w:val="0"/>
        </w:rPr>
      </w:pPr>
      <w:bookmarkStart w:id="20" w:name="_Toc15396602"/>
      <w:bookmarkStart w:id="21" w:name="_Toc15377204"/>
      <w:r>
        <w:rPr>
          <w:rFonts w:hint="eastAsia" w:ascii="仿宋_GB2312" w:hAnsi="黑体" w:eastAsia="仿宋_GB2312"/>
          <w:b w:val="0"/>
          <w:color w:val="000000"/>
        </w:rPr>
        <w:t>第二部分</w:t>
      </w:r>
      <w:r>
        <w:rPr>
          <w:rFonts w:hint="eastAsia" w:ascii="仿宋_GB2312" w:hAnsi="黑体" w:eastAsia="仿宋_GB2312"/>
          <w:color w:val="000000"/>
        </w:rPr>
        <w:t xml:space="preserve"> </w:t>
      </w:r>
      <w:r>
        <w:rPr>
          <w:rStyle w:val="26"/>
          <w:rFonts w:hint="eastAsia" w:ascii="仿宋_GB2312" w:hAnsi="黑体" w:eastAsia="仿宋_GB2312"/>
          <w:b w:val="0"/>
          <w:bCs w:val="0"/>
        </w:rPr>
        <w:t>2019年度部门决算情况说明</w:t>
      </w:r>
      <w:bookmarkEnd w:id="20"/>
      <w:bookmarkEnd w:id="21"/>
    </w:p>
    <w:p>
      <w:pPr>
        <w:spacing w:line="570" w:lineRule="exact"/>
        <w:rPr>
          <w:rFonts w:ascii="仿宋_GB2312" w:eastAsia="仿宋_GB2312"/>
        </w:rPr>
      </w:pPr>
    </w:p>
    <w:p>
      <w:pPr>
        <w:pStyle w:val="25"/>
        <w:numPr>
          <w:ilvl w:val="0"/>
          <w:numId w:val="2"/>
        </w:numPr>
        <w:spacing w:line="570" w:lineRule="exact"/>
        <w:ind w:firstLineChars="0"/>
        <w:outlineLvl w:val="1"/>
        <w:rPr>
          <w:rStyle w:val="27"/>
          <w:rFonts w:ascii="仿宋_GB2312" w:hAnsi="黑体" w:eastAsia="仿宋_GB2312"/>
          <w:b w:val="0"/>
        </w:rPr>
      </w:pPr>
      <w:bookmarkStart w:id="22" w:name="_Toc15396603"/>
      <w:bookmarkStart w:id="23" w:name="_Toc15377205"/>
      <w:r>
        <w:rPr>
          <w:rFonts w:hint="eastAsia" w:ascii="仿宋_GB2312" w:hAnsi="黑体" w:eastAsia="仿宋_GB2312"/>
          <w:color w:val="000000"/>
          <w:sz w:val="32"/>
          <w:szCs w:val="32"/>
        </w:rPr>
        <w:t>收</w:t>
      </w:r>
      <w:r>
        <w:rPr>
          <w:rStyle w:val="27"/>
          <w:rFonts w:hint="eastAsia" w:ascii="仿宋_GB2312" w:hAnsi="黑体" w:eastAsia="仿宋_GB2312"/>
          <w:b w:val="0"/>
        </w:rPr>
        <w:t>入支出决算总体情况说明</w:t>
      </w:r>
      <w:bookmarkEnd w:id="22"/>
      <w:bookmarkEnd w:id="23"/>
    </w:p>
    <w:p>
      <w:pPr>
        <w:spacing w:line="570" w:lineRule="exact"/>
        <w:ind w:firstLine="640" w:firstLineChars="200"/>
        <w:rPr>
          <w:rFonts w:ascii="仿宋" w:hAnsi="仿宋" w:eastAsia="仿宋"/>
          <w:color w:val="000000"/>
          <w:sz w:val="32"/>
          <w:szCs w:val="32"/>
        </w:rPr>
      </w:pPr>
      <w:r>
        <w:rPr>
          <w:rFonts w:hint="eastAsia" w:ascii="仿宋_GB2312" w:hAnsi="仿宋" w:eastAsia="仿宋_GB2312"/>
          <w:color w:val="000000"/>
          <w:sz w:val="32"/>
          <w:szCs w:val="32"/>
        </w:rPr>
        <w:t>2019年度收入总计9643.99万元，支出总计9029.44万元。与2018年文体广新局与旅游发展局合计收入6716.19万元，支出总计5129.19万元，与2018年相比收入总计增长70%，支出总计增长58%。变动原因是主要</w:t>
      </w:r>
      <w:r>
        <w:rPr>
          <w:rFonts w:hint="eastAsia" w:ascii="仿宋" w:hAnsi="仿宋" w:eastAsia="仿宋"/>
          <w:color w:val="000000"/>
          <w:sz w:val="32"/>
          <w:szCs w:val="32"/>
        </w:rPr>
        <w:t>建设项目增加，项目资金收支增加。</w:t>
      </w:r>
    </w:p>
    <w:p>
      <w:pPr>
        <w:spacing w:line="570" w:lineRule="exact"/>
        <w:ind w:firstLine="640" w:firstLineChars="200"/>
        <w:rPr>
          <w:rFonts w:ascii="仿宋" w:hAnsi="仿宋" w:eastAsia="仿宋"/>
          <w:color w:val="000000"/>
          <w:sz w:val="32"/>
          <w:szCs w:val="32"/>
        </w:rPr>
      </w:pPr>
    </w:p>
    <w:p>
      <w:pPr>
        <w:tabs>
          <w:tab w:val="left" w:pos="3882"/>
          <w:tab w:val="left" w:pos="5021"/>
          <w:tab w:val="left" w:pos="5622"/>
        </w:tabs>
        <w:spacing w:line="570" w:lineRule="exact"/>
        <w:rPr>
          <w:rFonts w:ascii="仿宋_GB2312" w:hAnsi="仿宋" w:eastAsia="仿宋_GB2312"/>
          <w:color w:val="000000" w:themeColor="text1"/>
          <w:sz w:val="32"/>
          <w:szCs w:val="32"/>
        </w:rPr>
      </w:pPr>
      <w:r>
        <w:rPr>
          <w:rFonts w:ascii="仿宋_GB2312" w:hAnsi="仿宋" w:eastAsia="仿宋_GB2312"/>
          <w:color w:val="000000" w:themeColor="text1"/>
          <w:sz w:val="32"/>
          <w:szCs w:val="32"/>
        </w:rPr>
        <w:drawing>
          <wp:anchor distT="0" distB="0" distL="114300" distR="114300" simplePos="0" relativeHeight="251659264" behindDoc="1" locked="0" layoutInCell="1" allowOverlap="1">
            <wp:simplePos x="0" y="0"/>
            <wp:positionH relativeFrom="column">
              <wp:posOffset>235585</wp:posOffset>
            </wp:positionH>
            <wp:positionV relativeFrom="paragraph">
              <wp:posOffset>248920</wp:posOffset>
            </wp:positionV>
            <wp:extent cx="4831080" cy="2681605"/>
            <wp:effectExtent l="19050" t="0" r="26670" b="4445"/>
            <wp:wrapSquare wrapText="bothSides"/>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ascii="仿宋_GB2312" w:hAnsi="仿宋" w:eastAsia="仿宋_GB2312"/>
          <w:color w:val="000000" w:themeColor="text1"/>
          <w:sz w:val="32"/>
          <w:szCs w:val="32"/>
        </w:rPr>
        <w:tab/>
      </w:r>
      <w:r>
        <w:rPr>
          <w:rFonts w:ascii="仿宋_GB2312" w:hAnsi="仿宋" w:eastAsia="仿宋_GB2312"/>
          <w:color w:val="000000" w:themeColor="text1"/>
          <w:sz w:val="32"/>
          <w:szCs w:val="32"/>
        </w:rPr>
        <w:tab/>
      </w:r>
      <w:r>
        <w:rPr>
          <w:rFonts w:ascii="仿宋_GB2312" w:hAnsi="仿宋" w:eastAsia="仿宋_GB2312"/>
          <w:color w:val="000000" w:themeColor="text1"/>
          <w:sz w:val="32"/>
          <w:szCs w:val="32"/>
        </w:rPr>
        <w:tab/>
      </w:r>
      <w:r>
        <w:rPr>
          <w:rFonts w:ascii="仿宋_GB2312" w:hAnsi="仿宋" w:eastAsia="仿宋_GB2312"/>
          <w:color w:val="000000" w:themeColor="text1"/>
          <w:sz w:val="32"/>
          <w:szCs w:val="32"/>
        </w:rPr>
        <w:tab/>
      </w:r>
    </w:p>
    <w:p>
      <w:pPr>
        <w:pStyle w:val="25"/>
        <w:numPr>
          <w:ilvl w:val="0"/>
          <w:numId w:val="2"/>
        </w:numPr>
        <w:spacing w:line="570" w:lineRule="exact"/>
        <w:ind w:firstLineChars="0"/>
        <w:outlineLvl w:val="1"/>
        <w:rPr>
          <w:rStyle w:val="27"/>
          <w:rFonts w:ascii="仿宋_GB2312" w:hAnsi="黑体" w:eastAsia="仿宋_GB2312"/>
          <w:b w:val="0"/>
        </w:rPr>
      </w:pPr>
      <w:bookmarkStart w:id="24" w:name="_Toc15396604"/>
      <w:bookmarkStart w:id="25" w:name="_Toc15377206"/>
      <w:r>
        <w:rPr>
          <w:rFonts w:hint="eastAsia" w:ascii="仿宋_GB2312" w:hAnsi="黑体" w:eastAsia="仿宋_GB2312"/>
          <w:color w:val="000000"/>
          <w:sz w:val="32"/>
          <w:szCs w:val="32"/>
        </w:rPr>
        <w:t>收</w:t>
      </w:r>
      <w:r>
        <w:rPr>
          <w:rStyle w:val="27"/>
          <w:rFonts w:hint="eastAsia" w:ascii="仿宋_GB2312" w:hAnsi="黑体" w:eastAsia="仿宋_GB2312"/>
          <w:b w:val="0"/>
        </w:rPr>
        <w:t>入决算情况说明</w:t>
      </w:r>
      <w:bookmarkEnd w:id="24"/>
      <w:bookmarkEnd w:id="25"/>
    </w:p>
    <w:p>
      <w:pPr>
        <w:spacing w:line="570" w:lineRule="exact"/>
        <w:ind w:firstLine="640" w:firstLineChars="200"/>
        <w:outlineLvl w:val="1"/>
        <w:rPr>
          <w:rFonts w:ascii="仿宋_GB2312" w:hAnsi="仿宋" w:eastAsia="仿宋_GB2312"/>
          <w:color w:val="000000"/>
          <w:sz w:val="32"/>
          <w:szCs w:val="32"/>
        </w:rPr>
      </w:pPr>
      <w:r>
        <w:rPr>
          <w:rFonts w:hint="eastAsia" w:ascii="仿宋_GB2312" w:hAnsi="仿宋" w:eastAsia="仿宋_GB2312"/>
          <w:color w:val="000000"/>
          <w:sz w:val="32"/>
          <w:szCs w:val="32"/>
        </w:rPr>
        <w:t>2019年本年收入合计9643.99元，其中：一般公共预算财政拨款收入9505.64万元，占98.57%；政府性基金预算财政拨款收入104.38万元，占1.08%；其他收入33.97万元，占0.35%。</w:t>
      </w:r>
    </w:p>
    <w:p>
      <w:pPr>
        <w:spacing w:line="570" w:lineRule="exact"/>
        <w:ind w:firstLine="640" w:firstLineChars="200"/>
        <w:outlineLvl w:val="1"/>
        <w:rPr>
          <w:rFonts w:ascii="仿宋_GB2312" w:hAnsi="仿宋" w:eastAsia="仿宋_GB2312"/>
          <w:color w:val="000000"/>
          <w:sz w:val="32"/>
          <w:szCs w:val="32"/>
        </w:rPr>
      </w:pPr>
    </w:p>
    <w:p>
      <w:pPr>
        <w:spacing w:line="570" w:lineRule="exact"/>
        <w:ind w:firstLine="640" w:firstLineChars="200"/>
        <w:outlineLvl w:val="1"/>
        <w:rPr>
          <w:rFonts w:ascii="仿宋_GB2312" w:eastAsia="仿宋_GB2312"/>
          <w:color w:val="FF0000"/>
          <w:sz w:val="32"/>
          <w:szCs w:val="32"/>
        </w:rPr>
      </w:pPr>
      <w:r>
        <w:rPr>
          <w:rFonts w:ascii="仿宋_GB2312" w:hAnsi="仿宋" w:eastAsia="仿宋_GB2312"/>
          <w:color w:val="000000"/>
          <w:sz w:val="32"/>
          <w:szCs w:val="32"/>
        </w:rPr>
        <w:drawing>
          <wp:anchor distT="0" distB="0" distL="0" distR="0" simplePos="0" relativeHeight="251660288" behindDoc="0" locked="0" layoutInCell="1" allowOverlap="1">
            <wp:simplePos x="0" y="0"/>
            <wp:positionH relativeFrom="column">
              <wp:posOffset>111125</wp:posOffset>
            </wp:positionH>
            <wp:positionV relativeFrom="paragraph">
              <wp:posOffset>-295275</wp:posOffset>
            </wp:positionV>
            <wp:extent cx="5274310" cy="3076575"/>
            <wp:effectExtent l="19050" t="0" r="21590" b="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5"/>
        <w:numPr>
          <w:ilvl w:val="0"/>
          <w:numId w:val="2"/>
        </w:numPr>
        <w:spacing w:line="570" w:lineRule="exact"/>
        <w:ind w:firstLineChars="0"/>
        <w:outlineLvl w:val="1"/>
        <w:rPr>
          <w:rStyle w:val="27"/>
          <w:rFonts w:ascii="仿宋_GB2312" w:hAnsi="黑体" w:eastAsia="仿宋_GB2312"/>
          <w:b w:val="0"/>
        </w:rPr>
      </w:pPr>
      <w:bookmarkStart w:id="26" w:name="_Toc15396605"/>
      <w:bookmarkStart w:id="27" w:name="_Toc15377207"/>
      <w:r>
        <w:rPr>
          <w:rFonts w:hint="eastAsia" w:ascii="仿宋_GB2312" w:hAnsi="黑体" w:eastAsia="仿宋_GB2312"/>
          <w:color w:val="000000"/>
          <w:sz w:val="32"/>
          <w:szCs w:val="32"/>
        </w:rPr>
        <w:t>支</w:t>
      </w:r>
      <w:r>
        <w:rPr>
          <w:rStyle w:val="27"/>
          <w:rFonts w:hint="eastAsia" w:ascii="仿宋_GB2312" w:hAnsi="黑体" w:eastAsia="仿宋_GB2312"/>
          <w:b w:val="0"/>
        </w:rPr>
        <w:t>出决算情况说明</w:t>
      </w:r>
      <w:bookmarkEnd w:id="26"/>
      <w:bookmarkEnd w:id="27"/>
    </w:p>
    <w:p>
      <w:pPr>
        <w:spacing w:line="570" w:lineRule="exact"/>
        <w:ind w:firstLine="640" w:firstLineChars="200"/>
        <w:outlineLvl w:val="1"/>
        <w:rPr>
          <w:rFonts w:ascii="仿宋_GB2312" w:hAnsi="仿宋" w:eastAsia="仿宋_GB2312"/>
          <w:color w:val="000000"/>
          <w:sz w:val="32"/>
          <w:szCs w:val="32"/>
        </w:rPr>
      </w:pPr>
      <w:r>
        <w:rPr>
          <w:rFonts w:hint="eastAsia" w:ascii="仿宋_GB2312" w:hAnsi="仿宋" w:eastAsia="仿宋_GB2312"/>
          <w:color w:val="000000"/>
          <w:sz w:val="32"/>
          <w:szCs w:val="32"/>
        </w:rPr>
        <w:t>2019年本年支出合计9029.44万元，其中：基本支844.88万元，占9.36%；项目支出8184.57万元，占90.64%。</w:t>
      </w:r>
    </w:p>
    <w:p>
      <w:pPr>
        <w:spacing w:line="570"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（图3：支出决算结构图）（饼状图）</w:t>
      </w:r>
    </w:p>
    <w:p>
      <w:pPr>
        <w:spacing w:line="570" w:lineRule="exact"/>
        <w:ind w:firstLine="640" w:firstLineChars="200"/>
        <w:rPr>
          <w:rFonts w:hint="eastAsia" w:ascii="仿宋_GB2312" w:eastAsia="仿宋_GB2312"/>
          <w:color w:val="FF0000"/>
          <w:sz w:val="32"/>
          <w:szCs w:val="32"/>
        </w:rPr>
      </w:pPr>
      <w:r>
        <w:rPr>
          <w:rFonts w:hint="eastAsia" w:ascii="仿宋_GB2312" w:eastAsia="仿宋_GB2312"/>
          <w:color w:val="FF0000"/>
          <w:sz w:val="32"/>
          <w:szCs w:val="32"/>
        </w:rPr>
        <w:drawing>
          <wp:anchor distT="0" distB="0" distL="0" distR="0" simplePos="0" relativeHeight="251661312" behindDoc="0" locked="0" layoutInCell="1" allowOverlap="1">
            <wp:simplePos x="0" y="0"/>
            <wp:positionH relativeFrom="column">
              <wp:posOffset>73025</wp:posOffset>
            </wp:positionH>
            <wp:positionV relativeFrom="paragraph">
              <wp:posOffset>270510</wp:posOffset>
            </wp:positionV>
            <wp:extent cx="5274310" cy="3076575"/>
            <wp:effectExtent l="19050" t="0" r="21590" b="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570" w:lineRule="exact"/>
        <w:ind w:firstLine="640" w:firstLineChars="200"/>
        <w:rPr>
          <w:rFonts w:hint="eastAsia" w:ascii="仿宋_GB2312" w:eastAsia="仿宋_GB2312"/>
          <w:color w:val="FF0000"/>
          <w:sz w:val="32"/>
          <w:szCs w:val="32"/>
        </w:rPr>
      </w:pPr>
    </w:p>
    <w:p>
      <w:pPr>
        <w:spacing w:line="570" w:lineRule="exact"/>
        <w:ind w:firstLine="640" w:firstLineChars="200"/>
        <w:outlineLvl w:val="1"/>
        <w:rPr>
          <w:rStyle w:val="27"/>
          <w:rFonts w:ascii="仿宋_GB2312" w:hAnsi="黑体" w:eastAsia="仿宋_GB2312"/>
          <w:b w:val="0"/>
        </w:rPr>
      </w:pPr>
      <w:bookmarkStart w:id="28" w:name="_Toc15377208"/>
      <w:bookmarkStart w:id="29" w:name="_Toc15396606"/>
      <w:r>
        <w:rPr>
          <w:rFonts w:hint="eastAsia" w:ascii="仿宋_GB2312" w:hAnsi="黑体" w:eastAsia="仿宋_GB2312"/>
          <w:color w:val="000000"/>
          <w:sz w:val="32"/>
          <w:szCs w:val="32"/>
        </w:rPr>
        <w:t>四、财</w:t>
      </w:r>
      <w:r>
        <w:rPr>
          <w:rStyle w:val="27"/>
          <w:rFonts w:hint="eastAsia" w:ascii="仿宋_GB2312" w:hAnsi="黑体" w:eastAsia="仿宋_GB2312"/>
          <w:b w:val="0"/>
        </w:rPr>
        <w:t>政拨款收入支出决算总体情况说明</w:t>
      </w:r>
      <w:bookmarkEnd w:id="28"/>
      <w:bookmarkEnd w:id="29"/>
    </w:p>
    <w:p>
      <w:pPr>
        <w:spacing w:line="570" w:lineRule="exact"/>
        <w:ind w:firstLine="640" w:firstLineChars="200"/>
        <w:rPr>
          <w:rFonts w:ascii="仿宋_GB2312" w:hAnsi="仿宋" w:eastAsia="仿宋_GB2312"/>
          <w:color w:val="000000"/>
          <w:sz w:val="32"/>
          <w:szCs w:val="32"/>
        </w:rPr>
      </w:pPr>
      <w:r>
        <w:rPr>
          <w:sz w:val="32"/>
        </w:rPr>
        <w:pict>
          <v:shape id="_x0000_s2050" o:spid="_x0000_s2050" o:spt="202" type="#_x0000_t202" style="position:absolute;left:0pt;margin-left:451.8pt;margin-top:100.05pt;height:72pt;width:72pt;z-index:251682816;mso-width-relative:page;mso-height-relative:page;" fillcolor="#FFFFFF" filled="t" stroked="t" coordsize="21600,21600">
            <v:path/>
            <v:fill on="t" color2="#FFFFFF" focussize="0,0"/>
            <v:stroke color="#000000"/>
            <v:imagedata o:title=""/>
            <o:lock v:ext="edit" aspectratio="f"/>
            <v:textbox>
              <w:txbxContent>
                <w:p/>
              </w:txbxContent>
            </v:textbox>
          </v:shape>
        </w:pict>
      </w:r>
      <w:r>
        <w:rPr>
          <w:rFonts w:hint="eastAsia" w:ascii="仿宋_GB2312" w:hAnsi="仿宋" w:eastAsia="仿宋_GB2312"/>
          <w:color w:val="000000"/>
          <w:sz w:val="32"/>
          <w:szCs w:val="32"/>
        </w:rPr>
        <w:t>2019年财政拨款收入总计9643.99万元，支出合计9029.44万元。与2018年相比，财政拨款收入总计6716.19万元，支出总计5129.19万元，2019年总收入增加2927.8万元，增长30.94%。，支出总增加3900.25万元，增长43.19%，变动原因是主要</w:t>
      </w:r>
      <w:r>
        <w:rPr>
          <w:rFonts w:hint="eastAsia" w:ascii="仿宋" w:hAnsi="仿宋" w:eastAsia="仿宋"/>
          <w:color w:val="000000"/>
          <w:sz w:val="32"/>
          <w:szCs w:val="32"/>
        </w:rPr>
        <w:t>建设项目增加，项目资金收支增加。</w:t>
      </w:r>
    </w:p>
    <w:p>
      <w:pPr>
        <w:spacing w:line="570" w:lineRule="exact"/>
        <w:ind w:firstLine="640"/>
        <w:rPr>
          <w:rFonts w:hint="eastAsia" w:ascii="仿宋_GB2312" w:hAnsi="仿宋" w:eastAsia="仿宋_GB2312"/>
          <w:b/>
          <w:color w:val="00B050"/>
          <w:sz w:val="32"/>
          <w:szCs w:val="32"/>
        </w:rPr>
      </w:pPr>
      <w:r>
        <w:rPr>
          <w:rFonts w:hint="eastAsia" w:ascii="仿宋" w:hAnsi="仿宋" w:eastAsia="仿宋"/>
          <w:color w:val="000000" w:themeColor="text1"/>
          <w:sz w:val="32"/>
          <w:szCs w:val="32"/>
        </w:rPr>
        <w:drawing>
          <wp:anchor distT="0" distB="0" distL="114300" distR="114300" simplePos="0" relativeHeight="251671552" behindDoc="1" locked="0" layoutInCell="1" allowOverlap="1">
            <wp:simplePos x="0" y="0"/>
            <wp:positionH relativeFrom="column">
              <wp:posOffset>-24130</wp:posOffset>
            </wp:positionH>
            <wp:positionV relativeFrom="paragraph">
              <wp:posOffset>261620</wp:posOffset>
            </wp:positionV>
            <wp:extent cx="5266055" cy="2974340"/>
            <wp:effectExtent l="4445" t="4445" r="6350" b="1206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570" w:lineRule="exact"/>
        <w:ind w:firstLine="640" w:firstLineChars="200"/>
        <w:outlineLvl w:val="1"/>
        <w:rPr>
          <w:rStyle w:val="27"/>
          <w:rFonts w:ascii="仿宋_GB2312" w:hAnsi="黑体" w:eastAsia="仿宋_GB2312"/>
          <w:b w:val="0"/>
        </w:rPr>
      </w:pPr>
      <w:bookmarkStart w:id="30" w:name="_Toc15377209"/>
      <w:bookmarkStart w:id="31" w:name="_Toc15396607"/>
      <w:r>
        <w:rPr>
          <w:rFonts w:hint="eastAsia" w:ascii="仿宋_GB2312" w:hAnsi="黑体" w:eastAsia="仿宋_GB2312"/>
          <w:color w:val="000000"/>
          <w:sz w:val="32"/>
          <w:szCs w:val="32"/>
        </w:rPr>
        <w:t>五、</w:t>
      </w:r>
      <w:r>
        <w:rPr>
          <w:rFonts w:hint="eastAsia" w:ascii="仿宋_GB2312" w:hAnsi="黑体" w:eastAsia="仿宋_GB2312"/>
          <w:b/>
          <w:color w:val="000000"/>
          <w:sz w:val="32"/>
          <w:szCs w:val="32"/>
        </w:rPr>
        <w:t>一</w:t>
      </w:r>
      <w:r>
        <w:rPr>
          <w:rStyle w:val="27"/>
          <w:rFonts w:hint="eastAsia" w:ascii="仿宋_GB2312" w:hAnsi="黑体" w:eastAsia="仿宋_GB2312"/>
          <w:b w:val="0"/>
        </w:rPr>
        <w:t>般公共预算财政拨款支出决算情况说明</w:t>
      </w:r>
      <w:bookmarkEnd w:id="30"/>
      <w:bookmarkEnd w:id="31"/>
    </w:p>
    <w:p>
      <w:pPr>
        <w:spacing w:line="570" w:lineRule="exact"/>
        <w:ind w:firstLine="643" w:firstLineChars="200"/>
        <w:outlineLvl w:val="2"/>
        <w:rPr>
          <w:rFonts w:ascii="仿宋_GB2312" w:hAnsi="仿宋" w:eastAsia="仿宋_GB2312"/>
          <w:b/>
          <w:color w:val="000000"/>
          <w:sz w:val="32"/>
          <w:szCs w:val="32"/>
        </w:rPr>
      </w:pPr>
      <w:bookmarkStart w:id="32" w:name="_Toc15377210"/>
      <w:r>
        <w:rPr>
          <w:rFonts w:hint="eastAsia" w:ascii="仿宋_GB2312" w:hAnsi="仿宋" w:eastAsia="仿宋_GB2312"/>
          <w:b/>
          <w:color w:val="000000"/>
          <w:sz w:val="32"/>
          <w:szCs w:val="32"/>
        </w:rPr>
        <w:t>（一）一般公共预算财政拨款支出决算总体情况</w:t>
      </w:r>
      <w:bookmarkEnd w:id="32"/>
    </w:p>
    <w:p>
      <w:pPr>
        <w:spacing w:line="57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2019年一般公共预算财政拨款支出8840.23万元，占本年支出合计的97.9%。与2018年相比，2018年一般公共预算财政拨款4876.74万元，增加3963.49万元，增长44.83%。变动原因是主要</w:t>
      </w:r>
      <w:r>
        <w:rPr>
          <w:rFonts w:hint="eastAsia" w:ascii="仿宋" w:hAnsi="仿宋" w:eastAsia="仿宋"/>
          <w:color w:val="000000"/>
          <w:sz w:val="32"/>
          <w:szCs w:val="32"/>
        </w:rPr>
        <w:t>建设项目增加，项目资金收支增加。</w:t>
      </w:r>
    </w:p>
    <w:p>
      <w:pPr>
        <w:spacing w:line="570" w:lineRule="exact"/>
        <w:ind w:firstLine="640" w:firstLineChars="200"/>
        <w:rPr>
          <w:rFonts w:ascii="仿宋_GB2312" w:hAnsi="仿宋" w:eastAsia="仿宋_GB2312"/>
          <w:color w:val="000000"/>
          <w:sz w:val="32"/>
          <w:szCs w:val="32"/>
        </w:rPr>
      </w:pPr>
    </w:p>
    <w:p>
      <w:pPr>
        <w:spacing w:line="570" w:lineRule="exact"/>
        <w:ind w:firstLine="640" w:firstLineChars="200"/>
        <w:rPr>
          <w:rFonts w:ascii="仿宋_GB2312" w:hAnsi="仿宋" w:eastAsia="仿宋_GB2312"/>
          <w:color w:val="000000"/>
          <w:sz w:val="32"/>
          <w:szCs w:val="32"/>
        </w:rPr>
      </w:pPr>
    </w:p>
    <w:p>
      <w:pPr>
        <w:spacing w:line="57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lang w:eastAsia="zh-CN"/>
        </w:rPr>
        <w:drawing>
          <wp:anchor distT="0" distB="0" distL="114300" distR="114300" simplePos="0" relativeHeight="251672576" behindDoc="1" locked="0" layoutInCell="1" allowOverlap="1">
            <wp:simplePos x="0" y="0"/>
            <wp:positionH relativeFrom="column">
              <wp:posOffset>410845</wp:posOffset>
            </wp:positionH>
            <wp:positionV relativeFrom="paragraph">
              <wp:posOffset>-3535045</wp:posOffset>
            </wp:positionV>
            <wp:extent cx="5080000" cy="3810000"/>
            <wp:effectExtent l="4445" t="4445" r="20955" b="14605"/>
            <wp:wrapTight wrapText="bothSides">
              <wp:wrapPolygon>
                <wp:start x="-19" y="-25"/>
                <wp:lineTo x="-19" y="21575"/>
                <wp:lineTo x="21527" y="21575"/>
                <wp:lineTo x="21527" y="-25"/>
                <wp:lineTo x="-19" y="-25"/>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570"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（图5：一般公共预算财政拨款支出决算变动情况）（柱状图）</w:t>
      </w:r>
    </w:p>
    <w:p>
      <w:pPr>
        <w:spacing w:line="570" w:lineRule="exact"/>
        <w:ind w:firstLine="640" w:firstLineChars="200"/>
        <w:rPr>
          <w:rFonts w:ascii="仿宋_GB2312" w:hAnsi="仿宋" w:eastAsia="仿宋_GB2312"/>
          <w:color w:val="000000" w:themeColor="text1"/>
          <w:sz w:val="32"/>
          <w:szCs w:val="32"/>
        </w:rPr>
      </w:pPr>
    </w:p>
    <w:p>
      <w:pPr>
        <w:spacing w:line="570" w:lineRule="exact"/>
        <w:ind w:firstLine="643" w:firstLineChars="200"/>
        <w:outlineLvl w:val="2"/>
        <w:rPr>
          <w:rFonts w:ascii="仿宋_GB2312" w:hAnsi="仿宋" w:eastAsia="仿宋_GB2312"/>
          <w:b/>
          <w:color w:val="000000"/>
          <w:sz w:val="32"/>
          <w:szCs w:val="32"/>
        </w:rPr>
      </w:pPr>
      <w:bookmarkStart w:id="33" w:name="_Toc15377211"/>
      <w:r>
        <w:rPr>
          <w:rFonts w:hint="eastAsia" w:ascii="仿宋_GB2312" w:hAnsi="仿宋" w:eastAsia="仿宋_GB2312"/>
          <w:b/>
          <w:color w:val="000000"/>
          <w:sz w:val="32"/>
          <w:szCs w:val="32"/>
        </w:rPr>
        <w:t>（二）一般公共预算财政拨款支出决算结构情况</w:t>
      </w:r>
      <w:bookmarkEnd w:id="33"/>
    </w:p>
    <w:p>
      <w:pPr>
        <w:spacing w:line="570" w:lineRule="exact"/>
        <w:ind w:firstLine="640"/>
        <w:rPr>
          <w:rFonts w:ascii="仿宋_GB2312" w:hAnsi="仿宋" w:eastAsia="仿宋_GB2312"/>
          <w:color w:val="000000" w:themeColor="text1"/>
          <w:sz w:val="32"/>
          <w:szCs w:val="32"/>
        </w:rPr>
      </w:pPr>
      <w:r>
        <w:rPr>
          <w:rFonts w:hint="eastAsia" w:ascii="仿宋_GB2312" w:hAnsi="仿宋" w:eastAsia="仿宋_GB2312"/>
          <w:color w:val="000000"/>
          <w:sz w:val="32"/>
          <w:szCs w:val="32"/>
        </w:rPr>
        <w:t>2019年一般公共预算财</w:t>
      </w:r>
      <w:r>
        <w:rPr>
          <w:rFonts w:hint="eastAsia" w:ascii="仿宋_GB2312" w:hAnsi="仿宋" w:eastAsia="仿宋_GB2312"/>
          <w:color w:val="000000" w:themeColor="text1"/>
          <w:sz w:val="32"/>
          <w:szCs w:val="32"/>
        </w:rPr>
        <w:t>政拨款支出8840.23万元，主要用于以下方面:</w:t>
      </w:r>
      <w:r>
        <w:rPr>
          <w:rFonts w:hint="eastAsia" w:ascii="仿宋_GB2312" w:hAnsi="仿宋" w:eastAsia="仿宋_GB2312"/>
          <w:b/>
          <w:bCs/>
          <w:color w:val="000000" w:themeColor="text1"/>
          <w:sz w:val="32"/>
          <w:szCs w:val="32"/>
        </w:rPr>
        <w:t>文化旅游体育与传媒（类）支出7591.24万元，占85.87%</w:t>
      </w:r>
      <w:r>
        <w:rPr>
          <w:rFonts w:hint="eastAsia" w:ascii="仿宋_GB2312" w:hAnsi="仿宋" w:eastAsia="仿宋_GB2312"/>
          <w:color w:val="000000" w:themeColor="text1"/>
          <w:sz w:val="32"/>
          <w:szCs w:val="32"/>
        </w:rPr>
        <w:t>；</w:t>
      </w:r>
      <w:r>
        <w:rPr>
          <w:rFonts w:hint="eastAsia" w:ascii="仿宋_GB2312" w:hAnsi="仿宋" w:eastAsia="仿宋_GB2312"/>
          <w:b/>
          <w:color w:val="000000" w:themeColor="text1"/>
          <w:sz w:val="32"/>
          <w:szCs w:val="32"/>
        </w:rPr>
        <w:t>社会保障和就业（类）</w:t>
      </w:r>
      <w:r>
        <w:rPr>
          <w:rFonts w:hint="eastAsia" w:ascii="仿宋_GB2312" w:hAnsi="仿宋" w:eastAsia="仿宋_GB2312"/>
          <w:color w:val="000000" w:themeColor="text1"/>
          <w:sz w:val="32"/>
          <w:szCs w:val="32"/>
        </w:rPr>
        <w:t>支出101.45万元，占1.15%；</w:t>
      </w:r>
      <w:r>
        <w:rPr>
          <w:rFonts w:hint="eastAsia" w:ascii="仿宋_GB2312" w:hAnsi="仿宋" w:eastAsia="仿宋_GB2312"/>
          <w:b/>
          <w:bCs/>
          <w:color w:val="000000" w:themeColor="text1"/>
          <w:sz w:val="32"/>
          <w:szCs w:val="32"/>
        </w:rPr>
        <w:t>卫生健康支出</w:t>
      </w:r>
      <w:r>
        <w:rPr>
          <w:rFonts w:hint="eastAsia" w:ascii="仿宋_GB2312" w:hAnsi="仿宋" w:eastAsia="仿宋_GB2312"/>
          <w:color w:val="000000" w:themeColor="text1"/>
          <w:sz w:val="32"/>
          <w:szCs w:val="32"/>
        </w:rPr>
        <w:t>42.6万元，占0.48%；住房保障支出60.5万元，占0.68%；农业水支出1044.41万元，占11.81%；</w:t>
      </w:r>
      <w:r>
        <w:rPr>
          <w:rFonts w:ascii="仿宋_GB2312" w:hAnsi="仿宋" w:eastAsia="仿宋_GB2312"/>
          <w:color w:val="000000" w:themeColor="text1"/>
          <w:sz w:val="32"/>
          <w:szCs w:val="32"/>
        </w:rPr>
        <w:t xml:space="preserve"> </w:t>
      </w:r>
    </w:p>
    <w:p>
      <w:pPr>
        <w:spacing w:line="57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（图6：一般公共预算财政拨款支出决算结构）（饼状图）</w:t>
      </w:r>
    </w:p>
    <w:p>
      <w:pPr>
        <w:spacing w:line="57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lang w:eastAsia="zh-CN"/>
        </w:rPr>
        <w:drawing>
          <wp:anchor distT="0" distB="0" distL="114300" distR="114300" simplePos="0" relativeHeight="251663360" behindDoc="1" locked="0" layoutInCell="1" allowOverlap="1">
            <wp:simplePos x="0" y="0"/>
            <wp:positionH relativeFrom="page">
              <wp:posOffset>1525270</wp:posOffset>
            </wp:positionH>
            <wp:positionV relativeFrom="page">
              <wp:posOffset>7854315</wp:posOffset>
            </wp:positionV>
            <wp:extent cx="4594860" cy="2706370"/>
            <wp:effectExtent l="4445" t="4445" r="10795" b="13335"/>
            <wp:wrapTight wrapText="bothSides">
              <wp:wrapPolygon>
                <wp:start x="-21" y="-35"/>
                <wp:lineTo x="-21" y="21554"/>
                <wp:lineTo x="21561" y="21554"/>
                <wp:lineTo x="21561" y="-35"/>
                <wp:lineTo x="-21" y="-35"/>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570" w:lineRule="exact"/>
        <w:ind w:firstLine="640" w:firstLineChars="200"/>
        <w:rPr>
          <w:rFonts w:hint="eastAsia" w:ascii="仿宋_GB2312" w:hAnsi="仿宋" w:eastAsia="仿宋_GB2312"/>
          <w:color w:val="000000"/>
          <w:sz w:val="32"/>
          <w:szCs w:val="32"/>
          <w:lang w:eastAsia="zh-CN"/>
        </w:rPr>
      </w:pPr>
    </w:p>
    <w:p>
      <w:pPr>
        <w:spacing w:line="570" w:lineRule="exact"/>
        <w:ind w:firstLine="640" w:firstLineChars="200"/>
        <w:rPr>
          <w:rFonts w:ascii="仿宋_GB2312" w:hAnsi="仿宋" w:eastAsia="仿宋_GB2312"/>
          <w:color w:val="000000"/>
          <w:sz w:val="32"/>
          <w:szCs w:val="32"/>
        </w:rPr>
      </w:pPr>
    </w:p>
    <w:p>
      <w:pPr>
        <w:spacing w:line="570" w:lineRule="exact"/>
        <w:ind w:firstLine="640" w:firstLineChars="200"/>
        <w:rPr>
          <w:rFonts w:ascii="仿宋_GB2312" w:hAnsi="仿宋" w:eastAsia="仿宋_GB2312"/>
          <w:color w:val="000000"/>
          <w:sz w:val="32"/>
          <w:szCs w:val="32"/>
        </w:rPr>
      </w:pPr>
    </w:p>
    <w:p>
      <w:pPr>
        <w:spacing w:line="570" w:lineRule="exact"/>
        <w:rPr>
          <w:rFonts w:ascii="仿宋_GB2312" w:hAnsi="仿宋" w:eastAsia="仿宋_GB2312"/>
          <w:color w:val="000000"/>
          <w:sz w:val="32"/>
          <w:szCs w:val="32"/>
        </w:rPr>
      </w:pPr>
    </w:p>
    <w:p>
      <w:pPr>
        <w:spacing w:line="570" w:lineRule="exact"/>
        <w:ind w:firstLine="643" w:firstLineChars="200"/>
        <w:outlineLvl w:val="2"/>
        <w:rPr>
          <w:rFonts w:ascii="仿宋_GB2312" w:hAnsi="仿宋" w:eastAsia="仿宋_GB2312"/>
          <w:b/>
          <w:color w:val="000000"/>
          <w:sz w:val="32"/>
          <w:szCs w:val="32"/>
        </w:rPr>
      </w:pPr>
      <w:bookmarkStart w:id="34" w:name="_Toc15377212"/>
      <w:r>
        <w:rPr>
          <w:rFonts w:hint="eastAsia" w:ascii="仿宋_GB2312" w:hAnsi="仿宋" w:eastAsia="仿宋_GB2312"/>
          <w:b/>
          <w:color w:val="000000"/>
          <w:sz w:val="32"/>
          <w:szCs w:val="32"/>
        </w:rPr>
        <w:t>（三）一般公共预算财政拨款支出决算具体情况</w:t>
      </w:r>
      <w:bookmarkEnd w:id="34"/>
    </w:p>
    <w:p>
      <w:pPr>
        <w:spacing w:line="570" w:lineRule="exact"/>
        <w:ind w:firstLine="643" w:firstLineChars="200"/>
        <w:outlineLvl w:val="2"/>
        <w:rPr>
          <w:rFonts w:ascii="仿宋_GB2312" w:hAnsi="仿宋" w:eastAsia="仿宋_GB2312"/>
          <w:color w:val="FF0000"/>
          <w:sz w:val="32"/>
          <w:szCs w:val="32"/>
        </w:rPr>
      </w:pPr>
      <w:bookmarkStart w:id="35" w:name="_Toc15377213"/>
      <w:bookmarkStart w:id="36" w:name="_Toc15377444"/>
      <w:bookmarkStart w:id="37" w:name="_Toc15378460"/>
      <w:r>
        <w:rPr>
          <w:rFonts w:hint="eastAsia" w:ascii="仿宋_GB2312" w:hAnsi="仿宋" w:eastAsia="仿宋_GB2312"/>
          <w:b/>
          <w:color w:val="000000" w:themeColor="text1"/>
          <w:sz w:val="32"/>
          <w:szCs w:val="32"/>
        </w:rPr>
        <w:t>2019年般公共预算支出决算数为8840.23</w:t>
      </w:r>
      <w:r>
        <w:rPr>
          <w:rFonts w:hint="eastAsia" w:ascii="仿宋_GB2312" w:hAnsi="仿宋" w:eastAsia="仿宋_GB2312"/>
          <w:color w:val="000000" w:themeColor="text1"/>
          <w:sz w:val="32"/>
          <w:szCs w:val="32"/>
        </w:rPr>
        <w:t>，</w:t>
      </w:r>
      <w:r>
        <w:rPr>
          <w:rStyle w:val="16"/>
          <w:rFonts w:hint="eastAsia" w:ascii="仿宋_GB2312" w:hAnsi="仿宋" w:eastAsia="仿宋_GB2312"/>
          <w:bCs/>
          <w:color w:val="000000" w:themeColor="text1"/>
          <w:sz w:val="32"/>
          <w:szCs w:val="32"/>
        </w:rPr>
        <w:t>完成</w:t>
      </w:r>
      <w:r>
        <w:rPr>
          <w:rStyle w:val="16"/>
          <w:rFonts w:hint="eastAsia" w:ascii="仿宋_GB2312" w:hAnsi="仿宋" w:eastAsia="仿宋_GB2312"/>
          <w:bCs/>
          <w:color w:val="000000"/>
          <w:sz w:val="32"/>
          <w:szCs w:val="32"/>
        </w:rPr>
        <w:t>预算100%。其中：</w:t>
      </w:r>
      <w:bookmarkEnd w:id="35"/>
      <w:bookmarkEnd w:id="36"/>
      <w:bookmarkEnd w:id="37"/>
    </w:p>
    <w:p>
      <w:pPr>
        <w:spacing w:line="600" w:lineRule="exact"/>
        <w:ind w:firstLine="643" w:firstLineChars="200"/>
        <w:rPr>
          <w:rStyle w:val="16"/>
          <w:rFonts w:ascii="仿宋" w:hAnsi="仿宋" w:eastAsia="仿宋"/>
          <w:b w:val="0"/>
          <w:bCs/>
          <w:color w:val="000000"/>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文化体育与传媒207</w:t>
      </w:r>
      <w:r>
        <w:rPr>
          <w:rStyle w:val="16"/>
          <w:rFonts w:ascii="仿宋" w:hAnsi="仿宋" w:eastAsia="仿宋"/>
          <w:bCs/>
          <w:color w:val="000000"/>
          <w:sz w:val="32"/>
          <w:szCs w:val="32"/>
        </w:rPr>
        <w:t xml:space="preserve">: </w:t>
      </w:r>
      <w:r>
        <w:rPr>
          <w:rStyle w:val="16"/>
          <w:rFonts w:hint="eastAsia" w:ascii="仿宋" w:hAnsi="仿宋" w:eastAsia="仿宋"/>
          <w:bCs/>
          <w:color w:val="000000"/>
          <w:sz w:val="32"/>
          <w:szCs w:val="32"/>
        </w:rPr>
        <w:t>支出决算为7591.24万元，完成预算100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，决算数等于预算数。</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2070102—一般行政管理事务支出19.8万元；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2070104—图书馆支出105.04万元；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2070106—艺术表演场所支出6万元；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2070107—艺术表演团体支出40万元；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2070109—群众文化支出39.89万元；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2070111—文化创作与保护支出26万元；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2070113</w:t>
      </w:r>
      <w:r>
        <w:rPr>
          <w:rFonts w:ascii="仿宋" w:hAnsi="仿宋" w:eastAsia="仿宋"/>
          <w:color w:val="000000"/>
          <w:sz w:val="32"/>
          <w:szCs w:val="32"/>
        </w:rPr>
        <w:t>—</w:t>
      </w:r>
      <w:r>
        <w:rPr>
          <w:rFonts w:hint="eastAsia" w:ascii="仿宋" w:hAnsi="仿宋" w:eastAsia="仿宋"/>
          <w:color w:val="000000"/>
          <w:sz w:val="32"/>
          <w:szCs w:val="32"/>
        </w:rPr>
        <w:t>旅游宣传19.78万元；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2070199—其他文化和旅游支出4997.2万元；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2070204</w:t>
      </w:r>
      <w:r>
        <w:rPr>
          <w:rFonts w:ascii="仿宋" w:hAnsi="仿宋" w:eastAsia="仿宋"/>
          <w:color w:val="000000"/>
          <w:sz w:val="32"/>
          <w:szCs w:val="32"/>
        </w:rPr>
        <w:t>—</w:t>
      </w:r>
      <w:r>
        <w:rPr>
          <w:rFonts w:hint="eastAsia" w:ascii="仿宋" w:hAnsi="仿宋" w:eastAsia="仿宋"/>
          <w:color w:val="000000"/>
          <w:sz w:val="32"/>
          <w:szCs w:val="32"/>
        </w:rPr>
        <w:t>文物保护支出248.95万元；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2070301—行政运行支出535.17万元；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2070305</w:t>
      </w:r>
      <w:r>
        <w:rPr>
          <w:rFonts w:ascii="仿宋" w:hAnsi="仿宋" w:eastAsia="仿宋"/>
          <w:color w:val="000000"/>
          <w:sz w:val="32"/>
          <w:szCs w:val="32"/>
        </w:rPr>
        <w:t>—</w:t>
      </w:r>
      <w:r>
        <w:rPr>
          <w:rFonts w:hint="eastAsia" w:ascii="仿宋" w:hAnsi="仿宋" w:eastAsia="仿宋"/>
          <w:color w:val="000000"/>
          <w:sz w:val="32"/>
          <w:szCs w:val="32"/>
        </w:rPr>
        <w:t>体育赛事支出40万元；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2070899</w:t>
      </w:r>
      <w:r>
        <w:rPr>
          <w:rFonts w:ascii="仿宋" w:hAnsi="仿宋" w:eastAsia="仿宋"/>
          <w:color w:val="000000"/>
          <w:sz w:val="32"/>
          <w:szCs w:val="32"/>
        </w:rPr>
        <w:t>—</w:t>
      </w:r>
      <w:r>
        <w:rPr>
          <w:rFonts w:hint="eastAsia" w:ascii="仿宋" w:hAnsi="仿宋" w:eastAsia="仿宋"/>
          <w:color w:val="000000"/>
          <w:sz w:val="32"/>
          <w:szCs w:val="32"/>
        </w:rPr>
        <w:t>其他广播电视支出300.53万元；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2079999—其他文化体育与传媒支出1212.88万元。</w:t>
      </w:r>
    </w:p>
    <w:p>
      <w:pPr>
        <w:spacing w:line="600" w:lineRule="exact"/>
        <w:ind w:firstLine="643" w:firstLineChars="200"/>
        <w:rPr>
          <w:rStyle w:val="16"/>
          <w:rFonts w:ascii="仿宋" w:hAnsi="仿宋" w:eastAsia="仿宋"/>
          <w:b w:val="0"/>
          <w:bCs/>
          <w:color w:val="000000"/>
          <w:sz w:val="32"/>
          <w:szCs w:val="32"/>
        </w:rPr>
      </w:pPr>
      <w:r>
        <w:rPr>
          <w:rStyle w:val="16"/>
          <w:rFonts w:ascii="仿宋" w:hAnsi="仿宋" w:eastAsia="仿宋"/>
          <w:bCs/>
          <w:color w:val="000000"/>
          <w:sz w:val="32"/>
          <w:szCs w:val="32"/>
        </w:rPr>
        <w:t>2.</w:t>
      </w:r>
      <w:r>
        <w:rPr>
          <w:rStyle w:val="16"/>
          <w:rFonts w:hint="eastAsia" w:ascii="仿宋" w:hAnsi="仿宋" w:eastAsia="仿宋"/>
          <w:bCs/>
          <w:color w:val="000000"/>
          <w:sz w:val="32"/>
          <w:szCs w:val="32"/>
        </w:rPr>
        <w:t>农林水213</w:t>
      </w:r>
      <w:r>
        <w:rPr>
          <w:rStyle w:val="16"/>
          <w:rFonts w:ascii="仿宋" w:hAnsi="仿宋" w:eastAsia="仿宋"/>
          <w:bCs/>
          <w:color w:val="000000"/>
          <w:sz w:val="32"/>
          <w:szCs w:val="32"/>
        </w:rPr>
        <w:t xml:space="preserve">: </w:t>
      </w:r>
      <w:r>
        <w:rPr>
          <w:rStyle w:val="16"/>
          <w:rFonts w:hint="eastAsia" w:ascii="仿宋" w:hAnsi="仿宋" w:eastAsia="仿宋"/>
          <w:bCs/>
          <w:color w:val="000000"/>
          <w:sz w:val="32"/>
          <w:szCs w:val="32"/>
        </w:rPr>
        <w:t>支出决算为1044.41万元，完成预算100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，决算数等于预算数。</w:t>
      </w:r>
    </w:p>
    <w:p>
      <w:pPr>
        <w:spacing w:line="600" w:lineRule="exact"/>
        <w:ind w:firstLine="643" w:firstLineChars="200"/>
        <w:rPr>
          <w:rStyle w:val="16"/>
          <w:rFonts w:ascii="仿宋" w:hAnsi="仿宋" w:eastAsia="仿宋"/>
          <w:b w:val="0"/>
          <w:bCs/>
          <w:color w:val="000000"/>
          <w:sz w:val="32"/>
          <w:szCs w:val="32"/>
        </w:rPr>
      </w:pPr>
      <w:r>
        <w:rPr>
          <w:rStyle w:val="16"/>
          <w:rFonts w:hint="eastAsia" w:ascii="仿宋" w:hAnsi="仿宋" w:eastAsia="仿宋"/>
          <w:bCs/>
          <w:color w:val="000000"/>
          <w:sz w:val="32"/>
          <w:szCs w:val="32"/>
        </w:rPr>
        <w:t>2130504—农村基础设施建设支出972.1万元；</w:t>
      </w:r>
    </w:p>
    <w:p>
      <w:pPr>
        <w:spacing w:line="600" w:lineRule="exact"/>
        <w:ind w:firstLine="643" w:firstLineChars="200"/>
        <w:rPr>
          <w:rStyle w:val="16"/>
          <w:rFonts w:ascii="仿宋" w:hAnsi="仿宋" w:eastAsia="仿宋"/>
          <w:bCs/>
          <w:color w:val="000000"/>
          <w:sz w:val="32"/>
          <w:szCs w:val="32"/>
        </w:rPr>
      </w:pPr>
      <w:r>
        <w:rPr>
          <w:rStyle w:val="16"/>
          <w:rFonts w:hint="eastAsia" w:ascii="仿宋" w:hAnsi="仿宋" w:eastAsia="仿宋"/>
          <w:bCs/>
          <w:color w:val="000000"/>
          <w:sz w:val="32"/>
          <w:szCs w:val="32"/>
        </w:rPr>
        <w:t>2130505—生产发展支出19.4万元；</w:t>
      </w: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rPr>
        <w:t>2130599</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其他扶贫支出52.91万元；</w:t>
      </w:r>
    </w:p>
    <w:p>
      <w:pPr>
        <w:pStyle w:val="33"/>
        <w:spacing w:line="600" w:lineRule="exact"/>
        <w:ind w:firstLineChars="0"/>
        <w:rPr>
          <w:rStyle w:val="16"/>
          <w:rFonts w:ascii="仿宋" w:hAnsi="仿宋" w:eastAsia="仿宋"/>
          <w:b w:val="0"/>
          <w:bCs/>
          <w:color w:val="000000"/>
          <w:sz w:val="32"/>
          <w:szCs w:val="32"/>
        </w:rPr>
      </w:pPr>
      <w:r>
        <w:rPr>
          <w:rStyle w:val="16"/>
          <w:rFonts w:hint="eastAsia" w:ascii="仿宋" w:hAnsi="仿宋" w:eastAsia="仿宋"/>
          <w:bCs/>
          <w:color w:val="000000"/>
          <w:sz w:val="32"/>
          <w:szCs w:val="32"/>
        </w:rPr>
        <w:t>3.社会保障和就业208</w:t>
      </w:r>
      <w:r>
        <w:rPr>
          <w:rStyle w:val="16"/>
          <w:rFonts w:ascii="仿宋" w:hAnsi="仿宋" w:eastAsia="仿宋"/>
          <w:bCs/>
          <w:color w:val="000000"/>
          <w:sz w:val="32"/>
          <w:szCs w:val="32"/>
        </w:rPr>
        <w:t xml:space="preserve">: </w:t>
      </w:r>
      <w:r>
        <w:rPr>
          <w:rStyle w:val="16"/>
          <w:rFonts w:hint="eastAsia" w:ascii="仿宋" w:hAnsi="仿宋" w:eastAsia="仿宋"/>
          <w:bCs/>
          <w:color w:val="000000"/>
          <w:sz w:val="32"/>
          <w:szCs w:val="32"/>
        </w:rPr>
        <w:t>支出决算为101.45万元，完成预算100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，决算数等于预算数。</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2080505—机关事业单位基本养老保险缴费支出69.97万元；</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2080506—机关事业单位职业年金缴费支出31.48万元。</w:t>
      </w:r>
    </w:p>
    <w:p>
      <w:pPr>
        <w:pStyle w:val="33"/>
        <w:spacing w:line="600" w:lineRule="exact"/>
        <w:ind w:firstLineChars="0"/>
        <w:rPr>
          <w:rStyle w:val="16"/>
          <w:rFonts w:ascii="仿宋" w:hAnsi="仿宋" w:eastAsia="仿宋"/>
          <w:b w:val="0"/>
          <w:bCs/>
          <w:color w:val="000000"/>
          <w:sz w:val="32"/>
          <w:szCs w:val="32"/>
        </w:rPr>
      </w:pPr>
      <w:r>
        <w:rPr>
          <w:rStyle w:val="16"/>
          <w:rFonts w:hint="eastAsia" w:ascii="仿宋" w:hAnsi="仿宋" w:eastAsia="仿宋"/>
          <w:bCs/>
          <w:color w:val="000000"/>
          <w:sz w:val="32"/>
          <w:szCs w:val="32"/>
        </w:rPr>
        <w:t>4.医疗卫生与计划生育210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支出决算为42.6万元，完成预算100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，决算数等于预算数。</w:t>
      </w:r>
    </w:p>
    <w:p>
      <w:pPr>
        <w:spacing w:line="600" w:lineRule="exact"/>
        <w:ind w:left="568"/>
        <w:rPr>
          <w:rFonts w:ascii="仿宋" w:hAnsi="仿宋" w:eastAsia="仿宋"/>
          <w:color w:val="000000"/>
          <w:sz w:val="32"/>
          <w:szCs w:val="32"/>
        </w:rPr>
      </w:pPr>
      <w:r>
        <w:rPr>
          <w:rFonts w:hint="eastAsia" w:ascii="仿宋" w:hAnsi="仿宋" w:eastAsia="仿宋"/>
          <w:color w:val="000000"/>
          <w:sz w:val="32"/>
          <w:szCs w:val="32"/>
        </w:rPr>
        <w:t>2101101—行政单位医疗支出25.65万元；</w:t>
      </w:r>
    </w:p>
    <w:p>
      <w:pPr>
        <w:spacing w:line="600" w:lineRule="exact"/>
        <w:ind w:left="568"/>
        <w:rPr>
          <w:rFonts w:ascii="仿宋" w:hAnsi="仿宋" w:eastAsia="仿宋"/>
          <w:color w:val="000000"/>
          <w:sz w:val="32"/>
          <w:szCs w:val="32"/>
        </w:rPr>
      </w:pPr>
      <w:r>
        <w:rPr>
          <w:rFonts w:hint="eastAsia" w:ascii="仿宋" w:hAnsi="仿宋" w:eastAsia="仿宋"/>
          <w:color w:val="000000"/>
          <w:sz w:val="32"/>
          <w:szCs w:val="32"/>
        </w:rPr>
        <w:t>2101102—事业单位医疗支出8.35万元；</w:t>
      </w:r>
    </w:p>
    <w:p>
      <w:pPr>
        <w:spacing w:line="600" w:lineRule="exact"/>
        <w:ind w:left="568"/>
        <w:rPr>
          <w:rFonts w:ascii="仿宋" w:hAnsi="仿宋" w:eastAsia="仿宋"/>
          <w:color w:val="000000"/>
          <w:sz w:val="32"/>
          <w:szCs w:val="32"/>
        </w:rPr>
      </w:pPr>
      <w:r>
        <w:rPr>
          <w:rFonts w:hint="eastAsia" w:ascii="仿宋" w:hAnsi="仿宋" w:eastAsia="仿宋"/>
          <w:color w:val="000000"/>
          <w:sz w:val="32"/>
          <w:szCs w:val="32"/>
        </w:rPr>
        <w:t>2101103—公务员医疗补助支出7.07万元；</w:t>
      </w:r>
    </w:p>
    <w:p>
      <w:pPr>
        <w:spacing w:line="600" w:lineRule="exact"/>
        <w:ind w:left="568"/>
        <w:rPr>
          <w:rFonts w:ascii="仿宋" w:hAnsi="仿宋" w:eastAsia="仿宋"/>
          <w:color w:val="000000"/>
          <w:sz w:val="32"/>
          <w:szCs w:val="32"/>
        </w:rPr>
      </w:pPr>
      <w:r>
        <w:rPr>
          <w:rFonts w:hint="eastAsia" w:ascii="仿宋" w:hAnsi="仿宋" w:eastAsia="仿宋"/>
          <w:color w:val="000000"/>
          <w:sz w:val="32"/>
          <w:szCs w:val="32"/>
        </w:rPr>
        <w:t>2101199—其他行政事业单位医疗支出1.49万元。</w:t>
      </w:r>
    </w:p>
    <w:p>
      <w:pPr>
        <w:pStyle w:val="33"/>
        <w:spacing w:line="600" w:lineRule="exact"/>
        <w:ind w:firstLineChars="0"/>
        <w:rPr>
          <w:rStyle w:val="16"/>
          <w:rFonts w:ascii="仿宋" w:hAnsi="仿宋" w:eastAsia="仿宋"/>
          <w:b w:val="0"/>
          <w:bCs/>
          <w:color w:val="000000"/>
          <w:sz w:val="32"/>
          <w:szCs w:val="32"/>
        </w:rPr>
      </w:pPr>
      <w:r>
        <w:rPr>
          <w:rFonts w:hint="eastAsia" w:ascii="仿宋" w:hAnsi="仿宋" w:eastAsia="仿宋"/>
          <w:b/>
          <w:color w:val="000000"/>
          <w:sz w:val="32"/>
          <w:szCs w:val="32"/>
        </w:rPr>
        <w:t>5.住房保障221：</w:t>
      </w:r>
      <w:r>
        <w:rPr>
          <w:rStyle w:val="16"/>
          <w:rFonts w:hint="eastAsia" w:ascii="仿宋" w:hAnsi="仿宋" w:eastAsia="仿宋"/>
          <w:bCs/>
          <w:color w:val="000000"/>
          <w:sz w:val="32"/>
          <w:szCs w:val="32"/>
        </w:rPr>
        <w:t>支出决算为60.5万元，完成预算100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，决算数等于预算数。</w:t>
      </w:r>
    </w:p>
    <w:p>
      <w:pPr>
        <w:spacing w:line="600" w:lineRule="exact"/>
        <w:ind w:left="568"/>
        <w:rPr>
          <w:rFonts w:ascii="仿宋" w:hAnsi="仿宋" w:eastAsia="仿宋"/>
          <w:bCs/>
          <w:color w:val="000000"/>
          <w:sz w:val="32"/>
          <w:szCs w:val="32"/>
        </w:rPr>
      </w:pPr>
      <w:r>
        <w:rPr>
          <w:rStyle w:val="16"/>
          <w:rFonts w:hint="eastAsia" w:ascii="仿宋" w:hAnsi="仿宋" w:eastAsia="仿宋"/>
          <w:bCs/>
          <w:color w:val="000000"/>
          <w:sz w:val="32"/>
          <w:szCs w:val="32"/>
        </w:rPr>
        <w:t>2210201—住房公积金支出60.5万元。</w:t>
      </w:r>
    </w:p>
    <w:p>
      <w:pPr>
        <w:tabs>
          <w:tab w:val="right" w:pos="8306"/>
        </w:tabs>
        <w:spacing w:line="570" w:lineRule="exact"/>
        <w:ind w:firstLine="640"/>
        <w:outlineLvl w:val="1"/>
        <w:rPr>
          <w:rStyle w:val="27"/>
          <w:rFonts w:ascii="仿宋_GB2312" w:eastAsia="仿宋_GB2312"/>
        </w:rPr>
      </w:pPr>
      <w:bookmarkStart w:id="38" w:name="_Toc15377214"/>
      <w:bookmarkStart w:id="39" w:name="_Toc15396608"/>
      <w:r>
        <w:rPr>
          <w:rFonts w:hint="eastAsia" w:ascii="仿宋_GB2312" w:eastAsia="仿宋_GB2312"/>
          <w:color w:val="000000"/>
          <w:sz w:val="32"/>
          <w:szCs w:val="32"/>
        </w:rPr>
        <w:t>六</w:t>
      </w:r>
      <w:r>
        <w:rPr>
          <w:rFonts w:hint="eastAsia" w:ascii="仿宋_GB2312" w:eastAsia="仿宋_GB2312"/>
          <w:b/>
          <w:color w:val="000000"/>
          <w:sz w:val="32"/>
          <w:szCs w:val="32"/>
        </w:rPr>
        <w:t>、</w:t>
      </w:r>
      <w:r>
        <w:rPr>
          <w:rFonts w:hint="eastAsia" w:ascii="仿宋_GB2312" w:hAnsi="黑体" w:eastAsia="仿宋_GB2312"/>
          <w:b/>
          <w:color w:val="000000"/>
          <w:sz w:val="32"/>
          <w:szCs w:val="32"/>
        </w:rPr>
        <w:t>一</w:t>
      </w:r>
      <w:r>
        <w:rPr>
          <w:rStyle w:val="27"/>
          <w:rFonts w:hint="eastAsia" w:ascii="仿宋_GB2312" w:hAnsi="黑体" w:eastAsia="仿宋_GB2312"/>
          <w:b w:val="0"/>
        </w:rPr>
        <w:t>般公共预算财政拨款基本支出决算情况说明</w:t>
      </w:r>
      <w:bookmarkEnd w:id="38"/>
      <w:bookmarkEnd w:id="39"/>
      <w:r>
        <w:rPr>
          <w:rStyle w:val="27"/>
          <w:rFonts w:hint="eastAsia" w:ascii="仿宋_GB2312" w:hAnsi="黑体" w:eastAsia="仿宋_GB2312"/>
          <w:b w:val="0"/>
        </w:rPr>
        <w:tab/>
      </w:r>
    </w:p>
    <w:p>
      <w:pPr>
        <w:spacing w:line="57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2019年一般公共预算财政拨款基本支出844.78万元，其中：</w:t>
      </w:r>
    </w:p>
    <w:p>
      <w:pPr>
        <w:spacing w:line="57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人员经费796.92万元，主要包括：基本工资145.44万元、津贴补贴234.55万元、奖金174.83万元、绩效工资25.02万元、机关事业单位基本养老保险缴费69.97万元、职业年金缴费31.48万元、其他社会保障缴费7.94万元、职工医疗保险缴费34.04万元，公务员医疗补助缴费8.56万元，医疗费4.56万元，住房公积金60.5万元。</w:t>
      </w:r>
      <w:r>
        <w:rPr>
          <w:rFonts w:hint="eastAsia" w:ascii="仿宋_GB2312" w:hAnsi="仿宋" w:eastAsia="仿宋_GB2312"/>
          <w:color w:val="000000"/>
          <w:sz w:val="32"/>
          <w:szCs w:val="32"/>
        </w:rPr>
        <w:br w:type="textWrapping"/>
      </w:r>
      <w:r>
        <w:rPr>
          <w:rFonts w:hint="eastAsia" w:ascii="仿宋_GB2312" w:hAnsi="仿宋" w:eastAsia="仿宋_GB2312"/>
          <w:color w:val="000000"/>
          <w:sz w:val="32"/>
          <w:szCs w:val="32"/>
        </w:rPr>
        <w:t>　　日常公用经费47.86万元，主要包括：办公费13.45万元、印刷费4.5万元、手续费0.25万元、水费0.5万元、电费1.83万元、差旅费13.41万元、维修（护）费0.4万元、租赁费1万元、公务接待费0.73万元、专用材料费0.2万元、劳务费1.3万元、委托业务费0.4万元、公务用车运行维护费9.29万元。</w:t>
      </w:r>
    </w:p>
    <w:p>
      <w:pPr>
        <w:spacing w:line="570" w:lineRule="exact"/>
        <w:ind w:firstLine="640"/>
        <w:outlineLvl w:val="1"/>
        <w:rPr>
          <w:rStyle w:val="27"/>
          <w:rFonts w:ascii="仿宋_GB2312" w:hAnsi="黑体" w:eastAsia="仿宋_GB2312"/>
          <w:b w:val="0"/>
        </w:rPr>
      </w:pPr>
      <w:bookmarkStart w:id="40" w:name="_Toc15396609"/>
      <w:bookmarkStart w:id="41" w:name="_Toc15377215"/>
      <w:r>
        <w:rPr>
          <w:rFonts w:hint="eastAsia" w:ascii="仿宋_GB2312" w:eastAsia="仿宋_GB2312"/>
          <w:color w:val="000000"/>
          <w:sz w:val="32"/>
          <w:szCs w:val="32"/>
        </w:rPr>
        <w:t>七、</w:t>
      </w:r>
      <w:r>
        <w:rPr>
          <w:rStyle w:val="27"/>
          <w:rFonts w:hint="eastAsia" w:ascii="仿宋_GB2312" w:hAnsi="黑体" w:eastAsia="仿宋_GB2312"/>
        </w:rPr>
        <w:t>“</w:t>
      </w:r>
      <w:r>
        <w:rPr>
          <w:rStyle w:val="27"/>
          <w:rFonts w:hint="eastAsia" w:ascii="仿宋_GB2312" w:hAnsi="黑体" w:eastAsia="仿宋_GB2312"/>
          <w:b w:val="0"/>
        </w:rPr>
        <w:t>三公”经费财政拨款支出决算情况说明</w:t>
      </w:r>
      <w:bookmarkEnd w:id="40"/>
      <w:bookmarkEnd w:id="41"/>
    </w:p>
    <w:p>
      <w:pPr>
        <w:spacing w:line="570" w:lineRule="exact"/>
        <w:ind w:firstLine="640"/>
        <w:outlineLvl w:val="2"/>
        <w:rPr>
          <w:rFonts w:ascii="仿宋_GB2312" w:hAnsi="仿宋" w:eastAsia="仿宋_GB2312"/>
          <w:b/>
          <w:color w:val="000000"/>
          <w:sz w:val="32"/>
          <w:szCs w:val="32"/>
        </w:rPr>
      </w:pPr>
      <w:bookmarkStart w:id="42" w:name="_Toc15377216"/>
      <w:r>
        <w:rPr>
          <w:rFonts w:hint="eastAsia" w:ascii="仿宋_GB2312" w:hAnsi="仿宋" w:eastAsia="仿宋_GB2312"/>
          <w:b/>
          <w:color w:val="000000"/>
          <w:sz w:val="32"/>
          <w:szCs w:val="32"/>
        </w:rPr>
        <w:t>（一）“三公”经费财政拨款支出决算总体情况说明</w:t>
      </w:r>
      <w:bookmarkEnd w:id="42"/>
    </w:p>
    <w:p>
      <w:pPr>
        <w:spacing w:line="57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2019年“三公”经费财政拨款支出决算为10.02万元，完成预算100%，决算数与预算数持平。</w:t>
      </w:r>
    </w:p>
    <w:p>
      <w:pPr>
        <w:spacing w:line="570" w:lineRule="exact"/>
        <w:ind w:firstLine="640"/>
        <w:outlineLvl w:val="2"/>
        <w:rPr>
          <w:rFonts w:ascii="仿宋_GB2312" w:hAnsi="仿宋" w:eastAsia="仿宋_GB2312"/>
          <w:b/>
          <w:color w:val="000000"/>
          <w:sz w:val="32"/>
          <w:szCs w:val="32"/>
        </w:rPr>
      </w:pPr>
      <w:bookmarkStart w:id="43" w:name="_Toc15377217"/>
      <w:r>
        <w:rPr>
          <w:rFonts w:hint="eastAsia" w:ascii="仿宋_GB2312" w:hAnsi="仿宋" w:eastAsia="仿宋_GB2312"/>
          <w:b/>
          <w:color w:val="000000"/>
          <w:sz w:val="32"/>
          <w:szCs w:val="32"/>
        </w:rPr>
        <w:t>（二）“三公”经费财政拨款支出决算具体情况说明</w:t>
      </w:r>
      <w:bookmarkEnd w:id="43"/>
    </w:p>
    <w:p>
      <w:pPr>
        <w:spacing w:line="57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2019年“三公”经费财政拨款支出决算中，因公出国（境）费支出决算0万元；公务用车购置及运行维护费支出决算9.29万元，占92.71%；公务接待费支出决算0.73万元，占7.29%。具体情况如下：</w:t>
      </w:r>
    </w:p>
    <w:p>
      <w:pPr>
        <w:spacing w:line="57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lang w:eastAsia="zh-CN"/>
        </w:rPr>
        <w:drawing>
          <wp:anchor distT="0" distB="0" distL="114300" distR="114300" simplePos="0" relativeHeight="251673600" behindDoc="0" locked="0" layoutInCell="1" allowOverlap="1">
            <wp:simplePos x="0" y="0"/>
            <wp:positionH relativeFrom="column">
              <wp:posOffset>887095</wp:posOffset>
            </wp:positionH>
            <wp:positionV relativeFrom="paragraph">
              <wp:posOffset>208280</wp:posOffset>
            </wp:positionV>
            <wp:extent cx="3509010" cy="2343785"/>
            <wp:effectExtent l="4445" t="4445" r="10795" b="1397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570" w:lineRule="exact"/>
        <w:ind w:firstLine="640"/>
        <w:rPr>
          <w:rFonts w:hint="eastAsia" w:ascii="仿宋_GB2312" w:hAnsi="仿宋" w:eastAsia="仿宋_GB2312"/>
          <w:color w:val="000000"/>
          <w:sz w:val="32"/>
          <w:szCs w:val="32"/>
          <w:lang w:eastAsia="zh-CN"/>
        </w:rPr>
      </w:pPr>
    </w:p>
    <w:p>
      <w:pPr>
        <w:spacing w:line="570" w:lineRule="exact"/>
        <w:ind w:firstLine="640"/>
        <w:rPr>
          <w:rFonts w:hint="eastAsia" w:ascii="仿宋_GB2312" w:hAnsi="仿宋" w:eastAsia="仿宋_GB2312"/>
          <w:color w:val="000000"/>
          <w:sz w:val="32"/>
          <w:szCs w:val="32"/>
        </w:rPr>
      </w:pPr>
    </w:p>
    <w:p>
      <w:pPr>
        <w:spacing w:line="570" w:lineRule="exact"/>
        <w:ind w:firstLine="640"/>
        <w:rPr>
          <w:rFonts w:hint="eastAsia" w:ascii="仿宋_GB2312" w:hAnsi="仿宋" w:eastAsia="仿宋_GB2312"/>
          <w:color w:val="000000"/>
          <w:sz w:val="32"/>
          <w:szCs w:val="32"/>
        </w:rPr>
      </w:pPr>
    </w:p>
    <w:p>
      <w:pPr>
        <w:spacing w:line="570" w:lineRule="exact"/>
        <w:ind w:firstLine="640"/>
        <w:rPr>
          <w:rFonts w:hint="eastAsia" w:ascii="仿宋_GB2312" w:hAnsi="仿宋" w:eastAsia="仿宋_GB2312"/>
          <w:color w:val="000000"/>
          <w:sz w:val="32"/>
          <w:szCs w:val="32"/>
        </w:rPr>
      </w:pPr>
    </w:p>
    <w:p>
      <w:pPr>
        <w:spacing w:line="570" w:lineRule="exact"/>
        <w:ind w:firstLine="640"/>
        <w:rPr>
          <w:rFonts w:hint="eastAsia" w:ascii="仿宋_GB2312" w:hAnsi="仿宋" w:eastAsia="仿宋_GB2312"/>
          <w:color w:val="000000"/>
          <w:sz w:val="32"/>
          <w:szCs w:val="32"/>
        </w:rPr>
      </w:pPr>
    </w:p>
    <w:p>
      <w:pPr>
        <w:spacing w:line="57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（图7：“三公”经费财政拨款支出结构）（饼状图）</w:t>
      </w:r>
    </w:p>
    <w:p>
      <w:pPr>
        <w:spacing w:line="570" w:lineRule="exact"/>
        <w:ind w:firstLine="64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6"/>
          <w:rFonts w:hint="eastAsia" w:ascii="仿宋_GB2312" w:hAnsi="仿宋" w:eastAsia="仿宋_GB2312"/>
          <w:b w:val="0"/>
          <w:bCs/>
          <w:color w:val="000000"/>
          <w:sz w:val="32"/>
          <w:szCs w:val="32"/>
        </w:rPr>
        <w:t>。</w:t>
      </w:r>
    </w:p>
    <w:p>
      <w:pPr>
        <w:spacing w:line="570" w:lineRule="exact"/>
        <w:ind w:firstLine="640"/>
        <w:rPr>
          <w:rFonts w:ascii="仿宋_GB2312" w:eastAsia="仿宋_GB2312"/>
          <w:b/>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color w:val="000000"/>
          <w:sz w:val="32"/>
          <w:szCs w:val="32"/>
        </w:rPr>
        <w:t>9.29万元,</w:t>
      </w:r>
      <w:r>
        <w:rPr>
          <w:rStyle w:val="16"/>
          <w:rFonts w:hint="eastAsia" w:ascii="仿宋_GB2312" w:hAnsi="仿宋" w:eastAsia="仿宋_GB2312"/>
          <w:b w:val="0"/>
          <w:bCs/>
          <w:color w:val="000000"/>
          <w:sz w:val="32"/>
          <w:szCs w:val="32"/>
        </w:rPr>
        <w:t>完成预算100%。</w:t>
      </w:r>
      <w:r>
        <w:rPr>
          <w:rFonts w:hint="eastAsia" w:ascii="仿宋_GB2312" w:eastAsia="仿宋_GB2312"/>
          <w:color w:val="000000"/>
          <w:sz w:val="32"/>
          <w:szCs w:val="32"/>
        </w:rPr>
        <w:t>公务用车购置及运行维护费支出决算比2018年少0.71万元，下降7.64%。主要原因是培训减少。</w:t>
      </w:r>
    </w:p>
    <w:p>
      <w:pPr>
        <w:spacing w:line="57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0万元。全年按规定更新购置公务用车0辆，金额0元。截至2019年12月底，单位共有公务用车0辆，其中：主要领导干部用车0辆、机要通信用车0辆、应急保障用车0辆、 执法执勤用车0辆…</w:t>
      </w:r>
    </w:p>
    <w:p>
      <w:pPr>
        <w:spacing w:line="57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9.29万元。主要用于日常工作所需的公务用车燃料费、维修费、过路过桥费、保险费等支出。</w:t>
      </w:r>
    </w:p>
    <w:p>
      <w:pPr>
        <w:spacing w:line="570" w:lineRule="exact"/>
        <w:ind w:firstLine="640"/>
        <w:rPr>
          <w:rFonts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0.73万元，</w:t>
      </w:r>
      <w:r>
        <w:rPr>
          <w:rStyle w:val="16"/>
          <w:rFonts w:hint="eastAsia" w:ascii="仿宋_GB2312" w:hAnsi="仿宋" w:eastAsia="仿宋_GB2312"/>
          <w:b w:val="0"/>
          <w:bCs/>
          <w:color w:val="000000"/>
          <w:sz w:val="32"/>
          <w:szCs w:val="32"/>
        </w:rPr>
        <w:t>完成预算100%。</w:t>
      </w:r>
      <w:r>
        <w:rPr>
          <w:rFonts w:hint="eastAsia" w:ascii="仿宋_GB2312" w:eastAsia="仿宋_GB2312"/>
          <w:color w:val="000000"/>
          <w:sz w:val="32"/>
          <w:szCs w:val="32"/>
        </w:rPr>
        <w:t>公务接待费支出决算比2018年减少0.2万元，主要原因是</w:t>
      </w:r>
      <w:r>
        <w:rPr>
          <w:rFonts w:hint="eastAsia" w:ascii="仿宋" w:hAnsi="仿宋" w:eastAsia="仿宋"/>
          <w:color w:val="000000"/>
          <w:sz w:val="32"/>
          <w:szCs w:val="32"/>
        </w:rPr>
        <w:t>我局厉行节约，减少不必要的公务接待开支。</w:t>
      </w:r>
    </w:p>
    <w:p>
      <w:pPr>
        <w:spacing w:line="570" w:lineRule="exact"/>
        <w:ind w:firstLine="640"/>
        <w:outlineLvl w:val="1"/>
        <w:rPr>
          <w:rStyle w:val="27"/>
          <w:rFonts w:ascii="仿宋_GB2312" w:hAnsi="黑体" w:eastAsia="仿宋_GB2312"/>
        </w:rPr>
      </w:pPr>
      <w:bookmarkStart w:id="44" w:name="_Toc15377218"/>
      <w:bookmarkStart w:id="45" w:name="_Toc15396610"/>
      <w:r>
        <w:rPr>
          <w:rFonts w:hint="eastAsia" w:ascii="仿宋_GB2312" w:eastAsia="仿宋_GB2312"/>
          <w:color w:val="000000"/>
          <w:sz w:val="32"/>
          <w:szCs w:val="32"/>
        </w:rPr>
        <w:t>八、</w:t>
      </w:r>
      <w:r>
        <w:rPr>
          <w:rStyle w:val="27"/>
          <w:rFonts w:hint="eastAsia" w:ascii="仿宋_GB2312" w:hAnsi="黑体" w:eastAsia="仿宋_GB2312"/>
          <w:b w:val="0"/>
        </w:rPr>
        <w:t>政府性基金预算支出决算情况说明</w:t>
      </w:r>
      <w:bookmarkEnd w:id="44"/>
      <w:bookmarkEnd w:id="45"/>
    </w:p>
    <w:p>
      <w:pPr>
        <w:spacing w:line="570" w:lineRule="exact"/>
        <w:ind w:firstLine="640"/>
        <w:rPr>
          <w:rFonts w:ascii="仿宋_GB2312" w:eastAsia="仿宋_GB2312"/>
          <w:color w:val="000000"/>
          <w:sz w:val="32"/>
          <w:szCs w:val="32"/>
        </w:rPr>
      </w:pPr>
      <w:r>
        <w:rPr>
          <w:rFonts w:hint="eastAsia" w:ascii="仿宋_GB2312" w:eastAsia="仿宋_GB2312"/>
          <w:color w:val="000000"/>
          <w:sz w:val="32"/>
          <w:szCs w:val="32"/>
        </w:rPr>
        <w:t>2019年政府性基金预算拨款支出155.15万元。</w:t>
      </w:r>
    </w:p>
    <w:p>
      <w:pPr>
        <w:numPr>
          <w:ilvl w:val="0"/>
          <w:numId w:val="3"/>
        </w:numPr>
        <w:spacing w:line="570" w:lineRule="exact"/>
        <w:ind w:firstLine="640"/>
        <w:outlineLvl w:val="1"/>
        <w:rPr>
          <w:rStyle w:val="27"/>
          <w:rFonts w:ascii="仿宋_GB2312" w:hAnsi="黑体" w:eastAsia="仿宋_GB2312"/>
          <w:b w:val="0"/>
        </w:rPr>
      </w:pPr>
      <w:bookmarkStart w:id="46" w:name="_Toc15396611"/>
      <w:bookmarkStart w:id="47" w:name="_Toc15377219"/>
      <w:r>
        <w:rPr>
          <w:rStyle w:val="27"/>
          <w:rFonts w:hint="eastAsia" w:ascii="仿宋_GB2312" w:hAnsi="黑体" w:eastAsia="仿宋_GB2312"/>
          <w:b w:val="0"/>
        </w:rPr>
        <w:t>国有资本经营预算支出决算情况说明</w:t>
      </w:r>
      <w:bookmarkEnd w:id="46"/>
      <w:bookmarkEnd w:id="47"/>
    </w:p>
    <w:p>
      <w:pPr>
        <w:spacing w:line="570" w:lineRule="exact"/>
        <w:ind w:firstLine="640"/>
        <w:rPr>
          <w:rFonts w:ascii="仿宋_GB2312" w:eastAsia="仿宋_GB2312"/>
          <w:color w:val="000000"/>
          <w:sz w:val="32"/>
          <w:szCs w:val="32"/>
        </w:rPr>
      </w:pPr>
      <w:r>
        <w:rPr>
          <w:rFonts w:hint="eastAsia" w:ascii="仿宋_GB2312" w:eastAsia="仿宋_GB2312"/>
          <w:color w:val="000000"/>
          <w:sz w:val="32"/>
          <w:szCs w:val="32"/>
        </w:rPr>
        <w:t>2019年国有资本经营预算拨款支出0万元。</w:t>
      </w:r>
    </w:p>
    <w:p>
      <w:pPr>
        <w:spacing w:line="570" w:lineRule="exact"/>
        <w:jc w:val="center"/>
        <w:rPr>
          <w:rFonts w:ascii="仿宋_GB2312" w:hAnsi="方正小标宋简体" w:eastAsia="仿宋_GB2312" w:cs="方正小标宋简体"/>
          <w:sz w:val="44"/>
          <w:szCs w:val="44"/>
        </w:rPr>
      </w:pPr>
    </w:p>
    <w:p>
      <w:pPr>
        <w:autoSpaceDE w:val="0"/>
        <w:autoSpaceDN w:val="0"/>
        <w:adjustRightInd w:val="0"/>
        <w:spacing w:line="570" w:lineRule="exact"/>
        <w:ind w:firstLine="643" w:firstLineChars="200"/>
        <w:jc w:val="left"/>
        <w:outlineLvl w:val="2"/>
        <w:rPr>
          <w:rFonts w:hint="eastAsia" w:ascii="仿宋_GB2312" w:hAnsi="仿宋" w:eastAsia="仿宋_GB2312"/>
          <w:b/>
          <w:color w:val="000000"/>
          <w:sz w:val="32"/>
          <w:szCs w:val="32"/>
        </w:rPr>
      </w:pPr>
    </w:p>
    <w:p>
      <w:pPr>
        <w:autoSpaceDE w:val="0"/>
        <w:autoSpaceDN w:val="0"/>
        <w:adjustRightInd w:val="0"/>
        <w:spacing w:line="570" w:lineRule="exact"/>
        <w:ind w:firstLine="643" w:firstLineChars="200"/>
        <w:jc w:val="left"/>
        <w:outlineLvl w:val="2"/>
        <w:rPr>
          <w:rFonts w:hint="eastAsia" w:ascii="仿宋_GB2312" w:hAnsi="仿宋" w:eastAsia="仿宋_GB2312"/>
          <w:b/>
          <w:color w:val="000000"/>
          <w:sz w:val="32"/>
          <w:szCs w:val="32"/>
        </w:rPr>
      </w:pPr>
    </w:p>
    <w:p>
      <w:pPr>
        <w:autoSpaceDE w:val="0"/>
        <w:autoSpaceDN w:val="0"/>
        <w:adjustRightInd w:val="0"/>
        <w:spacing w:line="570" w:lineRule="exact"/>
        <w:ind w:firstLine="643" w:firstLineChars="200"/>
        <w:jc w:val="left"/>
        <w:outlineLvl w:val="2"/>
        <w:rPr>
          <w:rFonts w:hint="eastAsia" w:ascii="仿宋_GB2312" w:hAnsi="仿宋" w:eastAsia="仿宋_GB2312"/>
          <w:b/>
          <w:color w:val="000000"/>
          <w:sz w:val="32"/>
          <w:szCs w:val="32"/>
        </w:rPr>
      </w:pPr>
    </w:p>
    <w:p>
      <w:pPr>
        <w:autoSpaceDE w:val="0"/>
        <w:autoSpaceDN w:val="0"/>
        <w:adjustRightInd w:val="0"/>
        <w:spacing w:line="570" w:lineRule="exact"/>
        <w:ind w:firstLine="643" w:firstLineChars="200"/>
        <w:jc w:val="left"/>
        <w:outlineLvl w:val="2"/>
        <w:rPr>
          <w:rFonts w:hint="eastAsia" w:ascii="仿宋_GB2312" w:hAnsi="仿宋" w:eastAsia="仿宋_GB2312"/>
          <w:b/>
          <w:color w:val="000000"/>
          <w:sz w:val="32"/>
          <w:szCs w:val="32"/>
        </w:rPr>
      </w:pPr>
    </w:p>
    <w:p>
      <w:pPr>
        <w:autoSpaceDE w:val="0"/>
        <w:autoSpaceDN w:val="0"/>
        <w:adjustRightInd w:val="0"/>
        <w:spacing w:line="570" w:lineRule="exact"/>
        <w:ind w:firstLine="643" w:firstLineChars="200"/>
        <w:jc w:val="left"/>
        <w:outlineLvl w:val="2"/>
        <w:rPr>
          <w:rFonts w:hint="eastAsia" w:ascii="仿宋_GB2312" w:hAnsi="仿宋" w:eastAsia="仿宋_GB2312"/>
          <w:b/>
          <w:color w:val="000000"/>
          <w:sz w:val="32"/>
          <w:szCs w:val="32"/>
        </w:rPr>
      </w:pPr>
    </w:p>
    <w:p>
      <w:pPr>
        <w:autoSpaceDE w:val="0"/>
        <w:autoSpaceDN w:val="0"/>
        <w:adjustRightInd w:val="0"/>
        <w:spacing w:line="570" w:lineRule="exact"/>
        <w:ind w:firstLine="643" w:firstLineChars="200"/>
        <w:jc w:val="left"/>
        <w:outlineLvl w:val="2"/>
        <w:rPr>
          <w:rFonts w:hint="eastAsia" w:ascii="仿宋_GB2312" w:hAnsi="仿宋" w:eastAsia="仿宋_GB2312"/>
          <w:b/>
          <w:color w:val="000000"/>
          <w:sz w:val="32"/>
          <w:szCs w:val="32"/>
        </w:rPr>
      </w:pPr>
    </w:p>
    <w:p>
      <w:pPr>
        <w:autoSpaceDE w:val="0"/>
        <w:autoSpaceDN w:val="0"/>
        <w:adjustRightInd w:val="0"/>
        <w:spacing w:line="570" w:lineRule="exact"/>
        <w:ind w:firstLine="643" w:firstLineChars="200"/>
        <w:jc w:val="left"/>
        <w:outlineLvl w:val="2"/>
        <w:rPr>
          <w:rFonts w:ascii="仿宋_GB2312" w:hAnsi="仿宋" w:eastAsia="仿宋_GB2312"/>
          <w:b/>
          <w:color w:val="000000"/>
          <w:sz w:val="32"/>
          <w:szCs w:val="32"/>
        </w:rPr>
      </w:pPr>
      <w:r>
        <w:rPr>
          <w:rFonts w:hint="eastAsia" w:ascii="仿宋_GB2312" w:hAnsi="仿宋" w:eastAsia="仿宋_GB2312"/>
          <w:b/>
          <w:color w:val="000000"/>
          <w:sz w:val="32"/>
          <w:szCs w:val="32"/>
          <w:lang w:eastAsia="zh-CN"/>
        </w:rPr>
        <w:t>十、</w:t>
      </w:r>
      <w:r>
        <w:rPr>
          <w:rFonts w:hint="eastAsia" w:ascii="仿宋_GB2312" w:hAnsi="仿宋" w:eastAsia="仿宋_GB2312"/>
          <w:b/>
          <w:color w:val="000000"/>
          <w:sz w:val="32"/>
          <w:szCs w:val="32"/>
        </w:rPr>
        <w:t>预算绩效管理情况。</w:t>
      </w:r>
    </w:p>
    <w:p>
      <w:pPr>
        <w:spacing w:line="560" w:lineRule="exact"/>
        <w:ind w:firstLine="640" w:firstLineChars="200"/>
        <w:rPr>
          <w:rFonts w:ascii="仿宋_GB2312" w:hAnsi="仿宋_GB2312" w:eastAsia="仿宋_GB2312" w:cs="仿宋_GB2312"/>
          <w:sz w:val="32"/>
          <w:szCs w:val="32"/>
        </w:rPr>
      </w:pPr>
      <w:r>
        <w:rPr>
          <w:rFonts w:hint="eastAsia" w:ascii="仿宋_GB2312" w:hAnsi="楷体_GB2312" w:eastAsia="仿宋_GB2312" w:cs="楷体_GB2312"/>
          <w:sz w:val="32"/>
          <w:szCs w:val="32"/>
        </w:rPr>
        <w:t>1.项目绩效目标完成情况。</w:t>
      </w:r>
      <w:r>
        <w:rPr>
          <w:rFonts w:hint="eastAsia" w:ascii="仿宋_GB2312" w:hAnsi="楷体_GB2312" w:eastAsia="仿宋_GB2312" w:cs="楷体_GB2312"/>
          <w:sz w:val="32"/>
          <w:szCs w:val="32"/>
        </w:rPr>
        <w:br w:type="textWrapping"/>
      </w:r>
      <w:r>
        <w:rPr>
          <w:rFonts w:hint="eastAsia" w:ascii="仿宋_GB2312" w:hAnsi="仿宋_GB2312" w:eastAsia="仿宋_GB2312" w:cs="仿宋_GB2312"/>
          <w:sz w:val="32"/>
          <w:szCs w:val="32"/>
        </w:rPr>
        <w:t xml:space="preserve">   （1）</w:t>
      </w:r>
      <w:r>
        <w:rPr>
          <w:rFonts w:hint="eastAsia" w:ascii="仿宋_GB2312" w:hAnsi="仿宋_GB2312" w:eastAsia="仿宋_GB2312" w:cs="仿宋_GB2312"/>
          <w:smallCaps/>
          <w:sz w:val="32"/>
          <w:szCs w:val="32"/>
        </w:rPr>
        <w:t>红原县雅克音乐牧场提升改造项目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mallCaps/>
          <w:sz w:val="32"/>
          <w:szCs w:val="32"/>
        </w:rPr>
        <w:t>424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mallCaps/>
          <w:sz w:val="32"/>
          <w:szCs w:val="32"/>
        </w:rPr>
        <w:t>424</w:t>
      </w:r>
      <w:r>
        <w:rPr>
          <w:rFonts w:hint="eastAsia" w:ascii="仿宋_GB2312" w:hAnsi="仿宋_GB2312" w:eastAsia="仿宋_GB2312" w:cs="仿宋_GB2312"/>
          <w:sz w:val="32"/>
          <w:szCs w:val="32"/>
        </w:rPr>
        <w:t>万元，完成预算的100%。建设内容:观景台一层新增玻璃幕墙、花瓣与花瓣质监设电动玻璃移动门；二楼八个花瓣内进行软装布置。通过项目实施，</w:t>
      </w:r>
      <w:r>
        <w:rPr>
          <w:rFonts w:hint="eastAsia" w:ascii="仿宋_GB2312" w:hAnsi="仿宋_GB2312" w:eastAsia="仿宋_GB2312" w:cs="仿宋_GB2312"/>
          <w:color w:val="000000"/>
          <w:sz w:val="32"/>
          <w:szCs w:val="32"/>
        </w:rPr>
        <w:t>提升了雅克音乐牧场的硬件设施，该项目的观景台是总体建设重要的一部分，是其发挥功能效益的重要环节，在整个项目过程中起着至关重要的作用。</w:t>
      </w:r>
      <w:r>
        <w:rPr>
          <w:rFonts w:hint="eastAsia" w:ascii="仿宋_GB2312" w:hAnsi="仿宋_GB2312" w:eastAsia="仿宋_GB2312" w:cs="仿宋_GB2312"/>
          <w:smallCaps/>
          <w:sz w:val="32"/>
          <w:szCs w:val="32"/>
        </w:rPr>
        <w:t>雅克音乐季重在突出音乐季的原创性、高雅性、品牌性、多元性和特色性，加快文旅产业良性互动，让音乐季活动成为促进区域文化旅游产业发展的催化剂，拉动餐饮、住宿、交通、服务业等第三产业发展，促进文化与旅游的深度融合，产生增值效益和辐射效应。</w:t>
      </w:r>
      <w:r>
        <w:rPr>
          <w:rFonts w:hint="eastAsia" w:ascii="仿宋_GB2312" w:hAnsi="仿宋_GB2312" w:eastAsia="仿宋_GB2312" w:cs="仿宋_GB2312"/>
          <w:sz w:val="32"/>
          <w:szCs w:val="32"/>
        </w:rPr>
        <w:t>发现的主要问题：雅克音乐牧场有效利用率偏低，主要用于举办红原大草原夏季雅克音乐季。下一步改进措施：将联合签约公司增设日常活动，增加雅克音乐牧场的利用率。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mallCaps/>
          <w:sz w:val="32"/>
          <w:szCs w:val="32"/>
        </w:rPr>
        <w:t>红原县雅克音乐牧场附属工程项目</w:t>
      </w:r>
      <w:r>
        <w:rPr>
          <w:rFonts w:hint="eastAsia" w:ascii="仿宋_GB2312" w:hAnsi="仿宋_GB2312" w:eastAsia="仿宋_GB2312" w:cs="仿宋_GB2312"/>
          <w:sz w:val="32"/>
          <w:szCs w:val="32"/>
        </w:rPr>
        <w:t>绩效目标完成情况综述。项目全年预算数191万元，执行数为191万元，完成预算的100%。建设内容;</w:t>
      </w:r>
      <w:r>
        <w:rPr>
          <w:rFonts w:hint="eastAsia" w:ascii="仿宋_GB2312" w:hAnsi="仿宋_GB2312" w:eastAsia="仿宋_GB2312" w:cs="仿宋_GB2312"/>
          <w:smallCaps/>
          <w:sz w:val="32"/>
          <w:szCs w:val="32"/>
        </w:rPr>
        <w:t>雅克舞台2400平方米硬化、邦锦梅朵舞台硬化1500平方米，厕所维修、值班室拆除及新建、集装箱吊装及维修，草坪恢复等。</w:t>
      </w:r>
      <w:r>
        <w:rPr>
          <w:rFonts w:hint="eastAsia" w:ascii="仿宋_GB2312" w:hAnsi="仿宋_GB2312" w:eastAsia="仿宋_GB2312" w:cs="仿宋_GB2312"/>
          <w:sz w:val="32"/>
          <w:szCs w:val="32"/>
        </w:rPr>
        <w:t>通过项目实施，保障了红原大草原夏季雅克音乐季的顺利举行，</w:t>
      </w:r>
      <w:r>
        <w:rPr>
          <w:rFonts w:hint="eastAsia" w:ascii="仿宋_GB2312" w:hAnsi="仿宋_GB2312" w:eastAsia="仿宋_GB2312" w:cs="仿宋_GB2312"/>
          <w:color w:val="000000"/>
          <w:sz w:val="32"/>
          <w:szCs w:val="32"/>
        </w:rPr>
        <w:t>提升了雅克音乐牧场的硬件设施</w:t>
      </w:r>
      <w:r>
        <w:rPr>
          <w:rFonts w:hint="eastAsia" w:ascii="仿宋_GB2312" w:hAnsi="仿宋_GB2312" w:eastAsia="仿宋_GB2312" w:cs="仿宋_GB2312"/>
          <w:sz w:val="32"/>
          <w:szCs w:val="32"/>
        </w:rPr>
        <w:t>，</w:t>
      </w:r>
      <w:r>
        <w:rPr>
          <w:rFonts w:hint="eastAsia" w:ascii="仿宋_GB2312" w:hAnsi="仿宋_GB2312" w:eastAsia="仿宋_GB2312" w:cs="仿宋_GB2312"/>
          <w:smallCaps/>
          <w:sz w:val="32"/>
          <w:szCs w:val="32"/>
        </w:rPr>
        <w:t>把“四川·红原大草原夏季雅克音乐季”作为阿坝旅游“二次创业”的新兴拳头产品加以培育，注重发挥其“长尾效应”和“拉动效应”，并使之与文化旅游产业发展、城乡基础设施建设、精准脱贫等有机结合起来，形成“音乐+”的全新联动模式，助力“环红原机场旅游经济圈”核心区文化旅游目的地建设。</w:t>
      </w:r>
      <w:r>
        <w:rPr>
          <w:rFonts w:hint="eastAsia" w:ascii="仿宋_GB2312" w:hAnsi="仿宋_GB2312" w:eastAsia="仿宋_GB2312" w:cs="仿宋_GB2312"/>
          <w:sz w:val="32"/>
          <w:szCs w:val="32"/>
        </w:rPr>
        <w:t>发现的主要问题：雅克音乐牧场有效利用率偏低，主要用于举办红原大草原夏季雅克音乐季。下一步改进措施：将联合签约公司增设日常活动，增加雅克音乐牧场的利用率。</w:t>
      </w:r>
    </w:p>
    <w:p>
      <w:pPr>
        <w:spacing w:line="560" w:lineRule="exact"/>
        <w:ind w:firstLine="640" w:firstLineChars="200"/>
        <w:textAlignment w:val="baseline"/>
        <w:rPr>
          <w:rFonts w:ascii="仿宋_GB2312" w:hAnsi="仿宋_GB2312" w:eastAsia="仿宋_GB2312" w:cs="仿宋_GB2312"/>
          <w:sz w:val="32"/>
          <w:szCs w:val="32"/>
        </w:rPr>
      </w:pPr>
    </w:p>
    <w:p>
      <w:pPr>
        <w:pStyle w:val="2"/>
        <w:numPr>
          <w:ilvl w:val="0"/>
          <w:numId w:val="4"/>
        </w:numPr>
        <w:spacing w:before="0" w:after="0" w:line="560" w:lineRule="exact"/>
        <w:ind w:firstLine="640" w:firstLineChars="200"/>
        <w:rPr>
          <w:rFonts w:ascii="仿宋_GB2312" w:hAnsi="仿宋_GB2312" w:eastAsia="仿宋_GB2312" w:cs="仿宋_GB2312"/>
          <w:b w:val="0"/>
          <w:kern w:val="2"/>
          <w:sz w:val="32"/>
          <w:szCs w:val="32"/>
        </w:rPr>
      </w:pPr>
      <w:r>
        <w:rPr>
          <w:rFonts w:hint="eastAsia" w:ascii="仿宋_GB2312" w:hAnsi="仿宋_GB2312" w:eastAsia="仿宋_GB2312" w:cs="仿宋_GB2312"/>
          <w:b w:val="0"/>
          <w:kern w:val="2"/>
          <w:sz w:val="32"/>
          <w:szCs w:val="32"/>
        </w:rPr>
        <w:t>红原县十个村村级文化活动室设备采购安装项目采购项目绩效目标完成情况综述。项目全年预算数49.775万元，执行数为49.775万元，完成预算的100%。通过项目实施，保障村级文化活动室的设备更新，满足红原牧民的精神文化需求。发现的主要问题：电子设备易出现操作不当而引起闲置或故障问题。下一步改进措施：培训文化站管理员对设备的操作技能，加强管护。</w:t>
      </w:r>
    </w:p>
    <w:p>
      <w:pPr>
        <w:numPr>
          <w:ilvl w:val="0"/>
          <w:numId w:val="4"/>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红原县乡村旅游富民工程建设采购项目绩效目标完成情况综述。项目全年预算数450万元，执行数为430万元，完成预算的95%。建设内容：落地自驾游七个点位功能提升项目（含旅游厕所采购2座（安曲镇3号点及麦多岗各1座），观景平台及栈道2处（安曲镇3号点及麦多岗各1处），购物点、休息区、现有点位维修等相关基础设施配套及现有点位生态恢复。通过项目实施，完善了县域旅游基础设施，提高旅游接待能力，发展全域旅游促进红原县旅游经济发展，项目实施过程中发现，采购设施设备后期管理维护，资金紧缺，管理维护人员缺乏专业维护管理经验。下一步改进措施：积极争取上级部门管理维护资金，于各乡镇对接，协调设施设备管理维护人员，并对人员进行培训提高管理维护水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九红草原风光路打造项目绩效目标完成情况综述。项目全年预算数342万元，执行数为340.813万元。完成预算的99%。通过项目实施，完善沿线旅游设施建设，配套建设基础服务设施，带动当地旅游服务水平提升，以此带动红原夜游经济，促进旅游产业发展。未来紧抓旅游资源特色，丰富旅游产品，大力发展乡村旅游、培育发展特色加工业、积极发展商贸服务、培育新型经营主体等方式，推进资收益扶贫，带动社会脱贫。</w:t>
      </w:r>
    </w:p>
    <w:p>
      <w:pPr>
        <w:spacing w:line="570" w:lineRule="exact"/>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tbl>
      <w:tblPr>
        <w:tblStyle w:val="14"/>
        <w:tblW w:w="9498" w:type="dxa"/>
        <w:tblInd w:w="-552" w:type="dxa"/>
        <w:tblLayout w:type="fixed"/>
        <w:tblCellMar>
          <w:top w:w="15" w:type="dxa"/>
          <w:left w:w="15" w:type="dxa"/>
          <w:bottom w:w="15" w:type="dxa"/>
          <w:right w:w="15" w:type="dxa"/>
        </w:tblCellMar>
      </w:tblPr>
      <w:tblGrid>
        <w:gridCol w:w="1418"/>
        <w:gridCol w:w="567"/>
        <w:gridCol w:w="828"/>
        <w:gridCol w:w="731"/>
        <w:gridCol w:w="33"/>
        <w:gridCol w:w="1182"/>
        <w:gridCol w:w="4739"/>
      </w:tblGrid>
      <w:tr>
        <w:tblPrEx>
          <w:tblCellMar>
            <w:top w:w="15" w:type="dxa"/>
            <w:left w:w="15" w:type="dxa"/>
            <w:bottom w:w="15" w:type="dxa"/>
            <w:right w:w="15" w:type="dxa"/>
          </w:tblCellMar>
        </w:tblPrEx>
        <w:trPr>
          <w:trHeight w:val="739" w:hRule="atLeast"/>
        </w:trPr>
        <w:tc>
          <w:tcPr>
            <w:tcW w:w="9498" w:type="dxa"/>
            <w:gridSpan w:val="7"/>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项目支出绩效目标完成情况表</w:t>
            </w:r>
          </w:p>
        </w:tc>
      </w:tr>
      <w:tr>
        <w:tblPrEx>
          <w:tblCellMar>
            <w:top w:w="15" w:type="dxa"/>
            <w:left w:w="15" w:type="dxa"/>
            <w:bottom w:w="15" w:type="dxa"/>
            <w:right w:w="15" w:type="dxa"/>
          </w:tblCellMar>
        </w:tblPrEx>
        <w:trPr>
          <w:trHeight w:val="285" w:hRule="atLeast"/>
        </w:trPr>
        <w:tc>
          <w:tcPr>
            <w:tcW w:w="35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项目名称</w:t>
            </w:r>
          </w:p>
        </w:tc>
        <w:tc>
          <w:tcPr>
            <w:tcW w:w="59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_GB2312" w:hAnsi="仿宋_GB2312" w:eastAsia="仿宋_GB2312" w:cs="仿宋_GB2312"/>
                <w:smallCaps/>
                <w:sz w:val="32"/>
                <w:szCs w:val="32"/>
              </w:rPr>
              <w:t>红原县雅克音乐牧场提升改造项目</w:t>
            </w:r>
          </w:p>
        </w:tc>
      </w:tr>
      <w:tr>
        <w:tblPrEx>
          <w:tblCellMar>
            <w:top w:w="15" w:type="dxa"/>
            <w:left w:w="15" w:type="dxa"/>
            <w:bottom w:w="15" w:type="dxa"/>
            <w:right w:w="15" w:type="dxa"/>
          </w:tblCellMar>
        </w:tblPrEx>
        <w:trPr>
          <w:trHeight w:val="285" w:hRule="atLeast"/>
        </w:trPr>
        <w:tc>
          <w:tcPr>
            <w:tcW w:w="35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预算单位</w:t>
            </w:r>
          </w:p>
        </w:tc>
        <w:tc>
          <w:tcPr>
            <w:tcW w:w="59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红原县文化体育和旅游局</w:t>
            </w:r>
          </w:p>
        </w:tc>
      </w:tr>
      <w:tr>
        <w:tblPrEx>
          <w:tblCellMar>
            <w:top w:w="15" w:type="dxa"/>
            <w:left w:w="15" w:type="dxa"/>
            <w:bottom w:w="15" w:type="dxa"/>
            <w:right w:w="15" w:type="dxa"/>
          </w:tblCellMar>
        </w:tblPrEx>
        <w:trPr>
          <w:trHeight w:val="285" w:hRule="atLeast"/>
        </w:trPr>
        <w:tc>
          <w:tcPr>
            <w:tcW w:w="14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预算执行情况(万元</w:t>
            </w:r>
          </w:p>
        </w:tc>
        <w:tc>
          <w:tcPr>
            <w:tcW w:w="2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预算数:</w:t>
            </w: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424</w:t>
            </w:r>
          </w:p>
        </w:tc>
        <w:tc>
          <w:tcPr>
            <w:tcW w:w="4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执行数:</w:t>
            </w:r>
          </w:p>
        </w:tc>
      </w:tr>
      <w:tr>
        <w:tblPrEx>
          <w:tblCellMar>
            <w:top w:w="15" w:type="dxa"/>
            <w:left w:w="15" w:type="dxa"/>
            <w:bottom w:w="15" w:type="dxa"/>
            <w:right w:w="15" w:type="dxa"/>
          </w:tblCellMar>
        </w:tblPrEx>
        <w:trPr>
          <w:trHeight w:val="28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p>
        </w:tc>
        <w:tc>
          <w:tcPr>
            <w:tcW w:w="2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其中-财政拨款:</w:t>
            </w: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424</w:t>
            </w:r>
          </w:p>
        </w:tc>
        <w:tc>
          <w:tcPr>
            <w:tcW w:w="4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其中-财政拨款:</w:t>
            </w:r>
          </w:p>
        </w:tc>
      </w:tr>
      <w:tr>
        <w:tblPrEx>
          <w:tblCellMar>
            <w:top w:w="15" w:type="dxa"/>
            <w:left w:w="15" w:type="dxa"/>
            <w:bottom w:w="15" w:type="dxa"/>
            <w:right w:w="15" w:type="dxa"/>
          </w:tblCellMar>
        </w:tblPrEx>
        <w:trPr>
          <w:trHeight w:val="28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p>
        </w:tc>
        <w:tc>
          <w:tcPr>
            <w:tcW w:w="2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其它资金:</w:t>
            </w: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p>
        </w:tc>
        <w:tc>
          <w:tcPr>
            <w:tcW w:w="4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其它资金:</w:t>
            </w:r>
          </w:p>
        </w:tc>
      </w:tr>
      <w:tr>
        <w:tblPrEx>
          <w:tblCellMar>
            <w:top w:w="15" w:type="dxa"/>
            <w:left w:w="15" w:type="dxa"/>
            <w:bottom w:w="15" w:type="dxa"/>
            <w:right w:w="15" w:type="dxa"/>
          </w:tblCellMar>
        </w:tblPrEx>
        <w:trPr>
          <w:trHeight w:val="285" w:hRule="atLeast"/>
        </w:trPr>
        <w:tc>
          <w:tcPr>
            <w:tcW w:w="14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年度目标完成情况</w:t>
            </w:r>
          </w:p>
        </w:tc>
        <w:tc>
          <w:tcPr>
            <w:tcW w:w="215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预期目标</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实际完成目标</w:t>
            </w:r>
          </w:p>
        </w:tc>
      </w:tr>
      <w:tr>
        <w:tblPrEx>
          <w:tblCellMar>
            <w:top w:w="15" w:type="dxa"/>
            <w:left w:w="15" w:type="dxa"/>
            <w:bottom w:w="15" w:type="dxa"/>
            <w:right w:w="15" w:type="dxa"/>
          </w:tblCellMar>
        </w:tblPrEx>
        <w:trPr>
          <w:trHeight w:val="1920"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p>
        </w:tc>
        <w:tc>
          <w:tcPr>
            <w:tcW w:w="215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_GB2312" w:hAnsi="仿宋_GB2312" w:eastAsia="仿宋_GB2312" w:cs="仿宋_GB2312"/>
                <w:sz w:val="32"/>
                <w:szCs w:val="32"/>
              </w:rPr>
              <w:t>观景台一层新增玻璃幕墙、花瓣与花瓣质监设电动玻璃移动门；二楼八个花瓣内进行软装布置。通过项目实施，</w:t>
            </w:r>
            <w:r>
              <w:rPr>
                <w:rFonts w:hint="eastAsia" w:ascii="仿宋_GB2312" w:hAnsi="仿宋_GB2312" w:eastAsia="仿宋_GB2312" w:cs="仿宋_GB2312"/>
                <w:color w:val="000000"/>
                <w:sz w:val="32"/>
                <w:szCs w:val="32"/>
              </w:rPr>
              <w:t>提升了雅克音乐牧场的硬件设施</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_GB2312" w:hAnsi="仿宋_GB2312" w:eastAsia="仿宋_GB2312" w:cs="仿宋_GB2312"/>
                <w:sz w:val="32"/>
                <w:szCs w:val="32"/>
              </w:rPr>
              <w:t>观景台一层新增玻璃幕墙、花瓣与花瓣质监设电动玻璃移动门；二楼八个花瓣内进行软装布置。通过项目实施，</w:t>
            </w:r>
            <w:r>
              <w:rPr>
                <w:rFonts w:hint="eastAsia" w:ascii="仿宋_GB2312" w:hAnsi="仿宋_GB2312" w:eastAsia="仿宋_GB2312" w:cs="仿宋_GB2312"/>
                <w:color w:val="000000"/>
                <w:sz w:val="32"/>
                <w:szCs w:val="32"/>
              </w:rPr>
              <w:t>提升了雅克音乐牧场的硬件设施</w:t>
            </w:r>
          </w:p>
        </w:tc>
      </w:tr>
      <w:tr>
        <w:tblPrEx>
          <w:tblCellMar>
            <w:top w:w="15" w:type="dxa"/>
            <w:left w:w="15" w:type="dxa"/>
            <w:bottom w:w="15" w:type="dxa"/>
            <w:right w:w="15" w:type="dxa"/>
          </w:tblCellMar>
        </w:tblPrEx>
        <w:trPr>
          <w:trHeight w:val="624" w:hRule="atLeast"/>
        </w:trPr>
        <w:tc>
          <w:tcPr>
            <w:tcW w:w="14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_GB2312"/>
                <w:color w:val="000000"/>
                <w:sz w:val="32"/>
                <w:szCs w:val="32"/>
              </w:rPr>
            </w:pPr>
            <w:r>
              <w:rPr>
                <w:rFonts w:hint="eastAsia" w:ascii="仿宋" w:hAnsi="仿宋" w:eastAsia="仿宋" w:cs="仿宋_GB2312"/>
                <w:color w:val="000000"/>
                <w:kern w:val="0"/>
                <w:sz w:val="32"/>
                <w:szCs w:val="32"/>
              </w:rPr>
              <w:t>绩效指标完成情况</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rPr>
              <w:t>一级指标</w:t>
            </w:r>
          </w:p>
        </w:tc>
        <w:tc>
          <w:tcPr>
            <w:tcW w:w="82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rPr>
              <w:t>二级指标</w:t>
            </w: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rPr>
              <w:t>三级指标</w:t>
            </w:r>
          </w:p>
        </w:tc>
        <w:tc>
          <w:tcPr>
            <w:tcW w:w="592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rPr>
              <w:t>指标评价内容</w:t>
            </w:r>
          </w:p>
        </w:tc>
      </w:tr>
      <w:tr>
        <w:tblPrEx>
          <w:tblCellMar>
            <w:top w:w="15" w:type="dxa"/>
            <w:left w:w="15" w:type="dxa"/>
            <w:bottom w:w="15" w:type="dxa"/>
            <w:right w:w="15" w:type="dxa"/>
          </w:tblCellMar>
        </w:tblPrEx>
        <w:trPr>
          <w:trHeight w:val="624"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59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r>
      <w:tr>
        <w:tblPrEx>
          <w:tblCellMar>
            <w:top w:w="15" w:type="dxa"/>
            <w:left w:w="15" w:type="dxa"/>
            <w:bottom w:w="15" w:type="dxa"/>
            <w:right w:w="15" w:type="dxa"/>
          </w:tblCellMar>
        </w:tblPrEx>
        <w:trPr>
          <w:trHeight w:val="624"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59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r>
      <w:tr>
        <w:tblPrEx>
          <w:tblCellMar>
            <w:top w:w="15" w:type="dxa"/>
            <w:left w:w="15" w:type="dxa"/>
            <w:bottom w:w="15" w:type="dxa"/>
            <w:right w:w="15" w:type="dxa"/>
          </w:tblCellMar>
        </w:tblPrEx>
        <w:trPr>
          <w:trHeight w:val="76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项目决策</w:t>
            </w:r>
          </w:p>
        </w:tc>
        <w:tc>
          <w:tcPr>
            <w:tcW w:w="82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绩效目标</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目标内容</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项目预期提供的产品、服务、效益或其他目标明确,即绩效目标实际明确个数/应当明确个数×100%</w:t>
            </w:r>
          </w:p>
        </w:tc>
      </w:tr>
      <w:tr>
        <w:tblPrEx>
          <w:tblCellMar>
            <w:top w:w="15" w:type="dxa"/>
            <w:left w:w="15" w:type="dxa"/>
            <w:bottom w:w="15" w:type="dxa"/>
            <w:right w:w="15" w:type="dxa"/>
          </w:tblCellMar>
        </w:tblPrEx>
        <w:trPr>
          <w:trHeight w:val="64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进度计划</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项目计划实施进度明确</w:t>
            </w:r>
          </w:p>
        </w:tc>
      </w:tr>
      <w:tr>
        <w:tblPrEx>
          <w:tblCellMar>
            <w:top w:w="15" w:type="dxa"/>
            <w:left w:w="15" w:type="dxa"/>
            <w:bottom w:w="15" w:type="dxa"/>
            <w:right w:w="15" w:type="dxa"/>
          </w:tblCellMar>
        </w:tblPrEx>
        <w:trPr>
          <w:trHeight w:val="690"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目标匹配</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绩效目标设定符合实际需求的抽样项目点个数/抽样项目点总数×100%</w:t>
            </w:r>
          </w:p>
        </w:tc>
      </w:tr>
      <w:tr>
        <w:tblPrEx>
          <w:tblCellMar>
            <w:top w:w="15" w:type="dxa"/>
            <w:left w:w="15" w:type="dxa"/>
            <w:bottom w:w="15" w:type="dxa"/>
            <w:right w:w="15" w:type="dxa"/>
          </w:tblCellMar>
        </w:tblPrEx>
        <w:trPr>
          <w:trHeight w:val="76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决策依据</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政策依据</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项目符合党中央、国务院和省委、省政府决策部署；符合当前经济社会发展需要</w:t>
            </w:r>
          </w:p>
        </w:tc>
      </w:tr>
      <w:tr>
        <w:tblPrEx>
          <w:tblCellMar>
            <w:top w:w="15" w:type="dxa"/>
            <w:left w:w="15" w:type="dxa"/>
            <w:bottom w:w="15" w:type="dxa"/>
            <w:right w:w="15" w:type="dxa"/>
          </w:tblCellMar>
        </w:tblPrEx>
        <w:trPr>
          <w:trHeight w:val="42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实施规划</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连续性项目根据需要制定中长期实施规划</w:t>
            </w:r>
          </w:p>
        </w:tc>
      </w:tr>
      <w:tr>
        <w:tblPrEx>
          <w:tblCellMar>
            <w:top w:w="15" w:type="dxa"/>
            <w:left w:w="15" w:type="dxa"/>
            <w:bottom w:w="15" w:type="dxa"/>
            <w:right w:w="15" w:type="dxa"/>
          </w:tblCellMar>
        </w:tblPrEx>
        <w:trPr>
          <w:trHeight w:val="28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实施规划符合实际，并根据情况变化适时调整</w:t>
            </w:r>
          </w:p>
        </w:tc>
      </w:tr>
      <w:tr>
        <w:tblPrEx>
          <w:tblCellMar>
            <w:top w:w="15" w:type="dxa"/>
            <w:left w:w="15" w:type="dxa"/>
            <w:bottom w:w="15" w:type="dxa"/>
            <w:right w:w="15" w:type="dxa"/>
          </w:tblCellMar>
        </w:tblPrEx>
        <w:trPr>
          <w:trHeight w:val="28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管理制度</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制定项目资金管理办法</w:t>
            </w:r>
          </w:p>
        </w:tc>
      </w:tr>
      <w:tr>
        <w:tblPrEx>
          <w:tblCellMar>
            <w:top w:w="15" w:type="dxa"/>
            <w:left w:w="15" w:type="dxa"/>
            <w:bottom w:w="15" w:type="dxa"/>
            <w:right w:w="15" w:type="dxa"/>
          </w:tblCellMar>
        </w:tblPrEx>
        <w:trPr>
          <w:trHeight w:val="750"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项目资金分配决策程序明确</w:t>
            </w:r>
          </w:p>
        </w:tc>
      </w:tr>
      <w:tr>
        <w:tblPrEx>
          <w:tblCellMar>
            <w:top w:w="15" w:type="dxa"/>
            <w:left w:w="15" w:type="dxa"/>
            <w:bottom w:w="15" w:type="dxa"/>
            <w:right w:w="15" w:type="dxa"/>
          </w:tblCellMar>
        </w:tblPrEx>
        <w:trPr>
          <w:trHeight w:val="82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资金分配</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分配方法</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资金分配方法是否科学合理</w:t>
            </w:r>
          </w:p>
        </w:tc>
      </w:tr>
      <w:tr>
        <w:tblPrEx>
          <w:tblCellMar>
            <w:top w:w="15" w:type="dxa"/>
            <w:left w:w="15" w:type="dxa"/>
            <w:bottom w:w="15" w:type="dxa"/>
            <w:right w:w="15" w:type="dxa"/>
          </w:tblCellMar>
        </w:tblPrEx>
        <w:trPr>
          <w:trHeight w:val="28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分配过程</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分配过程符合相关规定</w:t>
            </w:r>
          </w:p>
        </w:tc>
      </w:tr>
      <w:tr>
        <w:tblPrEx>
          <w:tblCellMar>
            <w:top w:w="15" w:type="dxa"/>
            <w:left w:w="15" w:type="dxa"/>
            <w:bottom w:w="15" w:type="dxa"/>
            <w:right w:w="15" w:type="dxa"/>
          </w:tblCellMar>
        </w:tblPrEx>
        <w:trPr>
          <w:trHeight w:val="76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分配结果</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审核把关</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符合申报条件的抽样项目点个数/抽样项目点总数×100%</w:t>
            </w:r>
          </w:p>
        </w:tc>
      </w:tr>
      <w:tr>
        <w:tblPrEx>
          <w:tblCellMar>
            <w:top w:w="15" w:type="dxa"/>
            <w:left w:w="15" w:type="dxa"/>
            <w:bottom w:w="15" w:type="dxa"/>
            <w:right w:w="15" w:type="dxa"/>
          </w:tblCellMar>
        </w:tblPrEx>
        <w:trPr>
          <w:trHeight w:val="1020"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集中</w:t>
            </w:r>
          </w:p>
        </w:tc>
        <w:tc>
          <w:tcPr>
            <w:tcW w:w="47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0%</w:t>
            </w:r>
          </w:p>
        </w:tc>
      </w:tr>
      <w:tr>
        <w:tblPrEx>
          <w:tblCellMar>
            <w:top w:w="15" w:type="dxa"/>
            <w:left w:w="15" w:type="dxa"/>
            <w:bottom w:w="15" w:type="dxa"/>
            <w:right w:w="15" w:type="dxa"/>
          </w:tblCellMar>
        </w:tblPrEx>
        <w:trPr>
          <w:trHeight w:val="73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均衡</w:t>
            </w:r>
          </w:p>
        </w:tc>
        <w:tc>
          <w:tcPr>
            <w:tcW w:w="47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合理</w:t>
            </w:r>
          </w:p>
        </w:tc>
      </w:tr>
      <w:tr>
        <w:tblPrEx>
          <w:tblCellMar>
            <w:top w:w="15" w:type="dxa"/>
            <w:left w:w="15" w:type="dxa"/>
            <w:bottom w:w="15" w:type="dxa"/>
            <w:right w:w="15" w:type="dxa"/>
          </w:tblCellMar>
        </w:tblPrEx>
        <w:trPr>
          <w:trHeight w:val="540"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项目管理</w:t>
            </w:r>
          </w:p>
        </w:tc>
        <w:tc>
          <w:tcPr>
            <w:tcW w:w="82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 xml:space="preserve"> 资金到位</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分配时效</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县级主管部门按规定及时分配资金</w:t>
            </w:r>
          </w:p>
        </w:tc>
      </w:tr>
      <w:tr>
        <w:tblPrEx>
          <w:tblCellMar>
            <w:top w:w="15" w:type="dxa"/>
            <w:left w:w="15" w:type="dxa"/>
            <w:bottom w:w="15" w:type="dxa"/>
            <w:right w:w="15" w:type="dxa"/>
          </w:tblCellMar>
        </w:tblPrEx>
        <w:trPr>
          <w:trHeight w:val="115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资金拨付</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按规定及时拨付资金</w:t>
            </w:r>
          </w:p>
        </w:tc>
      </w:tr>
      <w:tr>
        <w:tblPrEx>
          <w:tblCellMar>
            <w:top w:w="15" w:type="dxa"/>
            <w:left w:w="15" w:type="dxa"/>
            <w:bottom w:w="15" w:type="dxa"/>
            <w:right w:w="15" w:type="dxa"/>
          </w:tblCellMar>
        </w:tblPrEx>
        <w:trPr>
          <w:trHeight w:val="28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 xml:space="preserve">资金管理  </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使用范围</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资金使用是否合规</w:t>
            </w:r>
          </w:p>
        </w:tc>
      </w:tr>
      <w:tr>
        <w:tblPrEx>
          <w:tblCellMar>
            <w:top w:w="15" w:type="dxa"/>
            <w:left w:w="15" w:type="dxa"/>
            <w:bottom w:w="15" w:type="dxa"/>
            <w:right w:w="15" w:type="dxa"/>
          </w:tblCellMar>
        </w:tblPrEx>
        <w:trPr>
          <w:trHeight w:val="28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支付依据</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资金支付依据符合规定，即支付依旧合规资金量/资金总量×100%</w:t>
            </w:r>
          </w:p>
        </w:tc>
      </w:tr>
      <w:tr>
        <w:tblPrEx>
          <w:tblCellMar>
            <w:top w:w="15" w:type="dxa"/>
            <w:left w:w="15" w:type="dxa"/>
            <w:bottom w:w="15" w:type="dxa"/>
            <w:right w:w="15" w:type="dxa"/>
          </w:tblCellMar>
        </w:tblPrEx>
        <w:trPr>
          <w:trHeight w:val="28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开支标准</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资金开支标准符合规定，即开支标准合规资金量/资金总量×100%</w:t>
            </w:r>
          </w:p>
        </w:tc>
      </w:tr>
      <w:tr>
        <w:tblPrEx>
          <w:tblCellMar>
            <w:top w:w="15" w:type="dxa"/>
            <w:left w:w="15" w:type="dxa"/>
            <w:bottom w:w="15" w:type="dxa"/>
            <w:right w:w="15" w:type="dxa"/>
          </w:tblCellMar>
        </w:tblPrEx>
        <w:trPr>
          <w:trHeight w:val="73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财务管理</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财务制度</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财务制度健全，管理规范</w:t>
            </w:r>
          </w:p>
        </w:tc>
      </w:tr>
      <w:tr>
        <w:tblPrEx>
          <w:tblCellMar>
            <w:top w:w="15" w:type="dxa"/>
            <w:left w:w="15" w:type="dxa"/>
            <w:bottom w:w="15" w:type="dxa"/>
            <w:right w:w="15" w:type="dxa"/>
          </w:tblCellMar>
        </w:tblPrEx>
        <w:trPr>
          <w:trHeight w:val="28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会计核算</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会计核算规范</w:t>
            </w:r>
          </w:p>
        </w:tc>
      </w:tr>
      <w:tr>
        <w:tblPrEx>
          <w:tblCellMar>
            <w:top w:w="15" w:type="dxa"/>
            <w:left w:w="15" w:type="dxa"/>
            <w:bottom w:w="15" w:type="dxa"/>
            <w:right w:w="15" w:type="dxa"/>
          </w:tblCellMar>
        </w:tblPrEx>
        <w:trPr>
          <w:trHeight w:val="28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组织实施（4分）</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项目调整</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项目调整严格履行相关手续</w:t>
            </w:r>
          </w:p>
        </w:tc>
      </w:tr>
      <w:tr>
        <w:tblPrEx>
          <w:tblCellMar>
            <w:top w:w="15" w:type="dxa"/>
            <w:left w:w="15" w:type="dxa"/>
            <w:bottom w:w="15" w:type="dxa"/>
            <w:right w:w="15" w:type="dxa"/>
          </w:tblCellMar>
        </w:tblPrEx>
        <w:trPr>
          <w:trHeight w:val="85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投资变更</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项目投资变更额/项目总投入×100%</w:t>
            </w:r>
          </w:p>
        </w:tc>
      </w:tr>
      <w:tr>
        <w:tblPrEx>
          <w:tblCellMar>
            <w:top w:w="15" w:type="dxa"/>
            <w:left w:w="15" w:type="dxa"/>
            <w:bottom w:w="15" w:type="dxa"/>
            <w:right w:w="15" w:type="dxa"/>
          </w:tblCellMar>
        </w:tblPrEx>
        <w:trPr>
          <w:trHeight w:val="76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制度执行</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严格执行项目有关制度规定</w:t>
            </w:r>
          </w:p>
        </w:tc>
      </w:tr>
      <w:tr>
        <w:tblPrEx>
          <w:tblCellMar>
            <w:top w:w="15" w:type="dxa"/>
            <w:left w:w="15" w:type="dxa"/>
            <w:bottom w:w="15" w:type="dxa"/>
            <w:right w:w="15" w:type="dxa"/>
          </w:tblCellMar>
        </w:tblPrEx>
        <w:trPr>
          <w:trHeight w:val="28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项目绩效</w:t>
            </w:r>
          </w:p>
        </w:tc>
        <w:tc>
          <w:tcPr>
            <w:tcW w:w="82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项目完成</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完成数量</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实际完成任务量/绩效目标设定任务量×100%</w:t>
            </w:r>
          </w:p>
        </w:tc>
      </w:tr>
      <w:tr>
        <w:tblPrEx>
          <w:tblCellMar>
            <w:top w:w="15" w:type="dxa"/>
            <w:left w:w="15" w:type="dxa"/>
            <w:bottom w:w="15" w:type="dxa"/>
            <w:right w:w="15" w:type="dxa"/>
          </w:tblCellMar>
        </w:tblPrEx>
        <w:trPr>
          <w:trHeight w:val="28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完成质量</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符合绩效目标设定的验收标准，达到行业基准水平</w:t>
            </w:r>
          </w:p>
        </w:tc>
      </w:tr>
      <w:tr>
        <w:tblPrEx>
          <w:tblCellMar>
            <w:top w:w="15" w:type="dxa"/>
            <w:left w:w="15" w:type="dxa"/>
            <w:bottom w:w="15" w:type="dxa"/>
            <w:right w:w="15" w:type="dxa"/>
          </w:tblCellMar>
        </w:tblPrEx>
        <w:trPr>
          <w:trHeight w:val="79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完成时效</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（实际完成时间-绩效目标设定完成时间）/绩效目标设定完成时间×100%</w:t>
            </w:r>
          </w:p>
        </w:tc>
      </w:tr>
      <w:tr>
        <w:tblPrEx>
          <w:tblCellMar>
            <w:top w:w="15" w:type="dxa"/>
            <w:left w:w="15" w:type="dxa"/>
            <w:bottom w:w="15" w:type="dxa"/>
            <w:right w:w="15" w:type="dxa"/>
          </w:tblCellMar>
        </w:tblPrEx>
        <w:trPr>
          <w:trHeight w:val="28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完成成本</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（实际完成成本-预计完成成本）/预计完成成本×100%</w:t>
            </w:r>
          </w:p>
        </w:tc>
      </w:tr>
      <w:tr>
        <w:tblPrEx>
          <w:tblCellMar>
            <w:top w:w="15" w:type="dxa"/>
            <w:left w:w="15" w:type="dxa"/>
            <w:bottom w:w="15" w:type="dxa"/>
            <w:right w:w="15" w:type="dxa"/>
          </w:tblCellMar>
        </w:tblPrEx>
        <w:trPr>
          <w:trHeight w:val="720"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项目效益</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经济效益</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反映相关产出对经济社会发展带来的影响和效果，根据项目实际细化具体指标。</w:t>
            </w:r>
          </w:p>
        </w:tc>
      </w:tr>
      <w:tr>
        <w:tblPrEx>
          <w:tblCellMar>
            <w:top w:w="15" w:type="dxa"/>
            <w:left w:w="15" w:type="dxa"/>
            <w:bottom w:w="15" w:type="dxa"/>
            <w:right w:w="15" w:type="dxa"/>
          </w:tblCellMar>
        </w:tblPrEx>
        <w:trPr>
          <w:trHeight w:val="735"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社会效益</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r>
              <w:rPr>
                <w:rFonts w:hint="eastAsia" w:ascii="仿宋" w:hAnsi="仿宋" w:eastAsia="仿宋"/>
                <w:color w:val="000000"/>
                <w:sz w:val="32"/>
                <w:szCs w:val="32"/>
              </w:rPr>
              <w:t>广播电视综合人口覆盖率</w:t>
            </w:r>
          </w:p>
          <w:p>
            <w:pPr>
              <w:widowControl/>
              <w:jc w:val="left"/>
              <w:textAlignment w:val="bottom"/>
              <w:rPr>
                <w:rFonts w:ascii="仿宋" w:hAnsi="仿宋" w:eastAsia="仿宋" w:cs="宋体"/>
                <w:color w:val="000000"/>
                <w:sz w:val="32"/>
                <w:szCs w:val="32"/>
              </w:rPr>
            </w:pPr>
          </w:p>
        </w:tc>
      </w:tr>
      <w:tr>
        <w:tblPrEx>
          <w:tblCellMar>
            <w:top w:w="15" w:type="dxa"/>
            <w:left w:w="15" w:type="dxa"/>
            <w:bottom w:w="15" w:type="dxa"/>
            <w:right w:w="15" w:type="dxa"/>
          </w:tblCellMar>
        </w:tblPrEx>
        <w:trPr>
          <w:trHeight w:val="720"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生态效益</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反映相关产出对自然环境带来的影响和效果，根据项目实际细化具体指标。</w:t>
            </w:r>
          </w:p>
        </w:tc>
      </w:tr>
      <w:tr>
        <w:tblPrEx>
          <w:tblCellMar>
            <w:top w:w="15" w:type="dxa"/>
            <w:left w:w="15" w:type="dxa"/>
            <w:bottom w:w="15" w:type="dxa"/>
            <w:right w:w="15" w:type="dxa"/>
          </w:tblCellMar>
        </w:tblPrEx>
        <w:trPr>
          <w:trHeight w:val="750"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可持续效益</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反映相关产出带来影响的可持续期限，根据项目实际细化具体指标。</w:t>
            </w:r>
          </w:p>
        </w:tc>
      </w:tr>
      <w:tr>
        <w:tblPrEx>
          <w:tblCellMar>
            <w:top w:w="15" w:type="dxa"/>
            <w:left w:w="15" w:type="dxa"/>
            <w:bottom w:w="15" w:type="dxa"/>
            <w:right w:w="15" w:type="dxa"/>
          </w:tblCellMar>
        </w:tblPrEx>
        <w:trPr>
          <w:trHeight w:val="1080" w:hRule="atLeast"/>
        </w:trPr>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满意度</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服务对象满意度</w:t>
            </w:r>
          </w:p>
        </w:tc>
        <w:tc>
          <w:tcPr>
            <w:tcW w:w="59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反映服务对象或项目受益人对相关产出及其影响的认可程度，根据项目实际细化具体指标。</w:t>
            </w:r>
          </w:p>
        </w:tc>
      </w:tr>
    </w:tbl>
    <w:p>
      <w:pPr>
        <w:spacing w:line="570" w:lineRule="exact"/>
        <w:ind w:firstLine="640" w:firstLineChars="200"/>
        <w:rPr>
          <w:rFonts w:ascii="仿宋_GB2312" w:hAnsi="仿宋_GB2312" w:eastAsia="仿宋_GB2312" w:cs="仿宋_GB2312"/>
          <w:sz w:val="32"/>
          <w:szCs w:val="32"/>
        </w:rPr>
      </w:pPr>
    </w:p>
    <w:p>
      <w:pPr>
        <w:spacing w:line="570" w:lineRule="exact"/>
        <w:rPr>
          <w:rFonts w:ascii="仿宋_GB2312" w:hAnsi="仿宋_GB2312" w:eastAsia="仿宋_GB2312" w:cs="仿宋_GB2312"/>
          <w:sz w:val="32"/>
          <w:szCs w:val="32"/>
        </w:rPr>
      </w:pPr>
    </w:p>
    <w:tbl>
      <w:tblPr>
        <w:tblStyle w:val="14"/>
        <w:tblW w:w="9507" w:type="dxa"/>
        <w:tblInd w:w="15" w:type="dxa"/>
        <w:tblLayout w:type="fixed"/>
        <w:tblCellMar>
          <w:top w:w="15" w:type="dxa"/>
          <w:left w:w="15" w:type="dxa"/>
          <w:bottom w:w="15" w:type="dxa"/>
          <w:right w:w="15" w:type="dxa"/>
        </w:tblCellMar>
      </w:tblPr>
      <w:tblGrid>
        <w:gridCol w:w="434"/>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07" w:type="dxa"/>
            <w:gridSpan w:val="8"/>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项目支出绩效目标完成情况表</w:t>
            </w:r>
          </w:p>
        </w:tc>
      </w:tr>
      <w:tr>
        <w:tblPrEx>
          <w:tblCellMar>
            <w:top w:w="15" w:type="dxa"/>
            <w:left w:w="15" w:type="dxa"/>
            <w:bottom w:w="15" w:type="dxa"/>
            <w:right w:w="15" w:type="dxa"/>
          </w:tblCellMar>
        </w:tblPrEx>
        <w:trPr>
          <w:trHeight w:val="285" w:hRule="atLeast"/>
        </w:trPr>
        <w:tc>
          <w:tcPr>
            <w:tcW w:w="22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olor w:val="000000"/>
                <w:sz w:val="32"/>
                <w:szCs w:val="32"/>
              </w:rPr>
              <w:t>广播电视重点项目（县级应急广播平台建设）</w:t>
            </w:r>
          </w:p>
        </w:tc>
      </w:tr>
      <w:tr>
        <w:tblPrEx>
          <w:tblCellMar>
            <w:top w:w="15" w:type="dxa"/>
            <w:left w:w="15" w:type="dxa"/>
            <w:bottom w:w="15" w:type="dxa"/>
            <w:right w:w="15" w:type="dxa"/>
          </w:tblCellMar>
        </w:tblPrEx>
        <w:trPr>
          <w:trHeight w:val="285" w:hRule="atLeast"/>
        </w:trPr>
        <w:tc>
          <w:tcPr>
            <w:tcW w:w="22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宋体"/>
                <w:b/>
                <w:color w:val="000000"/>
                <w:sz w:val="32"/>
                <w:szCs w:val="32"/>
                <w:lang w:val="en-US" w:eastAsia="zh-CN"/>
              </w:rPr>
            </w:pPr>
            <w:r>
              <w:rPr>
                <w:rFonts w:hint="eastAsia" w:ascii="仿宋" w:hAnsi="仿宋" w:eastAsia="仿宋" w:cs="宋体"/>
                <w:b/>
                <w:color w:val="000000"/>
                <w:sz w:val="32"/>
                <w:szCs w:val="32"/>
              </w:rPr>
              <w:t>红原县</w:t>
            </w:r>
            <w:r>
              <w:rPr>
                <w:rFonts w:hint="eastAsia" w:ascii="仿宋" w:hAnsi="仿宋" w:eastAsia="仿宋" w:cs="宋体"/>
                <w:b/>
                <w:color w:val="000000"/>
                <w:sz w:val="32"/>
                <w:szCs w:val="32"/>
                <w:lang w:eastAsia="zh-CN"/>
              </w:rPr>
              <w:t>文化体育和旅游局</w:t>
            </w:r>
          </w:p>
        </w:tc>
      </w:tr>
      <w:tr>
        <w:tblPrEx>
          <w:tblCellMar>
            <w:top w:w="15" w:type="dxa"/>
            <w:left w:w="15" w:type="dxa"/>
            <w:bottom w:w="15" w:type="dxa"/>
            <w:right w:w="15" w:type="dxa"/>
          </w:tblCellMar>
        </w:tblPrEx>
        <w:trPr>
          <w:trHeight w:val="285" w:hRule="atLeast"/>
        </w:trPr>
        <w:tc>
          <w:tcPr>
            <w:tcW w:w="4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100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97.78</w:t>
            </w:r>
          </w:p>
        </w:tc>
      </w:tr>
      <w:tr>
        <w:tblPrEx>
          <w:tblCellMar>
            <w:top w:w="15" w:type="dxa"/>
            <w:left w:w="15" w:type="dxa"/>
            <w:bottom w:w="15" w:type="dxa"/>
            <w:right w:w="15" w:type="dxa"/>
          </w:tblCellMar>
        </w:tblPrEx>
        <w:trPr>
          <w:trHeight w:val="28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100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97.78</w:t>
            </w:r>
          </w:p>
        </w:tc>
      </w:tr>
      <w:tr>
        <w:tblPrEx>
          <w:tblCellMar>
            <w:top w:w="15" w:type="dxa"/>
            <w:left w:w="15" w:type="dxa"/>
            <w:bottom w:w="15" w:type="dxa"/>
            <w:right w:w="15" w:type="dxa"/>
          </w:tblCellMar>
        </w:tblPrEx>
        <w:trPr>
          <w:trHeight w:val="28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p>
        </w:tc>
      </w:tr>
      <w:tr>
        <w:tblPrEx>
          <w:tblCellMar>
            <w:top w:w="15" w:type="dxa"/>
            <w:left w:w="15" w:type="dxa"/>
            <w:bottom w:w="15" w:type="dxa"/>
            <w:right w:w="15" w:type="dxa"/>
          </w:tblCellMar>
        </w:tblPrEx>
        <w:trPr>
          <w:trHeight w:val="285" w:hRule="atLeast"/>
        </w:trPr>
        <w:tc>
          <w:tcPr>
            <w:tcW w:w="4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实际完成目标</w:t>
            </w:r>
          </w:p>
        </w:tc>
      </w:tr>
      <w:tr>
        <w:tblPrEx>
          <w:tblCellMar>
            <w:top w:w="15" w:type="dxa"/>
            <w:left w:w="15" w:type="dxa"/>
            <w:bottom w:w="15" w:type="dxa"/>
            <w:right w:w="15" w:type="dxa"/>
          </w:tblCellMar>
        </w:tblPrEx>
        <w:trPr>
          <w:trHeight w:val="192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olor w:val="000000"/>
                <w:sz w:val="32"/>
                <w:szCs w:val="32"/>
              </w:rPr>
              <w:t>建设完成1个县级应急广播平台</w:t>
            </w:r>
          </w:p>
          <w:p>
            <w:pPr>
              <w:jc w:val="center"/>
              <w:rPr>
                <w:rFonts w:ascii="仿宋" w:hAnsi="仿宋" w:eastAsia="仿宋" w:cs="宋体"/>
                <w:b/>
                <w:color w:val="000000"/>
                <w:sz w:val="32"/>
                <w:szCs w:val="32"/>
              </w:rPr>
            </w:pP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olor w:val="000000"/>
                <w:sz w:val="32"/>
                <w:szCs w:val="32"/>
              </w:rPr>
              <w:t>建设完成1个县级应急广播平台</w:t>
            </w:r>
          </w:p>
          <w:p>
            <w:pPr>
              <w:jc w:val="center"/>
              <w:rPr>
                <w:rFonts w:ascii="仿宋" w:hAnsi="仿宋" w:eastAsia="仿宋" w:cs="宋体"/>
                <w:b/>
                <w:color w:val="000000"/>
                <w:sz w:val="32"/>
                <w:szCs w:val="32"/>
              </w:rPr>
            </w:pPr>
          </w:p>
        </w:tc>
      </w:tr>
      <w:tr>
        <w:tblPrEx>
          <w:tblCellMar>
            <w:top w:w="15" w:type="dxa"/>
            <w:left w:w="15" w:type="dxa"/>
            <w:bottom w:w="15" w:type="dxa"/>
            <w:right w:w="15" w:type="dxa"/>
          </w:tblCellMar>
        </w:tblPrEx>
        <w:trPr>
          <w:trHeight w:val="624" w:hRule="atLeast"/>
        </w:trPr>
        <w:tc>
          <w:tcPr>
            <w:tcW w:w="4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_GB2312"/>
                <w:color w:val="000000"/>
                <w:sz w:val="32"/>
                <w:szCs w:val="32"/>
              </w:rPr>
            </w:pPr>
            <w:r>
              <w:rPr>
                <w:rFonts w:hint="eastAsia" w:ascii="仿宋" w:hAnsi="仿宋" w:eastAsia="仿宋" w:cs="仿宋_GB2312"/>
                <w:color w:val="000000"/>
                <w:kern w:val="0"/>
                <w:sz w:val="32"/>
                <w:szCs w:val="32"/>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rPr>
              <w:t>实际完成指标值(包含数字及文字描述)</w:t>
            </w:r>
          </w:p>
        </w:tc>
      </w:tr>
      <w:tr>
        <w:tblPrEx>
          <w:tblCellMar>
            <w:top w:w="15" w:type="dxa"/>
            <w:left w:w="15" w:type="dxa"/>
            <w:bottom w:w="15" w:type="dxa"/>
            <w:right w:w="15" w:type="dxa"/>
          </w:tblCellMar>
        </w:tblPrEx>
        <w:trPr>
          <w:trHeight w:val="624"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r>
      <w:tr>
        <w:tblPrEx>
          <w:tblCellMar>
            <w:top w:w="15" w:type="dxa"/>
            <w:left w:w="15" w:type="dxa"/>
            <w:bottom w:w="15" w:type="dxa"/>
            <w:right w:w="15" w:type="dxa"/>
          </w:tblCellMar>
        </w:tblPrEx>
        <w:trPr>
          <w:trHeight w:val="624"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r>
      <w:tr>
        <w:tblPrEx>
          <w:tblCellMar>
            <w:top w:w="15" w:type="dxa"/>
            <w:left w:w="15" w:type="dxa"/>
            <w:bottom w:w="15" w:type="dxa"/>
            <w:right w:w="15" w:type="dxa"/>
          </w:tblCellMar>
        </w:tblPrEx>
        <w:trPr>
          <w:trHeight w:val="76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r>
      <w:tr>
        <w:tblPrEx>
          <w:tblCellMar>
            <w:top w:w="15" w:type="dxa"/>
            <w:left w:w="15" w:type="dxa"/>
            <w:bottom w:w="15" w:type="dxa"/>
            <w:right w:w="15" w:type="dxa"/>
          </w:tblCellMar>
        </w:tblPrEx>
        <w:trPr>
          <w:trHeight w:val="64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r>
      <w:tr>
        <w:tblPrEx>
          <w:tblCellMar>
            <w:top w:w="15" w:type="dxa"/>
            <w:left w:w="15" w:type="dxa"/>
            <w:bottom w:w="15" w:type="dxa"/>
            <w:right w:w="15" w:type="dxa"/>
          </w:tblCellMar>
        </w:tblPrEx>
        <w:trPr>
          <w:trHeight w:val="69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r>
      <w:tr>
        <w:tblPrEx>
          <w:tblCellMar>
            <w:top w:w="15" w:type="dxa"/>
            <w:left w:w="15" w:type="dxa"/>
            <w:bottom w:w="15" w:type="dxa"/>
            <w:right w:w="15" w:type="dxa"/>
          </w:tblCellMar>
        </w:tblPrEx>
        <w:trPr>
          <w:trHeight w:val="76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CellMar>
            <w:top w:w="15" w:type="dxa"/>
            <w:left w:w="15" w:type="dxa"/>
            <w:bottom w:w="15" w:type="dxa"/>
            <w:right w:w="15" w:type="dxa"/>
          </w:tblCellMar>
        </w:tblPrEx>
        <w:trPr>
          <w:trHeight w:val="28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r>
      <w:tr>
        <w:tblPrEx>
          <w:tblCellMar>
            <w:top w:w="15" w:type="dxa"/>
            <w:left w:w="15" w:type="dxa"/>
            <w:bottom w:w="15" w:type="dxa"/>
            <w:right w:w="15" w:type="dxa"/>
          </w:tblCellMar>
        </w:tblPrEx>
        <w:trPr>
          <w:trHeight w:val="28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CellMar>
            <w:top w:w="15" w:type="dxa"/>
            <w:left w:w="15" w:type="dxa"/>
            <w:bottom w:w="15" w:type="dxa"/>
            <w:right w:w="15" w:type="dxa"/>
          </w:tblCellMar>
        </w:tblPrEx>
        <w:trPr>
          <w:trHeight w:val="28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r>
      <w:tr>
        <w:tblPrEx>
          <w:tblCellMar>
            <w:top w:w="15" w:type="dxa"/>
            <w:left w:w="15" w:type="dxa"/>
            <w:bottom w:w="15" w:type="dxa"/>
            <w:right w:w="15" w:type="dxa"/>
          </w:tblCellMar>
        </w:tblPrEx>
        <w:trPr>
          <w:trHeight w:val="75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r>
      <w:tr>
        <w:tblPrEx>
          <w:tblCellMar>
            <w:top w:w="15" w:type="dxa"/>
            <w:left w:w="15" w:type="dxa"/>
            <w:bottom w:w="15" w:type="dxa"/>
            <w:right w:w="15" w:type="dxa"/>
          </w:tblCellMar>
        </w:tblPrEx>
        <w:trPr>
          <w:trHeight w:val="82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r>
      <w:tr>
        <w:tblPrEx>
          <w:tblCellMar>
            <w:top w:w="15" w:type="dxa"/>
            <w:left w:w="15" w:type="dxa"/>
            <w:bottom w:w="15" w:type="dxa"/>
            <w:right w:w="15" w:type="dxa"/>
          </w:tblCellMar>
        </w:tblPrEx>
        <w:trPr>
          <w:trHeight w:val="28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CellMar>
            <w:top w:w="15" w:type="dxa"/>
            <w:left w:w="15" w:type="dxa"/>
            <w:bottom w:w="15" w:type="dxa"/>
            <w:right w:w="15" w:type="dxa"/>
          </w:tblCellMar>
        </w:tblPrEx>
        <w:trPr>
          <w:trHeight w:val="76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r>
      <w:tr>
        <w:tblPrEx>
          <w:tblCellMar>
            <w:top w:w="15" w:type="dxa"/>
            <w:left w:w="15" w:type="dxa"/>
            <w:bottom w:w="15" w:type="dxa"/>
            <w:right w:w="15" w:type="dxa"/>
          </w:tblCellMar>
        </w:tblPrEx>
        <w:trPr>
          <w:trHeight w:val="102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CellMar>
            <w:top w:w="15" w:type="dxa"/>
            <w:left w:w="15" w:type="dxa"/>
            <w:bottom w:w="15" w:type="dxa"/>
            <w:right w:w="15" w:type="dxa"/>
          </w:tblCellMar>
        </w:tblPrEx>
        <w:trPr>
          <w:trHeight w:val="73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CellMar>
            <w:top w:w="15" w:type="dxa"/>
            <w:left w:w="15" w:type="dxa"/>
            <w:bottom w:w="15" w:type="dxa"/>
            <w:right w:w="15" w:type="dxa"/>
          </w:tblCellMar>
        </w:tblPrEx>
        <w:trPr>
          <w:trHeight w:val="54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r>
      <w:tr>
        <w:tblPrEx>
          <w:tblCellMar>
            <w:top w:w="15" w:type="dxa"/>
            <w:left w:w="15" w:type="dxa"/>
            <w:bottom w:w="15" w:type="dxa"/>
            <w:right w:w="15" w:type="dxa"/>
          </w:tblCellMar>
        </w:tblPrEx>
        <w:trPr>
          <w:trHeight w:val="115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r>
      <w:tr>
        <w:tblPrEx>
          <w:tblCellMar>
            <w:top w:w="15" w:type="dxa"/>
            <w:left w:w="15" w:type="dxa"/>
            <w:bottom w:w="15" w:type="dxa"/>
            <w:right w:w="15" w:type="dxa"/>
          </w:tblCellMar>
        </w:tblPrEx>
        <w:trPr>
          <w:trHeight w:val="28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r>
      <w:tr>
        <w:tblPrEx>
          <w:tblCellMar>
            <w:top w:w="15" w:type="dxa"/>
            <w:left w:w="15" w:type="dxa"/>
            <w:bottom w:w="15" w:type="dxa"/>
            <w:right w:w="15" w:type="dxa"/>
          </w:tblCellMar>
        </w:tblPrEx>
        <w:trPr>
          <w:trHeight w:val="28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r>
      <w:tr>
        <w:tblPrEx>
          <w:tblCellMar>
            <w:top w:w="15" w:type="dxa"/>
            <w:left w:w="15" w:type="dxa"/>
            <w:bottom w:w="15" w:type="dxa"/>
            <w:right w:w="15" w:type="dxa"/>
          </w:tblCellMar>
        </w:tblPrEx>
        <w:trPr>
          <w:trHeight w:val="28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r>
      <w:tr>
        <w:tblPrEx>
          <w:tblCellMar>
            <w:top w:w="15" w:type="dxa"/>
            <w:left w:w="15" w:type="dxa"/>
            <w:bottom w:w="15" w:type="dxa"/>
            <w:right w:w="15" w:type="dxa"/>
          </w:tblCellMar>
        </w:tblPrEx>
        <w:trPr>
          <w:trHeight w:val="73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r>
      <w:tr>
        <w:tblPrEx>
          <w:tblCellMar>
            <w:top w:w="15" w:type="dxa"/>
            <w:left w:w="15" w:type="dxa"/>
            <w:bottom w:w="15" w:type="dxa"/>
            <w:right w:w="15" w:type="dxa"/>
          </w:tblCellMar>
        </w:tblPrEx>
        <w:trPr>
          <w:trHeight w:val="28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r>
      <w:tr>
        <w:tblPrEx>
          <w:tblCellMar>
            <w:top w:w="15" w:type="dxa"/>
            <w:left w:w="15" w:type="dxa"/>
            <w:bottom w:w="15" w:type="dxa"/>
            <w:right w:w="15" w:type="dxa"/>
          </w:tblCellMar>
        </w:tblPrEx>
        <w:trPr>
          <w:trHeight w:val="28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履行</w:t>
            </w:r>
          </w:p>
        </w:tc>
      </w:tr>
      <w:tr>
        <w:tblPrEx>
          <w:tblCellMar>
            <w:top w:w="15" w:type="dxa"/>
            <w:left w:w="15" w:type="dxa"/>
            <w:bottom w:w="15" w:type="dxa"/>
            <w:right w:w="15" w:type="dxa"/>
          </w:tblCellMar>
        </w:tblPrEx>
        <w:trPr>
          <w:trHeight w:val="85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x≤5</w:t>
            </w:r>
            <w:r>
              <w:rPr>
                <w:rFonts w:ascii="仿宋" w:hAnsi="仿宋" w:eastAsia="仿宋" w:cs="宋体"/>
                <w:color w:val="000000"/>
                <w:sz w:val="32"/>
                <w:szCs w:val="32"/>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x≤5</w:t>
            </w:r>
            <w:r>
              <w:rPr>
                <w:rFonts w:ascii="仿宋" w:hAnsi="仿宋" w:eastAsia="仿宋" w:cs="宋体"/>
                <w:color w:val="000000"/>
                <w:sz w:val="32"/>
                <w:szCs w:val="32"/>
              </w:rPr>
              <w:t>%</w:t>
            </w:r>
          </w:p>
        </w:tc>
      </w:tr>
      <w:tr>
        <w:tblPrEx>
          <w:tblCellMar>
            <w:top w:w="15" w:type="dxa"/>
            <w:left w:w="15" w:type="dxa"/>
            <w:bottom w:w="15" w:type="dxa"/>
            <w:right w:w="15" w:type="dxa"/>
          </w:tblCellMar>
        </w:tblPrEx>
        <w:trPr>
          <w:trHeight w:val="76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严格</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严格</w:t>
            </w:r>
          </w:p>
        </w:tc>
      </w:tr>
      <w:tr>
        <w:tblPrEx>
          <w:tblCellMar>
            <w:top w:w="15" w:type="dxa"/>
            <w:left w:w="15" w:type="dxa"/>
            <w:bottom w:w="15" w:type="dxa"/>
            <w:right w:w="15" w:type="dxa"/>
          </w:tblCellMar>
        </w:tblPrEx>
        <w:trPr>
          <w:trHeight w:val="28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r>
      <w:tr>
        <w:tblPrEx>
          <w:tblCellMar>
            <w:top w:w="15" w:type="dxa"/>
            <w:left w:w="15" w:type="dxa"/>
            <w:bottom w:w="15" w:type="dxa"/>
            <w:right w:w="15" w:type="dxa"/>
          </w:tblCellMar>
        </w:tblPrEx>
        <w:trPr>
          <w:trHeight w:val="28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CellMar>
            <w:top w:w="15" w:type="dxa"/>
            <w:left w:w="15" w:type="dxa"/>
            <w:bottom w:w="15" w:type="dxa"/>
            <w:right w:w="15" w:type="dxa"/>
          </w:tblCellMar>
        </w:tblPrEx>
        <w:trPr>
          <w:trHeight w:val="79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r>
      <w:tr>
        <w:tblPrEx>
          <w:tblCellMar>
            <w:top w:w="15" w:type="dxa"/>
            <w:left w:w="15" w:type="dxa"/>
            <w:bottom w:w="15" w:type="dxa"/>
            <w:right w:w="15" w:type="dxa"/>
          </w:tblCellMar>
        </w:tblPrEx>
        <w:trPr>
          <w:trHeight w:val="28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r>
      <w:tr>
        <w:tblPrEx>
          <w:tblCellMar>
            <w:top w:w="15" w:type="dxa"/>
            <w:left w:w="15" w:type="dxa"/>
            <w:bottom w:w="15" w:type="dxa"/>
            <w:right w:w="15" w:type="dxa"/>
          </w:tblCellMar>
        </w:tblPrEx>
        <w:trPr>
          <w:trHeight w:val="72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CellMar>
            <w:top w:w="15" w:type="dxa"/>
            <w:left w:w="15" w:type="dxa"/>
            <w:bottom w:w="15" w:type="dxa"/>
            <w:right w:w="15" w:type="dxa"/>
          </w:tblCellMar>
        </w:tblPrEx>
        <w:trPr>
          <w:trHeight w:val="735"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r>
              <w:rPr>
                <w:rFonts w:hint="eastAsia" w:ascii="仿宋" w:hAnsi="仿宋" w:eastAsia="仿宋"/>
                <w:color w:val="000000"/>
                <w:sz w:val="32"/>
                <w:szCs w:val="32"/>
              </w:rPr>
              <w:t>广播电视综合人口覆盖率</w:t>
            </w:r>
          </w:p>
          <w:p>
            <w:pPr>
              <w:widowControl/>
              <w:jc w:val="left"/>
              <w:textAlignment w:val="bottom"/>
              <w:rPr>
                <w:rFonts w:ascii="仿宋" w:hAnsi="仿宋" w:eastAsia="仿宋" w:cs="宋体"/>
                <w:color w:val="000000"/>
                <w:sz w:val="32"/>
                <w:szCs w:val="32"/>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r>
              <w:rPr>
                <w:rFonts w:hint="eastAsia" w:ascii="仿宋" w:hAnsi="仿宋" w:eastAsia="仿宋" w:cs="宋体"/>
                <w:color w:val="000000"/>
                <w:sz w:val="32"/>
                <w:szCs w:val="32"/>
              </w:rPr>
              <w:t>红原县城</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r>
              <w:rPr>
                <w:rFonts w:hint="eastAsia" w:ascii="仿宋" w:hAnsi="仿宋" w:eastAsia="仿宋" w:cs="宋体"/>
                <w:color w:val="000000"/>
                <w:sz w:val="32"/>
                <w:szCs w:val="32"/>
              </w:rPr>
              <w:t>红原县城</w:t>
            </w:r>
          </w:p>
        </w:tc>
      </w:tr>
      <w:tr>
        <w:tblPrEx>
          <w:tblCellMar>
            <w:top w:w="15" w:type="dxa"/>
            <w:left w:w="15" w:type="dxa"/>
            <w:bottom w:w="15" w:type="dxa"/>
            <w:right w:w="15" w:type="dxa"/>
          </w:tblCellMar>
        </w:tblPrEx>
        <w:trPr>
          <w:trHeight w:val="72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CellMar>
            <w:top w:w="15" w:type="dxa"/>
            <w:left w:w="15" w:type="dxa"/>
            <w:bottom w:w="15" w:type="dxa"/>
            <w:right w:w="15" w:type="dxa"/>
          </w:tblCellMar>
        </w:tblPrEx>
        <w:trPr>
          <w:trHeight w:val="75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 w:hAnsi="仿宋" w:eastAsia="仿宋" w:cs="宋体"/>
                <w:color w:val="000000"/>
                <w:sz w:val="32"/>
                <w:szCs w:val="32"/>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 w:hAnsi="仿宋" w:eastAsia="仿宋" w:cs="宋体"/>
                <w:color w:val="000000"/>
                <w:sz w:val="32"/>
                <w:szCs w:val="32"/>
              </w:rPr>
            </w:pPr>
          </w:p>
        </w:tc>
      </w:tr>
      <w:tr>
        <w:tblPrEx>
          <w:tblCellMar>
            <w:top w:w="15" w:type="dxa"/>
            <w:left w:w="15" w:type="dxa"/>
            <w:bottom w:w="15" w:type="dxa"/>
            <w:right w:w="15" w:type="dxa"/>
          </w:tblCellMar>
        </w:tblPrEx>
        <w:trPr>
          <w:trHeight w:val="108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r>
              <w:rPr>
                <w:rFonts w:hint="eastAsia" w:ascii="仿宋" w:hAnsi="仿宋" w:eastAsia="仿宋" w:cs="宋体"/>
                <w:color w:val="000000"/>
                <w:sz w:val="32"/>
                <w:szCs w:val="32"/>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r>
              <w:rPr>
                <w:rFonts w:hint="eastAsia" w:ascii="仿宋" w:hAnsi="仿宋" w:eastAsia="仿宋" w:cs="宋体"/>
                <w:color w:val="000000"/>
                <w:sz w:val="32"/>
                <w:szCs w:val="32"/>
              </w:rPr>
              <w:t>100%</w:t>
            </w:r>
          </w:p>
        </w:tc>
      </w:tr>
    </w:tbl>
    <w:p>
      <w:pPr>
        <w:rPr>
          <w:rFonts w:ascii="仿宋" w:hAnsi="仿宋" w:eastAsia="仿宋"/>
          <w:sz w:val="32"/>
          <w:szCs w:val="32"/>
        </w:rPr>
      </w:pPr>
    </w:p>
    <w:tbl>
      <w:tblPr>
        <w:tblStyle w:val="14"/>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olor w:val="000000"/>
                <w:sz w:val="32"/>
                <w:szCs w:val="32"/>
              </w:rPr>
              <w:t>文化惠民扶贫项目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宋体"/>
                <w:b/>
                <w:color w:val="000000"/>
                <w:sz w:val="32"/>
                <w:szCs w:val="32"/>
                <w:lang w:eastAsia="zh-CN"/>
              </w:rPr>
            </w:pPr>
            <w:r>
              <w:rPr>
                <w:rFonts w:hint="eastAsia" w:ascii="仿宋" w:hAnsi="仿宋" w:eastAsia="仿宋" w:cs="宋体"/>
                <w:b/>
                <w:color w:val="000000"/>
                <w:sz w:val="32"/>
                <w:szCs w:val="32"/>
              </w:rPr>
              <w:t>红原县</w:t>
            </w:r>
            <w:r>
              <w:rPr>
                <w:rFonts w:hint="eastAsia" w:ascii="仿宋" w:hAnsi="仿宋" w:eastAsia="仿宋" w:cs="宋体"/>
                <w:b/>
                <w:color w:val="000000"/>
                <w:sz w:val="32"/>
                <w:szCs w:val="32"/>
                <w:lang w:eastAsia="zh-CN"/>
              </w:rPr>
              <w:t>文化体育和旅游局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100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94.15</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100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94.15</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olor w:val="000000"/>
                <w:sz w:val="32"/>
                <w:szCs w:val="32"/>
              </w:rPr>
            </w:pPr>
            <w:r>
              <w:rPr>
                <w:rFonts w:hint="eastAsia" w:ascii="仿宋" w:hAnsi="仿宋" w:eastAsia="仿宋"/>
                <w:color w:val="000000"/>
                <w:sz w:val="32"/>
                <w:szCs w:val="32"/>
              </w:rPr>
              <w:t>完成系列文化惠民工程</w:t>
            </w:r>
          </w:p>
          <w:p>
            <w:pPr>
              <w:jc w:val="center"/>
              <w:rPr>
                <w:rFonts w:ascii="仿宋" w:hAnsi="仿宋" w:eastAsia="仿宋"/>
                <w:color w:val="000000"/>
                <w:sz w:val="32"/>
                <w:szCs w:val="32"/>
              </w:rPr>
            </w:pP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olor w:val="000000"/>
                <w:sz w:val="32"/>
                <w:szCs w:val="32"/>
              </w:rPr>
            </w:pPr>
            <w:r>
              <w:rPr>
                <w:rFonts w:hint="eastAsia" w:ascii="仿宋" w:hAnsi="仿宋" w:eastAsia="仿宋"/>
                <w:color w:val="000000"/>
                <w:sz w:val="32"/>
                <w:szCs w:val="32"/>
              </w:rPr>
              <w:t>完成系列文化惠民工程</w:t>
            </w:r>
          </w:p>
          <w:p>
            <w:pPr>
              <w:jc w:val="center"/>
              <w:rPr>
                <w:rFonts w:ascii="仿宋" w:hAnsi="仿宋" w:eastAsia="仿宋" w:cs="宋体"/>
                <w:b/>
                <w:color w:val="000000"/>
                <w:sz w:val="32"/>
                <w:szCs w:val="32"/>
              </w:rPr>
            </w:pP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_GB2312"/>
                <w:color w:val="000000"/>
                <w:sz w:val="32"/>
                <w:szCs w:val="32"/>
              </w:rPr>
            </w:pPr>
            <w:r>
              <w:rPr>
                <w:rFonts w:hint="eastAsia" w:ascii="仿宋" w:hAnsi="仿宋" w:eastAsia="仿宋" w:cs="仿宋_GB2312"/>
                <w:color w:val="000000"/>
                <w:kern w:val="0"/>
                <w:sz w:val="32"/>
                <w:szCs w:val="32"/>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履行</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x≤5</w:t>
            </w:r>
            <w:r>
              <w:rPr>
                <w:rFonts w:ascii="仿宋" w:hAnsi="仿宋" w:eastAsia="仿宋" w:cs="宋体"/>
                <w:color w:val="000000"/>
                <w:sz w:val="32"/>
                <w:szCs w:val="32"/>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x≤5</w:t>
            </w:r>
            <w:r>
              <w:rPr>
                <w:rFonts w:ascii="仿宋" w:hAnsi="仿宋" w:eastAsia="仿宋" w:cs="宋体"/>
                <w:color w:val="000000"/>
                <w:sz w:val="32"/>
                <w:szCs w:val="32"/>
              </w:rPr>
              <w:t>%</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严格</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严格</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仿宋" w:hAnsi="仿宋" w:eastAsia="仿宋" w:cs="宋体"/>
                <w:color w:val="000000"/>
                <w:kern w:val="0"/>
                <w:sz w:val="32"/>
                <w:szCs w:val="32"/>
              </w:rPr>
              <w:t>拟达成效</w:t>
            </w:r>
          </w:p>
          <w:p>
            <w:pPr>
              <w:widowControl/>
              <w:jc w:val="left"/>
              <w:textAlignment w:val="bottom"/>
              <w:rPr>
                <w:rFonts w:ascii="仿宋" w:hAnsi="仿宋" w:eastAsia="仿宋" w:cs="宋体"/>
                <w:color w:val="000000"/>
                <w:sz w:val="32"/>
                <w:szCs w:val="32"/>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丰富了农牧民群众的生活，提高了农牧民群众的身体素质</w:t>
            </w:r>
          </w:p>
          <w:p>
            <w:pPr>
              <w:jc w:val="center"/>
              <w:rPr>
                <w:rFonts w:ascii="仿宋" w:hAnsi="仿宋" w:eastAsia="仿宋" w:cs="宋体"/>
                <w:color w:val="000000"/>
                <w:sz w:val="32"/>
                <w:szCs w:val="32"/>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丰富了农牧民群众的生活，提高了农牧民群众的身体素质</w:t>
            </w:r>
          </w:p>
          <w:p>
            <w:pPr>
              <w:jc w:val="center"/>
              <w:rPr>
                <w:rFonts w:ascii="仿宋" w:hAnsi="仿宋" w:eastAsia="仿宋" w:cs="宋体"/>
                <w:color w:val="000000"/>
                <w:sz w:val="32"/>
                <w:szCs w:val="32"/>
              </w:rPr>
            </w:pP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仿宋" w:hAnsi="仿宋" w:eastAsia="仿宋" w:cs="宋体"/>
                <w:color w:val="000000"/>
                <w:kern w:val="0"/>
                <w:sz w:val="32"/>
                <w:szCs w:val="32"/>
              </w:rPr>
              <w:t>拟达成效</w:t>
            </w:r>
          </w:p>
          <w:p>
            <w:pPr>
              <w:widowControl/>
              <w:jc w:val="left"/>
              <w:textAlignment w:val="bottom"/>
              <w:rPr>
                <w:rFonts w:ascii="仿宋" w:hAnsi="仿宋" w:eastAsia="仿宋" w:cs="宋体"/>
                <w:color w:val="000000"/>
                <w:sz w:val="32"/>
                <w:szCs w:val="32"/>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提升了全县基层公共文化服务水平，完善村级文化室设备，丰富了牧民群众文化生活。</w:t>
            </w:r>
          </w:p>
          <w:p>
            <w:pPr>
              <w:jc w:val="left"/>
              <w:rPr>
                <w:rFonts w:ascii="仿宋" w:hAnsi="仿宋" w:eastAsia="仿宋" w:cs="宋体"/>
                <w:color w:val="000000"/>
                <w:kern w:val="0"/>
                <w:sz w:val="32"/>
                <w:szCs w:val="32"/>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提升了全县基层公共文化服务水平，完善村级文化室设备，丰富了牧民群众文化生活。</w:t>
            </w:r>
          </w:p>
          <w:p>
            <w:pPr>
              <w:jc w:val="left"/>
              <w:rPr>
                <w:rFonts w:ascii="仿宋" w:hAnsi="仿宋" w:eastAsia="仿宋" w:cs="宋体"/>
                <w:color w:val="000000"/>
                <w:kern w:val="0"/>
                <w:sz w:val="32"/>
                <w:szCs w:val="32"/>
              </w:rPr>
            </w:pP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r>
              <w:rPr>
                <w:rFonts w:hint="eastAsia" w:ascii="仿宋" w:hAnsi="仿宋" w:eastAsia="仿宋" w:cs="宋体"/>
                <w:color w:val="000000"/>
                <w:sz w:val="32"/>
                <w:szCs w:val="32"/>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r>
              <w:rPr>
                <w:rFonts w:hint="eastAsia" w:ascii="仿宋" w:hAnsi="仿宋" w:eastAsia="仿宋" w:cs="宋体"/>
                <w:color w:val="000000"/>
                <w:sz w:val="32"/>
                <w:szCs w:val="32"/>
              </w:rPr>
              <w:t>100%</w:t>
            </w:r>
          </w:p>
        </w:tc>
      </w:tr>
    </w:tbl>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rPr>
          <w:rFonts w:ascii="仿宋_GB2312" w:hAnsi="仿宋_GB2312" w:eastAsia="仿宋_GB2312" w:cs="仿宋_GB2312"/>
          <w:sz w:val="32"/>
          <w:szCs w:val="32"/>
        </w:rPr>
      </w:pPr>
    </w:p>
    <w:p>
      <w:pPr>
        <w:spacing w:line="570" w:lineRule="exact"/>
        <w:rPr>
          <w:rFonts w:ascii="仿宋_GB2312" w:hAnsi="仿宋_GB2312" w:eastAsia="仿宋_GB2312" w:cs="仿宋_GB2312"/>
          <w:sz w:val="32"/>
          <w:szCs w:val="32"/>
        </w:rPr>
      </w:pPr>
    </w:p>
    <w:p>
      <w:pPr>
        <w:spacing w:line="570" w:lineRule="exact"/>
        <w:rPr>
          <w:rFonts w:ascii="仿宋_GB2312" w:hAnsi="仿宋_GB2312" w:eastAsia="仿宋_GB2312" w:cs="仿宋_GB2312"/>
          <w:sz w:val="32"/>
          <w:szCs w:val="32"/>
        </w:rPr>
      </w:pPr>
    </w:p>
    <w:p>
      <w:pPr>
        <w:numPr>
          <w:ilvl w:val="0"/>
          <w:numId w:val="5"/>
        </w:numPr>
        <w:spacing w:line="570" w:lineRule="exact"/>
        <w:ind w:firstLine="660" w:firstLineChars="150"/>
        <w:jc w:val="center"/>
        <w:outlineLvl w:val="0"/>
        <w:rPr>
          <w:rStyle w:val="26"/>
          <w:rFonts w:ascii="仿宋_GB2312" w:hAnsi="黑体" w:eastAsia="仿宋_GB2312"/>
          <w:b w:val="0"/>
        </w:rPr>
      </w:pPr>
      <w:bookmarkStart w:id="48" w:name="_Toc15396613"/>
      <w:bookmarkStart w:id="49" w:name="_Toc15377225"/>
      <w:r>
        <w:rPr>
          <w:rFonts w:hint="eastAsia" w:ascii="仿宋_GB2312" w:hAnsi="黑体" w:eastAsia="仿宋_GB2312"/>
          <w:color w:val="000000"/>
          <w:sz w:val="44"/>
          <w:szCs w:val="44"/>
        </w:rPr>
        <w:t>名</w:t>
      </w:r>
      <w:r>
        <w:rPr>
          <w:rStyle w:val="26"/>
          <w:rFonts w:hint="eastAsia" w:ascii="仿宋_GB2312" w:hAnsi="黑体" w:eastAsia="仿宋_GB2312"/>
          <w:b w:val="0"/>
        </w:rPr>
        <w:t>词解释</w:t>
      </w:r>
      <w:bookmarkEnd w:id="48"/>
      <w:bookmarkEnd w:id="49"/>
    </w:p>
    <w:p>
      <w:pPr>
        <w:spacing w:line="570" w:lineRule="exact"/>
        <w:jc w:val="left"/>
        <w:rPr>
          <w:rFonts w:ascii="仿宋_GB2312" w:eastAsia="仿宋_GB2312"/>
          <w:b/>
          <w:color w:val="000000"/>
          <w:sz w:val="44"/>
          <w:szCs w:val="44"/>
        </w:rPr>
      </w:pPr>
    </w:p>
    <w:p>
      <w:pPr>
        <w:pStyle w:val="24"/>
        <w:spacing w:line="570" w:lineRule="exact"/>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24"/>
        <w:spacing w:line="57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4"/>
        <w:spacing w:line="57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 xml:space="preserve">.其他收入：指单位取得的除上述收入以外的各项收入。 </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lang w:val="en-US" w:eastAsia="zh-CN"/>
        </w:rPr>
        <w:t>4</w:t>
      </w:r>
      <w:r>
        <w:rPr>
          <w:rFonts w:ascii="仿宋" w:hAnsi="仿宋" w:eastAsia="仿宋"/>
          <w:color w:val="000000" w:themeColor="text1"/>
          <w:sz w:val="32"/>
          <w:szCs w:val="32"/>
        </w:rPr>
        <w:t>.</w:t>
      </w:r>
      <w:r>
        <w:rPr>
          <w:rFonts w:hint="eastAsia" w:ascii="仿宋" w:hAnsi="仿宋" w:eastAsia="仿宋"/>
          <w:color w:val="000000" w:themeColor="text1"/>
          <w:sz w:val="32"/>
          <w:szCs w:val="32"/>
        </w:rPr>
        <w:t>文化体育与传媒（207）文化（01）一般行政管理事务（02）：指行政单位（包括实行公务员管理的事业单位）未单独设置项级科目的其他项目支出。</w:t>
      </w:r>
    </w:p>
    <w:p>
      <w:pPr>
        <w:pStyle w:val="13"/>
        <w:ind w:left="0" w:leftChars="0" w:firstLine="0" w:firstLineChars="0"/>
        <w:rPr>
          <w:rFonts w:ascii="仿宋" w:hAnsi="仿宋" w:eastAsia="仿宋"/>
          <w:color w:val="000000" w:themeColor="text1"/>
          <w:sz w:val="32"/>
          <w:szCs w:val="32"/>
        </w:rPr>
      </w:pPr>
      <w:r>
        <w:rPr>
          <w:rFonts w:hint="eastAsia" w:ascii="仿宋" w:hAnsi="仿宋" w:eastAsia="仿宋"/>
          <w:color w:val="000000" w:themeColor="text1"/>
          <w:sz w:val="32"/>
          <w:szCs w:val="32"/>
        </w:rPr>
        <w:t>文化体育与传媒（207）文化（01）图书馆（04）指：图书馆的支出。</w:t>
      </w:r>
    </w:p>
    <w:p>
      <w:pPr>
        <w:pStyle w:val="13"/>
        <w:ind w:left="0" w:leftChars="0" w:firstLine="0" w:firstLineChars="0"/>
        <w:rPr>
          <w:rFonts w:ascii="仿宋" w:hAnsi="仿宋" w:eastAsia="仿宋"/>
          <w:color w:val="000000" w:themeColor="text1"/>
          <w:sz w:val="32"/>
          <w:szCs w:val="32"/>
        </w:rPr>
      </w:pPr>
      <w:r>
        <w:rPr>
          <w:rFonts w:hint="eastAsia" w:ascii="仿宋" w:hAnsi="仿宋" w:eastAsia="仿宋"/>
          <w:color w:val="000000" w:themeColor="text1"/>
          <w:sz w:val="32"/>
          <w:szCs w:val="32"/>
        </w:rPr>
        <w:t>文化体育与传媒（207）文化（01）艺术表演团体（07）指：文化及其他部门主管的剧院、团等艺术表演团体的支出。</w:t>
      </w:r>
    </w:p>
    <w:p>
      <w:pPr>
        <w:pStyle w:val="13"/>
        <w:ind w:left="0" w:leftChars="0" w:firstLine="0" w:firstLineChars="0"/>
        <w:rPr>
          <w:rFonts w:ascii="仿宋" w:hAnsi="仿宋" w:eastAsia="仿宋"/>
          <w:color w:val="000000" w:themeColor="text1"/>
          <w:sz w:val="32"/>
          <w:szCs w:val="32"/>
        </w:rPr>
      </w:pPr>
      <w:r>
        <w:rPr>
          <w:rFonts w:hint="eastAsia" w:ascii="仿宋" w:hAnsi="仿宋" w:eastAsia="仿宋"/>
          <w:color w:val="000000" w:themeColor="text1"/>
          <w:sz w:val="32"/>
          <w:szCs w:val="32"/>
        </w:rPr>
        <w:t>文化体育与传媒（207）文化（01）群众文化（09）指：群众文化方面的支出，包括基层文化馆（站）、群众艺术馆支出等。</w:t>
      </w:r>
    </w:p>
    <w:p>
      <w:pPr>
        <w:pStyle w:val="13"/>
        <w:ind w:left="0" w:leftChars="0" w:firstLine="0" w:firstLineChars="0"/>
        <w:rPr>
          <w:rFonts w:ascii="仿宋" w:hAnsi="仿宋" w:eastAsia="仿宋"/>
          <w:color w:val="000000" w:themeColor="text1"/>
          <w:sz w:val="32"/>
          <w:szCs w:val="32"/>
        </w:rPr>
      </w:pPr>
      <w:r>
        <w:rPr>
          <w:rFonts w:hint="eastAsia" w:ascii="仿宋" w:hAnsi="仿宋" w:eastAsia="仿宋"/>
          <w:color w:val="000000" w:themeColor="text1"/>
          <w:sz w:val="32"/>
          <w:szCs w:val="32"/>
        </w:rPr>
        <w:t>文化体育与传媒（207）文化（01）文化创作与保护（11）指：鼓励文学、艺术创作和民族民间传统文化保护方面的支出。</w:t>
      </w:r>
    </w:p>
    <w:p>
      <w:pPr>
        <w:pStyle w:val="13"/>
        <w:ind w:left="0" w:leftChars="0" w:firstLine="0" w:firstLineChars="0"/>
        <w:rPr>
          <w:rFonts w:ascii="仿宋" w:hAnsi="仿宋" w:eastAsia="仿宋"/>
          <w:color w:val="000000" w:themeColor="text1"/>
          <w:sz w:val="32"/>
          <w:szCs w:val="32"/>
        </w:rPr>
      </w:pPr>
      <w:r>
        <w:rPr>
          <w:rFonts w:hint="eastAsia" w:ascii="仿宋" w:hAnsi="仿宋" w:eastAsia="仿宋"/>
          <w:color w:val="000000" w:themeColor="text1"/>
          <w:sz w:val="32"/>
          <w:szCs w:val="32"/>
        </w:rPr>
        <w:t>文化体育与传媒（207）文化（01）其他文化支出（99）指：除上述项目以外的其他用于文化方面的支出。</w:t>
      </w:r>
    </w:p>
    <w:p>
      <w:pPr>
        <w:pStyle w:val="13"/>
        <w:ind w:left="0" w:leftChars="0" w:firstLine="0" w:firstLineChars="0"/>
        <w:rPr>
          <w:rFonts w:ascii="仿宋" w:hAnsi="仿宋" w:eastAsia="仿宋"/>
          <w:color w:val="000000" w:themeColor="text1"/>
          <w:sz w:val="32"/>
          <w:szCs w:val="32"/>
        </w:rPr>
      </w:pPr>
      <w:r>
        <w:rPr>
          <w:rFonts w:hint="eastAsia" w:ascii="仿宋" w:hAnsi="仿宋" w:eastAsia="仿宋"/>
          <w:color w:val="000000" w:themeColor="text1"/>
          <w:sz w:val="32"/>
          <w:szCs w:val="32"/>
        </w:rPr>
        <w:t>文化体育与传媒（207）体育（03）行政运行（01）指：行政单位（包括实行公务员管理的事业单位）的基本支出。</w:t>
      </w:r>
    </w:p>
    <w:p>
      <w:pPr>
        <w:pStyle w:val="13"/>
        <w:ind w:left="0" w:leftChars="0" w:firstLine="0" w:firstLineChars="0"/>
        <w:rPr>
          <w:rFonts w:ascii="仿宋" w:hAnsi="仿宋" w:eastAsia="仿宋"/>
          <w:color w:val="000000" w:themeColor="text1"/>
          <w:sz w:val="32"/>
          <w:szCs w:val="32"/>
        </w:rPr>
      </w:pPr>
      <w:r>
        <w:rPr>
          <w:rFonts w:hint="eastAsia" w:ascii="仿宋" w:hAnsi="仿宋" w:eastAsia="仿宋"/>
          <w:color w:val="000000" w:themeColor="text1"/>
          <w:sz w:val="32"/>
          <w:szCs w:val="32"/>
        </w:rPr>
        <w:t>文化体育与传媒（207）体育（03）一般行政管理事务（02）指：行政单位（包括实行公务员管理的事业单位）未单独设置项级科目的其他项目支出。</w:t>
      </w:r>
    </w:p>
    <w:p>
      <w:pPr>
        <w:pStyle w:val="13"/>
        <w:ind w:left="0" w:leftChars="0" w:firstLine="0" w:firstLineChars="0"/>
        <w:rPr>
          <w:rFonts w:ascii="仿宋" w:hAnsi="仿宋" w:eastAsia="仿宋"/>
          <w:color w:val="000000" w:themeColor="text1"/>
          <w:sz w:val="32"/>
          <w:szCs w:val="32"/>
        </w:rPr>
      </w:pPr>
      <w:r>
        <w:rPr>
          <w:rFonts w:hint="eastAsia" w:ascii="仿宋" w:hAnsi="仿宋" w:eastAsia="仿宋"/>
          <w:color w:val="000000" w:themeColor="text1"/>
          <w:sz w:val="32"/>
          <w:szCs w:val="32"/>
        </w:rPr>
        <w:t>文化体育与传媒（207）体育（03）体育场馆（07）指：体育场馆建设及维护方面支出。</w:t>
      </w:r>
    </w:p>
    <w:p>
      <w:pPr>
        <w:pStyle w:val="13"/>
        <w:ind w:left="0" w:leftChars="0" w:firstLine="0" w:firstLineChars="0"/>
        <w:rPr>
          <w:rFonts w:ascii="仿宋" w:hAnsi="仿宋" w:eastAsia="仿宋"/>
          <w:color w:val="000000" w:themeColor="text1"/>
          <w:sz w:val="32"/>
          <w:szCs w:val="32"/>
        </w:rPr>
      </w:pPr>
      <w:r>
        <w:rPr>
          <w:rFonts w:hint="eastAsia" w:ascii="仿宋" w:hAnsi="仿宋" w:eastAsia="仿宋"/>
          <w:color w:val="000000" w:themeColor="text1"/>
          <w:sz w:val="32"/>
          <w:szCs w:val="32"/>
        </w:rPr>
        <w:t>文化体育与传媒（207）体育（03）其他体育支出（99）指：除上述项目以外的其他用于体育方面的支出。</w:t>
      </w:r>
    </w:p>
    <w:p>
      <w:pPr>
        <w:pStyle w:val="13"/>
        <w:ind w:left="0" w:leftChars="0" w:firstLine="0" w:firstLineChars="0"/>
        <w:rPr>
          <w:rFonts w:ascii="仿宋" w:hAnsi="仿宋" w:eastAsia="仿宋"/>
          <w:color w:val="000000" w:themeColor="text1"/>
          <w:sz w:val="32"/>
          <w:szCs w:val="32"/>
        </w:rPr>
      </w:pPr>
      <w:r>
        <w:rPr>
          <w:rFonts w:hint="eastAsia" w:ascii="仿宋" w:hAnsi="仿宋" w:eastAsia="仿宋"/>
          <w:color w:val="000000" w:themeColor="text1"/>
          <w:sz w:val="32"/>
          <w:szCs w:val="32"/>
        </w:rPr>
        <w:t>文化体育与传媒（207）新闻出版广播影视（04）其他新闻出版广播影视支出（99）指：除上述项目以外的其他用于新闻出版广播影视方面的支出。</w:t>
      </w:r>
    </w:p>
    <w:p>
      <w:pPr>
        <w:pStyle w:val="13"/>
        <w:ind w:left="0" w:leftChars="0" w:firstLine="0" w:firstLineChars="0"/>
        <w:rPr>
          <w:rFonts w:ascii="仿宋" w:hAnsi="仿宋" w:eastAsia="仿宋"/>
          <w:color w:val="000000" w:themeColor="text1"/>
          <w:sz w:val="32"/>
          <w:szCs w:val="32"/>
        </w:rPr>
      </w:pPr>
      <w:r>
        <w:rPr>
          <w:rFonts w:hint="eastAsia" w:ascii="仿宋" w:hAnsi="仿宋" w:eastAsia="仿宋"/>
          <w:color w:val="000000" w:themeColor="text1"/>
          <w:sz w:val="32"/>
          <w:szCs w:val="32"/>
        </w:rPr>
        <w:t>文化体育与传媒（207）其他文化体育与传媒支出（99）文化产业发展专项支出（03）指：支持文化产业发展专项支出。</w:t>
      </w:r>
    </w:p>
    <w:p>
      <w:pPr>
        <w:pStyle w:val="13"/>
        <w:ind w:left="0" w:leftChars="0" w:firstLine="0" w:firstLineChars="0"/>
        <w:rPr>
          <w:color w:val="000000" w:themeColor="text1"/>
        </w:rPr>
      </w:pPr>
      <w:r>
        <w:rPr>
          <w:rFonts w:hint="eastAsia" w:ascii="仿宋" w:hAnsi="仿宋" w:eastAsia="仿宋"/>
          <w:color w:val="000000" w:themeColor="text1"/>
          <w:sz w:val="32"/>
          <w:szCs w:val="32"/>
        </w:rPr>
        <w:t>文化体育与传媒（207）其他文化体育与传媒支出（99）其他文化体育与传媒支出（99）指：除上述项目以外的其他用于文化体育与传媒方面的支出。</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lang w:val="en-US" w:eastAsia="zh-CN"/>
        </w:rPr>
        <w:t>5</w:t>
      </w:r>
      <w:r>
        <w:rPr>
          <w:rFonts w:ascii="仿宋" w:hAnsi="仿宋" w:eastAsia="仿宋"/>
          <w:color w:val="000000" w:themeColor="text1"/>
          <w:sz w:val="32"/>
          <w:szCs w:val="32"/>
        </w:rPr>
        <w:t>.</w:t>
      </w:r>
      <w:r>
        <w:rPr>
          <w:rFonts w:hint="eastAsia" w:ascii="仿宋" w:hAnsi="仿宋" w:eastAsia="仿宋"/>
          <w:color w:val="000000" w:themeColor="text1"/>
          <w:sz w:val="32"/>
          <w:szCs w:val="32"/>
        </w:rPr>
        <w:t xml:space="preserve"> 社会保障和就业（208）行政事业单位离退休（05）机关事业单位基本养老保险缴费支出（05）：指机关事业单位实施养老保险制度由单位缴纳的基本养老保险费支出。</w:t>
      </w:r>
    </w:p>
    <w:p>
      <w:pPr>
        <w:pStyle w:val="13"/>
        <w:ind w:left="0" w:leftChars="0" w:firstLine="0" w:firstLineChars="0"/>
        <w:rPr>
          <w:rFonts w:ascii="仿宋" w:hAnsi="仿宋" w:eastAsia="仿宋"/>
          <w:color w:val="000000" w:themeColor="text1"/>
          <w:sz w:val="32"/>
          <w:szCs w:val="32"/>
        </w:rPr>
      </w:pPr>
      <w:r>
        <w:rPr>
          <w:rFonts w:hint="eastAsia" w:ascii="仿宋" w:hAnsi="仿宋" w:eastAsia="仿宋"/>
          <w:color w:val="000000" w:themeColor="text1"/>
          <w:sz w:val="32"/>
          <w:szCs w:val="32"/>
        </w:rPr>
        <w:t>社会保障和就业（208）行政事业单位离退休（05）机关事业单位职业年金缴费支出（06）：指机关事业单位实施养老保险制度由单位实际缴纳的职业年金支出。</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lang w:val="en-US" w:eastAsia="zh-CN"/>
        </w:rPr>
        <w:t>6</w:t>
      </w:r>
      <w:r>
        <w:rPr>
          <w:rFonts w:ascii="仿宋" w:hAnsi="仿宋" w:eastAsia="仿宋"/>
          <w:color w:val="000000" w:themeColor="text1"/>
          <w:sz w:val="32"/>
          <w:szCs w:val="32"/>
        </w:rPr>
        <w:t>.</w:t>
      </w:r>
      <w:r>
        <w:rPr>
          <w:rFonts w:hint="eastAsia" w:ascii="仿宋" w:hAnsi="仿宋" w:eastAsia="仿宋"/>
          <w:color w:val="000000" w:themeColor="text1"/>
          <w:sz w:val="32"/>
          <w:szCs w:val="32"/>
        </w:rPr>
        <w:t>医疗卫生与计划生育（210）行政事业单位医疗（11）行政单位医疗（01）：指财政部门集中安排的行政单位基本医疗保险缴费经费，未参加医疗保险的行政单位的公费医疗费，按国家规定享受离休人员、红军老战士待遇人员的医疗经费。</w:t>
      </w:r>
    </w:p>
    <w:p>
      <w:pPr>
        <w:pStyle w:val="13"/>
        <w:ind w:left="0" w:leftChars="0" w:firstLine="0" w:firstLineChars="0"/>
        <w:rPr>
          <w:color w:val="000000" w:themeColor="text1"/>
        </w:rPr>
      </w:pPr>
      <w:r>
        <w:rPr>
          <w:rFonts w:hint="eastAsia" w:ascii="仿宋" w:hAnsi="仿宋" w:eastAsia="仿宋"/>
          <w:color w:val="000000" w:themeColor="text1"/>
          <w:sz w:val="32"/>
          <w:szCs w:val="32"/>
        </w:rPr>
        <w:t>医疗卫生与计划生育（210）行政事业单位医疗（11）公务员医疗补助（03）指：财政部门集中安排的公务员医疗补助经费。</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lang w:val="en-US" w:eastAsia="zh-CN"/>
        </w:rPr>
        <w:t>7</w:t>
      </w:r>
      <w:r>
        <w:rPr>
          <w:rFonts w:ascii="仿宋" w:hAnsi="仿宋" w:eastAsia="仿宋"/>
          <w:color w:val="000000" w:themeColor="text1"/>
          <w:sz w:val="32"/>
          <w:szCs w:val="32"/>
        </w:rPr>
        <w:t>.</w:t>
      </w:r>
      <w:r>
        <w:rPr>
          <w:rFonts w:hint="eastAsia" w:ascii="仿宋" w:hAnsi="仿宋" w:eastAsia="仿宋"/>
          <w:color w:val="000000" w:themeColor="text1"/>
          <w:sz w:val="32"/>
          <w:szCs w:val="32"/>
        </w:rPr>
        <w:t>农林水（213）扶贫（05）农村基础设施建设（04）：指用于农村贫困地区乡村道路、住房、基本农田、水利设施、人畜饮水、生态环境保护等生产生活条件改善方面的支出。</w:t>
      </w:r>
    </w:p>
    <w:p>
      <w:pPr>
        <w:pStyle w:val="13"/>
        <w:ind w:left="0" w:leftChars="0" w:firstLine="0" w:firstLineChars="0"/>
        <w:rPr>
          <w:color w:val="000000" w:themeColor="text1"/>
        </w:rPr>
      </w:pPr>
      <w:r>
        <w:rPr>
          <w:rFonts w:hint="eastAsia" w:ascii="仿宋" w:hAnsi="仿宋" w:eastAsia="仿宋"/>
          <w:color w:val="000000" w:themeColor="text1"/>
          <w:sz w:val="32"/>
          <w:szCs w:val="32"/>
        </w:rPr>
        <w:t>农林水（213）扶贫（05）生产发展（05）指：用于农村贫困地区发展种植业、养殖业、畜牧业、农副产品加工、林果地建设等生产发展项目以及相关技术推广等方面的项目支出。</w:t>
      </w:r>
    </w:p>
    <w:p>
      <w:pPr>
        <w:ind w:firstLine="640" w:firstLineChars="200"/>
        <w:rPr>
          <w:rFonts w:ascii="仿宋" w:hAnsi="仿宋" w:eastAsia="仿宋"/>
          <w:color w:val="0000FF"/>
          <w:sz w:val="32"/>
          <w:szCs w:val="32"/>
        </w:rPr>
      </w:pPr>
      <w:r>
        <w:rPr>
          <w:rFonts w:hint="eastAsia" w:ascii="仿宋" w:hAnsi="仿宋" w:eastAsia="仿宋"/>
          <w:color w:val="000000" w:themeColor="text1"/>
          <w:sz w:val="32"/>
          <w:szCs w:val="32"/>
          <w:lang w:val="en-US" w:eastAsia="zh-CN"/>
        </w:rPr>
        <w:t>8</w:t>
      </w:r>
      <w:r>
        <w:rPr>
          <w:rFonts w:ascii="仿宋" w:hAnsi="仿宋" w:eastAsia="仿宋"/>
          <w:color w:val="000000" w:themeColor="text1"/>
          <w:sz w:val="32"/>
          <w:szCs w:val="32"/>
        </w:rPr>
        <w:t>.</w:t>
      </w:r>
      <w:r>
        <w:rPr>
          <w:rFonts w:hint="eastAsia" w:ascii="仿宋" w:hAnsi="仿宋" w:eastAsia="仿宋"/>
          <w:color w:val="000000" w:themeColor="text1"/>
          <w:sz w:val="32"/>
          <w:szCs w:val="32"/>
        </w:rPr>
        <w:t xml:space="preserve"> 住房保障（221）住房改革支出（02）住房公积金（01）：指行政事业单位按人力资源和社会保障部、财政部规定的基本工资和津贴补贴以及规定比例为职工缴纳的住房公积金</w:t>
      </w:r>
      <w:r>
        <w:rPr>
          <w:rFonts w:hint="eastAsia" w:ascii="仿宋" w:hAnsi="仿宋" w:eastAsia="仿宋"/>
          <w:color w:val="0000FF"/>
          <w:sz w:val="32"/>
          <w:szCs w:val="32"/>
        </w:rPr>
        <w:t>。</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lang w:val="en-US" w:eastAsia="zh-CN"/>
        </w:rPr>
        <w:t>9</w:t>
      </w:r>
      <w:r>
        <w:rPr>
          <w:rFonts w:ascii="仿宋" w:hAnsi="仿宋" w:eastAsia="仿宋"/>
          <w:color w:val="000000" w:themeColor="text1"/>
          <w:sz w:val="32"/>
          <w:szCs w:val="32"/>
        </w:rPr>
        <w:t>.</w:t>
      </w:r>
      <w:r>
        <w:rPr>
          <w:rFonts w:hint="eastAsia" w:ascii="仿宋" w:hAnsi="仿宋" w:eastAsia="仿宋"/>
          <w:color w:val="000000" w:themeColor="text1"/>
          <w:sz w:val="32"/>
          <w:szCs w:val="32"/>
        </w:rPr>
        <w:t>其他支出（229）彩票公益金及对应专项债务收入安排的支出（60）用于体育事业的彩票公益金支出（03）：指用于体育事业的彩票公益金支出。</w:t>
      </w:r>
    </w:p>
    <w:p>
      <w:pPr>
        <w:rPr>
          <w:rFonts w:ascii="仿宋" w:hAnsi="仿宋" w:eastAsia="仿宋"/>
          <w:color w:val="0000FF"/>
          <w:sz w:val="32"/>
          <w:szCs w:val="32"/>
        </w:rPr>
      </w:pPr>
      <w:r>
        <w:rPr>
          <w:rFonts w:hint="eastAsia" w:ascii="仿宋" w:hAnsi="仿宋" w:eastAsia="仿宋"/>
          <w:color w:val="000000" w:themeColor="text1"/>
          <w:sz w:val="32"/>
          <w:szCs w:val="32"/>
        </w:rPr>
        <w:t>其他支出（229）其他支出（99）其他支出（01）指：除上述项目以外的其他不能划分到具体功能科目中的支出项目。</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10</w:t>
      </w:r>
      <w:r>
        <w:rPr>
          <w:rFonts w:ascii="仿宋" w:hAnsi="仿宋" w:eastAsia="仿宋"/>
          <w:color w:val="000000"/>
          <w:sz w:val="32"/>
          <w:szCs w:val="32"/>
        </w:rPr>
        <w:t>.</w:t>
      </w:r>
      <w:r>
        <w:rPr>
          <w:rFonts w:hint="eastAsia" w:ascii="仿宋" w:hAnsi="仿宋" w:eastAsia="仿宋"/>
          <w:color w:val="000000"/>
          <w:sz w:val="32"/>
          <w:szCs w:val="32"/>
        </w:rPr>
        <w:t>基本支出：指为保障机构正常运转、完成日常工作任务而发生的人员支出和公用支出。</w:t>
      </w:r>
    </w:p>
    <w:p>
      <w:pPr>
        <w:spacing w:line="57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.基本支出：指为保障机构正常运转、完成日常工作任务而发生的人员支出和公用支出。</w:t>
      </w:r>
    </w:p>
    <w:p>
      <w:pPr>
        <w:spacing w:line="57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 xml:space="preserve">.项目支出：指在基本支出之外为完成特定行政任务和事业发展目标所发生的支出。 </w:t>
      </w:r>
    </w:p>
    <w:p>
      <w:pPr>
        <w:pStyle w:val="24"/>
        <w:keepNext w:val="0"/>
        <w:keepLines w:val="0"/>
        <w:pageBreakBefore w:val="0"/>
        <w:widowControl w:val="0"/>
        <w:kinsoku/>
        <w:wordWrap/>
        <w:overflowPunct/>
        <w:topLinePunct w:val="0"/>
        <w:autoSpaceDE w:val="0"/>
        <w:autoSpaceDN w:val="0"/>
        <w:bidi w:val="0"/>
        <w:adjustRightInd w:val="0"/>
        <w:snapToGrid/>
        <w:spacing w:line="53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13</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keepNext w:val="0"/>
        <w:keepLines w:val="0"/>
        <w:pageBreakBefore w:val="0"/>
        <w:widowControl w:val="0"/>
        <w:kinsoku/>
        <w:wordWrap/>
        <w:overflowPunct/>
        <w:topLinePunct w:val="0"/>
        <w:autoSpaceDE w:val="0"/>
        <w:autoSpaceDN w:val="0"/>
        <w:bidi w:val="0"/>
        <w:adjustRightInd w:val="0"/>
        <w:snapToGrid/>
        <w:spacing w:line="53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14</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70" w:lineRule="exact"/>
        <w:ind w:firstLine="640" w:firstLineChars="200"/>
        <w:rPr>
          <w:rFonts w:ascii="仿宋_GB2312" w:eastAsia="仿宋_GB2312"/>
          <w:sz w:val="32"/>
          <w:szCs w:val="32"/>
        </w:rPr>
      </w:pPr>
    </w:p>
    <w:p>
      <w:pPr>
        <w:pStyle w:val="24"/>
        <w:spacing w:line="570" w:lineRule="exact"/>
        <w:rPr>
          <w:rFonts w:ascii="仿宋_GB2312" w:eastAsia="仿宋_GB2312"/>
          <w:sz w:val="32"/>
          <w:szCs w:val="32"/>
        </w:rPr>
      </w:pPr>
    </w:p>
    <w:p>
      <w:pPr>
        <w:pStyle w:val="24"/>
        <w:spacing w:line="570" w:lineRule="exact"/>
        <w:ind w:firstLine="640" w:firstLineChars="200"/>
        <w:rPr>
          <w:rFonts w:ascii="仿宋_GB2312" w:eastAsia="仿宋_GB2312"/>
          <w:sz w:val="32"/>
          <w:szCs w:val="32"/>
        </w:rPr>
      </w:pPr>
    </w:p>
    <w:p>
      <w:pPr>
        <w:spacing w:line="570" w:lineRule="exact"/>
        <w:jc w:val="center"/>
        <w:outlineLvl w:val="0"/>
        <w:rPr>
          <w:rStyle w:val="26"/>
          <w:rFonts w:ascii="仿宋_GB2312" w:hAnsi="黑体" w:eastAsia="仿宋_GB2312"/>
          <w:b w:val="0"/>
        </w:rPr>
      </w:pPr>
      <w:bookmarkStart w:id="50" w:name="_Toc15396614"/>
      <w:bookmarkStart w:id="51" w:name="_Toc15377226"/>
      <w:r>
        <w:rPr>
          <w:rFonts w:hint="eastAsia" w:ascii="仿宋_GB2312" w:hAnsi="黑体" w:eastAsia="仿宋_GB2312"/>
          <w:color w:val="000000"/>
          <w:sz w:val="44"/>
          <w:szCs w:val="44"/>
        </w:rPr>
        <w:t>第</w:t>
      </w:r>
      <w:r>
        <w:rPr>
          <w:rStyle w:val="26"/>
          <w:rFonts w:hint="eastAsia" w:ascii="仿宋_GB2312" w:hAnsi="黑体" w:eastAsia="仿宋_GB2312"/>
          <w:b w:val="0"/>
        </w:rPr>
        <w:t>四部分 附件</w:t>
      </w:r>
      <w:bookmarkEnd w:id="50"/>
    </w:p>
    <w:p>
      <w:pPr>
        <w:spacing w:line="570" w:lineRule="exact"/>
        <w:jc w:val="left"/>
        <w:outlineLvl w:val="0"/>
        <w:rPr>
          <w:rFonts w:ascii="仿宋_GB2312" w:hAnsi="方正小标宋简体" w:eastAsia="仿宋_GB2312" w:cs="方正小标宋简体"/>
          <w:sz w:val="32"/>
          <w:szCs w:val="32"/>
        </w:rPr>
      </w:pPr>
      <w:r>
        <w:rPr>
          <w:rFonts w:hint="eastAsia" w:ascii="仿宋_GB2312" w:hAnsi="黑体" w:eastAsia="仿宋_GB2312" w:cs="黑体"/>
          <w:sz w:val="32"/>
          <w:szCs w:val="32"/>
        </w:rPr>
        <w:t>附件1</w:t>
      </w:r>
    </w:p>
    <w:p>
      <w:pPr>
        <w:spacing w:line="576" w:lineRule="exact"/>
        <w:ind w:firstLine="640" w:firstLineChars="200"/>
        <w:jc w:val="center"/>
        <w:rPr>
          <w:rFonts w:hint="eastAsia" w:ascii="仿宋" w:hAnsi="仿宋" w:eastAsia="仿宋" w:cs="方正小标宋简体"/>
          <w:sz w:val="32"/>
          <w:szCs w:val="32"/>
          <w:lang w:eastAsia="zh-CN"/>
        </w:rPr>
      </w:pPr>
      <w:r>
        <w:rPr>
          <w:rFonts w:hint="eastAsia" w:ascii="仿宋" w:hAnsi="仿宋" w:eastAsia="仿宋" w:cs="方正小标宋简体"/>
          <w:sz w:val="32"/>
          <w:szCs w:val="32"/>
        </w:rPr>
        <w:t>2019年红原县</w:t>
      </w:r>
      <w:r>
        <w:rPr>
          <w:rFonts w:hint="eastAsia" w:ascii="仿宋" w:hAnsi="仿宋" w:eastAsia="仿宋" w:cs="方正小标宋简体"/>
          <w:sz w:val="32"/>
          <w:szCs w:val="32"/>
          <w:lang w:eastAsia="zh-CN"/>
        </w:rPr>
        <w:t>文化体育和旅游局</w:t>
      </w:r>
    </w:p>
    <w:p>
      <w:pPr>
        <w:spacing w:line="576" w:lineRule="exact"/>
        <w:ind w:firstLine="640" w:firstLineChars="200"/>
        <w:jc w:val="center"/>
        <w:rPr>
          <w:rFonts w:ascii="仿宋" w:hAnsi="仿宋" w:eastAsia="仿宋" w:cs="方正小标宋简体"/>
          <w:sz w:val="32"/>
          <w:szCs w:val="32"/>
        </w:rPr>
      </w:pPr>
      <w:r>
        <w:rPr>
          <w:rFonts w:hint="eastAsia" w:ascii="仿宋" w:hAnsi="仿宋" w:eastAsia="仿宋" w:cs="方正小标宋简体"/>
          <w:sz w:val="32"/>
          <w:szCs w:val="32"/>
        </w:rPr>
        <w:t>整体支出绩效报告</w:t>
      </w:r>
    </w:p>
    <w:p>
      <w:pPr>
        <w:adjustRightInd w:val="0"/>
        <w:snapToGrid w:val="0"/>
        <w:spacing w:line="576" w:lineRule="exact"/>
        <w:ind w:firstLine="640" w:firstLineChars="200"/>
        <w:rPr>
          <w:rFonts w:ascii="仿宋" w:hAnsi="仿宋" w:eastAsia="仿宋" w:cs="宋体"/>
          <w:color w:val="000000"/>
          <w:sz w:val="32"/>
          <w:szCs w:val="32"/>
        </w:rPr>
      </w:pPr>
    </w:p>
    <w:p>
      <w:pPr>
        <w:adjustRightInd w:val="0"/>
        <w:snapToGrid w:val="0"/>
        <w:spacing w:line="576" w:lineRule="exact"/>
        <w:ind w:left="640"/>
        <w:rPr>
          <w:rFonts w:ascii="仿宋" w:hAnsi="仿宋" w:eastAsia="仿宋" w:cs="宋体"/>
          <w:color w:val="000000"/>
          <w:sz w:val="32"/>
          <w:szCs w:val="32"/>
          <w:lang w:val="zh-CN"/>
        </w:rPr>
      </w:pPr>
      <w:r>
        <w:rPr>
          <w:rFonts w:hint="eastAsia" w:ascii="仿宋" w:hAnsi="仿宋" w:eastAsia="仿宋" w:cs="黑体"/>
          <w:color w:val="000000"/>
          <w:sz w:val="32"/>
          <w:szCs w:val="32"/>
          <w:lang w:val="zh-CN"/>
        </w:rPr>
        <w:t>一、部门概况</w:t>
      </w:r>
    </w:p>
    <w:p>
      <w:pPr>
        <w:adjustRightInd w:val="0"/>
        <w:snapToGrid w:val="0"/>
        <w:spacing w:line="576" w:lineRule="exact"/>
        <w:ind w:left="640" w:firstLine="160" w:firstLineChars="50"/>
        <w:rPr>
          <w:rFonts w:ascii="仿宋" w:hAnsi="仿宋" w:eastAsia="仿宋" w:cs="楷体_GB2312"/>
          <w:color w:val="000000"/>
          <w:sz w:val="32"/>
          <w:szCs w:val="32"/>
          <w:lang w:val="zh-CN"/>
        </w:rPr>
      </w:pPr>
      <w:r>
        <w:rPr>
          <w:rFonts w:hint="eastAsia" w:ascii="仿宋" w:hAnsi="仿宋" w:eastAsia="仿宋" w:cs="楷体_GB2312"/>
          <w:color w:val="000000"/>
          <w:sz w:val="32"/>
          <w:szCs w:val="32"/>
          <w:lang w:val="zh-CN"/>
        </w:rPr>
        <w:t>(一)机构组成</w:t>
      </w:r>
    </w:p>
    <w:p>
      <w:pPr>
        <w:ind w:firstLine="630"/>
        <w:outlineLvl w:val="0"/>
        <w:rPr>
          <w:rFonts w:ascii="仿宋" w:hAnsi="仿宋" w:eastAsia="仿宋"/>
          <w:sz w:val="32"/>
          <w:szCs w:val="32"/>
        </w:rPr>
      </w:pPr>
      <w:r>
        <w:rPr>
          <w:rFonts w:hint="eastAsia" w:ascii="仿宋" w:hAnsi="仿宋" w:eastAsia="仿宋"/>
          <w:bCs/>
          <w:sz w:val="32"/>
          <w:szCs w:val="32"/>
        </w:rPr>
        <w:t>是</w:t>
      </w:r>
      <w:r>
        <w:rPr>
          <w:rFonts w:hint="eastAsia" w:ascii="仿宋" w:hAnsi="仿宋" w:eastAsia="仿宋"/>
          <w:sz w:val="32"/>
          <w:szCs w:val="32"/>
        </w:rPr>
        <w:t>独立核算的机构，是独立编报预算的行政单位。</w:t>
      </w:r>
    </w:p>
    <w:p>
      <w:pPr>
        <w:adjustRightInd w:val="0"/>
        <w:snapToGrid w:val="0"/>
        <w:spacing w:line="576" w:lineRule="exact"/>
        <w:ind w:firstLine="640" w:firstLineChars="200"/>
        <w:rPr>
          <w:rFonts w:ascii="仿宋" w:hAnsi="仿宋" w:eastAsia="仿宋" w:cs="宋体"/>
          <w:color w:val="000000"/>
          <w:sz w:val="32"/>
          <w:szCs w:val="32"/>
          <w:lang w:val="zh-CN"/>
        </w:rPr>
      </w:pPr>
      <w:r>
        <w:rPr>
          <w:rFonts w:hint="eastAsia" w:ascii="仿宋" w:hAnsi="仿宋" w:eastAsia="仿宋" w:cs="楷体_GB2312"/>
          <w:color w:val="000000"/>
          <w:sz w:val="32"/>
          <w:szCs w:val="32"/>
          <w:lang w:val="zh-CN"/>
        </w:rPr>
        <w:t>（二）机构职能</w:t>
      </w:r>
    </w:p>
    <w:p>
      <w:pPr>
        <w:pStyle w:val="5"/>
        <w:adjustRightInd w:val="0"/>
        <w:snapToGrid w:val="0"/>
        <w:spacing w:before="93" w:line="570" w:lineRule="exact"/>
        <w:ind w:left="993"/>
        <w:rPr>
          <w:rFonts w:hAnsi="楷体_GB2312" w:cs="楷体_GB2312"/>
          <w:b/>
          <w:sz w:val="32"/>
          <w:szCs w:val="32"/>
        </w:rPr>
      </w:pPr>
      <w:r>
        <w:rPr>
          <w:rFonts w:hint="eastAsia" w:ascii="仿宋" w:hAnsi="仿宋" w:eastAsia="仿宋" w:cs="黑体"/>
          <w:b/>
          <w:bCs/>
          <w:sz w:val="32"/>
          <w:szCs w:val="32"/>
        </w:rPr>
        <w:t xml:space="preserve"> </w:t>
      </w:r>
      <w:r>
        <w:rPr>
          <w:rFonts w:hint="eastAsia" w:hAnsi="楷体_GB2312" w:cs="楷体_GB2312"/>
          <w:b/>
          <w:sz w:val="32"/>
          <w:szCs w:val="32"/>
        </w:rPr>
        <w:t>（一）基本职能</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1、拟订文化、体育和旅游政策措施，起草文化、体育和旅游地方性政策、法规、规范性文件草案，负责本部门依法行政工作。</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2、推进文化、体育、旅游体制机制改革。组织推动全县文化、体育事业和旅游业发展，拟订发展规划并组织实施。推进文化、体育和旅游产业融合发展，促进文化、体育和旅游与相关产业融合发展。</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3、组织实施全县文化、体育和旅游资源的普查、保护与利用。管理全县性重大文化、体育和旅游活动，组织全县重点文化、体育和旅游设施建设。</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4、组织实施全县文化、体育和旅游整体形象推广，促进文化、体育、旅游产业市场推广和对外合作交流。制定文化、体育和旅游市场开发战略并组织实施，推进全域旅游。负责管理文化、体育和旅游国内外交流合作与宣传推广工作，组织大型文化、</w:t>
      </w:r>
    </w:p>
    <w:p>
      <w:pPr>
        <w:spacing w:line="570" w:lineRule="exact"/>
        <w:ind w:left="284"/>
        <w:rPr>
          <w:rFonts w:ascii="仿宋_GB2312" w:eastAsia="仿宋_GB2312"/>
          <w:sz w:val="32"/>
          <w:szCs w:val="32"/>
        </w:rPr>
      </w:pPr>
      <w:r>
        <w:rPr>
          <w:rFonts w:hint="eastAsia" w:ascii="仿宋_GB2312" w:eastAsia="仿宋_GB2312"/>
          <w:sz w:val="32"/>
          <w:szCs w:val="32"/>
        </w:rPr>
        <w:t>体育和旅游对外交流活动。</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5、弘扬优秀传统文化，推动红原本地特色文化传承发展。指导管理辖区内文艺事业，把握正确的创作导向，推动文化艺术创作生产，扶持体现社会主义核心价值观、具有导向性代表性示范性的文化艺术作品，推动各门类艺术、各艺术品种发展。</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6、负责公共文化、体育事业发展，推进全县公共文化体育服务体系建设和旅游公共服务建设，深入实施惠民工程，统筹推进辖区内文化、体育和旅游基本公共服务标准化、均等化。</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7、负责文化、体育和旅游行业信息化、标准化建设，推进文化和旅游科技创新。负责全县体育科研、技术攻关和成果推广。</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8、负责全县非物质文化遗产保护工作，推动非物质文化遗产的传承、普及、弘扬和振兴。</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9、管理和指导全县文物保护、利用和考古工作，组织开展文物资源调查工作。协调、指导和监督全县文物安全工作，履行文物行政督察职能。负责全县文化遗产保护和管理工作，协同相关部门开展文化与自然遗产、文化名城（镇、村）申报和管理工作。负责全县文物和博物馆公共服务体系建设。</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10、负责拟订全县群众体育发展规划并组织实施。贯彻落实全民健身计划，建立和完善全民健身服务体系，指导和开展群众性体育活动。负责社会体育指导员培训、国民体质监测和高危体育项目管理。负责挖掘、传承、保护全县少数民族传统体育项目。协助体育彩票销售的监督管理。</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11、负责拟订全县竞技体育发展规划并组织实施。指导体育训练和运动员队伍建设，协调运动员社会保障工作，统筹组织全县体育活动、组织参加县内外体育竞赛和综合性运动会。负责反兴奋剂监督工作。</w:t>
      </w:r>
    </w:p>
    <w:p>
      <w:pPr>
        <w:spacing w:line="570" w:lineRule="exact"/>
        <w:ind w:left="284" w:firstLine="640" w:firstLineChars="200"/>
        <w:rPr>
          <w:rFonts w:ascii="仿宋_GB2312" w:eastAsia="仿宋_GB2312"/>
          <w:sz w:val="32"/>
          <w:szCs w:val="32"/>
        </w:rPr>
      </w:pPr>
      <w:r>
        <w:rPr>
          <w:rFonts w:hint="eastAsia" w:ascii="仿宋_GB2312" w:eastAsia="仿宋_GB2312"/>
          <w:sz w:val="32"/>
          <w:szCs w:val="32"/>
        </w:rPr>
        <w:t>12、负责拟订全县青少年（学校）体育工作发展规划并组织实施。负责青少年体育锻炼标准的组织实施，指导辖区内体育学校的建设和青少年业余训练及相关活动。</w:t>
      </w:r>
    </w:p>
    <w:p>
      <w:pPr>
        <w:spacing w:line="570" w:lineRule="exact"/>
        <w:ind w:left="426" w:firstLine="480" w:firstLineChars="150"/>
        <w:rPr>
          <w:rFonts w:ascii="仿宋_GB2312" w:eastAsia="仿宋_GB2312"/>
          <w:sz w:val="32"/>
          <w:szCs w:val="32"/>
        </w:rPr>
      </w:pPr>
      <w:r>
        <w:rPr>
          <w:rFonts w:hint="eastAsia" w:ascii="仿宋_GB2312" w:eastAsia="仿宋_GB2312"/>
          <w:sz w:val="32"/>
          <w:szCs w:val="32"/>
        </w:rPr>
        <w:t>13、推动全县文化、体育和旅游市场发展，对全县文化、体育和旅游市场依法进行行业监管，依法规范文化、体育和旅游市场。推进文化、体育和旅游行业信用体系建设。</w:t>
      </w:r>
    </w:p>
    <w:p>
      <w:pPr>
        <w:spacing w:line="570" w:lineRule="exact"/>
        <w:ind w:firstLine="800" w:firstLineChars="250"/>
        <w:rPr>
          <w:rFonts w:ascii="仿宋_GB2312" w:eastAsia="仿宋_GB2312"/>
          <w:sz w:val="32"/>
          <w:szCs w:val="32"/>
        </w:rPr>
      </w:pPr>
      <w:r>
        <w:rPr>
          <w:rFonts w:hint="eastAsia" w:ascii="仿宋_GB2312" w:eastAsia="仿宋_GB2312"/>
          <w:sz w:val="32"/>
          <w:szCs w:val="32"/>
        </w:rPr>
        <w:t>14、负责全县旅游景区管理机构、文旅企业的行业管理和标准化建设。</w:t>
      </w:r>
    </w:p>
    <w:p>
      <w:pPr>
        <w:spacing w:line="570" w:lineRule="exact"/>
        <w:ind w:left="426" w:firstLine="320" w:firstLineChars="100"/>
        <w:rPr>
          <w:rFonts w:ascii="仿宋_GB2312" w:eastAsia="仿宋_GB2312"/>
          <w:sz w:val="32"/>
          <w:szCs w:val="32"/>
        </w:rPr>
      </w:pPr>
      <w:r>
        <w:rPr>
          <w:rFonts w:hint="eastAsia" w:ascii="仿宋_GB2312" w:eastAsia="仿宋_GB2312"/>
          <w:sz w:val="32"/>
          <w:szCs w:val="32"/>
        </w:rPr>
        <w:t>15、统筹全县文化、体育、旅游市场综合行政执法，规</w:t>
      </w:r>
    </w:p>
    <w:p>
      <w:pPr>
        <w:spacing w:line="570" w:lineRule="exact"/>
        <w:rPr>
          <w:rFonts w:ascii="仿宋_GB2312" w:eastAsia="仿宋_GB2312"/>
          <w:sz w:val="32"/>
          <w:szCs w:val="32"/>
        </w:rPr>
      </w:pPr>
      <w:r>
        <w:rPr>
          <w:rFonts w:hint="eastAsia" w:ascii="仿宋_GB2312" w:eastAsia="仿宋_GB2312"/>
          <w:sz w:val="32"/>
          <w:szCs w:val="32"/>
        </w:rPr>
        <w:t>范文化、体育、旅游行政执法，组织查处文化、文物、体育、旅游等违法行为，督查督办大案要案。</w:t>
      </w:r>
    </w:p>
    <w:p>
      <w:pPr>
        <w:spacing w:line="570" w:lineRule="exact"/>
        <w:ind w:left="426" w:firstLine="320" w:firstLineChars="100"/>
        <w:rPr>
          <w:rFonts w:ascii="仿宋_GB2312" w:eastAsia="仿宋_GB2312"/>
          <w:sz w:val="32"/>
          <w:szCs w:val="32"/>
        </w:rPr>
      </w:pPr>
      <w:r>
        <w:rPr>
          <w:rFonts w:hint="eastAsia" w:ascii="仿宋_GB2312" w:eastAsia="仿宋_GB2312"/>
          <w:sz w:val="32"/>
          <w:szCs w:val="32"/>
        </w:rPr>
        <w:t>16、负责全县文化、体育和旅游行业安全生产工作的综合协调与监督管理，制定职责范围内的安全生产年度监督检查计划并组织实施。依法履行行业职业健康监管职责，承担职责范围内生态环境保护、公共机构节能减排、审批服务便民化等工作。负责本系统“放管服”改革,承担本部门权责清单制度建设、动态调整等工作。</w:t>
      </w:r>
    </w:p>
    <w:p>
      <w:pPr>
        <w:pStyle w:val="25"/>
        <w:numPr>
          <w:ilvl w:val="0"/>
          <w:numId w:val="1"/>
        </w:numPr>
        <w:spacing w:line="570" w:lineRule="exact"/>
        <w:ind w:firstLineChars="0"/>
        <w:rPr>
          <w:rFonts w:ascii="仿宋_GB2312" w:eastAsia="仿宋_GB2312"/>
          <w:sz w:val="32"/>
          <w:szCs w:val="32"/>
        </w:rPr>
      </w:pPr>
      <w:r>
        <w:rPr>
          <w:rFonts w:hint="eastAsia" w:ascii="仿宋_GB2312" w:eastAsia="仿宋_GB2312"/>
          <w:sz w:val="32"/>
          <w:szCs w:val="32"/>
        </w:rPr>
        <w:t>完成县委、县政府交办的其他任务。</w:t>
      </w:r>
    </w:p>
    <w:p>
      <w:pPr>
        <w:spacing w:line="570" w:lineRule="exact"/>
        <w:ind w:firstLine="480" w:firstLineChars="150"/>
        <w:rPr>
          <w:rFonts w:ascii="仿宋_GB2312" w:eastAsia="仿宋_GB2312"/>
          <w:sz w:val="32"/>
          <w:szCs w:val="32"/>
        </w:rPr>
      </w:pPr>
      <w:r>
        <w:rPr>
          <w:rFonts w:hint="eastAsia" w:ascii="仿宋_GB2312" w:eastAsia="仿宋_GB2312"/>
          <w:sz w:val="32"/>
          <w:szCs w:val="32"/>
        </w:rPr>
        <w:t>18、职能转变。强化文化、体育和旅游要素配置，统筹</w:t>
      </w:r>
    </w:p>
    <w:p>
      <w:pPr>
        <w:spacing w:line="570" w:lineRule="exact"/>
        <w:rPr>
          <w:rFonts w:ascii="仿宋_GB2312" w:eastAsia="仿宋_GB2312"/>
          <w:sz w:val="32"/>
          <w:szCs w:val="32"/>
        </w:rPr>
      </w:pPr>
      <w:r>
        <w:rPr>
          <w:rFonts w:hint="eastAsia" w:ascii="仿宋_GB2312" w:eastAsia="仿宋_GB2312"/>
          <w:sz w:val="32"/>
          <w:szCs w:val="32"/>
        </w:rPr>
        <w:t>整合形成文化、体育和旅游发展新优势，着力打造具有红原地方民族特色的文化、体育和旅游品牌，推进文化、体育和旅游融合发展，巩固旅游业的战略性支柱产业地位，推动旅游业向主导产业发展，提升红原文化软实力，建设体育强县，努力开创文化、体育和旅游工作新局面。</w:t>
      </w:r>
    </w:p>
    <w:p>
      <w:pPr>
        <w:spacing w:line="570" w:lineRule="exact"/>
        <w:ind w:firstLine="320" w:firstLineChars="100"/>
        <w:rPr>
          <w:rFonts w:ascii="仿宋_GB2312" w:eastAsia="仿宋_GB2312"/>
          <w:sz w:val="32"/>
          <w:szCs w:val="32"/>
        </w:rPr>
      </w:pPr>
      <w:r>
        <w:rPr>
          <w:rFonts w:hint="eastAsia" w:ascii="仿宋_GB2312" w:eastAsia="仿宋_GB2312"/>
          <w:sz w:val="32"/>
          <w:szCs w:val="32"/>
        </w:rPr>
        <w:t>19、与县科学技术和农业畜牧局职责分工。县文体旅游</w:t>
      </w:r>
    </w:p>
    <w:p>
      <w:pPr>
        <w:spacing w:line="570" w:lineRule="exact"/>
        <w:rPr>
          <w:rFonts w:ascii="仿宋_GB2312" w:eastAsia="仿宋_GB2312"/>
          <w:sz w:val="32"/>
          <w:szCs w:val="32"/>
        </w:rPr>
      </w:pPr>
      <w:r>
        <w:rPr>
          <w:rFonts w:hint="eastAsia" w:ascii="仿宋_GB2312" w:eastAsia="仿宋_GB2312"/>
          <w:sz w:val="32"/>
          <w:szCs w:val="32"/>
        </w:rPr>
        <w:t>局会同县科学技术和农业畜牧局建立健全协同配合机制，推动乡村旅游工作。</w:t>
      </w:r>
    </w:p>
    <w:p>
      <w:pPr>
        <w:ind w:firstLine="640" w:firstLineChars="200"/>
        <w:rPr>
          <w:rFonts w:ascii="仿宋" w:hAnsi="仿宋" w:eastAsia="仿宋" w:cs="楷体_GB2312"/>
          <w:bCs/>
          <w:sz w:val="32"/>
          <w:szCs w:val="32"/>
        </w:rPr>
      </w:pPr>
      <w:r>
        <w:rPr>
          <w:rFonts w:hint="eastAsia" w:ascii="仿宋" w:hAnsi="仿宋" w:eastAsia="仿宋" w:cs="楷体_GB2312"/>
          <w:bCs/>
          <w:sz w:val="32"/>
          <w:szCs w:val="32"/>
        </w:rPr>
        <w:t>（三）人员概况</w:t>
      </w:r>
    </w:p>
    <w:p>
      <w:pPr>
        <w:adjustRightInd w:val="0"/>
        <w:snapToGrid w:val="0"/>
        <w:spacing w:line="576" w:lineRule="exact"/>
        <w:ind w:firstLine="640" w:firstLineChars="200"/>
        <w:rPr>
          <w:rFonts w:ascii="仿宋" w:hAnsi="仿宋" w:eastAsia="仿宋" w:cs="仿宋_GB2312"/>
          <w:bCs/>
          <w:sz w:val="32"/>
          <w:szCs w:val="32"/>
        </w:rPr>
      </w:pPr>
      <w:r>
        <w:rPr>
          <w:rFonts w:hint="eastAsia" w:ascii="仿宋" w:hAnsi="仿宋" w:eastAsia="仿宋" w:cs="仿宋_GB2312"/>
          <w:bCs/>
          <w:sz w:val="32"/>
          <w:szCs w:val="32"/>
        </w:rPr>
        <w:t>截止2019年底</w:t>
      </w:r>
      <w:r>
        <w:rPr>
          <w:rFonts w:hint="eastAsia" w:ascii="仿宋" w:hAnsi="仿宋" w:eastAsia="仿宋"/>
          <w:bCs/>
          <w:sz w:val="32"/>
          <w:szCs w:val="32"/>
        </w:rPr>
        <w:t>我局核定编制43人，在职：行政8人，行政工勤2人，参公25人，事业8人。</w:t>
      </w:r>
    </w:p>
    <w:p>
      <w:pPr>
        <w:adjustRightInd w:val="0"/>
        <w:snapToGrid w:val="0"/>
        <w:spacing w:line="576" w:lineRule="exact"/>
        <w:ind w:firstLine="640" w:firstLineChars="200"/>
        <w:rPr>
          <w:rFonts w:ascii="仿宋" w:hAnsi="仿宋" w:eastAsia="仿宋" w:cs="宋体"/>
          <w:color w:val="000000"/>
          <w:sz w:val="32"/>
          <w:szCs w:val="32"/>
        </w:rPr>
      </w:pPr>
      <w:r>
        <w:rPr>
          <w:rFonts w:hint="eastAsia" w:ascii="仿宋" w:hAnsi="仿宋" w:eastAsia="仿宋" w:cs="宋体"/>
          <w:color w:val="000000"/>
          <w:sz w:val="32"/>
          <w:szCs w:val="32"/>
        </w:rPr>
        <w:t>二、部门财政资金收支情况</w:t>
      </w:r>
    </w:p>
    <w:p>
      <w:pPr>
        <w:adjustRightInd w:val="0"/>
        <w:snapToGrid w:val="0"/>
        <w:spacing w:line="576" w:lineRule="exact"/>
        <w:ind w:left="640"/>
        <w:rPr>
          <w:rFonts w:ascii="仿宋" w:hAnsi="仿宋" w:eastAsia="仿宋" w:cs="楷体_GB2312"/>
          <w:color w:val="000000"/>
          <w:sz w:val="32"/>
          <w:szCs w:val="32"/>
          <w:lang w:val="zh-CN"/>
        </w:rPr>
      </w:pPr>
      <w:r>
        <w:rPr>
          <w:rFonts w:hint="eastAsia" w:ascii="仿宋" w:hAnsi="仿宋" w:eastAsia="仿宋" w:cs="楷体_GB2312"/>
          <w:color w:val="000000"/>
          <w:sz w:val="32"/>
          <w:szCs w:val="32"/>
          <w:lang w:val="zh-CN"/>
        </w:rPr>
        <w:t>（一）部门财政资金收入情况</w:t>
      </w:r>
    </w:p>
    <w:p>
      <w:pPr>
        <w:spacing w:line="576" w:lineRule="exact"/>
        <w:ind w:firstLine="800" w:firstLineChars="250"/>
        <w:rPr>
          <w:rFonts w:ascii="仿宋" w:hAnsi="仿宋" w:eastAsia="仿宋"/>
          <w:color w:val="000000"/>
          <w:sz w:val="32"/>
          <w:szCs w:val="32"/>
        </w:rPr>
      </w:pPr>
      <w:r>
        <w:rPr>
          <w:rFonts w:hint="eastAsia" w:ascii="仿宋" w:hAnsi="仿宋" w:eastAsia="仿宋"/>
          <w:color w:val="000000"/>
          <w:sz w:val="32"/>
          <w:szCs w:val="32"/>
        </w:rPr>
        <w:t>2019年红原县文化体育和旅游局本年收入合计9643.99万元，其中：一般公共预算财政拨款收入9505.64万元，占98.57%。政府性基金收入104.38万元，占1.08%；其他收入33.97万元，占0.35%。</w:t>
      </w:r>
    </w:p>
    <w:p>
      <w:pPr>
        <w:adjustRightInd w:val="0"/>
        <w:snapToGrid w:val="0"/>
        <w:spacing w:line="576" w:lineRule="exact"/>
        <w:ind w:firstLine="640" w:firstLineChars="200"/>
        <w:rPr>
          <w:rFonts w:ascii="仿宋" w:hAnsi="仿宋" w:eastAsia="仿宋" w:cs="宋体"/>
          <w:color w:val="000000"/>
          <w:sz w:val="32"/>
          <w:szCs w:val="32"/>
          <w:lang w:val="zh-CN"/>
        </w:rPr>
      </w:pPr>
      <w:r>
        <w:rPr>
          <w:rFonts w:hint="eastAsia" w:ascii="仿宋" w:hAnsi="仿宋" w:eastAsia="仿宋" w:cs="楷体_GB2312"/>
          <w:color w:val="000000"/>
          <w:sz w:val="32"/>
          <w:szCs w:val="32"/>
          <w:lang w:val="zh-CN"/>
        </w:rPr>
        <w:t>（二）部门财政资金支出情况</w:t>
      </w:r>
    </w:p>
    <w:p>
      <w:pPr>
        <w:spacing w:line="576" w:lineRule="exact"/>
        <w:ind w:firstLine="800" w:firstLineChars="250"/>
        <w:rPr>
          <w:rFonts w:ascii="仿宋" w:hAnsi="仿宋" w:eastAsia="仿宋" w:cs="仿宋_GB2312"/>
          <w:color w:val="000000"/>
          <w:sz w:val="32"/>
          <w:szCs w:val="32"/>
        </w:rPr>
      </w:pPr>
      <w:r>
        <w:rPr>
          <w:rFonts w:hint="eastAsia" w:ascii="仿宋" w:hAnsi="仿宋" w:eastAsia="仿宋" w:cs="仿宋_GB2312"/>
          <w:color w:val="000000"/>
          <w:sz w:val="32"/>
          <w:szCs w:val="32"/>
        </w:rPr>
        <w:t>2019年红原县文化体育和旅游局本年支出合计9029.44万元，其中：基本支出844.88万元，占9.36% (其中：人员经费796.92万元, 公用经费47.86万元)；项目支出8184.57万元，占90.64%。</w:t>
      </w:r>
    </w:p>
    <w:p>
      <w:pPr>
        <w:adjustRightInd w:val="0"/>
        <w:snapToGrid w:val="0"/>
        <w:spacing w:line="576" w:lineRule="exact"/>
        <w:ind w:left="640"/>
        <w:rPr>
          <w:rFonts w:ascii="仿宋" w:hAnsi="仿宋" w:eastAsia="仿宋" w:cs="宋体"/>
          <w:color w:val="000000"/>
          <w:sz w:val="32"/>
          <w:szCs w:val="32"/>
        </w:rPr>
      </w:pPr>
      <w:r>
        <w:rPr>
          <w:rFonts w:hint="eastAsia" w:ascii="仿宋" w:hAnsi="仿宋" w:eastAsia="仿宋" w:cs="宋体"/>
          <w:color w:val="000000"/>
          <w:sz w:val="32"/>
          <w:szCs w:val="32"/>
        </w:rPr>
        <w:t>三、部门财政支出管理情况</w:t>
      </w:r>
    </w:p>
    <w:p>
      <w:pPr>
        <w:adjustRightInd w:val="0"/>
        <w:snapToGrid w:val="0"/>
        <w:spacing w:line="576" w:lineRule="exact"/>
        <w:ind w:left="426"/>
        <w:rPr>
          <w:rFonts w:ascii="仿宋" w:hAnsi="仿宋" w:eastAsia="仿宋" w:cs="楷体_GB2312"/>
          <w:color w:val="000000"/>
          <w:sz w:val="32"/>
          <w:szCs w:val="32"/>
          <w:lang w:val="zh-CN"/>
        </w:rPr>
      </w:pPr>
      <w:r>
        <w:rPr>
          <w:rFonts w:hint="eastAsia" w:ascii="仿宋" w:hAnsi="仿宋" w:eastAsia="仿宋" w:cs="楷体_GB2312"/>
          <w:color w:val="000000"/>
          <w:sz w:val="32"/>
          <w:szCs w:val="32"/>
          <w:lang w:val="zh-CN"/>
        </w:rPr>
        <w:t>（一）预算编制情况</w:t>
      </w:r>
    </w:p>
    <w:p>
      <w:pPr>
        <w:adjustRightInd w:val="0"/>
        <w:snapToGrid w:val="0"/>
        <w:spacing w:line="576" w:lineRule="exact"/>
        <w:rPr>
          <w:rFonts w:ascii="仿宋" w:hAnsi="仿宋" w:eastAsia="仿宋" w:cs="宋体"/>
          <w:color w:val="000000"/>
          <w:sz w:val="32"/>
          <w:szCs w:val="32"/>
          <w:lang w:val="zh-CN"/>
        </w:rPr>
      </w:pPr>
      <w:r>
        <w:rPr>
          <w:rFonts w:hint="eastAsia" w:ascii="仿宋" w:hAnsi="仿宋" w:eastAsia="仿宋" w:cs="宋体"/>
          <w:color w:val="000000"/>
          <w:sz w:val="32"/>
          <w:szCs w:val="32"/>
          <w:lang w:val="zh-CN"/>
        </w:rPr>
        <w:t xml:space="preserve">    </w:t>
      </w:r>
      <w:r>
        <w:rPr>
          <w:rFonts w:hint="eastAsia" w:ascii="仿宋" w:hAnsi="仿宋" w:eastAsia="仿宋"/>
          <w:color w:val="000000"/>
          <w:sz w:val="32"/>
          <w:szCs w:val="32"/>
          <w:lang w:val="zh-CN"/>
        </w:rPr>
        <w:t>我局2019年预算编制严格按照县财政《关于编制2019年县本级预算通知》相关精神，认真学习《预算法》及其实施条例等预算编制的法律、法规，掌握预算编制想相关政策，及时与县编办等部门核对人员编制、实有人数、工资、车辆等信息，并实时更新单位基础信息数据库，准确编制部门预算，全面完整地反映部门真实收入情况。基本支出预算包括人员经费和日常公用经费两部分，采取人员经费按标准，公用经费按定额的方法客观编制基本支出预算。</w:t>
      </w:r>
    </w:p>
    <w:p>
      <w:pPr>
        <w:adjustRightInd w:val="0"/>
        <w:snapToGrid w:val="0"/>
        <w:spacing w:line="576" w:lineRule="exact"/>
        <w:ind w:firstLine="640" w:firstLineChars="200"/>
        <w:rPr>
          <w:rFonts w:ascii="仿宋" w:hAnsi="仿宋" w:eastAsia="仿宋" w:cs="楷体_GB2312"/>
          <w:color w:val="000000"/>
          <w:sz w:val="32"/>
          <w:szCs w:val="32"/>
          <w:lang w:val="zh-CN"/>
        </w:rPr>
      </w:pPr>
      <w:r>
        <w:rPr>
          <w:rFonts w:hint="eastAsia" w:ascii="仿宋" w:hAnsi="仿宋" w:eastAsia="仿宋" w:cs="楷体_GB2312"/>
          <w:color w:val="000000"/>
          <w:sz w:val="32"/>
          <w:szCs w:val="32"/>
          <w:lang w:val="zh-CN"/>
        </w:rPr>
        <w:t>（二）执行管理情况</w:t>
      </w:r>
    </w:p>
    <w:p>
      <w:pPr>
        <w:spacing w:line="576" w:lineRule="exact"/>
        <w:ind w:firstLine="640"/>
        <w:rPr>
          <w:rFonts w:ascii="仿宋" w:hAnsi="仿宋" w:eastAsia="仿宋" w:cs="仿宋_GB2312"/>
          <w:color w:val="000000"/>
          <w:sz w:val="32"/>
          <w:szCs w:val="32"/>
        </w:rPr>
      </w:pPr>
      <w:r>
        <w:rPr>
          <w:rFonts w:hint="eastAsia" w:ascii="仿宋" w:hAnsi="仿宋" w:eastAsia="仿宋" w:cs="仿宋_GB2312"/>
          <w:color w:val="000000"/>
          <w:sz w:val="32"/>
          <w:szCs w:val="32"/>
        </w:rPr>
        <w:t>2019年度“三公”经费财政拨款支出决算中，因公出国（境）费支出决算0元，占0%。公务用车购置及运行维护费支出决算9.29元，占92.71%；公务接待费支出决算0.73万元，占7.29%。具体情况如下：</w:t>
      </w:r>
    </w:p>
    <w:p>
      <w:pPr>
        <w:spacing w:line="576" w:lineRule="exact"/>
        <w:ind w:firstLine="640"/>
        <w:rPr>
          <w:rFonts w:ascii="仿宋" w:hAnsi="仿宋" w:eastAsia="仿宋" w:cs="仿宋_GB2312"/>
          <w:bCs/>
          <w:color w:val="000000"/>
          <w:sz w:val="32"/>
          <w:szCs w:val="32"/>
        </w:rPr>
      </w:pPr>
      <w:r>
        <w:rPr>
          <w:rFonts w:hint="eastAsia" w:ascii="仿宋" w:hAnsi="仿宋" w:eastAsia="仿宋" w:cs="仿宋_GB2312"/>
          <w:bCs/>
          <w:color w:val="000000"/>
          <w:sz w:val="32"/>
          <w:szCs w:val="32"/>
        </w:rPr>
        <w:t>1.因公出国（境）经费支出0元。</w:t>
      </w:r>
    </w:p>
    <w:p>
      <w:pPr>
        <w:spacing w:line="576" w:lineRule="exact"/>
        <w:ind w:firstLine="640" w:firstLineChars="200"/>
        <w:rPr>
          <w:rFonts w:ascii="仿宋" w:hAnsi="仿宋" w:eastAsia="仿宋" w:cs="仿宋_GB2312"/>
          <w:bCs/>
          <w:color w:val="000000"/>
          <w:sz w:val="32"/>
          <w:szCs w:val="32"/>
        </w:rPr>
      </w:pPr>
      <w:r>
        <w:rPr>
          <w:rFonts w:hint="eastAsia" w:ascii="仿宋" w:hAnsi="仿宋" w:eastAsia="仿宋" w:cs="仿宋_GB2312"/>
          <w:bCs/>
          <w:color w:val="000000"/>
          <w:sz w:val="32"/>
          <w:szCs w:val="32"/>
        </w:rPr>
        <w:t>2.公务用车购置及运行维护费支出</w:t>
      </w:r>
      <w:r>
        <w:rPr>
          <w:rFonts w:hint="eastAsia" w:ascii="仿宋" w:hAnsi="仿宋" w:eastAsia="仿宋" w:cs="仿宋_GB2312"/>
          <w:color w:val="000000"/>
          <w:sz w:val="32"/>
          <w:szCs w:val="32"/>
        </w:rPr>
        <w:t>9.29万</w:t>
      </w:r>
      <w:r>
        <w:rPr>
          <w:rFonts w:hint="eastAsia" w:ascii="仿宋" w:hAnsi="仿宋" w:eastAsia="仿宋" w:cs="仿宋_GB2312"/>
          <w:bCs/>
          <w:color w:val="000000"/>
          <w:sz w:val="32"/>
          <w:szCs w:val="32"/>
        </w:rPr>
        <w:t>元。其中：</w:t>
      </w:r>
    </w:p>
    <w:p>
      <w:pPr>
        <w:spacing w:line="576" w:lineRule="exact"/>
        <w:rPr>
          <w:rFonts w:ascii="仿宋" w:hAnsi="仿宋" w:eastAsia="仿宋" w:cs="仿宋_GB2312"/>
          <w:bCs/>
          <w:color w:val="000000"/>
          <w:sz w:val="32"/>
          <w:szCs w:val="32"/>
        </w:rPr>
      </w:pPr>
      <w:r>
        <w:rPr>
          <w:rFonts w:hint="eastAsia" w:ascii="仿宋" w:hAnsi="仿宋" w:eastAsia="仿宋" w:cs="仿宋_GB2312"/>
          <w:bCs/>
          <w:color w:val="000000"/>
          <w:sz w:val="32"/>
          <w:szCs w:val="32"/>
        </w:rPr>
        <w:t>公务用车购置支出0元。</w:t>
      </w:r>
    </w:p>
    <w:p>
      <w:pPr>
        <w:spacing w:line="576" w:lineRule="exact"/>
        <w:ind w:firstLine="640"/>
        <w:rPr>
          <w:rFonts w:ascii="仿宋" w:hAnsi="仿宋" w:eastAsia="仿宋" w:cs="仿宋_GB2312"/>
          <w:bCs/>
          <w:color w:val="000000"/>
          <w:sz w:val="32"/>
          <w:szCs w:val="32"/>
        </w:rPr>
      </w:pPr>
      <w:r>
        <w:rPr>
          <w:rFonts w:hint="eastAsia" w:ascii="仿宋" w:hAnsi="仿宋" w:eastAsia="仿宋" w:cs="仿宋_GB2312"/>
          <w:bCs/>
          <w:color w:val="000000"/>
          <w:sz w:val="32"/>
          <w:szCs w:val="32"/>
        </w:rPr>
        <w:t>公务用车运行维护费支出</w:t>
      </w:r>
      <w:r>
        <w:rPr>
          <w:rFonts w:hint="eastAsia" w:ascii="仿宋" w:hAnsi="仿宋" w:eastAsia="仿宋" w:cs="仿宋_GB2312"/>
          <w:color w:val="000000"/>
          <w:sz w:val="32"/>
          <w:szCs w:val="32"/>
        </w:rPr>
        <w:t>9.29万</w:t>
      </w:r>
      <w:r>
        <w:rPr>
          <w:rFonts w:hint="eastAsia" w:ascii="仿宋" w:hAnsi="仿宋" w:eastAsia="仿宋" w:cs="仿宋_GB2312"/>
          <w:bCs/>
          <w:color w:val="000000"/>
          <w:sz w:val="32"/>
          <w:szCs w:val="32"/>
        </w:rPr>
        <w:t>元。主要用于单位汽车出差、培训等所需的公务用车燃料费、维修费、过路过桥费、保险费等支出。</w:t>
      </w:r>
    </w:p>
    <w:p>
      <w:pPr>
        <w:spacing w:line="576" w:lineRule="exact"/>
        <w:ind w:firstLine="640" w:firstLineChars="200"/>
        <w:rPr>
          <w:rFonts w:ascii="仿宋" w:hAnsi="仿宋" w:eastAsia="仿宋" w:cs="仿宋_GB2312"/>
          <w:bCs/>
          <w:color w:val="000000"/>
          <w:sz w:val="32"/>
          <w:szCs w:val="32"/>
        </w:rPr>
      </w:pPr>
      <w:r>
        <w:rPr>
          <w:rFonts w:hint="eastAsia" w:ascii="仿宋" w:hAnsi="仿宋" w:eastAsia="仿宋" w:cs="仿宋_GB2312"/>
          <w:bCs/>
          <w:color w:val="000000"/>
          <w:sz w:val="32"/>
          <w:szCs w:val="32"/>
        </w:rPr>
        <w:t>公务用车购置及运行维护费支出决算比2018年减少0.71元，减少7.64%。主要原因是公务用车维修费用减少。</w:t>
      </w:r>
    </w:p>
    <w:p>
      <w:pPr>
        <w:spacing w:line="576" w:lineRule="exact"/>
        <w:ind w:firstLine="640" w:firstLineChars="200"/>
        <w:rPr>
          <w:rFonts w:ascii="仿宋" w:hAnsi="仿宋" w:eastAsia="仿宋" w:cs="仿宋_GB2312"/>
          <w:bCs/>
          <w:color w:val="000000"/>
          <w:sz w:val="32"/>
          <w:szCs w:val="32"/>
        </w:rPr>
      </w:pPr>
      <w:r>
        <w:rPr>
          <w:rFonts w:hint="eastAsia" w:ascii="仿宋" w:hAnsi="仿宋" w:eastAsia="仿宋" w:cs="仿宋_GB2312"/>
          <w:bCs/>
          <w:color w:val="000000"/>
          <w:sz w:val="32"/>
          <w:szCs w:val="32"/>
        </w:rPr>
        <w:t>3.公务接待费支出0.73万元。主要用于执行公务、开展业务活动开支的交通费、住宿费、用餐费等。国内公务接待3批次，38人次，共计支出0.73万元。  公务接待费支出决算比2018年减少0.2万元，减少27%，主要原因是我局厉行节约。</w:t>
      </w:r>
    </w:p>
    <w:p>
      <w:pPr>
        <w:adjustRightInd w:val="0"/>
        <w:snapToGrid w:val="0"/>
        <w:spacing w:line="576" w:lineRule="exact"/>
        <w:ind w:firstLine="640" w:firstLineChars="200"/>
        <w:rPr>
          <w:rFonts w:ascii="仿宋" w:hAnsi="仿宋" w:eastAsia="仿宋" w:cs="仿宋_GB2312"/>
          <w:bCs/>
          <w:color w:val="000000"/>
          <w:sz w:val="32"/>
          <w:szCs w:val="32"/>
          <w:lang w:val="zh-CN"/>
        </w:rPr>
      </w:pPr>
      <w:r>
        <w:rPr>
          <w:rFonts w:hint="eastAsia" w:ascii="仿宋" w:hAnsi="仿宋" w:eastAsia="仿宋" w:cs="仿宋_GB2312"/>
          <w:bCs/>
          <w:color w:val="000000"/>
          <w:sz w:val="32"/>
          <w:szCs w:val="32"/>
        </w:rPr>
        <w:t>2019年</w:t>
      </w:r>
      <w:r>
        <w:rPr>
          <w:rFonts w:hint="eastAsia" w:ascii="仿宋" w:hAnsi="仿宋" w:eastAsia="仿宋" w:cs="仿宋_GB2312"/>
          <w:bCs/>
          <w:color w:val="000000"/>
          <w:sz w:val="32"/>
          <w:szCs w:val="32"/>
          <w:lang w:val="zh-CN"/>
        </w:rPr>
        <w:t>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w:t>
      </w:r>
    </w:p>
    <w:p>
      <w:pPr>
        <w:adjustRightInd w:val="0"/>
        <w:snapToGrid w:val="0"/>
        <w:spacing w:line="576" w:lineRule="exact"/>
        <w:ind w:firstLine="640" w:firstLineChars="200"/>
        <w:rPr>
          <w:rFonts w:ascii="仿宋" w:hAnsi="仿宋" w:eastAsia="仿宋" w:cs="楷体_GB2312"/>
          <w:color w:val="000000"/>
          <w:sz w:val="32"/>
          <w:szCs w:val="32"/>
        </w:rPr>
      </w:pPr>
      <w:r>
        <w:rPr>
          <w:rFonts w:hint="eastAsia" w:ascii="仿宋" w:hAnsi="仿宋" w:eastAsia="仿宋" w:cs="楷体_GB2312"/>
          <w:color w:val="000000"/>
          <w:sz w:val="32"/>
          <w:szCs w:val="32"/>
        </w:rPr>
        <w:t>（三）综合管理情况</w:t>
      </w:r>
    </w:p>
    <w:p>
      <w:pPr>
        <w:adjustRightInd w:val="0"/>
        <w:snapToGrid w:val="0"/>
        <w:spacing w:line="576" w:lineRule="exact"/>
        <w:ind w:firstLine="640" w:firstLineChars="200"/>
        <w:rPr>
          <w:rFonts w:ascii="仿宋" w:hAnsi="仿宋" w:eastAsia="仿宋"/>
          <w:color w:val="000000"/>
          <w:sz w:val="32"/>
          <w:szCs w:val="32"/>
          <w:lang w:val="zh-CN"/>
        </w:rPr>
      </w:pPr>
      <w:r>
        <w:rPr>
          <w:rFonts w:hint="eastAsia" w:ascii="仿宋" w:hAnsi="仿宋" w:eastAsia="仿宋"/>
          <w:color w:val="000000"/>
          <w:sz w:val="32"/>
          <w:szCs w:val="32"/>
        </w:rPr>
        <w:t>我局在执行有关法律法规、财经纪律、财务规章制度的同时，结合自身实际情况，制度相关财务制度、政府采购管理制度、项目管理制度等。内控制度健全并执行良好，并及时向社会公开了本部门的预、决算</w:t>
      </w:r>
      <w:r>
        <w:rPr>
          <w:rFonts w:hint="eastAsia" w:ascii="仿宋" w:hAnsi="仿宋" w:eastAsia="仿宋"/>
          <w:color w:val="000000"/>
          <w:sz w:val="32"/>
          <w:szCs w:val="32"/>
          <w:lang w:val="zh-CN"/>
        </w:rPr>
        <w:t>，依法接受财政监督。</w:t>
      </w:r>
    </w:p>
    <w:p>
      <w:pPr>
        <w:adjustRightInd w:val="0"/>
        <w:snapToGrid w:val="0"/>
        <w:spacing w:line="576" w:lineRule="exact"/>
        <w:ind w:firstLine="640" w:firstLineChars="200"/>
        <w:rPr>
          <w:rFonts w:ascii="仿宋" w:hAnsi="仿宋" w:eastAsia="仿宋" w:cs="楷体_GB2312"/>
          <w:color w:val="000000"/>
          <w:sz w:val="32"/>
          <w:szCs w:val="32"/>
          <w:lang w:val="zh-CN"/>
        </w:rPr>
      </w:pPr>
      <w:r>
        <w:rPr>
          <w:rFonts w:hint="eastAsia" w:ascii="仿宋" w:hAnsi="仿宋" w:eastAsia="仿宋" w:cs="楷体_GB2312"/>
          <w:color w:val="000000"/>
          <w:sz w:val="32"/>
          <w:szCs w:val="32"/>
          <w:lang w:val="zh-CN"/>
        </w:rPr>
        <w:t>（四）整体绩效</w:t>
      </w:r>
    </w:p>
    <w:p>
      <w:pPr>
        <w:adjustRightInd w:val="0"/>
        <w:snapToGrid w:val="0"/>
        <w:spacing w:line="576" w:lineRule="exact"/>
        <w:ind w:firstLine="640" w:firstLineChars="200"/>
        <w:rPr>
          <w:rFonts w:ascii="仿宋" w:hAnsi="仿宋" w:eastAsia="仿宋"/>
          <w:color w:val="000000"/>
          <w:sz w:val="32"/>
          <w:szCs w:val="32"/>
          <w:lang w:val="zh-CN"/>
        </w:rPr>
      </w:pPr>
      <w:r>
        <w:rPr>
          <w:rFonts w:hint="eastAsia" w:ascii="仿宋" w:hAnsi="仿宋" w:eastAsia="仿宋"/>
          <w:color w:val="000000"/>
          <w:sz w:val="32"/>
          <w:szCs w:val="32"/>
          <w:lang w:val="zh-CN"/>
        </w:rPr>
        <w:t>201</w:t>
      </w:r>
      <w:r>
        <w:rPr>
          <w:rFonts w:hint="eastAsia" w:ascii="仿宋" w:hAnsi="仿宋" w:eastAsia="仿宋"/>
          <w:color w:val="000000"/>
          <w:sz w:val="32"/>
          <w:szCs w:val="32"/>
        </w:rPr>
        <w:t>9</w:t>
      </w:r>
      <w:r>
        <w:rPr>
          <w:rFonts w:hint="eastAsia" w:ascii="仿宋" w:hAnsi="仿宋" w:eastAsia="仿宋"/>
          <w:color w:val="000000"/>
          <w:sz w:val="32"/>
          <w:szCs w:val="32"/>
          <w:lang w:val="zh-CN"/>
        </w:rPr>
        <w:t>年度我单位年初</w:t>
      </w:r>
      <w:r>
        <w:rPr>
          <w:rFonts w:hint="eastAsia" w:ascii="仿宋" w:hAnsi="仿宋" w:eastAsia="仿宋"/>
          <w:color w:val="000000"/>
          <w:sz w:val="32"/>
          <w:szCs w:val="32"/>
        </w:rPr>
        <w:t>根据</w:t>
      </w:r>
      <w:r>
        <w:rPr>
          <w:rFonts w:hint="eastAsia" w:ascii="仿宋" w:hAnsi="仿宋" w:eastAsia="仿宋"/>
          <w:color w:val="000000"/>
          <w:sz w:val="32"/>
          <w:szCs w:val="32"/>
          <w:lang w:val="zh-CN"/>
        </w:rPr>
        <w:t>工作规划和重点工作</w:t>
      </w:r>
      <w:r>
        <w:rPr>
          <w:rFonts w:hint="eastAsia" w:ascii="仿宋" w:hAnsi="仿宋" w:eastAsia="仿宋"/>
          <w:color w:val="000000"/>
          <w:sz w:val="32"/>
          <w:szCs w:val="32"/>
        </w:rPr>
        <w:t>规划</w:t>
      </w:r>
      <w:r>
        <w:rPr>
          <w:rFonts w:hint="eastAsia" w:ascii="仿宋" w:hAnsi="仿宋" w:eastAsia="仿宋"/>
          <w:color w:val="000000"/>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adjustRightInd w:val="0"/>
        <w:snapToGrid w:val="0"/>
        <w:spacing w:line="576" w:lineRule="exact"/>
        <w:ind w:firstLine="640" w:firstLineChars="200"/>
        <w:rPr>
          <w:rFonts w:ascii="仿宋" w:hAnsi="仿宋" w:eastAsia="仿宋" w:cs="黑体"/>
          <w:color w:val="000000"/>
          <w:sz w:val="32"/>
          <w:szCs w:val="32"/>
          <w:lang w:val="zh-CN"/>
        </w:rPr>
      </w:pPr>
      <w:r>
        <w:rPr>
          <w:rFonts w:hint="eastAsia" w:ascii="仿宋" w:hAnsi="仿宋" w:eastAsia="仿宋" w:cs="黑体"/>
          <w:color w:val="000000"/>
          <w:sz w:val="32"/>
          <w:szCs w:val="32"/>
          <w:lang w:val="zh-CN"/>
        </w:rPr>
        <w:t>四、存在的问题及建议</w:t>
      </w:r>
    </w:p>
    <w:p>
      <w:pPr>
        <w:adjustRightInd w:val="0"/>
        <w:snapToGrid w:val="0"/>
        <w:spacing w:line="576" w:lineRule="exact"/>
        <w:ind w:left="426" w:firstLine="320" w:firstLineChars="100"/>
        <w:rPr>
          <w:rFonts w:ascii="仿宋" w:hAnsi="仿宋" w:eastAsia="仿宋" w:cs="楷体_GB2312"/>
          <w:color w:val="000000"/>
          <w:sz w:val="32"/>
          <w:szCs w:val="32"/>
          <w:lang w:val="zh-CN"/>
        </w:rPr>
      </w:pPr>
      <w:r>
        <w:rPr>
          <w:rFonts w:hint="eastAsia" w:ascii="仿宋" w:hAnsi="仿宋" w:eastAsia="仿宋" w:cs="楷体_GB2312"/>
          <w:color w:val="000000"/>
          <w:sz w:val="32"/>
          <w:szCs w:val="32"/>
          <w:lang w:val="zh-CN"/>
        </w:rPr>
        <w:t>（一）存在的问题</w:t>
      </w:r>
    </w:p>
    <w:p>
      <w:pPr>
        <w:adjustRightInd w:val="0"/>
        <w:snapToGrid w:val="0"/>
        <w:spacing w:line="576" w:lineRule="exact"/>
        <w:ind w:firstLine="803" w:firstLineChars="250"/>
        <w:rPr>
          <w:rFonts w:ascii="仿宋" w:hAnsi="仿宋" w:eastAsia="仿宋" w:cs="仿宋_GB2312"/>
          <w:color w:val="000000"/>
          <w:sz w:val="32"/>
          <w:szCs w:val="32"/>
          <w:lang w:val="zh-CN"/>
        </w:rPr>
      </w:pPr>
      <w:r>
        <w:rPr>
          <w:rFonts w:hint="eastAsia" w:ascii="仿宋" w:hAnsi="仿宋" w:eastAsia="仿宋" w:cs="仿宋_GB2312"/>
          <w:b/>
          <w:bCs/>
          <w:color w:val="333333"/>
          <w:sz w:val="32"/>
          <w:szCs w:val="32"/>
          <w:shd w:val="clear" w:color="auto" w:fill="FFFFFF"/>
        </w:rPr>
        <w:t>一是</w:t>
      </w:r>
      <w:r>
        <w:rPr>
          <w:rFonts w:hint="eastAsia" w:ascii="仿宋" w:hAnsi="仿宋" w:eastAsia="仿宋" w:cs="仿宋_GB2312"/>
          <w:color w:val="333333"/>
          <w:sz w:val="32"/>
          <w:szCs w:val="32"/>
          <w:shd w:val="clear" w:color="auto" w:fill="FFFFFF"/>
        </w:rPr>
        <w:t>应加强公务卡使用力度，保证资金的合理使用；</w:t>
      </w:r>
      <w:r>
        <w:rPr>
          <w:rFonts w:hint="eastAsia" w:ascii="仿宋" w:hAnsi="仿宋" w:eastAsia="仿宋" w:cs="仿宋_GB2312"/>
          <w:b/>
          <w:bCs/>
          <w:color w:val="333333"/>
          <w:sz w:val="32"/>
          <w:szCs w:val="32"/>
          <w:shd w:val="clear" w:color="auto" w:fill="FFFFFF"/>
        </w:rPr>
        <w:t>二是</w:t>
      </w:r>
      <w:r>
        <w:rPr>
          <w:rFonts w:hint="eastAsia" w:ascii="仿宋" w:hAnsi="仿宋" w:eastAsia="仿宋" w:cs="仿宋_GB2312"/>
          <w:color w:val="333333"/>
          <w:sz w:val="32"/>
          <w:szCs w:val="32"/>
          <w:shd w:val="clear" w:color="auto" w:fill="FFFFFF"/>
        </w:rPr>
        <w:t>了解财政各项规定，严格按照规定执行，做好费用报销审核工作；</w:t>
      </w:r>
      <w:r>
        <w:rPr>
          <w:rFonts w:hint="eastAsia" w:ascii="仿宋" w:hAnsi="仿宋" w:eastAsia="仿宋" w:cs="仿宋_GB2312"/>
          <w:b/>
          <w:bCs/>
          <w:color w:val="333333"/>
          <w:sz w:val="32"/>
          <w:szCs w:val="32"/>
          <w:shd w:val="clear" w:color="auto" w:fill="FFFFFF"/>
        </w:rPr>
        <w:t>三是</w:t>
      </w:r>
      <w:r>
        <w:rPr>
          <w:rFonts w:hint="eastAsia" w:ascii="仿宋" w:hAnsi="仿宋" w:eastAsia="仿宋" w:cs="仿宋_GB2312"/>
          <w:color w:val="333333"/>
          <w:sz w:val="32"/>
          <w:szCs w:val="32"/>
          <w:shd w:val="clear" w:color="auto" w:fill="FFFFFF"/>
        </w:rPr>
        <w:t>推进项目资金的使用进度，提高资金使用效率；</w:t>
      </w:r>
      <w:r>
        <w:rPr>
          <w:rFonts w:hint="eastAsia" w:ascii="仿宋" w:hAnsi="仿宋" w:eastAsia="仿宋" w:cs="仿宋_GB2312"/>
          <w:b/>
          <w:bCs/>
          <w:color w:val="333333"/>
          <w:sz w:val="32"/>
          <w:szCs w:val="32"/>
          <w:shd w:val="clear" w:color="auto" w:fill="FFFFFF"/>
        </w:rPr>
        <w:t>四是</w:t>
      </w:r>
      <w:r>
        <w:rPr>
          <w:rFonts w:hint="eastAsia" w:ascii="仿宋" w:hAnsi="仿宋" w:eastAsia="仿宋" w:cs="仿宋_GB2312"/>
          <w:color w:val="333333"/>
          <w:sz w:val="32"/>
          <w:szCs w:val="32"/>
          <w:shd w:val="clear" w:color="auto" w:fill="FFFFFF"/>
        </w:rPr>
        <w:t>加强制度建设，将行动落实到实处。</w:t>
      </w:r>
    </w:p>
    <w:p>
      <w:pPr>
        <w:adjustRightInd w:val="0"/>
        <w:snapToGrid w:val="0"/>
        <w:spacing w:line="576" w:lineRule="exact"/>
        <w:ind w:left="640"/>
        <w:rPr>
          <w:rFonts w:ascii="仿宋" w:hAnsi="仿宋" w:eastAsia="仿宋" w:cs="楷体_GB2312"/>
          <w:color w:val="000000"/>
          <w:sz w:val="32"/>
          <w:szCs w:val="32"/>
          <w:lang w:val="zh-CN"/>
        </w:rPr>
      </w:pPr>
      <w:r>
        <w:rPr>
          <w:rFonts w:hint="eastAsia" w:ascii="仿宋" w:hAnsi="仿宋" w:eastAsia="仿宋" w:cs="楷体_GB2312"/>
          <w:color w:val="000000"/>
          <w:sz w:val="32"/>
          <w:szCs w:val="32"/>
          <w:lang w:val="zh-CN"/>
        </w:rPr>
        <w:t>(二)改进建议</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加强内控制度建设力度，建立内控长效机制，严格财务管理，加强财务监督，坚持厉行节约，控制“三公经费”支出，严格管理现金支出，加强财务人员业务培训，提高业务水平。</w:t>
      </w: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ind w:firstLine="640" w:firstLineChars="200"/>
        <w:rPr>
          <w:rFonts w:ascii="仿宋_GB2312" w:hAnsi="仿宋_GB2312" w:eastAsia="仿宋_GB2312" w:cs="仿宋_GB2312"/>
          <w:sz w:val="32"/>
          <w:szCs w:val="32"/>
        </w:rPr>
      </w:pPr>
    </w:p>
    <w:p>
      <w:pPr>
        <w:spacing w:line="570" w:lineRule="exact"/>
        <w:rPr>
          <w:rFonts w:ascii="仿宋_GB2312" w:hAnsi="仿宋_GB2312" w:eastAsia="仿宋_GB2312" w:cs="仿宋_GB2312"/>
          <w:sz w:val="32"/>
          <w:szCs w:val="32"/>
        </w:rPr>
      </w:pPr>
      <w:r>
        <w:rPr>
          <w:rFonts w:hint="eastAsia" w:ascii="仿宋_GB2312" w:hAnsi="黑体" w:eastAsia="仿宋_GB2312" w:cs="黑体"/>
          <w:sz w:val="32"/>
          <w:szCs w:val="32"/>
        </w:rPr>
        <w:t>附件2</w:t>
      </w:r>
    </w:p>
    <w:p>
      <w:pPr>
        <w:spacing w:line="57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红原县雅克音乐牧场提升改造项目</w:t>
      </w:r>
    </w:p>
    <w:p>
      <w:pPr>
        <w:spacing w:line="600" w:lineRule="exact"/>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资金绩效自评报告</w:t>
      </w:r>
    </w:p>
    <w:p>
      <w:pPr>
        <w:spacing w:line="600" w:lineRule="exact"/>
        <w:rPr>
          <w:rFonts w:ascii="仿宋_GB2312"/>
          <w:szCs w:val="32"/>
        </w:rPr>
      </w:pPr>
    </w:p>
    <w:p>
      <w:pPr>
        <w:ind w:firstLine="640" w:firstLineChars="200"/>
        <w:rPr>
          <w:rFonts w:ascii="黑体" w:hAnsi="黑体" w:eastAsia="黑体"/>
          <w:sz w:val="32"/>
          <w:szCs w:val="32"/>
        </w:rPr>
      </w:pPr>
      <w:r>
        <w:rPr>
          <w:rFonts w:hint="eastAsia" w:ascii="黑体" w:hAnsi="黑体" w:eastAsia="黑体"/>
          <w:sz w:val="32"/>
          <w:szCs w:val="32"/>
        </w:rPr>
        <w:t>一、绩效目标分解下达情况</w:t>
      </w:r>
    </w:p>
    <w:p>
      <w:pPr>
        <w:ind w:firstLine="640" w:firstLineChars="200"/>
        <w:rPr>
          <w:rFonts w:ascii="楷体_GB2312" w:hAnsi="楷体" w:eastAsia="楷体_GB2312"/>
          <w:sz w:val="32"/>
          <w:szCs w:val="32"/>
        </w:rPr>
      </w:pPr>
      <w:r>
        <w:rPr>
          <w:rFonts w:hint="eastAsia" w:ascii="楷体_GB2312" w:hAnsi="楷体" w:eastAsia="楷体_GB2312"/>
          <w:sz w:val="32"/>
          <w:szCs w:val="32"/>
        </w:rPr>
        <w:t>（一）中央下达专项转移支付预算和绩效目标情况</w:t>
      </w:r>
    </w:p>
    <w:p>
      <w:pPr>
        <w:adjustRightInd w:val="0"/>
        <w:snapToGrid w:val="0"/>
        <w:spacing w:line="560" w:lineRule="exact"/>
        <w:ind w:firstLine="720"/>
        <w:rPr>
          <w:rFonts w:ascii="仿宋_GB2312" w:hAnsi="仿宋" w:eastAsia="仿宋_GB2312"/>
          <w:sz w:val="32"/>
          <w:szCs w:val="32"/>
        </w:rPr>
      </w:pPr>
      <w:r>
        <w:rPr>
          <w:rFonts w:hint="eastAsia" w:ascii="仿宋_GB2312" w:hAnsi="仿宋" w:eastAsia="仿宋_GB2312"/>
          <w:sz w:val="32"/>
          <w:szCs w:val="32"/>
        </w:rPr>
        <w:t>红原县邛溪镇雅克音乐牧场景区为919万元，财文阿州财投【2019】32号2号</w:t>
      </w:r>
      <w:r>
        <w:rPr>
          <w:rFonts w:hint="eastAsia" w:ascii="仿宋_GB2312" w:hAnsi="宋体" w:eastAsia="仿宋_GB2312" w:cs="仿宋_GB2312"/>
          <w:sz w:val="32"/>
          <w:szCs w:val="32"/>
          <w:shd w:val="clear" w:color="auto" w:fill="FFFFFF"/>
        </w:rPr>
        <w:t>。</w:t>
      </w:r>
      <w:r>
        <w:rPr>
          <w:rFonts w:hint="eastAsia" w:ascii="仿宋_GB2312" w:hAnsi="仿宋" w:eastAsia="仿宋_GB2312"/>
          <w:sz w:val="32"/>
          <w:szCs w:val="32"/>
        </w:rPr>
        <w:t>年度总体绩效目标：提升雅克音乐牧场硬件设施</w:t>
      </w:r>
      <w:r>
        <w:rPr>
          <w:rFonts w:hint="eastAsia" w:ascii="仿宋_GB2312" w:hAnsi="仿宋" w:eastAsia="仿宋_GB2312" w:cs="仿宋"/>
          <w:kern w:val="10"/>
          <w:position w:val="-2"/>
          <w:sz w:val="32"/>
          <w:szCs w:val="32"/>
        </w:rPr>
        <w:t>，安装提升观景台。促进旅游产业发展，带动周边民众创业增收，</w:t>
      </w:r>
      <w:r>
        <w:rPr>
          <w:rFonts w:hint="eastAsia" w:ascii="仿宋_GB2312" w:eastAsia="仿宋_GB2312"/>
          <w:bCs/>
          <w:sz w:val="32"/>
          <w:szCs w:val="32"/>
        </w:rPr>
        <w:t>群众满意度达到95%。</w:t>
      </w:r>
    </w:p>
    <w:p>
      <w:pPr>
        <w:ind w:firstLine="640" w:firstLineChars="200"/>
        <w:rPr>
          <w:rFonts w:ascii="黑体" w:hAnsi="黑体" w:eastAsia="黑体"/>
          <w:sz w:val="32"/>
          <w:szCs w:val="32"/>
        </w:rPr>
      </w:pPr>
      <w:r>
        <w:rPr>
          <w:rFonts w:hint="eastAsia" w:ascii="黑体" w:hAnsi="黑体" w:eastAsia="黑体"/>
          <w:sz w:val="32"/>
          <w:szCs w:val="32"/>
        </w:rPr>
        <w:t>二、绩效目标完成情况分析</w:t>
      </w:r>
    </w:p>
    <w:p>
      <w:pPr>
        <w:ind w:firstLine="640" w:firstLineChars="200"/>
        <w:rPr>
          <w:rFonts w:ascii="楷体_GB2312" w:hAnsi="仿宋" w:eastAsia="楷体_GB2312"/>
          <w:sz w:val="32"/>
          <w:szCs w:val="32"/>
        </w:rPr>
      </w:pPr>
      <w:r>
        <w:rPr>
          <w:rFonts w:hint="eastAsia" w:ascii="楷体_GB2312" w:hAnsi="楷体" w:eastAsia="楷体_GB2312"/>
          <w:sz w:val="32"/>
          <w:szCs w:val="32"/>
        </w:rPr>
        <w:t>（一）资金投入分析</w:t>
      </w:r>
    </w:p>
    <w:p>
      <w:pPr>
        <w:ind w:firstLine="640" w:firstLineChars="200"/>
        <w:rPr>
          <w:rFonts w:ascii="仿宋_GB2312" w:hAnsi="仿宋" w:eastAsia="仿宋_GB2312"/>
          <w:sz w:val="32"/>
          <w:szCs w:val="32"/>
        </w:rPr>
      </w:pPr>
      <w:r>
        <w:rPr>
          <w:rFonts w:hint="eastAsia" w:ascii="仿宋_GB2312" w:hAnsi="仿宋" w:eastAsia="仿宋_GB2312"/>
          <w:sz w:val="32"/>
          <w:szCs w:val="32"/>
        </w:rPr>
        <w:t>1.项目资金到位情况分析。红原县邛溪镇雅克音乐牧场景区项目资金，（阿州财投【2019】32号2号</w:t>
      </w:r>
      <w:r>
        <w:rPr>
          <w:rFonts w:hint="eastAsia" w:ascii="仿宋_GB2312" w:hAnsi="宋体" w:eastAsia="仿宋_GB2312" w:cs="仿宋_GB2312"/>
          <w:sz w:val="32"/>
          <w:szCs w:val="32"/>
          <w:shd w:val="clear" w:color="auto" w:fill="FFFFFF"/>
        </w:rPr>
        <w:t>）已到位。</w:t>
      </w:r>
    </w:p>
    <w:p>
      <w:pPr>
        <w:ind w:firstLine="640" w:firstLineChars="200"/>
        <w:rPr>
          <w:rFonts w:ascii="仿宋_GB2312" w:hAnsi="仿宋" w:eastAsia="仿宋_GB2312"/>
          <w:sz w:val="32"/>
          <w:szCs w:val="32"/>
        </w:rPr>
      </w:pPr>
      <w:r>
        <w:rPr>
          <w:rFonts w:hint="eastAsia" w:ascii="仿宋_GB2312" w:hAnsi="仿宋" w:eastAsia="仿宋_GB2312"/>
          <w:sz w:val="32"/>
          <w:szCs w:val="32"/>
        </w:rPr>
        <w:t>2.项目资金执行情况分析。截至评价时点，</w:t>
      </w:r>
      <w:r>
        <w:rPr>
          <w:rFonts w:hint="eastAsia" w:ascii="仿宋_GB2312" w:hAnsi="宋体" w:eastAsia="仿宋_GB2312" w:cs="仿宋_GB2312"/>
          <w:sz w:val="32"/>
          <w:szCs w:val="32"/>
          <w:shd w:val="clear" w:color="auto" w:fill="FFFFFF"/>
        </w:rPr>
        <w:t>项目资金下达919万。截至目前，共拨付资金424万元（含前期费用），项目资金拨付率达100%，该项目资金还用于红原县雅克音乐牧场附属工程项目、红原县雅克音乐牧场球场基础设施建设项目、红原县雅克音乐牧场设施设备采购项目。</w:t>
      </w:r>
    </w:p>
    <w:p>
      <w:pPr>
        <w:ind w:firstLine="640" w:firstLineChars="200"/>
        <w:rPr>
          <w:rFonts w:ascii="仿宋_GB2312" w:hAnsi="仿宋" w:eastAsia="仿宋_GB2312"/>
          <w:sz w:val="32"/>
          <w:szCs w:val="32"/>
        </w:rPr>
      </w:pPr>
      <w:r>
        <w:rPr>
          <w:rFonts w:hint="eastAsia" w:ascii="仿宋_GB2312" w:hAnsi="仿宋" w:eastAsia="仿宋_GB2312"/>
          <w:sz w:val="32"/>
          <w:szCs w:val="32"/>
        </w:rPr>
        <w:t>3.项目资金管理情况分析。红原县邛溪镇雅克音乐牧场景区项目资金按合同进度拨付，资金使用坚持专款专用，资金支付依据、开支标准合规合法；财务管理上制度健全，会计核算规范；</w:t>
      </w:r>
    </w:p>
    <w:p>
      <w:pPr>
        <w:ind w:firstLine="640" w:firstLineChars="200"/>
        <w:rPr>
          <w:rFonts w:ascii="楷体_GB2312" w:hAnsi="楷体" w:eastAsia="楷体_GB2312"/>
          <w:sz w:val="32"/>
          <w:szCs w:val="32"/>
        </w:rPr>
      </w:pPr>
      <w:r>
        <w:rPr>
          <w:rFonts w:hint="eastAsia" w:ascii="楷体_GB2312" w:hAnsi="楷体" w:eastAsia="楷体_GB2312"/>
          <w:sz w:val="32"/>
          <w:szCs w:val="32"/>
        </w:rPr>
        <w:t>（二）绩效目标完成情况分析</w:t>
      </w:r>
    </w:p>
    <w:p>
      <w:pPr>
        <w:ind w:firstLine="640" w:firstLineChars="200"/>
        <w:rPr>
          <w:rFonts w:ascii="仿宋_GB2312" w:hAnsi="仿宋" w:eastAsia="仿宋_GB2312"/>
          <w:sz w:val="32"/>
          <w:szCs w:val="32"/>
        </w:rPr>
      </w:pPr>
      <w:r>
        <w:rPr>
          <w:rFonts w:hint="eastAsia" w:ascii="仿宋_GB2312" w:hAnsi="仿宋" w:eastAsia="仿宋_GB2312"/>
          <w:sz w:val="32"/>
          <w:szCs w:val="32"/>
        </w:rPr>
        <w:t>1.产出指标完成情况分析。截至评价时点，项目已全年完成预期目标，施工完成，并验收合格。</w:t>
      </w:r>
    </w:p>
    <w:p>
      <w:pPr>
        <w:ind w:firstLine="640" w:firstLineChars="200"/>
        <w:rPr>
          <w:rFonts w:ascii="仿宋_GB2312" w:hAnsi="仿宋" w:eastAsia="仿宋_GB2312"/>
          <w:sz w:val="32"/>
          <w:szCs w:val="32"/>
        </w:rPr>
      </w:pPr>
      <w:r>
        <w:rPr>
          <w:rFonts w:hint="eastAsia" w:ascii="仿宋_GB2312" w:hAnsi="仿宋" w:eastAsia="仿宋_GB2312"/>
          <w:sz w:val="32"/>
          <w:szCs w:val="32"/>
        </w:rPr>
        <w:t>2.效益指标完成情况分析。通过完善雅克音乐牧场旅游基础设施，满足红原大草原夏季雅克音乐季日益扩大的活动规模，</w:t>
      </w:r>
      <w:r>
        <w:rPr>
          <w:rFonts w:hint="eastAsia" w:ascii="仿宋_GB2312" w:hAnsi="仿宋" w:eastAsia="仿宋_GB2312" w:cs="仿宋"/>
          <w:kern w:val="10"/>
          <w:position w:val="-2"/>
          <w:sz w:val="32"/>
          <w:szCs w:val="32"/>
        </w:rPr>
        <w:t>结合红原全域旅游整体布局规划，促进旅游产业发展，带动周边民众创业增收。</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rPr>
        <w:t>（1）项目实施的经济效益分析。</w:t>
      </w:r>
    </w:p>
    <w:p>
      <w:pPr>
        <w:ind w:firstLine="640" w:firstLineChars="200"/>
        <w:jc w:val="left"/>
        <w:rPr>
          <w:rFonts w:ascii="仿宋_GB2312" w:hAnsi="仿宋" w:eastAsia="仿宋_GB2312"/>
          <w:sz w:val="32"/>
          <w:szCs w:val="32"/>
        </w:rPr>
      </w:pPr>
      <w:r>
        <w:rPr>
          <w:rFonts w:hint="eastAsia" w:ascii="仿宋_GB2312" w:hAnsi="宋体" w:eastAsia="仿宋_GB2312" w:cs="仿宋_GB2312"/>
          <w:sz w:val="32"/>
          <w:szCs w:val="32"/>
          <w:shd w:val="clear" w:color="auto" w:fill="FFFFFF"/>
        </w:rPr>
        <w:t>项目是旅游基础设施项目，项目实施其经济效益主要是通过社会效益和生态效益体现，项目建成可带动红原全域旅游发展，辐射周边区域区域旅游经济增长。</w:t>
      </w:r>
      <w:r>
        <w:rPr>
          <w:rFonts w:hint="eastAsia" w:ascii="仿宋_GB2312" w:hAnsi="仿宋" w:eastAsia="仿宋_GB2312"/>
          <w:sz w:val="32"/>
          <w:szCs w:val="32"/>
        </w:rPr>
        <w:t>激活了属地的餐饮、商贸、交通等多种行业的发展，带动了消费，拉动了经济增长，有力地促进当地经济和社会的协调发展。</w:t>
      </w:r>
    </w:p>
    <w:p>
      <w:pPr>
        <w:numPr>
          <w:ilvl w:val="0"/>
          <w:numId w:val="6"/>
        </w:numPr>
        <w:adjustRightInd w:val="0"/>
        <w:snapToGrid w:val="0"/>
        <w:spacing w:line="560" w:lineRule="exact"/>
        <w:ind w:firstLine="640" w:firstLineChars="200"/>
        <w:rPr>
          <w:rFonts w:ascii="仿宋_GB2312" w:hAnsi="宋体" w:eastAsia="仿宋_GB2312" w:cs="仿宋_GB2312"/>
          <w:sz w:val="32"/>
          <w:szCs w:val="32"/>
          <w:shd w:val="clear" w:color="auto" w:fill="FFFFFF"/>
        </w:rPr>
      </w:pPr>
      <w:r>
        <w:rPr>
          <w:rFonts w:hint="eastAsia" w:ascii="仿宋_GB2312" w:hAnsi="宋体" w:eastAsia="仿宋_GB2312" w:cs="仿宋_GB2312"/>
          <w:sz w:val="32"/>
          <w:szCs w:val="32"/>
          <w:shd w:val="clear" w:color="auto" w:fill="FFFFFF"/>
        </w:rPr>
        <w:t>项目实施的生态效益分析。</w:t>
      </w:r>
    </w:p>
    <w:p>
      <w:pPr>
        <w:adjustRightInd w:val="0"/>
        <w:snapToGrid w:val="0"/>
        <w:spacing w:line="560" w:lineRule="exact"/>
        <w:rPr>
          <w:rFonts w:ascii="仿宋_GB2312" w:hAnsi="宋体" w:eastAsia="仿宋_GB2312" w:cs="仿宋_GB2312"/>
          <w:sz w:val="32"/>
          <w:szCs w:val="32"/>
          <w:shd w:val="clear" w:color="auto" w:fill="FFFFFF"/>
        </w:rPr>
      </w:pPr>
      <w:r>
        <w:rPr>
          <w:rFonts w:hint="eastAsia" w:ascii="仿宋_GB2312" w:hAnsi="宋体" w:eastAsia="仿宋_GB2312" w:cs="仿宋_GB2312"/>
          <w:sz w:val="32"/>
          <w:szCs w:val="32"/>
          <w:shd w:val="clear" w:color="auto" w:fill="FFFFFF"/>
        </w:rPr>
        <w:t xml:space="preserve">  </w:t>
      </w:r>
      <w:r>
        <w:rPr>
          <w:rFonts w:hint="eastAsia" w:ascii="仿宋_GB2312" w:hAnsi="宋体" w:cs="仿宋_GB2312"/>
          <w:sz w:val="32"/>
          <w:szCs w:val="32"/>
          <w:shd w:val="clear" w:color="auto" w:fill="FFFFFF"/>
        </w:rPr>
        <w:t xml:space="preserve">  </w:t>
      </w:r>
      <w:r>
        <w:rPr>
          <w:rFonts w:hint="eastAsia" w:ascii="仿宋_GB2312" w:hAnsi="宋体" w:eastAsia="仿宋_GB2312" w:cs="仿宋_GB2312"/>
          <w:sz w:val="32"/>
          <w:szCs w:val="32"/>
          <w:shd w:val="clear" w:color="auto" w:fill="FFFFFF"/>
        </w:rPr>
        <w:t>通过项目建设，在雅克音乐牧场内采取有效措施严格管理和控制项目区内的人为活动，保护和恢复生态多样性，将显著提升项目区的生态承载力及综合生态效益。</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三、绩效自评结果拟应用和公开情况</w:t>
      </w:r>
    </w:p>
    <w:p>
      <w:pPr>
        <w:spacing w:line="600" w:lineRule="exact"/>
        <w:ind w:firstLine="640" w:firstLineChars="200"/>
        <w:contextualSpacing/>
        <w:rPr>
          <w:rFonts w:ascii="仿宋" w:hAnsi="仿宋" w:eastAsia="仿宋_GB2312"/>
          <w:sz w:val="32"/>
          <w:szCs w:val="32"/>
        </w:rPr>
      </w:pPr>
      <w:r>
        <w:rPr>
          <w:rFonts w:hint="eastAsia" w:ascii="仿宋_GB2312" w:hAnsi="仿宋" w:eastAsia="仿宋_GB2312"/>
          <w:sz w:val="32"/>
          <w:szCs w:val="32"/>
        </w:rPr>
        <w:t>红原县邛溪镇雅克音乐牧场景区项目资金（阿州财投【2019】32号2号</w:t>
      </w:r>
      <w:r>
        <w:rPr>
          <w:rFonts w:hint="eastAsia" w:ascii="仿宋_GB2312" w:hAnsi="宋体" w:eastAsia="仿宋_GB2312" w:cs="仿宋_GB2312"/>
          <w:sz w:val="32"/>
          <w:szCs w:val="32"/>
          <w:shd w:val="clear" w:color="auto" w:fill="FFFFFF"/>
        </w:rPr>
        <w:t>）</w:t>
      </w:r>
      <w:r>
        <w:rPr>
          <w:rFonts w:hint="eastAsia" w:ascii="仿宋_GB2312" w:hAnsi="仿宋" w:eastAsia="仿宋_GB2312"/>
          <w:sz w:val="32"/>
          <w:szCs w:val="32"/>
        </w:rPr>
        <w:t>项目绩效目标制定较为合理，资金管理比较到位，各项目按计划有序推进，基本达到预期指标，社会效益、群众满意度等较为显著。资金的管理和使用都严格执行了有关法律法规和财务规章制度，专项资金补助范围和支出内容符合相关规定，专项资金支出与已批复方案及预算相符。同时，项目实施过程认真履行了政府项目招投标程序，执行了财务和资产管理相关规定。绩效自评结果按照相关规定在一定范围内以适当方式予以公开。</w:t>
      </w:r>
    </w:p>
    <w:p>
      <w:pPr>
        <w:spacing w:line="570" w:lineRule="exact"/>
        <w:ind w:firstLine="640"/>
        <w:rPr>
          <w:rFonts w:ascii="仿宋_GB2312" w:hAnsi="仿宋_GB2312" w:eastAsia="仿宋_GB2312" w:cs="仿宋_GB2312"/>
          <w:sz w:val="32"/>
          <w:szCs w:val="32"/>
        </w:rPr>
      </w:pPr>
    </w:p>
    <w:p>
      <w:pPr>
        <w:spacing w:line="570" w:lineRule="exact"/>
        <w:ind w:firstLine="640"/>
        <w:rPr>
          <w:rFonts w:ascii="仿宋_GB2312" w:hAnsi="仿宋_GB2312" w:eastAsia="仿宋_GB2312" w:cs="仿宋_GB2312"/>
          <w:sz w:val="32"/>
          <w:szCs w:val="32"/>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spacing w:line="600" w:lineRule="exact"/>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2019年旅游发展基金补助地方项目资金绩效自评报告</w:t>
      </w:r>
    </w:p>
    <w:p>
      <w:pPr>
        <w:spacing w:line="600" w:lineRule="exact"/>
        <w:rPr>
          <w:rFonts w:ascii="仿宋_GB2312"/>
          <w:szCs w:val="32"/>
        </w:rPr>
      </w:pPr>
    </w:p>
    <w:p>
      <w:pPr>
        <w:ind w:firstLine="640" w:firstLineChars="200"/>
        <w:rPr>
          <w:rFonts w:ascii="黑体" w:hAnsi="黑体" w:eastAsia="黑体"/>
          <w:sz w:val="32"/>
          <w:szCs w:val="32"/>
        </w:rPr>
      </w:pPr>
      <w:r>
        <w:rPr>
          <w:rFonts w:hint="eastAsia" w:ascii="黑体" w:hAnsi="黑体" w:eastAsia="黑体"/>
          <w:sz w:val="32"/>
          <w:szCs w:val="32"/>
        </w:rPr>
        <w:t>一、绩效目标分解下达情况</w:t>
      </w:r>
    </w:p>
    <w:p>
      <w:pPr>
        <w:ind w:firstLine="640" w:firstLineChars="200"/>
        <w:rPr>
          <w:rFonts w:ascii="楷体_GB2312" w:hAnsi="楷体" w:eastAsia="楷体_GB2312"/>
          <w:sz w:val="32"/>
          <w:szCs w:val="32"/>
        </w:rPr>
      </w:pPr>
      <w:r>
        <w:rPr>
          <w:rFonts w:hint="eastAsia" w:ascii="楷体_GB2312" w:hAnsi="楷体" w:eastAsia="楷体_GB2312"/>
          <w:sz w:val="32"/>
          <w:szCs w:val="32"/>
        </w:rPr>
        <w:t>（一）中央下达专项转移支付预算和绩效目标情况</w:t>
      </w:r>
    </w:p>
    <w:p>
      <w:pPr>
        <w:adjustRightInd w:val="0"/>
        <w:snapToGrid w:val="0"/>
        <w:spacing w:line="560" w:lineRule="exact"/>
        <w:ind w:firstLine="720"/>
        <w:rPr>
          <w:rFonts w:ascii="仿宋_GB2312" w:hAnsi="仿宋" w:eastAsia="仿宋_GB2312"/>
          <w:sz w:val="32"/>
          <w:szCs w:val="32"/>
        </w:rPr>
      </w:pPr>
      <w:r>
        <w:rPr>
          <w:rFonts w:hint="eastAsia" w:ascii="仿宋_GB2312" w:hAnsi="仿宋" w:eastAsia="仿宋_GB2312"/>
          <w:sz w:val="32"/>
          <w:szCs w:val="32"/>
        </w:rPr>
        <w:t>2019年旅游发展基金补助地方项目资金下达预算数为75万元，财文阿州财教【2019】15号</w:t>
      </w:r>
      <w:r>
        <w:rPr>
          <w:rFonts w:hint="eastAsia" w:ascii="仿宋_GB2312" w:hAnsi="宋体" w:eastAsia="仿宋_GB2312" w:cs="仿宋_GB2312"/>
          <w:sz w:val="32"/>
          <w:szCs w:val="32"/>
          <w:shd w:val="clear" w:color="auto" w:fill="FFFFFF"/>
        </w:rPr>
        <w:t>。</w:t>
      </w:r>
      <w:r>
        <w:rPr>
          <w:rFonts w:hint="eastAsia" w:ascii="仿宋_GB2312" w:hAnsi="仿宋" w:eastAsia="仿宋_GB2312"/>
          <w:sz w:val="32"/>
          <w:szCs w:val="32"/>
        </w:rPr>
        <w:t>年度总体绩效目标：完善县域旅游基础设施，</w:t>
      </w:r>
      <w:r>
        <w:rPr>
          <w:rFonts w:hint="eastAsia" w:ascii="仿宋_GB2312" w:hAnsi="仿宋" w:eastAsia="仿宋_GB2312" w:cs="仿宋"/>
          <w:kern w:val="10"/>
          <w:position w:val="-2"/>
          <w:sz w:val="32"/>
          <w:szCs w:val="32"/>
        </w:rPr>
        <w:t>结合红原全域旅游整体布局规划，促进旅游产业发展，带动周边民众创业增收，</w:t>
      </w:r>
      <w:r>
        <w:rPr>
          <w:rFonts w:hint="eastAsia" w:ascii="仿宋_GB2312" w:eastAsia="仿宋_GB2312"/>
          <w:bCs/>
          <w:sz w:val="32"/>
          <w:szCs w:val="32"/>
        </w:rPr>
        <w:t>群众满意度达到95%。</w:t>
      </w:r>
    </w:p>
    <w:p>
      <w:pPr>
        <w:ind w:firstLine="640" w:firstLineChars="200"/>
        <w:rPr>
          <w:rFonts w:ascii="黑体" w:hAnsi="黑体" w:eastAsia="黑体"/>
          <w:sz w:val="32"/>
          <w:szCs w:val="32"/>
        </w:rPr>
      </w:pPr>
      <w:r>
        <w:rPr>
          <w:rFonts w:hint="eastAsia" w:ascii="黑体" w:hAnsi="黑体" w:eastAsia="黑体"/>
          <w:sz w:val="32"/>
          <w:szCs w:val="32"/>
        </w:rPr>
        <w:t>二、绩效目标完成情况分析</w:t>
      </w:r>
    </w:p>
    <w:p>
      <w:pPr>
        <w:ind w:firstLine="640" w:firstLineChars="200"/>
        <w:rPr>
          <w:rFonts w:ascii="楷体_GB2312" w:hAnsi="仿宋" w:eastAsia="楷体_GB2312"/>
          <w:sz w:val="32"/>
          <w:szCs w:val="32"/>
        </w:rPr>
      </w:pPr>
      <w:r>
        <w:rPr>
          <w:rFonts w:hint="eastAsia" w:ascii="楷体_GB2312" w:hAnsi="楷体" w:eastAsia="楷体_GB2312"/>
          <w:sz w:val="32"/>
          <w:szCs w:val="32"/>
        </w:rPr>
        <w:t>（一）资金投入分析</w:t>
      </w:r>
    </w:p>
    <w:p>
      <w:pPr>
        <w:ind w:firstLine="640" w:firstLineChars="200"/>
        <w:rPr>
          <w:rFonts w:ascii="仿宋_GB2312" w:hAnsi="仿宋" w:eastAsia="仿宋_GB2312"/>
          <w:sz w:val="32"/>
          <w:szCs w:val="32"/>
        </w:rPr>
      </w:pPr>
      <w:r>
        <w:rPr>
          <w:rFonts w:hint="eastAsia" w:ascii="仿宋_GB2312" w:hAnsi="仿宋" w:eastAsia="仿宋_GB2312"/>
          <w:sz w:val="32"/>
          <w:szCs w:val="32"/>
        </w:rPr>
        <w:t>1.项目资金到位情况分析。2019年旅游发展基金补助地方项目资金，（阿州财教【2019】15号</w:t>
      </w:r>
      <w:r>
        <w:rPr>
          <w:rFonts w:hint="eastAsia" w:ascii="仿宋_GB2312" w:hAnsi="宋体" w:eastAsia="仿宋_GB2312" w:cs="仿宋_GB2312"/>
          <w:sz w:val="32"/>
          <w:szCs w:val="32"/>
          <w:shd w:val="clear" w:color="auto" w:fill="FFFFFF"/>
        </w:rPr>
        <w:t>）已到位。</w:t>
      </w:r>
    </w:p>
    <w:p>
      <w:pPr>
        <w:ind w:firstLine="640" w:firstLineChars="200"/>
        <w:rPr>
          <w:rFonts w:ascii="仿宋_GB2312" w:hAnsi="仿宋" w:eastAsia="仿宋_GB2312"/>
          <w:sz w:val="32"/>
          <w:szCs w:val="32"/>
        </w:rPr>
      </w:pPr>
      <w:r>
        <w:rPr>
          <w:rFonts w:hint="eastAsia" w:ascii="仿宋_GB2312" w:hAnsi="仿宋" w:eastAsia="仿宋_GB2312"/>
          <w:sz w:val="32"/>
          <w:szCs w:val="32"/>
        </w:rPr>
        <w:t>2.项目资金执行情况分析。截至评价时点，</w:t>
      </w:r>
      <w:r>
        <w:rPr>
          <w:rFonts w:hint="eastAsia" w:ascii="仿宋_GB2312" w:hAnsi="宋体" w:eastAsia="仿宋_GB2312" w:cs="仿宋_GB2312"/>
          <w:sz w:val="32"/>
          <w:szCs w:val="32"/>
          <w:shd w:val="clear" w:color="auto" w:fill="FFFFFF"/>
        </w:rPr>
        <w:t>项目资金下达75万，其中合同价为72.9万元。截至目前，共拨付资金69.255万元（含前期费用），项目资金拨付率达95%。</w:t>
      </w:r>
    </w:p>
    <w:p>
      <w:pPr>
        <w:ind w:firstLine="640" w:firstLineChars="200"/>
        <w:rPr>
          <w:rFonts w:ascii="仿宋_GB2312" w:hAnsi="仿宋" w:eastAsia="仿宋_GB2312"/>
          <w:sz w:val="32"/>
          <w:szCs w:val="32"/>
        </w:rPr>
      </w:pPr>
      <w:r>
        <w:rPr>
          <w:rFonts w:hint="eastAsia" w:ascii="仿宋_GB2312" w:hAnsi="仿宋" w:eastAsia="仿宋_GB2312"/>
          <w:sz w:val="32"/>
          <w:szCs w:val="32"/>
        </w:rPr>
        <w:t>3.项目资金管理情况分析。2019年旅游发展基金补助地方项目资金按采购合同进度拨付，资金使用坚持专款专用，资金支付依据、开支标准合规合法；财务管理上制度健全，会计核算规范；</w:t>
      </w:r>
    </w:p>
    <w:p>
      <w:pPr>
        <w:ind w:firstLine="640" w:firstLineChars="200"/>
        <w:rPr>
          <w:rFonts w:ascii="楷体_GB2312" w:hAnsi="楷体" w:eastAsia="楷体_GB2312"/>
          <w:sz w:val="32"/>
          <w:szCs w:val="32"/>
        </w:rPr>
      </w:pPr>
      <w:r>
        <w:rPr>
          <w:rFonts w:hint="eastAsia" w:ascii="楷体_GB2312" w:hAnsi="楷体" w:eastAsia="楷体_GB2312"/>
          <w:sz w:val="32"/>
          <w:szCs w:val="32"/>
        </w:rPr>
        <w:t>（二）绩效目标完成情况分析</w:t>
      </w:r>
    </w:p>
    <w:p>
      <w:pPr>
        <w:ind w:firstLine="640" w:firstLineChars="200"/>
        <w:rPr>
          <w:rFonts w:ascii="仿宋_GB2312" w:hAnsi="仿宋" w:eastAsia="仿宋_GB2312"/>
          <w:sz w:val="32"/>
          <w:szCs w:val="32"/>
        </w:rPr>
      </w:pPr>
      <w:r>
        <w:rPr>
          <w:rFonts w:hint="eastAsia" w:ascii="仿宋_GB2312" w:hAnsi="仿宋" w:eastAsia="仿宋_GB2312"/>
          <w:sz w:val="32"/>
          <w:szCs w:val="32"/>
        </w:rPr>
        <w:t>1.产出指标完成情况分析。截至评价时点，项目已全年完成预期目标，货物安装完成，并验收完毕。</w:t>
      </w:r>
    </w:p>
    <w:p>
      <w:pPr>
        <w:ind w:firstLine="640" w:firstLineChars="200"/>
        <w:rPr>
          <w:rFonts w:ascii="仿宋_GB2312" w:hAnsi="仿宋" w:eastAsia="仿宋_GB2312"/>
          <w:sz w:val="32"/>
          <w:szCs w:val="32"/>
        </w:rPr>
      </w:pPr>
      <w:r>
        <w:rPr>
          <w:rFonts w:hint="eastAsia" w:ascii="仿宋_GB2312" w:hAnsi="仿宋" w:eastAsia="仿宋_GB2312"/>
          <w:sz w:val="32"/>
          <w:szCs w:val="32"/>
        </w:rPr>
        <w:t>2.效益指标完成情况分析。通过完善县域旅游基础设施，</w:t>
      </w:r>
      <w:r>
        <w:rPr>
          <w:rFonts w:hint="eastAsia" w:ascii="仿宋_GB2312" w:hAnsi="仿宋" w:eastAsia="仿宋_GB2312" w:cs="仿宋"/>
          <w:kern w:val="10"/>
          <w:position w:val="-2"/>
          <w:sz w:val="32"/>
          <w:szCs w:val="32"/>
        </w:rPr>
        <w:t>结合红原全域旅游整体布局规划，促进旅游产业发展，带动周边民众创业增收。</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rPr>
        <w:t>（1）项目实施的经济效益分析。</w:t>
      </w:r>
    </w:p>
    <w:p>
      <w:pPr>
        <w:ind w:firstLine="640" w:firstLineChars="200"/>
        <w:jc w:val="left"/>
        <w:rPr>
          <w:rFonts w:ascii="仿宋_GB2312" w:hAnsi="仿宋" w:eastAsia="仿宋_GB2312"/>
          <w:sz w:val="32"/>
          <w:szCs w:val="32"/>
        </w:rPr>
      </w:pPr>
      <w:r>
        <w:rPr>
          <w:rFonts w:hint="eastAsia" w:ascii="仿宋_GB2312" w:hAnsi="宋体" w:eastAsia="仿宋_GB2312" w:cs="仿宋_GB2312"/>
          <w:sz w:val="32"/>
          <w:szCs w:val="32"/>
          <w:shd w:val="clear" w:color="auto" w:fill="FFFFFF"/>
        </w:rPr>
        <w:t>项目是旅游基础设施项目，项目实施其经济效益主要是通过社会效益和生态效益体现，项目建成可带动红原全域旅游发展，辐射周边区域区域旅游经济增长。</w:t>
      </w:r>
      <w:r>
        <w:rPr>
          <w:rFonts w:hint="eastAsia" w:ascii="仿宋_GB2312" w:hAnsi="仿宋" w:eastAsia="仿宋_GB2312"/>
          <w:sz w:val="32"/>
          <w:szCs w:val="32"/>
        </w:rPr>
        <w:t>激活了属地的餐饮、商贸、交通等多种行业的发展，带动了消费，拉动了经济增长，有力地促进当地经济和社会的协调发展。</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rPr>
        <w:t>（2）项目实施的生态效益分析。</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rPr>
        <w:t>采购厕所为生态环保厕所，采购微生物降解，循环式水冲等环保技术，达到零排放，零污染标准。保护地区生态环境。</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三、绩效自评结果拟应用和公开情况</w:t>
      </w:r>
    </w:p>
    <w:p>
      <w:pPr>
        <w:spacing w:line="600" w:lineRule="exact"/>
        <w:ind w:firstLine="640" w:firstLineChars="200"/>
        <w:contextualSpacing/>
        <w:rPr>
          <w:rFonts w:ascii="仿宋" w:hAnsi="仿宋" w:eastAsia="仿宋_GB2312"/>
          <w:sz w:val="32"/>
          <w:szCs w:val="32"/>
        </w:rPr>
      </w:pPr>
      <w:r>
        <w:rPr>
          <w:rFonts w:hint="eastAsia" w:ascii="仿宋_GB2312" w:hAnsi="仿宋" w:eastAsia="仿宋_GB2312"/>
          <w:sz w:val="32"/>
          <w:szCs w:val="32"/>
        </w:rPr>
        <w:t>2019年旅游发展基金补助地方项目资金（阿州财教【2019】15号</w:t>
      </w:r>
      <w:r>
        <w:rPr>
          <w:rFonts w:hint="eastAsia" w:ascii="仿宋_GB2312" w:hAnsi="宋体" w:eastAsia="仿宋_GB2312" w:cs="仿宋_GB2312"/>
          <w:sz w:val="32"/>
          <w:szCs w:val="32"/>
          <w:shd w:val="clear" w:color="auto" w:fill="FFFFFF"/>
        </w:rPr>
        <w:t>）</w:t>
      </w:r>
      <w:r>
        <w:rPr>
          <w:rFonts w:hint="eastAsia" w:ascii="仿宋_GB2312" w:hAnsi="仿宋" w:eastAsia="仿宋_GB2312"/>
          <w:sz w:val="32"/>
          <w:szCs w:val="32"/>
        </w:rPr>
        <w:t>项目绩效目标制定较为合理，资金管理比较到位，各项目按计划有序推进，基本达到预期指标，社会效益、群众满意度等较为显著。资金的管理和使用都严格执行了有关法律法规和财务规章制度，专项资金补助范围和支出内容符合相关规定，专项资金支出与已批复方案及预算相符。同时，项目实施过程认真履行了政府项目招投标程序，执行了财务和资产管理相关规定。绩效自评结果按照相关规定在一定范围内以适当方式予以公开。</w:t>
      </w: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r>
        <w:rPr>
          <w:rStyle w:val="26"/>
          <w:rFonts w:hint="eastAsia" w:ascii="仿宋_GB2312" w:hAnsi="黑体" w:eastAsia="仿宋_GB2312"/>
          <w:b w:val="0"/>
        </w:rPr>
        <w:br w:type="page"/>
      </w:r>
    </w:p>
    <w:p>
      <w:pPr>
        <w:spacing w:line="600" w:lineRule="exact"/>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四川省国家文物保护专项资金</w:t>
      </w:r>
    </w:p>
    <w:p>
      <w:pPr>
        <w:spacing w:line="600" w:lineRule="exact"/>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2019年度绩效自评报告</w:t>
      </w:r>
    </w:p>
    <w:p>
      <w:pPr>
        <w:spacing w:line="600" w:lineRule="exact"/>
        <w:rPr>
          <w:rFonts w:ascii="仿宋_GB2312"/>
          <w:szCs w:val="32"/>
        </w:rPr>
      </w:pPr>
    </w:p>
    <w:p>
      <w:pPr>
        <w:ind w:firstLine="640" w:firstLineChars="200"/>
        <w:rPr>
          <w:rFonts w:ascii="黑体" w:hAnsi="黑体" w:eastAsia="黑体"/>
          <w:sz w:val="32"/>
          <w:szCs w:val="32"/>
        </w:rPr>
      </w:pPr>
      <w:r>
        <w:rPr>
          <w:rFonts w:hint="eastAsia" w:ascii="黑体" w:hAnsi="黑体" w:eastAsia="黑体"/>
          <w:sz w:val="32"/>
          <w:szCs w:val="32"/>
        </w:rPr>
        <w:t>一、绩效目标分解下达情况</w:t>
      </w:r>
    </w:p>
    <w:p>
      <w:pPr>
        <w:ind w:firstLine="640" w:firstLineChars="200"/>
        <w:rPr>
          <w:rFonts w:ascii="楷体_GB2312" w:hAnsi="楷体" w:eastAsia="楷体_GB2312"/>
          <w:sz w:val="32"/>
          <w:szCs w:val="32"/>
        </w:rPr>
      </w:pPr>
      <w:r>
        <w:rPr>
          <w:rFonts w:hint="eastAsia" w:ascii="楷体_GB2312" w:hAnsi="楷体" w:eastAsia="楷体_GB2312"/>
          <w:sz w:val="32"/>
          <w:szCs w:val="32"/>
        </w:rPr>
        <w:t>（一）中央下达专项转移支付预算和绩效目标情况</w:t>
      </w:r>
    </w:p>
    <w:p>
      <w:pPr>
        <w:adjustRightInd w:val="0"/>
        <w:snapToGrid w:val="0"/>
        <w:spacing w:line="560" w:lineRule="exact"/>
        <w:ind w:firstLine="720"/>
        <w:rPr>
          <w:rFonts w:ascii="仿宋_GB2312" w:hAnsi="仿宋" w:eastAsia="仿宋_GB2312"/>
          <w:sz w:val="32"/>
          <w:szCs w:val="32"/>
        </w:rPr>
      </w:pPr>
      <w:r>
        <w:rPr>
          <w:rFonts w:hint="eastAsia" w:ascii="仿宋_GB2312" w:hAnsi="仿宋" w:eastAsia="仿宋_GB2312"/>
          <w:sz w:val="32"/>
          <w:szCs w:val="32"/>
        </w:rPr>
        <w:t>2019年度国家文物保护专项资金下达四川省预算数为985万元，以财文</w:t>
      </w:r>
      <w:r>
        <w:rPr>
          <w:rFonts w:hint="eastAsia" w:ascii="仿宋_GB2312" w:hAnsi="宋体" w:eastAsia="仿宋_GB2312" w:cs="仿宋_GB2312"/>
          <w:sz w:val="32"/>
          <w:szCs w:val="32"/>
          <w:shd w:val="clear" w:color="auto" w:fill="FFFFFF"/>
          <w:lang w:val="zh-CN"/>
        </w:rPr>
        <w:t>2019年国家文物保护专项资金</w:t>
      </w:r>
      <w:r>
        <w:rPr>
          <w:rFonts w:hint="eastAsia" w:ascii="仿宋_GB2312" w:hAnsi="宋体" w:eastAsia="仿宋_GB2312" w:cs="仿宋_GB2312"/>
          <w:sz w:val="32"/>
          <w:szCs w:val="32"/>
          <w:shd w:val="clear" w:color="auto" w:fill="FFFFFF"/>
        </w:rPr>
        <w:t>985万元(阿州财教〔2019〕58号。</w:t>
      </w:r>
      <w:r>
        <w:rPr>
          <w:rFonts w:hint="eastAsia" w:ascii="仿宋_GB2312" w:hAnsi="仿宋" w:eastAsia="仿宋_GB2312"/>
          <w:sz w:val="32"/>
          <w:szCs w:val="32"/>
        </w:rPr>
        <w:t>年度总体绩效目标：加强文物保护利用，提升文物安全水平，传承中华优秀传统文化，促进文物事业与经济社会和谐发展。</w:t>
      </w:r>
      <w:r>
        <w:rPr>
          <w:rFonts w:hint="eastAsia" w:ascii="仿宋_GB2312" w:hAnsi="宋体" w:eastAsia="仿宋_GB2312" w:cs="仿宋_GB2312"/>
          <w:sz w:val="32"/>
          <w:szCs w:val="32"/>
          <w:shd w:val="clear" w:color="auto" w:fill="FFFFFF"/>
        </w:rPr>
        <w:t>阿坝州红军长征遗迹亚口夏红军烈士墓修缮项目</w:t>
      </w:r>
      <w:r>
        <w:rPr>
          <w:rFonts w:hint="eastAsia" w:ascii="仿宋_GB2312" w:eastAsia="仿宋_GB2312"/>
          <w:bCs/>
          <w:sz w:val="32"/>
          <w:szCs w:val="32"/>
        </w:rPr>
        <w:t>开展国家重点文物修缮维护工作。</w:t>
      </w:r>
      <w:r>
        <w:rPr>
          <w:rFonts w:hint="eastAsia" w:ascii="仿宋_GB2312" w:hAnsi="仿宋" w:eastAsia="仿宋_GB2312" w:cs="仿宋"/>
          <w:kern w:val="10"/>
          <w:position w:val="-2"/>
          <w:sz w:val="32"/>
          <w:szCs w:val="32"/>
        </w:rPr>
        <w:t>结合红原全域旅游整体布局规划，为突出红原地方特色和红色历史文化优势，以文化特色促进旅游产业跨越发展</w:t>
      </w:r>
      <w:r>
        <w:rPr>
          <w:rFonts w:hint="eastAsia" w:ascii="仿宋_GB2312" w:eastAsia="仿宋_GB2312"/>
          <w:bCs/>
          <w:sz w:val="32"/>
          <w:szCs w:val="32"/>
        </w:rPr>
        <w:t>。群众满意度达到95%。</w:t>
      </w:r>
    </w:p>
    <w:p>
      <w:pPr>
        <w:ind w:firstLine="640" w:firstLineChars="200"/>
        <w:rPr>
          <w:rFonts w:ascii="黑体" w:hAnsi="黑体" w:eastAsia="黑体"/>
          <w:sz w:val="32"/>
          <w:szCs w:val="32"/>
        </w:rPr>
      </w:pPr>
      <w:r>
        <w:rPr>
          <w:rFonts w:hint="eastAsia" w:ascii="黑体" w:hAnsi="黑体" w:eastAsia="黑体"/>
          <w:sz w:val="32"/>
          <w:szCs w:val="32"/>
        </w:rPr>
        <w:t>二、绩效目标完成情况分析</w:t>
      </w:r>
    </w:p>
    <w:p>
      <w:pPr>
        <w:ind w:firstLine="640" w:firstLineChars="200"/>
        <w:rPr>
          <w:rFonts w:ascii="楷体_GB2312" w:hAnsi="仿宋" w:eastAsia="楷体_GB2312"/>
          <w:sz w:val="32"/>
          <w:szCs w:val="32"/>
        </w:rPr>
      </w:pPr>
      <w:r>
        <w:rPr>
          <w:rFonts w:hint="eastAsia" w:ascii="楷体_GB2312" w:hAnsi="楷体" w:eastAsia="楷体_GB2312"/>
          <w:sz w:val="32"/>
          <w:szCs w:val="32"/>
        </w:rPr>
        <w:t>（一）资金投入分析</w:t>
      </w:r>
    </w:p>
    <w:p>
      <w:pPr>
        <w:ind w:firstLine="640" w:firstLineChars="200"/>
        <w:rPr>
          <w:rFonts w:ascii="仿宋_GB2312" w:hAnsi="仿宋" w:eastAsia="仿宋_GB2312"/>
          <w:sz w:val="32"/>
          <w:szCs w:val="32"/>
        </w:rPr>
      </w:pPr>
      <w:r>
        <w:rPr>
          <w:rFonts w:hint="eastAsia" w:ascii="仿宋_GB2312" w:hAnsi="仿宋" w:eastAsia="仿宋_GB2312"/>
          <w:sz w:val="32"/>
          <w:szCs w:val="32"/>
        </w:rPr>
        <w:t>1.项目资金到位情况分析。2019年度国家文物保护专项资金985万元（</w:t>
      </w:r>
      <w:r>
        <w:rPr>
          <w:rFonts w:hint="eastAsia" w:ascii="仿宋_GB2312" w:hAnsi="宋体" w:eastAsia="仿宋_GB2312" w:cs="仿宋_GB2312"/>
          <w:sz w:val="32"/>
          <w:szCs w:val="32"/>
          <w:shd w:val="clear" w:color="auto" w:fill="FFFFFF"/>
        </w:rPr>
        <w:t>阿州财教〔2019〕58号）已到位。</w:t>
      </w:r>
    </w:p>
    <w:p>
      <w:pPr>
        <w:ind w:firstLine="640" w:firstLineChars="200"/>
        <w:rPr>
          <w:rFonts w:ascii="仿宋_GB2312" w:hAnsi="仿宋" w:eastAsia="仿宋_GB2312"/>
          <w:sz w:val="32"/>
          <w:szCs w:val="32"/>
        </w:rPr>
      </w:pPr>
      <w:r>
        <w:rPr>
          <w:rFonts w:hint="eastAsia" w:ascii="仿宋_GB2312" w:hAnsi="仿宋" w:eastAsia="仿宋_GB2312"/>
          <w:sz w:val="32"/>
          <w:szCs w:val="32"/>
        </w:rPr>
        <w:t>2.项目资金执行情况分析。截至评价时点，</w:t>
      </w:r>
      <w:r>
        <w:rPr>
          <w:rFonts w:hint="eastAsia" w:ascii="仿宋_GB2312" w:hAnsi="宋体" w:eastAsia="仿宋_GB2312" w:cs="仿宋_GB2312"/>
          <w:sz w:val="32"/>
          <w:szCs w:val="32"/>
          <w:shd w:val="clear" w:color="auto" w:fill="FFFFFF"/>
        </w:rPr>
        <w:t>项目资金下达985万，其中合同价为777.3953万元。截至2020年5月21日，共拨付资金445万元（含前期费用），项目资金拨付率达58%。</w:t>
      </w:r>
    </w:p>
    <w:p>
      <w:pPr>
        <w:ind w:firstLine="640" w:firstLineChars="200"/>
        <w:rPr>
          <w:rFonts w:ascii="仿宋_GB2312" w:hAnsi="仿宋" w:eastAsia="仿宋_GB2312"/>
          <w:sz w:val="32"/>
          <w:szCs w:val="32"/>
        </w:rPr>
      </w:pPr>
      <w:r>
        <w:rPr>
          <w:rFonts w:hint="eastAsia" w:ascii="仿宋_GB2312" w:hAnsi="仿宋" w:eastAsia="仿宋_GB2312"/>
          <w:sz w:val="32"/>
          <w:szCs w:val="32"/>
        </w:rPr>
        <w:t>3.项目资金管理情况分析。2019年度国家文物保护专项资金按工程进度拨付，资金使用坚持专款专用，资金支付依据、开支标准合规合法；财务管理上制度健全，会计核算规范；</w:t>
      </w:r>
    </w:p>
    <w:p>
      <w:pPr>
        <w:ind w:firstLine="640" w:firstLineChars="200"/>
        <w:rPr>
          <w:rFonts w:ascii="楷体_GB2312" w:hAnsi="楷体" w:eastAsia="楷体_GB2312"/>
          <w:sz w:val="32"/>
          <w:szCs w:val="32"/>
        </w:rPr>
      </w:pPr>
      <w:r>
        <w:rPr>
          <w:rFonts w:hint="eastAsia" w:ascii="楷体_GB2312" w:hAnsi="楷体" w:eastAsia="楷体_GB2312"/>
          <w:sz w:val="32"/>
          <w:szCs w:val="32"/>
        </w:rPr>
        <w:t>（二）绩效目标完成情况分析</w:t>
      </w:r>
    </w:p>
    <w:p>
      <w:pPr>
        <w:ind w:firstLine="640" w:firstLineChars="200"/>
        <w:rPr>
          <w:rFonts w:ascii="仿宋_GB2312" w:hAnsi="仿宋" w:eastAsia="仿宋_GB2312"/>
          <w:sz w:val="32"/>
          <w:szCs w:val="32"/>
        </w:rPr>
      </w:pPr>
      <w:r>
        <w:rPr>
          <w:rFonts w:hint="eastAsia" w:ascii="仿宋_GB2312" w:hAnsi="仿宋" w:eastAsia="仿宋_GB2312"/>
          <w:sz w:val="32"/>
          <w:szCs w:val="32"/>
        </w:rPr>
        <w:t>1.产出指标完成情况分析。截至评价时点，项目正按预订工作计划进度有序推进，项目实施中严格遵守文物保护相关规定和原则，工程质量符合相关文物保护标准，无文物安全事故、文物损毁等现象发生，基本达成预期指标。</w:t>
      </w:r>
    </w:p>
    <w:p>
      <w:pPr>
        <w:ind w:firstLine="640" w:firstLineChars="200"/>
        <w:rPr>
          <w:rFonts w:ascii="仿宋_GB2312" w:hAnsi="仿宋" w:eastAsia="仿宋_GB2312"/>
          <w:sz w:val="32"/>
          <w:szCs w:val="32"/>
        </w:rPr>
      </w:pPr>
      <w:r>
        <w:rPr>
          <w:rFonts w:hint="eastAsia" w:ascii="仿宋_GB2312" w:hAnsi="仿宋" w:eastAsia="仿宋_GB2312"/>
          <w:sz w:val="32"/>
          <w:szCs w:val="32"/>
        </w:rPr>
        <w:t>2.效益指标完成情况分析。通过一批文物维修保护工程的实施，在有效保护文物本体、改善生存环境、提高安全防范能力的同时，也提高了文物展示利用水平，许多文物保护单位在推动地方旅游经济社会发展、助力民族地区贫困地区脱贫攻坚中发挥了重要作用。</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rPr>
        <w:t>（1）项目实施的经济效益分析。</w:t>
      </w:r>
    </w:p>
    <w:p>
      <w:pPr>
        <w:ind w:firstLine="640" w:firstLineChars="200"/>
        <w:jc w:val="left"/>
        <w:rPr>
          <w:rFonts w:ascii="仿宋_GB2312" w:hAnsi="仿宋" w:eastAsia="仿宋_GB2312"/>
          <w:sz w:val="32"/>
          <w:szCs w:val="32"/>
        </w:rPr>
      </w:pPr>
      <w:r>
        <w:rPr>
          <w:rFonts w:hint="eastAsia" w:ascii="仿宋_GB2312" w:hAnsi="宋体" w:eastAsia="仿宋_GB2312" w:cs="仿宋_GB2312"/>
          <w:sz w:val="32"/>
          <w:szCs w:val="32"/>
          <w:shd w:val="clear" w:color="auto" w:fill="FFFFFF"/>
        </w:rPr>
        <w:t>项目是文化教育基础性工程，项目实施不以盈利为目的，其经济效益主要是通过社会效益和生态效益体现，项目建成可带动红原全域旅游发展，辐射刷经寺镇周边区域区域旅游经济增长。</w:t>
      </w:r>
      <w:r>
        <w:rPr>
          <w:rFonts w:hint="eastAsia" w:ascii="仿宋_GB2312" w:hAnsi="仿宋" w:eastAsia="仿宋_GB2312"/>
          <w:sz w:val="32"/>
          <w:szCs w:val="32"/>
        </w:rPr>
        <w:t>激活了属地的餐饮、商贸、交通等多种行业的发展，带动了消费，拉动了经济增长，有力地促进当地经济和社会的协调发展。</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rPr>
        <w:t>（2）项目实施的社会效益分析。</w:t>
      </w:r>
    </w:p>
    <w:p>
      <w:pPr>
        <w:ind w:firstLine="640" w:firstLineChars="200"/>
        <w:jc w:val="left"/>
        <w:rPr>
          <w:rFonts w:ascii="仿宋_GB2312" w:hAnsi="宋体" w:eastAsia="仿宋_GB2312" w:cs="仿宋_GB2312"/>
          <w:sz w:val="32"/>
          <w:szCs w:val="32"/>
          <w:shd w:val="clear" w:color="auto" w:fill="FFFFFF"/>
        </w:rPr>
      </w:pPr>
      <w:r>
        <w:rPr>
          <w:rFonts w:hint="eastAsia" w:ascii="仿宋_GB2312" w:hAnsi="宋体" w:eastAsia="仿宋_GB2312" w:cs="仿宋_GB2312"/>
          <w:sz w:val="32"/>
          <w:szCs w:val="32"/>
          <w:shd w:val="clear" w:color="auto" w:fill="FFFFFF"/>
        </w:rPr>
        <w:t>经严格查证，所列12具遗骨为红二、四方面军建制班牺牲的战士，现烈士墓文物本体上刻有“工农红军烈士墓”，有效保护与传承红色历史文化，是重要的爱国主义教育基地，对促进民族团结，维护社会稳定，发扬光荣传统具有重要的积极作用，项目建设有十分重要的教育意义和纪念意义。</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rPr>
        <w:t>（3）项目实施的生态效益分析。</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rPr>
        <w:t>通过项目建设，在阿坝红军长征遗迹亚口夏红军烈士墓保护区内采取有效措施严格管理和控制项目建设区内的人为活动，保护和恢复生物多样性，将显著提升项目建设区的生态承载力及综合生态效益。</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rPr>
        <w:t>（4）项目实施的可持续影响分析。</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文物不可再生不可替代，各项目对文物本体、原生环境的保护以及有效保护前提下对文物资源的合理利用，对实现文物的经济价值和社会价值，推动和促进文物保护，</w:t>
      </w:r>
      <w:r>
        <w:rPr>
          <w:rFonts w:hint="eastAsia" w:ascii="仿宋_GB2312" w:hAnsi="宋体" w:eastAsia="仿宋_GB2312" w:cs="仿宋_GB2312"/>
          <w:sz w:val="32"/>
          <w:szCs w:val="32"/>
          <w:shd w:val="clear" w:color="auto" w:fill="FFFFFF"/>
        </w:rPr>
        <w:t>促进当地红色旅游的发展，在保护管理好革命历史文化遗产和提升项目区的生态承载力同时带动当地经济的可持续发展。</w:t>
      </w:r>
    </w:p>
    <w:p>
      <w:pPr>
        <w:ind w:firstLine="640" w:firstLineChars="200"/>
        <w:rPr>
          <w:rFonts w:ascii="仿宋_GB2312" w:hAnsi="仿宋" w:eastAsia="仿宋_GB2312"/>
          <w:sz w:val="32"/>
          <w:szCs w:val="32"/>
        </w:rPr>
      </w:pPr>
      <w:r>
        <w:rPr>
          <w:rFonts w:hint="eastAsia" w:ascii="仿宋_GB2312" w:hAnsi="仿宋" w:eastAsia="仿宋_GB2312"/>
          <w:sz w:val="32"/>
          <w:szCs w:val="32"/>
        </w:rPr>
        <w:t>3.满意度指标完成情况分析。通过文物维修保护工程项目的实施，文物保护单位更好地对公众实现开放的同时，更好地满足了广大人民群众的基本文化权益和对美好生活的向往，服务对象满意度达到预期指标。</w:t>
      </w:r>
    </w:p>
    <w:p>
      <w:pPr>
        <w:ind w:firstLine="640" w:firstLineChars="200"/>
        <w:rPr>
          <w:rFonts w:ascii="黑体" w:hAnsi="黑体" w:eastAsia="黑体"/>
          <w:sz w:val="32"/>
          <w:szCs w:val="32"/>
        </w:rPr>
      </w:pPr>
      <w:r>
        <w:rPr>
          <w:rFonts w:hint="eastAsia" w:ascii="黑体" w:hAnsi="黑体" w:eastAsia="黑体"/>
          <w:sz w:val="32"/>
          <w:szCs w:val="32"/>
        </w:rPr>
        <w:t>三、偏离绩效目标的原因和下一步改进措施</w:t>
      </w:r>
    </w:p>
    <w:p>
      <w:pPr>
        <w:ind w:firstLine="640" w:firstLineChars="200"/>
        <w:rPr>
          <w:rFonts w:ascii="仿宋_GB2312" w:hAnsi="仿宋" w:eastAsia="仿宋_GB2312"/>
          <w:sz w:val="32"/>
          <w:szCs w:val="32"/>
        </w:rPr>
      </w:pPr>
      <w:r>
        <w:rPr>
          <w:rFonts w:hint="eastAsia" w:ascii="楷体_GB2312" w:hAnsi="楷体" w:eastAsia="楷体_GB2312"/>
          <w:sz w:val="32"/>
          <w:szCs w:val="32"/>
        </w:rPr>
        <w:t>（一）主要原因。</w:t>
      </w:r>
      <w:r>
        <w:rPr>
          <w:rFonts w:hint="eastAsia" w:ascii="仿宋_GB2312" w:hAnsi="仿宋" w:eastAsia="仿宋_GB2312"/>
          <w:sz w:val="32"/>
          <w:szCs w:val="32"/>
        </w:rPr>
        <w:t>一是由于受红原县特殊高海拔气候因素影响，项目实施地点位于红原县境内海拔高点，气候复杂多变，施工条件恶劣，可施工期极其短促。致使项目进展较为缓慢。二是由于文物展示利用手段方式依然较为单一，致使部分项目实施后社会效益未充分发挥，群众获得感不够充分。</w:t>
      </w:r>
    </w:p>
    <w:p>
      <w:pPr>
        <w:spacing w:line="600" w:lineRule="exact"/>
        <w:ind w:firstLine="640" w:firstLineChars="200"/>
        <w:rPr>
          <w:rFonts w:ascii="仿宋_GB2312" w:hAnsi="仿宋" w:eastAsia="仿宋_GB2312"/>
          <w:sz w:val="32"/>
          <w:szCs w:val="32"/>
        </w:rPr>
      </w:pPr>
      <w:r>
        <w:rPr>
          <w:rFonts w:hint="eastAsia" w:ascii="楷体_GB2312" w:hAnsi="楷体" w:eastAsia="楷体_GB2312"/>
          <w:sz w:val="32"/>
          <w:szCs w:val="32"/>
        </w:rPr>
        <w:t>（二）改进措施</w:t>
      </w:r>
      <w:r>
        <w:rPr>
          <w:rFonts w:hint="eastAsia" w:ascii="仿宋_GB2312" w:hAnsi="仿宋" w:eastAsia="仿宋_GB2312"/>
          <w:sz w:val="32"/>
          <w:szCs w:val="32"/>
        </w:rPr>
        <w:t>。一是积极敦促施工单位加快施工进度，加强与相关部门的沟通协作，加快推动项目实施和资金拨付进度，严格按照倒排工期。顺排工序及倒排制。</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四、绩效自评结果拟应用和公开情况</w:t>
      </w:r>
    </w:p>
    <w:p>
      <w:pPr>
        <w:widowControl/>
        <w:spacing w:line="570" w:lineRule="exact"/>
        <w:jc w:val="left"/>
        <w:rPr>
          <w:rStyle w:val="26"/>
          <w:rFonts w:ascii="仿宋_GB2312" w:hAnsi="黑体" w:eastAsia="仿宋_GB2312"/>
          <w:b w:val="0"/>
        </w:rPr>
      </w:pPr>
      <w:r>
        <w:rPr>
          <w:rFonts w:hint="eastAsia" w:ascii="仿宋_GB2312" w:hAnsi="仿宋" w:eastAsia="仿宋_GB2312"/>
          <w:sz w:val="32"/>
          <w:szCs w:val="32"/>
        </w:rPr>
        <w:t>2019年度国家文物保护专项资金985万元（</w:t>
      </w:r>
      <w:r>
        <w:rPr>
          <w:rFonts w:hint="eastAsia" w:ascii="仿宋_GB2312" w:hAnsi="宋体" w:eastAsia="仿宋_GB2312" w:cs="仿宋_GB2312"/>
          <w:sz w:val="32"/>
          <w:szCs w:val="32"/>
          <w:shd w:val="clear" w:color="auto" w:fill="FFFFFF"/>
        </w:rPr>
        <w:t>阿州财教〔2019〕58号）</w:t>
      </w:r>
      <w:r>
        <w:rPr>
          <w:rFonts w:hint="eastAsia" w:ascii="仿宋_GB2312" w:hAnsi="仿宋" w:eastAsia="仿宋_GB2312"/>
          <w:sz w:val="32"/>
          <w:szCs w:val="32"/>
        </w:rPr>
        <w:t>项目绩效目标制定较为合理，资金管理比较到位，各项目按计划有序推进，基本达到预期指标，社会效益、群众满意度等较为显著。资金的管理和使用都严格执行了有关法律法规和财务规章制度，专项资金补助范围和支出内容符合相关规定，专项资金支出与已批复方案及预算相符。同时，项目实施过程认真履行了政府项目招投标程序，执行了财务和资产管理相关规定。绩效自评结果将按照相关规定在一定范围内以适当方式予以公</w:t>
      </w: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widowControl/>
        <w:spacing w:line="570" w:lineRule="exact"/>
        <w:jc w:val="left"/>
        <w:rPr>
          <w:rStyle w:val="26"/>
          <w:rFonts w:ascii="仿宋_GB2312" w:hAnsi="黑体" w:eastAsia="仿宋_GB2312"/>
          <w:b w:val="0"/>
        </w:rPr>
      </w:pPr>
    </w:p>
    <w:p>
      <w:pPr>
        <w:spacing w:line="570" w:lineRule="exact"/>
        <w:jc w:val="center"/>
        <w:outlineLvl w:val="0"/>
        <w:rPr>
          <w:rStyle w:val="26"/>
          <w:rFonts w:ascii="仿宋_GB2312" w:hAnsi="黑体" w:eastAsia="仿宋_GB2312"/>
          <w:b w:val="0"/>
        </w:rPr>
      </w:pPr>
    </w:p>
    <w:p>
      <w:pPr>
        <w:spacing w:line="570" w:lineRule="exact"/>
        <w:jc w:val="center"/>
        <w:outlineLvl w:val="0"/>
        <w:rPr>
          <w:rFonts w:ascii="仿宋_GB2312" w:hAnsi="黑体" w:eastAsia="仿宋_GB2312"/>
          <w:bCs/>
          <w:kern w:val="44"/>
          <w:sz w:val="44"/>
          <w:szCs w:val="44"/>
        </w:rPr>
      </w:pPr>
      <w:bookmarkStart w:id="52" w:name="_Toc15396618"/>
      <w:r>
        <w:rPr>
          <w:rFonts w:hint="eastAsia" w:ascii="仿宋_GB2312" w:hAnsi="黑体" w:eastAsia="仿宋_GB2312"/>
          <w:color w:val="000000"/>
          <w:sz w:val="44"/>
          <w:szCs w:val="44"/>
        </w:rPr>
        <w:t>第</w:t>
      </w:r>
      <w:r>
        <w:rPr>
          <w:rStyle w:val="26"/>
          <w:rFonts w:hint="eastAsia" w:ascii="仿宋_GB2312" w:hAnsi="黑体" w:eastAsia="仿宋_GB2312"/>
          <w:b w:val="0"/>
        </w:rPr>
        <w:t>五部分 附表</w:t>
      </w:r>
      <w:bookmarkEnd w:id="51"/>
      <w:bookmarkEnd w:id="52"/>
    </w:p>
    <w:p>
      <w:pPr>
        <w:pStyle w:val="3"/>
        <w:spacing w:after="0" w:line="570" w:lineRule="exact"/>
        <w:rPr>
          <w:rFonts w:ascii="仿宋_GB2312" w:hAnsi="仿宋" w:eastAsia="仿宋_GB2312"/>
          <w:color w:val="000000"/>
        </w:rPr>
      </w:pPr>
      <w:bookmarkStart w:id="53" w:name="_Toc15396619"/>
      <w:r>
        <w:rPr>
          <w:rFonts w:hint="eastAsia" w:ascii="仿宋_GB2312" w:hAnsi="仿宋" w:eastAsia="仿宋_GB2312"/>
          <w:b w:val="0"/>
          <w:color w:val="000000"/>
        </w:rPr>
        <w:t>一、收</w:t>
      </w:r>
      <w:r>
        <w:rPr>
          <w:rStyle w:val="27"/>
          <w:rFonts w:hint="eastAsia" w:ascii="仿宋_GB2312" w:hAnsi="仿宋" w:eastAsia="仿宋_GB2312"/>
          <w:b w:val="0"/>
          <w:bCs w:val="0"/>
        </w:rPr>
        <w:t>入支出决算总表</w:t>
      </w:r>
      <w:bookmarkEnd w:id="53"/>
    </w:p>
    <w:p>
      <w:pPr>
        <w:pStyle w:val="3"/>
        <w:spacing w:after="0" w:line="570" w:lineRule="exact"/>
        <w:rPr>
          <w:rFonts w:ascii="仿宋_GB2312" w:hAnsi="仿宋" w:eastAsia="仿宋_GB2312"/>
          <w:color w:val="000000"/>
        </w:rPr>
      </w:pPr>
      <w:bookmarkStart w:id="54" w:name="_Toc15396620"/>
      <w:r>
        <w:rPr>
          <w:rFonts w:hint="eastAsia" w:ascii="仿宋_GB2312" w:hAnsi="仿宋" w:eastAsia="仿宋_GB2312"/>
          <w:b w:val="0"/>
          <w:color w:val="000000"/>
        </w:rPr>
        <w:t>二、收</w:t>
      </w:r>
      <w:r>
        <w:rPr>
          <w:rStyle w:val="27"/>
          <w:rFonts w:hint="eastAsia" w:ascii="仿宋_GB2312" w:hAnsi="仿宋" w:eastAsia="仿宋_GB2312"/>
          <w:b w:val="0"/>
          <w:bCs w:val="0"/>
        </w:rPr>
        <w:t>入决算表</w:t>
      </w:r>
      <w:bookmarkEnd w:id="54"/>
    </w:p>
    <w:p>
      <w:pPr>
        <w:pStyle w:val="3"/>
        <w:spacing w:after="0" w:line="570" w:lineRule="exact"/>
        <w:rPr>
          <w:rFonts w:ascii="仿宋_GB2312" w:hAnsi="仿宋" w:eastAsia="仿宋_GB2312"/>
          <w:color w:val="000000"/>
        </w:rPr>
      </w:pPr>
      <w:bookmarkStart w:id="55" w:name="_Toc15396621"/>
      <w:r>
        <w:rPr>
          <w:rStyle w:val="27"/>
          <w:rFonts w:hint="eastAsia" w:ascii="仿宋_GB2312" w:hAnsi="仿宋" w:eastAsia="仿宋_GB2312"/>
          <w:b w:val="0"/>
          <w:bCs w:val="0"/>
        </w:rPr>
        <w:t>三、</w:t>
      </w:r>
      <w:r>
        <w:rPr>
          <w:rFonts w:hint="eastAsia" w:ascii="仿宋_GB2312" w:hAnsi="仿宋" w:eastAsia="仿宋_GB2312"/>
          <w:b w:val="0"/>
          <w:color w:val="000000"/>
        </w:rPr>
        <w:t>支</w:t>
      </w:r>
      <w:r>
        <w:rPr>
          <w:rStyle w:val="27"/>
          <w:rFonts w:hint="eastAsia" w:ascii="仿宋_GB2312" w:hAnsi="仿宋" w:eastAsia="仿宋_GB2312"/>
          <w:b w:val="0"/>
          <w:bCs w:val="0"/>
        </w:rPr>
        <w:t>出决算表</w:t>
      </w:r>
      <w:bookmarkEnd w:id="55"/>
    </w:p>
    <w:p>
      <w:pPr>
        <w:pStyle w:val="3"/>
        <w:spacing w:after="0" w:line="570" w:lineRule="exact"/>
        <w:rPr>
          <w:rFonts w:ascii="仿宋_GB2312" w:hAnsi="仿宋" w:eastAsia="仿宋_GB2312"/>
          <w:b w:val="0"/>
          <w:color w:val="000000"/>
        </w:rPr>
      </w:pPr>
      <w:bookmarkStart w:id="56" w:name="_Toc15396622"/>
      <w:r>
        <w:rPr>
          <w:rStyle w:val="27"/>
          <w:rFonts w:hint="eastAsia" w:ascii="仿宋_GB2312" w:hAnsi="仿宋" w:eastAsia="仿宋_GB2312"/>
          <w:b w:val="0"/>
          <w:bCs w:val="0"/>
        </w:rPr>
        <w:t>四、</w:t>
      </w:r>
      <w:r>
        <w:rPr>
          <w:rFonts w:hint="eastAsia" w:ascii="仿宋_GB2312" w:hAnsi="仿宋" w:eastAsia="仿宋_GB2312"/>
          <w:b w:val="0"/>
          <w:color w:val="000000"/>
        </w:rPr>
        <w:t>财</w:t>
      </w:r>
      <w:r>
        <w:rPr>
          <w:rStyle w:val="27"/>
          <w:rFonts w:hint="eastAsia" w:ascii="仿宋_GB2312" w:hAnsi="仿宋" w:eastAsia="仿宋_GB2312"/>
          <w:b w:val="0"/>
          <w:bCs w:val="0"/>
        </w:rPr>
        <w:t>政拨款收入支出决算总表</w:t>
      </w:r>
      <w:bookmarkEnd w:id="56"/>
    </w:p>
    <w:p>
      <w:pPr>
        <w:pStyle w:val="3"/>
        <w:spacing w:after="0" w:line="570" w:lineRule="exact"/>
        <w:rPr>
          <w:rStyle w:val="27"/>
          <w:rFonts w:ascii="仿宋_GB2312" w:hAnsi="仿宋" w:eastAsia="仿宋_GB2312"/>
          <w:b w:val="0"/>
          <w:bCs w:val="0"/>
        </w:rPr>
      </w:pPr>
      <w:bookmarkStart w:id="57" w:name="_Toc15396623"/>
      <w:r>
        <w:rPr>
          <w:rStyle w:val="27"/>
          <w:rFonts w:hint="eastAsia" w:ascii="仿宋_GB2312" w:hAnsi="仿宋" w:eastAsia="仿宋_GB2312"/>
          <w:b w:val="0"/>
          <w:bCs w:val="0"/>
        </w:rPr>
        <w:t>五、</w:t>
      </w:r>
      <w:r>
        <w:rPr>
          <w:rFonts w:hint="eastAsia" w:ascii="仿宋_GB2312" w:hAnsi="仿宋" w:eastAsia="仿宋_GB2312"/>
          <w:b w:val="0"/>
          <w:color w:val="000000"/>
        </w:rPr>
        <w:t>财</w:t>
      </w:r>
      <w:r>
        <w:rPr>
          <w:rStyle w:val="27"/>
          <w:rFonts w:hint="eastAsia" w:ascii="仿宋_GB2312" w:hAnsi="仿宋" w:eastAsia="仿宋_GB2312"/>
          <w:b w:val="0"/>
          <w:bCs w:val="0"/>
        </w:rPr>
        <w:t>政拨款支出决算明细表</w:t>
      </w:r>
      <w:bookmarkEnd w:id="57"/>
      <w:bookmarkStart w:id="58" w:name="_Toc15396624"/>
    </w:p>
    <w:p>
      <w:pPr>
        <w:pStyle w:val="3"/>
        <w:spacing w:after="0" w:line="570" w:lineRule="exact"/>
        <w:rPr>
          <w:rFonts w:ascii="仿宋_GB2312" w:hAnsi="仿宋" w:eastAsia="仿宋_GB2312"/>
          <w:color w:val="000000"/>
        </w:rPr>
      </w:pPr>
      <w:r>
        <w:rPr>
          <w:rStyle w:val="27"/>
          <w:rFonts w:hint="eastAsia" w:ascii="仿宋_GB2312" w:hAnsi="仿宋" w:eastAsia="仿宋_GB2312"/>
          <w:b w:val="0"/>
          <w:bCs w:val="0"/>
        </w:rPr>
        <w:t>六、</w:t>
      </w:r>
      <w:r>
        <w:rPr>
          <w:rFonts w:hint="eastAsia" w:ascii="仿宋_GB2312" w:hAnsi="仿宋" w:eastAsia="仿宋_GB2312"/>
          <w:b w:val="0"/>
          <w:color w:val="000000"/>
        </w:rPr>
        <w:t>一</w:t>
      </w:r>
      <w:r>
        <w:rPr>
          <w:rStyle w:val="27"/>
          <w:rFonts w:hint="eastAsia" w:ascii="仿宋_GB2312" w:hAnsi="仿宋" w:eastAsia="仿宋_GB2312"/>
          <w:b w:val="0"/>
          <w:bCs w:val="0"/>
        </w:rPr>
        <w:t>般公共预算财政拨款支出决算表</w:t>
      </w:r>
      <w:bookmarkEnd w:id="58"/>
    </w:p>
    <w:p>
      <w:pPr>
        <w:pStyle w:val="3"/>
        <w:spacing w:after="0" w:line="570" w:lineRule="exact"/>
        <w:rPr>
          <w:rFonts w:ascii="仿宋_GB2312" w:hAnsi="仿宋" w:eastAsia="仿宋_GB2312"/>
          <w:color w:val="000000"/>
        </w:rPr>
      </w:pPr>
      <w:bookmarkStart w:id="59" w:name="_Toc15396625"/>
      <w:r>
        <w:rPr>
          <w:rStyle w:val="27"/>
          <w:rFonts w:hint="eastAsia" w:ascii="仿宋_GB2312" w:hAnsi="仿宋" w:eastAsia="仿宋_GB2312"/>
          <w:b w:val="0"/>
          <w:bCs w:val="0"/>
        </w:rPr>
        <w:t>七、</w:t>
      </w:r>
      <w:r>
        <w:rPr>
          <w:rFonts w:hint="eastAsia" w:ascii="仿宋_GB2312" w:hAnsi="仿宋" w:eastAsia="仿宋_GB2312"/>
          <w:b w:val="0"/>
          <w:color w:val="000000"/>
        </w:rPr>
        <w:t>一</w:t>
      </w:r>
      <w:r>
        <w:rPr>
          <w:rStyle w:val="27"/>
          <w:rFonts w:hint="eastAsia" w:ascii="仿宋_GB2312" w:hAnsi="仿宋" w:eastAsia="仿宋_GB2312"/>
          <w:b w:val="0"/>
          <w:bCs w:val="0"/>
        </w:rPr>
        <w:t>般公共预算财政拨款支出决算明细表</w:t>
      </w:r>
      <w:bookmarkEnd w:id="59"/>
    </w:p>
    <w:p>
      <w:pPr>
        <w:pStyle w:val="3"/>
        <w:spacing w:after="0" w:line="570" w:lineRule="exact"/>
        <w:rPr>
          <w:rFonts w:ascii="仿宋_GB2312" w:hAnsi="仿宋" w:eastAsia="仿宋_GB2312"/>
          <w:color w:val="000000"/>
        </w:rPr>
      </w:pPr>
      <w:bookmarkStart w:id="60" w:name="_Toc15396626"/>
      <w:r>
        <w:rPr>
          <w:rStyle w:val="27"/>
          <w:rFonts w:hint="eastAsia" w:ascii="仿宋_GB2312" w:hAnsi="仿宋" w:eastAsia="仿宋_GB2312"/>
          <w:b w:val="0"/>
          <w:bCs w:val="0"/>
        </w:rPr>
        <w:t>八、</w:t>
      </w:r>
      <w:r>
        <w:rPr>
          <w:rFonts w:hint="eastAsia" w:ascii="仿宋_GB2312" w:hAnsi="仿宋" w:eastAsia="仿宋_GB2312"/>
          <w:b w:val="0"/>
          <w:color w:val="000000"/>
        </w:rPr>
        <w:t>一</w:t>
      </w:r>
      <w:r>
        <w:rPr>
          <w:rStyle w:val="27"/>
          <w:rFonts w:hint="eastAsia" w:ascii="仿宋_GB2312" w:hAnsi="仿宋" w:eastAsia="仿宋_GB2312"/>
          <w:b w:val="0"/>
          <w:bCs w:val="0"/>
        </w:rPr>
        <w:t>般公共预算财政拨款基本支出决算表</w:t>
      </w:r>
      <w:bookmarkEnd w:id="60"/>
    </w:p>
    <w:p>
      <w:pPr>
        <w:pStyle w:val="3"/>
        <w:spacing w:after="0" w:line="570" w:lineRule="exact"/>
        <w:rPr>
          <w:rFonts w:ascii="仿宋_GB2312" w:hAnsi="仿宋" w:eastAsia="仿宋_GB2312"/>
          <w:color w:val="000000"/>
        </w:rPr>
      </w:pPr>
      <w:bookmarkStart w:id="61" w:name="_Toc15396627"/>
      <w:r>
        <w:rPr>
          <w:rStyle w:val="27"/>
          <w:rFonts w:hint="eastAsia" w:ascii="仿宋_GB2312" w:hAnsi="仿宋" w:eastAsia="仿宋_GB2312"/>
          <w:b w:val="0"/>
          <w:bCs w:val="0"/>
        </w:rPr>
        <w:t>九、</w:t>
      </w:r>
      <w:r>
        <w:rPr>
          <w:rFonts w:hint="eastAsia" w:ascii="仿宋_GB2312" w:hAnsi="仿宋" w:eastAsia="仿宋_GB2312"/>
          <w:b w:val="0"/>
          <w:color w:val="000000"/>
        </w:rPr>
        <w:t>一</w:t>
      </w:r>
      <w:r>
        <w:rPr>
          <w:rStyle w:val="27"/>
          <w:rFonts w:hint="eastAsia" w:ascii="仿宋_GB2312" w:hAnsi="仿宋" w:eastAsia="仿宋_GB2312"/>
          <w:b w:val="0"/>
          <w:bCs w:val="0"/>
        </w:rPr>
        <w:t>般公共预算财政拨款项目支出决算表</w:t>
      </w:r>
      <w:bookmarkEnd w:id="61"/>
    </w:p>
    <w:p>
      <w:pPr>
        <w:pStyle w:val="3"/>
        <w:spacing w:after="0" w:line="570" w:lineRule="exact"/>
        <w:rPr>
          <w:rFonts w:ascii="仿宋_GB2312" w:hAnsi="仿宋" w:eastAsia="仿宋_GB2312"/>
          <w:color w:val="000000"/>
        </w:rPr>
      </w:pPr>
      <w:bookmarkStart w:id="62" w:name="_Toc15396628"/>
      <w:r>
        <w:rPr>
          <w:rStyle w:val="27"/>
          <w:rFonts w:hint="eastAsia" w:ascii="仿宋_GB2312" w:hAnsi="仿宋" w:eastAsia="仿宋_GB2312"/>
          <w:b w:val="0"/>
          <w:bCs w:val="0"/>
        </w:rPr>
        <w:t>十、</w:t>
      </w:r>
      <w:r>
        <w:rPr>
          <w:rFonts w:hint="eastAsia" w:ascii="仿宋_GB2312" w:hAnsi="仿宋" w:eastAsia="仿宋_GB2312"/>
          <w:b w:val="0"/>
          <w:color w:val="000000"/>
        </w:rPr>
        <w:t>一</w:t>
      </w:r>
      <w:r>
        <w:rPr>
          <w:rStyle w:val="27"/>
          <w:rFonts w:hint="eastAsia" w:ascii="仿宋_GB2312" w:hAnsi="仿宋" w:eastAsia="仿宋_GB2312"/>
          <w:b w:val="0"/>
          <w:bCs w:val="0"/>
        </w:rPr>
        <w:t>般公共预算财政拨款“三公”经费支出决算表</w:t>
      </w:r>
      <w:bookmarkEnd w:id="62"/>
    </w:p>
    <w:p>
      <w:pPr>
        <w:pStyle w:val="3"/>
        <w:spacing w:after="0" w:line="570" w:lineRule="exact"/>
        <w:rPr>
          <w:rFonts w:ascii="仿宋_GB2312" w:hAnsi="仿宋" w:eastAsia="仿宋_GB2312"/>
          <w:color w:val="000000"/>
        </w:rPr>
      </w:pPr>
      <w:bookmarkStart w:id="63" w:name="_Toc15396629"/>
      <w:r>
        <w:rPr>
          <w:rStyle w:val="27"/>
          <w:rFonts w:hint="eastAsia" w:ascii="仿宋_GB2312" w:hAnsi="仿宋" w:eastAsia="仿宋_GB2312"/>
          <w:b w:val="0"/>
          <w:bCs w:val="0"/>
        </w:rPr>
        <w:t>十一、</w:t>
      </w:r>
      <w:r>
        <w:rPr>
          <w:rFonts w:hint="eastAsia" w:ascii="仿宋_GB2312" w:hAnsi="仿宋" w:eastAsia="仿宋_GB2312"/>
          <w:b w:val="0"/>
          <w:color w:val="000000"/>
        </w:rPr>
        <w:t>政</w:t>
      </w:r>
      <w:r>
        <w:rPr>
          <w:rStyle w:val="27"/>
          <w:rFonts w:hint="eastAsia" w:ascii="仿宋_GB2312" w:hAnsi="仿宋" w:eastAsia="仿宋_GB2312"/>
          <w:b w:val="0"/>
          <w:bCs w:val="0"/>
        </w:rPr>
        <w:t>府性基金预算财政拨款收入支出决算表</w:t>
      </w:r>
      <w:bookmarkEnd w:id="63"/>
    </w:p>
    <w:p>
      <w:pPr>
        <w:pStyle w:val="3"/>
        <w:spacing w:after="0" w:line="570" w:lineRule="exact"/>
        <w:rPr>
          <w:rFonts w:ascii="仿宋_GB2312" w:hAnsi="仿宋" w:eastAsia="仿宋_GB2312"/>
          <w:color w:val="000000"/>
        </w:rPr>
      </w:pPr>
      <w:bookmarkStart w:id="64" w:name="_Toc15396630"/>
      <w:r>
        <w:rPr>
          <w:rStyle w:val="27"/>
          <w:rFonts w:hint="eastAsia" w:ascii="仿宋_GB2312" w:hAnsi="仿宋" w:eastAsia="仿宋_GB2312"/>
          <w:b w:val="0"/>
          <w:bCs w:val="0"/>
        </w:rPr>
        <w:t>十二、</w:t>
      </w:r>
      <w:r>
        <w:rPr>
          <w:rFonts w:hint="eastAsia" w:ascii="仿宋_GB2312" w:hAnsi="仿宋" w:eastAsia="仿宋_GB2312"/>
          <w:b w:val="0"/>
          <w:color w:val="000000"/>
        </w:rPr>
        <w:t>政</w:t>
      </w:r>
      <w:r>
        <w:rPr>
          <w:rStyle w:val="27"/>
          <w:rFonts w:hint="eastAsia" w:ascii="仿宋_GB2312" w:hAnsi="仿宋" w:eastAsia="仿宋_GB2312"/>
          <w:b w:val="0"/>
          <w:bCs w:val="0"/>
        </w:rPr>
        <w:t>府性基金预算财政拨款“三公”经费支出决算表</w:t>
      </w:r>
      <w:bookmarkEnd w:id="64"/>
    </w:p>
    <w:p>
      <w:pPr>
        <w:pStyle w:val="3"/>
        <w:spacing w:after="0" w:line="570" w:lineRule="exact"/>
        <w:rPr>
          <w:rFonts w:ascii="仿宋_GB2312" w:hAnsi="仿宋" w:eastAsia="仿宋_GB2312"/>
          <w:color w:val="000000" w:themeColor="text1"/>
        </w:rPr>
      </w:pPr>
      <w:bookmarkStart w:id="65" w:name="_Toc15396631"/>
      <w:r>
        <w:rPr>
          <w:rStyle w:val="27"/>
          <w:rFonts w:hint="eastAsia" w:ascii="仿宋_GB2312" w:hAnsi="仿宋" w:eastAsia="仿宋_GB2312"/>
          <w:b w:val="0"/>
          <w:bCs w:val="0"/>
        </w:rPr>
        <w:t>十三、</w:t>
      </w:r>
      <w:r>
        <w:rPr>
          <w:rFonts w:hint="eastAsia" w:ascii="仿宋_GB2312" w:hAnsi="仿宋" w:eastAsia="仿宋_GB2312"/>
          <w:b w:val="0"/>
          <w:color w:val="000000"/>
        </w:rPr>
        <w:t>国</w:t>
      </w:r>
      <w:r>
        <w:rPr>
          <w:rStyle w:val="27"/>
          <w:rFonts w:hint="eastAsia" w:ascii="仿宋_GB2312" w:hAnsi="仿宋" w:eastAsia="仿宋_GB2312"/>
          <w:b w:val="0"/>
          <w:bCs w:val="0"/>
        </w:rPr>
        <w:t>有资本经营预算支出决算表</w:t>
      </w:r>
      <w:bookmarkEnd w:id="6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15</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936F97"/>
    <w:multiLevelType w:val="singleLevel"/>
    <w:tmpl w:val="C3936F97"/>
    <w:lvl w:ilvl="0" w:tentative="0">
      <w:start w:val="3"/>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77027377"/>
    <w:multiLevelType w:val="singleLevel"/>
    <w:tmpl w:val="77027377"/>
    <w:lvl w:ilvl="0" w:tentative="0">
      <w:start w:val="2"/>
      <w:numFmt w:val="decimal"/>
      <w:suff w:val="nothing"/>
      <w:lvlText w:val="（%1）"/>
      <w:lvlJc w:val="left"/>
    </w:lvl>
  </w:abstractNum>
  <w:abstractNum w:abstractNumId="5">
    <w:nsid w:val="7C855DD6"/>
    <w:multiLevelType w:val="multilevel"/>
    <w:tmpl w:val="7C855DD6"/>
    <w:lvl w:ilvl="0" w:tentative="0">
      <w:start w:val="17"/>
      <w:numFmt w:val="decimal"/>
      <w:lvlText w:val="%1、"/>
      <w:lvlJc w:val="left"/>
      <w:pPr>
        <w:ind w:left="1306" w:hanging="720"/>
      </w:pPr>
      <w:rPr>
        <w:rFonts w:hint="default"/>
      </w:rPr>
    </w:lvl>
    <w:lvl w:ilvl="1" w:tentative="0">
      <w:start w:val="1"/>
      <w:numFmt w:val="lowerLetter"/>
      <w:lvlText w:val="%2)"/>
      <w:lvlJc w:val="left"/>
      <w:pPr>
        <w:ind w:left="1426" w:hanging="420"/>
      </w:pPr>
    </w:lvl>
    <w:lvl w:ilvl="2" w:tentative="0">
      <w:start w:val="1"/>
      <w:numFmt w:val="lowerRoman"/>
      <w:lvlText w:val="%3."/>
      <w:lvlJc w:val="right"/>
      <w:pPr>
        <w:ind w:left="1846" w:hanging="420"/>
      </w:pPr>
    </w:lvl>
    <w:lvl w:ilvl="3" w:tentative="0">
      <w:start w:val="1"/>
      <w:numFmt w:val="decimal"/>
      <w:lvlText w:val="%4."/>
      <w:lvlJc w:val="left"/>
      <w:pPr>
        <w:ind w:left="2266" w:hanging="420"/>
      </w:pPr>
    </w:lvl>
    <w:lvl w:ilvl="4" w:tentative="0">
      <w:start w:val="1"/>
      <w:numFmt w:val="lowerLetter"/>
      <w:lvlText w:val="%5)"/>
      <w:lvlJc w:val="left"/>
      <w:pPr>
        <w:ind w:left="2686" w:hanging="420"/>
      </w:pPr>
    </w:lvl>
    <w:lvl w:ilvl="5" w:tentative="0">
      <w:start w:val="1"/>
      <w:numFmt w:val="lowerRoman"/>
      <w:lvlText w:val="%6."/>
      <w:lvlJc w:val="right"/>
      <w:pPr>
        <w:ind w:left="3106" w:hanging="420"/>
      </w:pPr>
    </w:lvl>
    <w:lvl w:ilvl="6" w:tentative="0">
      <w:start w:val="1"/>
      <w:numFmt w:val="decimal"/>
      <w:lvlText w:val="%7."/>
      <w:lvlJc w:val="left"/>
      <w:pPr>
        <w:ind w:left="3526" w:hanging="420"/>
      </w:pPr>
    </w:lvl>
    <w:lvl w:ilvl="7" w:tentative="0">
      <w:start w:val="1"/>
      <w:numFmt w:val="lowerLetter"/>
      <w:lvlText w:val="%8)"/>
      <w:lvlJc w:val="left"/>
      <w:pPr>
        <w:ind w:left="3946" w:hanging="420"/>
      </w:pPr>
    </w:lvl>
    <w:lvl w:ilvl="8" w:tentative="0">
      <w:start w:val="1"/>
      <w:numFmt w:val="lowerRoman"/>
      <w:lvlText w:val="%9."/>
      <w:lvlJc w:val="right"/>
      <w:pPr>
        <w:ind w:left="4366" w:hanging="420"/>
      </w:p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32D88"/>
    <w:rsid w:val="000355A4"/>
    <w:rsid w:val="000377AC"/>
    <w:rsid w:val="000468DB"/>
    <w:rsid w:val="00055355"/>
    <w:rsid w:val="0006487A"/>
    <w:rsid w:val="00065713"/>
    <w:rsid w:val="00065F8F"/>
    <w:rsid w:val="00070A43"/>
    <w:rsid w:val="000725E0"/>
    <w:rsid w:val="000768F2"/>
    <w:rsid w:val="00082301"/>
    <w:rsid w:val="0009184B"/>
    <w:rsid w:val="00094236"/>
    <w:rsid w:val="0009593C"/>
    <w:rsid w:val="00097322"/>
    <w:rsid w:val="000A3904"/>
    <w:rsid w:val="000A5191"/>
    <w:rsid w:val="000A6A92"/>
    <w:rsid w:val="000B047F"/>
    <w:rsid w:val="000B5923"/>
    <w:rsid w:val="000B5A48"/>
    <w:rsid w:val="000B6FF3"/>
    <w:rsid w:val="000C3467"/>
    <w:rsid w:val="000C3CA6"/>
    <w:rsid w:val="000D1267"/>
    <w:rsid w:val="000D1D50"/>
    <w:rsid w:val="000D5782"/>
    <w:rsid w:val="000D7A0F"/>
    <w:rsid w:val="000E6613"/>
    <w:rsid w:val="000E7119"/>
    <w:rsid w:val="000E79D4"/>
    <w:rsid w:val="00114E9B"/>
    <w:rsid w:val="00121532"/>
    <w:rsid w:val="00142216"/>
    <w:rsid w:val="00144D6A"/>
    <w:rsid w:val="0014729F"/>
    <w:rsid w:val="00150712"/>
    <w:rsid w:val="00150BD8"/>
    <w:rsid w:val="00157BAB"/>
    <w:rsid w:val="001654D1"/>
    <w:rsid w:val="00167089"/>
    <w:rsid w:val="00174518"/>
    <w:rsid w:val="0018106D"/>
    <w:rsid w:val="001877A7"/>
    <w:rsid w:val="00191536"/>
    <w:rsid w:val="00196687"/>
    <w:rsid w:val="00196B90"/>
    <w:rsid w:val="001A04FC"/>
    <w:rsid w:val="001A3FC8"/>
    <w:rsid w:val="001C0962"/>
    <w:rsid w:val="001D7531"/>
    <w:rsid w:val="001E737D"/>
    <w:rsid w:val="001F0592"/>
    <w:rsid w:val="001F4771"/>
    <w:rsid w:val="001F7506"/>
    <w:rsid w:val="002006CD"/>
    <w:rsid w:val="00202B36"/>
    <w:rsid w:val="00204B7A"/>
    <w:rsid w:val="00204CDE"/>
    <w:rsid w:val="00204EDB"/>
    <w:rsid w:val="0021101A"/>
    <w:rsid w:val="00220536"/>
    <w:rsid w:val="00235629"/>
    <w:rsid w:val="0024743B"/>
    <w:rsid w:val="00254EB7"/>
    <w:rsid w:val="00260C38"/>
    <w:rsid w:val="002616C0"/>
    <w:rsid w:val="00265372"/>
    <w:rsid w:val="002662AA"/>
    <w:rsid w:val="00280496"/>
    <w:rsid w:val="00284558"/>
    <w:rsid w:val="00294DC9"/>
    <w:rsid w:val="00295495"/>
    <w:rsid w:val="002957AA"/>
    <w:rsid w:val="002A31DE"/>
    <w:rsid w:val="002B2613"/>
    <w:rsid w:val="002C04AF"/>
    <w:rsid w:val="002D19B0"/>
    <w:rsid w:val="002D6D05"/>
    <w:rsid w:val="002F0AC0"/>
    <w:rsid w:val="002F1818"/>
    <w:rsid w:val="002F567B"/>
    <w:rsid w:val="003216A9"/>
    <w:rsid w:val="00335A74"/>
    <w:rsid w:val="0036561B"/>
    <w:rsid w:val="0036748B"/>
    <w:rsid w:val="0037013F"/>
    <w:rsid w:val="00380C92"/>
    <w:rsid w:val="003A103F"/>
    <w:rsid w:val="003A484F"/>
    <w:rsid w:val="003A4883"/>
    <w:rsid w:val="003B0BE0"/>
    <w:rsid w:val="003B0C1B"/>
    <w:rsid w:val="003B63CA"/>
    <w:rsid w:val="003B688C"/>
    <w:rsid w:val="003C0291"/>
    <w:rsid w:val="003C39AE"/>
    <w:rsid w:val="003C7B60"/>
    <w:rsid w:val="003D0C0F"/>
    <w:rsid w:val="003D15D4"/>
    <w:rsid w:val="003D1FB2"/>
    <w:rsid w:val="003D66DA"/>
    <w:rsid w:val="003D7E25"/>
    <w:rsid w:val="003E1310"/>
    <w:rsid w:val="003E6F55"/>
    <w:rsid w:val="003F08E8"/>
    <w:rsid w:val="003F6619"/>
    <w:rsid w:val="00406254"/>
    <w:rsid w:val="00416CD4"/>
    <w:rsid w:val="004213D6"/>
    <w:rsid w:val="004223DE"/>
    <w:rsid w:val="00434489"/>
    <w:rsid w:val="00437085"/>
    <w:rsid w:val="00443880"/>
    <w:rsid w:val="004464F4"/>
    <w:rsid w:val="00454E8C"/>
    <w:rsid w:val="00455B42"/>
    <w:rsid w:val="00471401"/>
    <w:rsid w:val="00473F31"/>
    <w:rsid w:val="0048263A"/>
    <w:rsid w:val="00487E5D"/>
    <w:rsid w:val="0049024E"/>
    <w:rsid w:val="004A2845"/>
    <w:rsid w:val="004A50D9"/>
    <w:rsid w:val="004A711F"/>
    <w:rsid w:val="004B199D"/>
    <w:rsid w:val="004B4690"/>
    <w:rsid w:val="004C02C6"/>
    <w:rsid w:val="004C5D7F"/>
    <w:rsid w:val="004E0A2D"/>
    <w:rsid w:val="004E206B"/>
    <w:rsid w:val="004E6DF7"/>
    <w:rsid w:val="004F0FBD"/>
    <w:rsid w:val="004F403E"/>
    <w:rsid w:val="00505A47"/>
    <w:rsid w:val="00507E9D"/>
    <w:rsid w:val="00512FDA"/>
    <w:rsid w:val="00520DA0"/>
    <w:rsid w:val="00546659"/>
    <w:rsid w:val="0055234A"/>
    <w:rsid w:val="005534E9"/>
    <w:rsid w:val="00561852"/>
    <w:rsid w:val="005664BB"/>
    <w:rsid w:val="00566FFA"/>
    <w:rsid w:val="00573AF0"/>
    <w:rsid w:val="0057481D"/>
    <w:rsid w:val="00575F0B"/>
    <w:rsid w:val="0058486E"/>
    <w:rsid w:val="00585B33"/>
    <w:rsid w:val="0059014D"/>
    <w:rsid w:val="00596F72"/>
    <w:rsid w:val="005B5C64"/>
    <w:rsid w:val="005B5D53"/>
    <w:rsid w:val="005C6BD0"/>
    <w:rsid w:val="005C6C4C"/>
    <w:rsid w:val="005D1C8B"/>
    <w:rsid w:val="005D468D"/>
    <w:rsid w:val="005D5CED"/>
    <w:rsid w:val="005E5CB3"/>
    <w:rsid w:val="005F1A4C"/>
    <w:rsid w:val="005F335A"/>
    <w:rsid w:val="00600B42"/>
    <w:rsid w:val="006017BF"/>
    <w:rsid w:val="00605688"/>
    <w:rsid w:val="006070AF"/>
    <w:rsid w:val="00607E6C"/>
    <w:rsid w:val="006101B1"/>
    <w:rsid w:val="00614E44"/>
    <w:rsid w:val="0062159C"/>
    <w:rsid w:val="0062270A"/>
    <w:rsid w:val="00622830"/>
    <w:rsid w:val="00623DA0"/>
    <w:rsid w:val="00625338"/>
    <w:rsid w:val="00630AEF"/>
    <w:rsid w:val="00631B9A"/>
    <w:rsid w:val="006325F8"/>
    <w:rsid w:val="0063324C"/>
    <w:rsid w:val="00633463"/>
    <w:rsid w:val="00634C9A"/>
    <w:rsid w:val="006440E4"/>
    <w:rsid w:val="00645B85"/>
    <w:rsid w:val="00662BE5"/>
    <w:rsid w:val="0066343B"/>
    <w:rsid w:val="00664777"/>
    <w:rsid w:val="006748A4"/>
    <w:rsid w:val="00681A31"/>
    <w:rsid w:val="00683E73"/>
    <w:rsid w:val="006938A3"/>
    <w:rsid w:val="006971FA"/>
    <w:rsid w:val="006A0929"/>
    <w:rsid w:val="006A3141"/>
    <w:rsid w:val="006A5E34"/>
    <w:rsid w:val="006B2422"/>
    <w:rsid w:val="006B2B9A"/>
    <w:rsid w:val="006C1937"/>
    <w:rsid w:val="006C5BB6"/>
    <w:rsid w:val="006C6882"/>
    <w:rsid w:val="006F020C"/>
    <w:rsid w:val="006F2C92"/>
    <w:rsid w:val="006F6406"/>
    <w:rsid w:val="006F7D4B"/>
    <w:rsid w:val="00701B06"/>
    <w:rsid w:val="0070413D"/>
    <w:rsid w:val="007127B7"/>
    <w:rsid w:val="0071798E"/>
    <w:rsid w:val="007251E1"/>
    <w:rsid w:val="00727533"/>
    <w:rsid w:val="00730FD5"/>
    <w:rsid w:val="00737514"/>
    <w:rsid w:val="007416B6"/>
    <w:rsid w:val="00746F48"/>
    <w:rsid w:val="00753835"/>
    <w:rsid w:val="0075404D"/>
    <w:rsid w:val="00756C41"/>
    <w:rsid w:val="0076182A"/>
    <w:rsid w:val="00767B7E"/>
    <w:rsid w:val="007770C3"/>
    <w:rsid w:val="00777F24"/>
    <w:rsid w:val="0078244C"/>
    <w:rsid w:val="00784D24"/>
    <w:rsid w:val="00785FBA"/>
    <w:rsid w:val="00786E4A"/>
    <w:rsid w:val="007875EB"/>
    <w:rsid w:val="0079426B"/>
    <w:rsid w:val="007A26A1"/>
    <w:rsid w:val="007D1682"/>
    <w:rsid w:val="007D312A"/>
    <w:rsid w:val="007D3F19"/>
    <w:rsid w:val="007D6176"/>
    <w:rsid w:val="007E23B0"/>
    <w:rsid w:val="007F0917"/>
    <w:rsid w:val="007F1991"/>
    <w:rsid w:val="007F227A"/>
    <w:rsid w:val="007F2C2F"/>
    <w:rsid w:val="007F55FC"/>
    <w:rsid w:val="007F5665"/>
    <w:rsid w:val="00800112"/>
    <w:rsid w:val="00806523"/>
    <w:rsid w:val="008111DB"/>
    <w:rsid w:val="00813348"/>
    <w:rsid w:val="00813D2E"/>
    <w:rsid w:val="00820E8F"/>
    <w:rsid w:val="00823982"/>
    <w:rsid w:val="008253BB"/>
    <w:rsid w:val="00833962"/>
    <w:rsid w:val="008356A7"/>
    <w:rsid w:val="0083706E"/>
    <w:rsid w:val="008408F6"/>
    <w:rsid w:val="008423A5"/>
    <w:rsid w:val="00850625"/>
    <w:rsid w:val="00853718"/>
    <w:rsid w:val="008551A3"/>
    <w:rsid w:val="00855221"/>
    <w:rsid w:val="00860645"/>
    <w:rsid w:val="00866060"/>
    <w:rsid w:val="00871F71"/>
    <w:rsid w:val="00872FD8"/>
    <w:rsid w:val="00873D63"/>
    <w:rsid w:val="00885AF4"/>
    <w:rsid w:val="008939CD"/>
    <w:rsid w:val="00894641"/>
    <w:rsid w:val="008A6A1E"/>
    <w:rsid w:val="008B59F8"/>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36B97"/>
    <w:rsid w:val="00946945"/>
    <w:rsid w:val="00951248"/>
    <w:rsid w:val="0095152F"/>
    <w:rsid w:val="00954C49"/>
    <w:rsid w:val="00955E37"/>
    <w:rsid w:val="0097099F"/>
    <w:rsid w:val="00971997"/>
    <w:rsid w:val="00971FFC"/>
    <w:rsid w:val="009858AF"/>
    <w:rsid w:val="0098660A"/>
    <w:rsid w:val="009931C3"/>
    <w:rsid w:val="009B2C43"/>
    <w:rsid w:val="009B4651"/>
    <w:rsid w:val="009B4EAE"/>
    <w:rsid w:val="009B5E91"/>
    <w:rsid w:val="009B7573"/>
    <w:rsid w:val="009C22F4"/>
    <w:rsid w:val="009C2E98"/>
    <w:rsid w:val="009C338A"/>
    <w:rsid w:val="009C37FB"/>
    <w:rsid w:val="009D3447"/>
    <w:rsid w:val="009D4300"/>
    <w:rsid w:val="009D4711"/>
    <w:rsid w:val="009E24E5"/>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059C"/>
    <w:rsid w:val="00A56DF2"/>
    <w:rsid w:val="00A56E6E"/>
    <w:rsid w:val="00A60970"/>
    <w:rsid w:val="00A678F3"/>
    <w:rsid w:val="00A67AB5"/>
    <w:rsid w:val="00A733B2"/>
    <w:rsid w:val="00A741C2"/>
    <w:rsid w:val="00A80C3C"/>
    <w:rsid w:val="00A846F7"/>
    <w:rsid w:val="00A91760"/>
    <w:rsid w:val="00A93B00"/>
    <w:rsid w:val="00A93C21"/>
    <w:rsid w:val="00AA0A35"/>
    <w:rsid w:val="00AB1ADD"/>
    <w:rsid w:val="00AB3A40"/>
    <w:rsid w:val="00AB50CC"/>
    <w:rsid w:val="00AB64C9"/>
    <w:rsid w:val="00AC3C6A"/>
    <w:rsid w:val="00AD0F83"/>
    <w:rsid w:val="00AD5620"/>
    <w:rsid w:val="00AD656B"/>
    <w:rsid w:val="00AD7C1B"/>
    <w:rsid w:val="00AE16BA"/>
    <w:rsid w:val="00AE1EBE"/>
    <w:rsid w:val="00AF2B71"/>
    <w:rsid w:val="00AF37A0"/>
    <w:rsid w:val="00B03C9D"/>
    <w:rsid w:val="00B060AE"/>
    <w:rsid w:val="00B10517"/>
    <w:rsid w:val="00B10D6B"/>
    <w:rsid w:val="00B12BCB"/>
    <w:rsid w:val="00B142E3"/>
    <w:rsid w:val="00B14E76"/>
    <w:rsid w:val="00B161B8"/>
    <w:rsid w:val="00B16EC7"/>
    <w:rsid w:val="00B2048C"/>
    <w:rsid w:val="00B26A4B"/>
    <w:rsid w:val="00B310B9"/>
    <w:rsid w:val="00B35F3F"/>
    <w:rsid w:val="00B36CBB"/>
    <w:rsid w:val="00B425E0"/>
    <w:rsid w:val="00B440AA"/>
    <w:rsid w:val="00B44B70"/>
    <w:rsid w:val="00B53C56"/>
    <w:rsid w:val="00B57DAF"/>
    <w:rsid w:val="00B63DA2"/>
    <w:rsid w:val="00B74F94"/>
    <w:rsid w:val="00B77EA6"/>
    <w:rsid w:val="00B80415"/>
    <w:rsid w:val="00B81598"/>
    <w:rsid w:val="00B841F1"/>
    <w:rsid w:val="00B944D6"/>
    <w:rsid w:val="00BB4DF0"/>
    <w:rsid w:val="00BC289F"/>
    <w:rsid w:val="00BC2D50"/>
    <w:rsid w:val="00BC3C64"/>
    <w:rsid w:val="00BC4036"/>
    <w:rsid w:val="00BC5361"/>
    <w:rsid w:val="00BC5460"/>
    <w:rsid w:val="00BC6B50"/>
    <w:rsid w:val="00BD0E25"/>
    <w:rsid w:val="00BD5DA1"/>
    <w:rsid w:val="00BF5BD6"/>
    <w:rsid w:val="00C03E31"/>
    <w:rsid w:val="00C10C92"/>
    <w:rsid w:val="00C167DC"/>
    <w:rsid w:val="00C2107E"/>
    <w:rsid w:val="00C30E69"/>
    <w:rsid w:val="00C32346"/>
    <w:rsid w:val="00C33E72"/>
    <w:rsid w:val="00C354B2"/>
    <w:rsid w:val="00C35554"/>
    <w:rsid w:val="00C42709"/>
    <w:rsid w:val="00C4367A"/>
    <w:rsid w:val="00C465CE"/>
    <w:rsid w:val="00C509B0"/>
    <w:rsid w:val="00C533CC"/>
    <w:rsid w:val="00C5751C"/>
    <w:rsid w:val="00C61BFC"/>
    <w:rsid w:val="00C62564"/>
    <w:rsid w:val="00C62B85"/>
    <w:rsid w:val="00C65438"/>
    <w:rsid w:val="00C7264C"/>
    <w:rsid w:val="00C73316"/>
    <w:rsid w:val="00C91CBB"/>
    <w:rsid w:val="00CA026A"/>
    <w:rsid w:val="00CA2F38"/>
    <w:rsid w:val="00CA4D7B"/>
    <w:rsid w:val="00CB4E70"/>
    <w:rsid w:val="00CB5095"/>
    <w:rsid w:val="00CC09B6"/>
    <w:rsid w:val="00CC666F"/>
    <w:rsid w:val="00CD1E3F"/>
    <w:rsid w:val="00CD47CA"/>
    <w:rsid w:val="00CE02E8"/>
    <w:rsid w:val="00CE44F6"/>
    <w:rsid w:val="00CE49DA"/>
    <w:rsid w:val="00CE7B61"/>
    <w:rsid w:val="00D00095"/>
    <w:rsid w:val="00D016F8"/>
    <w:rsid w:val="00D114F0"/>
    <w:rsid w:val="00D179F5"/>
    <w:rsid w:val="00D20620"/>
    <w:rsid w:val="00D2207C"/>
    <w:rsid w:val="00D254F7"/>
    <w:rsid w:val="00D26091"/>
    <w:rsid w:val="00D2685C"/>
    <w:rsid w:val="00D34E7C"/>
    <w:rsid w:val="00D35489"/>
    <w:rsid w:val="00D36AFE"/>
    <w:rsid w:val="00D37ABE"/>
    <w:rsid w:val="00D45993"/>
    <w:rsid w:val="00D50571"/>
    <w:rsid w:val="00D51276"/>
    <w:rsid w:val="00D7035F"/>
    <w:rsid w:val="00D70DE9"/>
    <w:rsid w:val="00D74647"/>
    <w:rsid w:val="00DA634F"/>
    <w:rsid w:val="00DA65AC"/>
    <w:rsid w:val="00DA7E7E"/>
    <w:rsid w:val="00DB1913"/>
    <w:rsid w:val="00DB4D97"/>
    <w:rsid w:val="00DC31D3"/>
    <w:rsid w:val="00DC410D"/>
    <w:rsid w:val="00DC57CC"/>
    <w:rsid w:val="00DC5A81"/>
    <w:rsid w:val="00DC68CA"/>
    <w:rsid w:val="00DC6C47"/>
    <w:rsid w:val="00DC7CBA"/>
    <w:rsid w:val="00DD6AB9"/>
    <w:rsid w:val="00DD73B7"/>
    <w:rsid w:val="00DF28BC"/>
    <w:rsid w:val="00DF34B9"/>
    <w:rsid w:val="00DF7548"/>
    <w:rsid w:val="00E01053"/>
    <w:rsid w:val="00E012D0"/>
    <w:rsid w:val="00E07ACF"/>
    <w:rsid w:val="00E254B1"/>
    <w:rsid w:val="00E27BA8"/>
    <w:rsid w:val="00E331A1"/>
    <w:rsid w:val="00E33202"/>
    <w:rsid w:val="00E336A9"/>
    <w:rsid w:val="00E472B1"/>
    <w:rsid w:val="00E505C4"/>
    <w:rsid w:val="00E50624"/>
    <w:rsid w:val="00E50793"/>
    <w:rsid w:val="00E568DF"/>
    <w:rsid w:val="00E6345B"/>
    <w:rsid w:val="00E64269"/>
    <w:rsid w:val="00E66797"/>
    <w:rsid w:val="00E82267"/>
    <w:rsid w:val="00E853CE"/>
    <w:rsid w:val="00E867B6"/>
    <w:rsid w:val="00E87F08"/>
    <w:rsid w:val="00E93866"/>
    <w:rsid w:val="00EA010F"/>
    <w:rsid w:val="00EB0D32"/>
    <w:rsid w:val="00EB4F77"/>
    <w:rsid w:val="00ED1B63"/>
    <w:rsid w:val="00ED3C1F"/>
    <w:rsid w:val="00ED4085"/>
    <w:rsid w:val="00ED420E"/>
    <w:rsid w:val="00ED6FBE"/>
    <w:rsid w:val="00ED7DC9"/>
    <w:rsid w:val="00EE2F57"/>
    <w:rsid w:val="00EE3C08"/>
    <w:rsid w:val="00EF4C34"/>
    <w:rsid w:val="00EF77C6"/>
    <w:rsid w:val="00F05438"/>
    <w:rsid w:val="00F1361C"/>
    <w:rsid w:val="00F156F0"/>
    <w:rsid w:val="00F160C7"/>
    <w:rsid w:val="00F2408F"/>
    <w:rsid w:val="00F240E9"/>
    <w:rsid w:val="00F33356"/>
    <w:rsid w:val="00F33690"/>
    <w:rsid w:val="00F36D8F"/>
    <w:rsid w:val="00F417B1"/>
    <w:rsid w:val="00F45853"/>
    <w:rsid w:val="00F602DF"/>
    <w:rsid w:val="00F754A1"/>
    <w:rsid w:val="00F81FD9"/>
    <w:rsid w:val="00F841AA"/>
    <w:rsid w:val="00F84A94"/>
    <w:rsid w:val="00F85ABC"/>
    <w:rsid w:val="00F87E96"/>
    <w:rsid w:val="00FA23E8"/>
    <w:rsid w:val="00FC06C6"/>
    <w:rsid w:val="00FD3CC1"/>
    <w:rsid w:val="00FE5C4C"/>
    <w:rsid w:val="00FF10DD"/>
    <w:rsid w:val="00FF1E02"/>
    <w:rsid w:val="00FF30B4"/>
    <w:rsid w:val="00FF5612"/>
    <w:rsid w:val="02234221"/>
    <w:rsid w:val="030E0D3B"/>
    <w:rsid w:val="049B76BA"/>
    <w:rsid w:val="058D1D56"/>
    <w:rsid w:val="09D607F5"/>
    <w:rsid w:val="0A647EDC"/>
    <w:rsid w:val="0D9F168B"/>
    <w:rsid w:val="0DAA2099"/>
    <w:rsid w:val="0E5F6454"/>
    <w:rsid w:val="0F504A15"/>
    <w:rsid w:val="0FAC6DA5"/>
    <w:rsid w:val="10C055FF"/>
    <w:rsid w:val="15536571"/>
    <w:rsid w:val="15BE1954"/>
    <w:rsid w:val="15D84FD2"/>
    <w:rsid w:val="16706C86"/>
    <w:rsid w:val="16BB723D"/>
    <w:rsid w:val="1B5A7994"/>
    <w:rsid w:val="1BEA1097"/>
    <w:rsid w:val="1CE35B61"/>
    <w:rsid w:val="1DD304B2"/>
    <w:rsid w:val="1EC3762A"/>
    <w:rsid w:val="215C3E3E"/>
    <w:rsid w:val="23E7681E"/>
    <w:rsid w:val="240371BF"/>
    <w:rsid w:val="24601200"/>
    <w:rsid w:val="26C01148"/>
    <w:rsid w:val="291C1076"/>
    <w:rsid w:val="2997047D"/>
    <w:rsid w:val="29FD04D3"/>
    <w:rsid w:val="2A1E7CE8"/>
    <w:rsid w:val="2B743F3A"/>
    <w:rsid w:val="2B814404"/>
    <w:rsid w:val="2C034875"/>
    <w:rsid w:val="2F2F7DBA"/>
    <w:rsid w:val="30665487"/>
    <w:rsid w:val="319F7F4E"/>
    <w:rsid w:val="31C50709"/>
    <w:rsid w:val="34896D42"/>
    <w:rsid w:val="35AA509D"/>
    <w:rsid w:val="378A0B92"/>
    <w:rsid w:val="38375C76"/>
    <w:rsid w:val="38B23F4B"/>
    <w:rsid w:val="3947157F"/>
    <w:rsid w:val="3AF72D3C"/>
    <w:rsid w:val="3B7A6DA6"/>
    <w:rsid w:val="3C140EC6"/>
    <w:rsid w:val="3EC336B8"/>
    <w:rsid w:val="432D482D"/>
    <w:rsid w:val="43922AF8"/>
    <w:rsid w:val="44C208AD"/>
    <w:rsid w:val="45673696"/>
    <w:rsid w:val="465B0FE9"/>
    <w:rsid w:val="4836225D"/>
    <w:rsid w:val="49B75DD7"/>
    <w:rsid w:val="4ABD15A1"/>
    <w:rsid w:val="4B1227D5"/>
    <w:rsid w:val="4B1931D8"/>
    <w:rsid w:val="4E55699D"/>
    <w:rsid w:val="4EBD1079"/>
    <w:rsid w:val="4ECE2238"/>
    <w:rsid w:val="4F746B87"/>
    <w:rsid w:val="4FFD45CC"/>
    <w:rsid w:val="52AB5DE8"/>
    <w:rsid w:val="532F7F79"/>
    <w:rsid w:val="54403A7A"/>
    <w:rsid w:val="54BC10FC"/>
    <w:rsid w:val="5518648C"/>
    <w:rsid w:val="561A3454"/>
    <w:rsid w:val="57A70DE1"/>
    <w:rsid w:val="583341D7"/>
    <w:rsid w:val="5C9D3217"/>
    <w:rsid w:val="5DC051D8"/>
    <w:rsid w:val="5DF47E96"/>
    <w:rsid w:val="60BE33C2"/>
    <w:rsid w:val="60E07D76"/>
    <w:rsid w:val="61CF3F23"/>
    <w:rsid w:val="621840E7"/>
    <w:rsid w:val="64425AE7"/>
    <w:rsid w:val="6461629D"/>
    <w:rsid w:val="64747D3B"/>
    <w:rsid w:val="659A500C"/>
    <w:rsid w:val="65E83FA9"/>
    <w:rsid w:val="6631175C"/>
    <w:rsid w:val="66C93ADC"/>
    <w:rsid w:val="67AF1970"/>
    <w:rsid w:val="6A8A6A37"/>
    <w:rsid w:val="6C46724F"/>
    <w:rsid w:val="6D1370B0"/>
    <w:rsid w:val="6D305A4D"/>
    <w:rsid w:val="6F2B360D"/>
    <w:rsid w:val="6F8042D7"/>
    <w:rsid w:val="70F750A7"/>
    <w:rsid w:val="712D5FA9"/>
    <w:rsid w:val="72192F02"/>
    <w:rsid w:val="72734D90"/>
    <w:rsid w:val="74737B81"/>
    <w:rsid w:val="76BF37F8"/>
    <w:rsid w:val="780C15AC"/>
    <w:rsid w:val="797629D3"/>
    <w:rsid w:val="79A54EF1"/>
    <w:rsid w:val="7E7576C8"/>
    <w:rsid w:val="7F775E0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Body Text Indent"/>
    <w:basedOn w:val="1"/>
    <w:link w:val="34"/>
    <w:semiHidden/>
    <w:unhideWhenUsed/>
    <w:qFormat/>
    <w:uiPriority w:val="99"/>
    <w:pPr>
      <w:spacing w:after="120"/>
      <w:ind w:left="420" w:leftChars="200"/>
    </w:p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Body Text First Indent 2"/>
    <w:basedOn w:val="6"/>
    <w:link w:val="35"/>
    <w:semiHidden/>
    <w:unhideWhenUsed/>
    <w:qFormat/>
    <w:uiPriority w:val="99"/>
    <w:pPr>
      <w:ind w:firstLine="420" w:firstLine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2"/>
    <w:qFormat/>
    <w:uiPriority w:val="9"/>
    <w:rPr>
      <w:rFonts w:ascii="Times New Roman" w:hAnsi="Times New Roman"/>
      <w:b/>
      <w:bCs/>
      <w:kern w:val="44"/>
      <w:sz w:val="44"/>
      <w:szCs w:val="44"/>
    </w:rPr>
  </w:style>
  <w:style w:type="character" w:customStyle="1" w:styleId="27">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4"/>
    <w:qFormat/>
    <w:uiPriority w:val="9"/>
    <w:rPr>
      <w:rFonts w:ascii="Times New Roman" w:hAnsi="Times New Roman"/>
      <w:b/>
      <w:bCs/>
      <w:kern w:val="2"/>
      <w:sz w:val="32"/>
      <w:szCs w:val="32"/>
    </w:rPr>
  </w:style>
  <w:style w:type="paragraph" w:customStyle="1" w:styleId="31">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2">
    <w:name w:val="p15"/>
    <w:basedOn w:val="1"/>
    <w:qFormat/>
    <w:uiPriority w:val="0"/>
    <w:pPr>
      <w:widowControl/>
    </w:pPr>
    <w:rPr>
      <w:kern w:val="0"/>
      <w:szCs w:val="20"/>
    </w:rPr>
  </w:style>
  <w:style w:type="paragraph" w:customStyle="1" w:styleId="33">
    <w:name w:val="列出段落1"/>
    <w:basedOn w:val="1"/>
    <w:qFormat/>
    <w:uiPriority w:val="34"/>
    <w:pPr>
      <w:ind w:firstLine="420" w:firstLineChars="200"/>
    </w:pPr>
  </w:style>
  <w:style w:type="character" w:customStyle="1" w:styleId="34">
    <w:name w:val="正文文本缩进 Char"/>
    <w:basedOn w:val="15"/>
    <w:link w:val="6"/>
    <w:semiHidden/>
    <w:qFormat/>
    <w:uiPriority w:val="99"/>
    <w:rPr>
      <w:rFonts w:ascii="Times New Roman" w:hAnsi="Times New Roman"/>
      <w:kern w:val="2"/>
      <w:sz w:val="21"/>
      <w:szCs w:val="24"/>
    </w:rPr>
  </w:style>
  <w:style w:type="character" w:customStyle="1" w:styleId="35">
    <w:name w:val="正文首行缩进 2 Char"/>
    <w:basedOn w:val="34"/>
    <w:link w:val="13"/>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收支决算总计变动情况表</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列1</c:v>
                </c:pt>
              </c:strCache>
            </c:strRef>
          </c:tx>
          <c:spPr>
            <a:solidFill>
              <a:schemeClr val="accent1"/>
            </a:solidFill>
            <a:ln>
              <a:noFill/>
            </a:ln>
            <a:effectLst/>
          </c:spPr>
          <c:invertIfNegative val="0"/>
          <c:dLbls>
            <c:delete val="1"/>
          </c:dLbls>
          <c:cat>
            <c:numRef>
              <c:f>Sheet1!$A$2:$A$3</c:f>
              <c:numCache>
                <c:formatCode>General</c:formatCode>
                <c:ptCount val="2"/>
                <c:pt idx="0">
                  <c:v>2018</c:v>
                </c:pt>
                <c:pt idx="1">
                  <c:v>2019</c:v>
                </c:pt>
              </c:numCache>
            </c:numRef>
          </c:cat>
          <c:val>
            <c:numRef>
              <c:f>Sheet1!$B$2:$B$3</c:f>
              <c:numCache>
                <c:formatCode>General</c:formatCode>
                <c:ptCount val="2"/>
                <c:pt idx="0">
                  <c:v>6716.19</c:v>
                </c:pt>
                <c:pt idx="1">
                  <c:v>9643.99</c:v>
                </c:pt>
              </c:numCache>
            </c:numRef>
          </c:val>
        </c:ser>
        <c:dLbls>
          <c:showLegendKey val="0"/>
          <c:showVal val="0"/>
          <c:showCatName val="0"/>
          <c:showSerName val="0"/>
          <c:showPercent val="0"/>
          <c:showBubbleSize val="0"/>
        </c:dLbls>
        <c:gapWidth val="219"/>
        <c:overlap val="100"/>
        <c:axId val="107851776"/>
        <c:axId val="107853312"/>
      </c:barChart>
      <c:catAx>
        <c:axId val="107851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7853312"/>
        <c:crosses val="autoZero"/>
        <c:auto val="1"/>
        <c:lblAlgn val="ctr"/>
        <c:lblOffset val="100"/>
        <c:noMultiLvlLbl val="0"/>
      </c:catAx>
      <c:valAx>
        <c:axId val="10785331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7851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explosion val="1"/>
          <c:dPt>
            <c:idx val="0"/>
            <c:bubble3D val="0"/>
          </c:dPt>
          <c:dPt>
            <c:idx val="1"/>
            <c:bubble3D val="0"/>
          </c:dPt>
          <c:dPt>
            <c:idx val="2"/>
            <c:bubble3D val="0"/>
          </c:dPt>
          <c:dLbls>
            <c:delete val="1"/>
          </c:dLbls>
          <c:cat>
            <c:strRef>
              <c:f>Sheet1!$A$2:$A$4</c:f>
              <c:strCache>
                <c:ptCount val="3"/>
                <c:pt idx="0">
                  <c:v>一般公共预算</c:v>
                </c:pt>
                <c:pt idx="1">
                  <c:v>政府性基金预算</c:v>
                </c:pt>
                <c:pt idx="2">
                  <c:v>其他收入</c:v>
                </c:pt>
              </c:strCache>
            </c:strRef>
          </c:cat>
          <c:val>
            <c:numRef>
              <c:f>Sheet1!$B$2:$B$4</c:f>
              <c:numCache>
                <c:formatCode>General</c:formatCode>
                <c:ptCount val="3"/>
                <c:pt idx="0">
                  <c:v>9505.64</c:v>
                </c:pt>
                <c:pt idx="1">
                  <c:v>104.38</c:v>
                </c:pt>
                <c:pt idx="2">
                  <c:v>33.97</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Lbls>
            <c:delete val="1"/>
          </c:dLbls>
          <c:cat>
            <c:strRef>
              <c:f>Sheet1!$A$2:$A$3</c:f>
              <c:strCache>
                <c:ptCount val="2"/>
                <c:pt idx="0">
                  <c:v>基本支出</c:v>
                </c:pt>
                <c:pt idx="1">
                  <c:v>项目支出</c:v>
                </c:pt>
              </c:strCache>
            </c:strRef>
          </c:cat>
          <c:val>
            <c:numRef>
              <c:f>Sheet1!$B$2:$B$3</c:f>
              <c:numCache>
                <c:formatCode>General</c:formatCode>
                <c:ptCount val="2"/>
                <c:pt idx="0">
                  <c:v>844.88</c:v>
                </c:pt>
                <c:pt idx="1">
                  <c:v>8157.57</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财政拨款收、支决算总计变动情况表</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列1</c:v>
                </c:pt>
              </c:strCache>
            </c:strRef>
          </c:tx>
          <c:spPr>
            <a:solidFill>
              <a:schemeClr val="accent1"/>
            </a:solidFill>
            <a:ln>
              <a:noFill/>
            </a:ln>
            <a:effectLst/>
          </c:spPr>
          <c:invertIfNegative val="0"/>
          <c:dLbls>
            <c:delete val="1"/>
          </c:dLbls>
          <c:cat>
            <c:numRef>
              <c:f>Sheet1!$A$2:$A$3</c:f>
              <c:numCache>
                <c:formatCode>General</c:formatCode>
                <c:ptCount val="2"/>
                <c:pt idx="0">
                  <c:v>2019</c:v>
                </c:pt>
                <c:pt idx="1">
                  <c:v>2018</c:v>
                </c:pt>
              </c:numCache>
            </c:numRef>
          </c:cat>
          <c:val>
            <c:numRef>
              <c:f>Sheet1!$B$2:$B$3</c:f>
              <c:numCache>
                <c:formatCode>General</c:formatCode>
                <c:ptCount val="2"/>
                <c:pt idx="0">
                  <c:v>9643.99</c:v>
                </c:pt>
                <c:pt idx="1">
                  <c:v>6716.19</c:v>
                </c:pt>
              </c:numCache>
            </c:numRef>
          </c:val>
        </c:ser>
        <c:dLbls>
          <c:showLegendKey val="0"/>
          <c:showVal val="0"/>
          <c:showCatName val="0"/>
          <c:showSerName val="0"/>
          <c:showPercent val="0"/>
          <c:showBubbleSize val="0"/>
        </c:dLbls>
        <c:gapWidth val="219"/>
        <c:overlap val="-27"/>
        <c:axId val="81054336"/>
        <c:axId val="81064320"/>
      </c:barChart>
      <c:catAx>
        <c:axId val="81054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064320"/>
        <c:crosses val="autoZero"/>
        <c:auto val="1"/>
        <c:lblAlgn val="ctr"/>
        <c:lblOffset val="100"/>
        <c:noMultiLvlLbl val="0"/>
      </c:catAx>
      <c:valAx>
        <c:axId val="8106432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054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barChart>
        <c:barDir val="col"/>
        <c:grouping val="clustered"/>
        <c:varyColors val="0"/>
        <c:ser>
          <c:idx val="0"/>
          <c:order val="0"/>
          <c:tx>
            <c:strRef>
              <c:f>Sheet1!$B$1</c:f>
              <c:strCache>
                <c:ptCount val="1"/>
                <c:pt idx="0">
                  <c:v>一般公共预算拨款支出决算结构图</c:v>
                </c:pt>
              </c:strCache>
            </c:strRef>
          </c:tx>
          <c:spPr>
            <a:solidFill>
              <a:schemeClr val="accent1"/>
            </a:solidFill>
            <a:ln>
              <a:noFill/>
            </a:ln>
            <a:effectLst/>
          </c:spPr>
          <c:invertIfNegative val="0"/>
          <c:dLbls>
            <c:delete val="1"/>
          </c:dLbls>
          <c:cat>
            <c:numRef>
              <c:f>Sheet1!$A$2:$A$3</c:f>
              <c:numCache>
                <c:formatCode>General</c:formatCode>
                <c:ptCount val="2"/>
                <c:pt idx="0">
                  <c:v>2018</c:v>
                </c:pt>
                <c:pt idx="1">
                  <c:v>2019</c:v>
                </c:pt>
              </c:numCache>
            </c:numRef>
          </c:cat>
          <c:val>
            <c:numRef>
              <c:f>Sheet1!$B$2:$B$3</c:f>
              <c:numCache>
                <c:formatCode>General</c:formatCode>
                <c:ptCount val="2"/>
                <c:pt idx="0">
                  <c:v>4876.74</c:v>
                </c:pt>
                <c:pt idx="1">
                  <c:v>8840.23</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numRef>
              <c:f>Sheet1!$A$2:$A$3</c:f>
              <c:numCache>
                <c:formatCode>General</c:formatCode>
                <c:ptCount val="2"/>
                <c:pt idx="0">
                  <c:v>2018</c:v>
                </c:pt>
                <c:pt idx="1">
                  <c:v>2019</c:v>
                </c:pt>
              </c:numCache>
            </c:num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Sheet1!$A$2:$A$3</c:f>
              <c:numCache>
                <c:formatCode>General</c:formatCode>
                <c:ptCount val="2"/>
                <c:pt idx="0">
                  <c:v>2018</c:v>
                </c:pt>
                <c:pt idx="1">
                  <c:v>2019</c:v>
                </c:pt>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387564510"/>
        <c:axId val="428263029"/>
      </c:barChart>
      <c:catAx>
        <c:axId val="38756451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8263029"/>
        <c:crosses val="autoZero"/>
        <c:auto val="1"/>
        <c:lblAlgn val="ctr"/>
        <c:lblOffset val="100"/>
        <c:noMultiLvlLbl val="0"/>
      </c:catAx>
      <c:valAx>
        <c:axId val="42826302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756451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2050625"/>
          <c:y val="0.00519570488396259"/>
          <c:w val="0.542375"/>
          <c:h val="0.751472116383789"/>
        </c:manualLayout>
      </c:layout>
      <c:pieChart>
        <c:varyColors val="1"/>
        <c:ser>
          <c:idx val="0"/>
          <c:order val="0"/>
          <c:tx>
            <c:strRef>
              <c:f>Sheet1!$B$1</c:f>
              <c:strCache>
                <c:ptCount val="1"/>
                <c:pt idx="0">
                  <c:v>一般公共预算财政拨款支出决算结构图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文化旅游体育与传媒</c:v>
                </c:pt>
                <c:pt idx="1">
                  <c:v>社会保障和就业</c:v>
                </c:pt>
                <c:pt idx="2">
                  <c:v>卫生健康</c:v>
                </c:pt>
                <c:pt idx="3">
                  <c:v>住房保障</c:v>
                </c:pt>
              </c:strCache>
            </c:strRef>
          </c:cat>
          <c:val>
            <c:numRef>
              <c:f>Sheet1!$B$2:$B$5</c:f>
              <c:numCache>
                <c:formatCode>General</c:formatCode>
                <c:ptCount val="4"/>
                <c:pt idx="0">
                  <c:v>7591.24</c:v>
                </c:pt>
                <c:pt idx="1">
                  <c:v>101.45</c:v>
                </c:pt>
                <c:pt idx="2">
                  <c:v>42.6</c:v>
                </c:pt>
                <c:pt idx="3">
                  <c:v>60.5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三公经费财政拨款支出结构</a:t>
            </a:r>
            <a:endParaRPr altLang="en-US"/>
          </a:p>
        </c:rich>
      </c:tx>
      <c:layout>
        <c:manualLayout>
          <c:xMode val="edge"/>
          <c:yMode val="edge"/>
          <c:x val="0.216974303293522"/>
          <c:y val="0.0406393931183961"/>
        </c:manualLayout>
      </c:layout>
      <c:overlay val="0"/>
      <c:spPr>
        <a:noFill/>
        <a:ln>
          <a:noFill/>
        </a:ln>
        <a:effectLst/>
      </c:sp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公务接待费</c:v>
                </c:pt>
                <c:pt idx="1">
                  <c:v>公务用车运行费</c:v>
                </c:pt>
              </c:strCache>
            </c:strRef>
          </c:cat>
          <c:val>
            <c:numRef>
              <c:f>Sheet1!$B$2:$B$3</c:f>
              <c:numCache>
                <c:formatCode>General</c:formatCode>
                <c:ptCount val="2"/>
                <c:pt idx="0">
                  <c:v>0.73</c:v>
                </c:pt>
                <c:pt idx="1">
                  <c:v>9.29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6937B2-DD98-4B7E-9F2B-B17AD658CA13}">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49</Pages>
  <Words>3177</Words>
  <Characters>18115</Characters>
  <Lines>150</Lines>
  <Paragraphs>42</Paragraphs>
  <TotalTime>21</TotalTime>
  <ScaleCrop>false</ScaleCrop>
  <LinksUpToDate>false</LinksUpToDate>
  <CharactersWithSpaces>21250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2020-07-23T02:58:00Z</cp:lastPrinted>
  <dcterms:modified xsi:type="dcterms:W3CDTF">2020-11-11T09:18:47Z</dcterms:modified>
  <dc:title>四川省***</dc:title>
  <cp:revision>304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