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6" w:type="dxa"/>
        <w:tblCellSpacing w:w="0" w:type="dxa"/>
        <w:tblInd w:w="0" w:type="dxa"/>
        <w:shd w:val="clear" w:color="auto" w:fill="auto"/>
        <w:tblLayout w:type="fixed"/>
        <w:tblCellMar>
          <w:top w:w="0" w:type="dxa"/>
          <w:left w:w="0" w:type="dxa"/>
          <w:bottom w:w="0" w:type="dxa"/>
          <w:right w:w="0" w:type="dxa"/>
        </w:tblCellMar>
      </w:tblPr>
      <w:tblGrid>
        <w:gridCol w:w="6"/>
      </w:tblGrid>
      <w:tr>
        <w:tblPrEx>
          <w:tblCellMar>
            <w:top w:w="0" w:type="dxa"/>
            <w:left w:w="0" w:type="dxa"/>
            <w:bottom w:w="0" w:type="dxa"/>
            <w:right w:w="0" w:type="dxa"/>
          </w:tblCellMar>
        </w:tblPrEx>
        <w:trPr>
          <w:trHeight w:val="225" w:hRule="atLeast"/>
          <w:tblCellSpacing w:w="0" w:type="dxa"/>
        </w:trPr>
        <w:tc>
          <w:tcPr>
            <w:tcW w:w="6" w:type="dxa"/>
            <w:shd w:val="clear" w:color="auto" w:fill="auto"/>
            <w:vAlign w:val="center"/>
          </w:tcPr>
          <w:p>
            <w:pPr>
              <w:pageBreakBefore w:val="0"/>
              <w:kinsoku/>
              <w:wordWrap/>
              <w:overflowPunct/>
              <w:topLinePunct w:val="0"/>
              <w:bidi w:val="0"/>
              <w:snapToGrid/>
              <w:spacing w:line="576" w:lineRule="atLeast"/>
              <w:ind w:firstLine="640" w:firstLineChars="200"/>
              <w:textAlignment w:val="auto"/>
              <w:rPr>
                <w:rFonts w:hint="eastAsia" w:ascii="仿宋_GB2312" w:hAnsi="仿宋_GB2312" w:eastAsia="仿宋_GB2312" w:cs="仿宋_GB2312"/>
                <w:sz w:val="32"/>
                <w:szCs w:val="32"/>
              </w:rPr>
            </w:pPr>
          </w:p>
        </w:tc>
      </w:tr>
    </w:tbl>
    <w:p>
      <w:pPr>
        <w:pStyle w:val="2"/>
        <w:pageBreakBefore w:val="0"/>
        <w:kinsoku/>
        <w:wordWrap/>
        <w:overflowPunct/>
        <w:topLinePunct w:val="0"/>
        <w:bidi w:val="0"/>
        <w:snapToGrid/>
        <w:spacing w:line="576" w:lineRule="atLeast"/>
        <w:ind w:firstLine="963" w:firstLineChars="200"/>
        <w:jc w:val="center"/>
        <w:textAlignment w:val="auto"/>
        <w:rPr>
          <w:rFonts w:hint="eastAsia" w:ascii="黑体" w:hAnsi="黑体" w:eastAsia="黑体" w:cs="黑体"/>
          <w:sz w:val="48"/>
          <w:szCs w:val="48"/>
        </w:rPr>
      </w:pPr>
      <w:bookmarkStart w:id="0" w:name="_Toc26514"/>
      <w:bookmarkStart w:id="1" w:name="_Toc15396475"/>
      <w:bookmarkStart w:id="2" w:name="_Toc15378441"/>
      <w:bookmarkStart w:id="3" w:name="_Toc15377193"/>
      <w:bookmarkStart w:id="4" w:name="_Toc15377425"/>
      <w:bookmarkStart w:id="5" w:name="_Toc8329"/>
      <w:bookmarkStart w:id="6" w:name="_Toc15396597"/>
      <w:r>
        <w:rPr>
          <w:rFonts w:hint="eastAsia" w:ascii="黑体" w:hAnsi="黑体" w:eastAsia="黑体" w:cs="黑体"/>
          <w:sz w:val="48"/>
          <w:szCs w:val="48"/>
        </w:rPr>
        <w:t>20</w:t>
      </w:r>
      <w:r>
        <w:rPr>
          <w:rFonts w:hint="eastAsia" w:ascii="黑体" w:hAnsi="黑体" w:eastAsia="黑体" w:cs="黑体"/>
          <w:sz w:val="48"/>
          <w:szCs w:val="48"/>
          <w:lang w:val="en-US" w:eastAsia="zh-CN"/>
        </w:rPr>
        <w:t>22</w:t>
      </w:r>
      <w:r>
        <w:rPr>
          <w:rFonts w:hint="eastAsia" w:ascii="黑体" w:hAnsi="黑体" w:eastAsia="黑体" w:cs="黑体"/>
          <w:sz w:val="48"/>
          <w:szCs w:val="48"/>
        </w:rPr>
        <w:t>年度</w:t>
      </w:r>
      <w:bookmarkEnd w:id="0"/>
      <w:bookmarkEnd w:id="1"/>
      <w:bookmarkEnd w:id="2"/>
      <w:bookmarkEnd w:id="3"/>
      <w:bookmarkEnd w:id="4"/>
      <w:bookmarkEnd w:id="5"/>
      <w:bookmarkEnd w:id="6"/>
    </w:p>
    <w:p>
      <w:pPr>
        <w:pStyle w:val="2"/>
        <w:pageBreakBefore w:val="0"/>
        <w:kinsoku/>
        <w:wordWrap/>
        <w:overflowPunct/>
        <w:topLinePunct w:val="0"/>
        <w:bidi w:val="0"/>
        <w:snapToGrid/>
        <w:spacing w:line="576" w:lineRule="atLeast"/>
        <w:ind w:firstLine="963" w:firstLineChars="200"/>
        <w:jc w:val="center"/>
        <w:textAlignment w:val="auto"/>
        <w:rPr>
          <w:rFonts w:hint="eastAsia" w:ascii="黑体" w:hAnsi="黑体" w:eastAsia="黑体" w:cs="黑体"/>
          <w:sz w:val="48"/>
          <w:szCs w:val="48"/>
        </w:rPr>
      </w:pPr>
      <w:bookmarkStart w:id="7" w:name="_Toc15396598"/>
      <w:bookmarkStart w:id="8" w:name="_Toc15378442"/>
      <w:bookmarkStart w:id="9" w:name="_Toc9431"/>
      <w:bookmarkStart w:id="10" w:name="_Toc15396476"/>
      <w:bookmarkStart w:id="11" w:name="_Toc26985"/>
      <w:bookmarkStart w:id="12" w:name="_Toc15377426"/>
      <w:bookmarkStart w:id="13" w:name="_Toc15377194"/>
      <w:r>
        <w:rPr>
          <w:rFonts w:hint="eastAsia" w:ascii="黑体" w:hAnsi="黑体" w:eastAsia="黑体" w:cs="黑体"/>
          <w:sz w:val="48"/>
          <w:szCs w:val="48"/>
          <w:lang w:eastAsia="zh-CN"/>
        </w:rPr>
        <w:t>红原县</w:t>
      </w:r>
      <w:bookmarkStart w:id="14" w:name="_Toc15306268"/>
      <w:r>
        <w:rPr>
          <w:rFonts w:hint="eastAsia" w:ascii="黑体" w:hAnsi="黑体" w:eastAsia="黑体" w:cs="黑体"/>
          <w:sz w:val="48"/>
          <w:szCs w:val="48"/>
          <w:lang w:val="en-US" w:eastAsia="zh-CN"/>
        </w:rPr>
        <w:t>融媒体</w:t>
      </w:r>
      <w:r>
        <w:rPr>
          <w:rFonts w:hint="eastAsia" w:ascii="黑体" w:hAnsi="黑体" w:eastAsia="黑体" w:cs="黑体"/>
          <w:sz w:val="48"/>
          <w:szCs w:val="48"/>
          <w:lang w:eastAsia="zh-CN"/>
        </w:rPr>
        <w:t>中心</w:t>
      </w:r>
      <w:r>
        <w:rPr>
          <w:rFonts w:hint="eastAsia" w:ascii="黑体" w:hAnsi="黑体" w:eastAsia="黑体" w:cs="黑体"/>
          <w:sz w:val="48"/>
          <w:szCs w:val="48"/>
        </w:rPr>
        <w:t>决算</w:t>
      </w:r>
      <w:bookmarkEnd w:id="7"/>
      <w:bookmarkEnd w:id="8"/>
      <w:bookmarkEnd w:id="9"/>
      <w:bookmarkEnd w:id="10"/>
      <w:bookmarkEnd w:id="11"/>
      <w:bookmarkEnd w:id="12"/>
      <w:bookmarkEnd w:id="13"/>
      <w:bookmarkEnd w:id="14"/>
    </w:p>
    <w:p>
      <w:pPr>
        <w:pageBreakBefore w:val="0"/>
        <w:kinsoku/>
        <w:wordWrap/>
        <w:overflowPunct/>
        <w:topLinePunct w:val="0"/>
        <w:bidi w:val="0"/>
        <w:snapToGrid/>
        <w:spacing w:line="576" w:lineRule="atLeast"/>
        <w:ind w:firstLine="720" w:firstLineChars="200"/>
        <w:jc w:val="left"/>
        <w:textAlignment w:val="auto"/>
        <w:rPr>
          <w:rFonts w:hint="eastAsia" w:ascii="黑体" w:hAnsi="黑体" w:eastAsia="黑体" w:cs="黑体"/>
          <w:sz w:val="36"/>
          <w:szCs w:val="36"/>
        </w:rPr>
      </w:pPr>
    </w:p>
    <w:p>
      <w:pPr>
        <w:pageBreakBefore w:val="0"/>
        <w:kinsoku/>
        <w:wordWrap/>
        <w:overflowPunct/>
        <w:topLinePunct w:val="0"/>
        <w:autoSpaceDE w:val="0"/>
        <w:autoSpaceDN w:val="0"/>
        <w:bidi w:val="0"/>
        <w:adjustRightInd w:val="0"/>
        <w:snapToGrid/>
        <w:spacing w:line="576" w:lineRule="atLeast"/>
        <w:ind w:firstLine="640" w:firstLineChars="200"/>
        <w:jc w:val="left"/>
        <w:textAlignment w:val="auto"/>
        <w:rPr>
          <w:rFonts w:eastAsia="仿宋_GB2312"/>
          <w:sz w:val="32"/>
          <w:szCs w:val="32"/>
        </w:rPr>
      </w:pPr>
      <w:r>
        <w:rPr>
          <w:rFonts w:hint="eastAsia" w:ascii="仿宋_GB2312" w:hAnsi="Calibri" w:eastAsia="仿宋_GB2312" w:cs="仿宋_GB2312"/>
          <w:sz w:val="32"/>
          <w:szCs w:val="32"/>
        </w:rPr>
        <w:t>保密审查情况：已审查，内容审定</w:t>
      </w:r>
    </w:p>
    <w:p>
      <w:pPr>
        <w:pageBreakBefore w:val="0"/>
        <w:widowControl/>
        <w:kinsoku/>
        <w:wordWrap/>
        <w:overflowPunct/>
        <w:topLinePunct w:val="0"/>
        <w:bidi w:val="0"/>
        <w:snapToGrid/>
        <w:spacing w:line="576" w:lineRule="atLeast"/>
        <w:ind w:firstLine="640" w:firstLineChars="200"/>
        <w:jc w:val="left"/>
        <w:textAlignment w:val="auto"/>
        <w:rPr>
          <w:rFonts w:hint="eastAsia" w:ascii="仿宋_GB2312" w:hAnsi="Calibri" w:eastAsia="仿宋_GB2312" w:cs="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w:t>
      </w:r>
    </w:p>
    <w:p>
      <w:pPr>
        <w:pStyle w:val="2"/>
        <w:pageBreakBefore w:val="0"/>
        <w:kinsoku/>
        <w:wordWrap/>
        <w:overflowPunct/>
        <w:topLinePunct w:val="0"/>
        <w:bidi w:val="0"/>
        <w:snapToGrid/>
        <w:spacing w:line="576" w:lineRule="atLeast"/>
        <w:ind w:firstLine="880" w:firstLineChars="200"/>
        <w:jc w:val="center"/>
        <w:textAlignment w:val="auto"/>
        <w:rPr>
          <w:rFonts w:hint="eastAsia" w:ascii="仿宋_GB2312" w:hAnsi="Calibri" w:eastAsia="仿宋_GB2312" w:cs="仿宋_GB2312"/>
          <w:sz w:val="32"/>
          <w:szCs w:val="32"/>
        </w:rPr>
      </w:pPr>
      <w:r>
        <w:rPr>
          <w:rFonts w:hint="eastAsia" w:ascii="黑体" w:hAnsi="黑体" w:eastAsia="黑体"/>
          <w:b w:val="0"/>
        </w:rPr>
        <w:t xml:space="preserve">第一部分 </w:t>
      </w:r>
      <w:r>
        <w:rPr>
          <w:rStyle w:val="39"/>
          <w:rFonts w:hint="eastAsia" w:ascii="黑体" w:hAnsi="黑体" w:eastAsia="黑体"/>
          <w:b w:val="0"/>
          <w:bCs w:val="0"/>
        </w:rPr>
        <w:t>部门概况</w:t>
      </w:r>
    </w:p>
    <w:p>
      <w:pPr>
        <w:pageBreakBefore w:val="0"/>
        <w:widowControl/>
        <w:kinsoku/>
        <w:wordWrap/>
        <w:overflowPunct/>
        <w:topLinePunct w:val="0"/>
        <w:bidi w:val="0"/>
        <w:snapToGrid/>
        <w:spacing w:line="576" w:lineRule="atLeast"/>
        <w:ind w:firstLine="640" w:firstLineChars="200"/>
        <w:jc w:val="left"/>
        <w:textAlignment w:val="auto"/>
        <w:rPr>
          <w:rFonts w:hint="eastAsia" w:ascii="仿宋_GB2312" w:hAnsi="Calibri" w:eastAsia="仿宋_GB2312" w:cs="仿宋_GB2312"/>
          <w:sz w:val="32"/>
          <w:szCs w:val="32"/>
        </w:rPr>
      </w:pP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100" w:afterAutospacing="0" w:line="576" w:lineRule="atLeast"/>
        <w:ind w:left="0" w:right="0" w:firstLine="480" w:firstLineChars="200"/>
        <w:textAlignment w:val="auto"/>
      </w:pPr>
      <w:r>
        <w:rPr>
          <w:rFonts w:hint="eastAsia" w:ascii="宋体" w:hAnsi="宋体" w:eastAsia="宋体" w:cs="宋体"/>
          <w:color w:val="000000"/>
          <w:sz w:val="24"/>
          <w:szCs w:val="24"/>
          <w:shd w:val="clear" w:fill="FFFFFF"/>
        </w:rPr>
        <w:t> </w:t>
      </w:r>
      <w:bookmarkStart w:id="15" w:name="_Toc1868"/>
      <w:bookmarkStart w:id="16" w:name="_Toc23669"/>
      <w:bookmarkStart w:id="17" w:name="_Toc15779"/>
      <w:bookmarkStart w:id="18" w:name="_Toc13922"/>
      <w:bookmarkStart w:id="19" w:name="_Toc30256"/>
      <w:r>
        <w:rPr>
          <w:rFonts w:ascii="黑体" w:hAnsi="宋体" w:eastAsia="黑体" w:cs="黑体"/>
          <w:b/>
          <w:bCs/>
          <w:color w:val="000000"/>
          <w:sz w:val="32"/>
          <w:szCs w:val="32"/>
          <w:shd w:val="clear" w:fill="FFFFFF"/>
        </w:rPr>
        <w:t>一、基本职能及主要工作</w:t>
      </w:r>
      <w:bookmarkEnd w:id="15"/>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100" w:afterAutospacing="0" w:line="576" w:lineRule="atLeast"/>
        <w:ind w:left="0" w:firstLine="642" w:firstLineChars="200"/>
        <w:textAlignment w:val="auto"/>
      </w:pPr>
      <w:r>
        <w:rPr>
          <w:rFonts w:ascii="楷体_GB2312" w:eastAsia="楷体_GB2312" w:cs="楷体_GB2312"/>
          <w:b/>
          <w:bCs/>
          <w:color w:val="000000"/>
          <w:sz w:val="32"/>
          <w:szCs w:val="32"/>
          <w:shd w:val="clear" w:fill="FFFFFF"/>
        </w:rPr>
        <w:t>（一）主要职能。</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ascii="仿宋_GB2312" w:eastAsia="仿宋_GB2312" w:cs="仿宋_GB2312"/>
          <w:color w:val="000000"/>
          <w:sz w:val="32"/>
          <w:szCs w:val="32"/>
        </w:rPr>
        <w:t>（1）负责贯彻落实党的新闻宣传方针政策，宣传党的理论、路线和各项方针政策，把握新闻宣传基调，坚持正面宣传，为全县经济社会发展提供舆论支持。</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（2）负责围绕县委、县政府中心工作，积极开展对内对外新闻宣传报道，落实全县新闻报道计划，完成宣传任务。</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（3）负责全县电视、网站以及“两微一端”等新媒体新闻宣传报道的策划、采集、编辑、审核、播出工作。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（4）负责全县各单位（网站、网页、上传稿件等）对外宣传新闻稿件审核工作。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（5）负责县委县政府交办的各类宣传片、专题片、汇报片的策划、拍摄、制作、推广工作。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（6）负责全县新闻业务管理指导和对外通联工作，协助配合衔接上级媒体和新闻单位来县采访及其他协调服务工作。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（7）负责全县新闻通讯员业务技能培训，协助抓好全县新闻人才队伍建设。</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（8）负责会同有关部门做好新媒体推广工作。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（9）负责全县民族语言文字的藏汉翻译、藏语配音工作。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（10）负责参与编制全县广播电视事业发展规划、项目申报并组织实施。</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（11）负责全县广播和有线电视传输网络调试、巡查、维修、维护等工作，确保电视广播网络安全运行，节目安全播出。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firstLine="640" w:firstLineChars="200"/>
        <w:jc w:val="both"/>
        <w:textAlignment w:val="auto"/>
        <w:rPr>
          <w:rFonts w:hint="default" w:ascii="仿宋_GB2312" w:eastAsia="仿宋_GB2312" w:cs="仿宋_GB2312"/>
          <w:color w:val="000000"/>
          <w:sz w:val="32"/>
          <w:szCs w:val="32"/>
        </w:rPr>
      </w:pPr>
      <w:bookmarkStart w:id="68" w:name="_GoBack"/>
      <w:bookmarkEnd w:id="68"/>
      <w:r>
        <w:rPr>
          <w:rFonts w:hint="default" w:ascii="仿宋_GB2312" w:eastAsia="仿宋_GB2312" w:cs="仿宋_GB2312"/>
          <w:color w:val="000000"/>
          <w:sz w:val="32"/>
          <w:szCs w:val="32"/>
        </w:rPr>
        <w:t>（12）完成县委、县政府、县委宣传部交办的其他工作。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638" w:firstLine="642" w:firstLineChars="200"/>
        <w:jc w:val="both"/>
        <w:textAlignment w:val="auto"/>
        <w:rPr>
          <w:rFonts w:hint="eastAsia" w:ascii="楷体_GB2312" w:eastAsia="楷体_GB2312" w:cs="楷体_GB2312"/>
          <w:b/>
          <w:bCs/>
          <w:color w:val="000000"/>
          <w:sz w:val="32"/>
          <w:szCs w:val="32"/>
          <w:shd w:val="clear" w:fill="FFFFFF"/>
        </w:rPr>
      </w:pPr>
      <w:r>
        <w:rPr>
          <w:rFonts w:hint="eastAsia" w:ascii="楷体_GB2312" w:eastAsia="楷体_GB2312" w:cs="楷体_GB2312"/>
          <w:b/>
          <w:bCs/>
          <w:color w:val="000000"/>
          <w:sz w:val="32"/>
          <w:szCs w:val="32"/>
          <w:shd w:val="clear" w:fill="FFFFFF"/>
        </w:rPr>
        <w:t>（二）202</w:t>
      </w:r>
      <w:r>
        <w:rPr>
          <w:rFonts w:hint="eastAsia" w:ascii="楷体_GB2312" w:eastAsia="楷体_GB2312" w:cs="楷体_GB2312"/>
          <w:b/>
          <w:bCs/>
          <w:color w:val="000000"/>
          <w:sz w:val="32"/>
          <w:szCs w:val="32"/>
          <w:shd w:val="clear" w:fill="FFFFFF"/>
          <w:lang w:val="en-US" w:eastAsia="zh-CN"/>
        </w:rPr>
        <w:t>2</w:t>
      </w:r>
      <w:r>
        <w:rPr>
          <w:rFonts w:hint="eastAsia" w:ascii="楷体_GB2312" w:eastAsia="楷体_GB2312" w:cs="楷体_GB2312"/>
          <w:b/>
          <w:bCs/>
          <w:color w:val="000000"/>
          <w:sz w:val="32"/>
          <w:szCs w:val="32"/>
          <w:shd w:val="clear" w:fill="FFFFFF"/>
        </w:rPr>
        <w:t>年重点工作完成情况。</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638" w:firstLine="640" w:firstLineChars="200"/>
        <w:jc w:val="both"/>
        <w:textAlignment w:val="auto"/>
        <w:rPr>
          <w:rFonts w:hint="eastAsia" w:ascii="楷体_GB2312" w:eastAsia="楷体_GB2312" w:cs="楷体_GB2312"/>
          <w:b/>
          <w:bCs/>
          <w:color w:val="000000"/>
          <w:sz w:val="32"/>
          <w:szCs w:val="32"/>
          <w:shd w:val="clear" w:fill="FFFFFF"/>
        </w:rPr>
      </w:pPr>
      <w:r>
        <w:rPr>
          <w:rFonts w:hint="eastAsia" w:ascii="仿宋_GB2312" w:hAnsi="仿宋_GB2312" w:eastAsia="仿宋_GB2312" w:cs="仿宋_GB2312"/>
          <w:sz w:val="32"/>
          <w:szCs w:val="32"/>
          <w:lang w:val="en-US" w:eastAsia="zh-CN"/>
        </w:rPr>
        <w:t>中心紧贴县委、县政府中心工作，以县域经济发展、现代草原畜牧业、民族团结、文旅融合、乡村振兴等工作特色，精心谋划新闻选题、选准报道方法，全面深入地报道我县经济和社会事业成长的新思路、新举措、新范例、新成效，圆满完成了宣传任务。截至目前，</w:t>
      </w:r>
      <w:r>
        <w:rPr>
          <w:rFonts w:hint="eastAsia" w:ascii="仿宋_GB2312" w:hAnsi="仿宋_GB2312" w:eastAsia="仿宋_GB2312" w:cs="仿宋_GB2312"/>
          <w:color w:val="auto"/>
          <w:sz w:val="32"/>
          <w:szCs w:val="32"/>
          <w:lang w:val="en-US" w:eastAsia="zh-CN"/>
        </w:rPr>
        <w:t>国家级媒体（包括新媒体）发布红原稿件30余条，省级媒体（包括新媒体）发布红原稿件60余条，州级媒体发布红原稿件超过140余条。</w:t>
      </w:r>
      <w:r>
        <w:rPr>
          <w:rFonts w:hint="eastAsia" w:ascii="仿宋_GB2312" w:hAnsi="仿宋_GB2312" w:eastAsia="仿宋_GB2312" w:cs="仿宋_GB2312"/>
          <w:sz w:val="32"/>
          <w:szCs w:val="32"/>
          <w:lang w:val="en-US" w:eastAsia="zh-CN"/>
        </w:rPr>
        <w:t>中心播出汉语新闻450余条 160余期，藏语新闻 420条 160余期。微红原创稿1200余条，红原县融媒体中心官方抖音发布540余条，粉丝数上升到3.8万；为全县的经济社会转型跨越发展谋势造势、为讲好红原故事营造了浓厚的氛围。</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638" w:firstLine="642" w:firstLineChars="200"/>
        <w:textAlignment w:val="auto"/>
      </w:pPr>
      <w:r>
        <w:rPr>
          <w:rFonts w:hint="eastAsia" w:ascii="楷体_GB2312" w:eastAsia="楷体_GB2312" w:cs="楷体_GB2312"/>
          <w:b/>
          <w:bCs/>
          <w:color w:val="000000"/>
          <w:sz w:val="32"/>
          <w:szCs w:val="32"/>
          <w:shd w:val="clear" w:fill="FFFFFF"/>
        </w:rPr>
        <w:t>（三）队伍建设不断加强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深入学习贯彻习近平总书记在全国宣传思想工作会议上的重要讲话精神，坚持守正创新，坚持党管媒体的原则，切实加强中心班子和党支部建设，强化政治理论和业务技能学习，不断提升党管媒体的能力和水平。</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一是强化班子建设。</w:t>
      </w:r>
      <w:r>
        <w:rPr>
          <w:rFonts w:hint="default" w:ascii="仿宋_GB2312" w:eastAsia="仿宋_GB2312" w:cs="仿宋_GB2312"/>
          <w:color w:val="000000"/>
          <w:sz w:val="32"/>
          <w:szCs w:val="32"/>
        </w:rPr>
        <w:t>在县委的关心关怀下，对领导班子进行了调配，班子力量得到了大力提升。工作中始终认真落实班子集中学习、民主集中制等制度，严肃党内政治生活，细化班子责任分工，强化担当作为、干事创业，坚决贯彻落实好党风廉政建设、意识形态、扫黑除恶专项斗争等相关责任制，确保各项重点工作在中心落地落实。今年来，中心召开班子会集中学习讨论、研究问题</w:t>
      </w:r>
      <w:r>
        <w:rPr>
          <w:rFonts w:hint="eastAsia" w:ascii="仿宋_GB2312" w:eastAsia="仿宋_GB2312" w:cs="仿宋_GB2312"/>
          <w:color w:val="000000"/>
          <w:sz w:val="32"/>
          <w:szCs w:val="32"/>
          <w:lang w:val="en-US" w:eastAsia="zh-CN"/>
        </w:rPr>
        <w:t>60</w:t>
      </w:r>
      <w:r>
        <w:rPr>
          <w:rFonts w:hint="default" w:ascii="仿宋_GB2312" w:eastAsia="仿宋_GB2312" w:cs="仿宋_GB2312"/>
          <w:color w:val="000000"/>
          <w:sz w:val="32"/>
          <w:szCs w:val="32"/>
        </w:rPr>
        <w:t>余次，有效解决困难问题</w:t>
      </w:r>
      <w:r>
        <w:rPr>
          <w:rFonts w:hint="eastAsia" w:ascii="仿宋_GB2312" w:eastAsia="仿宋_GB2312" w:cs="仿宋_GB2312"/>
          <w:color w:val="000000"/>
          <w:sz w:val="32"/>
          <w:szCs w:val="32"/>
          <w:lang w:val="en-US" w:eastAsia="zh-CN"/>
        </w:rPr>
        <w:t>50</w:t>
      </w:r>
      <w:r>
        <w:rPr>
          <w:rFonts w:hint="default" w:ascii="仿宋_GB2312" w:eastAsia="仿宋_GB2312" w:cs="仿宋_GB2312"/>
          <w:color w:val="000000"/>
          <w:sz w:val="32"/>
          <w:szCs w:val="32"/>
        </w:rPr>
        <w:t>余个，班子能力与中心工作得到了进一步增强。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二是强化理论武装</w:t>
      </w:r>
      <w:r>
        <w:rPr>
          <w:rFonts w:hint="default" w:ascii="仿宋_GB2312" w:eastAsia="仿宋_GB2312" w:cs="仿宋_GB2312"/>
          <w:color w:val="000000"/>
          <w:sz w:val="32"/>
          <w:szCs w:val="32"/>
        </w:rPr>
        <w:t>。严格执行每周政治业务学习制度，深入学习贯彻习近平新时代中国特色社会主义思想、中央第七次西藏工作座谈会精神，认真学习贯彻中央和省委、州委、县委各类会议、文件精神，不断增强四个“意识”，坚定“四个自信”，做到“两个维护”，坚定不移听党话、跟党走。今年来，累计开展政治业务学习</w:t>
      </w:r>
      <w:r>
        <w:rPr>
          <w:rFonts w:hint="eastAsia" w:ascii="仿宋_GB2312" w:eastAsia="仿宋_GB2312" w:cs="仿宋_GB2312"/>
          <w:color w:val="000000"/>
          <w:sz w:val="32"/>
          <w:szCs w:val="32"/>
          <w:lang w:val="en-US" w:eastAsia="zh-CN"/>
        </w:rPr>
        <w:t>40</w:t>
      </w:r>
      <w:r>
        <w:rPr>
          <w:rFonts w:hint="default" w:ascii="仿宋_GB2312" w:eastAsia="仿宋_GB2312" w:cs="仿宋_GB2312"/>
          <w:color w:val="000000"/>
          <w:sz w:val="32"/>
          <w:szCs w:val="32"/>
        </w:rPr>
        <w:t>余次，中心领导干部理论水平和业务能力得到了进一步增强。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三是强化支部建设。</w:t>
      </w:r>
      <w:r>
        <w:rPr>
          <w:rFonts w:hint="default" w:ascii="仿宋_GB2312" w:eastAsia="仿宋_GB2312" w:cs="仿宋_GB2312"/>
          <w:color w:val="000000"/>
          <w:sz w:val="32"/>
          <w:szCs w:val="32"/>
        </w:rPr>
        <w:t>严格落实好“三会一课”制度，不断丰富党内组织生活形式。严格按照县委“不忘初心、牢记使命”主题教育工作领导小组统一安排部署，结合工作实际，认真开展学习教育、调查研究、检视问题、整改落实，扎实开好中心领导班子“不忘初心、牢记使命”专题民主生活会和党支部“不忘初心、牢记使命”专题组织生活会，党员干部深入检视问题不足，深刻剖析原因教训，明确整改方向措施，认真开展批评与自我批评，实现了“理论学习有收获、思想政治受洗礼、干事创业敢担当、为民服务。</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bookmarkStart w:id="20" w:name="_Toc2098"/>
      <w:bookmarkStart w:id="21" w:name="_Toc28523"/>
      <w:bookmarkStart w:id="22" w:name="_Toc32141"/>
      <w:bookmarkStart w:id="23" w:name="_Toc2728"/>
      <w:bookmarkStart w:id="24" w:name="_Toc25846"/>
      <w:r>
        <w:rPr>
          <w:rFonts w:hint="eastAsia" w:ascii="黑体" w:hAnsi="宋体" w:eastAsia="黑体" w:cs="黑体"/>
          <w:b/>
          <w:bCs/>
          <w:color w:val="000000"/>
          <w:sz w:val="32"/>
          <w:szCs w:val="32"/>
        </w:rPr>
        <w:t>二、中心建设全面完成</w:t>
      </w:r>
      <w:bookmarkEnd w:id="20"/>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pPr>
      <w:r>
        <w:rPr>
          <w:rFonts w:hint="default" w:ascii="仿宋_GB2312" w:eastAsia="仿宋_GB2312" w:cs="仿宋_GB2312"/>
          <w:color w:val="000000"/>
          <w:sz w:val="32"/>
          <w:szCs w:val="32"/>
        </w:rPr>
        <w:t>按照中央和省委、州委关于加强县级融媒体中心建设相关部署要求，在县委、县政府的坚强领导下，2019年7月15日县融媒体中心正式挂牌，各项工作稳步推进。</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一是机构改革顺利完成。</w:t>
      </w:r>
      <w:r>
        <w:rPr>
          <w:rFonts w:hint="default" w:ascii="仿宋_GB2312" w:eastAsia="仿宋_GB2312" w:cs="仿宋_GB2312"/>
          <w:color w:val="000000"/>
          <w:sz w:val="32"/>
          <w:szCs w:val="32"/>
        </w:rPr>
        <w:t xml:space="preserve">中心“三定”方案、职能整合、人员转隶等工作已全面完成，原广播电视台名称保留，为县政府直属事业单位，归口县委宣传部管理，核定中心事业编制  32名，设置领导职数 3名，股级领导职数  7名。目前，中心办公区域环境敞亮、区域合理、氛围浓厚，符合新时代县级融媒体中心发展要求。有干部职工 </w:t>
      </w:r>
      <w:r>
        <w:rPr>
          <w:rFonts w:hint="eastAsia" w:ascii="仿宋_GB2312" w:eastAsia="仿宋_GB2312" w:cs="仿宋_GB2312"/>
          <w:color w:val="000000"/>
          <w:sz w:val="32"/>
          <w:szCs w:val="32"/>
          <w:lang w:val="en-US" w:eastAsia="zh-CN"/>
        </w:rPr>
        <w:t>30</w:t>
      </w:r>
      <w:r>
        <w:rPr>
          <w:rFonts w:hint="default" w:ascii="仿宋_GB2312" w:eastAsia="仿宋_GB2312" w:cs="仿宋_GB2312"/>
          <w:color w:val="000000"/>
          <w:sz w:val="32"/>
          <w:szCs w:val="32"/>
        </w:rPr>
        <w:t xml:space="preserve">人（正式职工 </w:t>
      </w:r>
      <w:r>
        <w:rPr>
          <w:rFonts w:hint="eastAsia" w:ascii="仿宋_GB2312" w:eastAsia="仿宋_GB2312" w:cs="仿宋_GB2312"/>
          <w:color w:val="000000"/>
          <w:sz w:val="32"/>
          <w:szCs w:val="32"/>
          <w:lang w:val="en-US" w:eastAsia="zh-CN"/>
        </w:rPr>
        <w:t>28</w:t>
      </w:r>
      <w:r>
        <w:rPr>
          <w:rFonts w:hint="default" w:ascii="仿宋_GB2312" w:eastAsia="仿宋_GB2312" w:cs="仿宋_GB2312"/>
          <w:color w:val="000000"/>
          <w:sz w:val="32"/>
          <w:szCs w:val="32"/>
        </w:rPr>
        <w:t>人，聘用职工 2人，见习生</w:t>
      </w:r>
      <w:r>
        <w:rPr>
          <w:rFonts w:hint="eastAsia" w:ascii="仿宋_GB2312" w:eastAsia="仿宋_GB2312" w:cs="仿宋_GB2312"/>
          <w:color w:val="000000"/>
          <w:sz w:val="32"/>
          <w:szCs w:val="32"/>
          <w:lang w:val="en-US" w:eastAsia="zh-CN"/>
        </w:rPr>
        <w:t>1</w:t>
      </w:r>
      <w:r>
        <w:rPr>
          <w:rFonts w:hint="default" w:ascii="仿宋_GB2312" w:eastAsia="仿宋_GB2312" w:cs="仿宋_GB2312"/>
          <w:color w:val="000000"/>
          <w:sz w:val="32"/>
          <w:szCs w:val="32"/>
        </w:rPr>
        <w:t>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二是媒体融合高起点起步。</w:t>
      </w:r>
      <w:r>
        <w:rPr>
          <w:rFonts w:hint="default" w:ascii="仿宋_GB2312" w:eastAsia="仿宋_GB2312" w:cs="仿宋_GB2312"/>
          <w:color w:val="000000"/>
          <w:sz w:val="32"/>
          <w:szCs w:val="32"/>
        </w:rPr>
        <w:t>重建工作机制、重组内设机构、优化人员配置、整合技术力量，着力推进“一个中心”（融媒体中心）“两个集群”（电视群、手机群）“三个平台”（电视、网站、微信）“四项保障”（人、财、物、技术）建设，重构“采、编、发、播”流程，实现信息“一次采集，多样生成，多元传播，统一发声”，实现资源通融、宣传互融，“融媒体主力军进入宣传主阵地”。构建起了以紧扣“提高红原知名度和影响力”这个中心，实现“内宣有影响、外宣争一流、创优推品质”的工作格局。</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三是制度建设推陈出新。</w:t>
      </w:r>
      <w:r>
        <w:rPr>
          <w:rFonts w:hint="default" w:ascii="仿宋_GB2312" w:eastAsia="仿宋_GB2312" w:cs="仿宋_GB2312"/>
          <w:color w:val="000000"/>
          <w:sz w:val="32"/>
          <w:szCs w:val="32"/>
        </w:rPr>
        <w:t>为进一步规范新闻稿件内容审核、信息发布、把关机制流程和提高了新闻宣传质量、宣传效果，创新成立了中心编审委员会，探索建立了编前会、总结会制度及新闻稿件“三审三校”制度；为切实加强中心管理、转变工作作风、提高新闻宣传工作效率和服务质量，有效体现干与不干、干多与干少、干好与干坏的差别，采取定岗、定责、定人的合理分工、科学管理模式，创新制定了《红原县融媒体中心绩效考核管理办法》，切实把制度建设融入每一个岗位、每一项工作、每一个环节，以一整套行之有效的制度和规章，推动形成“靠制度管人、靠制度管事、靠制度规范运转”的良好工作格局。</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bookmarkStart w:id="25" w:name="_Toc8993"/>
      <w:bookmarkStart w:id="26" w:name="_Toc26232"/>
      <w:bookmarkStart w:id="27" w:name="_Toc32297"/>
      <w:bookmarkStart w:id="28" w:name="_Toc4997"/>
      <w:bookmarkStart w:id="29" w:name="_Toc11685"/>
      <w:r>
        <w:rPr>
          <w:rFonts w:hint="eastAsia" w:ascii="黑体" w:hAnsi="宋体" w:eastAsia="黑体" w:cs="黑体"/>
          <w:b/>
          <w:bCs/>
          <w:color w:val="000000"/>
          <w:sz w:val="32"/>
          <w:szCs w:val="32"/>
        </w:rPr>
        <w:t>三、媒体运营成效显著</w:t>
      </w:r>
      <w:bookmarkEnd w:id="25"/>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一是媒体融合持续推进。</w:t>
      </w:r>
      <w:r>
        <w:rPr>
          <w:rFonts w:hint="default" w:ascii="仿宋_GB2312" w:eastAsia="仿宋_GB2312" w:cs="仿宋_GB2312"/>
          <w:color w:val="000000"/>
          <w:sz w:val="32"/>
          <w:szCs w:val="32"/>
        </w:rPr>
        <w:t>制定出台《红原县媒体深度融合发展实施方案》，对微信、微博、抖音等新媒体重新定位和改版升级，将手机app（大美红原）移动客户端建设与全县智慧党建、智慧政务、智慧城市、旅游宣传等有机结合，着力打造广播、电视、微信、微博、手机app（大美红原）、网站等移动传播矩阵，形成载体多样、渠道丰富、覆盖广泛的地域特色媒体终端。目前，广播、电视、微信、微博、网站、抖音七大传播矩阵已融入中心并正常运转，手机app（大美红原）优化升级已完成，已经开始试运行。</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二是造血功能不断提升</w:t>
      </w:r>
      <w:r>
        <w:rPr>
          <w:rFonts w:hint="default" w:ascii="仿宋_GB2312" w:eastAsia="仿宋_GB2312" w:cs="仿宋_GB2312"/>
          <w:color w:val="000000"/>
          <w:sz w:val="32"/>
          <w:szCs w:val="32"/>
        </w:rPr>
        <w:t>。改变传统媒体广告宣传单一化弊端，抢抓融媒体发展优势，不断创新广告宣传模式，充分利用广播、电视、微信、等媒体平台，加大对文化旅游、生态产业、企业金融等领域的广告宣传，切实提高景区景点、餐饮住宿、产业产品知名度，实现了广告宣传多渠道增收。同时，不断提高电视专题片、宣传片的节目质量、宣传效果，切实加大与各乡镇（街道）、县直部门及社会企业的合作力度，宣传口碑、宣传效益得到了大幅提升。</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三是外宣注重提质提量。</w:t>
      </w:r>
      <w:r>
        <w:rPr>
          <w:rFonts w:hint="default" w:ascii="仿宋_GB2312" w:eastAsia="仿宋_GB2312" w:cs="仿宋_GB2312"/>
          <w:color w:val="000000"/>
          <w:sz w:val="32"/>
          <w:szCs w:val="32"/>
        </w:rPr>
        <w:t>中心始终坚持联合稳定鼓劲的方针，紧贴县委县政府的中心工作，精心谋划新闻选题、选准报道方法，并实时精确、全面深入地报道我县经济和社会事业成长的新思路、新举措、新范例、新成效，以成长晋升自身形象，圆满完成了宣传任务。截止目前，央视</w:t>
      </w:r>
      <w:r>
        <w:rPr>
          <w:rFonts w:hint="eastAsia" w:ascii="仿宋_GB2312" w:eastAsia="仿宋_GB2312" w:cs="仿宋_GB2312"/>
          <w:color w:val="000000"/>
          <w:sz w:val="32"/>
          <w:szCs w:val="32"/>
          <w:lang w:val="en-US" w:eastAsia="zh-CN"/>
        </w:rPr>
        <w:t>20余</w:t>
      </w:r>
      <w:r>
        <w:rPr>
          <w:rFonts w:hint="default" w:ascii="仿宋_GB2312" w:eastAsia="仿宋_GB2312" w:cs="仿宋_GB2312"/>
          <w:color w:val="000000"/>
          <w:sz w:val="32"/>
          <w:szCs w:val="32"/>
        </w:rPr>
        <w:t>条、四川卫视</w:t>
      </w:r>
      <w:r>
        <w:rPr>
          <w:rFonts w:hint="eastAsia" w:ascii="仿宋_GB2312" w:eastAsia="仿宋_GB2312" w:cs="仿宋_GB2312"/>
          <w:color w:val="000000"/>
          <w:sz w:val="32"/>
          <w:szCs w:val="32"/>
          <w:lang w:val="en-US" w:eastAsia="zh-CN"/>
        </w:rPr>
        <w:t>30</w:t>
      </w:r>
      <w:r>
        <w:rPr>
          <w:rFonts w:hint="default" w:ascii="仿宋_GB2312" w:eastAsia="仿宋_GB2312" w:cs="仿宋_GB2312"/>
          <w:color w:val="000000"/>
          <w:sz w:val="32"/>
          <w:szCs w:val="32"/>
        </w:rPr>
        <w:t>条、安多卫视</w:t>
      </w:r>
      <w:r>
        <w:rPr>
          <w:rFonts w:hint="eastAsia" w:ascii="仿宋_GB2312" w:eastAsia="仿宋_GB2312" w:cs="仿宋_GB2312"/>
          <w:color w:val="000000"/>
          <w:sz w:val="32"/>
          <w:szCs w:val="32"/>
          <w:lang w:val="en-US" w:eastAsia="zh-CN"/>
        </w:rPr>
        <w:t>40</w:t>
      </w:r>
      <w:r>
        <w:rPr>
          <w:rFonts w:hint="default" w:ascii="仿宋_GB2312" w:eastAsia="仿宋_GB2312" w:cs="仿宋_GB2312"/>
          <w:color w:val="000000"/>
          <w:sz w:val="32"/>
          <w:szCs w:val="32"/>
        </w:rPr>
        <w:t>条、康巴卫视</w:t>
      </w:r>
      <w:r>
        <w:rPr>
          <w:rFonts w:hint="eastAsia" w:ascii="仿宋_GB2312" w:eastAsia="仿宋_GB2312" w:cs="仿宋_GB2312"/>
          <w:color w:val="000000"/>
          <w:sz w:val="32"/>
          <w:szCs w:val="32"/>
          <w:lang w:val="en-US" w:eastAsia="zh-CN"/>
        </w:rPr>
        <w:t>50</w:t>
      </w:r>
      <w:r>
        <w:rPr>
          <w:rFonts w:hint="default" w:ascii="仿宋_GB2312" w:eastAsia="仿宋_GB2312" w:cs="仿宋_GB2312"/>
          <w:color w:val="000000"/>
          <w:sz w:val="32"/>
          <w:szCs w:val="32"/>
        </w:rPr>
        <w:t xml:space="preserve">条、州台 </w:t>
      </w:r>
      <w:r>
        <w:rPr>
          <w:rFonts w:hint="eastAsia" w:ascii="仿宋_GB2312" w:eastAsia="仿宋_GB2312" w:cs="仿宋_GB2312"/>
          <w:color w:val="000000"/>
          <w:sz w:val="32"/>
          <w:szCs w:val="32"/>
          <w:lang w:val="en-US" w:eastAsia="zh-CN"/>
        </w:rPr>
        <w:t>70</w:t>
      </w:r>
      <w:r>
        <w:rPr>
          <w:rFonts w:hint="default" w:ascii="仿宋_GB2312" w:eastAsia="仿宋_GB2312" w:cs="仿宋_GB2312"/>
          <w:color w:val="000000"/>
          <w:sz w:val="32"/>
          <w:szCs w:val="32"/>
        </w:rPr>
        <w:t xml:space="preserve">条、州藏语 </w:t>
      </w:r>
      <w:r>
        <w:rPr>
          <w:rFonts w:hint="eastAsia" w:ascii="仿宋_GB2312" w:eastAsia="仿宋_GB2312" w:cs="仿宋_GB2312"/>
          <w:color w:val="000000"/>
          <w:sz w:val="32"/>
          <w:szCs w:val="32"/>
          <w:lang w:val="en-US" w:eastAsia="zh-CN"/>
        </w:rPr>
        <w:t>85</w:t>
      </w:r>
      <w:r>
        <w:rPr>
          <w:rFonts w:hint="default" w:ascii="仿宋_GB2312" w:eastAsia="仿宋_GB2312" w:cs="仿宋_GB2312"/>
          <w:color w:val="000000"/>
          <w:sz w:val="32"/>
          <w:szCs w:val="32"/>
        </w:rPr>
        <w:t>条。我台播出汉语新闻</w:t>
      </w:r>
      <w:r>
        <w:rPr>
          <w:rFonts w:hint="eastAsia" w:ascii="仿宋_GB2312" w:eastAsia="仿宋_GB2312" w:cs="仿宋_GB2312"/>
          <w:color w:val="000000"/>
          <w:sz w:val="32"/>
          <w:szCs w:val="32"/>
          <w:lang w:val="en-US" w:eastAsia="zh-CN"/>
        </w:rPr>
        <w:t>360</w:t>
      </w:r>
      <w:r>
        <w:rPr>
          <w:rFonts w:hint="default" w:ascii="仿宋_GB2312" w:eastAsia="仿宋_GB2312" w:cs="仿宋_GB2312"/>
          <w:color w:val="000000"/>
          <w:sz w:val="32"/>
          <w:szCs w:val="32"/>
        </w:rPr>
        <w:t>条 126期，藏语新闻 364条 126期。人民日报1条、四川日报10条、四川经济日报</w:t>
      </w:r>
      <w:r>
        <w:rPr>
          <w:rFonts w:hint="eastAsia" w:ascii="仿宋_GB2312" w:eastAsia="仿宋_GB2312" w:cs="仿宋_GB2312"/>
          <w:color w:val="000000"/>
          <w:sz w:val="32"/>
          <w:szCs w:val="32"/>
          <w:lang w:val="en-US" w:eastAsia="zh-CN"/>
        </w:rPr>
        <w:t>20</w:t>
      </w:r>
      <w:r>
        <w:rPr>
          <w:rFonts w:hint="default" w:ascii="仿宋_GB2312" w:eastAsia="仿宋_GB2312" w:cs="仿宋_GB2312"/>
          <w:color w:val="000000"/>
          <w:sz w:val="32"/>
          <w:szCs w:val="32"/>
        </w:rPr>
        <w:t>条、阿坝日报</w:t>
      </w:r>
      <w:r>
        <w:rPr>
          <w:rFonts w:hint="eastAsia" w:ascii="仿宋_GB2312" w:eastAsia="仿宋_GB2312" w:cs="仿宋_GB2312"/>
          <w:color w:val="000000"/>
          <w:sz w:val="32"/>
          <w:szCs w:val="32"/>
          <w:lang w:val="en-US" w:eastAsia="zh-CN"/>
        </w:rPr>
        <w:t>25</w:t>
      </w:r>
      <w:r>
        <w:rPr>
          <w:rFonts w:hint="default" w:ascii="仿宋_GB2312" w:eastAsia="仿宋_GB2312" w:cs="仿宋_GB2312"/>
          <w:color w:val="000000"/>
          <w:sz w:val="32"/>
          <w:szCs w:val="32"/>
        </w:rPr>
        <w:t>5条，中央、省、州各级网站刊登红原稿件超过500条；微红原创稿</w:t>
      </w:r>
      <w:r>
        <w:rPr>
          <w:rFonts w:hint="eastAsia" w:ascii="仿宋_GB2312" w:eastAsia="仿宋_GB2312" w:cs="仿宋_GB2312"/>
          <w:color w:val="000000"/>
          <w:sz w:val="32"/>
          <w:szCs w:val="32"/>
          <w:lang w:val="en-US" w:eastAsia="zh-CN"/>
        </w:rPr>
        <w:t>1000余</w:t>
      </w:r>
      <w:r>
        <w:rPr>
          <w:rFonts w:hint="default" w:ascii="仿宋_GB2312" w:eastAsia="仿宋_GB2312" w:cs="仿宋_GB2312"/>
          <w:color w:val="000000"/>
          <w:sz w:val="32"/>
          <w:szCs w:val="32"/>
        </w:rPr>
        <w:t>条，点击率超1万次的有</w:t>
      </w:r>
      <w:r>
        <w:rPr>
          <w:rFonts w:hint="eastAsia" w:ascii="仿宋_GB2312" w:eastAsia="仿宋_GB2312" w:cs="仿宋_GB2312"/>
          <w:color w:val="000000"/>
          <w:sz w:val="32"/>
          <w:szCs w:val="32"/>
          <w:lang w:val="en-US" w:eastAsia="zh-CN"/>
        </w:rPr>
        <w:t>80</w:t>
      </w:r>
      <w:r>
        <w:rPr>
          <w:rFonts w:hint="default" w:ascii="仿宋_GB2312" w:eastAsia="仿宋_GB2312" w:cs="仿宋_GB2312"/>
          <w:color w:val="000000"/>
          <w:sz w:val="32"/>
          <w:szCs w:val="32"/>
        </w:rPr>
        <w:t>余条；为全县的经济社会转型跨越发展谋势造势、为讲好红原故事营造了浓厚的氛围。</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default" w:ascii="仿宋_GB2312" w:eastAsia="仿宋_GB2312" w:cs="仿宋_GB2312"/>
          <w:b/>
          <w:bCs/>
          <w:color w:val="000000"/>
          <w:sz w:val="32"/>
          <w:szCs w:val="32"/>
        </w:rPr>
        <w:t>四是安全播出无事故。</w:t>
      </w:r>
      <w:r>
        <w:rPr>
          <w:rFonts w:hint="default" w:ascii="仿宋_GB2312" w:eastAsia="仿宋_GB2312" w:cs="仿宋_GB2312"/>
          <w:color w:val="000000"/>
          <w:sz w:val="32"/>
          <w:szCs w:val="32"/>
        </w:rPr>
        <w:t>始终围绕安全播出工作要求，认真贯彻落实“不间断、高质量、既经济、又安全”的维护总方针，及时依照州局、县局安全播出的有关对安全优质播出标准精神和要求。安全播出工作中，狠抓部门管理、规划设计、网络建设、线路维护、设备维护，科学管理、创新观念、严谨务实，确保了广播电视网络的安全、优质、高效运行，实现了各项技术指标均优于上级规定的要求，圆满地完成了各种设备安装、系统升级改造、信号调度、以及设备维护、值机等各项工作任务，杜绝了一切政治事故和责任事故的发生，确保了全县广大收视观众的权益，取得了良好的经济效益和社会效益。</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bookmarkStart w:id="30" w:name="_Toc18401"/>
      <w:bookmarkStart w:id="31" w:name="_Toc21543"/>
      <w:bookmarkStart w:id="32" w:name="_Toc4209"/>
      <w:bookmarkStart w:id="33" w:name="_Toc6874"/>
      <w:bookmarkStart w:id="34" w:name="_Toc19921"/>
      <w:r>
        <w:rPr>
          <w:rFonts w:hint="eastAsia" w:ascii="黑体" w:hAnsi="宋体" w:eastAsia="黑体" w:cs="黑体"/>
          <w:b/>
          <w:bCs/>
          <w:color w:val="000000"/>
          <w:sz w:val="32"/>
          <w:szCs w:val="32"/>
        </w:rPr>
        <w:t>四、脱贫攻坚</w:t>
      </w:r>
      <w:r>
        <w:rPr>
          <w:rFonts w:hint="eastAsia" w:ascii="黑体" w:hAnsi="宋体" w:eastAsia="黑体" w:cs="黑体"/>
          <w:b/>
          <w:bCs/>
          <w:color w:val="000000"/>
          <w:sz w:val="32"/>
          <w:szCs w:val="32"/>
          <w:lang w:val="en-US" w:eastAsia="zh-CN"/>
        </w:rPr>
        <w:t>和乡村振兴有效衔接</w:t>
      </w:r>
      <w:r>
        <w:rPr>
          <w:rFonts w:hint="eastAsia" w:ascii="黑体" w:hAnsi="宋体" w:eastAsia="黑体" w:cs="黑体"/>
          <w:b/>
          <w:bCs/>
          <w:color w:val="000000"/>
          <w:sz w:val="32"/>
          <w:szCs w:val="32"/>
        </w:rPr>
        <w:t>扎实有力</w:t>
      </w:r>
      <w:bookmarkEnd w:id="30"/>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textAlignment w:val="auto"/>
      </w:pPr>
      <w:r>
        <w:rPr>
          <w:rFonts w:hint="default" w:ascii="仿宋_GB2312" w:eastAsia="仿宋_GB2312" w:cs="仿宋_GB2312"/>
          <w:color w:val="000000"/>
          <w:sz w:val="32"/>
          <w:szCs w:val="32"/>
        </w:rPr>
        <w:t>按照县委、县政府关于巩固提升脱贫攻坚巩成效的相关部署安排，县融媒体中心高度重视，成立由中心主任为组长，副主任为副组长的领导小组，下设脱贫攻坚办公室，由专职人员负责办公室工作。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一</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制定实施方案。</w:t>
      </w:r>
      <w:r>
        <w:rPr>
          <w:rFonts w:hint="default" w:ascii="仿宋_GB2312" w:eastAsia="仿宋_GB2312" w:cs="仿宋_GB2312"/>
          <w:color w:val="000000"/>
          <w:sz w:val="32"/>
          <w:szCs w:val="32"/>
        </w:rPr>
        <w:t>按照红原县精准扶贫建档立卡工作总体安排部署与要求，台领导班子结合实际，充分讨论研究，制定了帮扶措施及帮扶计划，提出了扶贫先扶志的基本要求，明确了台脱贫攻坚小组各成员职责及具体任务。</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二</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做好驻村帮扶工作。</w:t>
      </w:r>
      <w:r>
        <w:rPr>
          <w:rFonts w:hint="default" w:ascii="仿宋_GB2312" w:eastAsia="仿宋_GB2312" w:cs="仿宋_GB2312"/>
          <w:color w:val="000000"/>
          <w:sz w:val="32"/>
          <w:szCs w:val="32"/>
        </w:rPr>
        <w:t>为切实做好贫困户帮扶工作与紧密联系群众工作，我台派驻刷经寺广播站工作人员</w:t>
      </w:r>
      <w:r>
        <w:rPr>
          <w:rFonts w:hint="eastAsia" w:ascii="仿宋_GB2312" w:eastAsia="仿宋_GB2312" w:cs="仿宋_GB2312"/>
          <w:color w:val="000000"/>
          <w:sz w:val="32"/>
          <w:szCs w:val="32"/>
          <w:lang w:val="en-US" w:eastAsia="zh-CN"/>
        </w:rPr>
        <w:t>杨忠旦真</w:t>
      </w:r>
      <w:r>
        <w:rPr>
          <w:rFonts w:hint="default" w:ascii="仿宋_GB2312" w:eastAsia="仿宋_GB2312" w:cs="仿宋_GB2312"/>
          <w:color w:val="000000"/>
          <w:sz w:val="32"/>
          <w:szCs w:val="32"/>
        </w:rPr>
        <w:t>为驻村干部。确保做好扶贫对象户户能得到帮扶，户户有人落实帮扶。</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三</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切实落实走村入户调查。</w:t>
      </w:r>
      <w:r>
        <w:rPr>
          <w:rFonts w:hint="default" w:ascii="仿宋_GB2312" w:eastAsia="仿宋_GB2312" w:cs="仿宋_GB2312"/>
          <w:color w:val="000000"/>
          <w:sz w:val="32"/>
          <w:szCs w:val="32"/>
        </w:rPr>
        <w:t>融媒体中心领导班子成员按照县委县政府</w:t>
      </w:r>
      <w:r>
        <w:rPr>
          <w:rFonts w:hint="eastAsia" w:ascii="仿宋_GB2312" w:eastAsia="仿宋_GB2312" w:cs="仿宋_GB2312"/>
          <w:color w:val="000000"/>
          <w:sz w:val="32"/>
          <w:szCs w:val="32"/>
          <w:lang w:val="en-US" w:eastAsia="zh-CN"/>
        </w:rPr>
        <w:t>乡村振兴</w:t>
      </w:r>
      <w:r>
        <w:rPr>
          <w:rFonts w:hint="default" w:ascii="仿宋_GB2312" w:eastAsia="仿宋_GB2312" w:cs="仿宋_GB2312"/>
          <w:color w:val="000000"/>
          <w:sz w:val="32"/>
          <w:szCs w:val="32"/>
        </w:rPr>
        <w:t>要求，不定期组织</w:t>
      </w:r>
      <w:r>
        <w:rPr>
          <w:rFonts w:hint="eastAsia" w:ascii="仿宋_GB2312" w:eastAsia="仿宋_GB2312" w:cs="仿宋_GB2312"/>
          <w:color w:val="000000"/>
          <w:sz w:val="32"/>
          <w:szCs w:val="32"/>
          <w:lang w:val="en-US" w:eastAsia="zh-CN"/>
        </w:rPr>
        <w:t>中心</w:t>
      </w:r>
      <w:r>
        <w:rPr>
          <w:rFonts w:hint="default" w:ascii="仿宋_GB2312" w:eastAsia="仿宋_GB2312" w:cs="仿宋_GB2312"/>
          <w:color w:val="000000"/>
          <w:sz w:val="32"/>
          <w:szCs w:val="32"/>
        </w:rPr>
        <w:t>内干部走村入户，收集民情，调查基本信息，掌握村民思想动态，宣讲政策及惠民信息。我台联系刷经寺色隆村贫困户共五户，该五户贫困户均为年老体弱多病，丧失劳动力为主要致贫原因。其中只有贫苦户其基在村生活，其余均常年在外地。针对这一特殊情况。县融媒体中心与镇党委政府商议决定，分别给予其子女分配生态公益性岗位。并长期予以电话慰问或从子女了解近况。</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四</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多举并措，实际帮扶。</w:t>
      </w:r>
      <w:r>
        <w:rPr>
          <w:rFonts w:hint="default" w:ascii="仿宋_GB2312" w:eastAsia="仿宋_GB2312" w:cs="仿宋_GB2312"/>
          <w:color w:val="000000"/>
          <w:sz w:val="32"/>
          <w:szCs w:val="32"/>
        </w:rPr>
        <w:t>台领导班子成员，利用节假日带领干部深入联系村进行走访慰问。为贫困户送上大米，食用油等生活物资，半年来为贫困户送上生活物资合计约五千元。为建设美丽乡村，融媒体中心领导带头深入色隆组，发动干部群众治理村环境卫生，帮助贫困户打扫家庭卫生。</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五</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加强村委阵地建设。</w:t>
      </w:r>
      <w:r>
        <w:rPr>
          <w:rFonts w:hint="default" w:ascii="仿宋_GB2312" w:eastAsia="仿宋_GB2312" w:cs="仿宋_GB2312"/>
          <w:color w:val="000000"/>
          <w:sz w:val="32"/>
          <w:szCs w:val="32"/>
        </w:rPr>
        <w:t>为进一步丰富村民文化生活，创造祥和、幸福的生活环境。我单位积极与联系村沟通，实地调研。针对</w:t>
      </w:r>
      <w:r>
        <w:rPr>
          <w:rFonts w:hint="eastAsia" w:ascii="仿宋_GB2312" w:eastAsia="仿宋_GB2312" w:cs="仿宋_GB2312"/>
          <w:color w:val="000000"/>
          <w:sz w:val="32"/>
          <w:szCs w:val="32"/>
          <w:lang w:val="en-US" w:eastAsia="zh-CN"/>
        </w:rPr>
        <w:t>加当村</w:t>
      </w:r>
      <w:r>
        <w:rPr>
          <w:rFonts w:hint="default" w:ascii="仿宋_GB2312" w:eastAsia="仿宋_GB2312" w:cs="仿宋_GB2312"/>
          <w:color w:val="000000"/>
          <w:sz w:val="32"/>
          <w:szCs w:val="32"/>
        </w:rPr>
        <w:t>文化娱乐版块欠缺问题进行协商，初步由村两委提出建设意见，我单位依据实际尽全力予以解决。</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六</w:t>
      </w:r>
      <w:r>
        <w:rPr>
          <w:rFonts w:hint="eastAsia" w:ascii="仿宋_GB2312" w:eastAsia="仿宋_GB2312" w:cs="仿宋_GB2312"/>
          <w:b/>
          <w:bCs/>
          <w:color w:val="000000"/>
          <w:sz w:val="32"/>
          <w:szCs w:val="32"/>
          <w:lang w:val="en-US" w:eastAsia="zh-CN"/>
        </w:rPr>
        <w:t>)</w:t>
      </w:r>
      <w:r>
        <w:rPr>
          <w:rFonts w:hint="default" w:ascii="仿宋_GB2312" w:eastAsia="仿宋_GB2312" w:cs="仿宋_GB2312"/>
          <w:b/>
          <w:bCs/>
          <w:color w:val="000000"/>
          <w:sz w:val="32"/>
          <w:szCs w:val="32"/>
        </w:rPr>
        <w:t>促就业、激发内生动力。</w:t>
      </w:r>
      <w:r>
        <w:rPr>
          <w:rFonts w:hint="default" w:ascii="仿宋_GB2312" w:eastAsia="仿宋_GB2312" w:cs="仿宋_GB2312"/>
          <w:color w:val="000000"/>
          <w:sz w:val="32"/>
          <w:szCs w:val="32"/>
        </w:rPr>
        <w:t>考虑到我单位刷经寺广播站工作缺乏技术人员问题。融媒体中心领导班子商议决定从联系村挑选一名年轻、具备一定电工技能的村民从事刷经寺镇广播电视维护工作。由村两委召开村民大会，通过自愿报名、择优录取方式进行考核。最终选出我联系村村民李刚兼任该项工作，由电视台按月支付相应劳务费用。通过该方式，进一步有效促进了村内年轻人的学习动力，也让村民更加明白“技不压身，学好技术，就有了走遍天下都不怕的本事，这是一辈子都打不破的铁饭碗。”的道理。同时也有效激发了村民内生动力，鼓励学习、鼓励创新创业。</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2" w:firstLineChars="200"/>
        <w:jc w:val="both"/>
        <w:textAlignment w:val="auto"/>
      </w:pPr>
      <w:bookmarkStart w:id="35" w:name="_Toc19882"/>
      <w:bookmarkStart w:id="36" w:name="_Toc24643"/>
      <w:bookmarkStart w:id="37" w:name="_Toc23910"/>
      <w:bookmarkStart w:id="38" w:name="_Toc18077"/>
      <w:bookmarkStart w:id="39" w:name="_Toc23890"/>
      <w:r>
        <w:rPr>
          <w:rFonts w:hint="eastAsia" w:ascii="黑体" w:hAnsi="宋体" w:eastAsia="黑体" w:cs="黑体"/>
          <w:b/>
          <w:bCs/>
          <w:color w:val="000000"/>
          <w:sz w:val="32"/>
          <w:szCs w:val="32"/>
          <w:shd w:val="clear" w:fill="FFFFFF"/>
        </w:rPr>
        <w:t>五、</w:t>
      </w:r>
      <w:bookmarkEnd w:id="35"/>
      <w:r>
        <w:rPr>
          <w:rFonts w:hint="eastAsia" w:ascii="黑体" w:hAnsi="宋体" w:eastAsia="黑体" w:cs="黑体"/>
          <w:b/>
          <w:bCs/>
          <w:color w:val="000000"/>
          <w:sz w:val="32"/>
          <w:szCs w:val="32"/>
          <w:shd w:val="clear" w:fill="FFFFFF"/>
        </w:rPr>
        <w:t>机构设置</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rPr>
          <w:rFonts w:hint="default" w:ascii="仿宋_GB2312" w:eastAsia="仿宋_GB2312" w:cs="仿宋_GB2312"/>
          <w:color w:val="000000"/>
          <w:sz w:val="32"/>
          <w:szCs w:val="32"/>
        </w:rPr>
      </w:pPr>
      <w:r>
        <w:rPr>
          <w:rFonts w:hint="default" w:ascii="仿宋_GB2312" w:eastAsia="仿宋_GB2312" w:cs="仿宋_GB2312"/>
          <w:color w:val="000000"/>
          <w:sz w:val="32"/>
          <w:szCs w:val="32"/>
        </w:rPr>
        <w:t>我单位为财政补助拨款的事业单位，下属二级单位0个，其中行政单位0个，参照公务员法管理的事业单位0个，其他事业单位0个。截止20</w:t>
      </w:r>
      <w:r>
        <w:rPr>
          <w:rFonts w:hint="eastAsia" w:ascii="仿宋_GB2312" w:eastAsia="仿宋_GB2312" w:cs="仿宋_GB2312"/>
          <w:color w:val="000000"/>
          <w:sz w:val="32"/>
          <w:szCs w:val="32"/>
          <w:lang w:val="en-US" w:eastAsia="zh-CN"/>
        </w:rPr>
        <w:t>22</w:t>
      </w:r>
      <w:r>
        <w:rPr>
          <w:rFonts w:hint="default" w:ascii="仿宋_GB2312" w:eastAsia="仿宋_GB2312" w:cs="仿宋_GB2312"/>
          <w:color w:val="000000"/>
          <w:sz w:val="32"/>
          <w:szCs w:val="32"/>
        </w:rPr>
        <w:t>年底事业编制3</w:t>
      </w:r>
      <w:r>
        <w:rPr>
          <w:rFonts w:hint="eastAsia" w:ascii="仿宋_GB2312" w:eastAsia="仿宋_GB2312" w:cs="仿宋_GB2312"/>
          <w:color w:val="000000"/>
          <w:sz w:val="32"/>
          <w:szCs w:val="32"/>
          <w:lang w:val="en-US" w:eastAsia="zh-CN"/>
        </w:rPr>
        <w:t>2</w:t>
      </w:r>
      <w:r>
        <w:rPr>
          <w:rFonts w:hint="default" w:ascii="仿宋_GB2312" w:eastAsia="仿宋_GB2312" w:cs="仿宋_GB2312"/>
          <w:color w:val="000000"/>
          <w:sz w:val="32"/>
          <w:szCs w:val="32"/>
        </w:rPr>
        <w:t>名，其中，主任1名，副主任2名（分别兼任新闻采集中心、新闻信息编辑中心负责人）；股级领导职数7名。</w:t>
      </w:r>
      <w:bookmarkEnd w:id="16"/>
      <w:bookmarkEnd w:id="17"/>
      <w:bookmarkEnd w:id="18"/>
      <w:bookmarkEnd w:id="19"/>
      <w:bookmarkEnd w:id="21"/>
      <w:bookmarkEnd w:id="22"/>
      <w:bookmarkEnd w:id="23"/>
      <w:bookmarkEnd w:id="24"/>
      <w:bookmarkEnd w:id="26"/>
      <w:bookmarkEnd w:id="27"/>
      <w:bookmarkEnd w:id="28"/>
      <w:bookmarkEnd w:id="29"/>
      <w:bookmarkEnd w:id="31"/>
      <w:bookmarkEnd w:id="32"/>
      <w:bookmarkEnd w:id="33"/>
      <w:bookmarkEnd w:id="34"/>
      <w:bookmarkEnd w:id="36"/>
      <w:bookmarkEnd w:id="37"/>
      <w:bookmarkEnd w:id="38"/>
      <w:bookmarkEnd w:id="39"/>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rPr>
          <w:rFonts w:hint="default" w:ascii="仿宋_GB2312" w:eastAsia="仿宋_GB2312" w:cs="仿宋_GB2312"/>
          <w:color w:val="000000"/>
          <w:sz w:val="32"/>
          <w:szCs w:val="32"/>
        </w:rPr>
      </w:pPr>
    </w:p>
    <w:p>
      <w:pPr>
        <w:pStyle w:val="2"/>
        <w:pageBreakBefore w:val="0"/>
        <w:kinsoku/>
        <w:wordWrap/>
        <w:overflowPunct/>
        <w:topLinePunct w:val="0"/>
        <w:bidi w:val="0"/>
        <w:snapToGrid/>
        <w:spacing w:line="576" w:lineRule="atLeast"/>
        <w:ind w:right="440" w:firstLine="880" w:firstLineChars="200"/>
        <w:jc w:val="right"/>
        <w:textAlignment w:val="auto"/>
        <w:rPr>
          <w:rStyle w:val="38"/>
          <w:rFonts w:ascii="黑体" w:hAnsi="黑体" w:eastAsia="黑体"/>
          <w:b w:val="0"/>
          <w:bCs w:val="0"/>
        </w:rPr>
      </w:pPr>
      <w:bookmarkStart w:id="40" w:name="_Toc15396602"/>
      <w:bookmarkStart w:id="41" w:name="_Toc18632"/>
      <w:bookmarkStart w:id="4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38"/>
          <w:rFonts w:hint="eastAsia" w:ascii="黑体" w:hAnsi="黑体" w:eastAsia="黑体"/>
          <w:b w:val="0"/>
          <w:bCs w:val="0"/>
        </w:rPr>
        <w:t>20</w:t>
      </w:r>
      <w:r>
        <w:rPr>
          <w:rStyle w:val="38"/>
          <w:rFonts w:hint="eastAsia" w:ascii="黑体" w:hAnsi="黑体" w:eastAsia="黑体"/>
          <w:b w:val="0"/>
          <w:bCs w:val="0"/>
          <w:lang w:val="en-US" w:eastAsia="zh-CN"/>
        </w:rPr>
        <w:t>22</w:t>
      </w:r>
      <w:r>
        <w:rPr>
          <w:rStyle w:val="38"/>
          <w:rFonts w:hint="eastAsia" w:ascii="黑体" w:hAnsi="黑体" w:eastAsia="黑体"/>
          <w:b w:val="0"/>
          <w:bCs w:val="0"/>
        </w:rPr>
        <w:t>年度部门决算情况说明</w:t>
      </w:r>
      <w:bookmarkEnd w:id="40"/>
      <w:bookmarkEnd w:id="41"/>
      <w:bookmarkEnd w:id="42"/>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atLeast"/>
        <w:ind w:left="0" w:firstLine="640" w:firstLineChars="200"/>
        <w:jc w:val="both"/>
        <w:textAlignment w:val="auto"/>
        <w:rPr>
          <w:rFonts w:hint="eastAsia" w:ascii="仿宋_GB2312" w:eastAsia="仿宋_GB2312" w:cs="仿宋_GB2312"/>
          <w:color w:val="000000"/>
          <w:sz w:val="32"/>
          <w:szCs w:val="32"/>
        </w:rPr>
        <w:sectPr>
          <w:pgSz w:w="11906" w:h="16838"/>
          <w:pgMar w:top="1440" w:right="1800" w:bottom="1440" w:left="1800" w:header="851" w:footer="992" w:gutter="0"/>
          <w:pgNumType w:fmt="decimal" w:start="1"/>
          <w:cols w:space="425" w:num="1"/>
          <w:titlePg/>
          <w:docGrid w:type="lines" w:linePitch="312" w:charSpace="0"/>
        </w:sectPr>
      </w:pPr>
    </w:p>
    <w:p>
      <w:pPr>
        <w:pageBreakBefore w:val="0"/>
        <w:kinsoku/>
        <w:wordWrap/>
        <w:overflowPunct/>
        <w:topLinePunct w:val="0"/>
        <w:bidi w:val="0"/>
        <w:snapToGrid/>
        <w:spacing w:line="576" w:lineRule="atLeast"/>
        <w:ind w:firstLine="420" w:firstLineChars="200"/>
        <w:textAlignment w:val="auto"/>
      </w:pPr>
    </w:p>
    <w:p>
      <w:pPr>
        <w:pageBreakBefore w:val="0"/>
        <w:widowControl/>
        <w:kinsoku/>
        <w:wordWrap/>
        <w:overflowPunct/>
        <w:topLinePunct w:val="0"/>
        <w:bidi w:val="0"/>
        <w:snapToGrid/>
        <w:spacing w:line="576" w:lineRule="atLeast"/>
        <w:ind w:firstLine="720" w:firstLineChars="200"/>
        <w:jc w:val="center"/>
        <w:textAlignment w:val="auto"/>
        <w:rPr>
          <w:rFonts w:ascii="方正小标宋简体" w:hAnsi="宋体" w:eastAsia="方正小标宋简体"/>
          <w:color w:val="000000"/>
          <w:sz w:val="36"/>
          <w:szCs w:val="36"/>
        </w:rPr>
      </w:pP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2" w:firstLineChars="200"/>
        <w:jc w:val="left"/>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一、决算信息来源说明</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本套决算依据本单位登记完整、核对无误的账簿记录和其他有关会计核算资料编制，账证相符、账实相符、账表相符、表表相符，真实、准确、完整地反映了本单位预算执行结果和财务状况。</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（一）本套决算主表数据主要依据本单位会计账簿总账及明细账数据填列，预算数据依据本单位预、决算批复文件及预算调整文件填列。</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（二）本套决算附表数据主要依据本单位会计账簿、资产、人事台账及相关资料填列。</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二、决算编制基本情况</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本单位为红原县融媒体中心，所属</w:t>
      </w:r>
      <w:r>
        <w:rPr>
          <w:rFonts w:hint="eastAsia" w:ascii="仿宋_GB2312" w:hAnsi="仿宋_GB2312" w:eastAsia="仿宋_GB2312" w:cs="仿宋_GB2312"/>
          <w:sz w:val="32"/>
          <w:szCs w:val="32"/>
          <w:shd w:val="clear" w:fill="FFFFFF"/>
          <w:lang w:eastAsia="zh-CN"/>
        </w:rPr>
        <w:t>县级</w:t>
      </w:r>
      <w:r>
        <w:rPr>
          <w:rFonts w:hint="eastAsia" w:ascii="仿宋_GB2312" w:hAnsi="仿宋_GB2312" w:eastAsia="仿宋_GB2312" w:cs="仿宋_GB2312"/>
          <w:sz w:val="32"/>
          <w:szCs w:val="32"/>
          <w:shd w:val="clear" w:fill="FFFFFF"/>
        </w:rPr>
        <w:t>预算单位，单位性质为</w:t>
      </w:r>
      <w:r>
        <w:rPr>
          <w:rFonts w:hint="eastAsia" w:ascii="仿宋_GB2312" w:hAnsi="仿宋_GB2312" w:eastAsia="仿宋_GB2312" w:cs="仿宋_GB2312"/>
          <w:sz w:val="32"/>
          <w:szCs w:val="32"/>
          <w:shd w:val="clear" w:fill="FFFFFF"/>
          <w:lang w:eastAsia="zh-CN"/>
        </w:rPr>
        <w:t>公益一类事业单位</w:t>
      </w:r>
      <w:r>
        <w:rPr>
          <w:rFonts w:hint="eastAsia" w:ascii="仿宋_GB2312" w:hAnsi="仿宋_GB2312" w:eastAsia="仿宋_GB2312" w:cs="仿宋_GB2312"/>
          <w:sz w:val="32"/>
          <w:szCs w:val="32"/>
          <w:shd w:val="clear" w:fill="FFFFFF"/>
        </w:rPr>
        <w:t>，决算编报类型为</w:t>
      </w:r>
      <w:r>
        <w:rPr>
          <w:rFonts w:hint="eastAsia" w:ascii="仿宋_GB2312" w:hAnsi="仿宋_GB2312" w:eastAsia="仿宋_GB2312" w:cs="仿宋_GB2312"/>
          <w:sz w:val="32"/>
          <w:szCs w:val="32"/>
          <w:shd w:val="clear" w:fill="FFFFFF"/>
          <w:lang w:eastAsia="zh-CN"/>
        </w:rPr>
        <w:t>单户表</w:t>
      </w:r>
      <w:r>
        <w:rPr>
          <w:rFonts w:hint="eastAsia" w:ascii="仿宋_GB2312" w:hAnsi="仿宋_GB2312" w:eastAsia="仿宋_GB2312" w:cs="仿宋_GB2312"/>
          <w:sz w:val="32"/>
          <w:szCs w:val="32"/>
          <w:shd w:val="clear" w:fill="FFFFFF"/>
        </w:rPr>
        <w:t>，按照</w:t>
      </w:r>
      <w:r>
        <w:rPr>
          <w:rFonts w:hint="eastAsia" w:ascii="仿宋_GB2312" w:hAnsi="仿宋_GB2312" w:eastAsia="仿宋_GB2312" w:cs="仿宋_GB2312"/>
          <w:sz w:val="32"/>
          <w:szCs w:val="32"/>
          <w:shd w:val="clear" w:fill="FFFFFF"/>
          <w:lang w:eastAsia="zh-CN"/>
        </w:rPr>
        <w:t>政府</w:t>
      </w:r>
      <w:r>
        <w:rPr>
          <w:rFonts w:hint="eastAsia" w:ascii="仿宋_GB2312" w:hAnsi="仿宋_GB2312" w:eastAsia="仿宋_GB2312" w:cs="仿宋_GB2312"/>
          <w:sz w:val="32"/>
          <w:szCs w:val="32"/>
          <w:shd w:val="clear" w:fill="FFFFFF"/>
        </w:rPr>
        <w:t>会计制度填报决算数据。</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纳入本套决算编制范围的独立编制机构数1个，比上年增0个，独立核算机构数共</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个，比上年增</w:t>
      </w:r>
      <w:r>
        <w:rPr>
          <w:rFonts w:hint="eastAsia" w:ascii="仿宋_GB2312" w:hAnsi="仿宋_GB2312" w:eastAsia="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rPr>
        <w:t>个。</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三、基础数据核对情况</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2" w:firstLineChars="200"/>
        <w:jc w:val="left"/>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（一）财政资金对账情况。</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2" w:firstLineChars="200"/>
        <w:jc w:val="left"/>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1．财政拨款核对情况。</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_GB2312" w:hAnsi="仿宋_GB2312" w:eastAsia="仿宋_GB2312" w:cs="仿宋_GB2312"/>
          <w:sz w:val="32"/>
          <w:szCs w:val="32"/>
          <w:shd w:val="clear" w:fill="FFFFFF"/>
        </w:rPr>
        <w:t>（1） 本单位</w:t>
      </w:r>
      <w:r>
        <w:rPr>
          <w:rFonts w:hint="eastAsia" w:ascii="仿宋_GB2312" w:hAnsi="仿宋_GB2312" w:eastAsia="仿宋_GB2312" w:cs="仿宋_GB2312"/>
          <w:sz w:val="32"/>
          <w:szCs w:val="32"/>
          <w:shd w:val="clear" w:fill="FFFFFF"/>
          <w:lang w:val="en-US" w:eastAsia="zh-CN"/>
        </w:rPr>
        <w:t>2022</w:t>
      </w:r>
      <w:r>
        <w:rPr>
          <w:rFonts w:hint="eastAsia" w:ascii="仿宋_GB2312" w:hAnsi="仿宋_GB2312" w:eastAsia="仿宋_GB2312" w:cs="仿宋_GB2312"/>
          <w:sz w:val="32"/>
          <w:szCs w:val="32"/>
          <w:shd w:val="clear" w:fill="FFFFFF"/>
        </w:rPr>
        <w:t>年度实际收到的一般公共预算财政拨款收入774</w:t>
      </w:r>
      <w:r>
        <w:rPr>
          <w:rFonts w:hint="eastAsia" w:ascii="仿宋_GB2312" w:hAnsi="仿宋_GB2312" w:eastAsia="仿宋_GB2312" w:cs="仿宋_GB2312"/>
          <w:sz w:val="32"/>
          <w:szCs w:val="32"/>
          <w:shd w:val="clear" w:fill="FFFFFF"/>
          <w:lang w:val="en-US" w:eastAsia="zh-CN"/>
        </w:rPr>
        <w:t>.</w:t>
      </w:r>
      <w:r>
        <w:rPr>
          <w:rFonts w:hint="eastAsia" w:ascii="仿宋_GB2312" w:hAnsi="仿宋_GB2312" w:eastAsia="仿宋_GB2312" w:cs="仿宋_GB2312"/>
          <w:sz w:val="32"/>
          <w:szCs w:val="32"/>
          <w:shd w:val="clear" w:fill="FFFFFF"/>
        </w:rPr>
        <w:t>94万元，财政部门拨款对账单774</w:t>
      </w:r>
      <w:r>
        <w:rPr>
          <w:rFonts w:hint="eastAsia" w:ascii="仿宋_GB2312" w:hAnsi="仿宋_GB2312" w:eastAsia="仿宋_GB2312" w:cs="仿宋_GB2312"/>
          <w:sz w:val="32"/>
          <w:szCs w:val="32"/>
          <w:shd w:val="clear" w:fill="FFFFFF"/>
          <w:lang w:val="en-US" w:eastAsia="zh-CN"/>
        </w:rPr>
        <w:t>.</w:t>
      </w:r>
      <w:r>
        <w:rPr>
          <w:rFonts w:hint="eastAsia" w:ascii="仿宋_GB2312" w:hAnsi="仿宋_GB2312" w:eastAsia="仿宋_GB2312" w:cs="仿宋_GB2312"/>
          <w:sz w:val="32"/>
          <w:szCs w:val="32"/>
          <w:shd w:val="clear" w:fill="FFFFFF"/>
        </w:rPr>
        <w:t>94万元，差额0.00万元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2021年度为：</w:t>
      </w:r>
      <w:r>
        <w:rPr>
          <w:rFonts w:hint="eastAsia" w:ascii="仿宋" w:hAnsi="仿宋" w:eastAsia="仿宋"/>
          <w:color w:val="auto"/>
          <w:sz w:val="32"/>
          <w:szCs w:val="32"/>
          <w:lang w:val="en-US" w:eastAsia="zh-CN"/>
        </w:rPr>
        <w:t>982.72万元，本年度与2021年度向比较减少207.78万元，主要原因是，本单位项目减少和厉行节约。</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仿宋" w:hAnsi="仿宋" w:eastAsia="仿宋"/>
          <w:color w:val="000000"/>
          <w:sz w:val="32"/>
          <w:szCs w:val="32"/>
          <w:lang w:val="en-US" w:eastAsia="zh-CN"/>
        </w:rPr>
        <w:t>)</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ascii="仿宋" w:hAnsi="仿宋" w:eastAsia="仿宋"/>
          <w:color w:val="auto"/>
          <w:sz w:val="32"/>
          <w:szCs w:val="32"/>
          <w:lang w:val="en-US" w:eastAsia="zh-CN"/>
        </w:rPr>
      </w:pP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Style w:val="40"/>
          <w:rFonts w:hint="eastAsia" w:ascii="黑体" w:hAnsi="黑体" w:eastAsia="黑体" w:cs="黑体"/>
          <w:b/>
          <w:bCs/>
        </w:rPr>
      </w:pPr>
      <w:r>
        <w:rPr>
          <w:rFonts w:hint="eastAsia" w:eastAsiaTheme="minorEastAsia"/>
          <w:lang w:eastAsia="zh-CN"/>
        </w:rPr>
        <w:drawing>
          <wp:inline distT="0" distB="0" distL="114300" distR="114300">
            <wp:extent cx="5676900" cy="3053080"/>
            <wp:effectExtent l="4445" t="4445" r="14605"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收</w:t>
      </w:r>
      <w:r>
        <w:rPr>
          <w:rStyle w:val="40"/>
          <w:rFonts w:hint="eastAsia" w:ascii="黑体" w:hAnsi="黑体" w:eastAsia="黑体" w:cs="黑体"/>
          <w:b/>
          <w:bCs/>
        </w:rPr>
        <w:t>入决算情况说明</w:t>
      </w:r>
    </w:p>
    <w:p>
      <w:pPr>
        <w:pageBreakBefore w:val="0"/>
        <w:kinsoku/>
        <w:wordWrap/>
        <w:overflowPunct/>
        <w:topLinePunct w:val="0"/>
        <w:bidi w:val="0"/>
        <w:snapToGrid/>
        <w:spacing w:line="576" w:lineRule="atLeas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774.94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774.94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Fonts w:hint="eastAsia" w:eastAsiaTheme="minorEastAsia"/>
          <w:lang w:eastAsia="zh-CN"/>
        </w:rPr>
      </w:pPr>
      <w:r>
        <w:rPr>
          <w:rFonts w:hint="eastAsia" w:eastAsiaTheme="minorEastAsia"/>
          <w:lang w:eastAsia="zh-CN"/>
        </w:rPr>
        <w:drawing>
          <wp:inline distT="0" distB="0" distL="114300" distR="114300">
            <wp:extent cx="5132070" cy="2915920"/>
            <wp:effectExtent l="4445" t="4445" r="6985" b="1333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42"/>
        <w:pageBreakBefore w:val="0"/>
        <w:numPr>
          <w:ilvl w:val="0"/>
          <w:numId w:val="0"/>
        </w:numPr>
        <w:kinsoku/>
        <w:wordWrap/>
        <w:overflowPunct/>
        <w:topLinePunct w:val="0"/>
        <w:bidi w:val="0"/>
        <w:snapToGrid/>
        <w:spacing w:line="576" w:lineRule="atLeast"/>
        <w:ind w:firstLine="642" w:firstLineChars="200"/>
        <w:textAlignment w:val="auto"/>
        <w:outlineLvl w:val="1"/>
        <w:rPr>
          <w:rFonts w:hint="eastAsia" w:ascii="黑体" w:hAnsi="黑体" w:eastAsia="黑体" w:cs="黑体"/>
          <w:b/>
          <w:bCs/>
          <w:lang w:eastAsia="zh-CN"/>
        </w:rPr>
      </w:pPr>
      <w:bookmarkStart w:id="43" w:name="_Toc20672"/>
      <w:bookmarkStart w:id="44" w:name="_Toc15377207"/>
      <w:bookmarkStart w:id="45" w:name="_Toc15396605"/>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支</w:t>
      </w:r>
      <w:r>
        <w:rPr>
          <w:rStyle w:val="40"/>
          <w:rFonts w:hint="eastAsia" w:ascii="黑体" w:hAnsi="黑体" w:eastAsia="黑体" w:cs="黑体"/>
          <w:b/>
          <w:bCs/>
        </w:rPr>
        <w:t>出决算情况说明</w:t>
      </w:r>
      <w:bookmarkEnd w:id="43"/>
      <w:bookmarkEnd w:id="44"/>
      <w:bookmarkEnd w:id="45"/>
    </w:p>
    <w:p>
      <w:pPr>
        <w:pageBreakBefore w:val="0"/>
        <w:kinsoku/>
        <w:wordWrap/>
        <w:overflowPunct/>
        <w:topLinePunct w:val="0"/>
        <w:bidi w:val="0"/>
        <w:snapToGrid/>
        <w:spacing w:line="576" w:lineRule="atLeast"/>
        <w:ind w:firstLine="640" w:firstLineChars="200"/>
        <w:textAlignment w:val="auto"/>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774.94</w:t>
      </w:r>
      <w:r>
        <w:rPr>
          <w:rFonts w:hint="eastAsia" w:ascii="仿宋_GB2312" w:eastAsia="仿宋_GB2312"/>
          <w:sz w:val="32"/>
          <w:szCs w:val="32"/>
        </w:rPr>
        <w:t>万元，其中：基本支出</w:t>
      </w:r>
      <w:r>
        <w:rPr>
          <w:rFonts w:hint="eastAsia" w:ascii="仿宋_GB2312" w:eastAsia="仿宋_GB2312"/>
          <w:sz w:val="32"/>
          <w:szCs w:val="32"/>
          <w:lang w:val="en-US" w:eastAsia="zh-CN"/>
        </w:rPr>
        <w:t>520.43</w:t>
      </w:r>
      <w:r>
        <w:rPr>
          <w:rFonts w:hint="eastAsia" w:ascii="仿宋_GB2312" w:eastAsia="仿宋_GB2312"/>
          <w:sz w:val="32"/>
          <w:szCs w:val="32"/>
        </w:rPr>
        <w:t>万元，占</w:t>
      </w:r>
      <w:r>
        <w:rPr>
          <w:rFonts w:hint="eastAsia" w:ascii="仿宋_GB2312" w:eastAsia="仿宋_GB2312"/>
          <w:sz w:val="32"/>
          <w:szCs w:val="32"/>
          <w:lang w:val="en-US" w:eastAsia="zh-CN"/>
        </w:rPr>
        <w:t>67.26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254.51</w:t>
      </w:r>
      <w:r>
        <w:rPr>
          <w:rFonts w:hint="eastAsia" w:ascii="仿宋_GB2312" w:eastAsia="仿宋_GB2312"/>
          <w:sz w:val="32"/>
          <w:szCs w:val="32"/>
        </w:rPr>
        <w:t>万元，占</w:t>
      </w:r>
      <w:r>
        <w:rPr>
          <w:rFonts w:hint="eastAsia" w:ascii="仿宋_GB2312" w:eastAsia="仿宋_GB2312"/>
          <w:sz w:val="32"/>
          <w:szCs w:val="32"/>
          <w:lang w:val="en-US" w:eastAsia="zh-CN"/>
        </w:rPr>
        <w:t>32.74</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Fonts w:hint="eastAsia" w:ascii="仿宋_GB2312" w:eastAsia="仿宋_GB2312"/>
          <w:sz w:val="32"/>
          <w:szCs w:val="32"/>
          <w:lang w:eastAsia="zh-CN"/>
        </w:rPr>
      </w:pPr>
      <w:r>
        <w:rPr>
          <w:rFonts w:hint="eastAsia" w:eastAsiaTheme="minorEastAsia"/>
          <w:lang w:eastAsia="zh-CN"/>
        </w:rPr>
        <w:drawing>
          <wp:inline distT="0" distB="0" distL="114300" distR="114300">
            <wp:extent cx="5296535" cy="3151505"/>
            <wp:effectExtent l="4445" t="4445" r="13970" b="635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Fonts w:hint="eastAsia" w:eastAsiaTheme="minorEastAsia"/>
          <w:lang w:eastAsia="zh-CN"/>
        </w:rPr>
      </w:pPr>
    </w:p>
    <w:p>
      <w:pPr>
        <w:pageBreakBefore w:val="0"/>
        <w:numPr>
          <w:ilvl w:val="0"/>
          <w:numId w:val="0"/>
        </w:numPr>
        <w:kinsoku/>
        <w:wordWrap/>
        <w:overflowPunct/>
        <w:topLinePunct w:val="0"/>
        <w:bidi w:val="0"/>
        <w:snapToGrid/>
        <w:spacing w:line="576" w:lineRule="atLeast"/>
        <w:ind w:firstLine="642" w:firstLineChars="200"/>
        <w:textAlignment w:val="auto"/>
        <w:outlineLvl w:val="1"/>
        <w:rPr>
          <w:rStyle w:val="40"/>
          <w:rFonts w:hint="eastAsia" w:ascii="黑体" w:hAnsi="黑体" w:eastAsia="黑体" w:cs="黑体"/>
          <w:b/>
          <w:bCs/>
          <w:sz w:val="32"/>
          <w:szCs w:val="32"/>
        </w:rPr>
      </w:pPr>
      <w:bookmarkStart w:id="46" w:name="_Toc17806"/>
      <w:r>
        <w:rPr>
          <w:rFonts w:hint="eastAsia" w:ascii="黑体" w:hAnsi="黑体" w:eastAsia="黑体" w:cs="黑体"/>
          <w:b/>
          <w:bCs/>
          <w:color w:val="000000"/>
          <w:sz w:val="32"/>
          <w:szCs w:val="32"/>
          <w:lang w:val="en-US" w:eastAsia="zh-CN"/>
        </w:rPr>
        <w:t>四.</w:t>
      </w:r>
      <w:r>
        <w:rPr>
          <w:rFonts w:hint="eastAsia" w:ascii="黑体" w:hAnsi="黑体" w:eastAsia="黑体" w:cs="黑体"/>
          <w:b/>
          <w:bCs/>
          <w:color w:val="000000"/>
          <w:sz w:val="32"/>
          <w:szCs w:val="32"/>
        </w:rPr>
        <w:t>财</w:t>
      </w:r>
      <w:r>
        <w:rPr>
          <w:rStyle w:val="40"/>
          <w:rFonts w:hint="eastAsia" w:ascii="黑体" w:hAnsi="黑体" w:eastAsia="黑体" w:cs="黑体"/>
          <w:b/>
          <w:bCs/>
          <w:sz w:val="32"/>
          <w:szCs w:val="32"/>
        </w:rPr>
        <w:t>政拨款收入支出决算总体情况说明</w:t>
      </w:r>
      <w:bookmarkEnd w:id="46"/>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_GB2312" w:eastAsia="仿宋_GB2312"/>
          <w:sz w:val="32"/>
          <w:szCs w:val="32"/>
          <w:lang w:val="en-US" w:eastAsia="zh-CN"/>
        </w:rPr>
        <w:t>774.94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_GB2312" w:eastAsia="仿宋_GB2312"/>
          <w:sz w:val="32"/>
          <w:szCs w:val="32"/>
          <w:lang w:val="en-US" w:eastAsia="zh-CN"/>
        </w:rPr>
        <w:t>774.94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减少207.78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下降21.14</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减少207.78万元，下降21.14%</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主要变动原因厉行节约，减少不必要的支出</w:t>
      </w:r>
    </w:p>
    <w:p>
      <w:pPr>
        <w:pageBreakBefore w:val="0"/>
        <w:kinsoku/>
        <w:wordWrap/>
        <w:overflowPunct/>
        <w:topLinePunct w:val="0"/>
        <w:bidi w:val="0"/>
        <w:snapToGrid/>
        <w:spacing w:line="576" w:lineRule="atLeast"/>
        <w:ind w:firstLine="640" w:firstLineChars="200"/>
        <w:textAlignment w:val="auto"/>
        <w:rPr>
          <w:rFonts w:hint="eastAsia" w:eastAsiaTheme="minorEastAsia"/>
          <w:lang w:eastAsia="zh-CN"/>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Fonts w:hint="eastAsia" w:eastAsiaTheme="minorEastAsia"/>
          <w:lang w:eastAsia="zh-CN"/>
        </w:rPr>
      </w:pP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480" w:firstLineChars="200"/>
        <w:jc w:val="left"/>
        <w:textAlignment w:val="auto"/>
        <w:rPr>
          <w:rFonts w:hint="eastAsia" w:eastAsiaTheme="minorEastAsia"/>
          <w:lang w:eastAsia="zh-CN"/>
        </w:rPr>
      </w:pPr>
      <w:r>
        <w:rPr>
          <w:rFonts w:hint="eastAsia" w:eastAsia="宋体"/>
          <w:lang w:eastAsia="zh-CN"/>
        </w:rPr>
        <w:drawing>
          <wp:inline distT="0" distB="0" distL="114300" distR="114300">
            <wp:extent cx="5071745" cy="2092325"/>
            <wp:effectExtent l="4445" t="4445" r="10160" b="177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napToGrid/>
        <w:spacing w:line="576" w:lineRule="atLeast"/>
        <w:ind w:firstLine="642" w:firstLineChars="200"/>
        <w:textAlignment w:val="auto"/>
        <w:outlineLvl w:val="1"/>
        <w:rPr>
          <w:rFonts w:hint="eastAsia" w:ascii="黑体" w:hAnsi="黑体" w:eastAsia="黑体" w:cs="黑体"/>
          <w:b/>
          <w:bCs/>
          <w:color w:val="000000"/>
          <w:sz w:val="32"/>
          <w:szCs w:val="32"/>
          <w:lang w:eastAsia="zh-CN"/>
        </w:rPr>
      </w:pPr>
      <w:bookmarkStart w:id="47" w:name="_Toc15396607"/>
      <w:bookmarkStart w:id="48" w:name="_Toc19127"/>
      <w:bookmarkStart w:id="49" w:name="_Toc15377209"/>
      <w:r>
        <w:rPr>
          <w:rFonts w:hint="eastAsia" w:ascii="黑体" w:hAnsi="黑体" w:eastAsia="黑体" w:cs="黑体"/>
          <w:b/>
          <w:bCs/>
          <w:color w:val="000000"/>
          <w:sz w:val="32"/>
          <w:szCs w:val="32"/>
        </w:rPr>
        <w:t>五、一</w:t>
      </w:r>
      <w:r>
        <w:rPr>
          <w:rStyle w:val="40"/>
          <w:rFonts w:hint="eastAsia" w:ascii="黑体" w:hAnsi="黑体" w:eastAsia="黑体" w:cs="黑体"/>
          <w:b/>
          <w:bCs/>
        </w:rPr>
        <w:t>般公共预算财政拨款支出决算情况说明</w:t>
      </w:r>
      <w:bookmarkEnd w:id="47"/>
      <w:bookmarkEnd w:id="48"/>
      <w:bookmarkEnd w:id="49"/>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774.94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一般公共服务支出396.27</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51.20</w:t>
      </w:r>
      <w:r>
        <w:rPr>
          <w:rFonts w:hint="eastAsia" w:ascii="仿宋" w:hAnsi="仿宋" w:eastAsia="仿宋"/>
          <w:color w:val="000000" w:themeColor="text1"/>
          <w:sz w:val="32"/>
          <w:szCs w:val="32"/>
          <w:lang w:eastAsia="zh-CN"/>
          <w14:textFill>
            <w14:solidFill>
              <w14:schemeClr w14:val="tx1"/>
            </w14:solidFill>
          </w14:textFill>
        </w:rPr>
        <w:t>%；社会保障和就业（类）支出68</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5</w:t>
      </w: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8.85</w:t>
      </w:r>
      <w:r>
        <w:rPr>
          <w:rFonts w:hint="eastAsia" w:ascii="仿宋" w:hAnsi="仿宋" w:eastAsia="仿宋"/>
          <w:color w:val="000000" w:themeColor="text1"/>
          <w:sz w:val="32"/>
          <w:szCs w:val="32"/>
          <w:lang w:eastAsia="zh-CN"/>
          <w14:textFill>
            <w14:solidFill>
              <w14:schemeClr w14:val="tx1"/>
            </w14:solidFill>
          </w14:textFill>
        </w:rPr>
        <w:t>%；卫生健康支出20</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34万元，占</w:t>
      </w:r>
      <w:r>
        <w:rPr>
          <w:rFonts w:hint="eastAsia" w:ascii="仿宋" w:hAnsi="仿宋" w:eastAsia="仿宋"/>
          <w:color w:val="000000" w:themeColor="text1"/>
          <w:sz w:val="32"/>
          <w:szCs w:val="32"/>
          <w:lang w:val="en-US" w:eastAsia="zh-CN"/>
          <w14:textFill>
            <w14:solidFill>
              <w14:schemeClr w14:val="tx1"/>
            </w14:solidFill>
          </w14:textFill>
        </w:rPr>
        <w:t>2.30</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房保障支出35</w:t>
      </w:r>
      <w:r>
        <w:rPr>
          <w:rFonts w:hint="eastAsia" w:ascii="仿宋" w:hAnsi="仿宋" w:eastAsia="仿宋"/>
          <w:color w:val="000000" w:themeColor="text1"/>
          <w:sz w:val="32"/>
          <w:szCs w:val="32"/>
          <w:lang w:val="en-US" w:eastAsia="zh-CN"/>
          <w14:textFill>
            <w14:solidFill>
              <w14:schemeClr w14:val="tx1"/>
            </w14:solidFill>
          </w14:textFill>
        </w:rPr>
        <w:t>.30</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占4.55%。文化旅游体育与传媒支出254.51占32.85%;</w:t>
      </w:r>
      <w:r>
        <w:rPr>
          <w:rFonts w:hint="eastAsia" w:ascii="仿宋" w:hAnsi="仿宋" w:eastAsia="仿宋"/>
          <w:color w:val="000000"/>
          <w:sz w:val="32"/>
          <w:szCs w:val="32"/>
        </w:rPr>
        <w:t>（图6：一般公共预算财政拨款支出决算结构）（饼状图）</w:t>
      </w:r>
    </w:p>
    <w:p>
      <w:pPr>
        <w:pStyle w:val="9"/>
        <w:keepNext w:val="0"/>
        <w:keepLines w:val="0"/>
        <w:pageBreakBefore w:val="0"/>
        <w:widowControl/>
        <w:suppressLineNumbers w:val="0"/>
        <w:kinsoku/>
        <w:wordWrap/>
        <w:overflowPunct/>
        <w:topLinePunct w:val="0"/>
        <w:bidi w:val="0"/>
        <w:snapToGrid/>
        <w:spacing w:before="0" w:beforeAutospacing="0" w:after="0" w:afterAutospacing="0" w:line="576" w:lineRule="atLeast"/>
        <w:ind w:left="0" w:right="0" w:firstLine="640" w:firstLineChars="200"/>
        <w:jc w:val="left"/>
        <w:textAlignment w:val="auto"/>
        <w:rPr>
          <w:rFonts w:hint="eastAsia" w:eastAsiaTheme="minorEastAsia"/>
          <w:lang w:eastAsia="zh-CN"/>
        </w:rPr>
      </w:pPr>
      <w:r>
        <w:rPr>
          <w:rFonts w:hint="eastAsia" w:ascii="仿宋" w:hAnsi="仿宋" w:eastAsia="仿宋"/>
          <w:color w:val="000000"/>
          <w:sz w:val="32"/>
          <w:szCs w:val="32"/>
          <w:lang w:eastAsia="zh-CN"/>
        </w:rPr>
        <w:drawing>
          <wp:inline distT="0" distB="0" distL="114300" distR="114300">
            <wp:extent cx="5481320" cy="1450340"/>
            <wp:effectExtent l="4445" t="4445" r="19685"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napToGrid/>
        <w:spacing w:line="576" w:lineRule="atLeast"/>
        <w:ind w:firstLine="642" w:firstLineChars="200"/>
        <w:textAlignment w:val="auto"/>
        <w:outlineLvl w:val="1"/>
        <w:rPr>
          <w:rFonts w:hint="eastAsia" w:ascii="仿宋" w:hAnsi="仿宋" w:eastAsia="仿宋" w:cs="仿宋"/>
          <w:color w:val="FF0000"/>
          <w:sz w:val="32"/>
          <w:szCs w:val="32"/>
        </w:rPr>
      </w:pPr>
      <w:bookmarkStart w:id="50" w:name="_Toc20553"/>
      <w:bookmarkStart w:id="51" w:name="_Toc15377444"/>
      <w:bookmarkStart w:id="52" w:name="_Toc18179"/>
      <w:bookmarkStart w:id="53" w:name="_Toc9371"/>
      <w:bookmarkStart w:id="54" w:name="_Toc15378460"/>
      <w:bookmarkStart w:id="55" w:name="_Toc15377213"/>
      <w:r>
        <w:rPr>
          <w:rFonts w:hint="eastAsia" w:ascii="仿宋" w:hAnsi="仿宋" w:eastAsia="仿宋" w:cs="仿宋"/>
          <w:b/>
          <w:color w:val="000000" w:themeColor="text1"/>
          <w:sz w:val="32"/>
          <w:szCs w:val="32"/>
          <w:lang w:val="en-US" w:eastAsia="zh-CN"/>
          <w14:textFill>
            <w14:solidFill>
              <w14:schemeClr w14:val="tx1"/>
            </w14:solidFill>
          </w14:textFill>
        </w:rPr>
        <w:t>2022</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般公共预算支出决算数为774</w:t>
      </w:r>
      <w:r>
        <w:rPr>
          <w:rFonts w:hint="eastAsia" w:ascii="仿宋" w:hAnsi="仿宋" w:eastAsia="仿宋" w:cs="仿宋"/>
          <w:b/>
          <w:color w:val="000000" w:themeColor="text1"/>
          <w:sz w:val="32"/>
          <w:szCs w:val="32"/>
          <w:lang w:val="en-US" w:eastAsia="zh-CN"/>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94</w:t>
      </w:r>
      <w:r>
        <w:rPr>
          <w:rFonts w:hint="eastAsia" w:ascii="仿宋" w:hAnsi="仿宋" w:eastAsia="仿宋" w:cs="仿宋"/>
          <w:b/>
          <w:color w:val="000000" w:themeColor="text1"/>
          <w:sz w:val="32"/>
          <w:szCs w:val="32"/>
          <w:lang w:val="en-US" w:eastAsia="zh-CN"/>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w:t>
      </w:r>
      <w:r>
        <w:rPr>
          <w:rStyle w:val="13"/>
          <w:rFonts w:hint="eastAsia" w:ascii="仿宋" w:hAnsi="仿宋" w:eastAsia="仿宋" w:cs="仿宋"/>
          <w:bCs/>
          <w:color w:val="000000" w:themeColor="text1"/>
          <w:sz w:val="32"/>
          <w:szCs w:val="32"/>
          <w14:textFill>
            <w14:solidFill>
              <w14:schemeClr w14:val="tx1"/>
            </w14:solidFill>
          </w14:textFill>
        </w:rPr>
        <w:t>完成</w:t>
      </w:r>
      <w:r>
        <w:rPr>
          <w:rStyle w:val="13"/>
          <w:rFonts w:hint="eastAsia" w:ascii="仿宋" w:hAnsi="仿宋" w:eastAsia="仿宋" w:cs="仿宋"/>
          <w:bCs/>
          <w:color w:val="000000"/>
          <w:sz w:val="32"/>
          <w:szCs w:val="32"/>
        </w:rPr>
        <w:t>预算</w:t>
      </w:r>
      <w:r>
        <w:rPr>
          <w:rStyle w:val="13"/>
          <w:rFonts w:hint="eastAsia" w:ascii="仿宋" w:hAnsi="仿宋" w:eastAsia="仿宋" w:cs="仿宋"/>
          <w:bCs/>
          <w:color w:val="000000"/>
          <w:sz w:val="32"/>
          <w:szCs w:val="32"/>
          <w:lang w:val="en-US" w:eastAsia="zh-CN"/>
        </w:rPr>
        <w:t>100</w:t>
      </w:r>
      <w:r>
        <w:rPr>
          <w:rStyle w:val="13"/>
          <w:rFonts w:hint="eastAsia" w:ascii="仿宋" w:hAnsi="仿宋" w:eastAsia="仿宋" w:cs="仿宋"/>
          <w:bCs/>
          <w:color w:val="000000"/>
          <w:sz w:val="32"/>
          <w:szCs w:val="32"/>
        </w:rPr>
        <w:t>%。其中：</w:t>
      </w:r>
      <w:bookmarkEnd w:id="50"/>
      <w:bookmarkEnd w:id="51"/>
      <w:bookmarkEnd w:id="52"/>
      <w:bookmarkEnd w:id="53"/>
      <w:bookmarkEnd w:id="54"/>
      <w:bookmarkEnd w:id="55"/>
    </w:p>
    <w:p>
      <w:pPr>
        <w:pageBreakBefore w:val="0"/>
        <w:kinsoku/>
        <w:wordWrap/>
        <w:overflowPunct/>
        <w:topLinePunct w:val="0"/>
        <w:bidi w:val="0"/>
        <w:snapToGrid/>
        <w:spacing w:line="576" w:lineRule="atLeast"/>
        <w:ind w:firstLine="642" w:firstLineChars="200"/>
        <w:textAlignment w:val="auto"/>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一般公共服务支出</w:t>
      </w:r>
      <w:r>
        <w:rPr>
          <w:rFonts w:hint="eastAsia" w:ascii="仿宋" w:hAnsi="仿宋" w:eastAsia="仿宋"/>
          <w:b/>
          <w:bCs/>
          <w:color w:val="000000"/>
          <w:sz w:val="32"/>
          <w:szCs w:val="32"/>
          <w:lang w:val="en-US" w:eastAsia="zh-CN"/>
        </w:rPr>
        <w:t>201：支出决算为</w:t>
      </w:r>
      <w:r>
        <w:rPr>
          <w:rFonts w:hint="eastAsia" w:ascii="仿宋" w:hAnsi="仿宋" w:eastAsia="仿宋"/>
          <w:color w:val="000000" w:themeColor="text1"/>
          <w:sz w:val="32"/>
          <w:szCs w:val="32"/>
          <w:lang w:val="en-US" w:eastAsia="zh-CN"/>
          <w14:textFill>
            <w14:solidFill>
              <w14:schemeClr w14:val="tx1"/>
            </w14:solidFill>
          </w14:textFill>
        </w:rPr>
        <w:t>396.27</w:t>
      </w:r>
      <w:r>
        <w:rPr>
          <w:rFonts w:hint="eastAsia" w:ascii="仿宋" w:hAnsi="仿宋" w:eastAsia="仿宋"/>
          <w:b/>
          <w:bCs/>
          <w:color w:val="000000"/>
          <w:sz w:val="32"/>
          <w:szCs w:val="32"/>
          <w:lang w:val="en-US" w:eastAsia="zh-CN"/>
        </w:rPr>
        <w:t>万元，完成预算100%。</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行政运行</w:t>
      </w:r>
      <w:r>
        <w:rPr>
          <w:rFonts w:hint="eastAsia" w:ascii="仿宋" w:hAnsi="仿宋" w:eastAsia="仿宋"/>
          <w:color w:val="000000"/>
          <w:sz w:val="32"/>
          <w:szCs w:val="32"/>
          <w:lang w:val="en-US" w:eastAsia="zh-CN"/>
        </w:rPr>
        <w:t>2012801</w:t>
      </w:r>
      <w:r>
        <w:rPr>
          <w:rFonts w:hint="eastAsia" w:ascii="仿宋" w:hAnsi="仿宋" w:eastAsia="仿宋"/>
          <w:color w:val="000000"/>
          <w:sz w:val="32"/>
          <w:szCs w:val="32"/>
        </w:rPr>
        <w:t>: 支出决算为30</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84万元，完成预算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pageBreakBefore w:val="0"/>
        <w:kinsoku/>
        <w:wordWrap/>
        <w:overflowPunct/>
        <w:topLinePunct w:val="0"/>
        <w:bidi w:val="0"/>
        <w:snapToGrid/>
        <w:spacing w:line="576" w:lineRule="atLeast"/>
        <w:ind w:firstLine="642"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2.社会保障和就业支出208：支出决算为25.42万元，完成预算100%。</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行机关事业单位基本养老保险缴费支出2080505：支出决算为：16.95万元，完成预算100%。</w:t>
      </w:r>
    </w:p>
    <w:p>
      <w:pPr>
        <w:pageBreakBefore w:val="0"/>
        <w:kinsoku/>
        <w:wordWrap/>
        <w:overflowPunct/>
        <w:topLinePunct w:val="0"/>
        <w:bidi w:val="0"/>
        <w:snapToGrid/>
        <w:spacing w:line="576" w:lineRule="atLeast"/>
        <w:ind w:firstLine="640" w:firstLineChars="200"/>
        <w:textAlignment w:val="auto"/>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机关事业单位职业年金缴费支出2080506：支出决算为8.47万元，完成预算100%。</w:t>
      </w:r>
    </w:p>
    <w:p>
      <w:pPr>
        <w:pageBreakBefore w:val="0"/>
        <w:kinsoku/>
        <w:wordWrap/>
        <w:overflowPunct/>
        <w:topLinePunct w:val="0"/>
        <w:bidi w:val="0"/>
        <w:snapToGrid/>
        <w:spacing w:line="576" w:lineRule="atLeast"/>
        <w:ind w:firstLine="642"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3.卫生健康支出210：支出决算为20.34万元，完成预算100%。</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行政单位医疗2101101：支出决算为1.37万元，完成预算100%。</w:t>
      </w:r>
    </w:p>
    <w:p>
      <w:pPr>
        <w:pStyle w:val="10"/>
        <w:pageBreakBefore w:val="0"/>
        <w:kinsoku/>
        <w:wordWrap/>
        <w:overflowPunct/>
        <w:topLinePunct w:val="0"/>
        <w:bidi w:val="0"/>
        <w:snapToGrid/>
        <w:spacing w:line="576" w:lineRule="atLeast"/>
        <w:ind w:left="0"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color w:val="000000"/>
          <w:sz w:val="32"/>
          <w:szCs w:val="32"/>
          <w:lang w:val="en-US" w:eastAsia="zh-CN"/>
        </w:rPr>
        <w:t>（2）卫生健康支出</w:t>
      </w:r>
      <w:r>
        <w:rPr>
          <w:rFonts w:hint="eastAsia" w:ascii="仿宋" w:hAnsi="仿宋" w:eastAsia="仿宋" w:cs="仿宋"/>
          <w:sz w:val="32"/>
          <w:szCs w:val="32"/>
          <w:lang w:val="en-US" w:eastAsia="zh-CN"/>
        </w:rPr>
        <w:t>事业单位医疗支出2101102:13.35万元</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公务员医疗补助2101103：支出决算为0.51万元，完成预算100%。</w:t>
      </w:r>
    </w:p>
    <w:p>
      <w:pPr>
        <w:pageBreakBefore w:val="0"/>
        <w:kinsoku/>
        <w:wordWrap/>
        <w:overflowPunct/>
        <w:topLinePunct w:val="0"/>
        <w:bidi w:val="0"/>
        <w:snapToGrid/>
        <w:spacing w:line="576" w:lineRule="atLeast"/>
        <w:ind w:firstLine="642"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w:t>
      </w:r>
      <w:r>
        <w:rPr>
          <w:rFonts w:hint="eastAsia" w:ascii="仿宋" w:hAnsi="仿宋" w:eastAsia="仿宋"/>
          <w:color w:val="000000" w:themeColor="text1"/>
          <w:sz w:val="32"/>
          <w:szCs w:val="32"/>
          <w14:textFill>
            <w14:solidFill>
              <w14:schemeClr w14:val="tx1"/>
            </w14:solidFill>
          </w14:textFill>
        </w:rPr>
        <w:t>35</w:t>
      </w:r>
      <w:r>
        <w:rPr>
          <w:rFonts w:hint="eastAsia" w:ascii="仿宋" w:hAnsi="仿宋" w:eastAsia="仿宋"/>
          <w:color w:val="000000" w:themeColor="text1"/>
          <w:sz w:val="32"/>
          <w:szCs w:val="32"/>
          <w:lang w:val="en-US" w:eastAsia="zh-CN"/>
          <w14:textFill>
            <w14:solidFill>
              <w14:schemeClr w14:val="tx1"/>
            </w14:solidFill>
          </w14:textFill>
        </w:rPr>
        <w:t>.30</w:t>
      </w:r>
      <w:r>
        <w:rPr>
          <w:rFonts w:hint="eastAsia" w:ascii="仿宋" w:hAnsi="仿宋" w:eastAsia="仿宋"/>
          <w:b/>
          <w:bCs/>
          <w:color w:val="000000"/>
          <w:sz w:val="32"/>
          <w:szCs w:val="32"/>
          <w:lang w:val="en-US" w:eastAsia="zh-CN"/>
        </w:rPr>
        <w:t>万元，完成预算100%。</w:t>
      </w:r>
    </w:p>
    <w:p>
      <w:pPr>
        <w:pageBreakBefore w:val="0"/>
        <w:kinsoku/>
        <w:wordWrap/>
        <w:overflowPunct/>
        <w:topLinePunct w:val="0"/>
        <w:bidi w:val="0"/>
        <w:snapToGrid/>
        <w:spacing w:line="576" w:lineRule="atLeas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w:t>
      </w:r>
      <w:r>
        <w:rPr>
          <w:rFonts w:hint="eastAsia" w:ascii="仿宋" w:hAnsi="仿宋" w:eastAsia="仿宋"/>
          <w:color w:val="000000" w:themeColor="text1"/>
          <w:sz w:val="32"/>
          <w:szCs w:val="32"/>
          <w14:textFill>
            <w14:solidFill>
              <w14:schemeClr w14:val="tx1"/>
            </w14:solidFill>
          </w14:textFill>
        </w:rPr>
        <w:t>35</w:t>
      </w:r>
      <w:r>
        <w:rPr>
          <w:rFonts w:hint="eastAsia" w:ascii="仿宋" w:hAnsi="仿宋" w:eastAsia="仿宋"/>
          <w:color w:val="000000" w:themeColor="text1"/>
          <w:sz w:val="32"/>
          <w:szCs w:val="32"/>
          <w:lang w:val="en-US" w:eastAsia="zh-CN"/>
          <w14:textFill>
            <w14:solidFill>
              <w14:schemeClr w14:val="tx1"/>
            </w14:solidFill>
          </w14:textFill>
        </w:rPr>
        <w:t>.30</w:t>
      </w:r>
      <w:r>
        <w:rPr>
          <w:rFonts w:hint="eastAsia" w:ascii="仿宋" w:hAnsi="仿宋" w:eastAsia="仿宋"/>
          <w:color w:val="000000"/>
          <w:sz w:val="32"/>
          <w:szCs w:val="32"/>
          <w:lang w:val="en-US" w:eastAsia="zh-CN"/>
        </w:rPr>
        <w:t>万元，完成预算100%。</w:t>
      </w:r>
    </w:p>
    <w:p>
      <w:pPr>
        <w:pageBreakBefore w:val="0"/>
        <w:kinsoku/>
        <w:wordWrap/>
        <w:overflowPunct/>
        <w:topLinePunct w:val="0"/>
        <w:bidi w:val="0"/>
        <w:snapToGrid/>
        <w:spacing w:line="576" w:lineRule="atLeast"/>
        <w:ind w:firstLine="640" w:firstLineChars="200"/>
        <w:textAlignment w:val="auto"/>
        <w:rPr>
          <w:rFonts w:hint="default" w:ascii="仿宋" w:hAnsi="仿宋" w:eastAsia="仿宋"/>
          <w:b/>
          <w:color w:val="000000"/>
          <w:sz w:val="32"/>
          <w:szCs w:val="32"/>
          <w:lang w:val="en-US"/>
        </w:rPr>
      </w:pPr>
      <w:r>
        <w:rPr>
          <w:rFonts w:hint="eastAsia" w:ascii="仿宋" w:hAnsi="仿宋" w:eastAsia="仿宋"/>
          <w:color w:val="000000"/>
          <w:sz w:val="32"/>
          <w:szCs w:val="32"/>
          <w:lang w:val="en-US" w:eastAsia="zh-CN"/>
        </w:rPr>
        <w:t>具体明细如下图。</w:t>
      </w:r>
    </w:p>
    <w:p>
      <w:pPr>
        <w:pageBreakBefore w:val="0"/>
        <w:kinsoku/>
        <w:wordWrap/>
        <w:overflowPunct/>
        <w:topLinePunct w:val="0"/>
        <w:bidi w:val="0"/>
        <w:snapToGrid/>
        <w:spacing w:line="576" w:lineRule="atLeast"/>
        <w:ind w:firstLine="642" w:firstLineChars="200"/>
        <w:textAlignment w:val="auto"/>
        <w:rPr>
          <w:rStyle w:val="13"/>
          <w:rFonts w:hint="eastAsia" w:ascii="仿宋_GB2312" w:hAnsi="仿宋_GB2312" w:eastAsia="仿宋_GB2312" w:cs="仿宋_GB2312"/>
          <w:sz w:val="32"/>
          <w:szCs w:val="32"/>
          <w:shd w:val="clear" w:fill="FFFFFF"/>
          <w:lang w:eastAsia="zh-CN"/>
        </w:rPr>
      </w:pPr>
      <w:r>
        <w:rPr>
          <w:rStyle w:val="13"/>
          <w:rFonts w:hint="eastAsia" w:ascii="仿宋_GB2312" w:hAnsi="仿宋_GB2312" w:eastAsia="仿宋_GB2312" w:cs="仿宋_GB2312"/>
          <w:sz w:val="32"/>
          <w:szCs w:val="32"/>
          <w:shd w:val="clear" w:fill="FFFFFF"/>
          <w:lang w:eastAsia="zh-CN"/>
        </w:rPr>
        <w:drawing>
          <wp:inline distT="0" distB="0" distL="114300" distR="114300">
            <wp:extent cx="5270500" cy="3004820"/>
            <wp:effectExtent l="0" t="0" r="6350" b="5080"/>
            <wp:docPr id="5" name="图片 5" descr="5048e7566f6799020e752f960dee2fc"/>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5048e7566f6799020e752f960dee2fc"/>
                    <pic:cNvPicPr>
                      <a:picLocks noChangeAspect="true"/>
                    </pic:cNvPicPr>
                  </pic:nvPicPr>
                  <pic:blipFill>
                    <a:blip r:embed="rId9"/>
                    <a:stretch>
                      <a:fillRect/>
                    </a:stretch>
                  </pic:blipFill>
                  <pic:spPr>
                    <a:xfrm>
                      <a:off x="0" y="0"/>
                      <a:ext cx="5270500" cy="3004820"/>
                    </a:xfrm>
                    <a:prstGeom prst="rect">
                      <a:avLst/>
                    </a:prstGeom>
                  </pic:spPr>
                </pic:pic>
              </a:graphicData>
            </a:graphic>
          </wp:inline>
        </w:drawing>
      </w:r>
    </w:p>
    <w:p>
      <w:pPr>
        <w:pageBreakBefore w:val="0"/>
        <w:kinsoku/>
        <w:wordWrap/>
        <w:overflowPunct/>
        <w:topLinePunct w:val="0"/>
        <w:bidi w:val="0"/>
        <w:snapToGrid/>
        <w:spacing w:line="576" w:lineRule="atLeast"/>
        <w:ind w:firstLine="640" w:firstLineChars="200"/>
        <w:textAlignment w:val="auto"/>
        <w:outlineLvl w:val="1"/>
        <w:rPr>
          <w:rStyle w:val="40"/>
          <w:rFonts w:hint="eastAsia" w:ascii="黑体" w:hAnsi="黑体" w:eastAsia="黑体" w:cs="黑体"/>
          <w:b w:val="0"/>
          <w:bCs w:val="0"/>
        </w:rPr>
      </w:pPr>
      <w:r>
        <w:rPr>
          <w:rStyle w:val="40"/>
          <w:rFonts w:hint="eastAsia" w:ascii="黑体" w:hAnsi="黑体" w:eastAsia="黑体" w:cs="黑体"/>
          <w:b w:val="0"/>
          <w:bCs w:val="0"/>
          <w:lang w:val="en-US" w:eastAsia="zh-CN"/>
        </w:rPr>
        <w:t>六.</w:t>
      </w:r>
      <w:r>
        <w:rPr>
          <w:rStyle w:val="40"/>
          <w:rFonts w:hint="eastAsia" w:ascii="黑体" w:hAnsi="黑体" w:eastAsia="黑体" w:cs="黑体"/>
          <w:b w:val="0"/>
          <w:bCs w:val="0"/>
        </w:rPr>
        <w:t>“三公”经费财政拨款支出决算情况说明</w:t>
      </w:r>
    </w:p>
    <w:p>
      <w:pPr>
        <w:pageBreakBefore w:val="0"/>
        <w:kinsoku/>
        <w:wordWrap/>
        <w:overflowPunct/>
        <w:topLinePunct w:val="0"/>
        <w:bidi w:val="0"/>
        <w:snapToGrid/>
        <w:spacing w:line="576" w:lineRule="atLeast"/>
        <w:ind w:firstLine="642" w:firstLineChars="200"/>
        <w:textAlignment w:val="auto"/>
        <w:outlineLvl w:val="2"/>
        <w:rPr>
          <w:rFonts w:ascii="仿宋" w:hAnsi="仿宋" w:eastAsia="仿宋"/>
          <w:b/>
          <w:color w:val="000000"/>
          <w:sz w:val="32"/>
          <w:szCs w:val="32"/>
        </w:rPr>
      </w:pPr>
      <w:bookmarkStart w:id="56" w:name="_Toc15377216"/>
      <w:r>
        <w:rPr>
          <w:rFonts w:hint="eastAsia" w:ascii="仿宋" w:hAnsi="仿宋" w:eastAsia="仿宋"/>
          <w:b/>
          <w:color w:val="000000"/>
          <w:sz w:val="32"/>
          <w:szCs w:val="32"/>
        </w:rPr>
        <w:t>（一）“三公”经费财政拨款支出决算总体情况说明</w:t>
      </w:r>
      <w:bookmarkEnd w:id="56"/>
    </w:p>
    <w:p>
      <w:pPr>
        <w:pageBreakBefore w:val="0"/>
        <w:kinsoku/>
        <w:wordWrap/>
        <w:overflowPunct/>
        <w:topLinePunct w:val="0"/>
        <w:bidi w:val="0"/>
        <w:snapToGrid/>
        <w:spacing w:line="576" w:lineRule="atLeas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3.43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pageBreakBefore w:val="0"/>
        <w:kinsoku/>
        <w:wordWrap/>
        <w:overflowPunct/>
        <w:topLinePunct w:val="0"/>
        <w:bidi w:val="0"/>
        <w:snapToGrid/>
        <w:spacing w:line="576" w:lineRule="atLeast"/>
        <w:ind w:firstLine="642" w:firstLineChars="200"/>
        <w:textAlignment w:val="auto"/>
        <w:outlineLvl w:val="2"/>
        <w:rPr>
          <w:rFonts w:ascii="仿宋" w:hAnsi="仿宋" w:eastAsia="仿宋"/>
          <w:b/>
          <w:color w:val="000000"/>
          <w:sz w:val="32"/>
          <w:szCs w:val="32"/>
        </w:rPr>
      </w:pPr>
      <w:bookmarkStart w:id="57" w:name="_Toc15377217"/>
      <w:r>
        <w:rPr>
          <w:rFonts w:hint="eastAsia" w:ascii="仿宋" w:hAnsi="仿宋" w:eastAsia="仿宋"/>
          <w:b/>
          <w:color w:val="000000"/>
          <w:sz w:val="32"/>
          <w:szCs w:val="32"/>
        </w:rPr>
        <w:t>（二）“三公”经费财政拨款支出决算具体情况说明</w:t>
      </w:r>
      <w:bookmarkEnd w:id="57"/>
    </w:p>
    <w:p>
      <w:pPr>
        <w:pageBreakBefore w:val="0"/>
        <w:kinsoku/>
        <w:wordWrap/>
        <w:overflowPunct/>
        <w:topLinePunct w:val="0"/>
        <w:bidi w:val="0"/>
        <w:snapToGrid/>
        <w:spacing w:line="576" w:lineRule="atLeas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numPr>
          <w:ilvl w:val="0"/>
          <w:numId w:val="1"/>
        </w:numPr>
        <w:kinsoku/>
        <w:wordWrap/>
        <w:overflowPunct/>
        <w:topLinePunct w:val="0"/>
        <w:bidi w:val="0"/>
        <w:snapToGrid/>
        <w:spacing w:line="576" w:lineRule="atLeast"/>
        <w:ind w:firstLine="642" w:firstLineChars="200"/>
        <w:textAlignment w:val="auto"/>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pageBreakBefore w:val="0"/>
        <w:kinsoku/>
        <w:wordWrap/>
        <w:overflowPunct/>
        <w:topLinePunct w:val="0"/>
        <w:bidi w:val="0"/>
        <w:snapToGrid/>
        <w:spacing w:line="576" w:lineRule="atLeast"/>
        <w:ind w:firstLine="642" w:firstLineChars="200"/>
        <w:textAlignment w:val="auto"/>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公务用车购置及运行维护费支出6</w:t>
      </w:r>
      <w:r>
        <w:rPr>
          <w:rFonts w:hint="eastAsia" w:ascii="仿宋_GB2312" w:eastAsia="仿宋_GB2312"/>
          <w:b/>
          <w:color w:val="000000"/>
          <w:sz w:val="32"/>
          <w:szCs w:val="32"/>
          <w:lang w:val="en-US" w:eastAsia="zh-CN"/>
        </w:rPr>
        <w:t>.</w:t>
      </w:r>
      <w:r>
        <w:rPr>
          <w:rFonts w:hint="eastAsia" w:ascii="仿宋_GB2312" w:eastAsia="仿宋_GB2312"/>
          <w:b/>
          <w:color w:val="000000"/>
          <w:sz w:val="32"/>
          <w:szCs w:val="32"/>
        </w:rPr>
        <w:t>81</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增加。原因：采访增多，公务用车增加。公车年底维修。</w:t>
      </w:r>
    </w:p>
    <w:p>
      <w:pPr>
        <w:pageBreakBefore w:val="0"/>
        <w:kinsoku/>
        <w:wordWrap/>
        <w:overflowPunct/>
        <w:topLinePunct w:val="0"/>
        <w:bidi w:val="0"/>
        <w:snapToGrid/>
        <w:spacing w:line="576" w:lineRule="atLeas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pageBreakBefore w:val="0"/>
        <w:kinsoku/>
        <w:wordWrap/>
        <w:overflowPunct/>
        <w:topLinePunct w:val="0"/>
        <w:bidi w:val="0"/>
        <w:snapToGrid/>
        <w:spacing w:line="576" w:lineRule="atLeas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公务用车运行维护费支出6</w:t>
      </w:r>
      <w:r>
        <w:rPr>
          <w:rFonts w:hint="eastAsia" w:ascii="仿宋_GB2312" w:eastAsia="仿宋_GB2312"/>
          <w:b/>
          <w:color w:val="000000"/>
          <w:sz w:val="32"/>
          <w:szCs w:val="32"/>
          <w:lang w:val="en-US" w:eastAsia="zh-CN"/>
        </w:rPr>
        <w:t>.</w:t>
      </w:r>
      <w:r>
        <w:rPr>
          <w:rFonts w:hint="eastAsia" w:ascii="仿宋_GB2312" w:eastAsia="仿宋_GB2312"/>
          <w:b/>
          <w:color w:val="000000"/>
          <w:sz w:val="32"/>
          <w:szCs w:val="32"/>
        </w:rPr>
        <w:t>81</w:t>
      </w:r>
      <w:r>
        <w:rPr>
          <w:rFonts w:hint="eastAsia" w:ascii="仿宋_GB2312" w:eastAsia="仿宋_GB2312"/>
          <w:color w:val="000000"/>
          <w:sz w:val="32"/>
          <w:szCs w:val="32"/>
        </w:rPr>
        <w:t>万元。主要用于主要用于到</w:t>
      </w:r>
      <w:r>
        <w:rPr>
          <w:rFonts w:hint="eastAsia" w:ascii="仿宋_GB2312" w:eastAsia="仿宋_GB2312"/>
          <w:color w:val="000000"/>
          <w:sz w:val="32"/>
          <w:szCs w:val="32"/>
          <w:lang w:val="en-US" w:eastAsia="zh-CN"/>
        </w:rPr>
        <w:t>各乡镇和县城周边采访</w:t>
      </w:r>
      <w:r>
        <w:rPr>
          <w:rFonts w:hint="eastAsia" w:ascii="仿宋_GB2312" w:eastAsia="仿宋_GB2312"/>
          <w:color w:val="000000"/>
          <w:sz w:val="32"/>
          <w:szCs w:val="32"/>
        </w:rPr>
        <w:t>、办事等所需的公务用车燃料费、维修费、保险费等支出。</w:t>
      </w:r>
    </w:p>
    <w:p>
      <w:pPr>
        <w:pageBreakBefore w:val="0"/>
        <w:kinsoku/>
        <w:wordWrap/>
        <w:overflowPunct/>
        <w:topLinePunct w:val="0"/>
        <w:bidi w:val="0"/>
        <w:snapToGrid/>
        <w:spacing w:line="576" w:lineRule="atLeast"/>
        <w:ind w:firstLine="642"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pageBreakBefore w:val="0"/>
        <w:kinsoku/>
        <w:wordWrap/>
        <w:overflowPunct/>
        <w:topLinePunct w:val="0"/>
        <w:bidi w:val="0"/>
        <w:snapToGrid/>
        <w:spacing w:line="576" w:lineRule="atLeast"/>
        <w:ind w:firstLine="642" w:firstLineChars="20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人次（包括陪同人员）。</w:t>
      </w:r>
    </w:p>
    <w:p>
      <w:pPr>
        <w:pageBreakBefore w:val="0"/>
        <w:kinsoku/>
        <w:wordWrap/>
        <w:overflowPunct/>
        <w:topLinePunct w:val="0"/>
        <w:bidi w:val="0"/>
        <w:snapToGrid/>
        <w:spacing w:line="576" w:lineRule="atLeast"/>
        <w:ind w:firstLine="642" w:firstLineChars="200"/>
        <w:textAlignment w:val="auto"/>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lang w:val="en-US" w:eastAsia="zh-CN"/>
        </w:rPr>
        <w:t>元</w:t>
      </w:r>
      <w:r>
        <w:rPr>
          <w:rFonts w:hint="eastAsia" w:ascii="仿宋_GB2312" w:eastAsia="仿宋_GB2312"/>
          <w:color w:val="000000"/>
          <w:sz w:val="32"/>
          <w:szCs w:val="32"/>
        </w:rPr>
        <w:t>。</w:t>
      </w:r>
    </w:p>
    <w:p>
      <w:pPr>
        <w:pStyle w:val="10"/>
        <w:pageBreakBefore w:val="0"/>
        <w:kinsoku/>
        <w:wordWrap/>
        <w:overflowPunct/>
        <w:topLinePunct w:val="0"/>
        <w:bidi w:val="0"/>
        <w:snapToGrid/>
        <w:spacing w:line="576" w:lineRule="atLeast"/>
        <w:ind w:left="0" w:leftChars="0" w:firstLine="420" w:firstLineChars="200"/>
        <w:textAlignment w:val="auto"/>
        <w:rPr>
          <w:rFonts w:hint="eastAsia" w:eastAsiaTheme="minorEastAsia"/>
          <w:lang w:eastAsia="zh-CN"/>
        </w:rPr>
      </w:pPr>
      <w:r>
        <w:rPr>
          <w:rFonts w:hint="eastAsia" w:eastAsiaTheme="minorEastAsia"/>
          <w:lang w:eastAsia="zh-CN"/>
        </w:rPr>
        <w:drawing>
          <wp:inline distT="0" distB="0" distL="114300" distR="114300">
            <wp:extent cx="5256530" cy="3526155"/>
            <wp:effectExtent l="4445" t="4445" r="15875" b="1270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napToGrid/>
        <w:spacing w:line="576" w:lineRule="atLeast"/>
        <w:ind w:firstLine="640" w:firstLineChars="200"/>
        <w:textAlignment w:val="auto"/>
        <w:outlineLvl w:val="1"/>
        <w:rPr>
          <w:rStyle w:val="40"/>
          <w:rFonts w:ascii="黑体" w:hAnsi="黑体" w:eastAsia="黑体"/>
        </w:rPr>
      </w:pPr>
      <w:bookmarkStart w:id="58" w:name="_Toc18695"/>
      <w:r>
        <w:rPr>
          <w:rFonts w:hint="eastAsia" w:ascii="黑体" w:eastAsia="黑体"/>
          <w:color w:val="000000"/>
          <w:sz w:val="32"/>
          <w:szCs w:val="32"/>
          <w:lang w:val="en-US" w:eastAsia="zh-CN"/>
        </w:rPr>
        <w:t>七</w:t>
      </w:r>
      <w:r>
        <w:rPr>
          <w:rFonts w:hint="eastAsia" w:ascii="黑体" w:eastAsia="黑体"/>
          <w:color w:val="000000"/>
          <w:sz w:val="32"/>
          <w:szCs w:val="32"/>
        </w:rPr>
        <w:t>、</w:t>
      </w:r>
      <w:r>
        <w:rPr>
          <w:rStyle w:val="40"/>
          <w:rFonts w:hint="eastAsia" w:ascii="黑体" w:hAnsi="黑体" w:eastAsia="黑体"/>
          <w:b w:val="0"/>
        </w:rPr>
        <w:t>政府性基金预算支出决算情况说明</w:t>
      </w:r>
      <w:bookmarkEnd w:id="58"/>
    </w:p>
    <w:p>
      <w:pPr>
        <w:pageBreakBefore w:val="0"/>
        <w:kinsoku/>
        <w:wordWrap/>
        <w:overflowPunct/>
        <w:topLinePunct w:val="0"/>
        <w:bidi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0"/>
        </w:numPr>
        <w:kinsoku/>
        <w:wordWrap/>
        <w:overflowPunct/>
        <w:topLinePunct w:val="0"/>
        <w:bidi w:val="0"/>
        <w:snapToGrid/>
        <w:spacing w:line="576" w:lineRule="atLeast"/>
        <w:ind w:firstLine="640" w:firstLineChars="200"/>
        <w:textAlignment w:val="auto"/>
        <w:outlineLvl w:val="1"/>
        <w:rPr>
          <w:rStyle w:val="40"/>
          <w:rFonts w:ascii="黑体" w:hAnsi="黑体" w:eastAsia="黑体"/>
          <w:b w:val="0"/>
        </w:rPr>
      </w:pPr>
      <w:bookmarkStart w:id="59" w:name="_Toc15396611"/>
      <w:bookmarkStart w:id="60" w:name="_Toc15377219"/>
      <w:bookmarkStart w:id="61" w:name="_Toc8211"/>
      <w:r>
        <w:rPr>
          <w:rStyle w:val="40"/>
          <w:rFonts w:hint="eastAsia" w:ascii="黑体" w:hAnsi="黑体" w:eastAsia="黑体"/>
          <w:b w:val="0"/>
          <w:lang w:val="en-US" w:eastAsia="zh-CN"/>
        </w:rPr>
        <w:t>八、</w:t>
      </w:r>
      <w:r>
        <w:rPr>
          <w:rStyle w:val="40"/>
          <w:rFonts w:hint="eastAsia" w:ascii="黑体" w:hAnsi="黑体" w:eastAsia="黑体"/>
          <w:b w:val="0"/>
        </w:rPr>
        <w:t>国有资本经营预算支出决算情况说明</w:t>
      </w:r>
      <w:bookmarkEnd w:id="59"/>
      <w:bookmarkEnd w:id="60"/>
      <w:bookmarkEnd w:id="61"/>
    </w:p>
    <w:p>
      <w:pPr>
        <w:pageBreakBefore w:val="0"/>
        <w:kinsoku/>
        <w:wordWrap/>
        <w:overflowPunct/>
        <w:topLinePunct w:val="0"/>
        <w:bidi w:val="0"/>
        <w:snapToGrid/>
        <w:spacing w:line="576" w:lineRule="atLeast"/>
        <w:ind w:firstLine="640" w:firstLineChars="200"/>
        <w:textAlignment w:val="auto"/>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bidi w:val="0"/>
        <w:snapToGrid/>
        <w:spacing w:line="576" w:lineRule="atLeast"/>
        <w:ind w:firstLine="640" w:firstLineChars="200"/>
        <w:textAlignment w:val="auto"/>
        <w:outlineLvl w:val="1"/>
        <w:rPr>
          <w:rStyle w:val="40"/>
          <w:rFonts w:ascii="黑体" w:hAnsi="黑体" w:eastAsia="黑体"/>
        </w:rPr>
      </w:pPr>
      <w:bookmarkStart w:id="62" w:name="_Toc15396612"/>
      <w:bookmarkStart w:id="63" w:name="_Toc23219"/>
      <w:bookmarkStart w:id="64" w:name="_Toc15377221"/>
      <w:r>
        <w:rPr>
          <w:rFonts w:hint="eastAsia" w:ascii="黑体" w:hAnsi="黑体" w:eastAsia="黑体"/>
          <w:color w:val="000000"/>
          <w:sz w:val="32"/>
          <w:szCs w:val="32"/>
          <w:lang w:val="en-US" w:eastAsia="zh-CN"/>
        </w:rPr>
        <w:t>九、</w:t>
      </w:r>
      <w:r>
        <w:rPr>
          <w:rStyle w:val="40"/>
          <w:rFonts w:hint="eastAsia" w:ascii="黑体" w:hAnsi="黑体" w:eastAsia="黑体"/>
          <w:b w:val="0"/>
        </w:rPr>
        <w:t>其他重要事项的情况说明</w:t>
      </w:r>
      <w:bookmarkEnd w:id="62"/>
      <w:bookmarkEnd w:id="63"/>
      <w:bookmarkEnd w:id="64"/>
    </w:p>
    <w:p>
      <w:pPr>
        <w:pageBreakBefore w:val="0"/>
        <w:kinsoku/>
        <w:wordWrap/>
        <w:overflowPunct/>
        <w:topLinePunct w:val="0"/>
        <w:bidi w:val="0"/>
        <w:snapToGrid/>
        <w:spacing w:line="576" w:lineRule="atLeast"/>
        <w:ind w:firstLine="642" w:firstLineChars="200"/>
        <w:textAlignment w:val="auto"/>
        <w:outlineLvl w:val="2"/>
        <w:rPr>
          <w:rFonts w:ascii="仿宋" w:hAnsi="仿宋" w:eastAsia="仿宋"/>
          <w:color w:val="000000"/>
          <w:sz w:val="32"/>
          <w:szCs w:val="32"/>
        </w:rPr>
      </w:pPr>
      <w:bookmarkStart w:id="65" w:name="_Toc15377222"/>
      <w:r>
        <w:rPr>
          <w:rFonts w:hint="eastAsia" w:ascii="仿宋" w:hAnsi="仿宋" w:eastAsia="仿宋"/>
          <w:b/>
          <w:color w:val="000000"/>
          <w:sz w:val="32"/>
          <w:szCs w:val="32"/>
        </w:rPr>
        <w:t>（一）机关运行经费支出情况</w:t>
      </w:r>
      <w:bookmarkEnd w:id="65"/>
    </w:p>
    <w:p>
      <w:pPr>
        <w:pageBreakBefore w:val="0"/>
        <w:kinsoku/>
        <w:wordWrap/>
        <w:overflowPunct/>
        <w:topLinePunct w:val="0"/>
        <w:bidi w:val="0"/>
        <w:snapToGrid/>
        <w:spacing w:line="576" w:lineRule="atLeast"/>
        <w:ind w:firstLine="640" w:firstLineChars="200"/>
        <w:textAlignment w:val="auto"/>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红原县融媒体中心会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6.81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2021年减少</w:t>
      </w:r>
      <w:r>
        <w:rPr>
          <w:rFonts w:hint="eastAsia" w:ascii="仿宋_GB2312" w:eastAsia="仿宋_GB2312"/>
          <w:color w:val="000000"/>
          <w:sz w:val="32"/>
          <w:szCs w:val="32"/>
          <w:lang w:eastAsia="zh-CN"/>
        </w:rPr>
        <w:t>。</w:t>
      </w:r>
    </w:p>
    <w:p>
      <w:pPr>
        <w:pageBreakBefore w:val="0"/>
        <w:kinsoku/>
        <w:wordWrap/>
        <w:overflowPunct/>
        <w:topLinePunct w:val="0"/>
        <w:autoSpaceDE w:val="0"/>
        <w:autoSpaceDN w:val="0"/>
        <w:bidi w:val="0"/>
        <w:adjustRightInd w:val="0"/>
        <w:snapToGrid/>
        <w:spacing w:line="576" w:lineRule="atLeast"/>
        <w:ind w:firstLine="642" w:firstLineChars="200"/>
        <w:jc w:val="left"/>
        <w:textAlignment w:val="auto"/>
        <w:outlineLvl w:val="2"/>
        <w:rPr>
          <w:rFonts w:ascii="仿宋" w:hAnsi="仿宋" w:eastAsia="仿宋"/>
          <w:b/>
          <w:color w:val="000000"/>
          <w:sz w:val="32"/>
          <w:szCs w:val="32"/>
        </w:rPr>
      </w:pPr>
      <w:bookmarkStart w:id="66" w:name="_Toc15377223"/>
      <w:r>
        <w:rPr>
          <w:rFonts w:hint="eastAsia" w:ascii="仿宋" w:hAnsi="仿宋" w:eastAsia="仿宋"/>
          <w:b/>
          <w:color w:val="000000"/>
          <w:sz w:val="32"/>
          <w:szCs w:val="32"/>
        </w:rPr>
        <w:t>（二）政府采购支出情况</w:t>
      </w:r>
      <w:bookmarkEnd w:id="66"/>
    </w:p>
    <w:p>
      <w:pPr>
        <w:pageBreakBefore w:val="0"/>
        <w:kinsoku/>
        <w:wordWrap/>
        <w:overflowPunct/>
        <w:topLinePunct w:val="0"/>
        <w:bidi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红原县融媒体中心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kinsoku/>
        <w:wordWrap/>
        <w:overflowPunct/>
        <w:topLinePunct w:val="0"/>
        <w:autoSpaceDE w:val="0"/>
        <w:autoSpaceDN w:val="0"/>
        <w:bidi w:val="0"/>
        <w:adjustRightInd w:val="0"/>
        <w:snapToGrid/>
        <w:spacing w:line="576" w:lineRule="atLeast"/>
        <w:ind w:firstLine="642" w:firstLineChars="200"/>
        <w:jc w:val="left"/>
        <w:textAlignment w:val="auto"/>
        <w:outlineLvl w:val="2"/>
        <w:rPr>
          <w:rFonts w:ascii="仿宋" w:hAnsi="仿宋" w:eastAsia="仿宋"/>
          <w:b/>
          <w:color w:val="000000"/>
          <w:sz w:val="32"/>
          <w:szCs w:val="32"/>
        </w:rPr>
      </w:pPr>
      <w:bookmarkStart w:id="67" w:name="_Toc15377224"/>
      <w:r>
        <w:rPr>
          <w:rFonts w:hint="eastAsia" w:ascii="仿宋" w:hAnsi="仿宋" w:eastAsia="仿宋"/>
          <w:b/>
          <w:color w:val="000000"/>
          <w:sz w:val="32"/>
          <w:szCs w:val="32"/>
        </w:rPr>
        <w:t>（三）国有资产占有使用情况</w:t>
      </w:r>
      <w:bookmarkEnd w:id="67"/>
    </w:p>
    <w:p>
      <w:pPr>
        <w:pageBreakBefore w:val="0"/>
        <w:kinsoku/>
        <w:wordWrap/>
        <w:overflowPunct/>
        <w:topLinePunct w:val="0"/>
        <w:autoSpaceDE w:val="0"/>
        <w:autoSpaceDN w:val="0"/>
        <w:bidi w:val="0"/>
        <w:adjustRightInd w:val="0"/>
        <w:snapToGrid/>
        <w:spacing w:line="576" w:lineRule="atLeast"/>
        <w:ind w:firstLine="640" w:firstLineChars="20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红原县融媒体中心</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w:t>
      </w:r>
      <w:r>
        <w:rPr>
          <w:rFonts w:hint="eastAsia" w:ascii="仿宋_GB2312" w:eastAsia="仿宋_GB2312"/>
          <w:color w:val="000000" w:themeColor="text1"/>
          <w:sz w:val="32"/>
          <w:szCs w:val="32"/>
          <w:lang w:val="en-US" w:eastAsia="zh-CN"/>
          <w14:textFill>
            <w14:solidFill>
              <w14:schemeClr w14:val="tx1"/>
            </w14:solidFill>
          </w14:textFill>
        </w:rPr>
        <w:t>采访和出差使用</w:t>
      </w:r>
      <w:r>
        <w:rPr>
          <w:rFonts w:hint="eastAsia" w:ascii="仿宋_GB2312" w:eastAsia="仿宋_GB2312"/>
          <w:color w:val="000000" w:themeColor="text1"/>
          <w:sz w:val="32"/>
          <w:szCs w:val="32"/>
          <w:lang w:eastAsia="zh-CN"/>
          <w14:textFill>
            <w14:solidFill>
              <w14:schemeClr w14:val="tx1"/>
            </w14:solidFill>
          </w14:textFill>
        </w:rPr>
        <w:t>。</w:t>
      </w:r>
    </w:p>
    <w:p>
      <w:pPr>
        <w:pageBreakBefore w:val="0"/>
        <w:kinsoku/>
        <w:wordWrap/>
        <w:overflowPunct/>
        <w:topLinePunct w:val="0"/>
        <w:autoSpaceDE w:val="0"/>
        <w:autoSpaceDN w:val="0"/>
        <w:bidi w:val="0"/>
        <w:adjustRightInd w:val="0"/>
        <w:snapToGrid/>
        <w:spacing w:line="576" w:lineRule="atLeast"/>
        <w:ind w:firstLine="642" w:firstLineChars="200"/>
        <w:jc w:val="left"/>
        <w:textAlignment w:val="auto"/>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pageBreakBefore w:val="0"/>
        <w:kinsoku/>
        <w:wordWrap/>
        <w:overflowPunct/>
        <w:topLinePunct w:val="0"/>
        <w:bidi w:val="0"/>
        <w:snapToGrid/>
        <w:spacing w:line="576" w:lineRule="atLeas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光彩事业及考察调研培训经费等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pStyle w:val="10"/>
        <w:pageBreakBefore w:val="0"/>
        <w:kinsoku/>
        <w:wordWrap/>
        <w:overflowPunct/>
        <w:topLinePunct w:val="0"/>
        <w:bidi w:val="0"/>
        <w:snapToGrid/>
        <w:spacing w:line="576" w:lineRule="atLeast"/>
        <w:ind w:left="0" w:leftChars="0" w:firstLine="640" w:firstLineChars="200"/>
        <w:textAlignment w:val="auto"/>
        <w:rPr>
          <w:rFonts w:hint="eastAsia" w:eastAsiaTheme="minorEastAsia"/>
          <w:lang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A03B2"/>
    <w:multiLevelType w:val="singleLevel"/>
    <w:tmpl w:val="027A03B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1NzRkNDlmZDAxYjFjOTM0YjM2NTA4OTNhYmYyYTMifQ=="/>
  </w:docVars>
  <w:rsids>
    <w:rsidRoot w:val="00000000"/>
    <w:rsid w:val="1558540D"/>
    <w:rsid w:val="1AFE6736"/>
    <w:rsid w:val="1D5A0435"/>
    <w:rsid w:val="1F0A5785"/>
    <w:rsid w:val="2D4C11B2"/>
    <w:rsid w:val="34C43B72"/>
    <w:rsid w:val="355F692F"/>
    <w:rsid w:val="485B5204"/>
    <w:rsid w:val="508B7505"/>
    <w:rsid w:val="52C46398"/>
    <w:rsid w:val="581A1AF1"/>
    <w:rsid w:val="5BCB3683"/>
    <w:rsid w:val="5E092046"/>
    <w:rsid w:val="63472CF0"/>
    <w:rsid w:val="642B5AF3"/>
    <w:rsid w:val="6EE32317"/>
    <w:rsid w:val="715C1EAE"/>
    <w:rsid w:val="EB370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24"/>
      <w:szCs w:val="20"/>
      <w:lang w:val="zh-CN" w:eastAsia="zh-CN"/>
    </w:rPr>
  </w:style>
  <w:style w:type="paragraph" w:styleId="5">
    <w:name w:val="Body Text Indent"/>
    <w:basedOn w:val="1"/>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6">
    <w:name w:val="footer"/>
    <w:basedOn w:val="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7">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8">
    <w:name w:val="toc 2"/>
    <w:basedOn w:val="1"/>
    <w:next w:val="1"/>
    <w:unhideWhenUsed/>
    <w:qFormat/>
    <w:uiPriority w:val="39"/>
    <w:pPr>
      <w:ind w:left="210"/>
      <w:jc w:val="left"/>
    </w:pPr>
    <w:rPr>
      <w:rFonts w:asciiTheme="minorHAnsi" w:eastAsiaTheme="minorHAnsi"/>
      <w:smallCaps/>
      <w:sz w:val="20"/>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Variable"/>
    <w:basedOn w:val="12"/>
    <w:qFormat/>
    <w:uiPriority w:val="0"/>
  </w:style>
  <w:style w:type="character" w:styleId="17">
    <w:name w:val="Hyperlink"/>
    <w:basedOn w:val="12"/>
    <w:qFormat/>
    <w:uiPriority w:val="0"/>
    <w:rPr>
      <w:color w:val="0000FF"/>
      <w:u w:val="none"/>
    </w:rPr>
  </w:style>
  <w:style w:type="character" w:styleId="18">
    <w:name w:val="HTML Code"/>
    <w:basedOn w:val="12"/>
    <w:qFormat/>
    <w:uiPriority w:val="0"/>
    <w:rPr>
      <w:rFonts w:ascii="Courier New" w:hAnsi="Courier New"/>
      <w:sz w:val="20"/>
    </w:rPr>
  </w:style>
  <w:style w:type="character" w:styleId="19">
    <w:name w:val="HTML Cite"/>
    <w:basedOn w:val="12"/>
    <w:qFormat/>
    <w:uiPriority w:val="0"/>
  </w:style>
  <w:style w:type="character" w:customStyle="1" w:styleId="20">
    <w:name w:val="ui-state-default"/>
    <w:basedOn w:val="12"/>
    <w:qFormat/>
    <w:uiPriority w:val="0"/>
  </w:style>
  <w:style w:type="character" w:customStyle="1" w:styleId="21">
    <w:name w:val="ui-state-default1"/>
    <w:basedOn w:val="12"/>
    <w:qFormat/>
    <w:uiPriority w:val="0"/>
  </w:style>
  <w:style w:type="character" w:customStyle="1" w:styleId="22">
    <w:name w:val="group"/>
    <w:basedOn w:val="12"/>
    <w:qFormat/>
    <w:uiPriority w:val="0"/>
  </w:style>
  <w:style w:type="character" w:customStyle="1" w:styleId="23">
    <w:name w:val="ui-state-hover20"/>
    <w:basedOn w:val="12"/>
    <w:qFormat/>
    <w:uiPriority w:val="0"/>
  </w:style>
  <w:style w:type="character" w:customStyle="1" w:styleId="24">
    <w:name w:val="clicked"/>
    <w:basedOn w:val="12"/>
    <w:qFormat/>
    <w:uiPriority w:val="0"/>
  </w:style>
  <w:style w:type="character" w:customStyle="1" w:styleId="25">
    <w:name w:val="clicked1"/>
    <w:basedOn w:val="12"/>
    <w:qFormat/>
    <w:uiPriority w:val="0"/>
    <w:rPr>
      <w:color w:val="000000"/>
    </w:rPr>
  </w:style>
  <w:style w:type="character" w:customStyle="1" w:styleId="26">
    <w:name w:val="clicked2"/>
    <w:basedOn w:val="12"/>
    <w:qFormat/>
    <w:uiPriority w:val="0"/>
  </w:style>
  <w:style w:type="character" w:customStyle="1" w:styleId="27">
    <w:name w:val="newstitle"/>
    <w:basedOn w:val="12"/>
    <w:qFormat/>
    <w:uiPriority w:val="0"/>
    <w:rPr>
      <w:b/>
      <w:color w:val="000000"/>
      <w:sz w:val="24"/>
      <w:szCs w:val="24"/>
    </w:rPr>
  </w:style>
  <w:style w:type="character" w:customStyle="1" w:styleId="28">
    <w:name w:val="image"/>
    <w:basedOn w:val="12"/>
    <w:qFormat/>
    <w:uiPriority w:val="0"/>
  </w:style>
  <w:style w:type="character" w:customStyle="1" w:styleId="29">
    <w:name w:val="image1"/>
    <w:basedOn w:val="12"/>
    <w:qFormat/>
    <w:uiPriority w:val="0"/>
  </w:style>
  <w:style w:type="character" w:customStyle="1" w:styleId="30">
    <w:name w:val="image2"/>
    <w:basedOn w:val="12"/>
    <w:qFormat/>
    <w:uiPriority w:val="0"/>
  </w:style>
  <w:style w:type="character" w:customStyle="1" w:styleId="31">
    <w:name w:val="button-hover"/>
    <w:basedOn w:val="12"/>
    <w:qFormat/>
    <w:uiPriority w:val="0"/>
  </w:style>
  <w:style w:type="character" w:customStyle="1" w:styleId="32">
    <w:name w:val="button-hover1"/>
    <w:basedOn w:val="12"/>
    <w:qFormat/>
    <w:uiPriority w:val="0"/>
  </w:style>
  <w:style w:type="character" w:customStyle="1" w:styleId="33">
    <w:name w:val="directchildrenspan"/>
    <w:basedOn w:val="12"/>
    <w:qFormat/>
    <w:uiPriority w:val="0"/>
  </w:style>
  <w:style w:type="character" w:customStyle="1" w:styleId="34">
    <w:name w:val="item-middle"/>
    <w:basedOn w:val="12"/>
    <w:qFormat/>
    <w:uiPriority w:val="0"/>
  </w:style>
  <w:style w:type="character" w:customStyle="1" w:styleId="35">
    <w:name w:val="ui-icon33"/>
    <w:basedOn w:val="12"/>
    <w:qFormat/>
    <w:uiPriority w:val="0"/>
  </w:style>
  <w:style w:type="character" w:customStyle="1" w:styleId="36">
    <w:name w:val="ui-state-active6"/>
    <w:basedOn w:val="12"/>
    <w:qFormat/>
    <w:uiPriority w:val="0"/>
  </w:style>
  <w:style w:type="character" w:customStyle="1" w:styleId="37">
    <w:name w:val="imgspan"/>
    <w:basedOn w:val="12"/>
    <w:qFormat/>
    <w:uiPriority w:val="0"/>
  </w:style>
  <w:style w:type="character" w:customStyle="1" w:styleId="38">
    <w:name w:val="标题 1 字符"/>
    <w:basedOn w:val="12"/>
    <w:link w:val="2"/>
    <w:qFormat/>
    <w:locked/>
    <w:uiPriority w:val="9"/>
    <w:rPr>
      <w:b/>
      <w:bCs/>
      <w:kern w:val="44"/>
      <w:sz w:val="44"/>
      <w:szCs w:val="44"/>
    </w:rPr>
  </w:style>
  <w:style w:type="character" w:customStyle="1" w:styleId="39">
    <w:name w:val="标题 1 Char"/>
    <w:basedOn w:val="12"/>
    <w:link w:val="2"/>
    <w:qFormat/>
    <w:uiPriority w:val="9"/>
    <w:rPr>
      <w:rFonts w:ascii="Times New Roman" w:hAnsi="Times New Roman"/>
      <w:b/>
      <w:bCs/>
      <w:kern w:val="44"/>
      <w:sz w:val="44"/>
      <w:szCs w:val="44"/>
    </w:rPr>
  </w:style>
  <w:style w:type="character" w:customStyle="1" w:styleId="40">
    <w:name w:val="标题 2 字符"/>
    <w:basedOn w:val="12"/>
    <w:link w:val="3"/>
    <w:qFormat/>
    <w:locked/>
    <w:uiPriority w:val="9"/>
    <w:rPr>
      <w:rFonts w:ascii="Cambria" w:hAnsi="Cambria"/>
      <w:b/>
      <w:bCs/>
      <w:sz w:val="32"/>
      <w:szCs w:val="32"/>
    </w:rPr>
  </w:style>
  <w:style w:type="paragraph" w:customStyle="1" w:styleId="41">
    <w:name w:val="列表段落1"/>
    <w:basedOn w:val="1"/>
    <w:qFormat/>
    <w:uiPriority w:val="34"/>
    <w:pPr>
      <w:ind w:firstLine="420" w:firstLineChars="200"/>
    </w:pPr>
  </w:style>
  <w:style w:type="paragraph" w:styleId="4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收、支决算总计变动情况图</a:t>
            </a:r>
          </a:p>
        </c:rich>
      </c:tx>
      <c:layout>
        <c:manualLayout>
          <c:xMode val="edge"/>
          <c:yMode val="edge"/>
          <c:x val="0.305146170572602"/>
          <c:y val="0.0186995325116872"/>
        </c:manualLayout>
      </c:layout>
      <c:overlay val="false"/>
      <c:spPr>
        <a:noFill/>
        <a:ln>
          <a:noFill/>
        </a:ln>
        <a:effectLst/>
      </c:spPr>
    </c:title>
    <c:autoTitleDeleted val="false"/>
    <c:plotArea>
      <c:layout>
        <c:manualLayout>
          <c:layoutTarget val="inner"/>
          <c:xMode val="edge"/>
          <c:yMode val="edge"/>
          <c:x val="0.100942256583716"/>
          <c:y val="0.166170845728857"/>
          <c:w val="0.895433679632762"/>
          <c:h val="0.639481512962176"/>
        </c:manualLayout>
      </c:layout>
      <c:barChart>
        <c:barDir val="col"/>
        <c:grouping val="clustered"/>
        <c:varyColors val="false"/>
        <c:ser>
          <c:idx val="0"/>
          <c:order val="0"/>
          <c:tx>
            <c:strRef>
              <c:f>"2021年"</c:f>
              <c:strCache>
                <c:ptCount val="1"/>
                <c:pt idx="0">
                  <c:v>2021年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Sheet1!$B$2:$B$3</c:f>
              <c:numCache>
                <c:formatCode>General</c:formatCode>
                <c:ptCount val="2"/>
                <c:pt idx="0">
                  <c:v>982.72</c:v>
                </c:pt>
                <c:pt idx="1">
                  <c:v>982.72</c:v>
                </c:pt>
              </c:numCache>
            </c:numRef>
          </c:val>
        </c:ser>
        <c:ser>
          <c:idx val="1"/>
          <c:order val="1"/>
          <c:tx>
            <c:strRef>
              <c:f>Sheet1!$C$1</c:f>
              <c:strCache>
                <c:ptCount val="1"/>
                <c:pt idx="0">
                  <c:v>2022年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Sheet1!$C$2:$C$3</c:f>
              <c:numCache>
                <c:formatCode>General</c:formatCode>
                <c:ptCount val="2"/>
                <c:pt idx="0">
                  <c:v>774.94</c:v>
                </c:pt>
                <c:pt idx="1">
                  <c:v>774.94</c:v>
                </c:pt>
              </c:numCache>
            </c:numRef>
          </c:val>
        </c:ser>
        <c:dLbls>
          <c:showLegendKey val="false"/>
          <c:showVal val="true"/>
          <c:showCatName val="false"/>
          <c:showSerName val="false"/>
          <c:showPercent val="false"/>
          <c:showBubbleSize val="false"/>
        </c:dLbls>
        <c:gapWidth val="246"/>
        <c:overlap val="-28"/>
        <c:axId val="177302961"/>
        <c:axId val="965365288"/>
      </c:barChart>
      <c:catAx>
        <c:axId val="177302961"/>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5365288"/>
        <c:crosses val="autoZero"/>
        <c:auto val="true"/>
        <c:lblAlgn val="ctr"/>
        <c:lblOffset val="100"/>
        <c:noMultiLvlLbl val="false"/>
      </c:catAx>
      <c:valAx>
        <c:axId val="965365288"/>
        <c:scaling>
          <c:orientation val="minMax"/>
          <c:max val="1200"/>
          <c:min val="0"/>
        </c:scaling>
        <c:delete val="false"/>
        <c:axPos val="l"/>
        <c:majorGridlines>
          <c:spPr>
            <a:ln w="9525" cap="flat" cmpd="sng" algn="ctr">
              <a:solidFill>
                <a:schemeClr val="bg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77302961"/>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收入决算</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dLbl>
              <c:idx val="0"/>
              <c:layout>
                <c:manualLayout>
                  <c:x val="-0.0354588702081076"/>
                  <c:y val="-0.197966973480872"/>
                </c:manualLayout>
              </c:layout>
              <c:tx>
                <c:rich>
                  <a:bodyPr rot="0" spcFirstLastPara="0" vertOverflow="ellipsis" vert="horz" wrap="square" lIns="38100" tIns="19050" rIns="38100" bIns="19050" anchor="ctr" anchorCtr="true"/>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774.94</a:t>
                    </a:r>
                    <a:r>
                      <a:t>万元，占</a:t>
                    </a:r>
                    <a:r>
                      <a:rPr lang="en-US" altLang="zh-CN"/>
                      <a:t>100%</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c:v>
                </c:pt>
                <c:pt idx="1">
                  <c:v>其他收入</c:v>
                </c:pt>
              </c:strCache>
            </c:strRef>
          </c:cat>
          <c:val>
            <c:numRef>
              <c:f>Sheet1!$B$2:$B$3</c:f>
              <c:numCache>
                <c:formatCode>General</c:formatCode>
                <c:ptCount val="2"/>
                <c:pt idx="0">
                  <c:v>774.94</c:v>
                </c:pt>
                <c:pt idx="1">
                  <c:v>0.01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支出决算结构图</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dLbl>
              <c:idx val="0"/>
              <c:layout>
                <c:manualLayout>
                  <c:x val="0"/>
                  <c:y val="-0.00261938343743703"/>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1"/>
                        </a:solidFill>
                        <a:latin typeface="+mn-lt"/>
                        <a:ea typeface="+mn-ea"/>
                        <a:cs typeface="+mn-cs"/>
                      </a:defRPr>
                    </a:pPr>
                    <a:r>
                      <a:t>支出</a:t>
                    </a:r>
                    <a:r>
                      <a:rPr lang="en-US" altLang="zh-CN"/>
                      <a:t>520.43</a:t>
                    </a:r>
                    <a:r>
                      <a:t>万元，占</a:t>
                    </a:r>
                    <a:r>
                      <a:rPr lang="en-US" altLang="zh-CN"/>
                      <a:t>67.26</a:t>
                    </a:r>
                    <a:r>
                      <a:t>%</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2"/>
                        </a:solidFill>
                        <a:latin typeface="+mn-lt"/>
                        <a:ea typeface="+mn-ea"/>
                        <a:cs typeface="+mn-cs"/>
                      </a:defRPr>
                    </a:pPr>
                    <a:r>
                      <a:t>支出</a:t>
                    </a:r>
                    <a:r>
                      <a:rPr lang="en-US" altLang="zh-CN"/>
                      <a:t>254.51</a:t>
                    </a:r>
                    <a:r>
                      <a:t>万元，占</a:t>
                    </a:r>
                    <a:r>
                      <a:rPr lang="en-US" altLang="zh-CN"/>
                      <a:t>32.74</a:t>
                    </a:r>
                    <a:r>
                      <a:t>%</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2"/>
                      </a:solidFill>
                      <a:latin typeface="+mn-lt"/>
                      <a:ea typeface="+mn-ea"/>
                      <a:cs typeface="+mn-cs"/>
                    </a:defRPr>
                  </a:pPr>
                </a:p>
              </c:txPr>
              <c:dLblPos val="outEnd"/>
              <c:showLegendKey val="false"/>
              <c:showVal val="true"/>
              <c:showCatName val="tru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520.43</c:v>
                </c:pt>
                <c:pt idx="1">
                  <c:v>254.51</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442860594346461"/>
          <c:y val="0.161920951976201"/>
          <c:w val="0.930345494080696"/>
          <c:h val="0.638631534211645"/>
        </c:manualLayout>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delete val="true"/>
          </c:dLbls>
          <c:cat>
            <c:strRef>
              <c:f>Sheet1!$A$2:$A$5</c:f>
              <c:strCache>
                <c:ptCount val="4"/>
                <c:pt idx="0">
                  <c:v>2022年</c:v>
                </c:pt>
                <c:pt idx="1">
                  <c:v>2021年</c:v>
                </c:pt>
                <c:pt idx="2">
                  <c:v>2022年</c:v>
                </c:pt>
                <c:pt idx="3">
                  <c:v>2021年</c:v>
                </c:pt>
              </c:strCache>
            </c:strRef>
          </c:cat>
          <c:val>
            <c:numRef>
              <c:f>Sheet1!$B$2:$B$5</c:f>
              <c:numCache>
                <c:formatCode>General</c:formatCode>
                <c:ptCount val="4"/>
                <c:pt idx="0">
                  <c:v>774.94</c:v>
                </c:pt>
                <c:pt idx="1">
                  <c:v>982.72</c:v>
                </c:pt>
              </c:numCache>
            </c:numRef>
          </c:val>
        </c:ser>
        <c:ser>
          <c:idx val="1"/>
          <c:order val="1"/>
          <c:tx>
            <c:strRef>
              <c:f>Sheet1!$C$1</c:f>
              <c:strCache>
                <c:ptCount val="1"/>
                <c:pt idx="0">
                  <c:v>支出</c:v>
                </c:pt>
              </c:strCache>
            </c:strRef>
          </c:tx>
          <c:spPr>
            <a:solidFill>
              <a:schemeClr val="accent2"/>
            </a:solidFill>
            <a:ln>
              <a:noFill/>
            </a:ln>
            <a:effectLst/>
          </c:spPr>
          <c:invertIfNegative val="false"/>
          <c:dLbls>
            <c:delete val="true"/>
          </c:dLbls>
          <c:cat>
            <c:strRef>
              <c:f>Sheet1!$A$2:$A$5</c:f>
              <c:strCache>
                <c:ptCount val="4"/>
                <c:pt idx="0">
                  <c:v>2022年</c:v>
                </c:pt>
                <c:pt idx="1">
                  <c:v>2021年</c:v>
                </c:pt>
                <c:pt idx="2">
                  <c:v>2022年</c:v>
                </c:pt>
                <c:pt idx="3">
                  <c:v>2021年</c:v>
                </c:pt>
              </c:strCache>
            </c:strRef>
          </c:cat>
          <c:val>
            <c:numRef>
              <c:f>Sheet1!$C$2:$C$5</c:f>
              <c:numCache>
                <c:formatCode>General</c:formatCode>
                <c:ptCount val="4"/>
                <c:pt idx="2">
                  <c:v>774.94</c:v>
                </c:pt>
                <c:pt idx="3">
                  <c:v>982.72</c:v>
                </c:pt>
              </c:numCache>
            </c:numRef>
          </c:val>
        </c:ser>
        <c:dLbls>
          <c:showLegendKey val="false"/>
          <c:showVal val="false"/>
          <c:showCatName val="false"/>
          <c:showSerName val="false"/>
          <c:showPercent val="false"/>
          <c:showBubbleSize val="false"/>
        </c:dLbls>
        <c:gapWidth val="246"/>
        <c:overlap val="-28"/>
        <c:axId val="157061212"/>
        <c:axId val="900064804"/>
      </c:barChart>
      <c:catAx>
        <c:axId val="15706121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00064804"/>
        <c:crosses val="autoZero"/>
        <c:auto val="true"/>
        <c:lblAlgn val="ctr"/>
        <c:lblOffset val="100"/>
        <c:noMultiLvlLbl val="false"/>
      </c:catAx>
      <c:valAx>
        <c:axId val="900064804"/>
        <c:scaling>
          <c:orientation val="minMax"/>
        </c:scaling>
        <c:delete val="false"/>
        <c:axPos val="l"/>
        <c:majorGridlines>
          <c:spPr>
            <a:ln w="9525" cap="flat" cmpd="sng" algn="ctr">
              <a:solidFill>
                <a:schemeClr val="bg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706121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占比</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Pt>
            <c:idx val="4"/>
            <c:bubble3D val="false"/>
            <c:spPr>
              <a:solidFill>
                <a:schemeClr val="accent5"/>
              </a:solidFill>
              <a:ln>
                <a:solidFill>
                  <a:schemeClr val="bg1"/>
                </a:solidFill>
              </a:ln>
              <a:effectLst/>
            </c:spPr>
          </c:dPt>
          <c:dLbls>
            <c:delete val="true"/>
          </c:dLbls>
          <c:cat>
            <c:strRef>
              <c:f>Sheet1!$A$2:$A$6</c:f>
              <c:strCache>
                <c:ptCount val="5"/>
                <c:pt idx="0">
                  <c:v>一般公共服务支出</c:v>
                </c:pt>
                <c:pt idx="1">
                  <c:v>社会保障和就业（类）支出</c:v>
                </c:pt>
                <c:pt idx="2">
                  <c:v>卫生健康支出</c:v>
                </c:pt>
                <c:pt idx="3">
                  <c:v>住房保障支出</c:v>
                </c:pt>
                <c:pt idx="4">
                  <c:v>文化体育传媒</c:v>
                </c:pt>
              </c:strCache>
            </c:strRef>
          </c:cat>
          <c:val>
            <c:numRef>
              <c:f>Sheet1!$B$2:$B$6</c:f>
              <c:numCache>
                <c:formatCode>General</c:formatCode>
                <c:ptCount val="5"/>
                <c:pt idx="0">
                  <c:v>51.2</c:v>
                </c:pt>
                <c:pt idx="1">
                  <c:v>8.56</c:v>
                </c:pt>
                <c:pt idx="2">
                  <c:v>2.3</c:v>
                </c:pt>
                <c:pt idx="3">
                  <c:v>4.55</c:v>
                </c:pt>
                <c:pt idx="4">
                  <c:v>32.85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3442860594346"/>
          <c:y val="0.0254993625159371"/>
        </c:manualLayout>
      </c:layout>
      <c:overlay val="false"/>
      <c:spPr>
        <a:noFill/>
        <a:ln>
          <a:noFill/>
        </a:ln>
        <a:effectLst/>
      </c:spPr>
      <c:txPr>
        <a:bodyPr rot="0" spcFirstLastPara="0" vertOverflow="ellipsis" vert="horz" wrap="square" anchor="ctr" anchorCtr="true"/>
        <a:lstStyle/>
        <a:p>
          <a:pPr>
            <a:defRPr lang="zh-CN" sz="1400" b="1" i="0" u="none" strike="noStrike" kern="1200" baseline="0">
              <a:solidFill>
                <a:schemeClr val="dk1">
                  <a:lumMod val="75000"/>
                  <a:lumOff val="25000"/>
                </a:schemeClr>
              </a:solidFill>
              <a:latin typeface="+mn-lt"/>
              <a:ea typeface="+mn-ea"/>
              <a:cs typeface="+mn-cs"/>
            </a:defRPr>
          </a:pPr>
        </a:p>
      </c:txPr>
    </c:title>
    <c:autoTitleDeleted val="false"/>
    <c:plotArea>
      <c:layout>
        <c:manualLayout>
          <c:layoutTarget val="inner"/>
          <c:xMode val="edge"/>
          <c:yMode val="edge"/>
          <c:x val="0.29868325682532"/>
          <c:y val="0.154908627284318"/>
          <c:w val="0.39514375453008"/>
          <c:h val="0.695070123246919"/>
        </c:manualLayout>
      </c:layout>
      <c:pieChart>
        <c:varyColors val="true"/>
        <c:ser>
          <c:idx val="0"/>
          <c:order val="0"/>
          <c:tx>
            <c:strRef>
              <c:f>Sheet1!$B$1</c:f>
              <c:strCache>
                <c:ptCount val="1"/>
                <c:pt idx="0">
                  <c:v>“三公”经费财政拨款支出机构</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1"/>
                        </a:solidFill>
                        <a:latin typeface="+mn-lt"/>
                        <a:ea typeface="+mn-ea"/>
                        <a:cs typeface="+mn-cs"/>
                      </a:defRPr>
                    </a:pPr>
                    <a:r>
                      <a:t>公务用车维护费支出决算</a:t>
                    </a:r>
                    <a:r>
                      <a:rPr lang="en-US" altLang="zh-CN"/>
                      <a:t>6.81</a:t>
                    </a:r>
                    <a:r>
                      <a:t>万元，占</a:t>
                    </a:r>
                    <a:r>
                      <a:rPr lang="en-US" altLang="zh-CN"/>
                      <a:t>100</a:t>
                    </a:r>
                    <a:r>
                      <a:t>%</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true"/>
              <c:showCatName val="true"/>
              <c:showSerName val="false"/>
              <c:showPercent val="false"/>
              <c:showBubbleSize val="false"/>
              <c:extLst>
                <c:ext xmlns:c15="http://schemas.microsoft.com/office/drawing/2012/chart" uri="{CE6537A1-D6FC-4f65-9D91-7224C49458BB}"/>
              </c:extLst>
            </c:dLbl>
            <c:dLbl>
              <c:idx val="1"/>
              <c:layout>
                <c:manualLayout>
                  <c:x val="0.00604010630587101"/>
                  <c:y val="0.0135062128579146"/>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2"/>
                        </a:solidFill>
                        <a:latin typeface="+mn-lt"/>
                        <a:ea typeface="+mn-ea"/>
                        <a:cs typeface="+mn-cs"/>
                      </a:defRPr>
                    </a:pPr>
                    <a:r>
                      <a:t>其它三公支出决算0万元，占</a:t>
                    </a:r>
                    <a:r>
                      <a:rPr lang="en-US" altLang="zh-CN"/>
                      <a:t>0</a:t>
                    </a:r>
                    <a:r>
                      <a:t>%</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2"/>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manualLayout>
                      <c:w val="0.183619231698478"/>
                      <c:h val="0.112011525301639"/>
                    </c:manualLayout>
                  </c15:layout>
                </c:ext>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公务用车购置及运行维修费</c:v>
                </c:pt>
                <c:pt idx="1">
                  <c:v>公务接待费</c:v>
                </c:pt>
              </c:strCache>
            </c:strRef>
          </c:cat>
          <c:val>
            <c:numRef>
              <c:f>Sheet1!$B$2:$B$3</c:f>
              <c:numCache>
                <c:formatCode>General</c:formatCode>
                <c:ptCount val="2"/>
                <c:pt idx="0">
                  <c:v>6.81</c:v>
                </c:pt>
                <c:pt idx="1">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6809</Words>
  <Characters>7256</Characters>
  <Lines>0</Lines>
  <Paragraphs>0</Paragraphs>
  <TotalTime>1</TotalTime>
  <ScaleCrop>false</ScaleCrop>
  <LinksUpToDate>false</LinksUpToDate>
  <CharactersWithSpaces>7281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2024-05-27T11:47:00Z</cp:lastPrinted>
  <dcterms:modified xsi:type="dcterms:W3CDTF">2024-05-27T16:23:49Z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141C7BD73D0F4C9C9A68A2C723B5AA99_13</vt:lpwstr>
  </property>
</Properties>
</file>