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1"/>
        <w:tblW w:w="6" w:type="dxa"/>
        <w:tblCellSpacing w:w="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  <w:tblCellSpacing w:w="0" w:type="dxa"/>
        </w:trPr>
        <w:tc>
          <w:tcPr>
            <w:tcW w:w="6" w:type="dxa"/>
            <w:shd w:val="clear" w:color="auto" w:fill="auto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Style w:val="4"/>
          <w:rFonts w:hint="eastAsia" w:ascii="仿宋_GB2312" w:hAnsi="仿宋_GB2312" w:eastAsia="仿宋_GB2312" w:cs="仿宋_GB2312"/>
          <w:b/>
          <w:bCs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fill="FFFFFF"/>
        </w:rPr>
        <w:t>四川省阿坝州红原县红原县融媒体中心202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shd w:val="clear" w:fill="FFFFFF"/>
        </w:rPr>
        <w:t>年度部门决算报表填报说明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center"/>
        <w:rPr>
          <w:rStyle w:val="4"/>
          <w:rFonts w:hint="eastAsia" w:ascii="仿宋_GB2312" w:hAnsi="仿宋_GB2312" w:eastAsia="仿宋_GB2312" w:cs="仿宋_GB2312"/>
          <w:sz w:val="32"/>
          <w:szCs w:val="32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一、决算信息来源说明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本套决算依据本单位登记完整、核对无误的账簿记录和其他有关会计核算资料编制，账证相符、账实相符、账表相符、表表相符，真实、准确、完整地反映了本单位预算执行结果和财务状况。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（一）本套决算主表数据主要依据本单位会计账簿总账及明细账数据填列，预算数据依据本单位预、决算批复文件及预算调整文件填列。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（二）本套决算附表数据主要依据本单位会计账簿、资产、人事台账及相关资料填列。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二、决算编制基本情况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本单位为红原县融媒体中心，所属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eastAsia="zh-CN"/>
        </w:rPr>
        <w:t>县级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预算单位，单位性质为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eastAsia="zh-CN"/>
        </w:rPr>
        <w:t>公益一类事业单位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，决算编报类型为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eastAsia="zh-CN"/>
        </w:rPr>
        <w:t>单户表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，按照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eastAsia="zh-CN"/>
        </w:rPr>
        <w:t>政府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会计制度填报决算数据。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纳入本套决算编制范围的独立编制机构数1个，比上年增0个，独立核算机构数共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个，比上年增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个。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三、基础数据核对情况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4"/>
          <w:rFonts w:hint="eastAsia" w:ascii="仿宋_GB2312" w:hAnsi="仿宋_GB2312" w:eastAsia="仿宋_GB2312" w:cs="仿宋_GB2312"/>
          <w:sz w:val="32"/>
          <w:szCs w:val="32"/>
          <w:shd w:val="clear" w:fill="FFFFFF"/>
        </w:rPr>
        <w:t>（一）财政资金对账情况。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4"/>
          <w:rFonts w:hint="eastAsia" w:ascii="仿宋_GB2312" w:hAnsi="仿宋_GB2312" w:eastAsia="仿宋_GB2312" w:cs="仿宋_GB2312"/>
          <w:sz w:val="32"/>
          <w:szCs w:val="32"/>
          <w:shd w:val="clear" w:fill="FFFFFF"/>
        </w:rPr>
        <w:t>1．财政拨款核对情况。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（1） 本单位本年度实际收到的一般公共预算财政拨款收入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val="en-US" w:eastAsia="zh-CN"/>
        </w:rPr>
        <w:t>904.82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万元，财政部门拨款对账单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val="en-US" w:eastAsia="zh-CN"/>
        </w:rPr>
        <w:t>904.82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万元，差额0.00万元。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（2） 本单位本年度政府性基金预算财政拨款收入0.00万元，财政部门拨款对账单0.00万元，差额0.00万元。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（3） 本单位本年度国有资本经营预算财政拨款收入0.00万元，财政部门拨款对账单0.00万元，差额0.00万元。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4"/>
          <w:rFonts w:hint="eastAsia" w:ascii="仿宋_GB2312" w:hAnsi="仿宋_GB2312" w:eastAsia="仿宋_GB2312" w:cs="仿宋_GB2312"/>
          <w:sz w:val="32"/>
          <w:szCs w:val="32"/>
          <w:shd w:val="clear" w:fill="FFFFFF"/>
        </w:rPr>
        <w:t>2．其他需要说明的情况。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4"/>
          <w:rFonts w:hint="eastAsia" w:ascii="仿宋_GB2312" w:hAnsi="仿宋_GB2312" w:eastAsia="仿宋_GB2312" w:cs="仿宋_GB2312"/>
          <w:sz w:val="32"/>
          <w:szCs w:val="32"/>
          <w:shd w:val="clear" w:fill="FFFFFF"/>
        </w:rPr>
        <w:t>（二）与上年指标核对情况。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1． 本单位本年度年初结转结余为284.20万元，上年年末结转结余为81.77万元，差异为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val="en-US" w:eastAsia="zh-CN"/>
        </w:rPr>
        <w:t>202.43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万元。其中：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本单位本年度一般公共预算财政拨款年初结转结余为278.63万元，上年一般公共预算财政拨款年末结转结余为81.77万元，差异为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val="en-US" w:eastAsia="zh-CN"/>
        </w:rPr>
        <w:t>196.86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万元，主要原因为：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val="en-US" w:eastAsia="zh-CN"/>
        </w:rPr>
        <w:t>2020年存在三台对口援建结转2万，阿州财教【2020】35号-中央少数民族地区和边疆地区文化安全专项资金2020年预算指标结转29.82万；阿州财投【2019】31号1-红原县广播电视节目覆盖工程结转353.2万；阿州财社[2020]097号-2020年中央卫生健康专项补助资金（包虫病防治）3万。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本单位本年度政府性基金预算财政拨款年初结转和结余为0.00万元，上年政府性基金预算财政拨款年末结转和结余为0.00万元，差异为0.00万元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eastAsia="zh-CN"/>
        </w:rPr>
        <w:t>。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/>
        <w:ind w:left="0" w:right="0"/>
        <w:jc w:val="left"/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CS02表主要指标变动表中主要指标上下年变动幅度超过20%，其中机构人员指标上下年有变动的，应具体核实并说明原因（附表2）。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/>
        <w:ind w:right="0" w:rightChars="0"/>
        <w:jc w:val="left"/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</w:pPr>
      <w:r>
        <w:drawing>
          <wp:inline distT="0" distB="0" distL="114300" distR="114300">
            <wp:extent cx="5267960" cy="3967480"/>
            <wp:effectExtent l="0" t="0" r="8890" b="13970"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96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四、报表审核情况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4"/>
          <w:rFonts w:hint="eastAsia" w:ascii="仿宋_GB2312" w:hAnsi="仿宋_GB2312" w:eastAsia="仿宋_GB2312" w:cs="仿宋_GB2312"/>
          <w:sz w:val="32"/>
          <w:szCs w:val="32"/>
          <w:shd w:val="clear" w:fill="FFFFFF"/>
        </w:rPr>
        <w:t>（一）审核情况。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4"/>
          <w:rFonts w:hint="eastAsia" w:ascii="仿宋_GB2312" w:hAnsi="仿宋_GB2312" w:eastAsia="仿宋_GB2312" w:cs="仿宋_GB2312"/>
          <w:sz w:val="32"/>
          <w:szCs w:val="32"/>
          <w:shd w:val="clear" w:fill="FFFFFF"/>
        </w:rPr>
        <w:t>1．审核公式。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审核公式共提示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条。其中：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4"/>
          <w:rFonts w:hint="eastAsia" w:ascii="仿宋_GB2312" w:hAnsi="仿宋_GB2312" w:eastAsia="仿宋_GB2312" w:cs="仿宋_GB2312"/>
          <w:sz w:val="32"/>
          <w:szCs w:val="32"/>
          <w:shd w:val="clear" w:fill="FFFFFF"/>
        </w:rPr>
        <w:t>（1）表间公式共</w:t>
      </w:r>
      <w:r>
        <w:rPr>
          <w:rStyle w:val="4"/>
          <w:rFonts w:hint="eastAsia" w:ascii="仿宋_GB2312" w:hAnsi="仿宋_GB2312" w:eastAsia="仿宋_GB2312" w:cs="仿宋_GB2312"/>
          <w:sz w:val="32"/>
          <w:szCs w:val="32"/>
          <w:shd w:val="clear" w:fill="FFFFFF"/>
          <w:lang w:val="en-US" w:eastAsia="zh-CN"/>
        </w:rPr>
        <w:t>0</w:t>
      </w:r>
      <w:r>
        <w:rPr>
          <w:rStyle w:val="4"/>
          <w:rFonts w:hint="eastAsia" w:ascii="仿宋_GB2312" w:hAnsi="仿宋_GB2312" w:eastAsia="仿宋_GB2312" w:cs="仿宋_GB2312"/>
          <w:sz w:val="32"/>
          <w:szCs w:val="32"/>
          <w:shd w:val="clear" w:fill="FFFFFF"/>
        </w:rPr>
        <w:t>条。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 xml:space="preserve"> 　 　　 　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4"/>
          <w:rFonts w:hint="eastAsia" w:ascii="仿宋_GB2312" w:hAnsi="仿宋_GB2312" w:eastAsia="仿宋_GB2312" w:cs="仿宋_GB2312"/>
          <w:sz w:val="32"/>
          <w:szCs w:val="32"/>
          <w:shd w:val="clear" w:fill="FFFFFF"/>
        </w:rPr>
        <w:t>（2）表内公式共</w:t>
      </w:r>
      <w:r>
        <w:rPr>
          <w:rStyle w:val="4"/>
          <w:rFonts w:hint="eastAsia" w:ascii="仿宋_GB2312" w:hAnsi="仿宋_GB2312" w:eastAsia="仿宋_GB2312" w:cs="仿宋_GB2312"/>
          <w:sz w:val="32"/>
          <w:szCs w:val="32"/>
          <w:shd w:val="clear" w:fill="FFFFFF"/>
          <w:lang w:val="en-US" w:eastAsia="zh-CN"/>
        </w:rPr>
        <w:t>1</w:t>
      </w:r>
      <w:r>
        <w:rPr>
          <w:rStyle w:val="4"/>
          <w:rFonts w:hint="eastAsia" w:ascii="仿宋_GB2312" w:hAnsi="仿宋_GB2312" w:eastAsia="仿宋_GB2312" w:cs="仿宋_GB2312"/>
          <w:sz w:val="32"/>
          <w:szCs w:val="32"/>
          <w:shd w:val="clear" w:fill="FFFFFF"/>
        </w:rPr>
        <w:t>条。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 xml:space="preserve"> 　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　 　</w:t>
      </w:r>
      <w:r>
        <w:drawing>
          <wp:inline distT="0" distB="0" distL="114300" distR="114300">
            <wp:extent cx="5269230" cy="1103630"/>
            <wp:effectExtent l="0" t="0" r="7620" b="1270"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10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4"/>
          <w:rFonts w:hint="eastAsia" w:ascii="仿宋_GB2312" w:hAnsi="仿宋_GB2312" w:eastAsia="仿宋_GB2312" w:cs="仿宋_GB2312"/>
          <w:sz w:val="32"/>
          <w:szCs w:val="32"/>
          <w:shd w:val="clear" w:fill="FFFFFF"/>
        </w:rPr>
        <w:t>2．审核模板。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Style w:val="4"/>
          <w:rFonts w:hint="eastAsia" w:ascii="仿宋_GB2312" w:hAnsi="仿宋_GB2312" w:eastAsia="仿宋_GB2312" w:cs="仿宋_GB2312"/>
          <w:sz w:val="32"/>
          <w:szCs w:val="32"/>
          <w:shd w:val="clear" w:fill="FFFFFF"/>
        </w:rPr>
      </w:pPr>
      <w:r>
        <w:drawing>
          <wp:inline distT="0" distB="0" distL="114300" distR="114300">
            <wp:extent cx="5274310" cy="3684905"/>
            <wp:effectExtent l="0" t="0" r="2540" b="10795"/>
            <wp:docPr id="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8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Style w:val="4"/>
          <w:rFonts w:hint="eastAsia" w:ascii="仿宋_GB2312" w:hAnsi="仿宋_GB2312" w:eastAsia="仿宋_GB2312" w:cs="仿宋_GB2312"/>
          <w:sz w:val="32"/>
          <w:szCs w:val="32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4"/>
          <w:rFonts w:hint="eastAsia" w:ascii="仿宋_GB2312" w:hAnsi="仿宋_GB2312" w:eastAsia="仿宋_GB2312" w:cs="仿宋_GB2312"/>
          <w:sz w:val="32"/>
          <w:szCs w:val="32"/>
          <w:shd w:val="clear" w:fill="FFFFFF"/>
        </w:rPr>
        <w:t>（二）对报表指标、审核公式和审核模板的设置建议。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1.对部门决算报表指标设置的建议。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Style w:val="4"/>
          <w:rFonts w:hint="eastAsia" w:ascii="仿宋_GB2312" w:hAnsi="仿宋_GB2312" w:eastAsia="仿宋_GB2312" w:cs="仿宋_GB2312"/>
          <w:sz w:val="32"/>
          <w:szCs w:val="32"/>
          <w:shd w:val="clear" w:fill="FFFFFF"/>
          <w:lang w:eastAsia="zh-CN"/>
        </w:rPr>
      </w:pPr>
      <w:r>
        <w:rPr>
          <w:rStyle w:val="4"/>
          <w:rFonts w:hint="eastAsia" w:ascii="仿宋_GB2312" w:hAnsi="仿宋_GB2312" w:eastAsia="仿宋_GB2312" w:cs="仿宋_GB2312"/>
          <w:sz w:val="32"/>
          <w:szCs w:val="32"/>
          <w:shd w:val="clear" w:fill="FFFFFF"/>
          <w:lang w:eastAsia="zh-CN"/>
        </w:rPr>
        <w:t>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2.如有不适用的审核公式和模板，请列出并说明修改意见。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Style w:val="4"/>
          <w:rFonts w:hint="eastAsia" w:ascii="仿宋_GB2312" w:hAnsi="仿宋_GB2312" w:eastAsia="仿宋_GB2312" w:cs="仿宋_GB2312"/>
          <w:sz w:val="32"/>
          <w:szCs w:val="32"/>
          <w:shd w:val="clear" w:fill="FFFFFF"/>
          <w:lang w:eastAsia="zh-CN"/>
        </w:rPr>
      </w:pPr>
      <w:r>
        <w:rPr>
          <w:rStyle w:val="4"/>
          <w:rFonts w:hint="eastAsia" w:ascii="仿宋_GB2312" w:hAnsi="仿宋_GB2312" w:eastAsia="仿宋_GB2312" w:cs="仿宋_GB2312"/>
          <w:sz w:val="32"/>
          <w:szCs w:val="32"/>
          <w:shd w:val="clear" w:fill="FFFFFF"/>
          <w:lang w:eastAsia="zh-CN"/>
        </w:rPr>
        <w:t>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3.单位自行增加的审核公式和模板，请列出并说明设置依据。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Style w:val="4"/>
          <w:rFonts w:hint="eastAsia" w:ascii="仿宋_GB2312" w:hAnsi="仿宋_GB2312" w:eastAsia="仿宋_GB2312" w:cs="仿宋_GB2312"/>
          <w:sz w:val="32"/>
          <w:szCs w:val="32"/>
          <w:shd w:val="clear" w:fill="FFFFFF"/>
          <w:lang w:eastAsia="zh-CN"/>
        </w:rPr>
      </w:pPr>
      <w:r>
        <w:rPr>
          <w:rStyle w:val="4"/>
          <w:rFonts w:hint="eastAsia" w:ascii="仿宋_GB2312" w:hAnsi="仿宋_GB2312" w:eastAsia="仿宋_GB2312" w:cs="仿宋_GB2312"/>
          <w:sz w:val="32"/>
          <w:szCs w:val="32"/>
          <w:shd w:val="clear" w:fill="FFFFFF"/>
          <w:lang w:eastAsia="zh-CN"/>
        </w:rPr>
        <w:t>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五、决算数据其他需要说明的情况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1． “收入决算表”中其他收入为18.43万元,其中:非同级拨款收入为16.43万元（其中：本级横向转拨财政款为0.00万元；非本级财政拨款为16.43万元），主要资金构成为：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eastAsia="zh-CN"/>
        </w:rPr>
        <w:t>收到上级转入疫情防控宣传经费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val="en-US" w:eastAsia="zh-CN"/>
        </w:rPr>
        <w:t>16.43万元，绵阳三台转入工作经费2万元。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2．“项目支出决算明细表”中“工资福利支出”为0.00万元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“对个人和家庭的补助”为0.00万元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eastAsia="zh-CN"/>
        </w:rPr>
        <w:t>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3. “三公”经费总额为3.80万元，比年初预算数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eastAsia="zh-CN"/>
        </w:rPr>
        <w:t>多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val="en-US" w:eastAsia="zh-CN"/>
        </w:rPr>
        <w:t>0.83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万元，其中：因公出国（境）费0.00万元，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eastAsia="zh-CN"/>
        </w:rPr>
        <w:t>与上年持平；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公务用车购置及运行维护费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eastAsia="zh-CN"/>
        </w:rPr>
        <w:t>多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val="en-US" w:eastAsia="zh-CN"/>
        </w:rPr>
        <w:t>0.89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万元，主要原因为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eastAsia="zh-CN"/>
        </w:rPr>
        <w:t>：公车老旧，维护费增加及采访任务增加用车增加；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公务接待费少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val="en-US" w:eastAsia="zh-CN"/>
        </w:rPr>
        <w:t>0.06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万元，主要原因为：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eastAsia="zh-CN"/>
        </w:rPr>
        <w:t>厉行节约减少不必要的开支。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“三 公”经费总额比上年决算数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eastAsia="zh-CN"/>
        </w:rPr>
        <w:t>多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val="en-US" w:eastAsia="zh-CN"/>
        </w:rPr>
        <w:t>1.84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万元，其中：因公出国（境）费0.00万元，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eastAsia="zh-CN"/>
        </w:rPr>
        <w:t>与上年持平；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公务用车购置及运行维护费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eastAsia="zh-CN"/>
        </w:rPr>
        <w:t>多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val="en-US" w:eastAsia="zh-CN"/>
        </w:rPr>
        <w:t>1.55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万元，主要原因为：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eastAsia="zh-CN"/>
        </w:rPr>
        <w:t>公车老旧，维护费增加及采访任务增加用车增加；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公务接待费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eastAsia="zh-CN"/>
        </w:rPr>
        <w:t>多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val="en-US" w:eastAsia="zh-CN"/>
        </w:rPr>
        <w:t>0.29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万元，主要原因为: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eastAsia="zh-CN"/>
        </w:rPr>
        <w:t>今年接待增加。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因 公出国（境）团组数（个）为0；因公出国（境）人次数（人）为0；公务用车购置数 （辆）为0；公务用车保有量（辆）为3；国内公务接待批次 （个）7为；国内公务接待人次（人）为30；国（境）外公务接待批次（个）为 0；国（境）外公务接待人次（人）为0。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/>
        <w:ind w:left="0" w:leftChars="0" w:right="0" w:firstLine="0" w:firstLineChars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本单位</w:t>
      </w: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eastAsia="zh-CN"/>
        </w:rPr>
        <w:t>为事业单位无机关运行经费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val="en-US" w:eastAsia="zh-CN"/>
        </w:rPr>
        <w:t>4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.深化党和国家机构改革对决算编报相关方面的影响。(涉及机构改革单位说明)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Style w:val="4"/>
          <w:rFonts w:hint="eastAsia" w:ascii="仿宋_GB2312" w:hAnsi="仿宋_GB2312" w:eastAsia="仿宋_GB2312" w:cs="仿宋_GB2312"/>
          <w:sz w:val="32"/>
          <w:szCs w:val="32"/>
          <w:shd w:val="clear" w:fill="FFFFFF"/>
          <w:lang w:eastAsia="zh-CN"/>
        </w:rPr>
        <w:t>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fill="FFFFFF"/>
        </w:rPr>
        <w:t>7.其他需要说明的问题。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Style w:val="4"/>
          <w:rFonts w:hint="eastAsia" w:ascii="仿宋_GB2312" w:hAnsi="仿宋_GB2312" w:eastAsia="仿宋_GB2312" w:cs="仿宋_GB2312"/>
          <w:sz w:val="32"/>
          <w:szCs w:val="32"/>
          <w:shd w:val="clear" w:fill="FFFFFF"/>
          <w:lang w:eastAsia="zh-CN"/>
        </w:rPr>
        <w:t>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A1DDC"/>
    <w:multiLevelType w:val="singleLevel"/>
    <w:tmpl w:val="477A1DDC"/>
    <w:lvl w:ilvl="0" w:tentative="0">
      <w:start w:val="2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58540D"/>
    <w:rsid w:val="1AFE6736"/>
    <w:rsid w:val="34C43B72"/>
    <w:rsid w:val="485B5204"/>
    <w:rsid w:val="5BCB3683"/>
    <w:rsid w:val="6EE32317"/>
    <w:rsid w:val="715C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11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FollowedHyperlink"/>
    <w:basedOn w:val="3"/>
    <w:qFormat/>
    <w:uiPriority w:val="0"/>
    <w:rPr>
      <w:color w:val="800080"/>
      <w:u w:val="none"/>
    </w:rPr>
  </w:style>
  <w:style w:type="character" w:styleId="6">
    <w:name w:val="HTML Definition"/>
    <w:basedOn w:val="3"/>
    <w:qFormat/>
    <w:uiPriority w:val="0"/>
  </w:style>
  <w:style w:type="character" w:styleId="7">
    <w:name w:val="HTML Variable"/>
    <w:basedOn w:val="3"/>
    <w:qFormat/>
    <w:uiPriority w:val="0"/>
  </w:style>
  <w:style w:type="character" w:styleId="8">
    <w:name w:val="Hyperlink"/>
    <w:basedOn w:val="3"/>
    <w:qFormat/>
    <w:uiPriority w:val="0"/>
    <w:rPr>
      <w:color w:val="0000FF"/>
      <w:u w:val="none"/>
    </w:rPr>
  </w:style>
  <w:style w:type="character" w:styleId="9">
    <w:name w:val="HTML Code"/>
    <w:basedOn w:val="3"/>
    <w:qFormat/>
    <w:uiPriority w:val="0"/>
    <w:rPr>
      <w:rFonts w:ascii="Courier New" w:hAnsi="Courier New"/>
      <w:sz w:val="20"/>
    </w:rPr>
  </w:style>
  <w:style w:type="character" w:styleId="10">
    <w:name w:val="HTML Cite"/>
    <w:basedOn w:val="3"/>
    <w:qFormat/>
    <w:uiPriority w:val="0"/>
  </w:style>
  <w:style w:type="character" w:customStyle="1" w:styleId="12">
    <w:name w:val="ui-state-default"/>
    <w:basedOn w:val="3"/>
    <w:qFormat/>
    <w:uiPriority w:val="0"/>
  </w:style>
  <w:style w:type="character" w:customStyle="1" w:styleId="13">
    <w:name w:val="ui-state-default1"/>
    <w:basedOn w:val="3"/>
    <w:qFormat/>
    <w:uiPriority w:val="0"/>
  </w:style>
  <w:style w:type="character" w:customStyle="1" w:styleId="14">
    <w:name w:val="group"/>
    <w:basedOn w:val="3"/>
    <w:qFormat/>
    <w:uiPriority w:val="0"/>
  </w:style>
  <w:style w:type="character" w:customStyle="1" w:styleId="15">
    <w:name w:val="ui-state-hover20"/>
    <w:basedOn w:val="3"/>
    <w:qFormat/>
    <w:uiPriority w:val="0"/>
  </w:style>
  <w:style w:type="character" w:customStyle="1" w:styleId="16">
    <w:name w:val="clicked"/>
    <w:basedOn w:val="3"/>
    <w:qFormat/>
    <w:uiPriority w:val="0"/>
  </w:style>
  <w:style w:type="character" w:customStyle="1" w:styleId="17">
    <w:name w:val="clicked1"/>
    <w:basedOn w:val="3"/>
    <w:qFormat/>
    <w:uiPriority w:val="0"/>
    <w:rPr>
      <w:color w:val="000000"/>
    </w:rPr>
  </w:style>
  <w:style w:type="character" w:customStyle="1" w:styleId="18">
    <w:name w:val="clicked2"/>
    <w:basedOn w:val="3"/>
    <w:qFormat/>
    <w:uiPriority w:val="0"/>
  </w:style>
  <w:style w:type="character" w:customStyle="1" w:styleId="19">
    <w:name w:val="newstitle"/>
    <w:basedOn w:val="3"/>
    <w:qFormat/>
    <w:uiPriority w:val="0"/>
    <w:rPr>
      <w:b/>
      <w:color w:val="000000"/>
      <w:sz w:val="24"/>
      <w:szCs w:val="24"/>
    </w:rPr>
  </w:style>
  <w:style w:type="character" w:customStyle="1" w:styleId="20">
    <w:name w:val="image"/>
    <w:basedOn w:val="3"/>
    <w:qFormat/>
    <w:uiPriority w:val="0"/>
  </w:style>
  <w:style w:type="character" w:customStyle="1" w:styleId="21">
    <w:name w:val="image1"/>
    <w:basedOn w:val="3"/>
    <w:qFormat/>
    <w:uiPriority w:val="0"/>
  </w:style>
  <w:style w:type="character" w:customStyle="1" w:styleId="22">
    <w:name w:val="image2"/>
    <w:basedOn w:val="3"/>
    <w:qFormat/>
    <w:uiPriority w:val="0"/>
  </w:style>
  <w:style w:type="character" w:customStyle="1" w:styleId="23">
    <w:name w:val="button-hover"/>
    <w:basedOn w:val="3"/>
    <w:qFormat/>
    <w:uiPriority w:val="0"/>
  </w:style>
  <w:style w:type="character" w:customStyle="1" w:styleId="24">
    <w:name w:val="button-hover1"/>
    <w:basedOn w:val="3"/>
    <w:qFormat/>
    <w:uiPriority w:val="0"/>
  </w:style>
  <w:style w:type="character" w:customStyle="1" w:styleId="25">
    <w:name w:val="directchildrenspan"/>
    <w:basedOn w:val="3"/>
    <w:qFormat/>
    <w:uiPriority w:val="0"/>
  </w:style>
  <w:style w:type="character" w:customStyle="1" w:styleId="26">
    <w:name w:val="item-middle"/>
    <w:basedOn w:val="3"/>
    <w:qFormat/>
    <w:uiPriority w:val="0"/>
  </w:style>
  <w:style w:type="character" w:customStyle="1" w:styleId="27">
    <w:name w:val="ui-icon33"/>
    <w:basedOn w:val="3"/>
    <w:qFormat/>
    <w:uiPriority w:val="0"/>
  </w:style>
  <w:style w:type="character" w:customStyle="1" w:styleId="28">
    <w:name w:val="ui-state-active6"/>
    <w:basedOn w:val="3"/>
    <w:qFormat/>
    <w:uiPriority w:val="0"/>
  </w:style>
  <w:style w:type="character" w:customStyle="1" w:styleId="29">
    <w:name w:val="imgspan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31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2023-02-28T03:05:39Z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