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475"/>
      <w:bookmarkStart w:id="3" w:name="_Toc22138"/>
      <w:bookmarkStart w:id="4" w:name="_Toc1119"/>
      <w:bookmarkStart w:id="5" w:name="_Toc15377425"/>
      <w:bookmarkStart w:id="6" w:name="_Toc15396597"/>
      <w:bookmarkStart w:id="7"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476"/>
      <w:bookmarkStart w:id="9" w:name="_Toc15377426"/>
      <w:bookmarkStart w:id="10" w:name="_Toc7168"/>
      <w:bookmarkStart w:id="11" w:name="_Toc15377194"/>
      <w:bookmarkStart w:id="12" w:name="_Toc20583"/>
      <w:bookmarkStart w:id="13" w:name="_Toc15396598"/>
      <w:bookmarkStart w:id="14" w:name="_Toc15378442"/>
      <w:r>
        <w:rPr>
          <w:rFonts w:hint="eastAsia" w:ascii="方正小标宋简体" w:hAnsi="宋体" w:eastAsia="方正小标宋简体"/>
          <w:color w:val="000000"/>
          <w:sz w:val="72"/>
          <w:szCs w:val="72"/>
        </w:rPr>
        <w:t>四川省阿坝州</w:t>
      </w:r>
      <w:bookmarkEnd w:id="0"/>
      <w:bookmarkStart w:id="15" w:name="_Toc15306268"/>
      <w:r>
        <w:rPr>
          <w:rFonts w:hint="eastAsia" w:ascii="方正小标宋简体" w:hAnsi="宋体" w:eastAsia="方正小标宋简体"/>
          <w:color w:val="000000"/>
          <w:sz w:val="72"/>
          <w:szCs w:val="72"/>
          <w:lang w:eastAsia="zh-CN"/>
        </w:rPr>
        <w:t>红原县广播电视台</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bookmarkEnd w:id="15"/>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方正小标宋简体" w:hAnsi="宋体" w:eastAsia="方正小标宋简体"/>
          <w:color w:val="000000"/>
          <w:sz w:val="36"/>
          <w:szCs w:val="36"/>
        </w:rPr>
      </w:pPr>
    </w:p>
    <w:p>
      <w:pPr>
        <w:pStyle w:val="2"/>
        <w:bidi w:val="0"/>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both"/>
        <w:rPr>
          <w:rFonts w:ascii="方正小标宋简体" w:hAnsi="宋体" w:eastAsia="方正小标宋简体"/>
          <w:sz w:val="36"/>
          <w:szCs w:val="36"/>
        </w:rPr>
      </w:pPr>
      <w:r>
        <w:rPr>
          <w:rFonts w:ascii="方正小标宋简体" w:hAnsi="宋体" w:eastAsia="方正小标宋简体"/>
          <w:sz w:val="36"/>
          <w:szCs w:val="36"/>
        </w:rPr>
        <w:br w:type="page"/>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tabs>
          <w:tab w:val="right" w:leader="dot" w:pos="8306"/>
          <w:tab w:val="clear" w:pos="829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TOC \o "1-3" \h \u </w:instrText>
      </w:r>
      <w:r>
        <w:rPr>
          <w:rFonts w:hint="eastAsia" w:ascii="宋体" w:hAnsi="宋体" w:eastAsia="宋体" w:cs="宋体"/>
        </w:rPr>
        <w:fldChar w:fldCharType="separate"/>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_Toc11968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 xml:space="preserve">第一部分 </w:t>
      </w:r>
      <w:r>
        <w:rPr>
          <w:rFonts w:hint="eastAsia" w:ascii="宋体" w:hAnsi="宋体" w:eastAsia="宋体" w:cs="宋体"/>
          <w:bCs w:val="0"/>
          <w:kern w:val="10"/>
          <w:sz w:val="24"/>
          <w:szCs w:val="24"/>
        </w:rPr>
        <w:t>部门概况</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_Toc11968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4</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_Toc11959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一、基</w:t>
      </w:r>
      <w:r>
        <w:rPr>
          <w:rFonts w:hint="eastAsia" w:ascii="宋体" w:hAnsi="宋体" w:eastAsia="宋体" w:cs="宋体"/>
          <w:bCs w:val="0"/>
          <w:kern w:val="10"/>
          <w:sz w:val="24"/>
          <w:szCs w:val="24"/>
        </w:rPr>
        <w:t>本职能及主要工作</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_Toc11959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4</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_Toc8090 </w:instrText>
      </w:r>
      <w:r>
        <w:rPr>
          <w:rFonts w:hint="eastAsia" w:ascii="宋体" w:hAnsi="宋体" w:eastAsia="宋体" w:cs="宋体"/>
          <w:kern w:val="10"/>
          <w:sz w:val="24"/>
          <w:szCs w:val="24"/>
        </w:rPr>
        <w:fldChar w:fldCharType="separate"/>
      </w:r>
      <w:r>
        <w:rPr>
          <w:rFonts w:hint="eastAsia" w:ascii="宋体" w:hAnsi="宋体" w:eastAsia="宋体" w:cs="宋体"/>
          <w:bCs/>
          <w:kern w:val="10"/>
          <w:sz w:val="24"/>
          <w:szCs w:val="24"/>
        </w:rPr>
        <w:t>（一）主要职能。</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_Toc8090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4</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_Toc28230 </w:instrText>
      </w:r>
      <w:r>
        <w:rPr>
          <w:rFonts w:hint="eastAsia" w:ascii="宋体" w:hAnsi="宋体" w:eastAsia="宋体" w:cs="宋体"/>
          <w:kern w:val="10"/>
          <w:sz w:val="24"/>
          <w:szCs w:val="24"/>
        </w:rPr>
        <w:fldChar w:fldCharType="separate"/>
      </w:r>
      <w:r>
        <w:rPr>
          <w:rFonts w:hint="eastAsia" w:ascii="宋体" w:hAnsi="宋体" w:eastAsia="宋体" w:cs="宋体"/>
          <w:bCs/>
          <w:kern w:val="10"/>
          <w:sz w:val="24"/>
          <w:szCs w:val="24"/>
        </w:rPr>
        <w:t>（二）2019年重点工作完成情况。</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_Toc28230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5</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_Toc822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二、机</w:t>
      </w:r>
      <w:r>
        <w:rPr>
          <w:rFonts w:hint="eastAsia" w:ascii="宋体" w:hAnsi="宋体" w:eastAsia="宋体" w:cs="宋体"/>
          <w:bCs w:val="0"/>
          <w:kern w:val="10"/>
          <w:sz w:val="24"/>
          <w:szCs w:val="24"/>
        </w:rPr>
        <w:t>构设置</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_Toc822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9</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_Toc21183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 xml:space="preserve">第二部分 </w:t>
      </w:r>
      <w:r>
        <w:rPr>
          <w:rFonts w:hint="eastAsia" w:ascii="宋体" w:hAnsi="宋体" w:eastAsia="宋体" w:cs="宋体"/>
          <w:bCs w:val="0"/>
          <w:kern w:val="10"/>
          <w:sz w:val="24"/>
          <w:szCs w:val="24"/>
        </w:rPr>
        <w:t>2019年度部门决算情况说明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_Toc21183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10</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_Toc17802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一、 收入支出决算总体情况说明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_Toc17802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10</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_Toc25509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二、 收入决算情况说明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_Toc25509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10</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_Toc18947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三、 支出决算情况说明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_Toc18947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11</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_Toc10318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四、财政拨款收入支出决算总体情况说明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_Toc10318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12</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_Toc1360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五、一般公共预算财政拨款支出决算情况说明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_Toc1360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13</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_Toc3673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（一）一般公共预算财政拨款支出决算总体情况</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_Toc3673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13</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_Toc21892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（二）一般公共预算财政拨款支出决算结构情况</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_Toc21892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13</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_Toc20960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（三）一般公共预算财政拨款支出决算具体情况</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_Toc20960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15</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_Toc6262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六、一般公共预算财政拨款基本支出决算情况说明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_Toc6262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16</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_Toc13455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七、“三公”经费财政拨款支出决算情况说明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_Toc13455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_Toc1499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（一）“三公”经费财政拨款支出决算总体情况说明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_Toc1499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_Toc21024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（二）“三公”经费财政拨款支出决算具体情况说明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_Toc21024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_Toc23043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八、政府性基金预算支出决算情况说明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_Toc23043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18</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_Toc13488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九、 国有资本经营预算支出决算情况说明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_Toc13488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18</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_Toc25687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十、其他重要事项的情况说明</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_Toc25687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18</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_Toc4681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（一）机关运行经费支出情况</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_Toc4681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18</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_Toc7668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（二）政府采购支出情况</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_Toc7668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19</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_Toc5603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（三）国有资产占有使用情况</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_Toc5603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19</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_Toc2806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（四） 预算绩效管理情况。</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_Toc2806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19</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_Toc19467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1.项目绩效目标完成情况</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_Toc19467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19</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_Toc17173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第三部分 名词解释</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_Toc17173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20</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_Toc7564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第四部分 附件</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_Toc7564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24</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_Toc17431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附件1</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_Toc17431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24</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_Toc4246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第五部分 附表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_Toc4246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_Toc1253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一、收</w:t>
      </w:r>
      <w:r>
        <w:rPr>
          <w:rFonts w:hint="eastAsia" w:ascii="宋体" w:hAnsi="宋体" w:eastAsia="宋体" w:cs="宋体"/>
          <w:bCs w:val="0"/>
          <w:kern w:val="10"/>
          <w:sz w:val="24"/>
          <w:szCs w:val="24"/>
        </w:rPr>
        <w:t>入支出决算总表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_Toc1253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_Toc3071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二、收</w:t>
      </w:r>
      <w:r>
        <w:rPr>
          <w:rFonts w:hint="eastAsia" w:ascii="宋体" w:hAnsi="宋体" w:eastAsia="宋体" w:cs="宋体"/>
          <w:bCs w:val="0"/>
          <w:kern w:val="10"/>
          <w:sz w:val="24"/>
          <w:szCs w:val="24"/>
        </w:rPr>
        <w:t>入决算表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_Toc3071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_Toc13900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三、</w:t>
      </w:r>
      <w:r>
        <w:rPr>
          <w:rFonts w:hint="eastAsia" w:ascii="宋体" w:hAnsi="宋体" w:eastAsia="宋体" w:cs="宋体"/>
          <w:kern w:val="10"/>
          <w:sz w:val="24"/>
          <w:szCs w:val="24"/>
        </w:rPr>
        <w:t>支</w:t>
      </w:r>
      <w:r>
        <w:rPr>
          <w:rFonts w:hint="eastAsia" w:ascii="宋体" w:hAnsi="宋体" w:eastAsia="宋体" w:cs="宋体"/>
          <w:bCs w:val="0"/>
          <w:kern w:val="10"/>
          <w:sz w:val="24"/>
          <w:szCs w:val="24"/>
        </w:rPr>
        <w:t>出决算表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_Toc13900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_Toc30086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四、</w:t>
      </w:r>
      <w:r>
        <w:rPr>
          <w:rFonts w:hint="eastAsia" w:ascii="宋体" w:hAnsi="宋体" w:eastAsia="宋体" w:cs="宋体"/>
          <w:kern w:val="10"/>
          <w:sz w:val="24"/>
          <w:szCs w:val="24"/>
        </w:rPr>
        <w:t>财</w:t>
      </w:r>
      <w:r>
        <w:rPr>
          <w:rFonts w:hint="eastAsia" w:ascii="宋体" w:hAnsi="宋体" w:eastAsia="宋体" w:cs="宋体"/>
          <w:bCs w:val="0"/>
          <w:kern w:val="10"/>
          <w:sz w:val="24"/>
          <w:szCs w:val="24"/>
        </w:rPr>
        <w:t>政拨款收入支出决算总表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_Toc30086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_Toc18088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五、</w:t>
      </w:r>
      <w:r>
        <w:rPr>
          <w:rFonts w:hint="eastAsia" w:ascii="宋体" w:hAnsi="宋体" w:eastAsia="宋体" w:cs="宋体"/>
          <w:kern w:val="10"/>
          <w:sz w:val="24"/>
          <w:szCs w:val="24"/>
        </w:rPr>
        <w:t>财</w:t>
      </w:r>
      <w:r>
        <w:rPr>
          <w:rFonts w:hint="eastAsia" w:ascii="宋体" w:hAnsi="宋体" w:eastAsia="宋体" w:cs="宋体"/>
          <w:bCs w:val="0"/>
          <w:kern w:val="10"/>
          <w:sz w:val="24"/>
          <w:szCs w:val="24"/>
        </w:rPr>
        <w:t>政拨款支出决算明细表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_Toc18088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_Toc2885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六、</w:t>
      </w:r>
      <w:r>
        <w:rPr>
          <w:rFonts w:hint="eastAsia" w:ascii="宋体" w:hAnsi="宋体" w:eastAsia="宋体" w:cs="宋体"/>
          <w:kern w:val="10"/>
          <w:sz w:val="24"/>
          <w:szCs w:val="24"/>
        </w:rPr>
        <w:t>一</w:t>
      </w:r>
      <w:r>
        <w:rPr>
          <w:rFonts w:hint="eastAsia" w:ascii="宋体" w:hAnsi="宋体" w:eastAsia="宋体" w:cs="宋体"/>
          <w:bCs w:val="0"/>
          <w:kern w:val="10"/>
          <w:sz w:val="24"/>
          <w:szCs w:val="24"/>
        </w:rPr>
        <w:t>般公共预算财政拨款支出决算表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_Toc2885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_Toc10255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七、</w:t>
      </w:r>
      <w:r>
        <w:rPr>
          <w:rFonts w:hint="eastAsia" w:ascii="宋体" w:hAnsi="宋体" w:eastAsia="宋体" w:cs="宋体"/>
          <w:kern w:val="10"/>
          <w:sz w:val="24"/>
          <w:szCs w:val="24"/>
        </w:rPr>
        <w:t>一</w:t>
      </w:r>
      <w:r>
        <w:rPr>
          <w:rFonts w:hint="eastAsia" w:ascii="宋体" w:hAnsi="宋体" w:eastAsia="宋体" w:cs="宋体"/>
          <w:bCs w:val="0"/>
          <w:kern w:val="10"/>
          <w:sz w:val="24"/>
          <w:szCs w:val="24"/>
        </w:rPr>
        <w:t>般公共预算财政拨款支出决算明细表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_Toc10255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_Toc6591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八、</w:t>
      </w:r>
      <w:r>
        <w:rPr>
          <w:rFonts w:hint="eastAsia" w:ascii="宋体" w:hAnsi="宋体" w:eastAsia="宋体" w:cs="宋体"/>
          <w:kern w:val="10"/>
          <w:sz w:val="24"/>
          <w:szCs w:val="24"/>
        </w:rPr>
        <w:t>一</w:t>
      </w:r>
      <w:r>
        <w:rPr>
          <w:rFonts w:hint="eastAsia" w:ascii="宋体" w:hAnsi="宋体" w:eastAsia="宋体" w:cs="宋体"/>
          <w:bCs w:val="0"/>
          <w:kern w:val="10"/>
          <w:sz w:val="24"/>
          <w:szCs w:val="24"/>
        </w:rPr>
        <w:t>般公共预算财政拨款基本支出决算表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_Toc6591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_Toc5304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九、</w:t>
      </w:r>
      <w:r>
        <w:rPr>
          <w:rFonts w:hint="eastAsia" w:ascii="宋体" w:hAnsi="宋体" w:eastAsia="宋体" w:cs="宋体"/>
          <w:kern w:val="10"/>
          <w:sz w:val="24"/>
          <w:szCs w:val="24"/>
        </w:rPr>
        <w:t>一</w:t>
      </w:r>
      <w:r>
        <w:rPr>
          <w:rFonts w:hint="eastAsia" w:ascii="宋体" w:hAnsi="宋体" w:eastAsia="宋体" w:cs="宋体"/>
          <w:bCs w:val="0"/>
          <w:kern w:val="10"/>
          <w:sz w:val="24"/>
          <w:szCs w:val="24"/>
        </w:rPr>
        <w:t>般公共预算财政拨款项目支出决算表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_Toc5304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_Toc31518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十、</w:t>
      </w:r>
      <w:r>
        <w:rPr>
          <w:rFonts w:hint="eastAsia" w:ascii="宋体" w:hAnsi="宋体" w:eastAsia="宋体" w:cs="宋体"/>
          <w:kern w:val="10"/>
          <w:sz w:val="24"/>
          <w:szCs w:val="24"/>
        </w:rPr>
        <w:t>一</w:t>
      </w:r>
      <w:r>
        <w:rPr>
          <w:rFonts w:hint="eastAsia" w:ascii="宋体" w:hAnsi="宋体" w:eastAsia="宋体" w:cs="宋体"/>
          <w:bCs w:val="0"/>
          <w:kern w:val="10"/>
          <w:sz w:val="24"/>
          <w:szCs w:val="24"/>
        </w:rPr>
        <w:t>般公共预算财政拨款“三公”经费支出决算表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_Toc31518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_Toc11184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十一、</w:t>
      </w:r>
      <w:r>
        <w:rPr>
          <w:rFonts w:hint="eastAsia" w:ascii="宋体" w:hAnsi="宋体" w:eastAsia="宋体" w:cs="宋体"/>
          <w:kern w:val="10"/>
          <w:sz w:val="24"/>
          <w:szCs w:val="24"/>
        </w:rPr>
        <w:t>政</w:t>
      </w:r>
      <w:r>
        <w:rPr>
          <w:rFonts w:hint="eastAsia" w:ascii="宋体" w:hAnsi="宋体" w:eastAsia="宋体" w:cs="宋体"/>
          <w:bCs w:val="0"/>
          <w:kern w:val="10"/>
          <w:sz w:val="24"/>
          <w:szCs w:val="24"/>
        </w:rPr>
        <w:t>府性基金预算财政拨款收入支出决算表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_Toc11184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kern w:val="10"/>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_Toc29084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十二、</w:t>
      </w:r>
      <w:r>
        <w:rPr>
          <w:rFonts w:hint="eastAsia" w:ascii="宋体" w:hAnsi="宋体" w:eastAsia="宋体" w:cs="宋体"/>
          <w:kern w:val="10"/>
          <w:sz w:val="24"/>
          <w:szCs w:val="24"/>
        </w:rPr>
        <w:t>政</w:t>
      </w:r>
      <w:r>
        <w:rPr>
          <w:rFonts w:hint="eastAsia" w:ascii="宋体" w:hAnsi="宋体" w:eastAsia="宋体" w:cs="宋体"/>
          <w:bCs w:val="0"/>
          <w:kern w:val="10"/>
          <w:sz w:val="24"/>
          <w:szCs w:val="24"/>
        </w:rPr>
        <w:t>府性基金预算财政拨款“三公”经费支出决算表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_Toc29084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HYPERLINK \l _Toc20508 </w:instrText>
      </w:r>
      <w:r>
        <w:rPr>
          <w:rFonts w:hint="eastAsia" w:ascii="宋体" w:hAnsi="宋体" w:eastAsia="宋体" w:cs="宋体"/>
          <w:kern w:val="10"/>
          <w:sz w:val="24"/>
          <w:szCs w:val="24"/>
        </w:rPr>
        <w:fldChar w:fldCharType="separate"/>
      </w:r>
      <w:r>
        <w:rPr>
          <w:rFonts w:hint="eastAsia" w:ascii="宋体" w:hAnsi="宋体" w:eastAsia="宋体" w:cs="宋体"/>
          <w:bCs w:val="0"/>
          <w:kern w:val="10"/>
          <w:sz w:val="24"/>
          <w:szCs w:val="24"/>
        </w:rPr>
        <w:t>十三、</w:t>
      </w:r>
      <w:r>
        <w:rPr>
          <w:rFonts w:hint="eastAsia" w:ascii="宋体" w:hAnsi="宋体" w:eastAsia="宋体" w:cs="宋体"/>
          <w:kern w:val="10"/>
          <w:sz w:val="24"/>
          <w:szCs w:val="24"/>
        </w:rPr>
        <w:t>国</w:t>
      </w:r>
      <w:r>
        <w:rPr>
          <w:rFonts w:hint="eastAsia" w:ascii="宋体" w:hAnsi="宋体" w:eastAsia="宋体" w:cs="宋体"/>
          <w:bCs w:val="0"/>
          <w:kern w:val="10"/>
          <w:sz w:val="24"/>
          <w:szCs w:val="24"/>
        </w:rPr>
        <w:t>有资本经营预算支出决算表</w:t>
      </w:r>
      <w:r>
        <w:rPr>
          <w:rFonts w:hint="eastAsia" w:ascii="宋体" w:hAnsi="宋体" w:eastAsia="宋体" w:cs="宋体"/>
          <w:kern w:val="10"/>
          <w:sz w:val="24"/>
          <w:szCs w:val="24"/>
        </w:rPr>
        <w:tab/>
      </w:r>
      <w:r>
        <w:rPr>
          <w:rFonts w:hint="eastAsia" w:ascii="宋体" w:hAnsi="宋体" w:eastAsia="宋体" w:cs="宋体"/>
          <w:kern w:val="10"/>
          <w:sz w:val="24"/>
          <w:szCs w:val="24"/>
        </w:rPr>
        <w:fldChar w:fldCharType="begin"/>
      </w:r>
      <w:r>
        <w:rPr>
          <w:rFonts w:hint="eastAsia" w:ascii="宋体" w:hAnsi="宋体" w:eastAsia="宋体" w:cs="宋体"/>
          <w:kern w:val="10"/>
          <w:sz w:val="24"/>
          <w:szCs w:val="24"/>
        </w:rPr>
        <w:instrText xml:space="preserve"> PAGEREF _Toc20508 </w:instrText>
      </w:r>
      <w:r>
        <w:rPr>
          <w:rFonts w:hint="eastAsia" w:ascii="宋体" w:hAnsi="宋体" w:eastAsia="宋体" w:cs="宋体"/>
          <w:kern w:val="10"/>
          <w:sz w:val="24"/>
          <w:szCs w:val="24"/>
        </w:rPr>
        <w:fldChar w:fldCharType="separate"/>
      </w:r>
      <w:r>
        <w:rPr>
          <w:rFonts w:hint="eastAsia" w:ascii="宋体" w:hAnsi="宋体" w:eastAsia="宋体" w:cs="宋体"/>
          <w:kern w:val="10"/>
          <w:sz w:val="24"/>
          <w:szCs w:val="24"/>
        </w:rPr>
        <w:t>27</w:t>
      </w:r>
      <w:r>
        <w:rPr>
          <w:rFonts w:hint="eastAsia" w:ascii="宋体" w:hAnsi="宋体" w:eastAsia="宋体" w:cs="宋体"/>
          <w:kern w:val="10"/>
          <w:sz w:val="24"/>
          <w:szCs w:val="24"/>
        </w:rPr>
        <w:fldChar w:fldCharType="end"/>
      </w:r>
      <w:r>
        <w:rPr>
          <w:rFonts w:hint="eastAsia" w:ascii="宋体" w:hAnsi="宋体" w:eastAsia="宋体" w:cs="宋体"/>
          <w:kern w:val="10"/>
          <w:sz w:val="24"/>
          <w:szCs w:val="24"/>
        </w:rPr>
        <w:fldChar w:fldCharType="end"/>
      </w:r>
    </w:p>
    <w:p>
      <w:pPr>
        <w:rPr>
          <w:rFonts w:hint="eastAsia" w:ascii="宋体" w:hAnsi="宋体" w:eastAsia="宋体" w:cs="宋体"/>
        </w:rPr>
      </w:pPr>
      <w:r>
        <w:rPr>
          <w:rFonts w:hint="eastAsia" w:ascii="宋体" w:hAnsi="宋体" w:eastAsia="宋体" w:cs="宋体"/>
        </w:rPr>
        <w:fldChar w:fldCharType="end"/>
      </w:r>
    </w:p>
    <w:p>
      <w:pPr>
        <w:pStyle w:val="2"/>
        <w:bidi w:val="0"/>
        <w:rPr>
          <w:rFonts w:hint="eastAsia" w:ascii="黑体" w:hAnsi="黑体" w:eastAsia="黑体"/>
          <w:b w:val="0"/>
          <w:sz w:val="24"/>
          <w:szCs w:val="24"/>
        </w:rPr>
      </w:pPr>
      <w:bookmarkStart w:id="16" w:name="_Toc4075"/>
      <w:bookmarkStart w:id="17" w:name="_Toc15396599"/>
      <w:bookmarkStart w:id="18" w:name="_Toc11968"/>
      <w:bookmarkStart w:id="19" w:name="_Toc15377196"/>
    </w:p>
    <w:p>
      <w:pPr>
        <w:rPr>
          <w:rFonts w:hint="eastAsia" w:ascii="黑体" w:hAnsi="黑体" w:eastAsia="黑体"/>
          <w:b w:val="0"/>
          <w:sz w:val="24"/>
          <w:szCs w:val="24"/>
        </w:rPr>
      </w:pPr>
    </w:p>
    <w:p>
      <w:pPr>
        <w:rPr>
          <w:rFonts w:hint="eastAsia" w:ascii="黑体" w:hAnsi="黑体" w:eastAsia="黑体"/>
          <w:b w:val="0"/>
          <w:sz w:val="24"/>
          <w:szCs w:val="24"/>
        </w:rPr>
      </w:pPr>
    </w:p>
    <w:p>
      <w:pPr>
        <w:rPr>
          <w:rFonts w:hint="eastAsia"/>
        </w:rPr>
      </w:pPr>
    </w:p>
    <w:p>
      <w:pPr>
        <w:rPr>
          <w:rFonts w:hint="eastAsia"/>
        </w:rPr>
      </w:pPr>
    </w:p>
    <w:p>
      <w:pPr>
        <w:rPr>
          <w:rFonts w:hint="eastAsia"/>
        </w:rPr>
      </w:pPr>
    </w:p>
    <w:p>
      <w:pPr>
        <w:rPr>
          <w:rFonts w:hint="eastAsia"/>
        </w:rPr>
      </w:pPr>
    </w:p>
    <w:p>
      <w:pPr>
        <w:rPr>
          <w:rFonts w:hint="eastAsia"/>
        </w:rPr>
      </w:pPr>
    </w:p>
    <w:p>
      <w:pPr>
        <w:pStyle w:val="2"/>
        <w:bidi w:val="0"/>
        <w:ind w:firstLine="1760" w:firstLineChars="400"/>
        <w:jc w:val="both"/>
        <w:rPr>
          <w:rFonts w:hint="eastAsia" w:ascii="黑体" w:hAnsi="黑体" w:eastAsia="黑体"/>
          <w:b w:val="0"/>
        </w:rPr>
      </w:pPr>
    </w:p>
    <w:p>
      <w:pPr>
        <w:pStyle w:val="2"/>
        <w:bidi w:val="0"/>
        <w:ind w:firstLine="1760" w:firstLineChars="400"/>
        <w:jc w:val="both"/>
        <w:rPr>
          <w:rStyle w:val="24"/>
          <w:rFonts w:ascii="黑体" w:hAnsi="黑体" w:eastAsia="黑体"/>
          <w:b/>
          <w:bCs w:val="0"/>
        </w:rPr>
      </w:pPr>
      <w:bookmarkStart w:id="169" w:name="_GoBack"/>
      <w:bookmarkEnd w:id="169"/>
      <w:r>
        <w:rPr>
          <w:rFonts w:hint="eastAsia" w:ascii="黑体" w:hAnsi="黑体" w:eastAsia="黑体"/>
          <w:b w:val="0"/>
        </w:rPr>
        <w:t xml:space="preserve">第一部分 </w:t>
      </w:r>
      <w:r>
        <w:rPr>
          <w:rStyle w:val="24"/>
          <w:rFonts w:hint="eastAsia" w:ascii="黑体" w:hAnsi="黑体" w:eastAsia="黑体"/>
          <w:b w:val="0"/>
          <w:bCs w:val="0"/>
        </w:rPr>
        <w:t>部门概况</w:t>
      </w:r>
      <w:bookmarkEnd w:id="16"/>
      <w:bookmarkEnd w:id="17"/>
      <w:bookmarkEnd w:id="18"/>
      <w:bookmarkEnd w:id="19"/>
    </w:p>
    <w:p>
      <w:pPr>
        <w:widowControl/>
        <w:jc w:val="left"/>
        <w:rPr>
          <w:rFonts w:ascii="黑体" w:eastAsia="黑体"/>
          <w:color w:val="000000"/>
          <w:sz w:val="32"/>
          <w:szCs w:val="32"/>
        </w:rPr>
      </w:pPr>
    </w:p>
    <w:p>
      <w:pPr>
        <w:pStyle w:val="3"/>
        <w:rPr>
          <w:rStyle w:val="25"/>
          <w:rFonts w:ascii="仿宋" w:hAnsi="仿宋" w:eastAsia="仿宋"/>
          <w:b w:val="0"/>
          <w:bCs w:val="0"/>
        </w:rPr>
      </w:pPr>
      <w:bookmarkStart w:id="20" w:name="_Toc26170"/>
      <w:bookmarkStart w:id="21" w:name="_Toc15377197"/>
      <w:bookmarkStart w:id="22" w:name="_Toc15396600"/>
      <w:bookmarkStart w:id="23" w:name="_Toc11959"/>
      <w:r>
        <w:rPr>
          <w:rFonts w:hint="eastAsia" w:ascii="黑体" w:hAnsi="黑体" w:eastAsia="黑体"/>
          <w:b w:val="0"/>
          <w:color w:val="000000"/>
        </w:rPr>
        <w:t>一、基</w:t>
      </w:r>
      <w:r>
        <w:rPr>
          <w:rStyle w:val="25"/>
          <w:rFonts w:hint="eastAsia" w:ascii="黑体" w:hAnsi="黑体" w:eastAsia="黑体"/>
          <w:b w:val="0"/>
          <w:bCs w:val="0"/>
        </w:rPr>
        <w:t>本职能及主要工作</w:t>
      </w:r>
      <w:bookmarkEnd w:id="20"/>
      <w:bookmarkEnd w:id="21"/>
      <w:bookmarkEnd w:id="22"/>
      <w:bookmarkEnd w:id="23"/>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8090"/>
      <w:bookmarkStart w:id="25" w:name="_Toc26026"/>
      <w:bookmarkStart w:id="26" w:name="_Toc15378445"/>
      <w:bookmarkStart w:id="27" w:name="_Toc15377198"/>
      <w:r>
        <w:rPr>
          <w:rFonts w:hint="eastAsia" w:ascii="仿宋" w:hAnsi="仿宋" w:eastAsia="仿宋"/>
          <w:bCs/>
          <w:color w:val="000000"/>
          <w:sz w:val="32"/>
          <w:szCs w:val="32"/>
        </w:rPr>
        <w:t>（一）主要职能。</w:t>
      </w:r>
      <w:bookmarkEnd w:id="24"/>
      <w:bookmarkEnd w:id="25"/>
    </w:p>
    <w:bookmarkEnd w:id="26"/>
    <w:bookmarkEnd w:id="27"/>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负责贯彻落实党的新闻宣传方针政策，宣传党的理论、路线和各项方针政策，把握新闻宣传基调，坚持正面宣传，为全县经济社会发展提供舆论支持。</w:t>
      </w:r>
    </w:p>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负责围绕县委、县政府中心工作，积极开展对内对外新闻宣传报道，落实全县新闻报道计划，完成宣传任务。</w:t>
      </w:r>
    </w:p>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负责全县电视、网站以及“两微一端”等新媒体新闻宣传报道的策划、采集、编辑、审核、播出工作。</w:t>
      </w:r>
    </w:p>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负责全县各单位（网站、网页、上传稿件等）对外宣传新闻稿件审核工作。</w:t>
      </w:r>
    </w:p>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负责县委县政府交办的各类宣传片、专题片、汇报片的策划、拍摄、制作、推广工作。</w:t>
      </w:r>
    </w:p>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负责全县新闻业务管理指导和对外通联工作，协助配合衔接上级媒体和新闻单位来县采访及其他协调服务工作。</w:t>
      </w:r>
    </w:p>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负责全县新闻通讯员业务技能培训，协助抓好全县新闻人才队伍建设。</w:t>
      </w:r>
    </w:p>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负责会同有关部门做好新媒体推广工作。</w:t>
      </w:r>
    </w:p>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负责全县民族语言文字的藏汉翻译、藏语配音工作。</w:t>
      </w:r>
    </w:p>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负责参与编制全县广播电视事业发展规划、项目申报并组织实施。</w:t>
      </w:r>
    </w:p>
    <w:p>
      <w:pPr>
        <w:bidi w:val="0"/>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负责全县广播和有线电视传输网络调试、巡查、维修、维护等工作，确保电视广播网络安全运行，节目安全播出。</w:t>
      </w:r>
    </w:p>
    <w:p>
      <w:pPr>
        <w:bidi w:val="0"/>
        <w:ind w:firstLine="960" w:firstLineChars="300"/>
        <w:rPr>
          <w:rFonts w:ascii="仿宋" w:hAnsi="仿宋" w:eastAsia="仿宋"/>
          <w:bCs/>
          <w:color w:val="000000"/>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完成县委、县政府、县委宣传部交办的其他工作。</w:t>
      </w:r>
    </w:p>
    <w:p>
      <w:pPr>
        <w:pStyle w:val="5"/>
        <w:adjustRightInd w:val="0"/>
        <w:snapToGrid w:val="0"/>
        <w:spacing w:before="93" w:line="600" w:lineRule="exact"/>
        <w:ind w:firstLine="320" w:firstLineChars="100"/>
        <w:outlineLvl w:val="2"/>
        <w:rPr>
          <w:rFonts w:hint="eastAsia" w:ascii="仿宋" w:hAnsi="仿宋" w:eastAsia="仿宋"/>
          <w:bCs/>
          <w:color w:val="000000"/>
          <w:sz w:val="32"/>
          <w:szCs w:val="32"/>
        </w:rPr>
      </w:pPr>
      <w:bookmarkStart w:id="28" w:name="_Toc15378446"/>
      <w:bookmarkStart w:id="29" w:name="_Toc23920"/>
      <w:bookmarkStart w:id="30" w:name="_Toc15377199"/>
      <w:bookmarkStart w:id="31" w:name="_Toc28230"/>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8"/>
      <w:bookmarkEnd w:id="29"/>
      <w:bookmarkEnd w:id="30"/>
      <w:bookmarkEnd w:id="31"/>
    </w:p>
    <w:p>
      <w:pPr>
        <w:keepNext w:val="0"/>
        <w:keepLines w:val="0"/>
        <w:pageBreakBefore w:val="0"/>
        <w:numPr>
          <w:ilvl w:val="0"/>
          <w:numId w:val="0"/>
        </w:numPr>
        <w:kinsoku/>
        <w:wordWrap/>
        <w:overflowPunct/>
        <w:topLinePunct w:val="0"/>
        <w:autoSpaceDE/>
        <w:autoSpaceDN/>
        <w:bidi w:val="0"/>
        <w:spacing w:line="576" w:lineRule="exact"/>
        <w:ind w:firstLine="321" w:firstLineChars="100"/>
        <w:textAlignment w:val="auto"/>
        <w:rPr>
          <w:rFonts w:hint="eastAsia" w:ascii="仿宋_GB2312" w:hAnsi="仿宋_GB2312" w:eastAsia="仿宋_GB2312" w:cs="仿宋_GB2312"/>
          <w:b/>
          <w:bCs/>
          <w:sz w:val="32"/>
          <w:szCs w:val="32"/>
        </w:rPr>
      </w:pPr>
      <w:r>
        <w:rPr>
          <w:rFonts w:hint="eastAsia" w:ascii="楷体" w:hAnsi="楷体" w:eastAsia="楷体" w:cs="楷体"/>
          <w:b/>
          <w:bCs/>
          <w:sz w:val="32"/>
          <w:szCs w:val="32"/>
        </w:rPr>
        <w:t>（一）</w:t>
      </w:r>
      <w:r>
        <w:rPr>
          <w:rFonts w:hint="eastAsia" w:ascii="楷体" w:hAnsi="楷体" w:eastAsia="楷体" w:cs="楷体"/>
          <w:b/>
          <w:bCs/>
          <w:sz w:val="32"/>
          <w:szCs w:val="32"/>
          <w:lang w:eastAsia="zh-CN"/>
        </w:rPr>
        <w:t>找准</w:t>
      </w:r>
      <w:r>
        <w:rPr>
          <w:rFonts w:hint="eastAsia" w:ascii="楷体" w:hAnsi="楷体" w:eastAsia="楷体" w:cs="楷体"/>
          <w:b/>
          <w:bCs/>
          <w:sz w:val="32"/>
          <w:szCs w:val="32"/>
        </w:rPr>
        <w:t>定位、科学规划</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成立以来，用近</w:t>
      </w:r>
      <w:r>
        <w:rPr>
          <w:rFonts w:hint="eastAsia" w:ascii="仿宋_GB2312" w:hAnsi="仿宋_GB2312" w:eastAsia="仿宋_GB2312" w:cs="仿宋_GB2312"/>
          <w:sz w:val="32"/>
          <w:szCs w:val="32"/>
          <w:lang w:eastAsia="zh-CN"/>
        </w:rPr>
        <w:t>半</w:t>
      </w:r>
      <w:r>
        <w:rPr>
          <w:rFonts w:hint="eastAsia" w:ascii="仿宋_GB2312" w:hAnsi="仿宋_GB2312" w:eastAsia="仿宋_GB2312" w:cs="仿宋_GB2312"/>
          <w:sz w:val="32"/>
          <w:szCs w:val="32"/>
        </w:rPr>
        <w:t>个月的时间，对各项工作作了深入的调研和分析，明确</w:t>
      </w:r>
      <w:r>
        <w:rPr>
          <w:rFonts w:hint="eastAsia" w:ascii="仿宋_GB2312" w:hAnsi="仿宋_GB2312" w:eastAsia="仿宋_GB2312" w:cs="仿宋_GB2312"/>
          <w:sz w:val="32"/>
          <w:szCs w:val="32"/>
          <w:lang w:eastAsia="zh-CN"/>
        </w:rPr>
        <w:t>县融媒体中心</w:t>
      </w:r>
      <w:r>
        <w:rPr>
          <w:rFonts w:hint="eastAsia" w:ascii="仿宋_GB2312" w:hAnsi="仿宋_GB2312" w:eastAsia="仿宋_GB2312" w:cs="仿宋_GB2312"/>
          <w:sz w:val="32"/>
          <w:szCs w:val="32"/>
        </w:rPr>
        <w:t>宣传工作的发展要紧紧围绕重构</w:t>
      </w:r>
      <w:r>
        <w:rPr>
          <w:rFonts w:hint="eastAsia" w:ascii="仿宋_GB2312" w:hAnsi="仿宋_GB2312" w:eastAsia="仿宋_GB2312" w:cs="仿宋_GB2312"/>
          <w:sz w:val="32"/>
          <w:szCs w:val="32"/>
          <w:lang w:eastAsia="zh-CN"/>
        </w:rPr>
        <w:t>综合宣传平台，</w:t>
      </w:r>
      <w:r>
        <w:rPr>
          <w:rFonts w:hint="eastAsia" w:ascii="仿宋_GB2312" w:hAnsi="仿宋_GB2312" w:eastAsia="仿宋_GB2312" w:cs="仿宋_GB2312"/>
          <w:sz w:val="32"/>
          <w:szCs w:val="32"/>
        </w:rPr>
        <w:t>推进媒体深度融合，着力内部体制机制改革，拓宽传播载体，推动传统媒体和新兴媒体尽快从相“加”迈向相“融”这一目标，紧扣“提高</w:t>
      </w:r>
      <w:r>
        <w:rPr>
          <w:rFonts w:hint="eastAsia" w:ascii="仿宋_GB2312" w:hAnsi="仿宋_GB2312" w:eastAsia="仿宋_GB2312" w:cs="仿宋_GB2312"/>
          <w:sz w:val="32"/>
          <w:szCs w:val="32"/>
          <w:lang w:eastAsia="zh-CN"/>
        </w:rPr>
        <w:t>红原</w:t>
      </w:r>
      <w:r>
        <w:rPr>
          <w:rFonts w:hint="eastAsia" w:ascii="仿宋_GB2312" w:hAnsi="仿宋_GB2312" w:eastAsia="仿宋_GB2312" w:cs="仿宋_GB2312"/>
          <w:sz w:val="32"/>
          <w:szCs w:val="32"/>
        </w:rPr>
        <w:t>知名度和影响力”这个中心，构建“内宣</w:t>
      </w:r>
      <w:r>
        <w:rPr>
          <w:rFonts w:hint="eastAsia" w:ascii="仿宋_GB2312" w:hAnsi="仿宋_GB2312" w:eastAsia="仿宋_GB2312" w:cs="仿宋_GB2312"/>
          <w:sz w:val="32"/>
          <w:szCs w:val="32"/>
          <w:lang w:eastAsia="zh-CN"/>
        </w:rPr>
        <w:t>有影响</w:t>
      </w:r>
      <w:r>
        <w:rPr>
          <w:rFonts w:hint="eastAsia" w:ascii="仿宋_GB2312" w:hAnsi="仿宋_GB2312" w:eastAsia="仿宋_GB2312" w:cs="仿宋_GB2312"/>
          <w:sz w:val="32"/>
          <w:szCs w:val="32"/>
        </w:rPr>
        <w:t>、外宣</w:t>
      </w:r>
      <w:r>
        <w:rPr>
          <w:rFonts w:hint="eastAsia" w:ascii="仿宋_GB2312" w:hAnsi="仿宋_GB2312" w:eastAsia="仿宋_GB2312" w:cs="仿宋_GB2312"/>
          <w:sz w:val="32"/>
          <w:szCs w:val="32"/>
          <w:lang w:eastAsia="zh-CN"/>
        </w:rPr>
        <w:t>争一流</w:t>
      </w:r>
      <w:r>
        <w:rPr>
          <w:rFonts w:hint="eastAsia" w:ascii="仿宋_GB2312" w:hAnsi="仿宋_GB2312" w:eastAsia="仿宋_GB2312" w:cs="仿宋_GB2312"/>
          <w:sz w:val="32"/>
          <w:szCs w:val="32"/>
        </w:rPr>
        <w:t>、创优</w:t>
      </w:r>
      <w:r>
        <w:rPr>
          <w:rFonts w:hint="eastAsia" w:ascii="仿宋_GB2312" w:hAnsi="仿宋_GB2312" w:eastAsia="仿宋_GB2312" w:cs="仿宋_GB2312"/>
          <w:sz w:val="32"/>
          <w:szCs w:val="32"/>
          <w:lang w:eastAsia="zh-CN"/>
        </w:rPr>
        <w:t>推品质</w:t>
      </w:r>
      <w:r>
        <w:rPr>
          <w:rFonts w:hint="eastAsia" w:ascii="仿宋_GB2312" w:hAnsi="仿宋_GB2312" w:eastAsia="仿宋_GB2312" w:cs="仿宋_GB2312"/>
          <w:sz w:val="32"/>
          <w:szCs w:val="32"/>
        </w:rPr>
        <w:t>”的工作格局</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一是标准化建设加速。</w:t>
      </w:r>
      <w:r>
        <w:rPr>
          <w:rFonts w:hint="eastAsia" w:ascii="仿宋_GB2312" w:hAnsi="仿宋_GB2312" w:eastAsia="仿宋_GB2312" w:cs="仿宋_GB2312"/>
          <w:sz w:val="32"/>
          <w:szCs w:val="32"/>
          <w:lang w:eastAsia="zh-CN"/>
        </w:rPr>
        <w:t>投资</w:t>
      </w:r>
      <w:r>
        <w:rPr>
          <w:rFonts w:hint="eastAsia" w:ascii="仿宋_GB2312" w:hAnsi="仿宋_GB2312" w:eastAsia="仿宋_GB2312" w:cs="仿宋_GB2312"/>
          <w:sz w:val="32"/>
          <w:szCs w:val="32"/>
          <w:lang w:val="en-US" w:eastAsia="zh-CN"/>
        </w:rPr>
        <w:t>205.34万元，</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全媒体中心办公区域</w:t>
      </w:r>
      <w:r>
        <w:rPr>
          <w:rFonts w:hint="eastAsia" w:ascii="仿宋_GB2312" w:hAnsi="仿宋_GB2312" w:eastAsia="仿宋_GB2312" w:cs="仿宋_GB2312"/>
          <w:sz w:val="32"/>
          <w:szCs w:val="32"/>
          <w:lang w:eastAsia="zh-CN"/>
        </w:rPr>
        <w:t>，中心面貌焕然一新</w:t>
      </w:r>
      <w:r>
        <w:rPr>
          <w:rFonts w:hint="eastAsia" w:ascii="仿宋_GB2312" w:hAnsi="仿宋_GB2312" w:eastAsia="仿宋_GB2312" w:cs="仿宋_GB2312"/>
          <w:sz w:val="32"/>
          <w:szCs w:val="32"/>
        </w:rPr>
        <w:t>；投资</w:t>
      </w:r>
      <w:r>
        <w:rPr>
          <w:rFonts w:hint="eastAsia" w:ascii="仿宋_GB2312" w:hAnsi="仿宋_GB2312" w:eastAsia="仿宋_GB2312" w:cs="仿宋_GB2312"/>
          <w:sz w:val="32"/>
          <w:szCs w:val="32"/>
          <w:lang w:val="en-US" w:eastAsia="zh-CN"/>
        </w:rPr>
        <w:t>43.6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对办公区域进行全面升级改造，进一步提升办公环境</w:t>
      </w:r>
      <w:r>
        <w:rPr>
          <w:rFonts w:hint="eastAsia" w:ascii="仿宋_GB2312" w:hAnsi="仿宋_GB2312" w:eastAsia="仿宋_GB2312" w:cs="仿宋_GB2312"/>
          <w:sz w:val="32"/>
          <w:szCs w:val="32"/>
        </w:rPr>
        <w:t>。完成红原县州县节目覆盖工程</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是媒体融合高起点起步。</w:t>
      </w:r>
      <w:r>
        <w:rPr>
          <w:rFonts w:hint="eastAsia" w:ascii="仿宋_GB2312" w:hAnsi="仿宋_GB2312" w:eastAsia="仿宋_GB2312" w:cs="仿宋_GB2312"/>
          <w:sz w:val="32"/>
          <w:szCs w:val="32"/>
          <w:lang w:eastAsia="zh-CN"/>
        </w:rPr>
        <w:t>重建工作机制、重组内设机构、</w:t>
      </w:r>
      <w:r>
        <w:rPr>
          <w:rFonts w:hint="eastAsia" w:ascii="仿宋_GB2312" w:hAnsi="仿宋_GB2312" w:eastAsia="仿宋_GB2312" w:cs="仿宋_GB2312"/>
          <w:sz w:val="32"/>
          <w:szCs w:val="32"/>
        </w:rPr>
        <w:t>优化人员配置</w:t>
      </w:r>
      <w:r>
        <w:rPr>
          <w:rFonts w:hint="eastAsia" w:ascii="仿宋_GB2312" w:hAnsi="仿宋_GB2312" w:eastAsia="仿宋_GB2312" w:cs="仿宋_GB2312"/>
          <w:sz w:val="32"/>
          <w:szCs w:val="32"/>
          <w:lang w:eastAsia="zh-CN"/>
        </w:rPr>
        <w:t>、整合技术力量，</w:t>
      </w:r>
      <w:r>
        <w:rPr>
          <w:rFonts w:hint="eastAsia" w:ascii="仿宋_GB2312" w:hAnsi="仿宋_GB2312" w:eastAsia="仿宋_GB2312" w:cs="仿宋_GB2312"/>
          <w:sz w:val="32"/>
          <w:szCs w:val="32"/>
        </w:rPr>
        <w:t>着力推进“一个中心”</w:t>
      </w:r>
      <w:r>
        <w:rPr>
          <w:rFonts w:hint="eastAsia" w:ascii="仿宋_GB2312" w:hAnsi="仿宋_GB2312" w:eastAsia="仿宋_GB2312" w:cs="仿宋_GB2312"/>
          <w:sz w:val="32"/>
          <w:szCs w:val="32"/>
          <w:lang w:eastAsia="zh-CN"/>
        </w:rPr>
        <w:t>（融媒体中心）</w:t>
      </w:r>
      <w:r>
        <w:rPr>
          <w:rFonts w:hint="eastAsia" w:ascii="仿宋_GB2312" w:hAnsi="仿宋_GB2312" w:eastAsia="仿宋_GB2312" w:cs="仿宋_GB2312"/>
          <w:sz w:val="32"/>
          <w:szCs w:val="32"/>
        </w:rPr>
        <w:t>“两个集群”</w:t>
      </w:r>
      <w:r>
        <w:rPr>
          <w:rFonts w:hint="eastAsia" w:ascii="仿宋_GB2312" w:hAnsi="仿宋_GB2312" w:eastAsia="仿宋_GB2312" w:cs="仿宋_GB2312"/>
          <w:sz w:val="32"/>
          <w:szCs w:val="32"/>
          <w:lang w:eastAsia="zh-CN"/>
        </w:rPr>
        <w:t>（电视群、手机群）</w:t>
      </w:r>
      <w:r>
        <w:rPr>
          <w:rFonts w:hint="eastAsia" w:ascii="仿宋_GB2312" w:hAnsi="仿宋_GB2312" w:eastAsia="仿宋_GB2312" w:cs="仿宋_GB2312"/>
          <w:sz w:val="32"/>
          <w:szCs w:val="32"/>
        </w:rPr>
        <w:t>“三个平台”</w:t>
      </w:r>
      <w:r>
        <w:rPr>
          <w:rFonts w:hint="eastAsia" w:ascii="仿宋_GB2312" w:hAnsi="仿宋_GB2312" w:eastAsia="仿宋_GB2312" w:cs="仿宋_GB2312"/>
          <w:sz w:val="32"/>
          <w:szCs w:val="32"/>
          <w:lang w:eastAsia="zh-CN"/>
        </w:rPr>
        <w:t>（电视、网站、微信）</w:t>
      </w:r>
      <w:r>
        <w:rPr>
          <w:rFonts w:hint="eastAsia" w:ascii="仿宋_GB2312" w:hAnsi="仿宋_GB2312" w:eastAsia="仿宋_GB2312" w:cs="仿宋_GB2312"/>
          <w:sz w:val="32"/>
          <w:szCs w:val="32"/>
        </w:rPr>
        <w:t>“四项保障”</w:t>
      </w:r>
      <w:r>
        <w:rPr>
          <w:rFonts w:hint="eastAsia" w:ascii="仿宋_GB2312" w:hAnsi="仿宋_GB2312" w:eastAsia="仿宋_GB2312" w:cs="仿宋_GB2312"/>
          <w:sz w:val="32"/>
          <w:szCs w:val="32"/>
          <w:lang w:eastAsia="zh-CN"/>
        </w:rPr>
        <w:t>（人、财、物、技术）</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重构“采、编、发、播”流程，实现信息“一次采集，多样生成，多元传播，统一发声”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实现资源通融、宣传互融，“</w:t>
      </w:r>
      <w:r>
        <w:rPr>
          <w:rFonts w:hint="eastAsia" w:ascii="仿宋_GB2312" w:hAnsi="仿宋_GB2312" w:eastAsia="仿宋_GB2312" w:cs="仿宋_GB2312"/>
          <w:sz w:val="32"/>
          <w:szCs w:val="32"/>
          <w:lang w:eastAsia="zh-CN"/>
        </w:rPr>
        <w:t>融媒体</w:t>
      </w:r>
      <w:r>
        <w:rPr>
          <w:rFonts w:hint="eastAsia" w:ascii="仿宋_GB2312" w:hAnsi="仿宋_GB2312" w:eastAsia="仿宋_GB2312" w:cs="仿宋_GB2312"/>
          <w:sz w:val="32"/>
          <w:szCs w:val="32"/>
        </w:rPr>
        <w:t>主力军进入</w:t>
      </w:r>
      <w:r>
        <w:rPr>
          <w:rFonts w:hint="eastAsia" w:ascii="仿宋_GB2312" w:hAnsi="仿宋_GB2312" w:eastAsia="仿宋_GB2312" w:cs="仿宋_GB2312"/>
          <w:sz w:val="32"/>
          <w:szCs w:val="32"/>
          <w:lang w:eastAsia="zh-CN"/>
        </w:rPr>
        <w:t>宣传</w:t>
      </w:r>
      <w:r>
        <w:rPr>
          <w:rFonts w:hint="eastAsia" w:ascii="仿宋_GB2312" w:hAnsi="仿宋_GB2312" w:eastAsia="仿宋_GB2312" w:cs="仿宋_GB2312"/>
          <w:sz w:val="32"/>
          <w:szCs w:val="32"/>
        </w:rPr>
        <w:t xml:space="preserve">主阵地”。 </w:t>
      </w:r>
    </w:p>
    <w:p>
      <w:pPr>
        <w:keepNext w:val="0"/>
        <w:keepLines w:val="0"/>
        <w:pageBreakBefore w:val="0"/>
        <w:kinsoku/>
        <w:wordWrap/>
        <w:overflowPunct/>
        <w:topLinePunct w:val="0"/>
        <w:autoSpaceDE/>
        <w:autoSpaceDN/>
        <w:bidi w:val="0"/>
        <w:spacing w:line="576" w:lineRule="exact"/>
        <w:ind w:firstLine="321" w:firstLineChars="100"/>
        <w:textAlignment w:val="auto"/>
        <w:rPr>
          <w:rFonts w:hint="eastAsia" w:ascii="楷体" w:hAnsi="楷体" w:eastAsia="楷体" w:cs="楷体"/>
          <w:b/>
          <w:bCs/>
          <w:sz w:val="32"/>
          <w:szCs w:val="32"/>
        </w:rPr>
      </w:pPr>
      <w:r>
        <w:rPr>
          <w:rFonts w:hint="eastAsia" w:ascii="楷体" w:hAnsi="楷体" w:eastAsia="楷体" w:cs="楷体"/>
          <w:b/>
          <w:bCs/>
          <w:sz w:val="32"/>
          <w:szCs w:val="32"/>
        </w:rPr>
        <w:t>（二）管理到位、运行有序</w:t>
      </w:r>
    </w:p>
    <w:p>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sz w:val="32"/>
          <w:szCs w:val="32"/>
        </w:rPr>
        <w:t>一是加强党员队伍建设。</w:t>
      </w:r>
      <w:r>
        <w:rPr>
          <w:rFonts w:hint="eastAsia" w:ascii="仿宋_GB2312" w:hAnsi="仿宋_GB2312" w:eastAsia="仿宋_GB2312" w:cs="仿宋_GB2312"/>
          <w:sz w:val="32"/>
          <w:szCs w:val="32"/>
        </w:rPr>
        <w:t>以“</w:t>
      </w:r>
      <w:r>
        <w:rPr>
          <w:rFonts w:hint="eastAsia" w:ascii="仿宋_GB2312" w:hAnsi="仿宋_GB2312" w:eastAsia="仿宋_GB2312" w:cs="仿宋_GB2312"/>
          <w:sz w:val="32"/>
          <w:szCs w:val="32"/>
          <w:lang w:eastAsia="zh-CN"/>
        </w:rPr>
        <w:t>不忘初心</w:t>
      </w:r>
      <w:r>
        <w:rPr>
          <w:rFonts w:hint="eastAsia" w:ascii="仿宋_GB2312" w:hAnsi="仿宋_GB2312" w:eastAsia="仿宋_GB2312" w:cs="仿宋_GB2312"/>
          <w:sz w:val="32"/>
          <w:szCs w:val="32"/>
          <w:lang w:val="en-US" w:eastAsia="zh-CN"/>
        </w:rPr>
        <w:t xml:space="preserve"> 牢记使命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主题教育</w:t>
      </w:r>
      <w:r>
        <w:rPr>
          <w:rFonts w:hint="eastAsia" w:ascii="仿宋_GB2312" w:hAnsi="仿宋_GB2312" w:eastAsia="仿宋_GB2312" w:cs="仿宋_GB2312"/>
          <w:sz w:val="32"/>
          <w:szCs w:val="32"/>
        </w:rPr>
        <w:t>为契机，</w:t>
      </w:r>
      <w:r>
        <w:rPr>
          <w:rFonts w:hint="eastAsia" w:ascii="仿宋_GB2312" w:hAnsi="仿宋_GB2312" w:eastAsia="仿宋_GB2312" w:cs="仿宋_GB2312"/>
          <w:sz w:val="32"/>
          <w:szCs w:val="32"/>
          <w:lang w:eastAsia="zh-CN"/>
        </w:rPr>
        <w:t>开展“加强学习、提升能力、服务大局专题活动，</w:t>
      </w:r>
      <w:r>
        <w:rPr>
          <w:rFonts w:hint="eastAsia" w:ascii="仿宋_GB2312" w:hAnsi="仿宋_GB2312" w:eastAsia="仿宋_GB2312" w:cs="仿宋_GB2312"/>
          <w:sz w:val="32"/>
          <w:szCs w:val="32"/>
        </w:rPr>
        <w:t>强化</w:t>
      </w:r>
      <w:r>
        <w:rPr>
          <w:rFonts w:hint="eastAsia" w:ascii="仿宋_GB2312" w:hAnsi="仿宋_GB2312" w:eastAsia="仿宋_GB2312" w:cs="仿宋_GB2312"/>
          <w:sz w:val="32"/>
          <w:szCs w:val="32"/>
          <w:lang w:eastAsia="zh-CN"/>
        </w:rPr>
        <w:t>干部职工，特别是</w:t>
      </w:r>
      <w:r>
        <w:rPr>
          <w:rFonts w:hint="eastAsia" w:ascii="仿宋_GB2312" w:hAnsi="仿宋_GB2312" w:eastAsia="仿宋_GB2312" w:cs="仿宋_GB2312"/>
          <w:sz w:val="32"/>
          <w:szCs w:val="32"/>
        </w:rPr>
        <w:t>党员干部队伍的</w:t>
      </w:r>
      <w:r>
        <w:rPr>
          <w:rFonts w:hint="eastAsia" w:ascii="仿宋_GB2312" w:hAnsi="仿宋_GB2312" w:eastAsia="仿宋_GB2312" w:cs="仿宋_GB2312"/>
          <w:sz w:val="32"/>
          <w:szCs w:val="32"/>
          <w:lang w:eastAsia="zh-CN"/>
        </w:rPr>
        <w:t>素质、</w:t>
      </w:r>
      <w:r>
        <w:rPr>
          <w:rFonts w:hint="eastAsia" w:ascii="仿宋_GB2312" w:hAnsi="仿宋_GB2312" w:eastAsia="仿宋_GB2312" w:cs="仿宋_GB2312"/>
          <w:sz w:val="32"/>
          <w:szCs w:val="32"/>
        </w:rPr>
        <w:t>修养、</w:t>
      </w:r>
      <w:r>
        <w:rPr>
          <w:rFonts w:hint="eastAsia" w:ascii="仿宋_GB2312" w:hAnsi="仿宋_GB2312" w:eastAsia="仿宋_GB2312" w:cs="仿宋_GB2312"/>
          <w:sz w:val="32"/>
          <w:szCs w:val="32"/>
          <w:lang w:eastAsia="zh-CN"/>
        </w:rPr>
        <w:t>能力；</w:t>
      </w:r>
      <w:r>
        <w:rPr>
          <w:rFonts w:hint="eastAsia" w:ascii="仿宋_GB2312" w:hAnsi="仿宋_GB2312" w:eastAsia="仿宋_GB2312" w:cs="仿宋_GB2312"/>
          <w:sz w:val="32"/>
          <w:szCs w:val="32"/>
        </w:rPr>
        <w:t>开展“抓思想，促廉政”系列活动，全台未出现违反“八项规定”和新闻职业道德的违规违纪行为。开展新闻从业人员职业道德</w:t>
      </w:r>
      <w:r>
        <w:rPr>
          <w:rFonts w:hint="eastAsia" w:ascii="仿宋_GB2312" w:hAnsi="仿宋_GB2312" w:eastAsia="仿宋_GB2312" w:cs="仿宋_GB2312"/>
          <w:sz w:val="32"/>
          <w:szCs w:val="32"/>
          <w:lang w:eastAsia="zh-CN"/>
        </w:rPr>
        <w:t>教育</w:t>
      </w:r>
      <w:r>
        <w:rPr>
          <w:rFonts w:hint="eastAsia" w:ascii="仿宋_GB2312" w:hAnsi="仿宋_GB2312" w:eastAsia="仿宋_GB2312" w:cs="仿宋_GB2312"/>
          <w:sz w:val="32"/>
          <w:szCs w:val="32"/>
        </w:rPr>
        <w:t>，增强自身思想政治、职业道德修养和文明礼貌修养，自觉维护</w:t>
      </w:r>
      <w:r>
        <w:rPr>
          <w:rFonts w:hint="eastAsia" w:ascii="仿宋_GB2312" w:hAnsi="仿宋_GB2312" w:eastAsia="仿宋_GB2312" w:cs="仿宋_GB2312"/>
          <w:sz w:val="32"/>
          <w:szCs w:val="32"/>
          <w:lang w:eastAsia="zh-CN"/>
        </w:rPr>
        <w:t>融媒体</w:t>
      </w:r>
      <w:r>
        <w:rPr>
          <w:rFonts w:hint="eastAsia" w:ascii="仿宋_GB2312" w:hAnsi="仿宋_GB2312" w:eastAsia="仿宋_GB2312" w:cs="仿宋_GB2312"/>
          <w:sz w:val="32"/>
          <w:szCs w:val="32"/>
        </w:rPr>
        <w:t>整体形象。</w:t>
      </w:r>
      <w:r>
        <w:rPr>
          <w:rFonts w:hint="eastAsia" w:ascii="仿宋_GB2312" w:hAnsi="仿宋_GB2312" w:eastAsia="仿宋_GB2312" w:cs="仿宋_GB2312"/>
          <w:b/>
          <w:bCs/>
          <w:sz w:val="32"/>
          <w:szCs w:val="32"/>
        </w:rPr>
        <w:t>二是增强干部业务能力。</w:t>
      </w:r>
      <w:r>
        <w:rPr>
          <w:rFonts w:hint="eastAsia" w:ascii="仿宋_GB2312" w:hAnsi="仿宋_GB2312" w:eastAsia="仿宋_GB2312" w:cs="仿宋_GB2312"/>
          <w:sz w:val="32"/>
          <w:szCs w:val="32"/>
          <w:lang w:eastAsia="zh-CN"/>
        </w:rPr>
        <w:t>建立健全学习培训制度，与浙江温州三县、绵阳三台融媒体中心、四川日报驻阿坝记者站、阿坝新闻藏语频道达成培训学习协议；</w:t>
      </w:r>
      <w:r>
        <w:rPr>
          <w:rFonts w:hint="eastAsia" w:ascii="仿宋_GB2312" w:hAnsi="仿宋_GB2312" w:eastAsia="仿宋_GB2312" w:cs="仿宋_GB2312"/>
          <w:sz w:val="32"/>
          <w:szCs w:val="32"/>
        </w:rPr>
        <w:t>坚持每周召开一次新闻阅评和业务研讨会，利用上级媒体记者来县采访机会派人跟班学习，开阔视野，更新观念，提升</w:t>
      </w:r>
      <w:r>
        <w:rPr>
          <w:rFonts w:hint="eastAsia" w:ascii="仿宋_GB2312" w:hAnsi="仿宋_GB2312" w:eastAsia="仿宋_GB2312" w:cs="仿宋_GB2312"/>
          <w:sz w:val="32"/>
          <w:szCs w:val="32"/>
          <w:lang w:eastAsia="zh-CN"/>
        </w:rPr>
        <w:t>业务水准</w:t>
      </w:r>
      <w:r>
        <w:rPr>
          <w:rFonts w:hint="eastAsia" w:ascii="仿宋_GB2312" w:hAnsi="仿宋_GB2312" w:eastAsia="仿宋_GB2312" w:cs="仿宋_GB2312"/>
          <w:sz w:val="32"/>
          <w:szCs w:val="32"/>
        </w:rPr>
        <w:t>，从思想上、技术上彻底改变新闻从业人员的观念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三是调整内设机构。</w:t>
      </w:r>
      <w:r>
        <w:rPr>
          <w:rFonts w:hint="eastAsia" w:ascii="仿宋_GB2312" w:hAnsi="仿宋_GB2312" w:eastAsia="仿宋_GB2312" w:cs="仿宋_GB2312"/>
          <w:sz w:val="32"/>
          <w:szCs w:val="32"/>
        </w:rPr>
        <w:t>围绕打造“全媒体中心”、提升宣传服务能力这一目标，将原来的</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个部门改设为</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个内设机构</w:t>
      </w:r>
      <w:r>
        <w:rPr>
          <w:rFonts w:hint="default" w:ascii="仿宋_GB2312" w:hAnsi="仿宋_GB2312" w:eastAsia="仿宋_GB2312" w:cs="仿宋_GB2312"/>
          <w:sz w:val="32"/>
          <w:szCs w:val="32"/>
          <w:lang w:val="en-US"/>
        </w:rPr>
        <w:t>,</w:t>
      </w:r>
      <w:r>
        <w:rPr>
          <w:rFonts w:hint="eastAsia" w:ascii="仿宋_GB2312" w:hAnsi="仿宋_GB2312" w:eastAsia="仿宋_GB2312" w:cs="仿宋_GB2312"/>
          <w:sz w:val="32"/>
          <w:szCs w:val="32"/>
        </w:rPr>
        <w:t>强化功能定位、提高工作效率。</w:t>
      </w:r>
      <w:r>
        <w:rPr>
          <w:rFonts w:hint="eastAsia" w:ascii="仿宋_GB2312" w:hAnsi="仿宋_GB2312" w:eastAsia="仿宋_GB2312" w:cs="仿宋_GB2312"/>
          <w:sz w:val="32"/>
          <w:szCs w:val="32"/>
          <w:lang w:eastAsia="zh-CN"/>
        </w:rPr>
        <w:t>采取采编播混岗制度，</w:t>
      </w:r>
      <w:r>
        <w:rPr>
          <w:rFonts w:hint="eastAsia" w:ascii="仿宋_GB2312" w:hAnsi="仿宋_GB2312" w:eastAsia="仿宋_GB2312" w:cs="仿宋_GB2312"/>
          <w:sz w:val="32"/>
          <w:szCs w:val="32"/>
        </w:rPr>
        <w:t>加速人员转型融合，做到一专多能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干部职工</w:t>
      </w:r>
      <w:r>
        <w:rPr>
          <w:rFonts w:hint="eastAsia" w:ascii="仿宋_GB2312" w:hAnsi="仿宋_GB2312" w:eastAsia="仿宋_GB2312" w:cs="仿宋_GB2312"/>
          <w:sz w:val="32"/>
          <w:szCs w:val="32"/>
          <w:lang w:eastAsia="zh-CN"/>
        </w:rPr>
        <w:t>综合</w:t>
      </w:r>
      <w:r>
        <w:rPr>
          <w:rFonts w:hint="eastAsia" w:ascii="仿宋_GB2312" w:hAnsi="仿宋_GB2312" w:eastAsia="仿宋_GB2312" w:cs="仿宋_GB2312"/>
          <w:sz w:val="32"/>
          <w:szCs w:val="32"/>
        </w:rPr>
        <w:t>业务能力</w:t>
      </w:r>
      <w:r>
        <w:rPr>
          <w:rFonts w:hint="eastAsia" w:ascii="仿宋_GB2312" w:hAnsi="仿宋_GB2312" w:eastAsia="仿宋_GB2312" w:cs="仿宋_GB2312"/>
          <w:sz w:val="32"/>
          <w:szCs w:val="32"/>
          <w:lang w:eastAsia="zh-CN"/>
        </w:rPr>
        <w:t>明显</w:t>
      </w:r>
      <w:r>
        <w:rPr>
          <w:rFonts w:hint="eastAsia" w:ascii="仿宋_GB2312" w:hAnsi="仿宋_GB2312" w:eastAsia="仿宋_GB2312" w:cs="仿宋_GB2312"/>
          <w:sz w:val="32"/>
          <w:szCs w:val="32"/>
        </w:rPr>
        <w:t>提升。</w:t>
      </w:r>
      <w:r>
        <w:rPr>
          <w:rFonts w:hint="eastAsia" w:ascii="仿宋_GB2312" w:hAnsi="仿宋_GB2312" w:eastAsia="仿宋_GB2312" w:cs="仿宋_GB2312"/>
          <w:b/>
          <w:bCs/>
          <w:sz w:val="32"/>
          <w:szCs w:val="32"/>
        </w:rPr>
        <w:t>四是建立健全规章制度。</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全员参会</w:t>
      </w:r>
      <w:r>
        <w:rPr>
          <w:rFonts w:hint="eastAsia" w:ascii="仿宋_GB2312" w:hAnsi="仿宋_GB2312" w:eastAsia="仿宋_GB2312" w:cs="仿宋_GB2312"/>
          <w:sz w:val="32"/>
          <w:szCs w:val="32"/>
        </w:rPr>
        <w:t>议事制度，对设备</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执行“使用者不采购、采购者不议价、议价者不付款”的“三不”制度，内部管理更加民主、科学、规范。</w:t>
      </w:r>
      <w:r>
        <w:rPr>
          <w:rFonts w:hint="eastAsia" w:ascii="仿宋_GB2312" w:hAnsi="仿宋_GB2312" w:eastAsia="仿宋_GB2312" w:cs="仿宋_GB2312"/>
          <w:color w:val="000000"/>
          <w:sz w:val="32"/>
          <w:szCs w:val="32"/>
        </w:rPr>
        <w:t>延伸改革</w:t>
      </w:r>
      <w:r>
        <w:rPr>
          <w:rFonts w:hint="eastAsia" w:ascii="仿宋_GB2312" w:hAnsi="仿宋_GB2312" w:eastAsia="仿宋_GB2312" w:cs="仿宋_GB2312"/>
          <w:color w:val="000000"/>
          <w:sz w:val="32"/>
          <w:szCs w:val="32"/>
          <w:lang w:eastAsia="zh-CN"/>
        </w:rPr>
        <w:t>目标激励机制</w:t>
      </w:r>
      <w:r>
        <w:rPr>
          <w:rFonts w:hint="eastAsia" w:ascii="仿宋_GB2312" w:hAnsi="仿宋_GB2312" w:eastAsia="仿宋_GB2312" w:cs="仿宋_GB2312"/>
          <w:color w:val="000000"/>
          <w:sz w:val="32"/>
          <w:szCs w:val="32"/>
        </w:rPr>
        <w:t>，极大调动人员的工作积极性和创造性</w:t>
      </w:r>
      <w:r>
        <w:rPr>
          <w:rFonts w:hint="eastAsia" w:ascii="仿宋_GB2312" w:hAnsi="仿宋_GB2312" w:eastAsia="仿宋_GB2312" w:cs="仿宋_GB2312"/>
          <w:color w:val="000000"/>
          <w:sz w:val="32"/>
          <w:szCs w:val="32"/>
          <w:lang w:eastAsia="zh-CN"/>
        </w:rPr>
        <w:t>。</w:t>
      </w:r>
    </w:p>
    <w:p>
      <w:pPr>
        <w:keepNext w:val="0"/>
        <w:keepLines w:val="0"/>
        <w:pageBreakBefore w:val="0"/>
        <w:numPr>
          <w:ilvl w:val="0"/>
          <w:numId w:val="0"/>
        </w:numPr>
        <w:kinsoku/>
        <w:wordWrap/>
        <w:overflowPunct/>
        <w:topLinePunct w:val="0"/>
        <w:autoSpaceDE/>
        <w:autoSpaceDN/>
        <w:bidi w:val="0"/>
        <w:spacing w:line="576" w:lineRule="exact"/>
        <w:ind w:left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宣传全面、</w:t>
      </w:r>
      <w:r>
        <w:rPr>
          <w:rFonts w:hint="eastAsia" w:ascii="楷体" w:hAnsi="楷体" w:eastAsia="楷体" w:cs="楷体"/>
          <w:b/>
          <w:bCs/>
          <w:sz w:val="32"/>
          <w:szCs w:val="32"/>
          <w:lang w:eastAsia="zh-CN"/>
        </w:rPr>
        <w:t>融和发展</w:t>
      </w:r>
    </w:p>
    <w:p>
      <w:pPr>
        <w:keepNext w:val="0"/>
        <w:keepLines w:val="0"/>
        <w:pageBreakBefore w:val="0"/>
        <w:numPr>
          <w:ilvl w:val="0"/>
          <w:numId w:val="0"/>
        </w:numPr>
        <w:kinsoku/>
        <w:wordWrap/>
        <w:overflowPunct/>
        <w:topLinePunct w:val="0"/>
        <w:autoSpaceDE/>
        <w:autoSpaceDN/>
        <w:bidi w:val="0"/>
        <w:spacing w:line="576" w:lineRule="exact"/>
        <w:ind w:left="0"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站在县委、县政府确立的工作思路的高度，围绕重点工作，</w:t>
      </w:r>
      <w:r>
        <w:rPr>
          <w:rFonts w:hint="eastAsia" w:ascii="仿宋_GB2312" w:hAnsi="仿宋_GB2312" w:eastAsia="仿宋_GB2312" w:cs="仿宋_GB2312"/>
          <w:sz w:val="32"/>
          <w:szCs w:val="32"/>
          <w:lang w:eastAsia="zh-CN"/>
        </w:rPr>
        <w:t>在电视、微红原上相继推出脱贫攻坚、民族团结、主题教育、生态保护、环境整治、党风廉政、改革开放</w:t>
      </w:r>
      <w:r>
        <w:rPr>
          <w:rFonts w:hint="eastAsia" w:ascii="仿宋_GB2312" w:hAnsi="仿宋_GB2312" w:eastAsia="仿宋_GB2312" w:cs="仿宋_GB2312"/>
          <w:sz w:val="32"/>
          <w:szCs w:val="32"/>
          <w:lang w:val="en-US" w:eastAsia="zh-CN"/>
        </w:rPr>
        <w:t>40周年、建国70周年等系列报道</w:t>
      </w:r>
      <w:r>
        <w:rPr>
          <w:rFonts w:hint="eastAsia" w:ascii="仿宋_GB2312" w:hAnsi="仿宋_GB2312" w:eastAsia="仿宋_GB2312" w:cs="仿宋_GB2312"/>
          <w:sz w:val="32"/>
          <w:szCs w:val="32"/>
          <w:lang w:eastAsia="zh-CN"/>
        </w:rPr>
        <w:t>，在全县引起强烈反响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创建雅克音乐季联合采访机制，建立雅克音乐季通稿微信群，实现安排记者全程跟拍央视专题《重走红军路》，再现历史</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在县“</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会”</w:t>
      </w:r>
      <w:r>
        <w:rPr>
          <w:rFonts w:hint="eastAsia" w:ascii="仿宋_GB2312" w:hAnsi="仿宋_GB2312" w:eastAsia="仿宋_GB2312" w:cs="仿宋_GB2312"/>
          <w:sz w:val="32"/>
          <w:szCs w:val="32"/>
          <w:lang w:eastAsia="zh-CN"/>
        </w:rPr>
        <w:t>和全州经济工作会</w:t>
      </w:r>
      <w:r>
        <w:rPr>
          <w:rFonts w:hint="eastAsia" w:ascii="仿宋_GB2312" w:hAnsi="仿宋_GB2312" w:eastAsia="仿宋_GB2312" w:cs="仿宋_GB2312"/>
          <w:sz w:val="32"/>
          <w:szCs w:val="32"/>
        </w:rPr>
        <w:t>期间，采用“首次全媒体介入”“首次全</w:t>
      </w:r>
      <w:r>
        <w:rPr>
          <w:rFonts w:hint="eastAsia" w:ascii="仿宋_GB2312" w:hAnsi="仿宋_GB2312" w:eastAsia="仿宋_GB2312" w:cs="仿宋_GB2312"/>
          <w:sz w:val="32"/>
          <w:szCs w:val="32"/>
          <w:lang w:eastAsia="zh-CN"/>
        </w:rPr>
        <w:t>程</w:t>
      </w:r>
      <w:r>
        <w:rPr>
          <w:rFonts w:hint="eastAsia" w:ascii="仿宋_GB2312" w:hAnsi="仿宋_GB2312" w:eastAsia="仿宋_GB2312" w:cs="仿宋_GB2312"/>
          <w:sz w:val="32"/>
          <w:szCs w:val="32"/>
        </w:rPr>
        <w:t>实况录像”“首次</w:t>
      </w:r>
      <w:r>
        <w:rPr>
          <w:rFonts w:hint="eastAsia" w:ascii="仿宋_GB2312" w:hAnsi="仿宋_GB2312" w:eastAsia="仿宋_GB2312" w:cs="仿宋_GB2312"/>
          <w:sz w:val="32"/>
          <w:szCs w:val="32"/>
          <w:lang w:eastAsia="zh-CN"/>
        </w:rPr>
        <w:t>全景出镜</w:t>
      </w:r>
      <w:r>
        <w:rPr>
          <w:rFonts w:hint="eastAsia" w:ascii="仿宋_GB2312" w:hAnsi="仿宋_GB2312" w:eastAsia="仿宋_GB2312" w:cs="仿宋_GB2312"/>
          <w:sz w:val="32"/>
          <w:szCs w:val="32"/>
        </w:rPr>
        <w:t>”的宣传新路子，实现了建台以来开历史先河的宣传方式。</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立足大数据运用，建立统一指挥调度、高效整合采编资源、融合运用多媒体技术、适应多介质新闻生产的新型多功能一体化采编平台，</w:t>
      </w:r>
      <w:r>
        <w:rPr>
          <w:rFonts w:hint="eastAsia" w:ascii="仿宋_GB2312" w:hAnsi="仿宋_GB2312" w:eastAsia="仿宋_GB2312" w:cs="仿宋_GB2312"/>
          <w:sz w:val="32"/>
          <w:szCs w:val="32"/>
          <w:lang w:eastAsia="zh-CN"/>
        </w:rPr>
        <w:t>微红原和红原电视台的采编播</w:t>
      </w:r>
      <w:r>
        <w:rPr>
          <w:rFonts w:hint="eastAsia" w:ascii="仿宋_GB2312" w:hAnsi="仿宋_GB2312" w:eastAsia="仿宋_GB2312" w:cs="仿宋_GB2312"/>
          <w:sz w:val="32"/>
          <w:szCs w:val="32"/>
        </w:rPr>
        <w:t>实现新闻一次采集、新闻产品多种生成，让服务更为快捷、更具有时效性。</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lang w:eastAsia="zh-CN"/>
        </w:rPr>
        <w:t>外宣注重提质提量。</w:t>
      </w:r>
      <w:r>
        <w:rPr>
          <w:rFonts w:hint="eastAsia" w:ascii="仿宋_GB2312" w:hAnsi="仿宋_GB2312" w:eastAsia="仿宋_GB2312" w:cs="仿宋_GB2312"/>
          <w:sz w:val="32"/>
          <w:szCs w:val="32"/>
        </w:rPr>
        <w:t>中心始终坚持</w:t>
      </w:r>
      <w:r>
        <w:rPr>
          <w:rFonts w:hint="eastAsia" w:ascii="仿宋_GB2312" w:hAnsi="仿宋_GB2312" w:eastAsia="仿宋_GB2312" w:cs="仿宋_GB2312"/>
          <w:sz w:val="32"/>
          <w:szCs w:val="32"/>
          <w:lang w:eastAsia="zh-CN"/>
        </w:rPr>
        <w:t>联合</w:t>
      </w:r>
      <w:r>
        <w:rPr>
          <w:rFonts w:hint="eastAsia" w:ascii="仿宋_GB2312" w:hAnsi="仿宋_GB2312" w:eastAsia="仿宋_GB2312" w:cs="仿宋_GB2312"/>
          <w:sz w:val="32"/>
          <w:szCs w:val="32"/>
        </w:rPr>
        <w:t>稳定鼓劲的方针，紧贴县委县</w:t>
      </w:r>
      <w:r>
        <w:rPr>
          <w:rFonts w:hint="eastAsia" w:ascii="仿宋_GB2312" w:hAnsi="仿宋_GB2312" w:eastAsia="仿宋_GB2312" w:cs="仿宋_GB2312"/>
          <w:sz w:val="32"/>
          <w:szCs w:val="32"/>
          <w:lang w:eastAsia="zh-CN"/>
        </w:rPr>
        <w:t>政府</w:t>
      </w:r>
      <w:r>
        <w:rPr>
          <w:rFonts w:hint="eastAsia" w:ascii="仿宋_GB2312" w:hAnsi="仿宋_GB2312" w:eastAsia="仿宋_GB2312" w:cs="仿宋_GB2312"/>
          <w:sz w:val="32"/>
          <w:szCs w:val="32"/>
        </w:rPr>
        <w:t>的中心工作，精心谋划新闻选题、选准报道方法，并实时精确、全面深入地报道我县经济和社会事业成长的新思路、新举措、新范例、新成效，以成长晋升自身形象，圆满完成了上级下达的</w:t>
      </w:r>
      <w:r>
        <w:rPr>
          <w:rFonts w:hint="eastAsia" w:ascii="仿宋_GB2312" w:hAnsi="仿宋_GB2312" w:eastAsia="仿宋_GB2312" w:cs="仿宋_GB2312"/>
          <w:sz w:val="32"/>
          <w:szCs w:val="32"/>
          <w:lang w:eastAsia="zh-CN"/>
        </w:rPr>
        <w:t>对外宣传</w:t>
      </w:r>
      <w:r>
        <w:rPr>
          <w:rFonts w:hint="eastAsia" w:ascii="仿宋_GB2312" w:hAnsi="仿宋_GB2312" w:eastAsia="仿宋_GB2312" w:cs="仿宋_GB2312"/>
          <w:sz w:val="32"/>
          <w:szCs w:val="32"/>
        </w:rPr>
        <w:t>任务。截止目前，完成中央电视台</w:t>
      </w:r>
      <w:r>
        <w:rPr>
          <w:rFonts w:hint="eastAsia" w:ascii="仿宋_GB2312" w:hAnsi="仿宋_GB2312" w:eastAsia="仿宋_GB2312" w:cs="仿宋_GB2312"/>
          <w:sz w:val="32"/>
          <w:szCs w:val="32"/>
          <w:lang w:val="en-US" w:eastAsia="zh-CN"/>
        </w:rPr>
        <w:t>4条、川台12条、康巴卫视18条、浙江卫视2条、安多卫视10条、州台39条、州藏语22条。我台播出汉语新闻294条98期，藏语新闻286条96期。制作《敬信勤新》《环境整治》《现代草原畜牧业》《飞跃变迁》《祖国 我对你说》《浙红援建纪实》等10部专题片。</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通过提升干部职工业务水平，内宣外宣全面发力。今年</w:t>
      </w:r>
      <w:r>
        <w:rPr>
          <w:rFonts w:hint="eastAsia" w:ascii="仿宋_GB2312" w:hAnsi="仿宋_GB2312" w:eastAsia="仿宋_GB2312" w:cs="仿宋_GB2312"/>
          <w:sz w:val="32"/>
          <w:szCs w:val="32"/>
          <w:lang w:eastAsia="zh-CN"/>
        </w:rPr>
        <w:t>宣传</w:t>
      </w:r>
      <w:r>
        <w:rPr>
          <w:rFonts w:hint="eastAsia" w:ascii="仿宋_GB2312" w:hAnsi="仿宋_GB2312" w:eastAsia="仿宋_GB2312" w:cs="仿宋_GB2312"/>
          <w:sz w:val="32"/>
          <w:szCs w:val="32"/>
        </w:rPr>
        <w:t>率明显提高，全台内宣外宣成绩</w:t>
      </w:r>
      <w:r>
        <w:rPr>
          <w:rFonts w:hint="eastAsia" w:ascii="仿宋_GB2312" w:hAnsi="仿宋_GB2312" w:eastAsia="仿宋_GB2312" w:cs="仿宋_GB2312"/>
          <w:sz w:val="32"/>
          <w:szCs w:val="32"/>
          <w:lang w:eastAsia="zh-CN"/>
        </w:rPr>
        <w:t>有所</w:t>
      </w:r>
      <w:r>
        <w:rPr>
          <w:rFonts w:hint="eastAsia" w:ascii="仿宋_GB2312" w:hAnsi="仿宋_GB2312" w:eastAsia="仿宋_GB2312" w:cs="仿宋_GB2312"/>
          <w:sz w:val="32"/>
          <w:szCs w:val="32"/>
        </w:rPr>
        <w:t>提升。</w:t>
      </w:r>
      <w:r>
        <w:rPr>
          <w:rFonts w:hint="eastAsia" w:ascii="仿宋_GB2312" w:hAnsi="仿宋_GB2312" w:eastAsia="仿宋_GB2312" w:cs="仿宋_GB2312"/>
          <w:sz w:val="32"/>
          <w:szCs w:val="32"/>
          <w:lang w:eastAsia="zh-CN"/>
        </w:rPr>
        <w:t>微红原创稿</w:t>
      </w:r>
      <w:r>
        <w:rPr>
          <w:rFonts w:hint="eastAsia" w:ascii="仿宋_GB2312" w:hAnsi="仿宋_GB2312" w:eastAsia="仿宋_GB2312" w:cs="仿宋_GB2312"/>
          <w:sz w:val="32"/>
          <w:szCs w:val="32"/>
          <w:lang w:val="en-US" w:eastAsia="zh-CN"/>
        </w:rPr>
        <w:t>650条，</w:t>
      </w:r>
      <w:r>
        <w:rPr>
          <w:rFonts w:hint="eastAsia" w:ascii="仿宋_GB2312" w:hAnsi="仿宋_GB2312" w:eastAsia="仿宋_GB2312" w:cs="仿宋_GB2312"/>
          <w:sz w:val="32"/>
          <w:szCs w:val="32"/>
        </w:rPr>
        <w:t>点击率超</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万次</w:t>
      </w:r>
      <w:r>
        <w:rPr>
          <w:rFonts w:hint="eastAsia" w:ascii="仿宋_GB2312" w:hAnsi="仿宋_GB2312" w:eastAsia="仿宋_GB2312" w:cs="仿宋_GB2312"/>
          <w:sz w:val="32"/>
          <w:szCs w:val="32"/>
          <w:lang w:eastAsia="zh-CN"/>
        </w:rPr>
        <w:t>的有</w:t>
      </w:r>
      <w:r>
        <w:rPr>
          <w:rFonts w:hint="eastAsia" w:ascii="仿宋_GB2312" w:hAnsi="仿宋_GB2312" w:eastAsia="仿宋_GB2312" w:cs="仿宋_GB2312"/>
          <w:sz w:val="32"/>
          <w:szCs w:val="32"/>
          <w:lang w:val="en-US" w:eastAsia="zh-CN"/>
        </w:rPr>
        <w:t>20余条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参加</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新闻节目创优评选会，</w:t>
      </w:r>
      <w:r>
        <w:rPr>
          <w:rFonts w:hint="eastAsia" w:ascii="仿宋_GB2312" w:hAnsi="仿宋_GB2312" w:eastAsia="仿宋_GB2312" w:cs="仿宋_GB2312"/>
          <w:sz w:val="32"/>
          <w:szCs w:val="32"/>
          <w:lang w:val="en-US" w:eastAsia="zh-CN"/>
        </w:rPr>
        <w:t xml:space="preserve">12 </w:t>
      </w:r>
      <w:r>
        <w:rPr>
          <w:rFonts w:hint="eastAsia" w:ascii="仿宋_GB2312" w:hAnsi="仿宋_GB2312" w:eastAsia="仿宋_GB2312" w:cs="仿宋_GB2312"/>
          <w:sz w:val="32"/>
          <w:szCs w:val="32"/>
        </w:rPr>
        <w:t>件作品</w:t>
      </w:r>
      <w:r>
        <w:rPr>
          <w:rFonts w:hint="eastAsia" w:ascii="仿宋_GB2312" w:hAnsi="仿宋_GB2312" w:eastAsia="仿宋_GB2312" w:cs="仿宋_GB2312"/>
          <w:sz w:val="32"/>
          <w:szCs w:val="32"/>
          <w:lang w:eastAsia="zh-CN"/>
        </w:rPr>
        <w:t>全部获奖，获奖等次和奖件次为历年来</w:t>
      </w:r>
      <w:r>
        <w:rPr>
          <w:rFonts w:hint="eastAsia" w:ascii="仿宋_GB2312" w:hAnsi="仿宋_GB2312" w:eastAsia="仿宋_GB2312" w:cs="仿宋_GB2312"/>
          <w:sz w:val="32"/>
          <w:szCs w:val="32"/>
          <w:lang w:val="en-US" w:eastAsia="zh-CN"/>
        </w:rPr>
        <w:t>新高</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全</w:t>
      </w:r>
      <w:r>
        <w:rPr>
          <w:rFonts w:hint="eastAsia" w:ascii="仿宋_GB2312" w:hAnsi="仿宋_GB2312" w:eastAsia="仿宋_GB2312" w:cs="仿宋_GB2312"/>
          <w:sz w:val="32"/>
          <w:szCs w:val="32"/>
        </w:rPr>
        <w:t>县的经济社会转型跨越发展谋势造势、为讲好</w:t>
      </w:r>
      <w:r>
        <w:rPr>
          <w:rFonts w:hint="eastAsia" w:ascii="仿宋_GB2312" w:hAnsi="仿宋_GB2312" w:eastAsia="仿宋_GB2312" w:cs="仿宋_GB2312"/>
          <w:sz w:val="32"/>
          <w:szCs w:val="32"/>
          <w:lang w:eastAsia="zh-CN"/>
        </w:rPr>
        <w:t>红原</w:t>
      </w:r>
      <w:r>
        <w:rPr>
          <w:rFonts w:hint="eastAsia" w:ascii="仿宋_GB2312" w:hAnsi="仿宋_GB2312" w:eastAsia="仿宋_GB2312" w:cs="仿宋_GB2312"/>
          <w:sz w:val="32"/>
          <w:szCs w:val="32"/>
        </w:rPr>
        <w:t xml:space="preserve">故事营造了浓厚的氛围。  </w:t>
      </w:r>
    </w:p>
    <w:p>
      <w:pPr>
        <w:keepNext w:val="0"/>
        <w:keepLines w:val="0"/>
        <w:pageBreakBefore w:val="0"/>
        <w:kinsoku/>
        <w:wordWrap/>
        <w:overflowPunct/>
        <w:topLinePunct w:val="0"/>
        <w:autoSpaceDE/>
        <w:autoSpaceDN/>
        <w:bidi w:val="0"/>
        <w:spacing w:line="576" w:lineRule="exact"/>
        <w:ind w:firstLine="321" w:firstLineChars="1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（四）两联一进，扶贫得力</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融媒体中心</w:t>
      </w:r>
      <w:r>
        <w:rPr>
          <w:rFonts w:hint="eastAsia" w:ascii="仿宋_GB2312" w:hAnsi="仿宋_GB2312" w:eastAsia="仿宋_GB2312" w:cs="仿宋_GB2312"/>
          <w:sz w:val="32"/>
          <w:szCs w:val="32"/>
        </w:rPr>
        <w:t>高度重视，成立由台长为组长，副台长为成员的领导小组，下设脱贫攻坚办公室。在领导小组的带头领导下，积极联系村“两委”，做好政策宣讲与积极引导产业脱贫工作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派驻刷经寺广播站站长邱华为驻村干部</w:t>
      </w:r>
      <w:r>
        <w:rPr>
          <w:rFonts w:hint="eastAsia" w:ascii="仿宋_GB2312" w:hAnsi="仿宋_GB2312" w:eastAsia="仿宋_GB2312" w:cs="仿宋_GB2312"/>
          <w:sz w:val="32"/>
          <w:szCs w:val="32"/>
          <w:lang w:eastAsia="zh-CN"/>
        </w:rPr>
        <w:t>，帮扶力量得到加强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联合村两委开展“庆七一全域无垃圾</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”活动，中心</w:t>
      </w:r>
      <w:r>
        <w:rPr>
          <w:rFonts w:hint="eastAsia" w:ascii="仿宋_GB2312" w:hAnsi="仿宋_GB2312" w:eastAsia="仿宋_GB2312" w:cs="仿宋_GB2312"/>
          <w:sz w:val="32"/>
          <w:szCs w:val="32"/>
          <w:lang w:val="en-US" w:eastAsia="zh-CN"/>
        </w:rPr>
        <w:t>20人参加活动。开展走村入户、慰问贫困户等活动。结合“不忘初心、牢记使命”主题教育深入基展，针对县级融媒体中心建设、基层广电发展、藏语播音等调研题目，开展调研活动。</w:t>
      </w:r>
    </w:p>
    <w:p>
      <w:pPr>
        <w:keepNext w:val="0"/>
        <w:keepLines w:val="0"/>
        <w:pageBreakBefore w:val="0"/>
        <w:kinsoku/>
        <w:wordWrap/>
        <w:overflowPunct/>
        <w:topLinePunct w:val="0"/>
        <w:autoSpaceDE/>
        <w:autoSpaceDN/>
        <w:bidi w:val="0"/>
        <w:spacing w:line="576" w:lineRule="exact"/>
        <w:ind w:firstLine="321" w:firstLineChars="1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（五）</w:t>
      </w:r>
      <w:r>
        <w:rPr>
          <w:rFonts w:hint="eastAsia" w:ascii="楷体" w:hAnsi="楷体" w:eastAsia="楷体" w:cs="楷体"/>
          <w:b/>
          <w:bCs/>
          <w:sz w:val="32"/>
          <w:szCs w:val="32"/>
        </w:rPr>
        <w:t>加强作风建设，以党建促业务</w:t>
      </w:r>
    </w:p>
    <w:p>
      <w:pPr>
        <w:keepNext w:val="0"/>
        <w:keepLines w:val="0"/>
        <w:pageBreakBefore w:val="0"/>
        <w:kinsoku/>
        <w:wordWrap/>
        <w:overflowPunct/>
        <w:topLinePunct w:val="0"/>
        <w:autoSpaceDE/>
        <w:autoSpaceDN/>
        <w:bidi w:val="0"/>
        <w:spacing w:line="576" w:lineRule="exact"/>
        <w:ind w:lef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召开座谈会、发放征求意见函、问卷调查的方式征求社会各界对融媒体中心在作风建设中存在的问题和不足，围绕服务意识不强、工作思路不宽、学习氛围不浓、工作纪律不严四个薄弱环节,制定整改措施, 建立学习激励与检查机制、落实首问负责制、完善信访工作制度、严格规范工作人员言行举止、加强机关作风建设；进一步抓好党风廉政建设和开展机关作风评议活动等制度。通过加强领导，层层落实机关作风 建设责任制，营造出了学习你追我赶，服务争先创优，作风严谨扎实，行为标准规范，团结奋进的良好氛围，有力地促进了各项工作再上新台阶。</w:t>
      </w:r>
    </w:p>
    <w:p>
      <w:pPr>
        <w:keepNext w:val="0"/>
        <w:keepLines w:val="0"/>
        <w:pageBreakBefore w:val="0"/>
        <w:kinsoku/>
        <w:wordWrap/>
        <w:overflowPunct/>
        <w:topLinePunct w:val="0"/>
        <w:autoSpaceDE/>
        <w:autoSpaceDN/>
        <w:bidi w:val="0"/>
        <w:spacing w:line="576" w:lineRule="exact"/>
        <w:ind w:firstLine="321" w:firstLineChars="1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（六）其他工作方面</w:t>
      </w:r>
    </w:p>
    <w:p>
      <w:pPr>
        <w:keepNext w:val="0"/>
        <w:keepLines w:val="0"/>
        <w:pageBreakBefore w:val="0"/>
        <w:numPr>
          <w:ilvl w:val="0"/>
          <w:numId w:val="0"/>
        </w:numPr>
        <w:kinsoku/>
        <w:wordWrap/>
        <w:overflowPunct/>
        <w:topLinePunct w:val="0"/>
        <w:autoSpaceDE/>
        <w:autoSpaceDN/>
        <w:bidi w:val="0"/>
        <w:spacing w:line="576"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将原有老机房内在使用的光纤、光缆、光发等重要设备搬迁至新机房统一管理使用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严格落实“谁主管，谁负责”原则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做到联络畅通、反应迅速、指挥有力、调度灵活。</w:t>
      </w:r>
      <w:r>
        <w:rPr>
          <w:rFonts w:hint="eastAsia" w:ascii="仿宋_GB2312" w:hAnsi="仿宋_GB2312" w:eastAsia="仿宋_GB2312" w:cs="仿宋_GB2312"/>
          <w:sz w:val="32"/>
          <w:szCs w:val="32"/>
          <w:lang w:eastAsia="zh-CN"/>
        </w:rPr>
        <w:t>确保国庆等重大节假日“三零”目标实现。</w:t>
      </w:r>
      <w:r>
        <w:rPr>
          <w:rFonts w:hint="eastAsia" w:ascii="仿宋_GB2312" w:hAnsi="仿宋_GB2312" w:eastAsia="仿宋_GB2312" w:cs="仿宋_GB2312"/>
          <w:sz w:val="32"/>
          <w:szCs w:val="32"/>
        </w:rPr>
        <w:t>设立扫黑除恶专项行动专栏，丰富充实专栏内容与报道手法，广泛宣传党组抓好“扫黑除恶”专项行动的决心、政策，动员广大人民群众检举揭发黑恶犯罪线索，揭露和孤立违法犯罪分子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大力宣传先进人物和典型事迹，及时宣传行动开展情况和工作成果，营造对黑恶势力“人人喊打”的良好氛围。坚持“三个强化”，</w:t>
      </w:r>
      <w:r>
        <w:rPr>
          <w:rFonts w:hint="eastAsia" w:ascii="仿宋_GB2312" w:hAnsi="仿宋_GB2312" w:eastAsia="仿宋_GB2312" w:cs="仿宋_GB2312"/>
          <w:sz w:val="32"/>
          <w:szCs w:val="32"/>
          <w:lang w:eastAsia="zh-CN"/>
        </w:rPr>
        <w:t>刷经寺镇色隆村、邛溪镇热戈寺</w:t>
      </w:r>
      <w:r>
        <w:rPr>
          <w:rFonts w:hint="eastAsia" w:ascii="仿宋_GB2312" w:hAnsi="仿宋_GB2312" w:eastAsia="仿宋_GB2312" w:cs="仿宋_GB2312"/>
          <w:sz w:val="32"/>
          <w:szCs w:val="32"/>
        </w:rPr>
        <w:t>开展工作</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val="en-US" w:eastAsia="zh-CN"/>
        </w:rPr>
        <w:t>。</w:t>
      </w:r>
    </w:p>
    <w:p>
      <w:pPr>
        <w:pStyle w:val="3"/>
        <w:rPr>
          <w:rStyle w:val="25"/>
          <w:b w:val="0"/>
          <w:bCs w:val="0"/>
        </w:rPr>
      </w:pPr>
      <w:bookmarkStart w:id="32" w:name="_Toc15396601"/>
      <w:bookmarkStart w:id="33" w:name="_Toc23625"/>
      <w:bookmarkStart w:id="34" w:name="_Toc15377200"/>
      <w:bookmarkStart w:id="35" w:name="_Toc822"/>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32"/>
      <w:bookmarkEnd w:id="33"/>
      <w:bookmarkEnd w:id="34"/>
      <w:bookmarkEnd w:id="35"/>
    </w:p>
    <w:p>
      <w:pPr>
        <w:bidi w:val="0"/>
        <w:ind w:firstLine="640" w:firstLineChars="200"/>
        <w:rPr>
          <w:rFonts w:ascii="仿宋" w:hAnsi="仿宋" w:eastAsia="仿宋"/>
          <w:color w:val="000000"/>
          <w:kern w:val="0"/>
          <w:sz w:val="32"/>
          <w:szCs w:val="32"/>
        </w:rPr>
      </w:pPr>
      <w:r>
        <w:rPr>
          <w:rFonts w:hint="eastAsia" w:ascii="仿宋" w:hAnsi="仿宋" w:eastAsia="仿宋"/>
          <w:sz w:val="32"/>
          <w:szCs w:val="32"/>
          <w:lang w:eastAsia="zh-CN"/>
        </w:rPr>
        <w:t>我单位为财政补助拨款的事业单位，</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r>
        <w:rPr>
          <w:rFonts w:hint="eastAsia" w:ascii="仿宋_GB2312" w:hAnsi="仿宋_GB2312" w:eastAsia="仿宋_GB2312" w:cs="仿宋_GB2312"/>
          <w:bCs/>
          <w:sz w:val="32"/>
          <w:szCs w:val="32"/>
        </w:rPr>
        <w:t>截止201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年底</w:t>
      </w:r>
      <w:r>
        <w:rPr>
          <w:rFonts w:hint="eastAsia" w:ascii="仿宋_GB2312" w:hAnsi="仿宋_GB2312" w:eastAsia="仿宋_GB2312" w:cs="仿宋_GB2312"/>
          <w:sz w:val="32"/>
          <w:szCs w:val="32"/>
        </w:rPr>
        <w:t>事业编制34名，其中，主任1名，副主任2名（分别兼任新闻采集中心、新闻信息编辑中心负责人）；股级领导职数7名。</w:t>
      </w:r>
    </w:p>
    <w:p>
      <w:pPr>
        <w:pStyle w:val="2"/>
        <w:ind w:right="440"/>
        <w:jc w:val="right"/>
        <w:rPr>
          <w:rStyle w:val="24"/>
          <w:rFonts w:ascii="黑体" w:hAnsi="黑体" w:eastAsia="黑体"/>
          <w:b w:val="0"/>
          <w:bCs w:val="0"/>
        </w:rPr>
      </w:pPr>
      <w:bookmarkStart w:id="36" w:name="_Toc15396602"/>
      <w:bookmarkStart w:id="37" w:name="_Toc5105"/>
      <w:bookmarkStart w:id="38" w:name="_Toc15377204"/>
      <w:bookmarkStart w:id="39" w:name="_Toc21183"/>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36"/>
      <w:bookmarkEnd w:id="37"/>
      <w:bookmarkEnd w:id="38"/>
      <w:bookmarkEnd w:id="39"/>
    </w:p>
    <w:p/>
    <w:p>
      <w:pPr>
        <w:pStyle w:val="23"/>
        <w:numPr>
          <w:ilvl w:val="0"/>
          <w:numId w:val="1"/>
        </w:numPr>
        <w:spacing w:line="600" w:lineRule="exact"/>
        <w:ind w:firstLineChars="0"/>
        <w:outlineLvl w:val="1"/>
        <w:rPr>
          <w:rStyle w:val="25"/>
          <w:rFonts w:ascii="黑体" w:hAnsi="黑体" w:eastAsia="黑体"/>
          <w:b w:val="0"/>
        </w:rPr>
      </w:pPr>
      <w:bookmarkStart w:id="40" w:name="_Toc23633"/>
      <w:bookmarkStart w:id="41" w:name="_Toc15396603"/>
      <w:bookmarkStart w:id="42" w:name="_Toc17802"/>
      <w:bookmarkStart w:id="43"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40"/>
      <w:bookmarkEnd w:id="41"/>
      <w:bookmarkEnd w:id="42"/>
      <w:bookmarkEnd w:id="43"/>
    </w:p>
    <w:p>
      <w:pPr>
        <w:snapToGrid w:val="0"/>
        <w:spacing w:line="588" w:lineRule="exact"/>
        <w:ind w:firstLine="640" w:firstLineChars="200"/>
        <w:rPr>
          <w:rFonts w:hint="eastAsia" w:ascii="仿宋_GB2312" w:hAnsi="仿宋" w:eastAsia="仿宋_GB2312"/>
          <w:sz w:val="32"/>
          <w:szCs w:val="32"/>
          <w:lang w:eastAsia="zh-CN"/>
        </w:rPr>
      </w:pPr>
      <w:r>
        <w:rPr>
          <w:rFonts w:hint="eastAsia" w:ascii="仿宋_GB2312" w:eastAsia="仿宋_GB2312"/>
          <w:color w:val="000000"/>
          <w:sz w:val="32"/>
          <w:szCs w:val="32"/>
          <w:lang w:eastAsia="zh-CN"/>
        </w:rPr>
        <w:drawing>
          <wp:anchor distT="0" distB="0" distL="114300" distR="114300" simplePos="0" relativeHeight="251658240" behindDoc="0" locked="0" layoutInCell="1" allowOverlap="1">
            <wp:simplePos x="0" y="0"/>
            <wp:positionH relativeFrom="column">
              <wp:posOffset>278130</wp:posOffset>
            </wp:positionH>
            <wp:positionV relativeFrom="paragraph">
              <wp:posOffset>1706880</wp:posOffset>
            </wp:positionV>
            <wp:extent cx="5080000" cy="3810000"/>
            <wp:effectExtent l="4445" t="4445" r="20955" b="1460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w:t>
      </w:r>
      <w:r>
        <w:rPr>
          <w:rFonts w:hint="eastAsia" w:ascii="仿宋_GB2312" w:hAnsi="仿宋" w:eastAsia="仿宋_GB2312"/>
          <w:sz w:val="32"/>
          <w:szCs w:val="32"/>
        </w:rPr>
        <w:t>收入</w:t>
      </w:r>
      <w:r>
        <w:rPr>
          <w:rFonts w:hint="eastAsia" w:ascii="仿宋_GB2312" w:hAnsi="仿宋" w:eastAsia="仿宋_GB2312"/>
          <w:sz w:val="32"/>
          <w:szCs w:val="32"/>
          <w:lang w:val="en-US" w:eastAsia="zh-CN"/>
        </w:rPr>
        <w:t>460.81</w:t>
      </w:r>
      <w:r>
        <w:rPr>
          <w:rFonts w:hint="eastAsia" w:ascii="仿宋_GB2312" w:hAnsi="仿宋" w:eastAsia="仿宋_GB2312"/>
          <w:sz w:val="32"/>
          <w:szCs w:val="32"/>
        </w:rPr>
        <w:t>万元、支出</w:t>
      </w:r>
      <w:r>
        <w:rPr>
          <w:rFonts w:hint="eastAsia" w:ascii="仿宋_GB2312" w:hAnsi="仿宋" w:eastAsia="仿宋_GB2312"/>
          <w:sz w:val="32"/>
          <w:szCs w:val="32"/>
          <w:lang w:val="en-US" w:eastAsia="zh-CN"/>
        </w:rPr>
        <w:t>467.23</w:t>
      </w:r>
      <w:r>
        <w:rPr>
          <w:rFonts w:hint="eastAsia" w:ascii="仿宋_GB2312" w:hAnsi="仿宋" w:eastAsia="仿宋_GB2312"/>
          <w:sz w:val="32"/>
          <w:szCs w:val="32"/>
        </w:rPr>
        <w:t>万元</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w:t>
      </w:r>
      <w:r>
        <w:rPr>
          <w:rFonts w:hint="eastAsia" w:ascii="仿宋_GB2312" w:hAnsi="仿宋" w:eastAsia="仿宋_GB2312"/>
          <w:sz w:val="32"/>
          <w:szCs w:val="32"/>
        </w:rPr>
        <w:t>收入比上年</w:t>
      </w:r>
      <w:r>
        <w:rPr>
          <w:rFonts w:hint="eastAsia" w:ascii="仿宋_GB2312" w:hAnsi="仿宋" w:eastAsia="仿宋_GB2312"/>
          <w:sz w:val="32"/>
          <w:szCs w:val="32"/>
          <w:lang w:eastAsia="zh-CN"/>
        </w:rPr>
        <w:t>减少</w:t>
      </w:r>
      <w:r>
        <w:rPr>
          <w:rFonts w:hint="eastAsia" w:ascii="仿宋_GB2312" w:hAnsi="仿宋" w:eastAsia="仿宋_GB2312"/>
          <w:sz w:val="32"/>
          <w:szCs w:val="32"/>
          <w:lang w:val="en-US" w:eastAsia="zh-CN"/>
        </w:rPr>
        <w:t>270.79</w:t>
      </w:r>
      <w:r>
        <w:rPr>
          <w:rFonts w:hint="eastAsia" w:ascii="仿宋_GB2312" w:hAnsi="仿宋" w:eastAsia="仿宋_GB2312"/>
          <w:sz w:val="32"/>
          <w:szCs w:val="32"/>
        </w:rPr>
        <w:t>万元，</w:t>
      </w:r>
      <w:r>
        <w:rPr>
          <w:rFonts w:hint="eastAsia" w:ascii="仿宋_GB2312" w:hAnsi="仿宋" w:eastAsia="仿宋_GB2312"/>
          <w:sz w:val="32"/>
          <w:szCs w:val="32"/>
          <w:lang w:eastAsia="zh-CN"/>
        </w:rPr>
        <w:t>下降</w:t>
      </w:r>
      <w:r>
        <w:rPr>
          <w:rFonts w:hint="eastAsia" w:ascii="仿宋_GB2312" w:hAnsi="仿宋" w:eastAsia="仿宋_GB2312"/>
          <w:sz w:val="32"/>
          <w:szCs w:val="32"/>
          <w:lang w:val="en-US" w:eastAsia="zh-CN"/>
        </w:rPr>
        <w:t>37.01</w:t>
      </w:r>
      <w:r>
        <w:rPr>
          <w:rFonts w:hint="eastAsia" w:ascii="仿宋_GB2312" w:hAnsi="仿宋" w:eastAsia="仿宋_GB2312"/>
          <w:sz w:val="32"/>
          <w:szCs w:val="32"/>
        </w:rPr>
        <w:t>%，</w:t>
      </w:r>
      <w:r>
        <w:rPr>
          <w:rFonts w:hint="eastAsia" w:ascii="仿宋_GB2312" w:hAnsi="仿宋" w:eastAsia="仿宋_GB2312"/>
          <w:sz w:val="32"/>
          <w:szCs w:val="32"/>
          <w:lang w:eastAsia="zh-CN"/>
        </w:rPr>
        <w:t>减少</w:t>
      </w:r>
      <w:r>
        <w:rPr>
          <w:rFonts w:hint="eastAsia" w:ascii="仿宋_GB2312" w:hAnsi="仿宋" w:eastAsia="仿宋_GB2312"/>
          <w:sz w:val="32"/>
          <w:szCs w:val="32"/>
        </w:rPr>
        <w:t>的主要原因项目</w:t>
      </w:r>
      <w:r>
        <w:rPr>
          <w:rFonts w:hint="eastAsia" w:ascii="仿宋_GB2312" w:hAnsi="仿宋" w:eastAsia="仿宋_GB2312"/>
          <w:sz w:val="32"/>
          <w:szCs w:val="32"/>
          <w:lang w:eastAsia="zh-CN"/>
        </w:rPr>
        <w:t>减少</w:t>
      </w:r>
      <w:r>
        <w:rPr>
          <w:rFonts w:hint="eastAsia" w:ascii="仿宋_GB2312" w:hAnsi="仿宋" w:eastAsia="仿宋_GB2312"/>
          <w:sz w:val="32"/>
          <w:szCs w:val="32"/>
        </w:rPr>
        <w:t>。支出比上年</w:t>
      </w:r>
      <w:r>
        <w:rPr>
          <w:rFonts w:hint="eastAsia" w:ascii="仿宋_GB2312" w:hAnsi="仿宋" w:eastAsia="仿宋_GB2312"/>
          <w:sz w:val="32"/>
          <w:szCs w:val="32"/>
          <w:lang w:eastAsia="zh-CN"/>
        </w:rPr>
        <w:t>减少</w:t>
      </w:r>
      <w:r>
        <w:rPr>
          <w:rFonts w:hint="eastAsia" w:ascii="仿宋_GB2312" w:hAnsi="仿宋" w:eastAsia="仿宋_GB2312"/>
          <w:sz w:val="32"/>
          <w:szCs w:val="32"/>
          <w:lang w:val="en-US" w:eastAsia="zh-CN"/>
        </w:rPr>
        <w:t>195.64</w:t>
      </w:r>
      <w:r>
        <w:rPr>
          <w:rFonts w:hint="eastAsia" w:ascii="仿宋_GB2312" w:hAnsi="仿宋" w:eastAsia="仿宋_GB2312"/>
          <w:sz w:val="32"/>
          <w:szCs w:val="32"/>
        </w:rPr>
        <w:t>万元，</w:t>
      </w:r>
      <w:r>
        <w:rPr>
          <w:rFonts w:hint="eastAsia" w:ascii="仿宋_GB2312" w:hAnsi="仿宋" w:eastAsia="仿宋_GB2312"/>
          <w:sz w:val="32"/>
          <w:szCs w:val="32"/>
          <w:lang w:eastAsia="zh-CN"/>
        </w:rPr>
        <w:t>下降</w:t>
      </w:r>
      <w:r>
        <w:rPr>
          <w:rFonts w:hint="eastAsia" w:ascii="仿宋_GB2312" w:hAnsi="仿宋" w:eastAsia="仿宋_GB2312"/>
          <w:sz w:val="32"/>
          <w:szCs w:val="32"/>
          <w:lang w:val="en-US" w:eastAsia="zh-CN"/>
        </w:rPr>
        <w:t>29.51</w:t>
      </w:r>
      <w:r>
        <w:rPr>
          <w:rFonts w:hint="eastAsia" w:ascii="仿宋_GB2312" w:hAnsi="仿宋" w:eastAsia="仿宋_GB2312"/>
          <w:sz w:val="32"/>
          <w:szCs w:val="32"/>
        </w:rPr>
        <w:t>%。</w:t>
      </w:r>
      <w:r>
        <w:rPr>
          <w:rFonts w:hint="eastAsia" w:ascii="仿宋_GB2312" w:hAnsi="仿宋" w:eastAsia="仿宋_GB2312"/>
          <w:sz w:val="32"/>
          <w:szCs w:val="32"/>
          <w:lang w:eastAsia="zh-CN"/>
        </w:rPr>
        <w:t>减少</w:t>
      </w:r>
      <w:r>
        <w:rPr>
          <w:rFonts w:hint="eastAsia" w:ascii="仿宋_GB2312" w:hAnsi="仿宋" w:eastAsia="仿宋_GB2312"/>
          <w:sz w:val="32"/>
          <w:szCs w:val="32"/>
        </w:rPr>
        <w:t>的主要原因是项目</w:t>
      </w:r>
      <w:r>
        <w:rPr>
          <w:rFonts w:hint="eastAsia" w:ascii="仿宋_GB2312" w:hAnsi="仿宋" w:eastAsia="仿宋_GB2312"/>
          <w:sz w:val="32"/>
          <w:szCs w:val="32"/>
          <w:lang w:eastAsia="zh-CN"/>
        </w:rPr>
        <w:t>减少。</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44" w:name="_Toc15396604"/>
      <w:bookmarkStart w:id="45" w:name="_Toc15377206"/>
      <w:bookmarkStart w:id="46" w:name="_Toc25509"/>
      <w:bookmarkStart w:id="47" w:name="_Toc20822"/>
      <w:r>
        <w:rPr>
          <w:rFonts w:hint="eastAsia" w:ascii="黑体" w:hAnsi="黑体" w:eastAsia="黑体"/>
          <w:color w:val="000000"/>
          <w:sz w:val="32"/>
          <w:szCs w:val="32"/>
        </w:rPr>
        <w:t>收</w:t>
      </w:r>
      <w:r>
        <w:rPr>
          <w:rStyle w:val="25"/>
          <w:rFonts w:hint="eastAsia" w:ascii="黑体" w:hAnsi="黑体" w:eastAsia="黑体"/>
          <w:b w:val="0"/>
        </w:rPr>
        <w:t>入决算情况说明</w:t>
      </w:r>
      <w:bookmarkEnd w:id="44"/>
      <w:bookmarkEnd w:id="45"/>
      <w:bookmarkEnd w:id="46"/>
      <w:bookmarkEnd w:id="47"/>
    </w:p>
    <w:p>
      <w:pPr>
        <w:spacing w:line="600" w:lineRule="exact"/>
        <w:ind w:firstLine="640" w:firstLineChars="200"/>
        <w:outlineLvl w:val="1"/>
        <w:rPr>
          <w:rFonts w:ascii="仿宋" w:hAnsi="仿宋" w:eastAsia="仿宋"/>
          <w:color w:val="000000"/>
          <w:sz w:val="32"/>
          <w:szCs w:val="32"/>
        </w:rPr>
      </w:pPr>
      <w:bookmarkStart w:id="48" w:name="_Toc29514"/>
      <w:bookmarkStart w:id="49" w:name="_Toc5585"/>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109220</wp:posOffset>
            </wp:positionH>
            <wp:positionV relativeFrom="paragraph">
              <wp:posOffset>2055495</wp:posOffset>
            </wp:positionV>
            <wp:extent cx="4928235" cy="3001010"/>
            <wp:effectExtent l="4445" t="4445" r="20320" b="2349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460.81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460.81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8"/>
      <w:bookmarkEnd w:id="49"/>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ascii="仿宋_GB2312" w:eastAsia="仿宋_GB2312"/>
          <w:color w:val="FF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50" w:name="_Toc18947"/>
      <w:bookmarkStart w:id="51" w:name="_Toc15377207"/>
      <w:bookmarkStart w:id="52" w:name="_Toc2067"/>
      <w:bookmarkStart w:id="53"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50"/>
      <w:bookmarkEnd w:id="51"/>
      <w:bookmarkEnd w:id="52"/>
      <w:bookmarkEnd w:id="53"/>
    </w:p>
    <w:p>
      <w:pPr>
        <w:spacing w:line="600" w:lineRule="exact"/>
        <w:ind w:firstLine="640" w:firstLineChars="200"/>
        <w:outlineLvl w:val="1"/>
        <w:rPr>
          <w:rFonts w:ascii="仿宋" w:hAnsi="仿宋" w:eastAsia="仿宋"/>
          <w:color w:val="000000"/>
          <w:sz w:val="32"/>
          <w:szCs w:val="32"/>
        </w:rPr>
      </w:pPr>
      <w:bookmarkStart w:id="54" w:name="_Toc8378"/>
      <w:bookmarkStart w:id="55" w:name="_Toc15549"/>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467.23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385.57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82.52</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81.66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17.48</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54"/>
      <w:bookmarkEnd w:id="55"/>
    </w:p>
    <w:p>
      <w:pPr>
        <w:spacing w:line="600" w:lineRule="exact"/>
        <w:rPr>
          <w:rFonts w:hint="eastAsia"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6432" behindDoc="0" locked="0" layoutInCell="1" allowOverlap="1">
            <wp:simplePos x="0" y="0"/>
            <wp:positionH relativeFrom="column">
              <wp:posOffset>253365</wp:posOffset>
            </wp:positionH>
            <wp:positionV relativeFrom="paragraph">
              <wp:posOffset>266065</wp:posOffset>
            </wp:positionV>
            <wp:extent cx="5088890" cy="3035300"/>
            <wp:effectExtent l="4445" t="4445" r="12065" b="825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960" w:firstLineChars="300"/>
        <w:rPr>
          <w:rFonts w:ascii="仿宋_GB2312" w:eastAsia="仿宋_GB2312"/>
          <w:color w:val="FF0000"/>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5"/>
          <w:rFonts w:ascii="黑体" w:hAnsi="黑体" w:eastAsia="黑体"/>
          <w:b w:val="0"/>
        </w:rPr>
      </w:pPr>
      <w:bookmarkStart w:id="56" w:name="_Toc15396606"/>
      <w:bookmarkStart w:id="57" w:name="_Toc15603"/>
      <w:bookmarkStart w:id="58" w:name="_Toc10318"/>
      <w:bookmarkStart w:id="59"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56"/>
      <w:bookmarkEnd w:id="57"/>
      <w:bookmarkEnd w:id="58"/>
      <w:bookmarkEnd w:id="59"/>
    </w:p>
    <w:p>
      <w:pPr>
        <w:snapToGrid w:val="0"/>
        <w:spacing w:line="588"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drawing>
          <wp:anchor distT="0" distB="0" distL="114300" distR="114300" simplePos="0" relativeHeight="251670528" behindDoc="0" locked="0" layoutInCell="1" allowOverlap="1">
            <wp:simplePos x="0" y="0"/>
            <wp:positionH relativeFrom="column">
              <wp:posOffset>459105</wp:posOffset>
            </wp:positionH>
            <wp:positionV relativeFrom="paragraph">
              <wp:posOffset>1899920</wp:posOffset>
            </wp:positionV>
            <wp:extent cx="5103495" cy="3032125"/>
            <wp:effectExtent l="4445" t="4445" r="16510" b="1143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460.81万元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467.23</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w:t>
      </w:r>
      <w:r>
        <w:rPr>
          <w:rFonts w:hint="eastAsia" w:ascii="仿宋_GB2312" w:hAnsi="仿宋" w:eastAsia="仿宋_GB2312"/>
          <w:sz w:val="32"/>
          <w:szCs w:val="32"/>
        </w:rPr>
        <w:t>收入</w:t>
      </w:r>
      <w:r>
        <w:rPr>
          <w:rFonts w:hint="eastAsia" w:ascii="仿宋_GB2312" w:hAnsi="仿宋" w:eastAsia="仿宋_GB2312"/>
          <w:sz w:val="32"/>
          <w:szCs w:val="32"/>
          <w:lang w:eastAsia="zh-CN"/>
        </w:rPr>
        <w:t>总计</w:t>
      </w:r>
      <w:r>
        <w:rPr>
          <w:rFonts w:hint="eastAsia" w:ascii="仿宋_GB2312" w:hAnsi="仿宋" w:eastAsia="仿宋_GB2312"/>
          <w:sz w:val="32"/>
          <w:szCs w:val="32"/>
        </w:rPr>
        <w:t>比上年</w:t>
      </w:r>
      <w:r>
        <w:rPr>
          <w:rFonts w:hint="eastAsia" w:ascii="仿宋_GB2312" w:hAnsi="仿宋" w:eastAsia="仿宋_GB2312"/>
          <w:sz w:val="32"/>
          <w:szCs w:val="32"/>
          <w:lang w:eastAsia="zh-CN"/>
        </w:rPr>
        <w:t>减少</w:t>
      </w:r>
      <w:r>
        <w:rPr>
          <w:rFonts w:hint="eastAsia" w:ascii="仿宋_GB2312" w:hAnsi="仿宋" w:eastAsia="仿宋_GB2312"/>
          <w:sz w:val="32"/>
          <w:szCs w:val="32"/>
          <w:lang w:val="en-US" w:eastAsia="zh-CN"/>
        </w:rPr>
        <w:t>270.79</w:t>
      </w:r>
      <w:r>
        <w:rPr>
          <w:rFonts w:hint="eastAsia" w:ascii="仿宋_GB2312" w:hAnsi="仿宋" w:eastAsia="仿宋_GB2312"/>
          <w:sz w:val="32"/>
          <w:szCs w:val="32"/>
        </w:rPr>
        <w:t>万元，</w:t>
      </w:r>
      <w:r>
        <w:rPr>
          <w:rFonts w:hint="eastAsia" w:ascii="仿宋_GB2312" w:hAnsi="仿宋" w:eastAsia="仿宋_GB2312"/>
          <w:sz w:val="32"/>
          <w:szCs w:val="32"/>
          <w:lang w:eastAsia="zh-CN"/>
        </w:rPr>
        <w:t>下降</w:t>
      </w:r>
      <w:r>
        <w:rPr>
          <w:rFonts w:hint="eastAsia" w:ascii="仿宋_GB2312" w:hAnsi="仿宋" w:eastAsia="仿宋_GB2312"/>
          <w:sz w:val="32"/>
          <w:szCs w:val="32"/>
          <w:lang w:val="en-US" w:eastAsia="zh-CN"/>
        </w:rPr>
        <w:t>37.01</w:t>
      </w:r>
      <w:r>
        <w:rPr>
          <w:rFonts w:hint="eastAsia" w:ascii="仿宋_GB2312" w:hAnsi="仿宋" w:eastAsia="仿宋_GB2312"/>
          <w:sz w:val="32"/>
          <w:szCs w:val="32"/>
        </w:rPr>
        <w:t>%，</w:t>
      </w:r>
      <w:r>
        <w:rPr>
          <w:rFonts w:hint="eastAsia" w:ascii="仿宋_GB2312" w:hAnsi="仿宋" w:eastAsia="仿宋_GB2312"/>
          <w:sz w:val="32"/>
          <w:szCs w:val="32"/>
          <w:lang w:eastAsia="zh-CN"/>
        </w:rPr>
        <w:t>减少</w:t>
      </w:r>
      <w:r>
        <w:rPr>
          <w:rFonts w:hint="eastAsia" w:ascii="仿宋_GB2312" w:hAnsi="仿宋" w:eastAsia="仿宋_GB2312"/>
          <w:sz w:val="32"/>
          <w:szCs w:val="32"/>
        </w:rPr>
        <w:t>的主要原因是项目</w:t>
      </w:r>
      <w:r>
        <w:rPr>
          <w:rFonts w:hint="eastAsia" w:ascii="仿宋_GB2312" w:hAnsi="仿宋" w:eastAsia="仿宋_GB2312"/>
          <w:sz w:val="32"/>
          <w:szCs w:val="32"/>
          <w:lang w:eastAsia="zh-CN"/>
        </w:rPr>
        <w:t>减少，导致项目资金减少</w:t>
      </w:r>
      <w:r>
        <w:rPr>
          <w:rFonts w:hint="eastAsia" w:ascii="仿宋_GB2312" w:hAnsi="仿宋" w:eastAsia="仿宋_GB2312"/>
          <w:sz w:val="32"/>
          <w:szCs w:val="32"/>
        </w:rPr>
        <w:t>。支出</w:t>
      </w:r>
      <w:r>
        <w:rPr>
          <w:rFonts w:hint="eastAsia" w:ascii="仿宋_GB2312" w:hAnsi="仿宋" w:eastAsia="仿宋_GB2312"/>
          <w:sz w:val="32"/>
          <w:szCs w:val="32"/>
          <w:lang w:eastAsia="zh-CN"/>
        </w:rPr>
        <w:t>总计</w:t>
      </w:r>
      <w:r>
        <w:rPr>
          <w:rFonts w:hint="eastAsia" w:ascii="仿宋_GB2312" w:hAnsi="仿宋" w:eastAsia="仿宋_GB2312"/>
          <w:sz w:val="32"/>
          <w:szCs w:val="32"/>
        </w:rPr>
        <w:t>比上年</w:t>
      </w:r>
      <w:r>
        <w:rPr>
          <w:rFonts w:hint="eastAsia" w:ascii="仿宋_GB2312" w:hAnsi="仿宋" w:eastAsia="仿宋_GB2312"/>
          <w:sz w:val="32"/>
          <w:szCs w:val="32"/>
          <w:lang w:eastAsia="zh-CN"/>
        </w:rPr>
        <w:t>减少</w:t>
      </w:r>
      <w:r>
        <w:rPr>
          <w:rFonts w:hint="eastAsia" w:ascii="仿宋_GB2312" w:hAnsi="仿宋" w:eastAsia="仿宋_GB2312"/>
          <w:sz w:val="32"/>
          <w:szCs w:val="32"/>
          <w:lang w:val="en-US" w:eastAsia="zh-CN"/>
        </w:rPr>
        <w:t>195.64</w:t>
      </w:r>
      <w:r>
        <w:rPr>
          <w:rFonts w:hint="eastAsia" w:ascii="仿宋_GB2312" w:hAnsi="仿宋" w:eastAsia="仿宋_GB2312"/>
          <w:sz w:val="32"/>
          <w:szCs w:val="32"/>
        </w:rPr>
        <w:t>万元，</w:t>
      </w:r>
      <w:r>
        <w:rPr>
          <w:rFonts w:hint="eastAsia" w:ascii="仿宋_GB2312" w:hAnsi="仿宋" w:eastAsia="仿宋_GB2312"/>
          <w:sz w:val="32"/>
          <w:szCs w:val="32"/>
          <w:lang w:eastAsia="zh-CN"/>
        </w:rPr>
        <w:t>下降</w:t>
      </w:r>
      <w:r>
        <w:rPr>
          <w:rFonts w:hint="eastAsia" w:ascii="仿宋_GB2312" w:hAnsi="仿宋" w:eastAsia="仿宋_GB2312"/>
          <w:sz w:val="32"/>
          <w:szCs w:val="32"/>
          <w:lang w:val="en-US" w:eastAsia="zh-CN"/>
        </w:rPr>
        <w:t>29.51</w:t>
      </w:r>
      <w:r>
        <w:rPr>
          <w:rFonts w:hint="eastAsia" w:ascii="仿宋_GB2312" w:hAnsi="仿宋" w:eastAsia="仿宋_GB2312"/>
          <w:sz w:val="32"/>
          <w:szCs w:val="32"/>
        </w:rPr>
        <w:t>%。</w:t>
      </w:r>
      <w:r>
        <w:rPr>
          <w:rFonts w:hint="eastAsia" w:ascii="仿宋_GB2312" w:hAnsi="仿宋" w:eastAsia="仿宋_GB2312"/>
          <w:sz w:val="32"/>
          <w:szCs w:val="32"/>
          <w:lang w:eastAsia="zh-CN"/>
        </w:rPr>
        <w:t>减少</w:t>
      </w:r>
      <w:r>
        <w:rPr>
          <w:rFonts w:hint="eastAsia" w:ascii="仿宋_GB2312" w:hAnsi="仿宋" w:eastAsia="仿宋_GB2312"/>
          <w:sz w:val="32"/>
          <w:szCs w:val="32"/>
        </w:rPr>
        <w:t>的主要原因是项目</w:t>
      </w:r>
      <w:r>
        <w:rPr>
          <w:rFonts w:hint="eastAsia" w:ascii="仿宋_GB2312" w:hAnsi="仿宋" w:eastAsia="仿宋_GB2312"/>
          <w:sz w:val="32"/>
          <w:szCs w:val="32"/>
          <w:lang w:eastAsia="zh-CN"/>
        </w:rPr>
        <w:t>减少，导致项目资金减少。</w:t>
      </w: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5"/>
          <w:rFonts w:ascii="黑体" w:hAnsi="黑体" w:eastAsia="黑体"/>
          <w:b w:val="0"/>
        </w:rPr>
      </w:pPr>
      <w:bookmarkStart w:id="60" w:name="_Toc1360"/>
      <w:bookmarkStart w:id="61" w:name="_Toc15396607"/>
      <w:bookmarkStart w:id="62" w:name="_Toc13361"/>
      <w:bookmarkStart w:id="6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60"/>
      <w:bookmarkEnd w:id="61"/>
      <w:bookmarkEnd w:id="62"/>
      <w:bookmarkEnd w:id="63"/>
    </w:p>
    <w:p>
      <w:pPr>
        <w:spacing w:line="600" w:lineRule="exact"/>
        <w:ind w:firstLine="643" w:firstLineChars="200"/>
        <w:outlineLvl w:val="2"/>
        <w:rPr>
          <w:rFonts w:ascii="仿宋" w:hAnsi="仿宋" w:eastAsia="仿宋"/>
          <w:b/>
          <w:color w:val="000000"/>
          <w:sz w:val="32"/>
          <w:szCs w:val="32"/>
        </w:rPr>
      </w:pPr>
      <w:bookmarkStart w:id="64" w:name="_Toc15377210"/>
      <w:bookmarkStart w:id="65" w:name="_Toc12139"/>
      <w:bookmarkStart w:id="66" w:name="_Toc3673"/>
      <w:r>
        <w:rPr>
          <w:rFonts w:hint="eastAsia" w:ascii="仿宋" w:hAnsi="仿宋" w:eastAsia="仿宋"/>
          <w:b/>
          <w:color w:val="000000"/>
          <w:sz w:val="32"/>
          <w:szCs w:val="32"/>
        </w:rPr>
        <w:t>（一）一般公共预算财政拨款支出决算总体情况</w:t>
      </w:r>
      <w:bookmarkEnd w:id="64"/>
      <w:bookmarkEnd w:id="65"/>
      <w:bookmarkEnd w:id="6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467.23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202.06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30.48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sz w:val="32"/>
          <w:szCs w:val="32"/>
        </w:rPr>
        <w:t>项目</w:t>
      </w:r>
      <w:r>
        <w:rPr>
          <w:rFonts w:hint="eastAsia" w:ascii="仿宋_GB2312" w:hAnsi="仿宋" w:eastAsia="仿宋_GB2312"/>
          <w:sz w:val="32"/>
          <w:szCs w:val="32"/>
          <w:lang w:eastAsia="zh-CN"/>
        </w:rPr>
        <w:t>减少，导致项目资金减少。</w:t>
      </w:r>
    </w:p>
    <w:p>
      <w:pPr>
        <w:spacing w:line="600" w:lineRule="exact"/>
        <w:rPr>
          <w:rFonts w:ascii="仿宋" w:hAnsi="仿宋" w:eastAsia="仿宋"/>
          <w:color w:val="000000"/>
          <w:sz w:val="32"/>
          <w:szCs w:val="32"/>
        </w:rPr>
      </w:pPr>
      <w:r>
        <w:rPr>
          <w:rFonts w:hint="eastAsia" w:ascii="仿宋" w:hAnsi="仿宋" w:eastAsia="仿宋"/>
          <w:color w:val="000000" w:themeColor="text1"/>
          <w:sz w:val="32"/>
          <w:szCs w:val="32"/>
          <w:lang w:eastAsia="zh-CN"/>
        </w:rPr>
        <w:drawing>
          <wp:anchor distT="0" distB="0" distL="114300" distR="114300" simplePos="0" relativeHeight="251675648" behindDoc="0" locked="0" layoutInCell="1" allowOverlap="1">
            <wp:simplePos x="0" y="0"/>
            <wp:positionH relativeFrom="column">
              <wp:posOffset>302260</wp:posOffset>
            </wp:positionH>
            <wp:positionV relativeFrom="paragraph">
              <wp:posOffset>167640</wp:posOffset>
            </wp:positionV>
            <wp:extent cx="5039360" cy="2905760"/>
            <wp:effectExtent l="4445" t="4445" r="23495" b="2349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67" w:name="_Toc3281"/>
      <w:bookmarkStart w:id="68" w:name="_Toc15377211"/>
      <w:bookmarkStart w:id="69" w:name="_Toc21892"/>
      <w:r>
        <w:rPr>
          <w:rFonts w:hint="eastAsia" w:ascii="仿宋" w:hAnsi="仿宋" w:eastAsia="仿宋"/>
          <w:b/>
          <w:color w:val="000000"/>
          <w:sz w:val="32"/>
          <w:szCs w:val="32"/>
        </w:rPr>
        <w:t>（二）一般公共预算财政拨款支出决算结构情况</w:t>
      </w:r>
      <w:bookmarkEnd w:id="67"/>
      <w:bookmarkEnd w:id="68"/>
      <w:bookmarkEnd w:id="69"/>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467.23</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文化旅游体育与传媒（类）支出</w:t>
      </w:r>
      <w:r>
        <w:rPr>
          <w:rFonts w:hint="eastAsia" w:ascii="仿宋" w:hAnsi="仿宋" w:eastAsia="仿宋"/>
          <w:b/>
          <w:bCs/>
          <w:color w:val="000000" w:themeColor="text1"/>
          <w:sz w:val="32"/>
          <w:szCs w:val="32"/>
          <w:lang w:val="en-US" w:eastAsia="zh-CN"/>
        </w:rPr>
        <w:t>377.72</w:t>
      </w:r>
      <w:r>
        <w:rPr>
          <w:rFonts w:hint="eastAsia" w:ascii="仿宋" w:hAnsi="仿宋" w:eastAsia="仿宋"/>
          <w:b/>
          <w:bCs/>
          <w:color w:val="000000" w:themeColor="text1"/>
          <w:sz w:val="32"/>
          <w:szCs w:val="32"/>
        </w:rPr>
        <w:t>万元，占</w:t>
      </w:r>
      <w:r>
        <w:rPr>
          <w:rFonts w:hint="eastAsia" w:ascii="仿宋" w:hAnsi="仿宋" w:eastAsia="仿宋"/>
          <w:b/>
          <w:bCs/>
          <w:color w:val="000000" w:themeColor="text1"/>
          <w:sz w:val="32"/>
          <w:szCs w:val="32"/>
          <w:lang w:val="en-US" w:eastAsia="zh-CN"/>
        </w:rPr>
        <w:t>80.84</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44.77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9.58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lang w:val="en-US" w:eastAsia="zh-CN"/>
        </w:rPr>
        <w:t>18.60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3.98</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hint="eastAsia" w:ascii="仿宋" w:hAnsi="仿宋" w:eastAsia="仿宋"/>
          <w:color w:val="000000" w:themeColor="text1"/>
          <w:sz w:val="32"/>
          <w:szCs w:val="32"/>
          <w:lang w:val="en-US" w:eastAsia="zh-CN"/>
        </w:rPr>
        <w:t>26.15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5.60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eastAsia="zh-CN"/>
        </w:rPr>
        <w:t>（其中支出明细：</w:t>
      </w:r>
      <w:r>
        <w:rPr>
          <w:rFonts w:hint="eastAsia" w:ascii="仿宋" w:hAnsi="仿宋" w:eastAsia="仿宋"/>
          <w:color w:val="000000" w:themeColor="text1"/>
          <w:sz w:val="32"/>
          <w:szCs w:val="32"/>
          <w:lang w:val="en-US" w:eastAsia="zh-CN"/>
        </w:rPr>
        <w:t>2070699-其他新闻出版电影支出13.37万元；2070804-广播4.31万元；2070805-电视296.06万元；2070899-其他广播电视支出19.21万元；2079902-宣传文化发展专项支出34.83万元；2079999-其他文化体育与传媒支出9.94万元；2080505-机关事业单位养老保险缴费支出30.63万元，2080506-机关事业单位职业年金缴费支出14.14万元</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val="en-US" w:eastAsia="zh-CN"/>
        </w:rPr>
        <w:t>2101102-事业单位医疗14.67万元，2101199-其他行政事业单位医疗支出3.93万元</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val="en-US" w:eastAsia="zh-CN"/>
        </w:rPr>
        <w:t>2210201住房公积金26.15万元</w:t>
      </w:r>
      <w:r>
        <w:rPr>
          <w:rFonts w:hint="eastAsia" w:ascii="仿宋" w:hAnsi="仿宋" w:eastAsia="仿宋"/>
          <w:color w:val="000000" w:themeColor="text1"/>
          <w:sz w:val="32"/>
          <w:szCs w:val="32"/>
          <w:lang w:eastAsia="zh-CN"/>
        </w:rPr>
        <w:t>）</w:t>
      </w:r>
      <w:r>
        <w:rPr>
          <w:rFonts w:hint="eastAsia" w:ascii="仿宋" w:hAnsi="仿宋" w:eastAsia="仿宋"/>
          <w:color w:val="000000" w:themeColor="text1"/>
          <w:sz w:val="32"/>
          <w:szCs w:val="32"/>
        </w:rPr>
        <w:t>；</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sz w:val="32"/>
          <w:szCs w:val="32"/>
          <w:lang w:eastAsia="zh-CN"/>
        </w:rPr>
        <w:drawing>
          <wp:anchor distT="0" distB="0" distL="114300" distR="114300" simplePos="0" relativeHeight="251681792" behindDoc="0" locked="0" layoutInCell="1" allowOverlap="1">
            <wp:simplePos x="0" y="0"/>
            <wp:positionH relativeFrom="column">
              <wp:posOffset>86995</wp:posOffset>
            </wp:positionH>
            <wp:positionV relativeFrom="paragraph">
              <wp:posOffset>257175</wp:posOffset>
            </wp:positionV>
            <wp:extent cx="5080635" cy="3341370"/>
            <wp:effectExtent l="4445" t="4445" r="20320" b="698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70" w:name="_Toc15377212"/>
      <w:bookmarkStart w:id="71" w:name="_Toc29073"/>
      <w:bookmarkStart w:id="72" w:name="_Toc20960"/>
      <w:r>
        <w:rPr>
          <w:rFonts w:hint="eastAsia" w:ascii="仿宋" w:hAnsi="仿宋" w:eastAsia="仿宋"/>
          <w:b/>
          <w:color w:val="000000"/>
          <w:sz w:val="32"/>
          <w:szCs w:val="32"/>
        </w:rPr>
        <w:t>（三）一般公共预算财政拨款支出决算具体情况</w:t>
      </w:r>
      <w:bookmarkEnd w:id="70"/>
      <w:bookmarkEnd w:id="71"/>
      <w:bookmarkEnd w:id="72"/>
    </w:p>
    <w:p>
      <w:pPr>
        <w:spacing w:line="600" w:lineRule="exact"/>
        <w:ind w:firstLine="643" w:firstLineChars="200"/>
        <w:outlineLvl w:val="2"/>
        <w:rPr>
          <w:rFonts w:ascii="仿宋" w:hAnsi="仿宋" w:eastAsia="仿宋"/>
          <w:color w:val="FF0000"/>
          <w:sz w:val="32"/>
          <w:szCs w:val="32"/>
        </w:rPr>
      </w:pPr>
      <w:bookmarkStart w:id="73" w:name="_Toc15378460"/>
      <w:bookmarkStart w:id="74" w:name="_Toc15377444"/>
      <w:bookmarkStart w:id="75" w:name="_Toc15377213"/>
      <w:bookmarkStart w:id="76" w:name="_Toc19949"/>
      <w:bookmarkStart w:id="77" w:name="_Toc15654"/>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467.23</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73"/>
      <w:bookmarkEnd w:id="74"/>
      <w:bookmarkEnd w:id="75"/>
      <w:bookmarkEnd w:id="76"/>
      <w:bookmarkEnd w:id="77"/>
    </w:p>
    <w:p>
      <w:pPr>
        <w:numPr>
          <w:ilvl w:val="0"/>
          <w:numId w:val="2"/>
        </w:numPr>
        <w:spacing w:line="600" w:lineRule="exact"/>
        <w:ind w:firstLine="643" w:firstLineChars="200"/>
        <w:rPr>
          <w:rStyle w:val="14"/>
          <w:rFonts w:hint="eastAsia" w:ascii="仿宋" w:hAnsi="仿宋" w:eastAsia="仿宋"/>
          <w:bCs/>
          <w:color w:val="000000"/>
          <w:sz w:val="32"/>
          <w:szCs w:val="32"/>
        </w:rPr>
      </w:pPr>
      <w:r>
        <w:rPr>
          <w:rStyle w:val="14"/>
          <w:rFonts w:hint="eastAsia" w:ascii="仿宋" w:hAnsi="仿宋" w:eastAsia="仿宋"/>
          <w:bCs/>
          <w:color w:val="000000"/>
          <w:sz w:val="32"/>
          <w:szCs w:val="32"/>
        </w:rPr>
        <w:t>文化旅游体育与传媒</w:t>
      </w:r>
    </w:p>
    <w:p>
      <w:pPr>
        <w:numPr>
          <w:ilvl w:val="0"/>
          <w:numId w:val="0"/>
        </w:numPr>
        <w:spacing w:line="600" w:lineRule="exact"/>
        <w:ind w:firstLine="640" w:firstLineChars="200"/>
        <w:rPr>
          <w:rFonts w:hint="eastAsia" w:ascii="仿宋" w:hAnsi="仿宋" w:eastAsia="仿宋"/>
          <w:b/>
          <w:color w:val="000000"/>
          <w:sz w:val="32"/>
          <w:szCs w:val="32"/>
          <w:lang w:eastAsia="zh-CN"/>
        </w:rPr>
      </w:pPr>
      <w:r>
        <w:rPr>
          <w:rFonts w:hint="eastAsia" w:ascii="仿宋" w:hAnsi="仿宋" w:eastAsia="仿宋"/>
          <w:color w:val="000000" w:themeColor="text1"/>
          <w:sz w:val="32"/>
          <w:szCs w:val="32"/>
          <w:lang w:val="en-US" w:eastAsia="zh-CN"/>
        </w:rPr>
        <w:t>2070699-其他新闻出版电影支出13.37万元，完成预算100%；</w:t>
      </w:r>
      <w:r>
        <w:rPr>
          <w:rStyle w:val="14"/>
          <w:rFonts w:hint="eastAsia" w:ascii="仿宋" w:hAnsi="仿宋" w:eastAsia="仿宋"/>
          <w:b w:val="0"/>
          <w:bCs/>
          <w:color w:val="000000"/>
          <w:sz w:val="32"/>
          <w:szCs w:val="32"/>
          <w:lang w:val="en-US" w:eastAsia="zh-CN"/>
        </w:rPr>
        <w:t>2070404-广播</w:t>
      </w:r>
      <w:r>
        <w:rPr>
          <w:rStyle w:val="14"/>
          <w:rFonts w:hint="eastAsia" w:ascii="仿宋" w:hAnsi="仿宋" w:eastAsia="仿宋"/>
          <w:b w:val="0"/>
          <w:bCs/>
          <w:color w:val="000000"/>
          <w:sz w:val="32"/>
          <w:szCs w:val="32"/>
        </w:rPr>
        <w:t>支出决算</w:t>
      </w:r>
      <w:r>
        <w:rPr>
          <w:rStyle w:val="14"/>
          <w:rFonts w:hint="eastAsia" w:ascii="仿宋" w:hAnsi="仿宋" w:eastAsia="仿宋"/>
          <w:b w:val="0"/>
          <w:bCs/>
          <w:color w:val="000000"/>
          <w:sz w:val="32"/>
          <w:szCs w:val="32"/>
          <w:lang w:eastAsia="zh-CN"/>
        </w:rPr>
        <w:t>数</w:t>
      </w:r>
      <w:r>
        <w:rPr>
          <w:rStyle w:val="14"/>
          <w:rFonts w:hint="eastAsia" w:ascii="仿宋" w:hAnsi="仿宋" w:eastAsia="仿宋"/>
          <w:b w:val="0"/>
          <w:bCs/>
          <w:color w:val="000000"/>
          <w:sz w:val="32"/>
          <w:szCs w:val="32"/>
        </w:rPr>
        <w:t>为</w:t>
      </w:r>
      <w:r>
        <w:rPr>
          <w:rStyle w:val="14"/>
          <w:rFonts w:hint="eastAsia" w:ascii="仿宋" w:hAnsi="仿宋" w:eastAsia="仿宋"/>
          <w:b w:val="0"/>
          <w:bCs/>
          <w:color w:val="000000"/>
          <w:sz w:val="32"/>
          <w:szCs w:val="32"/>
          <w:lang w:val="en-US" w:eastAsia="zh-CN"/>
        </w:rPr>
        <w:t>4.31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lang w:val="en-US" w:eastAsia="zh-CN"/>
        </w:rPr>
        <w:t>2070805-电视支出</w:t>
      </w:r>
      <w:r>
        <w:rPr>
          <w:rStyle w:val="14"/>
          <w:rFonts w:hint="eastAsia" w:ascii="仿宋" w:hAnsi="仿宋" w:eastAsia="仿宋"/>
          <w:b w:val="0"/>
          <w:bCs/>
          <w:color w:val="000000"/>
          <w:sz w:val="32"/>
          <w:szCs w:val="32"/>
        </w:rPr>
        <w:t>决算</w:t>
      </w:r>
      <w:r>
        <w:rPr>
          <w:rStyle w:val="14"/>
          <w:rFonts w:hint="eastAsia" w:ascii="仿宋" w:hAnsi="仿宋" w:eastAsia="仿宋"/>
          <w:b w:val="0"/>
          <w:bCs/>
          <w:color w:val="000000"/>
          <w:sz w:val="32"/>
          <w:szCs w:val="32"/>
          <w:lang w:eastAsia="zh-CN"/>
        </w:rPr>
        <w:t>数为</w:t>
      </w:r>
      <w:r>
        <w:rPr>
          <w:rStyle w:val="14"/>
          <w:rFonts w:hint="eastAsia" w:ascii="仿宋" w:hAnsi="仿宋" w:eastAsia="仿宋"/>
          <w:b w:val="0"/>
          <w:bCs/>
          <w:color w:val="000000"/>
          <w:sz w:val="32"/>
          <w:szCs w:val="32"/>
          <w:lang w:val="en-US" w:eastAsia="zh-CN"/>
        </w:rPr>
        <w:t>296.06万元，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lang w:val="en-US" w:eastAsia="zh-CN"/>
        </w:rPr>
        <w:t>2070899-其他广播电视支出</w:t>
      </w:r>
      <w:r>
        <w:rPr>
          <w:rStyle w:val="14"/>
          <w:rFonts w:hint="eastAsia" w:ascii="仿宋" w:hAnsi="仿宋" w:eastAsia="仿宋"/>
          <w:b w:val="0"/>
          <w:bCs/>
          <w:color w:val="000000"/>
          <w:sz w:val="32"/>
          <w:szCs w:val="32"/>
        </w:rPr>
        <w:t>决算</w:t>
      </w:r>
      <w:r>
        <w:rPr>
          <w:rStyle w:val="14"/>
          <w:rFonts w:hint="eastAsia" w:ascii="仿宋" w:hAnsi="仿宋" w:eastAsia="仿宋"/>
          <w:b w:val="0"/>
          <w:bCs/>
          <w:color w:val="000000"/>
          <w:sz w:val="32"/>
          <w:szCs w:val="32"/>
          <w:lang w:eastAsia="zh-CN"/>
        </w:rPr>
        <w:t>数为</w:t>
      </w:r>
      <w:r>
        <w:rPr>
          <w:rStyle w:val="14"/>
          <w:rFonts w:hint="eastAsia" w:ascii="仿宋" w:hAnsi="仿宋" w:eastAsia="仿宋"/>
          <w:b w:val="0"/>
          <w:bCs/>
          <w:color w:val="000000"/>
          <w:sz w:val="32"/>
          <w:szCs w:val="32"/>
          <w:lang w:val="en-US" w:eastAsia="zh-CN"/>
        </w:rPr>
        <w:t>19.21万元，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lang w:val="en-US" w:eastAsia="zh-CN"/>
        </w:rPr>
        <w:t>2079902-宣传文化发展专项支出34.83万元；2079999-其他文化体育与传媒支出决算数</w:t>
      </w:r>
      <w:r>
        <w:rPr>
          <w:rStyle w:val="14"/>
          <w:rFonts w:hint="eastAsia" w:ascii="仿宋" w:hAnsi="仿宋" w:eastAsia="仿宋"/>
          <w:b w:val="0"/>
          <w:bCs/>
          <w:color w:val="000000"/>
          <w:sz w:val="32"/>
          <w:szCs w:val="32"/>
          <w:lang w:eastAsia="zh-CN"/>
        </w:rPr>
        <w:t>为</w:t>
      </w:r>
      <w:r>
        <w:rPr>
          <w:rStyle w:val="14"/>
          <w:rFonts w:hint="eastAsia" w:ascii="仿宋" w:hAnsi="仿宋" w:eastAsia="仿宋"/>
          <w:b w:val="0"/>
          <w:bCs/>
          <w:color w:val="000000"/>
          <w:sz w:val="32"/>
          <w:szCs w:val="32"/>
          <w:lang w:val="en-US" w:eastAsia="zh-CN"/>
        </w:rPr>
        <w:t>9.94万元，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val="0"/>
          <w:color w:val="000000"/>
          <w:sz w:val="32"/>
          <w:szCs w:val="32"/>
          <w:lang w:eastAsia="zh-CN"/>
        </w:rPr>
        <w:t>合计支出</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377.72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，决算数等于预算数的主要原因是</w:t>
      </w:r>
      <w:r>
        <w:rPr>
          <w:rStyle w:val="14"/>
          <w:rFonts w:hint="eastAsia" w:ascii="仿宋" w:hAnsi="仿宋" w:eastAsia="仿宋"/>
          <w:b w:val="0"/>
          <w:bCs/>
          <w:color w:val="000000"/>
          <w:sz w:val="32"/>
          <w:szCs w:val="32"/>
          <w:lang w:eastAsia="zh-CN"/>
        </w:rPr>
        <w:t>严格按照财政拨款支出要求严格控制相关支出</w:t>
      </w:r>
      <w:r>
        <w:rPr>
          <w:rStyle w:val="14"/>
          <w:rFonts w:hint="eastAsia" w:ascii="仿宋" w:hAnsi="仿宋" w:eastAsia="仿宋"/>
          <w:b w:val="0"/>
          <w:bCs/>
          <w:color w:val="000000"/>
          <w:sz w:val="32"/>
          <w:szCs w:val="32"/>
        </w:rPr>
        <w:t>。</w:t>
      </w:r>
    </w:p>
    <w:p>
      <w:pPr>
        <w:numPr>
          <w:ilvl w:val="0"/>
          <w:numId w:val="2"/>
        </w:numPr>
        <w:spacing w:line="600" w:lineRule="exact"/>
        <w:ind w:left="0" w:leftChars="0" w:firstLine="643" w:firstLineChars="200"/>
        <w:rPr>
          <w:rStyle w:val="14"/>
          <w:rFonts w:hint="eastAsia" w:ascii="仿宋" w:hAnsi="仿宋" w:eastAsia="仿宋"/>
          <w:bCs/>
          <w:color w:val="000000"/>
          <w:sz w:val="32"/>
          <w:szCs w:val="32"/>
        </w:rPr>
      </w:pPr>
      <w:r>
        <w:rPr>
          <w:rStyle w:val="14"/>
          <w:rFonts w:hint="eastAsia" w:ascii="仿宋" w:hAnsi="仿宋" w:eastAsia="仿宋"/>
          <w:bCs/>
          <w:color w:val="000000"/>
          <w:sz w:val="32"/>
          <w:szCs w:val="32"/>
        </w:rPr>
        <w:t>社会保障和就业</w:t>
      </w:r>
    </w:p>
    <w:p>
      <w:pPr>
        <w:numPr>
          <w:ilvl w:val="0"/>
          <w:numId w:val="0"/>
        </w:numPr>
        <w:spacing w:line="600" w:lineRule="exact"/>
        <w:ind w:leftChars="200" w:firstLine="320" w:firstLineChars="100"/>
        <w:rPr>
          <w:rFonts w:ascii="仿宋" w:hAnsi="仿宋" w:eastAsia="仿宋"/>
          <w:b/>
          <w:color w:val="000000"/>
          <w:sz w:val="32"/>
          <w:szCs w:val="32"/>
        </w:rPr>
      </w:pPr>
      <w:r>
        <w:rPr>
          <w:rStyle w:val="14"/>
          <w:rFonts w:hint="eastAsia" w:ascii="仿宋" w:hAnsi="仿宋" w:eastAsia="仿宋"/>
          <w:b w:val="0"/>
          <w:bCs/>
          <w:color w:val="000000"/>
          <w:sz w:val="32"/>
          <w:szCs w:val="32"/>
          <w:lang w:val="en-US" w:eastAsia="zh-CN"/>
        </w:rPr>
        <w:t>2080505</w:t>
      </w:r>
      <w:r>
        <w:rPr>
          <w:rStyle w:val="14"/>
          <w:rFonts w:hint="eastAsia" w:ascii="仿宋" w:hAnsi="仿宋" w:eastAsia="仿宋"/>
          <w:b w:val="0"/>
          <w:bCs/>
          <w:color w:val="000000"/>
          <w:sz w:val="32"/>
          <w:szCs w:val="32"/>
          <w:lang w:eastAsia="zh-CN"/>
        </w:rPr>
        <w:t>机关事业单位基本养老保险缴费支出决算数为</w:t>
      </w:r>
      <w:r>
        <w:rPr>
          <w:rStyle w:val="14"/>
          <w:rFonts w:hint="eastAsia" w:ascii="仿宋" w:hAnsi="仿宋" w:eastAsia="仿宋"/>
          <w:b w:val="0"/>
          <w:bCs/>
          <w:color w:val="000000"/>
          <w:sz w:val="32"/>
          <w:szCs w:val="32"/>
          <w:lang w:val="en-US" w:eastAsia="zh-CN"/>
        </w:rPr>
        <w:t>30.63万元，</w:t>
      </w:r>
      <w:r>
        <w:rPr>
          <w:rStyle w:val="14"/>
          <w:rFonts w:hint="eastAsia" w:ascii="仿宋" w:hAnsi="仿宋" w:eastAsia="仿宋"/>
          <w:b w:val="0"/>
          <w:bCs w:val="0"/>
          <w:color w:val="000000"/>
          <w:sz w:val="32"/>
          <w:szCs w:val="32"/>
        </w:rPr>
        <w:t>完成预算</w:t>
      </w:r>
      <w:r>
        <w:rPr>
          <w:rStyle w:val="14"/>
          <w:rFonts w:hint="eastAsia" w:ascii="仿宋" w:hAnsi="仿宋" w:eastAsia="仿宋"/>
          <w:b w:val="0"/>
          <w:bCs w:val="0"/>
          <w:color w:val="000000"/>
          <w:sz w:val="32"/>
          <w:szCs w:val="32"/>
          <w:lang w:val="en-US" w:eastAsia="zh-CN"/>
        </w:rPr>
        <w:t>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lang w:eastAsia="zh-CN"/>
        </w:rPr>
        <w:t>；</w:t>
      </w:r>
      <w:r>
        <w:rPr>
          <w:rStyle w:val="14"/>
          <w:rFonts w:hint="eastAsia" w:ascii="仿宋" w:hAnsi="仿宋" w:eastAsia="仿宋"/>
          <w:b w:val="0"/>
          <w:bCs w:val="0"/>
          <w:color w:val="000000"/>
          <w:sz w:val="32"/>
          <w:szCs w:val="32"/>
          <w:lang w:val="en-US" w:eastAsia="zh-CN"/>
        </w:rPr>
        <w:t>2080506</w:t>
      </w:r>
      <w:r>
        <w:rPr>
          <w:rStyle w:val="14"/>
          <w:rFonts w:hint="eastAsia" w:ascii="仿宋" w:hAnsi="仿宋" w:eastAsia="仿宋"/>
          <w:b w:val="0"/>
          <w:bCs/>
          <w:color w:val="000000"/>
          <w:sz w:val="32"/>
          <w:szCs w:val="32"/>
          <w:lang w:eastAsia="zh-CN"/>
        </w:rPr>
        <w:t>机关事业单位职业年金缴费支出决算数为</w:t>
      </w:r>
      <w:r>
        <w:rPr>
          <w:rStyle w:val="14"/>
          <w:rFonts w:hint="eastAsia" w:ascii="仿宋" w:hAnsi="仿宋" w:eastAsia="仿宋"/>
          <w:b w:val="0"/>
          <w:bCs/>
          <w:color w:val="000000"/>
          <w:sz w:val="32"/>
          <w:szCs w:val="32"/>
          <w:lang w:val="en-US" w:eastAsia="zh-CN"/>
        </w:rPr>
        <w:t>14.14万元，完成预算100%。合计总</w:t>
      </w:r>
      <w:r>
        <w:rPr>
          <w:rStyle w:val="14"/>
          <w:rFonts w:hint="eastAsia" w:ascii="仿宋" w:hAnsi="仿宋" w:eastAsia="仿宋"/>
          <w:b w:val="0"/>
          <w:bCs/>
          <w:color w:val="000000"/>
          <w:sz w:val="32"/>
          <w:szCs w:val="32"/>
        </w:rPr>
        <w:t>支出决算</w:t>
      </w:r>
      <w:r>
        <w:rPr>
          <w:rStyle w:val="14"/>
          <w:rFonts w:hint="eastAsia" w:ascii="仿宋" w:hAnsi="仿宋" w:eastAsia="仿宋"/>
          <w:b w:val="0"/>
          <w:bCs/>
          <w:color w:val="000000"/>
          <w:sz w:val="32"/>
          <w:szCs w:val="32"/>
          <w:lang w:eastAsia="zh-CN"/>
        </w:rPr>
        <w:t>数</w:t>
      </w:r>
      <w:r>
        <w:rPr>
          <w:rStyle w:val="14"/>
          <w:rFonts w:hint="eastAsia" w:ascii="仿宋" w:hAnsi="仿宋" w:eastAsia="仿宋"/>
          <w:b w:val="0"/>
          <w:bCs/>
          <w:color w:val="000000"/>
          <w:sz w:val="32"/>
          <w:szCs w:val="32"/>
        </w:rPr>
        <w:t>为</w:t>
      </w:r>
      <w:r>
        <w:rPr>
          <w:rStyle w:val="14"/>
          <w:rFonts w:hint="eastAsia" w:ascii="仿宋" w:hAnsi="仿宋" w:eastAsia="仿宋"/>
          <w:b w:val="0"/>
          <w:bCs/>
          <w:color w:val="000000"/>
          <w:sz w:val="32"/>
          <w:szCs w:val="32"/>
          <w:lang w:val="en-US" w:eastAsia="zh-CN"/>
        </w:rPr>
        <w:t>44.77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，决算数等于预算数的主要原因是</w:t>
      </w:r>
      <w:r>
        <w:rPr>
          <w:rStyle w:val="14"/>
          <w:rFonts w:hint="eastAsia" w:ascii="仿宋" w:hAnsi="仿宋" w:eastAsia="仿宋"/>
          <w:b w:val="0"/>
          <w:bCs/>
          <w:color w:val="000000"/>
          <w:sz w:val="32"/>
          <w:szCs w:val="32"/>
          <w:lang w:eastAsia="zh-CN"/>
        </w:rPr>
        <w:t>严格按照财政拨款支出要求严格控制相关支出</w:t>
      </w:r>
      <w:r>
        <w:rPr>
          <w:rStyle w:val="14"/>
          <w:rFonts w:hint="eastAsia" w:ascii="仿宋" w:hAnsi="仿宋" w:eastAsia="仿宋"/>
          <w:b w:val="0"/>
          <w:bCs/>
          <w:color w:val="000000"/>
          <w:sz w:val="32"/>
          <w:szCs w:val="32"/>
        </w:rPr>
        <w:t>。</w:t>
      </w:r>
    </w:p>
    <w:p>
      <w:pPr>
        <w:numPr>
          <w:ilvl w:val="0"/>
          <w:numId w:val="0"/>
        </w:numPr>
        <w:spacing w:line="600" w:lineRule="exact"/>
        <w:ind w:firstLine="643" w:firstLineChars="200"/>
        <w:rPr>
          <w:rFonts w:hint="eastAsia" w:ascii="仿宋" w:hAnsi="仿宋" w:eastAsia="仿宋"/>
          <w:b/>
          <w:bCs/>
          <w:color w:val="000000" w:themeColor="text1"/>
          <w:sz w:val="32"/>
          <w:szCs w:val="32"/>
        </w:rPr>
      </w:pPr>
      <w:r>
        <w:rPr>
          <w:rFonts w:hint="eastAsia" w:ascii="仿宋" w:hAnsi="仿宋" w:eastAsia="仿宋"/>
          <w:b/>
          <w:bCs/>
          <w:color w:val="000000" w:themeColor="text1"/>
          <w:sz w:val="32"/>
          <w:szCs w:val="32"/>
          <w:lang w:val="en-US" w:eastAsia="zh-CN"/>
        </w:rPr>
        <w:t>3.</w:t>
      </w:r>
      <w:r>
        <w:rPr>
          <w:rFonts w:hint="eastAsia" w:ascii="仿宋" w:hAnsi="仿宋" w:eastAsia="仿宋"/>
          <w:b/>
          <w:bCs/>
          <w:color w:val="000000" w:themeColor="text1"/>
          <w:sz w:val="32"/>
          <w:szCs w:val="32"/>
        </w:rPr>
        <w:t>卫生健康</w:t>
      </w:r>
    </w:p>
    <w:p>
      <w:pPr>
        <w:spacing w:line="600" w:lineRule="exact"/>
        <w:ind w:firstLine="640" w:firstLineChars="200"/>
        <w:rPr>
          <w:rStyle w:val="14"/>
          <w:rFonts w:hint="eastAsia" w:ascii="仿宋" w:hAnsi="仿宋" w:eastAsia="仿宋"/>
          <w:b w:val="0"/>
          <w:bCs/>
          <w:color w:val="000000"/>
          <w:sz w:val="32"/>
          <w:szCs w:val="32"/>
        </w:rPr>
      </w:pPr>
      <w:r>
        <w:rPr>
          <w:rStyle w:val="14"/>
          <w:rFonts w:hint="eastAsia" w:ascii="仿宋" w:hAnsi="仿宋" w:eastAsia="仿宋"/>
          <w:b w:val="0"/>
          <w:bCs w:val="0"/>
          <w:color w:val="000000"/>
          <w:sz w:val="32"/>
          <w:szCs w:val="32"/>
          <w:lang w:val="en-US" w:eastAsia="zh-CN"/>
        </w:rPr>
        <w:t>2101102事业</w:t>
      </w:r>
      <w:r>
        <w:rPr>
          <w:rStyle w:val="14"/>
          <w:rFonts w:hint="eastAsia" w:ascii="仿宋" w:hAnsi="仿宋" w:eastAsia="仿宋"/>
          <w:b w:val="0"/>
          <w:bCs w:val="0"/>
          <w:color w:val="000000"/>
          <w:sz w:val="32"/>
          <w:szCs w:val="32"/>
          <w:lang w:eastAsia="zh-CN"/>
        </w:rPr>
        <w:t>单位医疗支出决算数为</w:t>
      </w:r>
      <w:r>
        <w:rPr>
          <w:rStyle w:val="14"/>
          <w:rFonts w:hint="eastAsia" w:ascii="仿宋" w:hAnsi="仿宋" w:eastAsia="仿宋"/>
          <w:b w:val="0"/>
          <w:bCs w:val="0"/>
          <w:color w:val="000000"/>
          <w:sz w:val="32"/>
          <w:szCs w:val="32"/>
          <w:lang w:val="en-US" w:eastAsia="zh-CN"/>
        </w:rPr>
        <w:t>14.67万元，完成预算100%；2101199其他</w:t>
      </w:r>
      <w:r>
        <w:rPr>
          <w:rStyle w:val="14"/>
          <w:rFonts w:hint="eastAsia" w:ascii="仿宋" w:hAnsi="仿宋" w:eastAsia="仿宋"/>
          <w:b w:val="0"/>
          <w:bCs w:val="0"/>
          <w:color w:val="000000"/>
          <w:sz w:val="32"/>
          <w:szCs w:val="32"/>
          <w:lang w:eastAsia="zh-CN"/>
        </w:rPr>
        <w:t>行政事业单位医疗支出决算数为</w:t>
      </w:r>
      <w:r>
        <w:rPr>
          <w:rStyle w:val="14"/>
          <w:rFonts w:hint="eastAsia" w:ascii="仿宋" w:hAnsi="仿宋" w:eastAsia="仿宋"/>
          <w:b w:val="0"/>
          <w:bCs w:val="0"/>
          <w:color w:val="000000"/>
          <w:sz w:val="32"/>
          <w:szCs w:val="32"/>
          <w:lang w:val="en-US" w:eastAsia="zh-CN"/>
        </w:rPr>
        <w:t>3.93万元，完成预算100%；</w:t>
      </w:r>
      <w:r>
        <w:rPr>
          <w:rStyle w:val="14"/>
          <w:rFonts w:hint="eastAsia" w:ascii="仿宋" w:hAnsi="仿宋" w:eastAsia="仿宋"/>
          <w:b w:val="0"/>
          <w:bCs w:val="0"/>
          <w:color w:val="000000"/>
          <w:sz w:val="32"/>
          <w:szCs w:val="32"/>
          <w:lang w:eastAsia="zh-CN"/>
        </w:rPr>
        <w:t>合计</w:t>
      </w:r>
      <w:r>
        <w:rPr>
          <w:rStyle w:val="14"/>
          <w:rFonts w:hint="eastAsia" w:ascii="仿宋" w:hAnsi="仿宋" w:eastAsia="仿宋"/>
          <w:b w:val="0"/>
          <w:bCs w:val="0"/>
          <w:color w:val="000000"/>
          <w:sz w:val="32"/>
          <w:szCs w:val="32"/>
        </w:rPr>
        <w:t>支出决算</w:t>
      </w:r>
      <w:r>
        <w:rPr>
          <w:rStyle w:val="14"/>
          <w:rFonts w:hint="eastAsia" w:ascii="仿宋" w:hAnsi="仿宋" w:eastAsia="仿宋"/>
          <w:b w:val="0"/>
          <w:bCs w:val="0"/>
          <w:color w:val="000000"/>
          <w:sz w:val="32"/>
          <w:szCs w:val="32"/>
          <w:lang w:eastAsia="zh-CN"/>
        </w:rPr>
        <w:t>数</w:t>
      </w:r>
      <w:r>
        <w:rPr>
          <w:rStyle w:val="14"/>
          <w:rFonts w:hint="eastAsia" w:ascii="仿宋" w:hAnsi="仿宋" w:eastAsia="仿宋"/>
          <w:b w:val="0"/>
          <w:bCs w:val="0"/>
          <w:color w:val="000000"/>
          <w:sz w:val="32"/>
          <w:szCs w:val="32"/>
        </w:rPr>
        <w:t>为</w:t>
      </w:r>
      <w:r>
        <w:rPr>
          <w:rStyle w:val="14"/>
          <w:rFonts w:hint="eastAsia" w:ascii="仿宋" w:hAnsi="仿宋" w:eastAsia="仿宋"/>
          <w:b w:val="0"/>
          <w:bCs w:val="0"/>
          <w:color w:val="000000"/>
          <w:sz w:val="32"/>
          <w:szCs w:val="32"/>
          <w:lang w:val="en-US" w:eastAsia="zh-CN"/>
        </w:rPr>
        <w:t>18.60</w:t>
      </w:r>
      <w:r>
        <w:rPr>
          <w:rStyle w:val="14"/>
          <w:rFonts w:hint="eastAsia" w:ascii="仿宋" w:hAnsi="仿宋" w:eastAsia="仿宋"/>
          <w:b w:val="0"/>
          <w:bCs w:val="0"/>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，决算数等于预算数的主要原因是</w:t>
      </w:r>
      <w:r>
        <w:rPr>
          <w:rStyle w:val="14"/>
          <w:rFonts w:hint="eastAsia" w:ascii="仿宋" w:hAnsi="仿宋" w:eastAsia="仿宋"/>
          <w:b w:val="0"/>
          <w:bCs/>
          <w:color w:val="000000"/>
          <w:sz w:val="32"/>
          <w:szCs w:val="32"/>
          <w:lang w:eastAsia="zh-CN"/>
        </w:rPr>
        <w:t>严格按照财政拨款支出要求严格控制相关支出</w:t>
      </w:r>
      <w:r>
        <w:rPr>
          <w:rStyle w:val="14"/>
          <w:rFonts w:hint="eastAsia" w:ascii="仿宋" w:hAnsi="仿宋" w:eastAsia="仿宋"/>
          <w:b w:val="0"/>
          <w:bCs/>
          <w:color w:val="000000"/>
          <w:sz w:val="32"/>
          <w:szCs w:val="32"/>
        </w:rPr>
        <w:t>。</w:t>
      </w:r>
    </w:p>
    <w:p>
      <w:pPr>
        <w:numPr>
          <w:ilvl w:val="0"/>
          <w:numId w:val="0"/>
        </w:numPr>
        <w:spacing w:line="600" w:lineRule="exact"/>
        <w:ind w:left="672" w:leftChars="0"/>
        <w:rPr>
          <w:rStyle w:val="14"/>
          <w:rFonts w:hint="eastAsia" w:ascii="仿宋" w:hAnsi="仿宋" w:eastAsia="仿宋"/>
          <w:bCs/>
          <w:color w:val="000000"/>
          <w:sz w:val="32"/>
          <w:szCs w:val="32"/>
          <w:lang w:eastAsia="zh-CN"/>
        </w:rPr>
      </w:pPr>
      <w:r>
        <w:rPr>
          <w:rStyle w:val="14"/>
          <w:rFonts w:hint="eastAsia" w:ascii="仿宋" w:hAnsi="仿宋" w:eastAsia="仿宋"/>
          <w:bCs/>
          <w:color w:val="000000"/>
          <w:sz w:val="32"/>
          <w:szCs w:val="32"/>
          <w:lang w:val="en-US" w:eastAsia="zh-CN"/>
        </w:rPr>
        <w:t>4.</w:t>
      </w:r>
      <w:r>
        <w:rPr>
          <w:rStyle w:val="14"/>
          <w:rFonts w:hint="eastAsia" w:ascii="仿宋" w:hAnsi="仿宋" w:eastAsia="仿宋"/>
          <w:bCs/>
          <w:color w:val="000000"/>
          <w:sz w:val="32"/>
          <w:szCs w:val="32"/>
          <w:lang w:eastAsia="zh-CN"/>
        </w:rPr>
        <w:t>住房保障支出</w:t>
      </w:r>
    </w:p>
    <w:p>
      <w:pPr>
        <w:numPr>
          <w:ilvl w:val="0"/>
          <w:numId w:val="0"/>
        </w:numPr>
        <w:spacing w:line="600" w:lineRule="exact"/>
        <w:ind w:firstLine="640" w:firstLineChars="200"/>
        <w:rPr>
          <w:rFonts w:ascii="仿宋" w:hAnsi="仿宋" w:eastAsia="仿宋"/>
          <w:b/>
          <w:color w:val="000000"/>
          <w:sz w:val="32"/>
          <w:szCs w:val="32"/>
        </w:rPr>
      </w:pPr>
      <w:r>
        <w:rPr>
          <w:rStyle w:val="14"/>
          <w:rFonts w:hint="eastAsia" w:ascii="仿宋" w:hAnsi="仿宋" w:eastAsia="仿宋"/>
          <w:b w:val="0"/>
          <w:bCs w:val="0"/>
          <w:color w:val="000000"/>
          <w:sz w:val="32"/>
          <w:szCs w:val="32"/>
          <w:lang w:val="en-US" w:eastAsia="zh-CN"/>
        </w:rPr>
        <w:t>2210201</w:t>
      </w:r>
      <w:r>
        <w:rPr>
          <w:rStyle w:val="14"/>
          <w:rFonts w:hint="eastAsia" w:ascii="仿宋" w:hAnsi="仿宋" w:eastAsia="仿宋"/>
          <w:b w:val="0"/>
          <w:bCs w:val="0"/>
          <w:color w:val="000000"/>
          <w:sz w:val="32"/>
          <w:szCs w:val="32"/>
          <w:lang w:eastAsia="zh-CN"/>
        </w:rPr>
        <w:t>住房公积金支出</w:t>
      </w:r>
      <w:r>
        <w:rPr>
          <w:rStyle w:val="14"/>
          <w:rFonts w:hint="eastAsia" w:ascii="仿宋" w:hAnsi="仿宋" w:eastAsia="仿宋"/>
          <w:b w:val="0"/>
          <w:bCs w:val="0"/>
          <w:color w:val="000000"/>
          <w:sz w:val="32"/>
          <w:szCs w:val="32"/>
          <w:lang w:val="en-US" w:eastAsia="zh-CN"/>
        </w:rPr>
        <w:t>26.15万元，</w:t>
      </w:r>
      <w:r>
        <w:rPr>
          <w:rStyle w:val="14"/>
          <w:rFonts w:hint="eastAsia" w:ascii="仿宋" w:hAnsi="仿宋" w:eastAsia="仿宋"/>
          <w:b w:val="0"/>
          <w:bCs w:val="0"/>
          <w:color w:val="000000"/>
          <w:sz w:val="32"/>
          <w:szCs w:val="32"/>
        </w:rPr>
        <w:t>完成预算</w:t>
      </w:r>
      <w:r>
        <w:rPr>
          <w:rStyle w:val="14"/>
          <w:rFonts w:hint="eastAsia" w:ascii="仿宋" w:hAnsi="仿宋" w:eastAsia="仿宋"/>
          <w:b w:val="0"/>
          <w:bCs w:val="0"/>
          <w:color w:val="000000"/>
          <w:sz w:val="32"/>
          <w:szCs w:val="32"/>
          <w:lang w:val="en-US" w:eastAsia="zh-CN"/>
        </w:rPr>
        <w:t>100</w:t>
      </w:r>
      <w:r>
        <w:rPr>
          <w:rStyle w:val="14"/>
          <w:rFonts w:ascii="仿宋" w:hAnsi="仿宋" w:eastAsia="仿宋"/>
          <w:b w:val="0"/>
          <w:bCs w:val="0"/>
          <w:color w:val="000000"/>
          <w:sz w:val="32"/>
          <w:szCs w:val="32"/>
        </w:rPr>
        <w:t>%</w:t>
      </w:r>
      <w:r>
        <w:rPr>
          <w:rStyle w:val="14"/>
          <w:rFonts w:hint="eastAsia" w:ascii="仿宋" w:hAnsi="仿宋" w:eastAsia="仿宋"/>
          <w:b w:val="0"/>
          <w:bCs w:val="0"/>
          <w:color w:val="000000"/>
          <w:sz w:val="32"/>
          <w:szCs w:val="32"/>
        </w:rPr>
        <w:t>，决算数等于预算数的主要原因是</w:t>
      </w:r>
      <w:r>
        <w:rPr>
          <w:rStyle w:val="14"/>
          <w:rFonts w:hint="eastAsia" w:ascii="仿宋" w:hAnsi="仿宋" w:eastAsia="仿宋"/>
          <w:b w:val="0"/>
          <w:bCs w:val="0"/>
          <w:color w:val="000000"/>
          <w:sz w:val="32"/>
          <w:szCs w:val="32"/>
          <w:lang w:eastAsia="zh-CN"/>
        </w:rPr>
        <w:t>严格按照财</w:t>
      </w:r>
      <w:r>
        <w:rPr>
          <w:rStyle w:val="14"/>
          <w:rFonts w:hint="eastAsia" w:ascii="仿宋" w:hAnsi="仿宋" w:eastAsia="仿宋"/>
          <w:b w:val="0"/>
          <w:bCs/>
          <w:color w:val="000000"/>
          <w:sz w:val="32"/>
          <w:szCs w:val="32"/>
          <w:lang w:eastAsia="zh-CN"/>
        </w:rPr>
        <w:t>政拨款支出要求严格控制相关支出</w:t>
      </w:r>
      <w:r>
        <w:rPr>
          <w:rStyle w:val="14"/>
          <w:rFonts w:hint="eastAsia" w:ascii="仿宋" w:hAnsi="仿宋" w:eastAsia="仿宋"/>
          <w:b w:val="0"/>
          <w:bCs/>
          <w:color w:val="000000"/>
          <w:sz w:val="32"/>
          <w:szCs w:val="32"/>
        </w:rPr>
        <w:t>。</w:t>
      </w:r>
    </w:p>
    <w:p>
      <w:pPr>
        <w:tabs>
          <w:tab w:val="right" w:pos="8306"/>
        </w:tabs>
        <w:spacing w:line="600" w:lineRule="exact"/>
        <w:ind w:firstLine="640"/>
        <w:outlineLvl w:val="1"/>
        <w:rPr>
          <w:rStyle w:val="25"/>
        </w:rPr>
      </w:pPr>
      <w:bookmarkStart w:id="78" w:name="_Toc15396608"/>
      <w:bookmarkStart w:id="79" w:name="_Toc15377214"/>
      <w:bookmarkStart w:id="80" w:name="_Toc6262"/>
      <w:bookmarkStart w:id="81" w:name="_Toc21687"/>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78"/>
      <w:bookmarkEnd w:id="79"/>
      <w:bookmarkEnd w:id="80"/>
      <w:bookmarkEnd w:id="8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467.23</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325.85</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68.41万元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104.76万元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42.59万元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11.74万元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30.63万元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14.14万元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14.67万元、公务员医疗补助缴费3.93万元、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4.52万元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1.66万元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26.15万元、生活补助2.03万元、救济费0.19万元、医疗费补助0.44万元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59.72</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5.99万元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4万元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0.99万元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15.20万元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30.31万元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0.08万元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委托业务费</w:t>
      </w:r>
      <w:r>
        <w:rPr>
          <w:rFonts w:hint="eastAsia" w:ascii="仿宋" w:hAnsi="仿宋" w:eastAsia="仿宋"/>
          <w:color w:val="000000"/>
          <w:sz w:val="32"/>
          <w:szCs w:val="32"/>
          <w:lang w:val="en-US" w:eastAsia="zh-CN"/>
        </w:rPr>
        <w:t>1.18万元、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1.96万元</w:t>
      </w:r>
      <w:r>
        <w:rPr>
          <w:rFonts w:hint="eastAsia" w:ascii="仿宋" w:hAnsi="仿宋" w:eastAsia="仿宋"/>
          <w:color w:val="000000"/>
          <w:sz w:val="32"/>
          <w:szCs w:val="32"/>
        </w:rPr>
        <w:t>。</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w:t>
      </w:r>
    </w:p>
    <w:p>
      <w:pPr>
        <w:spacing w:line="600" w:lineRule="exact"/>
        <w:ind w:firstLine="640"/>
        <w:outlineLvl w:val="1"/>
        <w:rPr>
          <w:rStyle w:val="25"/>
          <w:rFonts w:ascii="黑体" w:hAnsi="黑体" w:eastAsia="黑体"/>
          <w:b w:val="0"/>
        </w:rPr>
      </w:pPr>
      <w:bookmarkStart w:id="82" w:name="_Toc15377215"/>
      <w:bookmarkStart w:id="83" w:name="_Toc15396609"/>
      <w:bookmarkStart w:id="84" w:name="_Toc31148"/>
      <w:bookmarkStart w:id="85" w:name="_Toc1345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82"/>
      <w:bookmarkEnd w:id="83"/>
      <w:bookmarkEnd w:id="84"/>
      <w:bookmarkEnd w:id="85"/>
    </w:p>
    <w:p>
      <w:pPr>
        <w:spacing w:line="600" w:lineRule="exact"/>
        <w:ind w:firstLine="640"/>
        <w:outlineLvl w:val="2"/>
        <w:rPr>
          <w:rFonts w:ascii="仿宋" w:hAnsi="仿宋" w:eastAsia="仿宋"/>
          <w:b/>
          <w:color w:val="000000"/>
          <w:sz w:val="32"/>
          <w:szCs w:val="32"/>
        </w:rPr>
      </w:pPr>
      <w:bookmarkStart w:id="86" w:name="_Toc1499"/>
      <w:bookmarkStart w:id="87" w:name="_Toc15377216"/>
      <w:bookmarkStart w:id="88" w:name="_Toc30718"/>
      <w:r>
        <w:rPr>
          <w:rFonts w:hint="eastAsia" w:ascii="仿宋" w:hAnsi="仿宋" w:eastAsia="仿宋"/>
          <w:b/>
          <w:color w:val="000000"/>
          <w:sz w:val="32"/>
          <w:szCs w:val="32"/>
        </w:rPr>
        <w:t>（一）“三公”经费财政拨款支出决算总体情况说明</w:t>
      </w:r>
      <w:bookmarkEnd w:id="86"/>
      <w:bookmarkEnd w:id="87"/>
      <w:bookmarkEnd w:id="88"/>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1.96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89" w:name="_Toc15377217"/>
      <w:bookmarkStart w:id="90" w:name="_Toc10722"/>
      <w:bookmarkStart w:id="91" w:name="_Toc21024"/>
      <w:r>
        <w:rPr>
          <w:rFonts w:hint="eastAsia" w:ascii="仿宋" w:hAnsi="仿宋" w:eastAsia="仿宋"/>
          <w:b/>
          <w:color w:val="000000"/>
          <w:sz w:val="32"/>
          <w:szCs w:val="32"/>
        </w:rPr>
        <w:t>（二）“三公”经费财政拨款支出决算具体情况说明</w:t>
      </w:r>
      <w:bookmarkEnd w:id="89"/>
      <w:bookmarkEnd w:id="90"/>
      <w:bookmarkEnd w:id="91"/>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88960" behindDoc="0" locked="0" layoutInCell="1" allowOverlap="1">
            <wp:simplePos x="0" y="0"/>
            <wp:positionH relativeFrom="column">
              <wp:posOffset>438150</wp:posOffset>
            </wp:positionH>
            <wp:positionV relativeFrom="paragraph">
              <wp:posOffset>330835</wp:posOffset>
            </wp:positionV>
            <wp:extent cx="5007610" cy="2597150"/>
            <wp:effectExtent l="4445" t="4445" r="17145" b="825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hint="eastAsia" w:ascii="仿宋_GB2312" w:eastAsia="仿宋_GB2312"/>
          <w:color w:val="000000"/>
          <w:sz w:val="32"/>
          <w:szCs w:val="32"/>
          <w:lang w:val="en-US"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1.96</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1.46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42.69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严格按照“八项规定”，控制相关开支，减少相关支出</w:t>
      </w:r>
      <w:r>
        <w:rPr>
          <w:rFonts w:hint="eastAsia" w:ascii="仿宋_GB2312" w:eastAsia="仿宋_GB2312"/>
          <w:color w:val="000000"/>
          <w:sz w:val="32"/>
          <w:szCs w:val="32"/>
        </w:rPr>
        <w:t>。</w:t>
      </w:r>
    </w:p>
    <w:p>
      <w:pPr>
        <w:spacing w:line="600" w:lineRule="exact"/>
        <w:ind w:firstLine="640" w:firstLineChars="200"/>
        <w:rPr>
          <w:rFonts w:hint="default" w:ascii="仿宋_GB2312" w:eastAsia="仿宋_GB2312"/>
          <w:color w:val="000000"/>
          <w:sz w:val="32"/>
          <w:szCs w:val="32"/>
          <w:lang w:val="en-US"/>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工程车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1.96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单位领导、记者及其他工作人员下乡及采访</w:t>
      </w:r>
      <w:r>
        <w:rPr>
          <w:rFonts w:hint="eastAsia" w:ascii="仿宋_GB2312" w:eastAsia="仿宋_GB2312"/>
          <w:color w:val="000000"/>
          <w:sz w:val="32"/>
          <w:szCs w:val="32"/>
        </w:rPr>
        <w:t>等所需的公务用车燃料费、维修费、过路过桥费、保险费等支出。</w:t>
      </w:r>
    </w:p>
    <w:p>
      <w:pPr>
        <w:spacing w:line="600" w:lineRule="exact"/>
        <w:ind w:firstLine="643" w:firstLineChars="200"/>
        <w:rPr>
          <w:rFonts w:hint="default" w:ascii="仿宋_GB2312" w:eastAsia="仿宋_GB2312"/>
          <w:color w:val="000000" w:themeColor="text1"/>
          <w:sz w:val="32"/>
          <w:szCs w:val="32"/>
          <w:lang w:val="en-US"/>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0"/>
        <w:outlineLvl w:val="1"/>
        <w:rPr>
          <w:rFonts w:ascii="黑体" w:eastAsia="黑体"/>
          <w:color w:val="000000"/>
          <w:sz w:val="32"/>
          <w:szCs w:val="32"/>
        </w:rPr>
      </w:pPr>
      <w:bookmarkStart w:id="92" w:name="_Toc15377218"/>
      <w:bookmarkStart w:id="93" w:name="_Toc15396610"/>
    </w:p>
    <w:p>
      <w:pPr>
        <w:spacing w:line="600" w:lineRule="exact"/>
        <w:ind w:firstLine="640"/>
        <w:outlineLvl w:val="1"/>
        <w:rPr>
          <w:rStyle w:val="25"/>
          <w:rFonts w:ascii="黑体" w:hAnsi="黑体" w:eastAsia="黑体"/>
        </w:rPr>
      </w:pPr>
      <w:bookmarkStart w:id="94" w:name="_Toc28764"/>
      <w:bookmarkStart w:id="95" w:name="_Toc23043"/>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92"/>
      <w:bookmarkEnd w:id="93"/>
      <w:bookmarkEnd w:id="94"/>
      <w:bookmarkEnd w:id="9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5"/>
          <w:rFonts w:ascii="黑体" w:hAnsi="黑体" w:eastAsia="黑体"/>
          <w:b w:val="0"/>
        </w:rPr>
      </w:pPr>
      <w:bookmarkStart w:id="96" w:name="_Toc8304"/>
      <w:bookmarkStart w:id="97" w:name="_Toc13488"/>
      <w:bookmarkStart w:id="98" w:name="_Toc15377219"/>
      <w:bookmarkStart w:id="99" w:name="_Toc15396611"/>
      <w:r>
        <w:rPr>
          <w:rStyle w:val="25"/>
          <w:rFonts w:hint="eastAsia" w:ascii="黑体" w:hAnsi="黑体" w:eastAsia="黑体"/>
          <w:b w:val="0"/>
        </w:rPr>
        <w:t>国有资本经营预算支出决算情况说明</w:t>
      </w:r>
      <w:bookmarkEnd w:id="96"/>
      <w:bookmarkEnd w:id="97"/>
      <w:bookmarkEnd w:id="98"/>
      <w:bookmarkEnd w:id="9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100" w:name="_Toc15396612"/>
      <w:bookmarkStart w:id="101" w:name="_Toc15377221"/>
      <w:bookmarkStart w:id="102" w:name="_Toc32227"/>
      <w:bookmarkStart w:id="103" w:name="_Toc25687"/>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100"/>
      <w:bookmarkEnd w:id="101"/>
      <w:bookmarkEnd w:id="102"/>
      <w:bookmarkEnd w:id="103"/>
    </w:p>
    <w:p>
      <w:pPr>
        <w:spacing w:line="600" w:lineRule="exact"/>
        <w:ind w:firstLine="643" w:firstLineChars="200"/>
        <w:outlineLvl w:val="2"/>
        <w:rPr>
          <w:rFonts w:ascii="仿宋" w:hAnsi="仿宋" w:eastAsia="仿宋"/>
          <w:color w:val="000000"/>
          <w:sz w:val="32"/>
          <w:szCs w:val="32"/>
        </w:rPr>
      </w:pPr>
      <w:bookmarkStart w:id="104" w:name="_Toc15377222"/>
      <w:bookmarkStart w:id="105" w:name="_Toc29676"/>
      <w:bookmarkStart w:id="106" w:name="_Toc4681"/>
      <w:r>
        <w:rPr>
          <w:rFonts w:hint="eastAsia" w:ascii="仿宋" w:hAnsi="仿宋" w:eastAsia="仿宋"/>
          <w:b/>
          <w:color w:val="000000"/>
          <w:sz w:val="32"/>
          <w:szCs w:val="32"/>
        </w:rPr>
        <w:t>（一）机关运行经费支出情况</w:t>
      </w:r>
      <w:bookmarkEnd w:id="104"/>
      <w:bookmarkEnd w:id="105"/>
      <w:bookmarkEnd w:id="106"/>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广播电视台</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467.23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86.65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22.77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人员工资增加。</w:t>
      </w:r>
    </w:p>
    <w:p>
      <w:pPr>
        <w:spacing w:line="600" w:lineRule="exact"/>
        <w:ind w:firstLine="640" w:firstLineChars="200"/>
        <w:rPr>
          <w:rFonts w:ascii="仿宋_GB2312" w:eastAsia="仿宋_GB2312"/>
          <w:color w:val="000000" w:themeColor="text1"/>
          <w:sz w:val="32"/>
          <w:szCs w:val="32"/>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7" w:name="_Toc15377223"/>
      <w:bookmarkStart w:id="108" w:name="_Toc8279"/>
      <w:bookmarkStart w:id="109" w:name="_Toc7668"/>
      <w:r>
        <w:rPr>
          <w:rFonts w:hint="eastAsia" w:ascii="仿宋" w:hAnsi="仿宋" w:eastAsia="仿宋"/>
          <w:b/>
          <w:color w:val="000000"/>
          <w:sz w:val="32"/>
          <w:szCs w:val="32"/>
        </w:rPr>
        <w:t>（二）政府采购支出情况</w:t>
      </w:r>
      <w:bookmarkEnd w:id="107"/>
      <w:bookmarkEnd w:id="108"/>
      <w:bookmarkEnd w:id="10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红原县广播电视台</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0" w:name="_Toc15377224"/>
      <w:bookmarkStart w:id="111" w:name="_Toc622"/>
      <w:bookmarkStart w:id="112" w:name="_Toc5603"/>
      <w:r>
        <w:rPr>
          <w:rFonts w:hint="eastAsia" w:ascii="仿宋" w:hAnsi="仿宋" w:eastAsia="仿宋"/>
          <w:b/>
          <w:color w:val="000000"/>
          <w:sz w:val="32"/>
          <w:szCs w:val="32"/>
        </w:rPr>
        <w:t>（三）国有资产占有使用情况</w:t>
      </w:r>
      <w:bookmarkEnd w:id="110"/>
      <w:bookmarkEnd w:id="111"/>
      <w:bookmarkEnd w:id="112"/>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红原县广播电视台</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应急保障</w:t>
      </w:r>
      <w:r>
        <w:rPr>
          <w:rFonts w:hint="eastAsia" w:ascii="仿宋_GB2312" w:eastAsia="仿宋_GB2312"/>
          <w:color w:val="000000"/>
          <w:sz w:val="32"/>
          <w:szCs w:val="32"/>
        </w:rPr>
        <w:t>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8</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台（套）。</w:t>
      </w:r>
    </w:p>
    <w:p>
      <w:pPr>
        <w:numPr>
          <w:ilvl w:val="0"/>
          <w:numId w:val="4"/>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113" w:name="_Toc11601"/>
      <w:bookmarkStart w:id="114" w:name="_Toc2806"/>
      <w:r>
        <w:rPr>
          <w:rFonts w:hint="eastAsia" w:ascii="仿宋" w:hAnsi="仿宋" w:eastAsia="仿宋"/>
          <w:b/>
          <w:color w:val="000000"/>
          <w:sz w:val="32"/>
          <w:szCs w:val="32"/>
        </w:rPr>
        <w:t>预算绩效管理情况。</w:t>
      </w:r>
      <w:bookmarkEnd w:id="113"/>
      <w:bookmarkEnd w:id="114"/>
    </w:p>
    <w:p>
      <w:pPr>
        <w:numPr>
          <w:ilvl w:val="0"/>
          <w:numId w:val="0"/>
        </w:numPr>
        <w:autoSpaceDE w:val="0"/>
        <w:autoSpaceDN w:val="0"/>
        <w:adjustRightInd w:val="0"/>
        <w:spacing w:line="600" w:lineRule="exact"/>
        <w:jc w:val="left"/>
        <w:outlineLvl w:val="2"/>
        <w:rPr>
          <w:rFonts w:hint="default"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 xml:space="preserve">    </w:t>
      </w:r>
      <w:bookmarkStart w:id="115" w:name="_Toc25505"/>
      <w:bookmarkStart w:id="116" w:name="_Toc19467"/>
      <w:r>
        <w:rPr>
          <w:rFonts w:hint="eastAsia" w:ascii="楷体_GB2312" w:hAnsi="楷体_GB2312" w:eastAsia="楷体_GB2312" w:cs="楷体_GB2312"/>
          <w:sz w:val="32"/>
          <w:szCs w:val="32"/>
        </w:rPr>
        <w:t>1.项目绩效目标完成情况</w:t>
      </w:r>
      <w:bookmarkEnd w:id="115"/>
      <w:bookmarkEnd w:id="116"/>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sz w:val="32"/>
          <w:szCs w:val="32"/>
          <w:shd w:val="clear" w:fill="FFFFFF"/>
        </w:rPr>
        <w:t>项目支出绩效评价情况;无项目支出</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红原县广播电视台</w:t>
      </w:r>
      <w:r>
        <w:rPr>
          <w:rFonts w:hint="eastAsia" w:ascii="仿宋_GB2312" w:hAnsi="仿宋_GB2312" w:eastAsia="仿宋_GB2312" w:cs="仿宋_GB2312"/>
          <w:sz w:val="32"/>
          <w:szCs w:val="32"/>
        </w:rPr>
        <w:t>部门201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2019年无项目预算拨款</w:t>
      </w:r>
    </w:p>
    <w:p>
      <w:pPr>
        <w:spacing w:line="580" w:lineRule="exact"/>
        <w:ind w:firstLine="640" w:firstLineChars="200"/>
        <w:rPr>
          <w:rFonts w:hint="eastAsia" w:ascii="仿宋_GB2312" w:hAnsi="仿宋_GB2312" w:eastAsia="仿宋_GB2312" w:cs="仿宋_GB2312"/>
          <w:sz w:val="32"/>
          <w:szCs w:val="32"/>
          <w:lang w:val="en-US" w:eastAsia="zh-CN"/>
        </w:rPr>
      </w:pPr>
    </w:p>
    <w:p>
      <w:pPr>
        <w:spacing w:line="580" w:lineRule="exact"/>
        <w:ind w:firstLine="640" w:firstLineChars="200"/>
        <w:rPr>
          <w:rFonts w:hint="eastAsia" w:ascii="仿宋_GB2312" w:hAnsi="仿宋_GB2312" w:eastAsia="仿宋_GB2312" w:cs="仿宋_GB2312"/>
          <w:sz w:val="32"/>
          <w:szCs w:val="32"/>
          <w:lang w:val="en-US" w:eastAsia="zh-CN"/>
        </w:rPr>
      </w:pPr>
    </w:p>
    <w:p>
      <w:pPr>
        <w:spacing w:line="580" w:lineRule="exact"/>
        <w:ind w:firstLine="640" w:firstLineChars="200"/>
        <w:rPr>
          <w:rFonts w:hint="eastAsia" w:ascii="仿宋_GB2312" w:hAnsi="仿宋_GB2312" w:eastAsia="仿宋_GB2312" w:cs="仿宋_GB2312"/>
          <w:sz w:val="32"/>
          <w:szCs w:val="32"/>
          <w:lang w:val="en-US" w:eastAsia="zh-CN"/>
        </w:rPr>
      </w:pPr>
    </w:p>
    <w:p>
      <w:pPr>
        <w:spacing w:line="580" w:lineRule="exact"/>
        <w:ind w:firstLine="640" w:firstLineChars="200"/>
        <w:rPr>
          <w:rFonts w:hint="eastAsia" w:ascii="仿宋_GB2312" w:hAnsi="仿宋_GB2312" w:eastAsia="仿宋_GB2312" w:cs="仿宋_GB2312"/>
          <w:sz w:val="32"/>
          <w:szCs w:val="32"/>
          <w:lang w:val="en-US" w:eastAsia="zh-CN"/>
        </w:rPr>
      </w:pPr>
    </w:p>
    <w:p>
      <w:pPr>
        <w:spacing w:line="580" w:lineRule="exact"/>
        <w:ind w:firstLine="640" w:firstLineChars="200"/>
        <w:rPr>
          <w:rFonts w:hint="eastAsia" w:ascii="仿宋_GB2312" w:hAnsi="仿宋_GB2312" w:eastAsia="仿宋_GB2312" w:cs="仿宋_GB2312"/>
          <w:sz w:val="32"/>
          <w:szCs w:val="32"/>
          <w:lang w:val="en-US" w:eastAsia="zh-CN"/>
        </w:rPr>
      </w:pPr>
    </w:p>
    <w:p>
      <w:pPr>
        <w:spacing w:line="580" w:lineRule="exact"/>
        <w:rPr>
          <w:rFonts w:hint="eastAsia" w:ascii="仿宋_GB2312" w:hAnsi="仿宋_GB2312" w:eastAsia="仿宋_GB2312" w:cs="仿宋_GB2312"/>
          <w:sz w:val="32"/>
          <w:szCs w:val="32"/>
          <w:lang w:val="en-US" w:eastAsia="zh-CN"/>
        </w:rPr>
      </w:pPr>
    </w:p>
    <w:p>
      <w:pPr>
        <w:spacing w:line="580" w:lineRule="exact"/>
        <w:ind w:firstLine="640" w:firstLineChars="200"/>
        <w:rPr>
          <w:rFonts w:hint="eastAsia" w:ascii="仿宋_GB2312" w:hAnsi="仿宋_GB2312" w:eastAsia="仿宋_GB2312" w:cs="仿宋_GB2312"/>
          <w:sz w:val="32"/>
          <w:szCs w:val="32"/>
          <w:lang w:val="en-US" w:eastAsia="zh-CN"/>
        </w:rPr>
      </w:pPr>
    </w:p>
    <w:p>
      <w:pPr>
        <w:numPr>
          <w:ilvl w:val="0"/>
          <w:numId w:val="5"/>
        </w:numPr>
        <w:spacing w:line="600" w:lineRule="exact"/>
        <w:ind w:firstLine="660" w:firstLineChars="150"/>
        <w:jc w:val="center"/>
        <w:outlineLvl w:val="0"/>
        <w:rPr>
          <w:rStyle w:val="24"/>
          <w:rFonts w:ascii="黑体" w:hAnsi="黑体" w:eastAsia="黑体"/>
          <w:b w:val="0"/>
        </w:rPr>
      </w:pPr>
      <w:bookmarkStart w:id="117" w:name="_Toc23671"/>
      <w:bookmarkStart w:id="118" w:name="_Toc17173"/>
      <w:bookmarkStart w:id="119" w:name="_Toc15396613"/>
      <w:bookmarkStart w:id="120"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117"/>
      <w:bookmarkEnd w:id="118"/>
      <w:bookmarkEnd w:id="119"/>
      <w:bookmarkEnd w:id="120"/>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bookmarkStart w:id="12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文化体育与传媒</w:t>
      </w:r>
      <w:r>
        <w:rPr>
          <w:rFonts w:hint="eastAsia" w:ascii="仿宋_GB2312" w:eastAsia="仿宋_GB2312"/>
          <w:color w:val="000000"/>
          <w:sz w:val="32"/>
          <w:szCs w:val="32"/>
          <w:lang w:eastAsia="zh-CN"/>
        </w:rPr>
        <w:t>：反映政府在文化、文物、体育、广播影视、新闻出版等方面的支出。</w:t>
      </w:r>
    </w:p>
    <w:p>
      <w:pPr>
        <w:ind w:firstLine="960" w:firstLineChars="300"/>
        <w:rPr>
          <w:rFonts w:hint="eastAsia" w:ascii="仿宋_GB2312" w:eastAsia="仿宋_GB2312"/>
          <w:color w:val="000000"/>
          <w:sz w:val="32"/>
          <w:szCs w:val="32"/>
        </w:rPr>
      </w:pPr>
      <w:r>
        <w:rPr>
          <w:rFonts w:hint="eastAsia" w:ascii="仿宋_GB2312" w:eastAsia="仿宋_GB2312"/>
          <w:color w:val="000000"/>
          <w:sz w:val="32"/>
          <w:szCs w:val="32"/>
          <w:lang w:val="en-US" w:eastAsia="zh-CN"/>
        </w:rPr>
        <w:t>2070404广播：反映广播电台、广播发射台、广播转播及有线广播的支出</w:t>
      </w:r>
      <w:r>
        <w:rPr>
          <w:rFonts w:hint="eastAsia" w:ascii="仿宋_GB2312" w:eastAsia="仿宋_GB2312"/>
          <w:color w:val="000000"/>
          <w:sz w:val="32"/>
          <w:szCs w:val="32"/>
        </w:rPr>
        <w:t>。</w:t>
      </w:r>
    </w:p>
    <w:p>
      <w:pPr>
        <w:ind w:firstLine="960" w:firstLine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2070405电视：反映电视台、电视发射台、电视转播台的支出。</w:t>
      </w:r>
    </w:p>
    <w:p>
      <w:pPr>
        <w:ind w:firstLine="960" w:firstLine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2070499其他新闻出版广播影视支出：反映除上述项目以外其他用于新闻出版、广播影视方面的支出。</w:t>
      </w:r>
    </w:p>
    <w:p>
      <w:pPr>
        <w:ind w:firstLine="960" w:firstLineChars="3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2079999其他文化体育与传媒支出：反映除上述项目以外其他文化体育与传媒方面的支出。</w:t>
      </w:r>
    </w:p>
    <w:p>
      <w:pPr>
        <w:numPr>
          <w:ilvl w:val="0"/>
          <w:numId w:val="0"/>
        </w:numPr>
        <w:ind w:firstLine="960" w:firstLine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反映政府在社会保障与就业方面的支出。</w:t>
      </w:r>
    </w:p>
    <w:p>
      <w:pPr>
        <w:numPr>
          <w:ilvl w:val="0"/>
          <w:numId w:val="0"/>
        </w:numPr>
        <w:ind w:leftChars="200" w:firstLine="960" w:firstLineChars="3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2080505机关事业单位基本养老保险缴费支出指机关事业单位实施养老保险制度由单位实际缴纳的基本养老保险缴费支出。</w:t>
      </w:r>
    </w:p>
    <w:p>
      <w:pPr>
        <w:numPr>
          <w:ilvl w:val="0"/>
          <w:numId w:val="0"/>
        </w:numPr>
        <w:ind w:leftChars="200"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2080506机关事业单位职业年金反映机关事业单位实施养老保险制度由单位实际缴纳的职业年金缴费支出。</w:t>
      </w:r>
    </w:p>
    <w:p>
      <w:pPr>
        <w:numPr>
          <w:ilvl w:val="0"/>
          <w:numId w:val="0"/>
        </w:numPr>
        <w:ind w:firstLine="960" w:firstLineChars="3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eastAsia="zh-CN"/>
        </w:rPr>
        <w:t>支出：</w:t>
      </w:r>
      <w:r>
        <w:rPr>
          <w:rFonts w:hint="eastAsia" w:ascii="仿宋_GB2312" w:eastAsia="仿宋_GB2312"/>
          <w:color w:val="000000"/>
          <w:sz w:val="32"/>
          <w:szCs w:val="32"/>
          <w:lang w:val="en-US" w:eastAsia="zh-CN"/>
        </w:rPr>
        <w:t>反映医疗卫生与计划生育、中医等管理事务方面的支出。</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2101102事业单位医疗：反映财政部门集中安排的事业单位基本医疗保险缴费经费,未参加医疗保险的事业单位的公费医疗经费,按国家规定享受离休人员待遇的医疗经费。</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2101199其他行政事业单位医疗支出：反映除上述项目以外的其他用于行政事业单位医疗方面的支出。</w:t>
      </w:r>
    </w:p>
    <w:p>
      <w:pPr>
        <w:numPr>
          <w:ilvl w:val="0"/>
          <w:numId w:val="0"/>
        </w:numPr>
        <w:ind w:leftChars="5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支出：集中反映政府用于住房方面的支出。</w:t>
      </w:r>
    </w:p>
    <w:p>
      <w:pPr>
        <w:numPr>
          <w:ilvl w:val="0"/>
          <w:numId w:val="0"/>
        </w:numPr>
        <w:ind w:leftChars="500"/>
        <w:rPr>
          <w:rFonts w:ascii="仿宋" w:hAnsi="仿宋" w:eastAsia="仿宋"/>
          <w:b/>
          <w:color w:val="000000"/>
          <w:sz w:val="32"/>
          <w:szCs w:val="32"/>
        </w:rPr>
      </w:pPr>
      <w:r>
        <w:rPr>
          <w:rFonts w:hint="eastAsia" w:ascii="仿宋_GB2312" w:eastAsia="仿宋_GB2312"/>
          <w:color w:val="000000"/>
          <w:sz w:val="32"/>
          <w:szCs w:val="32"/>
          <w:lang w:val="en-US" w:eastAsia="zh-CN"/>
        </w:rPr>
        <w:t xml:space="preserve">  2210201住房公积金</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lang w:eastAsia="zh-CN"/>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r>
        <w:rPr>
          <w:rFonts w:ascii="宋体"/>
          <w:b/>
          <w:color w:val="000000"/>
          <w:sz w:val="44"/>
          <w:szCs w:val="44"/>
        </w:rPr>
        <w:br w:type="page"/>
      </w:r>
      <w:bookmarkStart w:id="122" w:name="_Toc15396614"/>
      <w:bookmarkStart w:id="123" w:name="_Toc7314"/>
      <w:bookmarkStart w:id="124" w:name="_Toc7564"/>
      <w:r>
        <w:rPr>
          <w:rFonts w:hint="eastAsia" w:ascii="黑体" w:hAnsi="黑体" w:eastAsia="黑体"/>
          <w:color w:val="000000"/>
          <w:sz w:val="44"/>
          <w:szCs w:val="44"/>
        </w:rPr>
        <w:t>第</w:t>
      </w:r>
      <w:r>
        <w:rPr>
          <w:rStyle w:val="24"/>
          <w:rFonts w:hint="eastAsia" w:ascii="黑体" w:hAnsi="黑体" w:eastAsia="黑体"/>
          <w:b w:val="0"/>
        </w:rPr>
        <w:t>四部分 附件</w:t>
      </w:r>
      <w:bookmarkEnd w:id="122"/>
      <w:bookmarkEnd w:id="123"/>
      <w:bookmarkEnd w:id="124"/>
    </w:p>
    <w:p>
      <w:pPr>
        <w:spacing w:line="600" w:lineRule="exact"/>
        <w:jc w:val="left"/>
        <w:outlineLvl w:val="0"/>
        <w:rPr>
          <w:rFonts w:ascii="方正小标宋简体" w:hAnsi="方正小标宋简体" w:eastAsia="方正小标宋简体" w:cs="方正小标宋简体"/>
          <w:sz w:val="32"/>
          <w:szCs w:val="32"/>
        </w:rPr>
      </w:pPr>
      <w:bookmarkStart w:id="125" w:name="_Toc8861"/>
      <w:bookmarkStart w:id="126" w:name="_Toc17431"/>
      <w:r>
        <w:rPr>
          <w:rFonts w:hint="eastAsia" w:ascii="黑体" w:hAnsi="黑体" w:eastAsia="黑体" w:cs="黑体"/>
          <w:sz w:val="32"/>
          <w:szCs w:val="32"/>
        </w:rPr>
        <w:t>附件1</w:t>
      </w:r>
      <w:bookmarkEnd w:id="125"/>
      <w:bookmarkEnd w:id="126"/>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红原县广播电视台</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w:t>
      </w: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绩效评价报告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lang w:val="zh-CN" w:bidi="ar"/>
        </w:rPr>
        <w:t>本部门内设机构</w:t>
      </w:r>
      <w:r>
        <w:rPr>
          <w:rFonts w:hint="eastAsia" w:ascii="仿宋_GB2312" w:hAnsi="宋体" w:cs="宋体"/>
          <w:color w:val="000000"/>
          <w:kern w:val="0"/>
          <w:sz w:val="32"/>
          <w:lang w:bidi="ar"/>
        </w:rPr>
        <w:t>6</w:t>
      </w:r>
      <w:r>
        <w:rPr>
          <w:rFonts w:hint="eastAsia" w:ascii="仿宋_GB2312" w:hAnsi="宋体" w:eastAsia="仿宋_GB2312" w:cs="宋体"/>
          <w:color w:val="000000"/>
          <w:kern w:val="0"/>
          <w:sz w:val="32"/>
          <w:lang w:val="zh-CN" w:bidi="ar"/>
        </w:rPr>
        <w:t>个，为办公室、总编室、编辑制作股、通联外宣股、民族语言译制股、技术股</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pStyle w:val="5"/>
        <w:adjustRightInd w:val="0"/>
        <w:snapToGrid w:val="0"/>
        <w:spacing w:line="536" w:lineRule="exact"/>
        <w:ind w:firstLine="800" w:firstLineChars="250"/>
        <w:rPr>
          <w:rFonts w:hint="default" w:ascii="仿宋_GB2312" w:hAnsi="宋体" w:eastAsia="仿宋_GB2312" w:cs="宋体"/>
          <w:color w:val="000000"/>
          <w:kern w:val="0"/>
          <w:sz w:val="32"/>
          <w:szCs w:val="32"/>
          <w:shd w:val="clear" w:color="auto" w:fill="FFFFFF"/>
          <w:lang w:val="en-US" w:eastAsia="zh-CN"/>
        </w:rPr>
      </w:pPr>
      <w:r>
        <w:rPr>
          <w:rFonts w:hint="eastAsia"/>
          <w:bCs/>
          <w:color w:val="000000"/>
          <w:sz w:val="32"/>
          <w:szCs w:val="32"/>
        </w:rPr>
        <w:t>我台主要职能是</w:t>
      </w:r>
      <w:r>
        <w:rPr>
          <w:rFonts w:hint="eastAsia" w:hAnsi="仿宋_GB2312" w:cs="仿宋_GB2312"/>
          <w:bCs/>
          <w:sz w:val="32"/>
          <w:szCs w:val="32"/>
        </w:rPr>
        <w:t>贯彻、执行党和政府有关新闻宣传、电视文艺的方针、政策、法律、法规，把握好全县广播电视舆论导向和文艺方向，在县委、县政府和县委宣传部的领导下，对全县广播电视节目进行审查把关。负责编制全县近期和中长期广播电视工作的目标、事业和技术发展的规划，并组织实施。负责广播电视网络多功能综合业务的开发与应用，经营广播电视广告业务。承办县委、县政府和上级业务主管部门交办的其他事项。</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Cs/>
          <w:sz w:val="32"/>
          <w:szCs w:val="32"/>
        </w:rPr>
        <w:t>截止201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年底我单位共有编制24个，其中事业编制24个，在职21人，其中参公8人、事业编制13人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536" w:lineRule="exact"/>
        <w:ind w:firstLine="800" w:firstLineChars="25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年广播电视台本年收入合计</w:t>
      </w:r>
      <w:r>
        <w:rPr>
          <w:rFonts w:hint="eastAsia" w:ascii="仿宋_GB2312" w:eastAsia="仿宋_GB2312"/>
          <w:color w:val="000000"/>
          <w:sz w:val="32"/>
          <w:szCs w:val="32"/>
          <w:lang w:val="en-US" w:eastAsia="zh-CN"/>
        </w:rPr>
        <w:t>460.81万元</w:t>
      </w:r>
      <w:r>
        <w:rPr>
          <w:rFonts w:hint="eastAsia" w:ascii="仿宋_GB2312" w:eastAsia="仿宋_GB2312"/>
          <w:color w:val="000000"/>
          <w:sz w:val="32"/>
          <w:szCs w:val="32"/>
        </w:rPr>
        <w:t>，其中：一般公共预算财政拨款收入</w:t>
      </w:r>
      <w:r>
        <w:rPr>
          <w:rFonts w:hint="eastAsia" w:ascii="仿宋_GB2312" w:eastAsia="仿宋_GB2312"/>
          <w:color w:val="000000"/>
          <w:sz w:val="32"/>
          <w:szCs w:val="32"/>
          <w:lang w:val="en-US" w:eastAsia="zh-CN"/>
        </w:rPr>
        <w:t>460.81万元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pPr>
        <w:spacing w:line="536" w:lineRule="exact"/>
        <w:ind w:firstLine="800" w:firstLineChars="250"/>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年广播电视台预算下达资金收入</w:t>
      </w:r>
      <w:r>
        <w:rPr>
          <w:rFonts w:hint="eastAsia" w:ascii="仿宋_GB2312" w:eastAsia="仿宋_GB2312"/>
          <w:color w:val="000000"/>
          <w:sz w:val="32"/>
          <w:szCs w:val="32"/>
          <w:lang w:val="en-US" w:eastAsia="zh-CN"/>
        </w:rPr>
        <w:t>460.81万元</w:t>
      </w:r>
      <w:r>
        <w:rPr>
          <w:rFonts w:hint="eastAsia" w:ascii="仿宋_GB2312" w:eastAsia="仿宋_GB2312"/>
          <w:color w:val="000000"/>
          <w:sz w:val="32"/>
          <w:szCs w:val="32"/>
        </w:rPr>
        <w:t>，其中：一般公共预算财政拨款收入</w:t>
      </w:r>
      <w:r>
        <w:rPr>
          <w:rFonts w:hint="eastAsia" w:ascii="仿宋_GB2312" w:eastAsia="仿宋_GB2312"/>
          <w:color w:val="000000"/>
          <w:sz w:val="32"/>
          <w:szCs w:val="32"/>
          <w:lang w:val="en-US" w:eastAsia="zh-CN"/>
        </w:rPr>
        <w:t>460.81万元。</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numPr>
          <w:ilvl w:val="0"/>
          <w:numId w:val="0"/>
        </w:numPr>
        <w:adjustRightInd w:val="0"/>
        <w:snapToGrid w:val="0"/>
        <w:spacing w:line="580" w:lineRule="exact"/>
        <w:ind w:firstLine="960" w:firstLineChars="3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年广播电视台本年支出合计</w:t>
      </w:r>
      <w:r>
        <w:rPr>
          <w:rFonts w:hint="eastAsia" w:ascii="仿宋_GB2312" w:eastAsia="仿宋_GB2312"/>
          <w:color w:val="000000"/>
          <w:sz w:val="32"/>
          <w:szCs w:val="32"/>
          <w:lang w:val="en-US" w:eastAsia="zh-CN"/>
        </w:rPr>
        <w:t>467.23万元</w:t>
      </w:r>
      <w:r>
        <w:rPr>
          <w:rFonts w:hint="eastAsia" w:ascii="仿宋_GB2312" w:eastAsia="仿宋_GB2312"/>
          <w:color w:val="000000"/>
          <w:sz w:val="32"/>
          <w:szCs w:val="32"/>
        </w:rPr>
        <w:t>，其中：基本支出</w:t>
      </w:r>
      <w:r>
        <w:rPr>
          <w:rFonts w:hint="eastAsia" w:ascii="仿宋_GB2312" w:eastAsia="仿宋_GB2312"/>
          <w:color w:val="000000"/>
          <w:sz w:val="32"/>
          <w:szCs w:val="32"/>
          <w:lang w:val="en-US" w:eastAsia="zh-CN"/>
        </w:rPr>
        <w:t>385.57万元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82.52</w:t>
      </w:r>
      <w:r>
        <w:rPr>
          <w:rFonts w:hint="eastAsia" w:ascii="仿宋_GB2312" w:eastAsia="仿宋_GB2312"/>
          <w:color w:val="000000"/>
          <w:sz w:val="32"/>
          <w:szCs w:val="32"/>
        </w:rPr>
        <w:t>%(其中：人员经费</w:t>
      </w:r>
      <w:r>
        <w:rPr>
          <w:rFonts w:hint="eastAsia" w:ascii="仿宋_GB2312" w:eastAsia="仿宋_GB2312"/>
          <w:color w:val="000000"/>
          <w:sz w:val="32"/>
          <w:szCs w:val="32"/>
          <w:lang w:val="en-US" w:eastAsia="zh-CN"/>
        </w:rPr>
        <w:t>325.85万元、</w:t>
      </w:r>
      <w:r>
        <w:rPr>
          <w:rFonts w:hint="eastAsia" w:ascii="仿宋_GB2312" w:eastAsia="仿宋_GB2312"/>
          <w:color w:val="000000"/>
          <w:sz w:val="32"/>
          <w:szCs w:val="32"/>
        </w:rPr>
        <w:t xml:space="preserve"> 公用经费</w:t>
      </w:r>
      <w:r>
        <w:rPr>
          <w:rFonts w:hint="eastAsia" w:ascii="仿宋_GB2312" w:eastAsia="仿宋_GB2312"/>
          <w:color w:val="000000"/>
          <w:sz w:val="32"/>
          <w:szCs w:val="32"/>
          <w:lang w:val="en-US" w:eastAsia="zh-CN"/>
        </w:rPr>
        <w:t>59.72万</w:t>
      </w:r>
      <w:r>
        <w:rPr>
          <w:rFonts w:hint="eastAsia" w:ascii="仿宋_GB2312" w:eastAsia="仿宋_GB2312"/>
          <w:color w:val="000000"/>
          <w:sz w:val="32"/>
          <w:szCs w:val="32"/>
        </w:rPr>
        <w:t>元)；项目支出</w:t>
      </w:r>
      <w:r>
        <w:rPr>
          <w:rFonts w:hint="eastAsia" w:ascii="仿宋_GB2312" w:eastAsia="仿宋_GB2312"/>
          <w:color w:val="000000"/>
          <w:sz w:val="32"/>
          <w:szCs w:val="32"/>
          <w:lang w:val="en-US" w:eastAsia="zh-CN"/>
        </w:rPr>
        <w:t>81.66万</w:t>
      </w:r>
      <w:r>
        <w:rPr>
          <w:rFonts w:hint="eastAsia" w:ascii="仿宋_GB2312" w:eastAsia="仿宋_GB2312"/>
          <w:color w:val="000000"/>
          <w:sz w:val="32"/>
          <w:szCs w:val="32"/>
        </w:rPr>
        <w:t>元，占</w:t>
      </w:r>
      <w:r>
        <w:rPr>
          <w:rFonts w:hint="eastAsia" w:ascii="仿宋_GB2312" w:eastAsia="仿宋_GB2312"/>
          <w:color w:val="000000"/>
          <w:sz w:val="32"/>
          <w:szCs w:val="32"/>
          <w:lang w:val="en-US" w:eastAsia="zh-CN"/>
        </w:rPr>
        <w:t>17.48</w:t>
      </w:r>
      <w:r>
        <w:rPr>
          <w:rFonts w:hint="eastAsia" w:ascii="仿宋_GB2312" w:eastAsia="仿宋_GB2312"/>
          <w:color w:val="000000"/>
          <w:sz w:val="32"/>
          <w:szCs w:val="32"/>
        </w:rPr>
        <w:t>%（主要用于广播电视制播能力提升和调频台电费及外线维修费等）。</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我台201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lang w:val="zh-CN"/>
        </w:rPr>
        <w:t>年预算编制严格按照县财政《关于编制201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lang w:val="zh-CN"/>
        </w:rPr>
        <w:t>年县本级预算通知》相关精神，认真学习《预算法》及其实施条例等预算编制的法律、法规，掌握预算编制想相关政策，及时与县编办等部门核对人员编制、实有人数、工资、车辆等信息，并实时更新单位基础信息数据库，准确编制部门预算，全面完整地反映部门真实收入情况。基本支出预算包括人员经费和日常公用经费两部分，采取人员经费按标准，公用经费按定额的方法客观编制基本支出预算。</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36" w:lineRule="exact"/>
        <w:ind w:firstLine="640" w:firstLineChars="200"/>
        <w:jc w:val="left"/>
        <w:rPr>
          <w:rFonts w:hint="eastAsia" w:ascii="楷体" w:hAnsi="楷体" w:eastAsia="楷体" w:cs="宋体"/>
          <w:color w:val="000000"/>
          <w:kern w:val="0"/>
          <w:sz w:val="32"/>
          <w:lang w:bidi="ar"/>
        </w:rPr>
      </w:pPr>
      <w:r>
        <w:rPr>
          <w:rFonts w:hint="eastAsia" w:ascii="仿宋_GB2312" w:eastAsia="仿宋_GB2312"/>
          <w:color w:val="000000"/>
          <w:sz w:val="32"/>
          <w:szCs w:val="32"/>
          <w:lang w:val="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lang w:val="zh-CN"/>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580" w:lineRule="exact"/>
        <w:ind w:firstLine="640" w:firstLineChars="200"/>
        <w:contextualSpacing/>
        <w:jc w:val="left"/>
        <w:rPr>
          <w:rFonts w:hint="eastAsia" w:ascii="仿宋_GB2312" w:eastAsia="仿宋_GB2312"/>
          <w:color w:val="000000"/>
          <w:sz w:val="32"/>
          <w:szCs w:val="32"/>
          <w:lang w:val="zh-CN"/>
        </w:rPr>
      </w:pPr>
      <w:r>
        <w:rPr>
          <w:rFonts w:hint="eastAsia" w:ascii="仿宋_GB2312" w:eastAsia="仿宋_GB2312"/>
          <w:color w:val="000000"/>
          <w:sz w:val="32"/>
          <w:szCs w:val="32"/>
        </w:rPr>
        <w:t>在执行有关法律法规、财经纪律、财务规章制度的同时，结合自身实际情况，制度相关财务制度、政府采购管理制度、项目管理制度等。201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年所有物资采购均按政府采购要求执行，固定资产全部按要求录入资产管理系统并由专人负责管理。内控制度健全并执行良好，并及时向社会公开了本部门的预、决算</w:t>
      </w:r>
      <w:r>
        <w:rPr>
          <w:rFonts w:hint="eastAsia" w:ascii="仿宋_GB2312" w:eastAsia="仿宋_GB2312"/>
          <w:color w:val="000000"/>
          <w:sz w:val="32"/>
          <w:szCs w:val="32"/>
          <w:lang w:val="zh-CN"/>
        </w:rPr>
        <w:t>，依法接受财政监督。</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eastAsia" w:ascii="仿宋_GB2312" w:eastAsia="仿宋_GB2312"/>
          <w:color w:val="000000"/>
          <w:sz w:val="32"/>
          <w:szCs w:val="32"/>
          <w:lang w:val="zh-CN"/>
        </w:rPr>
      </w:pPr>
      <w:r>
        <w:rPr>
          <w:rFonts w:hint="eastAsia" w:ascii="仿宋_GB2312" w:eastAsia="仿宋_GB2312"/>
          <w:color w:val="000000"/>
          <w:sz w:val="32"/>
          <w:szCs w:val="32"/>
          <w:lang w:val="zh-CN"/>
        </w:rPr>
        <w:t>根据《201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lang w:val="zh-CN"/>
        </w:rPr>
        <w:t>年红原县部门支出绩效评价指标体系》评分得分9</w:t>
      </w:r>
      <w:r>
        <w:rPr>
          <w:rFonts w:hint="eastAsia" w:ascii="仿宋_GB2312" w:eastAsia="仿宋_GB2312"/>
          <w:color w:val="000000"/>
          <w:sz w:val="32"/>
          <w:szCs w:val="32"/>
        </w:rPr>
        <w:t>9</w:t>
      </w:r>
      <w:r>
        <w:rPr>
          <w:rFonts w:hint="eastAsia" w:ascii="仿宋_GB2312" w:eastAsia="仿宋_GB2312"/>
          <w:color w:val="000000"/>
          <w:sz w:val="32"/>
          <w:szCs w:val="32"/>
          <w:lang w:val="zh-CN"/>
        </w:rPr>
        <w:t>分，部门整体支出绩效为“好”</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widowControl/>
        <w:adjustRightInd w:val="0"/>
        <w:snapToGrid w:val="0"/>
        <w:spacing w:line="536" w:lineRule="exact"/>
        <w:ind w:firstLine="800" w:firstLineChars="250"/>
        <w:jc w:val="left"/>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333333"/>
          <w:sz w:val="32"/>
          <w:szCs w:val="32"/>
          <w:shd w:val="clear" w:color="auto" w:fill="FFFFFF"/>
        </w:rPr>
        <w:t>一是应加强公务卡使用力度，保证资金的合理使用；二是了解财政各项规定，严格按照规定执行，做好费用报销审核工作；三是推进项目资金的使用进度，提高资金使用效率；四是加强制度建设，将行动落实到实处。</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widowControl/>
        <w:shd w:val="clear" w:color="auto" w:fill="FFFFFF"/>
        <w:spacing w:after="240" w:line="536" w:lineRule="exact"/>
        <w:ind w:firstLine="720"/>
        <w:jc w:val="left"/>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加强内控制度建设力度，建立内控长效机制，严格财务管理，加强财务监督，坚持厉行节约，控制“三公经费”支出，严格管理现金支出，加强财务人员业务培训，提高业务水平。</w:t>
      </w: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127" w:name="_Toc15396618"/>
      <w:bookmarkStart w:id="128" w:name="_Toc10967"/>
      <w:bookmarkStart w:id="129" w:name="_Toc4246"/>
      <w:r>
        <w:rPr>
          <w:rFonts w:hint="eastAsia" w:ascii="黑体" w:hAnsi="黑体" w:eastAsia="黑体"/>
          <w:color w:val="000000"/>
          <w:sz w:val="44"/>
          <w:szCs w:val="44"/>
        </w:rPr>
        <w:t>第</w:t>
      </w:r>
      <w:r>
        <w:rPr>
          <w:rStyle w:val="24"/>
          <w:rFonts w:hint="eastAsia" w:ascii="黑体" w:hAnsi="黑体" w:eastAsia="黑体"/>
          <w:b w:val="0"/>
        </w:rPr>
        <w:t>五部分 附表</w:t>
      </w:r>
      <w:bookmarkEnd w:id="121"/>
      <w:bookmarkEnd w:id="127"/>
      <w:bookmarkEnd w:id="128"/>
      <w:bookmarkEnd w:id="129"/>
    </w:p>
    <w:p>
      <w:pPr>
        <w:pStyle w:val="3"/>
        <w:rPr>
          <w:rFonts w:ascii="仿宋" w:hAnsi="仿宋" w:eastAsia="仿宋"/>
          <w:color w:val="000000"/>
        </w:rPr>
      </w:pPr>
      <w:bookmarkStart w:id="130" w:name="_Toc15396619"/>
      <w:bookmarkStart w:id="131" w:name="_Toc1253"/>
      <w:bookmarkStart w:id="132" w:name="_Toc15049"/>
      <w:r>
        <w:rPr>
          <w:rFonts w:hint="eastAsia" w:ascii="仿宋" w:hAnsi="仿宋" w:eastAsia="仿宋"/>
          <w:b w:val="0"/>
          <w:color w:val="000000"/>
        </w:rPr>
        <w:t>一、收</w:t>
      </w:r>
      <w:r>
        <w:rPr>
          <w:rStyle w:val="25"/>
          <w:rFonts w:hint="eastAsia" w:ascii="仿宋" w:hAnsi="仿宋" w:eastAsia="仿宋"/>
          <w:b w:val="0"/>
          <w:bCs w:val="0"/>
        </w:rPr>
        <w:t>入支出决算总表</w:t>
      </w:r>
      <w:bookmarkEnd w:id="130"/>
      <w:bookmarkEnd w:id="131"/>
      <w:bookmarkEnd w:id="132"/>
    </w:p>
    <w:p>
      <w:pPr>
        <w:pStyle w:val="3"/>
        <w:rPr>
          <w:rFonts w:ascii="仿宋" w:hAnsi="仿宋" w:eastAsia="仿宋"/>
          <w:color w:val="000000"/>
        </w:rPr>
      </w:pPr>
      <w:bookmarkStart w:id="133" w:name="_Toc15396620"/>
      <w:bookmarkStart w:id="134" w:name="_Toc27134"/>
      <w:bookmarkStart w:id="135" w:name="_Toc3071"/>
      <w:r>
        <w:rPr>
          <w:rFonts w:hint="eastAsia" w:ascii="仿宋" w:hAnsi="仿宋" w:eastAsia="仿宋"/>
          <w:b w:val="0"/>
          <w:color w:val="000000"/>
        </w:rPr>
        <w:t>二、收</w:t>
      </w:r>
      <w:r>
        <w:rPr>
          <w:rStyle w:val="25"/>
          <w:rFonts w:hint="eastAsia" w:ascii="仿宋" w:hAnsi="仿宋" w:eastAsia="仿宋"/>
          <w:b w:val="0"/>
          <w:bCs w:val="0"/>
        </w:rPr>
        <w:t>入决算表</w:t>
      </w:r>
      <w:bookmarkEnd w:id="133"/>
      <w:bookmarkEnd w:id="134"/>
      <w:bookmarkEnd w:id="135"/>
    </w:p>
    <w:p>
      <w:pPr>
        <w:pStyle w:val="3"/>
        <w:rPr>
          <w:rFonts w:ascii="仿宋" w:hAnsi="仿宋" w:eastAsia="仿宋"/>
          <w:color w:val="000000"/>
        </w:rPr>
      </w:pPr>
      <w:bookmarkStart w:id="136" w:name="_Toc15396621"/>
      <w:bookmarkStart w:id="137" w:name="_Toc29806"/>
      <w:bookmarkStart w:id="138" w:name="_Toc13900"/>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36"/>
      <w:bookmarkEnd w:id="137"/>
      <w:bookmarkEnd w:id="138"/>
    </w:p>
    <w:p>
      <w:pPr>
        <w:pStyle w:val="3"/>
        <w:rPr>
          <w:rFonts w:ascii="仿宋" w:hAnsi="仿宋" w:eastAsia="仿宋"/>
          <w:b w:val="0"/>
          <w:color w:val="000000"/>
        </w:rPr>
      </w:pPr>
      <w:bookmarkStart w:id="139" w:name="_Toc15396622"/>
      <w:bookmarkStart w:id="140" w:name="_Toc11623"/>
      <w:bookmarkStart w:id="141" w:name="_Toc30086"/>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9"/>
      <w:bookmarkEnd w:id="140"/>
      <w:bookmarkEnd w:id="141"/>
    </w:p>
    <w:p>
      <w:pPr>
        <w:pStyle w:val="3"/>
        <w:rPr>
          <w:rStyle w:val="25"/>
          <w:rFonts w:ascii="仿宋" w:hAnsi="仿宋" w:eastAsia="仿宋"/>
          <w:b w:val="0"/>
          <w:bCs w:val="0"/>
        </w:rPr>
      </w:pPr>
      <w:bookmarkStart w:id="142" w:name="_Toc15396623"/>
      <w:bookmarkStart w:id="143" w:name="_Toc22612"/>
      <w:bookmarkStart w:id="144" w:name="_Toc18088"/>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42"/>
      <w:bookmarkEnd w:id="143"/>
      <w:bookmarkEnd w:id="144"/>
      <w:bookmarkStart w:id="145" w:name="_Toc15396624"/>
    </w:p>
    <w:p>
      <w:pPr>
        <w:pStyle w:val="3"/>
        <w:rPr>
          <w:rFonts w:ascii="仿宋" w:hAnsi="仿宋" w:eastAsia="仿宋"/>
          <w:color w:val="000000"/>
        </w:rPr>
      </w:pPr>
      <w:bookmarkStart w:id="146" w:name="_Toc31218"/>
      <w:bookmarkStart w:id="147" w:name="_Toc2885"/>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45"/>
      <w:bookmarkEnd w:id="146"/>
      <w:bookmarkEnd w:id="147"/>
    </w:p>
    <w:p>
      <w:pPr>
        <w:pStyle w:val="3"/>
        <w:rPr>
          <w:rFonts w:ascii="仿宋" w:hAnsi="仿宋" w:eastAsia="仿宋"/>
          <w:color w:val="000000"/>
        </w:rPr>
      </w:pPr>
      <w:bookmarkStart w:id="148" w:name="_Toc15396625"/>
      <w:bookmarkStart w:id="149" w:name="_Toc532"/>
      <w:bookmarkStart w:id="150" w:name="_Toc1025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48"/>
      <w:bookmarkEnd w:id="149"/>
      <w:bookmarkEnd w:id="150"/>
    </w:p>
    <w:p>
      <w:pPr>
        <w:pStyle w:val="3"/>
        <w:rPr>
          <w:rFonts w:ascii="仿宋" w:hAnsi="仿宋" w:eastAsia="仿宋"/>
          <w:color w:val="000000"/>
        </w:rPr>
      </w:pPr>
      <w:bookmarkStart w:id="151" w:name="_Toc15396626"/>
      <w:bookmarkStart w:id="152" w:name="_Toc26160"/>
      <w:bookmarkStart w:id="153" w:name="_Toc6591"/>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51"/>
      <w:bookmarkEnd w:id="152"/>
      <w:bookmarkEnd w:id="153"/>
    </w:p>
    <w:p>
      <w:pPr>
        <w:pStyle w:val="3"/>
        <w:rPr>
          <w:rFonts w:ascii="仿宋" w:hAnsi="仿宋" w:eastAsia="仿宋"/>
          <w:color w:val="000000"/>
        </w:rPr>
      </w:pPr>
      <w:bookmarkStart w:id="154" w:name="_Toc15396627"/>
      <w:bookmarkStart w:id="155" w:name="_Toc14855"/>
      <w:bookmarkStart w:id="156" w:name="_Toc530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54"/>
      <w:bookmarkEnd w:id="155"/>
      <w:bookmarkEnd w:id="156"/>
    </w:p>
    <w:p>
      <w:pPr>
        <w:pStyle w:val="3"/>
        <w:rPr>
          <w:rFonts w:ascii="仿宋" w:hAnsi="仿宋" w:eastAsia="仿宋"/>
          <w:color w:val="000000"/>
        </w:rPr>
      </w:pPr>
      <w:bookmarkStart w:id="157" w:name="_Toc15396628"/>
      <w:bookmarkStart w:id="158" w:name="_Toc7407"/>
      <w:bookmarkStart w:id="159" w:name="_Toc3151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57"/>
      <w:bookmarkEnd w:id="158"/>
      <w:bookmarkEnd w:id="159"/>
    </w:p>
    <w:p>
      <w:pPr>
        <w:pStyle w:val="3"/>
        <w:rPr>
          <w:rFonts w:ascii="仿宋" w:hAnsi="仿宋" w:eastAsia="仿宋"/>
          <w:color w:val="000000"/>
        </w:rPr>
      </w:pPr>
      <w:bookmarkStart w:id="160" w:name="_Toc15396629"/>
      <w:bookmarkStart w:id="161" w:name="_Toc31771"/>
      <w:bookmarkStart w:id="162" w:name="_Toc11184"/>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60"/>
      <w:bookmarkEnd w:id="161"/>
      <w:bookmarkEnd w:id="162"/>
    </w:p>
    <w:p>
      <w:pPr>
        <w:pStyle w:val="3"/>
        <w:rPr>
          <w:rFonts w:ascii="仿宋" w:hAnsi="仿宋" w:eastAsia="仿宋"/>
          <w:color w:val="000000"/>
        </w:rPr>
      </w:pPr>
      <w:bookmarkStart w:id="163" w:name="_Toc15396630"/>
      <w:bookmarkStart w:id="164" w:name="_Toc7518"/>
      <w:bookmarkStart w:id="165" w:name="_Toc29084"/>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63"/>
      <w:bookmarkEnd w:id="164"/>
      <w:bookmarkEnd w:id="165"/>
    </w:p>
    <w:p>
      <w:pPr>
        <w:pStyle w:val="3"/>
        <w:rPr>
          <w:rFonts w:ascii="仿宋" w:hAnsi="仿宋" w:eastAsia="仿宋"/>
          <w:color w:val="000000" w:themeColor="text1"/>
        </w:rPr>
      </w:pPr>
      <w:bookmarkStart w:id="166" w:name="_Toc15396631"/>
      <w:bookmarkStart w:id="167" w:name="_Toc14832"/>
      <w:bookmarkStart w:id="168" w:name="_Toc2050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166"/>
      <w:bookmarkEnd w:id="167"/>
      <w:bookmarkEnd w:id="1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E4E49A3"/>
    <w:multiLevelType w:val="singleLevel"/>
    <w:tmpl w:val="EE4E49A3"/>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27721CE3"/>
    <w:multiLevelType w:val="singleLevel"/>
    <w:tmpl w:val="27721CE3"/>
    <w:lvl w:ilvl="0" w:tentative="0">
      <w:start w:val="4"/>
      <w:numFmt w:val="chineseCounting"/>
      <w:suff w:val="nothing"/>
      <w:lvlText w:val="（%1）"/>
      <w:lvlJc w:val="left"/>
      <w:rPr>
        <w:rFonts w:hint="eastAsia"/>
      </w:rPr>
    </w:lvl>
  </w:abstractNum>
  <w:abstractNum w:abstractNumId="5">
    <w:nsid w:val="300469E9"/>
    <w:multiLevelType w:val="singleLevel"/>
    <w:tmpl w:val="300469E9"/>
    <w:lvl w:ilvl="0" w:tentative="0">
      <w:start w:val="2"/>
      <w:numFmt w:val="chineseCounting"/>
      <w:suff w:val="nothing"/>
      <w:lvlText w:val="（%1）"/>
      <w:lvlJc w:val="left"/>
      <w:rPr>
        <w:rFonts w:hint="eastAsia"/>
      </w:rPr>
    </w:lvl>
  </w:abstractNum>
  <w:abstractNum w:abstractNumId="6">
    <w:nsid w:val="6D5E3A78"/>
    <w:multiLevelType w:val="singleLevel"/>
    <w:tmpl w:val="6D5E3A78"/>
    <w:lvl w:ilvl="0" w:tentative="0">
      <w:start w:val="1"/>
      <w:numFmt w:val="decimal"/>
      <w:lvlText w:val="%1."/>
      <w:lvlJc w:val="left"/>
      <w:pPr>
        <w:tabs>
          <w:tab w:val="left" w:pos="312"/>
        </w:tabs>
      </w:pPr>
    </w:lvl>
  </w:abstractNum>
  <w:num w:numId="1">
    <w:abstractNumId w:val="3"/>
  </w:num>
  <w:num w:numId="2">
    <w:abstractNumId w:val="6"/>
  </w:num>
  <w:num w:numId="3">
    <w:abstractNumId w:val="0"/>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81E5961"/>
    <w:rsid w:val="0A1E0DEF"/>
    <w:rsid w:val="0FA66AC2"/>
    <w:rsid w:val="10C055FF"/>
    <w:rsid w:val="16BB723D"/>
    <w:rsid w:val="17DF75AE"/>
    <w:rsid w:val="240371BF"/>
    <w:rsid w:val="29FD04D3"/>
    <w:rsid w:val="319F7F4E"/>
    <w:rsid w:val="373A02BF"/>
    <w:rsid w:val="4E470364"/>
    <w:rsid w:val="4ECE2238"/>
    <w:rsid w:val="4F15777C"/>
    <w:rsid w:val="5C0B39DF"/>
    <w:rsid w:val="68482BB4"/>
    <w:rsid w:val="6B4D3BFC"/>
    <w:rsid w:val="6F563EC6"/>
    <w:rsid w:val="72734D90"/>
    <w:rsid w:val="7CAF74D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标题 1 Char"/>
    <w:basedOn w:val="13"/>
    <w:link w:val="2"/>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a:t>
            </a:r>
            <a:r>
              <a:rPr lang="en-US" altLang="zh-CN"/>
              <a:t>-2019</a:t>
            </a:r>
            <a:r>
              <a:rPr altLang="en-US"/>
              <a:t>年收入、支出决算总计变动情况图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决算收入</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2018年</c:v>
                </c:pt>
                <c:pt idx="1">
                  <c:v>2019年</c:v>
                </c:pt>
              </c:strCache>
            </c:strRef>
          </c:cat>
          <c:val>
            <c:numRef>
              <c:f>Sheet1!$B$2:$B$4</c:f>
              <c:numCache>
                <c:formatCode>General</c:formatCode>
                <c:ptCount val="3"/>
                <c:pt idx="0">
                  <c:v>731.6</c:v>
                </c:pt>
                <c:pt idx="1">
                  <c:v>460.81</c:v>
                </c:pt>
              </c:numCache>
            </c:numRef>
          </c:val>
        </c:ser>
        <c:ser>
          <c:idx val="1"/>
          <c:order val="1"/>
          <c:tx>
            <c:strRef>
              <c:f>Sheet1!$C$1</c:f>
              <c:strCache>
                <c:ptCount val="1"/>
                <c:pt idx="0">
                  <c:v>决算支出</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2018年</c:v>
                </c:pt>
                <c:pt idx="1">
                  <c:v>2019年</c:v>
                </c:pt>
              </c:strCache>
            </c:strRef>
          </c:cat>
          <c:val>
            <c:numRef>
              <c:f>Sheet1!$C$2:$C$4</c:f>
              <c:numCache>
                <c:formatCode>General</c:formatCode>
                <c:ptCount val="3"/>
                <c:pt idx="0">
                  <c:v>662.87</c:v>
                </c:pt>
                <c:pt idx="1">
                  <c:v>467.23</c:v>
                </c:pt>
              </c:numCache>
            </c:numRef>
          </c:val>
        </c:ser>
        <c:ser>
          <c:idx val="2"/>
          <c:order val="2"/>
          <c:tx>
            <c:strRef>
              <c:f>Sheet1!$D$1</c:f>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2018年</c:v>
                </c:pt>
                <c:pt idx="1">
                  <c:v>2019年</c:v>
                </c:pt>
              </c:strCache>
            </c:strRef>
          </c:cat>
          <c:val>
            <c:numRef>
              <c:f>Sheet1!$D$2:$D$4</c:f>
              <c:numCache>
                <c:formatCode>General</c:formatCode>
                <c:ptCount val="3"/>
              </c:numCache>
            </c:numRef>
          </c:val>
        </c:ser>
        <c:dLbls>
          <c:showLegendKey val="0"/>
          <c:showVal val="0"/>
          <c:showCatName val="0"/>
          <c:showSerName val="0"/>
          <c:showPercent val="0"/>
          <c:showBubbleSize val="0"/>
        </c:dLbls>
        <c:gapWidth val="75"/>
        <c:overlap val="0"/>
        <c:axId val="816289748"/>
        <c:axId val="670544685"/>
      </c:barChart>
      <c:catAx>
        <c:axId val="8162897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0544685"/>
        <c:crosses val="autoZero"/>
        <c:auto val="1"/>
        <c:lblAlgn val="ctr"/>
        <c:lblOffset val="100"/>
        <c:noMultiLvlLbl val="0"/>
      </c:catAx>
      <c:valAx>
        <c:axId val="670544685"/>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62897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年收入决算结构图</a:t>
            </a:r>
            <a:endParaRPr altLang="en-US"/>
          </a:p>
        </c:rich>
      </c:tx>
      <c:layout>
        <c:manualLayout>
          <c:xMode val="edge"/>
          <c:yMode val="edge"/>
          <c:x val="0.316776188635485"/>
          <c:y val="0.00634786288616166"/>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一般预算财政拨款收入</c:v>
                </c:pt>
              </c:strCache>
            </c:strRef>
          </c:cat>
          <c:val>
            <c:numRef>
              <c:f>Sheet1!$B$2:$B$5</c:f>
              <c:numCache>
                <c:formatCode>0.00%</c:formatCode>
                <c:ptCount val="4"/>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1"/>
        <c:delete val="1"/>
      </c:legendEntry>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年支出决算结构图</a:t>
            </a:r>
            <a:endParaRPr altLang="en-US"/>
          </a:p>
        </c:rich>
      </c:tx>
      <c:layout>
        <c:manualLayout>
          <c:xMode val="edge"/>
          <c:yMode val="edge"/>
          <c:x val="0.312058851553514"/>
          <c:y val="0.0299097065462754"/>
        </c:manualLayout>
      </c:layout>
      <c:overlay val="0"/>
      <c:spPr>
        <a:noFill/>
        <a:ln>
          <a:noFill/>
        </a:ln>
        <a:effectLst/>
      </c:spPr>
    </c:title>
    <c:autoTitleDeleted val="0"/>
    <c:plotArea>
      <c:layout>
        <c:manualLayout>
          <c:layoutTarget val="inner"/>
          <c:xMode val="edge"/>
          <c:yMode val="edge"/>
          <c:x val="0.283247519778978"/>
          <c:y val="0.267172675521822"/>
          <c:w val="0.48122566871782"/>
          <c:h val="0.727134724857685"/>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0.00%</c:formatCode>
                <c:ptCount val="4"/>
                <c:pt idx="0">
                  <c:v>0.8252</c:v>
                </c:pt>
                <c:pt idx="1">
                  <c:v>0.1748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a:t>
            </a:r>
            <a:r>
              <a:rPr lang="en-US" altLang="zh-CN"/>
              <a:t>-2019</a:t>
            </a:r>
            <a:r>
              <a:rPr altLang="en-US"/>
              <a:t>年财政拨款收入、支出决算总计变动情况图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决算收入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2018年</c:v>
                </c:pt>
                <c:pt idx="1">
                  <c:v>2019年</c:v>
                </c:pt>
              </c:strCache>
            </c:strRef>
          </c:cat>
          <c:val>
            <c:numRef>
              <c:f>Sheet1!$B$2:$B$5</c:f>
              <c:numCache>
                <c:formatCode>General</c:formatCode>
                <c:ptCount val="4"/>
                <c:pt idx="0">
                  <c:v>731.6</c:v>
                </c:pt>
                <c:pt idx="1">
                  <c:v>460.81</c:v>
                </c:pt>
              </c:numCache>
            </c:numRef>
          </c:val>
        </c:ser>
        <c:ser>
          <c:idx val="1"/>
          <c:order val="1"/>
          <c:tx>
            <c:strRef>
              <c:f>Sheet1!$C$1</c:f>
              <c:strCache>
                <c:ptCount val="1"/>
                <c:pt idx="0">
                  <c:v>决算支出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2018年</c:v>
                </c:pt>
                <c:pt idx="1">
                  <c:v>2019年</c:v>
                </c:pt>
              </c:strCache>
            </c:strRef>
          </c:cat>
          <c:val>
            <c:numRef>
              <c:f>Sheet1!$C$2:$C$5</c:f>
              <c:numCache>
                <c:formatCode>General</c:formatCode>
                <c:ptCount val="4"/>
                <c:pt idx="0">
                  <c:v>662.87</c:v>
                </c:pt>
                <c:pt idx="1">
                  <c:v>467.23</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2018年</c:v>
                </c:pt>
                <c:pt idx="1">
                  <c:v>2019年</c:v>
                </c:pt>
              </c:strCache>
            </c:strRef>
          </c:cat>
          <c:val>
            <c:numRef>
              <c:f>Sheet1!$D$2:$D$5</c:f>
              <c:numCache>
                <c:formatCode>General</c:formatCode>
                <c:ptCount val="4"/>
              </c:numCache>
            </c:numRef>
          </c:val>
        </c:ser>
        <c:dLbls>
          <c:showLegendKey val="0"/>
          <c:showVal val="1"/>
          <c:showCatName val="0"/>
          <c:showSerName val="0"/>
          <c:showPercent val="0"/>
          <c:showBubbleSize val="0"/>
        </c:dLbls>
        <c:gapWidth val="75"/>
        <c:overlap val="0"/>
        <c:axId val="482741883"/>
        <c:axId val="958229920"/>
      </c:barChart>
      <c:catAx>
        <c:axId val="4827418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229920"/>
        <c:crosses val="autoZero"/>
        <c:auto val="1"/>
        <c:lblAlgn val="ctr"/>
        <c:lblOffset val="100"/>
        <c:noMultiLvlLbl val="0"/>
      </c:catAx>
      <c:valAx>
        <c:axId val="958229920"/>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274188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年</a:t>
            </a:r>
            <a:r>
              <a:rPr lang="en-US" altLang="zh-CN"/>
              <a:t>-2019</a:t>
            </a:r>
            <a:r>
              <a:rPr altLang="en-US"/>
              <a:t>年一般公共预算财政拨款支出决算变动情况图</a:t>
            </a:r>
            <a:endParaRPr altLang="en-US"/>
          </a:p>
        </c:rich>
      </c:tx>
      <c:layout>
        <c:manualLayout>
          <c:xMode val="edge"/>
          <c:yMode val="edge"/>
          <c:x val="0.148956119514939"/>
          <c:y val="0.0857213438735178"/>
        </c:manualLayout>
      </c:layout>
      <c:overlay val="0"/>
      <c:spPr>
        <a:noFill/>
        <a:ln>
          <a:noFill/>
        </a:ln>
        <a:effectLst/>
      </c:spPr>
    </c:title>
    <c:autoTitleDeleted val="0"/>
    <c:plotArea>
      <c:layout>
        <c:manualLayout>
          <c:layoutTarget val="inner"/>
          <c:xMode val="edge"/>
          <c:yMode val="edge"/>
          <c:x val="0.0910863857982248"/>
          <c:y val="0.430830039525692"/>
          <c:w val="0.905163145393174"/>
          <c:h val="0.496640316205534"/>
        </c:manualLayout>
      </c:layout>
      <c:barChart>
        <c:barDir val="col"/>
        <c:grouping val="clustered"/>
        <c:varyColors val="0"/>
        <c:ser>
          <c:idx val="0"/>
          <c:order val="0"/>
          <c:tx>
            <c:strRef>
              <c:f>Sheet1!$B$1</c:f>
              <c:strCache>
                <c:ptCount val="1"/>
                <c:pt idx="0">
                  <c:v>一般公共预算财政拨款支出决算数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2018年</c:v>
                </c:pt>
                <c:pt idx="1">
                  <c:v>2019年</c:v>
                </c:pt>
              </c:strCache>
            </c:strRef>
          </c:cat>
          <c:val>
            <c:numRef>
              <c:f>Sheet1!$B$2:$B$5</c:f>
              <c:numCache>
                <c:formatCode>General</c:formatCode>
                <c:ptCount val="4"/>
                <c:pt idx="0">
                  <c:v>662.87</c:v>
                </c:pt>
                <c:pt idx="1">
                  <c:v>467.23</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2018年</c:v>
                </c:pt>
                <c:pt idx="1">
                  <c:v>2019年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2018年</c:v>
                </c:pt>
                <c:pt idx="1">
                  <c:v>2019年</c:v>
                </c:pt>
              </c:strCache>
            </c:strRef>
          </c:cat>
          <c:val>
            <c:numRef>
              <c:f>Sheet1!$D$2:$D$5</c:f>
              <c:numCache>
                <c:formatCode>General</c:formatCode>
                <c:ptCount val="4"/>
              </c:numCache>
            </c:numRef>
          </c:val>
        </c:ser>
        <c:dLbls>
          <c:showLegendKey val="0"/>
          <c:showVal val="1"/>
          <c:showCatName val="0"/>
          <c:showSerName val="0"/>
          <c:showPercent val="0"/>
          <c:showBubbleSize val="0"/>
        </c:dLbls>
        <c:gapWidth val="75"/>
        <c:overlap val="0"/>
        <c:axId val="107700557"/>
        <c:axId val="355286247"/>
      </c:barChart>
      <c:catAx>
        <c:axId val="1077005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5286247"/>
        <c:crosses val="autoZero"/>
        <c:auto val="1"/>
        <c:lblAlgn val="ctr"/>
        <c:lblOffset val="100"/>
        <c:noMultiLvlLbl val="0"/>
      </c:catAx>
      <c:valAx>
        <c:axId val="355286247"/>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700557"/>
        <c:crosses val="autoZero"/>
        <c:crossBetween val="between"/>
      </c:valAx>
      <c:spPr>
        <a:noFill/>
        <a:ln>
          <a:noFill/>
        </a:ln>
        <a:effectLst/>
      </c:spPr>
    </c:plotArea>
    <c:legend>
      <c:legendPos val="b"/>
      <c:layout>
        <c:manualLayout>
          <c:xMode val="edge"/>
          <c:yMode val="edge"/>
          <c:x val="0.54206780572874"/>
          <c:y val="0.92067307692307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年一般公共预算财政拨款支出决算结构图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文化体育与传媒支出</c:v>
                </c:pt>
                <c:pt idx="1">
                  <c:v>社会保障和就业支出</c:v>
                </c:pt>
                <c:pt idx="2">
                  <c:v>医疗卫生支出</c:v>
                </c:pt>
                <c:pt idx="3">
                  <c:v>住房保障支出</c:v>
                </c:pt>
              </c:strCache>
            </c:strRef>
          </c:cat>
          <c:val>
            <c:numRef>
              <c:f>Sheet1!$B$2:$B$5</c:f>
              <c:numCache>
                <c:formatCode>0.00%</c:formatCode>
                <c:ptCount val="4"/>
                <c:pt idx="0">
                  <c:v>0.8084</c:v>
                </c:pt>
                <c:pt idx="1">
                  <c:v>0.0958</c:v>
                </c:pt>
                <c:pt idx="2">
                  <c:v>0.0398</c:v>
                </c:pt>
                <c:pt idx="3">
                  <c:v>0.056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142232220972378"/>
          <c:y val="0.961025206524042"/>
          <c:w val="0.79915010623672"/>
          <c:h val="0.032620207583139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c:v>
                </c:pt>
              </c:strCache>
            </c:strRef>
          </c:cat>
          <c:val>
            <c:numRef>
              <c:f>Sheet1!$B$2:$B$3</c:f>
              <c:numCache>
                <c:formatCode>0.00%</c:formatCode>
                <c:ptCount val="2"/>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0</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2020-10-26T09:02:50Z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