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8119"/>
      <w:bookmarkStart w:id="2" w:name="_Toc15396475"/>
      <w:bookmarkStart w:id="3" w:name="_Toc7716"/>
      <w:bookmarkStart w:id="4" w:name="_Toc15377193"/>
      <w:bookmarkStart w:id="5" w:name="_Toc15377425"/>
      <w:bookmarkStart w:id="6" w:name="_Toc15396597"/>
      <w:bookmarkStart w:id="7" w:name="_Toc153784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4506"/>
      <w:bookmarkStart w:id="9" w:name="_Toc15396598"/>
      <w:bookmarkStart w:id="10" w:name="_Toc15396476"/>
      <w:bookmarkStart w:id="11" w:name="_Toc6680"/>
      <w:bookmarkStart w:id="12" w:name="_Toc15377426"/>
      <w:bookmarkStart w:id="13" w:name="_Toc15377194"/>
      <w:bookmarkStart w:id="14" w:name="_Toc15378442"/>
      <w:bookmarkStart w:id="200" w:name="_GoBack"/>
      <w:r>
        <w:rPr>
          <w:rFonts w:hint="eastAsia" w:ascii="方正小标宋简体" w:hAnsi="宋体" w:eastAsia="方正小标宋简体"/>
          <w:color w:val="000000"/>
          <w:sz w:val="72"/>
          <w:szCs w:val="72"/>
        </w:rPr>
        <w:t>四川省阿坝州红原县</w:t>
      </w:r>
      <w:bookmarkEnd w:id="0"/>
      <w:bookmarkStart w:id="15" w:name="_Toc15306268"/>
      <w:r>
        <w:rPr>
          <w:rFonts w:hint="eastAsia" w:ascii="方正小标宋简体" w:hAnsi="宋体" w:eastAsia="方正小标宋简体"/>
          <w:color w:val="000000"/>
          <w:sz w:val="72"/>
          <w:szCs w:val="72"/>
        </w:rPr>
        <w:t>发展和改革局部门决算</w:t>
      </w:r>
      <w:bookmarkEnd w:id="8"/>
      <w:bookmarkEnd w:id="9"/>
      <w:bookmarkEnd w:id="10"/>
      <w:bookmarkEnd w:id="11"/>
      <w:bookmarkEnd w:id="12"/>
      <w:bookmarkEnd w:id="13"/>
      <w:bookmarkEnd w:id="14"/>
      <w:bookmarkEnd w:id="15"/>
    </w:p>
    <w:bookmarkEnd w:id="200"/>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hint="eastAsia" w:ascii="黑体" w:hAnsi="黑体" w:eastAsia="黑体"/>
          <w:color w:val="000000"/>
          <w:sz w:val="48"/>
          <w:szCs w:val="48"/>
        </w:rPr>
      </w:pPr>
      <w:bookmarkStart w:id="16" w:name="_Toc15377196"/>
      <w:bookmarkStart w:id="17" w:name="_Toc15396599"/>
    </w:p>
    <w:p>
      <w:pPr>
        <w:pStyle w:val="2"/>
        <w:rPr>
          <w:rFonts w:hint="eastAsia" w:ascii="黑体" w:hAnsi="黑体" w:eastAsia="黑体"/>
          <w:color w:val="000000"/>
          <w:sz w:val="48"/>
          <w:szCs w:val="48"/>
        </w:rPr>
      </w:pPr>
    </w:p>
    <w:p>
      <w:pPr>
        <w:pStyle w:val="2"/>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r>
        <w:fldChar w:fldCharType="begin"/>
      </w:r>
      <w:r>
        <w:instrText xml:space="preserve">TOC \o "1-3" \h \u </w:instrText>
      </w:r>
      <w:r>
        <w:fldChar w:fldCharType="separate"/>
      </w:r>
    </w:p>
    <w:p>
      <w:pPr>
        <w:pStyle w:val="12"/>
        <w:tabs>
          <w:tab w:val="right" w:leader="dot" w:pos="8306"/>
          <w:tab w:val="clear" w:pos="8296"/>
        </w:tabs>
      </w:pPr>
      <w:r>
        <w:fldChar w:fldCharType="begin"/>
      </w:r>
      <w:r>
        <w:instrText xml:space="preserve"> HYPERLINK \l _Toc20142 </w:instrText>
      </w:r>
      <w:r>
        <w:fldChar w:fldCharType="separate"/>
      </w:r>
      <w:r>
        <w:rPr>
          <w:rFonts w:hint="eastAsia"/>
        </w:rPr>
        <w:t>第一部分 部门概况</w:t>
      </w:r>
      <w:r>
        <w:tab/>
      </w:r>
      <w:r>
        <w:fldChar w:fldCharType="begin"/>
      </w:r>
      <w:r>
        <w:instrText xml:space="preserve"> PAGEREF _Toc20142 </w:instrText>
      </w:r>
      <w:r>
        <w:fldChar w:fldCharType="separate"/>
      </w:r>
      <w:r>
        <w:t>7</w:t>
      </w:r>
      <w:r>
        <w:fldChar w:fldCharType="end"/>
      </w:r>
      <w:r>
        <w:fldChar w:fldCharType="end"/>
      </w:r>
    </w:p>
    <w:p>
      <w:pPr>
        <w:pStyle w:val="13"/>
        <w:tabs>
          <w:tab w:val="right" w:leader="dot" w:pos="8306"/>
          <w:tab w:val="clear" w:pos="8296"/>
        </w:tabs>
      </w:pPr>
      <w:r>
        <w:fldChar w:fldCharType="begin"/>
      </w:r>
      <w:r>
        <w:instrText xml:space="preserve"> HYPERLINK \l _Toc13258 </w:instrText>
      </w:r>
      <w:r>
        <w:fldChar w:fldCharType="separate"/>
      </w:r>
      <w:r>
        <w:rPr>
          <w:rFonts w:hint="eastAsia"/>
        </w:rPr>
        <w:t>一、基本职能及主要工作</w:t>
      </w:r>
      <w:r>
        <w:tab/>
      </w:r>
      <w:r>
        <w:fldChar w:fldCharType="begin"/>
      </w:r>
      <w:r>
        <w:instrText xml:space="preserve"> PAGEREF _Toc13258 </w:instrText>
      </w:r>
      <w:r>
        <w:fldChar w:fldCharType="separate"/>
      </w:r>
      <w:r>
        <w:t>7</w:t>
      </w:r>
      <w:r>
        <w:fldChar w:fldCharType="end"/>
      </w:r>
      <w:r>
        <w:fldChar w:fldCharType="end"/>
      </w:r>
    </w:p>
    <w:p>
      <w:pPr>
        <w:pStyle w:val="13"/>
        <w:tabs>
          <w:tab w:val="right" w:leader="dot" w:pos="8306"/>
          <w:tab w:val="clear" w:pos="8296"/>
        </w:tabs>
      </w:pPr>
      <w:r>
        <w:fldChar w:fldCharType="begin"/>
      </w:r>
      <w:r>
        <w:instrText xml:space="preserve"> HYPERLINK \l _Toc679 </w:instrText>
      </w:r>
      <w:r>
        <w:fldChar w:fldCharType="separate"/>
      </w:r>
      <w:r>
        <w:rPr>
          <w:rFonts w:hint="eastAsia"/>
        </w:rPr>
        <w:t>二、机构设置</w:t>
      </w:r>
      <w:r>
        <w:tab/>
      </w:r>
      <w:r>
        <w:fldChar w:fldCharType="begin"/>
      </w:r>
      <w:r>
        <w:instrText xml:space="preserve"> PAGEREF _Toc679 </w:instrText>
      </w:r>
      <w:r>
        <w:fldChar w:fldCharType="separate"/>
      </w:r>
      <w:r>
        <w:t>13</w:t>
      </w:r>
      <w:r>
        <w:fldChar w:fldCharType="end"/>
      </w:r>
      <w:r>
        <w:fldChar w:fldCharType="end"/>
      </w:r>
    </w:p>
    <w:p>
      <w:pPr>
        <w:pStyle w:val="12"/>
        <w:tabs>
          <w:tab w:val="right" w:leader="dot" w:pos="8306"/>
          <w:tab w:val="clear" w:pos="8296"/>
        </w:tabs>
      </w:pPr>
      <w:r>
        <w:fldChar w:fldCharType="begin"/>
      </w:r>
      <w:r>
        <w:instrText xml:space="preserve"> HYPERLINK \l _Toc19970 </w:instrText>
      </w:r>
      <w:r>
        <w:fldChar w:fldCharType="separate"/>
      </w:r>
      <w:r>
        <w:rPr>
          <w:rFonts w:hint="eastAsia"/>
        </w:rPr>
        <w:t>第二部分2019年度部门决算情况说明</w:t>
      </w:r>
      <w:r>
        <w:tab/>
      </w:r>
      <w:r>
        <w:fldChar w:fldCharType="begin"/>
      </w:r>
      <w:r>
        <w:instrText xml:space="preserve"> PAGEREF _Toc19970 </w:instrText>
      </w:r>
      <w:r>
        <w:fldChar w:fldCharType="separate"/>
      </w:r>
      <w:r>
        <w:t>14</w:t>
      </w:r>
      <w:r>
        <w:fldChar w:fldCharType="end"/>
      </w:r>
      <w:r>
        <w:fldChar w:fldCharType="end"/>
      </w:r>
    </w:p>
    <w:p>
      <w:pPr>
        <w:pStyle w:val="13"/>
        <w:tabs>
          <w:tab w:val="right" w:leader="dot" w:pos="8306"/>
          <w:tab w:val="clear" w:pos="8296"/>
        </w:tabs>
      </w:pPr>
      <w:r>
        <w:fldChar w:fldCharType="begin"/>
      </w:r>
      <w:r>
        <w:instrText xml:space="preserve"> HYPERLINK \l _Toc31517 </w:instrText>
      </w:r>
      <w:r>
        <w:fldChar w:fldCharType="separate"/>
      </w:r>
      <w:r>
        <w:rPr>
          <w:rFonts w:hint="default"/>
        </w:rPr>
        <w:t xml:space="preserve">一、 </w:t>
      </w:r>
      <w:r>
        <w:rPr>
          <w:rFonts w:hint="eastAsia"/>
        </w:rPr>
        <w:t>收入支出决算总体情况说明</w:t>
      </w:r>
      <w:r>
        <w:tab/>
      </w:r>
      <w:r>
        <w:fldChar w:fldCharType="begin"/>
      </w:r>
      <w:r>
        <w:instrText xml:space="preserve"> PAGEREF _Toc31517 </w:instrText>
      </w:r>
      <w:r>
        <w:fldChar w:fldCharType="separate"/>
      </w:r>
      <w:r>
        <w:t>14</w:t>
      </w:r>
      <w:r>
        <w:fldChar w:fldCharType="end"/>
      </w:r>
      <w:r>
        <w:fldChar w:fldCharType="end"/>
      </w:r>
    </w:p>
    <w:p>
      <w:pPr>
        <w:pStyle w:val="13"/>
        <w:tabs>
          <w:tab w:val="right" w:leader="dot" w:pos="8306"/>
          <w:tab w:val="clear" w:pos="8296"/>
        </w:tabs>
      </w:pPr>
      <w:r>
        <w:fldChar w:fldCharType="begin"/>
      </w:r>
      <w:r>
        <w:instrText xml:space="preserve"> HYPERLINK \l _Toc4215 </w:instrText>
      </w:r>
      <w:r>
        <w:fldChar w:fldCharType="separate"/>
      </w:r>
      <w:r>
        <w:rPr>
          <w:rFonts w:hint="default"/>
        </w:rPr>
        <w:t xml:space="preserve">二、 </w:t>
      </w:r>
      <w:r>
        <w:rPr>
          <w:rFonts w:hint="eastAsia"/>
        </w:rPr>
        <w:t>收入决算情况说明</w:t>
      </w:r>
      <w:r>
        <w:tab/>
      </w:r>
      <w:r>
        <w:fldChar w:fldCharType="begin"/>
      </w:r>
      <w:r>
        <w:instrText xml:space="preserve"> PAGEREF _Toc4215 </w:instrText>
      </w:r>
      <w:r>
        <w:fldChar w:fldCharType="separate"/>
      </w:r>
      <w:r>
        <w:t>14</w:t>
      </w:r>
      <w:r>
        <w:fldChar w:fldCharType="end"/>
      </w:r>
      <w:r>
        <w:fldChar w:fldCharType="end"/>
      </w:r>
    </w:p>
    <w:p>
      <w:pPr>
        <w:pStyle w:val="13"/>
        <w:tabs>
          <w:tab w:val="right" w:leader="dot" w:pos="8306"/>
          <w:tab w:val="clear" w:pos="8296"/>
        </w:tabs>
      </w:pPr>
      <w:r>
        <w:fldChar w:fldCharType="begin"/>
      </w:r>
      <w:r>
        <w:instrText xml:space="preserve"> HYPERLINK \l _Toc29443 </w:instrText>
      </w:r>
      <w:r>
        <w:fldChar w:fldCharType="separate"/>
      </w:r>
      <w:r>
        <w:rPr>
          <w:rFonts w:hint="default"/>
        </w:rPr>
        <w:t xml:space="preserve">三、 </w:t>
      </w:r>
      <w:r>
        <w:rPr>
          <w:rFonts w:hint="eastAsia"/>
        </w:rPr>
        <w:t>支出决算情况说明</w:t>
      </w:r>
      <w:r>
        <w:tab/>
      </w:r>
      <w:r>
        <w:fldChar w:fldCharType="begin"/>
      </w:r>
      <w:r>
        <w:instrText xml:space="preserve"> PAGEREF _Toc29443 </w:instrText>
      </w:r>
      <w:r>
        <w:fldChar w:fldCharType="separate"/>
      </w:r>
      <w:r>
        <w:t>15</w:t>
      </w:r>
      <w:r>
        <w:fldChar w:fldCharType="end"/>
      </w:r>
      <w:r>
        <w:fldChar w:fldCharType="end"/>
      </w:r>
    </w:p>
    <w:p>
      <w:pPr>
        <w:pStyle w:val="13"/>
        <w:tabs>
          <w:tab w:val="right" w:leader="dot" w:pos="8306"/>
          <w:tab w:val="clear" w:pos="8296"/>
        </w:tabs>
      </w:pPr>
      <w:r>
        <w:fldChar w:fldCharType="begin"/>
      </w:r>
      <w:r>
        <w:instrText xml:space="preserve"> HYPERLINK \l _Toc29313 </w:instrText>
      </w:r>
      <w:r>
        <w:fldChar w:fldCharType="separate"/>
      </w:r>
      <w:r>
        <w:rPr>
          <w:rFonts w:hint="eastAsia"/>
        </w:rPr>
        <w:t>四、财政拨款收入支出决算总体情况说明</w:t>
      </w:r>
      <w:r>
        <w:tab/>
      </w:r>
      <w:r>
        <w:fldChar w:fldCharType="begin"/>
      </w:r>
      <w:r>
        <w:instrText xml:space="preserve"> PAGEREF _Toc29313 </w:instrText>
      </w:r>
      <w:r>
        <w:fldChar w:fldCharType="separate"/>
      </w:r>
      <w:r>
        <w:t>16</w:t>
      </w:r>
      <w:r>
        <w:fldChar w:fldCharType="end"/>
      </w:r>
      <w:r>
        <w:fldChar w:fldCharType="end"/>
      </w:r>
    </w:p>
    <w:p>
      <w:pPr>
        <w:pStyle w:val="13"/>
        <w:tabs>
          <w:tab w:val="right" w:leader="dot" w:pos="8306"/>
          <w:tab w:val="clear" w:pos="8296"/>
        </w:tabs>
      </w:pPr>
      <w:r>
        <w:fldChar w:fldCharType="begin"/>
      </w:r>
      <w:r>
        <w:instrText xml:space="preserve"> HYPERLINK \l _Toc6045 </w:instrText>
      </w:r>
      <w:r>
        <w:fldChar w:fldCharType="separate"/>
      </w:r>
      <w:r>
        <w:rPr>
          <w:rFonts w:hint="eastAsia"/>
        </w:rPr>
        <w:t>五</w:t>
      </w:r>
      <w:r>
        <w:rPr>
          <w:rFonts w:hint="eastAsia"/>
          <w:lang w:eastAsia="zh-CN"/>
        </w:rPr>
        <w:t>、</w:t>
      </w:r>
      <w:r>
        <w:rPr>
          <w:rFonts w:hint="eastAsia"/>
        </w:rPr>
        <w:t>一般公共预算财政拨款支出决算情况说明</w:t>
      </w:r>
      <w:r>
        <w:tab/>
      </w:r>
      <w:r>
        <w:fldChar w:fldCharType="begin"/>
      </w:r>
      <w:r>
        <w:instrText xml:space="preserve"> PAGEREF _Toc6045 </w:instrText>
      </w:r>
      <w:r>
        <w:fldChar w:fldCharType="separate"/>
      </w:r>
      <w:r>
        <w:t>16</w:t>
      </w:r>
      <w:r>
        <w:fldChar w:fldCharType="end"/>
      </w:r>
      <w:r>
        <w:fldChar w:fldCharType="end"/>
      </w:r>
    </w:p>
    <w:p>
      <w:pPr>
        <w:pStyle w:val="8"/>
        <w:tabs>
          <w:tab w:val="right" w:leader="dot" w:pos="8306"/>
          <w:tab w:val="clear" w:pos="8296"/>
        </w:tabs>
      </w:pPr>
      <w:r>
        <w:fldChar w:fldCharType="begin"/>
      </w:r>
      <w:r>
        <w:instrText xml:space="preserve"> HYPERLINK \l _Toc5989 </w:instrText>
      </w:r>
      <w:r>
        <w:fldChar w:fldCharType="separate"/>
      </w:r>
      <w:r>
        <w:rPr>
          <w:rFonts w:hint="eastAsia"/>
        </w:rPr>
        <w:t>（一）一般公共预算财政拨款支出决算总体情况</w:t>
      </w:r>
      <w:r>
        <w:tab/>
      </w:r>
      <w:r>
        <w:fldChar w:fldCharType="begin"/>
      </w:r>
      <w:r>
        <w:instrText xml:space="preserve"> PAGEREF _Toc5989 </w:instrText>
      </w:r>
      <w:r>
        <w:fldChar w:fldCharType="separate"/>
      </w:r>
      <w:r>
        <w:t>16</w:t>
      </w:r>
      <w:r>
        <w:fldChar w:fldCharType="end"/>
      </w:r>
      <w:r>
        <w:fldChar w:fldCharType="end"/>
      </w:r>
    </w:p>
    <w:p>
      <w:pPr>
        <w:pStyle w:val="8"/>
        <w:tabs>
          <w:tab w:val="right" w:leader="dot" w:pos="8306"/>
          <w:tab w:val="clear" w:pos="8296"/>
        </w:tabs>
      </w:pPr>
      <w:r>
        <w:fldChar w:fldCharType="begin"/>
      </w:r>
      <w:r>
        <w:instrText xml:space="preserve"> HYPERLINK \l _Toc6478 </w:instrText>
      </w:r>
      <w:r>
        <w:fldChar w:fldCharType="separate"/>
      </w:r>
      <w:r>
        <w:rPr>
          <w:rFonts w:hint="eastAsia"/>
        </w:rPr>
        <w:t>（二）一般公共预算财政拨款支出决算结构情况</w:t>
      </w:r>
      <w:r>
        <w:tab/>
      </w:r>
      <w:r>
        <w:fldChar w:fldCharType="begin"/>
      </w:r>
      <w:r>
        <w:instrText xml:space="preserve"> PAGEREF _Toc6478 </w:instrText>
      </w:r>
      <w:r>
        <w:fldChar w:fldCharType="separate"/>
      </w:r>
      <w:r>
        <w:t>17</w:t>
      </w:r>
      <w:r>
        <w:fldChar w:fldCharType="end"/>
      </w:r>
      <w:r>
        <w:fldChar w:fldCharType="end"/>
      </w:r>
    </w:p>
    <w:p>
      <w:pPr>
        <w:pStyle w:val="8"/>
        <w:tabs>
          <w:tab w:val="right" w:leader="dot" w:pos="8306"/>
          <w:tab w:val="clear" w:pos="8296"/>
        </w:tabs>
      </w:pPr>
      <w:r>
        <w:fldChar w:fldCharType="begin"/>
      </w:r>
      <w:r>
        <w:instrText xml:space="preserve"> HYPERLINK \l _Toc17293 </w:instrText>
      </w:r>
      <w:r>
        <w:fldChar w:fldCharType="separate"/>
      </w:r>
      <w:r>
        <w:rPr>
          <w:rFonts w:hint="eastAsia"/>
        </w:rPr>
        <w:t>（三）一般公共预算财政拨款支出决算具体情况</w:t>
      </w:r>
      <w:r>
        <w:tab/>
      </w:r>
      <w:r>
        <w:fldChar w:fldCharType="begin"/>
      </w:r>
      <w:r>
        <w:instrText xml:space="preserve"> PAGEREF _Toc17293 </w:instrText>
      </w:r>
      <w:r>
        <w:fldChar w:fldCharType="separate"/>
      </w:r>
      <w:r>
        <w:t>18</w:t>
      </w:r>
      <w:r>
        <w:fldChar w:fldCharType="end"/>
      </w:r>
      <w:r>
        <w:fldChar w:fldCharType="end"/>
      </w:r>
    </w:p>
    <w:p>
      <w:pPr>
        <w:pStyle w:val="13"/>
        <w:tabs>
          <w:tab w:val="right" w:leader="dot" w:pos="8306"/>
          <w:tab w:val="clear" w:pos="8296"/>
        </w:tabs>
      </w:pPr>
      <w:r>
        <w:fldChar w:fldCharType="begin"/>
      </w:r>
      <w:r>
        <w:instrText xml:space="preserve"> HYPERLINK \l _Toc26874 </w:instrText>
      </w:r>
      <w:r>
        <w:fldChar w:fldCharType="separate"/>
      </w:r>
      <w:r>
        <w:rPr>
          <w:rFonts w:hint="eastAsia"/>
        </w:rPr>
        <w:t>六、一般公共预算财政拨款基本支出决算情况说明</w:t>
      </w:r>
      <w:r>
        <w:tab/>
      </w:r>
      <w:r>
        <w:fldChar w:fldCharType="begin"/>
      </w:r>
      <w:r>
        <w:instrText xml:space="preserve"> PAGEREF _Toc26874 </w:instrText>
      </w:r>
      <w:r>
        <w:fldChar w:fldCharType="separate"/>
      </w:r>
      <w:r>
        <w:t>20</w:t>
      </w:r>
      <w:r>
        <w:fldChar w:fldCharType="end"/>
      </w:r>
      <w:r>
        <w:fldChar w:fldCharType="end"/>
      </w:r>
    </w:p>
    <w:p>
      <w:pPr>
        <w:pStyle w:val="13"/>
        <w:tabs>
          <w:tab w:val="right" w:leader="dot" w:pos="8306"/>
          <w:tab w:val="clear" w:pos="8296"/>
        </w:tabs>
      </w:pPr>
      <w:r>
        <w:fldChar w:fldCharType="begin"/>
      </w:r>
      <w:r>
        <w:instrText xml:space="preserve"> HYPERLINK \l _Toc16089 </w:instrText>
      </w:r>
      <w:r>
        <w:fldChar w:fldCharType="separate"/>
      </w:r>
      <w:r>
        <w:rPr>
          <w:rFonts w:hint="eastAsia"/>
        </w:rPr>
        <w:t>七、“三公”经费财政拨款支出决算情况说明</w:t>
      </w:r>
      <w:r>
        <w:tab/>
      </w:r>
      <w:r>
        <w:fldChar w:fldCharType="begin"/>
      </w:r>
      <w:r>
        <w:instrText xml:space="preserve"> PAGEREF _Toc16089 </w:instrText>
      </w:r>
      <w:r>
        <w:fldChar w:fldCharType="separate"/>
      </w:r>
      <w:r>
        <w:t>21</w:t>
      </w:r>
      <w:r>
        <w:fldChar w:fldCharType="end"/>
      </w:r>
      <w:r>
        <w:fldChar w:fldCharType="end"/>
      </w:r>
    </w:p>
    <w:p>
      <w:pPr>
        <w:pStyle w:val="8"/>
        <w:tabs>
          <w:tab w:val="right" w:leader="dot" w:pos="8306"/>
          <w:tab w:val="clear" w:pos="8296"/>
        </w:tabs>
      </w:pPr>
      <w:r>
        <w:fldChar w:fldCharType="begin"/>
      </w:r>
      <w:r>
        <w:instrText xml:space="preserve"> HYPERLINK \l _Toc1931 </w:instrText>
      </w:r>
      <w:r>
        <w:fldChar w:fldCharType="separate"/>
      </w:r>
      <w:r>
        <w:rPr>
          <w:rFonts w:hint="eastAsia"/>
        </w:rPr>
        <w:t>（一）“三公”经费财政拨款支出决算总体情况说明</w:t>
      </w:r>
      <w:r>
        <w:tab/>
      </w:r>
      <w:r>
        <w:fldChar w:fldCharType="begin"/>
      </w:r>
      <w:r>
        <w:instrText xml:space="preserve"> PAGEREF _Toc1931 </w:instrText>
      </w:r>
      <w:r>
        <w:fldChar w:fldCharType="separate"/>
      </w:r>
      <w:r>
        <w:t>21</w:t>
      </w:r>
      <w:r>
        <w:fldChar w:fldCharType="end"/>
      </w:r>
      <w:r>
        <w:fldChar w:fldCharType="end"/>
      </w:r>
    </w:p>
    <w:p>
      <w:pPr>
        <w:pStyle w:val="8"/>
        <w:tabs>
          <w:tab w:val="right" w:leader="dot" w:pos="8306"/>
          <w:tab w:val="clear" w:pos="8296"/>
        </w:tabs>
      </w:pPr>
      <w:r>
        <w:fldChar w:fldCharType="begin"/>
      </w:r>
      <w:r>
        <w:instrText xml:space="preserve"> HYPERLINK \l _Toc28469 </w:instrText>
      </w:r>
      <w:r>
        <w:fldChar w:fldCharType="separate"/>
      </w:r>
      <w:r>
        <w:rPr>
          <w:rFonts w:hint="eastAsia"/>
        </w:rPr>
        <w:t>（二）“三公”经费财政拨款支出决算具体情况说明</w:t>
      </w:r>
      <w:r>
        <w:tab/>
      </w:r>
      <w:r>
        <w:fldChar w:fldCharType="begin"/>
      </w:r>
      <w:r>
        <w:instrText xml:space="preserve"> PAGEREF _Toc28469 </w:instrText>
      </w:r>
      <w:r>
        <w:fldChar w:fldCharType="separate"/>
      </w:r>
      <w:r>
        <w:t>21</w:t>
      </w:r>
      <w:r>
        <w:fldChar w:fldCharType="end"/>
      </w:r>
      <w:r>
        <w:fldChar w:fldCharType="end"/>
      </w:r>
    </w:p>
    <w:p>
      <w:pPr>
        <w:pStyle w:val="13"/>
        <w:tabs>
          <w:tab w:val="right" w:leader="dot" w:pos="8306"/>
          <w:tab w:val="clear" w:pos="8296"/>
        </w:tabs>
      </w:pPr>
      <w:r>
        <w:fldChar w:fldCharType="begin"/>
      </w:r>
      <w:r>
        <w:instrText xml:space="preserve"> HYPERLINK \l _Toc20714 </w:instrText>
      </w:r>
      <w:r>
        <w:fldChar w:fldCharType="separate"/>
      </w:r>
      <w:r>
        <w:rPr>
          <w:rFonts w:hint="eastAsia"/>
        </w:rPr>
        <w:t>八、政府性基金预算支出决算情况说明</w:t>
      </w:r>
      <w:r>
        <w:tab/>
      </w:r>
      <w:r>
        <w:fldChar w:fldCharType="begin"/>
      </w:r>
      <w:r>
        <w:instrText xml:space="preserve"> PAGEREF _Toc20714 </w:instrText>
      </w:r>
      <w:r>
        <w:fldChar w:fldCharType="separate"/>
      </w:r>
      <w:r>
        <w:t>22</w:t>
      </w:r>
      <w:r>
        <w:fldChar w:fldCharType="end"/>
      </w:r>
      <w:r>
        <w:fldChar w:fldCharType="end"/>
      </w:r>
    </w:p>
    <w:p>
      <w:pPr>
        <w:pStyle w:val="13"/>
        <w:tabs>
          <w:tab w:val="right" w:leader="dot" w:pos="8306"/>
          <w:tab w:val="clear" w:pos="8296"/>
        </w:tabs>
      </w:pPr>
      <w:r>
        <w:fldChar w:fldCharType="begin"/>
      </w:r>
      <w:r>
        <w:instrText xml:space="preserve"> HYPERLINK \l _Toc2015 </w:instrText>
      </w:r>
      <w:r>
        <w:fldChar w:fldCharType="separate"/>
      </w:r>
      <w:r>
        <w:rPr>
          <w:rFonts w:hint="eastAsia"/>
        </w:rPr>
        <w:t>九、 国有资本经营预算支出决算情况说明</w:t>
      </w:r>
      <w:r>
        <w:tab/>
      </w:r>
      <w:r>
        <w:fldChar w:fldCharType="begin"/>
      </w:r>
      <w:r>
        <w:instrText xml:space="preserve"> PAGEREF _Toc2015 </w:instrText>
      </w:r>
      <w:r>
        <w:fldChar w:fldCharType="separate"/>
      </w:r>
      <w:r>
        <w:t>23</w:t>
      </w:r>
      <w:r>
        <w:fldChar w:fldCharType="end"/>
      </w:r>
      <w:r>
        <w:fldChar w:fldCharType="end"/>
      </w:r>
    </w:p>
    <w:p>
      <w:pPr>
        <w:pStyle w:val="13"/>
        <w:tabs>
          <w:tab w:val="right" w:leader="dot" w:pos="8306"/>
          <w:tab w:val="clear" w:pos="8296"/>
        </w:tabs>
      </w:pPr>
      <w:r>
        <w:fldChar w:fldCharType="begin"/>
      </w:r>
      <w:r>
        <w:instrText xml:space="preserve"> HYPERLINK \l _Toc7220 </w:instrText>
      </w:r>
      <w:r>
        <w:fldChar w:fldCharType="separate"/>
      </w:r>
      <w:r>
        <w:rPr>
          <w:rFonts w:hint="eastAsia"/>
        </w:rPr>
        <w:t>十、其他重要事项的情况说明</w:t>
      </w:r>
      <w:r>
        <w:tab/>
      </w:r>
      <w:r>
        <w:fldChar w:fldCharType="begin"/>
      </w:r>
      <w:r>
        <w:instrText xml:space="preserve"> PAGEREF _Toc7220 </w:instrText>
      </w:r>
      <w:r>
        <w:fldChar w:fldCharType="separate"/>
      </w:r>
      <w:r>
        <w:t>23</w:t>
      </w:r>
      <w:r>
        <w:fldChar w:fldCharType="end"/>
      </w:r>
      <w:r>
        <w:fldChar w:fldCharType="end"/>
      </w:r>
    </w:p>
    <w:p>
      <w:pPr>
        <w:pStyle w:val="8"/>
        <w:tabs>
          <w:tab w:val="right" w:leader="dot" w:pos="8306"/>
          <w:tab w:val="clear" w:pos="8296"/>
        </w:tabs>
      </w:pPr>
      <w:r>
        <w:fldChar w:fldCharType="begin"/>
      </w:r>
      <w:r>
        <w:instrText xml:space="preserve"> HYPERLINK \l _Toc2894 </w:instrText>
      </w:r>
      <w:r>
        <w:fldChar w:fldCharType="separate"/>
      </w:r>
      <w:r>
        <w:rPr>
          <w:rFonts w:hint="eastAsia"/>
        </w:rPr>
        <w:t>（一）机关运行经费支出情况</w:t>
      </w:r>
      <w:r>
        <w:tab/>
      </w:r>
      <w:r>
        <w:fldChar w:fldCharType="begin"/>
      </w:r>
      <w:r>
        <w:instrText xml:space="preserve"> PAGEREF _Toc2894 </w:instrText>
      </w:r>
      <w:r>
        <w:fldChar w:fldCharType="separate"/>
      </w:r>
      <w:r>
        <w:t>23</w:t>
      </w:r>
      <w:r>
        <w:fldChar w:fldCharType="end"/>
      </w:r>
      <w:r>
        <w:fldChar w:fldCharType="end"/>
      </w:r>
    </w:p>
    <w:p>
      <w:pPr>
        <w:pStyle w:val="8"/>
        <w:tabs>
          <w:tab w:val="right" w:leader="dot" w:pos="8306"/>
          <w:tab w:val="clear" w:pos="8296"/>
        </w:tabs>
      </w:pPr>
      <w:r>
        <w:fldChar w:fldCharType="begin"/>
      </w:r>
      <w:r>
        <w:instrText xml:space="preserve"> HYPERLINK \l _Toc29345 </w:instrText>
      </w:r>
      <w:r>
        <w:fldChar w:fldCharType="separate"/>
      </w:r>
      <w:r>
        <w:rPr>
          <w:rFonts w:hint="eastAsia"/>
        </w:rPr>
        <w:t>（二）政府采购支出情况</w:t>
      </w:r>
      <w:r>
        <w:tab/>
      </w:r>
      <w:r>
        <w:fldChar w:fldCharType="begin"/>
      </w:r>
      <w:r>
        <w:instrText xml:space="preserve"> PAGEREF _Toc29345 </w:instrText>
      </w:r>
      <w:r>
        <w:fldChar w:fldCharType="separate"/>
      </w:r>
      <w:r>
        <w:t>23</w:t>
      </w:r>
      <w:r>
        <w:fldChar w:fldCharType="end"/>
      </w:r>
      <w:r>
        <w:fldChar w:fldCharType="end"/>
      </w:r>
    </w:p>
    <w:p>
      <w:pPr>
        <w:pStyle w:val="8"/>
        <w:tabs>
          <w:tab w:val="right" w:leader="dot" w:pos="8306"/>
          <w:tab w:val="clear" w:pos="8296"/>
        </w:tabs>
      </w:pPr>
      <w:r>
        <w:fldChar w:fldCharType="begin"/>
      </w:r>
      <w:r>
        <w:instrText xml:space="preserve"> HYPERLINK \l _Toc13294 </w:instrText>
      </w:r>
      <w:r>
        <w:fldChar w:fldCharType="separate"/>
      </w:r>
      <w:r>
        <w:rPr>
          <w:rFonts w:hint="eastAsia"/>
        </w:rPr>
        <w:t>（三）国有资产占有使用情况</w:t>
      </w:r>
      <w:r>
        <w:tab/>
      </w:r>
      <w:r>
        <w:fldChar w:fldCharType="begin"/>
      </w:r>
      <w:r>
        <w:instrText xml:space="preserve"> PAGEREF _Toc13294 </w:instrText>
      </w:r>
      <w:r>
        <w:fldChar w:fldCharType="separate"/>
      </w:r>
      <w:r>
        <w:t>23</w:t>
      </w:r>
      <w:r>
        <w:fldChar w:fldCharType="end"/>
      </w:r>
      <w:r>
        <w:fldChar w:fldCharType="end"/>
      </w:r>
    </w:p>
    <w:p>
      <w:pPr>
        <w:pStyle w:val="8"/>
        <w:tabs>
          <w:tab w:val="right" w:leader="dot" w:pos="8306"/>
          <w:tab w:val="clear" w:pos="8296"/>
        </w:tabs>
      </w:pPr>
      <w:r>
        <w:fldChar w:fldCharType="begin"/>
      </w:r>
      <w:r>
        <w:instrText xml:space="preserve"> HYPERLINK \l _Toc2728 </w:instrText>
      </w:r>
      <w:r>
        <w:fldChar w:fldCharType="separate"/>
      </w:r>
      <w:r>
        <w:rPr>
          <w:rFonts w:hint="eastAsia"/>
        </w:rPr>
        <w:t>（四）预算绩效管理情况。</w:t>
      </w:r>
      <w:r>
        <w:tab/>
      </w:r>
      <w:r>
        <w:fldChar w:fldCharType="begin"/>
      </w:r>
      <w:r>
        <w:instrText xml:space="preserve"> PAGEREF _Toc2728 </w:instrText>
      </w:r>
      <w:r>
        <w:fldChar w:fldCharType="separate"/>
      </w:r>
      <w:r>
        <w:t>23</w:t>
      </w:r>
      <w:r>
        <w:fldChar w:fldCharType="end"/>
      </w:r>
      <w:r>
        <w:fldChar w:fldCharType="end"/>
      </w:r>
    </w:p>
    <w:p>
      <w:pPr>
        <w:pStyle w:val="12"/>
        <w:tabs>
          <w:tab w:val="right" w:leader="dot" w:pos="8306"/>
          <w:tab w:val="clear" w:pos="8296"/>
        </w:tabs>
      </w:pPr>
      <w:r>
        <w:fldChar w:fldCharType="begin"/>
      </w:r>
      <w:r>
        <w:instrText xml:space="preserve"> HYPERLINK \l _Toc30025 </w:instrText>
      </w:r>
      <w:r>
        <w:fldChar w:fldCharType="separate"/>
      </w:r>
      <w:r>
        <w:rPr>
          <w:rFonts w:hint="eastAsia"/>
        </w:rPr>
        <w:t>第三部分 名词解释</w:t>
      </w:r>
      <w:r>
        <w:tab/>
      </w:r>
      <w:r>
        <w:fldChar w:fldCharType="begin"/>
      </w:r>
      <w:r>
        <w:instrText xml:space="preserve"> PAGEREF _Toc30025 </w:instrText>
      </w:r>
      <w:r>
        <w:fldChar w:fldCharType="separate"/>
      </w:r>
      <w:r>
        <w:t>34</w:t>
      </w:r>
      <w:r>
        <w:fldChar w:fldCharType="end"/>
      </w:r>
      <w:r>
        <w:fldChar w:fldCharType="end"/>
      </w:r>
    </w:p>
    <w:p>
      <w:pPr>
        <w:pStyle w:val="12"/>
        <w:tabs>
          <w:tab w:val="right" w:leader="dot" w:pos="8306"/>
          <w:tab w:val="clear" w:pos="8296"/>
        </w:tabs>
      </w:pPr>
      <w:r>
        <w:fldChar w:fldCharType="begin"/>
      </w:r>
      <w:r>
        <w:instrText xml:space="preserve"> HYPERLINK \l _Toc27879 </w:instrText>
      </w:r>
      <w:r>
        <w:fldChar w:fldCharType="separate"/>
      </w:r>
      <w:r>
        <w:rPr>
          <w:rFonts w:hint="eastAsia"/>
        </w:rPr>
        <w:t>第四部分 附件</w:t>
      </w:r>
      <w:r>
        <w:tab/>
      </w:r>
      <w:r>
        <w:fldChar w:fldCharType="begin"/>
      </w:r>
      <w:r>
        <w:instrText xml:space="preserve"> PAGEREF _Toc27879 </w:instrText>
      </w:r>
      <w:r>
        <w:fldChar w:fldCharType="separate"/>
      </w:r>
      <w:r>
        <w:t>39</w:t>
      </w:r>
      <w:r>
        <w:fldChar w:fldCharType="end"/>
      </w:r>
      <w:r>
        <w:fldChar w:fldCharType="end"/>
      </w:r>
    </w:p>
    <w:p>
      <w:pPr>
        <w:pStyle w:val="13"/>
        <w:tabs>
          <w:tab w:val="right" w:leader="dot" w:pos="8306"/>
          <w:tab w:val="clear" w:pos="8296"/>
        </w:tabs>
      </w:pPr>
      <w:r>
        <w:fldChar w:fldCharType="begin"/>
      </w:r>
      <w:r>
        <w:instrText xml:space="preserve"> HYPERLINK \l _Toc5055 </w:instrText>
      </w:r>
      <w:r>
        <w:fldChar w:fldCharType="separate"/>
      </w:r>
      <w:r>
        <w:rPr>
          <w:rFonts w:hint="eastAsia"/>
        </w:rPr>
        <w:t>附件1</w:t>
      </w:r>
      <w:r>
        <w:fldChar w:fldCharType="end"/>
      </w:r>
      <w:r>
        <w:fldChar w:fldCharType="begin"/>
      </w:r>
      <w:r>
        <w:instrText xml:space="preserve"> HYPERLINK \l _Toc6545 </w:instrText>
      </w:r>
      <w:r>
        <w:fldChar w:fldCharType="separate"/>
      </w:r>
      <w:r>
        <w:rPr>
          <w:rFonts w:hint="eastAsia"/>
          <w:lang w:val="zh-CN"/>
        </w:rPr>
        <w:t>发展和改革局</w:t>
      </w:r>
      <w:r>
        <w:t>2019年部门</w:t>
      </w:r>
      <w:r>
        <w:rPr>
          <w:rFonts w:hint="eastAsia"/>
          <w:lang w:val="zh-CN"/>
        </w:rPr>
        <w:t>整体支出绩效评价报告</w:t>
      </w:r>
      <w:r>
        <w:tab/>
      </w:r>
      <w:r>
        <w:fldChar w:fldCharType="begin"/>
      </w:r>
      <w:r>
        <w:instrText xml:space="preserve"> PAGEREF _Toc6545 </w:instrText>
      </w:r>
      <w:r>
        <w:fldChar w:fldCharType="separate"/>
      </w:r>
      <w:r>
        <w:t>39</w:t>
      </w:r>
      <w:r>
        <w:fldChar w:fldCharType="end"/>
      </w:r>
      <w:r>
        <w:fldChar w:fldCharType="end"/>
      </w:r>
    </w:p>
    <w:p>
      <w:pPr>
        <w:pStyle w:val="13"/>
        <w:tabs>
          <w:tab w:val="right" w:leader="dot" w:pos="8306"/>
          <w:tab w:val="clear" w:pos="8296"/>
        </w:tabs>
      </w:pPr>
    </w:p>
    <w:p>
      <w:pPr>
        <w:pStyle w:val="13"/>
        <w:tabs>
          <w:tab w:val="right" w:leader="dot" w:pos="8306"/>
          <w:tab w:val="clear" w:pos="8296"/>
        </w:tabs>
      </w:pPr>
      <w:r>
        <w:fldChar w:fldCharType="begin"/>
      </w:r>
      <w:r>
        <w:instrText xml:space="preserve"> HYPERLINK \l _Toc16744 </w:instrText>
      </w:r>
      <w:r>
        <w:fldChar w:fldCharType="separate"/>
      </w:r>
      <w:r>
        <w:rPr>
          <w:rFonts w:hint="eastAsia"/>
        </w:rPr>
        <w:t>附件2</w:t>
      </w:r>
      <w:r>
        <w:fldChar w:fldCharType="end"/>
      </w:r>
      <w:r>
        <w:fldChar w:fldCharType="begin"/>
      </w:r>
      <w:r>
        <w:instrText xml:space="preserve"> HYPERLINK \l _Toc6406 </w:instrText>
      </w:r>
      <w:r>
        <w:fldChar w:fldCharType="separate"/>
      </w:r>
      <w:r>
        <w:rPr>
          <w:rFonts w:hint="eastAsia"/>
          <w:lang w:val="zh-CN"/>
        </w:rPr>
        <w:t>项目</w:t>
      </w:r>
      <w:r>
        <w:rPr>
          <w:rFonts w:hint="eastAsia"/>
        </w:rPr>
        <w:t>2019年</w:t>
      </w:r>
      <w:r>
        <w:rPr>
          <w:rFonts w:hint="eastAsia"/>
          <w:lang w:val="zh-CN"/>
        </w:rPr>
        <w:t>绩效评价报告</w:t>
      </w:r>
      <w:r>
        <w:tab/>
      </w:r>
      <w:r>
        <w:fldChar w:fldCharType="begin"/>
      </w:r>
      <w:r>
        <w:instrText xml:space="preserve"> PAGEREF _Toc6406 </w:instrText>
      </w:r>
      <w:r>
        <w:fldChar w:fldCharType="separate"/>
      </w:r>
      <w:r>
        <w:t>47</w:t>
      </w:r>
      <w:r>
        <w:fldChar w:fldCharType="end"/>
      </w:r>
      <w:r>
        <w:fldChar w:fldCharType="end"/>
      </w:r>
    </w:p>
    <w:p>
      <w:pPr>
        <w:pStyle w:val="13"/>
        <w:tabs>
          <w:tab w:val="right" w:leader="dot" w:pos="8306"/>
          <w:tab w:val="clear" w:pos="8296"/>
        </w:tabs>
      </w:pPr>
      <w:r>
        <w:fldChar w:fldCharType="begin"/>
      </w:r>
      <w:r>
        <w:instrText xml:space="preserve"> HYPERLINK \l _Toc15348 </w:instrText>
      </w:r>
      <w:r>
        <w:fldChar w:fldCharType="separate"/>
      </w:r>
      <w:r>
        <w:rPr>
          <w:rFonts w:hint="eastAsia"/>
        </w:rPr>
        <w:t>无害化处理厂固资评估费</w:t>
      </w:r>
      <w:r>
        <w:rPr>
          <w:rFonts w:hint="eastAsia"/>
          <w:lang w:val="zh-CN"/>
        </w:rPr>
        <w:t>项目</w:t>
      </w:r>
      <w:r>
        <w:rPr>
          <w:rFonts w:hint="eastAsia"/>
        </w:rPr>
        <w:t>2019年</w:t>
      </w:r>
      <w:r>
        <w:rPr>
          <w:rFonts w:hint="eastAsia"/>
          <w:lang w:val="zh-CN"/>
        </w:rPr>
        <w:t>绩效评价报告</w:t>
      </w:r>
      <w:r>
        <w:tab/>
      </w:r>
      <w:r>
        <w:fldChar w:fldCharType="begin"/>
      </w:r>
      <w:r>
        <w:instrText xml:space="preserve"> PAGEREF _Toc15348 </w:instrText>
      </w:r>
      <w:r>
        <w:fldChar w:fldCharType="separate"/>
      </w:r>
      <w:r>
        <w:t>51</w:t>
      </w:r>
      <w:r>
        <w:fldChar w:fldCharType="end"/>
      </w:r>
      <w:r>
        <w:fldChar w:fldCharType="end"/>
      </w:r>
    </w:p>
    <w:p>
      <w:pPr>
        <w:pStyle w:val="12"/>
        <w:tabs>
          <w:tab w:val="right" w:leader="dot" w:pos="8306"/>
          <w:tab w:val="clear" w:pos="8296"/>
        </w:tabs>
        <w:jc w:val="both"/>
        <w:rPr>
          <w:rFonts w:hint="eastAsia" w:eastAsia="仿宋"/>
          <w:lang w:val="en-US" w:eastAsia="zh-CN"/>
        </w:rPr>
      </w:pPr>
      <w:r>
        <w:fldChar w:fldCharType="begin"/>
      </w:r>
      <w:r>
        <w:instrText xml:space="preserve"> HYPERLINK \l _Toc23104 </w:instrText>
      </w:r>
      <w:r>
        <w:fldChar w:fldCharType="separate"/>
      </w:r>
      <w:r>
        <w:rPr>
          <w:rFonts w:hint="eastAsia"/>
        </w:rPr>
        <w:t>第五部分</w:t>
      </w:r>
      <w:r>
        <w:tab/>
      </w:r>
      <w:r>
        <w:rPr>
          <w:rFonts w:hint="eastAsia"/>
          <w:lang w:val="en-US" w:eastAsia="zh-CN"/>
        </w:rPr>
        <w:t>6</w:t>
      </w:r>
      <w:r>
        <w:fldChar w:fldCharType="end"/>
      </w:r>
      <w:r>
        <w:rPr>
          <w:rFonts w:hint="eastAsia"/>
          <w:lang w:val="en-US" w:eastAsia="zh-CN"/>
        </w:rPr>
        <w:t>5</w:t>
      </w:r>
    </w:p>
    <w:p>
      <w:pPr>
        <w:pStyle w:val="13"/>
        <w:tabs>
          <w:tab w:val="right" w:leader="dot" w:pos="8306"/>
          <w:tab w:val="clear" w:pos="8296"/>
        </w:tabs>
        <w:rPr>
          <w:rFonts w:hint="eastAsia" w:eastAsia="宋体"/>
          <w:lang w:val="en-US" w:eastAsia="zh-CN"/>
        </w:rPr>
      </w:pPr>
      <w:r>
        <w:fldChar w:fldCharType="begin"/>
      </w:r>
      <w:r>
        <w:instrText xml:space="preserve"> HYPERLINK \l _Toc1017 </w:instrText>
      </w:r>
      <w:r>
        <w:fldChar w:fldCharType="separate"/>
      </w:r>
      <w:r>
        <w:rPr>
          <w:rFonts w:hint="eastAsia" w:ascii="仿宋_GB2312" w:hAnsi="宋体" w:eastAsia="仿宋_GB2312" w:cs="Times New Roman"/>
          <w:bCs w:val="0"/>
          <w:kern w:val="2"/>
          <w:szCs w:val="32"/>
          <w:lang w:val="zh-CN" w:eastAsia="zh-CN" w:bidi="ar-SA"/>
        </w:rPr>
        <w:t>一、收入支出决算总表</w:t>
      </w:r>
      <w:r>
        <w:tab/>
      </w:r>
      <w:r>
        <w:rPr>
          <w:rFonts w:hint="eastAsia"/>
          <w:lang w:val="en-US" w:eastAsia="zh-CN"/>
        </w:rPr>
        <w:t>6</w:t>
      </w:r>
      <w:r>
        <w:fldChar w:fldCharType="end"/>
      </w:r>
      <w:r>
        <w:rPr>
          <w:rFonts w:hint="eastAsia"/>
          <w:lang w:val="en-US" w:eastAsia="zh-CN"/>
        </w:rPr>
        <w:t>5</w:t>
      </w:r>
    </w:p>
    <w:p>
      <w:pPr>
        <w:pStyle w:val="13"/>
        <w:tabs>
          <w:tab w:val="right" w:leader="dot" w:pos="8306"/>
          <w:tab w:val="clear" w:pos="8296"/>
        </w:tabs>
        <w:rPr>
          <w:rFonts w:hint="eastAsia" w:eastAsia="宋体"/>
          <w:lang w:val="en-US" w:eastAsia="zh-CN"/>
        </w:rPr>
      </w:pPr>
      <w:r>
        <w:fldChar w:fldCharType="begin"/>
      </w:r>
      <w:r>
        <w:instrText xml:space="preserve"> HYPERLINK \l _Toc11692 </w:instrText>
      </w:r>
      <w:r>
        <w:fldChar w:fldCharType="separate"/>
      </w:r>
      <w:r>
        <w:rPr>
          <w:rFonts w:hint="eastAsia" w:ascii="仿宋_GB2312" w:hAnsi="宋体" w:eastAsia="仿宋_GB2312" w:cs="Times New Roman"/>
          <w:bCs w:val="0"/>
          <w:kern w:val="2"/>
          <w:szCs w:val="32"/>
          <w:lang w:val="zh-CN" w:eastAsia="zh-CN" w:bidi="ar-SA"/>
        </w:rPr>
        <w:t>二、收入决算表</w:t>
      </w:r>
      <w:r>
        <w:tab/>
      </w:r>
      <w:r>
        <w:rPr>
          <w:rFonts w:hint="eastAsia"/>
          <w:lang w:val="en-US" w:eastAsia="zh-CN"/>
        </w:rPr>
        <w:t>6</w:t>
      </w:r>
      <w:r>
        <w:fldChar w:fldCharType="end"/>
      </w:r>
      <w:r>
        <w:rPr>
          <w:rFonts w:hint="eastAsia"/>
          <w:lang w:val="en-US" w:eastAsia="zh-CN"/>
        </w:rPr>
        <w:t>5</w:t>
      </w:r>
    </w:p>
    <w:p>
      <w:pPr>
        <w:pStyle w:val="13"/>
        <w:tabs>
          <w:tab w:val="right" w:leader="dot" w:pos="8306"/>
          <w:tab w:val="clear" w:pos="8296"/>
        </w:tabs>
        <w:rPr>
          <w:rFonts w:hint="eastAsia" w:eastAsia="宋体"/>
          <w:lang w:val="en-US" w:eastAsia="zh-CN"/>
        </w:rPr>
      </w:pPr>
      <w:r>
        <w:fldChar w:fldCharType="begin"/>
      </w:r>
      <w:r>
        <w:instrText xml:space="preserve"> HYPERLINK \l _Toc23338 </w:instrText>
      </w:r>
      <w:r>
        <w:fldChar w:fldCharType="separate"/>
      </w:r>
      <w:r>
        <w:rPr>
          <w:rFonts w:hint="eastAsia" w:ascii="仿宋_GB2312" w:hAnsi="宋体" w:eastAsia="仿宋_GB2312" w:cs="Times New Roman"/>
          <w:bCs w:val="0"/>
          <w:kern w:val="2"/>
          <w:szCs w:val="32"/>
          <w:lang w:val="zh-CN" w:eastAsia="zh-CN" w:bidi="ar-SA"/>
        </w:rPr>
        <w:t>三、支出决算表</w:t>
      </w:r>
      <w:r>
        <w:tab/>
      </w:r>
      <w:r>
        <w:rPr>
          <w:rFonts w:hint="eastAsia"/>
          <w:lang w:val="en-US" w:eastAsia="zh-CN"/>
        </w:rPr>
        <w:t>6</w:t>
      </w:r>
      <w:r>
        <w:fldChar w:fldCharType="end"/>
      </w:r>
      <w:r>
        <w:rPr>
          <w:rFonts w:hint="eastAsia"/>
          <w:lang w:val="en-US" w:eastAsia="zh-CN"/>
        </w:rPr>
        <w:t>5</w:t>
      </w:r>
    </w:p>
    <w:p>
      <w:pPr>
        <w:pStyle w:val="13"/>
        <w:tabs>
          <w:tab w:val="right" w:leader="dot" w:pos="8306"/>
          <w:tab w:val="clear" w:pos="8296"/>
        </w:tabs>
        <w:rPr>
          <w:rFonts w:hint="eastAsia" w:eastAsia="宋体"/>
          <w:lang w:val="en-US" w:eastAsia="zh-CN"/>
        </w:rPr>
      </w:pPr>
      <w:r>
        <w:fldChar w:fldCharType="begin"/>
      </w:r>
      <w:r>
        <w:instrText xml:space="preserve"> HYPERLINK \l _Toc13662 </w:instrText>
      </w:r>
      <w:r>
        <w:fldChar w:fldCharType="separate"/>
      </w:r>
      <w:r>
        <w:rPr>
          <w:rFonts w:hint="eastAsia" w:ascii="仿宋_GB2312" w:hAnsi="宋体" w:eastAsia="仿宋_GB2312" w:cs="Times New Roman"/>
          <w:bCs w:val="0"/>
          <w:kern w:val="2"/>
          <w:szCs w:val="32"/>
          <w:lang w:val="zh-CN" w:eastAsia="zh-CN" w:bidi="ar-SA"/>
        </w:rPr>
        <w:t>四、财政拨款收入支出决算总表</w:t>
      </w:r>
      <w:r>
        <w:tab/>
      </w:r>
      <w:r>
        <w:rPr>
          <w:rFonts w:hint="eastAsia"/>
          <w:lang w:val="en-US" w:eastAsia="zh-CN"/>
        </w:rPr>
        <w:t>5</w:t>
      </w:r>
      <w:r>
        <w:fldChar w:fldCharType="end"/>
      </w:r>
      <w:r>
        <w:rPr>
          <w:rFonts w:hint="eastAsia"/>
          <w:lang w:val="en-US" w:eastAsia="zh-CN"/>
        </w:rPr>
        <w:t>6</w:t>
      </w:r>
    </w:p>
    <w:p>
      <w:pPr>
        <w:pStyle w:val="13"/>
        <w:tabs>
          <w:tab w:val="right" w:leader="dot" w:pos="8306"/>
          <w:tab w:val="clear" w:pos="8296"/>
        </w:tabs>
        <w:rPr>
          <w:rFonts w:hint="eastAsia" w:eastAsia="宋体"/>
          <w:lang w:val="en-US" w:eastAsia="zh-CN"/>
        </w:rPr>
      </w:pPr>
      <w:r>
        <w:fldChar w:fldCharType="begin"/>
      </w:r>
      <w:r>
        <w:instrText xml:space="preserve"> HYPERLINK \l _Toc5991 </w:instrText>
      </w:r>
      <w:r>
        <w:fldChar w:fldCharType="separate"/>
      </w:r>
      <w:r>
        <w:rPr>
          <w:rFonts w:hint="eastAsia" w:ascii="仿宋_GB2312" w:hAnsi="宋体" w:eastAsia="仿宋_GB2312" w:cs="Times New Roman"/>
          <w:bCs w:val="0"/>
          <w:kern w:val="2"/>
          <w:szCs w:val="32"/>
          <w:lang w:val="zh-CN" w:eastAsia="zh-CN" w:bidi="ar-SA"/>
        </w:rPr>
        <w:t>五、财政拨款支出决算明细表</w:t>
      </w:r>
      <w:r>
        <w:tab/>
      </w:r>
      <w:r>
        <w:rPr>
          <w:rFonts w:hint="eastAsia"/>
          <w:lang w:val="en-US" w:eastAsia="zh-CN"/>
        </w:rPr>
        <w:t>6</w:t>
      </w:r>
      <w:r>
        <w:fldChar w:fldCharType="end"/>
      </w:r>
      <w:r>
        <w:rPr>
          <w:rFonts w:hint="eastAsia"/>
          <w:lang w:val="en-US" w:eastAsia="zh-CN"/>
        </w:rPr>
        <w:t>5</w:t>
      </w:r>
    </w:p>
    <w:p>
      <w:pPr>
        <w:pStyle w:val="13"/>
        <w:tabs>
          <w:tab w:val="right" w:leader="dot" w:pos="8306"/>
          <w:tab w:val="clear" w:pos="8296"/>
        </w:tabs>
        <w:rPr>
          <w:rFonts w:hint="eastAsia" w:eastAsia="宋体"/>
          <w:lang w:val="en-US" w:eastAsia="zh-CN"/>
        </w:rPr>
      </w:pPr>
      <w:r>
        <w:fldChar w:fldCharType="begin"/>
      </w:r>
      <w:r>
        <w:instrText xml:space="preserve"> HYPERLINK \l _Toc5455 </w:instrText>
      </w:r>
      <w:r>
        <w:fldChar w:fldCharType="separate"/>
      </w:r>
      <w:r>
        <w:rPr>
          <w:rFonts w:hint="eastAsia" w:ascii="仿宋_GB2312" w:hAnsi="宋体" w:eastAsia="仿宋_GB2312" w:cs="Times New Roman"/>
          <w:bCs w:val="0"/>
          <w:kern w:val="2"/>
          <w:szCs w:val="32"/>
          <w:lang w:val="zh-CN" w:eastAsia="zh-CN" w:bidi="ar-SA"/>
        </w:rPr>
        <w:t>六、一般公共预算财政拨款支出决算表</w:t>
      </w:r>
      <w:r>
        <w:tab/>
      </w:r>
      <w:r>
        <w:rPr>
          <w:rFonts w:hint="eastAsia"/>
          <w:lang w:val="en-US" w:eastAsia="zh-CN"/>
        </w:rPr>
        <w:t>6</w:t>
      </w:r>
      <w:r>
        <w:fldChar w:fldCharType="end"/>
      </w:r>
      <w:r>
        <w:rPr>
          <w:rFonts w:hint="eastAsia"/>
          <w:lang w:val="en-US" w:eastAsia="zh-CN"/>
        </w:rPr>
        <w:t>5</w:t>
      </w:r>
    </w:p>
    <w:p>
      <w:pPr>
        <w:pStyle w:val="13"/>
        <w:tabs>
          <w:tab w:val="right" w:leader="dot" w:pos="8306"/>
          <w:tab w:val="clear" w:pos="8296"/>
        </w:tabs>
        <w:rPr>
          <w:rFonts w:hint="eastAsia" w:eastAsia="宋体"/>
          <w:lang w:val="en-US" w:eastAsia="zh-CN"/>
        </w:rPr>
      </w:pPr>
      <w:r>
        <w:fldChar w:fldCharType="begin"/>
      </w:r>
      <w:r>
        <w:instrText xml:space="preserve"> HYPERLINK \l _Toc3522 </w:instrText>
      </w:r>
      <w:r>
        <w:fldChar w:fldCharType="separate"/>
      </w:r>
      <w:r>
        <w:rPr>
          <w:rFonts w:hint="eastAsia" w:ascii="仿宋_GB2312" w:hAnsi="宋体" w:eastAsia="仿宋_GB2312" w:cs="Times New Roman"/>
          <w:bCs w:val="0"/>
          <w:kern w:val="2"/>
          <w:szCs w:val="32"/>
          <w:lang w:val="zh-CN" w:eastAsia="zh-CN" w:bidi="ar-SA"/>
        </w:rPr>
        <w:t>七、一般公共预算财政拨款支出决算明细表</w:t>
      </w:r>
      <w:r>
        <w:tab/>
      </w:r>
      <w:r>
        <w:rPr>
          <w:rFonts w:hint="eastAsia"/>
          <w:lang w:val="en-US" w:eastAsia="zh-CN"/>
        </w:rPr>
        <w:t>6</w:t>
      </w:r>
      <w:r>
        <w:fldChar w:fldCharType="end"/>
      </w:r>
      <w:r>
        <w:rPr>
          <w:rFonts w:hint="eastAsia"/>
          <w:lang w:val="en-US" w:eastAsia="zh-CN"/>
        </w:rPr>
        <w:t>5</w:t>
      </w:r>
    </w:p>
    <w:p>
      <w:pPr>
        <w:pStyle w:val="13"/>
        <w:tabs>
          <w:tab w:val="right" w:leader="dot" w:pos="8306"/>
          <w:tab w:val="clear" w:pos="8296"/>
        </w:tabs>
        <w:rPr>
          <w:rFonts w:hint="eastAsia" w:eastAsia="宋体"/>
          <w:lang w:val="en-US" w:eastAsia="zh-CN"/>
        </w:rPr>
      </w:pPr>
      <w:r>
        <w:fldChar w:fldCharType="begin"/>
      </w:r>
      <w:r>
        <w:instrText xml:space="preserve"> HYPERLINK \l _Toc29529 </w:instrText>
      </w:r>
      <w:r>
        <w:fldChar w:fldCharType="separate"/>
      </w:r>
      <w:r>
        <w:rPr>
          <w:rFonts w:hint="eastAsia" w:ascii="仿宋_GB2312" w:hAnsi="宋体" w:eastAsia="仿宋_GB2312" w:cs="Times New Roman"/>
          <w:bCs w:val="0"/>
          <w:kern w:val="2"/>
          <w:szCs w:val="32"/>
          <w:lang w:val="zh-CN" w:eastAsia="zh-CN" w:bidi="ar-SA"/>
        </w:rPr>
        <w:t>八、一般公共预算财政拨款基本支出决算表</w:t>
      </w:r>
      <w:r>
        <w:tab/>
      </w:r>
      <w:r>
        <w:rPr>
          <w:rFonts w:hint="eastAsia"/>
          <w:lang w:val="en-US" w:eastAsia="zh-CN"/>
        </w:rPr>
        <w:t>6</w:t>
      </w:r>
      <w:r>
        <w:fldChar w:fldCharType="end"/>
      </w:r>
      <w:r>
        <w:rPr>
          <w:rFonts w:hint="eastAsia"/>
          <w:lang w:val="en-US" w:eastAsia="zh-CN"/>
        </w:rPr>
        <w:t>5</w:t>
      </w:r>
    </w:p>
    <w:p>
      <w:pPr>
        <w:pStyle w:val="13"/>
        <w:tabs>
          <w:tab w:val="right" w:leader="dot" w:pos="8306"/>
          <w:tab w:val="clear" w:pos="8296"/>
        </w:tabs>
        <w:rPr>
          <w:rFonts w:hint="eastAsia" w:eastAsia="宋体"/>
          <w:lang w:val="en-US" w:eastAsia="zh-CN"/>
        </w:rPr>
      </w:pPr>
      <w:r>
        <w:fldChar w:fldCharType="begin"/>
      </w:r>
      <w:r>
        <w:instrText xml:space="preserve"> HYPERLINK \l _Toc9585 </w:instrText>
      </w:r>
      <w:r>
        <w:fldChar w:fldCharType="separate"/>
      </w:r>
      <w:r>
        <w:rPr>
          <w:rFonts w:hint="eastAsia" w:ascii="仿宋_GB2312" w:hAnsi="宋体" w:eastAsia="仿宋_GB2312" w:cs="Times New Roman"/>
          <w:bCs w:val="0"/>
          <w:kern w:val="2"/>
          <w:szCs w:val="32"/>
          <w:lang w:val="zh-CN" w:eastAsia="zh-CN" w:bidi="ar-SA"/>
        </w:rPr>
        <w:t>九、一般公共预算财政拨款项目支出决算表</w:t>
      </w:r>
      <w:r>
        <w:tab/>
      </w:r>
      <w:r>
        <w:rPr>
          <w:rFonts w:hint="eastAsia"/>
          <w:lang w:val="en-US" w:eastAsia="zh-CN"/>
        </w:rPr>
        <w:t>6</w:t>
      </w:r>
      <w:r>
        <w:fldChar w:fldCharType="end"/>
      </w:r>
      <w:r>
        <w:rPr>
          <w:rFonts w:hint="eastAsia"/>
          <w:lang w:val="en-US" w:eastAsia="zh-CN"/>
        </w:rPr>
        <w:t>5</w:t>
      </w:r>
    </w:p>
    <w:p>
      <w:pPr>
        <w:pStyle w:val="13"/>
        <w:tabs>
          <w:tab w:val="right" w:leader="dot" w:pos="8306"/>
          <w:tab w:val="clear" w:pos="8296"/>
        </w:tabs>
        <w:rPr>
          <w:rFonts w:hint="eastAsia" w:eastAsia="宋体"/>
          <w:lang w:val="en-US" w:eastAsia="zh-CN"/>
        </w:rPr>
      </w:pPr>
      <w:r>
        <w:fldChar w:fldCharType="begin"/>
      </w:r>
      <w:r>
        <w:instrText xml:space="preserve"> HYPERLINK \l _Toc14203 </w:instrText>
      </w:r>
      <w:r>
        <w:fldChar w:fldCharType="separate"/>
      </w:r>
      <w:r>
        <w:rPr>
          <w:rFonts w:hint="eastAsia" w:ascii="仿宋_GB2312" w:hAnsi="宋体" w:eastAsia="仿宋_GB2312" w:cs="Times New Roman"/>
          <w:bCs w:val="0"/>
          <w:kern w:val="2"/>
          <w:szCs w:val="32"/>
          <w:lang w:val="zh-CN" w:eastAsia="zh-CN" w:bidi="ar-SA"/>
        </w:rPr>
        <w:t>十、一般公共预算财政拨款“三公”经费支出决算表</w:t>
      </w:r>
      <w:r>
        <w:tab/>
      </w:r>
      <w:r>
        <w:rPr>
          <w:rFonts w:hint="eastAsia"/>
          <w:lang w:val="en-US" w:eastAsia="zh-CN"/>
        </w:rPr>
        <w:t>6</w:t>
      </w:r>
      <w:r>
        <w:fldChar w:fldCharType="end"/>
      </w:r>
      <w:r>
        <w:rPr>
          <w:rFonts w:hint="eastAsia"/>
          <w:lang w:val="en-US" w:eastAsia="zh-CN"/>
        </w:rPr>
        <w:t>5</w:t>
      </w:r>
    </w:p>
    <w:p>
      <w:pPr>
        <w:pStyle w:val="13"/>
        <w:tabs>
          <w:tab w:val="right" w:leader="dot" w:pos="8306"/>
          <w:tab w:val="clear" w:pos="8296"/>
        </w:tabs>
        <w:rPr>
          <w:rFonts w:hint="eastAsia" w:eastAsia="宋体"/>
          <w:lang w:val="en-US" w:eastAsia="zh-CN"/>
        </w:rPr>
      </w:pPr>
      <w:r>
        <w:fldChar w:fldCharType="begin"/>
      </w:r>
      <w:r>
        <w:instrText xml:space="preserve"> HYPERLINK \l _Toc21913 </w:instrText>
      </w:r>
      <w:r>
        <w:fldChar w:fldCharType="separate"/>
      </w:r>
      <w:r>
        <w:rPr>
          <w:rFonts w:hint="eastAsia" w:ascii="仿宋_GB2312" w:hAnsi="宋体" w:eastAsia="仿宋_GB2312" w:cs="Times New Roman"/>
          <w:bCs w:val="0"/>
          <w:kern w:val="2"/>
          <w:szCs w:val="32"/>
          <w:lang w:val="zh-CN" w:eastAsia="zh-CN" w:bidi="ar-SA"/>
        </w:rPr>
        <w:t>十一、政府性基金预算财政拨款收入支出决算表</w:t>
      </w:r>
      <w:r>
        <w:tab/>
      </w:r>
      <w:r>
        <w:rPr>
          <w:rFonts w:hint="eastAsia"/>
          <w:lang w:val="en-US" w:eastAsia="zh-CN"/>
        </w:rPr>
        <w:t>6</w:t>
      </w:r>
      <w:r>
        <w:fldChar w:fldCharType="end"/>
      </w:r>
      <w:r>
        <w:rPr>
          <w:rFonts w:hint="eastAsia"/>
          <w:lang w:val="en-US" w:eastAsia="zh-CN"/>
        </w:rPr>
        <w:t>5</w:t>
      </w:r>
    </w:p>
    <w:p>
      <w:pPr>
        <w:pStyle w:val="13"/>
        <w:tabs>
          <w:tab w:val="right" w:leader="dot" w:pos="8306"/>
          <w:tab w:val="clear" w:pos="8296"/>
        </w:tabs>
        <w:rPr>
          <w:rFonts w:hint="eastAsia" w:eastAsia="宋体"/>
          <w:lang w:val="en-US" w:eastAsia="zh-CN"/>
        </w:rPr>
      </w:pPr>
      <w:r>
        <w:fldChar w:fldCharType="begin"/>
      </w:r>
      <w:r>
        <w:instrText xml:space="preserve"> HYPERLINK \l _Toc22269 </w:instrText>
      </w:r>
      <w:r>
        <w:fldChar w:fldCharType="separate"/>
      </w:r>
      <w:r>
        <w:rPr>
          <w:rFonts w:hint="eastAsia" w:ascii="仿宋_GB2312" w:hAnsi="宋体" w:eastAsia="仿宋_GB2312" w:cs="Times New Roman"/>
          <w:bCs w:val="0"/>
          <w:kern w:val="2"/>
          <w:szCs w:val="32"/>
          <w:lang w:val="zh-CN" w:eastAsia="zh-CN" w:bidi="ar-SA"/>
        </w:rPr>
        <w:t>十二、政府性基金预算财政拨款“三公”经费支出决算表</w:t>
      </w:r>
      <w:r>
        <w:tab/>
      </w:r>
      <w:r>
        <w:rPr>
          <w:rFonts w:hint="eastAsia"/>
          <w:lang w:val="en-US" w:eastAsia="zh-CN"/>
        </w:rPr>
        <w:t>6</w:t>
      </w:r>
      <w:r>
        <w:fldChar w:fldCharType="end"/>
      </w:r>
      <w:r>
        <w:rPr>
          <w:rFonts w:hint="eastAsia"/>
          <w:lang w:val="en-US" w:eastAsia="zh-CN"/>
        </w:rPr>
        <w:t>5</w:t>
      </w:r>
    </w:p>
    <w:p>
      <w:pPr>
        <w:pStyle w:val="13"/>
        <w:tabs>
          <w:tab w:val="right" w:leader="dot" w:pos="8306"/>
          <w:tab w:val="clear" w:pos="8296"/>
        </w:tabs>
        <w:rPr>
          <w:rFonts w:hint="eastAsia" w:eastAsia="宋体"/>
          <w:lang w:val="en-US" w:eastAsia="zh-CN"/>
        </w:rPr>
      </w:pPr>
      <w:r>
        <w:fldChar w:fldCharType="begin"/>
      </w:r>
      <w:r>
        <w:instrText xml:space="preserve"> HYPERLINK \l _Toc30280 </w:instrText>
      </w:r>
      <w:r>
        <w:fldChar w:fldCharType="separate"/>
      </w:r>
      <w:r>
        <w:rPr>
          <w:rFonts w:hint="eastAsia" w:ascii="仿宋_GB2312" w:hAnsi="宋体" w:eastAsia="仿宋_GB2312" w:cs="Times New Roman"/>
          <w:bCs w:val="0"/>
          <w:kern w:val="2"/>
          <w:szCs w:val="32"/>
          <w:lang w:val="zh-CN" w:eastAsia="zh-CN" w:bidi="ar-SA"/>
        </w:rPr>
        <w:t>十三、国有资本经营预算支出决算表</w:t>
      </w:r>
      <w:r>
        <w:tab/>
      </w:r>
      <w:r>
        <w:rPr>
          <w:rFonts w:hint="eastAsia"/>
          <w:lang w:val="en-US" w:eastAsia="zh-CN"/>
        </w:rPr>
        <w:t>6</w:t>
      </w:r>
      <w:r>
        <w:fldChar w:fldCharType="end"/>
      </w:r>
      <w:r>
        <w:rPr>
          <w:rFonts w:hint="eastAsia"/>
          <w:lang w:val="en-US" w:eastAsia="zh-CN"/>
        </w:rPr>
        <w:t>5</w:t>
      </w:r>
    </w:p>
    <w:p>
      <w:pPr>
        <w:pStyle w:val="2"/>
      </w:pPr>
      <w:r>
        <w:fldChar w:fldCharType="end"/>
      </w:r>
    </w:p>
    <w:p>
      <w:pPr>
        <w:widowControl/>
        <w:spacing w:line="440" w:lineRule="exact"/>
        <w:jc w:val="left"/>
        <w:rPr>
          <w:rFonts w:ascii="仿宋" w:hAnsi="仿宋" w:eastAsia="仿宋"/>
          <w:bCs/>
          <w:kern w:val="44"/>
          <w:sz w:val="24"/>
        </w:rPr>
      </w:pPr>
      <w:r>
        <w:rPr>
          <w:rFonts w:ascii="仿宋" w:hAnsi="仿宋" w:eastAsia="仿宋"/>
          <w:b/>
          <w:sz w:val="24"/>
        </w:rPr>
        <w:br w:type="page"/>
      </w:r>
    </w:p>
    <w:p>
      <w:pPr>
        <w:pStyle w:val="4"/>
        <w:bidi w:val="0"/>
      </w:pPr>
      <w:bookmarkStart w:id="18" w:name="_Toc15970"/>
      <w:bookmarkStart w:id="19" w:name="_Toc20142"/>
      <w:r>
        <w:rPr>
          <w:rFonts w:hint="eastAsia"/>
        </w:rPr>
        <w:t>第一部分 部门概况</w:t>
      </w:r>
      <w:bookmarkEnd w:id="16"/>
      <w:bookmarkEnd w:id="17"/>
      <w:bookmarkEnd w:id="18"/>
      <w:bookmarkEnd w:id="19"/>
    </w:p>
    <w:p>
      <w:pPr>
        <w:pStyle w:val="5"/>
        <w:bidi w:val="0"/>
      </w:pPr>
      <w:bookmarkStart w:id="20" w:name="_Toc13258"/>
      <w:bookmarkStart w:id="21" w:name="_Toc8884"/>
      <w:bookmarkStart w:id="22" w:name="_Toc15377197"/>
      <w:bookmarkStart w:id="23" w:name="_Toc15396600"/>
      <w:r>
        <w:rPr>
          <w:rFonts w:hint="eastAsia"/>
        </w:rPr>
        <w:t>一、基本职能及主要工作</w:t>
      </w:r>
      <w:bookmarkEnd w:id="20"/>
      <w:bookmarkEnd w:id="21"/>
      <w:bookmarkEnd w:id="22"/>
      <w:bookmarkEnd w:id="23"/>
    </w:p>
    <w:p>
      <w:pPr>
        <w:snapToGrid w:val="0"/>
        <w:spacing w:line="520" w:lineRule="exact"/>
        <w:rPr>
          <w:rFonts w:ascii="仿宋_GB2312" w:hAnsi="仿宋" w:eastAsia="仿宋_GB2312"/>
          <w:b/>
          <w:sz w:val="32"/>
          <w:szCs w:val="32"/>
        </w:rPr>
      </w:pPr>
      <w:bookmarkStart w:id="24" w:name="_Toc15377198"/>
      <w:bookmarkStart w:id="25" w:name="_Toc15378445"/>
      <w:r>
        <w:rPr>
          <w:rFonts w:hint="eastAsia" w:ascii="仿宋" w:hAnsi="仿宋" w:eastAsia="仿宋"/>
          <w:b/>
          <w:color w:val="000000"/>
          <w:sz w:val="32"/>
          <w:szCs w:val="32"/>
        </w:rPr>
        <w:t>（一）主要职能。</w:t>
      </w:r>
      <w:bookmarkEnd w:id="24"/>
      <w:bookmarkEnd w:id="25"/>
    </w:p>
    <w:p>
      <w:pPr>
        <w:numPr>
          <w:ilvl w:val="0"/>
          <w:numId w:val="0"/>
        </w:numPr>
        <w:spacing w:line="560" w:lineRule="exact"/>
        <w:ind w:firstLine="643" w:firstLineChars="200"/>
        <w:rPr>
          <w:rFonts w:hint="eastAsia" w:ascii="仿宋_GB2312" w:eastAsia="仿宋_GB2312"/>
          <w:color w:val="222222"/>
          <w:sz w:val="32"/>
          <w:szCs w:val="32"/>
          <w:shd w:val="clear" w:color="auto" w:fill="FFFFFF"/>
        </w:rPr>
      </w:pPr>
      <w:r>
        <w:rPr>
          <w:rFonts w:hint="eastAsia" w:ascii="楷体_GB2312" w:hAnsi="楷体_GB2312" w:eastAsia="楷体_GB2312"/>
          <w:b/>
          <w:sz w:val="32"/>
          <w:szCs w:val="32"/>
          <w:shd w:val="clear" w:color="auto" w:fill="FFFFFF"/>
          <w:lang w:eastAsia="zh-CN"/>
        </w:rPr>
        <w:t>（一）</w:t>
      </w:r>
      <w:r>
        <w:rPr>
          <w:rFonts w:hint="eastAsia" w:ascii="楷体_GB2312" w:hAnsi="楷体_GB2312" w:eastAsia="楷体_GB2312"/>
          <w:b/>
          <w:sz w:val="32"/>
          <w:szCs w:val="32"/>
          <w:shd w:val="clear" w:color="auto" w:fill="FFFFFF"/>
        </w:rPr>
        <w:t>办公室</w:t>
      </w:r>
      <w:r>
        <w:rPr>
          <w:rFonts w:hint="eastAsia" w:ascii="楷体_GB2312" w:hAnsi="楷体_GB2312" w:eastAsia="楷体_GB2312"/>
          <w:b/>
          <w:sz w:val="32"/>
          <w:szCs w:val="32"/>
          <w:shd w:val="clear" w:color="auto" w:fill="FFFFFF"/>
          <w:lang w:eastAsia="zh-CN"/>
        </w:rPr>
        <w:t>。</w:t>
      </w:r>
      <w:r>
        <w:rPr>
          <w:rFonts w:hint="eastAsia" w:ascii="仿宋_GB2312" w:eastAsia="仿宋_GB2312"/>
          <w:color w:val="222222"/>
          <w:sz w:val="32"/>
          <w:szCs w:val="32"/>
          <w:shd w:val="clear" w:color="auto" w:fill="FFFFFF"/>
        </w:rPr>
        <w:t>组织协调机关政务和绩效管理工作；负责文电、会务、机要、文书档案等机关日常运转工作；承担信息、安全保密、综合治理、信访维稳、政务公开、效能建设、机关财务和资产管理、安全保卫等工作；组织办理人大代表建议、政委员提案；负责机关电子政务的组织实施，管理本局网站平台；负责会议组织及会议决定事项的督办。</w:t>
      </w:r>
    </w:p>
    <w:p>
      <w:pPr>
        <w:snapToGrid w:val="0"/>
        <w:spacing w:line="560" w:lineRule="exact"/>
        <w:ind w:left="0" w:firstLine="630" w:firstLineChars="196"/>
        <w:rPr>
          <w:rFonts w:ascii="楷体_GB2312" w:eastAsia="楷体_GB2312"/>
          <w:sz w:val="32"/>
          <w:szCs w:val="32"/>
          <w:shd w:val="clear" w:color="auto" w:fill="FFFFFF"/>
        </w:rPr>
      </w:pPr>
      <w:r>
        <w:rPr>
          <w:rFonts w:hint="eastAsia" w:ascii="楷体_GB2312" w:hAnsi="楷体_GB2312" w:eastAsia="楷体_GB2312"/>
          <w:b/>
          <w:sz w:val="32"/>
          <w:szCs w:val="32"/>
          <w:shd w:val="clear" w:color="auto" w:fill="FFFFFF"/>
        </w:rPr>
        <w:t>（二）</w:t>
      </w:r>
      <w:r>
        <w:rPr>
          <w:rFonts w:hint="eastAsia" w:ascii="楷体_GB2312" w:eastAsia="楷体_GB2312"/>
          <w:b/>
          <w:sz w:val="32"/>
          <w:szCs w:val="32"/>
          <w:shd w:val="clear" w:color="auto" w:fill="FFFFFF"/>
        </w:rPr>
        <w:t>综合股</w:t>
      </w:r>
      <w:r>
        <w:rPr>
          <w:rFonts w:hint="eastAsia" w:ascii="楷体_GB2312" w:eastAsia="楷体_GB2312"/>
          <w:b/>
          <w:sz w:val="32"/>
          <w:szCs w:val="32"/>
          <w:shd w:val="clear" w:color="auto" w:fill="FFFFFF"/>
          <w:lang w:eastAsia="zh-CN"/>
        </w:rPr>
        <w:t>。</w:t>
      </w:r>
      <w:r>
        <w:rPr>
          <w:rFonts w:hint="eastAsia" w:ascii="仿宋_GB2312" w:eastAsia="仿宋_GB2312"/>
          <w:sz w:val="32"/>
          <w:szCs w:val="32"/>
          <w:shd w:val="clear" w:color="auto" w:fill="FFFFFF"/>
        </w:rPr>
        <w:t>研究提出经济社会发展战略、综合分析研究宏观经济形势，进行经济和社会发展的预测预警；组织编制经济社会发展年度计划，研究提出经济和社会发展年度主要目标。</w:t>
      </w:r>
    </w:p>
    <w:p>
      <w:pPr>
        <w:snapToGrid w:val="0"/>
        <w:spacing w:line="560" w:lineRule="exact"/>
        <w:ind w:left="0" w:firstLine="640" w:firstLineChars="200"/>
        <w:rPr>
          <w:rFonts w:hint="eastAsia" w:ascii="仿宋_GB2312" w:hAnsi="仿宋_GB2312" w:eastAsia="仿宋_GB2312" w:cs="仿宋_GB2312"/>
          <w:sz w:val="32"/>
          <w:szCs w:val="32"/>
        </w:rPr>
      </w:pPr>
      <w:r>
        <w:rPr>
          <w:rFonts w:hint="eastAsia" w:ascii="仿宋_GB2312" w:eastAsia="仿宋_GB2312"/>
          <w:sz w:val="32"/>
          <w:szCs w:val="32"/>
          <w:shd w:val="clear" w:color="auto" w:fill="FFFFFF"/>
        </w:rPr>
        <w:t>研究提出经济社会发展战略、规划和生产力布局的建议；提出经济社会中长期发展、总量平衡、结构调整目标和政策；提出推进城镇化发展战略和重大政策措施；统筹协调经济社会发展重大专项规划和区域规划；综合分析研究宏观经济形势，进行经济和社会发展的预测预警；组织编制经济社会发展年度计划，研究提出经济和社会发展年度主要目标；提出宏观调控目标以及运用各种经济手段和政策的建议。</w:t>
      </w:r>
      <w:r>
        <w:rPr>
          <w:rFonts w:hint="eastAsia" w:ascii="仿宋_GB2312" w:hAnsi="仿宋_GB2312" w:eastAsia="仿宋_GB2312" w:cs="仿宋_GB2312"/>
          <w:sz w:val="32"/>
          <w:szCs w:val="32"/>
        </w:rPr>
        <w:t>研究提出经济体制改革重大问题，指导推进和综合协调经济体制改革；指导经济体制改革试点和改革试验区工作；协调解决经济体制改革进程中的重大问题。</w:t>
      </w:r>
      <w:r>
        <w:rPr>
          <w:rFonts w:hint="eastAsia" w:ascii="仿宋_GB2312" w:eastAsia="仿宋_GB2312"/>
          <w:sz w:val="32"/>
          <w:szCs w:val="32"/>
          <w:shd w:val="clear" w:color="auto" w:fill="FFFFFF"/>
        </w:rPr>
        <w:t>起草有关国民经济和社会发展、经济体制改革的重大政策和地方性法规、规章草案；组织研究经济社会发展、改革开放的重大问题</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rPr>
        <w:t xml:space="preserve"> </w:t>
      </w:r>
    </w:p>
    <w:p>
      <w:pPr>
        <w:spacing w:line="560" w:lineRule="exact"/>
        <w:ind w:left="0" w:firstLine="639"/>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负责半年和年度国民经济和社会发展计划执行情况报告的起草工作；分析国内经济形势，研究全县国民经济和社会发展重大方针政策；组织、参与、协调有关经济法规、政策的起草、论证工作；组织重大经济问题的调研和协调。</w:t>
      </w:r>
    </w:p>
    <w:p>
      <w:pPr>
        <w:snapToGrid w:val="0"/>
        <w:spacing w:line="560" w:lineRule="exact"/>
        <w:ind w:left="0" w:firstLine="630" w:firstLineChars="196"/>
        <w:rPr>
          <w:rFonts w:hint="eastAsia" w:ascii="仿宋_GB2312" w:eastAsia="仿宋_GB2312"/>
          <w:color w:val="auto"/>
          <w:sz w:val="32"/>
          <w:szCs w:val="32"/>
          <w:shd w:val="clear" w:color="auto" w:fill="FFFFFF"/>
        </w:rPr>
      </w:pPr>
      <w:r>
        <w:rPr>
          <w:rFonts w:hint="eastAsia" w:ascii="楷体_GB2312" w:eastAsia="楷体_GB2312"/>
          <w:b/>
          <w:color w:val="auto"/>
          <w:sz w:val="32"/>
          <w:szCs w:val="32"/>
          <w:shd w:val="clear" w:color="auto" w:fill="FFFFFF"/>
        </w:rPr>
        <w:t>（三）</w:t>
      </w:r>
      <w:r>
        <w:rPr>
          <w:rFonts w:hint="eastAsia" w:ascii="楷体_GB2312" w:eastAsia="楷体_GB2312"/>
          <w:b/>
          <w:color w:val="auto"/>
          <w:sz w:val="32"/>
          <w:szCs w:val="32"/>
          <w:shd w:val="clear" w:color="auto" w:fill="FFFFFF"/>
          <w:lang w:eastAsia="zh-CN"/>
        </w:rPr>
        <w:t>项目</w:t>
      </w:r>
      <w:r>
        <w:rPr>
          <w:rFonts w:hint="eastAsia" w:ascii="楷体_GB2312" w:eastAsia="楷体_GB2312"/>
          <w:b/>
          <w:color w:val="auto"/>
          <w:sz w:val="32"/>
          <w:szCs w:val="32"/>
          <w:shd w:val="clear" w:color="auto" w:fill="FFFFFF"/>
        </w:rPr>
        <w:t>投资股</w:t>
      </w:r>
      <w:r>
        <w:rPr>
          <w:rFonts w:hint="eastAsia" w:ascii="楷体_GB2312" w:eastAsia="楷体_GB2312"/>
          <w:b/>
          <w:color w:val="auto"/>
          <w:sz w:val="32"/>
          <w:szCs w:val="32"/>
          <w:shd w:val="clear" w:color="auto" w:fill="FFFFFF"/>
          <w:lang w:eastAsia="zh-CN"/>
        </w:rPr>
        <w:t>。</w:t>
      </w:r>
      <w:r>
        <w:rPr>
          <w:rFonts w:hint="eastAsia" w:ascii="仿宋_GB2312" w:eastAsia="仿宋_GB2312"/>
          <w:color w:val="auto"/>
          <w:sz w:val="32"/>
          <w:szCs w:val="32"/>
          <w:shd w:val="clear" w:color="auto" w:fill="FFFFFF"/>
        </w:rPr>
        <w:t>编制藏区经济和社会发展的中长期规划和年度计划</w:t>
      </w:r>
      <w:r>
        <w:rPr>
          <w:rFonts w:hint="eastAsia" w:ascii="仿宋_GB2312" w:eastAsia="仿宋_GB2312"/>
          <w:color w:val="auto"/>
          <w:sz w:val="32"/>
          <w:szCs w:val="32"/>
          <w:shd w:val="clear" w:color="auto" w:fill="FFFFFF"/>
          <w:lang w:val="en-US" w:eastAsia="zh-CN"/>
        </w:rPr>
        <w:t>,</w:t>
      </w:r>
      <w:r>
        <w:rPr>
          <w:rFonts w:hint="eastAsia" w:ascii="仿宋_GB2312" w:eastAsia="仿宋_GB2312"/>
          <w:color w:val="auto"/>
          <w:sz w:val="32"/>
          <w:szCs w:val="32"/>
          <w:shd w:val="clear" w:color="auto" w:fill="FFFFFF"/>
        </w:rPr>
        <w:t>申报</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转达</w:t>
      </w:r>
      <w:r>
        <w:rPr>
          <w:rFonts w:hint="eastAsia" w:ascii="仿宋_GB2312" w:eastAsia="仿宋_GB2312"/>
          <w:color w:val="auto"/>
          <w:sz w:val="32"/>
          <w:szCs w:val="32"/>
          <w:shd w:val="clear" w:color="auto" w:fill="FFFFFF"/>
        </w:rPr>
        <w:t>藏区国家政策性投资项目</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督察藏区项目落地实施，保障藏区规划建设效益</w:t>
      </w:r>
      <w:r>
        <w:rPr>
          <w:rFonts w:hint="eastAsia" w:ascii="仿宋_GB2312" w:eastAsia="仿宋_GB2312"/>
          <w:color w:val="auto"/>
          <w:sz w:val="32"/>
          <w:szCs w:val="32"/>
          <w:shd w:val="clear" w:color="auto" w:fill="FFFFFF"/>
        </w:rPr>
        <w:t>。</w:t>
      </w:r>
    </w:p>
    <w:p>
      <w:pPr>
        <w:spacing w:line="560" w:lineRule="exact"/>
        <w:ind w:left="0" w:firstLine="639"/>
        <w:rPr>
          <w:rFonts w:hint="default" w:ascii="仿宋_GB2312" w:eastAsia="仿宋_GB2312"/>
          <w:color w:val="auto"/>
          <w:sz w:val="32"/>
          <w:szCs w:val="32"/>
          <w:shd w:val="clear" w:color="auto" w:fill="FFFFFF"/>
          <w:lang w:val="en-US" w:eastAsia="zh-CN"/>
        </w:rPr>
      </w:pPr>
      <w:r>
        <w:rPr>
          <w:rFonts w:hint="eastAsia" w:ascii="仿宋_GB2312" w:eastAsia="仿宋_GB2312"/>
          <w:color w:val="auto"/>
          <w:sz w:val="32"/>
          <w:szCs w:val="32"/>
          <w:shd w:val="clear" w:color="auto" w:fill="FFFFFF"/>
        </w:rPr>
        <w:t>监测分析全社会固定资产投资状况，研究提出固定资产投资的总规模和结构，提出全社会固定资产投资调控政策、中长期规划和年度计划；制订加强政府投资项目管理的政策措施</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转报使用国家、省财政性资金项目投资计划</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协同配合统计局开展固定资产投资入库入统工作。</w:t>
      </w:r>
    </w:p>
    <w:p>
      <w:pPr>
        <w:spacing w:line="560" w:lineRule="exact"/>
        <w:ind w:left="0" w:firstLine="639"/>
        <w:rPr>
          <w:rFonts w:hint="eastAsia"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rPr>
        <w:t>协调文化、教育、卫生、体育、民政、</w:t>
      </w:r>
      <w:r>
        <w:rPr>
          <w:rFonts w:hint="eastAsia" w:ascii="仿宋_GB2312" w:eastAsia="仿宋_GB2312"/>
          <w:color w:val="auto"/>
          <w:sz w:val="32"/>
          <w:szCs w:val="32"/>
          <w:shd w:val="clear" w:color="auto" w:fill="FFFFFF"/>
          <w:lang w:val="en-US" w:eastAsia="zh-CN"/>
        </w:rPr>
        <w:t>民宗</w:t>
      </w:r>
      <w:r>
        <w:rPr>
          <w:rFonts w:hint="eastAsia" w:ascii="仿宋_GB2312" w:eastAsia="仿宋_GB2312"/>
          <w:color w:val="auto"/>
          <w:sz w:val="32"/>
          <w:szCs w:val="32"/>
          <w:shd w:val="clear" w:color="auto" w:fill="FFFFFF"/>
        </w:rPr>
        <w:t>、旅游等</w:t>
      </w:r>
      <w:r>
        <w:rPr>
          <w:rFonts w:hint="eastAsia" w:ascii="仿宋_GB2312" w:eastAsia="仿宋_GB2312"/>
          <w:color w:val="auto"/>
          <w:sz w:val="32"/>
          <w:szCs w:val="32"/>
          <w:shd w:val="clear" w:color="auto" w:fill="FFFFFF"/>
          <w:lang w:val="en-US" w:eastAsia="zh-CN"/>
        </w:rPr>
        <w:t>社会事业</w:t>
      </w:r>
      <w:r>
        <w:rPr>
          <w:rFonts w:hint="eastAsia" w:ascii="仿宋_GB2312" w:eastAsia="仿宋_GB2312"/>
          <w:color w:val="auto"/>
          <w:sz w:val="32"/>
          <w:szCs w:val="32"/>
          <w:shd w:val="clear" w:color="auto" w:fill="FFFFFF"/>
        </w:rPr>
        <w:t>发展规划</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申报、转达</w:t>
      </w:r>
      <w:r>
        <w:rPr>
          <w:rFonts w:hint="eastAsia" w:ascii="仿宋_GB2312" w:eastAsia="仿宋_GB2312"/>
          <w:color w:val="auto"/>
          <w:sz w:val="32"/>
          <w:szCs w:val="32"/>
          <w:shd w:val="clear" w:color="auto" w:fill="FFFFFF"/>
        </w:rPr>
        <w:t>国家和</w:t>
      </w:r>
      <w:r>
        <w:rPr>
          <w:rFonts w:hint="eastAsia" w:ascii="仿宋_GB2312" w:eastAsia="仿宋_GB2312"/>
          <w:color w:val="auto"/>
          <w:sz w:val="32"/>
          <w:szCs w:val="32"/>
          <w:shd w:val="clear" w:color="auto" w:fill="FFFFFF"/>
          <w:lang w:eastAsia="zh-CN"/>
        </w:rPr>
        <w:t>县</w:t>
      </w:r>
      <w:r>
        <w:rPr>
          <w:rFonts w:hint="eastAsia" w:ascii="仿宋_GB2312" w:eastAsia="仿宋_GB2312"/>
          <w:color w:val="auto"/>
          <w:sz w:val="32"/>
          <w:szCs w:val="32"/>
          <w:shd w:val="clear" w:color="auto" w:fill="FFFFFF"/>
        </w:rPr>
        <w:t>财政性资金的社会事业项</w:t>
      </w:r>
      <w:r>
        <w:rPr>
          <w:rFonts w:hint="eastAsia" w:ascii="仿宋_GB2312" w:eastAsia="仿宋_GB2312"/>
          <w:color w:val="auto"/>
          <w:sz w:val="32"/>
          <w:szCs w:val="32"/>
          <w:shd w:val="clear" w:color="auto" w:fill="FFFFFF"/>
          <w:lang w:val="en-US" w:eastAsia="zh-CN"/>
        </w:rPr>
        <w:t>目</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督促社会事业规划投资项目推进落实，</w:t>
      </w:r>
      <w:r>
        <w:rPr>
          <w:rFonts w:hint="eastAsia" w:ascii="仿宋_GB2312" w:eastAsia="仿宋_GB2312"/>
          <w:color w:val="auto"/>
          <w:sz w:val="32"/>
          <w:szCs w:val="32"/>
          <w:shd w:val="clear" w:color="auto" w:fill="FFFFFF"/>
        </w:rPr>
        <w:t>评估其实施情况</w:t>
      </w:r>
      <w:r>
        <w:rPr>
          <w:rFonts w:hint="eastAsia" w:ascii="仿宋_GB2312" w:eastAsia="仿宋_GB2312"/>
          <w:color w:val="auto"/>
          <w:sz w:val="32"/>
          <w:szCs w:val="32"/>
          <w:shd w:val="clear" w:color="auto" w:fill="FFFFFF"/>
          <w:lang w:eastAsia="zh-CN"/>
        </w:rPr>
        <w:t>。</w:t>
      </w:r>
    </w:p>
    <w:p>
      <w:pPr>
        <w:pStyle w:val="14"/>
        <w:spacing w:before="0" w:beforeAutospacing="0" w:after="0" w:afterAutospacing="0" w:line="560" w:lineRule="exact"/>
        <w:ind w:firstLine="640" w:firstLineChars="200"/>
        <w:jc w:val="both"/>
        <w:rPr>
          <w:rFonts w:hint="eastAsia"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综合管理招标投标（比选）活动。负责指导和协调招标投标工作，组织拟订招标投标配套规定和实施意见；按规定核准项目招标事项；负责重大建设项目招标文件的审查和备案，监督招标投标活动，受理相关投诉，调查违规行为；统筹监督国家投资建设项目招标投标合同的执行情况并组织后评估工作；负责协调招标投标平台的建设和管理，管理综合性评标专家库。</w:t>
      </w:r>
    </w:p>
    <w:p>
      <w:pPr>
        <w:snapToGrid w:val="0"/>
        <w:spacing w:line="560" w:lineRule="exact"/>
        <w:ind w:left="0" w:firstLine="630" w:firstLineChars="196"/>
        <w:rPr>
          <w:rFonts w:hint="eastAsia" w:ascii="仿宋_GB2312" w:hAnsi="仿宋_GB2312" w:eastAsia="仿宋_GB2312" w:cs="仿宋_GB2312"/>
          <w:color w:val="auto"/>
          <w:sz w:val="32"/>
          <w:szCs w:val="32"/>
        </w:rPr>
      </w:pPr>
      <w:r>
        <w:rPr>
          <w:rFonts w:hint="eastAsia" w:ascii="楷体_GB2312" w:eastAsia="楷体_GB2312"/>
          <w:b/>
          <w:color w:val="auto"/>
          <w:sz w:val="32"/>
          <w:szCs w:val="32"/>
          <w:shd w:val="clear" w:color="auto" w:fill="FFFFFF"/>
        </w:rPr>
        <w:t>（</w:t>
      </w:r>
      <w:r>
        <w:rPr>
          <w:rFonts w:hint="eastAsia" w:ascii="楷体_GB2312" w:eastAsia="楷体_GB2312"/>
          <w:b/>
          <w:color w:val="auto"/>
          <w:sz w:val="32"/>
          <w:szCs w:val="32"/>
          <w:shd w:val="clear" w:color="auto" w:fill="FFFFFF"/>
          <w:lang w:eastAsia="zh-CN"/>
        </w:rPr>
        <w:t>四</w:t>
      </w:r>
      <w:r>
        <w:rPr>
          <w:rFonts w:hint="eastAsia" w:ascii="楷体_GB2312" w:eastAsia="楷体_GB2312"/>
          <w:b/>
          <w:color w:val="auto"/>
          <w:sz w:val="32"/>
          <w:szCs w:val="32"/>
          <w:shd w:val="clear" w:color="auto" w:fill="FFFFFF"/>
        </w:rPr>
        <w:t>）</w:t>
      </w:r>
      <w:r>
        <w:rPr>
          <w:rFonts w:hint="eastAsia" w:ascii="楷体_GB2312" w:eastAsia="楷体_GB2312"/>
          <w:b/>
          <w:color w:val="auto"/>
          <w:sz w:val="32"/>
          <w:szCs w:val="32"/>
          <w:shd w:val="clear" w:color="auto" w:fill="FFFFFF"/>
          <w:lang w:val="en-US" w:eastAsia="zh-CN"/>
        </w:rPr>
        <w:t>产业和能源</w:t>
      </w:r>
      <w:r>
        <w:rPr>
          <w:rFonts w:hint="eastAsia" w:ascii="楷体_GB2312" w:eastAsia="楷体_GB2312"/>
          <w:b/>
          <w:color w:val="auto"/>
          <w:sz w:val="32"/>
          <w:szCs w:val="32"/>
          <w:shd w:val="clear" w:color="auto" w:fill="FFFFFF"/>
        </w:rPr>
        <w:t>股</w:t>
      </w:r>
      <w:r>
        <w:rPr>
          <w:rFonts w:hint="eastAsia" w:ascii="楷体_GB2312" w:eastAsia="楷体_GB2312"/>
          <w:b/>
          <w:color w:val="auto"/>
          <w:sz w:val="32"/>
          <w:szCs w:val="32"/>
          <w:shd w:val="clear" w:color="auto" w:fill="FFFFFF"/>
          <w:lang w:eastAsia="zh-CN"/>
        </w:rPr>
        <w:t>。</w:t>
      </w:r>
      <w:r>
        <w:rPr>
          <w:rFonts w:hint="eastAsia" w:ascii="仿宋_GB2312" w:hAnsi="仿宋_GB2312" w:eastAsia="仿宋_GB2312" w:cs="仿宋_GB2312"/>
          <w:color w:val="auto"/>
          <w:sz w:val="32"/>
          <w:szCs w:val="32"/>
        </w:rPr>
        <w:t>统筹社会发展</w:t>
      </w:r>
      <w:r>
        <w:rPr>
          <w:rFonts w:hint="eastAsia" w:ascii="仿宋_GB2312" w:hAnsi="仿宋_GB2312" w:eastAsia="仿宋_GB2312" w:cs="仿宋_GB2312"/>
          <w:color w:val="auto"/>
          <w:sz w:val="32"/>
          <w:szCs w:val="32"/>
          <w:lang w:val="en-US" w:eastAsia="zh-CN"/>
        </w:rPr>
        <w:t>所涉及</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能源产业</w:t>
      </w:r>
      <w:r>
        <w:rPr>
          <w:rFonts w:hint="eastAsia" w:ascii="仿宋_GB2312" w:hAnsi="仿宋_GB2312" w:eastAsia="仿宋_GB2312" w:cs="仿宋_GB2312"/>
          <w:color w:val="auto"/>
          <w:sz w:val="32"/>
          <w:szCs w:val="32"/>
        </w:rPr>
        <w:t>需求，拟订能源发展战略、发展规划和年度指导性计划，提出能源发展的目标和措施；研究提出促进能源发展、能源节约、能源安全政策意见；开展能源行业节能减排监督、管理；会同水行政主管部门加强流域水电规划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统筹经济发展、资源开发和环境保护协调，综合协调解决重大能源建设项目、建设环境和建设条件；申报国家能源项目和资金。</w:t>
      </w:r>
    </w:p>
    <w:p>
      <w:pPr>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eastAsia="仿宋_GB2312"/>
          <w:color w:val="auto"/>
          <w:sz w:val="32"/>
          <w:szCs w:val="32"/>
          <w:shd w:val="clear" w:color="auto" w:fill="FFFFFF"/>
        </w:rPr>
        <w:t>组织拟订综合性产业政策，重大产业发展规划，拟订服务业发展战略和重大政策；协调重大技术装备推广应用和重大产业基地建设。</w:t>
      </w:r>
      <w:r>
        <w:rPr>
          <w:rFonts w:hint="eastAsia" w:ascii="仿宋_GB2312" w:hAnsi="仿宋_GB2312" w:eastAsia="仿宋_GB2312" w:cs="仿宋_GB2312"/>
          <w:color w:val="auto"/>
          <w:sz w:val="32"/>
          <w:szCs w:val="32"/>
        </w:rPr>
        <w:t>统筹工业、服务业、交通运输业发展规划；组织拟订综合性产业政策，重大产业发展规划，组织协调重大生产力布局；拟订服务业发展战略和重大政策；协调重大技术装备推广应用和重大产业基地建设；统筹协调重要矿产资源的开发利用。</w:t>
      </w:r>
    </w:p>
    <w:p>
      <w:pPr>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研究提出高技术产业及产业技术的发展方向，拟订高技术产业发展和产业技术进步的战略、规划；做好相关高新技术产业化工作，组织高技术产业化示范工程；申报、安排工业、交通、邮政和高技术产业财政性资金建设项目，培育壮大战略性新兴产业。</w:t>
      </w:r>
    </w:p>
    <w:p>
      <w:pPr>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负责与铁路部门的工作衔接，负责组织协调和处理铁路建设项目前期工作涉及的重大问题，参与铁路发展规划和年度计划编制工作；协调解决铁路建设征地拆迁、工程建设、运营管理中的有关问题，参与争取国家政策和资金支持，督促建设资金的落实到位，保障铁路项目顺利实施。</w:t>
      </w:r>
    </w:p>
    <w:p>
      <w:pPr>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研究提出资源、环境协调发展的重大问题；组织拟订并协调实施能源资源节约和综合利用、发展循环经济的规划和政策措施，参与编制环境保护规划，协调环保产业发展有关工作；审核、转报和安排资源节约、综合利用、循环经济和污染治理国家财政性资金建设项目；组织协调重大节能减排示范工程和新产品、新技术、新设备的推广应用</w:t>
      </w:r>
      <w:r>
        <w:rPr>
          <w:rFonts w:hint="eastAsia" w:ascii="仿宋_GB2312" w:eastAsia="仿宋_GB2312"/>
          <w:color w:val="auto"/>
          <w:sz w:val="32"/>
          <w:szCs w:val="32"/>
          <w:shd w:val="clear" w:color="auto" w:fill="FFFFFF"/>
        </w:rPr>
        <w:t>。</w:t>
      </w:r>
    </w:p>
    <w:p>
      <w:pPr>
        <w:pStyle w:val="4"/>
        <w:spacing w:before="0" w:beforeAutospacing="0" w:after="0" w:afterAutospacing="0" w:line="560" w:lineRule="exact"/>
        <w:ind w:firstLine="630" w:firstLineChars="196"/>
        <w:rPr>
          <w:rFonts w:hint="eastAsia" w:ascii="仿宋_GB2312" w:hAnsi="Times New Roman" w:eastAsia="仿宋_GB2312" w:cs="Times New Roman"/>
          <w:b w:val="0"/>
          <w:bCs w:val="0"/>
          <w:color w:val="auto"/>
          <w:kern w:val="0"/>
          <w:sz w:val="32"/>
          <w:szCs w:val="32"/>
          <w:shd w:val="clear" w:color="auto" w:fill="FFFFFF"/>
          <w:lang w:val="en-US" w:eastAsia="zh-CN" w:bidi="ar-SA"/>
        </w:rPr>
      </w:pPr>
      <w:bookmarkStart w:id="26" w:name="_Toc18258"/>
      <w:r>
        <w:rPr>
          <w:rFonts w:hint="eastAsia" w:ascii="楷体_GB2312" w:hAnsi="楷体_GB2312" w:eastAsia="楷体_GB2312" w:cs="Times New Roman"/>
          <w:b/>
          <w:bCs w:val="0"/>
          <w:color w:val="auto"/>
          <w:kern w:val="0"/>
          <w:sz w:val="32"/>
          <w:szCs w:val="32"/>
          <w:shd w:val="clear" w:color="auto" w:fill="FFFFFF"/>
          <w:lang w:val="en-US" w:eastAsia="zh-CN" w:bidi="ar-SA"/>
        </w:rPr>
        <w:t>（五）行</w:t>
      </w:r>
      <w:r>
        <w:rPr>
          <w:rFonts w:hint="eastAsia" w:ascii="楷体_GB2312" w:hAnsi="宋体" w:eastAsia="楷体_GB2312"/>
          <w:color w:val="auto"/>
          <w:sz w:val="32"/>
          <w:szCs w:val="32"/>
          <w:shd w:val="clear" w:color="auto" w:fill="FFFFFF"/>
        </w:rPr>
        <w:t>政审批股</w:t>
      </w:r>
      <w:r>
        <w:rPr>
          <w:rFonts w:hint="eastAsia" w:ascii="楷体_GB2312" w:eastAsia="楷体_GB2312"/>
          <w:color w:val="auto"/>
          <w:sz w:val="32"/>
          <w:szCs w:val="32"/>
          <w:shd w:val="clear" w:color="auto" w:fill="FFFFFF"/>
          <w:lang w:eastAsia="zh-CN"/>
        </w:rPr>
        <w:t>。</w:t>
      </w:r>
      <w:r>
        <w:rPr>
          <w:rFonts w:hint="eastAsia" w:ascii="仿宋_GB2312" w:hAnsi="Times New Roman" w:eastAsia="仿宋_GB2312" w:cs="Times New Roman"/>
          <w:b w:val="0"/>
          <w:bCs w:val="0"/>
          <w:color w:val="auto"/>
          <w:kern w:val="0"/>
          <w:sz w:val="32"/>
          <w:szCs w:val="32"/>
          <w:shd w:val="clear" w:color="auto" w:fill="FFFFFF"/>
          <w:lang w:val="en-US" w:eastAsia="zh-CN" w:bidi="ar-SA"/>
        </w:rPr>
        <w:t>负责拟订行政许可事项审查（审核）的政策、规定、标准、规程细则；负责相关审批政策及法规的宣传工作；组织实施固定资产投资项目（企业技术改造项目除外）节能评估和审查工作；负责依法审批保留权限以内的行政许可事项；负责权限以内的非国家投资项目立项（核准、备案）、可行性研究、初步设计的审批、核准、备案、审查等工作。</w:t>
      </w:r>
      <w:bookmarkEnd w:id="26"/>
    </w:p>
    <w:p>
      <w:pPr>
        <w:shd w:val="solid" w:color="FFFEFB" w:fill="auto"/>
        <w:autoSpaceDN w:val="0"/>
        <w:spacing w:line="560" w:lineRule="exact"/>
        <w:ind w:left="0" w:firstLine="643" w:firstLineChars="200"/>
        <w:rPr>
          <w:rFonts w:hint="eastAsia" w:ascii="仿宋_GB2312" w:eastAsia="仿宋_GB2312"/>
          <w:sz w:val="32"/>
          <w:szCs w:val="32"/>
          <w:shd w:val="clear" w:color="auto" w:fill="FFFFFF"/>
        </w:rPr>
      </w:pPr>
      <w:r>
        <w:rPr>
          <w:rFonts w:hint="eastAsia" w:ascii="楷体_GB2312" w:hAnsi="黑体" w:eastAsia="楷体_GB2312"/>
          <w:b/>
          <w:sz w:val="32"/>
          <w:szCs w:val="32"/>
          <w:shd w:val="clear" w:color="auto" w:fill="FFFFFF"/>
        </w:rPr>
        <w:t xml:space="preserve"> (</w:t>
      </w:r>
      <w:r>
        <w:rPr>
          <w:rFonts w:hint="eastAsia" w:ascii="楷体_GB2312" w:hAnsi="黑体" w:eastAsia="楷体_GB2312"/>
          <w:b/>
          <w:sz w:val="32"/>
          <w:szCs w:val="32"/>
          <w:shd w:val="clear" w:color="auto" w:fill="FFFFFF"/>
          <w:lang w:eastAsia="zh-CN"/>
        </w:rPr>
        <w:t>六</w:t>
      </w:r>
      <w:r>
        <w:rPr>
          <w:rFonts w:hint="eastAsia" w:ascii="楷体_GB2312" w:hAnsi="黑体" w:eastAsia="楷体_GB2312"/>
          <w:b/>
          <w:sz w:val="32"/>
          <w:szCs w:val="32"/>
          <w:shd w:val="clear" w:color="auto" w:fill="FFFFFF"/>
        </w:rPr>
        <w:t>)</w:t>
      </w:r>
      <w:r>
        <w:rPr>
          <w:rFonts w:hint="eastAsia" w:ascii="楷体_GB2312" w:eastAsia="楷体_GB2312"/>
          <w:b/>
          <w:sz w:val="32"/>
          <w:szCs w:val="32"/>
          <w:shd w:val="clear" w:color="auto" w:fill="FFFFFF"/>
        </w:rPr>
        <w:t>以工代赈股</w:t>
      </w:r>
      <w:r>
        <w:rPr>
          <w:rFonts w:hint="eastAsia" w:ascii="楷体_GB2312" w:eastAsia="楷体_GB2312"/>
          <w:b/>
          <w:sz w:val="32"/>
          <w:szCs w:val="32"/>
          <w:shd w:val="clear" w:color="auto" w:fill="FFFFFF"/>
          <w:lang w:eastAsia="zh-CN"/>
        </w:rPr>
        <w:t>。</w:t>
      </w:r>
      <w:r>
        <w:rPr>
          <w:rFonts w:hint="eastAsia" w:ascii="仿宋_GB2312" w:eastAsia="仿宋_GB2312"/>
          <w:sz w:val="32"/>
          <w:szCs w:val="32"/>
          <w:shd w:val="clear" w:color="auto" w:fill="FFFFFF"/>
        </w:rPr>
        <w:t>根据国家和省以工代赈方针、政策，编制以工代赈规划，审核、转报和下达以工代赈计划，负责以工代赈部门协调、以工代赈项目检查监督、验收和总结等工作。</w:t>
      </w:r>
    </w:p>
    <w:p>
      <w:pPr>
        <w:pStyle w:val="4"/>
        <w:spacing w:before="0" w:beforeAutospacing="0" w:after="0" w:afterAutospacing="0" w:line="560" w:lineRule="exact"/>
        <w:ind w:firstLine="643" w:firstLineChars="200"/>
        <w:rPr>
          <w:rFonts w:hint="eastAsia" w:ascii="仿宋_GB2312" w:hAnsi="Times New Roman" w:eastAsia="仿宋_GB2312" w:cs="Times New Roman"/>
          <w:b w:val="0"/>
          <w:bCs w:val="0"/>
          <w:color w:val="auto"/>
          <w:kern w:val="0"/>
          <w:sz w:val="32"/>
          <w:szCs w:val="32"/>
          <w:shd w:val="clear" w:color="auto" w:fill="FFFFFF"/>
          <w:lang w:val="en-US" w:eastAsia="zh-CN" w:bidi="ar-SA"/>
        </w:rPr>
      </w:pPr>
      <w:bookmarkStart w:id="27" w:name="_Toc8662"/>
      <w:r>
        <w:rPr>
          <w:rFonts w:hint="eastAsia" w:ascii="楷体_GB2312" w:hAnsi="楷体_GB2312" w:eastAsia="楷体_GB2312"/>
          <w:sz w:val="32"/>
          <w:szCs w:val="32"/>
          <w:shd w:val="clear" w:color="auto" w:fill="FFFFFF"/>
        </w:rPr>
        <w:t>（</w:t>
      </w:r>
      <w:r>
        <w:rPr>
          <w:rFonts w:hint="eastAsia" w:ascii="楷体_GB2312" w:hAnsi="楷体_GB2312" w:eastAsia="楷体_GB2312"/>
          <w:sz w:val="32"/>
          <w:szCs w:val="32"/>
          <w:shd w:val="clear" w:color="auto" w:fill="FFFFFF"/>
          <w:lang w:eastAsia="zh-CN"/>
        </w:rPr>
        <w:t>七</w:t>
      </w:r>
      <w:r>
        <w:rPr>
          <w:rFonts w:hint="eastAsia" w:ascii="楷体_GB2312" w:hAnsi="楷体_GB2312" w:eastAsia="楷体_GB2312"/>
          <w:sz w:val="32"/>
          <w:szCs w:val="32"/>
          <w:shd w:val="clear" w:color="auto" w:fill="FFFFFF"/>
        </w:rPr>
        <w:t>）对口援建办</w:t>
      </w:r>
      <w:r>
        <w:rPr>
          <w:rFonts w:hint="eastAsia" w:ascii="楷体_GB2312" w:hAnsi="楷体_GB2312" w:eastAsia="楷体_GB2312"/>
          <w:sz w:val="32"/>
          <w:szCs w:val="32"/>
          <w:shd w:val="clear" w:color="auto" w:fill="FFFFFF"/>
          <w:lang w:eastAsia="zh-CN"/>
        </w:rPr>
        <w:t>。</w:t>
      </w:r>
      <w:r>
        <w:rPr>
          <w:rFonts w:hint="eastAsia" w:ascii="仿宋_GB2312" w:hAnsi="Times New Roman" w:eastAsia="仿宋_GB2312" w:cs="Times New Roman"/>
          <w:b w:val="0"/>
          <w:bCs w:val="0"/>
          <w:color w:val="auto"/>
          <w:kern w:val="0"/>
          <w:sz w:val="32"/>
          <w:szCs w:val="32"/>
          <w:shd w:val="clear" w:color="auto" w:fill="FFFFFF"/>
          <w:lang w:val="en-US" w:eastAsia="zh-CN" w:bidi="ar-SA"/>
        </w:rPr>
        <w:t>负责处理援建领导小组办公室日常事务,公文运转,指导督促各有关部门及时编制对口援藏各专项规划,并汇总编制总规;负责组织援建领导小组相关会议, 并做好会议记录和整理负责与内设各工作小组的联络协调工作;负责对口援建方的对接服务工作;负责对口援建方、</w:t>
      </w:r>
      <w:r>
        <w:rPr>
          <w:rFonts w:hint="eastAsia" w:ascii="仿宋_GB2312" w:hAnsi="Times New Roman" w:eastAsia="仿宋_GB2312" w:cs="Times New Roman"/>
          <w:b w:val="0"/>
          <w:bCs w:val="0"/>
          <w:color w:val="auto"/>
          <w:kern w:val="0"/>
          <w:sz w:val="32"/>
          <w:szCs w:val="32"/>
          <w:highlight w:val="yellow"/>
          <w:shd w:val="clear" w:color="auto" w:fill="FFFFFF"/>
          <w:lang w:val="en-US" w:eastAsia="zh-CN" w:bidi="ar-SA"/>
        </w:rPr>
        <w:t>联系帮扶部门、州西开办、县委</w:t>
      </w:r>
      <w:r>
        <w:rPr>
          <w:rFonts w:hint="eastAsia" w:ascii="仿宋_GB2312" w:eastAsia="仿宋_GB2312" w:cs="Times New Roman"/>
          <w:b w:val="0"/>
          <w:bCs w:val="0"/>
          <w:color w:val="auto"/>
          <w:kern w:val="0"/>
          <w:sz w:val="32"/>
          <w:szCs w:val="32"/>
          <w:highlight w:val="yellow"/>
          <w:shd w:val="clear" w:color="auto" w:fill="FFFFFF"/>
          <w:lang w:val="en-US" w:eastAsia="zh-CN" w:bidi="ar-SA"/>
        </w:rPr>
        <w:t>县</w:t>
      </w:r>
      <w:r>
        <w:rPr>
          <w:rFonts w:hint="eastAsia" w:ascii="仿宋_GB2312" w:hAnsi="Times New Roman" w:eastAsia="仿宋_GB2312" w:cs="Times New Roman"/>
          <w:b w:val="0"/>
          <w:bCs w:val="0"/>
          <w:color w:val="auto"/>
          <w:kern w:val="0"/>
          <w:sz w:val="32"/>
          <w:szCs w:val="32"/>
          <w:highlight w:val="yellow"/>
          <w:shd w:val="clear" w:color="auto" w:fill="FFFFFF"/>
          <w:lang w:val="en-US" w:eastAsia="zh-CN" w:bidi="ar-SA"/>
        </w:rPr>
        <w:t>政府上报相关工作信</w:t>
      </w:r>
      <w:r>
        <w:rPr>
          <w:rFonts w:hint="eastAsia" w:ascii="仿宋_GB2312" w:hAnsi="Times New Roman" w:eastAsia="仿宋_GB2312" w:cs="Times New Roman"/>
          <w:b w:val="0"/>
          <w:bCs w:val="0"/>
          <w:color w:val="auto"/>
          <w:kern w:val="0"/>
          <w:sz w:val="32"/>
          <w:szCs w:val="32"/>
          <w:shd w:val="clear" w:color="auto" w:fill="FFFFFF"/>
          <w:lang w:val="en-US" w:eastAsia="zh-CN" w:bidi="ar-SA"/>
        </w:rPr>
        <w:t>息;负责省内帮扶单位、东西部扶贫协作各方面的日常工作对接。加强对援建项目规划及落实、资金管理情况的全程跟踪检查每月定期组织对援建项目进行监督检查,督促整改工作中存在的问题;负责完成上级领导交办的其他工作。</w:t>
      </w:r>
      <w:bookmarkEnd w:id="27"/>
    </w:p>
    <w:p>
      <w:pPr>
        <w:pStyle w:val="4"/>
        <w:spacing w:before="0" w:beforeAutospacing="0" w:after="0" w:afterAutospacing="0" w:line="560" w:lineRule="exact"/>
        <w:ind w:firstLine="643" w:firstLineChars="200"/>
        <w:rPr>
          <w:rFonts w:hint="default" w:ascii="仿宋_GB2312" w:hAnsi="Times New Roman" w:eastAsia="仿宋_GB2312" w:cs="Times New Roman"/>
          <w:b w:val="0"/>
          <w:bCs w:val="0"/>
          <w:color w:val="auto"/>
          <w:kern w:val="0"/>
          <w:sz w:val="32"/>
          <w:szCs w:val="32"/>
          <w:shd w:val="clear" w:color="auto" w:fill="FFFFFF"/>
          <w:lang w:val="en-US" w:eastAsia="zh-CN" w:bidi="ar-SA"/>
        </w:rPr>
      </w:pPr>
      <w:bookmarkStart w:id="28" w:name="_Toc31203"/>
      <w:r>
        <w:rPr>
          <w:rFonts w:hint="eastAsia" w:ascii="楷体_GB2312" w:hAnsi="楷体_GB2312" w:eastAsia="楷体_GB2312" w:cs="楷体_GB2312"/>
          <w:b/>
          <w:bCs/>
          <w:color w:val="auto"/>
          <w:kern w:val="0"/>
          <w:sz w:val="32"/>
          <w:szCs w:val="32"/>
          <w:shd w:val="clear" w:color="auto" w:fill="FFFFFF"/>
          <w:lang w:val="en-US" w:eastAsia="zh-CN" w:bidi="ar-SA"/>
        </w:rPr>
        <w:t>（八）价格认证股。</w:t>
      </w:r>
      <w:r>
        <w:rPr>
          <w:rFonts w:hint="eastAsia" w:ascii="仿宋_GB2312" w:hAnsi="Times New Roman" w:eastAsia="仿宋_GB2312" w:cs="Times New Roman"/>
          <w:b w:val="0"/>
          <w:bCs w:val="0"/>
          <w:color w:val="auto"/>
          <w:kern w:val="0"/>
          <w:sz w:val="32"/>
          <w:szCs w:val="32"/>
          <w:shd w:val="clear" w:color="auto" w:fill="FFFFFF"/>
          <w:lang w:val="en-US" w:eastAsia="zh-CN" w:bidi="ar-SA"/>
        </w:rPr>
        <w:t>负责贯彻落实国家、省、州关于价格、收费改革的方针政策;负责监测、分析全县市场价格动态和变化趋势;负责贯彻实施国家、省、州各项价格规定和统一调价方案;负责贯彻执行国家、省、州行政事业性收费管理政策,会同有关部门审定行政事业性收费项目和标准,组织实施行政事业性收费、经营性收费许可证制度和年度审验制度;负责监督检查政府定价、政府指导价以及政策规定的收费标准的执行情况;承担涉案物品价格认定;承担组织对农产品、垄断行业、公用事业和公益性服务</w:t>
      </w:r>
      <w:r>
        <w:rPr>
          <w:rFonts w:hint="eastAsia" w:ascii="仿宋_GB2312" w:hAnsi="Times New Roman" w:eastAsia="仿宋_GB2312" w:cs="Times New Roman"/>
          <w:b w:val="0"/>
          <w:bCs w:val="0"/>
          <w:color w:val="auto"/>
          <w:spacing w:val="-6"/>
          <w:kern w:val="0"/>
          <w:sz w:val="32"/>
          <w:szCs w:val="32"/>
          <w:shd w:val="clear" w:color="auto" w:fill="FFFFFF"/>
          <w:lang w:val="en-US" w:eastAsia="zh-CN" w:bidi="ar-SA"/>
        </w:rPr>
        <w:t>价格的成本调查和监审;承担商品和服务价格定价成本监审工作。</w:t>
      </w:r>
      <w:bookmarkEnd w:id="28"/>
    </w:p>
    <w:p>
      <w:pPr>
        <w:numPr>
          <w:ilvl w:val="0"/>
          <w:numId w:val="1"/>
        </w:num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机构情况，包括当年变动情况及原因。</w:t>
      </w:r>
    </w:p>
    <w:p>
      <w:pPr>
        <w:spacing w:line="560" w:lineRule="exact"/>
        <w:ind w:firstLine="960" w:firstLineChars="3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我单位为独立核算全额拨款行政单位。</w:t>
      </w:r>
    </w:p>
    <w:p>
      <w:pPr>
        <w:numPr>
          <w:ilvl w:val="0"/>
          <w:numId w:val="1"/>
        </w:num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人员情况，包括当年变动情况及原因。</w:t>
      </w:r>
    </w:p>
    <w:p>
      <w:pPr>
        <w:snapToGrid w:val="0"/>
        <w:spacing w:line="520" w:lineRule="exact"/>
        <w:ind w:firstLine="640" w:firstLineChars="200"/>
        <w:rPr>
          <w:rFonts w:ascii="仿宋_GB2312" w:hAnsi="仿宋" w:eastAsia="仿宋_GB2312"/>
          <w:sz w:val="32"/>
          <w:szCs w:val="32"/>
        </w:rPr>
      </w:pPr>
      <w:r>
        <w:rPr>
          <w:rFonts w:hint="eastAsia" w:ascii="仿宋_GB2312" w:hAnsi="仿宋_GB2312" w:eastAsia="仿宋_GB2312" w:cs="仿宋_GB2312"/>
          <w:bCs/>
          <w:sz w:val="32"/>
          <w:szCs w:val="32"/>
        </w:rPr>
        <w:t>截止</w:t>
      </w:r>
      <w:r>
        <w:rPr>
          <w:rFonts w:ascii="仿宋_GB2312" w:hAnsi="仿宋_GB2312" w:eastAsia="仿宋_GB2312" w:cs="仿宋_GB2312"/>
          <w:bCs/>
          <w:sz w:val="32"/>
          <w:szCs w:val="32"/>
        </w:rPr>
        <w:t>2019</w:t>
      </w:r>
      <w:r>
        <w:rPr>
          <w:rFonts w:hint="eastAsia" w:ascii="仿宋_GB2312" w:hAnsi="仿宋_GB2312" w:eastAsia="仿宋_GB2312" w:cs="仿宋_GB2312"/>
          <w:bCs/>
          <w:sz w:val="32"/>
          <w:szCs w:val="32"/>
        </w:rPr>
        <w:t>年底我单位共有编制</w:t>
      </w:r>
      <w:r>
        <w:rPr>
          <w:rFonts w:ascii="仿宋_GB2312" w:hAnsi="仿宋_GB2312" w:eastAsia="仿宋_GB2312" w:cs="仿宋_GB2312"/>
          <w:bCs/>
          <w:sz w:val="32"/>
          <w:szCs w:val="32"/>
        </w:rPr>
        <w:t>14</w:t>
      </w:r>
      <w:r>
        <w:rPr>
          <w:rFonts w:hint="eastAsia" w:ascii="仿宋_GB2312" w:hAnsi="仿宋_GB2312" w:eastAsia="仿宋_GB2312" w:cs="仿宋_GB2312"/>
          <w:bCs/>
          <w:sz w:val="32"/>
          <w:szCs w:val="32"/>
        </w:rPr>
        <w:t>个，其中公务员编制</w:t>
      </w:r>
      <w:r>
        <w:rPr>
          <w:rFonts w:ascii="仿宋_GB2312" w:hAnsi="仿宋_GB2312" w:eastAsia="仿宋_GB2312" w:cs="仿宋_GB2312"/>
          <w:bCs/>
          <w:sz w:val="32"/>
          <w:szCs w:val="32"/>
        </w:rPr>
        <w:t>13</w:t>
      </w:r>
      <w:r>
        <w:rPr>
          <w:rFonts w:hint="eastAsia" w:ascii="仿宋_GB2312" w:hAnsi="仿宋_GB2312" w:eastAsia="仿宋_GB2312" w:cs="仿宋_GB2312"/>
          <w:bCs/>
          <w:sz w:val="32"/>
          <w:szCs w:val="32"/>
        </w:rPr>
        <w:t>个，行政工勤编制</w:t>
      </w:r>
      <w:r>
        <w:rPr>
          <w:rFonts w:ascii="仿宋_GB2312" w:hAnsi="仿宋_GB2312" w:eastAsia="仿宋_GB2312" w:cs="仿宋_GB2312"/>
          <w:bCs/>
          <w:sz w:val="32"/>
          <w:szCs w:val="32"/>
        </w:rPr>
        <w:t>1</w:t>
      </w:r>
      <w:r>
        <w:rPr>
          <w:rFonts w:hint="eastAsia" w:ascii="仿宋_GB2312" w:hAnsi="仿宋_GB2312" w:eastAsia="仿宋_GB2312" w:cs="仿宋_GB2312"/>
          <w:bCs/>
          <w:sz w:val="32"/>
          <w:szCs w:val="32"/>
        </w:rPr>
        <w:t>个；实有人员</w:t>
      </w:r>
      <w:r>
        <w:rPr>
          <w:rFonts w:ascii="仿宋_GB2312" w:hAnsi="仿宋_GB2312" w:eastAsia="仿宋_GB2312" w:cs="仿宋_GB2312"/>
          <w:bCs/>
          <w:sz w:val="32"/>
          <w:szCs w:val="32"/>
        </w:rPr>
        <w:t>14</w:t>
      </w:r>
      <w:r>
        <w:rPr>
          <w:rFonts w:hint="eastAsia" w:ascii="仿宋_GB2312" w:hAnsi="仿宋_GB2312" w:eastAsia="仿宋_GB2312" w:cs="仿宋_GB2312"/>
          <w:bCs/>
          <w:sz w:val="32"/>
          <w:szCs w:val="32"/>
        </w:rPr>
        <w:t>人，实有公务员</w:t>
      </w:r>
      <w:r>
        <w:rPr>
          <w:rFonts w:ascii="仿宋_GB2312" w:hAnsi="仿宋_GB2312" w:eastAsia="仿宋_GB2312" w:cs="仿宋_GB2312"/>
          <w:bCs/>
          <w:sz w:val="32"/>
          <w:szCs w:val="32"/>
        </w:rPr>
        <w:t>13</w:t>
      </w:r>
      <w:r>
        <w:rPr>
          <w:rFonts w:hint="eastAsia" w:ascii="仿宋_GB2312" w:hAnsi="仿宋_GB2312" w:eastAsia="仿宋_GB2312" w:cs="仿宋_GB2312"/>
          <w:bCs/>
          <w:sz w:val="32"/>
          <w:szCs w:val="32"/>
        </w:rPr>
        <w:t>人，实有工勤</w:t>
      </w:r>
      <w:r>
        <w:rPr>
          <w:rFonts w:ascii="仿宋_GB2312" w:hAnsi="仿宋_GB2312" w:eastAsia="仿宋_GB2312" w:cs="仿宋_GB2312"/>
          <w:bCs/>
          <w:sz w:val="32"/>
          <w:szCs w:val="32"/>
        </w:rPr>
        <w:t>1</w:t>
      </w:r>
      <w:r>
        <w:rPr>
          <w:rFonts w:hint="eastAsia" w:ascii="仿宋_GB2312" w:hAnsi="仿宋_GB2312" w:eastAsia="仿宋_GB2312" w:cs="仿宋_GB2312"/>
          <w:bCs/>
          <w:sz w:val="32"/>
          <w:szCs w:val="32"/>
        </w:rPr>
        <w:t>人。截止</w:t>
      </w:r>
      <w:r>
        <w:rPr>
          <w:rFonts w:ascii="仿宋_GB2312" w:hAnsi="仿宋_GB2312" w:eastAsia="仿宋_GB2312" w:cs="仿宋_GB2312"/>
          <w:bCs/>
          <w:sz w:val="32"/>
          <w:szCs w:val="32"/>
        </w:rPr>
        <w:t>2019</w:t>
      </w:r>
      <w:r>
        <w:rPr>
          <w:rFonts w:hint="eastAsia" w:ascii="仿宋_GB2312" w:hAnsi="仿宋_GB2312" w:eastAsia="仿宋_GB2312" w:cs="仿宋_GB2312"/>
          <w:bCs/>
          <w:sz w:val="32"/>
          <w:szCs w:val="32"/>
        </w:rPr>
        <w:t>年底我单位事业实有人数</w:t>
      </w:r>
      <w:r>
        <w:rPr>
          <w:rFonts w:ascii="仿宋_GB2312" w:hAnsi="仿宋_GB2312" w:eastAsia="仿宋_GB2312" w:cs="仿宋_GB2312"/>
          <w:bCs/>
          <w:sz w:val="32"/>
          <w:szCs w:val="32"/>
        </w:rPr>
        <w:t>4</w:t>
      </w:r>
      <w:r>
        <w:rPr>
          <w:rFonts w:hint="eastAsia" w:ascii="仿宋_GB2312" w:hAnsi="仿宋_GB2312" w:eastAsia="仿宋_GB2312" w:cs="仿宋_GB2312"/>
          <w:bCs/>
          <w:sz w:val="32"/>
          <w:szCs w:val="32"/>
        </w:rPr>
        <w:t>人。于</w:t>
      </w:r>
      <w:r>
        <w:rPr>
          <w:rFonts w:ascii="仿宋_GB2312" w:hAnsi="仿宋_GB2312" w:eastAsia="仿宋_GB2312" w:cs="仿宋_GB2312"/>
          <w:bCs/>
          <w:sz w:val="32"/>
          <w:szCs w:val="32"/>
        </w:rPr>
        <w:t>2018</w:t>
      </w:r>
      <w:r>
        <w:rPr>
          <w:rFonts w:hint="eastAsia" w:ascii="仿宋_GB2312" w:hAnsi="仿宋_GB2312" w:eastAsia="仿宋_GB2312" w:cs="仿宋_GB2312"/>
          <w:bCs/>
          <w:sz w:val="32"/>
          <w:szCs w:val="32"/>
        </w:rPr>
        <w:t>年相比编实有人员减少</w:t>
      </w:r>
      <w:r>
        <w:rPr>
          <w:rFonts w:ascii="仿宋_GB2312" w:hAnsi="仿宋_GB2312" w:eastAsia="仿宋_GB2312" w:cs="仿宋_GB2312"/>
          <w:bCs/>
          <w:sz w:val="32"/>
          <w:szCs w:val="32"/>
        </w:rPr>
        <w:t>1</w:t>
      </w:r>
      <w:r>
        <w:rPr>
          <w:rFonts w:hint="eastAsia" w:ascii="仿宋_GB2312" w:hAnsi="仿宋_GB2312" w:eastAsia="仿宋_GB2312" w:cs="仿宋_GB2312"/>
          <w:bCs/>
          <w:sz w:val="32"/>
          <w:szCs w:val="32"/>
        </w:rPr>
        <w:t>人，变动原因机构改革，人员调动。</w:t>
      </w:r>
    </w:p>
    <w:p>
      <w:pPr>
        <w:pStyle w:val="7"/>
        <w:adjustRightInd w:val="0"/>
        <w:snapToGrid w:val="0"/>
        <w:spacing w:before="93" w:line="600" w:lineRule="exact"/>
        <w:ind w:firstLine="675" w:firstLineChars="210"/>
        <w:outlineLvl w:val="2"/>
        <w:rPr>
          <w:rFonts w:ascii="仿宋" w:hAnsi="仿宋" w:eastAsia="仿宋"/>
          <w:b/>
          <w:color w:val="000000"/>
          <w:sz w:val="32"/>
          <w:szCs w:val="32"/>
        </w:rPr>
      </w:pPr>
      <w:bookmarkStart w:id="29" w:name="_Toc15378446"/>
      <w:bookmarkStart w:id="30" w:name="_Toc1569"/>
      <w:bookmarkStart w:id="31" w:name="_Toc15377199"/>
      <w:bookmarkStart w:id="32" w:name="_Toc15981"/>
      <w:r>
        <w:rPr>
          <w:rFonts w:hint="eastAsia" w:ascii="仿宋" w:hAnsi="仿宋" w:eastAsia="仿宋"/>
          <w:b/>
          <w:color w:val="000000"/>
          <w:sz w:val="32"/>
          <w:szCs w:val="32"/>
        </w:rPr>
        <w:t>（二）</w:t>
      </w:r>
      <w:r>
        <w:rPr>
          <w:rFonts w:ascii="仿宋" w:hAnsi="仿宋" w:eastAsia="仿宋"/>
          <w:b/>
          <w:color w:val="000000"/>
          <w:sz w:val="32"/>
          <w:szCs w:val="32"/>
        </w:rPr>
        <w:t>201</w:t>
      </w:r>
      <w:r>
        <w:rPr>
          <w:rFonts w:hint="eastAsia" w:ascii="仿宋" w:hAnsi="仿宋" w:eastAsia="仿宋"/>
          <w:b/>
          <w:color w:val="000000"/>
          <w:sz w:val="32"/>
          <w:szCs w:val="32"/>
        </w:rPr>
        <w:t>9年重点工作完成情况。</w:t>
      </w:r>
      <w:bookmarkEnd w:id="29"/>
      <w:bookmarkEnd w:id="30"/>
      <w:bookmarkEnd w:id="31"/>
      <w:bookmarkEnd w:id="32"/>
    </w:p>
    <w:p>
      <w:pPr>
        <w:pStyle w:val="7"/>
        <w:spacing w:before="93" w:line="576" w:lineRule="exact"/>
        <w:ind w:firstLine="643" w:firstLineChars="200"/>
        <w:rPr>
          <w:rFonts w:hAnsi="仿宋_GB2312" w:cs="仿宋_GB2312"/>
          <w:sz w:val="32"/>
          <w:szCs w:val="32"/>
        </w:rPr>
      </w:pPr>
      <w:r>
        <w:rPr>
          <w:rFonts w:hint="eastAsia" w:hAnsi="仿宋_GB2312" w:cs="仿宋_GB2312"/>
          <w:b/>
          <w:bCs/>
          <w:sz w:val="32"/>
          <w:szCs w:val="32"/>
        </w:rPr>
        <w:t>目标任务完成情况</w:t>
      </w:r>
      <w:r>
        <w:rPr>
          <w:rFonts w:hint="eastAsia" w:hAnsi="仿宋_GB2312" w:cs="仿宋_GB2312"/>
          <w:b/>
          <w:sz w:val="32"/>
        </w:rPr>
        <w:t>。</w:t>
      </w:r>
      <w:r>
        <w:rPr>
          <w:rFonts w:hint="eastAsia" w:hAnsi="仿宋_GB2312" w:cs="仿宋_GB2312"/>
          <w:sz w:val="32"/>
          <w:szCs w:val="32"/>
        </w:rPr>
        <w:t>今年，预计实现地区生产总值</w:t>
      </w:r>
      <w:r>
        <w:rPr>
          <w:rFonts w:hAnsi="仿宋_GB2312" w:cs="仿宋_GB2312"/>
          <w:sz w:val="32"/>
          <w:szCs w:val="32"/>
        </w:rPr>
        <w:t>13.99</w:t>
      </w:r>
      <w:r>
        <w:rPr>
          <w:rFonts w:hint="eastAsia" w:hAnsi="仿宋_GB2312" w:cs="仿宋_GB2312"/>
          <w:sz w:val="32"/>
          <w:szCs w:val="32"/>
        </w:rPr>
        <w:t>亿元，同比增长</w:t>
      </w:r>
      <w:r>
        <w:rPr>
          <w:rFonts w:hAnsi="仿宋_GB2312" w:cs="仿宋_GB2312"/>
          <w:sz w:val="32"/>
          <w:szCs w:val="32"/>
        </w:rPr>
        <w:t>6.0%</w:t>
      </w:r>
      <w:r>
        <w:rPr>
          <w:rFonts w:hint="eastAsia" w:hAnsi="仿宋_GB2312" w:cs="仿宋_GB2312"/>
          <w:sz w:val="32"/>
          <w:szCs w:val="32"/>
        </w:rPr>
        <w:t>。其中，第一产业增加值</w:t>
      </w:r>
      <w:r>
        <w:rPr>
          <w:rFonts w:hAnsi="仿宋_GB2312" w:cs="仿宋_GB2312"/>
          <w:sz w:val="32"/>
          <w:szCs w:val="32"/>
        </w:rPr>
        <w:t>46003</w:t>
      </w:r>
      <w:r>
        <w:rPr>
          <w:rFonts w:hint="eastAsia" w:hAnsi="仿宋_GB2312" w:cs="仿宋_GB2312"/>
          <w:sz w:val="32"/>
          <w:szCs w:val="32"/>
        </w:rPr>
        <w:t>万元，同比增长</w:t>
      </w:r>
      <w:r>
        <w:rPr>
          <w:rFonts w:hAnsi="仿宋_GB2312" w:cs="仿宋_GB2312"/>
          <w:sz w:val="32"/>
          <w:szCs w:val="32"/>
        </w:rPr>
        <w:t>5.0%</w:t>
      </w:r>
      <w:r>
        <w:rPr>
          <w:rFonts w:hint="eastAsia" w:hAnsi="仿宋_GB2312" w:cs="仿宋_GB2312"/>
          <w:sz w:val="32"/>
          <w:szCs w:val="32"/>
        </w:rPr>
        <w:t>；第二产业增加值</w:t>
      </w:r>
      <w:r>
        <w:rPr>
          <w:rFonts w:hAnsi="仿宋_GB2312" w:cs="仿宋_GB2312"/>
          <w:sz w:val="32"/>
          <w:szCs w:val="32"/>
        </w:rPr>
        <w:t>35459</w:t>
      </w:r>
      <w:r>
        <w:rPr>
          <w:rFonts w:hint="eastAsia" w:hAnsi="仿宋_GB2312" w:cs="仿宋_GB2312"/>
          <w:sz w:val="32"/>
          <w:szCs w:val="32"/>
        </w:rPr>
        <w:t>万元，同比增长</w:t>
      </w:r>
      <w:r>
        <w:rPr>
          <w:rFonts w:hAnsi="仿宋_GB2312" w:cs="仿宋_GB2312"/>
          <w:sz w:val="32"/>
          <w:szCs w:val="32"/>
        </w:rPr>
        <w:t>7.1%</w:t>
      </w:r>
      <w:r>
        <w:rPr>
          <w:rFonts w:hint="eastAsia" w:hAnsi="仿宋_GB2312" w:cs="仿宋_GB2312"/>
          <w:sz w:val="32"/>
          <w:szCs w:val="32"/>
        </w:rPr>
        <w:t>；第三产业增加值</w:t>
      </w:r>
      <w:r>
        <w:rPr>
          <w:rFonts w:hAnsi="仿宋_GB2312" w:cs="仿宋_GB2312"/>
          <w:sz w:val="32"/>
          <w:szCs w:val="32"/>
        </w:rPr>
        <w:t>58438</w:t>
      </w:r>
      <w:r>
        <w:rPr>
          <w:rFonts w:hint="eastAsia" w:hAnsi="仿宋_GB2312" w:cs="仿宋_GB2312"/>
          <w:sz w:val="32"/>
          <w:szCs w:val="32"/>
        </w:rPr>
        <w:t>万元，同比增长</w:t>
      </w:r>
      <w:r>
        <w:rPr>
          <w:rFonts w:hAnsi="仿宋_GB2312" w:cs="仿宋_GB2312"/>
          <w:sz w:val="32"/>
          <w:szCs w:val="32"/>
        </w:rPr>
        <w:t>5.5%</w:t>
      </w:r>
      <w:r>
        <w:rPr>
          <w:rFonts w:hint="eastAsia" w:hAnsi="仿宋_GB2312" w:cs="仿宋_GB2312"/>
          <w:sz w:val="32"/>
          <w:szCs w:val="32"/>
        </w:rPr>
        <w:t>。预计规模以上工业增加值同比增长</w:t>
      </w:r>
      <w:r>
        <w:rPr>
          <w:rFonts w:hAnsi="仿宋_GB2312" w:cs="仿宋_GB2312"/>
          <w:sz w:val="32"/>
          <w:szCs w:val="32"/>
        </w:rPr>
        <w:t>7.2%</w:t>
      </w:r>
      <w:r>
        <w:rPr>
          <w:rFonts w:hint="eastAsia" w:hAnsi="仿宋_GB2312" w:cs="仿宋_GB2312"/>
          <w:sz w:val="32"/>
          <w:szCs w:val="32"/>
        </w:rPr>
        <w:t>。全社会固定资产投资</w:t>
      </w:r>
      <w:r>
        <w:rPr>
          <w:rFonts w:hAnsi="仿宋_GB2312" w:cs="仿宋_GB2312"/>
          <w:sz w:val="32"/>
          <w:szCs w:val="32"/>
        </w:rPr>
        <w:t>13.03</w:t>
      </w:r>
      <w:r>
        <w:rPr>
          <w:rFonts w:hint="eastAsia" w:hAnsi="仿宋_GB2312" w:cs="仿宋_GB2312"/>
          <w:sz w:val="32"/>
          <w:szCs w:val="32"/>
        </w:rPr>
        <w:t>亿元，同比增长</w:t>
      </w:r>
      <w:r>
        <w:rPr>
          <w:rFonts w:hAnsi="仿宋_GB2312" w:cs="仿宋_GB2312"/>
          <w:sz w:val="32"/>
          <w:szCs w:val="32"/>
        </w:rPr>
        <w:t>5.6%</w:t>
      </w:r>
      <w:r>
        <w:rPr>
          <w:rFonts w:hint="eastAsia" w:hAnsi="仿宋_GB2312" w:cs="仿宋_GB2312"/>
          <w:sz w:val="32"/>
          <w:szCs w:val="32"/>
        </w:rPr>
        <w:t>。社会消费品零售总额</w:t>
      </w:r>
      <w:r>
        <w:rPr>
          <w:rFonts w:hAnsi="仿宋_GB2312" w:cs="仿宋_GB2312"/>
          <w:sz w:val="32"/>
          <w:szCs w:val="32"/>
        </w:rPr>
        <w:t>38074</w:t>
      </w:r>
      <w:r>
        <w:rPr>
          <w:rFonts w:hint="eastAsia" w:hAnsi="仿宋_GB2312" w:cs="仿宋_GB2312"/>
          <w:sz w:val="32"/>
          <w:szCs w:val="32"/>
        </w:rPr>
        <w:t>万元，同比增长</w:t>
      </w:r>
      <w:r>
        <w:rPr>
          <w:rFonts w:hAnsi="仿宋_GB2312" w:cs="仿宋_GB2312"/>
          <w:sz w:val="32"/>
          <w:szCs w:val="32"/>
        </w:rPr>
        <w:t>5.45%</w:t>
      </w:r>
      <w:r>
        <w:rPr>
          <w:rFonts w:hint="eastAsia" w:hAnsi="仿宋_GB2312" w:cs="仿宋_GB2312"/>
          <w:sz w:val="32"/>
          <w:szCs w:val="32"/>
        </w:rPr>
        <w:t>。城镇居民人均可支配收入</w:t>
      </w:r>
      <w:r>
        <w:rPr>
          <w:rFonts w:hAnsi="仿宋_GB2312" w:cs="仿宋_GB2312"/>
          <w:sz w:val="32"/>
          <w:szCs w:val="32"/>
        </w:rPr>
        <w:t>35937</w:t>
      </w:r>
      <w:r>
        <w:rPr>
          <w:rFonts w:hint="eastAsia" w:hAnsi="仿宋_GB2312" w:cs="仿宋_GB2312"/>
          <w:sz w:val="32"/>
          <w:szCs w:val="32"/>
        </w:rPr>
        <w:t>元，同比增长</w:t>
      </w:r>
      <w:r>
        <w:rPr>
          <w:rFonts w:hAnsi="仿宋_GB2312" w:cs="仿宋_GB2312"/>
          <w:sz w:val="32"/>
          <w:szCs w:val="32"/>
        </w:rPr>
        <w:t>7.6%</w:t>
      </w:r>
      <w:r>
        <w:rPr>
          <w:rFonts w:hint="eastAsia" w:hAnsi="仿宋_GB2312" w:cs="仿宋_GB2312"/>
          <w:sz w:val="32"/>
          <w:szCs w:val="32"/>
        </w:rPr>
        <w:t>；农村居民人均可支配收入</w:t>
      </w:r>
      <w:r>
        <w:rPr>
          <w:rFonts w:hAnsi="仿宋_GB2312" w:cs="仿宋_GB2312"/>
          <w:sz w:val="32"/>
          <w:szCs w:val="32"/>
        </w:rPr>
        <w:t>14678</w:t>
      </w:r>
      <w:r>
        <w:rPr>
          <w:rFonts w:hint="eastAsia" w:hAnsi="仿宋_GB2312" w:cs="仿宋_GB2312"/>
          <w:sz w:val="32"/>
          <w:szCs w:val="32"/>
        </w:rPr>
        <w:t>元，同比增长</w:t>
      </w:r>
      <w:r>
        <w:rPr>
          <w:rFonts w:hAnsi="仿宋_GB2312" w:cs="仿宋_GB2312"/>
          <w:sz w:val="32"/>
          <w:szCs w:val="32"/>
        </w:rPr>
        <w:t>9.8%</w:t>
      </w:r>
      <w:r>
        <w:rPr>
          <w:rFonts w:hint="eastAsia" w:hAnsi="仿宋_GB2312" w:cs="仿宋_GB2312"/>
          <w:sz w:val="32"/>
          <w:szCs w:val="32"/>
        </w:rPr>
        <w:t>。旅游接待人次</w:t>
      </w:r>
      <w:r>
        <w:rPr>
          <w:rFonts w:hAnsi="仿宋_GB2312" w:cs="仿宋_GB2312"/>
          <w:sz w:val="32"/>
          <w:szCs w:val="32"/>
        </w:rPr>
        <w:t>194.4</w:t>
      </w:r>
      <w:r>
        <w:rPr>
          <w:rFonts w:hint="eastAsia" w:hAnsi="仿宋_GB2312" w:cs="仿宋_GB2312"/>
          <w:sz w:val="32"/>
          <w:szCs w:val="32"/>
        </w:rPr>
        <w:t>万人次，同比增长</w:t>
      </w:r>
      <w:r>
        <w:rPr>
          <w:rFonts w:hAnsi="仿宋_GB2312" w:cs="仿宋_GB2312"/>
          <w:sz w:val="32"/>
          <w:szCs w:val="32"/>
        </w:rPr>
        <w:t>14.3%</w:t>
      </w:r>
      <w:r>
        <w:rPr>
          <w:rFonts w:hint="eastAsia" w:hAnsi="仿宋_GB2312" w:cs="仿宋_GB2312"/>
          <w:sz w:val="32"/>
          <w:szCs w:val="32"/>
        </w:rPr>
        <w:t>；旅游收入</w:t>
      </w:r>
      <w:r>
        <w:rPr>
          <w:rFonts w:hAnsi="仿宋_GB2312" w:cs="仿宋_GB2312"/>
          <w:sz w:val="32"/>
          <w:szCs w:val="32"/>
        </w:rPr>
        <w:t>15.6</w:t>
      </w:r>
      <w:r>
        <w:rPr>
          <w:rFonts w:hint="eastAsia" w:hAnsi="仿宋_GB2312" w:cs="仿宋_GB2312"/>
          <w:sz w:val="32"/>
          <w:szCs w:val="32"/>
        </w:rPr>
        <w:t>亿元，同比增长</w:t>
      </w:r>
      <w:r>
        <w:rPr>
          <w:rFonts w:hAnsi="仿宋_GB2312" w:cs="仿宋_GB2312"/>
          <w:sz w:val="32"/>
          <w:szCs w:val="32"/>
        </w:rPr>
        <w:t>12.4%</w:t>
      </w:r>
      <w:r>
        <w:rPr>
          <w:rFonts w:hint="eastAsia" w:hAnsi="仿宋_GB2312" w:cs="仿宋_GB2312"/>
          <w:sz w:val="32"/>
          <w:szCs w:val="32"/>
        </w:rPr>
        <w:t>。一般公共预算收入</w:t>
      </w:r>
      <w:r>
        <w:rPr>
          <w:rFonts w:hAnsi="仿宋_GB2312" w:cs="仿宋_GB2312"/>
          <w:sz w:val="32"/>
          <w:szCs w:val="32"/>
        </w:rPr>
        <w:t>4600</w:t>
      </w:r>
      <w:r>
        <w:rPr>
          <w:rFonts w:hint="eastAsia" w:hAnsi="仿宋_GB2312" w:cs="仿宋_GB2312"/>
          <w:sz w:val="32"/>
          <w:szCs w:val="32"/>
        </w:rPr>
        <w:t>万元，同比下降</w:t>
      </w:r>
      <w:r>
        <w:rPr>
          <w:rFonts w:hAnsi="仿宋_GB2312" w:cs="仿宋_GB2312"/>
          <w:sz w:val="32"/>
          <w:szCs w:val="32"/>
        </w:rPr>
        <w:t>0.9%</w:t>
      </w:r>
      <w:r>
        <w:rPr>
          <w:rFonts w:hint="eastAsia" w:hAnsi="仿宋_GB2312" w:cs="仿宋_GB2312"/>
          <w:sz w:val="32"/>
          <w:szCs w:val="32"/>
        </w:rPr>
        <w:t>。</w:t>
      </w:r>
    </w:p>
    <w:p>
      <w:pPr>
        <w:spacing w:line="576" w:lineRule="exact"/>
        <w:ind w:firstLine="643" w:firstLineChars="200"/>
        <w:rPr>
          <w:rFonts w:ascii="仿宋" w:hAnsi="仿宋" w:eastAsia="仿宋"/>
          <w:bCs/>
          <w:color w:val="000000"/>
          <w:sz w:val="32"/>
          <w:szCs w:val="32"/>
        </w:rPr>
      </w:pPr>
      <w:r>
        <w:rPr>
          <w:rFonts w:hint="eastAsia" w:ascii="仿宋_GB2312" w:hAnsi="仿宋_GB2312" w:eastAsia="仿宋_GB2312" w:cs="仿宋_GB2312"/>
          <w:b/>
          <w:sz w:val="32"/>
          <w:szCs w:val="32"/>
        </w:rPr>
        <w:t>加强监管调控、确保物价平稳。一是</w:t>
      </w:r>
      <w:r>
        <w:rPr>
          <w:rFonts w:hint="eastAsia" w:ascii="仿宋_GB2312" w:hAnsi="仿宋_GB2312" w:eastAsia="仿宋_GB2312" w:cs="仿宋_GB2312"/>
          <w:bCs/>
          <w:sz w:val="32"/>
          <w:szCs w:val="32"/>
        </w:rPr>
        <w:t>认真做好价格监测和价格认定工作。以县城邛溪市场和刷经寺市场为监测点，上报价格监测月报</w:t>
      </w:r>
      <w:r>
        <w:rPr>
          <w:rFonts w:ascii="仿宋_GB2312" w:hAnsi="仿宋_GB2312" w:eastAsia="仿宋_GB2312" w:cs="仿宋_GB2312"/>
          <w:bCs/>
          <w:sz w:val="32"/>
          <w:szCs w:val="32"/>
        </w:rPr>
        <w:t>9</w:t>
      </w:r>
      <w:r>
        <w:rPr>
          <w:rFonts w:hint="eastAsia" w:ascii="仿宋_GB2312" w:hAnsi="仿宋_GB2312" w:eastAsia="仿宋_GB2312" w:cs="仿宋_GB2312"/>
          <w:bCs/>
          <w:sz w:val="32"/>
          <w:szCs w:val="32"/>
        </w:rPr>
        <w:t>期、周报</w:t>
      </w:r>
      <w:r>
        <w:rPr>
          <w:rFonts w:ascii="仿宋_GB2312" w:hAnsi="仿宋_GB2312" w:eastAsia="仿宋_GB2312" w:cs="仿宋_GB2312"/>
          <w:bCs/>
          <w:sz w:val="32"/>
          <w:szCs w:val="32"/>
        </w:rPr>
        <w:t>40</w:t>
      </w:r>
      <w:r>
        <w:rPr>
          <w:rFonts w:hint="eastAsia" w:ascii="仿宋_GB2312" w:hAnsi="仿宋_GB2312" w:eastAsia="仿宋_GB2312" w:cs="仿宋_GB2312"/>
          <w:bCs/>
          <w:sz w:val="32"/>
          <w:szCs w:val="32"/>
        </w:rPr>
        <w:t>期、《阿坝州汶川“</w:t>
      </w:r>
      <w:r>
        <w:rPr>
          <w:rFonts w:ascii="仿宋_GB2312" w:hAnsi="仿宋_GB2312" w:eastAsia="仿宋_GB2312" w:cs="仿宋_GB2312"/>
          <w:bCs/>
          <w:sz w:val="32"/>
          <w:szCs w:val="32"/>
        </w:rPr>
        <w:t>8.20</w:t>
      </w:r>
      <w:r>
        <w:rPr>
          <w:rFonts w:hint="eastAsia" w:ascii="仿宋_GB2312" w:hAnsi="仿宋_GB2312" w:eastAsia="仿宋_GB2312" w:cs="仿宋_GB2312"/>
          <w:bCs/>
          <w:sz w:val="32"/>
          <w:szCs w:val="32"/>
        </w:rPr>
        <w:t>”特大山洪泥石流灾害应急价格监测日报》</w:t>
      </w:r>
      <w:r>
        <w:rPr>
          <w:rFonts w:ascii="仿宋_GB2312" w:hAnsi="仿宋_GB2312" w:eastAsia="仿宋_GB2312" w:cs="仿宋_GB2312"/>
          <w:bCs/>
          <w:sz w:val="32"/>
          <w:szCs w:val="32"/>
        </w:rPr>
        <w:t>10</w:t>
      </w:r>
      <w:r>
        <w:rPr>
          <w:rFonts w:hint="eastAsia" w:ascii="仿宋_GB2312" w:hAnsi="仿宋_GB2312" w:eastAsia="仿宋_GB2312" w:cs="仿宋_GB2312"/>
          <w:bCs/>
          <w:sz w:val="32"/>
          <w:szCs w:val="32"/>
        </w:rPr>
        <w:t>期，监测内容：农资化肥、汽柴油、米面油、肉类和其他主副食品类的价格。</w:t>
      </w:r>
      <w:r>
        <w:rPr>
          <w:rFonts w:ascii="仿宋_GB2312" w:hAnsi="仿宋_GB2312" w:eastAsia="仿宋_GB2312" w:cs="仿宋_GB2312"/>
          <w:bCs/>
          <w:sz w:val="32"/>
          <w:szCs w:val="32"/>
        </w:rPr>
        <w:t>1-3</w:t>
      </w:r>
      <w:r>
        <w:rPr>
          <w:rFonts w:hint="eastAsia" w:ascii="仿宋_GB2312" w:hAnsi="仿宋_GB2312" w:eastAsia="仿宋_GB2312" w:cs="仿宋_GB2312"/>
          <w:bCs/>
          <w:sz w:val="32"/>
          <w:szCs w:val="32"/>
        </w:rPr>
        <w:t>月，上报天然气</w:t>
      </w:r>
      <w:r>
        <w:rPr>
          <w:rFonts w:ascii="仿宋_GB2312" w:hAnsi="仿宋_GB2312" w:eastAsia="仿宋_GB2312" w:cs="仿宋_GB2312"/>
          <w:bCs/>
          <w:sz w:val="32"/>
          <w:szCs w:val="32"/>
        </w:rPr>
        <w:t>LNG</w:t>
      </w:r>
      <w:r>
        <w:rPr>
          <w:rFonts w:hint="eastAsia" w:ascii="仿宋_GB2312" w:hAnsi="仿宋_GB2312" w:eastAsia="仿宋_GB2312" w:cs="仿宋_GB2312"/>
          <w:bCs/>
          <w:sz w:val="32"/>
          <w:szCs w:val="32"/>
        </w:rPr>
        <w:t>价格月报</w:t>
      </w:r>
      <w:r>
        <w:rPr>
          <w:rFonts w:ascii="仿宋_GB2312" w:hAnsi="仿宋_GB2312" w:eastAsia="仿宋_GB2312" w:cs="仿宋_GB2312"/>
          <w:bCs/>
          <w:sz w:val="32"/>
          <w:szCs w:val="32"/>
        </w:rPr>
        <w:t>2</w:t>
      </w:r>
      <w:r>
        <w:rPr>
          <w:rFonts w:hint="eastAsia" w:ascii="仿宋_GB2312" w:hAnsi="仿宋_GB2312" w:eastAsia="仿宋_GB2312" w:cs="仿宋_GB2312"/>
          <w:bCs/>
          <w:sz w:val="32"/>
          <w:szCs w:val="32"/>
        </w:rPr>
        <w:t>期，周表</w:t>
      </w:r>
      <w:r>
        <w:rPr>
          <w:rFonts w:ascii="仿宋_GB2312" w:hAnsi="仿宋_GB2312" w:eastAsia="仿宋_GB2312" w:cs="仿宋_GB2312"/>
          <w:bCs/>
          <w:sz w:val="32"/>
          <w:szCs w:val="32"/>
        </w:rPr>
        <w:t>6</w:t>
      </w:r>
      <w:r>
        <w:rPr>
          <w:rFonts w:hint="eastAsia" w:ascii="仿宋_GB2312" w:hAnsi="仿宋_GB2312" w:eastAsia="仿宋_GB2312" w:cs="仿宋_GB2312"/>
          <w:bCs/>
          <w:sz w:val="32"/>
          <w:szCs w:val="32"/>
        </w:rPr>
        <w:t>期。截止目前，受理刑事案件</w:t>
      </w:r>
      <w:r>
        <w:rPr>
          <w:rFonts w:ascii="仿宋_GB2312" w:hAnsi="仿宋_GB2312" w:eastAsia="仿宋_GB2312" w:cs="仿宋_GB2312"/>
          <w:bCs/>
          <w:sz w:val="32"/>
          <w:szCs w:val="32"/>
        </w:rPr>
        <w:t>6</w:t>
      </w:r>
      <w:r>
        <w:rPr>
          <w:rFonts w:hint="eastAsia" w:ascii="仿宋_GB2312" w:hAnsi="仿宋_GB2312" w:eastAsia="仿宋_GB2312" w:cs="仿宋_GB2312"/>
          <w:bCs/>
          <w:sz w:val="32"/>
          <w:szCs w:val="32"/>
        </w:rPr>
        <w:t>件，价格认定金额：</w:t>
      </w:r>
      <w:r>
        <w:rPr>
          <w:rFonts w:ascii="仿宋_GB2312" w:hAnsi="仿宋_GB2312" w:eastAsia="仿宋_GB2312" w:cs="仿宋_GB2312"/>
          <w:bCs/>
          <w:sz w:val="32"/>
          <w:szCs w:val="32"/>
        </w:rPr>
        <w:t>18.57</w:t>
      </w:r>
      <w:r>
        <w:rPr>
          <w:rFonts w:hint="eastAsia" w:ascii="仿宋_GB2312" w:hAnsi="仿宋_GB2312" w:eastAsia="仿宋_GB2312" w:cs="仿宋_GB2312"/>
          <w:bCs/>
          <w:sz w:val="32"/>
          <w:szCs w:val="32"/>
        </w:rPr>
        <w:t>万元，受理县国资中心关于固定资产报废价格认定事项数件。</w:t>
      </w:r>
      <w:r>
        <w:rPr>
          <w:rFonts w:hint="eastAsia" w:ascii="仿宋_GB2312" w:hAnsi="仿宋_GB2312" w:eastAsia="仿宋_GB2312" w:cs="仿宋_GB2312"/>
          <w:b/>
          <w:sz w:val="32"/>
          <w:szCs w:val="32"/>
        </w:rPr>
        <w:t>二是</w:t>
      </w:r>
      <w:r>
        <w:rPr>
          <w:rFonts w:hint="eastAsia" w:ascii="仿宋_GB2312" w:hAnsi="仿宋_GB2312" w:eastAsia="仿宋_GB2312" w:cs="仿宋_GB2312"/>
          <w:bCs/>
          <w:sz w:val="32"/>
          <w:szCs w:val="32"/>
        </w:rPr>
        <w:t>完成成本监审和农产品成本调查工作。上报了俄么塘花海景区和月亮湾景区成本调查、污水处理成本情况调查等工作。在</w:t>
      </w:r>
      <w:r>
        <w:rPr>
          <w:rFonts w:ascii="仿宋_GB2312" w:hAnsi="仿宋_GB2312" w:eastAsia="仿宋_GB2312" w:cs="仿宋_GB2312"/>
          <w:bCs/>
          <w:sz w:val="32"/>
          <w:szCs w:val="32"/>
        </w:rPr>
        <w:t>3-4</w:t>
      </w:r>
      <w:r>
        <w:rPr>
          <w:rFonts w:hint="eastAsia" w:ascii="仿宋_GB2312" w:hAnsi="仿宋_GB2312" w:eastAsia="仿宋_GB2312" w:cs="仿宋_GB2312"/>
          <w:bCs/>
          <w:sz w:val="32"/>
          <w:szCs w:val="32"/>
        </w:rPr>
        <w:t>月和</w:t>
      </w:r>
      <w:r>
        <w:rPr>
          <w:rFonts w:ascii="仿宋_GB2312" w:hAnsi="仿宋_GB2312" w:eastAsia="仿宋_GB2312" w:cs="仿宋_GB2312"/>
          <w:bCs/>
          <w:sz w:val="32"/>
          <w:szCs w:val="32"/>
        </w:rPr>
        <w:t>9-10</w:t>
      </w:r>
      <w:r>
        <w:rPr>
          <w:rFonts w:hint="eastAsia" w:ascii="仿宋_GB2312" w:hAnsi="仿宋_GB2312" w:eastAsia="仿宋_GB2312" w:cs="仿宋_GB2312"/>
          <w:bCs/>
          <w:sz w:val="32"/>
          <w:szCs w:val="32"/>
        </w:rPr>
        <w:t>月到牦牛调查户进行成本调查，收集有效数据，为县委县政府核算农产品成本提供依据。</w:t>
      </w:r>
    </w:p>
    <w:p>
      <w:pPr>
        <w:pStyle w:val="5"/>
        <w:bidi w:val="0"/>
      </w:pPr>
      <w:bookmarkStart w:id="33" w:name="_Toc14112"/>
      <w:bookmarkStart w:id="34" w:name="_Toc15396601"/>
      <w:bookmarkStart w:id="35" w:name="_Toc15377200"/>
      <w:bookmarkStart w:id="36" w:name="_Toc679"/>
      <w:r>
        <w:rPr>
          <w:rFonts w:hint="eastAsia"/>
        </w:rPr>
        <w:t>二、机构设置</w:t>
      </w:r>
      <w:bookmarkEnd w:id="33"/>
      <w:bookmarkEnd w:id="34"/>
      <w:bookmarkEnd w:id="35"/>
      <w:bookmarkEnd w:id="36"/>
    </w:p>
    <w:p>
      <w:pPr>
        <w:pStyle w:val="7"/>
        <w:adjustRightInd w:val="0"/>
        <w:snapToGrid w:val="0"/>
        <w:spacing w:before="93" w:line="600" w:lineRule="exact"/>
        <w:ind w:firstLine="1120" w:firstLineChars="350"/>
        <w:rPr>
          <w:rFonts w:ascii="仿宋" w:hAnsi="仿宋" w:eastAsia="仿宋"/>
          <w:color w:val="000000"/>
          <w:sz w:val="32"/>
          <w:szCs w:val="32"/>
        </w:rPr>
      </w:pPr>
      <w:r>
        <w:rPr>
          <w:rFonts w:hint="eastAsia" w:hAnsi="仿宋_GB2312" w:cs="仿宋_GB2312"/>
          <w:bCs/>
          <w:sz w:val="32"/>
          <w:szCs w:val="32"/>
        </w:rPr>
        <w:t>我单位为独立核算全额拨款行政单位。</w:t>
      </w:r>
      <w:r>
        <w:rPr>
          <w:rFonts w:ascii="仿宋" w:hAnsi="仿宋" w:eastAsia="仿宋"/>
          <w:color w:val="000000"/>
          <w:sz w:val="32"/>
          <w:szCs w:val="32"/>
        </w:rPr>
        <w:br w:type="page"/>
      </w:r>
    </w:p>
    <w:p>
      <w:pPr>
        <w:pStyle w:val="4"/>
        <w:bidi w:val="0"/>
      </w:pPr>
      <w:bookmarkStart w:id="37" w:name="_Toc14238"/>
      <w:bookmarkStart w:id="38" w:name="_Toc15377204"/>
      <w:bookmarkStart w:id="39" w:name="_Toc19970"/>
      <w:bookmarkStart w:id="40" w:name="_Toc15396602"/>
      <w:r>
        <w:rPr>
          <w:rFonts w:hint="eastAsia"/>
        </w:rPr>
        <w:t>第二部分2019年度部门决算情况说明</w:t>
      </w:r>
      <w:bookmarkEnd w:id="37"/>
      <w:bookmarkEnd w:id="38"/>
      <w:bookmarkEnd w:id="39"/>
      <w:bookmarkEnd w:id="40"/>
    </w:p>
    <w:p/>
    <w:p>
      <w:pPr>
        <w:pStyle w:val="5"/>
        <w:numPr>
          <w:ilvl w:val="0"/>
          <w:numId w:val="2"/>
        </w:numPr>
        <w:bidi w:val="0"/>
      </w:pPr>
      <w:bookmarkStart w:id="41" w:name="_Toc31517"/>
      <w:bookmarkStart w:id="42" w:name="_Toc15396603"/>
      <w:bookmarkStart w:id="43" w:name="_Toc19410"/>
      <w:bookmarkStart w:id="44" w:name="_Toc15377205"/>
      <w:r>
        <w:rPr>
          <w:rFonts w:hint="eastAsia"/>
        </w:rPr>
        <w:t>收入支出决算总体情况说明</w:t>
      </w:r>
      <w:bookmarkEnd w:id="41"/>
      <w:bookmarkEnd w:id="42"/>
      <w:bookmarkEnd w:id="43"/>
      <w:bookmarkEnd w:id="44"/>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2019年度收、支总计3335.36万元。与2018年相比，收、支总计各减少2609.87万元，下降</w:t>
      </w:r>
      <w:r>
        <w:rPr>
          <w:rFonts w:ascii="仿宋_GB2312" w:hAnsi="仿宋" w:eastAsia="仿宋_GB2312"/>
          <w:sz w:val="32"/>
          <w:szCs w:val="32"/>
        </w:rPr>
        <w:t>44.96%</w:t>
      </w:r>
      <w:r>
        <w:rPr>
          <w:rFonts w:hint="eastAsia" w:ascii="仿宋" w:hAnsi="仿宋" w:eastAsia="仿宋"/>
          <w:color w:val="000000"/>
          <w:sz w:val="32"/>
          <w:szCs w:val="32"/>
        </w:rPr>
        <w:t>。主要变动原因是项目数量减少。</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0288"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1</w:t>
      </w:r>
      <w:r>
        <w:rPr>
          <w:rFonts w:hint="eastAsia" w:ascii="仿宋" w:hAnsi="仿宋" w:eastAsia="仿宋"/>
          <w:color w:val="auto"/>
          <w:sz w:val="32"/>
          <w:szCs w:val="32"/>
        </w:rPr>
        <w:t>：收、支决算总计变动情况图）（柱状图）</w:t>
      </w:r>
    </w:p>
    <w:p>
      <w:pPr>
        <w:pStyle w:val="5"/>
        <w:numPr>
          <w:ilvl w:val="0"/>
          <w:numId w:val="2"/>
        </w:numPr>
        <w:bidi w:val="0"/>
      </w:pPr>
      <w:bookmarkStart w:id="45" w:name="_Toc4215"/>
      <w:bookmarkStart w:id="46" w:name="_Toc3552"/>
      <w:bookmarkStart w:id="47" w:name="_Toc15396604"/>
      <w:bookmarkStart w:id="48" w:name="_Toc15377206"/>
      <w:r>
        <w:rPr>
          <w:rFonts w:hint="eastAsia"/>
        </w:rPr>
        <w:t>收入决算情况说明</w:t>
      </w:r>
      <w:bookmarkEnd w:id="45"/>
      <w:bookmarkEnd w:id="46"/>
      <w:bookmarkEnd w:id="47"/>
      <w:bookmarkEnd w:id="48"/>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9年本年收入合计1304.91万元，其中：一般公共预算财政拨款收入1304.91万元，占100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（图</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：收</w:t>
      </w:r>
      <w:r>
        <w:rPr>
          <w:rFonts w:hint="eastAsia" w:ascii="仿宋" w:hAnsi="仿宋" w:eastAsia="仿宋"/>
          <w:color w:val="auto"/>
          <w:sz w:val="32"/>
          <w:szCs w:val="32"/>
          <w:lang w:eastAsia="zh-CN"/>
        </w:rPr>
        <w:t>入决算结构</w:t>
      </w:r>
      <w:r>
        <w:rPr>
          <w:rFonts w:hint="eastAsia" w:ascii="仿宋" w:hAnsi="仿宋" w:eastAsia="仿宋"/>
          <w:color w:val="auto"/>
          <w:sz w:val="32"/>
          <w:szCs w:val="32"/>
        </w:rPr>
        <w:t>图）（</w:t>
      </w:r>
      <w:r>
        <w:rPr>
          <w:rFonts w:hint="eastAsia" w:ascii="仿宋" w:hAnsi="仿宋" w:eastAsia="仿宋"/>
          <w:color w:val="auto"/>
          <w:sz w:val="32"/>
          <w:szCs w:val="32"/>
          <w:lang w:eastAsia="zh-CN"/>
        </w:rPr>
        <w:t>饼状</w:t>
      </w:r>
      <w:r>
        <w:rPr>
          <w:rFonts w:hint="eastAsia" w:ascii="仿宋" w:hAnsi="仿宋" w:eastAsia="仿宋"/>
          <w:color w:val="auto"/>
          <w:sz w:val="32"/>
          <w:szCs w:val="32"/>
        </w:rPr>
        <w:t>图）</w:t>
      </w:r>
    </w:p>
    <w:p>
      <w:pPr>
        <w:spacing w:line="600" w:lineRule="exact"/>
        <w:ind w:firstLine="420" w:firstLineChars="200"/>
        <w:outlineLvl w:val="1"/>
        <w:rPr>
          <w:rFonts w:ascii="仿宋_GB2312" w:eastAsia="仿宋_GB2312"/>
          <w:color w:val="FF0000"/>
          <w:sz w:val="32"/>
          <w:szCs w:val="32"/>
        </w:rPr>
      </w:pPr>
      <w:r>
        <w:drawing>
          <wp:anchor distT="0" distB="0" distL="114300" distR="114300" simplePos="0" relativeHeight="251661312" behindDoc="0" locked="0" layoutInCell="1" allowOverlap="1">
            <wp:simplePos x="0" y="0"/>
            <wp:positionH relativeFrom="column">
              <wp:posOffset>271145</wp:posOffset>
            </wp:positionH>
            <wp:positionV relativeFrom="paragraph">
              <wp:posOffset>115570</wp:posOffset>
            </wp:positionV>
            <wp:extent cx="4999990" cy="2838450"/>
            <wp:effectExtent l="4445" t="4445" r="5715" b="14605"/>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5"/>
        <w:numPr>
          <w:ilvl w:val="0"/>
          <w:numId w:val="2"/>
        </w:numPr>
        <w:bidi w:val="0"/>
      </w:pPr>
      <w:bookmarkStart w:id="49" w:name="_Toc15396605"/>
      <w:bookmarkStart w:id="50" w:name="_Toc16067"/>
      <w:bookmarkStart w:id="51" w:name="_Toc15377207"/>
      <w:bookmarkStart w:id="52" w:name="_Toc29443"/>
      <w:r>
        <w:rPr>
          <w:rFonts w:hint="eastAsia"/>
        </w:rPr>
        <w:t>支出决算情况说明</w:t>
      </w:r>
      <w:bookmarkEnd w:id="49"/>
      <w:bookmarkEnd w:id="50"/>
      <w:bookmarkEnd w:id="51"/>
      <w:bookmarkEnd w:id="52"/>
    </w:p>
    <w:p>
      <w:pPr>
        <w:spacing w:line="600" w:lineRule="exact"/>
        <w:ind w:firstLine="420" w:firstLineChars="200"/>
        <w:outlineLvl w:val="1"/>
        <w:rPr>
          <w:rFonts w:ascii="仿宋" w:hAnsi="仿宋" w:eastAsia="仿宋"/>
          <w:color w:val="000000"/>
          <w:sz w:val="32"/>
          <w:szCs w:val="32"/>
        </w:rPr>
      </w:pPr>
      <w:bookmarkStart w:id="53" w:name="_Toc26012"/>
      <w:bookmarkStart w:id="54" w:name="_Toc11898"/>
      <w:r>
        <w:drawing>
          <wp:anchor distT="0" distB="0" distL="114300" distR="114300" simplePos="0" relativeHeight="251662336" behindDoc="0" locked="0" layoutInCell="1" allowOverlap="1">
            <wp:simplePos x="0" y="0"/>
            <wp:positionH relativeFrom="column">
              <wp:posOffset>252095</wp:posOffset>
            </wp:positionH>
            <wp:positionV relativeFrom="paragraph">
              <wp:posOffset>1595120</wp:posOffset>
            </wp:positionV>
            <wp:extent cx="5115560" cy="2581910"/>
            <wp:effectExtent l="4445" t="4445" r="23495" b="23495"/>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9年本年支出合计3278.84万元，其中：基本支出466.07万元，占14.22</w:t>
      </w:r>
      <w:r>
        <w:rPr>
          <w:rFonts w:ascii="仿宋" w:hAnsi="仿宋" w:eastAsia="仿宋"/>
          <w:color w:val="000000"/>
          <w:sz w:val="32"/>
          <w:szCs w:val="32"/>
        </w:rPr>
        <w:t>%</w:t>
      </w:r>
      <w:r>
        <w:rPr>
          <w:rFonts w:hint="eastAsia" w:ascii="仿宋" w:hAnsi="仿宋" w:eastAsia="仿宋"/>
          <w:color w:val="000000"/>
          <w:sz w:val="32"/>
          <w:szCs w:val="32"/>
        </w:rPr>
        <w:t>；项目支出2812.77万元，占85.78</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bookmarkEnd w:id="53"/>
      <w:bookmarkEnd w:id="54"/>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rPr>
        <w:t>（图3：支出决算结构图）（饼状图）</w:t>
      </w:r>
    </w:p>
    <w:p>
      <w:pPr>
        <w:pStyle w:val="5"/>
        <w:bidi w:val="0"/>
      </w:pPr>
      <w:bookmarkStart w:id="55" w:name="_Toc29313"/>
      <w:bookmarkStart w:id="56" w:name="_Toc8211"/>
      <w:bookmarkStart w:id="57" w:name="_Toc15377208"/>
      <w:bookmarkStart w:id="58" w:name="_Toc15396606"/>
      <w:r>
        <w:rPr>
          <w:rFonts w:hint="eastAsia"/>
        </w:rPr>
        <w:t>四、财政拨款收入支出决算总体情况说明</w:t>
      </w:r>
      <w:bookmarkEnd w:id="55"/>
      <w:bookmarkEnd w:id="56"/>
      <w:bookmarkEnd w:id="57"/>
      <w:bookmarkEnd w:id="58"/>
    </w:p>
    <w:p>
      <w:pPr>
        <w:spacing w:line="600" w:lineRule="exact"/>
        <w:ind w:firstLine="640" w:firstLineChars="200"/>
        <w:rPr>
          <w:rFonts w:hint="eastAsia" w:ascii="黑体" w:hAnsi="黑体" w:eastAsia="黑体"/>
          <w:color w:val="000000"/>
          <w:sz w:val="32"/>
          <w:szCs w:val="32"/>
        </w:rPr>
      </w:pPr>
      <w:r>
        <w:rPr>
          <w:rFonts w:hint="eastAsia" w:ascii="仿宋" w:hAnsi="仿宋" w:eastAsia="仿宋"/>
          <w:color w:val="auto"/>
          <w:sz w:val="32"/>
          <w:szCs w:val="32"/>
        </w:rPr>
        <w:t>（图4：财政拨款收、支决算总计变动情况）（柱状图）</w:t>
      </w:r>
      <w:r>
        <w:rPr>
          <w:rFonts w:ascii="仿宋" w:hAnsi="仿宋" w:eastAsia="仿宋"/>
          <w:color w:val="000000"/>
          <w:sz w:val="32"/>
          <w:szCs w:val="32"/>
        </w:rPr>
        <w:t>201</w:t>
      </w:r>
      <w:r>
        <w:rPr>
          <w:rFonts w:hint="eastAsia" w:ascii="仿宋" w:hAnsi="仿宋" w:eastAsia="仿宋"/>
          <w:color w:val="000000"/>
          <w:sz w:val="32"/>
          <w:szCs w:val="32"/>
        </w:rPr>
        <w:t>9年财政拨款收、支总计3335.36万元。与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8年相比，财政拨款收、支总计各减少2609.87万元，下降</w:t>
      </w:r>
      <w:r>
        <w:rPr>
          <w:rFonts w:ascii="仿宋_GB2312" w:hAnsi="仿宋" w:eastAsia="仿宋_GB2312"/>
          <w:sz w:val="32"/>
          <w:szCs w:val="32"/>
        </w:rPr>
        <w:t>44.96%</w:t>
      </w:r>
      <w:r>
        <w:rPr>
          <w:rFonts w:hint="eastAsia" w:ascii="仿宋" w:hAnsi="仿宋" w:eastAsia="仿宋"/>
          <w:color w:val="000000"/>
          <w:sz w:val="32"/>
          <w:szCs w:val="32"/>
        </w:rPr>
        <w:t>。主要变动原因是项目数量减少。</w:t>
      </w:r>
      <w:r>
        <w:drawing>
          <wp:anchor distT="0" distB="0" distL="114300" distR="114300" simplePos="0" relativeHeight="251663360" behindDoc="0" locked="0" layoutInCell="1" allowOverlap="1">
            <wp:simplePos x="0" y="0"/>
            <wp:positionH relativeFrom="column">
              <wp:posOffset>116840</wp:posOffset>
            </wp:positionH>
            <wp:positionV relativeFrom="paragraph">
              <wp:posOffset>-8451215</wp:posOffset>
            </wp:positionV>
            <wp:extent cx="5933440" cy="2800985"/>
            <wp:effectExtent l="4445" t="4445" r="5715" b="13970"/>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59" w:name="_Toc15396607"/>
      <w:bookmarkStart w:id="60" w:name="_Toc15377209"/>
    </w:p>
    <w:p>
      <w:pPr>
        <w:pStyle w:val="5"/>
        <w:bidi w:val="0"/>
      </w:pPr>
      <w:bookmarkStart w:id="61" w:name="_Toc12183"/>
      <w:bookmarkStart w:id="62" w:name="_Toc6045"/>
      <w:r>
        <w:rPr>
          <w:rFonts w:hint="eastAsia"/>
        </w:rPr>
        <w:t>五</w:t>
      </w:r>
      <w:r>
        <w:rPr>
          <w:rFonts w:hint="eastAsia"/>
          <w:lang w:eastAsia="zh-CN"/>
        </w:rPr>
        <w:t>、</w:t>
      </w:r>
      <w:r>
        <w:rPr>
          <w:rFonts w:hint="eastAsia"/>
        </w:rPr>
        <w:t>一般公共预算财政拨款支出决算情况说明</w:t>
      </w:r>
      <w:bookmarkEnd w:id="59"/>
      <w:bookmarkEnd w:id="60"/>
      <w:bookmarkEnd w:id="61"/>
      <w:bookmarkEnd w:id="62"/>
    </w:p>
    <w:p>
      <w:pPr>
        <w:pStyle w:val="6"/>
        <w:bidi w:val="0"/>
      </w:pPr>
      <w:bookmarkStart w:id="63" w:name="_Toc8320"/>
      <w:bookmarkStart w:id="64" w:name="_Toc5989"/>
      <w:bookmarkStart w:id="65" w:name="_Toc15377210"/>
      <w:r>
        <w:rPr>
          <w:rFonts w:hint="eastAsia"/>
        </w:rPr>
        <w:t>（一）一般公共预算财政拨款支出决算总体情况</w:t>
      </w:r>
      <w:bookmarkEnd w:id="63"/>
      <w:bookmarkEnd w:id="64"/>
      <w:bookmarkEnd w:id="65"/>
    </w:p>
    <w:p>
      <w:pPr>
        <w:spacing w:line="600" w:lineRule="exact"/>
        <w:ind w:firstLine="640" w:firstLineChars="200"/>
        <w:rPr>
          <w:rFonts w:hint="eastAsia" w:ascii="仿宋" w:hAnsi="仿宋" w:eastAsia="仿宋"/>
          <w:b/>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9年一般公共预算财政拨款支出3293.84万元，占本年支出合计的100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8年相比，一般公共预算财政拨款增加155.87万元，增长4.73</w:t>
      </w:r>
      <w:r>
        <w:rPr>
          <w:rFonts w:ascii="仿宋" w:hAnsi="仿宋" w:eastAsia="仿宋"/>
          <w:color w:val="000000"/>
          <w:sz w:val="32"/>
          <w:szCs w:val="32"/>
        </w:rPr>
        <w:t>%</w:t>
      </w:r>
      <w:r>
        <w:rPr>
          <w:rFonts w:hint="eastAsia" w:ascii="仿宋" w:hAnsi="仿宋" w:eastAsia="仿宋"/>
          <w:color w:val="000000"/>
          <w:sz w:val="32"/>
          <w:szCs w:val="32"/>
        </w:rPr>
        <w:t>。主要变动原因是新增人员。</w:t>
      </w:r>
      <w:bookmarkStart w:id="66" w:name="_Toc15377211"/>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图</w:t>
      </w:r>
      <w:r>
        <w:rPr>
          <w:rFonts w:hint="eastAsia" w:ascii="仿宋" w:hAnsi="仿宋" w:eastAsia="仿宋"/>
          <w:color w:val="auto"/>
          <w:sz w:val="32"/>
          <w:szCs w:val="32"/>
          <w:lang w:val="en-US" w:eastAsia="zh-CN"/>
        </w:rPr>
        <w:t>5</w:t>
      </w:r>
      <w:r>
        <w:rPr>
          <w:rFonts w:hint="eastAsia" w:ascii="仿宋" w:hAnsi="仿宋" w:eastAsia="仿宋"/>
          <w:color w:val="auto"/>
          <w:sz w:val="32"/>
          <w:szCs w:val="32"/>
        </w:rPr>
        <w:t>：</w:t>
      </w:r>
      <w:r>
        <w:rPr>
          <w:rFonts w:hint="eastAsia" w:ascii="仿宋" w:hAnsi="仿宋" w:eastAsia="仿宋"/>
          <w:color w:val="auto"/>
          <w:sz w:val="32"/>
          <w:szCs w:val="32"/>
          <w:lang w:eastAsia="zh-CN"/>
        </w:rPr>
        <w:t>（</w:t>
      </w:r>
      <w:r>
        <w:rPr>
          <w:rFonts w:hint="eastAsia" w:ascii="仿宋" w:hAnsi="仿宋" w:eastAsia="仿宋"/>
          <w:color w:val="auto"/>
          <w:sz w:val="32"/>
          <w:szCs w:val="32"/>
        </w:rPr>
        <w:t>一般公共预算财政拨款支出决算变动情况图）（柱状图）</w:t>
      </w:r>
    </w:p>
    <w:p>
      <w:pPr>
        <w:spacing w:line="600" w:lineRule="exact"/>
        <w:ind w:firstLine="420" w:firstLineChars="200"/>
        <w:outlineLvl w:val="2"/>
        <w:rPr>
          <w:rFonts w:hint="eastAsia" w:ascii="仿宋" w:hAnsi="仿宋" w:eastAsia="仿宋"/>
          <w:b/>
          <w:color w:val="000000"/>
          <w:sz w:val="32"/>
          <w:szCs w:val="32"/>
        </w:rPr>
      </w:pPr>
      <w:r>
        <w:drawing>
          <wp:anchor distT="0" distB="0" distL="114300" distR="114300" simplePos="0" relativeHeight="251664384" behindDoc="0" locked="0" layoutInCell="1" allowOverlap="1">
            <wp:simplePos x="0" y="0"/>
            <wp:positionH relativeFrom="column">
              <wp:posOffset>52070</wp:posOffset>
            </wp:positionH>
            <wp:positionV relativeFrom="paragraph">
              <wp:posOffset>233680</wp:posOffset>
            </wp:positionV>
            <wp:extent cx="5029200" cy="1887220"/>
            <wp:effectExtent l="4445" t="4445" r="14605" b="13335"/>
            <wp:wrapSquare wrapText="bothSides"/>
            <wp:docPr id="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outlineLvl w:val="2"/>
        <w:rPr>
          <w:rFonts w:hint="eastAsia" w:ascii="仿宋" w:hAnsi="仿宋" w:eastAsia="仿宋"/>
          <w:b/>
          <w:color w:val="000000"/>
          <w:sz w:val="32"/>
          <w:szCs w:val="32"/>
        </w:rPr>
      </w:pPr>
    </w:p>
    <w:p>
      <w:pPr>
        <w:pStyle w:val="6"/>
        <w:bidi w:val="0"/>
      </w:pPr>
      <w:bookmarkStart w:id="67" w:name="_Toc6478"/>
      <w:bookmarkStart w:id="68" w:name="_Toc579"/>
      <w:r>
        <w:rPr>
          <w:rFonts w:hint="eastAsia"/>
        </w:rPr>
        <w:t>（二）一般公共预算财政拨款支出决算结构情况</w:t>
      </w:r>
      <w:bookmarkEnd w:id="66"/>
      <w:bookmarkEnd w:id="67"/>
      <w:bookmarkEnd w:id="68"/>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政拨款支出3278.84万元，主要用于以下方面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支出956.48万元，占29.17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支出52.35万元，占1.59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rPr>
        <w:t>24.98万元，占0.76</w:t>
      </w:r>
      <w:r>
        <w:rPr>
          <w:rFonts w:ascii="仿宋" w:hAnsi="仿宋" w:eastAsia="仿宋"/>
          <w:color w:val="000000" w:themeColor="text1"/>
          <w:sz w:val="32"/>
          <w:szCs w:val="32"/>
        </w:rPr>
        <w:t>%</w:t>
      </w:r>
      <w:r>
        <w:rPr>
          <w:rFonts w:hint="eastAsia" w:ascii="仿宋" w:hAnsi="仿宋" w:eastAsia="仿宋"/>
          <w:color w:val="000000" w:themeColor="text1"/>
          <w:sz w:val="32"/>
          <w:szCs w:val="32"/>
        </w:rPr>
        <w:t>；节能环保支出336.07万元，占10.24</w:t>
      </w:r>
      <w:r>
        <w:rPr>
          <w:rFonts w:ascii="仿宋" w:hAnsi="仿宋" w:eastAsia="仿宋"/>
          <w:color w:val="000000" w:themeColor="text1"/>
          <w:sz w:val="32"/>
          <w:szCs w:val="32"/>
        </w:rPr>
        <w:t>%</w:t>
      </w:r>
      <w:r>
        <w:rPr>
          <w:rFonts w:hint="eastAsia" w:ascii="仿宋" w:hAnsi="仿宋" w:eastAsia="仿宋"/>
          <w:color w:val="000000" w:themeColor="text1"/>
          <w:sz w:val="32"/>
          <w:szCs w:val="32"/>
        </w:rPr>
        <w:t>；农林水支出1870.81万元，占57.05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商业服务业等支出5.6万元，</w:t>
      </w:r>
      <w:r>
        <w:rPr>
          <w:rFonts w:hint="eastAsia" w:ascii="仿宋" w:hAnsi="仿宋" w:eastAsia="仿宋"/>
          <w:color w:val="000000" w:themeColor="text1"/>
          <w:sz w:val="32"/>
          <w:szCs w:val="32"/>
        </w:rPr>
        <w:t>占0.17</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；住房保障支出29.55万元，占0.9</w:t>
      </w:r>
      <w:r>
        <w:rPr>
          <w:rFonts w:ascii="仿宋" w:hAnsi="仿宋" w:eastAsia="仿宋"/>
          <w:color w:val="000000" w:themeColor="text1"/>
          <w:sz w:val="32"/>
          <w:szCs w:val="32"/>
        </w:rPr>
        <w:t>%</w:t>
      </w:r>
      <w:r>
        <w:rPr>
          <w:rFonts w:hint="eastAsia" w:ascii="仿宋" w:hAnsi="仿宋" w:eastAsia="仿宋"/>
          <w:color w:val="000000" w:themeColor="text1"/>
          <w:sz w:val="32"/>
          <w:szCs w:val="32"/>
        </w:rPr>
        <w:t>；。其他支出3万元，占0.09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（罗列全部功能分类科目，至类级。）</w:t>
      </w:r>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 w:hAnsi="仿宋" w:eastAsia="仿宋"/>
          <w:color w:val="000000"/>
          <w:sz w:val="32"/>
          <w:szCs w:val="32"/>
        </w:rPr>
      </w:pPr>
      <w:r>
        <w:drawing>
          <wp:anchor distT="0" distB="0" distL="114300" distR="114300" simplePos="0" relativeHeight="251659264"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9"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rPr>
          <w:rFonts w:ascii="仿宋" w:hAnsi="仿宋" w:eastAsia="仿宋"/>
          <w:color w:val="000000"/>
          <w:sz w:val="32"/>
          <w:szCs w:val="32"/>
        </w:rPr>
      </w:pPr>
    </w:p>
    <w:p>
      <w:pPr>
        <w:pStyle w:val="6"/>
        <w:bidi w:val="0"/>
      </w:pPr>
      <w:bookmarkStart w:id="69" w:name="_Toc20372"/>
      <w:bookmarkStart w:id="70" w:name="_Toc17293"/>
      <w:bookmarkStart w:id="71" w:name="_Toc15377212"/>
      <w:r>
        <w:rPr>
          <w:rFonts w:hint="eastAsia"/>
        </w:rPr>
        <w:t>（三）一般公共预算财政拨款支出决算具体情况</w:t>
      </w:r>
      <w:bookmarkEnd w:id="69"/>
      <w:bookmarkEnd w:id="70"/>
      <w:bookmarkEnd w:id="71"/>
    </w:p>
    <w:p>
      <w:pPr>
        <w:spacing w:line="600" w:lineRule="exact"/>
        <w:ind w:firstLine="643" w:firstLineChars="200"/>
        <w:outlineLvl w:val="2"/>
        <w:rPr>
          <w:rFonts w:ascii="仿宋" w:hAnsi="仿宋" w:eastAsia="仿宋"/>
          <w:color w:val="FF0000"/>
          <w:sz w:val="32"/>
          <w:szCs w:val="32"/>
        </w:rPr>
      </w:pPr>
      <w:bookmarkStart w:id="72" w:name="_Toc2079"/>
      <w:bookmarkStart w:id="73" w:name="_Toc15378460"/>
      <w:bookmarkStart w:id="74" w:name="_Toc15377444"/>
      <w:bookmarkStart w:id="75" w:name="_Toc15377213"/>
      <w:bookmarkStart w:id="76" w:name="_Toc21455"/>
      <w:r>
        <w:rPr>
          <w:rFonts w:hint="eastAsia" w:ascii="仿宋" w:hAnsi="仿宋" w:eastAsia="仿宋"/>
          <w:b/>
          <w:color w:val="000000" w:themeColor="text1"/>
          <w:sz w:val="32"/>
          <w:szCs w:val="32"/>
        </w:rPr>
        <w:t>2019年一般公共预算支出决算数为3293.84万元</w:t>
      </w:r>
      <w:r>
        <w:rPr>
          <w:rFonts w:hint="eastAsia" w:ascii="仿宋" w:hAnsi="仿宋" w:eastAsia="仿宋"/>
          <w:color w:val="000000" w:themeColor="text1"/>
          <w:sz w:val="32"/>
          <w:szCs w:val="32"/>
        </w:rPr>
        <w:t>，</w:t>
      </w:r>
      <w:r>
        <w:rPr>
          <w:rStyle w:val="17"/>
          <w:rFonts w:hint="eastAsia" w:ascii="仿宋" w:hAnsi="仿宋" w:eastAsia="仿宋"/>
          <w:bCs/>
          <w:color w:val="000000" w:themeColor="text1"/>
          <w:sz w:val="32"/>
          <w:szCs w:val="32"/>
        </w:rPr>
        <w:t>完成</w:t>
      </w:r>
      <w:r>
        <w:rPr>
          <w:rStyle w:val="17"/>
          <w:rFonts w:hint="eastAsia" w:ascii="仿宋" w:hAnsi="仿宋" w:eastAsia="仿宋"/>
          <w:bCs/>
          <w:color w:val="000000"/>
          <w:sz w:val="32"/>
          <w:szCs w:val="32"/>
        </w:rPr>
        <w:t>预算</w:t>
      </w:r>
      <w:r>
        <w:rPr>
          <w:rStyle w:val="17"/>
          <w:rFonts w:hint="eastAsia" w:ascii="仿宋" w:hAnsi="仿宋" w:eastAsia="仿宋"/>
          <w:bCs/>
          <w:color w:val="000000"/>
          <w:sz w:val="32"/>
          <w:szCs w:val="32"/>
          <w:lang w:val="en-US" w:eastAsia="zh-CN"/>
        </w:rPr>
        <w:t>907.24</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72"/>
      <w:bookmarkEnd w:id="73"/>
      <w:bookmarkEnd w:id="74"/>
      <w:bookmarkEnd w:id="75"/>
      <w:bookmarkEnd w:id="76"/>
    </w:p>
    <w:p>
      <w:pPr>
        <w:numPr>
          <w:ilvl w:val="0"/>
          <w:numId w:val="3"/>
        </w:numPr>
        <w:spacing w:line="600" w:lineRule="exact"/>
        <w:ind w:firstLine="643" w:firstLineChars="200"/>
        <w:rPr>
          <w:rStyle w:val="17"/>
          <w:rFonts w:ascii="仿宋" w:hAnsi="仿宋" w:eastAsia="仿宋"/>
          <w:b w:val="0"/>
          <w:bCs/>
          <w:color w:val="000000"/>
          <w:sz w:val="32"/>
          <w:szCs w:val="32"/>
        </w:rPr>
      </w:pPr>
      <w:r>
        <w:rPr>
          <w:rStyle w:val="17"/>
          <w:rFonts w:hint="eastAsia" w:ascii="仿宋" w:hAnsi="仿宋" w:eastAsia="仿宋"/>
          <w:bCs/>
          <w:color w:val="000000"/>
          <w:sz w:val="32"/>
          <w:szCs w:val="32"/>
        </w:rPr>
        <w:t>一般公共服务（类）发展与改革事务（款） 行政运行（项）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支出决算为329.13万元，完成预算196</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，决算数大于预算数的主要原因是人员新增，一般行政运行经费开支增加。</w:t>
      </w:r>
      <w:r>
        <w:rPr>
          <w:rStyle w:val="17"/>
          <w:rFonts w:hint="eastAsia" w:ascii="仿宋" w:hAnsi="仿宋" w:eastAsia="仿宋"/>
          <w:bCs/>
          <w:color w:val="000000"/>
          <w:sz w:val="32"/>
          <w:szCs w:val="32"/>
        </w:rPr>
        <w:t>一般公共服务（类）发展与改革事务（款） 一般行政管理事务（项）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支出决算为60.82万元，完成预算608.2</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，决算数大于预算数的主要原因是人员新增，一般行政运行经费开支增加。</w:t>
      </w:r>
      <w:r>
        <w:rPr>
          <w:rStyle w:val="17"/>
          <w:rFonts w:hint="eastAsia" w:ascii="仿宋" w:hAnsi="仿宋" w:eastAsia="仿宋"/>
          <w:bCs/>
          <w:color w:val="000000"/>
          <w:sz w:val="32"/>
          <w:szCs w:val="32"/>
        </w:rPr>
        <w:t>一般公共服务（类）发展与改革事务（款）事业运行（项）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支出决算为45.06万元，完成预算117</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 xml:space="preserve">，决算数大于预算数的主要原因是人员新增。 </w:t>
      </w:r>
      <w:r>
        <w:rPr>
          <w:rStyle w:val="17"/>
          <w:rFonts w:hint="eastAsia" w:ascii="仿宋" w:hAnsi="仿宋" w:eastAsia="仿宋"/>
          <w:bCs/>
          <w:color w:val="000000"/>
          <w:sz w:val="32"/>
          <w:szCs w:val="32"/>
        </w:rPr>
        <w:t>一般公共服务（类）发展与改革事务（款）其他发展与改革事务支出（项）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支出决算为536.47万元。</w:t>
      </w:r>
    </w:p>
    <w:p>
      <w:pPr>
        <w:numPr>
          <w:ilvl w:val="0"/>
          <w:numId w:val="3"/>
        </w:numPr>
        <w:spacing w:line="600" w:lineRule="exact"/>
        <w:ind w:firstLine="643" w:firstLineChars="200"/>
        <w:rPr>
          <w:rStyle w:val="17"/>
          <w:rFonts w:ascii="仿宋" w:hAnsi="仿宋" w:eastAsia="仿宋"/>
          <w:b w:val="0"/>
          <w:bCs/>
          <w:color w:val="000000"/>
          <w:sz w:val="32"/>
          <w:szCs w:val="32"/>
        </w:rPr>
      </w:pPr>
      <w:r>
        <w:rPr>
          <w:rStyle w:val="17"/>
          <w:rFonts w:hint="eastAsia" w:ascii="仿宋" w:hAnsi="仿宋" w:eastAsia="仿宋"/>
          <w:bCs/>
          <w:color w:val="000000"/>
          <w:sz w:val="32"/>
          <w:szCs w:val="32"/>
        </w:rPr>
        <w:t>社会保障和就业（类）行政事业单位离退休（款） 机关事业单位基本养老保险缴费支出（项）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支出决算为35.14万元，完成预算131.71</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，决算数大于预算数的主要原因是人员新增。</w:t>
      </w:r>
      <w:r>
        <w:rPr>
          <w:rStyle w:val="17"/>
          <w:rFonts w:hint="eastAsia" w:ascii="仿宋" w:hAnsi="仿宋" w:eastAsia="仿宋"/>
          <w:bCs/>
          <w:color w:val="000000"/>
          <w:sz w:val="32"/>
          <w:szCs w:val="32"/>
        </w:rPr>
        <w:t>社会保障和就业（类）行政事业单位离退休（款）机关事业单位职业年金缴费支出（项）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支出决算为17.21万元，完成预算129.01</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，决算数大于预算数的主要原因是人员新增。</w:t>
      </w:r>
    </w:p>
    <w:p>
      <w:pPr>
        <w:numPr>
          <w:ilvl w:val="0"/>
          <w:numId w:val="3"/>
        </w:numPr>
        <w:spacing w:line="600" w:lineRule="exact"/>
        <w:ind w:firstLine="643" w:firstLineChars="200"/>
        <w:rPr>
          <w:rStyle w:val="17"/>
          <w:rFonts w:ascii="仿宋" w:hAnsi="仿宋" w:eastAsia="仿宋"/>
          <w:b w:val="0"/>
          <w:bCs/>
          <w:color w:val="000000"/>
          <w:sz w:val="32"/>
          <w:szCs w:val="32"/>
        </w:rPr>
      </w:pPr>
      <w:r>
        <w:rPr>
          <w:rFonts w:hint="eastAsia" w:ascii="仿宋" w:hAnsi="仿宋" w:eastAsia="仿宋"/>
          <w:b/>
          <w:bCs/>
          <w:color w:val="000000" w:themeColor="text1"/>
          <w:sz w:val="32"/>
          <w:szCs w:val="32"/>
        </w:rPr>
        <w:t>卫生健康</w:t>
      </w:r>
      <w:r>
        <w:rPr>
          <w:rStyle w:val="17"/>
          <w:rFonts w:hint="eastAsia" w:ascii="仿宋" w:hAnsi="仿宋" w:eastAsia="仿宋"/>
          <w:bCs/>
          <w:color w:val="000000"/>
          <w:sz w:val="32"/>
          <w:szCs w:val="32"/>
        </w:rPr>
        <w:t>（类）行政事业单位医疗（款） 行政单位医疗（项）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支出决算为12.38万元，完成预算127</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，决算数大于预算数的主要原因是人员新增</w:t>
      </w:r>
      <w:r>
        <w:rPr>
          <w:rStyle w:val="17"/>
          <w:rFonts w:hint="eastAsia" w:ascii="仿宋" w:hAnsi="仿宋" w:eastAsia="仿宋"/>
          <w:b w:val="0"/>
          <w:bCs/>
          <w:color w:val="000000" w:themeColor="text1"/>
          <w:sz w:val="32"/>
          <w:szCs w:val="32"/>
        </w:rPr>
        <w:t>且基数调整。</w:t>
      </w:r>
      <w:r>
        <w:rPr>
          <w:rFonts w:hint="eastAsia" w:ascii="仿宋" w:hAnsi="仿宋" w:eastAsia="仿宋"/>
          <w:b/>
          <w:bCs/>
          <w:color w:val="000000" w:themeColor="text1"/>
          <w:sz w:val="32"/>
          <w:szCs w:val="32"/>
        </w:rPr>
        <w:t>卫生健康</w:t>
      </w:r>
      <w:r>
        <w:rPr>
          <w:rStyle w:val="17"/>
          <w:rFonts w:hint="eastAsia" w:ascii="仿宋" w:hAnsi="仿宋" w:eastAsia="仿宋"/>
          <w:bCs/>
          <w:color w:val="000000"/>
          <w:sz w:val="32"/>
          <w:szCs w:val="32"/>
        </w:rPr>
        <w:t>（类）行政事业单位医疗（款）事业单位医疗（项）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支出决算为4.4万元，完成预算189.65</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，决算数小于</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等于预算数的主要原因是…。</w:t>
      </w:r>
      <w:r>
        <w:rPr>
          <w:rFonts w:hint="eastAsia" w:ascii="仿宋" w:hAnsi="仿宋" w:eastAsia="仿宋"/>
          <w:b/>
          <w:bCs/>
          <w:color w:val="000000" w:themeColor="text1"/>
          <w:sz w:val="32"/>
          <w:szCs w:val="32"/>
        </w:rPr>
        <w:t>卫生健康</w:t>
      </w:r>
      <w:r>
        <w:rPr>
          <w:rStyle w:val="17"/>
          <w:rFonts w:hint="eastAsia" w:ascii="仿宋" w:hAnsi="仿宋" w:eastAsia="仿宋"/>
          <w:bCs/>
          <w:color w:val="000000"/>
          <w:sz w:val="32"/>
          <w:szCs w:val="32"/>
        </w:rPr>
        <w:t>（类）行政事业单位医疗（款）公务员医疗补助（项）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支出决算为7.29万元，完成预算355</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，决算数大于预算数的主要原因是人员新增。</w:t>
      </w:r>
      <w:r>
        <w:rPr>
          <w:rFonts w:hint="eastAsia" w:ascii="仿宋" w:hAnsi="仿宋" w:eastAsia="仿宋"/>
          <w:b/>
          <w:bCs/>
          <w:color w:val="000000" w:themeColor="text1"/>
          <w:sz w:val="32"/>
          <w:szCs w:val="32"/>
        </w:rPr>
        <w:t>卫生健康</w:t>
      </w:r>
      <w:r>
        <w:rPr>
          <w:rStyle w:val="17"/>
          <w:rFonts w:hint="eastAsia" w:ascii="仿宋" w:hAnsi="仿宋" w:eastAsia="仿宋"/>
          <w:bCs/>
          <w:color w:val="000000"/>
          <w:sz w:val="32"/>
          <w:szCs w:val="32"/>
        </w:rPr>
        <w:t>（类）行政事业单位医疗（款）其他行政事业单位医疗支出（项）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支出决算为0.91万元，完成预算154.89</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，决算数大于预算数的主要原因是人员新增。</w:t>
      </w:r>
    </w:p>
    <w:p>
      <w:pPr>
        <w:numPr>
          <w:ilvl w:val="0"/>
          <w:numId w:val="3"/>
        </w:numPr>
        <w:spacing w:line="600" w:lineRule="exact"/>
        <w:ind w:firstLine="643" w:firstLineChars="200"/>
        <w:rPr>
          <w:rFonts w:ascii="仿宋" w:hAnsi="仿宋" w:eastAsia="仿宋"/>
          <w:b/>
          <w:color w:val="000000"/>
          <w:sz w:val="32"/>
          <w:szCs w:val="32"/>
        </w:rPr>
      </w:pPr>
      <w:r>
        <w:rPr>
          <w:rStyle w:val="17"/>
          <w:rFonts w:hint="eastAsia" w:ascii="仿宋" w:hAnsi="仿宋" w:eastAsia="仿宋"/>
          <w:bCs/>
          <w:color w:val="000000"/>
          <w:sz w:val="32"/>
          <w:szCs w:val="32"/>
        </w:rPr>
        <w:t>节能环保支出（类）自然生态保护（款）生态保护（项）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支出决算为336.07万元。</w:t>
      </w:r>
    </w:p>
    <w:p>
      <w:pPr>
        <w:numPr>
          <w:ilvl w:val="0"/>
          <w:numId w:val="3"/>
        </w:numPr>
        <w:spacing w:line="600" w:lineRule="exact"/>
        <w:ind w:firstLine="640" w:firstLineChars="200"/>
        <w:rPr>
          <w:rFonts w:ascii="仿宋" w:hAnsi="仿宋" w:eastAsia="仿宋"/>
          <w:b/>
          <w:color w:val="000000"/>
          <w:sz w:val="32"/>
          <w:szCs w:val="32"/>
        </w:rPr>
      </w:pPr>
      <w:r>
        <w:rPr>
          <w:rStyle w:val="17"/>
          <w:rFonts w:hint="eastAsia" w:ascii="仿宋" w:hAnsi="仿宋" w:eastAsia="仿宋"/>
          <w:b w:val="0"/>
          <w:bCs/>
          <w:color w:val="000000"/>
          <w:sz w:val="32"/>
          <w:szCs w:val="32"/>
        </w:rPr>
        <w:t>农林水支出</w:t>
      </w:r>
      <w:r>
        <w:rPr>
          <w:rStyle w:val="17"/>
          <w:rFonts w:hint="eastAsia" w:ascii="仿宋" w:hAnsi="仿宋" w:eastAsia="仿宋"/>
          <w:bCs/>
          <w:color w:val="000000"/>
          <w:sz w:val="32"/>
          <w:szCs w:val="32"/>
        </w:rPr>
        <w:t>（类）扶贫（类） 农村基础设施建设（项）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Cs/>
          <w:color w:val="000000"/>
          <w:sz w:val="32"/>
          <w:szCs w:val="32"/>
        </w:rPr>
        <w:t>694.54</w:t>
      </w:r>
      <w:r>
        <w:rPr>
          <w:rStyle w:val="17"/>
          <w:rFonts w:hint="eastAsia" w:ascii="仿宋" w:hAnsi="仿宋" w:eastAsia="仿宋"/>
          <w:b w:val="0"/>
          <w:bCs/>
          <w:color w:val="000000"/>
          <w:sz w:val="32"/>
          <w:szCs w:val="32"/>
        </w:rPr>
        <w:t>万元。农林水支出</w:t>
      </w:r>
      <w:r>
        <w:rPr>
          <w:rStyle w:val="17"/>
          <w:rFonts w:hint="eastAsia" w:ascii="仿宋" w:hAnsi="仿宋" w:eastAsia="仿宋"/>
          <w:bCs/>
          <w:color w:val="000000"/>
          <w:sz w:val="32"/>
          <w:szCs w:val="32"/>
        </w:rPr>
        <w:t>（类）扶贫（款） 其他扶贫支出（项）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Cs/>
          <w:color w:val="000000"/>
          <w:sz w:val="32"/>
          <w:szCs w:val="32"/>
        </w:rPr>
        <w:t>810.75</w:t>
      </w:r>
      <w:r>
        <w:rPr>
          <w:rStyle w:val="17"/>
          <w:rFonts w:hint="eastAsia" w:ascii="仿宋" w:hAnsi="仿宋" w:eastAsia="仿宋"/>
          <w:b w:val="0"/>
          <w:bCs/>
          <w:color w:val="000000"/>
          <w:sz w:val="32"/>
          <w:szCs w:val="32"/>
        </w:rPr>
        <w:t>万元。</w:t>
      </w:r>
      <w:r>
        <w:rPr>
          <w:rStyle w:val="17"/>
          <w:rFonts w:hint="eastAsia" w:ascii="仿宋" w:hAnsi="仿宋" w:eastAsia="仿宋"/>
          <w:bCs/>
          <w:color w:val="000000"/>
          <w:sz w:val="32"/>
          <w:szCs w:val="32"/>
        </w:rPr>
        <w:t>农林水支出（类）其他农林水支出（款） 其他农林水支出（项）：</w:t>
      </w:r>
      <w:r>
        <w:rPr>
          <w:rStyle w:val="17"/>
          <w:rFonts w:hint="eastAsia" w:ascii="仿宋" w:hAnsi="仿宋" w:eastAsia="仿宋"/>
          <w:b w:val="0"/>
          <w:bCs/>
          <w:color w:val="000000"/>
          <w:sz w:val="32"/>
          <w:szCs w:val="32"/>
        </w:rPr>
        <w:t>支出决算为</w:t>
      </w:r>
      <w:r>
        <w:rPr>
          <w:rStyle w:val="17"/>
          <w:rFonts w:hint="eastAsia" w:ascii="仿宋" w:hAnsi="仿宋" w:eastAsia="仿宋"/>
          <w:bCs/>
          <w:color w:val="000000"/>
          <w:sz w:val="32"/>
          <w:szCs w:val="32"/>
        </w:rPr>
        <w:t>365.51</w:t>
      </w:r>
      <w:r>
        <w:rPr>
          <w:rStyle w:val="17"/>
          <w:rFonts w:hint="eastAsia" w:ascii="仿宋" w:hAnsi="仿宋" w:eastAsia="仿宋"/>
          <w:b w:val="0"/>
          <w:bCs/>
          <w:color w:val="000000"/>
          <w:sz w:val="32"/>
          <w:szCs w:val="32"/>
        </w:rPr>
        <w:t>万元。</w:t>
      </w:r>
    </w:p>
    <w:p>
      <w:pPr>
        <w:numPr>
          <w:ilvl w:val="0"/>
          <w:numId w:val="4"/>
        </w:numPr>
        <w:spacing w:line="60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商业服务业等支出</w:t>
      </w:r>
      <w:r>
        <w:rPr>
          <w:rStyle w:val="17"/>
          <w:rFonts w:hint="eastAsia" w:ascii="仿宋" w:hAnsi="仿宋" w:eastAsia="仿宋"/>
          <w:bCs/>
          <w:color w:val="000000"/>
          <w:sz w:val="32"/>
          <w:szCs w:val="32"/>
        </w:rPr>
        <w:t>（类）其他商业服务业等支出（款）  其他商业服务业等支出（项）：</w:t>
      </w:r>
      <w:r>
        <w:rPr>
          <w:rStyle w:val="17"/>
          <w:rFonts w:hint="eastAsia" w:ascii="仿宋" w:hAnsi="仿宋" w:eastAsia="仿宋"/>
          <w:b w:val="0"/>
          <w:bCs/>
          <w:color w:val="000000"/>
          <w:sz w:val="32"/>
          <w:szCs w:val="32"/>
        </w:rPr>
        <w:t>支出决算为</w:t>
      </w:r>
      <w:r>
        <w:rPr>
          <w:rStyle w:val="17"/>
          <w:rFonts w:hint="eastAsia" w:ascii="仿宋" w:hAnsi="仿宋" w:eastAsia="仿宋"/>
          <w:bCs/>
          <w:color w:val="000000"/>
          <w:sz w:val="32"/>
          <w:szCs w:val="32"/>
        </w:rPr>
        <w:t>5.6</w:t>
      </w:r>
      <w:r>
        <w:rPr>
          <w:rStyle w:val="17"/>
          <w:rFonts w:hint="eastAsia" w:ascii="仿宋" w:hAnsi="仿宋" w:eastAsia="仿宋"/>
          <w:b w:val="0"/>
          <w:bCs/>
          <w:color w:val="000000"/>
          <w:sz w:val="32"/>
          <w:szCs w:val="32"/>
        </w:rPr>
        <w:t>万元。</w:t>
      </w:r>
    </w:p>
    <w:p>
      <w:pPr>
        <w:numPr>
          <w:ilvl w:val="0"/>
          <w:numId w:val="4"/>
        </w:numPr>
        <w:spacing w:line="60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住房保障支出</w:t>
      </w:r>
      <w:r>
        <w:rPr>
          <w:rStyle w:val="17"/>
          <w:rFonts w:hint="eastAsia" w:ascii="仿宋" w:hAnsi="仿宋" w:eastAsia="仿宋"/>
          <w:bCs/>
          <w:color w:val="000000"/>
          <w:sz w:val="32"/>
          <w:szCs w:val="32"/>
        </w:rPr>
        <w:t>（类）住房改革支出（款）住房公积金（项）</w:t>
      </w:r>
      <w:r>
        <w:rPr>
          <w:rStyle w:val="17"/>
          <w:rFonts w:hint="eastAsia" w:ascii="仿宋" w:hAnsi="仿宋" w:eastAsia="仿宋"/>
          <w:b w:val="0"/>
          <w:bCs/>
          <w:color w:val="000000"/>
          <w:sz w:val="32"/>
          <w:szCs w:val="32"/>
        </w:rPr>
        <w:t>支出决算为</w:t>
      </w:r>
      <w:r>
        <w:rPr>
          <w:rStyle w:val="17"/>
          <w:rFonts w:hint="eastAsia" w:ascii="仿宋" w:hAnsi="仿宋" w:eastAsia="仿宋"/>
          <w:bCs/>
          <w:color w:val="000000"/>
          <w:sz w:val="32"/>
          <w:szCs w:val="32"/>
        </w:rPr>
        <w:t>29.55</w:t>
      </w:r>
      <w:r>
        <w:rPr>
          <w:rStyle w:val="17"/>
          <w:rFonts w:hint="eastAsia" w:ascii="仿宋" w:hAnsi="仿宋" w:eastAsia="仿宋"/>
          <w:b w:val="0"/>
          <w:bCs/>
          <w:color w:val="000000"/>
          <w:sz w:val="32"/>
          <w:szCs w:val="32"/>
        </w:rPr>
        <w:t>万元，完成预算112</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，决算数大于预算数的主要原因是人员新增。</w:t>
      </w:r>
    </w:p>
    <w:p>
      <w:pPr>
        <w:numPr>
          <w:ilvl w:val="0"/>
          <w:numId w:val="4"/>
        </w:numPr>
        <w:spacing w:line="60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其他支出</w:t>
      </w:r>
      <w:r>
        <w:rPr>
          <w:rStyle w:val="17"/>
          <w:rFonts w:hint="eastAsia" w:ascii="仿宋" w:hAnsi="仿宋" w:eastAsia="仿宋"/>
          <w:bCs/>
          <w:color w:val="000000"/>
          <w:sz w:val="32"/>
          <w:szCs w:val="32"/>
        </w:rPr>
        <w:t>（类）</w:t>
      </w:r>
      <w:r>
        <w:rPr>
          <w:rFonts w:hint="eastAsia" w:ascii="仿宋" w:hAnsi="仿宋" w:eastAsia="仿宋"/>
          <w:b/>
          <w:color w:val="000000"/>
          <w:sz w:val="32"/>
          <w:szCs w:val="32"/>
        </w:rPr>
        <w:t>其他支出</w:t>
      </w:r>
      <w:r>
        <w:rPr>
          <w:rStyle w:val="17"/>
          <w:rFonts w:hint="eastAsia" w:ascii="仿宋" w:hAnsi="仿宋" w:eastAsia="仿宋"/>
          <w:bCs/>
          <w:color w:val="000000"/>
          <w:sz w:val="32"/>
          <w:szCs w:val="32"/>
        </w:rPr>
        <w:t>（款）</w:t>
      </w:r>
      <w:r>
        <w:rPr>
          <w:rFonts w:hint="eastAsia" w:ascii="仿宋" w:hAnsi="仿宋" w:eastAsia="仿宋"/>
          <w:b/>
          <w:color w:val="000000"/>
          <w:sz w:val="32"/>
          <w:szCs w:val="32"/>
        </w:rPr>
        <w:t>其他支出</w:t>
      </w:r>
      <w:r>
        <w:rPr>
          <w:rStyle w:val="17"/>
          <w:rFonts w:hint="eastAsia" w:ascii="仿宋" w:hAnsi="仿宋" w:eastAsia="仿宋"/>
          <w:bCs/>
          <w:color w:val="000000"/>
          <w:sz w:val="32"/>
          <w:szCs w:val="32"/>
        </w:rPr>
        <w:t>（项）</w:t>
      </w:r>
      <w:r>
        <w:rPr>
          <w:rStyle w:val="17"/>
          <w:rFonts w:hint="eastAsia" w:ascii="仿宋" w:hAnsi="仿宋" w:eastAsia="仿宋"/>
          <w:b w:val="0"/>
          <w:bCs/>
          <w:color w:val="000000"/>
          <w:sz w:val="32"/>
          <w:szCs w:val="32"/>
        </w:rPr>
        <w:t>支出决算为</w:t>
      </w:r>
      <w:r>
        <w:rPr>
          <w:rStyle w:val="17"/>
          <w:rFonts w:hint="eastAsia" w:ascii="仿宋" w:hAnsi="仿宋" w:eastAsia="仿宋"/>
          <w:bCs/>
          <w:color w:val="000000"/>
          <w:sz w:val="32"/>
          <w:szCs w:val="32"/>
        </w:rPr>
        <w:t>3</w:t>
      </w:r>
      <w:r>
        <w:rPr>
          <w:rStyle w:val="17"/>
          <w:rFonts w:hint="eastAsia" w:ascii="仿宋" w:hAnsi="仿宋" w:eastAsia="仿宋"/>
          <w:b w:val="0"/>
          <w:bCs/>
          <w:color w:val="000000"/>
          <w:sz w:val="32"/>
          <w:szCs w:val="32"/>
        </w:rPr>
        <w:t>万元。</w:t>
      </w:r>
    </w:p>
    <w:p>
      <w:pPr>
        <w:tabs>
          <w:tab w:val="right" w:pos="8306"/>
        </w:tabs>
        <w:spacing w:line="600" w:lineRule="exact"/>
        <w:ind w:firstLine="640"/>
        <w:outlineLvl w:val="1"/>
        <w:rPr>
          <w:rStyle w:val="29"/>
        </w:rPr>
      </w:pPr>
      <w:bookmarkStart w:id="77" w:name="_Toc15377214"/>
      <w:bookmarkStart w:id="78" w:name="_Toc15396608"/>
      <w:bookmarkStart w:id="79" w:name="_Toc15225"/>
      <w:bookmarkStart w:id="80" w:name="_Toc26874"/>
      <w:r>
        <w:rPr>
          <w:rStyle w:val="29"/>
          <w:rFonts w:hint="eastAsia"/>
        </w:rPr>
        <w:t>六、一般公共预算财政拨款基本支出决算情况说明</w:t>
      </w:r>
      <w:bookmarkEnd w:id="77"/>
      <w:bookmarkEnd w:id="78"/>
      <w:bookmarkEnd w:id="79"/>
      <w:bookmarkEnd w:id="80"/>
      <w:r>
        <w:rPr>
          <w:rStyle w:val="29"/>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9年一般公共预算财政拨款基本支出466.07万元，其中：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429.52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36.55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5"/>
        <w:bidi w:val="0"/>
      </w:pPr>
      <w:bookmarkStart w:id="81" w:name="_Toc15396609"/>
      <w:bookmarkStart w:id="82" w:name="_Toc15377215"/>
      <w:bookmarkStart w:id="83" w:name="_Toc3885"/>
      <w:bookmarkStart w:id="84" w:name="_Toc16089"/>
      <w:r>
        <w:rPr>
          <w:rFonts w:hint="eastAsia"/>
        </w:rPr>
        <w:t>七、“三公”经费财政拨款支出决算情况说明</w:t>
      </w:r>
      <w:bookmarkEnd w:id="81"/>
      <w:bookmarkEnd w:id="82"/>
      <w:bookmarkEnd w:id="83"/>
      <w:bookmarkEnd w:id="84"/>
    </w:p>
    <w:p>
      <w:pPr>
        <w:pStyle w:val="6"/>
        <w:bidi w:val="0"/>
      </w:pPr>
      <w:bookmarkStart w:id="85" w:name="_Toc1931"/>
      <w:bookmarkStart w:id="86" w:name="_Toc31927"/>
      <w:bookmarkStart w:id="87" w:name="_Toc15377216"/>
      <w:r>
        <w:rPr>
          <w:rFonts w:hint="eastAsia"/>
        </w:rPr>
        <w:t>（一）“三公”经费财政拨款支出决算总体情况说明</w:t>
      </w:r>
      <w:bookmarkEnd w:id="85"/>
      <w:bookmarkEnd w:id="86"/>
      <w:bookmarkEnd w:id="8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9年“三公”经费财政拨款支出决算为8.17</w:t>
      </w:r>
      <w:r>
        <w:rPr>
          <w:rFonts w:hint="eastAsia" w:ascii="仿宋" w:hAnsi="仿宋" w:eastAsia="仿宋"/>
          <w:color w:val="000000"/>
          <w:sz w:val="32"/>
          <w:szCs w:val="32"/>
          <w:lang w:eastAsia="zh-CN"/>
        </w:rPr>
        <w:t>万</w:t>
      </w:r>
      <w:r>
        <w:rPr>
          <w:rFonts w:hint="eastAsia" w:ascii="仿宋" w:hAnsi="仿宋" w:eastAsia="仿宋"/>
          <w:color w:val="000000"/>
          <w:sz w:val="32"/>
          <w:szCs w:val="32"/>
        </w:rPr>
        <w:t>元，完成预算140</w:t>
      </w:r>
      <w:r>
        <w:rPr>
          <w:rFonts w:ascii="仿宋" w:hAnsi="仿宋" w:eastAsia="仿宋"/>
          <w:color w:val="000000"/>
          <w:sz w:val="32"/>
          <w:szCs w:val="32"/>
        </w:rPr>
        <w:t>%</w:t>
      </w:r>
      <w:r>
        <w:rPr>
          <w:rFonts w:hint="eastAsia" w:ascii="仿宋" w:hAnsi="仿宋" w:eastAsia="仿宋"/>
          <w:color w:val="000000"/>
          <w:sz w:val="32"/>
          <w:szCs w:val="32"/>
        </w:rPr>
        <w:t>，决算数大预算数的主要原因是公务用车频次增加。</w:t>
      </w:r>
    </w:p>
    <w:p>
      <w:pPr>
        <w:pStyle w:val="6"/>
        <w:bidi w:val="0"/>
      </w:pPr>
      <w:bookmarkStart w:id="88" w:name="_Toc15377217"/>
      <w:bookmarkStart w:id="89" w:name="_Toc28469"/>
      <w:bookmarkStart w:id="90" w:name="_Toc9305"/>
      <w:r>
        <w:rPr>
          <w:rFonts w:hint="eastAsia"/>
        </w:rPr>
        <w:t>（二）“三公”经费财政拨款支出决算具体情况说明</w:t>
      </w:r>
      <w:bookmarkEnd w:id="88"/>
      <w:bookmarkEnd w:id="89"/>
      <w:bookmarkEnd w:id="90"/>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9年“三公”经费财政拨款支出决算中，因公出国（境）费支出决算0万元；公务用车购置及运行维护费支出决算8.05万元，占98.6</w:t>
      </w:r>
      <w:r>
        <w:rPr>
          <w:rFonts w:ascii="仿宋" w:hAnsi="仿宋" w:eastAsia="仿宋"/>
          <w:color w:val="000000"/>
          <w:sz w:val="32"/>
          <w:szCs w:val="32"/>
        </w:rPr>
        <w:t>%</w:t>
      </w:r>
      <w:r>
        <w:rPr>
          <w:rFonts w:hint="eastAsia" w:ascii="仿宋" w:hAnsi="仿宋" w:eastAsia="仿宋"/>
          <w:color w:val="000000"/>
          <w:sz w:val="32"/>
          <w:szCs w:val="32"/>
        </w:rPr>
        <w:t>；公务接待费支出决算0.12万元，占1.4</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r>
        <w:drawing>
          <wp:anchor distT="0" distB="0" distL="114300" distR="114300" simplePos="0" relativeHeight="251665408" behindDoc="0" locked="0" layoutInCell="1" allowOverlap="1">
            <wp:simplePos x="0" y="0"/>
            <wp:positionH relativeFrom="column">
              <wp:posOffset>410845</wp:posOffset>
            </wp:positionH>
            <wp:positionV relativeFrom="paragraph">
              <wp:posOffset>-2453005</wp:posOffset>
            </wp:positionV>
            <wp:extent cx="4572000" cy="2743200"/>
            <wp:effectExtent l="4445" t="4445" r="14605" b="14605"/>
            <wp:wrapSquare wrapText="bothSides"/>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numPr>
          <w:ilvl w:val="0"/>
          <w:numId w:val="5"/>
        </w:numPr>
        <w:spacing w:line="600" w:lineRule="exact"/>
        <w:ind w:firstLine="640"/>
        <w:rPr>
          <w:rStyle w:val="17"/>
          <w:rFonts w:ascii="仿宋" w:hAnsi="仿宋" w:eastAsia="仿宋"/>
          <w:b w:val="0"/>
          <w:bCs/>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7"/>
          <w:rFonts w:hint="eastAsia" w:ascii="仿宋" w:hAnsi="仿宋" w:eastAsia="仿宋"/>
          <w:b w:val="0"/>
          <w:bCs/>
          <w:color w:val="000000"/>
          <w:sz w:val="32"/>
          <w:szCs w:val="32"/>
        </w:rPr>
        <w:t>完成预算0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p>
    <w:p>
      <w:pPr>
        <w:numPr>
          <w:ilvl w:val="0"/>
          <w:numId w:val="5"/>
        </w:num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公务用车购置及运行维护费支出</w:t>
      </w:r>
      <w:r>
        <w:rPr>
          <w:rFonts w:hint="eastAsia" w:ascii="仿宋" w:hAnsi="仿宋" w:eastAsia="仿宋"/>
          <w:color w:val="000000"/>
          <w:sz w:val="32"/>
          <w:szCs w:val="32"/>
        </w:rPr>
        <w:t>8.05</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完成预算175</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8年增加1.61万元，增长25</w:t>
      </w:r>
      <w:r>
        <w:rPr>
          <w:rFonts w:ascii="仿宋_GB2312" w:eastAsia="仿宋_GB2312"/>
          <w:color w:val="000000"/>
          <w:sz w:val="32"/>
          <w:szCs w:val="32"/>
        </w:rPr>
        <w:t>%</w:t>
      </w:r>
      <w:r>
        <w:rPr>
          <w:rFonts w:hint="eastAsia" w:ascii="仿宋_GB2312" w:eastAsia="仿宋_GB2312"/>
          <w:color w:val="000000"/>
          <w:sz w:val="32"/>
          <w:szCs w:val="32"/>
        </w:rPr>
        <w:t>。主要原因是项目招投标、物价、绵阳、浙江援建等县外出差工作以及县内下乡检查工作所需的公务用车燃料费、维修费、过路过桥费、保险费等支出。</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hAnsi="仿宋" w:eastAsia="仿宋"/>
          <w:color w:val="000000"/>
          <w:sz w:val="32"/>
          <w:szCs w:val="32"/>
        </w:rPr>
        <w:t>8.05</w:t>
      </w:r>
      <w:r>
        <w:rPr>
          <w:rFonts w:hint="eastAsia" w:ascii="仿宋_GB2312" w:eastAsia="仿宋_GB2312"/>
          <w:color w:val="000000"/>
          <w:sz w:val="32"/>
          <w:szCs w:val="32"/>
        </w:rPr>
        <w:t>万元。主要用于项目招投标、物价、绵阳、浙江援建等县外出差工作以及县内下乡检查工作所需的公务用车燃料费、维修费、过路过桥费、保险费等支出。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0.12万元，</w:t>
      </w:r>
      <w:r>
        <w:rPr>
          <w:rStyle w:val="17"/>
          <w:rFonts w:hint="eastAsia" w:ascii="仿宋" w:hAnsi="仿宋" w:eastAsia="仿宋"/>
          <w:b w:val="0"/>
          <w:bCs/>
          <w:color w:val="000000"/>
          <w:sz w:val="32"/>
          <w:szCs w:val="32"/>
        </w:rPr>
        <w:t>完成预算10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8年减少2.61万元，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rPr>
        <w:t>95</w:t>
      </w:r>
      <w:r>
        <w:rPr>
          <w:rFonts w:ascii="仿宋_GB2312" w:eastAsia="仿宋_GB2312"/>
          <w:color w:val="000000"/>
          <w:sz w:val="32"/>
          <w:szCs w:val="32"/>
        </w:rPr>
        <w:t>%</w:t>
      </w:r>
      <w:r>
        <w:rPr>
          <w:rFonts w:hint="eastAsia" w:ascii="仿宋_GB2312" w:eastAsia="仿宋_GB2312"/>
          <w:color w:val="000000"/>
          <w:sz w:val="32"/>
          <w:szCs w:val="32"/>
        </w:rPr>
        <w:t>。主要原因是接待减少。</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0.12</w:t>
      </w:r>
      <w:r>
        <w:rPr>
          <w:rFonts w:hint="eastAsia" w:ascii="仿宋_GB2312" w:eastAsia="仿宋_GB2312"/>
          <w:color w:val="000000"/>
          <w:sz w:val="32"/>
          <w:szCs w:val="32"/>
        </w:rPr>
        <w:t>万元，主要用于发展改革事务开展业务活动开支的住宿费、用餐费等。国内公务接待2批次，12人次（不包括陪同人员），共计支出0.12万元，具体内容包括：接待项目检查工作组2批次，分别为0.06万元。</w:t>
      </w:r>
    </w:p>
    <w:p>
      <w:pPr>
        <w:pStyle w:val="5"/>
        <w:bidi w:val="0"/>
      </w:pPr>
      <w:bookmarkStart w:id="91" w:name="_Toc20714"/>
      <w:bookmarkStart w:id="92" w:name="_Toc15377218"/>
      <w:bookmarkStart w:id="93" w:name="_Toc7710"/>
      <w:bookmarkStart w:id="94" w:name="_Toc15396610"/>
      <w:r>
        <w:rPr>
          <w:rFonts w:hint="eastAsia"/>
        </w:rPr>
        <w:t>八、政府性基金预算支出决算情况说明</w:t>
      </w:r>
      <w:bookmarkEnd w:id="91"/>
      <w:bookmarkEnd w:id="92"/>
      <w:bookmarkEnd w:id="93"/>
      <w:bookmarkEnd w:id="9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pPr>
        <w:pStyle w:val="5"/>
        <w:numPr>
          <w:ilvl w:val="0"/>
          <w:numId w:val="6"/>
        </w:numPr>
        <w:bidi w:val="0"/>
      </w:pPr>
      <w:bookmarkStart w:id="95" w:name="_Toc23165"/>
      <w:bookmarkStart w:id="96" w:name="_Toc15377219"/>
      <w:bookmarkStart w:id="97" w:name="_Toc2015"/>
      <w:bookmarkStart w:id="98" w:name="_Toc15396611"/>
      <w:r>
        <w:rPr>
          <w:rFonts w:hint="eastAsia"/>
        </w:rPr>
        <w:t>国有资本经营预算支出决算情况说明</w:t>
      </w:r>
      <w:bookmarkEnd w:id="95"/>
      <w:bookmarkEnd w:id="96"/>
      <w:bookmarkEnd w:id="97"/>
      <w:bookmarkEnd w:id="9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pStyle w:val="5"/>
        <w:bidi w:val="0"/>
      </w:pPr>
      <w:bookmarkStart w:id="99" w:name="_Toc7220"/>
      <w:bookmarkStart w:id="100" w:name="_Toc15396612"/>
      <w:bookmarkStart w:id="101" w:name="_Toc30022"/>
      <w:bookmarkStart w:id="102" w:name="_Toc15377221"/>
      <w:r>
        <w:rPr>
          <w:rFonts w:hint="eastAsia"/>
        </w:rPr>
        <w:t>十、其他重要事项的情况说明</w:t>
      </w:r>
      <w:bookmarkEnd w:id="99"/>
      <w:bookmarkEnd w:id="100"/>
      <w:bookmarkEnd w:id="101"/>
      <w:bookmarkEnd w:id="102"/>
    </w:p>
    <w:p>
      <w:pPr>
        <w:pStyle w:val="6"/>
        <w:bidi w:val="0"/>
      </w:pPr>
      <w:bookmarkStart w:id="103" w:name="_Toc3695"/>
      <w:bookmarkStart w:id="104" w:name="_Toc2894"/>
      <w:bookmarkStart w:id="105" w:name="_Toc15377222"/>
      <w:r>
        <w:rPr>
          <w:rFonts w:hint="eastAsia"/>
        </w:rPr>
        <w:t>（一）机关运行经费支出情况</w:t>
      </w:r>
      <w:bookmarkEnd w:id="103"/>
      <w:bookmarkEnd w:id="104"/>
      <w:bookmarkEnd w:id="105"/>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9年，发展和改革局机关运行经费支出329.13万元，比</w:t>
      </w:r>
      <w:r>
        <w:rPr>
          <w:rFonts w:ascii="仿宋_GB2312" w:eastAsia="仿宋_GB2312"/>
          <w:color w:val="000000"/>
          <w:sz w:val="32"/>
          <w:szCs w:val="32"/>
        </w:rPr>
        <w:t>201</w:t>
      </w:r>
      <w:r>
        <w:rPr>
          <w:rFonts w:hint="eastAsia" w:ascii="仿宋_GB2312" w:eastAsia="仿宋_GB2312"/>
          <w:color w:val="000000"/>
          <w:sz w:val="32"/>
          <w:szCs w:val="32"/>
        </w:rPr>
        <w:t>8年下降51.79万元，下降13.6</w:t>
      </w:r>
      <w:r>
        <w:rPr>
          <w:rFonts w:ascii="仿宋_GB2312" w:eastAsia="仿宋_GB2312"/>
          <w:color w:val="000000"/>
          <w:sz w:val="32"/>
          <w:szCs w:val="32"/>
        </w:rPr>
        <w:t>%</w:t>
      </w:r>
      <w:r>
        <w:rPr>
          <w:rFonts w:hint="eastAsia" w:ascii="仿宋_GB2312" w:eastAsia="仿宋_GB2312"/>
          <w:color w:val="000000"/>
          <w:sz w:val="32"/>
          <w:szCs w:val="32"/>
        </w:rPr>
        <w:t>（或与</w:t>
      </w:r>
      <w:r>
        <w:rPr>
          <w:rFonts w:ascii="仿宋_GB2312" w:eastAsia="仿宋_GB2312"/>
          <w:color w:val="000000"/>
          <w:sz w:val="32"/>
          <w:szCs w:val="32"/>
        </w:rPr>
        <w:t>201</w:t>
      </w:r>
      <w:r>
        <w:rPr>
          <w:rFonts w:hint="eastAsia" w:ascii="仿宋_GB2312" w:eastAsia="仿宋_GB2312"/>
          <w:color w:val="000000"/>
          <w:sz w:val="32"/>
          <w:szCs w:val="32"/>
        </w:rPr>
        <w:t>8年决算数持平）。</w:t>
      </w:r>
      <w:r>
        <w:rPr>
          <w:rFonts w:hint="eastAsia" w:ascii="仿宋_GB2312" w:eastAsia="仿宋_GB2312"/>
          <w:color w:val="000000" w:themeColor="text1"/>
          <w:sz w:val="32"/>
          <w:szCs w:val="32"/>
        </w:rPr>
        <w:t>主要原因是运行支出减少。</w:t>
      </w:r>
    </w:p>
    <w:p>
      <w:pPr>
        <w:pStyle w:val="6"/>
        <w:bidi w:val="0"/>
      </w:pPr>
      <w:bookmarkStart w:id="106" w:name="_Toc29345"/>
      <w:bookmarkStart w:id="107" w:name="_Toc15377223"/>
      <w:bookmarkStart w:id="108" w:name="_Toc15068"/>
      <w:r>
        <w:rPr>
          <w:rFonts w:hint="eastAsia"/>
        </w:rPr>
        <w:t>（二）政府采购支出情况</w:t>
      </w:r>
      <w:bookmarkEnd w:id="106"/>
      <w:bookmarkEnd w:id="107"/>
      <w:bookmarkEnd w:id="108"/>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201</w:t>
      </w:r>
      <w:r>
        <w:rPr>
          <w:rFonts w:hint="eastAsia" w:ascii="仿宋_GB2312" w:eastAsia="仿宋_GB2312"/>
          <w:color w:val="000000" w:themeColor="text1"/>
          <w:sz w:val="32"/>
          <w:szCs w:val="32"/>
        </w:rPr>
        <w:t>9年，红原县发展和改革局政府采购支出总额0万元。</w:t>
      </w:r>
    </w:p>
    <w:p>
      <w:pPr>
        <w:pStyle w:val="6"/>
        <w:bidi w:val="0"/>
      </w:pPr>
      <w:bookmarkStart w:id="109" w:name="_Toc28809"/>
      <w:bookmarkStart w:id="110" w:name="_Toc15377224"/>
      <w:bookmarkStart w:id="111" w:name="_Toc13294"/>
      <w:r>
        <w:rPr>
          <w:rFonts w:hint="eastAsia"/>
        </w:rPr>
        <w:t>（三）国有资产占有使用情况</w:t>
      </w:r>
      <w:bookmarkEnd w:id="109"/>
      <w:bookmarkEnd w:id="110"/>
      <w:bookmarkEnd w:id="111"/>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日，发展和改革局共有车辆1辆，其他用车1辆，</w:t>
      </w:r>
      <w:r>
        <w:rPr>
          <w:rFonts w:hint="eastAsia" w:ascii="仿宋_GB2312" w:eastAsia="仿宋_GB2312"/>
          <w:color w:val="000000" w:themeColor="text1"/>
          <w:sz w:val="32"/>
          <w:szCs w:val="32"/>
        </w:rPr>
        <w:t>其他用车主要是用于开展发展改革事务。单价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pStyle w:val="6"/>
        <w:bidi w:val="0"/>
      </w:pPr>
      <w:bookmarkStart w:id="112" w:name="_Toc2728"/>
      <w:bookmarkStart w:id="113" w:name="_Toc30354"/>
      <w:r>
        <w:rPr>
          <w:rFonts w:hint="eastAsia"/>
        </w:rPr>
        <w:t>（四）预算绩效管理情况。</w:t>
      </w:r>
      <w:bookmarkEnd w:id="112"/>
      <w:bookmarkEnd w:id="113"/>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val="en-US" w:eastAsia="zh-CN"/>
        </w:rPr>
        <w:t>2019年我局共有8个项目，其中年初对5个项目开展了事前绩效评估，8个项目在本年度共计支出2812.77万元，项目完成率达到95%以上，顺利本年度项目进度目标任务</w:t>
      </w: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lang w:val="en-US" w:eastAsia="zh-CN"/>
        </w:rPr>
        <w:t>5个项目</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rPr>
        <w:t>项目支出绩效评价，（简要说明项目绩效情况；若未开展项目支出绩效评价，则说明未开展情况。如：本部门无专项预算项目，因此未组织开展项目支出绩效评价/本部门未组织开展项目支出绩效评价）。</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本部门在2019年度部门决算中反映（项目名称）目标个数在5个以上的，选取5个项目进行公开，目标个数在5个以下的，全部进行公开，公开内容包括选取的全部项目完成情况综述和完成情况表）。</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（1）无线电管理费用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阿州财建2018-105号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eastAsia="zh-CN"/>
        </w:rPr>
        <w:t>无线电项目的顺利开展和实施</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：无。</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（2）无害化处理厂固资评估费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红财预追2019-393号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%。通过项目实施，支持了</w:t>
      </w:r>
      <w:r>
        <w:rPr>
          <w:rFonts w:hint="eastAsia" w:ascii="仿宋_GB2312" w:hAnsi="仿宋_GB2312" w:eastAsia="仿宋_GB2312" w:cs="仿宋_GB2312"/>
          <w:sz w:val="32"/>
          <w:szCs w:val="32"/>
          <w:lang w:eastAsia="zh-CN"/>
        </w:rPr>
        <w:t>我县无害化处理厂正常运行，</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无。</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以工代赈示范工程</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《红原县2018年以工代赈示范工程建设项目中央预算内投资计划》（阿州发改〔2018〕184号）。</w:t>
      </w:r>
      <w:r>
        <w:rPr>
          <w:rFonts w:hint="eastAsia" w:ascii="仿宋_GB2312" w:hAnsi="仿宋_GB2312" w:eastAsia="仿宋_GB2312" w:cs="仿宋_GB2312"/>
          <w:sz w:val="32"/>
          <w:szCs w:val="32"/>
        </w:rPr>
        <w:t>项目绩效目标完成情况综述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500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500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项目计划2018完成前期工作，2019年5月实现开工建设，10月竣工验收。项目申报内容与实际情况项目，并且符合以工代赈相关政策规定</w:t>
      </w:r>
      <w:r>
        <w:rPr>
          <w:rFonts w:hint="eastAsia" w:ascii="仿宋_GB2312" w:hAnsi="仿宋_GB2312" w:eastAsia="仿宋_GB2312" w:cs="仿宋_GB2312"/>
          <w:sz w:val="32"/>
          <w:szCs w:val="32"/>
          <w:lang w:eastAsia="zh-CN"/>
        </w:rPr>
        <w:t>。项目的实施</w:t>
      </w:r>
      <w:r>
        <w:rPr>
          <w:rFonts w:hint="eastAsia" w:ascii="仿宋_GB2312" w:hAnsi="仿宋_GB2312" w:eastAsia="仿宋_GB2312" w:cs="仿宋_GB2312"/>
          <w:sz w:val="32"/>
          <w:szCs w:val="32"/>
          <w:lang w:val="en-US" w:eastAsia="zh-CN"/>
        </w:rPr>
        <w:t>加快了传统畜牧业向现代畜牧业的转变，推进牧区现代草原畜牧业发展，改善了人民群众生存发展环境，提高农牧民的生活水平，促进牧区经济社会可持续发展。</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无。</w:t>
      </w:r>
    </w:p>
    <w:p>
      <w:pPr>
        <w:adjustRightInd w:val="0"/>
        <w:snapToGrid w:val="0"/>
        <w:spacing w:line="600" w:lineRule="exact"/>
        <w:ind w:firstLine="640" w:firstLineChars="200"/>
        <w:rPr>
          <w:rFonts w:hint="eastAsia" w:ascii="仿宋_GB2312" w:hAnsi="仿宋_GB2312" w:eastAsia="仿宋_GB2312" w:cs="仿宋_GB2312"/>
          <w:sz w:val="32"/>
          <w:szCs w:val="32"/>
          <w:lang w:eastAsia="zh-CN"/>
        </w:rPr>
      </w:pPr>
      <w:r>
        <w:rPr>
          <w:rFonts w:hint="eastAsia" w:hAnsi="仿宋_GB2312" w:cs="仿宋_GB2312"/>
          <w:sz w:val="32"/>
          <w:szCs w:val="32"/>
          <w:lang w:eastAsia="zh-CN"/>
        </w:rPr>
        <w:t>（</w:t>
      </w:r>
      <w:r>
        <w:rPr>
          <w:rFonts w:hint="eastAsia" w:hAnsi="仿宋_GB2312" w:cs="仿宋_GB2312"/>
          <w:sz w:val="32"/>
          <w:szCs w:val="32"/>
          <w:lang w:val="en-US" w:eastAsia="zh-CN"/>
        </w:rPr>
        <w:t>4</w:t>
      </w:r>
      <w:r>
        <w:rPr>
          <w:rFonts w:hint="eastAsia" w:hAnsi="仿宋_GB2312" w:cs="仿宋_GB2312"/>
          <w:sz w:val="32"/>
          <w:szCs w:val="32"/>
          <w:lang w:eastAsia="zh-CN"/>
        </w:rPr>
        <w:t>）</w:t>
      </w:r>
      <w:r>
        <w:rPr>
          <w:rFonts w:hint="eastAsia" w:ascii="仿宋_GB2312" w:hAnsi="仿宋_GB2312" w:eastAsia="仿宋_GB2312" w:cs="仿宋_GB2312"/>
          <w:sz w:val="32"/>
          <w:szCs w:val="32"/>
          <w:lang w:val="en-US" w:eastAsia="zh-CN"/>
        </w:rPr>
        <w:t>浙</w:t>
      </w:r>
      <w:r>
        <w:rPr>
          <w:rFonts w:hint="eastAsia" w:ascii="仿宋_GB2312" w:hAnsi="仿宋_GB2312" w:eastAsia="仿宋_GB2312" w:cs="仿宋_GB2312"/>
          <w:sz w:val="32"/>
          <w:szCs w:val="32"/>
          <w:lang w:eastAsia="zh-CN"/>
        </w:rPr>
        <w:t>江交流交往项目，</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zh-CN"/>
        </w:rPr>
        <w:t>不断完善交流长效机制，强化两地党政领导和相关部门的交往交流，切实增强援建工作实效。不断完善优势互补机制，依托各自产业优势，拓展市场空间，拓宽发展渠道，实现援受两地互利共赢。不断完善人才共建机制，坚持“走出去”与“请进来”相结合，强化两地干部人才交往交流交融，为两地更好更快发展提供强有力的人才保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无。</w:t>
      </w:r>
    </w:p>
    <w:p>
      <w:pPr>
        <w:spacing w:line="580" w:lineRule="exact"/>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）宽带乡村项目-电信</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红财预追2019-26号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90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90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扩大了我县宽带的覆盖率，提高了人民生活水平。</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无。</w:t>
      </w:r>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27"/>
        <w:gridCol w:w="2459"/>
        <w:gridCol w:w="2392"/>
      </w:tblGrid>
      <w:tr>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lang w:val="en-US" w:eastAsia="zh-CN"/>
              </w:rPr>
              <w:t>1</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无线电管理费用</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红原县发展和改革局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30000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30000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30000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30000</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30000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30000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8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54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48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eastAsia="zh-CN"/>
              </w:rPr>
              <w:t>实际完成任务量</w:t>
            </w:r>
            <w:r>
              <w:rPr>
                <w:rFonts w:hint="eastAsia" w:ascii="宋体" w:hAnsi="宋体" w:cs="宋体"/>
                <w:color w:val="000000"/>
                <w:sz w:val="18"/>
                <w:szCs w:val="18"/>
                <w:lang w:val="en-US" w:eastAsia="zh-CN"/>
              </w:rPr>
              <w:t>/绩效目标设定任务量*100%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eastAsia="zh-CN"/>
              </w:rPr>
              <w:t>符合绩效目标验收标准，达到行业基准水平</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r>
              <w:rPr>
                <w:rFonts w:hint="eastAsia" w:ascii="宋体" w:hAnsi="宋体" w:cs="宋体"/>
                <w:color w:val="000000"/>
                <w:sz w:val="18"/>
                <w:szCs w:val="18"/>
                <w:lang w:eastAsia="zh-CN"/>
              </w:rPr>
              <w:t>完成实际时间</w:t>
            </w:r>
            <w:r>
              <w:rPr>
                <w:rFonts w:hint="eastAsia" w:ascii="宋体" w:hAnsi="宋体" w:cs="宋体"/>
                <w:color w:val="000000"/>
                <w:sz w:val="18"/>
                <w:szCs w:val="18"/>
                <w:lang w:val="en-US" w:eastAsia="zh-CN"/>
              </w:rPr>
              <w:t>-绩效目标设定完成时间)/绩效标设定完成时间*100%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(时间完成成本-预计完成成本)/预计完成成本*100%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使用范围</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资金使用是否合规</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支付依据</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资金支付依据符合规定</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项目实施对经济带来直接或间接影响的情况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zh-CN"/>
              </w:rPr>
              <w:t>为良好的大数据分析应用基础</w:t>
            </w:r>
            <w:r>
              <w:rPr>
                <w:rFonts w:hint="eastAsia" w:ascii="宋体" w:hAnsi="宋体" w:cs="宋体"/>
                <w:color w:val="000000"/>
                <w:sz w:val="24"/>
                <w:lang w:val="en-US" w:eastAsia="zh-CN"/>
              </w:rPr>
              <w:t>,</w:t>
            </w:r>
            <w:r>
              <w:rPr>
                <w:rFonts w:hint="eastAsia" w:ascii="宋体" w:hAnsi="宋体" w:cs="宋体"/>
                <w:color w:val="000000"/>
                <w:sz w:val="24"/>
                <w:lang w:val="zh-CN"/>
              </w:rPr>
              <w:t>促进了地方经济发展。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zh-CN"/>
              </w:rPr>
              <w:t>为良好的大数据分析应用基础</w:t>
            </w:r>
            <w:r>
              <w:rPr>
                <w:rFonts w:hint="eastAsia" w:ascii="宋体" w:hAnsi="宋体" w:cs="宋体"/>
                <w:color w:val="000000"/>
                <w:sz w:val="24"/>
                <w:lang w:val="en-US" w:eastAsia="zh-CN"/>
              </w:rPr>
              <w:t>,</w:t>
            </w:r>
            <w:r>
              <w:rPr>
                <w:rFonts w:hint="eastAsia" w:ascii="宋体" w:hAnsi="宋体" w:cs="宋体"/>
                <w:color w:val="000000"/>
                <w:sz w:val="24"/>
                <w:lang w:val="zh-CN"/>
              </w:rPr>
              <w:t>促进了地方经济发展。</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项目实施对社会发展带来直接或间接影响的情况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促进经济发展，推动社会发展。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促进经济发展，推动社会发展。</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生态效益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项目实施对生态环境带来直接或间接影响的情况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采用科技手段，致力于保护生态环境。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采用科技手段，致力于保护生态环境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可持续性效益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项目后续运行及成效发挥的可持续影响情况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持续对经济、社会、保护生态方面做出贡献。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持续对经济、社会、保护生态方面做出贡献</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18"/>
                <w:szCs w:val="18"/>
                <w:lang w:eastAsia="zh-CN"/>
              </w:rPr>
              <w:t>社会公众和服务对象对项目实施效果的满意程度</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满意</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lang w:val="en-US" w:eastAsia="zh-CN"/>
              </w:rPr>
              <w:t>2</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90"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
                <w:bCs/>
                <w:color w:val="000000"/>
                <w:sz w:val="24"/>
              </w:rPr>
              <w:t>无害化处理厂固资评估费</w:t>
            </w:r>
            <w:r>
              <w:rPr>
                <w:rFonts w:hint="eastAsia" w:ascii="宋体" w:hAnsi="宋体" w:cs="宋体"/>
                <w:b/>
                <w:bCs/>
                <w:color w:val="000000"/>
                <w:sz w:val="24"/>
                <w:lang w:val="zh-CN"/>
              </w:rPr>
              <w:t>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红原县发展和改革局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56000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56000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56000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56000</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56000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56000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8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54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48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eastAsia="zh-CN"/>
              </w:rPr>
              <w:t>实际完成任务量</w:t>
            </w:r>
            <w:r>
              <w:rPr>
                <w:rFonts w:hint="eastAsia" w:ascii="宋体" w:hAnsi="宋体" w:cs="宋体"/>
                <w:color w:val="000000"/>
                <w:sz w:val="18"/>
                <w:szCs w:val="18"/>
                <w:lang w:val="en-US" w:eastAsia="zh-CN"/>
              </w:rPr>
              <w:t>/绩效目标设定任务量*100%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eastAsia="zh-CN"/>
              </w:rPr>
              <w:t>符合绩效目标验收标准，达到行业基准水平</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r>
              <w:rPr>
                <w:rFonts w:hint="eastAsia" w:ascii="宋体" w:hAnsi="宋体" w:cs="宋体"/>
                <w:color w:val="000000"/>
                <w:sz w:val="18"/>
                <w:szCs w:val="18"/>
                <w:lang w:eastAsia="zh-CN"/>
              </w:rPr>
              <w:t>完成实际时间</w:t>
            </w:r>
            <w:r>
              <w:rPr>
                <w:rFonts w:hint="eastAsia" w:ascii="宋体" w:hAnsi="宋体" w:cs="宋体"/>
                <w:color w:val="000000"/>
                <w:sz w:val="18"/>
                <w:szCs w:val="18"/>
                <w:lang w:val="en-US" w:eastAsia="zh-CN"/>
              </w:rPr>
              <w:t>-绩效目标设定完成时间)/绩效标设定完成时间*100%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(时间完成成本-预计完成成本)/预计完成成本*100%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使用范围</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资金使用是否合规</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支付依据</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资金支付依据符合规定</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项目实施对经济带来直接或间接影响的情况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促进我县无害化经济的发展。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促进我县无害化经济的发展。</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项目实施对社会发展带来直接或间接影响的情况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进一步完善基础设施建设，推动社会发展。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进一步完善基础设施建设，推动社会发展</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生态效益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项目实施对生态环境带来直接或间接影响的情况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更便捷有效的清洁各类有害物质，保护了生态环境。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更便捷有效的清洁各类有害物质，保护了生态环境。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可持续性效益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项目后续运行及成效发挥的可持续影响情况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持续对经济、社会、保护生态方面做出贡献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持续对经济、社会、保护生态方面做出贡献</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18"/>
                <w:szCs w:val="18"/>
                <w:lang w:eastAsia="zh-CN"/>
              </w:rPr>
              <w:t>社会公众和服务对象对项目实施效果的满意程度</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满意</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lang w:val="en-US" w:eastAsia="zh-CN"/>
              </w:rPr>
              <w:t>3</w:t>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以工代赈示范工程</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红原县发展和改革局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5000000元</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5000000元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5000000元</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5000000元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5000000元</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5000000元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8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54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48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eastAsia="zh-CN"/>
              </w:rPr>
              <w:t>实际完成任务量</w:t>
            </w:r>
            <w:r>
              <w:rPr>
                <w:rFonts w:hint="eastAsia" w:ascii="宋体" w:hAnsi="宋体" w:cs="宋体"/>
                <w:color w:val="000000"/>
                <w:sz w:val="18"/>
                <w:szCs w:val="18"/>
                <w:lang w:val="en-US" w:eastAsia="zh-CN"/>
              </w:rPr>
              <w:t>/绩效目标设定任务量*100%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eastAsia="zh-CN"/>
              </w:rPr>
              <w:t>符合绩效目标验收标准，达到行业基准水平</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r>
              <w:rPr>
                <w:rFonts w:hint="eastAsia" w:ascii="宋体" w:hAnsi="宋体" w:cs="宋体"/>
                <w:color w:val="000000"/>
                <w:sz w:val="18"/>
                <w:szCs w:val="18"/>
                <w:lang w:eastAsia="zh-CN"/>
              </w:rPr>
              <w:t>完成实际时间</w:t>
            </w:r>
            <w:r>
              <w:rPr>
                <w:rFonts w:hint="eastAsia" w:ascii="宋体" w:hAnsi="宋体" w:cs="宋体"/>
                <w:color w:val="000000"/>
                <w:sz w:val="18"/>
                <w:szCs w:val="18"/>
                <w:lang w:val="en-US" w:eastAsia="zh-CN"/>
              </w:rPr>
              <w:t>-绩效目标设定完成时间)/绩效标设定完成时间*100%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(时间完成成本-预计完成成本)/预计完成成本*100%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使用范围</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资金使用是否合规</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支付依据</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资金支付依据符合规定</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项目实施对经济带来直接或间接影响的情况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ind w:left="0" w:leftChars="0" w:firstLine="0" w:firstLineChars="0"/>
              <w:jc w:val="left"/>
              <w:rPr>
                <w:rFonts w:hint="eastAsia"/>
                <w:sz w:val="24"/>
                <w:szCs w:val="24"/>
                <w:lang w:val="en-US" w:eastAsia="zh-CN"/>
              </w:rPr>
            </w:pPr>
            <w:r>
              <w:rPr>
                <w:rFonts w:hint="eastAsia"/>
                <w:sz w:val="24"/>
                <w:szCs w:val="24"/>
                <w:lang w:val="en-US" w:eastAsia="zh-CN"/>
              </w:rPr>
              <w:t>加快了传统畜牧业向现代畜牧业的转变，推进牧区现代草原畜牧业发展。</w:t>
            </w:r>
          </w:p>
          <w:p>
            <w:pPr>
              <w:widowControl/>
              <w:jc w:val="left"/>
              <w:textAlignment w:val="center"/>
              <w:rPr>
                <w:rFonts w:ascii="宋体" w:hAnsi="宋体" w:cs="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ind w:left="0" w:leftChars="0" w:firstLine="0" w:firstLineChars="0"/>
              <w:jc w:val="both"/>
              <w:rPr>
                <w:rFonts w:hint="eastAsia"/>
                <w:sz w:val="24"/>
                <w:szCs w:val="24"/>
                <w:lang w:val="en-US" w:eastAsia="zh-CN"/>
              </w:rPr>
            </w:pPr>
            <w:r>
              <w:rPr>
                <w:rFonts w:hint="eastAsia"/>
                <w:sz w:val="24"/>
                <w:szCs w:val="24"/>
                <w:lang w:val="en-US" w:eastAsia="zh-CN"/>
              </w:rPr>
              <w:t>加快了传统畜牧业向现代畜牧业的转变，推进牧区现代草原畜牧业发展。</w:t>
            </w:r>
          </w:p>
          <w:p>
            <w:pPr>
              <w:widowControl/>
              <w:jc w:val="left"/>
              <w:textAlignment w:val="center"/>
              <w:rPr>
                <w:rFonts w:ascii="宋体" w:hAnsi="宋体" w:cs="宋体"/>
                <w:color w:val="000000"/>
                <w:sz w:val="24"/>
                <w:szCs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项目实施对社会发展带来直接或间接影响的情况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lang w:val="en-US" w:eastAsia="zh-CN"/>
              </w:rPr>
              <w:t>提高农牧民的生活水平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lang w:val="en-US" w:eastAsia="zh-CN"/>
              </w:rPr>
              <w:t>提高农牧民的生活水平</w:t>
            </w:r>
          </w:p>
        </w:tc>
      </w:tr>
      <w:tr>
        <w:tblPrEx>
          <w:tblCellMar>
            <w:top w:w="0" w:type="dxa"/>
            <w:left w:w="0" w:type="dxa"/>
            <w:bottom w:w="0" w:type="dxa"/>
            <w:right w:w="0" w:type="dxa"/>
          </w:tblCellMar>
        </w:tblPrEx>
        <w:trPr>
          <w:trHeight w:val="139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生态效益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项目实施对生态环境带来直接或间接影响的情况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ind w:left="0" w:leftChars="0" w:firstLine="0" w:firstLineChars="0"/>
              <w:jc w:val="left"/>
              <w:rPr>
                <w:rFonts w:hint="eastAsia" w:hAnsi="Times New Roman" w:cs="Times New Roman"/>
                <w:sz w:val="24"/>
                <w:szCs w:val="24"/>
                <w:lang w:val="en-US" w:eastAsia="zh-CN"/>
              </w:rPr>
            </w:pPr>
            <w:r>
              <w:rPr>
                <w:rFonts w:hint="eastAsia" w:hAnsi="Times New Roman" w:cs="Times New Roman"/>
                <w:sz w:val="24"/>
                <w:szCs w:val="24"/>
                <w:lang w:val="en-US" w:eastAsia="zh-CN"/>
              </w:rPr>
              <w:t>改善了人民群众生存发展环境。</w:t>
            </w:r>
          </w:p>
          <w:p>
            <w:pPr>
              <w:pStyle w:val="2"/>
              <w:ind w:left="0" w:leftChars="0" w:firstLine="0" w:firstLineChars="0"/>
              <w:jc w:val="left"/>
              <w:rPr>
                <w:rFonts w:hint="eastAsia" w:hAnsi="Times New Roman" w:cs="Times New Roman"/>
                <w:sz w:val="24"/>
                <w:szCs w:val="24"/>
                <w:lang w:val="en-US" w:eastAsia="zh-CN"/>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ind w:left="0" w:leftChars="0" w:firstLine="0" w:firstLineChars="0"/>
              <w:jc w:val="left"/>
              <w:rPr>
                <w:rFonts w:hint="eastAsia" w:hAnsi="Times New Roman" w:cs="Times New Roman"/>
                <w:sz w:val="24"/>
                <w:szCs w:val="24"/>
                <w:lang w:val="en-US" w:eastAsia="zh-CN"/>
              </w:rPr>
            </w:pPr>
            <w:r>
              <w:rPr>
                <w:rFonts w:hint="eastAsia" w:hAnsi="Times New Roman" w:cs="Times New Roman"/>
                <w:sz w:val="24"/>
                <w:szCs w:val="24"/>
                <w:lang w:val="en-US" w:eastAsia="zh-CN"/>
              </w:rPr>
              <w:t>改善了人民群众生存发展环境。</w:t>
            </w:r>
          </w:p>
          <w:p>
            <w:pPr>
              <w:pStyle w:val="2"/>
              <w:ind w:left="0" w:leftChars="0" w:firstLine="0" w:firstLineChars="0"/>
              <w:jc w:val="left"/>
              <w:rPr>
                <w:rFonts w:hint="eastAsia" w:hAnsi="Times New Roman" w:cs="Times New Roman"/>
                <w:sz w:val="24"/>
                <w:szCs w:val="24"/>
                <w:lang w:val="en-US" w:eastAsia="zh-CN"/>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可持续性效益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项目后续运行及成效发挥的可持续影响情况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lang w:val="en-US" w:eastAsia="zh-CN"/>
              </w:rPr>
              <w:t>促进牧区经济社会可持续发展。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lang w:val="en-US" w:eastAsia="zh-CN"/>
              </w:rPr>
              <w:t>促进牧区经济社会可持续发展。</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18"/>
                <w:szCs w:val="18"/>
                <w:lang w:eastAsia="zh-CN"/>
              </w:rPr>
              <w:t>社会公众和服务对象对项目实施效果的满意程度</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满意</w:t>
            </w:r>
          </w:p>
        </w:tc>
      </w:tr>
      <w:tr>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lang w:val="en-US" w:eastAsia="zh-CN"/>
              </w:rPr>
              <w:t>4</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zh-CN"/>
              </w:rPr>
            </w:pPr>
            <w:r>
              <w:rPr>
                <w:rFonts w:hint="eastAsia" w:ascii="宋体" w:hAnsi="宋体" w:cs="宋体"/>
                <w:color w:val="000000"/>
                <w:sz w:val="24"/>
                <w:lang w:eastAsia="zh-CN"/>
              </w:rPr>
              <w:t>浙江援建</w:t>
            </w:r>
            <w:r>
              <w:rPr>
                <w:rFonts w:hint="eastAsia" w:ascii="宋体" w:hAnsi="宋体" w:cs="宋体"/>
                <w:color w:val="000000"/>
                <w:sz w:val="24"/>
                <w:lang w:val="en-US" w:eastAsia="zh-CN"/>
              </w:rPr>
              <w:t>(交流交往）</w:t>
            </w:r>
            <w:r>
              <w:rPr>
                <w:rFonts w:hint="eastAsia" w:ascii="宋体" w:hAnsi="宋体" w:cs="宋体"/>
                <w:color w:val="000000"/>
                <w:sz w:val="24"/>
                <w:lang w:val="zh-CN"/>
              </w:rPr>
              <w:t>项目</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红原县发展和改革局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400000元</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400000元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400000元</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400000元</w:t>
            </w:r>
          </w:p>
        </w:tc>
      </w:tr>
      <w:tr>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400000元</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400000元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8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54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48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eastAsia="zh-CN"/>
              </w:rPr>
              <w:t>实际完成任务量</w:t>
            </w:r>
            <w:r>
              <w:rPr>
                <w:rFonts w:hint="eastAsia" w:ascii="宋体" w:hAnsi="宋体" w:cs="宋体"/>
                <w:color w:val="000000"/>
                <w:sz w:val="18"/>
                <w:szCs w:val="18"/>
                <w:lang w:val="en-US" w:eastAsia="zh-CN"/>
              </w:rPr>
              <w:t>/绩效目标设定任务量*100%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eastAsia="zh-CN"/>
              </w:rPr>
              <w:t>符合绩效目标验收标准，达到行业基准水平</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r>
              <w:rPr>
                <w:rFonts w:hint="eastAsia" w:ascii="宋体" w:hAnsi="宋体" w:cs="宋体"/>
                <w:color w:val="000000"/>
                <w:sz w:val="18"/>
                <w:szCs w:val="18"/>
                <w:lang w:eastAsia="zh-CN"/>
              </w:rPr>
              <w:t>完成实际时间</w:t>
            </w:r>
            <w:r>
              <w:rPr>
                <w:rFonts w:hint="eastAsia" w:ascii="宋体" w:hAnsi="宋体" w:cs="宋体"/>
                <w:color w:val="000000"/>
                <w:sz w:val="18"/>
                <w:szCs w:val="18"/>
                <w:lang w:val="en-US" w:eastAsia="zh-CN"/>
              </w:rPr>
              <w:t>-绩效目标设定完成时间)/绩效标设定完成时间*100%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(时间完成成本-预计完成成本)/预计完成成本*100%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使用范围</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资金使用是否合规</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支付依据</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资金支付依据符合规定</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项目实施对经济带来直接或间接影响的情况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18"/>
                <w:szCs w:val="18"/>
                <w:lang w:val="zh-CN" w:eastAsia="zh-CN"/>
              </w:rPr>
              <w:t>与浙江交流交往，借鉴好的经验做法。项目合作，可带动我县经济发展。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与浙江交流交往，借鉴好的经验做法。项目合作，可带动我县经济发展。</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项目实施对社会发展带来直接或间接影响的情况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18"/>
                <w:szCs w:val="18"/>
                <w:lang w:val="zh-CN" w:eastAsia="zh-CN"/>
              </w:rPr>
              <w:t>依托各自产业优势，拓展市场空间，拓宽发展渠道，实现援受两地互利共赢。</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18"/>
                <w:szCs w:val="18"/>
                <w:lang w:val="zh-CN" w:eastAsia="zh-CN"/>
              </w:rPr>
              <w:t>依托各自产业优势，拓展市场空间，拓宽发展渠道，实现援受两地互利共赢。</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生态效益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项目实施对生态环境带来直接或间接影响的情况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无</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可持续性效益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项目后续运行及成效发挥的可持续影响情况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不断完善人才共建机制，坚持“走出去”与“请进来”相结合，强化两地干部人才交往交流交融，为两地更好更快发展提供强有力的人才保障。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不断完善人才共建机制，坚持“走出去”与“请进来”相结合，强化两地干部人才交往交流交融，为两地更好更快发展提供强有力的人才保障。</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18"/>
                <w:szCs w:val="18"/>
                <w:lang w:eastAsia="zh-CN"/>
              </w:rPr>
              <w:t>社会公众和服务对象对项目实施效果的满意程度</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满意</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lang w:val="en-US" w:eastAsia="zh-CN"/>
              </w:rPr>
              <w:t>5</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zh-CN"/>
              </w:rPr>
              <w:t>宽带乡村项目-电信项目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红原县发展和改革局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900000元</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900000元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900000元</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900000元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900000元</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900000元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8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59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48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eastAsia="zh-CN"/>
              </w:rPr>
              <w:t>实际完成任务量</w:t>
            </w:r>
            <w:r>
              <w:rPr>
                <w:rFonts w:hint="eastAsia" w:ascii="宋体" w:hAnsi="宋体" w:cs="宋体"/>
                <w:color w:val="000000"/>
                <w:sz w:val="18"/>
                <w:szCs w:val="18"/>
                <w:lang w:val="en-US" w:eastAsia="zh-CN"/>
              </w:rPr>
              <w:t>/绩效目标设定任务量*100%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eastAsia="zh-CN"/>
              </w:rPr>
              <w:t>符合绩效目标验收标准，达到行业基准水平</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w:t>
            </w:r>
            <w:r>
              <w:rPr>
                <w:rFonts w:hint="eastAsia" w:ascii="宋体" w:hAnsi="宋体" w:cs="宋体"/>
                <w:color w:val="000000"/>
                <w:sz w:val="18"/>
                <w:szCs w:val="18"/>
                <w:lang w:eastAsia="zh-CN"/>
              </w:rPr>
              <w:t>完成实际时间</w:t>
            </w:r>
            <w:r>
              <w:rPr>
                <w:rFonts w:hint="eastAsia" w:ascii="宋体" w:hAnsi="宋体" w:cs="宋体"/>
                <w:color w:val="000000"/>
                <w:sz w:val="18"/>
                <w:szCs w:val="18"/>
                <w:lang w:val="en-US" w:eastAsia="zh-CN"/>
              </w:rPr>
              <w:t>-绩效目标设定完成时间)/绩效标设定完成时间*100%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(时间完成成本-预计完成成本)/预计完成成本*100%</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使用范围</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资金使用是否合规</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支付依据</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资金支付依据符合规定</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项目实施对经济带来直接或间接影响的情况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18"/>
                <w:szCs w:val="18"/>
                <w:lang w:val="zh-CN" w:eastAsia="zh-CN"/>
              </w:rPr>
              <w:t>加快宽带公共信息基础设施在我市农村的应用与普及，提高全市信息化建设水平，改善农村面貌，带动农村经济转型发展。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18"/>
                <w:szCs w:val="18"/>
                <w:lang w:val="zh-CN" w:eastAsia="zh-CN"/>
              </w:rPr>
              <w:t>加快宽带公共信息基础设施在我市农村的应用与普及，提高全市信息化建设水平，改善农村面貌，带动农村经济转型发展。</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项目实施对社会发展带来直接或间接影响的情况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lang w:val="zh-CN"/>
              </w:rPr>
              <w:t>进一步提升基层组织公共服务和社会管理水平。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lang w:val="zh-CN"/>
              </w:rPr>
              <w:t>进一步提升基层组织公共服务和社会管理水平。</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生态效益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项目实施对生态环境带来直接或间接影响的情况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lang w:val="zh-CN"/>
              </w:rPr>
              <w:t>用最现代信息通信技术对生态环境造成最小伤害。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lang w:val="zh-CN"/>
              </w:rPr>
              <w:t>用最现代信息通信技术对生态环境造成最小伤害。</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可持续性效益</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18"/>
                <w:szCs w:val="18"/>
                <w:lang w:val="zh-CN" w:eastAsia="zh-CN"/>
              </w:rPr>
              <w:t>项目后续运行及成效发挥的可持续影响情况</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lang w:val="zh-CN"/>
              </w:rPr>
              <w:t>促进农村地区尽快改变贫穷落后面貌，推动社会均衡和谐发展。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lang w:val="zh-CN"/>
              </w:rPr>
              <w:t>促进农村地区尽快改变贫穷落后面貌，推动社会均衡和谐发展。</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3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18"/>
                <w:szCs w:val="18"/>
                <w:lang w:eastAsia="zh-CN"/>
              </w:rPr>
              <w:t>社会公众和服务对象对项目实施效果的满意程度</w:t>
            </w:r>
          </w:p>
        </w:tc>
        <w:tc>
          <w:tcPr>
            <w:tcW w:w="2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本部门按要求对2019年部门整体支出绩效评价情况开展自评，《发展和改革局2019年部门整体支出绩效评价报告》见附件（附件1）。</w:t>
      </w:r>
    </w:p>
    <w:p>
      <w:pPr>
        <w:pStyle w:val="4"/>
        <w:numPr>
          <w:ilvl w:val="0"/>
          <w:numId w:val="7"/>
        </w:numPr>
        <w:bidi w:val="0"/>
      </w:pPr>
      <w:bookmarkStart w:id="114" w:name="_Toc15377225"/>
      <w:bookmarkStart w:id="115" w:name="_Toc10102"/>
      <w:bookmarkStart w:id="116" w:name="_Toc15396613"/>
      <w:bookmarkStart w:id="117" w:name="_Toc30025"/>
      <w:r>
        <w:rPr>
          <w:rFonts w:hint="eastAsia"/>
        </w:rPr>
        <w:t>名词解释</w:t>
      </w:r>
      <w:bookmarkEnd w:id="114"/>
      <w:bookmarkEnd w:id="115"/>
      <w:bookmarkEnd w:id="116"/>
      <w:bookmarkEnd w:id="117"/>
    </w:p>
    <w:p>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一般公共服务（类）发展与改革事务（款） 行政运行（项）：指发展改革事务方面的基本支出。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.社会保障和就业（类）行政事业单位离退休（款） 机关事业单位职业年金缴费支出（项）：指机关事业单位实施养老保险制度由单位缴纳的职业年金支出。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.卫生健康（类）行政事业单位医疗（款） 行政单位医疗（项）:反映财政部门安排的行政单位基本医疗保险缴费经费。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.卫生健康（类）行政事业单位医疗（款）事业单位医疗（项）:反映财政部门安排的事业单位基本医疗保险缴费经费。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.卫生健康（类）行政事业单位医疗（款）公务员医疗补助（项）:反映财政部门安排的公务员医疗保险缴费经费。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.卫生健康（类）行政事业单位医疗（款）其他行政事业单位医疗支出（项）:反映除上述项目以外的其他用于行政事业单位的支出。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节能环保支出（类）自然生态保护（款）生态保护（项）:指反映用于生态保护区、生态示范区试点示范等支出，生态修复支出，资源开发生态监管等支出。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农林水支出（类）扶贫（类） 农村基础设施建设（项）：指反映用于农村贫困地区乡村道路、住房、基本农田、水利设施、人畜饮水、生态环境保护等生产生活等条件改善方面的支出。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农林水支出（类）其他农林水支出（款） 其他农林水支出（项）：指其他用于扶贫方面的支出。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商业服务业等支出（类）其他商业服务业等支出（款）  其他商业服务业等支出（项）：指用于其他商业方面的支出。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.住房保障支出（类）住房改革支出（款）住房公积金（项）：指反映行政单位按人力资源和社会保障部、财政部规定的基本工资和津贴补贴以及规定比例为职工缴纳的住房公积金。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.其他支出（类）其他支出（款）其他支出（项）：指其他不能划分到具体功能科目中的项目支出。</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9年政府收支分类科目》增减内容。）</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60" w:lineRule="exact"/>
        <w:ind w:firstLine="640" w:firstLineChars="200"/>
        <w:rPr>
          <w:rFonts w:ascii="仿宋_GB2312" w:eastAsia="仿宋_GB2312" w:cs="黑体"/>
          <w:sz w:val="32"/>
          <w:szCs w:val="32"/>
        </w:rPr>
      </w:pPr>
    </w:p>
    <w:p>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spacing w:line="600" w:lineRule="exact"/>
        <w:jc w:val="center"/>
        <w:outlineLvl w:val="0"/>
        <w:rPr>
          <w:rStyle w:val="28"/>
        </w:rPr>
      </w:pPr>
      <w:bookmarkStart w:id="118" w:name="_Toc15377226"/>
      <w:r>
        <w:rPr>
          <w:rFonts w:ascii="宋体"/>
          <w:b/>
          <w:color w:val="000000"/>
          <w:sz w:val="44"/>
          <w:szCs w:val="44"/>
        </w:rPr>
        <w:br w:type="page"/>
      </w:r>
      <w:bookmarkStart w:id="119" w:name="_Toc15396614"/>
      <w:bookmarkStart w:id="120" w:name="_Toc25405"/>
      <w:bookmarkStart w:id="121" w:name="_Toc27879"/>
      <w:r>
        <w:rPr>
          <w:rStyle w:val="28"/>
          <w:rFonts w:hint="eastAsia"/>
        </w:rPr>
        <w:t>第四部分 附件</w:t>
      </w:r>
      <w:bookmarkEnd w:id="119"/>
      <w:bookmarkEnd w:id="120"/>
      <w:bookmarkEnd w:id="121"/>
    </w:p>
    <w:p>
      <w:pPr>
        <w:pStyle w:val="5"/>
        <w:bidi w:val="0"/>
      </w:pPr>
      <w:bookmarkStart w:id="122" w:name="_Toc5055"/>
      <w:bookmarkStart w:id="123" w:name="_Toc15935"/>
      <w:r>
        <w:rPr>
          <w:rFonts w:hint="eastAsia"/>
        </w:rPr>
        <w:t>附件1</w:t>
      </w:r>
      <w:bookmarkEnd w:id="122"/>
      <w:bookmarkEnd w:id="123"/>
    </w:p>
    <w:p>
      <w:pPr>
        <w:pStyle w:val="5"/>
        <w:bidi w:val="0"/>
      </w:pPr>
    </w:p>
    <w:p>
      <w:pPr>
        <w:pStyle w:val="5"/>
        <w:bidi w:val="0"/>
        <w:rPr>
          <w:lang w:val="zh-CN"/>
        </w:rPr>
      </w:pPr>
      <w:bookmarkStart w:id="124" w:name="_Toc21794"/>
      <w:bookmarkStart w:id="125" w:name="_Toc6545"/>
      <w:r>
        <w:rPr>
          <w:rFonts w:hint="eastAsia"/>
          <w:lang w:val="zh-CN"/>
        </w:rPr>
        <w:t>发展和改革局</w:t>
      </w:r>
      <w:bookmarkEnd w:id="124"/>
      <w:bookmarkStart w:id="126" w:name="_Toc24562"/>
      <w:r>
        <w:t>2019年部门</w:t>
      </w:r>
      <w:r>
        <w:rPr>
          <w:rFonts w:hint="eastAsia"/>
          <w:lang w:val="zh-CN"/>
        </w:rPr>
        <w:t>整体支出绩效评价报告</w:t>
      </w:r>
      <w:bookmarkEnd w:id="125"/>
      <w:bookmarkEnd w:id="126"/>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spacing w:line="560" w:lineRule="exact"/>
        <w:ind w:firstLine="960" w:firstLineChars="300"/>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bCs/>
          <w:sz w:val="32"/>
          <w:szCs w:val="32"/>
        </w:rPr>
        <w:t>我单位为独立核算全额拨款行政单位。</w:t>
      </w:r>
    </w:p>
    <w:p>
      <w:pPr>
        <w:widowControl/>
        <w:numPr>
          <w:ilvl w:val="0"/>
          <w:numId w:val="8"/>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numPr>
          <w:ilvl w:val="0"/>
          <w:numId w:val="0"/>
        </w:numPr>
        <w:spacing w:line="560" w:lineRule="exact"/>
        <w:ind w:firstLine="643" w:firstLineChars="200"/>
        <w:rPr>
          <w:rFonts w:hint="eastAsia" w:ascii="仿宋_GB2312" w:eastAsia="仿宋_GB2312"/>
          <w:color w:val="222222"/>
          <w:sz w:val="32"/>
          <w:szCs w:val="32"/>
          <w:shd w:val="clear" w:color="auto" w:fill="FFFFFF"/>
        </w:rPr>
      </w:pPr>
      <w:r>
        <w:rPr>
          <w:rFonts w:hint="eastAsia" w:ascii="楷体_GB2312" w:hAnsi="楷体_GB2312" w:eastAsia="楷体_GB2312"/>
          <w:b/>
          <w:sz w:val="32"/>
          <w:szCs w:val="32"/>
          <w:shd w:val="clear" w:color="auto" w:fill="FFFFFF"/>
          <w:lang w:eastAsia="zh-CN"/>
        </w:rPr>
        <w:t>（一）</w:t>
      </w:r>
      <w:r>
        <w:rPr>
          <w:rFonts w:hint="eastAsia" w:ascii="楷体_GB2312" w:hAnsi="楷体_GB2312" w:eastAsia="楷体_GB2312"/>
          <w:b/>
          <w:sz w:val="32"/>
          <w:szCs w:val="32"/>
          <w:shd w:val="clear" w:color="auto" w:fill="FFFFFF"/>
        </w:rPr>
        <w:t>办公室</w:t>
      </w:r>
      <w:r>
        <w:rPr>
          <w:rFonts w:hint="eastAsia" w:ascii="楷体_GB2312" w:hAnsi="楷体_GB2312" w:eastAsia="楷体_GB2312"/>
          <w:b/>
          <w:sz w:val="32"/>
          <w:szCs w:val="32"/>
          <w:shd w:val="clear" w:color="auto" w:fill="FFFFFF"/>
          <w:lang w:eastAsia="zh-CN"/>
        </w:rPr>
        <w:t>。</w:t>
      </w:r>
      <w:r>
        <w:rPr>
          <w:rFonts w:hint="eastAsia" w:ascii="仿宋_GB2312" w:eastAsia="仿宋_GB2312"/>
          <w:color w:val="222222"/>
          <w:sz w:val="32"/>
          <w:szCs w:val="32"/>
          <w:shd w:val="clear" w:color="auto" w:fill="FFFFFF"/>
        </w:rPr>
        <w:t>组织协调机关政务和绩效管理工作；负责文电、会务、机要、文书档案等机关日常运转工作；承担信息、安全保密、综合治理、信访维稳、政务公开、效能建设、机关财务和资产管理、安全保卫等工作；组织办理人大代表建议、政委员提案；负责机关电子政务的组织实施，管理本局网站平台；负责会议组织及会议决定事项的督办。</w:t>
      </w:r>
    </w:p>
    <w:p>
      <w:pPr>
        <w:snapToGrid w:val="0"/>
        <w:spacing w:line="560" w:lineRule="exact"/>
        <w:ind w:left="0" w:firstLine="630" w:firstLineChars="196"/>
        <w:rPr>
          <w:rFonts w:ascii="楷体_GB2312" w:eastAsia="楷体_GB2312"/>
          <w:sz w:val="32"/>
          <w:szCs w:val="32"/>
          <w:shd w:val="clear" w:color="auto" w:fill="FFFFFF"/>
        </w:rPr>
      </w:pPr>
      <w:r>
        <w:rPr>
          <w:rFonts w:hint="eastAsia" w:ascii="楷体_GB2312" w:hAnsi="楷体_GB2312" w:eastAsia="楷体_GB2312"/>
          <w:b/>
          <w:sz w:val="32"/>
          <w:szCs w:val="32"/>
          <w:shd w:val="clear" w:color="auto" w:fill="FFFFFF"/>
        </w:rPr>
        <w:t>（二）</w:t>
      </w:r>
      <w:r>
        <w:rPr>
          <w:rFonts w:hint="eastAsia" w:ascii="楷体_GB2312" w:eastAsia="楷体_GB2312"/>
          <w:b/>
          <w:sz w:val="32"/>
          <w:szCs w:val="32"/>
          <w:shd w:val="clear" w:color="auto" w:fill="FFFFFF"/>
        </w:rPr>
        <w:t>综合股</w:t>
      </w:r>
      <w:r>
        <w:rPr>
          <w:rFonts w:hint="eastAsia" w:ascii="楷体_GB2312" w:eastAsia="楷体_GB2312"/>
          <w:b/>
          <w:sz w:val="32"/>
          <w:szCs w:val="32"/>
          <w:shd w:val="clear" w:color="auto" w:fill="FFFFFF"/>
          <w:lang w:eastAsia="zh-CN"/>
        </w:rPr>
        <w:t>。</w:t>
      </w:r>
      <w:r>
        <w:rPr>
          <w:rFonts w:hint="eastAsia" w:ascii="仿宋_GB2312" w:eastAsia="仿宋_GB2312"/>
          <w:sz w:val="32"/>
          <w:szCs w:val="32"/>
          <w:shd w:val="clear" w:color="auto" w:fill="FFFFFF"/>
        </w:rPr>
        <w:t>研究提出经济社会发展战略、综合分析研究宏观经济形势，进行经济和社会发展的预测预警；组织编制经济社会发展年度计划，研究提出经济和社会发展年度主要目标。</w:t>
      </w:r>
    </w:p>
    <w:p>
      <w:pPr>
        <w:snapToGrid w:val="0"/>
        <w:spacing w:line="560" w:lineRule="exact"/>
        <w:ind w:left="0" w:firstLine="640" w:firstLineChars="200"/>
        <w:rPr>
          <w:rFonts w:hint="eastAsia" w:ascii="仿宋_GB2312" w:hAnsi="仿宋_GB2312" w:eastAsia="仿宋_GB2312" w:cs="仿宋_GB2312"/>
          <w:sz w:val="32"/>
          <w:szCs w:val="32"/>
        </w:rPr>
      </w:pPr>
      <w:r>
        <w:rPr>
          <w:rFonts w:hint="eastAsia" w:ascii="仿宋_GB2312" w:eastAsia="仿宋_GB2312"/>
          <w:sz w:val="32"/>
          <w:szCs w:val="32"/>
          <w:shd w:val="clear" w:color="auto" w:fill="FFFFFF"/>
        </w:rPr>
        <w:t>研究提出经济社会发展战略、规划和生产力布局的建议；提出经济社会中长期发展、总量平衡、结构调整目标和政策；提出推进城镇化发展战略和重大政策措施；统筹协调经济社会发展重大专项规划和区域规划；综合分析研究宏观经济形势，进行经济和社会发展的预测预警；组织编制经济社会发展年度计划，研究提出经济和社会发展年度主要目标；提出宏观调控目标以及运用各种经济手段和政策的建议。</w:t>
      </w:r>
      <w:r>
        <w:rPr>
          <w:rFonts w:hint="eastAsia" w:ascii="仿宋_GB2312" w:hAnsi="仿宋_GB2312" w:eastAsia="仿宋_GB2312" w:cs="仿宋_GB2312"/>
          <w:sz w:val="32"/>
          <w:szCs w:val="32"/>
        </w:rPr>
        <w:t>研究提出经济体制改革重大问题，指导推进和综合协调经济体制改革；指导经济体制改革试点和改革试验区工作；协调解决经济体制改革进程中的重大问题。</w:t>
      </w:r>
      <w:r>
        <w:rPr>
          <w:rFonts w:hint="eastAsia" w:ascii="仿宋_GB2312" w:eastAsia="仿宋_GB2312"/>
          <w:sz w:val="32"/>
          <w:szCs w:val="32"/>
          <w:shd w:val="clear" w:color="auto" w:fill="FFFFFF"/>
        </w:rPr>
        <w:t>起草有关国民经济和社会发展、经济体制改革的重大政策和地方性法规、规章草案；组织研究经济社会发展、改革开放的重大问题</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rPr>
        <w:t xml:space="preserve"> </w:t>
      </w:r>
    </w:p>
    <w:p>
      <w:pPr>
        <w:spacing w:line="560" w:lineRule="exact"/>
        <w:ind w:left="0" w:firstLine="639"/>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负责半年和年度国民经济和社会发展计划执行情况报告的起草工作；分析国内经济形势，研究全县国民经济和社会发展重大方针政策；组织、参与、协调有关经济法规、政策的起草、论证工作；组织重大经济问题的调研和协调。</w:t>
      </w:r>
    </w:p>
    <w:p>
      <w:pPr>
        <w:snapToGrid w:val="0"/>
        <w:spacing w:line="560" w:lineRule="exact"/>
        <w:ind w:left="0" w:firstLine="630" w:firstLineChars="196"/>
        <w:rPr>
          <w:rFonts w:hint="eastAsia" w:ascii="仿宋_GB2312" w:eastAsia="仿宋_GB2312"/>
          <w:color w:val="auto"/>
          <w:sz w:val="32"/>
          <w:szCs w:val="32"/>
          <w:shd w:val="clear" w:color="auto" w:fill="FFFFFF"/>
        </w:rPr>
      </w:pPr>
      <w:r>
        <w:rPr>
          <w:rFonts w:hint="eastAsia" w:ascii="楷体_GB2312" w:eastAsia="楷体_GB2312"/>
          <w:b/>
          <w:color w:val="auto"/>
          <w:sz w:val="32"/>
          <w:szCs w:val="32"/>
          <w:shd w:val="clear" w:color="auto" w:fill="FFFFFF"/>
        </w:rPr>
        <w:t>（三）</w:t>
      </w:r>
      <w:r>
        <w:rPr>
          <w:rFonts w:hint="eastAsia" w:ascii="楷体_GB2312" w:eastAsia="楷体_GB2312"/>
          <w:b/>
          <w:color w:val="auto"/>
          <w:sz w:val="32"/>
          <w:szCs w:val="32"/>
          <w:shd w:val="clear" w:color="auto" w:fill="FFFFFF"/>
          <w:lang w:eastAsia="zh-CN"/>
        </w:rPr>
        <w:t>项目</w:t>
      </w:r>
      <w:r>
        <w:rPr>
          <w:rFonts w:hint="eastAsia" w:ascii="楷体_GB2312" w:eastAsia="楷体_GB2312"/>
          <w:b/>
          <w:color w:val="auto"/>
          <w:sz w:val="32"/>
          <w:szCs w:val="32"/>
          <w:shd w:val="clear" w:color="auto" w:fill="FFFFFF"/>
        </w:rPr>
        <w:t>投资股</w:t>
      </w:r>
      <w:r>
        <w:rPr>
          <w:rFonts w:hint="eastAsia" w:ascii="楷体_GB2312" w:eastAsia="楷体_GB2312"/>
          <w:b/>
          <w:color w:val="auto"/>
          <w:sz w:val="32"/>
          <w:szCs w:val="32"/>
          <w:shd w:val="clear" w:color="auto" w:fill="FFFFFF"/>
          <w:lang w:eastAsia="zh-CN"/>
        </w:rPr>
        <w:t>。</w:t>
      </w:r>
      <w:r>
        <w:rPr>
          <w:rFonts w:hint="eastAsia" w:ascii="仿宋_GB2312" w:eastAsia="仿宋_GB2312"/>
          <w:color w:val="auto"/>
          <w:sz w:val="32"/>
          <w:szCs w:val="32"/>
          <w:shd w:val="clear" w:color="auto" w:fill="FFFFFF"/>
        </w:rPr>
        <w:t>编制藏区经济和社会发展的中长期规划和年度计划</w:t>
      </w:r>
      <w:r>
        <w:rPr>
          <w:rFonts w:hint="eastAsia" w:ascii="仿宋_GB2312" w:eastAsia="仿宋_GB2312"/>
          <w:color w:val="auto"/>
          <w:sz w:val="32"/>
          <w:szCs w:val="32"/>
          <w:shd w:val="clear" w:color="auto" w:fill="FFFFFF"/>
          <w:lang w:val="en-US" w:eastAsia="zh-CN"/>
        </w:rPr>
        <w:t>,</w:t>
      </w:r>
      <w:r>
        <w:rPr>
          <w:rFonts w:hint="eastAsia" w:ascii="仿宋_GB2312" w:eastAsia="仿宋_GB2312"/>
          <w:color w:val="auto"/>
          <w:sz w:val="32"/>
          <w:szCs w:val="32"/>
          <w:shd w:val="clear" w:color="auto" w:fill="FFFFFF"/>
        </w:rPr>
        <w:t>申报</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转达</w:t>
      </w:r>
      <w:r>
        <w:rPr>
          <w:rFonts w:hint="eastAsia" w:ascii="仿宋_GB2312" w:eastAsia="仿宋_GB2312"/>
          <w:color w:val="auto"/>
          <w:sz w:val="32"/>
          <w:szCs w:val="32"/>
          <w:shd w:val="clear" w:color="auto" w:fill="FFFFFF"/>
        </w:rPr>
        <w:t>藏区国家政策性投资项目</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督察藏区项目落地实施，保障藏区规划建设效益</w:t>
      </w:r>
      <w:r>
        <w:rPr>
          <w:rFonts w:hint="eastAsia" w:ascii="仿宋_GB2312" w:eastAsia="仿宋_GB2312"/>
          <w:color w:val="auto"/>
          <w:sz w:val="32"/>
          <w:szCs w:val="32"/>
          <w:shd w:val="clear" w:color="auto" w:fill="FFFFFF"/>
        </w:rPr>
        <w:t>。</w:t>
      </w:r>
    </w:p>
    <w:p>
      <w:pPr>
        <w:spacing w:line="560" w:lineRule="exact"/>
        <w:ind w:left="0" w:firstLine="639"/>
        <w:rPr>
          <w:rFonts w:hint="default" w:ascii="仿宋_GB2312" w:eastAsia="仿宋_GB2312"/>
          <w:color w:val="auto"/>
          <w:sz w:val="32"/>
          <w:szCs w:val="32"/>
          <w:shd w:val="clear" w:color="auto" w:fill="FFFFFF"/>
          <w:lang w:val="en-US" w:eastAsia="zh-CN"/>
        </w:rPr>
      </w:pPr>
      <w:r>
        <w:rPr>
          <w:rFonts w:hint="eastAsia" w:ascii="仿宋_GB2312" w:eastAsia="仿宋_GB2312"/>
          <w:color w:val="auto"/>
          <w:sz w:val="32"/>
          <w:szCs w:val="32"/>
          <w:shd w:val="clear" w:color="auto" w:fill="FFFFFF"/>
        </w:rPr>
        <w:t>监测分析全社会固定资产投资状况，研究提出固定资产投资的总规模和结构，提出全社会固定资产投资调控政策、中长期规划和年度计划；制订加强政府投资项目管理的政策措施</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转报使用国家、省财政性资金项目投资计划</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协同配合统计局开展固定资产投资入库入统工作。</w:t>
      </w:r>
    </w:p>
    <w:p>
      <w:pPr>
        <w:spacing w:line="560" w:lineRule="exact"/>
        <w:ind w:left="0" w:firstLine="639"/>
        <w:rPr>
          <w:rFonts w:hint="eastAsia"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rPr>
        <w:t>协调文化、教育、卫生、体育、民政、</w:t>
      </w:r>
      <w:r>
        <w:rPr>
          <w:rFonts w:hint="eastAsia" w:ascii="仿宋_GB2312" w:eastAsia="仿宋_GB2312"/>
          <w:color w:val="auto"/>
          <w:sz w:val="32"/>
          <w:szCs w:val="32"/>
          <w:shd w:val="clear" w:color="auto" w:fill="FFFFFF"/>
          <w:lang w:val="en-US" w:eastAsia="zh-CN"/>
        </w:rPr>
        <w:t>民宗</w:t>
      </w:r>
      <w:r>
        <w:rPr>
          <w:rFonts w:hint="eastAsia" w:ascii="仿宋_GB2312" w:eastAsia="仿宋_GB2312"/>
          <w:color w:val="auto"/>
          <w:sz w:val="32"/>
          <w:szCs w:val="32"/>
          <w:shd w:val="clear" w:color="auto" w:fill="FFFFFF"/>
        </w:rPr>
        <w:t>、旅游等</w:t>
      </w:r>
      <w:r>
        <w:rPr>
          <w:rFonts w:hint="eastAsia" w:ascii="仿宋_GB2312" w:eastAsia="仿宋_GB2312"/>
          <w:color w:val="auto"/>
          <w:sz w:val="32"/>
          <w:szCs w:val="32"/>
          <w:shd w:val="clear" w:color="auto" w:fill="FFFFFF"/>
          <w:lang w:val="en-US" w:eastAsia="zh-CN"/>
        </w:rPr>
        <w:t>社会事业</w:t>
      </w:r>
      <w:r>
        <w:rPr>
          <w:rFonts w:hint="eastAsia" w:ascii="仿宋_GB2312" w:eastAsia="仿宋_GB2312"/>
          <w:color w:val="auto"/>
          <w:sz w:val="32"/>
          <w:szCs w:val="32"/>
          <w:shd w:val="clear" w:color="auto" w:fill="FFFFFF"/>
        </w:rPr>
        <w:t>发展规划</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申报、转达</w:t>
      </w:r>
      <w:r>
        <w:rPr>
          <w:rFonts w:hint="eastAsia" w:ascii="仿宋_GB2312" w:eastAsia="仿宋_GB2312"/>
          <w:color w:val="auto"/>
          <w:sz w:val="32"/>
          <w:szCs w:val="32"/>
          <w:shd w:val="clear" w:color="auto" w:fill="FFFFFF"/>
        </w:rPr>
        <w:t>国家和</w:t>
      </w:r>
      <w:r>
        <w:rPr>
          <w:rFonts w:hint="eastAsia" w:ascii="仿宋_GB2312" w:eastAsia="仿宋_GB2312"/>
          <w:color w:val="auto"/>
          <w:sz w:val="32"/>
          <w:szCs w:val="32"/>
          <w:shd w:val="clear" w:color="auto" w:fill="FFFFFF"/>
          <w:lang w:eastAsia="zh-CN"/>
        </w:rPr>
        <w:t>县</w:t>
      </w:r>
      <w:r>
        <w:rPr>
          <w:rFonts w:hint="eastAsia" w:ascii="仿宋_GB2312" w:eastAsia="仿宋_GB2312"/>
          <w:color w:val="auto"/>
          <w:sz w:val="32"/>
          <w:szCs w:val="32"/>
          <w:shd w:val="clear" w:color="auto" w:fill="FFFFFF"/>
        </w:rPr>
        <w:t>财政性资金的社会事业项</w:t>
      </w:r>
      <w:r>
        <w:rPr>
          <w:rFonts w:hint="eastAsia" w:ascii="仿宋_GB2312" w:eastAsia="仿宋_GB2312"/>
          <w:color w:val="auto"/>
          <w:sz w:val="32"/>
          <w:szCs w:val="32"/>
          <w:shd w:val="clear" w:color="auto" w:fill="FFFFFF"/>
          <w:lang w:val="en-US" w:eastAsia="zh-CN"/>
        </w:rPr>
        <w:t>目</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督促社会事业规划投资项目推进落实，</w:t>
      </w:r>
      <w:r>
        <w:rPr>
          <w:rFonts w:hint="eastAsia" w:ascii="仿宋_GB2312" w:eastAsia="仿宋_GB2312"/>
          <w:color w:val="auto"/>
          <w:sz w:val="32"/>
          <w:szCs w:val="32"/>
          <w:shd w:val="clear" w:color="auto" w:fill="FFFFFF"/>
        </w:rPr>
        <w:t>评估其实施情况</w:t>
      </w:r>
      <w:r>
        <w:rPr>
          <w:rFonts w:hint="eastAsia" w:ascii="仿宋_GB2312" w:eastAsia="仿宋_GB2312"/>
          <w:color w:val="auto"/>
          <w:sz w:val="32"/>
          <w:szCs w:val="32"/>
          <w:shd w:val="clear" w:color="auto" w:fill="FFFFFF"/>
          <w:lang w:eastAsia="zh-CN"/>
        </w:rPr>
        <w:t>。</w:t>
      </w:r>
    </w:p>
    <w:p>
      <w:pPr>
        <w:pStyle w:val="14"/>
        <w:spacing w:before="0" w:beforeAutospacing="0" w:after="0" w:afterAutospacing="0" w:line="560" w:lineRule="exact"/>
        <w:ind w:firstLine="640" w:firstLineChars="200"/>
        <w:jc w:val="both"/>
        <w:rPr>
          <w:rFonts w:hint="eastAsia"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综合管理招标投标（比选）活动。负责指导和协调招标投标工作，组织拟订招标投标配套规定和实施意见；按规定核准项目招标事项；负责重大建设项目招标文件的审查和备案，监督招标投标活动，受理相关投诉，调查违规行为；统筹监督国家投资建设项目招标投标合同的执行情况并组织后评估工作；负责协调招标投标平台的建设和管理，管理综合性评标专家库。</w:t>
      </w:r>
    </w:p>
    <w:p>
      <w:pPr>
        <w:snapToGrid w:val="0"/>
        <w:spacing w:line="560" w:lineRule="exact"/>
        <w:ind w:left="0" w:firstLine="630" w:firstLineChars="196"/>
        <w:rPr>
          <w:rFonts w:hint="eastAsia" w:ascii="仿宋_GB2312" w:hAnsi="仿宋_GB2312" w:eastAsia="仿宋_GB2312" w:cs="仿宋_GB2312"/>
          <w:color w:val="auto"/>
          <w:sz w:val="32"/>
          <w:szCs w:val="32"/>
        </w:rPr>
      </w:pPr>
      <w:r>
        <w:rPr>
          <w:rFonts w:hint="eastAsia" w:ascii="楷体_GB2312" w:eastAsia="楷体_GB2312"/>
          <w:b/>
          <w:color w:val="auto"/>
          <w:sz w:val="32"/>
          <w:szCs w:val="32"/>
          <w:shd w:val="clear" w:color="auto" w:fill="FFFFFF"/>
        </w:rPr>
        <w:t>（</w:t>
      </w:r>
      <w:r>
        <w:rPr>
          <w:rFonts w:hint="eastAsia" w:ascii="楷体_GB2312" w:eastAsia="楷体_GB2312"/>
          <w:b/>
          <w:color w:val="auto"/>
          <w:sz w:val="32"/>
          <w:szCs w:val="32"/>
          <w:shd w:val="clear" w:color="auto" w:fill="FFFFFF"/>
          <w:lang w:eastAsia="zh-CN"/>
        </w:rPr>
        <w:t>四</w:t>
      </w:r>
      <w:r>
        <w:rPr>
          <w:rFonts w:hint="eastAsia" w:ascii="楷体_GB2312" w:eastAsia="楷体_GB2312"/>
          <w:b/>
          <w:color w:val="auto"/>
          <w:sz w:val="32"/>
          <w:szCs w:val="32"/>
          <w:shd w:val="clear" w:color="auto" w:fill="FFFFFF"/>
        </w:rPr>
        <w:t>）</w:t>
      </w:r>
      <w:r>
        <w:rPr>
          <w:rFonts w:hint="eastAsia" w:ascii="楷体_GB2312" w:eastAsia="楷体_GB2312"/>
          <w:b/>
          <w:color w:val="auto"/>
          <w:sz w:val="32"/>
          <w:szCs w:val="32"/>
          <w:shd w:val="clear" w:color="auto" w:fill="FFFFFF"/>
          <w:lang w:val="en-US" w:eastAsia="zh-CN"/>
        </w:rPr>
        <w:t>产业和能源</w:t>
      </w:r>
      <w:r>
        <w:rPr>
          <w:rFonts w:hint="eastAsia" w:ascii="楷体_GB2312" w:eastAsia="楷体_GB2312"/>
          <w:b/>
          <w:color w:val="auto"/>
          <w:sz w:val="32"/>
          <w:szCs w:val="32"/>
          <w:shd w:val="clear" w:color="auto" w:fill="FFFFFF"/>
        </w:rPr>
        <w:t>股</w:t>
      </w:r>
      <w:r>
        <w:rPr>
          <w:rFonts w:hint="eastAsia" w:ascii="楷体_GB2312" w:eastAsia="楷体_GB2312"/>
          <w:b/>
          <w:color w:val="auto"/>
          <w:sz w:val="32"/>
          <w:szCs w:val="32"/>
          <w:shd w:val="clear" w:color="auto" w:fill="FFFFFF"/>
          <w:lang w:eastAsia="zh-CN"/>
        </w:rPr>
        <w:t>。</w:t>
      </w:r>
      <w:r>
        <w:rPr>
          <w:rFonts w:hint="eastAsia" w:ascii="仿宋_GB2312" w:hAnsi="仿宋_GB2312" w:eastAsia="仿宋_GB2312" w:cs="仿宋_GB2312"/>
          <w:color w:val="auto"/>
          <w:sz w:val="32"/>
          <w:szCs w:val="32"/>
        </w:rPr>
        <w:t>统筹社会发展</w:t>
      </w:r>
      <w:r>
        <w:rPr>
          <w:rFonts w:hint="eastAsia" w:ascii="仿宋_GB2312" w:hAnsi="仿宋_GB2312" w:eastAsia="仿宋_GB2312" w:cs="仿宋_GB2312"/>
          <w:color w:val="auto"/>
          <w:sz w:val="32"/>
          <w:szCs w:val="32"/>
          <w:lang w:val="en-US" w:eastAsia="zh-CN"/>
        </w:rPr>
        <w:t>所涉及</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能源产业</w:t>
      </w:r>
      <w:r>
        <w:rPr>
          <w:rFonts w:hint="eastAsia" w:ascii="仿宋_GB2312" w:hAnsi="仿宋_GB2312" w:eastAsia="仿宋_GB2312" w:cs="仿宋_GB2312"/>
          <w:color w:val="auto"/>
          <w:sz w:val="32"/>
          <w:szCs w:val="32"/>
        </w:rPr>
        <w:t>需求，拟订能源发展战略、发展规划和年度指导性计划，提出能源发展的目标和措施；研究提出促进能源发展、能源节约、能源安全政策意见；开展能源行业节能减排监督、管理；会同水行政主管部门加强流域水电规划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统筹经济发展、资源开发和环境保护协调，综合协调解决重大能源建设项目、建设环境和建设条件；申报国家能源项目和资金。</w:t>
      </w:r>
    </w:p>
    <w:p>
      <w:pPr>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eastAsia="仿宋_GB2312"/>
          <w:color w:val="auto"/>
          <w:sz w:val="32"/>
          <w:szCs w:val="32"/>
          <w:shd w:val="clear" w:color="auto" w:fill="FFFFFF"/>
        </w:rPr>
        <w:t>组织拟订综合性产业政策，重大产业发展规划，拟订服务业发展战略和重大政策；协调重大技术装备推广应用和重大产业基地建设。</w:t>
      </w:r>
      <w:r>
        <w:rPr>
          <w:rFonts w:hint="eastAsia" w:ascii="仿宋_GB2312" w:hAnsi="仿宋_GB2312" w:eastAsia="仿宋_GB2312" w:cs="仿宋_GB2312"/>
          <w:color w:val="auto"/>
          <w:sz w:val="32"/>
          <w:szCs w:val="32"/>
        </w:rPr>
        <w:t>统筹工业、服务业、交通运输业发展规划；组织拟订综合性产业政策，重大产业发展规划，组织协调重大生产力布局；拟订服务业发展战略和重大政策；协调重大技术装备推广应用和重大产业基地建设；统筹协调重要矿产资源的开发利用。</w:t>
      </w:r>
    </w:p>
    <w:p>
      <w:pPr>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研究提出高技术产业及产业技术的发展方向，拟订高技术产业发展和产业技术进步的战略、规划；做好相关高新技术产业化工作，组织高技术产业化示范工程；申报、安排工业、交通、邮政和高技术产业财政性资金建设项目，培育壮大战略性新兴产业。</w:t>
      </w:r>
    </w:p>
    <w:p>
      <w:pPr>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负责与铁路部门的工作衔接，负责组织协调和处理铁路建设项目前期工作涉及的重大问题，参与铁路发展规划和年度计划编制工作；协调解决铁路建设征地拆迁、工程建设、运营管理中的有关问题，参与争取国家政策和资金支持，督促建设资金的落实到位，保障铁路项目顺利实施。</w:t>
      </w:r>
    </w:p>
    <w:p>
      <w:pPr>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研究提出资源、环境协调发展的重大问题；组织拟订并协调实施能源资源节约和综合利用、发展循环经济的规划和政策措施，参与编制环境保护规划，协调环保产业发展有关工作；审核、转报和安排资源节约、综合利用、循环经济和污染治理国家财政性资金建设项目；组织协调重大节能减排示范工程和新产品、新技术、新设备的推广应用</w:t>
      </w:r>
      <w:r>
        <w:rPr>
          <w:rFonts w:hint="eastAsia" w:ascii="仿宋_GB2312" w:eastAsia="仿宋_GB2312"/>
          <w:color w:val="auto"/>
          <w:sz w:val="32"/>
          <w:szCs w:val="32"/>
          <w:shd w:val="clear" w:color="auto" w:fill="FFFFFF"/>
        </w:rPr>
        <w:t>。</w:t>
      </w:r>
    </w:p>
    <w:p>
      <w:pPr>
        <w:pStyle w:val="4"/>
        <w:spacing w:before="0" w:beforeAutospacing="0" w:after="0" w:afterAutospacing="0" w:line="560" w:lineRule="exact"/>
        <w:ind w:firstLine="630" w:firstLineChars="196"/>
        <w:rPr>
          <w:rFonts w:hint="eastAsia" w:ascii="仿宋_GB2312" w:hAnsi="Times New Roman" w:eastAsia="仿宋_GB2312" w:cs="Times New Roman"/>
          <w:b w:val="0"/>
          <w:bCs w:val="0"/>
          <w:color w:val="auto"/>
          <w:kern w:val="0"/>
          <w:sz w:val="32"/>
          <w:szCs w:val="32"/>
          <w:shd w:val="clear" w:color="auto" w:fill="FFFFFF"/>
          <w:lang w:val="en-US" w:eastAsia="zh-CN" w:bidi="ar-SA"/>
        </w:rPr>
      </w:pPr>
      <w:bookmarkStart w:id="127" w:name="_Toc28348"/>
      <w:r>
        <w:rPr>
          <w:rFonts w:hint="eastAsia" w:ascii="楷体_GB2312" w:hAnsi="楷体_GB2312" w:eastAsia="楷体_GB2312" w:cs="Times New Roman"/>
          <w:b/>
          <w:bCs w:val="0"/>
          <w:color w:val="auto"/>
          <w:kern w:val="0"/>
          <w:sz w:val="32"/>
          <w:szCs w:val="32"/>
          <w:shd w:val="clear" w:color="auto" w:fill="FFFFFF"/>
          <w:lang w:val="en-US" w:eastAsia="zh-CN" w:bidi="ar-SA"/>
        </w:rPr>
        <w:t>（五）行</w:t>
      </w:r>
      <w:r>
        <w:rPr>
          <w:rFonts w:hint="eastAsia" w:ascii="楷体_GB2312" w:hAnsi="宋体" w:eastAsia="楷体_GB2312"/>
          <w:color w:val="auto"/>
          <w:sz w:val="32"/>
          <w:szCs w:val="32"/>
          <w:shd w:val="clear" w:color="auto" w:fill="FFFFFF"/>
        </w:rPr>
        <w:t>政审批股</w:t>
      </w:r>
      <w:r>
        <w:rPr>
          <w:rFonts w:hint="eastAsia" w:ascii="楷体_GB2312" w:eastAsia="楷体_GB2312"/>
          <w:color w:val="auto"/>
          <w:sz w:val="32"/>
          <w:szCs w:val="32"/>
          <w:shd w:val="clear" w:color="auto" w:fill="FFFFFF"/>
          <w:lang w:eastAsia="zh-CN"/>
        </w:rPr>
        <w:t>。</w:t>
      </w:r>
      <w:r>
        <w:rPr>
          <w:rFonts w:hint="eastAsia" w:ascii="仿宋_GB2312" w:hAnsi="Times New Roman" w:eastAsia="仿宋_GB2312" w:cs="Times New Roman"/>
          <w:b w:val="0"/>
          <w:bCs w:val="0"/>
          <w:color w:val="auto"/>
          <w:kern w:val="0"/>
          <w:sz w:val="32"/>
          <w:szCs w:val="32"/>
          <w:shd w:val="clear" w:color="auto" w:fill="FFFFFF"/>
          <w:lang w:val="en-US" w:eastAsia="zh-CN" w:bidi="ar-SA"/>
        </w:rPr>
        <w:t>负责拟订行政许可事项审查（审核）的政策、规定、标准、规程细则；负责相关审批政策及法规的宣传工作；组织实施固定资产投资项目（企业技术改造项目除外）节能评估和审查工作；负责依法审批保留权限以内的行政许可事项；负责权限以内的非国家投资项目立项（核准、备案）、可行性研究、初步设计的审批、核准、备案、审查等工作。</w:t>
      </w:r>
      <w:bookmarkEnd w:id="127"/>
    </w:p>
    <w:p>
      <w:pPr>
        <w:shd w:val="solid" w:color="FFFEFB" w:fill="auto"/>
        <w:autoSpaceDN w:val="0"/>
        <w:spacing w:line="560" w:lineRule="exact"/>
        <w:ind w:left="0" w:firstLine="643" w:firstLineChars="200"/>
        <w:rPr>
          <w:rFonts w:hint="eastAsia" w:ascii="仿宋_GB2312" w:eastAsia="仿宋_GB2312"/>
          <w:sz w:val="32"/>
          <w:szCs w:val="32"/>
          <w:shd w:val="clear" w:color="auto" w:fill="FFFFFF"/>
        </w:rPr>
      </w:pPr>
      <w:r>
        <w:rPr>
          <w:rFonts w:hint="eastAsia" w:ascii="楷体_GB2312" w:hAnsi="黑体" w:eastAsia="楷体_GB2312"/>
          <w:b/>
          <w:sz w:val="32"/>
          <w:szCs w:val="32"/>
          <w:shd w:val="clear" w:color="auto" w:fill="FFFFFF"/>
        </w:rPr>
        <w:t xml:space="preserve"> (</w:t>
      </w:r>
      <w:r>
        <w:rPr>
          <w:rFonts w:hint="eastAsia" w:ascii="楷体_GB2312" w:hAnsi="黑体" w:eastAsia="楷体_GB2312"/>
          <w:b/>
          <w:sz w:val="32"/>
          <w:szCs w:val="32"/>
          <w:shd w:val="clear" w:color="auto" w:fill="FFFFFF"/>
          <w:lang w:eastAsia="zh-CN"/>
        </w:rPr>
        <w:t>六</w:t>
      </w:r>
      <w:r>
        <w:rPr>
          <w:rFonts w:hint="eastAsia" w:ascii="楷体_GB2312" w:hAnsi="黑体" w:eastAsia="楷体_GB2312"/>
          <w:b/>
          <w:sz w:val="32"/>
          <w:szCs w:val="32"/>
          <w:shd w:val="clear" w:color="auto" w:fill="FFFFFF"/>
        </w:rPr>
        <w:t>)</w:t>
      </w:r>
      <w:r>
        <w:rPr>
          <w:rFonts w:hint="eastAsia" w:ascii="楷体_GB2312" w:eastAsia="楷体_GB2312"/>
          <w:b/>
          <w:sz w:val="32"/>
          <w:szCs w:val="32"/>
          <w:shd w:val="clear" w:color="auto" w:fill="FFFFFF"/>
        </w:rPr>
        <w:t>以工代赈股</w:t>
      </w:r>
      <w:r>
        <w:rPr>
          <w:rFonts w:hint="eastAsia" w:ascii="楷体_GB2312" w:eastAsia="楷体_GB2312"/>
          <w:b/>
          <w:sz w:val="32"/>
          <w:szCs w:val="32"/>
          <w:shd w:val="clear" w:color="auto" w:fill="FFFFFF"/>
          <w:lang w:eastAsia="zh-CN"/>
        </w:rPr>
        <w:t>。</w:t>
      </w:r>
      <w:r>
        <w:rPr>
          <w:rFonts w:hint="eastAsia" w:ascii="仿宋_GB2312" w:eastAsia="仿宋_GB2312"/>
          <w:sz w:val="32"/>
          <w:szCs w:val="32"/>
          <w:shd w:val="clear" w:color="auto" w:fill="FFFFFF"/>
        </w:rPr>
        <w:t>根据国家和省以工代赈方针、政策，编制以工代赈规划，审核、转报和下达以工代赈计划，负责以工代赈部门协调、以工代赈项目检查监督、验收和总结等工作。</w:t>
      </w:r>
    </w:p>
    <w:p>
      <w:pPr>
        <w:pStyle w:val="4"/>
        <w:spacing w:before="0" w:beforeAutospacing="0" w:after="0" w:afterAutospacing="0" w:line="560" w:lineRule="exact"/>
        <w:ind w:firstLine="643" w:firstLineChars="200"/>
        <w:rPr>
          <w:rFonts w:hint="eastAsia" w:ascii="仿宋_GB2312" w:hAnsi="Times New Roman" w:eastAsia="仿宋_GB2312" w:cs="Times New Roman"/>
          <w:b w:val="0"/>
          <w:bCs w:val="0"/>
          <w:color w:val="auto"/>
          <w:kern w:val="0"/>
          <w:sz w:val="32"/>
          <w:szCs w:val="32"/>
          <w:shd w:val="clear" w:color="auto" w:fill="FFFFFF"/>
          <w:lang w:val="en-US" w:eastAsia="zh-CN" w:bidi="ar-SA"/>
        </w:rPr>
      </w:pPr>
      <w:bookmarkStart w:id="128" w:name="_Toc31300"/>
      <w:r>
        <w:rPr>
          <w:rFonts w:hint="eastAsia" w:ascii="楷体_GB2312" w:hAnsi="楷体_GB2312" w:eastAsia="楷体_GB2312"/>
          <w:sz w:val="32"/>
          <w:szCs w:val="32"/>
          <w:shd w:val="clear" w:color="auto" w:fill="FFFFFF"/>
        </w:rPr>
        <w:t>（</w:t>
      </w:r>
      <w:r>
        <w:rPr>
          <w:rFonts w:hint="eastAsia" w:ascii="楷体_GB2312" w:hAnsi="楷体_GB2312" w:eastAsia="楷体_GB2312"/>
          <w:sz w:val="32"/>
          <w:szCs w:val="32"/>
          <w:shd w:val="clear" w:color="auto" w:fill="FFFFFF"/>
          <w:lang w:eastAsia="zh-CN"/>
        </w:rPr>
        <w:t>七</w:t>
      </w:r>
      <w:r>
        <w:rPr>
          <w:rFonts w:hint="eastAsia" w:ascii="楷体_GB2312" w:hAnsi="楷体_GB2312" w:eastAsia="楷体_GB2312"/>
          <w:sz w:val="32"/>
          <w:szCs w:val="32"/>
          <w:shd w:val="clear" w:color="auto" w:fill="FFFFFF"/>
        </w:rPr>
        <w:t>）对口援建办</w:t>
      </w:r>
      <w:r>
        <w:rPr>
          <w:rFonts w:hint="eastAsia" w:ascii="楷体_GB2312" w:hAnsi="楷体_GB2312" w:eastAsia="楷体_GB2312"/>
          <w:sz w:val="32"/>
          <w:szCs w:val="32"/>
          <w:shd w:val="clear" w:color="auto" w:fill="FFFFFF"/>
          <w:lang w:eastAsia="zh-CN"/>
        </w:rPr>
        <w:t>。</w:t>
      </w:r>
      <w:r>
        <w:rPr>
          <w:rFonts w:hint="eastAsia" w:ascii="仿宋_GB2312" w:hAnsi="Times New Roman" w:eastAsia="仿宋_GB2312" w:cs="Times New Roman"/>
          <w:b w:val="0"/>
          <w:bCs w:val="0"/>
          <w:color w:val="auto"/>
          <w:kern w:val="0"/>
          <w:sz w:val="32"/>
          <w:szCs w:val="32"/>
          <w:shd w:val="clear" w:color="auto" w:fill="FFFFFF"/>
          <w:lang w:val="en-US" w:eastAsia="zh-CN" w:bidi="ar-SA"/>
        </w:rPr>
        <w:t>负责处理援建领导小组办公室日常事务,公文运转,指导督促各有关部门及时编制对口援藏各专项规划,并汇总编制总规;负责组织援建领导小组相关会议, 并做好会议记录和整理负责与内设各工作小组的联络协调工作;负责对口援建方的对接服务工作;负责对口援建方、联系帮扶部门、州西开办、县委政府上报相关工作信息;负责省内帮扶单位、东西部扶贫协作各方面的日常工作对接。加强对援建项目规划及落实、资金管理情况的全程跟踪检查每月定期组织对援建项目进行监督检查,督促整改工作中存在的问题;负责完成上级领导交办的其他工作。</w:t>
      </w:r>
      <w:bookmarkEnd w:id="128"/>
    </w:p>
    <w:p>
      <w:pPr>
        <w:pStyle w:val="4"/>
        <w:spacing w:before="0" w:beforeAutospacing="0" w:after="0" w:afterAutospacing="0" w:line="560" w:lineRule="exact"/>
        <w:ind w:firstLine="643" w:firstLineChars="200"/>
        <w:rPr>
          <w:rFonts w:ascii="仿宋_GB2312" w:hAnsi="宋体" w:eastAsia="仿宋_GB2312" w:cs="宋体"/>
          <w:color w:val="000000"/>
          <w:kern w:val="0"/>
          <w:sz w:val="32"/>
          <w:szCs w:val="32"/>
          <w:shd w:val="clear" w:color="auto" w:fill="FFFFFF"/>
        </w:rPr>
      </w:pPr>
      <w:bookmarkStart w:id="129" w:name="_Toc14789"/>
      <w:r>
        <w:rPr>
          <w:rFonts w:hint="eastAsia" w:ascii="楷体_GB2312" w:hAnsi="楷体_GB2312" w:eastAsia="楷体_GB2312" w:cs="楷体_GB2312"/>
          <w:b/>
          <w:bCs/>
          <w:color w:val="auto"/>
          <w:kern w:val="0"/>
          <w:sz w:val="32"/>
          <w:szCs w:val="32"/>
          <w:shd w:val="clear" w:color="auto" w:fill="FFFFFF"/>
          <w:lang w:val="en-US" w:eastAsia="zh-CN" w:bidi="ar-SA"/>
        </w:rPr>
        <w:t>（八）价格认证股。</w:t>
      </w:r>
      <w:r>
        <w:rPr>
          <w:rFonts w:hint="eastAsia" w:ascii="仿宋_GB2312" w:hAnsi="Times New Roman" w:eastAsia="仿宋_GB2312" w:cs="Times New Roman"/>
          <w:b w:val="0"/>
          <w:bCs w:val="0"/>
          <w:color w:val="auto"/>
          <w:kern w:val="0"/>
          <w:sz w:val="32"/>
          <w:szCs w:val="32"/>
          <w:shd w:val="clear" w:color="auto" w:fill="FFFFFF"/>
          <w:lang w:val="en-US" w:eastAsia="zh-CN" w:bidi="ar-SA"/>
        </w:rPr>
        <w:t>负责贯彻落实国家、省、州关于价格、收费改革的方针政策;负责监测、分析全县市场价格动态和变化趋势;负责贯彻实施国家、省、州各项价格规定和统一调价方案;负责贯彻执行国家、省、州行政事业性收费管理政策,会同有关部门审定行政事业性收费项目和标准,组织实施行政事业性收费、经营性收费许可证制度和年度审验制度;负责监督检查政府定价、政府指导价以及政策规定的收费标准的执行情况;承担涉案物品价格认定;承担组织对农产品、垄断行业、公用事业和公益性服务</w:t>
      </w:r>
      <w:r>
        <w:rPr>
          <w:rFonts w:hint="eastAsia" w:ascii="仿宋_GB2312" w:hAnsi="Times New Roman" w:eastAsia="仿宋_GB2312" w:cs="Times New Roman"/>
          <w:b w:val="0"/>
          <w:bCs w:val="0"/>
          <w:color w:val="auto"/>
          <w:spacing w:val="-6"/>
          <w:kern w:val="0"/>
          <w:sz w:val="32"/>
          <w:szCs w:val="32"/>
          <w:shd w:val="clear" w:color="auto" w:fill="FFFFFF"/>
          <w:lang w:val="en-US" w:eastAsia="zh-CN" w:bidi="ar-SA"/>
        </w:rPr>
        <w:t>价格的成本调查和监审;承担商品和服务价格定价成本监审工作。</w:t>
      </w:r>
      <w:bookmarkEnd w:id="129"/>
    </w:p>
    <w:p>
      <w:pPr>
        <w:widowControl/>
        <w:numPr>
          <w:ilvl w:val="0"/>
          <w:numId w:val="8"/>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widowControl/>
        <w:adjustRightInd w:val="0"/>
        <w:snapToGrid w:val="0"/>
        <w:spacing w:line="580" w:lineRule="exact"/>
        <w:ind w:left="420" w:leftChars="200" w:firstLine="480" w:firstLineChars="150"/>
        <w:contextualSpacing/>
        <w:jc w:val="left"/>
        <w:rPr>
          <w:rFonts w:ascii="仿宋_GB2312" w:hAnsi="宋体" w:eastAsia="仿宋_GB2312" w:cs="宋体"/>
          <w:color w:val="000000"/>
          <w:kern w:val="0"/>
          <w:sz w:val="32"/>
          <w:szCs w:val="32"/>
          <w:shd w:val="clear" w:color="auto" w:fill="FFFFFF"/>
        </w:rPr>
      </w:pPr>
      <w:r>
        <w:rPr>
          <w:rFonts w:hint="eastAsia" w:ascii="仿宋_GB2312" w:hAnsi="仿宋_GB2312" w:eastAsia="仿宋_GB2312" w:cs="仿宋_GB2312"/>
          <w:bCs/>
          <w:sz w:val="32"/>
          <w:szCs w:val="32"/>
        </w:rPr>
        <w:t>截止</w:t>
      </w:r>
      <w:r>
        <w:rPr>
          <w:rFonts w:ascii="仿宋_GB2312" w:hAnsi="仿宋_GB2312" w:eastAsia="仿宋_GB2312" w:cs="仿宋_GB2312"/>
          <w:bCs/>
          <w:sz w:val="32"/>
          <w:szCs w:val="32"/>
        </w:rPr>
        <w:t>2019</w:t>
      </w:r>
      <w:r>
        <w:rPr>
          <w:rFonts w:hint="eastAsia" w:ascii="仿宋_GB2312" w:hAnsi="仿宋_GB2312" w:eastAsia="仿宋_GB2312" w:cs="仿宋_GB2312"/>
          <w:bCs/>
          <w:sz w:val="32"/>
          <w:szCs w:val="32"/>
        </w:rPr>
        <w:t>年底我单位共有编制</w:t>
      </w:r>
      <w:r>
        <w:rPr>
          <w:rFonts w:ascii="仿宋_GB2312" w:hAnsi="仿宋_GB2312" w:eastAsia="仿宋_GB2312" w:cs="仿宋_GB2312"/>
          <w:bCs/>
          <w:sz w:val="32"/>
          <w:szCs w:val="32"/>
        </w:rPr>
        <w:t>14</w:t>
      </w:r>
      <w:r>
        <w:rPr>
          <w:rFonts w:hint="eastAsia" w:ascii="仿宋_GB2312" w:hAnsi="仿宋_GB2312" w:eastAsia="仿宋_GB2312" w:cs="仿宋_GB2312"/>
          <w:bCs/>
          <w:sz w:val="32"/>
          <w:szCs w:val="32"/>
        </w:rPr>
        <w:t>个，其中公务员编制</w:t>
      </w:r>
      <w:r>
        <w:rPr>
          <w:rFonts w:ascii="仿宋_GB2312" w:hAnsi="仿宋_GB2312" w:eastAsia="仿宋_GB2312" w:cs="仿宋_GB2312"/>
          <w:bCs/>
          <w:sz w:val="32"/>
          <w:szCs w:val="32"/>
        </w:rPr>
        <w:t>13</w:t>
      </w:r>
      <w:r>
        <w:rPr>
          <w:rFonts w:hint="eastAsia" w:ascii="仿宋_GB2312" w:hAnsi="仿宋_GB2312" w:eastAsia="仿宋_GB2312" w:cs="仿宋_GB2312"/>
          <w:bCs/>
          <w:sz w:val="32"/>
          <w:szCs w:val="32"/>
        </w:rPr>
        <w:t>个，行政工勤编制</w:t>
      </w:r>
      <w:r>
        <w:rPr>
          <w:rFonts w:ascii="仿宋_GB2312" w:hAnsi="仿宋_GB2312" w:eastAsia="仿宋_GB2312" w:cs="仿宋_GB2312"/>
          <w:bCs/>
          <w:sz w:val="32"/>
          <w:szCs w:val="32"/>
        </w:rPr>
        <w:t>1</w:t>
      </w:r>
      <w:r>
        <w:rPr>
          <w:rFonts w:hint="eastAsia" w:ascii="仿宋_GB2312" w:hAnsi="仿宋_GB2312" w:eastAsia="仿宋_GB2312" w:cs="仿宋_GB2312"/>
          <w:bCs/>
          <w:sz w:val="32"/>
          <w:szCs w:val="32"/>
        </w:rPr>
        <w:t>个；实有人员</w:t>
      </w:r>
      <w:r>
        <w:rPr>
          <w:rFonts w:ascii="仿宋_GB2312" w:hAnsi="仿宋_GB2312" w:eastAsia="仿宋_GB2312" w:cs="仿宋_GB2312"/>
          <w:bCs/>
          <w:sz w:val="32"/>
          <w:szCs w:val="32"/>
        </w:rPr>
        <w:t>14</w:t>
      </w:r>
      <w:r>
        <w:rPr>
          <w:rFonts w:hint="eastAsia" w:ascii="仿宋_GB2312" w:hAnsi="仿宋_GB2312" w:eastAsia="仿宋_GB2312" w:cs="仿宋_GB2312"/>
          <w:bCs/>
          <w:sz w:val="32"/>
          <w:szCs w:val="32"/>
        </w:rPr>
        <w:t>人，实有公务员</w:t>
      </w:r>
      <w:r>
        <w:rPr>
          <w:rFonts w:ascii="仿宋_GB2312" w:hAnsi="仿宋_GB2312" w:eastAsia="仿宋_GB2312" w:cs="仿宋_GB2312"/>
          <w:bCs/>
          <w:sz w:val="32"/>
          <w:szCs w:val="32"/>
        </w:rPr>
        <w:t>13</w:t>
      </w:r>
      <w:r>
        <w:rPr>
          <w:rFonts w:hint="eastAsia" w:ascii="仿宋_GB2312" w:hAnsi="仿宋_GB2312" w:eastAsia="仿宋_GB2312" w:cs="仿宋_GB2312"/>
          <w:bCs/>
          <w:sz w:val="32"/>
          <w:szCs w:val="32"/>
        </w:rPr>
        <w:t>人，实有工勤</w:t>
      </w:r>
      <w:r>
        <w:rPr>
          <w:rFonts w:ascii="仿宋_GB2312" w:hAnsi="仿宋_GB2312" w:eastAsia="仿宋_GB2312" w:cs="仿宋_GB2312"/>
          <w:bCs/>
          <w:sz w:val="32"/>
          <w:szCs w:val="32"/>
        </w:rPr>
        <w:t>1</w:t>
      </w:r>
      <w:r>
        <w:rPr>
          <w:rFonts w:hint="eastAsia" w:ascii="仿宋_GB2312" w:hAnsi="仿宋_GB2312" w:eastAsia="仿宋_GB2312" w:cs="仿宋_GB2312"/>
          <w:bCs/>
          <w:sz w:val="32"/>
          <w:szCs w:val="32"/>
        </w:rPr>
        <w:t>人。截止</w:t>
      </w:r>
      <w:r>
        <w:rPr>
          <w:rFonts w:ascii="仿宋_GB2312" w:hAnsi="仿宋_GB2312" w:eastAsia="仿宋_GB2312" w:cs="仿宋_GB2312"/>
          <w:bCs/>
          <w:sz w:val="32"/>
          <w:szCs w:val="32"/>
        </w:rPr>
        <w:t>2019</w:t>
      </w:r>
      <w:r>
        <w:rPr>
          <w:rFonts w:hint="eastAsia" w:ascii="仿宋_GB2312" w:hAnsi="仿宋_GB2312" w:eastAsia="仿宋_GB2312" w:cs="仿宋_GB2312"/>
          <w:bCs/>
          <w:sz w:val="32"/>
          <w:szCs w:val="32"/>
        </w:rPr>
        <w:t>年底我单位事业实有人数</w:t>
      </w:r>
      <w:r>
        <w:rPr>
          <w:rFonts w:ascii="仿宋_GB2312" w:hAnsi="仿宋_GB2312" w:eastAsia="仿宋_GB2312" w:cs="仿宋_GB2312"/>
          <w:bCs/>
          <w:sz w:val="32"/>
          <w:szCs w:val="32"/>
        </w:rPr>
        <w:t>4</w:t>
      </w:r>
      <w:r>
        <w:rPr>
          <w:rFonts w:hint="eastAsia" w:ascii="仿宋_GB2312" w:hAnsi="仿宋_GB2312" w:eastAsia="仿宋_GB2312" w:cs="仿宋_GB2312"/>
          <w:bCs/>
          <w:sz w:val="32"/>
          <w:szCs w:val="32"/>
        </w:rPr>
        <w:t>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pacing w:line="600" w:lineRule="exact"/>
        <w:ind w:firstLine="640" w:firstLineChars="200"/>
        <w:outlineLvl w:val="1"/>
        <w:rPr>
          <w:rFonts w:ascii="仿宋_GB2312" w:hAnsi="宋体" w:eastAsia="仿宋_GB2312" w:cs="宋体"/>
          <w:color w:val="000000"/>
          <w:kern w:val="0"/>
          <w:sz w:val="32"/>
          <w:szCs w:val="32"/>
          <w:shd w:val="clear" w:color="auto" w:fill="FFFFFF"/>
        </w:rPr>
      </w:pPr>
      <w:bookmarkStart w:id="130" w:name="_Toc2914"/>
      <w:bookmarkStart w:id="131" w:name="_Toc15241"/>
      <w:r>
        <w:rPr>
          <w:rFonts w:ascii="仿宋" w:hAnsi="仿宋" w:eastAsia="仿宋"/>
          <w:color w:val="000000"/>
          <w:sz w:val="32"/>
          <w:szCs w:val="32"/>
        </w:rPr>
        <w:t>201</w:t>
      </w:r>
      <w:r>
        <w:rPr>
          <w:rFonts w:hint="eastAsia" w:ascii="仿宋" w:hAnsi="仿宋" w:eastAsia="仿宋"/>
          <w:color w:val="000000"/>
          <w:sz w:val="32"/>
          <w:szCs w:val="32"/>
        </w:rPr>
        <w:t>9年本年收入合计1304.91万元，其中：一般公共预算财政拨款收入1304.91万元，占100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bookmarkEnd w:id="130"/>
      <w:bookmarkEnd w:id="131"/>
    </w:p>
    <w:p>
      <w:pPr>
        <w:widowControl/>
        <w:numPr>
          <w:ilvl w:val="0"/>
          <w:numId w:val="9"/>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spacing w:line="600" w:lineRule="exact"/>
        <w:ind w:firstLine="640" w:firstLineChars="200"/>
        <w:outlineLvl w:val="1"/>
        <w:rPr>
          <w:rFonts w:ascii="仿宋_GB2312" w:hAnsi="宋体" w:eastAsia="仿宋_GB2312" w:cs="宋体"/>
          <w:color w:val="000000"/>
          <w:kern w:val="0"/>
          <w:sz w:val="32"/>
          <w:szCs w:val="32"/>
          <w:shd w:val="clear" w:color="auto" w:fill="FFFFFF"/>
        </w:rPr>
      </w:pPr>
      <w:bookmarkStart w:id="132" w:name="_Toc733"/>
      <w:bookmarkStart w:id="133" w:name="_Toc13660"/>
      <w:r>
        <w:rPr>
          <w:rFonts w:ascii="仿宋" w:hAnsi="仿宋" w:eastAsia="仿宋"/>
          <w:color w:val="000000"/>
          <w:sz w:val="32"/>
          <w:szCs w:val="32"/>
        </w:rPr>
        <w:t>201</w:t>
      </w:r>
      <w:r>
        <w:rPr>
          <w:rFonts w:hint="eastAsia" w:ascii="仿宋" w:hAnsi="仿宋" w:eastAsia="仿宋"/>
          <w:color w:val="000000"/>
          <w:sz w:val="32"/>
          <w:szCs w:val="32"/>
        </w:rPr>
        <w:t>9年本年支出合计3278.84万元，其中：基本支出466.07万元，占14.22</w:t>
      </w:r>
      <w:r>
        <w:rPr>
          <w:rFonts w:ascii="仿宋" w:hAnsi="仿宋" w:eastAsia="仿宋"/>
          <w:color w:val="000000"/>
          <w:sz w:val="32"/>
          <w:szCs w:val="32"/>
        </w:rPr>
        <w:t>%</w:t>
      </w:r>
      <w:r>
        <w:rPr>
          <w:rFonts w:hint="eastAsia" w:ascii="仿宋" w:hAnsi="仿宋" w:eastAsia="仿宋"/>
          <w:color w:val="000000"/>
          <w:sz w:val="32"/>
          <w:szCs w:val="32"/>
        </w:rPr>
        <w:t>；项目支出2812.77万元，占85.78</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bookmarkEnd w:id="132"/>
      <w:bookmarkEnd w:id="133"/>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pPr>
        <w:spacing w:line="576" w:lineRule="exact"/>
        <w:ind w:firstLine="640" w:firstLineChars="200"/>
        <w:rPr>
          <w:rFonts w:ascii="仿宋_GB2312" w:hAnsi="宋体" w:eastAsia="仿宋_GB2312" w:cs="宋体"/>
          <w:color w:val="000000"/>
          <w:kern w:val="0"/>
          <w:sz w:val="32"/>
          <w:szCs w:val="32"/>
          <w:shd w:val="clear" w:color="auto" w:fill="FFFFFF"/>
        </w:rPr>
      </w:pPr>
      <w:r>
        <w:rPr>
          <w:rFonts w:hint="eastAsia" w:ascii="仿宋_GB2312" w:hAnsi="仿宋" w:eastAsia="仿宋_GB2312"/>
          <w:bCs/>
          <w:sz w:val="32"/>
          <w:szCs w:val="32"/>
        </w:rPr>
        <w:t>2019年，我局将在县委、县政府的坚强领导下，进一步坚定信心、攻坚克难，凝心聚力抓产业，千方百计攻项目，扎实当好参谋助手，不断推动发改经信工作取得新突破，确保工作目标任务圆满完成。</w:t>
      </w:r>
      <w:r>
        <w:rPr>
          <w:rFonts w:hint="eastAsia" w:ascii="仿宋_GB2312" w:hAnsi="仿宋" w:eastAsia="仿宋_GB2312"/>
          <w:b/>
          <w:sz w:val="32"/>
          <w:szCs w:val="32"/>
        </w:rPr>
        <w:t>一是</w:t>
      </w:r>
      <w:r>
        <w:rPr>
          <w:rFonts w:hint="eastAsia" w:ascii="仿宋_GB2312" w:hAnsi="仿宋" w:eastAsia="仿宋_GB2312"/>
          <w:bCs/>
          <w:sz w:val="32"/>
          <w:szCs w:val="32"/>
        </w:rPr>
        <w:t>狠抓项目投资建设。抓好重点建设项目的动态管理，完善我县重点项目进度台账，及时掌握重点项目建设进度，同时加大项目建设监管力度。</w:t>
      </w:r>
      <w:r>
        <w:rPr>
          <w:rFonts w:hint="eastAsia" w:ascii="仿宋_GB2312" w:hAnsi="仿宋" w:eastAsia="仿宋_GB2312"/>
          <w:b/>
          <w:sz w:val="32"/>
          <w:szCs w:val="32"/>
        </w:rPr>
        <w:t>二是</w:t>
      </w:r>
      <w:r>
        <w:rPr>
          <w:rFonts w:hint="eastAsia" w:ascii="仿宋_GB2312" w:hAnsi="仿宋" w:eastAsia="仿宋_GB2312"/>
          <w:bCs/>
          <w:sz w:val="32"/>
          <w:szCs w:val="32"/>
        </w:rPr>
        <w:t>扎实做好招商引资工作。进一步加强同四川新希望、四川科创集团等在建、续建项目的衔接和服务工作</w:t>
      </w:r>
      <w:r>
        <w:rPr>
          <w:rFonts w:hint="eastAsia" w:ascii="仿宋_GB2312" w:hAnsi="仿宋_GB2312" w:eastAsia="仿宋_GB2312" w:cs="宋体"/>
          <w:b/>
          <w:bCs/>
          <w:sz w:val="32"/>
          <w:szCs w:val="32"/>
        </w:rPr>
        <w:t>，</w:t>
      </w:r>
      <w:r>
        <w:rPr>
          <w:rFonts w:hint="eastAsia" w:ascii="仿宋_GB2312" w:hAnsi="Verdana" w:eastAsia="仿宋_GB2312" w:cs="宋体"/>
          <w:color w:val="000000"/>
          <w:kern w:val="0"/>
          <w:sz w:val="32"/>
          <w:szCs w:val="32"/>
        </w:rPr>
        <w:t>加快</w:t>
      </w:r>
      <w:r>
        <w:rPr>
          <w:rFonts w:hint="eastAsia" w:ascii="仿宋_GB2312" w:hAnsi="仿宋" w:eastAsia="仿宋_GB2312"/>
          <w:bCs/>
          <w:sz w:val="32"/>
          <w:szCs w:val="32"/>
        </w:rPr>
        <w:t>推进项目建设力度。</w:t>
      </w:r>
      <w:r>
        <w:rPr>
          <w:rFonts w:hint="eastAsia" w:ascii="仿宋_GB2312" w:hAnsi="仿宋" w:eastAsia="仿宋_GB2312"/>
          <w:b/>
          <w:sz w:val="32"/>
          <w:szCs w:val="32"/>
        </w:rPr>
        <w:t>三是</w:t>
      </w:r>
      <w:r>
        <w:rPr>
          <w:rFonts w:hint="eastAsia" w:ascii="仿宋_GB2312" w:hAnsi="仿宋" w:eastAsia="仿宋_GB2312"/>
          <w:bCs/>
          <w:sz w:val="32"/>
          <w:szCs w:val="32"/>
        </w:rPr>
        <w:t>推动工业经济实现新突破。</w:t>
      </w:r>
      <w:r>
        <w:rPr>
          <w:rFonts w:hint="eastAsia" w:ascii="仿宋_GB2312" w:hAnsi="Verdana" w:eastAsia="仿宋_GB2312" w:cs="宋体"/>
          <w:bCs/>
          <w:color w:val="000000"/>
          <w:kern w:val="0"/>
          <w:sz w:val="32"/>
          <w:szCs w:val="32"/>
        </w:rPr>
        <w:t>积极</w:t>
      </w:r>
      <w:r>
        <w:rPr>
          <w:rFonts w:hint="eastAsia" w:ascii="仿宋_GB2312" w:hAnsi="Verdana" w:eastAsia="仿宋_GB2312" w:cs="宋体"/>
          <w:color w:val="000000"/>
          <w:kern w:val="0"/>
          <w:sz w:val="32"/>
          <w:szCs w:val="32"/>
        </w:rPr>
        <w:t>引进和</w:t>
      </w:r>
      <w:r>
        <w:rPr>
          <w:rFonts w:hint="eastAsia" w:ascii="仿宋_GB2312" w:hAnsi="Verdana" w:eastAsia="仿宋_GB2312" w:cs="宋体"/>
          <w:bCs/>
          <w:color w:val="000000"/>
          <w:kern w:val="0"/>
          <w:sz w:val="32"/>
          <w:szCs w:val="32"/>
        </w:rPr>
        <w:t>培育发展新兴产业，力促中电投光伏项目申请、科创的中藏药园</w:t>
      </w:r>
      <w:r>
        <w:rPr>
          <w:rFonts w:hint="eastAsia" w:ascii="仿宋_GB2312" w:hAnsi="仿宋" w:eastAsia="仿宋_GB2312"/>
          <w:sz w:val="32"/>
          <w:szCs w:val="32"/>
        </w:rPr>
        <w:t>等生态项目加快落地建设工作</w:t>
      </w:r>
      <w:r>
        <w:rPr>
          <w:rFonts w:hint="eastAsia" w:ascii="仿宋_GB2312" w:hAnsi="Verdana" w:eastAsia="仿宋_GB2312" w:cs="宋体"/>
          <w:color w:val="000000"/>
          <w:kern w:val="0"/>
          <w:sz w:val="32"/>
          <w:szCs w:val="32"/>
        </w:rPr>
        <w:t>。</w:t>
      </w:r>
      <w:r>
        <w:rPr>
          <w:rFonts w:hint="eastAsia" w:ascii="仿宋_GB2312" w:hAnsi="Verdana" w:eastAsia="仿宋_GB2312" w:cs="宋体"/>
          <w:b/>
          <w:bCs/>
          <w:color w:val="000000"/>
          <w:kern w:val="0"/>
          <w:sz w:val="32"/>
          <w:szCs w:val="32"/>
        </w:rPr>
        <w:t>四是</w:t>
      </w:r>
      <w:r>
        <w:rPr>
          <w:rFonts w:hint="eastAsia" w:ascii="仿宋_GB2312" w:hAnsi="仿宋" w:eastAsia="仿宋_GB2312"/>
          <w:bCs/>
          <w:sz w:val="32"/>
          <w:szCs w:val="32"/>
        </w:rPr>
        <w:t>进一步加强承接对口援建工作。积极争取</w:t>
      </w:r>
      <w:r>
        <w:rPr>
          <w:rFonts w:hint="eastAsia" w:eastAsia="仿宋_GB2312"/>
          <w:sz w:val="32"/>
          <w:szCs w:val="32"/>
        </w:rPr>
        <w:t>体制外帮扶项目，以项目为载体，巩固脱贫效益，辐射带动我县贫困人口。</w:t>
      </w:r>
      <w:r>
        <w:rPr>
          <w:rFonts w:hint="eastAsia" w:eastAsia="仿宋_GB2312"/>
          <w:b/>
          <w:bCs/>
          <w:sz w:val="32"/>
          <w:szCs w:val="32"/>
        </w:rPr>
        <w:t>五是</w:t>
      </w:r>
      <w:r>
        <w:rPr>
          <w:rFonts w:hint="eastAsia" w:eastAsia="仿宋_GB2312"/>
          <w:sz w:val="32"/>
          <w:szCs w:val="32"/>
        </w:rPr>
        <w:t>认真做好价格监管和商贸流通工作。规范商贸流通管理，加</w:t>
      </w:r>
      <w:r>
        <w:rPr>
          <w:rFonts w:hint="eastAsia" w:ascii="仿宋_GB2312" w:eastAsia="仿宋_GB2312"/>
          <w:sz w:val="32"/>
          <w:szCs w:val="32"/>
        </w:rPr>
        <w:t>强盐政和酒类执法力度</w:t>
      </w:r>
      <w:r>
        <w:rPr>
          <w:rFonts w:hint="eastAsia" w:ascii="仿宋_GB2312" w:hAnsi="宋体" w:eastAsia="仿宋_GB2312"/>
          <w:sz w:val="32"/>
          <w:szCs w:val="32"/>
        </w:rPr>
        <w:t>和</w:t>
      </w:r>
      <w:r>
        <w:rPr>
          <w:rFonts w:hint="eastAsia" w:ascii="仿宋_GB2312" w:hAnsi="宋体" w:eastAsia="仿宋_GB2312"/>
          <w:bCs/>
          <w:sz w:val="32"/>
          <w:szCs w:val="32"/>
        </w:rPr>
        <w:t>食品安全日常工作</w:t>
      </w:r>
      <w:r>
        <w:rPr>
          <w:rFonts w:hint="eastAsia" w:ascii="仿宋_GB2312" w:hAnsi="宋体" w:eastAsia="仿宋_GB2312"/>
          <w:sz w:val="32"/>
          <w:szCs w:val="32"/>
        </w:rPr>
        <w:t>，确保我县城乡市场规范运作</w:t>
      </w:r>
      <w:r>
        <w:rPr>
          <w:rFonts w:hint="eastAsia" w:eastAsia="仿宋_GB2312"/>
          <w:sz w:val="32"/>
          <w:szCs w:val="32"/>
        </w:rPr>
        <w:t>。</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包括绩效自评公开、评价结果整改和应用结果反馈等情况。</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pStyle w:val="2"/>
        <w:ind w:firstLine="640"/>
        <w:rPr>
          <w:lang w:val="zh-CN"/>
        </w:rPr>
      </w:pPr>
      <w:r>
        <w:rPr>
          <w:rFonts w:hint="eastAsia"/>
          <w:lang w:val="zh-CN"/>
        </w:rPr>
        <w:t>从此次绩效自评工作中，发现很多财物管理中的不足之处，根据财政局文件要求支出绩效评价总评较好。</w:t>
      </w:r>
    </w:p>
    <w:p>
      <w:pPr>
        <w:pStyle w:val="2"/>
        <w:ind w:firstLine="640"/>
        <w:rPr>
          <w:lang w:val="zh-CN"/>
        </w:rPr>
      </w:pPr>
    </w:p>
    <w:p>
      <w:pPr>
        <w:widowControl/>
        <w:numPr>
          <w:ilvl w:val="0"/>
          <w:numId w:val="9"/>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pStyle w:val="2"/>
        <w:ind w:left="420" w:leftChars="200" w:firstLine="0" w:firstLineChars="0"/>
      </w:pPr>
      <w:r>
        <w:rPr>
          <w:rFonts w:hint="eastAsia" w:hAnsi="仿宋"/>
          <w:bCs/>
          <w:szCs w:val="32"/>
        </w:rPr>
        <w:t>没有按照县财政部门预算编制通知和有关要求，按时完成基础库、项目库报送工作。拖长了财政局收集、汇总数据的时间。</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在以后的工作中，端正工作态度，严格认真按照文件要求及时填报所需数据。</w:t>
      </w:r>
    </w:p>
    <w:p>
      <w:pPr>
        <w:spacing w:line="580" w:lineRule="exact"/>
        <w:rPr>
          <w:rFonts w:hint="eastAsia" w:ascii="黑体" w:hAnsi="黑体" w:eastAsia="黑体" w:cs="黑体"/>
          <w:sz w:val="32"/>
          <w:szCs w:val="32"/>
        </w:rPr>
      </w:pPr>
    </w:p>
    <w:p>
      <w:pPr>
        <w:pStyle w:val="2"/>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pStyle w:val="5"/>
        <w:bidi w:val="0"/>
      </w:pPr>
      <w:bookmarkStart w:id="134" w:name="_Toc16744"/>
      <w:bookmarkStart w:id="135" w:name="_Toc24589"/>
      <w:r>
        <w:rPr>
          <w:rFonts w:hint="eastAsia"/>
        </w:rPr>
        <w:t>附件2</w:t>
      </w:r>
      <w:bookmarkEnd w:id="134"/>
      <w:bookmarkEnd w:id="135"/>
    </w:p>
    <w:p>
      <w:pPr>
        <w:pStyle w:val="5"/>
        <w:bidi w:val="0"/>
      </w:pPr>
    </w:p>
    <w:p>
      <w:pPr>
        <w:pStyle w:val="5"/>
        <w:bidi w:val="0"/>
        <w:ind w:firstLine="964" w:firstLineChars="300"/>
        <w:rPr>
          <w:lang w:val="zh-CN"/>
        </w:rPr>
      </w:pPr>
      <w:bookmarkStart w:id="136" w:name="_Toc6406"/>
      <w:bookmarkStart w:id="137" w:name="_Toc7591"/>
      <w:r>
        <w:rPr>
          <w:rFonts w:hint="eastAsia"/>
          <w:lang w:val="zh-CN"/>
        </w:rPr>
        <w:t>无线电管理费用项目</w:t>
      </w:r>
      <w:r>
        <w:rPr>
          <w:rFonts w:hint="eastAsia"/>
        </w:rPr>
        <w:t>2019年</w:t>
      </w:r>
      <w:r>
        <w:rPr>
          <w:rFonts w:hint="eastAsia"/>
          <w:lang w:val="zh-CN"/>
        </w:rPr>
        <w:t>绩效评价报告</w:t>
      </w:r>
      <w:bookmarkEnd w:id="136"/>
      <w:bookmarkEnd w:id="137"/>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1．说明项目主管部门（单位）在该项目管理中的职能。</w:t>
      </w:r>
    </w:p>
    <w:p>
      <w:pPr>
        <w:pStyle w:val="2"/>
        <w:rPr>
          <w:lang w:val="zh-CN"/>
        </w:rPr>
      </w:pPr>
      <w:r>
        <w:rPr>
          <w:rFonts w:hint="eastAsia"/>
          <w:lang w:val="zh-CN"/>
        </w:rPr>
        <w:t>指导工业、商贸企业生产质量管理工作；配合做好指导工业、相关生产服务业、软件和信息服务业领域安全生产工作；组织协调全市煤炭、电力、油品等重要物资供应，负责工业、信息化领域的应急物资管理有关工作。</w:t>
      </w:r>
    </w:p>
    <w:p>
      <w:pPr>
        <w:numPr>
          <w:ilvl w:val="0"/>
          <w:numId w:val="5"/>
        </w:numPr>
        <w:adjustRightInd w:val="0"/>
        <w:snapToGrid w:val="0"/>
        <w:spacing w:line="600" w:lineRule="exact"/>
        <w:ind w:left="0" w:leftChars="0" w:firstLine="640" w:firstLineChars="0"/>
        <w:rPr>
          <w:rFonts w:hint="eastAsia" w:ascii="仿宋_GB2312" w:hAnsi="宋体" w:eastAsia="仿宋_GB2312"/>
          <w:sz w:val="32"/>
          <w:szCs w:val="32"/>
          <w:lang w:val="zh-CN"/>
        </w:rPr>
      </w:pPr>
      <w:r>
        <w:rPr>
          <w:rFonts w:hint="eastAsia" w:ascii="仿宋_GB2312" w:hAnsi="宋体" w:eastAsia="仿宋_GB2312"/>
          <w:sz w:val="32"/>
          <w:szCs w:val="32"/>
          <w:lang w:val="zh-CN"/>
        </w:rPr>
        <w:t>项目立项、资金申报的依据。</w:t>
      </w:r>
    </w:p>
    <w:p>
      <w:pPr>
        <w:pStyle w:val="2"/>
        <w:numPr>
          <w:ilvl w:val="0"/>
          <w:numId w:val="0"/>
        </w:numPr>
        <w:ind w:left="640" w:leftChars="0"/>
        <w:rPr>
          <w:rFonts w:hint="eastAsia" w:eastAsia="仿宋_GB2312"/>
          <w:lang w:val="en-US" w:eastAsia="zh-CN"/>
        </w:rPr>
      </w:pPr>
      <w:r>
        <w:rPr>
          <w:rFonts w:hint="eastAsia"/>
          <w:lang w:val="en-US" w:eastAsia="zh-CN"/>
        </w:rPr>
        <w:t xml:space="preserve">  项目属于政策性项目，资金来源：</w:t>
      </w:r>
      <w:r>
        <w:rPr>
          <w:rFonts w:hint="eastAsia" w:ascii="仿宋_GB2312" w:hAnsi="仿宋_GB2312" w:eastAsia="仿宋_GB2312" w:cs="仿宋_GB2312"/>
          <w:sz w:val="32"/>
          <w:szCs w:val="32"/>
        </w:rPr>
        <w:t>阿州财建2018-105号</w:t>
      </w:r>
      <w:r>
        <w:rPr>
          <w:rFonts w:hint="eastAsia" w:hAnsi="仿宋_GB2312" w:cs="仿宋_GB2312"/>
          <w:sz w:val="32"/>
          <w:szCs w:val="32"/>
          <w:lang w:eastAsia="zh-CN"/>
        </w:rPr>
        <w:t>。</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3．资金管理办法制定情况，资金支持具体项目的条件、范围与支持方式概况。</w:t>
      </w:r>
    </w:p>
    <w:p>
      <w:pPr>
        <w:pStyle w:val="2"/>
        <w:rPr>
          <w:lang w:val="zh-CN"/>
        </w:rPr>
      </w:pPr>
      <w:r>
        <w:rPr>
          <w:rFonts w:hint="eastAsia" w:ascii="仿宋_GB2312" w:hAnsi="黑体" w:eastAsia="仿宋_GB2312"/>
          <w:sz w:val="32"/>
          <w:szCs w:val="32"/>
        </w:rPr>
        <w:t>无线电频率占用费基金的管理和使用严格执行省、州相关政策规定，并建立资金管理制度，规范专项基金管理，保障资金安全。</w:t>
      </w:r>
    </w:p>
    <w:p>
      <w:pPr>
        <w:numPr>
          <w:ilvl w:val="0"/>
          <w:numId w:val="5"/>
        </w:numPr>
        <w:adjustRightInd w:val="0"/>
        <w:snapToGrid w:val="0"/>
        <w:spacing w:line="600" w:lineRule="exact"/>
        <w:ind w:left="0" w:leftChars="0" w:firstLine="640" w:firstLineChars="0"/>
        <w:rPr>
          <w:rFonts w:hint="eastAsia" w:ascii="仿宋_GB2312" w:hAnsi="宋体" w:eastAsia="仿宋_GB2312"/>
          <w:sz w:val="32"/>
          <w:szCs w:val="32"/>
          <w:lang w:val="zh-CN"/>
        </w:rPr>
      </w:pPr>
      <w:r>
        <w:rPr>
          <w:rFonts w:hint="eastAsia" w:ascii="仿宋_GB2312" w:hAnsi="宋体" w:eastAsia="仿宋_GB2312"/>
          <w:sz w:val="32"/>
          <w:szCs w:val="32"/>
          <w:lang w:val="zh-CN"/>
        </w:rPr>
        <w:t>资金分配的原则及考虑因素。</w:t>
      </w:r>
    </w:p>
    <w:p>
      <w:pPr>
        <w:pStyle w:val="2"/>
        <w:numPr>
          <w:ilvl w:val="0"/>
          <w:numId w:val="0"/>
        </w:numPr>
        <w:ind w:left="640" w:leftChars="0" w:firstLine="640" w:firstLineChars="200"/>
        <w:rPr>
          <w:rFonts w:hint="eastAsia" w:eastAsia="仿宋_GB2312"/>
          <w:lang w:val="zh-CN" w:eastAsia="zh-CN"/>
        </w:rPr>
      </w:pPr>
      <w:r>
        <w:rPr>
          <w:rFonts w:hint="eastAsia" w:hAnsi="黑体"/>
          <w:sz w:val="32"/>
          <w:szCs w:val="32"/>
          <w:lang w:eastAsia="zh-CN"/>
        </w:rPr>
        <w:t>项目</w:t>
      </w:r>
      <w:r>
        <w:rPr>
          <w:rFonts w:hint="eastAsia" w:ascii="仿宋_GB2312" w:hAnsi="黑体" w:eastAsia="仿宋_GB2312"/>
          <w:sz w:val="32"/>
          <w:szCs w:val="32"/>
        </w:rPr>
        <w:t>专款专用、专项管理</w:t>
      </w:r>
      <w:r>
        <w:rPr>
          <w:rFonts w:hint="eastAsia" w:hAnsi="黑体"/>
          <w:sz w:val="32"/>
          <w:szCs w:val="32"/>
          <w:lang w:eastAsia="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1．项目主要内容。</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黑体" w:eastAsia="仿宋_GB2312"/>
          <w:sz w:val="32"/>
          <w:szCs w:val="32"/>
        </w:rPr>
        <w:t>均用于缴纳小型无线电监测站机房电费，网费及话费。剩余资金将全部用于无线电短波天线铁塔及相关电路改造建设。</w:t>
      </w:r>
    </w:p>
    <w:p>
      <w:pPr>
        <w:numPr>
          <w:ilvl w:val="0"/>
          <w:numId w:val="10"/>
        </w:num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项目应实现的具体绩效目标，包括目标的量化、细化情况以及项目实施进度计划等。</w:t>
      </w:r>
    </w:p>
    <w:p>
      <w:pPr>
        <w:pStyle w:val="2"/>
        <w:rPr>
          <w:rFonts w:hint="default" w:eastAsia="仿宋_GB2312"/>
          <w:lang w:val="en-US" w:eastAsia="zh-CN"/>
        </w:rPr>
      </w:pPr>
      <w:r>
        <w:rPr>
          <w:rFonts w:hint="eastAsia" w:hAnsi="宋体"/>
          <w:sz w:val="32"/>
          <w:szCs w:val="32"/>
          <w:lang w:val="zh-CN"/>
        </w:rPr>
        <w:t>支持与促进我县无线电的发展，推进</w:t>
      </w:r>
      <w:r>
        <w:rPr>
          <w:rFonts w:hint="eastAsia" w:ascii="仿宋_GB2312" w:hAnsi="黑体" w:eastAsia="仿宋_GB2312"/>
          <w:sz w:val="32"/>
          <w:szCs w:val="32"/>
        </w:rPr>
        <w:t>无线电短波天线铁塔及相关电路改造建设</w:t>
      </w:r>
      <w:r>
        <w:rPr>
          <w:rFonts w:hint="eastAsia" w:hAnsi="黑体"/>
          <w:sz w:val="32"/>
          <w:szCs w:val="32"/>
          <w:lang w:eastAsia="zh-CN"/>
        </w:rPr>
        <w:t>。</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3．分析评价申报内容是否与实际相符，申报目标是否合理可行。</w:t>
      </w:r>
    </w:p>
    <w:p>
      <w:pPr>
        <w:pStyle w:val="2"/>
        <w:rPr>
          <w:lang w:val="zh-CN"/>
        </w:rPr>
      </w:pPr>
      <w:r>
        <w:rPr>
          <w:rFonts w:hint="eastAsia" w:hAnsi="黑体"/>
          <w:sz w:val="32"/>
          <w:szCs w:val="32"/>
          <w:lang w:eastAsia="zh-CN"/>
        </w:rPr>
        <w:t>无线电项目</w:t>
      </w:r>
      <w:r>
        <w:rPr>
          <w:rFonts w:hint="eastAsia" w:ascii="仿宋_GB2312" w:hAnsi="黑体" w:eastAsia="仿宋_GB2312"/>
          <w:sz w:val="32"/>
          <w:szCs w:val="32"/>
        </w:rPr>
        <w:t>确保了我县无线电监测站的正常运行，保障了无线电监测设备的日常监测工作</w:t>
      </w:r>
      <w:r>
        <w:rPr>
          <w:rFonts w:hint="eastAsia" w:hAnsi="黑体"/>
          <w:sz w:val="32"/>
          <w:szCs w:val="32"/>
          <w:lang w:eastAsia="zh-CN"/>
        </w:rPr>
        <w:t>，申</w:t>
      </w:r>
      <w:r>
        <w:rPr>
          <w:rFonts w:hint="eastAsia" w:ascii="仿宋_GB2312" w:hAnsi="宋体" w:eastAsia="仿宋_GB2312"/>
          <w:sz w:val="32"/>
          <w:szCs w:val="32"/>
          <w:lang w:val="zh-CN"/>
        </w:rPr>
        <w:t>报内容与实际相符，申报目标合理可行</w:t>
      </w:r>
      <w:r>
        <w:rPr>
          <w:rFonts w:hint="eastAsia" w:hAnsi="宋体"/>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说明项目绩效自评采用的组织实施步骤及方法。</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说明项目资金申报、批复及预算调整等程序的相关情况。</w:t>
      </w:r>
    </w:p>
    <w:p>
      <w:pPr>
        <w:pStyle w:val="2"/>
        <w:ind w:firstLine="1280" w:firstLineChars="400"/>
        <w:rPr>
          <w:lang w:val="zh-CN"/>
        </w:rPr>
      </w:pPr>
      <w:r>
        <w:rPr>
          <w:rFonts w:hint="eastAsia" w:hAnsi="宋体"/>
          <w:sz w:val="32"/>
          <w:szCs w:val="32"/>
          <w:lang w:val="zh-CN"/>
        </w:rPr>
        <w:t>无</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w:t>
      </w:r>
      <w:r>
        <w:rPr>
          <w:rFonts w:hint="eastAsia" w:ascii="仿宋_GB2312" w:hAnsi="宋体" w:eastAsia="仿宋_GB2312"/>
          <w:sz w:val="32"/>
          <w:szCs w:val="32"/>
          <w:lang w:val="zh-CN"/>
        </w:rPr>
        <w:t>该项目属于政策性项目，资金来源于财政拨款，无其它资金来源。</w:t>
      </w:r>
    </w:p>
    <w:p>
      <w:pPr>
        <w:adjustRightInd w:val="0"/>
        <w:snapToGrid w:val="0"/>
        <w:spacing w:line="600" w:lineRule="exact"/>
        <w:ind w:firstLine="720"/>
        <w:rPr>
          <w:rFonts w:hint="eastAsia" w:ascii="仿宋_GB2312" w:hAnsi="宋体" w:eastAsia="仿宋_GB2312"/>
          <w:sz w:val="32"/>
          <w:szCs w:val="32"/>
          <w:lang w:val="en-US" w:eastAsia="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en-US" w:eastAsia="zh-CN"/>
        </w:rPr>
        <w:t>2019年无线电项目支出资金属于2018年该项目的存量资金，2019年无线电项目资金已到位。</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楷体_GB2312" w:hAnsi="宋体" w:eastAsia="楷体_GB2312"/>
          <w:sz w:val="32"/>
          <w:szCs w:val="32"/>
          <w:lang w:val="en-US" w:eastAsia="zh-CN"/>
        </w:rPr>
        <w:t>2019年资金支出30000元，使用</w:t>
      </w:r>
      <w:r>
        <w:rPr>
          <w:rFonts w:hint="eastAsia" w:ascii="仿宋_GB2312" w:hAnsi="黑体" w:eastAsia="仿宋_GB2312"/>
          <w:sz w:val="32"/>
          <w:szCs w:val="32"/>
        </w:rPr>
        <w:t>均用于缴纳小型无线电监测站机房电费，网费及话费。剩余资金将全部用于无线电短波天线铁塔及相关电路改造建设</w:t>
      </w:r>
      <w:r>
        <w:rPr>
          <w:rFonts w:hint="eastAsia" w:ascii="仿宋_GB2312" w:hAnsi="黑体" w:eastAsia="仿宋_GB2312"/>
          <w:sz w:val="32"/>
          <w:szCs w:val="32"/>
          <w:lang w:eastAsia="zh-CN"/>
        </w:rPr>
        <w:t>。</w:t>
      </w:r>
      <w:r>
        <w:rPr>
          <w:rFonts w:hint="eastAsia" w:ascii="仿宋_GB2312" w:hAnsi="黑体" w:eastAsia="仿宋_GB2312"/>
          <w:sz w:val="32"/>
          <w:szCs w:val="32"/>
        </w:rPr>
        <w:t>完全按照制度规定做到专款专用，项目单位账目设置符合</w:t>
      </w:r>
      <w:r>
        <w:rPr>
          <w:rFonts w:hint="eastAsia" w:ascii="仿宋_GB2312" w:hAnsi="黑体" w:eastAsia="仿宋_GB2312"/>
          <w:sz w:val="32"/>
          <w:szCs w:val="32"/>
          <w:lang w:eastAsia="zh-CN"/>
        </w:rPr>
        <w:t>项目财务规范</w:t>
      </w:r>
      <w:r>
        <w:rPr>
          <w:rFonts w:hint="eastAsia" w:ascii="仿宋_GB2312" w:hAnsi="黑体" w:eastAsia="仿宋_GB2312"/>
          <w:sz w:val="32"/>
          <w:szCs w:val="32"/>
        </w:rPr>
        <w:t>要求</w:t>
      </w:r>
      <w:r>
        <w:rPr>
          <w:rFonts w:hint="eastAsia" w:ascii="仿宋_GB2312" w:hAnsi="黑体" w:eastAsia="仿宋_GB2312"/>
          <w:sz w:val="32"/>
          <w:szCs w:val="32"/>
          <w:lang w:eastAsia="zh-CN"/>
        </w:rPr>
        <w:t>，与</w:t>
      </w:r>
      <w:r>
        <w:rPr>
          <w:rFonts w:hint="eastAsia" w:ascii="仿宋_GB2312" w:hAnsi="宋体" w:eastAsia="仿宋_GB2312"/>
          <w:sz w:val="32"/>
          <w:szCs w:val="32"/>
          <w:lang w:val="zh-CN"/>
        </w:rPr>
        <w:t>预算相符，自评中未发现相关问题。</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单位财务管理制度健全，严格执行财务管理制度，账务处理及时，会计核算规范。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项目属于政策性项目，故无项目招投标、项目采购程序，每年项目的收支情况已经项目资金用途已按照相关政策要求公示于本单位公示栏。</w:t>
      </w:r>
    </w:p>
    <w:p>
      <w:pPr>
        <w:adjustRightInd w:val="0"/>
        <w:snapToGrid w:val="0"/>
        <w:spacing w:line="600" w:lineRule="exact"/>
        <w:ind w:firstLine="720"/>
        <w:rPr>
          <w:rFonts w:hint="eastAsia" w:ascii="仿宋_GB2312" w:hAnsi="黑体" w:eastAsia="仿宋_GB2312"/>
          <w:sz w:val="32"/>
          <w:szCs w:val="32"/>
          <w:lang w:eastAsia="zh-CN"/>
        </w:rPr>
      </w:pPr>
      <w:r>
        <w:rPr>
          <w:rFonts w:hint="eastAsia" w:ascii="楷体_GB2312" w:hAnsi="宋体" w:eastAsia="楷体_GB2312"/>
          <w:b/>
          <w:sz w:val="32"/>
          <w:szCs w:val="32"/>
          <w:lang w:val="zh-CN"/>
        </w:rPr>
        <w:t>（三）项目监管情况。</w:t>
      </w:r>
      <w:r>
        <w:rPr>
          <w:rFonts w:hint="eastAsia" w:ascii="仿宋_GB2312" w:hAnsi="黑体" w:eastAsia="仿宋_GB2312"/>
          <w:sz w:val="32"/>
          <w:szCs w:val="32"/>
        </w:rPr>
        <w:t>我局严格按照资金用途规范管理，</w:t>
      </w:r>
      <w:r>
        <w:rPr>
          <w:rFonts w:hint="eastAsia" w:ascii="仿宋_GB2312" w:hAnsi="黑体" w:eastAsia="仿宋_GB2312"/>
          <w:sz w:val="32"/>
          <w:szCs w:val="32"/>
          <w:lang w:eastAsia="zh-CN"/>
        </w:rPr>
        <w:t>根据年初</w:t>
      </w:r>
      <w:r>
        <w:rPr>
          <w:rFonts w:hint="eastAsia" w:ascii="仿宋_GB2312" w:hAnsi="黑体" w:eastAsia="仿宋_GB2312"/>
          <w:sz w:val="32"/>
          <w:szCs w:val="32"/>
        </w:rPr>
        <w:t>预算</w:t>
      </w:r>
      <w:r>
        <w:rPr>
          <w:rFonts w:hint="eastAsia" w:ascii="仿宋_GB2312" w:hAnsi="黑体" w:eastAsia="仿宋_GB2312"/>
          <w:sz w:val="32"/>
          <w:szCs w:val="32"/>
          <w:lang w:eastAsia="zh-CN"/>
        </w:rPr>
        <w:t>，根据省、州文件，做到专款专用，</w:t>
      </w:r>
      <w:r>
        <w:rPr>
          <w:rFonts w:hint="eastAsia" w:ascii="仿宋_GB2312" w:hAnsi="黑体" w:eastAsia="仿宋_GB2312"/>
          <w:sz w:val="32"/>
          <w:szCs w:val="32"/>
        </w:rPr>
        <w:t>确保我县无线电监测站的正常运行，保障无线电监测设备的日常监测工作</w:t>
      </w:r>
      <w:r>
        <w:rPr>
          <w:rFonts w:hint="eastAsia" w:ascii="仿宋_GB2312" w:hAnsi="黑体" w:eastAsia="仿宋_GB2312"/>
          <w:sz w:val="32"/>
          <w:szCs w:val="32"/>
          <w:lang w:eastAsia="zh-CN"/>
        </w:rPr>
        <w:t>。</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项目严格按照省、州文件要求，县级年度目标任务顺利完成。</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lang w:val="zh-CN"/>
        </w:rPr>
      </w:pPr>
      <w:r>
        <w:rPr>
          <w:rFonts w:hint="eastAsia" w:ascii="仿宋_GB2312" w:hAnsi="宋体" w:eastAsia="仿宋_GB2312"/>
          <w:sz w:val="32"/>
          <w:szCs w:val="32"/>
          <w:lang w:val="zh-CN"/>
        </w:rPr>
        <w:t>项目的顺利推进打下了良好的大数据分析应用基础</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促进了地方经济发展、促进社会进步。</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720"/>
        <w:rPr>
          <w:rFonts w:hint="eastAsia" w:ascii="仿宋_GB2312" w:hAnsi="宋体" w:eastAsia="仿宋_GB2312"/>
          <w:sz w:val="32"/>
          <w:szCs w:val="32"/>
          <w:bdr w:val="single" w:color="auto" w:sz="4" w:space="0"/>
          <w:lang w:val="zh-CN" w:eastAsia="zh-CN"/>
        </w:rPr>
      </w:pPr>
      <w:r>
        <w:rPr>
          <w:rFonts w:hint="eastAsia" w:ascii="仿宋_GB2312" w:hAnsi="黑体" w:eastAsia="仿宋_GB2312"/>
          <w:sz w:val="32"/>
          <w:szCs w:val="32"/>
        </w:rPr>
        <w:t>我县使用无线电频率占用费基金，充分发挥了资金的使用效益，确保了我县无线电监测站的正常运行，保障了无线电监测设备的日常监测工作</w:t>
      </w:r>
      <w:r>
        <w:rPr>
          <w:rFonts w:hint="eastAsia" w:ascii="仿宋_GB2312" w:hAnsi="黑体" w:eastAsia="仿宋_GB2312"/>
          <w:sz w:val="32"/>
          <w:szCs w:val="32"/>
          <w:lang w:eastAsia="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1280" w:firstLineChars="4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600" w:lineRule="exact"/>
        <w:ind w:firstLine="1280" w:firstLineChars="400"/>
        <w:jc w:val="both"/>
        <w:outlineLvl w:val="0"/>
        <w:rPr>
          <w:rFonts w:hint="eastAsia" w:ascii="黑体" w:hAnsi="黑体" w:eastAsia="黑体"/>
          <w:color w:val="000000"/>
          <w:sz w:val="44"/>
          <w:szCs w:val="44"/>
        </w:rPr>
      </w:pPr>
      <w:bookmarkStart w:id="138" w:name="_Toc4573"/>
      <w:bookmarkStart w:id="139" w:name="_Toc22852"/>
      <w:bookmarkStart w:id="140" w:name="_Toc15396618"/>
      <w:r>
        <w:rPr>
          <w:rFonts w:hint="eastAsia" w:ascii="仿宋_GB2312" w:hAnsi="宋体" w:eastAsia="仿宋_GB2312"/>
          <w:sz w:val="32"/>
          <w:szCs w:val="32"/>
          <w:lang w:val="zh-CN"/>
        </w:rPr>
        <w:t>无</w:t>
      </w:r>
      <w:bookmarkEnd w:id="138"/>
      <w:bookmarkEnd w:id="139"/>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pStyle w:val="5"/>
        <w:bidi w:val="0"/>
        <w:jc w:val="center"/>
        <w:rPr>
          <w:lang w:val="zh-CN"/>
        </w:rPr>
      </w:pPr>
      <w:bookmarkStart w:id="141" w:name="_Toc224"/>
      <w:bookmarkStart w:id="142" w:name="_Toc15348"/>
      <w:r>
        <w:rPr>
          <w:rFonts w:hint="eastAsia"/>
        </w:rPr>
        <w:t>无害化处理厂固资评估费</w:t>
      </w:r>
      <w:r>
        <w:rPr>
          <w:rFonts w:hint="eastAsia"/>
          <w:lang w:val="zh-CN"/>
        </w:rPr>
        <w:t>项目</w:t>
      </w:r>
      <w:bookmarkEnd w:id="141"/>
      <w:bookmarkStart w:id="143" w:name="_Toc5032"/>
      <w:r>
        <w:rPr>
          <w:rFonts w:hint="eastAsia"/>
        </w:rPr>
        <w:t>2019年</w:t>
      </w:r>
      <w:r>
        <w:rPr>
          <w:rFonts w:hint="eastAsia"/>
          <w:lang w:val="zh-CN"/>
        </w:rPr>
        <w:t>绩效评价报告</w:t>
      </w:r>
      <w:bookmarkEnd w:id="142"/>
      <w:bookmarkEnd w:id="143"/>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1．说明项目主管部门（单位）在该项目管理中的职能。</w:t>
      </w:r>
    </w:p>
    <w:p>
      <w:pPr>
        <w:pStyle w:val="2"/>
        <w:rPr>
          <w:rFonts w:hint="eastAsia" w:eastAsia="仿宋_GB2312"/>
          <w:lang w:val="en-US" w:eastAsia="zh-CN"/>
        </w:rPr>
      </w:pPr>
      <w:r>
        <w:rPr>
          <w:rFonts w:hint="eastAsia" w:ascii="仿宋_GB2312" w:hAnsi="宋体" w:eastAsia="仿宋_GB2312" w:cs="仿宋_GB2312"/>
          <w:sz w:val="32"/>
          <w:szCs w:val="32"/>
          <w:lang w:val="zh-CN"/>
        </w:rPr>
        <w:t>我局按照《动物防疫法》《动物防疫条件审查办法》等国家法律法规要求</w:t>
      </w:r>
      <w:r>
        <w:rPr>
          <w:rFonts w:ascii="仿宋_GB2312" w:hAnsi="宋体" w:eastAsia="仿宋_GB2312" w:cs="仿宋_GB2312"/>
          <w:sz w:val="32"/>
          <w:szCs w:val="32"/>
        </w:rPr>
        <w:t>,</w:t>
      </w:r>
      <w:r>
        <w:rPr>
          <w:rFonts w:hint="eastAsia" w:ascii="仿宋_GB2312" w:hAnsi="宋体" w:eastAsia="仿宋_GB2312" w:cs="仿宋_GB2312"/>
          <w:sz w:val="32"/>
          <w:szCs w:val="32"/>
        </w:rPr>
        <w:t>负责配合协调办理项目的相关运营资质，</w:t>
      </w:r>
      <w:r>
        <w:rPr>
          <w:rFonts w:hint="eastAsia" w:ascii="仿宋_GB2312" w:hAnsi="宋体" w:eastAsia="仿宋_GB2312" w:cs="仿宋_GB2312"/>
          <w:sz w:val="32"/>
          <w:szCs w:val="32"/>
          <w:lang w:val="zh-CN"/>
        </w:rPr>
        <w:t>前期投资和实施过程进行监督指导</w:t>
      </w:r>
      <w:r>
        <w:rPr>
          <w:rFonts w:hint="eastAsia" w:hAnsi="宋体" w:cs="仿宋_GB2312"/>
          <w:sz w:val="32"/>
          <w:szCs w:val="32"/>
          <w:lang w:val="zh-CN" w:eastAsia="zh-CN"/>
        </w:rPr>
        <w:t>。</w:t>
      </w:r>
    </w:p>
    <w:p>
      <w:pPr>
        <w:numPr>
          <w:ilvl w:val="0"/>
          <w:numId w:val="0"/>
        </w:numPr>
        <w:adjustRightInd w:val="0"/>
        <w:snapToGrid w:val="0"/>
        <w:spacing w:line="600" w:lineRule="exact"/>
        <w:ind w:left="720" w:leftChars="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2.</w:t>
      </w:r>
      <w:r>
        <w:rPr>
          <w:rFonts w:hint="eastAsia" w:ascii="仿宋_GB2312" w:hAnsi="宋体" w:eastAsia="仿宋_GB2312"/>
          <w:sz w:val="32"/>
          <w:szCs w:val="32"/>
          <w:lang w:val="zh-CN"/>
        </w:rPr>
        <w:t>项目立项、资金申报的依据。</w:t>
      </w:r>
    </w:p>
    <w:p>
      <w:pPr>
        <w:pStyle w:val="2"/>
        <w:numPr>
          <w:ilvl w:val="0"/>
          <w:numId w:val="0"/>
        </w:numPr>
        <w:ind w:firstLine="640" w:firstLineChars="200"/>
        <w:rPr>
          <w:lang w:val="zh-CN"/>
        </w:rPr>
      </w:pPr>
      <w:r>
        <w:rPr>
          <w:rFonts w:hint="eastAsia"/>
          <w:lang w:val="zh-CN"/>
        </w:rPr>
        <w:t>项目属于固定资产评估费，无立项依据，资金来源：经请示县人民政府，拨付项目资金</w:t>
      </w:r>
      <w:r>
        <w:rPr>
          <w:rFonts w:hint="eastAsia"/>
          <w:lang w:val="en-US" w:eastAsia="zh-CN"/>
        </w:rPr>
        <w:t>56000元（</w:t>
      </w:r>
      <w:r>
        <w:rPr>
          <w:rFonts w:hint="eastAsia"/>
          <w:lang w:val="zh-CN"/>
        </w:rPr>
        <w:t>红财预追2019-393号</w:t>
      </w:r>
      <w:r>
        <w:rPr>
          <w:rFonts w:hint="eastAsia"/>
          <w:lang w:val="en-US" w:eastAsia="zh-CN"/>
        </w:rPr>
        <w:t>）。</w:t>
      </w:r>
    </w:p>
    <w:p>
      <w:pPr>
        <w:numPr>
          <w:ilvl w:val="0"/>
          <w:numId w:val="10"/>
        </w:numPr>
        <w:adjustRightInd w:val="0"/>
        <w:snapToGrid w:val="0"/>
        <w:spacing w:line="600" w:lineRule="exact"/>
        <w:ind w:left="0" w:leftChars="0" w:firstLine="720" w:firstLineChars="0"/>
        <w:rPr>
          <w:rFonts w:hint="eastAsia" w:ascii="仿宋_GB2312" w:hAnsi="宋体" w:eastAsia="仿宋_GB2312"/>
          <w:sz w:val="32"/>
          <w:szCs w:val="32"/>
          <w:lang w:val="zh-CN"/>
        </w:rPr>
      </w:pPr>
      <w:r>
        <w:rPr>
          <w:rFonts w:hint="eastAsia" w:ascii="仿宋_GB2312" w:hAnsi="宋体" w:eastAsia="仿宋_GB2312"/>
          <w:sz w:val="32"/>
          <w:szCs w:val="32"/>
          <w:lang w:val="zh-CN"/>
        </w:rPr>
        <w:t>资金管理办法制定情况，资金支持具体项目的条件、范围与支持方式概况。</w:t>
      </w:r>
    </w:p>
    <w:p>
      <w:pPr>
        <w:pStyle w:val="2"/>
        <w:numPr>
          <w:ilvl w:val="0"/>
          <w:numId w:val="0"/>
        </w:numPr>
        <w:ind w:firstLine="640" w:firstLineChars="200"/>
        <w:rPr>
          <w:lang w:val="zh-CN"/>
        </w:rPr>
      </w:pPr>
      <w:r>
        <w:rPr>
          <w:rFonts w:hint="eastAsia"/>
          <w:lang w:val="zh-CN"/>
        </w:rPr>
        <w:t>资金管理按照固定资产评估</w:t>
      </w:r>
      <w:r>
        <w:rPr>
          <w:rFonts w:hint="eastAsia"/>
          <w:color w:val="auto"/>
          <w:lang w:val="zh-CN"/>
        </w:rPr>
        <w:t>费最终审计价格</w:t>
      </w:r>
      <w:r>
        <w:rPr>
          <w:rFonts w:hint="eastAsia"/>
          <w:lang w:val="zh-CN"/>
        </w:rPr>
        <w:t>为依据，用多少请示多少为原则，全力支持无害化固定资产评估顺利实施。</w:t>
      </w:r>
    </w:p>
    <w:p>
      <w:pPr>
        <w:numPr>
          <w:ilvl w:val="0"/>
          <w:numId w:val="10"/>
        </w:numPr>
        <w:adjustRightInd w:val="0"/>
        <w:snapToGrid w:val="0"/>
        <w:spacing w:line="600" w:lineRule="exact"/>
        <w:ind w:left="0" w:leftChars="0" w:firstLine="720" w:firstLineChars="0"/>
        <w:rPr>
          <w:rFonts w:hint="eastAsia" w:ascii="仿宋_GB2312" w:hAnsi="宋体" w:eastAsia="仿宋_GB2312"/>
          <w:sz w:val="32"/>
          <w:szCs w:val="32"/>
          <w:lang w:val="zh-CN"/>
        </w:rPr>
      </w:pPr>
      <w:r>
        <w:rPr>
          <w:rFonts w:hint="eastAsia" w:ascii="仿宋_GB2312" w:hAnsi="宋体" w:eastAsia="仿宋_GB2312"/>
          <w:sz w:val="32"/>
          <w:szCs w:val="32"/>
          <w:lang w:val="zh-CN"/>
        </w:rPr>
        <w:t>资金分配的原则及考虑因素。</w:t>
      </w:r>
    </w:p>
    <w:p>
      <w:pPr>
        <w:pStyle w:val="2"/>
        <w:numPr>
          <w:ilvl w:val="0"/>
          <w:numId w:val="0"/>
        </w:numPr>
        <w:ind w:left="720" w:leftChars="0"/>
        <w:rPr>
          <w:rFonts w:hint="default" w:eastAsia="仿宋_GB2312"/>
          <w:lang w:val="en-US" w:eastAsia="zh-CN"/>
        </w:rPr>
      </w:pPr>
      <w:r>
        <w:rPr>
          <w:rFonts w:hint="eastAsia"/>
          <w:lang w:val="en-US" w:eastAsia="zh-CN"/>
        </w:rPr>
        <w:t xml:space="preserve">  专款专用、实报实销。</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1．项目主要内容。</w:t>
      </w:r>
    </w:p>
    <w:p>
      <w:pPr>
        <w:pStyle w:val="2"/>
        <w:rPr>
          <w:lang w:val="zh-CN"/>
        </w:rPr>
      </w:pPr>
      <w:r>
        <w:rPr>
          <w:rFonts w:hint="eastAsia" w:hAnsi="宋体" w:cs="仿宋_GB2312"/>
          <w:sz w:val="32"/>
          <w:lang w:val="zh-CN"/>
        </w:rPr>
        <w:t>项目委托具备固定资产评估的第三方公司对对</w:t>
      </w:r>
      <w:r>
        <w:rPr>
          <w:rFonts w:hint="eastAsia" w:ascii="仿宋_GB2312" w:hAnsi="宋体" w:eastAsia="仿宋_GB2312" w:cs="仿宋_GB2312"/>
          <w:sz w:val="32"/>
          <w:lang w:val="zh-CN"/>
        </w:rPr>
        <w:t>无害化处理厂</w:t>
      </w:r>
      <w:r>
        <w:rPr>
          <w:rFonts w:hint="eastAsia" w:hAnsi="宋体" w:cs="仿宋_GB2312"/>
          <w:sz w:val="32"/>
          <w:lang w:val="zh-CN"/>
        </w:rPr>
        <w:t>厂</w:t>
      </w:r>
      <w:r>
        <w:rPr>
          <w:rFonts w:hint="eastAsia" w:ascii="仿宋_GB2312" w:hAnsi="宋体" w:eastAsia="仿宋_GB2312" w:cs="仿宋_GB2312"/>
          <w:sz w:val="32"/>
          <w:lang w:val="zh-CN"/>
        </w:rPr>
        <w:t>房</w:t>
      </w:r>
      <w:r>
        <w:rPr>
          <w:rFonts w:hint="eastAsia" w:hAnsi="宋体" w:cs="仿宋_GB2312"/>
          <w:sz w:val="32"/>
          <w:lang w:val="zh-CN"/>
        </w:rPr>
        <w:t>进行固定资产评估。</w:t>
      </w:r>
    </w:p>
    <w:p>
      <w:pPr>
        <w:numPr>
          <w:ilvl w:val="0"/>
          <w:numId w:val="11"/>
        </w:num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项目应实现的具体绩效目标，包括目标的量化、细化情况以及项目实施进度计划等。</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3．分析评价申报内容与实际相符，申报目标合理可行。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580" w:lineRule="exact"/>
        <w:ind w:firstLine="720"/>
        <w:rPr>
          <w:lang w:val="zh-CN"/>
        </w:rPr>
      </w:pPr>
      <w:r>
        <w:rPr>
          <w:rFonts w:hint="eastAsia" w:ascii="仿宋_GB2312" w:hAnsi="宋体" w:eastAsia="仿宋_GB2312" w:cs="仿宋_GB2312"/>
          <w:color w:val="000000"/>
          <w:sz w:val="32"/>
          <w:szCs w:val="32"/>
          <w:shd w:val="clear" w:color="auto" w:fill="FFFFFF"/>
        </w:rPr>
        <w:t>项目成立项目自评小组，结合评价内容，做到有计划，有安排，扎实开展本次自评工作。按照上级下达的项目支出绩效评价指标体系，自评小组针对申报内容、实施情况、资金兑现、财务管理、社会效益等做出自我评价，认真听取</w:t>
      </w:r>
      <w:r>
        <w:rPr>
          <w:rFonts w:hint="eastAsia" w:ascii="仿宋_GB2312" w:hAnsi="宋体" w:cs="仿宋_GB2312"/>
          <w:color w:val="000000"/>
          <w:sz w:val="32"/>
          <w:szCs w:val="32"/>
          <w:shd w:val="clear" w:color="auto" w:fill="FFFFFF"/>
        </w:rPr>
        <w:t>各方</w:t>
      </w:r>
      <w:r>
        <w:rPr>
          <w:rFonts w:hint="eastAsia" w:ascii="仿宋_GB2312" w:hAnsi="宋体" w:eastAsia="仿宋_GB2312" w:cs="仿宋_GB2312"/>
          <w:color w:val="000000"/>
          <w:sz w:val="32"/>
          <w:szCs w:val="32"/>
          <w:shd w:val="clear" w:color="auto" w:fill="FFFFFF"/>
        </w:rPr>
        <w:t>建议意见，做好自评工作。</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hint="default" w:ascii="仿宋_GB2312" w:hAnsi="宋体" w:eastAsia="仿宋_GB2312"/>
          <w:sz w:val="32"/>
          <w:szCs w:val="32"/>
          <w:lang w:val="en-US" w:eastAsia="zh-CN"/>
        </w:rPr>
      </w:pPr>
      <w:r>
        <w:rPr>
          <w:rFonts w:hint="eastAsia" w:ascii="仿宋_GB2312" w:hAnsi="宋体" w:eastAsia="仿宋_GB2312"/>
          <w:sz w:val="32"/>
          <w:szCs w:val="32"/>
          <w:lang w:val="zh-CN"/>
        </w:rPr>
        <w:t>项目资金经我局请示，县人民政府批复，拨付项目资金</w:t>
      </w:r>
      <w:r>
        <w:rPr>
          <w:rFonts w:hint="eastAsia" w:ascii="仿宋_GB2312" w:hAnsi="宋体" w:eastAsia="仿宋_GB2312"/>
          <w:sz w:val="32"/>
          <w:szCs w:val="32"/>
          <w:lang w:val="en-US" w:eastAsia="zh-CN"/>
        </w:rPr>
        <w:t>56000元（红财预追2019-393号）。</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hint="eastAsia" w:ascii="楷体_GB2312" w:hAnsi="宋体" w:eastAsia="楷体_GB2312"/>
          <w:sz w:val="32"/>
          <w:szCs w:val="32"/>
          <w:lang w:val="zh-CN"/>
        </w:rPr>
      </w:pPr>
      <w:r>
        <w:rPr>
          <w:rFonts w:hint="eastAsia" w:ascii="楷体_GB2312" w:hAnsi="宋体" w:eastAsia="楷体_GB2312"/>
          <w:sz w:val="32"/>
          <w:szCs w:val="32"/>
          <w:lang w:val="zh-CN"/>
        </w:rPr>
        <w:t>1．资金计划</w:t>
      </w:r>
      <w:r>
        <w:rPr>
          <w:rFonts w:hint="eastAsia" w:ascii="楷体_GB2312" w:hAnsi="宋体" w:eastAsia="楷体_GB2312"/>
          <w:sz w:val="32"/>
          <w:szCs w:val="32"/>
          <w:lang w:val="en-US" w:eastAsia="zh-CN"/>
        </w:rPr>
        <w:t>56000元</w:t>
      </w:r>
      <w:r>
        <w:rPr>
          <w:rFonts w:hint="eastAsia" w:ascii="楷体_GB2312" w:hAnsi="宋体" w:eastAsia="楷体_GB2312"/>
          <w:sz w:val="32"/>
          <w:szCs w:val="32"/>
          <w:lang w:val="zh-CN"/>
        </w:rPr>
        <w:t>。</w:t>
      </w:r>
    </w:p>
    <w:p>
      <w:pPr>
        <w:adjustRightInd w:val="0"/>
        <w:snapToGrid w:val="0"/>
        <w:spacing w:line="600" w:lineRule="exact"/>
        <w:ind w:firstLine="720"/>
        <w:rPr>
          <w:rFonts w:hint="default" w:ascii="楷体_GB2312" w:hAnsi="宋体" w:eastAsia="楷体_GB2312"/>
          <w:sz w:val="32"/>
          <w:szCs w:val="32"/>
          <w:lang w:val="en-US" w:eastAsia="zh-CN"/>
        </w:rPr>
      </w:pPr>
      <w:r>
        <w:rPr>
          <w:rFonts w:hint="eastAsia" w:ascii="楷体_GB2312" w:hAnsi="宋体" w:eastAsia="楷体_GB2312"/>
          <w:sz w:val="32"/>
          <w:szCs w:val="32"/>
          <w:lang w:val="zh-CN"/>
        </w:rPr>
        <w:t>2．资金到位</w:t>
      </w:r>
      <w:r>
        <w:rPr>
          <w:rFonts w:hint="eastAsia" w:ascii="楷体_GB2312" w:hAnsi="宋体" w:eastAsia="楷体_GB2312"/>
          <w:sz w:val="32"/>
          <w:szCs w:val="32"/>
          <w:lang w:val="en-US" w:eastAsia="zh-CN"/>
        </w:rPr>
        <w:t>56000元。</w:t>
      </w:r>
    </w:p>
    <w:p>
      <w:pPr>
        <w:adjustRightInd w:val="0"/>
        <w:snapToGrid w:val="0"/>
        <w:spacing w:line="600" w:lineRule="exact"/>
        <w:ind w:firstLine="720"/>
        <w:rPr>
          <w:rFonts w:hint="eastAsia" w:ascii="楷体_GB2312" w:hAnsi="宋体" w:eastAsia="楷体_GB2312"/>
          <w:sz w:val="32"/>
          <w:szCs w:val="32"/>
          <w:lang w:val="zh-CN"/>
        </w:rPr>
      </w:pPr>
      <w:r>
        <w:rPr>
          <w:rFonts w:hint="eastAsia" w:ascii="楷体_GB2312" w:hAnsi="宋体" w:eastAsia="楷体_GB2312"/>
          <w:sz w:val="32"/>
          <w:szCs w:val="32"/>
          <w:lang w:val="zh-CN"/>
        </w:rPr>
        <w:t>3．资金实报实销原则使用。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总体评价各项目实施单位财务管理制度健全，严格执行财务管理制度，账务处理做到及时处理，会计核算规范。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结合项目特点，总体评价各项目实施单位执行相关法律法规及项目管理制度，按照项目公示原则在部门公示栏进行公示。</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说明项目主管部门为加强项目管理所采取的监管手段、监管程序、监管工作开展情况及实现的效果等。</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包括项目完成数量、质量、时效、成本等情况，对照项目计划完成目标，对截止评价时点的任务量完成、质量标准、进度计划、成本控制目标的实现程度进行评价，并进行分析说明。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从项目经济效益、社会效益、生态效益、可持续效益以及服务对象满意度等方面对项目效益进行全面分析评价。</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结合项目自身特点、评价重点及管理办法等要求，围绕专项项目支出绩效评价指标体系对项目进行总体评价。</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960" w:firstLineChars="3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600" w:lineRule="exact"/>
        <w:ind w:firstLine="960" w:firstLineChars="300"/>
        <w:jc w:val="both"/>
        <w:outlineLvl w:val="0"/>
        <w:rPr>
          <w:rFonts w:hint="eastAsia" w:ascii="黑体" w:hAnsi="黑体" w:eastAsia="黑体"/>
          <w:color w:val="000000"/>
          <w:sz w:val="44"/>
          <w:szCs w:val="44"/>
        </w:rPr>
      </w:pPr>
      <w:bookmarkStart w:id="144" w:name="_Toc1225"/>
      <w:bookmarkStart w:id="145" w:name="_Toc13228"/>
      <w:r>
        <w:rPr>
          <w:rFonts w:hint="eastAsia" w:ascii="仿宋_GB2312" w:hAnsi="宋体" w:eastAsia="仿宋_GB2312"/>
          <w:sz w:val="32"/>
          <w:szCs w:val="32"/>
          <w:lang w:val="zh-CN"/>
        </w:rPr>
        <w:t>无</w:t>
      </w:r>
      <w:bookmarkEnd w:id="144"/>
      <w:bookmarkEnd w:id="145"/>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pStyle w:val="5"/>
        <w:bidi w:val="0"/>
        <w:rPr>
          <w:rFonts w:hint="eastAsia"/>
        </w:rPr>
      </w:pPr>
    </w:p>
    <w:p>
      <w:pPr>
        <w:pStyle w:val="5"/>
        <w:bidi w:val="0"/>
        <w:rPr>
          <w:rFonts w:hint="eastAsia"/>
        </w:rPr>
      </w:pPr>
      <w:bookmarkStart w:id="146" w:name="_Toc1578"/>
      <w:bookmarkStart w:id="147" w:name="_Toc10999"/>
      <w:r>
        <w:rPr>
          <w:rFonts w:hint="eastAsia"/>
          <w:lang w:val="en-US" w:eastAsia="zh-CN"/>
        </w:rPr>
        <w:t>红原县2018年以工代赈示范工程</w:t>
      </w:r>
      <w:r>
        <w:rPr>
          <w:rFonts w:hint="eastAsia"/>
        </w:rPr>
        <w:t>项目支出绩效自评报告</w:t>
      </w:r>
      <w:bookmarkEnd w:id="146"/>
      <w:bookmarkEnd w:id="147"/>
    </w:p>
    <w:p>
      <w:pPr>
        <w:pStyle w:val="2"/>
        <w:rPr>
          <w:rFonts w:hint="eastAsia"/>
          <w:lang w:val="zh-CN"/>
        </w:rPr>
      </w:pPr>
      <w:r>
        <w:rPr>
          <w:rFonts w:hint="eastAsia"/>
        </w:rPr>
        <w:t>一、</w:t>
      </w:r>
      <w:r>
        <w:rPr>
          <w:rFonts w:hint="eastAsia"/>
          <w:lang w:val="zh-CN"/>
        </w:rPr>
        <w:t>项目概况</w:t>
      </w:r>
    </w:p>
    <w:p>
      <w:pPr>
        <w:pStyle w:val="2"/>
        <w:rPr>
          <w:rFonts w:hint="eastAsia"/>
          <w:lang w:val="zh-CN"/>
        </w:rPr>
      </w:pPr>
      <w:r>
        <w:rPr>
          <w:rFonts w:hint="eastAsia"/>
          <w:lang w:val="zh-CN"/>
        </w:rPr>
        <w:t>（一）项目基本情况。</w:t>
      </w:r>
    </w:p>
    <w:p>
      <w:pPr>
        <w:pStyle w:val="2"/>
        <w:rPr>
          <w:rFonts w:hint="eastAsia"/>
          <w:lang w:val="zh-CN"/>
        </w:rPr>
      </w:pPr>
      <w:r>
        <w:rPr>
          <w:rFonts w:hint="eastAsia"/>
          <w:lang w:val="en-US" w:eastAsia="zh-CN"/>
        </w:rPr>
        <w:t>2018年我县下达以工代赈示范工程资金500万元，其中项目建设资金500万元。我局一直以来贯彻执行国家、省、州以工代赈方针、政策；负责以工代赈项目、资金计划上报及下达工作；组织有关部门搞好以工代赈项目的规划、论证、可行性研究，建设好以工代赈项目储备库；会同财政、审计、监察等部门做好以工代赈资金的监督管理；负责以工代赈项目实施的督促、检查、验收及成果宣传，做好项目的建档立卡工作。严格按照相关程序履行报批手续，并上报州以工代赈办备案，严格按照《国家以工代赈管理办法》和《财政专项扶贫资金管理办法》的规定，强化以工代赈资金管理，以工代赈资金主要用于以工代赈建设所需的材料费，技工工资及务工群众的劳务报酬。我县以工代赈资金的分配一直以来按照贫困状况、政策任务以及考虑我县实际情况给予分配。</w:t>
      </w:r>
    </w:p>
    <w:p>
      <w:pPr>
        <w:pStyle w:val="2"/>
        <w:rPr>
          <w:rFonts w:hint="eastAsia"/>
          <w:lang w:val="zh-CN"/>
        </w:rPr>
      </w:pPr>
      <w:r>
        <w:rPr>
          <w:rFonts w:hint="eastAsia"/>
          <w:lang w:val="zh-CN"/>
        </w:rPr>
        <w:t>（二）项目绩效目标。</w:t>
      </w:r>
    </w:p>
    <w:p>
      <w:pPr>
        <w:pStyle w:val="2"/>
        <w:rPr>
          <w:rFonts w:hint="eastAsia"/>
          <w:lang w:val="zh-CN"/>
        </w:rPr>
      </w:pPr>
      <w:r>
        <w:rPr>
          <w:rFonts w:hint="eastAsia"/>
          <w:lang w:val="en-US" w:eastAsia="zh-CN"/>
        </w:rPr>
        <w:t>2018年以工代赈中央预算资金下达主要用于建设红原县玛萨村新建牧道33公里。此项目建设是为了加快传统畜牧业向现代畜牧业的转变，加快推进牧区现代草原畜牧业发展，改善人民群众生存发展环境，提高农牧民生活水平，促进牧区经济社会可持续发展。项目计划2018完成前期工作，2019年5月实现开工建设，10月竣工验收。项目申报内容与实际情况项目，并且符合以工代赈相关政策规定。</w:t>
      </w:r>
    </w:p>
    <w:p>
      <w:pPr>
        <w:pStyle w:val="2"/>
        <w:rPr>
          <w:rFonts w:hint="eastAsia"/>
          <w:lang w:val="zh-CN"/>
        </w:rPr>
      </w:pPr>
      <w:r>
        <w:rPr>
          <w:rFonts w:hint="eastAsia"/>
          <w:lang w:val="zh-CN"/>
        </w:rPr>
        <w:t>（三）项目自评步骤及方法。</w:t>
      </w:r>
    </w:p>
    <w:p>
      <w:pPr>
        <w:pStyle w:val="2"/>
        <w:rPr>
          <w:rFonts w:hint="eastAsia"/>
        </w:rPr>
      </w:pPr>
      <w:r>
        <w:rPr>
          <w:rFonts w:hint="eastAsia"/>
        </w:rPr>
        <w:t>项目采取自评与他评相结合方式，成立项目自评小组，结合评价内容，做到有计划，有安排，扎实开展本次自评工作。按照上级下达的项目支出绩效评价指标体系，自评小组针对申报内容、实施情况、资金兑现、财务管理、社会效益等做出自我评价，认真听取</w:t>
      </w:r>
      <w:r>
        <w:rPr>
          <w:rFonts w:hint="eastAsia"/>
          <w:lang w:val="en-US" w:eastAsia="zh-CN"/>
        </w:rPr>
        <w:t>乡镇</w:t>
      </w:r>
      <w:r>
        <w:rPr>
          <w:rFonts w:hint="eastAsia"/>
        </w:rPr>
        <w:t>、</w:t>
      </w:r>
      <w:r>
        <w:rPr>
          <w:rFonts w:hint="eastAsia"/>
          <w:lang w:val="en-US" w:eastAsia="zh-CN"/>
        </w:rPr>
        <w:t>村</w:t>
      </w:r>
      <w:r>
        <w:rPr>
          <w:rFonts w:hint="eastAsia"/>
        </w:rPr>
        <w:t>居民建议意见，做好自评工作。</w:t>
      </w:r>
    </w:p>
    <w:p>
      <w:pPr>
        <w:pStyle w:val="2"/>
        <w:rPr>
          <w:rFonts w:hint="eastAsia"/>
        </w:rPr>
      </w:pPr>
      <w:r>
        <w:rPr>
          <w:rFonts w:hint="eastAsia"/>
        </w:rPr>
        <w:t>二、项目资金申报及使用情况</w:t>
      </w:r>
    </w:p>
    <w:p>
      <w:pPr>
        <w:pStyle w:val="2"/>
        <w:rPr>
          <w:rFonts w:hint="eastAsia"/>
          <w:lang w:val="zh-CN"/>
        </w:rPr>
      </w:pPr>
      <w:r>
        <w:rPr>
          <w:rFonts w:hint="eastAsia"/>
          <w:lang w:val="zh-CN"/>
        </w:rPr>
        <w:t>（一）项目资金申报及批复情况。</w:t>
      </w:r>
    </w:p>
    <w:p>
      <w:pPr>
        <w:pStyle w:val="2"/>
        <w:rPr>
          <w:rFonts w:hint="eastAsia"/>
          <w:lang w:val="en-US" w:eastAsia="zh-CN"/>
        </w:rPr>
      </w:pPr>
      <w:r>
        <w:rPr>
          <w:rFonts w:hint="eastAsia"/>
          <w:lang w:val="en-US" w:eastAsia="zh-CN"/>
        </w:rPr>
        <w:t>红原县2018年以工代赈示范工程建设项目申请资金500万元，阿坝州发改委办公室2018年4月17日下达《红原县2018年以工代赈示范工程建设项目中央预算内投资计划》（阿州发改〔2018〕184号），阿坝州以工代赈办公室于2018年7月25日对《红原县2018年以工代赈示范工程可行性研究报告的批复》（阿赈办〔2018〕18号）进行了批复。</w:t>
      </w:r>
    </w:p>
    <w:p>
      <w:pPr>
        <w:pStyle w:val="2"/>
        <w:rPr>
          <w:rFonts w:hint="eastAsia"/>
          <w:lang w:val="zh-CN"/>
        </w:rPr>
      </w:pPr>
      <w:r>
        <w:rPr>
          <w:rFonts w:hint="eastAsia"/>
          <w:lang w:val="zh-CN"/>
        </w:rPr>
        <w:t>（二）资金计划、到位及使用情况（可用表格形式反映）。</w:t>
      </w:r>
    </w:p>
    <w:p>
      <w:pPr>
        <w:pStyle w:val="2"/>
        <w:rPr>
          <w:rFonts w:hint="eastAsia"/>
          <w:lang w:val="zh-CN"/>
        </w:rPr>
      </w:pPr>
      <w:r>
        <w:rPr>
          <w:rFonts w:hint="eastAsia"/>
          <w:lang w:val="zh-CN"/>
        </w:rPr>
        <w:t>1．资金计划。</w:t>
      </w:r>
      <w:r>
        <w:rPr>
          <w:rFonts w:hint="eastAsia"/>
          <w:lang w:val="en-US" w:eastAsia="zh-CN"/>
        </w:rPr>
        <w:t>该项目申请中央预算内资金500万元。</w:t>
      </w:r>
    </w:p>
    <w:p>
      <w:pPr>
        <w:pStyle w:val="2"/>
        <w:rPr>
          <w:rFonts w:hint="eastAsia"/>
          <w:lang w:val="en-US" w:eastAsia="zh-CN"/>
        </w:rPr>
      </w:pPr>
      <w:r>
        <w:rPr>
          <w:rFonts w:hint="eastAsia"/>
          <w:lang w:val="zh-CN"/>
        </w:rPr>
        <w:t>2．资金到位。</w:t>
      </w:r>
      <w:r>
        <w:rPr>
          <w:rFonts w:hint="eastAsia"/>
          <w:lang w:val="en-US" w:eastAsia="zh-CN"/>
        </w:rPr>
        <w:t>截至目前资金已全面到位。</w:t>
      </w:r>
    </w:p>
    <w:p>
      <w:pPr>
        <w:pStyle w:val="2"/>
        <w:rPr>
          <w:rFonts w:hint="eastAsia"/>
          <w:lang w:val="en-US" w:eastAsia="zh-CN"/>
        </w:rPr>
      </w:pPr>
      <w:r>
        <w:rPr>
          <w:rFonts w:hint="eastAsia"/>
          <w:lang w:val="zh-CN"/>
        </w:rPr>
        <w:t>3．资金使用。</w:t>
      </w:r>
      <w:r>
        <w:rPr>
          <w:rFonts w:hint="eastAsia"/>
          <w:lang w:val="en-US" w:eastAsia="zh-CN"/>
        </w:rPr>
        <w:t>本项目总投资500万元，全部用于项目建设所需的材料费，技工工资及务工群众的劳务报酬。资金使用严格按照《国家以工代赈管理办法》和《财政专项扶贫资金管理办法》的规定进行使用。</w:t>
      </w:r>
    </w:p>
    <w:p>
      <w:pPr>
        <w:pStyle w:val="2"/>
        <w:rPr>
          <w:rFonts w:hint="eastAsia"/>
          <w:lang w:val="zh-CN"/>
        </w:rPr>
      </w:pPr>
      <w:r>
        <w:rPr>
          <w:rFonts w:hint="eastAsia"/>
          <w:lang w:val="zh-CN"/>
        </w:rPr>
        <w:t>（三）项目财务管理情况。</w:t>
      </w:r>
    </w:p>
    <w:p>
      <w:pPr>
        <w:pStyle w:val="2"/>
        <w:rPr>
          <w:rFonts w:hint="eastAsia"/>
          <w:lang w:val="zh-CN"/>
        </w:rPr>
      </w:pPr>
      <w:r>
        <w:rPr>
          <w:rFonts w:hint="eastAsia"/>
          <w:lang w:val="en-US" w:eastAsia="zh-CN"/>
        </w:rPr>
        <w:t>在此项目的实施过程中严格按照《国家以工代赈管理办法》和《财政专项扶贫资金管理办法》的规定，强化以工代赈资金管理。项目实施单位建立项目财务管理的相关条例，确保项目资金使用的规范化、科学化。</w:t>
      </w:r>
    </w:p>
    <w:p>
      <w:pPr>
        <w:pStyle w:val="2"/>
        <w:rPr>
          <w:rFonts w:hint="eastAsia"/>
        </w:rPr>
      </w:pPr>
      <w:r>
        <w:rPr>
          <w:rFonts w:hint="eastAsia"/>
        </w:rPr>
        <w:t>三、项目实施及管理情况</w:t>
      </w:r>
    </w:p>
    <w:p>
      <w:pPr>
        <w:pStyle w:val="2"/>
        <w:rPr>
          <w:rFonts w:hint="eastAsia"/>
          <w:lang w:val="zh-CN"/>
        </w:rPr>
      </w:pPr>
      <w:r>
        <w:rPr>
          <w:rFonts w:hint="eastAsia"/>
          <w:lang w:val="zh-CN"/>
        </w:rPr>
        <w:t>结合项目组织实施管理办法，重点围绕以下内容进行分析评价，并对自评中发现的问题分析说明。</w:t>
      </w:r>
    </w:p>
    <w:p>
      <w:pPr>
        <w:pStyle w:val="2"/>
        <w:rPr>
          <w:rFonts w:hint="eastAsia"/>
          <w:lang w:val="en-US" w:eastAsia="zh-CN"/>
        </w:rPr>
      </w:pPr>
      <w:r>
        <w:rPr>
          <w:rFonts w:hint="eastAsia"/>
          <w:lang w:val="zh-CN"/>
        </w:rPr>
        <w:t>项目组织架构及实施流程。</w:t>
      </w:r>
      <w:r>
        <w:rPr>
          <w:rFonts w:hint="eastAsia"/>
          <w:lang w:val="en-US" w:eastAsia="zh-CN"/>
        </w:rPr>
        <w:t>本项目由项目主管部门、行业主管部门以及实施单位共同组成项目工作领导小组，共同对项目的实施进行监管，确保项目有序推进。</w:t>
      </w:r>
    </w:p>
    <w:p>
      <w:pPr>
        <w:pStyle w:val="2"/>
        <w:rPr>
          <w:rFonts w:hint="eastAsia"/>
          <w:lang w:val="zh-CN"/>
        </w:rPr>
      </w:pPr>
      <w:r>
        <w:rPr>
          <w:rFonts w:hint="eastAsia"/>
          <w:lang w:val="zh-CN"/>
        </w:rPr>
        <w:t>（二）项目管理情况。</w:t>
      </w:r>
      <w:r>
        <w:rPr>
          <w:rFonts w:hint="eastAsia"/>
        </w:rPr>
        <w:t>本项目采取项目工作领导小组负责制，全体成员积极配合、通力合作。项目工作领导小组负责协调相关工作，项目实施及资金管理。</w:t>
      </w:r>
    </w:p>
    <w:p>
      <w:pPr>
        <w:pStyle w:val="2"/>
        <w:rPr>
          <w:rFonts w:hint="eastAsia"/>
          <w:lang w:val="zh-CN"/>
        </w:rPr>
      </w:pPr>
      <w:r>
        <w:rPr>
          <w:rFonts w:hint="eastAsia"/>
          <w:lang w:val="zh-CN"/>
        </w:rPr>
        <w:t>（三）项目监管情况。</w:t>
      </w:r>
      <w:r>
        <w:rPr>
          <w:rFonts w:hint="eastAsia"/>
        </w:rPr>
        <w:t>项目资金按投资计划，制定管理制度，对项目资金按项目单独核算实行“专款专用、专人管理”，不得挤占挪用项目资金。强化监督，项目的正常实施监督检查是保障。指派专人长期对项目的实施定期或不定期的进行现场检查和监督，及时协调解决困难和问题，保证工程质量</w:t>
      </w:r>
      <w:r>
        <w:rPr>
          <w:rFonts w:hint="eastAsia"/>
          <w:lang w:eastAsia="zh-CN"/>
        </w:rPr>
        <w:t>。</w:t>
      </w:r>
    </w:p>
    <w:p>
      <w:pPr>
        <w:pStyle w:val="2"/>
        <w:rPr>
          <w:rFonts w:hint="eastAsia"/>
          <w:lang w:val="zh-CN"/>
        </w:rPr>
      </w:pPr>
      <w:r>
        <w:rPr>
          <w:rFonts w:hint="eastAsia"/>
        </w:rPr>
        <w:t>四、项目绩效情况</w:t>
      </w:r>
      <w:r>
        <w:rPr>
          <w:rFonts w:hint="eastAsia"/>
          <w:lang w:val="zh-CN"/>
        </w:rPr>
        <w:tab/>
      </w:r>
    </w:p>
    <w:p>
      <w:pPr>
        <w:pStyle w:val="2"/>
        <w:rPr>
          <w:rFonts w:hint="eastAsia"/>
          <w:lang w:val="zh-CN"/>
        </w:rPr>
      </w:pPr>
      <w:r>
        <w:rPr>
          <w:rFonts w:hint="eastAsia"/>
          <w:lang w:val="zh-CN"/>
        </w:rPr>
        <w:t>（一）项目完成情况。</w:t>
      </w:r>
    </w:p>
    <w:p>
      <w:pPr>
        <w:pStyle w:val="2"/>
        <w:rPr>
          <w:rFonts w:hint="eastAsia"/>
        </w:rPr>
      </w:pPr>
      <w:r>
        <w:rPr>
          <w:rFonts w:hint="eastAsia"/>
          <w:lang w:val="en-US" w:eastAsia="zh-CN"/>
        </w:rPr>
        <w:t>红原县2018年以工代赈示范工程完成牧道建设33公里。项目完成与项目可行性研究报告一致，</w:t>
      </w:r>
      <w:r>
        <w:rPr>
          <w:rFonts w:hint="eastAsia"/>
        </w:rPr>
        <w:t>顺利推进，</w:t>
      </w:r>
      <w:r>
        <w:rPr>
          <w:rFonts w:hint="eastAsia"/>
          <w:lang w:val="en-US" w:eastAsia="zh-CN"/>
        </w:rPr>
        <w:t>在规定时间实现竣工验收，工程质量达标，</w:t>
      </w:r>
      <w:r>
        <w:rPr>
          <w:rFonts w:hint="eastAsia"/>
        </w:rPr>
        <w:t>圆满完成任务，并经村、社区居民评价，满意度为100%。</w:t>
      </w:r>
    </w:p>
    <w:p>
      <w:pPr>
        <w:pStyle w:val="2"/>
        <w:rPr>
          <w:rFonts w:hint="eastAsia"/>
          <w:lang w:val="zh-CN"/>
        </w:rPr>
      </w:pPr>
      <w:r>
        <w:rPr>
          <w:rFonts w:hint="eastAsia"/>
          <w:lang w:val="zh-CN"/>
        </w:rPr>
        <w:t>（二）项目效益情况。</w:t>
      </w:r>
    </w:p>
    <w:p>
      <w:pPr>
        <w:pStyle w:val="2"/>
        <w:rPr>
          <w:rFonts w:hint="eastAsia"/>
          <w:lang w:val="en-US" w:eastAsia="zh-CN"/>
        </w:rPr>
      </w:pPr>
      <w:r>
        <w:rPr>
          <w:rFonts w:hint="eastAsia"/>
          <w:lang w:val="en-US" w:eastAsia="zh-CN"/>
        </w:rPr>
        <w:t>加快了传统畜牧业向现代畜牧业的转变，推进牧区现代草原畜牧业发展，改善了人民群众生存发展环境，提高农牧民的生活水平，促进牧区经济社会可持续发展。</w:t>
      </w:r>
    </w:p>
    <w:p>
      <w:pPr>
        <w:pStyle w:val="2"/>
        <w:rPr>
          <w:rFonts w:hint="eastAsia"/>
        </w:rPr>
      </w:pPr>
      <w:r>
        <w:rPr>
          <w:rFonts w:hint="eastAsia"/>
        </w:rPr>
        <w:t>五、评价结论及建议</w:t>
      </w:r>
    </w:p>
    <w:p>
      <w:pPr>
        <w:pStyle w:val="2"/>
        <w:rPr>
          <w:rFonts w:hint="eastAsia"/>
          <w:lang w:val="zh-CN"/>
        </w:rPr>
      </w:pPr>
      <w:r>
        <w:rPr>
          <w:rFonts w:hint="eastAsia"/>
          <w:lang w:val="zh-CN"/>
        </w:rPr>
        <w:t>（一）评价结论。</w:t>
      </w:r>
    </w:p>
    <w:p>
      <w:pPr>
        <w:pStyle w:val="2"/>
        <w:rPr>
          <w:rFonts w:hint="eastAsia"/>
          <w:lang w:val="zh-CN"/>
        </w:rPr>
      </w:pPr>
      <w:r>
        <w:rPr>
          <w:rFonts w:hint="eastAsia"/>
          <w:lang w:val="en-US" w:eastAsia="zh-CN"/>
        </w:rPr>
        <w:t>红原县2018年以工代赈示范工程建设项目，切实解决了农牧民的实际困难，为当地牧民的生产生活提供了便利，为当地牧区经济的发展起到推动作用。</w:t>
      </w:r>
    </w:p>
    <w:p>
      <w:pPr>
        <w:pStyle w:val="2"/>
        <w:rPr>
          <w:rFonts w:hint="eastAsia"/>
          <w:lang w:val="zh-CN"/>
        </w:rPr>
      </w:pPr>
      <w:r>
        <w:rPr>
          <w:rFonts w:hint="eastAsia"/>
          <w:lang w:val="zh-CN"/>
        </w:rPr>
        <w:t>（二）存在的问题。</w:t>
      </w:r>
    </w:p>
    <w:p>
      <w:pPr>
        <w:pStyle w:val="2"/>
        <w:rPr>
          <w:rFonts w:hint="eastAsia"/>
        </w:rPr>
      </w:pPr>
      <w:r>
        <w:rPr>
          <w:rFonts w:hint="eastAsia"/>
          <w:lang w:val="en-US" w:eastAsia="zh-CN"/>
        </w:rPr>
        <w:t xml:space="preserve"> </w:t>
      </w:r>
      <w:r>
        <w:rPr>
          <w:rFonts w:hint="eastAsia"/>
        </w:rPr>
        <w:t xml:space="preserve">1、我县实施了草场承包，牧民群众居住十分分散，加之牧民长期处于游牧，缺乏基本的施工技能，所以牧民群众从工程中主动获取劳务报酬的积极性不高。  </w:t>
      </w:r>
    </w:p>
    <w:p>
      <w:pPr>
        <w:pStyle w:val="2"/>
        <w:rPr>
          <w:rFonts w:hint="eastAsia"/>
        </w:rPr>
      </w:pPr>
      <w:r>
        <w:rPr>
          <w:rFonts w:hint="eastAsia"/>
        </w:rPr>
        <w:t>以工代赈下达计划时，要求地方配套项目资金，</w:t>
      </w:r>
      <w:r>
        <w:rPr>
          <w:rFonts w:hint="eastAsia"/>
          <w:lang w:val="en-US" w:eastAsia="zh-CN"/>
        </w:rPr>
        <w:t>由于</w:t>
      </w:r>
      <w:r>
        <w:rPr>
          <w:rFonts w:hint="eastAsia"/>
        </w:rPr>
        <w:t>我县财力</w:t>
      </w:r>
      <w:r>
        <w:rPr>
          <w:rFonts w:hint="eastAsia"/>
          <w:lang w:val="en-US" w:eastAsia="zh-CN"/>
        </w:rPr>
        <w:t>十分困难</w:t>
      </w:r>
      <w:r>
        <w:rPr>
          <w:rFonts w:hint="eastAsia"/>
        </w:rPr>
        <w:t>，配套资金难以</w:t>
      </w:r>
      <w:r>
        <w:rPr>
          <w:rFonts w:hint="eastAsia"/>
          <w:lang w:val="en-US" w:eastAsia="zh-CN"/>
        </w:rPr>
        <w:t>落实</w:t>
      </w:r>
      <w:r>
        <w:rPr>
          <w:rFonts w:hint="eastAsia"/>
        </w:rPr>
        <w:t xml:space="preserve">。 </w:t>
      </w:r>
    </w:p>
    <w:p>
      <w:pPr>
        <w:pStyle w:val="2"/>
        <w:rPr>
          <w:rFonts w:hint="eastAsia"/>
          <w:lang w:val="zh-CN"/>
        </w:rPr>
      </w:pPr>
      <w:r>
        <w:rPr>
          <w:rFonts w:hint="eastAsia"/>
          <w:lang w:val="zh-CN"/>
        </w:rPr>
        <w:t>（三）相关建议。</w:t>
      </w:r>
    </w:p>
    <w:p>
      <w:pPr>
        <w:pStyle w:val="2"/>
        <w:rPr>
          <w:rFonts w:hint="eastAsia"/>
          <w:lang w:val="zh-CN"/>
        </w:rPr>
      </w:pPr>
      <w:r>
        <w:rPr>
          <w:rFonts w:hint="eastAsia"/>
          <w:lang w:val="en-US" w:eastAsia="zh-CN"/>
        </w:rPr>
        <w:t>在今后工作加大以工代赈政策的宣传力度，更加注重积极引导牧民群众的参与以工代赈项目建设。</w:t>
      </w: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spacing w:line="600" w:lineRule="exact"/>
        <w:jc w:val="both"/>
        <w:rPr>
          <w:rFonts w:hint="eastAsia" w:ascii="方正小标宋简体" w:hAnsi="宋体" w:eastAsia="方正小标宋简体"/>
          <w:color w:val="000000"/>
          <w:kern w:val="0"/>
          <w:sz w:val="44"/>
          <w:szCs w:val="44"/>
        </w:rPr>
      </w:pPr>
    </w:p>
    <w:p>
      <w:pPr>
        <w:spacing w:line="600" w:lineRule="exact"/>
        <w:jc w:val="both"/>
        <w:rPr>
          <w:rFonts w:hint="eastAsia" w:ascii="方正小标宋简体" w:hAnsi="宋体" w:eastAsia="方正小标宋简体"/>
          <w:color w:val="000000"/>
          <w:kern w:val="0"/>
          <w:sz w:val="44"/>
          <w:szCs w:val="44"/>
        </w:rPr>
      </w:pPr>
    </w:p>
    <w:p>
      <w:pPr>
        <w:pStyle w:val="5"/>
        <w:bidi w:val="0"/>
        <w:rPr>
          <w:rFonts w:hint="eastAsia"/>
        </w:rPr>
      </w:pPr>
    </w:p>
    <w:p>
      <w:pPr>
        <w:pStyle w:val="5"/>
        <w:bidi w:val="0"/>
        <w:jc w:val="center"/>
        <w:rPr>
          <w:lang w:val="zh-CN"/>
        </w:rPr>
      </w:pPr>
      <w:bookmarkStart w:id="148" w:name="_Toc23998"/>
      <w:bookmarkStart w:id="149" w:name="_Toc6872"/>
      <w:r>
        <w:rPr>
          <w:rFonts w:hint="eastAsia"/>
          <w:lang w:eastAsia="zh-CN"/>
        </w:rPr>
        <w:t>浙江援建</w:t>
      </w:r>
      <w:r>
        <w:rPr>
          <w:rFonts w:hint="eastAsia"/>
          <w:lang w:val="en-US" w:eastAsia="zh-CN"/>
        </w:rPr>
        <w:t>(交流交往）</w:t>
      </w:r>
      <w:r>
        <w:rPr>
          <w:rFonts w:hint="eastAsia"/>
          <w:lang w:val="zh-CN"/>
        </w:rPr>
        <w:t>项目</w:t>
      </w:r>
      <w:bookmarkEnd w:id="148"/>
      <w:bookmarkStart w:id="150" w:name="_Toc24417"/>
      <w:r>
        <w:rPr>
          <w:rFonts w:hint="eastAsia"/>
        </w:rPr>
        <w:t>2019年</w:t>
      </w:r>
      <w:r>
        <w:rPr>
          <w:rFonts w:hint="eastAsia"/>
          <w:lang w:val="zh-CN"/>
        </w:rPr>
        <w:t>绩效评价报告</w:t>
      </w:r>
      <w:bookmarkEnd w:id="149"/>
      <w:bookmarkEnd w:id="150"/>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1．说明项目主管部门（单位）在该项目管理中的职能。</w:t>
      </w:r>
    </w:p>
    <w:p>
      <w:pPr>
        <w:pStyle w:val="2"/>
        <w:ind w:left="0" w:leftChars="0" w:firstLine="0" w:firstLineChars="0"/>
        <w:rPr>
          <w:lang w:val="zh-CN"/>
        </w:rPr>
      </w:pPr>
      <w:r>
        <w:rPr>
          <w:rFonts w:hint="eastAsia"/>
          <w:lang w:val="zh-CN"/>
        </w:rPr>
        <w:t>县东西协作受援办设在发改局，主要办理浙江对口援建、省内定点帮扶援建等工作，为东西协作工作做好对接工作。</w:t>
      </w:r>
    </w:p>
    <w:p>
      <w:pPr>
        <w:numPr>
          <w:ilvl w:val="0"/>
          <w:numId w:val="11"/>
        </w:numPr>
        <w:adjustRightInd w:val="0"/>
        <w:snapToGrid w:val="0"/>
        <w:spacing w:line="600" w:lineRule="exact"/>
        <w:ind w:left="0" w:leftChars="0" w:firstLine="720" w:firstLineChars="0"/>
        <w:rPr>
          <w:rFonts w:hint="eastAsia" w:ascii="仿宋_GB2312" w:hAnsi="宋体" w:eastAsia="仿宋_GB2312"/>
          <w:sz w:val="32"/>
          <w:szCs w:val="32"/>
          <w:lang w:val="zh-CN"/>
        </w:rPr>
      </w:pPr>
      <w:r>
        <w:rPr>
          <w:rFonts w:hint="eastAsia" w:ascii="仿宋_GB2312" w:hAnsi="宋体" w:eastAsia="仿宋_GB2312"/>
          <w:sz w:val="32"/>
          <w:szCs w:val="32"/>
          <w:lang w:val="zh-CN"/>
        </w:rPr>
        <w:t>项目立项、资金申报的依据。</w:t>
      </w:r>
    </w:p>
    <w:p>
      <w:pPr>
        <w:pStyle w:val="2"/>
        <w:numPr>
          <w:ilvl w:val="0"/>
          <w:numId w:val="0"/>
        </w:numPr>
        <w:rPr>
          <w:rFonts w:hint="default" w:eastAsia="仿宋_GB2312"/>
          <w:lang w:val="en-US" w:eastAsia="zh-CN"/>
        </w:rPr>
      </w:pPr>
      <w:r>
        <w:rPr>
          <w:rFonts w:hint="eastAsia"/>
          <w:lang w:val="en-US" w:eastAsia="zh-CN"/>
        </w:rPr>
        <w:t xml:space="preserve">      东西协作战略无项目立项、资金申报。</w:t>
      </w:r>
    </w:p>
    <w:p>
      <w:pPr>
        <w:numPr>
          <w:ilvl w:val="0"/>
          <w:numId w:val="11"/>
        </w:numPr>
        <w:adjustRightInd w:val="0"/>
        <w:snapToGrid w:val="0"/>
        <w:spacing w:line="600" w:lineRule="exact"/>
        <w:ind w:left="0" w:leftChars="0" w:firstLine="720" w:firstLineChars="0"/>
        <w:rPr>
          <w:rFonts w:hint="eastAsia" w:eastAsia="仿宋_GB2312"/>
          <w:lang w:val="en-US" w:eastAsia="zh-CN"/>
        </w:rPr>
      </w:pPr>
      <w:r>
        <w:rPr>
          <w:rFonts w:hint="eastAsia" w:ascii="仿宋_GB2312" w:hAnsi="宋体" w:eastAsia="仿宋_GB2312"/>
          <w:sz w:val="32"/>
          <w:szCs w:val="32"/>
          <w:lang w:val="zh-CN"/>
        </w:rPr>
        <w:t>资金管理办法制定情况，资金支持具体项目的条件、范围与支持方式概况。</w:t>
      </w:r>
    </w:p>
    <w:p>
      <w:pPr>
        <w:numPr>
          <w:ilvl w:val="0"/>
          <w:numId w:val="0"/>
        </w:numPr>
        <w:adjustRightInd w:val="0"/>
        <w:snapToGrid w:val="0"/>
        <w:spacing w:line="60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zh-CN"/>
        </w:rPr>
        <w:t>项目资金专款专用，资金支持红原县和平阳县、永嘉县以及苍南县的对口支援及交流交往工作。</w:t>
      </w:r>
    </w:p>
    <w:p>
      <w:pPr>
        <w:numPr>
          <w:ilvl w:val="0"/>
          <w:numId w:val="11"/>
        </w:numPr>
        <w:adjustRightInd w:val="0"/>
        <w:snapToGrid w:val="0"/>
        <w:spacing w:line="600" w:lineRule="exact"/>
        <w:ind w:left="0" w:leftChars="0" w:firstLine="720" w:firstLineChars="0"/>
        <w:rPr>
          <w:rFonts w:hint="eastAsia" w:ascii="仿宋_GB2312" w:hAnsi="宋体" w:eastAsia="仿宋_GB2312"/>
          <w:sz w:val="32"/>
          <w:szCs w:val="32"/>
          <w:lang w:val="zh-CN"/>
        </w:rPr>
      </w:pPr>
      <w:r>
        <w:rPr>
          <w:rFonts w:hint="eastAsia" w:ascii="仿宋_GB2312" w:hAnsi="宋体" w:eastAsia="仿宋_GB2312"/>
          <w:sz w:val="32"/>
          <w:szCs w:val="32"/>
          <w:lang w:val="zh-CN"/>
        </w:rPr>
        <w:t>资金分配的原则及考虑因素。</w:t>
      </w:r>
    </w:p>
    <w:p>
      <w:pPr>
        <w:pStyle w:val="2"/>
        <w:numPr>
          <w:ilvl w:val="0"/>
          <w:numId w:val="0"/>
        </w:numPr>
        <w:ind w:left="720" w:leftChars="0"/>
        <w:rPr>
          <w:rFonts w:hint="eastAsia" w:eastAsia="仿宋_GB2312"/>
          <w:lang w:val="en-US" w:eastAsia="zh-CN"/>
        </w:rPr>
      </w:pPr>
      <w:r>
        <w:rPr>
          <w:rFonts w:hint="eastAsia"/>
          <w:lang w:val="en-US" w:eastAsia="zh-CN"/>
        </w:rPr>
        <w:t xml:space="preserve"> 根据交流交往具体实施方案来分配资金。</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1．项目主要内容。</w:t>
      </w:r>
    </w:p>
    <w:p>
      <w:pPr>
        <w:pStyle w:val="2"/>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不断完善优势互补机制，依托各自产业优势，拓展市场空间，拓宽发展渠道，实现援受两地互利共赢。不断完善人才共建机制，坚持“走出去”与“请进来”相结合，强化两地干部人才交往交流交融，为两地更好更快发展提供强有力的人才保障。</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2．项目应实现的具体绩效目标，包括目标的量化、细化情况以及项目实施进度计划等。</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3．分析评价申报内容与实际相符，申报目标合理可行。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说明项目绩效自评采用的组织实施步骤及方法。</w:t>
      </w:r>
    </w:p>
    <w:p>
      <w:pPr>
        <w:adjustRightInd w:val="0"/>
        <w:snapToGrid w:val="0"/>
        <w:spacing w:line="580" w:lineRule="exact"/>
        <w:ind w:firstLine="720"/>
        <w:rPr>
          <w:lang w:val="zh-CN"/>
        </w:rPr>
      </w:pPr>
      <w:r>
        <w:rPr>
          <w:rFonts w:hint="eastAsia" w:ascii="仿宋_GB2312" w:hAnsi="宋体" w:eastAsia="仿宋_GB2312" w:cs="仿宋_GB2312"/>
          <w:color w:val="000000"/>
          <w:sz w:val="32"/>
          <w:szCs w:val="32"/>
          <w:shd w:val="clear" w:color="auto" w:fill="FFFFFF"/>
        </w:rPr>
        <w:t>项目成立项目自评小组，结合评价内容，做到有计划，有安排，扎实开展本次自评工作。按照上级下达的项目支出绩效评价指标体系，自评小组针对申报内容、实施情况、资金兑现、财务管理、社会效益等做出自我评价，认真听取</w:t>
      </w:r>
      <w:r>
        <w:rPr>
          <w:rFonts w:hint="eastAsia" w:ascii="仿宋_GB2312" w:hAnsi="宋体" w:cs="仿宋_GB2312"/>
          <w:color w:val="000000"/>
          <w:sz w:val="32"/>
          <w:szCs w:val="32"/>
          <w:shd w:val="clear" w:color="auto" w:fill="FFFFFF"/>
        </w:rPr>
        <w:t>各方</w:t>
      </w:r>
      <w:r>
        <w:rPr>
          <w:rFonts w:hint="eastAsia" w:ascii="仿宋_GB2312" w:hAnsi="宋体" w:eastAsia="仿宋_GB2312" w:cs="仿宋_GB2312"/>
          <w:color w:val="000000"/>
          <w:sz w:val="32"/>
          <w:szCs w:val="32"/>
          <w:shd w:val="clear" w:color="auto" w:fill="FFFFFF"/>
        </w:rPr>
        <w:t>建议意见，做好自评工作。</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说明项目资金申报、批复及预算调整等程序的相关情况。</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hint="default" w:ascii="仿宋_GB2312" w:hAnsi="宋体" w:eastAsia="仿宋_GB2312"/>
          <w:sz w:val="32"/>
          <w:szCs w:val="32"/>
          <w:lang w:val="en-US" w:eastAsia="zh-CN"/>
        </w:rPr>
      </w:pPr>
      <w:r>
        <w:rPr>
          <w:rFonts w:hint="eastAsia" w:ascii="楷体_GB2312" w:hAnsi="宋体" w:eastAsia="楷体_GB2312"/>
          <w:sz w:val="32"/>
          <w:szCs w:val="32"/>
          <w:lang w:val="zh-CN"/>
        </w:rPr>
        <w:t>1．资金计划。</w:t>
      </w:r>
      <w:r>
        <w:rPr>
          <w:rFonts w:hint="eastAsia" w:ascii="仿宋_GB2312" w:hAnsi="宋体" w:eastAsia="仿宋_GB2312"/>
          <w:sz w:val="32"/>
          <w:szCs w:val="32"/>
          <w:lang w:val="zh-CN"/>
        </w:rPr>
        <w:t>该项目资金每年为</w:t>
      </w:r>
      <w:r>
        <w:rPr>
          <w:rFonts w:hint="eastAsia" w:ascii="仿宋_GB2312" w:hAnsi="宋体" w:eastAsia="仿宋_GB2312"/>
          <w:sz w:val="32"/>
          <w:szCs w:val="32"/>
          <w:lang w:val="en-US" w:eastAsia="zh-CN"/>
        </w:rPr>
        <w:t>40万元。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2．资金到位。每年资金到位</w:t>
      </w:r>
      <w:r>
        <w:rPr>
          <w:rFonts w:hint="eastAsia" w:ascii="楷体_GB2312" w:hAnsi="宋体" w:eastAsia="楷体_GB2312"/>
          <w:sz w:val="32"/>
          <w:szCs w:val="32"/>
          <w:lang w:val="en-US" w:eastAsia="zh-CN"/>
        </w:rPr>
        <w:t>40万元</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宋体" w:eastAsia="仿宋_GB2312"/>
          <w:sz w:val="32"/>
          <w:szCs w:val="32"/>
          <w:lang w:val="zh-CN"/>
        </w:rPr>
        <w:t>资金</w:t>
      </w:r>
      <w:r>
        <w:rPr>
          <w:rFonts w:hint="eastAsia" w:ascii="仿宋_GB2312" w:hAnsi="宋体" w:eastAsia="仿宋_GB2312" w:cs="Times New Roman"/>
          <w:kern w:val="2"/>
          <w:sz w:val="32"/>
          <w:szCs w:val="32"/>
          <w:lang w:val="zh-CN" w:eastAsia="zh-CN" w:bidi="ar-SA"/>
        </w:rPr>
        <w:t>两地干部人才交往交流交融</w:t>
      </w:r>
      <w:r>
        <w:rPr>
          <w:rFonts w:hint="eastAsia" w:ascii="仿宋_GB2312" w:hAnsi="宋体" w:eastAsia="仿宋_GB2312"/>
          <w:sz w:val="32"/>
          <w:szCs w:val="32"/>
          <w:lang w:val="zh-CN"/>
        </w:rPr>
        <w:t>，实报实销，与预算相符。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结合项目特点，总体评价各项目实施单位执行相关法律法规及项目管理制度等情况，如招投标、政府采购、项目公示制等相关规定。</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说明项目主管部门为加强项目管理所采取的监管手段、监管程序、监管工作开展情况及实现的效果等。</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en-US" w:eastAsia="zh-CN"/>
        </w:rPr>
        <w:t>2019年浙江交流交往项目全部实施完成</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不断完善交流长效机制，强化两地党政领导和相关部门的交往交流，切实增强援建工作实效。不断完善优势互补机制，依托各自产业优势，拓展市场空间，拓宽发展渠道，实现援受两地互利共赢。不断完善人才共建机制，坚持“走出去”与“请进来”相结合，强化两地干部人才交往交流交融，为两地更好更快发展提供强有力的人才保障。</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结合项目自身特点、评价重点及管理办法等要求，围绕专项项目支出绩效评价指标体系对项目进行总体评价。</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960" w:firstLineChars="3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600" w:lineRule="exact"/>
        <w:ind w:firstLine="960" w:firstLineChars="300"/>
        <w:jc w:val="both"/>
        <w:outlineLvl w:val="0"/>
        <w:rPr>
          <w:rFonts w:hint="eastAsia" w:ascii="黑体" w:hAnsi="黑体" w:eastAsia="黑体"/>
          <w:color w:val="000000"/>
          <w:sz w:val="44"/>
          <w:szCs w:val="44"/>
        </w:rPr>
      </w:pPr>
      <w:bookmarkStart w:id="151" w:name="_Toc19728"/>
      <w:bookmarkStart w:id="152" w:name="_Toc8385"/>
      <w:r>
        <w:rPr>
          <w:rFonts w:hint="eastAsia" w:ascii="仿宋_GB2312" w:hAnsi="宋体" w:eastAsia="仿宋_GB2312"/>
          <w:sz w:val="32"/>
          <w:szCs w:val="32"/>
          <w:lang w:val="zh-CN"/>
        </w:rPr>
        <w:t>无</w:t>
      </w:r>
      <w:bookmarkEnd w:id="151"/>
      <w:bookmarkEnd w:id="152"/>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ind w:firstLine="880" w:firstLineChars="200"/>
        <w:jc w:val="center"/>
        <w:rPr>
          <w:rFonts w:hint="eastAsia" w:ascii="方正小标宋简体" w:hAnsi="宋体" w:eastAsia="方正小标宋简体"/>
          <w:color w:val="000000"/>
          <w:kern w:val="0"/>
          <w:sz w:val="44"/>
          <w:szCs w:val="44"/>
          <w:lang w:val="zh-CN"/>
        </w:rPr>
      </w:pPr>
    </w:p>
    <w:p>
      <w:pPr>
        <w:pStyle w:val="5"/>
        <w:bidi w:val="0"/>
        <w:jc w:val="center"/>
        <w:rPr>
          <w:lang w:val="zh-CN"/>
        </w:rPr>
      </w:pPr>
      <w:bookmarkStart w:id="153" w:name="_Toc30094"/>
      <w:bookmarkStart w:id="154" w:name="_Toc3380"/>
      <w:r>
        <w:rPr>
          <w:rFonts w:hint="eastAsia"/>
          <w:lang w:val="zh-CN"/>
        </w:rPr>
        <w:t>宽带乡村项目-电信项目</w:t>
      </w:r>
      <w:r>
        <w:rPr>
          <w:rFonts w:hint="eastAsia"/>
        </w:rPr>
        <w:t>2019年</w:t>
      </w:r>
      <w:r>
        <w:rPr>
          <w:rFonts w:hint="eastAsia"/>
          <w:lang w:val="zh-CN"/>
        </w:rPr>
        <w:t>绩效评价报告</w:t>
      </w:r>
      <w:bookmarkEnd w:id="153"/>
      <w:bookmarkEnd w:id="154"/>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1．说明项目主管部门（单位）在该项目管理中的职能。</w:t>
      </w:r>
    </w:p>
    <w:p>
      <w:pPr>
        <w:adjustRightInd w:val="0"/>
        <w:snapToGrid w:val="0"/>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跟踪项目实施进度，总结项目运行情况，提出建议。</w:t>
      </w:r>
    </w:p>
    <w:p>
      <w:pPr>
        <w:numPr>
          <w:ilvl w:val="0"/>
          <w:numId w:val="0"/>
        </w:numPr>
        <w:adjustRightInd w:val="0"/>
        <w:snapToGrid w:val="0"/>
        <w:spacing w:line="600" w:lineRule="exact"/>
        <w:ind w:left="720" w:leftChars="0"/>
        <w:rPr>
          <w:lang w:val="zh-CN"/>
        </w:rPr>
      </w:pPr>
      <w:r>
        <w:rPr>
          <w:rFonts w:hint="eastAsia" w:ascii="仿宋_GB2312" w:hAnsi="宋体" w:eastAsia="仿宋_GB2312"/>
          <w:sz w:val="32"/>
          <w:szCs w:val="32"/>
          <w:lang w:val="en-US" w:eastAsia="zh-CN"/>
        </w:rPr>
        <w:t>2</w:t>
      </w:r>
      <w:r>
        <w:rPr>
          <w:rFonts w:hint="eastAsia" w:ascii="仿宋_GB2312" w:hAnsi="宋体" w:eastAsia="仿宋_GB2312"/>
          <w:sz w:val="32"/>
          <w:szCs w:val="32"/>
          <w:lang w:val="zh-CN"/>
        </w:rPr>
        <w:t>项目立项、资金申报的依据。</w:t>
      </w:r>
    </w:p>
    <w:p>
      <w:pPr>
        <w:numPr>
          <w:ilvl w:val="0"/>
          <w:numId w:val="0"/>
        </w:numPr>
        <w:adjustRightInd w:val="0"/>
        <w:snapToGrid w:val="0"/>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eastAsia="zh-CN"/>
        </w:rPr>
        <w:t>为</w:t>
      </w:r>
      <w:r>
        <w:rPr>
          <w:rFonts w:hint="eastAsia" w:ascii="仿宋_GB2312" w:hAnsi="宋体" w:eastAsia="仿宋_GB2312"/>
          <w:sz w:val="32"/>
          <w:szCs w:val="32"/>
          <w:lang w:val="zh-CN"/>
        </w:rPr>
        <w:t>落实</w:t>
      </w:r>
      <w:r>
        <w:rPr>
          <w:rFonts w:hint="eastAsia" w:ascii="仿宋_GB2312" w:hAnsi="宋体" w:eastAsia="仿宋_GB2312"/>
          <w:sz w:val="32"/>
          <w:szCs w:val="32"/>
          <w:lang w:val="zh-CN" w:eastAsia="zh-CN"/>
        </w:rPr>
        <w:t>《阿坝州脱贫攻坚领导小组办公室关于上报2018年度贫困县摘帽工作方案的通知》阿州脱贫办发[2017]251号，《关于转发〈阿坝州脱贫攻坚领导小组办公室关于上报2018年度县摘帽工作方案的通知》红脱贫办【2017】113号文件精神，</w:t>
      </w:r>
      <w:r>
        <w:rPr>
          <w:rFonts w:hint="eastAsia" w:ascii="仿宋_GB2312" w:hAnsi="宋体" w:eastAsia="仿宋_GB2312"/>
          <w:sz w:val="32"/>
          <w:szCs w:val="32"/>
          <w:lang w:val="zh-CN"/>
        </w:rPr>
        <w:t>结合县委、县人民政府坚决打赢脱贫攻坚战的决策部署，制定红原县201</w:t>
      </w:r>
      <w:r>
        <w:rPr>
          <w:rFonts w:hint="eastAsia" w:ascii="仿宋_GB2312" w:hAnsi="宋体" w:eastAsia="仿宋_GB2312"/>
          <w:sz w:val="32"/>
          <w:szCs w:val="32"/>
          <w:lang w:val="zh-CN" w:eastAsia="zh-CN"/>
        </w:rPr>
        <w:t>8</w:t>
      </w:r>
      <w:r>
        <w:rPr>
          <w:rFonts w:hint="eastAsia" w:ascii="仿宋_GB2312" w:hAnsi="宋体" w:eastAsia="仿宋_GB2312"/>
          <w:sz w:val="32"/>
          <w:szCs w:val="32"/>
          <w:lang w:val="zh-CN"/>
        </w:rPr>
        <w:t>年</w:t>
      </w:r>
      <w:r>
        <w:rPr>
          <w:rFonts w:hint="eastAsia" w:ascii="仿宋_GB2312" w:hAnsi="宋体" w:eastAsia="仿宋_GB2312"/>
          <w:sz w:val="32"/>
          <w:szCs w:val="32"/>
          <w:lang w:val="zh-CN" w:eastAsia="zh-CN"/>
        </w:rPr>
        <w:t>贫困县摘帽通信</w:t>
      </w:r>
      <w:r>
        <w:rPr>
          <w:rFonts w:hint="eastAsia" w:ascii="仿宋_GB2312" w:hAnsi="宋体" w:eastAsia="仿宋_GB2312"/>
          <w:sz w:val="32"/>
          <w:szCs w:val="32"/>
          <w:lang w:val="zh-CN"/>
        </w:rPr>
        <w:t>扶贫专项工作方案。</w:t>
      </w:r>
    </w:p>
    <w:p>
      <w:pPr>
        <w:numPr>
          <w:ilvl w:val="0"/>
          <w:numId w:val="0"/>
        </w:numPr>
        <w:adjustRightInd w:val="0"/>
        <w:snapToGrid w:val="0"/>
        <w:spacing w:line="60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sz w:val="32"/>
          <w:szCs w:val="32"/>
          <w:lang w:val="en-US" w:eastAsia="zh-CN"/>
        </w:rPr>
        <w:t>3.</w:t>
      </w:r>
      <w:r>
        <w:rPr>
          <w:rFonts w:hint="eastAsia" w:ascii="仿宋_GB2312" w:hAnsi="宋体" w:eastAsia="仿宋_GB2312"/>
          <w:sz w:val="32"/>
          <w:szCs w:val="32"/>
          <w:lang w:val="zh-CN"/>
        </w:rPr>
        <w:t>资金管理办法制定情况，资金支持具体项目的条件、范围与支持方式概况。</w:t>
      </w:r>
      <w:r>
        <w:rPr>
          <w:rFonts w:hint="eastAsia" w:ascii="仿宋_GB2312" w:hAnsi="宋体" w:eastAsia="仿宋_GB2312" w:cs="Times New Roman"/>
          <w:sz w:val="32"/>
          <w:szCs w:val="32"/>
          <w:lang w:val="zh-CN"/>
        </w:rPr>
        <w:t>为进一步提升基层组织公共服务和社会管理水平，加快宽带公共信息基础设施在我市农村的应用与普及，提高全市信息化建设水平，改善农村面貌，带动农村经济转型发展。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4．资金分配的原则及考虑因素。</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1．项目主要内容。</w:t>
      </w:r>
    </w:p>
    <w:p>
      <w:pPr>
        <w:pStyle w:val="2"/>
        <w:rPr>
          <w:lang w:val="zh-CN"/>
        </w:rPr>
      </w:pPr>
      <w:r>
        <w:rPr>
          <w:rFonts w:hint="eastAsia"/>
          <w:lang w:val="zh-CN" w:eastAsia="zh-CN"/>
        </w:rPr>
        <w:t>建设</w:t>
      </w:r>
      <w:r>
        <w:rPr>
          <w:rFonts w:hint="eastAsia"/>
          <w:lang w:val="zh-CN"/>
        </w:rPr>
        <w:t>红原县11个乡镇本地光缆网</w:t>
      </w:r>
      <w:r>
        <w:rPr>
          <w:rFonts w:hint="eastAsia"/>
          <w:lang w:val="zh-CN" w:eastAsia="zh-CN"/>
        </w:rPr>
        <w:t>，本地乡镇光缆网</w:t>
      </w:r>
      <w:r>
        <w:rPr>
          <w:rFonts w:hint="eastAsia"/>
          <w:lang w:val="zh-CN"/>
        </w:rPr>
        <w:t>已形成本地传输光缆和接入光缆两个层面，含各</w:t>
      </w:r>
      <w:r>
        <w:rPr>
          <w:rFonts w:hint="eastAsia"/>
          <w:lang w:val="zh-CN" w:eastAsia="zh-CN"/>
        </w:rPr>
        <w:t>乡镇</w:t>
      </w:r>
      <w:r>
        <w:rPr>
          <w:rFonts w:hint="eastAsia"/>
          <w:lang w:val="zh-CN"/>
        </w:rPr>
        <w:t>设备上行的县内本地中继光缆、下行的用户接入光缆和基站接入光缆三部分。</w:t>
      </w:r>
    </w:p>
    <w:p>
      <w:pPr>
        <w:numPr>
          <w:ilvl w:val="0"/>
          <w:numId w:val="12"/>
        </w:num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项目应实现的具体绩效目标，包括目标的量化、细化情况以及项目实施进度计划等。</w:t>
      </w:r>
    </w:p>
    <w:p>
      <w:pPr>
        <w:pStyle w:val="2"/>
        <w:numPr>
          <w:ilvl w:val="0"/>
          <w:numId w:val="0"/>
        </w:numPr>
        <w:ind w:firstLine="640" w:firstLineChars="200"/>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新建宽带村基站光缆45.92公里，建设800M4G基站</w:t>
      </w:r>
      <w:r>
        <w:rPr>
          <w:rFonts w:hint="eastAsia" w:ascii="仿宋_GB2312" w:hAnsi="宋体" w:eastAsia="仿宋_GB2312" w:cs="Times New Roman"/>
          <w:kern w:val="2"/>
          <w:sz w:val="32"/>
          <w:szCs w:val="32"/>
          <w:lang w:val="en-US" w:eastAsia="zh-CN" w:bidi="ar-SA"/>
        </w:rPr>
        <w:t>15</w:t>
      </w:r>
      <w:r>
        <w:rPr>
          <w:rFonts w:hint="eastAsia" w:ascii="仿宋_GB2312" w:hAnsi="宋体" w:eastAsia="仿宋_GB2312" w:cs="Times New Roman"/>
          <w:kern w:val="2"/>
          <w:sz w:val="32"/>
          <w:szCs w:val="32"/>
          <w:lang w:val="zh-CN" w:eastAsia="zh-CN" w:bidi="ar-SA"/>
        </w:rPr>
        <w:t>个，行政村光缆通达率和20M以上宽带通达率达到</w:t>
      </w:r>
      <w:r>
        <w:rPr>
          <w:rFonts w:hint="eastAsia" w:ascii="仿宋_GB2312" w:hAnsi="宋体" w:eastAsia="仿宋_GB2312" w:cs="Times New Roman"/>
          <w:kern w:val="2"/>
          <w:sz w:val="32"/>
          <w:szCs w:val="32"/>
          <w:lang w:val="en-US" w:eastAsia="zh-CN" w:bidi="ar-SA"/>
        </w:rPr>
        <w:t>82</w:t>
      </w:r>
      <w:r>
        <w:rPr>
          <w:rFonts w:hint="eastAsia" w:ascii="仿宋_GB2312" w:hAnsi="宋体" w:eastAsia="仿宋_GB2312" w:cs="Times New Roman"/>
          <w:kern w:val="2"/>
          <w:sz w:val="32"/>
          <w:szCs w:val="32"/>
          <w:lang w:val="zh-CN" w:eastAsia="zh-CN" w:bidi="ar-SA"/>
        </w:rPr>
        <w:t>%。农村新建宽带村</w:t>
      </w:r>
      <w:r>
        <w:rPr>
          <w:rFonts w:hint="eastAsia" w:ascii="仿宋_GB2312" w:hAnsi="宋体" w:eastAsia="仿宋_GB2312" w:cs="Times New Roman"/>
          <w:kern w:val="2"/>
          <w:sz w:val="32"/>
          <w:szCs w:val="32"/>
          <w:lang w:val="en-US" w:eastAsia="zh-CN" w:bidi="ar-SA"/>
        </w:rPr>
        <w:t>5个，农村</w:t>
      </w:r>
      <w:r>
        <w:rPr>
          <w:rFonts w:hint="eastAsia" w:ascii="仿宋_GB2312" w:hAnsi="宋体" w:eastAsia="仿宋_GB2312" w:cs="Times New Roman"/>
          <w:kern w:val="2"/>
          <w:sz w:val="32"/>
          <w:szCs w:val="32"/>
          <w:lang w:val="zh-CN" w:eastAsia="zh-CN" w:bidi="ar-SA"/>
        </w:rPr>
        <w:t>家庭宽带普及率达到25%。</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3．分析评价申报内容与实际相符，申报目标合理可行。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说明项目绩效自评采用的组织实施步骤及方法。</w:t>
      </w:r>
    </w:p>
    <w:p>
      <w:pPr>
        <w:adjustRightInd w:val="0"/>
        <w:snapToGrid w:val="0"/>
        <w:spacing w:line="580" w:lineRule="exact"/>
        <w:ind w:firstLine="720"/>
        <w:rPr>
          <w:lang w:val="zh-CN"/>
        </w:rPr>
      </w:pPr>
      <w:r>
        <w:rPr>
          <w:rFonts w:hint="eastAsia" w:ascii="仿宋_GB2312" w:hAnsi="宋体" w:eastAsia="仿宋_GB2312" w:cs="仿宋_GB2312"/>
          <w:color w:val="000000"/>
          <w:sz w:val="32"/>
          <w:szCs w:val="32"/>
          <w:shd w:val="clear" w:color="auto" w:fill="FFFFFF"/>
        </w:rPr>
        <w:t>项目成立项目自评小组，结合评价内容，做到有计划，有安排，扎实开展本次自评工作。按照上级下达的项目支出绩效评价指标体系，自评小组针对申报内容、实施情况、资金兑现、财务管理、社会效益等做出自我评价，认真听取</w:t>
      </w:r>
      <w:r>
        <w:rPr>
          <w:rFonts w:hint="eastAsia" w:ascii="仿宋_GB2312" w:hAnsi="宋体" w:cs="仿宋_GB2312"/>
          <w:color w:val="000000"/>
          <w:sz w:val="32"/>
          <w:szCs w:val="32"/>
          <w:shd w:val="clear" w:color="auto" w:fill="FFFFFF"/>
        </w:rPr>
        <w:t>各方</w:t>
      </w:r>
      <w:r>
        <w:rPr>
          <w:rFonts w:hint="eastAsia" w:ascii="仿宋_GB2312" w:hAnsi="宋体" w:eastAsia="仿宋_GB2312" w:cs="仿宋_GB2312"/>
          <w:color w:val="000000"/>
          <w:sz w:val="32"/>
          <w:szCs w:val="32"/>
          <w:shd w:val="clear" w:color="auto" w:fill="FFFFFF"/>
        </w:rPr>
        <w:t>建议意见，做好自评工作。</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说明项目资金申报、批复及预算调整等程序的相关情况。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eastAsia="zh-CN"/>
        </w:rPr>
        <w:t>项目涉及的电信工程项目属于上级公司(州公司）集中全州打包进行招投标（采购）、集中立项，工程施工方集中施工，工程款拨付结算，竣工验收州公司集中负责。</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hint="eastAsia" w:ascii="楷体_GB2312" w:hAnsi="宋体" w:eastAsia="楷体_GB2312"/>
          <w:sz w:val="32"/>
          <w:szCs w:val="32"/>
          <w:lang w:val="zh-CN" w:eastAsia="zh-CN"/>
        </w:rPr>
      </w:pPr>
      <w:r>
        <w:rPr>
          <w:rFonts w:hint="eastAsia" w:ascii="楷体_GB2312" w:hAnsi="宋体" w:eastAsia="楷体_GB2312"/>
          <w:sz w:val="32"/>
          <w:szCs w:val="32"/>
          <w:lang w:val="zh-CN"/>
        </w:rPr>
        <w:t>1．资金计划。</w:t>
      </w:r>
      <w:bookmarkStart w:id="155" w:name="_Toc32073"/>
      <w:bookmarkStart w:id="156" w:name="_Toc16755"/>
      <w:r>
        <w:rPr>
          <w:rFonts w:hint="eastAsia" w:ascii="仿宋_GB2312" w:hAnsi="宋体" w:eastAsia="仿宋_GB2312" w:cs="Times New Roman"/>
          <w:sz w:val="32"/>
          <w:szCs w:val="32"/>
          <w:lang w:val="zh-CN" w:eastAsia="zh-CN"/>
        </w:rPr>
        <w:t>政府财政补贴资金</w:t>
      </w:r>
      <w:r>
        <w:rPr>
          <w:rFonts w:hint="eastAsia" w:ascii="楷体_GB2312" w:hAnsi="宋体" w:eastAsia="楷体_GB2312"/>
          <w:sz w:val="32"/>
          <w:szCs w:val="32"/>
          <w:lang w:val="zh-CN" w:eastAsia="zh-CN"/>
        </w:rPr>
        <w:t>（</w:t>
      </w:r>
      <w:r>
        <w:rPr>
          <w:rFonts w:hint="eastAsia" w:ascii="楷体_GB2312" w:hAnsi="宋体" w:eastAsia="楷体_GB2312"/>
          <w:sz w:val="32"/>
          <w:szCs w:val="32"/>
          <w:lang w:val="zh-CN"/>
        </w:rPr>
        <w:t>红财预追2019-26号</w:t>
      </w:r>
      <w:r>
        <w:rPr>
          <w:rFonts w:hint="eastAsia" w:ascii="楷体_GB2312" w:hAnsi="宋体" w:eastAsia="楷体_GB2312"/>
          <w:sz w:val="32"/>
          <w:szCs w:val="32"/>
          <w:lang w:val="zh-CN" w:eastAsia="zh-CN"/>
        </w:rPr>
        <w:t>）</w:t>
      </w:r>
      <w:r>
        <w:rPr>
          <w:rFonts w:hint="eastAsia" w:ascii="仿宋_GB2312" w:hAnsi="宋体" w:eastAsia="仿宋_GB2312" w:cs="Times New Roman"/>
          <w:sz w:val="32"/>
          <w:szCs w:val="32"/>
          <w:lang w:val="zh-CN" w:eastAsia="zh-CN"/>
        </w:rPr>
        <w:t>90万元。</w:t>
      </w:r>
      <w:bookmarkEnd w:id="155"/>
      <w:bookmarkEnd w:id="156"/>
    </w:p>
    <w:p>
      <w:pPr>
        <w:adjustRightInd w:val="0"/>
        <w:snapToGrid w:val="0"/>
        <w:spacing w:line="600" w:lineRule="exact"/>
        <w:ind w:firstLine="720"/>
        <w:rPr>
          <w:rFonts w:hint="eastAsia" w:ascii="仿宋_GB2312" w:hAnsi="宋体" w:eastAsia="仿宋_GB2312" w:cs="Times New Roman"/>
          <w:sz w:val="32"/>
          <w:szCs w:val="32"/>
          <w:lang w:val="zh-CN" w:eastAsia="zh-CN"/>
        </w:rPr>
      </w:pPr>
      <w:r>
        <w:rPr>
          <w:rFonts w:hint="eastAsia" w:ascii="楷体_GB2312" w:hAnsi="宋体" w:eastAsia="楷体_GB2312"/>
          <w:sz w:val="32"/>
          <w:szCs w:val="32"/>
          <w:lang w:val="zh-CN"/>
        </w:rPr>
        <w:t>2．资金到位。</w:t>
      </w:r>
      <w:r>
        <w:rPr>
          <w:rFonts w:hint="eastAsia" w:ascii="仿宋_GB2312" w:hAnsi="宋体" w:eastAsia="仿宋_GB2312" w:cs="Times New Roman"/>
          <w:sz w:val="32"/>
          <w:szCs w:val="32"/>
          <w:lang w:val="zh-CN" w:eastAsia="zh-CN"/>
        </w:rPr>
        <w:t>政府财政补贴资金90万元。</w:t>
      </w:r>
    </w:p>
    <w:p>
      <w:pPr>
        <w:adjustRightInd w:val="0"/>
        <w:snapToGrid w:val="0"/>
        <w:spacing w:line="600" w:lineRule="exact"/>
        <w:ind w:firstLine="720"/>
        <w:rPr>
          <w:rFonts w:hint="eastAsia" w:ascii="仿宋_GB2312" w:hAnsi="宋体" w:eastAsia="仿宋_GB2312" w:cs="Times New Roman"/>
          <w:sz w:val="32"/>
          <w:szCs w:val="32"/>
          <w:lang w:val="zh-CN"/>
        </w:rPr>
      </w:pPr>
      <w:r>
        <w:rPr>
          <w:rFonts w:hint="eastAsia" w:ascii="楷体_GB2312" w:hAnsi="宋体" w:eastAsia="楷体_GB2312"/>
          <w:sz w:val="32"/>
          <w:szCs w:val="32"/>
          <w:lang w:val="zh-CN"/>
        </w:rPr>
        <w:t>3．资金使用。</w:t>
      </w:r>
      <w:r>
        <w:rPr>
          <w:rFonts w:hint="eastAsia" w:ascii="仿宋_GB2312" w:hAnsi="宋体" w:eastAsia="仿宋_GB2312" w:cs="Times New Roman"/>
          <w:sz w:val="32"/>
          <w:szCs w:val="32"/>
          <w:lang w:val="zh-CN"/>
        </w:rPr>
        <w:t>地方财政安排</w:t>
      </w:r>
      <w:r>
        <w:rPr>
          <w:rFonts w:hint="eastAsia" w:ascii="仿宋_GB2312" w:hAnsi="宋体" w:eastAsia="仿宋_GB2312" w:cs="Times New Roman"/>
          <w:sz w:val="32"/>
          <w:szCs w:val="32"/>
          <w:lang w:val="zh-CN" w:eastAsia="zh-CN"/>
        </w:rPr>
        <w:t>的90</w:t>
      </w:r>
      <w:r>
        <w:rPr>
          <w:rFonts w:hint="eastAsia" w:ascii="仿宋_GB2312" w:hAnsi="宋体" w:eastAsia="仿宋_GB2312" w:cs="Times New Roman"/>
          <w:sz w:val="32"/>
          <w:szCs w:val="32"/>
          <w:lang w:val="zh-CN"/>
        </w:rPr>
        <w:t>万元的专项资金支持</w:t>
      </w:r>
      <w:r>
        <w:rPr>
          <w:rFonts w:hint="eastAsia" w:ascii="仿宋_GB2312" w:hAnsi="宋体" w:eastAsia="仿宋_GB2312" w:cs="Times New Roman"/>
          <w:sz w:val="32"/>
          <w:szCs w:val="32"/>
          <w:lang w:val="zh-CN" w:eastAsia="zh-CN"/>
        </w:rPr>
        <w:t>电信公司</w:t>
      </w:r>
      <w:r>
        <w:rPr>
          <w:rFonts w:hint="eastAsia" w:ascii="仿宋_GB2312" w:hAnsi="宋体" w:eastAsia="仿宋_GB2312" w:cs="Times New Roman"/>
          <w:sz w:val="32"/>
          <w:szCs w:val="32"/>
          <w:lang w:val="zh-CN"/>
        </w:rPr>
        <w:t>农村</w:t>
      </w:r>
      <w:r>
        <w:rPr>
          <w:rFonts w:hint="eastAsia" w:ascii="仿宋_GB2312" w:hAnsi="宋体" w:eastAsia="仿宋_GB2312" w:cs="Times New Roman"/>
          <w:sz w:val="32"/>
          <w:szCs w:val="32"/>
          <w:lang w:val="zh-CN" w:eastAsia="zh-CN"/>
        </w:rPr>
        <w:t>宽带</w:t>
      </w:r>
      <w:r>
        <w:rPr>
          <w:rFonts w:hint="eastAsia" w:ascii="仿宋_GB2312" w:hAnsi="宋体" w:eastAsia="仿宋_GB2312" w:cs="Times New Roman"/>
          <w:sz w:val="32"/>
          <w:szCs w:val="32"/>
          <w:lang w:val="zh-CN"/>
        </w:rPr>
        <w:t>通信基础设施建设</w:t>
      </w:r>
      <w:r>
        <w:rPr>
          <w:rFonts w:hint="eastAsia" w:ascii="仿宋_GB2312" w:hAnsi="宋体" w:eastAsia="仿宋_GB2312" w:cs="Times New Roman"/>
          <w:sz w:val="32"/>
          <w:szCs w:val="32"/>
          <w:lang w:val="zh-CN" w:eastAsia="zh-CN"/>
        </w:rPr>
        <w:t>，其中有线宽带74.81万元，无线宽带15.19万元，工程已经全部竣工并投入使用运营</w:t>
      </w:r>
      <w:r>
        <w:rPr>
          <w:rFonts w:hint="eastAsia" w:ascii="仿宋_GB2312" w:hAnsi="宋体" w:eastAsia="仿宋_GB2312" w:cs="Times New Roman"/>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总体评价各项目实施单位财务管理制度健全，是严格执行财务管理制度，账务处理及时，会计核算规范。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hint="eastAsia" w:ascii="仿宋_GB2312" w:hAnsi="宋体" w:eastAsia="仿宋_GB2312" w:cs="Times New Roman"/>
          <w:sz w:val="32"/>
          <w:szCs w:val="32"/>
          <w:lang w:val="zh-CN" w:eastAsia="zh-CN"/>
        </w:rPr>
      </w:pPr>
      <w:r>
        <w:rPr>
          <w:rFonts w:hint="eastAsia" w:ascii="楷体_GB2312" w:hAnsi="宋体" w:eastAsia="楷体_GB2312"/>
          <w:b/>
          <w:sz w:val="32"/>
          <w:szCs w:val="32"/>
          <w:lang w:val="zh-CN"/>
        </w:rPr>
        <w:t>（二）项目管理情况。</w:t>
      </w:r>
      <w:r>
        <w:rPr>
          <w:rFonts w:hint="eastAsia" w:ascii="仿宋_GB2312" w:hAnsi="宋体" w:eastAsia="仿宋_GB2312" w:cs="Times New Roman"/>
          <w:sz w:val="32"/>
          <w:szCs w:val="32"/>
          <w:lang w:val="zh-CN"/>
        </w:rPr>
        <w:t>2018年新建</w:t>
      </w:r>
      <w:r>
        <w:rPr>
          <w:rFonts w:hint="eastAsia" w:ascii="仿宋_GB2312" w:hAnsi="宋体" w:eastAsia="仿宋_GB2312" w:cs="Times New Roman"/>
          <w:sz w:val="32"/>
          <w:szCs w:val="32"/>
          <w:lang w:val="zh-CN" w:eastAsia="zh-CN"/>
        </w:rPr>
        <w:t>宽带村基站</w:t>
      </w:r>
      <w:r>
        <w:rPr>
          <w:rFonts w:hint="eastAsia" w:ascii="仿宋_GB2312" w:hAnsi="宋体" w:eastAsia="仿宋_GB2312" w:cs="Times New Roman"/>
          <w:sz w:val="32"/>
          <w:szCs w:val="32"/>
          <w:lang w:val="zh-CN"/>
        </w:rPr>
        <w:t>光缆45.92公里，建设800M4G基站</w:t>
      </w:r>
      <w:r>
        <w:rPr>
          <w:rFonts w:hint="eastAsia" w:ascii="仿宋_GB2312" w:hAnsi="宋体" w:eastAsia="仿宋_GB2312" w:cs="Times New Roman"/>
          <w:sz w:val="32"/>
          <w:szCs w:val="32"/>
          <w:lang w:val="en-US" w:eastAsia="zh-CN"/>
        </w:rPr>
        <w:t>15</w:t>
      </w:r>
      <w:r>
        <w:rPr>
          <w:rFonts w:hint="eastAsia" w:ascii="仿宋_GB2312" w:hAnsi="宋体" w:eastAsia="仿宋_GB2312" w:cs="Times New Roman"/>
          <w:sz w:val="32"/>
          <w:szCs w:val="32"/>
          <w:lang w:val="zh-CN"/>
        </w:rPr>
        <w:t>个，行政村光缆通达率和20M以上宽带通达率达到</w:t>
      </w:r>
      <w:r>
        <w:rPr>
          <w:rFonts w:hint="eastAsia" w:ascii="仿宋_GB2312" w:hAnsi="宋体" w:eastAsia="仿宋_GB2312" w:cs="Times New Roman"/>
          <w:sz w:val="32"/>
          <w:szCs w:val="32"/>
          <w:lang w:val="en-US" w:eastAsia="zh-CN"/>
        </w:rPr>
        <w:t>82</w:t>
      </w:r>
      <w:r>
        <w:rPr>
          <w:rFonts w:hint="eastAsia" w:ascii="仿宋_GB2312" w:hAnsi="宋体" w:eastAsia="仿宋_GB2312" w:cs="Times New Roman"/>
          <w:sz w:val="32"/>
          <w:szCs w:val="32"/>
          <w:lang w:val="zh-CN"/>
        </w:rPr>
        <w:t>%。农村</w:t>
      </w:r>
      <w:r>
        <w:rPr>
          <w:rFonts w:hint="eastAsia" w:ascii="仿宋_GB2312" w:hAnsi="宋体" w:eastAsia="仿宋_GB2312" w:cs="Times New Roman"/>
          <w:sz w:val="32"/>
          <w:szCs w:val="32"/>
          <w:lang w:val="zh-CN" w:eastAsia="zh-CN"/>
        </w:rPr>
        <w:t>新建宽带村</w:t>
      </w:r>
      <w:r>
        <w:rPr>
          <w:rFonts w:hint="eastAsia" w:ascii="仿宋_GB2312" w:hAnsi="宋体" w:eastAsia="仿宋_GB2312" w:cs="Times New Roman"/>
          <w:sz w:val="32"/>
          <w:szCs w:val="32"/>
          <w:lang w:val="en-US" w:eastAsia="zh-CN"/>
        </w:rPr>
        <w:t>5个，农村</w:t>
      </w:r>
      <w:r>
        <w:rPr>
          <w:rFonts w:hint="eastAsia" w:ascii="仿宋_GB2312" w:hAnsi="宋体" w:eastAsia="仿宋_GB2312" w:cs="Times New Roman"/>
          <w:sz w:val="32"/>
          <w:szCs w:val="32"/>
          <w:lang w:val="zh-CN"/>
        </w:rPr>
        <w:t>家庭宽带普及率达到25%。提前实现《四川省“宽带中国”战略实施方案》（川府发〔2014〕6号）要求的2018年农村宽带接入能力达到20M，到2018年底农村家庭宽带普及率达到25%的目标要求</w:t>
      </w:r>
      <w:r>
        <w:rPr>
          <w:rFonts w:hint="eastAsia" w:ascii="仿宋_GB2312" w:hAnsi="宋体" w:eastAsia="仿宋_GB2312" w:cs="Times New Roman"/>
          <w:sz w:val="32"/>
          <w:szCs w:val="32"/>
          <w:lang w:val="zh-CN" w:eastAsia="zh-CN"/>
        </w:rPr>
        <w:t>。</w:t>
      </w:r>
    </w:p>
    <w:p>
      <w:pPr>
        <w:adjustRightInd w:val="0"/>
        <w:snapToGrid w:val="0"/>
        <w:spacing w:line="600" w:lineRule="exact"/>
        <w:ind w:firstLine="720"/>
        <w:rPr>
          <w:rFonts w:hint="eastAsia" w:ascii="仿宋_GB2312" w:hAnsi="宋体" w:eastAsia="仿宋_GB2312" w:cs="Times New Roman"/>
          <w:sz w:val="32"/>
          <w:szCs w:val="32"/>
          <w:lang w:val="zh-CN" w:eastAsia="zh-CN"/>
        </w:rPr>
      </w:pPr>
      <w:r>
        <w:rPr>
          <w:rFonts w:hint="eastAsia" w:ascii="楷体_GB2312" w:hAnsi="宋体" w:eastAsia="楷体_GB2312"/>
          <w:b/>
          <w:sz w:val="32"/>
          <w:szCs w:val="32"/>
          <w:lang w:val="zh-CN"/>
        </w:rPr>
        <w:t>（三）项目监管情况。</w:t>
      </w:r>
      <w:r>
        <w:rPr>
          <w:rFonts w:hint="eastAsia" w:ascii="仿宋_GB2312" w:hAnsi="宋体" w:eastAsia="仿宋_GB2312" w:cs="Times New Roman"/>
          <w:sz w:val="32"/>
          <w:szCs w:val="32"/>
          <w:lang w:val="zh-CN" w:eastAsia="zh-CN"/>
        </w:rPr>
        <w:t>加强项目事前、事中、事后的监督管理，监督项目资金拨付。确保我县通信工程扶贫建设完工。</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包括项目完成数量、质量、时效、成本等情况，对照项目计划完成目标，对截止评价时点的任务量完成、质量标准、进度计划、成本控制目标的实现程度进行评价，并进行分析说明。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用现代信息通信技术可以帮助农民提高生活水平，促进农村地区尽快改变贫穷落后面貌，推动社会均衡和谐发展。</w:t>
      </w:r>
    </w:p>
    <w:p>
      <w:pPr>
        <w:adjustRightInd w:val="0"/>
        <w:snapToGrid w:val="0"/>
        <w:spacing w:line="600" w:lineRule="exact"/>
        <w:ind w:firstLine="720"/>
        <w:rPr>
          <w:rFonts w:hint="eastAsia" w:ascii="黑体" w:hAnsi="宋体" w:eastAsia="黑体" w:cs="Times New Roman"/>
          <w:sz w:val="32"/>
          <w:szCs w:val="32"/>
          <w:lang w:val="zh-CN"/>
        </w:rPr>
      </w:pPr>
      <w:r>
        <w:rPr>
          <w:rFonts w:hint="eastAsia" w:ascii="黑体" w:hAnsi="宋体" w:eastAsia="黑体" w:cs="Times New Roman"/>
          <w:sz w:val="32"/>
          <w:szCs w:val="32"/>
          <w:lang w:val="en-US" w:eastAsia="zh-CN"/>
        </w:rPr>
        <w:t xml:space="preserve"> </w:t>
      </w:r>
      <w:r>
        <w:rPr>
          <w:rFonts w:hint="eastAsia" w:ascii="黑体" w:hAnsi="宋体" w:eastAsia="黑体" w:cs="Times New Roman"/>
          <w:sz w:val="32"/>
          <w:szCs w:val="32"/>
          <w:lang w:val="zh-CN"/>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结合项目自身特点、评价重点及管理办法等要求，围绕专项项目支出绩效评价指标体系对项目进行总体评价。</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960" w:firstLineChars="3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600" w:lineRule="exact"/>
        <w:ind w:firstLine="960" w:firstLineChars="300"/>
        <w:jc w:val="both"/>
        <w:outlineLvl w:val="0"/>
        <w:rPr>
          <w:rFonts w:hint="eastAsia" w:ascii="黑体" w:hAnsi="黑体" w:eastAsia="仿宋_GB2312"/>
          <w:color w:val="000000"/>
          <w:sz w:val="44"/>
          <w:szCs w:val="44"/>
          <w:lang w:val="en-US" w:eastAsia="zh-CN"/>
        </w:rPr>
      </w:pPr>
      <w:bookmarkStart w:id="157" w:name="_Toc27607"/>
      <w:bookmarkStart w:id="158" w:name="_Toc20177"/>
      <w:r>
        <w:rPr>
          <w:rFonts w:hint="eastAsia" w:ascii="仿宋_GB2312" w:hAnsi="宋体" w:eastAsia="仿宋_GB2312"/>
          <w:sz w:val="32"/>
          <w:szCs w:val="32"/>
          <w:lang w:val="zh-CN"/>
        </w:rPr>
        <w:t>无</w:t>
      </w:r>
      <w:r>
        <w:rPr>
          <w:rFonts w:hint="eastAsia" w:ascii="仿宋_GB2312" w:hAnsi="宋体" w:eastAsia="仿宋_GB2312"/>
          <w:sz w:val="32"/>
          <w:szCs w:val="32"/>
          <w:lang w:val="zh-CN" w:eastAsia="zh-CN"/>
        </w:rPr>
        <w:t>。</w:t>
      </w:r>
      <w:bookmarkEnd w:id="157"/>
      <w:bookmarkEnd w:id="158"/>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pStyle w:val="4"/>
        <w:bidi w:val="0"/>
        <w:jc w:val="center"/>
      </w:pPr>
      <w:bookmarkStart w:id="159" w:name="_Toc747"/>
      <w:bookmarkStart w:id="160" w:name="_Toc23104"/>
      <w:r>
        <w:rPr>
          <w:rFonts w:hint="eastAsia"/>
        </w:rPr>
        <w:t>第五部分</w:t>
      </w:r>
      <w:bookmarkEnd w:id="118"/>
      <w:bookmarkEnd w:id="140"/>
      <w:bookmarkEnd w:id="159"/>
      <w:bookmarkEnd w:id="160"/>
    </w:p>
    <w:p>
      <w:pPr>
        <w:pStyle w:val="5"/>
        <w:bidi w:val="0"/>
        <w:rPr>
          <w:rFonts w:hint="eastAsia" w:ascii="仿宋_GB2312" w:hAnsi="宋体" w:eastAsia="仿宋_GB2312" w:cs="Times New Roman"/>
          <w:b w:val="0"/>
          <w:bCs w:val="0"/>
          <w:kern w:val="2"/>
          <w:sz w:val="32"/>
          <w:szCs w:val="32"/>
          <w:lang w:val="zh-CN" w:eastAsia="zh-CN" w:bidi="ar-SA"/>
        </w:rPr>
      </w:pPr>
      <w:bookmarkStart w:id="161" w:name="_Toc15396619"/>
      <w:bookmarkStart w:id="162" w:name="_Toc2018"/>
      <w:bookmarkStart w:id="163" w:name="_Toc1017"/>
      <w:r>
        <w:rPr>
          <w:rFonts w:hint="eastAsia" w:ascii="仿宋_GB2312" w:hAnsi="宋体" w:eastAsia="仿宋_GB2312" w:cs="Times New Roman"/>
          <w:b w:val="0"/>
          <w:bCs w:val="0"/>
          <w:kern w:val="2"/>
          <w:sz w:val="32"/>
          <w:szCs w:val="32"/>
          <w:lang w:val="zh-CN" w:eastAsia="zh-CN" w:bidi="ar-SA"/>
        </w:rPr>
        <w:t>一、收入支出决算总表</w:t>
      </w:r>
      <w:bookmarkEnd w:id="161"/>
      <w:bookmarkEnd w:id="162"/>
      <w:bookmarkEnd w:id="163"/>
    </w:p>
    <w:p>
      <w:pPr>
        <w:pStyle w:val="5"/>
        <w:bidi w:val="0"/>
        <w:rPr>
          <w:rFonts w:hint="eastAsia" w:ascii="仿宋_GB2312" w:hAnsi="宋体" w:eastAsia="仿宋_GB2312" w:cs="Times New Roman"/>
          <w:b w:val="0"/>
          <w:bCs w:val="0"/>
          <w:kern w:val="2"/>
          <w:sz w:val="32"/>
          <w:szCs w:val="32"/>
          <w:lang w:val="zh-CN" w:eastAsia="zh-CN" w:bidi="ar-SA"/>
        </w:rPr>
      </w:pPr>
      <w:bookmarkStart w:id="164" w:name="_Toc11692"/>
      <w:bookmarkStart w:id="165" w:name="_Toc15396620"/>
      <w:bookmarkStart w:id="166" w:name="_Toc12500"/>
      <w:r>
        <w:rPr>
          <w:rFonts w:hint="eastAsia" w:ascii="仿宋_GB2312" w:hAnsi="宋体" w:eastAsia="仿宋_GB2312" w:cs="Times New Roman"/>
          <w:b w:val="0"/>
          <w:bCs w:val="0"/>
          <w:kern w:val="2"/>
          <w:sz w:val="32"/>
          <w:szCs w:val="32"/>
          <w:lang w:val="zh-CN" w:eastAsia="zh-CN" w:bidi="ar-SA"/>
        </w:rPr>
        <w:t>二、收入决算表</w:t>
      </w:r>
      <w:bookmarkEnd w:id="164"/>
      <w:bookmarkEnd w:id="165"/>
      <w:bookmarkEnd w:id="166"/>
    </w:p>
    <w:p>
      <w:pPr>
        <w:pStyle w:val="5"/>
        <w:bidi w:val="0"/>
        <w:rPr>
          <w:rFonts w:hint="eastAsia" w:ascii="仿宋_GB2312" w:hAnsi="宋体" w:eastAsia="仿宋_GB2312" w:cs="Times New Roman"/>
          <w:b w:val="0"/>
          <w:bCs w:val="0"/>
          <w:kern w:val="2"/>
          <w:sz w:val="32"/>
          <w:szCs w:val="32"/>
          <w:lang w:val="zh-CN" w:eastAsia="zh-CN" w:bidi="ar-SA"/>
        </w:rPr>
      </w:pPr>
      <w:bookmarkStart w:id="167" w:name="_Toc2857"/>
      <w:bookmarkStart w:id="168" w:name="_Toc23338"/>
      <w:bookmarkStart w:id="169" w:name="_Toc15396621"/>
      <w:r>
        <w:rPr>
          <w:rFonts w:hint="eastAsia" w:ascii="仿宋_GB2312" w:hAnsi="宋体" w:eastAsia="仿宋_GB2312" w:cs="Times New Roman"/>
          <w:b w:val="0"/>
          <w:bCs w:val="0"/>
          <w:kern w:val="2"/>
          <w:sz w:val="32"/>
          <w:szCs w:val="32"/>
          <w:lang w:val="zh-CN" w:eastAsia="zh-CN" w:bidi="ar-SA"/>
        </w:rPr>
        <w:t>三、支出决算表</w:t>
      </w:r>
      <w:bookmarkEnd w:id="167"/>
      <w:bookmarkEnd w:id="168"/>
      <w:bookmarkEnd w:id="169"/>
    </w:p>
    <w:p>
      <w:pPr>
        <w:pStyle w:val="5"/>
        <w:bidi w:val="0"/>
        <w:rPr>
          <w:rFonts w:hint="eastAsia" w:ascii="仿宋_GB2312" w:hAnsi="宋体" w:eastAsia="仿宋_GB2312" w:cs="Times New Roman"/>
          <w:b w:val="0"/>
          <w:bCs w:val="0"/>
          <w:kern w:val="2"/>
          <w:sz w:val="32"/>
          <w:szCs w:val="32"/>
          <w:lang w:val="zh-CN" w:eastAsia="zh-CN" w:bidi="ar-SA"/>
        </w:rPr>
      </w:pPr>
      <w:bookmarkStart w:id="170" w:name="_Toc18076"/>
      <w:bookmarkStart w:id="171" w:name="_Toc15396622"/>
      <w:bookmarkStart w:id="172" w:name="_Toc13662"/>
      <w:r>
        <w:rPr>
          <w:rFonts w:hint="eastAsia" w:ascii="仿宋_GB2312" w:hAnsi="宋体" w:eastAsia="仿宋_GB2312" w:cs="Times New Roman"/>
          <w:b w:val="0"/>
          <w:bCs w:val="0"/>
          <w:kern w:val="2"/>
          <w:sz w:val="32"/>
          <w:szCs w:val="32"/>
          <w:lang w:val="zh-CN" w:eastAsia="zh-CN" w:bidi="ar-SA"/>
        </w:rPr>
        <w:t>四、财政拨款收入支出决算总表</w:t>
      </w:r>
      <w:bookmarkEnd w:id="170"/>
      <w:bookmarkEnd w:id="171"/>
      <w:bookmarkEnd w:id="172"/>
    </w:p>
    <w:p>
      <w:pPr>
        <w:pStyle w:val="5"/>
        <w:bidi w:val="0"/>
        <w:rPr>
          <w:rFonts w:hint="eastAsia" w:ascii="仿宋_GB2312" w:hAnsi="宋体" w:eastAsia="仿宋_GB2312" w:cs="Times New Roman"/>
          <w:b w:val="0"/>
          <w:bCs w:val="0"/>
          <w:kern w:val="2"/>
          <w:sz w:val="32"/>
          <w:szCs w:val="32"/>
          <w:lang w:val="zh-CN" w:eastAsia="zh-CN" w:bidi="ar-SA"/>
        </w:rPr>
      </w:pPr>
      <w:bookmarkStart w:id="173" w:name="_Toc5991"/>
      <w:bookmarkStart w:id="174" w:name="_Toc15396623"/>
      <w:bookmarkStart w:id="175" w:name="_Toc5917"/>
      <w:r>
        <w:rPr>
          <w:rFonts w:hint="eastAsia" w:ascii="仿宋_GB2312" w:hAnsi="宋体" w:eastAsia="仿宋_GB2312" w:cs="Times New Roman"/>
          <w:b w:val="0"/>
          <w:bCs w:val="0"/>
          <w:kern w:val="2"/>
          <w:sz w:val="32"/>
          <w:szCs w:val="32"/>
          <w:lang w:val="zh-CN" w:eastAsia="zh-CN" w:bidi="ar-SA"/>
        </w:rPr>
        <w:t>五、财政拨款支出决算明细表</w:t>
      </w:r>
      <w:bookmarkEnd w:id="173"/>
      <w:bookmarkEnd w:id="174"/>
      <w:bookmarkEnd w:id="175"/>
      <w:bookmarkStart w:id="176" w:name="_Toc15396624"/>
    </w:p>
    <w:p>
      <w:pPr>
        <w:pStyle w:val="5"/>
        <w:bidi w:val="0"/>
        <w:rPr>
          <w:rFonts w:hint="eastAsia" w:ascii="仿宋_GB2312" w:hAnsi="宋体" w:eastAsia="仿宋_GB2312" w:cs="Times New Roman"/>
          <w:b w:val="0"/>
          <w:bCs w:val="0"/>
          <w:kern w:val="2"/>
          <w:sz w:val="32"/>
          <w:szCs w:val="32"/>
          <w:lang w:val="zh-CN" w:eastAsia="zh-CN" w:bidi="ar-SA"/>
        </w:rPr>
      </w:pPr>
      <w:bookmarkStart w:id="177" w:name="_Toc13955"/>
      <w:bookmarkStart w:id="178" w:name="_Toc5455"/>
      <w:r>
        <w:rPr>
          <w:rFonts w:hint="eastAsia" w:ascii="仿宋_GB2312" w:hAnsi="宋体" w:eastAsia="仿宋_GB2312" w:cs="Times New Roman"/>
          <w:b w:val="0"/>
          <w:bCs w:val="0"/>
          <w:kern w:val="2"/>
          <w:sz w:val="32"/>
          <w:szCs w:val="32"/>
          <w:lang w:val="zh-CN" w:eastAsia="zh-CN" w:bidi="ar-SA"/>
        </w:rPr>
        <w:t>六、一般公共预算财政拨款支出决算表</w:t>
      </w:r>
      <w:bookmarkEnd w:id="176"/>
      <w:bookmarkEnd w:id="177"/>
      <w:bookmarkEnd w:id="178"/>
    </w:p>
    <w:p>
      <w:pPr>
        <w:pStyle w:val="5"/>
        <w:bidi w:val="0"/>
        <w:rPr>
          <w:rFonts w:hint="eastAsia" w:ascii="仿宋_GB2312" w:hAnsi="宋体" w:eastAsia="仿宋_GB2312" w:cs="Times New Roman"/>
          <w:b w:val="0"/>
          <w:bCs w:val="0"/>
          <w:kern w:val="2"/>
          <w:sz w:val="32"/>
          <w:szCs w:val="32"/>
          <w:lang w:val="zh-CN" w:eastAsia="zh-CN" w:bidi="ar-SA"/>
        </w:rPr>
      </w:pPr>
      <w:bookmarkStart w:id="179" w:name="_Toc3522"/>
      <w:bookmarkStart w:id="180" w:name="_Toc6468"/>
      <w:bookmarkStart w:id="181" w:name="_Toc15396625"/>
      <w:r>
        <w:rPr>
          <w:rFonts w:hint="eastAsia" w:ascii="仿宋_GB2312" w:hAnsi="宋体" w:eastAsia="仿宋_GB2312" w:cs="Times New Roman"/>
          <w:b w:val="0"/>
          <w:bCs w:val="0"/>
          <w:kern w:val="2"/>
          <w:sz w:val="32"/>
          <w:szCs w:val="32"/>
          <w:lang w:val="zh-CN" w:eastAsia="zh-CN" w:bidi="ar-SA"/>
        </w:rPr>
        <w:t>七、一般公共预算财政拨款支出决算明细表</w:t>
      </w:r>
      <w:bookmarkEnd w:id="179"/>
      <w:bookmarkEnd w:id="180"/>
      <w:bookmarkEnd w:id="181"/>
    </w:p>
    <w:p>
      <w:pPr>
        <w:pStyle w:val="5"/>
        <w:bidi w:val="0"/>
        <w:rPr>
          <w:rFonts w:hint="eastAsia" w:ascii="仿宋_GB2312" w:hAnsi="宋体" w:eastAsia="仿宋_GB2312" w:cs="Times New Roman"/>
          <w:b w:val="0"/>
          <w:bCs w:val="0"/>
          <w:kern w:val="2"/>
          <w:sz w:val="32"/>
          <w:szCs w:val="32"/>
          <w:lang w:val="zh-CN" w:eastAsia="zh-CN" w:bidi="ar-SA"/>
        </w:rPr>
      </w:pPr>
      <w:bookmarkStart w:id="182" w:name="_Toc4883"/>
      <w:bookmarkStart w:id="183" w:name="_Toc15396626"/>
      <w:bookmarkStart w:id="184" w:name="_Toc29529"/>
      <w:r>
        <w:rPr>
          <w:rFonts w:hint="eastAsia" w:ascii="仿宋_GB2312" w:hAnsi="宋体" w:eastAsia="仿宋_GB2312" w:cs="Times New Roman"/>
          <w:b w:val="0"/>
          <w:bCs w:val="0"/>
          <w:kern w:val="2"/>
          <w:sz w:val="32"/>
          <w:szCs w:val="32"/>
          <w:lang w:val="zh-CN" w:eastAsia="zh-CN" w:bidi="ar-SA"/>
        </w:rPr>
        <w:t>八、一般公共预算财政拨款基本支出决算表</w:t>
      </w:r>
      <w:bookmarkEnd w:id="182"/>
      <w:bookmarkEnd w:id="183"/>
      <w:bookmarkEnd w:id="184"/>
    </w:p>
    <w:p>
      <w:pPr>
        <w:pStyle w:val="5"/>
        <w:bidi w:val="0"/>
        <w:rPr>
          <w:rFonts w:hint="eastAsia" w:ascii="仿宋_GB2312" w:hAnsi="宋体" w:eastAsia="仿宋_GB2312" w:cs="Times New Roman"/>
          <w:b w:val="0"/>
          <w:bCs w:val="0"/>
          <w:kern w:val="2"/>
          <w:sz w:val="32"/>
          <w:szCs w:val="32"/>
          <w:lang w:val="zh-CN" w:eastAsia="zh-CN" w:bidi="ar-SA"/>
        </w:rPr>
      </w:pPr>
      <w:bookmarkStart w:id="185" w:name="_Toc15396627"/>
      <w:bookmarkStart w:id="186" w:name="_Toc20640"/>
      <w:bookmarkStart w:id="187" w:name="_Toc9585"/>
      <w:r>
        <w:rPr>
          <w:rFonts w:hint="eastAsia" w:ascii="仿宋_GB2312" w:hAnsi="宋体" w:eastAsia="仿宋_GB2312" w:cs="Times New Roman"/>
          <w:b w:val="0"/>
          <w:bCs w:val="0"/>
          <w:kern w:val="2"/>
          <w:sz w:val="32"/>
          <w:szCs w:val="32"/>
          <w:lang w:val="zh-CN" w:eastAsia="zh-CN" w:bidi="ar-SA"/>
        </w:rPr>
        <w:t>九、一般公共预算财政拨款项目支出决算表</w:t>
      </w:r>
      <w:bookmarkEnd w:id="185"/>
      <w:bookmarkEnd w:id="186"/>
      <w:bookmarkEnd w:id="187"/>
    </w:p>
    <w:p>
      <w:pPr>
        <w:pStyle w:val="5"/>
        <w:bidi w:val="0"/>
        <w:rPr>
          <w:rFonts w:hint="eastAsia" w:ascii="仿宋_GB2312" w:hAnsi="宋体" w:eastAsia="仿宋_GB2312" w:cs="Times New Roman"/>
          <w:b w:val="0"/>
          <w:bCs w:val="0"/>
          <w:kern w:val="2"/>
          <w:sz w:val="32"/>
          <w:szCs w:val="32"/>
          <w:lang w:val="zh-CN" w:eastAsia="zh-CN" w:bidi="ar-SA"/>
        </w:rPr>
      </w:pPr>
      <w:bookmarkStart w:id="188" w:name="_Toc14203"/>
      <w:bookmarkStart w:id="189" w:name="_Toc9087"/>
      <w:bookmarkStart w:id="190" w:name="_Toc15396628"/>
      <w:r>
        <w:rPr>
          <w:rFonts w:hint="eastAsia" w:ascii="仿宋_GB2312" w:hAnsi="宋体" w:eastAsia="仿宋_GB2312" w:cs="Times New Roman"/>
          <w:b w:val="0"/>
          <w:bCs w:val="0"/>
          <w:kern w:val="2"/>
          <w:sz w:val="32"/>
          <w:szCs w:val="32"/>
          <w:lang w:val="zh-CN" w:eastAsia="zh-CN" w:bidi="ar-SA"/>
        </w:rPr>
        <w:t>十、一般公共预算财政拨款“三公”经费支出决算表</w:t>
      </w:r>
      <w:bookmarkEnd w:id="188"/>
      <w:bookmarkEnd w:id="189"/>
      <w:bookmarkEnd w:id="190"/>
    </w:p>
    <w:p>
      <w:pPr>
        <w:pStyle w:val="5"/>
        <w:bidi w:val="0"/>
        <w:rPr>
          <w:rFonts w:hint="eastAsia" w:ascii="仿宋_GB2312" w:hAnsi="宋体" w:eastAsia="仿宋_GB2312" w:cs="Times New Roman"/>
          <w:b w:val="0"/>
          <w:bCs w:val="0"/>
          <w:kern w:val="2"/>
          <w:sz w:val="32"/>
          <w:szCs w:val="32"/>
          <w:lang w:val="zh-CN" w:eastAsia="zh-CN" w:bidi="ar-SA"/>
        </w:rPr>
      </w:pPr>
      <w:bookmarkStart w:id="191" w:name="_Toc21913"/>
      <w:bookmarkStart w:id="192" w:name="_Toc8958"/>
      <w:bookmarkStart w:id="193" w:name="_Toc15396629"/>
      <w:r>
        <w:rPr>
          <w:rFonts w:hint="eastAsia" w:ascii="仿宋_GB2312" w:hAnsi="宋体" w:eastAsia="仿宋_GB2312" w:cs="Times New Roman"/>
          <w:b w:val="0"/>
          <w:bCs w:val="0"/>
          <w:kern w:val="2"/>
          <w:sz w:val="32"/>
          <w:szCs w:val="32"/>
          <w:lang w:val="zh-CN" w:eastAsia="zh-CN" w:bidi="ar-SA"/>
        </w:rPr>
        <w:t>十一、政府性基金预算财政拨款收入支出决算表</w:t>
      </w:r>
      <w:bookmarkEnd w:id="191"/>
      <w:bookmarkEnd w:id="192"/>
      <w:bookmarkEnd w:id="193"/>
    </w:p>
    <w:p>
      <w:pPr>
        <w:pStyle w:val="5"/>
        <w:bidi w:val="0"/>
        <w:rPr>
          <w:rFonts w:hint="eastAsia" w:ascii="仿宋_GB2312" w:hAnsi="宋体" w:eastAsia="仿宋_GB2312" w:cs="Times New Roman"/>
          <w:b w:val="0"/>
          <w:bCs w:val="0"/>
          <w:kern w:val="2"/>
          <w:sz w:val="32"/>
          <w:szCs w:val="32"/>
          <w:lang w:val="zh-CN" w:eastAsia="zh-CN" w:bidi="ar-SA"/>
        </w:rPr>
      </w:pPr>
      <w:bookmarkStart w:id="194" w:name="_Toc11293"/>
      <w:bookmarkStart w:id="195" w:name="_Toc15396630"/>
      <w:bookmarkStart w:id="196" w:name="_Toc22269"/>
      <w:r>
        <w:rPr>
          <w:rFonts w:hint="eastAsia" w:ascii="仿宋_GB2312" w:hAnsi="宋体" w:eastAsia="仿宋_GB2312" w:cs="Times New Roman"/>
          <w:b w:val="0"/>
          <w:bCs w:val="0"/>
          <w:kern w:val="2"/>
          <w:sz w:val="32"/>
          <w:szCs w:val="32"/>
          <w:lang w:val="zh-CN" w:eastAsia="zh-CN" w:bidi="ar-SA"/>
        </w:rPr>
        <w:t>十二、政府性基金预算财政拨款“三公”经费支出决算表</w:t>
      </w:r>
      <w:bookmarkEnd w:id="194"/>
      <w:bookmarkEnd w:id="195"/>
      <w:bookmarkEnd w:id="196"/>
    </w:p>
    <w:p>
      <w:pPr>
        <w:pStyle w:val="5"/>
        <w:bidi w:val="0"/>
        <w:rPr>
          <w:rFonts w:hint="eastAsia" w:ascii="仿宋_GB2312" w:hAnsi="宋体" w:eastAsia="仿宋_GB2312" w:cs="Times New Roman"/>
          <w:b w:val="0"/>
          <w:bCs w:val="0"/>
          <w:kern w:val="2"/>
          <w:sz w:val="32"/>
          <w:szCs w:val="32"/>
          <w:lang w:val="zh-CN" w:eastAsia="zh-CN" w:bidi="ar-SA"/>
        </w:rPr>
      </w:pPr>
      <w:bookmarkStart w:id="197" w:name="_Toc15396631"/>
      <w:bookmarkStart w:id="198" w:name="_Toc30280"/>
      <w:bookmarkStart w:id="199" w:name="_Toc27158"/>
      <w:r>
        <w:rPr>
          <w:rFonts w:hint="eastAsia" w:ascii="仿宋_GB2312" w:hAnsi="宋体" w:eastAsia="仿宋_GB2312" w:cs="Times New Roman"/>
          <w:b w:val="0"/>
          <w:bCs w:val="0"/>
          <w:kern w:val="2"/>
          <w:sz w:val="32"/>
          <w:szCs w:val="32"/>
          <w:lang w:val="zh-CN" w:eastAsia="zh-CN" w:bidi="ar-SA"/>
        </w:rPr>
        <w:t>十三、国有资本经营预算支出决算表</w:t>
      </w:r>
      <w:bookmarkEnd w:id="197"/>
      <w:bookmarkEnd w:id="198"/>
      <w:bookmarkEnd w:id="199"/>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16</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85BF57"/>
    <w:multiLevelType w:val="singleLevel"/>
    <w:tmpl w:val="A785BF57"/>
    <w:lvl w:ilvl="0" w:tentative="0">
      <w:start w:val="2"/>
      <w:numFmt w:val="chineseCounting"/>
      <w:suff w:val="nothing"/>
      <w:lvlText w:val="（%1）"/>
      <w:lvlJc w:val="left"/>
      <w:rPr>
        <w:rFonts w:hint="eastAsia"/>
      </w:rPr>
    </w:lvl>
  </w:abstractNum>
  <w:abstractNum w:abstractNumId="1">
    <w:nsid w:val="B6D4A32D"/>
    <w:multiLevelType w:val="singleLevel"/>
    <w:tmpl w:val="B6D4A32D"/>
    <w:lvl w:ilvl="0" w:tentative="0">
      <w:start w:val="2"/>
      <w:numFmt w:val="decimal"/>
      <w:suff w:val="nothing"/>
      <w:lvlText w:val="%1．"/>
      <w:lvlJc w:val="left"/>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7FBABAF"/>
    <w:multiLevelType w:val="singleLevel"/>
    <w:tmpl w:val="E7FBABAF"/>
    <w:lvl w:ilvl="0" w:tentative="0">
      <w:start w:val="2"/>
      <w:numFmt w:val="decimal"/>
      <w:suff w:val="nothing"/>
      <w:lvlText w:val="%1．"/>
      <w:lvlJc w:val="left"/>
    </w:lvl>
  </w:abstractNum>
  <w:abstractNum w:abstractNumId="5">
    <w:nsid w:val="EB628FD3"/>
    <w:multiLevelType w:val="singleLevel"/>
    <w:tmpl w:val="EB628FD3"/>
    <w:lvl w:ilvl="0" w:tentative="0">
      <w:start w:val="2"/>
      <w:numFmt w:val="chineseCounting"/>
      <w:suff w:val="nothing"/>
      <w:lvlText w:val="（%1）"/>
      <w:lvlJc w:val="left"/>
      <w:rPr>
        <w:rFonts w:hint="eastAsia"/>
      </w:rPr>
    </w:lvl>
  </w:abstractNum>
  <w:abstractNum w:abstractNumId="6">
    <w:nsid w:val="ED349A46"/>
    <w:multiLevelType w:val="singleLevel"/>
    <w:tmpl w:val="ED349A46"/>
    <w:lvl w:ilvl="0" w:tentative="0">
      <w:start w:val="2"/>
      <w:numFmt w:val="decimal"/>
      <w:suff w:val="nothing"/>
      <w:lvlText w:val="%1．"/>
      <w:lvlJc w:val="left"/>
      <w:rPr>
        <w:rFonts w:cs="Times New Roman"/>
      </w:rPr>
    </w:lvl>
  </w:abstractNum>
  <w:abstractNum w:abstractNumId="7">
    <w:nsid w:val="F7DE1C03"/>
    <w:multiLevelType w:val="singleLevel"/>
    <w:tmpl w:val="F7DE1C03"/>
    <w:lvl w:ilvl="0" w:tentative="0">
      <w:start w:val="1"/>
      <w:numFmt w:val="decimal"/>
      <w:lvlText w:val="%1."/>
      <w:lvlJc w:val="left"/>
      <w:pPr>
        <w:tabs>
          <w:tab w:val="left" w:pos="312"/>
        </w:tabs>
      </w:pPr>
    </w:lvl>
  </w:abstractNum>
  <w:abstractNum w:abstractNumId="8">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9">
    <w:nsid w:val="37B37B53"/>
    <w:multiLevelType w:val="singleLevel"/>
    <w:tmpl w:val="37B37B53"/>
    <w:lvl w:ilvl="0" w:tentative="0">
      <w:start w:val="2"/>
      <w:numFmt w:val="decimal"/>
      <w:suff w:val="nothing"/>
      <w:lvlText w:val="%1．"/>
      <w:lvlJc w:val="left"/>
    </w:lvl>
  </w:abstractNum>
  <w:abstractNum w:abstractNumId="10">
    <w:nsid w:val="56225DD5"/>
    <w:multiLevelType w:val="singleLevel"/>
    <w:tmpl w:val="56225DD5"/>
    <w:lvl w:ilvl="0" w:tentative="0">
      <w:start w:val="6"/>
      <w:numFmt w:val="decimal"/>
      <w:lvlText w:val="%1."/>
      <w:lvlJc w:val="left"/>
      <w:pPr>
        <w:tabs>
          <w:tab w:val="left" w:pos="312"/>
        </w:tabs>
      </w:pPr>
    </w:lvl>
  </w:abstractNum>
  <w:abstractNum w:abstractNumId="11">
    <w:nsid w:val="68A98E4F"/>
    <w:multiLevelType w:val="singleLevel"/>
    <w:tmpl w:val="68A98E4F"/>
    <w:lvl w:ilvl="0" w:tentative="0">
      <w:start w:val="1"/>
      <w:numFmt w:val="decimal"/>
      <w:lvlText w:val="%1."/>
      <w:lvlJc w:val="left"/>
      <w:pPr>
        <w:tabs>
          <w:tab w:val="left" w:pos="312"/>
        </w:tabs>
      </w:pPr>
    </w:lvl>
  </w:abstractNum>
  <w:num w:numId="1">
    <w:abstractNumId w:val="6"/>
  </w:num>
  <w:num w:numId="2">
    <w:abstractNumId w:val="8"/>
  </w:num>
  <w:num w:numId="3">
    <w:abstractNumId w:val="7"/>
  </w:num>
  <w:num w:numId="4">
    <w:abstractNumId w:val="10"/>
  </w:num>
  <w:num w:numId="5">
    <w:abstractNumId w:val="11"/>
  </w:num>
  <w:num w:numId="6">
    <w:abstractNumId w:val="2"/>
  </w:num>
  <w:num w:numId="7">
    <w:abstractNumId w:val="3"/>
  </w:num>
  <w:num w:numId="8">
    <w:abstractNumId w:val="5"/>
  </w:num>
  <w:num w:numId="9">
    <w:abstractNumId w:val="0"/>
  </w:num>
  <w:num w:numId="10">
    <w:abstractNumId w:val="4"/>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1NzY5NzBlY2NkZDA3NWQ2OTYyNTI2ZGYxOWY4MjYifQ=="/>
  </w:docVars>
  <w:rsids>
    <w:rsidRoot w:val="00F1361C"/>
    <w:rsid w:val="000222C6"/>
    <w:rsid w:val="0002549F"/>
    <w:rsid w:val="00031EB9"/>
    <w:rsid w:val="000468DB"/>
    <w:rsid w:val="00052F1D"/>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0F7C13"/>
    <w:rsid w:val="00114E9B"/>
    <w:rsid w:val="00142216"/>
    <w:rsid w:val="00144D6A"/>
    <w:rsid w:val="0014729F"/>
    <w:rsid w:val="001554F3"/>
    <w:rsid w:val="00157BAB"/>
    <w:rsid w:val="001654D1"/>
    <w:rsid w:val="00174518"/>
    <w:rsid w:val="001762DF"/>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2414D"/>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5E3"/>
    <w:rsid w:val="00505A47"/>
    <w:rsid w:val="00512FDA"/>
    <w:rsid w:val="00520DA0"/>
    <w:rsid w:val="005664BB"/>
    <w:rsid w:val="00566FFA"/>
    <w:rsid w:val="0057481D"/>
    <w:rsid w:val="00575F0B"/>
    <w:rsid w:val="0058486E"/>
    <w:rsid w:val="00585B33"/>
    <w:rsid w:val="0059014D"/>
    <w:rsid w:val="00593EBA"/>
    <w:rsid w:val="005B5C64"/>
    <w:rsid w:val="005C6BD0"/>
    <w:rsid w:val="005C6C4C"/>
    <w:rsid w:val="005D1C8B"/>
    <w:rsid w:val="005D468D"/>
    <w:rsid w:val="005D5CED"/>
    <w:rsid w:val="005F1A4C"/>
    <w:rsid w:val="005F4A75"/>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27B7F"/>
    <w:rsid w:val="00833962"/>
    <w:rsid w:val="0083706E"/>
    <w:rsid w:val="008408F6"/>
    <w:rsid w:val="008409F3"/>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5C9B"/>
    <w:rsid w:val="008E707C"/>
    <w:rsid w:val="008F6228"/>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22E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2544C"/>
    <w:rsid w:val="00C30E69"/>
    <w:rsid w:val="00C33E72"/>
    <w:rsid w:val="00C354B2"/>
    <w:rsid w:val="00C35554"/>
    <w:rsid w:val="00C42709"/>
    <w:rsid w:val="00C533CC"/>
    <w:rsid w:val="00C5751C"/>
    <w:rsid w:val="00C61BFC"/>
    <w:rsid w:val="00C62B85"/>
    <w:rsid w:val="00C65438"/>
    <w:rsid w:val="00C740BD"/>
    <w:rsid w:val="00C91CBB"/>
    <w:rsid w:val="00CA098C"/>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75D46"/>
    <w:rsid w:val="00D91612"/>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B3EC6"/>
    <w:rsid w:val="00ED1B63"/>
    <w:rsid w:val="00ED3C1F"/>
    <w:rsid w:val="00ED4085"/>
    <w:rsid w:val="00ED420E"/>
    <w:rsid w:val="00ED6FBE"/>
    <w:rsid w:val="00EE2F57"/>
    <w:rsid w:val="00EF4C34"/>
    <w:rsid w:val="00EF77C6"/>
    <w:rsid w:val="00F05438"/>
    <w:rsid w:val="00F1187C"/>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923C73"/>
    <w:rsid w:val="01F3147A"/>
    <w:rsid w:val="021F47B5"/>
    <w:rsid w:val="02F4781C"/>
    <w:rsid w:val="03610B08"/>
    <w:rsid w:val="03E820B2"/>
    <w:rsid w:val="043B0DF5"/>
    <w:rsid w:val="051D532A"/>
    <w:rsid w:val="05875744"/>
    <w:rsid w:val="059B6AFA"/>
    <w:rsid w:val="06AC34A7"/>
    <w:rsid w:val="06CD1C83"/>
    <w:rsid w:val="07D07EC8"/>
    <w:rsid w:val="085409ED"/>
    <w:rsid w:val="0B0E3372"/>
    <w:rsid w:val="0BAF4EC2"/>
    <w:rsid w:val="0BF60AE7"/>
    <w:rsid w:val="0C975D9D"/>
    <w:rsid w:val="0D064D67"/>
    <w:rsid w:val="0D226D0C"/>
    <w:rsid w:val="0D5C354C"/>
    <w:rsid w:val="0E46033B"/>
    <w:rsid w:val="0E8C6051"/>
    <w:rsid w:val="103B3B6B"/>
    <w:rsid w:val="10C055FF"/>
    <w:rsid w:val="116100A7"/>
    <w:rsid w:val="12A678AE"/>
    <w:rsid w:val="12A7725A"/>
    <w:rsid w:val="12FB538E"/>
    <w:rsid w:val="132D7C9F"/>
    <w:rsid w:val="132F6748"/>
    <w:rsid w:val="136D20FC"/>
    <w:rsid w:val="141B4EE1"/>
    <w:rsid w:val="152D710E"/>
    <w:rsid w:val="15D93FE9"/>
    <w:rsid w:val="15F816CB"/>
    <w:rsid w:val="16BB723D"/>
    <w:rsid w:val="17836935"/>
    <w:rsid w:val="18116F7F"/>
    <w:rsid w:val="195D00A5"/>
    <w:rsid w:val="19A44BAB"/>
    <w:rsid w:val="1A507D9C"/>
    <w:rsid w:val="1A8E2760"/>
    <w:rsid w:val="1AF7661F"/>
    <w:rsid w:val="1BDA677E"/>
    <w:rsid w:val="1BDD6121"/>
    <w:rsid w:val="1C7842E7"/>
    <w:rsid w:val="1D0E4D69"/>
    <w:rsid w:val="1D874987"/>
    <w:rsid w:val="1E063B77"/>
    <w:rsid w:val="1FD82E4A"/>
    <w:rsid w:val="20AE6717"/>
    <w:rsid w:val="2111649D"/>
    <w:rsid w:val="21711652"/>
    <w:rsid w:val="218E4826"/>
    <w:rsid w:val="21A93B49"/>
    <w:rsid w:val="21EF7D08"/>
    <w:rsid w:val="23405CFB"/>
    <w:rsid w:val="23593F77"/>
    <w:rsid w:val="23F7683B"/>
    <w:rsid w:val="240371BF"/>
    <w:rsid w:val="24C75467"/>
    <w:rsid w:val="26433941"/>
    <w:rsid w:val="269838AA"/>
    <w:rsid w:val="27CB3E96"/>
    <w:rsid w:val="29463203"/>
    <w:rsid w:val="297A6B46"/>
    <w:rsid w:val="29A74F40"/>
    <w:rsid w:val="29BB6AEC"/>
    <w:rsid w:val="29FD04D3"/>
    <w:rsid w:val="2B776FAE"/>
    <w:rsid w:val="2BAC3C72"/>
    <w:rsid w:val="2C1D4ED9"/>
    <w:rsid w:val="2D046518"/>
    <w:rsid w:val="2EA35EF9"/>
    <w:rsid w:val="2F2E4F55"/>
    <w:rsid w:val="2FDD0C43"/>
    <w:rsid w:val="2FFB0037"/>
    <w:rsid w:val="313D44BF"/>
    <w:rsid w:val="319F7F4E"/>
    <w:rsid w:val="32861750"/>
    <w:rsid w:val="33C179EB"/>
    <w:rsid w:val="33CA562F"/>
    <w:rsid w:val="33DF2E23"/>
    <w:rsid w:val="34271D62"/>
    <w:rsid w:val="344006CF"/>
    <w:rsid w:val="347617D2"/>
    <w:rsid w:val="3545279E"/>
    <w:rsid w:val="35A85B26"/>
    <w:rsid w:val="35AF5DAC"/>
    <w:rsid w:val="371D3637"/>
    <w:rsid w:val="373B0FB4"/>
    <w:rsid w:val="3ADA5F78"/>
    <w:rsid w:val="3AE26975"/>
    <w:rsid w:val="3BA62DCF"/>
    <w:rsid w:val="3C215D5D"/>
    <w:rsid w:val="3CF128E2"/>
    <w:rsid w:val="3D3B5FB4"/>
    <w:rsid w:val="3DB21874"/>
    <w:rsid w:val="3DD117D1"/>
    <w:rsid w:val="40D0625E"/>
    <w:rsid w:val="40EE7E98"/>
    <w:rsid w:val="41554516"/>
    <w:rsid w:val="4218378E"/>
    <w:rsid w:val="45C02F14"/>
    <w:rsid w:val="46E44F77"/>
    <w:rsid w:val="47281ECA"/>
    <w:rsid w:val="48227E97"/>
    <w:rsid w:val="4825334F"/>
    <w:rsid w:val="488C0EA9"/>
    <w:rsid w:val="493A5BCF"/>
    <w:rsid w:val="49496B83"/>
    <w:rsid w:val="4AEC5E3C"/>
    <w:rsid w:val="4B1931D8"/>
    <w:rsid w:val="4B71762B"/>
    <w:rsid w:val="4BF461F4"/>
    <w:rsid w:val="4CC2658B"/>
    <w:rsid w:val="4E894884"/>
    <w:rsid w:val="4ECE2238"/>
    <w:rsid w:val="500475AE"/>
    <w:rsid w:val="506E7359"/>
    <w:rsid w:val="50FB04A3"/>
    <w:rsid w:val="517B5085"/>
    <w:rsid w:val="51C57A35"/>
    <w:rsid w:val="51C8661E"/>
    <w:rsid w:val="522D3163"/>
    <w:rsid w:val="52B741B9"/>
    <w:rsid w:val="52B84327"/>
    <w:rsid w:val="52FD0467"/>
    <w:rsid w:val="5398414A"/>
    <w:rsid w:val="54CE19BD"/>
    <w:rsid w:val="56734EF5"/>
    <w:rsid w:val="57A70DE1"/>
    <w:rsid w:val="57D73781"/>
    <w:rsid w:val="57E21BD6"/>
    <w:rsid w:val="58036246"/>
    <w:rsid w:val="5834333A"/>
    <w:rsid w:val="58985E7C"/>
    <w:rsid w:val="5C266502"/>
    <w:rsid w:val="5DA7205E"/>
    <w:rsid w:val="5ED54F5B"/>
    <w:rsid w:val="5F57585E"/>
    <w:rsid w:val="60ED609F"/>
    <w:rsid w:val="61544956"/>
    <w:rsid w:val="62082F01"/>
    <w:rsid w:val="62EF04B5"/>
    <w:rsid w:val="62FB118E"/>
    <w:rsid w:val="63F36DD8"/>
    <w:rsid w:val="63F621F8"/>
    <w:rsid w:val="645313BE"/>
    <w:rsid w:val="646B319D"/>
    <w:rsid w:val="6484630B"/>
    <w:rsid w:val="649964B3"/>
    <w:rsid w:val="65244A2A"/>
    <w:rsid w:val="66E95DAD"/>
    <w:rsid w:val="670016C0"/>
    <w:rsid w:val="67094D2D"/>
    <w:rsid w:val="68B71573"/>
    <w:rsid w:val="69086582"/>
    <w:rsid w:val="6A4350EA"/>
    <w:rsid w:val="6A9E515F"/>
    <w:rsid w:val="6C542B16"/>
    <w:rsid w:val="6C565A10"/>
    <w:rsid w:val="6D5E1799"/>
    <w:rsid w:val="6E84644E"/>
    <w:rsid w:val="6EB13F99"/>
    <w:rsid w:val="6F6C78E1"/>
    <w:rsid w:val="70AB0A6D"/>
    <w:rsid w:val="70E90CB4"/>
    <w:rsid w:val="717A51C8"/>
    <w:rsid w:val="71DC4099"/>
    <w:rsid w:val="71E80CC6"/>
    <w:rsid w:val="72734D90"/>
    <w:rsid w:val="72CA1A22"/>
    <w:rsid w:val="73227237"/>
    <w:rsid w:val="754A6E7D"/>
    <w:rsid w:val="760A49B3"/>
    <w:rsid w:val="76D709C2"/>
    <w:rsid w:val="77FB0B7A"/>
    <w:rsid w:val="79E263A6"/>
    <w:rsid w:val="7A6C53F9"/>
    <w:rsid w:val="7B6A088B"/>
    <w:rsid w:val="7BD603C2"/>
    <w:rsid w:val="7CD2467D"/>
    <w:rsid w:val="7ECE6FCE"/>
    <w:rsid w:val="7ED04C8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spacing w:line="560" w:lineRule="atLeast"/>
      <w:ind w:firstLine="640" w:firstLineChars="200"/>
    </w:pPr>
    <w:rPr>
      <w:rFonts w:ascii="仿宋_GB2312" w:eastAsia="仿宋_GB2312"/>
      <w:sz w:val="32"/>
    </w:r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7">
    <w:name w:val="Strong"/>
    <w:basedOn w:val="16"/>
    <w:qFormat/>
    <w:uiPriority w:val="99"/>
    <w:rPr>
      <w:b/>
    </w:rPr>
  </w:style>
  <w:style w:type="character" w:styleId="18">
    <w:name w:val="FollowedHyperlink"/>
    <w:basedOn w:val="16"/>
    <w:semiHidden/>
    <w:unhideWhenUsed/>
    <w:qFormat/>
    <w:uiPriority w:val="99"/>
    <w:rPr>
      <w:color w:val="800080"/>
      <w:u w:val="none"/>
    </w:rPr>
  </w:style>
  <w:style w:type="character" w:styleId="19">
    <w:name w:val="Hyperlink"/>
    <w:basedOn w:val="16"/>
    <w:unhideWhenUsed/>
    <w:qFormat/>
    <w:uiPriority w:val="99"/>
    <w:rPr>
      <w:color w:val="0000FF" w:themeColor="hyperlink"/>
      <w:u w:val="single"/>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4"/>
    <w:qFormat/>
    <w:uiPriority w:val="9"/>
    <w:rPr>
      <w:rFonts w:ascii="Times New Roman" w:hAnsi="Times New Roman"/>
      <w:b/>
      <w:bCs/>
      <w:kern w:val="44"/>
      <w:sz w:val="44"/>
      <w:szCs w:val="44"/>
    </w:rPr>
  </w:style>
  <w:style w:type="character" w:customStyle="1" w:styleId="29">
    <w:name w:val="标题 2 Char"/>
    <w:basedOn w:val="16"/>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6"/>
    <w:qFormat/>
    <w:uiPriority w:val="9"/>
    <w:rPr>
      <w:rFonts w:ascii="Times New Roman" w:hAnsi="Times New Roman"/>
      <w:b/>
      <w:bCs/>
      <w:kern w:val="2"/>
      <w:sz w:val="32"/>
      <w:szCs w:val="32"/>
    </w:rPr>
  </w:style>
  <w:style w:type="paragraph" w:customStyle="1" w:styleId="33">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s="宋体"/>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[工作簿1]Sheet1!$A$1:$B$1</c:f>
              <c:strCache>
                <c:ptCount val="2"/>
                <c:pt idx="0">
                  <c:v>2019年总收支</c:v>
                </c:pt>
                <c:pt idx="1">
                  <c:v>2018年总收支</c:v>
                </c:pt>
              </c:strCache>
            </c:strRef>
          </c:cat>
          <c:val>
            <c:numRef>
              <c:f>[工作簿1]Sheet1!$A$2:$B$2</c:f>
              <c:numCache>
                <c:formatCode>General</c:formatCode>
                <c:ptCount val="2"/>
                <c:pt idx="0">
                  <c:v>3335.36</c:v>
                </c:pt>
                <c:pt idx="1">
                  <c:v>5945.23</c:v>
                </c:pt>
              </c:numCache>
            </c:numRef>
          </c:val>
        </c:ser>
        <c:dLbls>
          <c:showLegendKey val="0"/>
          <c:showVal val="0"/>
          <c:showCatName val="0"/>
          <c:showSerName val="0"/>
          <c:showPercent val="0"/>
          <c:showBubbleSize val="0"/>
        </c:dLbls>
        <c:gapWidth val="219"/>
        <c:overlap val="-27"/>
        <c:axId val="94428544"/>
        <c:axId val="95470720"/>
      </c:barChart>
      <c:catAx>
        <c:axId val="9442854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470720"/>
        <c:crosses val="autoZero"/>
        <c:auto val="1"/>
        <c:lblAlgn val="ctr"/>
        <c:lblOffset val="100"/>
        <c:noMultiLvlLbl val="0"/>
      </c:catAx>
      <c:valAx>
        <c:axId val="9547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428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[工作簿1]Sheet1!$A$44:$A$45</c:f>
              <c:strCache>
                <c:ptCount val="2"/>
                <c:pt idx="0">
                  <c:v>2019年收入</c:v>
                </c:pt>
                <c:pt idx="1">
                  <c:v>一般公共预算财政拨款收入</c:v>
                </c:pt>
              </c:strCache>
            </c:strRef>
          </c:cat>
          <c:val>
            <c:numRef>
              <c:f>[工作簿1]Sheet1!$B$44:$B$45</c:f>
              <c:numCache>
                <c:formatCode>General</c:formatCode>
                <c:ptCount val="2"/>
                <c:pt idx="0">
                  <c:v>1304.91</c:v>
                </c:pt>
                <c:pt idx="1">
                  <c:v>1304.91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2993395986792"/>
          <c:y val="0.9183445190156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[工作簿1]Sheet1!$D$58:$D$59</c:f>
              <c:strCache>
                <c:ptCount val="2"/>
                <c:pt idx="0">
                  <c:v>基本支出</c:v>
                </c:pt>
                <c:pt idx="1">
                  <c:v>项目支出</c:v>
                </c:pt>
              </c:strCache>
            </c:strRef>
          </c:cat>
          <c:val>
            <c:numRef>
              <c:f>[工作簿1]Sheet1!$E$58:$E$59</c:f>
              <c:numCache>
                <c:formatCode>General</c:formatCode>
                <c:ptCount val="2"/>
                <c:pt idx="0">
                  <c:v>466.07</c:v>
                </c:pt>
                <c:pt idx="1">
                  <c:v>2812.77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[工作簿1]Sheet1!$A$1:$B$1</c:f>
              <c:strCache>
                <c:ptCount val="2"/>
                <c:pt idx="0">
                  <c:v>2019年总收支</c:v>
                </c:pt>
                <c:pt idx="1">
                  <c:v>2018年总收支</c:v>
                </c:pt>
              </c:strCache>
            </c:strRef>
          </c:cat>
          <c:val>
            <c:numRef>
              <c:f>[工作簿1]Sheet1!$A$2:$B$2</c:f>
              <c:numCache>
                <c:formatCode>General</c:formatCode>
                <c:ptCount val="2"/>
                <c:pt idx="0">
                  <c:v>3335.36</c:v>
                </c:pt>
                <c:pt idx="1">
                  <c:v>5945.23</c:v>
                </c:pt>
              </c:numCache>
            </c:numRef>
          </c:val>
        </c:ser>
        <c:dLbls>
          <c:showLegendKey val="0"/>
          <c:showVal val="0"/>
          <c:showCatName val="0"/>
          <c:showSerName val="0"/>
          <c:showPercent val="0"/>
          <c:showBubbleSize val="0"/>
        </c:dLbls>
        <c:gapWidth val="219"/>
        <c:overlap val="-27"/>
        <c:axId val="95533696"/>
        <c:axId val="95539584"/>
      </c:barChart>
      <c:catAx>
        <c:axId val="955336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539584"/>
        <c:crosses val="autoZero"/>
        <c:auto val="1"/>
        <c:lblAlgn val="ctr"/>
        <c:lblOffset val="100"/>
        <c:noMultiLvlLbl val="0"/>
      </c:catAx>
      <c:valAx>
        <c:axId val="95539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533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一般公共预算财政拨款支出决算变动情况图</a:t>
            </a:r>
          </a:p>
        </c:rich>
      </c:tx>
      <c:layout>
        <c:manualLayout>
          <c:xMode val="edge"/>
          <c:yMode val="edge"/>
          <c:x val="0.139065656565657"/>
          <c:y val="0.0105189340813464"/>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[工作簿1]Sheet1!$D$1:$D$2</c:f>
              <c:strCache>
                <c:ptCount val="2"/>
                <c:pt idx="0">
                  <c:v>2019年支出</c:v>
                </c:pt>
                <c:pt idx="1">
                  <c:v>2018年支出</c:v>
                </c:pt>
              </c:strCache>
            </c:strRef>
          </c:cat>
          <c:val>
            <c:numRef>
              <c:f>[工作簿1]Sheet1!$E$1:$E$2</c:f>
              <c:numCache>
                <c:formatCode>General</c:formatCode>
                <c:ptCount val="2"/>
                <c:pt idx="0">
                  <c:v>3293.84</c:v>
                </c:pt>
                <c:pt idx="1">
                  <c:v>3137.97</c:v>
                </c:pt>
              </c:numCache>
            </c:numRef>
          </c:val>
        </c:ser>
        <c:dLbls>
          <c:showLegendKey val="0"/>
          <c:showVal val="0"/>
          <c:showCatName val="0"/>
          <c:showSerName val="0"/>
          <c:showPercent val="0"/>
          <c:showBubbleSize val="0"/>
        </c:dLbls>
        <c:gapWidth val="219"/>
        <c:overlap val="-27"/>
        <c:axId val="95571968"/>
        <c:axId val="95573504"/>
      </c:barChart>
      <c:catAx>
        <c:axId val="955719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573504"/>
        <c:crosses val="autoZero"/>
        <c:auto val="1"/>
        <c:lblAlgn val="ctr"/>
        <c:lblOffset val="100"/>
        <c:noMultiLvlLbl val="0"/>
      </c:catAx>
      <c:valAx>
        <c:axId val="95573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571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Lbls>
            <c:delete val="1"/>
          </c:dLbls>
          <c:cat>
            <c:strRef>
              <c:f>[工作簿1]Sheet1!$A$103:$B$110</c:f>
              <c:strCache>
                <c:ptCount val="8"/>
                <c:pt idx="0">
                  <c:v>一般公共服务支出</c:v>
                </c:pt>
                <c:pt idx="1">
                  <c:v>社会保障和就业支出</c:v>
                </c:pt>
                <c:pt idx="2">
                  <c:v>卫生健康支出</c:v>
                </c:pt>
                <c:pt idx="3">
                  <c:v>节能环保支出</c:v>
                </c:pt>
                <c:pt idx="4">
                  <c:v>农林水支出</c:v>
                </c:pt>
                <c:pt idx="5">
                  <c:v>商业服务业等支出</c:v>
                </c:pt>
                <c:pt idx="6">
                  <c:v>住房保障支出</c:v>
                </c:pt>
                <c:pt idx="7">
                  <c:v>其他支出</c:v>
                </c:pt>
              </c:strCache>
            </c:strRef>
          </c:cat>
          <c:val>
            <c:numRef>
              <c:f>[工作簿1]Sheet1!$C$103:$C$110</c:f>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elete val="1"/>
          </c:dLbls>
          <c:cat>
            <c:strRef>
              <c:f>[工作簿1]Sheet1!$A$103:$B$110</c:f>
              <c:strCache>
                <c:ptCount val="8"/>
                <c:pt idx="0">
                  <c:v>一般公共服务支出</c:v>
                </c:pt>
                <c:pt idx="1">
                  <c:v>社会保障和就业支出</c:v>
                </c:pt>
                <c:pt idx="2">
                  <c:v>卫生健康支出</c:v>
                </c:pt>
                <c:pt idx="3">
                  <c:v>节能环保支出</c:v>
                </c:pt>
                <c:pt idx="4">
                  <c:v>农林水支出</c:v>
                </c:pt>
                <c:pt idx="5">
                  <c:v>商业服务业等支出</c:v>
                </c:pt>
                <c:pt idx="6">
                  <c:v>住房保障支出</c:v>
                </c:pt>
                <c:pt idx="7">
                  <c:v>其他支出</c:v>
                </c:pt>
              </c:strCache>
            </c:strRef>
          </c:cat>
          <c:val>
            <c:numRef>
              <c:f>[工作簿1]Sheet1!$D$103:$D$110</c:f>
              <c:numCache>
                <c:formatCode>#,##0.00</c:formatCode>
                <c:ptCount val="8"/>
                <c:pt idx="0">
                  <c:v>956.48</c:v>
                </c:pt>
                <c:pt idx="1">
                  <c:v>52.35</c:v>
                </c:pt>
                <c:pt idx="2">
                  <c:v>24.98</c:v>
                </c:pt>
                <c:pt idx="3">
                  <c:v>336.07</c:v>
                </c:pt>
                <c:pt idx="4">
                  <c:v>1870.81</c:v>
                </c:pt>
                <c:pt idx="5">
                  <c:v>5.6</c:v>
                </c:pt>
                <c:pt idx="6">
                  <c:v>29.55</c:v>
                </c:pt>
                <c:pt idx="7">
                  <c:v>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[工作簿1]Sheet1!$F$124:$F$125</c:f>
              <c:strCache>
                <c:ptCount val="2"/>
                <c:pt idx="0">
                  <c:v>公务用车运行维护费</c:v>
                </c:pt>
                <c:pt idx="1">
                  <c:v>公务接待费</c:v>
                </c:pt>
              </c:strCache>
            </c:strRef>
          </c:cat>
          <c:val>
            <c:numRef>
              <c:f>[工作簿1]Sheet1!$G$124:$G$125</c:f>
              <c:numCache>
                <c:formatCode>General</c:formatCode>
                <c:ptCount val="2"/>
                <c:pt idx="0">
                  <c:v>8.05</c:v>
                </c:pt>
                <c:pt idx="1">
                  <c:v>0.12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F2BD1-B118-4A5E-BCC3-878549DBC05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65</Pages>
  <Words>24420</Words>
  <Characters>25820</Characters>
  <Lines>10</Lines>
  <Paragraphs>40</Paragraphs>
  <TotalTime>6</TotalTime>
  <ScaleCrop>false</ScaleCrop>
  <LinksUpToDate>false</LinksUpToDate>
  <CharactersWithSpaces>25932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、娅、</cp:lastModifiedBy>
  <cp:lastPrinted>2020-07-23T02:58:00Z</cp:lastPrinted>
  <dcterms:modified xsi:type="dcterms:W3CDTF">2023-07-19T02:34:49Z</dcterms:modified>
  <dc:title>四川省***</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1A50252033A74904B67AC13395B1A47F_13</vt:lpwstr>
  </property>
</Properties>
</file>