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lang w:val="en-US" w:eastAsia="zh-CN"/>
        </w:rPr>
      </w:pPr>
      <w:r>
        <w:rPr>
          <w:rFonts w:hint="eastAsia" w:ascii="方正小标宋简体" w:eastAsia="方正小标宋简体" w:cs="方正小标宋简体"/>
          <w:b w:val="0"/>
          <w:bCs/>
          <w:sz w:val="44"/>
          <w:szCs w:val="44"/>
          <w:lang w:val="en-US" w:eastAsia="zh-CN"/>
        </w:rPr>
        <w:t>红原县科学技术协会</w:t>
      </w: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lang w:eastAsia="zh-CN"/>
        </w:rPr>
        <w:t>202</w:t>
      </w:r>
      <w:r>
        <w:rPr>
          <w:rFonts w:hint="eastAsia" w:ascii="方正小标宋简体" w:eastAsia="方正小标宋简体" w:cs="方正小标宋简体"/>
          <w:b w:val="0"/>
          <w:bCs/>
          <w:sz w:val="44"/>
          <w:szCs w:val="44"/>
          <w:lang w:val="en-US" w:eastAsia="zh-CN"/>
        </w:rPr>
        <w:t>6</w:t>
      </w:r>
      <w:r>
        <w:rPr>
          <w:rFonts w:hint="eastAsia" w:ascii="方正小标宋简体" w:eastAsia="方正小标宋简体" w:cs="方正小标宋简体"/>
          <w:b w:val="0"/>
          <w:bCs/>
          <w:sz w:val="44"/>
          <w:szCs w:val="44"/>
          <w:lang w:eastAsia="zh-CN"/>
        </w:rPr>
        <w:t>年</w:t>
      </w:r>
      <w:r>
        <w:rPr>
          <w:rFonts w:hint="eastAsia" w:ascii="方正小标宋简体" w:eastAsia="方正小标宋简体" w:cs="方正小标宋简体"/>
          <w:b w:val="0"/>
          <w:bCs/>
          <w:sz w:val="44"/>
          <w:szCs w:val="44"/>
        </w:rPr>
        <w:t>部门预算编制的说明</w:t>
      </w:r>
    </w:p>
    <w:p>
      <w:pPr>
        <w:pStyle w:val="7"/>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eastAsia="宋体"/>
          <w:b/>
          <w:sz w:val="44"/>
          <w:szCs w:val="44"/>
        </w:rPr>
      </w:pPr>
      <w:r>
        <w:rPr>
          <w:rFonts w:hint="eastAsia" w:ascii="宋体" w:eastAsia="宋体"/>
          <w:b/>
          <w:sz w:val="44"/>
          <w:szCs w:val="44"/>
        </w:rPr>
        <w:t xml:space="preserve">    </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（一）基本职能</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right="0" w:firstLine="640"/>
      </w:pPr>
      <w:r>
        <w:rPr>
          <w:rFonts w:ascii="仿宋_GB2312" w:eastAsia="仿宋_GB2312" w:cs="仿宋_GB2312"/>
          <w:color w:val="333333"/>
          <w:sz w:val="32"/>
          <w:szCs w:val="32"/>
          <w:shd w:val="clear" w:color="auto" w:fill="FFFFFF"/>
        </w:rPr>
        <w:t>当好党和政府发展科技事业的助手，进一步搞好科技工作者服务工作；加强科技普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（二）202</w:t>
      </w:r>
      <w:r>
        <w:rPr>
          <w:rFonts w:hint="eastAsia" w:ascii="楷体_GB2312" w:eastAsia="楷体_GB2312" w:cs="楷体_GB2312"/>
          <w:b/>
          <w:bCs w:val="0"/>
          <w:sz w:val="32"/>
          <w:szCs w:val="32"/>
          <w:lang w:val="en-US" w:eastAsia="zh-CN"/>
        </w:rPr>
        <w:t>6</w:t>
      </w:r>
      <w:r>
        <w:rPr>
          <w:rFonts w:hint="eastAsia" w:ascii="楷体_GB2312" w:eastAsia="楷体_GB2312" w:cs="楷体_GB2312"/>
          <w:b/>
          <w:bCs w:val="0"/>
          <w:sz w:val="32"/>
          <w:szCs w:val="32"/>
          <w:lang w:eastAsia="zh-CN"/>
        </w:rPr>
        <w:t>年重点工作任务</w:t>
      </w:r>
    </w:p>
    <w:p>
      <w:pPr>
        <w:keepNext w:val="0"/>
        <w:keepLines w:val="0"/>
        <w:pageBreakBefore w:val="0"/>
        <w:widowControl w:val="0"/>
        <w:pBdr>
          <w:bottom w:val="single" w:color="FFFFFF" w:sz="4" w:space="31"/>
        </w:pBdr>
        <w:kinsoku/>
        <w:wordWrap/>
        <w:overflowPunct/>
        <w:topLinePunct w:val="0"/>
        <w:autoSpaceDE w:val="0"/>
        <w:autoSpaceDN/>
        <w:bidi w:val="0"/>
        <w:adjustRightInd/>
        <w:snapToGrid w:val="0"/>
        <w:spacing w:beforeAutospacing="0" w:afterAutospacing="0" w:line="576" w:lineRule="exact"/>
        <w:ind w:firstLine="642" w:firstLineChars="200"/>
        <w:textAlignment w:val="auto"/>
        <w:outlineLvl w:val="9"/>
        <w:rPr>
          <w:rStyle w:val="13"/>
          <w:rFonts w:hint="eastAsia" w:ascii="仿宋_GB2312" w:eastAsia="仿宋_GB2312" w:cs="仿宋_GB2312"/>
          <w:b w:val="0"/>
          <w:bCs w:val="0"/>
          <w:color w:val="000000"/>
          <w:sz w:val="32"/>
          <w:szCs w:val="32"/>
          <w:lang w:eastAsia="zh-CN"/>
        </w:rPr>
      </w:pPr>
      <w:r>
        <w:rPr>
          <w:rStyle w:val="13"/>
          <w:rFonts w:hint="eastAsia" w:ascii="楷体_GB2312" w:eastAsia="楷体_GB2312" w:cs="楷体_GB2312"/>
          <w:b/>
          <w:bCs/>
          <w:color w:val="000000"/>
          <w:sz w:val="32"/>
          <w:szCs w:val="32"/>
          <w:lang w:val="en-US" w:eastAsia="zh-CN"/>
        </w:rPr>
        <w:t>1、</w:t>
      </w:r>
      <w:r>
        <w:rPr>
          <w:rStyle w:val="13"/>
          <w:rFonts w:hint="eastAsia" w:ascii="楷体_GB2312" w:eastAsia="楷体_GB2312" w:cs="楷体_GB2312"/>
          <w:b/>
          <w:bCs/>
          <w:color w:val="000000"/>
          <w:sz w:val="32"/>
          <w:szCs w:val="32"/>
          <w:lang w:eastAsia="zh-CN"/>
        </w:rPr>
        <w:t>加强科普资源整合。</w:t>
      </w:r>
      <w:r>
        <w:rPr>
          <w:rStyle w:val="13"/>
          <w:rFonts w:hint="eastAsia" w:ascii="仿宋_GB2312" w:eastAsia="仿宋_GB2312" w:cs="仿宋_GB2312"/>
          <w:b w:val="0"/>
          <w:bCs w:val="0"/>
          <w:color w:val="000000"/>
          <w:sz w:val="32"/>
          <w:szCs w:val="32"/>
          <w:lang w:eastAsia="zh-CN"/>
        </w:rPr>
        <w:t>积极与其他部门、社会组织、企业等沟通协作，建立更广泛的科普合作关系，整合各方科普资源，共同开展科普活动，形成全社会共同参与科普工作的良好局面。</w:t>
      </w:r>
    </w:p>
    <w:p>
      <w:pPr>
        <w:keepNext w:val="0"/>
        <w:keepLines w:val="0"/>
        <w:pageBreakBefore w:val="0"/>
        <w:widowControl w:val="0"/>
        <w:pBdr>
          <w:bottom w:val="single" w:color="FFFFFF" w:sz="4" w:space="31"/>
        </w:pBdr>
        <w:kinsoku/>
        <w:wordWrap/>
        <w:overflowPunct/>
        <w:topLinePunct w:val="0"/>
        <w:autoSpaceDE w:val="0"/>
        <w:autoSpaceDN/>
        <w:bidi w:val="0"/>
        <w:adjustRightInd/>
        <w:snapToGrid w:val="0"/>
        <w:spacing w:beforeAutospacing="0" w:afterAutospacing="0" w:line="576" w:lineRule="exact"/>
        <w:ind w:left="0" w:firstLine="642" w:firstLineChars="200"/>
        <w:textAlignment w:val="auto"/>
        <w:outlineLvl w:val="9"/>
        <w:rPr>
          <w:rStyle w:val="13"/>
          <w:rFonts w:hint="eastAsia" w:ascii="仿宋_GB2312" w:eastAsia="仿宋_GB2312" w:cs="仿宋_GB2312"/>
          <w:b w:val="0"/>
          <w:bCs w:val="0"/>
          <w:color w:val="000000"/>
          <w:sz w:val="32"/>
          <w:szCs w:val="32"/>
          <w:lang w:val="en-US" w:eastAsia="zh-CN"/>
        </w:rPr>
      </w:pPr>
      <w:r>
        <w:rPr>
          <w:rStyle w:val="13"/>
          <w:rFonts w:hint="eastAsia" w:ascii="楷体_GB2312" w:eastAsia="楷体_GB2312" w:cs="楷体_GB2312"/>
          <w:b/>
          <w:bCs/>
          <w:color w:val="000000"/>
          <w:sz w:val="32"/>
          <w:szCs w:val="32"/>
          <w:lang w:val="en-US" w:eastAsia="zh-CN"/>
        </w:rPr>
        <w:t>2、持续深化学习教育</w:t>
      </w:r>
      <w:r>
        <w:rPr>
          <w:rStyle w:val="13"/>
          <w:rFonts w:hint="eastAsia" w:ascii="仿宋_GB2312" w:eastAsia="仿宋_GB2312" w:cs="仿宋_GB2312"/>
          <w:b w:val="0"/>
          <w:bCs w:val="0"/>
          <w:color w:val="000000"/>
          <w:sz w:val="32"/>
          <w:szCs w:val="32"/>
          <w:lang w:val="en-US" w:eastAsia="zh-CN"/>
        </w:rPr>
        <w:t>。将中央八项规定精神学习教育作为一项长期任务，持续深入推进。创新学习方式方法，丰富学习内容，增强学习的针对性和实效性。定期组织党员干部开展学习交流活动，不断巩固和提升学习成果，使中央八项规定精神真正入脑入心、成为行动自觉。</w:t>
      </w:r>
    </w:p>
    <w:p>
      <w:pPr>
        <w:keepNext w:val="0"/>
        <w:keepLines w:val="0"/>
        <w:pageBreakBefore w:val="0"/>
        <w:widowControl w:val="0"/>
        <w:pBdr>
          <w:bottom w:val="single" w:color="FFFFFF" w:sz="4" w:space="31"/>
        </w:pBdr>
        <w:kinsoku/>
        <w:wordWrap/>
        <w:overflowPunct/>
        <w:topLinePunct w:val="0"/>
        <w:autoSpaceDE w:val="0"/>
        <w:autoSpaceDN/>
        <w:bidi w:val="0"/>
        <w:adjustRightInd/>
        <w:snapToGrid w:val="0"/>
        <w:spacing w:beforeAutospacing="0" w:afterAutospacing="0" w:line="576" w:lineRule="exact"/>
        <w:ind w:left="0" w:firstLine="642" w:firstLineChars="200"/>
        <w:textAlignment w:val="auto"/>
        <w:outlineLvl w:val="9"/>
        <w:rPr>
          <w:rFonts w:hint="eastAsia" w:ascii="仿宋_GB2312" w:eastAsia="仿宋_GB2312" w:cs="仿宋_GB2312"/>
          <w:b w:val="0"/>
          <w:bCs w:val="0"/>
          <w:color w:val="auto"/>
          <w:sz w:val="32"/>
          <w:szCs w:val="32"/>
          <w:lang w:val="en-US" w:eastAsia="zh-CN"/>
        </w:rPr>
      </w:pPr>
      <w:r>
        <w:rPr>
          <w:rFonts w:hint="eastAsia" w:ascii="楷体_GB2312" w:eastAsia="楷体_GB2312" w:cs="楷体_GB2312"/>
          <w:b/>
          <w:bCs/>
          <w:color w:val="auto"/>
          <w:sz w:val="32"/>
          <w:szCs w:val="32"/>
          <w:lang w:val="en-US" w:eastAsia="zh-CN"/>
        </w:rPr>
        <w:t>3、进一步推动“天府科技云”服务平台建设。</w:t>
      </w:r>
      <w:r>
        <w:rPr>
          <w:rFonts w:hint="eastAsia" w:ascii="仿宋_GB2312" w:eastAsia="仿宋_GB2312" w:cs="仿宋_GB2312"/>
          <w:b w:val="0"/>
          <w:bCs w:val="0"/>
          <w:color w:val="auto"/>
          <w:sz w:val="32"/>
          <w:szCs w:val="32"/>
          <w:lang w:val="en-US" w:eastAsia="zh-CN"/>
        </w:rPr>
        <w:t>汇聚力量，强化落实。结合红原县实际进一步完善推进工作机制，汇聚各方力量，形成“科协+乡镇+企业”的多部门多渠道合作模式，探索科技供需职能匹配、精准对接新举措，促进“天府科技云服务”平台更好更快发展。</w:t>
      </w:r>
    </w:p>
    <w:p>
      <w:pPr>
        <w:keepNext w:val="0"/>
        <w:keepLines w:val="0"/>
        <w:pageBreakBefore w:val="0"/>
        <w:widowControl w:val="0"/>
        <w:pBdr>
          <w:bottom w:val="single" w:color="FFFFFF" w:sz="4" w:space="31"/>
        </w:pBdr>
        <w:kinsoku/>
        <w:wordWrap/>
        <w:overflowPunct/>
        <w:topLinePunct w:val="0"/>
        <w:autoSpaceDE w:val="0"/>
        <w:autoSpaceDN/>
        <w:bidi w:val="0"/>
        <w:adjustRightInd/>
        <w:snapToGrid w:val="0"/>
        <w:spacing w:beforeAutospacing="0" w:afterAutospacing="0" w:line="576" w:lineRule="exact"/>
        <w:ind w:left="0" w:firstLine="642" w:firstLineChars="200"/>
        <w:textAlignment w:val="auto"/>
        <w:outlineLvl w:val="9"/>
        <w:rPr>
          <w:rStyle w:val="13"/>
          <w:rFonts w:hint="eastAsia" w:ascii="仿宋_GB2312" w:eastAsia="仿宋_GB2312" w:cs="仿宋_GB2312"/>
          <w:color w:val="000000"/>
          <w:sz w:val="32"/>
          <w:szCs w:val="32"/>
          <w:lang w:eastAsia="zh-CN"/>
        </w:rPr>
      </w:pPr>
      <w:r>
        <w:rPr>
          <w:rFonts w:hint="eastAsia" w:ascii="楷体_GB2312" w:eastAsia="楷体_GB2312" w:cs="楷体_GB2312"/>
          <w:b/>
          <w:bCs/>
          <w:color w:val="000000"/>
          <w:sz w:val="32"/>
          <w:szCs w:val="32"/>
          <w:lang w:val="en-US" w:eastAsia="zh-CN"/>
        </w:rPr>
        <w:t>4、</w:t>
      </w:r>
      <w:r>
        <w:rPr>
          <w:rStyle w:val="13"/>
          <w:rFonts w:hint="eastAsia" w:ascii="楷体_GB2312" w:eastAsia="楷体_GB2312" w:cs="楷体_GB2312"/>
          <w:b/>
          <w:bCs/>
          <w:color w:val="000000"/>
          <w:sz w:val="32"/>
          <w:szCs w:val="32"/>
        </w:rPr>
        <w:t>科技助力乡村振兴。</w:t>
      </w:r>
      <w:r>
        <w:rPr>
          <w:rStyle w:val="13"/>
          <w:rFonts w:hint="eastAsia" w:ascii="仿宋_GB2312" w:eastAsia="仿宋_GB2312" w:cs="仿宋_GB2312"/>
          <w:color w:val="000000"/>
          <w:sz w:val="32"/>
          <w:szCs w:val="32"/>
        </w:rPr>
        <w:t>以乡村振兴为工作目标，大力实施科普惠农兴村服务，推进科普资源向乡村倾斜，开展各种形式的农村科普活动，引导我县</w:t>
      </w:r>
      <w:r>
        <w:rPr>
          <w:rStyle w:val="13"/>
          <w:rFonts w:hint="eastAsia" w:ascii="仿宋_GB2312" w:eastAsia="仿宋_GB2312" w:cs="仿宋_GB2312"/>
          <w:color w:val="000000"/>
          <w:sz w:val="32"/>
          <w:szCs w:val="32"/>
          <w:lang w:eastAsia="zh-CN"/>
        </w:rPr>
        <w:t>农牧民</w:t>
      </w:r>
      <w:r>
        <w:rPr>
          <w:rStyle w:val="13"/>
          <w:rFonts w:hint="eastAsia" w:ascii="仿宋_GB2312" w:eastAsia="仿宋_GB2312" w:cs="仿宋_GB2312"/>
          <w:color w:val="000000"/>
          <w:sz w:val="32"/>
          <w:szCs w:val="32"/>
        </w:rPr>
        <w:t>科学生产、健康生活，重点实施新型农</w:t>
      </w:r>
      <w:r>
        <w:rPr>
          <w:rStyle w:val="13"/>
          <w:rFonts w:hint="eastAsia" w:ascii="仿宋_GB2312" w:eastAsia="仿宋_GB2312" w:cs="仿宋_GB2312"/>
          <w:color w:val="000000"/>
          <w:sz w:val="32"/>
          <w:szCs w:val="32"/>
          <w:lang w:eastAsia="zh-CN"/>
        </w:rPr>
        <w:t>牧</w:t>
      </w:r>
      <w:r>
        <w:rPr>
          <w:rStyle w:val="13"/>
          <w:rFonts w:hint="eastAsia" w:ascii="仿宋_GB2312" w:eastAsia="仿宋_GB2312" w:cs="仿宋_GB2312"/>
          <w:color w:val="000000"/>
          <w:sz w:val="32"/>
          <w:szCs w:val="32"/>
        </w:rPr>
        <w:t>民培育、农村实用技术培训，为乡村振兴提供人才和技术支撑</w:t>
      </w:r>
      <w:r>
        <w:rPr>
          <w:rStyle w:val="13"/>
          <w:rFonts w:hint="eastAsia" w:asci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黑体" w:eastAsia="黑体"/>
          <w:sz w:val="32"/>
          <w:szCs w:val="32"/>
        </w:rPr>
      </w:pP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黑体" w:eastAsia="黑体"/>
          <w:sz w:val="32"/>
          <w:szCs w:val="32"/>
        </w:rPr>
      </w:pP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黑体" w:eastAsia="黑体"/>
          <w:sz w:val="32"/>
          <w:szCs w:val="32"/>
        </w:rPr>
      </w:pP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right="0" w:firstLine="420"/>
      </w:pPr>
      <w:r>
        <w:rPr>
          <w:rFonts w:ascii="仿宋_GB2312" w:eastAsia="仿宋_GB2312" w:cs="仿宋_GB2312"/>
          <w:color w:val="333333"/>
          <w:sz w:val="32"/>
          <w:szCs w:val="32"/>
          <w:shd w:val="clear" w:color="auto" w:fill="FFFFFF"/>
        </w:rPr>
        <w:t>红原县科学技术协会属行政单位，下属二级单位1个。</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firstLine="420"/>
      </w:pPr>
      <w:r>
        <w:rPr>
          <w:rFonts w:hint="eastAsia" w:ascii="仿宋_GB2312" w:eastAsia="仿宋_GB2312" w:cs="仿宋_GB2312"/>
          <w:color w:val="333333"/>
          <w:sz w:val="32"/>
          <w:szCs w:val="32"/>
          <w:shd w:val="clear" w:color="auto" w:fill="FFFFFF"/>
        </w:rPr>
        <w:t>二级单位：红原县民族科普大队。</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firstLine="420"/>
      </w:pPr>
      <w:r>
        <w:rPr>
          <w:rFonts w:hint="eastAsia" w:ascii="仿宋_GB2312" w:eastAsia="仿宋_GB2312" w:cs="仿宋_GB2312"/>
          <w:color w:val="333333"/>
          <w:sz w:val="32"/>
          <w:szCs w:val="32"/>
          <w:shd w:val="clear" w:color="auto" w:fill="FFFFFF"/>
        </w:rPr>
        <w:t>红原县科学技术协会为独立核算全额拨款行政单位，下设民族科普大队。截止202</w:t>
      </w:r>
      <w:r>
        <w:rPr>
          <w:rFonts w:hint="eastAsia" w:ascii="仿宋_GB2312" w:eastAsia="仿宋_GB2312" w:cs="仿宋_GB2312"/>
          <w:color w:val="333333"/>
          <w:sz w:val="32"/>
          <w:szCs w:val="32"/>
          <w:shd w:val="clear" w:color="auto" w:fill="FFFFFF"/>
          <w:lang w:val="en-US" w:eastAsia="zh-CN"/>
        </w:rPr>
        <w:t>6</w:t>
      </w:r>
      <w:r>
        <w:rPr>
          <w:rFonts w:hint="eastAsia" w:ascii="仿宋_GB2312" w:eastAsia="仿宋_GB2312" w:cs="仿宋_GB2312"/>
          <w:color w:val="333333"/>
          <w:sz w:val="32"/>
          <w:szCs w:val="32"/>
          <w:shd w:val="clear" w:color="auto" w:fill="FFFFFF"/>
        </w:rPr>
        <w:t>年初我单位共有编制</w:t>
      </w:r>
      <w:r>
        <w:rPr>
          <w:rFonts w:hint="eastAsia" w:ascii="仿宋_GB2312" w:eastAsia="仿宋_GB2312" w:cs="仿宋_GB2312"/>
          <w:color w:val="333333"/>
          <w:sz w:val="32"/>
          <w:szCs w:val="32"/>
          <w:shd w:val="clear" w:color="auto" w:fill="FFFFFF"/>
          <w:lang w:val="en-US" w:eastAsia="zh-CN"/>
        </w:rPr>
        <w:t>7</w:t>
      </w:r>
      <w:r>
        <w:rPr>
          <w:rFonts w:hint="eastAsia" w:ascii="仿宋_GB2312" w:eastAsia="仿宋_GB2312" w:cs="仿宋_GB2312"/>
          <w:color w:val="333333"/>
          <w:sz w:val="32"/>
          <w:szCs w:val="32"/>
          <w:shd w:val="clear" w:color="auto" w:fill="FFFFFF"/>
        </w:rPr>
        <w:t>个，其中公务员编制</w:t>
      </w:r>
      <w:r>
        <w:rPr>
          <w:rFonts w:hint="eastAsia" w:ascii="仿宋_GB2312" w:eastAsia="仿宋_GB2312" w:cs="仿宋_GB2312"/>
          <w:color w:val="333333"/>
          <w:sz w:val="32"/>
          <w:szCs w:val="32"/>
          <w:shd w:val="clear" w:color="auto" w:fill="FFFFFF"/>
          <w:lang w:val="en-US" w:eastAsia="zh-CN"/>
        </w:rPr>
        <w:t>3</w:t>
      </w:r>
      <w:r>
        <w:rPr>
          <w:rFonts w:hint="eastAsia" w:ascii="仿宋_GB2312" w:eastAsia="仿宋_GB2312" w:cs="仿宋_GB2312"/>
          <w:color w:val="333333"/>
          <w:sz w:val="32"/>
          <w:szCs w:val="32"/>
          <w:shd w:val="clear" w:color="auto" w:fill="FFFFFF"/>
        </w:rPr>
        <w:t>个，行政工勤编制1个，事业编制3个；在职</w:t>
      </w:r>
      <w:r>
        <w:rPr>
          <w:rFonts w:hint="eastAsia" w:ascii="仿宋_GB2312" w:eastAsia="仿宋_GB2312" w:cs="仿宋_GB2312"/>
          <w:color w:val="333333"/>
          <w:sz w:val="32"/>
          <w:szCs w:val="32"/>
          <w:shd w:val="clear" w:color="auto" w:fill="FFFFFF"/>
          <w:lang w:val="en-US" w:eastAsia="zh-CN"/>
        </w:rPr>
        <w:t>7</w:t>
      </w:r>
      <w:r>
        <w:rPr>
          <w:rFonts w:hint="eastAsia" w:ascii="仿宋_GB2312" w:eastAsia="仿宋_GB2312" w:cs="仿宋_GB2312"/>
          <w:color w:val="333333"/>
          <w:sz w:val="32"/>
          <w:szCs w:val="32"/>
          <w:shd w:val="clear" w:color="auto" w:fill="FFFFFF"/>
        </w:rPr>
        <w:t>人，其中行政工勤1人，公务员</w:t>
      </w:r>
      <w:r>
        <w:rPr>
          <w:rFonts w:hint="eastAsia" w:ascii="仿宋_GB2312" w:eastAsia="仿宋_GB2312" w:cs="仿宋_GB2312"/>
          <w:color w:val="333333"/>
          <w:sz w:val="32"/>
          <w:szCs w:val="32"/>
          <w:shd w:val="clear" w:color="auto" w:fill="FFFFFF"/>
          <w:lang w:val="en-US" w:eastAsia="zh-CN"/>
        </w:rPr>
        <w:t>3</w:t>
      </w:r>
      <w:r>
        <w:rPr>
          <w:rFonts w:hint="eastAsia" w:ascii="仿宋_GB2312" w:eastAsia="仿宋_GB2312" w:cs="仿宋_GB2312"/>
          <w:color w:val="333333"/>
          <w:sz w:val="32"/>
          <w:szCs w:val="32"/>
          <w:shd w:val="clear" w:color="auto" w:fill="FFFFFF"/>
        </w:rPr>
        <w:t>人，事业编制3人。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ascii="仿宋_GB2312" w:eastAsia="仿宋_GB2312" w:cs="仿宋_GB2312"/>
          <w:color w:val="333333"/>
          <w:sz w:val="32"/>
          <w:szCs w:val="32"/>
          <w:shd w:val="clear" w:color="auto" w:fill="FFFFFF"/>
        </w:rPr>
        <w:t>红原县科学技术协会</w:t>
      </w:r>
      <w:r>
        <w:rPr>
          <w:rFonts w:hint="eastAsia" w:ascii="仿宋_GB2312" w:eastAsia="仿宋_GB2312"/>
          <w:sz w:val="32"/>
          <w:szCs w:val="32"/>
        </w:rPr>
        <w:t>收入预算总额为</w:t>
      </w:r>
      <w:r>
        <w:rPr>
          <w:rFonts w:hint="eastAsia" w:ascii="仿宋_GB2312" w:eastAsia="仿宋_GB2312"/>
          <w:sz w:val="32"/>
          <w:szCs w:val="32"/>
          <w:lang w:val="en-US" w:eastAsia="zh-CN"/>
        </w:rPr>
        <w:t>127.22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127.22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127.22</w:t>
      </w:r>
      <w:r>
        <w:rPr>
          <w:rFonts w:hint="eastAsia" w:ascii="仿宋_GB2312" w:eastAsia="仿宋_GB2312"/>
          <w:sz w:val="32"/>
          <w:szCs w:val="32"/>
        </w:rPr>
        <w:t>万元，其中：</w:t>
      </w:r>
      <w:r>
        <w:rPr>
          <w:rFonts w:hint="eastAsia" w:ascii="仿宋_GB2312" w:eastAsia="仿宋_GB2312"/>
          <w:sz w:val="32"/>
          <w:szCs w:val="32"/>
          <w:lang w:val="en-US" w:eastAsia="zh-CN"/>
        </w:rPr>
        <w:t>科学技术支出130.25</w:t>
      </w:r>
      <w:r>
        <w:rPr>
          <w:rFonts w:hint="eastAsia" w:ascii="仿宋_GB2312" w:eastAsia="仿宋_GB2312"/>
          <w:sz w:val="32"/>
          <w:szCs w:val="32"/>
        </w:rPr>
        <w:t>万元，社会保障和就业</w:t>
      </w:r>
      <w:r>
        <w:rPr>
          <w:rFonts w:hint="eastAsia" w:ascii="仿宋_GB2312" w:eastAsia="仿宋_GB2312"/>
          <w:sz w:val="32"/>
          <w:szCs w:val="32"/>
          <w:lang w:val="en-US" w:eastAsia="zh-CN"/>
        </w:rPr>
        <w:t>21.98</w:t>
      </w:r>
      <w:r>
        <w:rPr>
          <w:rFonts w:hint="eastAsia" w:ascii="仿宋_GB2312" w:eastAsia="仿宋_GB2312"/>
          <w:sz w:val="32"/>
          <w:szCs w:val="32"/>
        </w:rPr>
        <w:t>万元，医疗卫生</w:t>
      </w:r>
      <w:r>
        <w:rPr>
          <w:rFonts w:hint="eastAsia" w:ascii="仿宋_GB2312" w:eastAsia="仿宋_GB2312"/>
          <w:sz w:val="32"/>
          <w:szCs w:val="32"/>
          <w:lang w:val="en-US" w:eastAsia="zh-CN"/>
        </w:rPr>
        <w:t>7.96</w:t>
      </w:r>
      <w:r>
        <w:rPr>
          <w:rFonts w:hint="eastAsia" w:ascii="仿宋_GB2312" w:eastAsia="仿宋_GB2312"/>
          <w:sz w:val="32"/>
          <w:szCs w:val="32"/>
        </w:rPr>
        <w:t>万元，住房保障支出</w:t>
      </w:r>
      <w:r>
        <w:rPr>
          <w:rFonts w:hint="eastAsia" w:ascii="仿宋_GB2312" w:eastAsia="仿宋_GB2312"/>
          <w:sz w:val="32"/>
          <w:szCs w:val="32"/>
          <w:lang w:val="en-US" w:eastAsia="zh-CN"/>
        </w:rPr>
        <w:t>12.03</w:t>
      </w:r>
      <w:r>
        <w:rPr>
          <w:rFonts w:hint="eastAsia" w:ascii="仿宋_GB2312" w:eastAsia="仿宋_GB2312"/>
          <w:sz w:val="32"/>
          <w:szCs w:val="32"/>
        </w:rPr>
        <w:t>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p>
    <w:p>
      <w:pPr>
        <w:keepNext w:val="0"/>
        <w:keepLines w:val="0"/>
        <w:pageBreakBefore w:val="0"/>
        <w:widowControl w:val="0"/>
        <w:numPr>
          <w:ilvl w:val="0"/>
          <w:numId w:val="1"/>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cs="仿宋_GB2312"/>
          <w:color w:val="333333"/>
          <w:sz w:val="32"/>
          <w:szCs w:val="32"/>
          <w:shd w:val="clear" w:color="auto" w:fill="FFFFFF"/>
        </w:rPr>
        <w:t>红原县科学技术协会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行政</w:t>
      </w:r>
      <w:r>
        <w:rPr>
          <w:rFonts w:hint="eastAsia" w:ascii="仿宋_GB2312" w:eastAsia="仿宋_GB2312"/>
          <w:sz w:val="32"/>
          <w:szCs w:val="32"/>
        </w:rPr>
        <w:t xml:space="preserve">事业发展相关工作。  </w:t>
      </w:r>
    </w:p>
    <w:p>
      <w:pPr>
        <w:keepNext w:val="0"/>
        <w:keepLines w:val="0"/>
        <w:pageBreakBefore w:val="0"/>
        <w:widowControl w:val="0"/>
        <w:kinsoku/>
        <w:wordWrap/>
        <w:overflowPunct/>
        <w:topLinePunct w:val="0"/>
        <w:autoSpaceDE/>
        <w:autoSpaceDN/>
        <w:bidi w:val="0"/>
        <w:spacing w:line="560" w:lineRule="exact"/>
        <w:ind w:left="0" w:right="0" w:firstLine="640" w:firstLineChars="200"/>
        <w:jc w:val="left"/>
        <w:textAlignment w:val="auto"/>
        <w:outlineLvl w:val="9"/>
        <w:rPr>
          <w:rFonts w:ascii="仿宋_GB2312" w:eastAsia="仿宋_GB2312"/>
          <w:sz w:val="32"/>
          <w:szCs w:val="32"/>
          <w:lang w:val="en-US"/>
        </w:rPr>
      </w:pPr>
      <w:r>
        <w:rPr>
          <w:rFonts w:hint="eastAsia" w:ascii="仿宋_GB2312" w:eastAsia="仿宋_GB2312"/>
          <w:sz w:val="32"/>
          <w:szCs w:val="32"/>
        </w:rPr>
        <w:t>基本支出</w:t>
      </w:r>
      <w:r>
        <w:rPr>
          <w:rFonts w:hint="eastAsia" w:ascii="仿宋_GB2312" w:eastAsia="仿宋_GB2312"/>
          <w:sz w:val="32"/>
          <w:szCs w:val="32"/>
          <w:lang w:val="en-US" w:eastAsia="zh-CN"/>
        </w:rPr>
        <w:t>172.22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144.84万元，机关运行经费19.38万元，其中：办公费2.55万元，差旅费2万元，工会经费1.1万元，公务用车运行维护费7.22万元。特定目标类经费8万元。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172.22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21.98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7.97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12.03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sz w:val="32"/>
          <w:szCs w:val="32"/>
        </w:rPr>
      </w:pPr>
      <w:r>
        <w:rPr>
          <w:rFonts w:hint="eastAsia" w:ascii="黑体" w:eastAsia="黑体" w:cs="黑体"/>
          <w:color w:val="333333"/>
          <w:kern w:val="0"/>
          <w:sz w:val="32"/>
          <w:szCs w:val="32"/>
          <w:shd w:val="clear" w:color="auto" w:fill="FFFFFF"/>
          <w:lang w:val="en-US" w:eastAsia="zh-CN"/>
        </w:rPr>
        <w:t>五、较上年度增减变化</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172.22万元较上年度预算191.95万元减少了11.46%，其中基本行政运行经费预算19.38万元，占全部总预算的11.26%，较上年18.19万元增加了6.61%，原因为各项开支增加，增加基本支出；专项业务工作经费预算8万元，占总预算的4.66%，较上年预算7.8万元增加了2.5%，主要原因为增加了项目经费开支，增加了相关支出。 </w:t>
      </w:r>
      <w:r>
        <w:rPr>
          <w:rFonts w:hint="eastAsia" w:ascii="黑体" w:eastAsia="黑体" w:cs="黑体"/>
          <w:color w:val="333333"/>
          <w:kern w:val="0"/>
          <w:sz w:val="32"/>
          <w:szCs w:val="32"/>
          <w:shd w:val="clear" w:color="auto" w:fill="FFFFFF"/>
          <w:lang w:val="en-US" w:eastAsia="zh-CN"/>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六、“三公”经费预算</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7.37万元，其中：出国费0万元，与上年持平，主要原因为未安排因公出国；公车购置费0元，与上年持平；公务用车维护费支出7.22万元，较上年度预算7.22万元无变化，主要因单位公务用车保有量、使用年限及行驶里程无明显变化，公务出行任务量稳定，车辆日常维保需求未发生重大调整，且维保相关配件、工时费等市场价格无显著波动，费用核算标准延续上年。；公务接待费0.15万元，较上年度预算减少0.00万元，主要原因为严格执行“八项规定、六项禁令”；二是本年度公务接待任务量、接待标准、接待频次均与上年保持稳定，无新增大型接待或外事活动；严格执行公务接待管理规定，厉行节约、严控支出，未突破既定预算额度；接待相关物价、场地及服务费用无明显波动，预算核算口径与上年一致;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七、政府性基金预算收支情况说明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八、国有资本经营预算收支情况说明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（一）政府采购预算情况</w:t>
      </w:r>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2025年度未安排政府采购预算。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pPr>
      <w:r>
        <w:rPr>
          <w:rFonts w:hint="eastAsia" w:ascii="楷体_GB2312" w:eastAsia="楷体_GB2312" w:cs="楷体_GB2312"/>
          <w:b/>
          <w:bCs/>
          <w:color w:val="333333"/>
          <w:kern w:val="0"/>
          <w:sz w:val="32"/>
          <w:szCs w:val="32"/>
          <w:shd w:val="clear" w:color="auto" w:fill="FFFFFF"/>
          <w:lang w:val="en-US" w:eastAsia="zh-CN"/>
        </w:rPr>
        <w:t>（二）政府财政国有资产占用情况</w:t>
      </w:r>
      <w:r>
        <w:rPr>
          <w:rFonts w:hint="eastAsia" w:ascii="微软雅黑" w:eastAsia="微软雅黑" w:cs="微软雅黑"/>
          <w:color w:val="333333"/>
          <w:kern w:val="0"/>
          <w:sz w:val="24"/>
          <w:szCs w:val="24"/>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截止2025年底，实际共有固定资产价值85.3</w:t>
      </w:r>
      <w:r>
        <w:rPr>
          <w:rFonts w:hint="eastAsia" w:ascii="仿宋_GB2312" w:eastAsia="仿宋_GB2312"/>
          <w:sz w:val="32"/>
          <w:szCs w:val="32"/>
          <w:lang w:eastAsia="zh-CN"/>
        </w:rPr>
        <w:t>万元：其中：公务用车</w:t>
      </w:r>
      <w:r>
        <w:rPr>
          <w:rFonts w:ascii="仿宋_GB2312" w:eastAsia="仿宋_GB2312" w:cs="仿宋_GB2312"/>
          <w:color w:val="333333"/>
          <w:sz w:val="32"/>
          <w:szCs w:val="32"/>
          <w:shd w:val="clear" w:color="auto" w:fill="FFFFFF"/>
        </w:rPr>
        <w:t>其中：公务用车</w:t>
      </w:r>
      <w:r>
        <w:rPr>
          <w:rFonts w:hint="eastAsia" w:ascii="仿宋_GB2312" w:eastAsia="仿宋_GB2312" w:cs="仿宋_GB2312"/>
          <w:color w:val="333333"/>
          <w:sz w:val="32"/>
          <w:szCs w:val="32"/>
          <w:shd w:val="clear" w:color="auto" w:fill="FFFFFF"/>
        </w:rPr>
        <w:t>29.4万元，科普大篷车34万元。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（三）绩效目标设置情况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绩效目标是预算编制的前提和基础，按照“费随事定”的原则，2026年我单位项目支出按要求编制了绩效目标，从项目完成、项目效益、满意度等。</w:t>
      </w:r>
    </w:p>
    <w:p>
      <w:pPr>
        <w:keepNext w:val="0"/>
        <w:keepLines w:val="0"/>
        <w:pageBreakBefore w:val="0"/>
        <w:widowControl w:val="0"/>
        <w:kinsoku/>
        <w:wordWrap/>
        <w:overflowPunct/>
        <w:topLinePunct w:val="0"/>
        <w:autoSpaceDE/>
        <w:autoSpaceDN/>
        <w:bidi w:val="0"/>
        <w:spacing w:line="560" w:lineRule="exact"/>
        <w:ind w:left="640" w:right="0" w:hanging="640" w:hangingChars="200"/>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640" w:right="0" w:hanging="640" w:hangingChars="200"/>
        <w:textAlignment w:val="auto"/>
        <w:rPr>
          <w:rFonts w:hint="eastAsia" w:ascii="仿宋_GB2312" w:eastAsia="仿宋_GB2312"/>
          <w:sz w:val="32"/>
          <w:szCs w:val="32"/>
          <w:lang w:val="en-US" w:eastAsia="zh-CN"/>
        </w:rPr>
      </w:pPr>
      <w:r>
        <w:rPr>
          <w:rFonts w:hint="eastAsia" w:ascii="黑体" w:eastAsia="黑体" w:cs="黑体"/>
          <w:color w:val="333333"/>
          <w:kern w:val="0"/>
          <w:sz w:val="32"/>
          <w:szCs w:val="32"/>
          <w:shd w:val="clear" w:color="auto" w:fill="FFFFFF"/>
          <w:lang w:val="en-US" w:eastAsia="zh-CN"/>
        </w:rPr>
        <w:t xml:space="preserve">  十、名词解释</w:t>
      </w:r>
      <w:r>
        <w:rPr>
          <w:rFonts w:hint="eastAsia" w:asci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spacing w:line="560" w:lineRule="exact"/>
        <w:ind w:right="0" w:firstLine="640" w:firstLineChars="200"/>
        <w:textAlignment w:val="auto"/>
        <w:rPr>
          <w:rFonts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w:t>
      </w:r>
      <w:r>
        <w:rPr>
          <w:rFonts w:ascii="仿宋_GB2312" w:eastAsia="仿宋_GB2312"/>
          <w:sz w:val="32"/>
          <w:szCs w:val="32"/>
          <w:lang w:val="en-US" w:eastAsia="zh-CN"/>
        </w:rPr>
        <w:t>6</w:t>
      </w:r>
      <w:r>
        <w:rPr>
          <w:rFonts w:hint="eastAsia" w:ascii="仿宋_GB2312" w:eastAsia="仿宋_GB2312"/>
          <w:sz w:val="32"/>
          <w:szCs w:val="32"/>
          <w:lang w:val="en-US" w:eastAsia="zh-CN"/>
        </w:rPr>
        <w:t>年度）</w:t>
      </w:r>
    </w:p>
    <w:p>
      <w:pPr>
        <w:spacing w:line="560" w:lineRule="exact"/>
        <w:ind w:left="5440" w:hanging="5440" w:hangingChars="1700"/>
        <w:rPr>
          <w:rFonts w:hint="eastAsia" w:ascii="仿宋_GB2312" w:eastAsia="仿宋_GB2312" w:cs="宋体"/>
          <w:color w:val="000000"/>
          <w:kern w:val="0"/>
          <w:sz w:val="32"/>
          <w:szCs w:val="32"/>
          <w:shd w:val="clear" w:color="auto" w:fill="FFFFFF"/>
          <w:lang w:val="en-US" w:eastAsia="zh-CN"/>
        </w:rPr>
      </w:pPr>
    </w:p>
    <w:p>
      <w:pPr>
        <w:spacing w:line="560" w:lineRule="exact"/>
        <w:ind w:firstLine="3040" w:firstLineChars="950"/>
        <w:jc w:val="right"/>
        <w:rPr>
          <w:rFonts w:ascii="仿宋_GB2312" w:eastAsia="仿宋_GB2312" w:cs="宋体"/>
          <w:color w:val="000000"/>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1050" w:firstLineChars="500"/>
        <w:jc w:val="both"/>
        <w:textAlignment w:val="auto"/>
        <w:outlineLvl w:val="9"/>
        <w:rPr>
          <w:rFonts w:hint="eastAsia" w:ascii="仿宋_GB2312" w:eastAsia="仿宋_GB2312"/>
          <w:sz w:val="32"/>
          <w:szCs w:val="32"/>
          <w:lang w:val="en-US"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firstLine="4800" w:firstLineChars="1500"/>
        <w:jc w:val="right"/>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firstLine="4800" w:firstLineChars="1500"/>
        <w:jc w:val="righ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红原县科学技术协会</w:t>
      </w:r>
    </w:p>
    <w:p>
      <w:pPr>
        <w:keepNext w:val="0"/>
        <w:keepLines w:val="0"/>
        <w:pageBreakBefore w:val="0"/>
        <w:widowControl w:val="0"/>
        <w:kinsoku/>
        <w:wordWrap/>
        <w:overflowPunct/>
        <w:topLinePunct w:val="0"/>
        <w:autoSpaceDE/>
        <w:autoSpaceDN/>
        <w:bidi w:val="0"/>
        <w:adjustRightInd/>
        <w:snapToGrid/>
        <w:spacing w:line="560" w:lineRule="exact"/>
        <w:ind w:right="0"/>
        <w:jc w:val="righ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2026年2月6日</w:t>
      </w:r>
    </w:p>
    <w:p>
      <w:pPr>
        <w:pStyle w:val="2"/>
        <w:rPr>
          <w:rFonts w:hint="eastAsia" w:ascii="仿宋_GB2312" w:eastAsia="仿宋_GB2312"/>
          <w:sz w:val="32"/>
          <w:szCs w:val="32"/>
          <w:lang w:val="en-US" w:eastAsia="zh-CN"/>
        </w:rPr>
      </w:pPr>
    </w:p>
    <w:p>
      <w:pPr>
        <w:rPr>
          <w:rFonts w:hint="eastAsia" w:ascii="仿宋_GB2312" w:eastAsia="仿宋_GB2312"/>
          <w:sz w:val="32"/>
          <w:szCs w:val="32"/>
          <w:lang w:val="en-US" w:eastAsia="zh-CN"/>
        </w:rPr>
      </w:pPr>
    </w:p>
    <w:p>
      <w:pPr>
        <w:rPr>
          <w:rFonts w:hint="eastAsia"/>
        </w:rPr>
      </w:pPr>
    </w:p>
    <w:p>
      <w:pPr>
        <w:pStyle w:val="2"/>
        <w:rPr>
          <w:rFonts w:hint="eastAsia"/>
        </w:rPr>
      </w:pPr>
    </w:p>
    <w:p>
      <w:pPr>
        <w:spacing w:line="576" w:lineRule="exact"/>
        <w:ind w:right="640"/>
        <w:rPr>
          <w:rFonts w:hint="eastAsia" w:ascii="仿宋_GB2312" w:eastAsia="仿宋_GB2312"/>
          <w:sz w:val="32"/>
        </w:rPr>
      </w:pPr>
      <w:r>
        <w:rPr>
          <w:rFonts w:hint="eastAsia"/>
          <w:sz w:val="32"/>
          <w:lang w:val="zh-CN"/>
        </w:rPr>
        <mc:AlternateContent>
          <mc:Choice Requires="wps">
            <w:drawing>
              <wp:anchor distT="0" distB="0" distL="113665" distR="113665" simplePos="0" relativeHeight="1024" behindDoc="0" locked="0" layoutInCell="1" allowOverlap="1">
                <wp:simplePos x="0" y="0"/>
                <wp:positionH relativeFrom="column">
                  <wp:posOffset>-114300</wp:posOffset>
                </wp:positionH>
                <wp:positionV relativeFrom="paragraph">
                  <wp:posOffset>373380</wp:posOffset>
                </wp:positionV>
                <wp:extent cx="5715000" cy="635"/>
                <wp:effectExtent l="0" t="0" r="0" b="0"/>
                <wp:wrapNone/>
                <wp:docPr id="4" name="直接连接符 3"/>
                <wp:cNvGraphicFramePr/>
                <a:graphic xmlns:a="http://schemas.openxmlformats.org/drawingml/2006/main">
                  <a:graphicData uri="http://schemas.microsoft.com/office/word/2010/wordprocessingShape">
                    <wps:wsp>
                      <wps:cNvCnPr/>
                      <wps:spPr>
                        <a:xfrm>
                          <a:off x="0" y="0"/>
                          <a:ext cx="5715000" cy="952"/>
                        </a:xfrm>
                        <a:prstGeom prst="line">
                          <a:avLst/>
                        </a:prstGeom>
                        <a:noFill/>
                        <a:ln w="9525"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3" o:spid="_x0000_s1026" o:spt="20" style="position:absolute;left:0pt;margin-left:-9pt;margin-top:29.4pt;height:0.05pt;width:450pt;z-index:1024;mso-width-relative:page;mso-height-relative:page;" filled="f" stroked="t" coordsize="21600,21600" o:gfxdata="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Bic6fD1gAAAAkB&#10;AAAPAAAAAAAAAAEAIAAAADgAAABkcnMvZG93bnJldi54bWxQSwECFAAUAAAACACHTuJA+NC7LQcC&#10;AADhAwAADgAAAAAAAAABACAAAAA7AQAAZHJzL2Uyb0RvYy54bWxQSwUGAAAAAAYABgBZAQAAtAUA&#10;AAAA&#10;">
                <v:fill on="f" focussize="0,0"/>
                <v:stroke color="#000000" joinstyle="round"/>
                <v:imagedata o:title=""/>
                <o:lock v:ext="edit" aspectratio="f"/>
              </v:line>
            </w:pict>
          </mc:Fallback>
        </mc:AlternateContent>
      </w:r>
    </w:p>
    <w:p>
      <w:pPr>
        <w:shd w:val="clear" w:color="auto" w:fill="FFFFFF"/>
        <w:spacing w:line="576" w:lineRule="exact"/>
        <w:rPr>
          <w:rFonts w:hint="eastAsia" w:ascii="楷体_GB2312" w:eastAsia="楷体_GB2312"/>
          <w:b/>
          <w:bCs/>
          <w:color w:val="000000"/>
          <w:sz w:val="32"/>
          <w:szCs w:val="32"/>
        </w:rPr>
      </w:pPr>
      <w:r>
        <w:rPr>
          <w:rFonts w:ascii="仿宋_GB2312" w:eastAsia="仿宋_GB2312"/>
          <w:sz w:val="32"/>
          <w:lang w:val="en-US"/>
        </w:rPr>
        <mc:AlternateContent>
          <mc:Choice Requires="wps">
            <w:drawing>
              <wp:anchor distT="0" distB="0" distL="113665" distR="113665" simplePos="0" relativeHeight="1024" behindDoc="0" locked="0" layoutInCell="1" allowOverlap="1">
                <wp:simplePos x="0" y="0"/>
                <wp:positionH relativeFrom="column">
                  <wp:posOffset>-114300</wp:posOffset>
                </wp:positionH>
                <wp:positionV relativeFrom="paragraph">
                  <wp:posOffset>373380</wp:posOffset>
                </wp:positionV>
                <wp:extent cx="5715000" cy="635"/>
                <wp:effectExtent l="0" t="0" r="0" b="0"/>
                <wp:wrapNone/>
                <wp:docPr id="6" name="直接连接符 4"/>
                <wp:cNvGraphicFramePr/>
                <a:graphic xmlns:a="http://schemas.openxmlformats.org/drawingml/2006/main">
                  <a:graphicData uri="http://schemas.microsoft.com/office/word/2010/wordprocessingShape">
                    <wps:wsp>
                      <wps:cNvCnPr/>
                      <wps:spPr>
                        <a:xfrm>
                          <a:off x="0" y="0"/>
                          <a:ext cx="5715000" cy="952"/>
                        </a:xfrm>
                        <a:prstGeom prst="line">
                          <a:avLst/>
                        </a:prstGeom>
                        <a:noFill/>
                        <a:ln w="9525"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4" o:spid="_x0000_s1026" o:spt="20" style="position:absolute;left:0pt;margin-left:-9pt;margin-top:29.4pt;height:0.05pt;width:450pt;z-index:1024;mso-width-relative:page;mso-height-relative:page;" filled="f" stroked="t" coordsize="21600,21600" o:gfxdata="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Bic6fD1gAAAAkB&#10;AAAPAAAAAAAAAAEAIAAAADgAAABkcnMvZG93bnJldi54bWxQSwECFAAUAAAACACHTuJAMVHbzgcC&#10;AADhAwAADgAAAAAAAAABACAAAAA7AQAAZHJzL2Uyb0RvYy54bWxQSwUGAAAAAAYABgBZAQAAtAUA&#10;AAAA&#10;">
                <v:fill on="f" focussize="0,0"/>
                <v:stroke color="#000000" joinstyle="round"/>
                <v:imagedata o:title=""/>
                <o:lock v:ext="edit" aspectratio="f"/>
              </v:line>
            </w:pict>
          </mc:Fallback>
        </mc:AlternateContent>
      </w:r>
      <w:r>
        <w:rPr>
          <w:rFonts w:hint="eastAsia" w:ascii="仿宋_GB2312" w:eastAsia="仿宋_GB2312"/>
          <w:sz w:val="32"/>
          <w:lang w:val="en-US" w:eastAsia="zh-CN"/>
        </w:rPr>
        <w:t>红原县科学技术协会</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202</w:t>
      </w:r>
      <w:r>
        <w:rPr>
          <w:rFonts w:hint="eastAsia" w:ascii="仿宋_GB2312" w:eastAsia="仿宋_GB2312"/>
          <w:sz w:val="32"/>
          <w:lang w:val="en-US" w:eastAsia="zh-CN"/>
        </w:rPr>
        <w:t>6</w:t>
      </w:r>
      <w:r>
        <w:rPr>
          <w:rFonts w:hint="eastAsia" w:ascii="仿宋_GB2312" w:eastAsia="仿宋_GB2312"/>
          <w:sz w:val="32"/>
        </w:rPr>
        <w:t>年</w:t>
      </w:r>
      <w:r>
        <w:rPr>
          <w:rFonts w:hint="eastAsia" w:ascii="仿宋_GB2312" w:eastAsia="仿宋_GB2312"/>
          <w:sz w:val="32"/>
          <w:lang w:val="en-US" w:eastAsia="zh-CN"/>
        </w:rPr>
        <w:t>2</w:t>
      </w:r>
      <w:r>
        <w:rPr>
          <w:rFonts w:hint="eastAsia" w:ascii="仿宋_GB2312" w:eastAsia="仿宋_GB2312"/>
          <w:sz w:val="32"/>
        </w:rPr>
        <w:t>月</w:t>
      </w:r>
      <w:r>
        <w:rPr>
          <w:rFonts w:hint="eastAsia" w:ascii="仿宋_GB2312" w:eastAsia="仿宋_GB2312"/>
          <w:sz w:val="32"/>
          <w:lang w:val="en-US" w:eastAsia="zh-CN"/>
        </w:rPr>
        <w:t>6</w:t>
      </w:r>
      <w:r>
        <w:rPr>
          <w:rFonts w:hint="eastAsia" w:ascii="仿宋_GB2312" w:eastAsia="仿宋_GB2312"/>
          <w:sz w:val="32"/>
        </w:rPr>
        <w:t xml:space="preserve">日印 </w:t>
      </w:r>
      <w:r>
        <w:rPr>
          <w:rFonts w:hint="eastAsia"/>
          <w:sz w:val="32"/>
        </w:rPr>
        <w:t xml:space="preserve"> </w:t>
      </w:r>
    </w:p>
    <w:p>
      <w:pPr>
        <w:pStyle w:val="2"/>
        <w:rPr>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3BF69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4">
    <w:name w:val="heading 1"/>
    <w:basedOn w:val="1"/>
    <w:next w:val="1"/>
    <w:uiPriority w:val="0"/>
    <w:pPr>
      <w:keepNext/>
      <w:keepLines/>
      <w:widowControl w:val="0"/>
      <w:spacing w:before="340" w:after="330" w:line="578" w:lineRule="auto"/>
      <w:outlineLvl w:val="0"/>
    </w:pPr>
    <w:rPr>
      <w:b/>
      <w:bCs/>
      <w:kern w:val="44"/>
      <w:sz w:val="44"/>
    </w:rPr>
  </w:style>
  <w:style w:type="paragraph" w:styleId="5">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iPriority w:val="0"/>
  </w:style>
  <w:style w:type="paragraph" w:styleId="3">
    <w:name w:val="Body Text Indent"/>
    <w:basedOn w:val="1"/>
    <w:next w:val="2"/>
    <w:uiPriority w:val="0"/>
    <w:pPr>
      <w:ind w:firstLine="200" w:firstLineChars="200"/>
    </w:pPr>
    <w:rPr>
      <w:rFonts w:eastAsia="仿宋_GB2312"/>
    </w:rPr>
  </w:style>
  <w:style w:type="paragraph" w:styleId="7">
    <w:name w:val="Body Text"/>
    <w:basedOn w:val="1"/>
    <w:qFormat/>
    <w:uiPriority w:val="0"/>
    <w:pPr>
      <w:spacing w:before="30" w:beforeLines="30"/>
    </w:pPr>
    <w:rPr>
      <w:rFonts w:ascii="仿宋_GB2312" w:eastAsia="仿宋_GB2312"/>
      <w:sz w:val="30"/>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Normal (Web)"/>
    <w:basedOn w:val="1"/>
    <w:uiPriority w:val="0"/>
    <w:pPr>
      <w:spacing w:before="0" w:beforeAutospacing="1" w:after="0" w:afterAutospacing="1"/>
      <w:ind w:left="0" w:right="0"/>
      <w:jc w:val="left"/>
    </w:pPr>
    <w:rPr>
      <w:kern w:val="0"/>
      <w:sz w:val="24"/>
      <w:lang w:val="en-US" w:eastAsia="zh-CN"/>
    </w:rPr>
  </w:style>
  <w:style w:type="character" w:styleId="12">
    <w:name w:val="page number"/>
    <w:basedOn w:val="11"/>
    <w:uiPriority w:val="0"/>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2531</Words>
  <Characters>2724</Characters>
  <Lines>166</Lines>
  <Paragraphs>59</Paragraphs>
  <TotalTime>2</TotalTime>
  <ScaleCrop>false</ScaleCrop>
  <LinksUpToDate>false</LinksUpToDate>
  <CharactersWithSpaces>2853</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user</cp:lastModifiedBy>
  <cp:lastPrinted>2026-02-06T11:00:00Z</cp:lastPrinted>
  <dcterms:modified xsi:type="dcterms:W3CDTF">2026-02-09T14:53:29Z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KSOTemplateDocerSaveRecord">
    <vt:lpwstr>eyJoZGlkIjoiMjU1MTg4ZDhmODFiZWE0NzE3OGU0MWQ4YzJjZjU4MjIiLCJ1c2VySWQiOiI0ODQ4MTE4MDkifQ==</vt:lpwstr>
  </property>
  <property fmtid="{D5CDD505-2E9C-101B-9397-08002B2CF9AE}" pid="4" name="ICV">
    <vt:lpwstr>17730F78C82C4E3C83777786B19143D8_13</vt:lpwstr>
  </property>
</Properties>
</file>