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both"/>
        <w:rPr>
          <w:rFonts w:hint="eastAsia" w:ascii="方正小标宋简体" w:eastAsia="方正小标宋简体" w:cs="方正小标宋简体"/>
          <w:b w:val="0"/>
          <w:bCs/>
          <w:sz w:val="44"/>
          <w:szCs w:val="44"/>
          <w:lang w:val="en-US" w:eastAsia="zh-CN"/>
        </w:rPr>
      </w:pPr>
    </w:p>
    <w:p>
      <w:pPr>
        <w:keepNext w:val="0"/>
        <w:keepLines w:val="0"/>
        <w:pageBreakBefore w:val="0"/>
        <w:widowControl w:val="0"/>
        <w:kinsoku/>
        <w:wordWrap/>
        <w:overflowPunct/>
        <w:topLinePunct w:val="0"/>
        <w:autoSpaceDE/>
        <w:autoSpaceDN/>
        <w:bidi w:val="0"/>
        <w:spacing w:line="560" w:lineRule="exact"/>
        <w:ind w:left="0" w:right="0"/>
        <w:jc w:val="center"/>
        <w:textAlignment w:val="auto"/>
        <w:rPr>
          <w:rFonts w:hint="eastAsia" w:ascii="方正小标宋简体" w:eastAsia="方正小标宋简体" w:cs="方正小标宋简体"/>
          <w:b w:val="0"/>
          <w:bCs/>
          <w:sz w:val="44"/>
          <w:szCs w:val="44"/>
          <w:lang w:val="en-US" w:eastAsia="zh-CN"/>
        </w:rPr>
      </w:pPr>
      <w:r>
        <w:rPr>
          <w:rFonts w:hint="eastAsia" w:ascii="方正小标宋简体" w:eastAsia="方正小标宋简体" w:cs="方正小标宋简体"/>
          <w:b w:val="0"/>
          <w:bCs/>
          <w:sz w:val="44"/>
          <w:szCs w:val="44"/>
          <w:lang w:val="en-US" w:eastAsia="zh-CN"/>
        </w:rPr>
        <w:t>红原县科学技术协会</w:t>
      </w:r>
    </w:p>
    <w:p>
      <w:pPr>
        <w:keepNext w:val="0"/>
        <w:keepLines w:val="0"/>
        <w:pageBreakBefore w:val="0"/>
        <w:widowControl w:val="0"/>
        <w:kinsoku/>
        <w:wordWrap/>
        <w:overflowPunct/>
        <w:topLinePunct w:val="0"/>
        <w:autoSpaceDE/>
        <w:autoSpaceDN/>
        <w:bidi w:val="0"/>
        <w:spacing w:line="560" w:lineRule="exact"/>
        <w:ind w:left="0" w:right="0"/>
        <w:jc w:val="center"/>
        <w:textAlignment w:val="auto"/>
        <w:rPr>
          <w:rFonts w:hint="eastAsia" w:ascii="方正小标宋简体" w:eastAsia="方正小标宋简体" w:cs="方正小标宋简体"/>
          <w:b w:val="0"/>
          <w:bCs/>
          <w:sz w:val="44"/>
          <w:szCs w:val="44"/>
        </w:rPr>
      </w:pPr>
      <w:r>
        <w:rPr>
          <w:rFonts w:hint="eastAsia" w:ascii="方正小标宋简体" w:eastAsia="方正小标宋简体" w:cs="方正小标宋简体"/>
          <w:b w:val="0"/>
          <w:bCs/>
          <w:sz w:val="44"/>
          <w:szCs w:val="44"/>
          <w:lang w:eastAsia="zh-CN"/>
        </w:rPr>
        <w:t>202</w:t>
      </w:r>
      <w:r>
        <w:rPr>
          <w:rFonts w:hint="eastAsia" w:ascii="方正小标宋简体" w:eastAsia="方正小标宋简体" w:cs="方正小标宋简体"/>
          <w:b w:val="0"/>
          <w:bCs/>
          <w:sz w:val="44"/>
          <w:szCs w:val="44"/>
          <w:lang w:val="en-US" w:eastAsia="zh-CN"/>
        </w:rPr>
        <w:t>5</w:t>
      </w:r>
      <w:r>
        <w:rPr>
          <w:rFonts w:hint="eastAsia" w:ascii="方正小标宋简体" w:eastAsia="方正小标宋简体" w:cs="方正小标宋简体"/>
          <w:b w:val="0"/>
          <w:bCs/>
          <w:sz w:val="44"/>
          <w:szCs w:val="44"/>
          <w:lang w:eastAsia="zh-CN"/>
        </w:rPr>
        <w:t>年</w:t>
      </w:r>
      <w:r>
        <w:rPr>
          <w:rFonts w:hint="eastAsia" w:ascii="方正小标宋简体" w:eastAsia="方正小标宋简体" w:cs="方正小标宋简体"/>
          <w:b w:val="0"/>
          <w:bCs/>
          <w:sz w:val="44"/>
          <w:szCs w:val="44"/>
        </w:rPr>
        <w:t>部门预算编制的说明</w:t>
      </w:r>
    </w:p>
    <w:p>
      <w:pPr>
        <w:pStyle w:val="7"/>
        <w:keepNext w:val="0"/>
        <w:keepLines w:val="0"/>
        <w:pageBreakBefore w:val="0"/>
        <w:widowControl w:val="0"/>
        <w:kinsoku/>
        <w:wordWrap/>
        <w:overflowPunct/>
        <w:topLinePunct w:val="0"/>
        <w:autoSpaceDE/>
        <w:autoSpaceDN/>
        <w:bidi w:val="0"/>
        <w:adjustRightInd w:val="0"/>
        <w:snapToGrid w:val="0"/>
        <w:spacing w:before="0" w:beforeLines="0" w:line="560" w:lineRule="exact"/>
        <w:ind w:left="0" w:right="0"/>
        <w:textAlignment w:val="auto"/>
        <w:rPr>
          <w:rFonts w:hint="eastAsia" w:ascii="宋体" w:eastAsia="宋体"/>
          <w:b/>
          <w:sz w:val="44"/>
          <w:szCs w:val="44"/>
        </w:rPr>
      </w:pPr>
      <w:r>
        <w:rPr>
          <w:rFonts w:hint="eastAsia" w:ascii="宋体" w:eastAsia="宋体"/>
          <w:b/>
          <w:sz w:val="44"/>
          <w:szCs w:val="44"/>
        </w:rPr>
        <w:t xml:space="preserve">    </w:t>
      </w:r>
    </w:p>
    <w:p>
      <w:pPr>
        <w:pStyle w:val="7"/>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textAlignment w:val="auto"/>
        <w:rPr>
          <w:rFonts w:hint="eastAsia" w:asci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7"/>
        <w:keepNext w:val="0"/>
        <w:keepLines w:val="0"/>
        <w:pageBreakBefore w:val="0"/>
        <w:widowControl w:val="0"/>
        <w:kinsoku/>
        <w:wordWrap/>
        <w:overflowPunct/>
        <w:topLinePunct w:val="0"/>
        <w:autoSpaceDE/>
        <w:autoSpaceDN/>
        <w:bidi w:val="0"/>
        <w:adjustRightInd w:val="0"/>
        <w:snapToGrid w:val="0"/>
        <w:spacing w:line="560" w:lineRule="exact"/>
        <w:ind w:left="0" w:right="0" w:firstLine="668" w:firstLineChars="208"/>
        <w:textAlignment w:val="auto"/>
        <w:rPr>
          <w:rFonts w:hint="eastAsia" w:ascii="楷体_GB2312" w:eastAsia="楷体_GB2312" w:cs="楷体_GB2312"/>
          <w:b/>
          <w:bCs w:val="0"/>
          <w:sz w:val="32"/>
          <w:szCs w:val="32"/>
          <w:lang w:eastAsia="zh-CN"/>
        </w:rPr>
      </w:pPr>
      <w:r>
        <w:rPr>
          <w:rFonts w:hint="eastAsia" w:ascii="楷体_GB2312" w:eastAsia="楷体_GB2312" w:cs="楷体_GB2312"/>
          <w:b/>
          <w:bCs w:val="0"/>
          <w:sz w:val="32"/>
          <w:szCs w:val="32"/>
          <w:lang w:eastAsia="zh-CN"/>
        </w:rPr>
        <w:t>（一）基本职能</w:t>
      </w:r>
    </w:p>
    <w:p>
      <w:pPr>
        <w:pStyle w:val="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FFFFFF"/>
        <w:spacing w:before="105" w:beforeAutospacing="0" w:after="105" w:afterAutospacing="0" w:line="20" w:lineRule="atLeast"/>
        <w:ind w:left="0" w:right="0" w:firstLine="640"/>
      </w:pPr>
      <w:r>
        <w:rPr>
          <w:rFonts w:ascii="仿宋_GB2312" w:eastAsia="仿宋_GB2312" w:cs="仿宋_GB2312"/>
          <w:color w:val="333333"/>
          <w:sz w:val="32"/>
          <w:szCs w:val="32"/>
          <w:shd w:val="clear" w:color="auto" w:fill="FFFFFF"/>
        </w:rPr>
        <w:t>当好党和政府发展科技事业的助手，进一步搞好科技工作者服务工作；加强科技普及工作；为提高全面科技文化素质服务，为社会主义精神文明建设服务，进一步做好基层组织、下级组织的服务工作，实行群众办公、民主办公、加强科学协会自身体制作风改革；加强农村科普网络的建立，搞好协会的协调工作管理工作。</w:t>
      </w:r>
    </w:p>
    <w:p>
      <w:pPr>
        <w:pStyle w:val="7"/>
        <w:keepNext w:val="0"/>
        <w:keepLines w:val="0"/>
        <w:pageBreakBefore w:val="0"/>
        <w:widowControl w:val="0"/>
        <w:kinsoku/>
        <w:wordWrap/>
        <w:overflowPunct/>
        <w:topLinePunct w:val="0"/>
        <w:autoSpaceDE/>
        <w:autoSpaceDN/>
        <w:bidi w:val="0"/>
        <w:adjustRightInd w:val="0"/>
        <w:snapToGrid w:val="0"/>
        <w:spacing w:line="560" w:lineRule="exact"/>
        <w:ind w:left="0" w:right="0" w:firstLine="668" w:firstLineChars="208"/>
        <w:textAlignment w:val="auto"/>
        <w:rPr>
          <w:rFonts w:hint="eastAsia" w:ascii="楷体_GB2312" w:eastAsia="楷体_GB2312" w:cs="楷体_GB2312"/>
          <w:b/>
          <w:bCs w:val="0"/>
          <w:sz w:val="32"/>
          <w:szCs w:val="32"/>
          <w:lang w:eastAsia="zh-CN"/>
        </w:rPr>
      </w:pPr>
      <w:r>
        <w:rPr>
          <w:rFonts w:hint="eastAsia" w:ascii="楷体_GB2312" w:eastAsia="楷体_GB2312" w:cs="楷体_GB2312"/>
          <w:b/>
          <w:bCs w:val="0"/>
          <w:sz w:val="32"/>
          <w:szCs w:val="32"/>
          <w:lang w:eastAsia="zh-CN"/>
        </w:rPr>
        <w:t>（二）202</w:t>
      </w:r>
      <w:r>
        <w:rPr>
          <w:rFonts w:hint="eastAsia" w:ascii="楷体_GB2312" w:eastAsia="楷体_GB2312" w:cs="楷体_GB2312"/>
          <w:b/>
          <w:bCs w:val="0"/>
          <w:sz w:val="32"/>
          <w:szCs w:val="32"/>
          <w:lang w:val="en-US" w:eastAsia="zh-CN"/>
        </w:rPr>
        <w:t>5</w:t>
      </w:r>
      <w:r>
        <w:rPr>
          <w:rFonts w:hint="eastAsia" w:ascii="楷体_GB2312" w:eastAsia="楷体_GB2312" w:cs="楷体_GB2312"/>
          <w:b/>
          <w:bCs w:val="0"/>
          <w:sz w:val="32"/>
          <w:szCs w:val="32"/>
          <w:lang w:eastAsia="zh-CN"/>
        </w:rPr>
        <w:t>年重点工作任务</w:t>
      </w:r>
    </w:p>
    <w:p>
      <w:pPr>
        <w:keepNext w:val="0"/>
        <w:keepLines w:val="0"/>
        <w:pageBreakBefore w:val="0"/>
        <w:widowControl w:val="0"/>
        <w:pBdr>
          <w:bottom w:val="single" w:color="FFFFFF" w:sz="4" w:space="31"/>
        </w:pBdr>
        <w:kinsoku/>
        <w:wordWrap/>
        <w:overflowPunct/>
        <w:topLinePunct w:val="0"/>
        <w:autoSpaceDE w:val="0"/>
        <w:autoSpaceDN/>
        <w:bidi w:val="0"/>
        <w:adjustRightInd w:val="0"/>
        <w:snapToGrid w:val="0"/>
        <w:spacing w:beforeAutospacing="0" w:afterAutospacing="0" w:line="576" w:lineRule="exact"/>
        <w:ind w:left="0" w:firstLine="640" w:firstLineChars="200"/>
        <w:textAlignment w:val="auto"/>
        <w:rPr>
          <w:rFonts w:hint="eastAsia" w:ascii="仿宋_GB2312" w:eastAsia="仿宋_GB2312" w:cs="仿宋_GB2312"/>
          <w:color w:val="333333"/>
          <w:kern w:val="0"/>
          <w:sz w:val="32"/>
          <w:szCs w:val="32"/>
          <w:shd w:val="clear" w:color="auto" w:fill="FFFFFF"/>
          <w:lang w:val="en-US" w:eastAsia="zh-CN"/>
        </w:rPr>
      </w:pPr>
      <w:r>
        <w:rPr>
          <w:rFonts w:hint="eastAsia" w:ascii="仿宋_GB2312" w:eastAsia="仿宋_GB2312" w:cs="仿宋_GB2312"/>
          <w:color w:val="333333"/>
          <w:kern w:val="0"/>
          <w:sz w:val="32"/>
          <w:szCs w:val="32"/>
          <w:shd w:val="clear" w:color="auto" w:fill="FFFFFF"/>
          <w:lang w:val="en-US" w:eastAsia="zh-CN"/>
        </w:rPr>
        <w:t>2025年，我会将围绕县委政府中心工作，认真践行“四服务”工作职责，着力抓好以下五项工作。</w:t>
      </w:r>
    </w:p>
    <w:p>
      <w:pPr>
        <w:keepNext w:val="0"/>
        <w:keepLines w:val="0"/>
        <w:pageBreakBefore w:val="0"/>
        <w:widowControl w:val="0"/>
        <w:pBdr>
          <w:bottom w:val="single" w:color="FFFFFF" w:sz="4" w:space="31"/>
        </w:pBdr>
        <w:kinsoku/>
        <w:wordWrap/>
        <w:overflowPunct/>
        <w:topLinePunct w:val="0"/>
        <w:autoSpaceDE w:val="0"/>
        <w:autoSpaceDN/>
        <w:bidi w:val="0"/>
        <w:adjustRightInd w:val="0"/>
        <w:snapToGrid w:val="0"/>
        <w:spacing w:beforeAutospacing="0" w:afterAutospacing="0" w:line="576" w:lineRule="exact"/>
        <w:ind w:left="0" w:firstLine="640" w:firstLineChars="200"/>
        <w:textAlignment w:val="auto"/>
        <w:rPr>
          <w:rFonts w:hint="eastAsia" w:ascii="仿宋_GB2312" w:eastAsia="仿宋_GB2312" w:cs="仿宋_GB2312"/>
          <w:color w:val="333333"/>
          <w:kern w:val="0"/>
          <w:sz w:val="32"/>
          <w:szCs w:val="32"/>
          <w:shd w:val="clear" w:color="auto" w:fill="FFFFFF"/>
          <w:lang w:val="en-US" w:eastAsia="zh-CN"/>
        </w:rPr>
      </w:pPr>
      <w:r>
        <w:rPr>
          <w:rFonts w:hint="eastAsia" w:ascii="仿宋_GB2312" w:eastAsia="仿宋_GB2312" w:cs="仿宋_GB2312"/>
          <w:color w:val="333333"/>
          <w:kern w:val="0"/>
          <w:sz w:val="32"/>
          <w:szCs w:val="32"/>
          <w:shd w:val="clear" w:color="auto" w:fill="FFFFFF"/>
          <w:lang w:val="en-US" w:eastAsia="zh-CN"/>
        </w:rPr>
        <w:t>1.扎实抓好科普工作，助力全民科学素质提高。突出重点人群，积极开展群众喜闻乐见的科普活动，深入贯彻《全民科学素质行动规划纲要》，传播科学思想，弘扬科学精神，服务全民科学素质提升。</w:t>
      </w:r>
    </w:p>
    <w:p>
      <w:pPr>
        <w:keepNext w:val="0"/>
        <w:keepLines w:val="0"/>
        <w:pageBreakBefore w:val="0"/>
        <w:widowControl w:val="0"/>
        <w:pBdr>
          <w:bottom w:val="single" w:color="FFFFFF" w:sz="4" w:space="31"/>
        </w:pBdr>
        <w:kinsoku/>
        <w:wordWrap/>
        <w:overflowPunct/>
        <w:topLinePunct w:val="0"/>
        <w:autoSpaceDN/>
        <w:bidi w:val="0"/>
        <w:adjustRightInd w:val="0"/>
        <w:snapToGrid w:val="0"/>
        <w:spacing w:line="540" w:lineRule="exact"/>
        <w:ind w:left="0" w:firstLine="640" w:firstLineChars="200"/>
        <w:rPr>
          <w:rFonts w:hint="eastAsia" w:ascii="仿宋_GB2312" w:eastAsia="仿宋_GB2312" w:cs="仿宋_GB2312"/>
          <w:color w:val="333333"/>
          <w:kern w:val="0"/>
          <w:sz w:val="32"/>
          <w:szCs w:val="32"/>
          <w:shd w:val="clear" w:color="auto" w:fill="FFFFFF"/>
          <w:lang w:val="en-US" w:eastAsia="zh-CN"/>
        </w:rPr>
      </w:pPr>
      <w:r>
        <w:rPr>
          <w:rFonts w:hint="eastAsia" w:ascii="仿宋_GB2312" w:eastAsia="仿宋_GB2312" w:cs="仿宋_GB2312"/>
          <w:color w:val="333333"/>
          <w:kern w:val="0"/>
          <w:sz w:val="32"/>
          <w:szCs w:val="32"/>
          <w:shd w:val="clear" w:color="auto" w:fill="FFFFFF"/>
          <w:lang w:val="en-US" w:eastAsia="zh-CN"/>
        </w:rPr>
        <w:t>2.进一步加强对“天府科技云”工作的宣传力度，努力帮助其掌握“天府科技云”上科技需求发布和交易能力，在用得上和方便操作上下功夫，着力解决企业和科技人员之所急之所需</w:t>
      </w:r>
    </w:p>
    <w:p>
      <w:pPr>
        <w:keepNext w:val="0"/>
        <w:keepLines w:val="0"/>
        <w:pageBreakBefore w:val="0"/>
        <w:widowControl w:val="0"/>
        <w:pBdr>
          <w:bottom w:val="single" w:color="FFFFFF" w:sz="4" w:space="31"/>
        </w:pBdr>
        <w:kinsoku/>
        <w:wordWrap/>
        <w:overflowPunct/>
        <w:topLinePunct w:val="0"/>
        <w:autoSpaceDN/>
        <w:bidi w:val="0"/>
        <w:adjustRightInd w:val="0"/>
        <w:snapToGrid w:val="0"/>
        <w:spacing w:line="540" w:lineRule="exact"/>
        <w:ind w:left="0" w:firstLine="640" w:firstLineChars="200"/>
        <w:rPr>
          <w:rFonts w:hint="eastAsia" w:ascii="仿宋_GB2312" w:eastAsia="仿宋_GB2312" w:cs="仿宋_GB2312"/>
          <w:color w:val="333333"/>
          <w:kern w:val="0"/>
          <w:sz w:val="32"/>
          <w:szCs w:val="32"/>
          <w:shd w:val="clear" w:color="auto" w:fill="FFFFFF"/>
          <w:lang w:val="en-US" w:eastAsia="zh-CN"/>
        </w:rPr>
      </w:pPr>
      <w:r>
        <w:rPr>
          <w:rFonts w:hint="eastAsia" w:ascii="仿宋_GB2312" w:eastAsia="仿宋_GB2312" w:cs="仿宋_GB2312"/>
          <w:color w:val="333333"/>
          <w:kern w:val="0"/>
          <w:sz w:val="32"/>
          <w:szCs w:val="32"/>
          <w:shd w:val="clear" w:color="auto" w:fill="FFFFFF"/>
          <w:lang w:val="en-US" w:eastAsia="zh-CN"/>
        </w:rPr>
        <w:t>3.继续抓好青少年科技教育工作。要充分利用“科普大篷车”便捷、灵活的优势，组织开展好各类“进校园、入社区”青少年科普宣传活动。</w:t>
      </w:r>
    </w:p>
    <w:p>
      <w:pPr>
        <w:keepNext w:val="0"/>
        <w:keepLines w:val="0"/>
        <w:pageBreakBefore w:val="0"/>
        <w:widowControl w:val="0"/>
        <w:pBdr>
          <w:bottom w:val="single" w:color="FFFFFF" w:sz="4" w:space="31"/>
        </w:pBdr>
        <w:kinsoku/>
        <w:wordWrap/>
        <w:overflowPunct/>
        <w:topLinePunct w:val="0"/>
        <w:autoSpaceDN/>
        <w:bidi w:val="0"/>
        <w:adjustRightInd w:val="0"/>
        <w:snapToGrid w:val="0"/>
        <w:spacing w:line="540" w:lineRule="exact"/>
        <w:ind w:left="0" w:firstLine="640" w:firstLineChars="200"/>
        <w:rPr>
          <w:rFonts w:hint="eastAsia"/>
          <w:bCs/>
          <w:sz w:val="32"/>
          <w:szCs w:val="32"/>
        </w:rPr>
      </w:pPr>
      <w:r>
        <w:rPr>
          <w:rFonts w:hint="eastAsia" w:ascii="仿宋_GB2312" w:eastAsia="仿宋_GB2312" w:cs="仿宋_GB2312"/>
          <w:color w:val="333333"/>
          <w:kern w:val="0"/>
          <w:sz w:val="32"/>
          <w:szCs w:val="32"/>
          <w:shd w:val="clear" w:color="auto" w:fill="FFFFFF"/>
          <w:lang w:val="en-US" w:eastAsia="zh-CN"/>
        </w:rPr>
        <w:t>4.持续抓好县级学会、协会、科普基地等各类科协基层组织的标准化、规范化和制度化建设工作，不断加强基层科协组织的治理体系和治理能力现代化，充分发挥其科普服务职能和示范引领作用。</w:t>
      </w:r>
    </w:p>
    <w:p>
      <w:pPr>
        <w:keepNext w:val="0"/>
        <w:keepLines w:val="0"/>
        <w:pageBreakBefore w:val="0"/>
        <w:widowControl w:val="0"/>
        <w:kinsoku/>
        <w:wordWrap/>
        <w:overflowPunct/>
        <w:topLinePunct w:val="0"/>
        <w:autoSpaceDE/>
        <w:autoSpaceDN/>
        <w:bidi w:val="0"/>
        <w:spacing w:line="560" w:lineRule="exact"/>
        <w:ind w:right="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pStyle w:val="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FFFFFF"/>
        <w:spacing w:before="105" w:beforeAutospacing="0" w:after="105" w:afterAutospacing="0" w:line="20" w:lineRule="atLeast"/>
        <w:ind w:left="0" w:right="0" w:firstLine="420"/>
      </w:pPr>
      <w:r>
        <w:rPr>
          <w:rFonts w:ascii="仿宋_GB2312" w:eastAsia="仿宋_GB2312" w:cs="仿宋_GB2312"/>
          <w:color w:val="333333"/>
          <w:sz w:val="32"/>
          <w:szCs w:val="32"/>
          <w:shd w:val="clear" w:color="auto" w:fill="FFFFFF"/>
        </w:rPr>
        <w:t>红原县科学技术协会属行政单位，下属二级单位1个。</w:t>
      </w:r>
    </w:p>
    <w:p>
      <w:pPr>
        <w:pStyle w:val="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FFFFFF"/>
        <w:spacing w:before="105" w:beforeAutospacing="0" w:after="105" w:afterAutospacing="0" w:line="20" w:lineRule="atLeast"/>
        <w:ind w:left="0" w:firstLine="420"/>
      </w:pPr>
      <w:r>
        <w:rPr>
          <w:rFonts w:hint="eastAsia" w:ascii="仿宋_GB2312" w:eastAsia="仿宋_GB2312" w:cs="仿宋_GB2312"/>
          <w:color w:val="333333"/>
          <w:sz w:val="32"/>
          <w:szCs w:val="32"/>
          <w:shd w:val="clear" w:color="auto" w:fill="FFFFFF"/>
        </w:rPr>
        <w:t>二级单位：红原县民族科普大队。</w:t>
      </w:r>
    </w:p>
    <w:p>
      <w:pPr>
        <w:pStyle w:val="9"/>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hd w:val="clear" w:color="auto" w:fill="FFFFFF"/>
        <w:spacing w:before="105" w:beforeAutospacing="0" w:after="105" w:afterAutospacing="0" w:line="20" w:lineRule="atLeast"/>
        <w:ind w:left="0" w:firstLine="420"/>
      </w:pPr>
      <w:r>
        <w:rPr>
          <w:rFonts w:hint="eastAsia" w:ascii="仿宋_GB2312" w:eastAsia="仿宋_GB2312" w:cs="仿宋_GB2312"/>
          <w:color w:val="333333"/>
          <w:sz w:val="32"/>
          <w:szCs w:val="32"/>
          <w:shd w:val="clear" w:color="auto" w:fill="FFFFFF"/>
        </w:rPr>
        <w:t>红原县科学技术协会为独立核算全额拨款行政单位，下设民族科普大队。截止202</w:t>
      </w:r>
      <w:r>
        <w:rPr>
          <w:rFonts w:hint="eastAsia" w:ascii="仿宋_GB2312" w:eastAsia="仿宋_GB2312" w:cs="仿宋_GB2312"/>
          <w:color w:val="333333"/>
          <w:sz w:val="32"/>
          <w:szCs w:val="32"/>
          <w:shd w:val="clear" w:color="auto" w:fill="FFFFFF"/>
          <w:lang w:val="en-US" w:eastAsia="zh-CN"/>
        </w:rPr>
        <w:t>5</w:t>
      </w:r>
      <w:r>
        <w:rPr>
          <w:rFonts w:hint="eastAsia" w:ascii="仿宋_GB2312" w:eastAsia="仿宋_GB2312" w:cs="仿宋_GB2312"/>
          <w:color w:val="333333"/>
          <w:sz w:val="32"/>
          <w:szCs w:val="32"/>
          <w:shd w:val="clear" w:color="auto" w:fill="FFFFFF"/>
        </w:rPr>
        <w:t>年初我单位共有编制7个，其中公务员编制3个，行政工勤编制1个，事业编制3个；在职</w:t>
      </w:r>
      <w:r>
        <w:rPr>
          <w:rFonts w:hint="eastAsia" w:ascii="仿宋_GB2312" w:eastAsia="仿宋_GB2312" w:cs="仿宋_GB2312"/>
          <w:color w:val="333333"/>
          <w:sz w:val="32"/>
          <w:szCs w:val="32"/>
          <w:shd w:val="clear" w:color="auto" w:fill="FFFFFF"/>
          <w:lang w:val="en-US" w:eastAsia="zh-CN"/>
        </w:rPr>
        <w:t>7</w:t>
      </w:r>
      <w:r>
        <w:rPr>
          <w:rFonts w:hint="eastAsia" w:ascii="仿宋_GB2312" w:eastAsia="仿宋_GB2312" w:cs="仿宋_GB2312"/>
          <w:color w:val="333333"/>
          <w:sz w:val="32"/>
          <w:szCs w:val="32"/>
          <w:shd w:val="clear" w:color="auto" w:fill="FFFFFF"/>
        </w:rPr>
        <w:t>人，其中行政工勤1人，公务员</w:t>
      </w:r>
      <w:r>
        <w:rPr>
          <w:rFonts w:hint="eastAsia" w:ascii="仿宋_GB2312" w:eastAsia="仿宋_GB2312" w:cs="仿宋_GB2312"/>
          <w:color w:val="333333"/>
          <w:sz w:val="32"/>
          <w:szCs w:val="32"/>
          <w:shd w:val="clear" w:color="auto" w:fill="FFFFFF"/>
          <w:lang w:val="en-US" w:eastAsia="zh-CN"/>
        </w:rPr>
        <w:t>3</w:t>
      </w:r>
      <w:r>
        <w:rPr>
          <w:rFonts w:hint="eastAsia" w:ascii="仿宋_GB2312" w:eastAsia="仿宋_GB2312" w:cs="仿宋_GB2312"/>
          <w:color w:val="333333"/>
          <w:sz w:val="32"/>
          <w:szCs w:val="32"/>
          <w:shd w:val="clear" w:color="auto" w:fill="FFFFFF"/>
        </w:rPr>
        <w:t>人，事业编制3人。</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w:t>
      </w:r>
      <w:r>
        <w:rPr>
          <w:rFonts w:ascii="仿宋_GB2312" w:eastAsia="仿宋_GB2312" w:cs="仿宋_GB2312"/>
          <w:color w:val="333333"/>
          <w:sz w:val="32"/>
          <w:szCs w:val="32"/>
          <w:shd w:val="clear" w:color="auto" w:fill="FFFFFF"/>
        </w:rPr>
        <w:t>红原县科学技术协会</w:t>
      </w:r>
      <w:r>
        <w:rPr>
          <w:rFonts w:hint="eastAsia" w:ascii="仿宋_GB2312" w:eastAsia="仿宋_GB2312"/>
          <w:sz w:val="32"/>
          <w:szCs w:val="32"/>
        </w:rPr>
        <w:t>收入预算总额为</w:t>
      </w:r>
      <w:r>
        <w:rPr>
          <w:rFonts w:hint="eastAsia" w:ascii="仿宋_GB2312" w:eastAsia="仿宋_GB2312"/>
          <w:sz w:val="32"/>
          <w:szCs w:val="32"/>
          <w:lang w:val="en-US" w:eastAsia="zh-CN"/>
        </w:rPr>
        <w:t>191.95</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191.95</w:t>
      </w:r>
      <w:r>
        <w:rPr>
          <w:rFonts w:hint="eastAsia" w:ascii="仿宋_GB2312" w:eastAsia="仿宋_GB2312"/>
          <w:sz w:val="32"/>
          <w:szCs w:val="32"/>
        </w:rPr>
        <w:t>万元。相应安排支出预算</w:t>
      </w:r>
      <w:r>
        <w:rPr>
          <w:rFonts w:hint="eastAsia" w:ascii="仿宋_GB2312" w:eastAsia="仿宋_GB2312"/>
          <w:sz w:val="32"/>
          <w:szCs w:val="32"/>
          <w:lang w:val="en-US" w:eastAsia="zh-CN"/>
        </w:rPr>
        <w:t>191.95</w:t>
      </w:r>
      <w:r>
        <w:rPr>
          <w:rFonts w:hint="eastAsia" w:ascii="仿宋_GB2312" w:eastAsia="仿宋_GB2312"/>
          <w:sz w:val="32"/>
          <w:szCs w:val="32"/>
        </w:rPr>
        <w:t>万元，其中：</w:t>
      </w:r>
      <w:r>
        <w:rPr>
          <w:rFonts w:hint="eastAsia" w:ascii="仿宋_GB2312" w:eastAsia="仿宋_GB2312"/>
          <w:sz w:val="32"/>
          <w:szCs w:val="32"/>
          <w:lang w:val="en-US" w:eastAsia="zh-CN"/>
        </w:rPr>
        <w:t>科学技术支出144.61</w:t>
      </w:r>
      <w:r>
        <w:rPr>
          <w:rFonts w:hint="eastAsia" w:ascii="仿宋_GB2312" w:eastAsia="仿宋_GB2312"/>
          <w:sz w:val="32"/>
          <w:szCs w:val="32"/>
        </w:rPr>
        <w:t>万元，社会保障和就业</w:t>
      </w:r>
      <w:r>
        <w:rPr>
          <w:rFonts w:hint="eastAsia" w:ascii="仿宋_GB2312" w:eastAsia="仿宋_GB2312"/>
          <w:sz w:val="32"/>
          <w:szCs w:val="32"/>
          <w:lang w:val="en-US" w:eastAsia="zh-CN"/>
        </w:rPr>
        <w:t>24.8</w:t>
      </w:r>
      <w:r>
        <w:rPr>
          <w:rFonts w:hint="eastAsia" w:ascii="仿宋_GB2312" w:eastAsia="仿宋_GB2312"/>
          <w:sz w:val="32"/>
          <w:szCs w:val="32"/>
        </w:rPr>
        <w:t>万元，医疗卫生</w:t>
      </w:r>
      <w:r>
        <w:rPr>
          <w:rFonts w:hint="eastAsia" w:ascii="仿宋_GB2312" w:eastAsia="仿宋_GB2312"/>
          <w:sz w:val="32"/>
          <w:szCs w:val="32"/>
          <w:lang w:val="en-US" w:eastAsia="zh-CN"/>
        </w:rPr>
        <w:t>9</w:t>
      </w:r>
      <w:r>
        <w:rPr>
          <w:rFonts w:hint="eastAsia" w:ascii="仿宋_GB2312" w:eastAsia="仿宋_GB2312"/>
          <w:sz w:val="32"/>
          <w:szCs w:val="32"/>
        </w:rPr>
        <w:t>万元，住房保障支出</w:t>
      </w:r>
      <w:r>
        <w:rPr>
          <w:rFonts w:hint="eastAsia" w:ascii="仿宋_GB2312" w:eastAsia="仿宋_GB2312"/>
          <w:sz w:val="32"/>
          <w:szCs w:val="32"/>
          <w:lang w:val="en-US" w:eastAsia="zh-CN"/>
        </w:rPr>
        <w:t>13.54</w:t>
      </w:r>
      <w:r>
        <w:rPr>
          <w:rFonts w:hint="eastAsia" w:ascii="仿宋_GB2312" w:eastAsia="仿宋_GB2312"/>
          <w:sz w:val="32"/>
          <w:szCs w:val="32"/>
        </w:rPr>
        <w:t>万元。</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p>
    <w:p>
      <w:pPr>
        <w:keepNext w:val="0"/>
        <w:keepLines w:val="0"/>
        <w:pageBreakBefore w:val="0"/>
        <w:widowControl w:val="0"/>
        <w:numPr>
          <w:ilvl w:val="0"/>
          <w:numId w:val="1"/>
        </w:numPr>
        <w:kinsoku/>
        <w:wordWrap/>
        <w:overflowPunct/>
        <w:topLinePunct w:val="0"/>
        <w:autoSpaceDE/>
        <w:autoSpaceDN/>
        <w:bidi w:val="0"/>
        <w:spacing w:line="560" w:lineRule="exact"/>
        <w:ind w:left="0" w:right="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widowControl w:val="0"/>
        <w:kinsoku/>
        <w:wordWrap/>
        <w:overflowPunct/>
        <w:topLinePunct w:val="0"/>
        <w:autoSpaceDE/>
        <w:autoSpaceDN/>
        <w:bidi w:val="0"/>
        <w:spacing w:line="560" w:lineRule="exact"/>
        <w:ind w:left="0" w:right="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ascii="仿宋_GB2312" w:eastAsia="仿宋_GB2312" w:cs="仿宋_GB2312"/>
          <w:color w:val="333333"/>
          <w:sz w:val="32"/>
          <w:szCs w:val="32"/>
          <w:shd w:val="clear" w:color="auto" w:fill="FFFFFF"/>
        </w:rPr>
        <w:t>红原县科学技术协会</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val="en-US" w:eastAsia="zh-CN"/>
        </w:rPr>
        <w:t>行政</w:t>
      </w:r>
      <w:r>
        <w:rPr>
          <w:rFonts w:hint="eastAsia" w:ascii="仿宋_GB2312" w:eastAsia="仿宋_GB2312"/>
          <w:sz w:val="32"/>
          <w:szCs w:val="32"/>
        </w:rPr>
        <w:t xml:space="preserve">事业发展相关工作。  </w:t>
      </w:r>
    </w:p>
    <w:p>
      <w:pPr>
        <w:keepNext w:val="0"/>
        <w:keepLines w:val="0"/>
        <w:pageBreakBefore w:val="0"/>
        <w:widowControl w:val="0"/>
        <w:kinsoku/>
        <w:wordWrap/>
        <w:overflowPunct/>
        <w:topLinePunct w:val="0"/>
        <w:autoSpaceDE/>
        <w:autoSpaceDN/>
        <w:bidi w:val="0"/>
        <w:spacing w:line="560" w:lineRule="exact"/>
        <w:ind w:left="0" w:right="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191.95</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162.97万元，机关运行经费21.17万元，其中：办公费4.83万元，差旅费1.7万元，工会经费1.24万元，公务用车运行维护费7.22万元。</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191.95</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24.8</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9</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13.54</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right="0" w:firstLine="480"/>
        <w:jc w:val="left"/>
        <w:textAlignment w:val="auto"/>
        <w:rPr>
          <w:rFonts w:hint="eastAsia" w:ascii="黑体" w:eastAsia="黑体" w:cs="黑体"/>
          <w:sz w:val="32"/>
          <w:szCs w:val="32"/>
        </w:rPr>
      </w:pPr>
      <w:r>
        <w:rPr>
          <w:rFonts w:hint="eastAsia" w:ascii="黑体" w:eastAsia="黑体" w:cs="黑体"/>
          <w:color w:val="333333"/>
          <w:kern w:val="0"/>
          <w:sz w:val="32"/>
          <w:szCs w:val="32"/>
          <w:shd w:val="clear" w:color="auto" w:fill="FFFFFF"/>
          <w:lang w:val="en-US" w:eastAsia="zh-CN"/>
        </w:rPr>
        <w:t>五、较上年度增减变化</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191.95万元较上年度预算246,69万元减少了22.19%，其中基本行政运行经费预算21.17万元，占全部总预算的11.03%，较上年19.29万元增加了9.75%，原因为各项开支增加，增加基本支出；专项业务工作经费预算7.8万元，占总预算的4.06%，较上年预算8万元减少了2.5%，主要原因为缩减了项目经费开支，减少相关支出。 </w:t>
      </w:r>
      <w:r>
        <w:rPr>
          <w:rFonts w:hint="eastAsia" w:ascii="黑体" w:eastAsia="黑体" w:cs="黑体"/>
          <w:color w:val="333333"/>
          <w:kern w:val="0"/>
          <w:sz w:val="32"/>
          <w:szCs w:val="32"/>
          <w:shd w:val="clear" w:color="auto" w:fill="FFFFFF"/>
          <w:lang w:val="en-US" w:eastAsia="zh-CN"/>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right="0" w:firstLine="480"/>
        <w:jc w:val="left"/>
        <w:textAlignment w:val="auto"/>
        <w:rPr>
          <w:rFonts w:hint="eastAsia" w:ascii="黑体" w:eastAsia="黑体" w:cs="黑体"/>
          <w:color w:val="333333"/>
          <w:kern w:val="0"/>
          <w:sz w:val="32"/>
          <w:szCs w:val="32"/>
          <w:shd w:val="clear" w:color="auto" w:fill="FFFFFF"/>
          <w:lang w:val="en-US" w:eastAsia="zh-CN"/>
        </w:rPr>
      </w:pPr>
      <w:r>
        <w:rPr>
          <w:rFonts w:hint="eastAsia" w:ascii="黑体" w:eastAsia="黑体" w:cs="黑体"/>
          <w:color w:val="333333"/>
          <w:kern w:val="0"/>
          <w:sz w:val="32"/>
          <w:szCs w:val="32"/>
          <w:shd w:val="clear" w:color="auto" w:fill="FFFFFF"/>
          <w:lang w:val="en-US" w:eastAsia="zh-CN"/>
        </w:rPr>
        <w:t>六、“三公”经费预算</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7.37万元，其中：出国费0万元，与上年持平，主要原因为未安排因公出国；公车购置费0元，与上年持平；公务用车维护费支出7.22万元，较上年度预算7.42万元略有减少，主要原因严格执行“八项规定、六项禁令”；二是将有关股室的工作有机地结合起来，减少不必要的资源浪费；公务接待费0.15万元，较上年度预算减少0.05万元，主要原因为严格执行“八项规定、六项禁令”；二是将有关股室的工作有机地结合起来，减少不必要的资源浪费；，本年度我们将严格执行“八项规定、六项禁令”，结合本年度工作需要，减少不必 要的开支。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right="0" w:firstLine="480"/>
        <w:jc w:val="left"/>
        <w:textAlignment w:val="auto"/>
        <w:rPr>
          <w:rFonts w:hint="eastAsia" w:ascii="黑体" w:eastAsia="黑体" w:cs="黑体"/>
          <w:color w:val="333333"/>
          <w:kern w:val="0"/>
          <w:sz w:val="32"/>
          <w:szCs w:val="32"/>
          <w:shd w:val="clear" w:color="auto" w:fill="FFFFFF"/>
          <w:lang w:val="en-US" w:eastAsia="zh-CN"/>
        </w:rPr>
      </w:pPr>
      <w:r>
        <w:rPr>
          <w:rFonts w:hint="eastAsia" w:ascii="黑体" w:eastAsia="黑体" w:cs="黑体"/>
          <w:color w:val="333333"/>
          <w:kern w:val="0"/>
          <w:sz w:val="32"/>
          <w:szCs w:val="32"/>
          <w:shd w:val="clear" w:color="auto" w:fill="FFFFFF"/>
          <w:lang w:val="en-US" w:eastAsia="zh-CN"/>
        </w:rPr>
        <w:t>七、政府性基金预算收支情况说明</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2025年无使用政府性基金预算拨款安排的支出</w:t>
      </w:r>
      <w:r>
        <w:rPr>
          <w:rFonts w:hint="eastAsia" w:ascii="仿宋_GB2312" w:eastAsia="仿宋_GB2312"/>
          <w:sz w:val="32"/>
          <w:szCs w:val="32"/>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right="0"/>
        <w:jc w:val="left"/>
        <w:textAlignment w:val="auto"/>
        <w:rPr>
          <w:rFonts w:hint="eastAsia" w:ascii="黑体" w:eastAsia="黑体" w:cs="黑体"/>
          <w:color w:val="333333"/>
          <w:kern w:val="0"/>
          <w:sz w:val="32"/>
          <w:szCs w:val="32"/>
          <w:shd w:val="clear" w:color="auto" w:fill="FFFFFF"/>
          <w:lang w:val="en-US" w:eastAsia="zh-CN"/>
        </w:rPr>
      </w:pPr>
      <w:r>
        <w:rPr>
          <w:rFonts w:hint="eastAsia" w:ascii="黑体" w:eastAsia="黑体" w:cs="黑体"/>
          <w:color w:val="333333"/>
          <w:kern w:val="0"/>
          <w:sz w:val="32"/>
          <w:szCs w:val="32"/>
          <w:shd w:val="clear" w:color="auto" w:fill="FFFFFF"/>
          <w:lang w:val="en-US" w:eastAsia="zh-CN"/>
        </w:rPr>
        <w:t>八、国有资本经营预算收支情况说明</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2025年无使用国有资本经营预算拨款安排的支出。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right="0"/>
        <w:jc w:val="left"/>
        <w:textAlignment w:val="auto"/>
        <w:rPr>
          <w:rFonts w:hint="eastAsia" w:ascii="黑体" w:eastAsia="黑体" w:cs="黑体"/>
          <w:color w:val="333333"/>
          <w:kern w:val="0"/>
          <w:sz w:val="32"/>
          <w:szCs w:val="32"/>
          <w:shd w:val="clear" w:color="auto" w:fill="FFFFFF"/>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right="0"/>
        <w:jc w:val="left"/>
        <w:textAlignment w:val="auto"/>
        <w:rPr>
          <w:rFonts w:hint="eastAsia" w:ascii="黑体" w:eastAsia="黑体" w:cs="黑体"/>
          <w:color w:val="333333"/>
          <w:kern w:val="0"/>
          <w:sz w:val="32"/>
          <w:szCs w:val="32"/>
          <w:shd w:val="clear" w:color="auto" w:fill="FFFFFF"/>
          <w:lang w:val="en-US" w:eastAsia="zh-CN"/>
        </w:rPr>
      </w:pPr>
      <w:r>
        <w:rPr>
          <w:rFonts w:hint="eastAsia" w:ascii="黑体" w:eastAsia="黑体" w:cs="黑体"/>
          <w:color w:val="333333"/>
          <w:kern w:val="0"/>
          <w:sz w:val="32"/>
          <w:szCs w:val="32"/>
          <w:shd w:val="clear" w:color="auto" w:fill="FFFFFF"/>
          <w:lang w:val="en-US" w:eastAsia="zh-CN"/>
        </w:rPr>
        <w:t>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right="0" w:firstLine="480"/>
        <w:jc w:val="left"/>
        <w:textAlignment w:val="auto"/>
        <w:rPr>
          <w:rFonts w:hint="eastAsia" w:ascii="黑体" w:eastAsia="黑体" w:cs="黑体"/>
          <w:color w:val="333333"/>
          <w:kern w:val="0"/>
          <w:sz w:val="32"/>
          <w:szCs w:val="32"/>
          <w:shd w:val="clear" w:color="auto" w:fill="FFFFFF"/>
          <w:lang w:val="en-US" w:eastAsia="zh-CN"/>
        </w:rPr>
      </w:pPr>
      <w:r>
        <w:rPr>
          <w:rFonts w:hint="eastAsia" w:ascii="楷体_GB2312" w:eastAsia="楷体_GB2312" w:cs="楷体_GB2312"/>
          <w:b/>
          <w:bCs/>
          <w:color w:val="333333"/>
          <w:kern w:val="0"/>
          <w:sz w:val="32"/>
          <w:szCs w:val="32"/>
          <w:shd w:val="clear" w:color="auto" w:fill="FFFFFF"/>
          <w:lang w:val="en-US" w:eastAsia="zh-CN"/>
        </w:rPr>
        <w:t>（一）政府采购预算情况</w:t>
      </w:r>
      <w:r>
        <w:rPr>
          <w:rFonts w:hint="eastAsia" w:ascii="黑体" w:eastAsia="黑体" w:cs="黑体"/>
          <w:color w:val="333333"/>
          <w:kern w:val="0"/>
          <w:sz w:val="32"/>
          <w:szCs w:val="32"/>
          <w:shd w:val="clear" w:color="auto" w:fill="FFFFFF"/>
          <w:lang w:val="en-US" w:eastAsia="zh-CN"/>
        </w:rPr>
        <w:t xml:space="preserve"> </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2025年度未安排政府采购预算。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right="0"/>
        <w:jc w:val="left"/>
        <w:textAlignment w:val="auto"/>
      </w:pPr>
      <w:r>
        <w:rPr>
          <w:rFonts w:hint="eastAsia" w:ascii="楷体_GB2312" w:eastAsia="楷体_GB2312" w:cs="楷体_GB2312"/>
          <w:b/>
          <w:bCs/>
          <w:color w:val="333333"/>
          <w:kern w:val="0"/>
          <w:sz w:val="32"/>
          <w:szCs w:val="32"/>
          <w:shd w:val="clear" w:color="auto" w:fill="FFFFFF"/>
          <w:lang w:val="en-US" w:eastAsia="zh-CN"/>
        </w:rPr>
        <w:t>（二）政府财政国有资产占用情况</w:t>
      </w:r>
      <w:r>
        <w:rPr>
          <w:rFonts w:hint="eastAsia" w:ascii="微软雅黑" w:eastAsia="微软雅黑" w:cs="微软雅黑"/>
          <w:color w:val="333333"/>
          <w:kern w:val="0"/>
          <w:sz w:val="24"/>
          <w:szCs w:val="24"/>
          <w:shd w:val="clear" w:color="auto" w:fill="FFFFFF"/>
          <w:lang w:val="en-US" w:eastAsia="zh-CN"/>
        </w:rPr>
        <w:t xml:space="preserve"> </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截止2024年底，实际共有固定资产价值85.3</w:t>
      </w:r>
      <w:r>
        <w:rPr>
          <w:rFonts w:hint="eastAsia" w:ascii="仿宋_GB2312" w:eastAsia="仿宋_GB2312"/>
          <w:sz w:val="32"/>
          <w:szCs w:val="32"/>
          <w:lang w:eastAsia="zh-CN"/>
        </w:rPr>
        <w:t>万元：其中：公务用车</w:t>
      </w:r>
      <w:r>
        <w:rPr>
          <w:rFonts w:ascii="仿宋_GB2312" w:eastAsia="仿宋_GB2312" w:cs="仿宋_GB2312"/>
          <w:color w:val="333333"/>
          <w:sz w:val="32"/>
          <w:szCs w:val="32"/>
          <w:shd w:val="clear" w:color="auto" w:fill="FFFFFF"/>
        </w:rPr>
        <w:t>其中：公务用车</w:t>
      </w:r>
      <w:r>
        <w:rPr>
          <w:rFonts w:hint="eastAsia" w:ascii="仿宋_GB2312" w:eastAsia="仿宋_GB2312" w:cs="仿宋_GB2312"/>
          <w:color w:val="333333"/>
          <w:sz w:val="32"/>
          <w:szCs w:val="32"/>
          <w:shd w:val="clear" w:color="auto" w:fill="FFFFFF"/>
        </w:rPr>
        <w:t>29.4万元，科普大篷车34万元。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right="0"/>
        <w:jc w:val="left"/>
        <w:textAlignment w:val="auto"/>
        <w:rPr>
          <w:rFonts w:hint="eastAsia" w:ascii="楷体_GB2312" w:eastAsia="楷体_GB2312" w:cs="楷体_GB2312"/>
          <w:b/>
          <w:bCs/>
          <w:color w:val="333333"/>
          <w:kern w:val="0"/>
          <w:sz w:val="32"/>
          <w:szCs w:val="32"/>
          <w:shd w:val="clear" w:color="auto" w:fill="FFFFFF"/>
          <w:lang w:val="en-US" w:eastAsia="zh-CN"/>
        </w:rPr>
      </w:pPr>
      <w:r>
        <w:rPr>
          <w:rFonts w:hint="eastAsia" w:ascii="楷体_GB2312" w:eastAsia="楷体_GB2312" w:cs="楷体_GB2312"/>
          <w:b/>
          <w:bCs/>
          <w:color w:val="333333"/>
          <w:kern w:val="0"/>
          <w:sz w:val="32"/>
          <w:szCs w:val="32"/>
          <w:shd w:val="clear" w:color="auto" w:fill="FFFFFF"/>
          <w:lang w:val="en-US" w:eastAsia="zh-CN"/>
        </w:rPr>
        <w:t>（三）绩效目标设置情况</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outlineLvl w:val="9"/>
        <w:rPr>
          <w:rFonts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绩效目标是预算编制的前提和基础，按照“费随事定”的原则，2025年我单位项目支出按要求编制了绩效目标，从项目完成、项目效益、满意度等。</w:t>
      </w:r>
    </w:p>
    <w:p>
      <w:pPr>
        <w:keepNext w:val="0"/>
        <w:keepLines w:val="0"/>
        <w:pageBreakBefore w:val="0"/>
        <w:widowControl w:val="0"/>
        <w:kinsoku/>
        <w:wordWrap/>
        <w:overflowPunct/>
        <w:topLinePunct w:val="0"/>
        <w:autoSpaceDE/>
        <w:autoSpaceDN/>
        <w:bidi w:val="0"/>
        <w:spacing w:line="560" w:lineRule="exact"/>
        <w:ind w:left="640" w:right="0" w:hanging="640" w:hangingChars="200"/>
        <w:textAlignment w:val="auto"/>
        <w:rPr>
          <w:rFonts w:hint="eastAsia" w:ascii="仿宋_GB2312" w:eastAsia="仿宋_GB2312"/>
          <w:sz w:val="32"/>
          <w:szCs w:val="32"/>
          <w:lang w:val="en-US" w:eastAsia="zh-CN"/>
        </w:rPr>
      </w:pPr>
      <w:r>
        <w:rPr>
          <w:rFonts w:hint="eastAsia" w:ascii="黑体" w:eastAsia="黑体" w:cs="黑体"/>
          <w:color w:val="333333"/>
          <w:kern w:val="0"/>
          <w:sz w:val="32"/>
          <w:szCs w:val="32"/>
          <w:shd w:val="clear" w:color="auto" w:fill="FFFFFF"/>
          <w:lang w:val="en-US" w:eastAsia="zh-CN"/>
        </w:rPr>
        <w:t xml:space="preserve">    十、名词解释</w:t>
      </w:r>
      <w:r>
        <w:rPr>
          <w:rFonts w:hint="eastAsia" w:asci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spacing w:line="560" w:lineRule="exact"/>
        <w:ind w:right="0" w:firstLine="640" w:firstLineChars="200"/>
        <w:textAlignment w:val="auto"/>
        <w:rPr>
          <w:rFonts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spacing w:line="560" w:lineRule="exact"/>
        <w:ind w:right="0"/>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表13.部门项目支出绩效目标表（2025年度）</w:t>
      </w:r>
    </w:p>
    <w:p>
      <w:pPr>
        <w:spacing w:line="560" w:lineRule="exact"/>
        <w:ind w:left="5440" w:hanging="5440" w:hangingChars="1700"/>
        <w:rPr>
          <w:rFonts w:hint="eastAsia" w:ascii="仿宋_GB2312" w:eastAsia="仿宋_GB2312" w:cs="宋体"/>
          <w:color w:val="000000"/>
          <w:kern w:val="0"/>
          <w:sz w:val="32"/>
          <w:szCs w:val="32"/>
          <w:shd w:val="clear" w:color="auto" w:fill="FFFFFF"/>
          <w:lang w:val="en-US" w:eastAsia="zh-CN"/>
        </w:rPr>
      </w:pPr>
    </w:p>
    <w:p>
      <w:pPr>
        <w:spacing w:line="560" w:lineRule="exact"/>
        <w:ind w:firstLine="3040" w:firstLineChars="950"/>
        <w:jc w:val="right"/>
        <w:rPr>
          <w:rFonts w:ascii="仿宋_GB2312" w:eastAsia="仿宋_GB2312" w:cs="宋体"/>
          <w:color w:val="000000"/>
          <w:kern w:val="0"/>
          <w:sz w:val="32"/>
          <w:szCs w:val="32"/>
          <w:shd w:val="clear" w:color="auto" w:fill="FFFFFF"/>
          <w:lang w:val="en-US" w:eastAsia="zh-CN"/>
        </w:rPr>
      </w:pPr>
    </w:p>
    <w:p>
      <w:pPr>
        <w:pStyle w:val="2"/>
      </w:pPr>
      <w:bookmarkStart w:id="0" w:name="_GoBack"/>
      <w:bookmarkEnd w:id="0"/>
    </w:p>
    <w:sectPr>
      <w:pgSz w:w="11906" w:h="16838"/>
      <w:pgMar w:top="1440" w:right="1800" w:bottom="1440" w:left="1800" w:header="851" w:footer="992" w:gutter="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17D6F"/>
    <w:multiLevelType w:val="singleLevel"/>
    <w:tmpl w:val="5A717D6F"/>
    <w:lvl w:ilvl="0" w:tentative="0">
      <w:start w:val="4"/>
      <w:numFmt w:val="chineseCounting"/>
      <w:suff w:val="nothing"/>
      <w:lvlText w:val="%1、"/>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1B1169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Arial"/>
      <w:kern w:val="2"/>
      <w:sz w:val="21"/>
      <w:szCs w:val="24"/>
      <w:lang w:val="en-US" w:eastAsia="zh-CN" w:bidi="ar-SA"/>
    </w:rPr>
  </w:style>
  <w:style w:type="paragraph" w:styleId="4">
    <w:name w:val="heading 1"/>
    <w:basedOn w:val="1"/>
    <w:next w:val="1"/>
    <w:uiPriority w:val="0"/>
    <w:pPr>
      <w:keepNext/>
      <w:keepLines/>
      <w:widowControl w:val="0"/>
      <w:spacing w:before="340" w:after="330" w:line="578" w:lineRule="auto"/>
      <w:outlineLvl w:val="0"/>
    </w:pPr>
    <w:rPr>
      <w:b/>
      <w:bCs/>
      <w:kern w:val="44"/>
      <w:sz w:val="44"/>
    </w:rPr>
  </w:style>
  <w:style w:type="paragraph" w:styleId="5">
    <w:name w:val="heading 2"/>
    <w:basedOn w:val="1"/>
    <w:next w:val="1"/>
    <w:uiPriority w:val="0"/>
    <w:pPr>
      <w:keepNext/>
      <w:keepLines/>
      <w:widowControl w:val="0"/>
      <w:spacing w:before="260" w:after="260" w:line="415" w:lineRule="auto"/>
      <w:outlineLvl w:val="1"/>
    </w:pPr>
    <w:rPr>
      <w:rFonts w:ascii="Times New Roman" w:hAnsi="Times New Roman" w:eastAsia="黑体"/>
      <w:b/>
      <w:sz w:val="32"/>
    </w:rPr>
  </w:style>
  <w:style w:type="paragraph" w:styleId="6">
    <w:name w:val="heading 3"/>
    <w:basedOn w:val="1"/>
    <w:next w:val="1"/>
    <w:uiPriority w:val="0"/>
    <w:pPr>
      <w:keepNext/>
      <w:keepLines/>
      <w:widowControl w:val="0"/>
      <w:spacing w:before="260" w:after="260" w:line="415" w:lineRule="auto"/>
      <w:outlineLvl w:val="2"/>
    </w:pPr>
    <w:rPr>
      <w:b/>
      <w:sz w:val="32"/>
    </w:rPr>
  </w:style>
  <w:style w:type="character" w:default="1" w:styleId="11">
    <w:name w:val="Default Paragraph Font"/>
    <w:uiPriority w:val="0"/>
  </w:style>
  <w:style w:type="table" w:default="1" w:styleId="10">
    <w:name w:val="Normal Table"/>
    <w:semiHidden/>
    <w:uiPriority w:val="0"/>
    <w:tblPr>
      <w:tblLayout w:type="fixed"/>
      <w:tblCellMar>
        <w:top w:w="0" w:type="dxa"/>
        <w:left w:w="108" w:type="dxa"/>
        <w:bottom w:w="0" w:type="dxa"/>
        <w:right w:w="108" w:type="dxa"/>
      </w:tblCellMar>
    </w:tblPr>
  </w:style>
  <w:style w:type="paragraph" w:styleId="2">
    <w:name w:val="Body Text First Indent 2"/>
    <w:basedOn w:val="3"/>
    <w:next w:val="1"/>
    <w:qFormat/>
    <w:uiPriority w:val="0"/>
  </w:style>
  <w:style w:type="paragraph" w:styleId="3">
    <w:name w:val="Body Text Indent"/>
    <w:basedOn w:val="1"/>
    <w:next w:val="2"/>
    <w:uiPriority w:val="0"/>
    <w:pPr>
      <w:ind w:firstLine="200" w:firstLineChars="200"/>
    </w:pPr>
    <w:rPr>
      <w:rFonts w:eastAsia="仿宋_GB2312"/>
    </w:rPr>
  </w:style>
  <w:style w:type="paragraph" w:styleId="7">
    <w:name w:val="Body Text"/>
    <w:basedOn w:val="1"/>
    <w:uiPriority w:val="0"/>
    <w:pPr>
      <w:spacing w:before="30" w:beforeLines="30"/>
    </w:pPr>
    <w:rPr>
      <w:rFonts w:ascii="仿宋_GB2312" w:eastAsia="仿宋_GB2312"/>
      <w:sz w:val="30"/>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rPr>
  </w:style>
  <w:style w:type="character" w:styleId="12">
    <w:name w:val="page number"/>
    <w:basedOn w:val="11"/>
    <w:qFormat/>
    <w:uiPriority w:val="0"/>
  </w:style>
  <w:style w:type="character" w:customStyle="1" w:styleId="13">
    <w:name w:val="NormalCharact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2323</Words>
  <Characters>2519</Characters>
  <Lines>143</Lines>
  <Paragraphs>60</Paragraphs>
  <TotalTime>11</TotalTime>
  <ScaleCrop>false</ScaleCrop>
  <LinksUpToDate>false</LinksUpToDate>
  <CharactersWithSpaces>2608</CharactersWithSpaces>
  <Application>WPS Office_11.8.2.8696_F1E327BC-269C-435d-A152-05C5408002CA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Administrator</cp:lastModifiedBy>
  <cp:lastPrinted>2025-06-03T08:58:00Z</cp:lastPrinted>
  <dcterms:modified xsi:type="dcterms:W3CDTF">2025-06-04T01:21:53Z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KSOTemplateDocerSaveRecord">
    <vt:lpwstr>eyJoZGlkIjoiMjU1MTg4ZDhmODFiZWE0NzE3OGU0MWQ4YzJjZjU4MjIifQ==</vt:lpwstr>
  </property>
  <property fmtid="{D5CDD505-2E9C-101B-9397-08002B2CF9AE}" pid="4" name="ICV">
    <vt:lpwstr>9CB260CBC47D470E955F5BF808DF38B7_13</vt:lpwstr>
  </property>
</Properties>
</file>