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0" w:name="_GoBack"/>
      <w:r>
        <w:rPr>
          <w:rFonts w:hint="eastAsia" w:ascii="宋体" w:hAnsi="宋体" w:eastAsia="宋体" w:cs="宋体"/>
          <w:kern w:val="0"/>
          <w:sz w:val="42"/>
          <w:szCs w:val="42"/>
          <w:shd w:val="clear" w:fill="FFFFFF"/>
        </w:rPr>
        <w:t>2022年度</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42"/>
          <w:szCs w:val="42"/>
          <w:shd w:val="clear" w:fill="FFFFFF"/>
        </w:rPr>
        <w:t>阿坝州红原县科学技术协会部门决算</w:t>
      </w:r>
    </w:p>
    <w:bookmarkEnd w:id="0"/>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42"/>
          <w:szCs w:val="42"/>
          <w:shd w:val="clear" w:fill="FFFFFF"/>
        </w:rPr>
        <w:t>(部门公开范本)</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已经保密审查、内容审定，同意对外公开</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目录</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公开时间：2023年11月1日</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第一部分 部门概况</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一、基本职能及主要工作</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二、机构设置</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第二部分 2022年度部门决算情况说明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一、收入支出决算总体情况说明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二、收入决算情况说明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三、支出决算情况说明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四、财政拨款收入支出决算总体情况说明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五、一般公共预算财政拨款支出决算情况说明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六、一般公共预算财政拨款基本支出决算情况说明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七、财政拨款“三公”经费支出决算情况说明</w:t>
      </w:r>
    </w:p>
    <w:p>
      <w:pPr>
        <w:pStyle w:val="24"/>
        <w:keepNext w:val="0"/>
        <w:keepLines w:val="0"/>
        <w:widowControl/>
        <w:suppressLineNumbers w:val="0"/>
        <w:spacing w:before="0" w:beforeAutospacing="0"/>
        <w:ind w:left="42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八、政府性基金预算支出决算情况说明</w:t>
      </w:r>
    </w:p>
    <w:p>
      <w:pPr>
        <w:pStyle w:val="24"/>
        <w:keepNext w:val="0"/>
        <w:keepLines w:val="0"/>
        <w:widowControl/>
        <w:suppressLineNumbers w:val="0"/>
        <w:spacing w:before="0" w:beforeAutospacing="0"/>
        <w:ind w:left="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九、国有资本经营预算支出决算情况说明</w:t>
      </w:r>
    </w:p>
    <w:p>
      <w:pPr>
        <w:pStyle w:val="24"/>
        <w:keepNext w:val="0"/>
        <w:keepLines w:val="0"/>
        <w:widowControl/>
        <w:suppressLineNumbers w:val="0"/>
        <w:spacing w:before="0" w:beforeAutospacing="0"/>
        <w:ind w:left="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十、其他重要事项的情况说明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第三部分 名词解释</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第四部分 附件</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第五部分 附表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一、收入支出决算总表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二、收入决算表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三、支出决算表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四、财政拨款收入支出决算总表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五、财政拨款支出决算明细表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六、一般公共预算财政拨款支出决算表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七、一般公共预算财政拨款支出决算明细表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八、一般公共预算财政拨款基本支出决算表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九、一般公共预算财政拨款项目支出决算表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十、政府性基金预算财政拨款收入支出决算表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十一、国有资本经营预算财政拨款收入支出决算表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十二、国有资本经营预算财政拨款支出决算表</w:t>
      </w:r>
    </w:p>
    <w:p>
      <w:pPr>
        <w:pStyle w:val="24"/>
        <w:keepNext w:val="0"/>
        <w:keepLines w:val="0"/>
        <w:widowControl/>
        <w:suppressLineNumbers w:val="0"/>
        <w:spacing w:before="0" w:beforeAutospacing="0"/>
        <w:ind w:left="42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十三、财政拨款“三公”经费支出决算表</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shd w:val="clear" w:fill="FFFFFF"/>
        </w:rPr>
      </w:pPr>
      <w:r>
        <w:rPr>
          <w:rFonts w:hint="eastAsia" w:ascii="宋体" w:hAnsi="宋体" w:eastAsia="宋体" w:cs="宋体"/>
          <w:b/>
          <w:kern w:val="44"/>
          <w:sz w:val="48"/>
          <w:szCs w:val="48"/>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rPr>
      </w:pPr>
      <w:r>
        <w:rPr>
          <w:rFonts w:hint="eastAsia" w:ascii="宋体" w:hAnsi="宋体" w:eastAsia="宋体" w:cs="宋体"/>
          <w:b/>
          <w:kern w:val="44"/>
          <w:sz w:val="48"/>
          <w:szCs w:val="48"/>
          <w:shd w:val="clear" w:fill="FFFFFF"/>
        </w:rPr>
        <w:t>第一部分 部门概况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一、基本职能及主要工作</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（一）主要职能。</w:t>
      </w:r>
      <w:r>
        <w:rPr>
          <w:rFonts w:hint="eastAsia" w:ascii="宋体" w:hAnsi="宋体" w:eastAsia="宋体" w:cs="宋体"/>
          <w:i w:val="0"/>
          <w:color w:val="000000"/>
          <w:kern w:val="0"/>
          <w:sz w:val="24"/>
          <w:szCs w:val="24"/>
        </w:rPr>
        <w:t>当好党和政府发展科技事业的助手，进一步搞好科技工作者服务工作；加强科技普及工作；为提高全面科技文化素质服务，为社会主义精神文明建设服务，进一步做好基层组织、下级组织的服务工作，实行群众办公、民主办公、加强科学协会自身体制作风改革；加强农村科普网络的建立，搞好协会的协调管理工作。</w:t>
      </w:r>
      <w:r>
        <w:rPr>
          <w:rFonts w:hint="eastAsia" w:ascii="宋体" w:hAnsi="宋体" w:eastAsia="宋体" w:cs="宋体"/>
          <w:kern w:val="0"/>
          <w:sz w:val="24"/>
          <w:szCs w:val="24"/>
          <w:shd w:val="clear" w:fill="FFFFFF"/>
        </w:rPr>
        <w:t>（职能参照州政府批准的三定方案）</w:t>
      </w:r>
    </w:p>
    <w:p>
      <w:pPr>
        <w:keepNext w:val="0"/>
        <w:keepLines w:val="0"/>
        <w:widowControl/>
        <w:suppressLineNumbers w:val="0"/>
        <w:jc w:val="both"/>
        <w:textAlignment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（二）2022年重点工作完成情况。</w:t>
      </w:r>
    </w:p>
    <w:p>
      <w:pPr>
        <w:keepNext w:val="0"/>
        <w:keepLines w:val="0"/>
        <w:widowControl/>
        <w:suppressLineNumbers w:val="0"/>
        <w:jc w:val="both"/>
        <w:textAlignment w:val="center"/>
        <w:rPr>
          <w:rFonts w:hint="eastAsia" w:ascii="宋体" w:hAnsi="宋体" w:eastAsia="宋体" w:cs="宋体"/>
          <w:b/>
          <w:i w:val="0"/>
          <w:color w:val="000000"/>
          <w:kern w:val="0"/>
          <w:sz w:val="24"/>
          <w:szCs w:val="24"/>
        </w:rPr>
      </w:pPr>
      <w:r>
        <w:rPr>
          <w:rFonts w:hint="eastAsia" w:ascii="宋体" w:hAnsi="宋体" w:eastAsia="宋体" w:cs="宋体"/>
          <w:b/>
          <w:i w:val="0"/>
          <w:color w:val="000000"/>
          <w:kern w:val="0"/>
          <w:sz w:val="24"/>
          <w:szCs w:val="24"/>
        </w:rPr>
        <w:t>1.着力实施“科普惠农兴村计划”。</w:t>
      </w:r>
      <w:r>
        <w:rPr>
          <w:rStyle w:val="19"/>
          <w:rFonts w:hint="eastAsia" w:ascii="宋体" w:hAnsi="宋体" w:eastAsia="宋体" w:cs="宋体"/>
          <w:color w:val="000000"/>
          <w:sz w:val="24"/>
          <w:szCs w:val="24"/>
        </w:rPr>
        <w:t>科普惠农兴村计划项目是一项惠民、利民工程，也是县科协的一项重点工作。为认真做好该项工作，</w:t>
      </w:r>
      <w:r>
        <w:rPr>
          <w:rStyle w:val="17"/>
          <w:rFonts w:hint="eastAsia" w:ascii="宋体" w:hAnsi="宋体" w:eastAsia="宋体" w:cs="宋体"/>
          <w:color w:val="000000"/>
          <w:sz w:val="24"/>
          <w:szCs w:val="24"/>
        </w:rPr>
        <w:t>积极向省、州科协申报项目，加强项目的跟踪和落实，力争更多“科普惠农兴村计划”项目落户红原，体现科技支撑。</w:t>
      </w:r>
    </w:p>
    <w:p>
      <w:pPr>
        <w:keepNext w:val="0"/>
        <w:keepLines w:val="0"/>
        <w:widowControl/>
        <w:suppressLineNumbers w:val="0"/>
        <w:jc w:val="both"/>
        <w:textAlignment w:val="center"/>
        <w:rPr>
          <w:rFonts w:hint="eastAsia" w:ascii="宋体" w:hAnsi="宋体" w:eastAsia="宋体" w:cs="宋体"/>
          <w:b/>
          <w:i w:val="0"/>
          <w:color w:val="000000"/>
          <w:kern w:val="0"/>
          <w:sz w:val="24"/>
          <w:szCs w:val="24"/>
        </w:rPr>
      </w:pPr>
      <w:r>
        <w:rPr>
          <w:rFonts w:hint="eastAsia" w:ascii="宋体" w:hAnsi="宋体" w:eastAsia="宋体" w:cs="宋体"/>
          <w:b/>
          <w:i w:val="0"/>
          <w:color w:val="000000"/>
          <w:kern w:val="0"/>
          <w:sz w:val="24"/>
          <w:szCs w:val="24"/>
        </w:rPr>
        <w:t>2、狠抓“天府科技云服务”普及工作。“</w:t>
      </w:r>
      <w:r>
        <w:rPr>
          <w:rStyle w:val="17"/>
          <w:rFonts w:hint="eastAsia" w:ascii="宋体" w:hAnsi="宋体" w:eastAsia="宋体" w:cs="宋体"/>
          <w:color w:val="000000"/>
          <w:sz w:val="24"/>
          <w:szCs w:val="24"/>
        </w:rPr>
        <w:t>结合四川省“天府科技云”APP 注册工作，深入全县企事业单位、乡镇、基层农技协，开展现场指导注册天府科技云、发放宣传资料、一对一宣传讲解天府科技云服务工作，帮助全县科技工作者和企事业单位搭建有效交流平台，实现线上线下交易2起，成交金额10万元，天府科技云APP已注册个人用户2055人，企事业单位12家、科创工作室12家、完成一单一策保姆服务12单。</w:t>
      </w:r>
    </w:p>
    <w:p>
      <w:pPr>
        <w:keepNext w:val="0"/>
        <w:keepLines w:val="0"/>
        <w:widowControl/>
        <w:suppressLineNumbers w:val="0"/>
        <w:jc w:val="both"/>
        <w:textAlignment w:val="center"/>
        <w:rPr>
          <w:rFonts w:hint="eastAsia" w:ascii="宋体" w:hAnsi="宋体" w:eastAsia="宋体" w:cs="宋体"/>
          <w:b/>
          <w:i w:val="0"/>
          <w:color w:val="000000"/>
          <w:kern w:val="0"/>
          <w:sz w:val="24"/>
          <w:szCs w:val="24"/>
        </w:rPr>
      </w:pPr>
      <w:r>
        <w:rPr>
          <w:rFonts w:hint="eastAsia" w:ascii="宋体" w:hAnsi="宋体" w:eastAsia="宋体" w:cs="宋体"/>
          <w:b/>
          <w:i w:val="0"/>
          <w:color w:val="000000"/>
          <w:kern w:val="0"/>
          <w:sz w:val="24"/>
          <w:szCs w:val="24"/>
        </w:rPr>
        <w:t>3、大力开展科普宣传活动。</w:t>
      </w:r>
      <w:r>
        <w:rPr>
          <w:rStyle w:val="19"/>
          <w:rFonts w:hint="eastAsia" w:ascii="宋体" w:hAnsi="宋体" w:eastAsia="宋体" w:cs="宋体"/>
          <w:color w:val="000000"/>
          <w:sz w:val="24"/>
          <w:szCs w:val="24"/>
        </w:rPr>
        <w:t>上半年，结合科技之春、科普宣传月、全国科技工作者日等科普主题宣传活动6次，共发放《红原科普》《牦牛养殖技术》《防疫健康知识手册》《民族政策法规和民族知识手册》《安全生产手册》安全生产等相关法律法规宣传资料3000余份。大力宣传了疫情防控、农牧业实用技术、安全生产等方面的科普知识。同时，设立种植业技术、畜牧业养殖技术等咨询台。热情向前来咨询的群众解答科技、卫生、防疫等方面的问题。</w:t>
      </w:r>
    </w:p>
    <w:p>
      <w:pPr>
        <w:keepNext w:val="0"/>
        <w:keepLines w:val="0"/>
        <w:widowControl/>
        <w:suppressLineNumbers w:val="0"/>
        <w:jc w:val="both"/>
        <w:textAlignment w:val="center"/>
        <w:rPr>
          <w:rFonts w:hint="eastAsia" w:ascii="宋体" w:hAnsi="宋体" w:eastAsia="宋体" w:cs="宋体"/>
          <w:b/>
          <w:i w:val="0"/>
          <w:color w:val="000000"/>
          <w:kern w:val="0"/>
          <w:sz w:val="24"/>
          <w:szCs w:val="24"/>
        </w:rPr>
      </w:pPr>
      <w:r>
        <w:rPr>
          <w:rFonts w:hint="eastAsia" w:ascii="宋体" w:hAnsi="宋体" w:eastAsia="宋体" w:cs="宋体"/>
          <w:b/>
          <w:i w:val="0"/>
          <w:color w:val="000000"/>
          <w:kern w:val="0"/>
          <w:sz w:val="24"/>
          <w:szCs w:val="24"/>
        </w:rPr>
        <w:t>4、切实开展“两联一进”</w:t>
      </w:r>
      <w:r>
        <w:rPr>
          <w:rStyle w:val="19"/>
          <w:rFonts w:hint="eastAsia" w:ascii="宋体" w:hAnsi="宋体" w:eastAsia="宋体" w:cs="宋体"/>
          <w:color w:val="000000"/>
          <w:sz w:val="24"/>
          <w:szCs w:val="24"/>
        </w:rPr>
        <w:t>工作。根据红原县对两联一进工作具体要求，对联系户开展入户走访，了解社情民意、困难诉求收集，尽可能的解决联系户的实际困难和诉求，对不能解决的上报乡镇和有关部门，并做好追踪和反馈工作；对联系村进行多次对接，对联系村（加当村）自来水缺水、水量不够等问题进行实地查看，对存在的问题报所在乡镇，并对接县水务局予以解决，夏季水源已解决，冬季饮水问题已纳入县级部门工作计划。县科协深入结对联系的康玛尔寺庙慰问2名联系僧人，并发放大米、面粉、清油等生活用品，同时向联系僧人宣传了坚持正确健康的宗教理念，为推动寺庙民主管理规范化、精细化做出努力。</w:t>
      </w:r>
    </w:p>
    <w:p>
      <w:pPr>
        <w:keepNext w:val="0"/>
        <w:keepLines w:val="0"/>
        <w:widowControl/>
        <w:suppressLineNumbers w:val="0"/>
        <w:rPr>
          <w:rFonts w:hint="eastAsia" w:ascii="宋体" w:hAnsi="宋体" w:eastAsia="宋体" w:cs="宋体"/>
          <w:b/>
          <w:i w:val="0"/>
          <w:color w:val="000000"/>
          <w:kern w:val="0"/>
          <w:sz w:val="36"/>
          <w:szCs w:val="36"/>
        </w:rPr>
      </w:pPr>
      <w:r>
        <w:rPr>
          <w:rFonts w:hint="eastAsia" w:ascii="宋体" w:hAnsi="宋体" w:eastAsia="宋体" w:cs="宋体"/>
          <w:b/>
          <w:i w:val="0"/>
          <w:color w:val="000000"/>
          <w:kern w:val="0"/>
          <w:sz w:val="36"/>
          <w:szCs w:val="36"/>
        </w:rPr>
        <w:t xml:space="preserve"> </w:t>
      </w:r>
    </w:p>
    <w:p>
      <w:pPr>
        <w:keepNext w:val="0"/>
        <w:keepLines w:val="0"/>
        <w:widowControl/>
        <w:suppressLineNumbers w:val="0"/>
        <w:rPr>
          <w:rFonts w:hint="eastAsia" w:ascii="宋体" w:hAnsi="宋体" w:eastAsia="宋体" w:cs="宋体"/>
          <w:i w:val="0"/>
          <w:color w:val="000000"/>
          <w:kern w:val="0"/>
          <w:sz w:val="22"/>
          <w:szCs w:val="22"/>
        </w:rPr>
      </w:pPr>
      <w:r>
        <w:rPr>
          <w:rFonts w:hint="eastAsia" w:ascii="宋体" w:hAnsi="宋体" w:eastAsia="宋体" w:cs="宋体"/>
          <w:b/>
          <w:i w:val="0"/>
          <w:color w:val="000000"/>
          <w:kern w:val="0"/>
          <w:sz w:val="36"/>
          <w:szCs w:val="36"/>
        </w:rPr>
        <w:t>二、机构设置</w:t>
      </w:r>
    </w:p>
    <w:p>
      <w:pPr>
        <w:keepNext w:val="0"/>
        <w:keepLines w:val="0"/>
        <w:widowControl/>
        <w:suppressLineNumbers w:val="0"/>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红原县科学技术协会属行政单位，下属二级单位1个。</w:t>
      </w:r>
    </w:p>
    <w:p>
      <w:pPr>
        <w:keepNext w:val="0"/>
        <w:keepLines w:val="0"/>
        <w:widowControl/>
        <w:suppressLineNumbers w:val="0"/>
        <w:jc w:val="both"/>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二级单位：红原县民族科普中心。</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i w:val="0"/>
          <w:color w:val="000000"/>
          <w:kern w:val="0"/>
          <w:sz w:val="24"/>
          <w:szCs w:val="24"/>
        </w:rPr>
        <w:t>红原县科学技术协会为独立核算全额拨款行政单位，下设民族科普中心。截止2022年底我单位共有编制7个，其中公务员编制3个，行政工勤编制1个，事业编制3个；在职9人，其中行政工勤1人，公务员5人，参公5人，事业编制3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
        <w:keepNext w:val="0"/>
        <w:keepLines w:val="0"/>
        <w:widowControl/>
        <w:suppressLineNumbers w:val="0"/>
        <w:spacing w:before="0" w:beforeAutospacing="0"/>
        <w:ind w:left="0"/>
        <w:jc w:val="center"/>
        <w:rPr>
          <w:rFonts w:hint="eastAsia" w:ascii="宋体" w:hAnsi="宋体" w:eastAsia="宋体" w:cs="宋体"/>
          <w:b/>
          <w:kern w:val="44"/>
          <w:sz w:val="48"/>
          <w:szCs w:val="48"/>
        </w:rPr>
      </w:pPr>
      <w:r>
        <w:rPr>
          <w:rFonts w:hint="eastAsia" w:ascii="宋体" w:hAnsi="宋体" w:eastAsia="宋体" w:cs="宋体"/>
          <w:b/>
          <w:kern w:val="44"/>
          <w:sz w:val="48"/>
          <w:szCs w:val="48"/>
          <w:shd w:val="clear" w:fill="FFFFFF"/>
        </w:rPr>
        <w:t>第二部分 2022年度部门决算情况说明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一、收入支出决算总体情况说明</w:t>
      </w:r>
    </w:p>
    <w:p>
      <w:pPr>
        <w:pStyle w:val="24"/>
        <w:keepNext w:val="0"/>
        <w:keepLines w:val="0"/>
        <w:widowControl/>
        <w:suppressLineNumbers w:val="0"/>
        <w:spacing w:before="0" w:beforeAutospacing="0"/>
        <w:ind w:left="0"/>
        <w:jc w:val="left"/>
        <w:rPr>
          <w:rFonts w:hint="eastAsia" w:ascii="宋体" w:hAnsi="宋体" w:eastAsia="宋体" w:cs="宋体"/>
          <w:i w:val="0"/>
          <w:color w:val="000000"/>
          <w:kern w:val="0"/>
          <w:sz w:val="24"/>
          <w:szCs w:val="24"/>
        </w:rPr>
      </w:pPr>
      <w:r>
        <w:rPr>
          <w:rFonts w:hint="eastAsia" w:ascii="宋体" w:hAnsi="宋体" w:eastAsia="宋体" w:cs="宋体"/>
          <w:kern w:val="0"/>
          <w:sz w:val="24"/>
          <w:szCs w:val="24"/>
          <w:shd w:val="clear" w:fill="FFFFFF"/>
        </w:rPr>
        <w:t>2</w:t>
      </w:r>
      <w:r>
        <w:rPr>
          <w:rFonts w:hint="eastAsia" w:ascii="宋体" w:hAnsi="宋体" w:eastAsia="宋体" w:cs="宋体"/>
          <w:i w:val="0"/>
          <w:color w:val="000000"/>
          <w:kern w:val="0"/>
          <w:sz w:val="24"/>
          <w:szCs w:val="24"/>
        </w:rPr>
        <w:t>022年度收、支总计232.82万元。与2021年相比，收、支总计各增加-4.17万元，增长-1.76%。主要变动原因是科普大篷车的相应增加。</w:t>
      </w:r>
      <w:r>
        <w:drawing>
          <wp:inline distT="0" distB="0" distL="114300" distR="114300">
            <wp:extent cx="2238375" cy="1504950"/>
            <wp:effectExtent l="0" t="0" r="9525" b="0"/>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4"/>
                    <a:stretch>
                      <a:fillRect/>
                    </a:stretch>
                  </pic:blipFill>
                  <pic:spPr>
                    <a:xfrm>
                      <a:off x="0" y="0"/>
                      <a:ext cx="2238375" cy="1504950"/>
                    </a:xfrm>
                    <a:prstGeom prst="rect">
                      <a:avLst/>
                    </a:prstGeom>
                    <a:noFill/>
                    <a:ln w="9525">
                      <a:noFill/>
                    </a:ln>
                  </pic:spPr>
                </pic:pic>
              </a:graphicData>
            </a:graphic>
          </wp:inline>
        </w:drawing>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（图1：收、支决算总计变动情况图）（柱状图）</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收入决算情况说明</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本年收入合计232.82万元，其中：一般公共预算财政拨款收入232.82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rPr>
      </w:pPr>
      <w:r>
        <w:drawing>
          <wp:inline distT="0" distB="0" distL="114300" distR="114300">
            <wp:extent cx="3086100" cy="1762125"/>
            <wp:effectExtent l="0" t="0" r="0" b="9525"/>
            <wp:docPr id="2" name="图片 2"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true"/>
                    </pic:cNvPicPr>
                  </pic:nvPicPr>
                  <pic:blipFill>
                    <a:blip r:embed="rId5"/>
                    <a:stretch>
                      <a:fillRect/>
                    </a:stretch>
                  </pic:blipFill>
                  <pic:spPr>
                    <a:xfrm>
                      <a:off x="0" y="0"/>
                      <a:ext cx="3086100" cy="1762125"/>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p>
    <w:p>
      <w:pPr>
        <w:pStyle w:val="24"/>
        <w:keepNext w:val="0"/>
        <w:keepLines w:val="0"/>
        <w:widowControl/>
        <w:suppressLineNumbers w:val="0"/>
        <w:spacing w:before="0" w:beforeAutospacing="0"/>
        <w:ind w:left="0" w:right="0" w:rightChars="0" w:firstLine="240" w:firstLineChars="1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（图2：收入决算结构图）（饼状图）</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三、支出决算情况说明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2022年本年支出合计232.82万元，其中：基本支出220.82万元，占94.85%；项目支出12.00万元，占5.15%；上缴上级支出0.00万元，占0.00%；经营支出0.00万元，占经营支出0.00万元，占 0.00%；对附属单位补助支出0.00万元，占0.00%。</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drawing>
          <wp:inline distT="0" distB="0" distL="114300" distR="114300">
            <wp:extent cx="3133725" cy="1828800"/>
            <wp:effectExtent l="0" t="0" r="9525" b="0"/>
            <wp:docPr id="3" name="图片 3"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true"/>
                    </pic:cNvPicPr>
                  </pic:nvPicPr>
                  <pic:blipFill>
                    <a:blip r:embed="rId6"/>
                    <a:stretch>
                      <a:fillRect/>
                    </a:stretch>
                  </pic:blipFill>
                  <pic:spPr>
                    <a:xfrm>
                      <a:off x="0" y="0"/>
                      <a:ext cx="3133725" cy="1828800"/>
                    </a:xfrm>
                    <a:prstGeom prst="rect">
                      <a:avLst/>
                    </a:prstGeom>
                    <a:noFill/>
                    <a:ln w="9525">
                      <a:noFill/>
                    </a:ln>
                  </pic:spPr>
                </pic:pic>
              </a:graphicData>
            </a:graphic>
          </wp:inline>
        </w:drawing>
      </w: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（图3：支出决算结构图）（饼状图）</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四、财政拨款收入支出决算总体情况说明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2022年财政拨款收、支总计232.82万元。与2021年相比，财政拨款收、支总计各增加/减少-4.17万元，增长-1.76%。</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drawing>
          <wp:inline distT="0" distB="0" distL="114300" distR="114300">
            <wp:extent cx="3171825" cy="1857375"/>
            <wp:effectExtent l="0" t="0" r="9525" b="9525"/>
            <wp:docPr id="4" name="图片 4" descr="IMG_2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true"/>
                    </pic:cNvPicPr>
                  </pic:nvPicPr>
                  <pic:blipFill>
                    <a:blip r:embed="rId7"/>
                    <a:stretch>
                      <a:fillRect/>
                    </a:stretch>
                  </pic:blipFill>
                  <pic:spPr>
                    <a:xfrm>
                      <a:off x="0" y="0"/>
                      <a:ext cx="3171825" cy="1857375"/>
                    </a:xfrm>
                    <a:prstGeom prst="rect">
                      <a:avLst/>
                    </a:prstGeom>
                    <a:noFill/>
                    <a:ln w="9525">
                      <a:noFill/>
                    </a:ln>
                  </pic:spPr>
                </pic:pic>
              </a:graphicData>
            </a:graphic>
          </wp:inline>
        </w:drawing>
      </w: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（图4：财政拨款收、支决算总计变动情况）（柱状图）</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五、</w:t>
      </w:r>
      <w:r>
        <w:rPr>
          <w:rStyle w:val="21"/>
          <w:rFonts w:hint="eastAsia" w:ascii="宋体" w:hAnsi="宋体" w:eastAsia="宋体" w:cs="宋体"/>
          <w:b/>
          <w:shd w:val="clear" w:fill="FFFFFF"/>
        </w:rPr>
        <w:t>一</w:t>
      </w:r>
      <w:r>
        <w:rPr>
          <w:rFonts w:hint="eastAsia" w:ascii="宋体" w:hAnsi="宋体" w:eastAsia="宋体" w:cs="宋体"/>
          <w:kern w:val="0"/>
          <w:sz w:val="24"/>
          <w:szCs w:val="24"/>
          <w:shd w:val="clear" w:fill="FFFFFF"/>
        </w:rPr>
        <w:t>般公共预算财政拨款支出决算情况说明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（一）一般公共预算财政拨款支出决算总体情况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2022年一般公共预算财政拨款支出232.82万元，占本年支出合计的100.00%。与2021年相比，一般公共预算财政拨款支出增加-4.17万元，增长-1.76%。</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r>
        <w:drawing>
          <wp:inline distT="0" distB="0" distL="114300" distR="114300">
            <wp:extent cx="3171825" cy="1857375"/>
            <wp:effectExtent l="0" t="0" r="9525" b="9525"/>
            <wp:docPr id="5" name="图片 5" descr="IMG_2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true"/>
                    </pic:cNvPicPr>
                  </pic:nvPicPr>
                  <pic:blipFill>
                    <a:blip r:embed="rId7"/>
                    <a:stretch>
                      <a:fillRect/>
                    </a:stretch>
                  </pic:blipFill>
                  <pic:spPr>
                    <a:xfrm>
                      <a:off x="0" y="0"/>
                      <a:ext cx="3171825" cy="1857375"/>
                    </a:xfrm>
                    <a:prstGeom prst="rect">
                      <a:avLst/>
                    </a:prstGeom>
                    <a:noFill/>
                    <a:ln w="9525">
                      <a:noFill/>
                    </a:ln>
                  </pic:spPr>
                </pic:pic>
              </a:graphicData>
            </a:graphic>
          </wp:inline>
        </w:drawing>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（图5：一般公共预算财政拨款支出决算变动情况）（柱状图）</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（二）一般公共预算财政拨款支出决算结构情况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2022年一般公共预算财政拨款支出232.82万元，主要用于以下方面:</w:t>
      </w:r>
      <w:r>
        <w:rPr>
          <w:rStyle w:val="21"/>
          <w:rFonts w:hint="eastAsia" w:ascii="宋体" w:hAnsi="宋体" w:eastAsia="宋体" w:cs="宋体"/>
          <w:b/>
          <w:shd w:val="clear" w:fill="FFFFFF"/>
        </w:rPr>
        <w:t>一般公共服务（类）</w:t>
      </w:r>
      <w:r>
        <w:rPr>
          <w:rFonts w:hint="eastAsia" w:ascii="宋体" w:hAnsi="宋体" w:eastAsia="宋体" w:cs="宋体"/>
          <w:kern w:val="0"/>
          <w:sz w:val="24"/>
          <w:szCs w:val="24"/>
          <w:shd w:val="clear" w:fill="FFFFFF"/>
        </w:rPr>
        <w:t>支出0.00万元，占0.00%；</w:t>
      </w:r>
      <w:r>
        <w:rPr>
          <w:rStyle w:val="21"/>
          <w:rFonts w:hint="eastAsia" w:ascii="宋体" w:hAnsi="宋体" w:eastAsia="宋体" w:cs="宋体"/>
          <w:b/>
          <w:shd w:val="clear" w:fill="FFFFFF"/>
        </w:rPr>
        <w:t>教育支出（类）</w:t>
      </w:r>
      <w:r>
        <w:rPr>
          <w:rFonts w:hint="eastAsia" w:ascii="宋体" w:hAnsi="宋体" w:eastAsia="宋体" w:cs="宋体"/>
          <w:kern w:val="0"/>
          <w:sz w:val="24"/>
          <w:szCs w:val="24"/>
          <w:shd w:val="clear" w:fill="FFFFFF"/>
        </w:rPr>
        <w:t>0.00万元，占0.00%；</w:t>
      </w:r>
      <w:r>
        <w:rPr>
          <w:rStyle w:val="21"/>
          <w:rFonts w:hint="eastAsia" w:ascii="宋体" w:hAnsi="宋体" w:eastAsia="宋体" w:cs="宋体"/>
          <w:b/>
          <w:shd w:val="clear" w:fill="FFFFFF"/>
        </w:rPr>
        <w:t>科学技术（类）</w:t>
      </w:r>
      <w:r>
        <w:rPr>
          <w:rFonts w:hint="eastAsia" w:ascii="宋体" w:hAnsi="宋体" w:eastAsia="宋体" w:cs="宋体"/>
          <w:kern w:val="0"/>
          <w:sz w:val="24"/>
          <w:szCs w:val="24"/>
          <w:shd w:val="clear" w:fill="FFFFFF"/>
        </w:rPr>
        <w:t>支出179.53万元，占77.11%；</w:t>
      </w:r>
      <w:r>
        <w:rPr>
          <w:rStyle w:val="21"/>
          <w:rFonts w:hint="eastAsia" w:ascii="宋体" w:hAnsi="宋体" w:eastAsia="宋体" w:cs="宋体"/>
          <w:b/>
          <w:shd w:val="clear" w:fill="FFFFFF"/>
        </w:rPr>
        <w:t>文化旅游体育与传媒（类）支出0.00万元，占0.00%；社会保障和就业（类）</w:t>
      </w:r>
      <w:r>
        <w:rPr>
          <w:rFonts w:hint="eastAsia" w:ascii="宋体" w:hAnsi="宋体" w:eastAsia="宋体" w:cs="宋体"/>
          <w:kern w:val="0"/>
          <w:sz w:val="24"/>
          <w:szCs w:val="24"/>
          <w:shd w:val="clear" w:fill="FFFFFF"/>
        </w:rPr>
        <w:t>支出27.33万元，占11.74%；</w:t>
      </w:r>
      <w:r>
        <w:rPr>
          <w:rStyle w:val="21"/>
          <w:rFonts w:hint="eastAsia" w:ascii="宋体" w:hAnsi="宋体" w:eastAsia="宋体" w:cs="宋体"/>
          <w:b/>
          <w:shd w:val="clear" w:fill="FFFFFF"/>
        </w:rPr>
        <w:t>卫生健康支出</w:t>
      </w:r>
      <w:r>
        <w:rPr>
          <w:rFonts w:hint="eastAsia" w:ascii="宋体" w:hAnsi="宋体" w:eastAsia="宋体" w:cs="宋体"/>
          <w:kern w:val="0"/>
          <w:sz w:val="24"/>
          <w:szCs w:val="24"/>
          <w:shd w:val="clear" w:fill="FFFFFF"/>
        </w:rPr>
        <w:t>11.26万元，占4.84%；住房保障支出14.69万元，占6.31%；</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drawing>
          <wp:inline distT="0" distB="0" distL="114300" distR="114300">
            <wp:extent cx="3286125" cy="2114550"/>
            <wp:effectExtent l="0" t="0" r="9525" b="0"/>
            <wp:docPr id="6" name="图片 6" descr="IMG_2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true"/>
                    </pic:cNvPicPr>
                  </pic:nvPicPr>
                  <pic:blipFill>
                    <a:blip r:embed="rId8"/>
                    <a:stretch>
                      <a:fillRect/>
                    </a:stretch>
                  </pic:blipFill>
                  <pic:spPr>
                    <a:xfrm>
                      <a:off x="0" y="0"/>
                      <a:ext cx="3286125" cy="2114550"/>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（图6：一般公共预算财政拨款支出决算结构）（饼状图）</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（三）一般公共预算财政拨款支出决算具体情况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2022年一般公共预算支出决算数为232.82</w:t>
      </w:r>
      <w:r>
        <w:rPr>
          <w:rFonts w:hint="eastAsia" w:ascii="宋体" w:hAnsi="宋体" w:eastAsia="宋体" w:cs="宋体"/>
          <w:kern w:val="0"/>
          <w:sz w:val="24"/>
          <w:szCs w:val="24"/>
          <w:shd w:val="clear" w:fill="FFFFFF"/>
        </w:rPr>
        <w:t>，</w:t>
      </w:r>
      <w:r>
        <w:rPr>
          <w:rStyle w:val="21"/>
          <w:rFonts w:hint="eastAsia" w:ascii="宋体" w:hAnsi="宋体" w:eastAsia="宋体" w:cs="宋体"/>
          <w:b/>
          <w:shd w:val="clear" w:fill="FFFFFF"/>
        </w:rPr>
        <w:t>完成预算100.00%。其中：</w:t>
      </w:r>
    </w:p>
    <w:p>
      <w:pPr>
        <w:pStyle w:val="24"/>
        <w:keepNext w:val="0"/>
        <w:keepLines w:val="0"/>
        <w:widowControl/>
        <w:numPr>
          <w:ilvl w:val="0"/>
          <w:numId w:val="1"/>
        </w:numPr>
        <w:suppressLineNumbers w:val="0"/>
        <w:spacing w:before="0" w:beforeAutospacing="0"/>
        <w:ind w:left="0" w:firstLine="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科学技术支出206（类）01（款）01（项）: 支出决算为122.4万元，完成预算100%。</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rPr>
      </w:pPr>
      <w:r>
        <w:rPr>
          <w:rStyle w:val="21"/>
          <w:rFonts w:hint="eastAsia" w:ascii="宋体" w:hAnsi="宋体" w:eastAsia="宋体" w:cs="宋体"/>
          <w:b/>
          <w:shd w:val="clear" w:fill="FFFFFF"/>
        </w:rPr>
        <w:t>2.社会科学206（类）06（款）99（项）: 支出决算为12万元，完成预算100%。</w:t>
      </w:r>
    </w:p>
    <w:p>
      <w:pPr>
        <w:pStyle w:val="24"/>
        <w:keepNext w:val="0"/>
        <w:keepLines w:val="0"/>
        <w:widowControl/>
        <w:suppressLineNumbers w:val="0"/>
        <w:spacing w:before="0" w:beforeAutospacing="0"/>
        <w:ind w:leftChars="0" w:right="0" w:rightChars="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3.科学技术206（类）07（款）99（项）: 支出决算为45.14万元，完成预算100%。</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rPr>
      </w:pPr>
      <w:r>
        <w:rPr>
          <w:rStyle w:val="21"/>
          <w:rFonts w:hint="eastAsia" w:ascii="宋体" w:hAnsi="宋体" w:eastAsia="宋体" w:cs="宋体"/>
          <w:b/>
          <w:shd w:val="clear" w:fill="FFFFFF"/>
        </w:rPr>
        <w:t>4.社会保障和就业208（类）05（款）05（项）: 支出决算为27.33万元，完成预算100%。</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5.社会保障和就业208（类）05（款）06（项）: 支出决算为27.33万元，完成预算100%。</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6.卫生健康210（类）11（款）11（项）:支出决算为11.26万元，完成预算100%。</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7.住房保障支出221（类）02（款）01（项）:支出决算为14.7万元，完成预算100%。</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六</w:t>
      </w:r>
      <w:r>
        <w:rPr>
          <w:rStyle w:val="21"/>
          <w:rFonts w:hint="eastAsia" w:ascii="宋体" w:hAnsi="宋体" w:eastAsia="宋体" w:cs="宋体"/>
          <w:b/>
          <w:shd w:val="clear" w:fill="FFFFFF"/>
        </w:rPr>
        <w:t>、一</w:t>
      </w:r>
      <w:r>
        <w:rPr>
          <w:rFonts w:hint="eastAsia" w:ascii="宋体" w:hAnsi="宋体" w:eastAsia="宋体" w:cs="宋体"/>
          <w:kern w:val="0"/>
          <w:sz w:val="24"/>
          <w:szCs w:val="24"/>
          <w:shd w:val="clear" w:fill="FFFFFF"/>
        </w:rPr>
        <w:t xml:space="preserve">般公共预算财政拨款基本支出决算情况说明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2022年一般公共预算财政拨款基本支出220.82万元，其中：</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人员经费197.23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公用经费23.59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七、“三公”经费财政拨款支出决算情况说明</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（一）“三公”经费财政拨款支出决算总体情况说明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2022年“三公”经费财政拨款支出决算为4.59万元，完成预算100.00%。</w:t>
      </w:r>
      <w:r>
        <w:rPr>
          <w:rStyle w:val="21"/>
          <w:rFonts w:hint="eastAsia" w:ascii="宋体" w:hAnsi="宋体" w:eastAsia="宋体" w:cs="宋体"/>
          <w:b/>
          <w:shd w:val="clear" w:fill="FFFFFF"/>
        </w:rPr>
        <w:t>（二）“三公”经费财政拨款支出决算具体情况说明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2022年“三公”经费财政拨款支出决算中，因公出国（境）费支出决算0.00万元，占0.00%；公务用车购置及运行维护费支出决算4.59万元，占100.00%；公务接待费支出决算0.00万元，占0.00%。具体情况如下：</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drawing>
          <wp:inline distT="0" distB="0" distL="114300" distR="114300">
            <wp:extent cx="2981325" cy="1809750"/>
            <wp:effectExtent l="0" t="0" r="9525" b="0"/>
            <wp:docPr id="7" name="图片 7" descr="IMG_2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true"/>
                    </pic:cNvPicPr>
                  </pic:nvPicPr>
                  <pic:blipFill>
                    <a:blip r:embed="rId9"/>
                    <a:stretch>
                      <a:fillRect/>
                    </a:stretch>
                  </pic:blipFill>
                  <pic:spPr>
                    <a:xfrm>
                      <a:off x="0" y="0"/>
                      <a:ext cx="2981325" cy="1809750"/>
                    </a:xfrm>
                    <a:prstGeom prst="rect">
                      <a:avLst/>
                    </a:prstGeom>
                    <a:noFill/>
                    <a:ln w="9525">
                      <a:noFill/>
                    </a:ln>
                  </pic:spPr>
                </pic:pic>
              </a:graphicData>
            </a:graphic>
          </wp:inline>
        </w:drawing>
      </w: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（图7：“三公”经费财政拨款支出结构）（饼状图）</w:t>
      </w:r>
    </w:p>
    <w:p>
      <w:pPr>
        <w:pStyle w:val="24"/>
        <w:keepNext w:val="0"/>
        <w:keepLines w:val="0"/>
        <w:widowControl/>
        <w:numPr>
          <w:ilvl w:val="0"/>
          <w:numId w:val="2"/>
        </w:numPr>
        <w:suppressLineNumbers w:val="0"/>
        <w:spacing w:before="0" w:beforeAutospacing="0"/>
        <w:ind w:left="0" w:firstLine="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因公出国（境）经费支出</w:t>
      </w:r>
      <w:r>
        <w:rPr>
          <w:rFonts w:hint="eastAsia" w:ascii="宋体" w:hAnsi="宋体" w:eastAsia="宋体" w:cs="宋体"/>
          <w:kern w:val="0"/>
          <w:sz w:val="24"/>
          <w:szCs w:val="24"/>
          <w:shd w:val="clear" w:fill="FFFFFF"/>
        </w:rPr>
        <w:t>0.00万元，</w:t>
      </w:r>
      <w:r>
        <w:rPr>
          <w:rStyle w:val="21"/>
          <w:rFonts w:hint="eastAsia" w:ascii="宋体" w:hAnsi="宋体" w:eastAsia="宋体" w:cs="宋体"/>
          <w:b/>
          <w:shd w:val="clear" w:fill="FFFFFF"/>
        </w:rPr>
        <w:t>完成预算0.00%。</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Style w:val="21"/>
          <w:rFonts w:hint="eastAsia" w:ascii="宋体" w:hAnsi="宋体" w:eastAsia="宋体" w:cs="宋体"/>
          <w:b/>
          <w:shd w:val="clear" w:fill="FFFFFF"/>
        </w:rPr>
        <w:t>2.公务用车购置及运行维护费支出</w:t>
      </w:r>
      <w:r>
        <w:rPr>
          <w:rFonts w:hint="eastAsia" w:ascii="宋体" w:hAnsi="宋体" w:eastAsia="宋体" w:cs="宋体"/>
          <w:kern w:val="0"/>
          <w:sz w:val="24"/>
          <w:szCs w:val="24"/>
          <w:shd w:val="clear" w:fill="FFFFFF"/>
        </w:rPr>
        <w:t>4.59万元,</w:t>
      </w:r>
      <w:r>
        <w:rPr>
          <w:rStyle w:val="21"/>
          <w:rFonts w:hint="eastAsia" w:ascii="宋体" w:hAnsi="宋体" w:eastAsia="宋体" w:cs="宋体"/>
          <w:b/>
          <w:shd w:val="clear" w:fill="FFFFFF"/>
        </w:rPr>
        <w:t>完成预算100.00%。</w:t>
      </w:r>
      <w:r>
        <w:rPr>
          <w:rFonts w:hint="eastAsia" w:ascii="宋体" w:hAnsi="宋体" w:eastAsia="宋体" w:cs="宋体"/>
          <w:kern w:val="0"/>
          <w:sz w:val="24"/>
          <w:szCs w:val="24"/>
          <w:shd w:val="clear" w:fill="FFFFFF"/>
        </w:rPr>
        <w:t>公务用车购置及运行维护费支出决算比2021年增加-5.01万元，增长-52.19%。其中：</w:t>
      </w:r>
      <w:r>
        <w:rPr>
          <w:rStyle w:val="21"/>
          <w:rFonts w:hint="eastAsia" w:ascii="宋体" w:hAnsi="宋体" w:eastAsia="宋体" w:cs="宋体"/>
          <w:b/>
          <w:shd w:val="clear" w:fill="FFFFFF"/>
        </w:rPr>
        <w:t>公务用车购置支出</w:t>
      </w:r>
      <w:r>
        <w:rPr>
          <w:rFonts w:hint="eastAsia" w:ascii="宋体" w:hAnsi="宋体" w:eastAsia="宋体" w:cs="宋体"/>
          <w:kern w:val="0"/>
          <w:sz w:val="24"/>
          <w:szCs w:val="24"/>
          <w:shd w:val="clear" w:fill="FFFFFF"/>
        </w:rPr>
        <w:t>0.00万元。全年按规定更新购置公务用车0辆，截至2021年12月底，单位共有公务用车2辆，其中：轿车1辆、越野车1辆。</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rPr>
      </w:pPr>
      <w:r>
        <w:rPr>
          <w:rStyle w:val="21"/>
          <w:rFonts w:hint="eastAsia" w:ascii="宋体" w:hAnsi="宋体" w:eastAsia="宋体" w:cs="宋体"/>
          <w:b/>
          <w:shd w:val="clear" w:fill="FFFFFF"/>
        </w:rPr>
        <w:t>3.公务用车运行维护费支出</w:t>
      </w:r>
      <w:r>
        <w:rPr>
          <w:rFonts w:hint="eastAsia" w:ascii="宋体" w:hAnsi="宋体" w:eastAsia="宋体" w:cs="宋体"/>
          <w:kern w:val="0"/>
          <w:sz w:val="24"/>
          <w:szCs w:val="24"/>
          <w:shd w:val="clear" w:fill="FFFFFF"/>
        </w:rPr>
        <w:t xml:space="preserve">4.59万元。主要用于科普下乡下村、科普宣传、开展科技知识活动培训等所需的公务用车燃料费、维修费、过路过桥费、保险费等支出。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八、政府性基金预算支出决算情况说明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2022年政府性基金预算财政拨款支出0.00万元。</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九、国有资本经营预算支出决算情况说明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2022年国有资本经营预算财政拨款支出0.00万元。</w:t>
      </w:r>
    </w:p>
    <w:p>
      <w:pPr>
        <w:pStyle w:val="24"/>
        <w:keepNext w:val="0"/>
        <w:keepLines w:val="0"/>
        <w:widowControl/>
        <w:suppressLineNumbers w:val="0"/>
        <w:spacing w:before="0" w:beforeAutospacing="0"/>
        <w:ind w:left="0"/>
        <w:jc w:val="both"/>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十、其他重要事项的情况说明</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（一）机关运行经费支出情况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2022年，阿坝州红原县科学技术协会机关运行经费支出20.08万元，比2021年增加9.03万元，增长81.70%（或与2021年决算数持平）。</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（二）政府采购支出情况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2022年，阿坝州红原县科学技术协会政府采购支出总额12.00万元，其中：政府采购货物支出12.00万元、政府采购工程支出0.00万元、政府采购服务支出0.00万元。主要用于…（具体工作）。授予中小企业合同金额12.00万元，占政府采购支出总额的100.00%，其中：授予小微企业合同金额12.00万元，占政府采购支出总额的100.00%。</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（三）国有资产占有使用情况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截至2022年12月31日，阿坝州红原县科学技术协会共有车辆2辆，其中：主要领导干部用车0辆、机要通信用车0辆、应急保障用车0辆、其他用车1辆科普车，一辆轿车。</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（四）预算绩效管理情况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根据预算绩效管理要求，本部门在2022年度预算编制阶段，组织对省级科普专项资金(天府科技云服务中心运维经费）项目，省级科普专项资金（红原县亚珂牧场科普共享基地）项目等2个项目开展了预算事前绩效评估，对2个项目编制了绩效目标，预算执行过程中，选取2个项目开展绩效监控。</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tbl>
      <w:tblPr>
        <w:tblStyle w:val="10"/>
        <w:tblW w:w="8355" w:type="dxa"/>
        <w:tblInd w:w="2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364"/>
        <w:gridCol w:w="1337"/>
        <w:gridCol w:w="900"/>
        <w:gridCol w:w="1213"/>
        <w:gridCol w:w="1625"/>
        <w:gridCol w:w="1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8355" w:type="dxa"/>
            <w:gridSpan w:val="6"/>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rPr>
            </w:pPr>
            <w:r>
              <w:rPr>
                <w:rFonts w:hint="eastAsia" w:ascii="宋体" w:hAnsi="宋体" w:eastAsia="宋体" w:cs="宋体"/>
                <w:b/>
                <w:i w:val="0"/>
                <w:color w:val="000000"/>
                <w:kern w:val="0"/>
                <w:sz w:val="24"/>
                <w:szCs w:val="24"/>
              </w:rPr>
              <w:t>项目绩效目标完成情况表</w:t>
            </w:r>
            <w:r>
              <w:rPr>
                <w:rStyle w:val="13"/>
                <w:rFonts w:hint="default" w:ascii="Times New Roman" w:hAnsi="Times New Roman" w:eastAsia="宋体" w:cs="Times New Roman"/>
                <w:b/>
                <w:i w:val="0"/>
                <w:color w:val="000000"/>
                <w:sz w:val="24"/>
                <w:szCs w:val="24"/>
              </w:rPr>
              <w:t> </w:t>
            </w:r>
            <w:r>
              <w:rPr>
                <w:rStyle w:val="22"/>
                <w:rFonts w:hint="eastAsia" w:ascii="宋体" w:hAnsi="宋体" w:eastAsia="宋体" w:cs="宋体"/>
                <w:i w:val="0"/>
                <w:color w:val="000000"/>
                <w:sz w:val="24"/>
                <w:szCs w:val="24"/>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3601"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项目名称</w:t>
            </w:r>
          </w:p>
        </w:tc>
        <w:tc>
          <w:tcPr>
            <w:tcW w:w="4754" w:type="dxa"/>
            <w:gridSpan w:val="3"/>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省级科普专项资金（天府科技云服务中心运维经费）红原县科协5万元项目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3601"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预算单位</w:t>
            </w:r>
          </w:p>
        </w:tc>
        <w:tc>
          <w:tcPr>
            <w:tcW w:w="4754"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红原县科学技术协会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预算执行情况(万元)</w:t>
            </w:r>
          </w:p>
        </w:tc>
        <w:tc>
          <w:tcPr>
            <w:tcW w:w="2237"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预算数:</w:t>
            </w:r>
          </w:p>
        </w:tc>
        <w:tc>
          <w:tcPr>
            <w:tcW w:w="1213"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5</w:t>
            </w:r>
          </w:p>
        </w:tc>
        <w:tc>
          <w:tcPr>
            <w:tcW w:w="16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916"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2237"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其中-财政拨款:</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5</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其中-财政拨款:</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2237"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其它资金:</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其它资金:</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年度目标完成情况</w:t>
            </w:r>
          </w:p>
        </w:tc>
        <w:tc>
          <w:tcPr>
            <w:tcW w:w="345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预期目标</w:t>
            </w:r>
          </w:p>
        </w:tc>
        <w:tc>
          <w:tcPr>
            <w:tcW w:w="3541"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345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5</w:t>
            </w:r>
          </w:p>
        </w:tc>
        <w:tc>
          <w:tcPr>
            <w:tcW w:w="3541"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绩效指标完成情况</w:t>
            </w: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一级指标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二级指标</w:t>
            </w:r>
          </w:p>
        </w:tc>
        <w:tc>
          <w:tcPr>
            <w:tcW w:w="1213"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三级指标</w:t>
            </w:r>
          </w:p>
        </w:tc>
        <w:tc>
          <w:tcPr>
            <w:tcW w:w="16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预期指标值(包含数字及文字描述)</w:t>
            </w:r>
          </w:p>
        </w:tc>
        <w:tc>
          <w:tcPr>
            <w:tcW w:w="1916"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绩效目标</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w:t>
            </w:r>
            <w:r>
              <w:rPr>
                <w:rStyle w:val="23"/>
                <w:rFonts w:hint="eastAsia" w:ascii="宋体" w:hAnsi="宋体" w:eastAsia="宋体" w:cs="宋体"/>
                <w:i w:val="0"/>
                <w:color w:val="000000"/>
                <w:sz w:val="20"/>
                <w:szCs w:val="20"/>
              </w:rPr>
              <w:t>目标内容</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1、省级科普专项资金（天府科技云服务中心运维经费）目标明确，既完成绩效目标实际的100%。2、阿州财教（2021）71号下达资金5万元。</w:t>
            </w:r>
            <w:r>
              <w:rPr>
                <w:rStyle w:val="22"/>
                <w:rFonts w:hint="eastAsia" w:ascii="宋体" w:hAnsi="宋体" w:eastAsia="宋体" w:cs="宋体"/>
                <w:i w:val="0"/>
                <w:color w:val="000000"/>
                <w:sz w:val="24"/>
                <w:szCs w:val="24"/>
              </w:rPr>
              <w:t> </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1、省级科普专项资金（天府科技云服务中心运维经费）目标明确，既完成绩效目标实际的100%。2、阿州财教（2021）71号下达资金5万元。</w:t>
            </w:r>
            <w:r>
              <w:rPr>
                <w:rStyle w:val="22"/>
                <w:rFonts w:hint="eastAsia" w:ascii="宋体" w:hAnsi="宋体" w:eastAsia="宋体" w:cs="宋体"/>
                <w:i w:val="0"/>
                <w:color w:val="00000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进度计划</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项目计划实施进度明确</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完成</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61"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目标匹配</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 xml:space="preserve"> 绩效目标设定符合实际需求的抽样项目点个数|抽样项目点总数X100%</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符合实际需求的抽样项目符合率100%</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符合实际需求的抽样项目符合率100%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03"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决策依据</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政策依据</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Style w:val="23"/>
                <w:rFonts w:hint="eastAsia" w:ascii="宋体" w:hAnsi="宋体" w:eastAsia="宋体" w:cs="宋体"/>
                <w:i w:val="0"/>
                <w:color w:val="000000"/>
                <w:sz w:val="20"/>
                <w:szCs w:val="20"/>
              </w:rPr>
              <w:t>符合党中央、国务院和省委、省政府决策部署；符合当前经济社会发展需要</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Style w:val="23"/>
                <w:rFonts w:hint="eastAsia" w:ascii="宋体" w:hAnsi="宋体" w:eastAsia="宋体" w:cs="宋体"/>
                <w:i w:val="0"/>
                <w:color w:val="000000"/>
                <w:sz w:val="20"/>
                <w:szCs w:val="20"/>
              </w:rPr>
              <w:t>符合党中央、国务院和省委、省政府决策部署；符合当前经济社会发展需要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项目完成任务量|绩效目标设定任务量X100%</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100%</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效益指标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经济效益</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反映相关产出对经济社会发展带来的影响和效果，根据项目实际细化具体指标。</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效益指标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社会效益</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反映相关产出带来影响的可持续期限，根据项目实际细化具体指标。</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7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效益指标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可持续效益</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为科普科技工作提供了评定依据，为我县科技事业发展工作提供了强有力的保障，有效提高了广大群众对我县科技事业的重视，保障科技人才队伍不断地壮大。</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为科普科技工作提供了评定依据，为我县科技事业发展工作提供了强有力的保障，有效提高了广大群众对我县科技事业的重视，保障科技人才队伍不断地壮大。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满意度指标</w:t>
            </w:r>
          </w:p>
        </w:tc>
        <w:tc>
          <w:tcPr>
            <w:tcW w:w="900"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625"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有效提高了广大群众对我县科技事业的重视，</w:t>
            </w:r>
          </w:p>
        </w:tc>
        <w:tc>
          <w:tcPr>
            <w:tcW w:w="1916"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有效提高了广大群众对我县科技事业的重视，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364"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1337"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900"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121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服务满意度达90%以上。</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服务满意度达90%以上。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32"/>
                <w:szCs w:val="32"/>
              </w:rPr>
            </w:pPr>
            <w:r>
              <w:rPr>
                <w:rFonts w:hint="eastAsia" w:ascii="仿宋" w:hAnsi="仿宋" w:eastAsia="仿宋" w:cs="仿宋"/>
                <w:i w:val="0"/>
                <w:color w:val="000000"/>
                <w:kern w:val="0"/>
                <w:sz w:val="32"/>
                <w:szCs w:val="32"/>
              </w:rPr>
              <w:t> </w:t>
            </w:r>
          </w:p>
        </w:tc>
        <w:tc>
          <w:tcPr>
            <w:tcW w:w="1337"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rPr>
                <w:rFonts w:hint="eastAsia" w:ascii="宋体" w:hAnsi="宋体" w:eastAsia="宋体" w:cs="宋体"/>
                <w:i w:val="0"/>
                <w:color w:val="000000"/>
                <w:kern w:val="0"/>
                <w:sz w:val="22"/>
                <w:szCs w:val="22"/>
              </w:rPr>
            </w:pPr>
          </w:p>
        </w:tc>
        <w:tc>
          <w:tcPr>
            <w:tcW w:w="900"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rPr>
                <w:rFonts w:hint="eastAsia" w:ascii="宋体" w:hAnsi="宋体" w:eastAsia="宋体" w:cs="宋体"/>
                <w:i w:val="0"/>
                <w:color w:val="000000"/>
                <w:kern w:val="0"/>
                <w:sz w:val="22"/>
                <w:szCs w:val="22"/>
              </w:rPr>
            </w:pPr>
          </w:p>
        </w:tc>
        <w:tc>
          <w:tcPr>
            <w:tcW w:w="1213"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rPr>
                <w:rFonts w:hint="eastAsia" w:ascii="宋体" w:hAnsi="宋体" w:eastAsia="宋体" w:cs="宋体"/>
                <w:i w:val="0"/>
                <w:color w:val="000000"/>
                <w:kern w:val="0"/>
                <w:sz w:val="22"/>
                <w:szCs w:val="22"/>
              </w:rPr>
            </w:pPr>
          </w:p>
        </w:tc>
        <w:tc>
          <w:tcPr>
            <w:tcW w:w="162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rPr>
                <w:rFonts w:hint="eastAsia" w:ascii="宋体" w:hAnsi="宋体" w:eastAsia="宋体" w:cs="宋体"/>
                <w:i w:val="0"/>
                <w:color w:val="000000"/>
                <w:kern w:val="0"/>
                <w:sz w:val="22"/>
                <w:szCs w:val="22"/>
              </w:rPr>
            </w:pPr>
          </w:p>
        </w:tc>
        <w:tc>
          <w:tcPr>
            <w:tcW w:w="1916"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rPr>
                <w:rFonts w:hint="eastAsia" w:ascii="宋体" w:hAnsi="宋体" w:eastAsia="宋体" w:cs="宋体"/>
                <w:i w:val="0"/>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8355" w:type="dxa"/>
            <w:gridSpan w:val="6"/>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rPr>
            </w:pPr>
            <w:r>
              <w:rPr>
                <w:rFonts w:hint="eastAsia" w:ascii="宋体" w:hAnsi="宋体" w:eastAsia="宋体" w:cs="宋体"/>
                <w:b/>
                <w:i w:val="0"/>
                <w:color w:val="000000"/>
                <w:kern w:val="0"/>
                <w:sz w:val="24"/>
                <w:szCs w:val="24"/>
              </w:rPr>
              <w:t>项目绩效目标完成情况表</w:t>
            </w:r>
            <w:r>
              <w:rPr>
                <w:rStyle w:val="20"/>
                <w:rFonts w:hint="default" w:ascii="Times New Roman" w:hAnsi="Times New Roman" w:eastAsia="宋体" w:cs="Times New Roman"/>
                <w:b/>
                <w:i w:val="0"/>
                <w:color w:val="000000"/>
                <w:sz w:val="24"/>
                <w:szCs w:val="24"/>
              </w:rPr>
              <w:t> </w:t>
            </w:r>
            <w:r>
              <w:rPr>
                <w:rStyle w:val="22"/>
                <w:rFonts w:hint="eastAsia" w:ascii="宋体" w:hAnsi="宋体" w:eastAsia="宋体" w:cs="宋体"/>
                <w:i w:val="0"/>
                <w:color w:val="000000"/>
                <w:sz w:val="24"/>
                <w:szCs w:val="24"/>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3601"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项目名称</w:t>
            </w:r>
          </w:p>
        </w:tc>
        <w:tc>
          <w:tcPr>
            <w:tcW w:w="4754" w:type="dxa"/>
            <w:gridSpan w:val="3"/>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省级科普专项资金（红原县亚珂牧场科普共享基地）红原县科协7万元项目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3601" w:type="dxa"/>
            <w:gridSpan w:val="3"/>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预算单位</w:t>
            </w:r>
          </w:p>
        </w:tc>
        <w:tc>
          <w:tcPr>
            <w:tcW w:w="4754"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红原县科学技术协会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预算执行情况(万元)</w:t>
            </w:r>
          </w:p>
        </w:tc>
        <w:tc>
          <w:tcPr>
            <w:tcW w:w="2237"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预算数:</w:t>
            </w:r>
          </w:p>
        </w:tc>
        <w:tc>
          <w:tcPr>
            <w:tcW w:w="1213"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7</w:t>
            </w:r>
          </w:p>
        </w:tc>
        <w:tc>
          <w:tcPr>
            <w:tcW w:w="16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执行数:</w:t>
            </w:r>
          </w:p>
        </w:tc>
        <w:tc>
          <w:tcPr>
            <w:tcW w:w="1916"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2237"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其中-财政拨款:</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7</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其中-财政拨款:</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2237"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其它资金:</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其它资金:</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年度目标完成情况</w:t>
            </w:r>
          </w:p>
        </w:tc>
        <w:tc>
          <w:tcPr>
            <w:tcW w:w="345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预期目标</w:t>
            </w:r>
          </w:p>
        </w:tc>
        <w:tc>
          <w:tcPr>
            <w:tcW w:w="3541"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3450"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3541" w:type="dxa"/>
            <w:gridSpan w:val="2"/>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97"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绩效指标完成情况</w:t>
            </w: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一级指标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二级指标</w:t>
            </w:r>
          </w:p>
        </w:tc>
        <w:tc>
          <w:tcPr>
            <w:tcW w:w="1213"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三级指标</w:t>
            </w:r>
          </w:p>
        </w:tc>
        <w:tc>
          <w:tcPr>
            <w:tcW w:w="162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预期指标值(包含数字及文字描述)</w:t>
            </w:r>
          </w:p>
        </w:tc>
        <w:tc>
          <w:tcPr>
            <w:tcW w:w="1916"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绩效目标</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w:t>
            </w:r>
            <w:r>
              <w:rPr>
                <w:rStyle w:val="23"/>
                <w:rFonts w:hint="eastAsia" w:ascii="宋体" w:hAnsi="宋体" w:eastAsia="宋体" w:cs="宋体"/>
                <w:i w:val="0"/>
                <w:color w:val="000000"/>
                <w:sz w:val="20"/>
                <w:szCs w:val="20"/>
              </w:rPr>
              <w:t>目标内容</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1、省级科普专项资金（红原县亚珂牧场科普共享基地）红原县科协7万元项目，既完成绩效目标实际的100%。2、阿州财（2021）71号下达资金万7元。</w:t>
            </w:r>
            <w:r>
              <w:rPr>
                <w:rStyle w:val="22"/>
                <w:rFonts w:hint="eastAsia" w:ascii="宋体" w:hAnsi="宋体" w:eastAsia="宋体" w:cs="宋体"/>
                <w:i w:val="0"/>
                <w:color w:val="000000"/>
                <w:sz w:val="24"/>
                <w:szCs w:val="24"/>
              </w:rPr>
              <w:t> </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1、省级科普专项资金（红原县亚珂牧场科普共享基地）红原县科协7万元项目，既完成绩效目标实际的100%。2、阿州财教（2021）71号下达资金7万元。</w:t>
            </w:r>
            <w:r>
              <w:rPr>
                <w:rStyle w:val="22"/>
                <w:rFonts w:hint="eastAsia" w:ascii="宋体" w:hAnsi="宋体" w:eastAsia="宋体" w:cs="宋体"/>
                <w:i w:val="0"/>
                <w:color w:val="00000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进度计划</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项目计划实施进度明确</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完成</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2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目标匹配</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 xml:space="preserve"> 绩效目标设定符合实际需求的抽样项目点个数|抽样项目点总数X100%</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符合实际需求的抽样项目符合率100%</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符合实际需求的抽样项目符合率100%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03"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决策依据</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政策依据</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Style w:val="23"/>
                <w:rFonts w:hint="eastAsia" w:ascii="宋体" w:hAnsi="宋体" w:eastAsia="宋体" w:cs="宋体"/>
                <w:i w:val="0"/>
                <w:color w:val="000000"/>
                <w:sz w:val="20"/>
                <w:szCs w:val="20"/>
              </w:rPr>
              <w:t>符合党中央、国务院和省委、省政府决策部署；符合当前经济社会发展需要</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Style w:val="23"/>
                <w:rFonts w:hint="eastAsia" w:ascii="宋体" w:hAnsi="宋体" w:eastAsia="宋体" w:cs="宋体"/>
                <w:i w:val="0"/>
                <w:color w:val="000000"/>
                <w:sz w:val="20"/>
                <w:szCs w:val="20"/>
              </w:rPr>
              <w:t>符合党中央、国务院和省委、省政府决策部署；符合当前经济社会发展需要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w:t>
            </w: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项目完成任务量|绩效目标设定任务量X100%</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100%</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效益指标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经济效益</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反映相关产出对经济社会发展带来的影响和效果，根据项目实际细化具体指标。</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效益指标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 xml:space="preserve"> 社会效益</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反映相关产出带来影响的可持续期限，根据项目实际细化具体指标。</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53" w:hRule="atLeast"/>
        </w:trPr>
        <w:tc>
          <w:tcPr>
            <w:tcW w:w="1364"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效益指标</w:t>
            </w:r>
          </w:p>
        </w:tc>
        <w:tc>
          <w:tcPr>
            <w:tcW w:w="9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可持续效益</w:t>
            </w: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为科普科技工作提供了评定依据，为我县科技事业发展工作提供了强有力的保障，有效提高了广大群众对我县科技事业的重视，保障科技人才队伍不断地壮大。</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为科普科技工作提供了评定依据，为我县科技事业发展工作提供了强有力的保障，有效提高了广大群众对我县科技事业的重视，保障科技人才队伍不断地壮大。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1364"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337"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rPr>
            </w:pPr>
            <w:r>
              <w:rPr>
                <w:rFonts w:hint="eastAsia" w:ascii="宋体" w:hAnsi="宋体" w:eastAsia="宋体" w:cs="宋体"/>
                <w:i w:val="0"/>
                <w:color w:val="000000"/>
                <w:kern w:val="0"/>
                <w:sz w:val="24"/>
                <w:szCs w:val="24"/>
              </w:rPr>
              <w:t>满意度指标</w:t>
            </w:r>
          </w:p>
        </w:tc>
        <w:tc>
          <w:tcPr>
            <w:tcW w:w="900"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21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rPr>
                <w:rFonts w:hint="eastAsia" w:ascii="宋体" w:hAnsi="宋体" w:eastAsia="宋体" w:cs="宋体"/>
                <w:i w:val="0"/>
                <w:color w:val="000000"/>
                <w:kern w:val="0"/>
                <w:sz w:val="24"/>
                <w:szCs w:val="24"/>
              </w:rPr>
            </w:pPr>
          </w:p>
        </w:tc>
        <w:tc>
          <w:tcPr>
            <w:tcW w:w="1625"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有效提高了广大群众对我县科技事业的重视，</w:t>
            </w:r>
          </w:p>
        </w:tc>
        <w:tc>
          <w:tcPr>
            <w:tcW w:w="1916"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有效提高了广大群众对我县科技事业的重视，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364"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1337"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900"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121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rPr>
                <w:rFonts w:hint="default" w:ascii="Times New Roman" w:hAnsi="Times New Roman" w:cs="Times New Roman"/>
                <w:sz w:val="20"/>
                <w:szCs w:val="20"/>
              </w:rPr>
            </w:pPr>
          </w:p>
        </w:tc>
        <w:tc>
          <w:tcPr>
            <w:tcW w:w="162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服务满意度达90%以上。</w:t>
            </w:r>
          </w:p>
        </w:tc>
        <w:tc>
          <w:tcPr>
            <w:tcW w:w="191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rPr>
            </w:pPr>
            <w:r>
              <w:rPr>
                <w:rFonts w:hint="eastAsia" w:ascii="宋体" w:hAnsi="宋体" w:eastAsia="宋体" w:cs="宋体"/>
                <w:i w:val="0"/>
                <w:color w:val="000000"/>
                <w:kern w:val="0"/>
                <w:sz w:val="20"/>
                <w:szCs w:val="20"/>
              </w:rPr>
              <w:t>服务满意度达90%以上。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4" w:hRule="atLeast"/>
        </w:trPr>
        <w:tc>
          <w:tcPr>
            <w:tcW w:w="8355"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rPr>
                <w:rFonts w:hint="eastAsia" w:ascii="宋体" w:hAnsi="宋体" w:eastAsia="宋体" w:cs="宋体"/>
                <w:i w:val="0"/>
                <w:color w:val="000000"/>
                <w:kern w:val="0"/>
                <w:sz w:val="22"/>
                <w:szCs w:val="22"/>
              </w:rPr>
            </w:pPr>
            <w:r>
              <w:rPr>
                <w:rFonts w:hint="eastAsia" w:ascii="仿宋" w:hAnsi="仿宋" w:eastAsia="仿宋" w:cs="仿宋"/>
                <w:i w:val="0"/>
                <w:color w:val="000000"/>
                <w:kern w:val="0"/>
                <w:sz w:val="32"/>
                <w:szCs w:val="32"/>
              </w:rPr>
              <w:t>《</w:t>
            </w:r>
            <w:r>
              <w:rPr>
                <w:rStyle w:val="14"/>
                <w:rFonts w:hint="eastAsia" w:ascii="宋体" w:hAnsi="宋体" w:eastAsia="宋体" w:cs="宋体"/>
                <w:i w:val="0"/>
                <w:color w:val="000000"/>
                <w:sz w:val="24"/>
                <w:szCs w:val="24"/>
              </w:rPr>
              <w:t>2021年红原县科学技术协会整体绩效评价报告》见附件（第四部分）。</w:t>
            </w:r>
          </w:p>
        </w:tc>
      </w:tr>
    </w:tbl>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21"/>
          <w:rFonts w:hint="eastAsia" w:ascii="宋体" w:hAnsi="宋体" w:eastAsia="宋体" w:cs="宋体"/>
          <w:b/>
          <w:sz w:val="39"/>
          <w:szCs w:val="39"/>
          <w:shd w:val="clear" w:fill="FFFFFF"/>
        </w:rPr>
        <w:t>第三部分 名词解释</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1.财政拨款收入：指单位从同级财政部门取得的财政预算资金。</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2.事业收入：指事业单位开展专业业务活动及辅助活动取得的收入。</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3.经营收入：指事业单位在专业业务活动及其辅助活动之外开展非独立核算经营活动取得的收入。</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4.其他收入：指单位取得的除上述收入以外的各项收入。</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5.使用非财政拨款结余：指事业单位使用以前年度积累的非财政拨款结余弥补当年收支差额的金额。</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6.年初结转和结余：指以前年度尚未完成、结转到本年按有关规定继续使用的资金。</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7.结余分配：指事业单位按照会计制度规定缴纳的所得税、提取的专用结余以及转入非财政拨款结余的金额等。</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8、年末结转和结余：指单位按有关规定结转到下年或以后年度继续使用的资金。</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9.科学技术支出：包括科学技术管理事务、基础研究、应用研究、技术研究与开发、科技条件与服务、社会科学、科学技术普及、科技交流与合作、其他科学技术支出。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10社会保障和就业支出主要包括：社会保险基金补助支出、行政事业单位离退休支出、就业补助支出、城市居民最低生活保障支出、农村最低生活保障支出、自然灾害生活救助支出。</w:t>
      </w:r>
    </w:p>
    <w:p>
      <w:pPr>
        <w:pStyle w:val="24"/>
        <w:keepNext w:val="0"/>
        <w:keepLines w:val="0"/>
        <w:widowControl/>
        <w:numPr>
          <w:ilvl w:val="0"/>
          <w:numId w:val="3"/>
        </w:numPr>
        <w:suppressLineNumbers w:val="0"/>
        <w:spacing w:before="0" w:beforeAutospacing="0"/>
        <w:ind w:left="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住房保障支出（类）住房改革支出（款）：反映行政事业单位用财政拨款资金和其他资金等安排的住房改革支出。</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12.基本支出：指为保障机构正常运转、完成日常工作任务而发生的人员支出和公用支出。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13.医疗卫生与计划生育支出（类）医疗保障（款）：反映用于医疗保障等方面的支出。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14.项目支出：指在基本支出之外为完成特定行政任务和事业发展目标所发生的支出。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15.经营支出：指事业单位在专业业务活动及其辅助活动之外开展非独立核算经营活动发生的支出。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18.基本支出：指为保障机构正常运转、完成日常工作任务而发生的人员支出和公用支出。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19.项目支出：指在基本支出之外为完成特定行政任务和事业发展目标所发生的支出。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20.经营支出：指事业单位在专业业务活动及其辅助活动之外开展非独立核算经营活动发生的支出。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21"/>
          <w:rFonts w:hint="eastAsia" w:ascii="宋体" w:hAnsi="宋体" w:eastAsia="宋体" w:cs="宋体"/>
          <w:b/>
          <w:sz w:val="39"/>
          <w:szCs w:val="39"/>
          <w:shd w:val="clear" w:fill="FFFFFF"/>
        </w:rPr>
        <w:t>第四部分 附件</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附件</w:t>
      </w:r>
    </w:p>
    <w:p>
      <w:pPr>
        <w:pStyle w:val="24"/>
        <w:keepNext w:val="0"/>
        <w:keepLines w:val="0"/>
        <w:widowControl/>
        <w:suppressLineNumbers w:val="0"/>
        <w:spacing w:before="0" w:beforeAutospacing="0"/>
        <w:ind w:left="0"/>
        <w:jc w:val="center"/>
        <w:rPr>
          <w:rFonts w:hint="eastAsia" w:ascii="宋体" w:hAnsi="宋体" w:eastAsia="宋体" w:cs="宋体"/>
          <w:kern w:val="0"/>
          <w:sz w:val="30"/>
          <w:szCs w:val="30"/>
        </w:rPr>
      </w:pPr>
      <w:r>
        <w:rPr>
          <w:rFonts w:hint="eastAsia" w:ascii="宋体" w:hAnsi="宋体" w:eastAsia="宋体" w:cs="宋体"/>
          <w:kern w:val="0"/>
          <w:sz w:val="30"/>
          <w:szCs w:val="30"/>
          <w:shd w:val="clear" w:fill="FFFFFF"/>
        </w:rPr>
        <w:t>2022年红原县科协技术协会部门整体绩效评价报告</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（报告范围包括机关和下属单位）</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一、部门（单位）基本情况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（一）机构组成。</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行政单位1个，全称：红原县科学技术协会。</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下属二级预算单位1个全称：红原县民族科普中心</w:t>
      </w:r>
    </w:p>
    <w:p>
      <w:pPr>
        <w:pStyle w:val="24"/>
        <w:keepNext w:val="0"/>
        <w:keepLines w:val="0"/>
        <w:widowControl/>
        <w:numPr>
          <w:ilvl w:val="0"/>
          <w:numId w:val="4"/>
        </w:numPr>
        <w:suppressLineNumbers w:val="0"/>
        <w:spacing w:before="0" w:beforeAutospacing="0"/>
        <w:ind w:left="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机构职能和人员概况。</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工作职能：当好党和政府发展科技事业的助手，进一步搞好科技工作者服务工作；加强科技普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人员概况：红原县科学技术协会为独立核算全额拨款行政单位，下设民族科普大队。截止2022年底我单位共有编制7个，其中公务员编制3个，行政工勤编制1个，事业编制3个；在职9人，其中行政工勤1人，公务员5人，参公5人，事业编制3人。</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二、部门财政资金收支情况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2022年本年收入合计232.82万元，其中：一般公共预算财政拨款收入232.82万元，占 100.00%。门财政资金收入情况。</w:t>
      </w:r>
    </w:p>
    <w:p>
      <w:pPr>
        <w:pStyle w:val="24"/>
        <w:keepNext w:val="0"/>
        <w:keepLines w:val="0"/>
        <w:widowControl/>
        <w:numPr>
          <w:ilvl w:val="0"/>
          <w:numId w:val="4"/>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部门财政资金支出情况。</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2022年本年支出合计232.82万元，其中：科学技术（类）科学技术管理事务（款）行政运行、一般行政管理事务（项）支出决算为134.53万元，占8%；社会保障和就业（类）行政事业单位养老支出（款）机关事业单位基本养老保险缴费支出、机关事业单位职业年金缴费支出（项）支出决算为81.99万元，占9%；住房保障支出（类）住房改革支出（款）住房公积金（项）支出决算为44.07万元，占6%。卫生健康支出（类）行政事业单位医疗（款）行政单位医疗、事业单位医疗、公务员医疗补助、其他行政事业单位医疗支出（项）: 支出决算为33.81万元；占3%。</w:t>
      </w:r>
    </w:p>
    <w:p>
      <w:pPr>
        <w:pStyle w:val="24"/>
        <w:keepNext w:val="0"/>
        <w:keepLines w:val="0"/>
        <w:widowControl/>
        <w:numPr>
          <w:ilvl w:val="0"/>
          <w:numId w:val="5"/>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部门整体预算绩效管理情况</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根据预算绩效管理要求，本部门在年初预算编制阶段，组织对我单位开展了预算事前绩效评估，开展了绩效目标完成情况梳理。本部门按要求对2022年部门整体支出开展绩效自评，从评价情况来看，包括部门职责履行结果、重点项目绩效评价结果和服务对象满意度等。</w:t>
      </w:r>
    </w:p>
    <w:p>
      <w:pPr>
        <w:pStyle w:val="24"/>
        <w:keepNext w:val="0"/>
        <w:keepLines w:val="0"/>
        <w:widowControl/>
        <w:numPr>
          <w:ilvl w:val="0"/>
          <w:numId w:val="6"/>
        </w:numPr>
        <w:suppressLineNumbers w:val="0"/>
        <w:spacing w:before="0" w:beforeAutospacing="0"/>
        <w:ind w:left="0" w:leftChars="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职责履行结果</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县科协加强部门职责执行工作。进一步提高了办公办事质量水平，以严格规范单位行政行为，加强了单位组织领导，下设领导小组，保证工作组织有保障；建立权责明确的单位体制，促使行政活动授予有据、行使有规、监督有效；深化了单位内部行政管理体制改革，努力形成行为规范、运转协调、公正透明、廉政高效的单位行政管理体制。</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2、强化考核工作。2022年单位履行了岗位职责考核和自身建设素质考核。考核涉及单位职工政治理论学习，集体活动参与、考勤、请休假、政务信息等方面。</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（一）部门预算项目绩效管理。</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包括部门绩效目标制定、目标实现（按人员类、运转类、特定目标类项目分类阐述）、支出控制、及时处置、执行进度、预算完成情况、资金结余率（低效无效率）和违规记录等情况。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（二）结果应用情况。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包括内部应用、自评公开、问题整改和应用反馈等情况。</w:t>
      </w:r>
    </w:p>
    <w:p>
      <w:pPr>
        <w:keepNext w:val="0"/>
        <w:keepLines w:val="0"/>
        <w:widowControl/>
        <w:numPr>
          <w:ilvl w:val="0"/>
          <w:numId w:val="7"/>
        </w:numPr>
        <w:suppressLineNumbers w:val="0"/>
        <w:spacing w:before="0" w:beforeAutospacing="0" w:after="0" w:afterAutospacing="1"/>
        <w:ind w:left="720" w:hanging="36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自评质量</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包括评价部门整体支出自评准确情况。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四、评价结论及建议</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（一）评价结论。县科协2022年决算工作执行情况良好，无不良记录及违规违纪行为，2022年预算支出和决算支出情况相符。</w:t>
      </w:r>
    </w:p>
    <w:p>
      <w:pPr>
        <w:pStyle w:val="24"/>
        <w:keepNext w:val="0"/>
        <w:keepLines w:val="0"/>
        <w:widowControl/>
        <w:suppressLineNumbers w:val="0"/>
        <w:spacing w:before="0" w:beforeAutospacing="0"/>
        <w:ind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（二）存在问题。一是部门决算上报处理效率还待提升，二是有关目标任务有待进一步完善。</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（三）改进建议。加快完善相应制度建设和账务处理。</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附件</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36"/>
          <w:szCs w:val="36"/>
          <w:shd w:val="clear" w:fill="FFFFFF"/>
        </w:rPr>
        <w:t>2022年专项预算项目支出绩效自评报告范本</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（主管部门自评）</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一、项目概况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（一）项目基本情况。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1．说明项目主管部门（单位）在该项目管理中的职能。</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科协是科普工作的主要社会力量，在公民科学素质建设 中发挥着牵头引领作用。多年以来，红原县科协积极履行科 普职责，丰富科普内容，创新科普手段，广泛开展群众性、社会性、经常性科普活动，打造了基层科普行动计划等品牌科普活动，树立了科协组织鲜明的社会形象。</w:t>
      </w:r>
    </w:p>
    <w:p>
      <w:pPr>
        <w:pStyle w:val="24"/>
        <w:keepNext w:val="0"/>
        <w:keepLines w:val="0"/>
        <w:widowControl/>
        <w:numPr>
          <w:ilvl w:val="0"/>
          <w:numId w:val="2"/>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项目立项、资金申报的依据。</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县科协科普项目立项与资金申报依据主要来自党中央、国务院和省委、省政府决策部署；符合当前经济社会发展需要。</w:t>
      </w:r>
    </w:p>
    <w:p>
      <w:pPr>
        <w:pStyle w:val="24"/>
        <w:keepNext w:val="0"/>
        <w:keepLines w:val="0"/>
        <w:widowControl/>
        <w:numPr>
          <w:ilvl w:val="0"/>
          <w:numId w:val="2"/>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资金管理办法制定情况，资金支持具体项目的条件、范围与支持方式概况。</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县科协落实管理办法任务，加强项目资金管理，接受上级主管部门检查和监督，加快了信息化建设，逐步实现了本单位资金管理，进一步提高了项目投资效益；资金支持项目条件：单位合理界定项目投资范围,集中财力保证重点项目发展，组织实施项目,"自管,自理,"规范项目资金管理从立项做起,项目资金安排要坚持"有所为，有所不为"和"集中财力办大事"的分配原则,充分发挥市场配置资源在投资领域中的基础作用。</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4．资金分配的原则及考虑因素。</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资金分配原则及考虑因素：改革分配方式。要围绕使“市场在资源配置中起决定性作用”深化财政专项资金分配改革，推行竞争性分配；规范分配管理。财政专项资金的竞争性分配，应坚持“两不变”，即：坚持不改变主管部门对财政专项资金项目的管理职能和主体责任；不改变主管部门对财政专项资金项目的分配权、管理权。突出“五个强化”，即：强化主管部门对财政专项资金项目监督管理主体职能作用；强化财政部门对财政专项资金的监督管理主体职能作用；强化纪检监察等部门对财政专项资金项目申报、评审、实施等过程监管；强化财政专项资金审计监督；强化财政专项资金项目的社会监督。</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（二）项目绩效目标。</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1．项目主要内容。</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“省级科普专项资金（天府科技云服务中心运维经费）红原县科协5万元项目”、“省级科普专项资金（红原县亚珂牧场科普共享基地）红原县科协7万元项目”。</w:t>
      </w:r>
    </w:p>
    <w:p>
      <w:pPr>
        <w:pStyle w:val="24"/>
        <w:keepNext w:val="0"/>
        <w:keepLines w:val="0"/>
        <w:widowControl/>
        <w:numPr>
          <w:ilvl w:val="0"/>
          <w:numId w:val="1"/>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项目应实现的具体绩效目标，包括目标的量化、细化情况以及项目实施进度计划等。</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按照文件要求，“省级科普专项资金（天府科技云服务中心运维经费）红原县科协5万元项目”、“省级科普专项资金（红原县亚珂牧场科普共享基地）红原县科协7万元项目”为提高科技文化素质服务，为社会主义精神文明建设服务，进一步做好基层组织、下级组织的服务工作，实行群众办公、民主办公、加强科学协会自身体制作风改革；加强农村科普网络的建立，搞好协会的协调工作管理工作，各个项目发展进一步增强了科普科技工作在全县的深入推广。</w:t>
      </w:r>
    </w:p>
    <w:p>
      <w:pPr>
        <w:pStyle w:val="24"/>
        <w:keepNext w:val="0"/>
        <w:keepLines w:val="0"/>
        <w:widowControl/>
        <w:numPr>
          <w:ilvl w:val="0"/>
          <w:numId w:val="1"/>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分析评价申报内容是否与实际相符，申报目标是否合理可行。</w:t>
      </w:r>
    </w:p>
    <w:p>
      <w:pPr>
        <w:pStyle w:val="24"/>
        <w:keepNext w:val="0"/>
        <w:keepLines w:val="0"/>
        <w:widowControl/>
        <w:suppressLineNumbers w:val="0"/>
        <w:spacing w:before="0" w:beforeAutospacing="0"/>
        <w:ind w:leftChars="0" w:right="0" w:right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“省级科普专项资金（天府科技云服务中心运维经费）红原县科协5万元项目”、“省级科普专项资金（红原县亚珂牧场科普共享基地）红原县科协7万元项目”两类项目申报与实际相符，申报目标合理可行。</w:t>
      </w:r>
    </w:p>
    <w:p>
      <w:pPr>
        <w:pStyle w:val="24"/>
        <w:keepNext w:val="0"/>
        <w:keepLines w:val="0"/>
        <w:widowControl/>
        <w:numPr>
          <w:ilvl w:val="0"/>
          <w:numId w:val="4"/>
        </w:numPr>
        <w:suppressLineNumbers w:val="0"/>
        <w:spacing w:before="0" w:beforeAutospacing="0"/>
        <w:ind w:left="0" w:leftChars="0" w:firstLine="0" w:firstLineChars="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项目自评步骤及方法。</w:t>
      </w:r>
    </w:p>
    <w:p>
      <w:pPr>
        <w:pStyle w:val="24"/>
        <w:keepNext w:val="0"/>
        <w:keepLines w:val="0"/>
        <w:widowControl/>
        <w:numPr>
          <w:ilvl w:val="0"/>
          <w:numId w:val="8"/>
        </w:numPr>
        <w:suppressLineNumbers w:val="0"/>
        <w:spacing w:before="0" w:beforeAutospacing="0"/>
        <w:ind w:left="0" w:leftChars="0" w:right="0" w:rightChars="0" w:firstLine="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说明项目绩效自评采用的组织实施步骤及方法。</w:t>
      </w:r>
    </w:p>
    <w:p>
      <w:pPr>
        <w:pStyle w:val="24"/>
        <w:keepNext w:val="0"/>
        <w:keepLines w:val="0"/>
        <w:widowControl/>
        <w:suppressLineNumbers w:val="0"/>
        <w:spacing w:before="0" w:beforeAutospacing="0"/>
        <w:ind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项目绩效评价的目的是：严格落实《预算法》及绩效管理工作的有关规定，进一步规范财政资金的管理，强化财政支出绩效理念，提升部门责任意识，为今后预算安排提供决策支持。同时增强本单位支出管理的责任，优化支出结构，保障更好地履行职责，提高资金使用效益。</w:t>
      </w:r>
    </w:p>
    <w:p>
      <w:pPr>
        <w:pStyle w:val="24"/>
        <w:keepNext w:val="0"/>
        <w:keepLines w:val="0"/>
        <w:widowControl/>
        <w:numPr>
          <w:ilvl w:val="0"/>
          <w:numId w:val="8"/>
        </w:numPr>
        <w:suppressLineNumbers w:val="0"/>
        <w:spacing w:before="0" w:beforeAutospacing="0"/>
        <w:ind w:left="0" w:leftChars="0" w:right="0" w:rightChars="0" w:firstLine="0" w:firstLine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 xml:space="preserve">项目自评组织过程 </w:t>
      </w:r>
    </w:p>
    <w:p>
      <w:pPr>
        <w:pStyle w:val="24"/>
        <w:keepNext w:val="0"/>
        <w:keepLines w:val="0"/>
        <w:widowControl/>
        <w:numPr>
          <w:ilvl w:val="0"/>
          <w:numId w:val="9"/>
        </w:numPr>
        <w:suppressLineNumbers w:val="0"/>
        <w:spacing w:before="0" w:beforeAutospacing="0"/>
        <w:ind w:left="0" w:leftChars="0" w:right="0" w:rightChars="0" w:firstLine="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前期准备</w:t>
      </w:r>
    </w:p>
    <w:p>
      <w:pPr>
        <w:pStyle w:val="24"/>
        <w:keepNext w:val="0"/>
        <w:keepLines w:val="0"/>
        <w:widowControl/>
        <w:suppressLineNumbers w:val="0"/>
        <w:spacing w:before="0" w:beforeAutospacing="0"/>
        <w:ind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根据绩效评价的要求，本单位领导高度重视，成立项目自评工作领导小组，对照项目自评方案进行研究和部署，对照各实施项目的内容逐条逐项自评。通过自评发现问题，查找原因，及时纠正偏差，为下一步工作夯实基础。</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Fonts w:hint="eastAsia" w:ascii="宋体" w:hAnsi="宋体" w:eastAsia="宋体" w:cs="宋体"/>
          <w:b w:val="0"/>
          <w:kern w:val="0"/>
          <w:sz w:val="24"/>
          <w:szCs w:val="24"/>
          <w:shd w:val="clear" w:fill="FFFFFF"/>
        </w:rPr>
        <w:t xml:space="preserve"> </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Style w:val="21"/>
          <w:rFonts w:hint="eastAsia" w:ascii="Times New Roman" w:hAnsi="Times New Roman" w:eastAsia="宋体" w:cs="宋体"/>
          <w:b w:val="0"/>
          <w:shd w:val="clear" w:fill="FFFFFF"/>
        </w:rPr>
        <w:t>(2)</w:t>
      </w:r>
      <w:r>
        <w:rPr>
          <w:rStyle w:val="21"/>
          <w:rFonts w:hint="eastAsia" w:ascii="宋体" w:hAnsi="宋体" w:eastAsia="宋体" w:cs="宋体"/>
          <w:b w:val="0"/>
          <w:shd w:val="clear" w:fill="FFFFFF"/>
        </w:rPr>
        <w:t>组织实施</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召开布置会。组织召开了项目绩效自评布置会，就评价对象、评价原则、评价内容、评价目的、评价标准、工作组织、工作步骤和进度、绩效自评报告的填报等做了详细说明。确认绩效指标。结合项目绩效预算中所提出的指标，制定细化绩效自评指标。部门整体支出绩效自评。组织开展部门整体支出绩效自评工。</w:t>
      </w:r>
    </w:p>
    <w:p>
      <w:pPr>
        <w:pStyle w:val="24"/>
        <w:keepNext w:val="0"/>
        <w:keepLines w:val="0"/>
        <w:widowControl/>
        <w:numPr>
          <w:ilvl w:val="0"/>
          <w:numId w:val="9"/>
        </w:numPr>
        <w:suppressLineNumbers w:val="0"/>
        <w:spacing w:before="0" w:beforeAutospacing="0"/>
        <w:ind w:left="0" w:leftChars="0" w:right="0" w:rightChars="0" w:firstLine="0" w:firstLine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综合评价结论</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在县政府的大力支持下，科技项目工作的实施产生了较好的社会效益，充分说明地方党委和政府高度重视科技创新，支持科协发展，让广大群众、广大青少年近距离体验到科技产品，增强了科技意识和科学素养，项目满意度100%。组织2022年项目支出绩效评价工作中，加强了执行中的绩效监控、确保绩效目标实现。绩效评价结果作为下一年度安排项目预算的重要依据，绩效评价结果较好的单位项目优先考虑和重点支持，绩效评价结果较差的单位项目相应减少预算直至取消预算安排。绩效评价结果在一定范围内进行信息公开，严格实行绩效问责制度，提高财政资金使用的公开性和透明度。</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二、项目资金申报及使用情况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（一）项目资金申报及批复情况。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项目资金2022年申报、批复金额7万元，无预算调整。说明项目资金申报、批复及预算调整等程序的相关情况。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（二）资金计划、到位及使用情况。</w:t>
      </w:r>
    </w:p>
    <w:p>
      <w:pPr>
        <w:pStyle w:val="24"/>
        <w:keepNext w:val="0"/>
        <w:keepLines w:val="0"/>
        <w:widowControl/>
        <w:suppressLineNumbers w:val="0"/>
        <w:spacing w:before="0" w:beforeAutospacing="0"/>
        <w:ind w:left="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1．资金计划。县财政资金安排，财政根据单位资金需求，安排下达资金计划，单位申报，财政审批。</w:t>
      </w:r>
    </w:p>
    <w:p>
      <w:pPr>
        <w:pStyle w:val="24"/>
        <w:keepNext w:val="0"/>
        <w:keepLines w:val="0"/>
        <w:widowControl/>
        <w:suppressLineNumbers w:val="0"/>
        <w:spacing w:before="0" w:beforeAutospacing="0"/>
        <w:ind w:left="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2．资金到位。资金到位及时，支付准时。</w:t>
      </w:r>
    </w:p>
    <w:p>
      <w:pPr>
        <w:pStyle w:val="24"/>
        <w:keepNext w:val="0"/>
        <w:keepLines w:val="0"/>
        <w:widowControl/>
        <w:suppressLineNumbers w:val="0"/>
        <w:spacing w:before="0" w:beforeAutospacing="0"/>
        <w:ind w:left="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3．资金使用。资金支付范围主要是测绘费、资料费、租车费、宣传培训费、差旅费等。支付标准按照合同、相关文件执行，支付依据合规合法、与预算相符。</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（三）项目财务管理情况。</w:t>
      </w:r>
    </w:p>
    <w:p>
      <w:pPr>
        <w:pStyle w:val="24"/>
        <w:keepNext w:val="0"/>
        <w:keepLines w:val="0"/>
        <w:widowControl/>
        <w:suppressLineNumbers w:val="0"/>
        <w:spacing w:before="0" w:beforeAutospacing="0"/>
        <w:ind w:left="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项目实施单位财务管理制度健全，严格执行红原县行政事业单位财务管理制度，账务处理及时，会计核算按照预算资金性质、功能分类等，规范处理。</w:t>
      </w:r>
    </w:p>
    <w:p>
      <w:pPr>
        <w:pStyle w:val="24"/>
        <w:keepNext w:val="0"/>
        <w:keepLines w:val="0"/>
        <w:widowControl/>
        <w:numPr>
          <w:ilvl w:val="0"/>
          <w:numId w:val="5"/>
        </w:numPr>
        <w:suppressLineNumbers w:val="0"/>
        <w:spacing w:before="0" w:beforeAutospacing="0"/>
        <w:ind w:left="0" w:leftChars="0" w:firstLine="0" w:firstLineChars="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项目实施及管理情况</w:t>
      </w:r>
    </w:p>
    <w:p>
      <w:pPr>
        <w:pStyle w:val="24"/>
        <w:keepNext w:val="0"/>
        <w:keepLines w:val="0"/>
        <w:widowControl/>
        <w:numPr>
          <w:ilvl w:val="0"/>
          <w:numId w:val="10"/>
        </w:numPr>
        <w:suppressLineNumbers w:val="0"/>
        <w:spacing w:before="0" w:beforeAutospacing="0"/>
        <w:ind w:left="0" w:leftChars="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为规范和加强红原县科协科普惠农项目经费管理，提高资金使用效益，根据上级有关规定，参照中国科协、财政部《“科普惠农兴村计划”实施方案(试行)》和《科普惠农兴村计划专项资金管理办法（试行）》等有关规定，就我县科普活动工作经费管理制定本办法。</w:t>
      </w:r>
    </w:p>
    <w:p>
      <w:pPr>
        <w:pStyle w:val="24"/>
        <w:keepNext w:val="0"/>
        <w:keepLines w:val="0"/>
        <w:widowControl/>
        <w:numPr>
          <w:ilvl w:val="0"/>
          <w:numId w:val="10"/>
        </w:numPr>
        <w:suppressLineNumbers w:val="0"/>
        <w:spacing w:before="0" w:beforeAutospacing="0"/>
        <w:ind w:left="0" w:leftChars="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本办法适用于红原县科协组织实施的“科普惠农”项目。</w:t>
      </w:r>
    </w:p>
    <w:p>
      <w:pPr>
        <w:pStyle w:val="24"/>
        <w:keepNext w:val="0"/>
        <w:keepLines w:val="0"/>
        <w:widowControl/>
        <w:numPr>
          <w:ilvl w:val="0"/>
          <w:numId w:val="10"/>
        </w:numPr>
        <w:suppressLineNumbers w:val="0"/>
        <w:spacing w:before="0" w:beforeAutospacing="0"/>
        <w:ind w:left="0" w:leftChars="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基本原则</w:t>
      </w:r>
    </w:p>
    <w:p>
      <w:pPr>
        <w:pStyle w:val="24"/>
        <w:keepNext w:val="0"/>
        <w:keepLines w:val="0"/>
        <w:widowControl/>
        <w:numPr>
          <w:ilvl w:val="0"/>
          <w:numId w:val="11"/>
        </w:numPr>
        <w:suppressLineNumbers w:val="0"/>
        <w:spacing w:before="0" w:beforeAutospacing="0"/>
        <w:ind w:left="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立足科普，面向全市。采取自愿申报的形式，全县范围内符合申报条件的单位和个人均可申报。申报对象要求立足于农村科普工作，注重社会公益，不以营利为主要目的。</w:t>
      </w:r>
    </w:p>
    <w:p>
      <w:pPr>
        <w:pStyle w:val="24"/>
        <w:keepNext w:val="0"/>
        <w:keepLines w:val="0"/>
        <w:widowControl/>
        <w:numPr>
          <w:ilvl w:val="0"/>
          <w:numId w:val="11"/>
        </w:numPr>
        <w:suppressLineNumbers w:val="0"/>
        <w:spacing w:before="0" w:beforeAutospacing="0"/>
        <w:ind w:left="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差额评选，择优支持。县科协综合年度科普经费资金预算、科普事业发展需要和项目申报情况等因素，最终确定补助名单。实行差额评选制，在申报对象中择优支持</w:t>
      </w:r>
    </w:p>
    <w:p>
      <w:pPr>
        <w:pStyle w:val="24"/>
        <w:keepNext w:val="0"/>
        <w:keepLines w:val="0"/>
        <w:widowControl/>
        <w:numPr>
          <w:ilvl w:val="0"/>
          <w:numId w:val="11"/>
        </w:numPr>
        <w:suppressLineNumbers w:val="0"/>
        <w:spacing w:before="0" w:beforeAutospacing="0"/>
        <w:ind w:left="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奖补结合，追踪问效。县科协安排专项资金，通过以奖代补和奖补结合方式对评选出的单位和个人进行补助和奖励。项目形成后采取事前考察、事中考核、事后验收的程序，规范对项目的实施和管理。县科协对项目资金的使用及其结果实行监督考核和追踪问效，经组织对项目进行实地考核验收，下达书面整改通知后仍不能通过验收的单位和个人，今后将不再给予项目资金支持。</w:t>
      </w:r>
    </w:p>
    <w:p>
      <w:pPr>
        <w:pStyle w:val="24"/>
        <w:keepNext w:val="0"/>
        <w:keepLines w:val="0"/>
        <w:widowControl/>
        <w:numPr>
          <w:ilvl w:val="0"/>
          <w:numId w:val="11"/>
        </w:numPr>
        <w:suppressLineNumbers w:val="0"/>
        <w:spacing w:before="0" w:beforeAutospacing="0"/>
        <w:ind w:left="0" w:right="0" w:rightChars="0" w:firstLine="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项目资金，专款专用。项目资金主要用于奖励和补助单位和个人购置科普资料和设备，以及面向农民和农村青少年开展培训、讲座、展览、引进推广新技术和新品种等农村科普活动的支出。县科协统一监督管理全市“科普惠农”项目实施。</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（一）项目组织架构及实施流程。</w:t>
      </w:r>
    </w:p>
    <w:p>
      <w:pPr>
        <w:pStyle w:val="24"/>
        <w:keepNext w:val="0"/>
        <w:keepLines w:val="0"/>
        <w:widowControl/>
        <w:suppressLineNumbers w:val="0"/>
        <w:spacing w:before="0" w:beforeAutospacing="0"/>
        <w:ind w:left="0"/>
        <w:jc w:val="left"/>
        <w:rPr>
          <w:rFonts w:hint="eastAsia" w:ascii="宋体" w:hAnsi="宋体" w:eastAsia="宋体" w:cs="宋体"/>
          <w:b w:val="0"/>
          <w:kern w:val="0"/>
          <w:sz w:val="24"/>
          <w:szCs w:val="24"/>
          <w:shd w:val="clear" w:fill="FFFFFF"/>
        </w:rPr>
      </w:pPr>
      <w:r>
        <w:rPr>
          <w:rStyle w:val="21"/>
          <w:rFonts w:hint="eastAsia" w:ascii="宋体" w:hAnsi="宋体" w:eastAsia="宋体" w:cs="宋体"/>
          <w:b/>
          <w:shd w:val="clear" w:fill="FFFFFF"/>
        </w:rPr>
        <w:t>（二）项目管理情况。</w:t>
      </w:r>
      <w:r>
        <w:rPr>
          <w:rStyle w:val="21"/>
          <w:rFonts w:hint="eastAsia" w:ascii="宋体" w:hAnsi="宋体" w:eastAsia="宋体" w:cs="宋体"/>
          <w:b w:val="0"/>
          <w:sz w:val="24"/>
          <w:szCs w:val="24"/>
          <w:shd w:val="clear" w:fill="FFFFFF"/>
        </w:rPr>
        <w:t>2022年县级财政专项扶贫资金项目在招投标、政府采购、项目公示制等相关规定上符合管理要求，流程清晰，责任明确。</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（三）项目监管情况。</w:t>
      </w:r>
      <w:r>
        <w:rPr>
          <w:rStyle w:val="21"/>
          <w:rFonts w:hint="eastAsia" w:ascii="宋体" w:hAnsi="宋体" w:eastAsia="宋体" w:cs="宋体"/>
          <w:b w:val="0"/>
          <w:shd w:val="clear" w:fill="FFFFFF"/>
        </w:rPr>
        <w:t>主管部门为加强项目管理成立了内审小组对项目的开展情况进行监管，保证了项目合规合法运行</w:t>
      </w:r>
      <w:r>
        <w:rPr>
          <w:rStyle w:val="21"/>
          <w:rFonts w:hint="eastAsia" w:ascii="宋体" w:hAnsi="宋体" w:eastAsia="宋体" w:cs="宋体"/>
          <w:b/>
          <w:shd w:val="clear" w:fill="FFFFFF"/>
        </w:rPr>
        <w:t>。</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四、项目绩效情况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（一）项目完成情况。</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2021年县级财政专项资金批次共2个项目，分别是：“省级科普专项资金（天府科技云服务中心运维经费）红原县科协5万元项目”、“省级科普专项资金（红原县亚珂牧场科普共享基地）红原县科协7万元项目”2个项目均完成目标任务，实施得到了广大群众的认可，取得了很好的经济和社会效益。</w:t>
      </w:r>
    </w:p>
    <w:p>
      <w:pPr>
        <w:pStyle w:val="24"/>
        <w:keepNext w:val="0"/>
        <w:keepLines w:val="0"/>
        <w:widowControl/>
        <w:numPr>
          <w:ilvl w:val="0"/>
          <w:numId w:val="12"/>
        </w:numPr>
        <w:suppressLineNumbers w:val="0"/>
        <w:spacing w:before="0" w:beforeAutospacing="0"/>
        <w:ind w:left="0" w:firstLine="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项目效益情况。</w:t>
      </w:r>
    </w:p>
    <w:p>
      <w:pPr>
        <w:pStyle w:val="24"/>
        <w:keepNext w:val="0"/>
        <w:keepLines w:val="0"/>
        <w:widowControl/>
        <w:numPr>
          <w:ilvl w:val="0"/>
          <w:numId w:val="13"/>
        </w:numPr>
        <w:suppressLineNumbers w:val="0"/>
        <w:spacing w:before="0" w:beforeAutospacing="0"/>
        <w:ind w:left="0" w:right="0" w:rightChars="0" w:firstLine="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经济效益指标情况</w:t>
      </w:r>
    </w:p>
    <w:p>
      <w:pPr>
        <w:pStyle w:val="24"/>
        <w:keepNext w:val="0"/>
        <w:keepLines w:val="0"/>
        <w:widowControl/>
        <w:suppressLineNumbers w:val="0"/>
        <w:spacing w:before="0" w:beforeAutospacing="0"/>
        <w:ind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反映相关产出对经济社会发展带来的影响和效果，根据项目实际细化具体指标</w:t>
      </w:r>
    </w:p>
    <w:p>
      <w:pPr>
        <w:pStyle w:val="24"/>
        <w:keepNext w:val="0"/>
        <w:keepLines w:val="0"/>
        <w:widowControl/>
        <w:numPr>
          <w:ilvl w:val="0"/>
          <w:numId w:val="13"/>
        </w:numPr>
        <w:suppressLineNumbers w:val="0"/>
        <w:spacing w:before="0" w:beforeAutospacing="0"/>
        <w:ind w:left="0" w:leftChars="0" w:right="0" w:rightChars="0" w:firstLine="0" w:firstLine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社会效益指标情况</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反映相关产出带来影响的可持续期限，根据项目实际细化具体指标。</w:t>
      </w:r>
    </w:p>
    <w:p>
      <w:pPr>
        <w:pStyle w:val="24"/>
        <w:keepNext w:val="0"/>
        <w:keepLines w:val="0"/>
        <w:widowControl/>
        <w:numPr>
          <w:ilvl w:val="0"/>
          <w:numId w:val="13"/>
        </w:numPr>
        <w:suppressLineNumbers w:val="0"/>
        <w:spacing w:before="0" w:beforeAutospacing="0"/>
        <w:ind w:left="0" w:leftChars="0" w:right="0" w:rightChars="0" w:firstLine="0" w:firstLine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可持续影响指标情况分析</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为科普科技工作提供了评定依据，为我县科技事业发展工作提供了强有力的保障，有效提高了广大群众对我县科技事业的重视，保障科技人才队伍不断地壮大</w:t>
      </w:r>
    </w:p>
    <w:p>
      <w:pPr>
        <w:pStyle w:val="24"/>
        <w:keepNext w:val="0"/>
        <w:keepLines w:val="0"/>
        <w:widowControl/>
        <w:numPr>
          <w:ilvl w:val="0"/>
          <w:numId w:val="13"/>
        </w:numPr>
        <w:suppressLineNumbers w:val="0"/>
        <w:spacing w:before="0" w:beforeAutospacing="0"/>
        <w:ind w:left="0" w:leftChars="0" w:right="0" w:rightChars="0" w:firstLine="0" w:firstLine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项目满意度指标。</w:t>
      </w:r>
    </w:p>
    <w:p>
      <w:pPr>
        <w:pStyle w:val="24"/>
        <w:keepNext w:val="0"/>
        <w:keepLines w:val="0"/>
        <w:widowControl/>
        <w:suppressLineNumbers w:val="0"/>
        <w:spacing w:before="0" w:beforeAutospacing="0"/>
        <w:ind w:leftChars="0" w:right="0" w:rightChars="0"/>
        <w:jc w:val="left"/>
        <w:rPr>
          <w:rFonts w:hint="eastAsia" w:ascii="宋体" w:hAnsi="宋体" w:eastAsia="宋体" w:cs="宋体"/>
          <w:b w:val="0"/>
          <w:kern w:val="0"/>
          <w:sz w:val="24"/>
          <w:szCs w:val="24"/>
          <w:shd w:val="clear" w:fill="FFFFFF"/>
        </w:rPr>
      </w:pPr>
      <w:r>
        <w:rPr>
          <w:rStyle w:val="21"/>
          <w:rFonts w:hint="eastAsia" w:ascii="宋体" w:hAnsi="宋体" w:eastAsia="宋体" w:cs="宋体"/>
          <w:b w:val="0"/>
          <w:shd w:val="clear" w:fill="FFFFFF"/>
        </w:rPr>
        <w:t>服务满意度达90%以上，围绕绩效评价指标体系，通过数据采集分析等方式，对该项目绩效进行了客观、公开的评价。</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五、评价结论及建议</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shd w:val="clear" w:fill="FFFFFF"/>
        </w:rPr>
        <w:t>（一）评价结论。</w:t>
      </w:r>
    </w:p>
    <w:p>
      <w:pPr>
        <w:pStyle w:val="24"/>
        <w:keepNext w:val="0"/>
        <w:keepLines w:val="0"/>
        <w:widowControl/>
        <w:suppressLineNumbers w:val="0"/>
        <w:spacing w:before="0" w:beforeAutospacing="0"/>
        <w:ind w:left="0"/>
        <w:jc w:val="left"/>
        <w:rPr>
          <w:rFonts w:hint="eastAsia" w:ascii="宋体" w:hAnsi="宋体" w:eastAsia="宋体" w:cs="宋体"/>
          <w:b/>
          <w:kern w:val="0"/>
          <w:sz w:val="24"/>
          <w:szCs w:val="24"/>
          <w:shd w:val="clear" w:fill="FFFFFF"/>
        </w:rPr>
      </w:pPr>
      <w:r>
        <w:rPr>
          <w:rStyle w:val="21"/>
          <w:rFonts w:hint="eastAsia" w:ascii="宋体" w:hAnsi="宋体" w:eastAsia="宋体" w:cs="宋体"/>
          <w:b w:val="0"/>
          <w:shd w:val="clear" w:fill="FFFFFF"/>
        </w:rPr>
        <w:t>2021年县级财政专项扶贫资金项目实施完成，评价结论89分。</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（二）存在的问题。</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结合自评情况，分析存在的问题及原因。单位结合自评工作发现问题，项目实施及后期工作良好，项目管理有待加强，比如管理条列规定不明确，单位管理任务的分工划分还需进一步明细化和标准化。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21"/>
          <w:rFonts w:hint="eastAsia" w:ascii="宋体" w:hAnsi="宋体" w:eastAsia="宋体" w:cs="宋体"/>
          <w:b/>
          <w:shd w:val="clear" w:fill="FFFFFF"/>
        </w:rPr>
        <w:t>（三）相关建议。</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为保证我科协的科普项目能够扎实有效实施，项目经费筹集、管理、使用到位，规范收支，专款专用，根据项目实施方案要求，结合自身实际，分别制定相应措施，严格项目实施和经费管理。在实行项目效果管理，坚持“建、管、用”并重原则，合理配置，严格按照项目的目标任务，明确经费开支范围，有效整合各项资源，避免重复浪费，较好的确保了项目顺利开展、实施收效明显。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b/>
          <w:kern w:val="0"/>
          <w:sz w:val="39"/>
          <w:szCs w:val="39"/>
          <w:shd w:val="clear" w:fill="FFFFFF"/>
        </w:rPr>
      </w:pPr>
      <w:r>
        <w:rPr>
          <w:rStyle w:val="21"/>
          <w:rFonts w:hint="eastAsia" w:ascii="宋体" w:hAnsi="宋体" w:eastAsia="宋体" w:cs="宋体"/>
          <w:b/>
          <w:sz w:val="39"/>
          <w:szCs w:val="39"/>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b/>
          <w:kern w:val="0"/>
          <w:sz w:val="39"/>
          <w:szCs w:val="39"/>
          <w:shd w:val="clear" w:fill="FFFFFF"/>
        </w:rPr>
      </w:pPr>
      <w:r>
        <w:rPr>
          <w:rStyle w:val="21"/>
          <w:rFonts w:hint="eastAsia" w:ascii="宋体" w:hAnsi="宋体" w:eastAsia="宋体" w:cs="宋体"/>
          <w:b/>
          <w:sz w:val="39"/>
          <w:szCs w:val="39"/>
          <w:shd w:val="clear" w:fill="FFFFFF"/>
        </w:rPr>
        <w:t xml:space="preserve"> </w:t>
      </w:r>
    </w:p>
    <w:p>
      <w:pPr>
        <w:pStyle w:val="24"/>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21"/>
          <w:rFonts w:hint="eastAsia" w:ascii="宋体" w:hAnsi="宋体" w:eastAsia="宋体" w:cs="宋体"/>
          <w:b/>
          <w:sz w:val="39"/>
          <w:szCs w:val="39"/>
          <w:shd w:val="clear" w:fill="FFFFFF"/>
        </w:rPr>
        <w:t xml:space="preserve"> 第五部分 附表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一、收入支出决算总表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二、收入决算表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三、支出决算表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四、财政拨款收入支出决算总表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五、财政拨款支出决算明细表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六、一般公共预算财政拨款支出决算表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七、一般公共预算财政拨款支出决算明细表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八、一般公共预算财政拨款基本支出决算表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九、一般公共预算财政拨款项目支出决算表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十、政府性基金预算财政拨款收入支出决算表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十一、国有资本经营预算财政拨款收入支出决算表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十二、国有资本经营预算财政拨款支出决算表</w:t>
      </w:r>
    </w:p>
    <w:p>
      <w:pPr>
        <w:pStyle w:val="3"/>
        <w:keepNext w:val="0"/>
        <w:keepLines w:val="0"/>
        <w:widowControl/>
        <w:suppressLineNumbers w:val="0"/>
        <w:spacing w:before="0" w:beforeAutospacing="0"/>
        <w:ind w:left="0"/>
        <w:jc w:val="left"/>
        <w:rPr>
          <w:rFonts w:hint="eastAsia" w:ascii="宋体" w:hAnsi="宋体" w:eastAsia="宋体" w:cs="宋体"/>
          <w:b/>
          <w:kern w:val="0"/>
          <w:sz w:val="36"/>
          <w:szCs w:val="36"/>
        </w:rPr>
      </w:pPr>
      <w:r>
        <w:rPr>
          <w:rFonts w:hint="eastAsia" w:ascii="宋体" w:hAnsi="宋体" w:eastAsia="宋体" w:cs="宋体"/>
          <w:b/>
          <w:kern w:val="0"/>
          <w:sz w:val="36"/>
          <w:szCs w:val="36"/>
          <w:shd w:val="clear" w:fill="FFFFFF"/>
        </w:rPr>
        <w:t>十三、财政拨款“三公”经费支出决算表</w:t>
      </w: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B23AC"/>
    <w:multiLevelType w:val="multilevel"/>
    <w:tmpl w:val="801B23AC"/>
    <w:lvl w:ilvl="0" w:tentative="0">
      <w:start w:val="1"/>
      <w:numFmt w:val="chineseCounting"/>
      <w:suff w:val="space"/>
      <w:lvlText w:val="第%1条"/>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933051BF"/>
    <w:multiLevelType w:val="multilevel"/>
    <w:tmpl w:val="933051BF"/>
    <w:lvl w:ilvl="0" w:tentative="0">
      <w:start w:val="1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A7E1F80C"/>
    <w:multiLevelType w:val="multilevel"/>
    <w:tmpl w:val="A7E1F80C"/>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B0D5A218"/>
    <w:multiLevelType w:val="multilevel"/>
    <w:tmpl w:val="B0D5A218"/>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
    <w:nsid w:val="D0466C1B"/>
    <w:multiLevelType w:val="multilevel"/>
    <w:tmpl w:val="D0466C1B"/>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
    <w:nsid w:val="E8BEFB93"/>
    <w:multiLevelType w:val="multilevel"/>
    <w:tmpl w:val="E8BEFB93"/>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04D62AF5"/>
    <w:multiLevelType w:val="multilevel"/>
    <w:tmpl w:val="04D62AF5"/>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7">
    <w:nsid w:val="14D5DE21"/>
    <w:multiLevelType w:val="multilevel"/>
    <w:tmpl w:val="14D5DE21"/>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
    <w:nsid w:val="22A88B7C"/>
    <w:multiLevelType w:val="multilevel"/>
    <w:tmpl w:val="22A88B7C"/>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341DEA24"/>
    <w:multiLevelType w:val="multilevel"/>
    <w:tmpl w:val="341DEA24"/>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0">
    <w:nsid w:val="354EA928"/>
    <w:multiLevelType w:val="multilevel"/>
    <w:tmpl w:val="354EA928"/>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1">
    <w:nsid w:val="37458E88"/>
    <w:multiLevelType w:val="multilevel"/>
    <w:tmpl w:val="37458E88"/>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2">
    <w:nsid w:val="56725A47"/>
    <w:multiLevelType w:val="multilevel"/>
    <w:tmpl w:val="56725A47"/>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2"/>
  </w:num>
  <w:num w:numId="2">
    <w:abstractNumId w:val="11"/>
  </w:num>
  <w:num w:numId="3">
    <w:abstractNumId w:val="1"/>
  </w:num>
  <w:num w:numId="4">
    <w:abstractNumId w:val="4"/>
  </w:num>
  <w:num w:numId="5">
    <w:abstractNumId w:val="6"/>
  </w:num>
  <w:num w:numId="6">
    <w:abstractNumId w:val="3"/>
  </w:num>
  <w:num w:numId="7">
    <w:abstractNumId w:val="10"/>
  </w:num>
  <w:num w:numId="8">
    <w:abstractNumId w:val="2"/>
  </w:num>
  <w:num w:numId="9">
    <w:abstractNumId w:val="5"/>
  </w:num>
  <w:num w:numId="10">
    <w:abstractNumId w:val="0"/>
  </w:num>
  <w:num w:numId="11">
    <w:abstractNumId w:val="7"/>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true"/>
  <w:bordersDoNotSurroundFooter w:val="true"/>
  <w:documentProtection w:enforcement="0"/>
  <w:defaultTabStop w:val="420"/>
  <w:drawingGridVerticalSpacing w:val="156"/>
  <w:displayHorizontalDrawingGridEvery w:val="0"/>
  <w:displayVerticalDrawingGridEvery w:val="2"/>
  <w:noPunctuationKerning w:val="true"/>
  <w:characterSpacingControl w:val="doNotCompress"/>
  <w:compat>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9FF705"/>
    <w:rsid w:val="57FC70B0"/>
    <w:rsid w:val="C459C016"/>
    <w:rsid w:val="FBD913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kern w:val="0"/>
      <w:sz w:val="15"/>
      <w:szCs w:val="15"/>
      <w:lang w:val="en-US" w:eastAsia="zh-CN" w:bidi="ar"/>
    </w:rPr>
  </w:style>
  <w:style w:type="character" w:default="1" w:styleId="11">
    <w:name w:val="Default Paragraph Font"/>
    <w:semiHidden/>
    <w:unhideWhenUsed/>
    <w:qFormat/>
    <w:uiPriority w:val="99"/>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2">
    <w:name w:val="18"/>
    <w:basedOn w:val="11"/>
    <w:qFormat/>
    <w:uiPriority w:val="0"/>
    <w:rPr>
      <w:rFonts w:hint="default" w:ascii="Times New Roman" w:hAnsi="Times New Roman" w:cs="Times New Roman"/>
    </w:rPr>
  </w:style>
  <w:style w:type="character" w:customStyle="1" w:styleId="13">
    <w:name w:val="19"/>
    <w:basedOn w:val="11"/>
    <w:qFormat/>
    <w:uiPriority w:val="0"/>
    <w:rPr>
      <w:rFonts w:hint="default" w:ascii="Times New Roman" w:hAnsi="Times New Roman" w:cs="Times New Roman"/>
      <w:b/>
      <w:color w:val="000000"/>
      <w:sz w:val="24"/>
      <w:szCs w:val="24"/>
    </w:rPr>
  </w:style>
  <w:style w:type="character" w:customStyle="1" w:styleId="14">
    <w:name w:val="15"/>
    <w:basedOn w:val="11"/>
    <w:qFormat/>
    <w:uiPriority w:val="0"/>
    <w:rPr>
      <w:rFonts w:hint="eastAsia" w:ascii="仿宋" w:hAnsi="仿宋" w:eastAsia="仿宋" w:cs="仿宋"/>
      <w:color w:val="000000"/>
      <w:sz w:val="32"/>
      <w:szCs w:val="32"/>
    </w:rPr>
  </w:style>
  <w:style w:type="paragraph" w:customStyle="1" w:styleId="15">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6">
    <w:name w:val="20"/>
    <w:basedOn w:val="11"/>
    <w:qFormat/>
    <w:uiPriority w:val="0"/>
    <w:rPr>
      <w:rFonts w:hint="default" w:ascii="Times New Roman" w:hAnsi="Times New Roman" w:cs="Times New Roman"/>
    </w:rPr>
  </w:style>
  <w:style w:type="character" w:customStyle="1" w:styleId="17">
    <w:name w:val="24"/>
    <w:basedOn w:val="11"/>
    <w:qFormat/>
    <w:uiPriority w:val="0"/>
    <w:rPr>
      <w:rFonts w:hint="eastAsia" w:ascii="仿宋_GB2312" w:eastAsia="仿宋_GB2312" w:cs="仿宋_GB2312"/>
      <w:color w:val="000000"/>
      <w:sz w:val="32"/>
      <w:szCs w:val="32"/>
    </w:rPr>
  </w:style>
  <w:style w:type="character" w:customStyle="1" w:styleId="18">
    <w:name w:val="10"/>
    <w:basedOn w:val="11"/>
    <w:qFormat/>
    <w:uiPriority w:val="0"/>
    <w:rPr>
      <w:rFonts w:hint="default" w:ascii="Times New Roman" w:hAnsi="Times New Roman" w:cs="Times New Roman"/>
    </w:rPr>
  </w:style>
  <w:style w:type="character" w:customStyle="1" w:styleId="19">
    <w:name w:val="16"/>
    <w:basedOn w:val="11"/>
    <w:qFormat/>
    <w:uiPriority w:val="0"/>
    <w:rPr>
      <w:rFonts w:hint="eastAsia" w:ascii="仿宋_GB2312" w:eastAsia="仿宋_GB2312" w:cs="仿宋_GB2312"/>
      <w:color w:val="000000"/>
      <w:sz w:val="32"/>
      <w:szCs w:val="32"/>
    </w:rPr>
  </w:style>
  <w:style w:type="character" w:customStyle="1" w:styleId="20">
    <w:name w:val="17"/>
    <w:basedOn w:val="11"/>
    <w:qFormat/>
    <w:uiPriority w:val="0"/>
    <w:rPr>
      <w:rFonts w:hint="default" w:ascii="Times New Roman" w:hAnsi="Times New Roman" w:cs="Times New Roman"/>
      <w:b/>
      <w:color w:val="000000"/>
      <w:sz w:val="24"/>
      <w:szCs w:val="24"/>
    </w:rPr>
  </w:style>
  <w:style w:type="character" w:customStyle="1" w:styleId="21">
    <w:name w:val="21"/>
    <w:basedOn w:val="11"/>
    <w:qFormat/>
    <w:uiPriority w:val="0"/>
    <w:rPr>
      <w:rFonts w:hint="default" w:ascii="Times New Roman" w:hAnsi="Times New Roman" w:cs="Times New Roman"/>
      <w:b/>
    </w:rPr>
  </w:style>
  <w:style w:type="character" w:customStyle="1" w:styleId="22">
    <w:name w:val="22"/>
    <w:basedOn w:val="11"/>
    <w:qFormat/>
    <w:uiPriority w:val="0"/>
    <w:rPr>
      <w:rFonts w:hint="eastAsia" w:ascii="宋体" w:hAnsi="宋体" w:eastAsia="宋体" w:cs="宋体"/>
      <w:color w:val="000000"/>
      <w:sz w:val="24"/>
      <w:szCs w:val="24"/>
    </w:rPr>
  </w:style>
  <w:style w:type="character" w:customStyle="1" w:styleId="23">
    <w:name w:val="23"/>
    <w:basedOn w:val="11"/>
    <w:qFormat/>
    <w:uiPriority w:val="0"/>
    <w:rPr>
      <w:rFonts w:hint="eastAsia" w:ascii="宋体" w:hAnsi="宋体" w:eastAsia="宋体" w:cs="宋体"/>
      <w:color w:val="000000"/>
      <w:sz w:val="20"/>
      <w:szCs w:val="20"/>
    </w:rPr>
  </w:style>
  <w:style w:type="paragraph" w:customStyle="1" w:styleId="2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5">
    <w:name w:val="HTML 预设格式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5</TotalTime>
  <ScaleCrop>false</ScaleCrop>
  <LinksUpToDate>false</LinksUpToDate>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2023-11-02T15:09:00Z</dcterms:created>
  <dc:creator>Administrator.SKY-20220301GVU</dc:creator>
  <cp:lastModifiedBy>user</cp:lastModifiedBy>
  <dcterms:modified xsi:type="dcterms:W3CDTF">2023-11-03T12:36:50Z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