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77193"/>
      <w:bookmarkStart w:id="4" w:name="_Toc15396597"/>
      <w:bookmarkStart w:id="5" w:name="_Toc1537742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96598"/>
      <w:bookmarkStart w:id="8" w:name="_Toc15378442"/>
      <w:bookmarkStart w:id="9" w:name="_Toc15377426"/>
      <w:bookmarkStart w:id="10" w:name="_Toc15396476"/>
      <w:r>
        <w:rPr>
          <w:rFonts w:hint="eastAsia" w:ascii="方正小标宋简体" w:hAnsi="宋体" w:eastAsia="方正小标宋简体"/>
          <w:color w:val="000000"/>
          <w:sz w:val="72"/>
          <w:szCs w:val="72"/>
        </w:rPr>
        <w:t>四川省阿坝州红原县</w:t>
      </w:r>
      <w:bookmarkEnd w:id="0"/>
      <w:bookmarkStart w:id="11" w:name="_Toc15306268"/>
      <w:r>
        <w:rPr>
          <w:rFonts w:hint="eastAsia" w:ascii="方正小标宋简体" w:hAnsi="宋体" w:eastAsia="方正小标宋简体"/>
          <w:color w:val="000000"/>
          <w:sz w:val="72"/>
          <w:szCs w:val="72"/>
        </w:rPr>
        <w:t>科学技术协会决算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1"/>
        <w:adjustRightInd w:val="0"/>
        <w:snapToGrid w:val="0"/>
        <w:spacing w:line="440" w:lineRule="exact"/>
        <w:jc w:val="left"/>
        <w:rPr>
          <w:rFonts w:ascii="仿宋" w:hAnsi="仿宋" w:eastAsia="仿宋" w:cstheme="minorBidi"/>
          <w:sz w:val="24"/>
        </w:rPr>
      </w:pPr>
      <w:bookmarkStart w:id="70" w:name="_GoBack"/>
      <w:bookmarkEnd w:id="70"/>
      <w:r>
        <w:rPr>
          <w:rFonts w:hint="eastAsia"/>
          <w:sz w:val="24"/>
        </w:rPr>
        <w:t>第一部分</w:t>
      </w:r>
      <w:r>
        <w:rPr>
          <w:sz w:val="24"/>
        </w:rPr>
        <w:t xml:space="preserve"> </w:t>
      </w:r>
      <w:r>
        <w:rPr>
          <w:rFonts w:hint="eastAsia"/>
          <w:sz w:val="24"/>
        </w:rPr>
        <w:t>部门概况</w:t>
      </w:r>
      <w:r>
        <w:ptab w:relativeTo="margin" w:alignment="right" w:leader="dot"/>
      </w:r>
      <w:r>
        <w:rPr>
          <w:rFonts w:hint="eastAsia"/>
          <w:lang w:val="zh-CN"/>
        </w:rPr>
        <w:t>4</w:t>
      </w:r>
    </w:p>
    <w:p>
      <w:pPr>
        <w:pStyle w:val="11"/>
        <w:adjustRightInd w:val="0"/>
        <w:snapToGrid w:val="0"/>
        <w:spacing w:line="440" w:lineRule="exact"/>
        <w:jc w:val="left"/>
        <w:rPr>
          <w:rFonts w:ascii="仿宋" w:hAnsi="仿宋" w:eastAsia="仿宋" w:cstheme="minorBidi"/>
          <w:sz w:val="24"/>
        </w:rPr>
      </w:pPr>
      <w:r>
        <w:rPr>
          <w:rFonts w:hint="eastAsia"/>
          <w:sz w:val="24"/>
        </w:rPr>
        <w:t>一、基本职能及主要工作</w:t>
      </w:r>
      <w:r>
        <w:ptab w:relativeTo="margin" w:alignment="right" w:leader="dot"/>
      </w:r>
      <w:r>
        <w:rPr>
          <w:rFonts w:hint="eastAsia"/>
          <w:lang w:val="zh-CN"/>
        </w:rPr>
        <w:t>4</w:t>
      </w:r>
    </w:p>
    <w:p>
      <w:pPr>
        <w:pStyle w:val="11"/>
        <w:adjustRightInd w:val="0"/>
        <w:snapToGrid w:val="0"/>
        <w:spacing w:line="440" w:lineRule="exact"/>
        <w:jc w:val="left"/>
        <w:rPr>
          <w:rFonts w:ascii="仿宋" w:hAnsi="仿宋" w:eastAsia="仿宋" w:cstheme="minorBidi"/>
          <w:sz w:val="24"/>
        </w:rPr>
      </w:pPr>
      <w:r>
        <w:rPr>
          <w:rFonts w:hint="eastAsia"/>
          <w:sz w:val="24"/>
        </w:rPr>
        <w:t>二、机构设置</w:t>
      </w:r>
      <w:r>
        <w:ptab w:relativeTo="margin" w:alignment="right" w:leader="dot"/>
      </w:r>
      <w:r>
        <w:rPr>
          <w:rFonts w:hint="eastAsia"/>
          <w:lang w:val="zh-CN"/>
        </w:rPr>
        <w:t>5</w:t>
      </w:r>
    </w:p>
    <w:p>
      <w:pPr>
        <w:pStyle w:val="11"/>
        <w:adjustRightInd w:val="0"/>
        <w:snapToGrid w:val="0"/>
        <w:spacing w:line="440" w:lineRule="exact"/>
        <w:jc w:val="left"/>
        <w:rPr>
          <w:rFonts w:ascii="仿宋" w:hAnsi="仿宋" w:eastAsia="仿宋" w:cstheme="minorBidi"/>
          <w:sz w:val="24"/>
        </w:rPr>
      </w:pPr>
      <w:r>
        <w:rPr>
          <w:rFonts w:hint="eastAsia"/>
          <w:sz w:val="24"/>
        </w:rPr>
        <w:t>第二部分部门决算情况说明</w:t>
      </w:r>
      <w:r>
        <w:ptab w:relativeTo="margin" w:alignment="right" w:leader="dot"/>
      </w:r>
      <w:r>
        <w:rPr>
          <w:lang w:val="zh-CN"/>
        </w:rPr>
        <w:t>6</w:t>
      </w:r>
    </w:p>
    <w:p>
      <w:pPr>
        <w:pStyle w:val="11"/>
        <w:adjustRightInd w:val="0"/>
        <w:snapToGrid w:val="0"/>
        <w:spacing w:line="440" w:lineRule="exact"/>
        <w:jc w:val="left"/>
        <w:rPr>
          <w:rFonts w:ascii="仿宋" w:hAnsi="仿宋" w:eastAsia="仿宋" w:cstheme="minorBidi"/>
          <w:sz w:val="24"/>
        </w:rPr>
      </w:pPr>
      <w:r>
        <w:rPr>
          <w:rFonts w:hint="eastAsia"/>
          <w:sz w:val="24"/>
        </w:rPr>
        <w:t>一、收入支出决算总体情况说明</w:t>
      </w:r>
      <w:bookmarkStart w:id="12" w:name="_Hlk54096811"/>
      <w:r>
        <w:ptab w:relativeTo="margin" w:alignment="right" w:leader="dot"/>
      </w:r>
      <w:r>
        <w:rPr>
          <w:lang w:val="zh-CN"/>
        </w:rPr>
        <w:t>6</w:t>
      </w:r>
    </w:p>
    <w:bookmarkEnd w:id="12"/>
    <w:p>
      <w:pPr>
        <w:pStyle w:val="11"/>
        <w:adjustRightInd w:val="0"/>
        <w:snapToGrid w:val="0"/>
        <w:spacing w:line="440" w:lineRule="exact"/>
        <w:jc w:val="left"/>
        <w:rPr>
          <w:rFonts w:ascii="仿宋" w:hAnsi="仿宋" w:eastAsia="仿宋" w:cstheme="minorBidi"/>
          <w:sz w:val="24"/>
        </w:rPr>
      </w:pPr>
      <w:r>
        <w:rPr>
          <w:rFonts w:hint="eastAsia"/>
          <w:sz w:val="24"/>
        </w:rPr>
        <w:t>二、收入决算情况说明</w:t>
      </w:r>
      <w:r>
        <w:ptab w:relativeTo="margin" w:alignment="right" w:leader="dot"/>
      </w:r>
      <w:r>
        <w:rPr>
          <w:lang w:val="zh-CN"/>
        </w:rPr>
        <w:t>6</w:t>
      </w:r>
    </w:p>
    <w:p>
      <w:pPr>
        <w:pStyle w:val="11"/>
        <w:adjustRightInd w:val="0"/>
        <w:snapToGrid w:val="0"/>
        <w:spacing w:line="440" w:lineRule="exact"/>
        <w:jc w:val="left"/>
        <w:rPr>
          <w:rFonts w:ascii="仿宋" w:hAnsi="仿宋" w:eastAsia="仿宋" w:cstheme="minorBidi"/>
          <w:sz w:val="24"/>
        </w:rPr>
      </w:pPr>
      <w:r>
        <w:rPr>
          <w:rFonts w:hint="eastAsia"/>
          <w:sz w:val="24"/>
        </w:rPr>
        <w:t>三、支出决算情况说明</w:t>
      </w:r>
      <w:r>
        <w:ptab w:relativeTo="margin" w:alignment="right" w:leader="dot"/>
      </w:r>
      <w:r>
        <w:rPr>
          <w:lang w:val="zh-CN"/>
        </w:rPr>
        <w:t>6</w:t>
      </w:r>
    </w:p>
    <w:p>
      <w:pPr>
        <w:pStyle w:val="11"/>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r>
        <w:ptab w:relativeTo="margin" w:alignment="right" w:leader="dot"/>
      </w:r>
      <w:r>
        <w:rPr>
          <w:rFonts w:hint="eastAsia"/>
          <w:lang w:val="zh-CN"/>
        </w:rPr>
        <w:t>7</w:t>
      </w:r>
    </w:p>
    <w:p>
      <w:pPr>
        <w:pStyle w:val="11"/>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r>
        <w:ptab w:relativeTo="margin" w:alignment="right" w:leader="dot"/>
      </w:r>
      <w:r>
        <w:rPr>
          <w:rFonts w:hint="eastAsia"/>
          <w:lang w:val="zh-CN"/>
        </w:rPr>
        <w:t>7</w:t>
      </w:r>
    </w:p>
    <w:p>
      <w:pPr>
        <w:pStyle w:val="11"/>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r>
        <w:ptab w:relativeTo="margin" w:alignment="right" w:leader="dot"/>
      </w:r>
      <w:r>
        <w:rPr>
          <w:rFonts w:hint="eastAsia"/>
          <w:lang w:val="zh-CN"/>
        </w:rPr>
        <w:t>10</w:t>
      </w:r>
    </w:p>
    <w:p>
      <w:pPr>
        <w:pStyle w:val="11"/>
        <w:adjustRightInd w:val="0"/>
        <w:snapToGrid w:val="0"/>
        <w:spacing w:line="440" w:lineRule="exact"/>
        <w:jc w:val="left"/>
        <w:rPr>
          <w:rFonts w:ascii="仿宋" w:hAnsi="仿宋" w:eastAsia="仿宋" w:cstheme="minorBidi"/>
          <w:sz w:val="24"/>
        </w:rPr>
      </w:pPr>
      <w:r>
        <w:rPr>
          <w:rFonts w:hint="eastAsia"/>
          <w:sz w:val="24"/>
        </w:rPr>
        <w:t>七、</w:t>
      </w:r>
      <w:r>
        <w:rPr>
          <w:sz w:val="24"/>
        </w:rPr>
        <w:t>“</w:t>
      </w:r>
      <w:r>
        <w:rPr>
          <w:rFonts w:hint="eastAsia"/>
          <w:sz w:val="24"/>
        </w:rPr>
        <w:t>三公”经费财政拨款支出决算情况说明</w:t>
      </w:r>
      <w:r>
        <w:ptab w:relativeTo="margin" w:alignment="right" w:leader="dot"/>
      </w:r>
      <w:r>
        <w:rPr>
          <w:rFonts w:hint="eastAsia"/>
          <w:lang w:val="zh-CN"/>
        </w:rPr>
        <w:t>11</w:t>
      </w:r>
    </w:p>
    <w:p>
      <w:pPr>
        <w:pStyle w:val="11"/>
        <w:adjustRightInd w:val="0"/>
        <w:snapToGrid w:val="0"/>
        <w:spacing w:line="440" w:lineRule="exact"/>
        <w:jc w:val="left"/>
        <w:rPr>
          <w:rFonts w:ascii="仿宋" w:hAnsi="仿宋" w:eastAsia="仿宋" w:cstheme="minorBidi"/>
          <w:sz w:val="24"/>
        </w:rPr>
      </w:pPr>
      <w:r>
        <w:rPr>
          <w:rFonts w:hint="eastAsia"/>
          <w:sz w:val="24"/>
        </w:rPr>
        <w:t>八、政府性基金预算支出决算情况说明</w:t>
      </w:r>
      <w:r>
        <w:ptab w:relativeTo="margin" w:alignment="right" w:leader="dot"/>
      </w:r>
      <w:r>
        <w:rPr>
          <w:rFonts w:hint="eastAsia"/>
          <w:lang w:val="zh-CN"/>
        </w:rPr>
        <w:t>12</w:t>
      </w:r>
    </w:p>
    <w:p>
      <w:pPr>
        <w:pStyle w:val="11"/>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sz w:val="24"/>
        </w:rPr>
        <w:t xml:space="preserve"> 国</w:t>
      </w:r>
      <w:r>
        <w:rPr>
          <w:rFonts w:hint="eastAsia"/>
          <w:sz w:val="24"/>
        </w:rPr>
        <w:t>有资本经营预算支出决算情况说明</w:t>
      </w:r>
      <w:r>
        <w:ptab w:relativeTo="margin" w:alignment="right" w:leader="dot"/>
      </w:r>
      <w:r>
        <w:rPr>
          <w:rFonts w:hint="eastAsia"/>
          <w:lang w:val="zh-CN"/>
        </w:rPr>
        <w:t>12</w:t>
      </w:r>
    </w:p>
    <w:p>
      <w:pPr>
        <w:adjustRightInd w:val="0"/>
        <w:snapToGrid w:val="0"/>
        <w:spacing w:line="440" w:lineRule="exact"/>
        <w:ind w:firstLine="480" w:firstLineChars="200"/>
        <w:jc w:val="left"/>
        <w:rPr>
          <w:rFonts w:ascii="仿宋" w:hAnsi="仿宋" w:eastAsia="仿宋" w:cstheme="minorBidi"/>
          <w:sz w:val="24"/>
        </w:rPr>
      </w:pPr>
      <w:r>
        <w:rPr>
          <w:rStyle w:val="17"/>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ptab w:relativeTo="margin" w:alignment="right" w:leader="dot"/>
      </w:r>
      <w:r>
        <w:rPr>
          <w:rFonts w:hint="eastAsia"/>
          <w:lang w:val="zh-CN"/>
        </w:rPr>
        <w:t>12</w:t>
      </w:r>
    </w:p>
    <w:p>
      <w:pPr>
        <w:pStyle w:val="11"/>
        <w:adjustRightInd w:val="0"/>
        <w:snapToGrid w:val="0"/>
        <w:spacing w:line="440" w:lineRule="exact"/>
        <w:jc w:val="left"/>
        <w:rPr>
          <w:rFonts w:ascii="仿宋" w:hAnsi="仿宋" w:eastAsia="仿宋" w:cstheme="minorBidi"/>
          <w:sz w:val="24"/>
        </w:rPr>
      </w:pPr>
      <w:r>
        <w:rPr>
          <w:rFonts w:hint="eastAsia"/>
          <w:sz w:val="24"/>
        </w:rPr>
        <w:t>第三部分</w:t>
      </w:r>
      <w:r>
        <w:rPr>
          <w:sz w:val="24"/>
        </w:rPr>
        <w:t xml:space="preserve"> </w:t>
      </w:r>
      <w:r>
        <w:rPr>
          <w:rFonts w:hint="eastAsia"/>
          <w:sz w:val="24"/>
        </w:rPr>
        <w:t>名词解释</w:t>
      </w:r>
      <w:r>
        <w:ptab w:relativeTo="margin" w:alignment="right" w:leader="dot"/>
      </w:r>
      <w:r>
        <w:rPr>
          <w:rFonts w:hint="eastAsia"/>
          <w:lang w:val="zh-CN"/>
        </w:rPr>
        <w:t>22</w:t>
      </w:r>
    </w:p>
    <w:p>
      <w:pPr>
        <w:pStyle w:val="11"/>
        <w:adjustRightInd w:val="0"/>
        <w:snapToGrid w:val="0"/>
        <w:spacing w:line="440" w:lineRule="exact"/>
        <w:jc w:val="left"/>
        <w:rPr>
          <w:rFonts w:ascii="仿宋" w:hAnsi="仿宋" w:eastAsia="仿宋" w:cstheme="minorBidi"/>
          <w:sz w:val="24"/>
        </w:rPr>
      </w:pPr>
      <w:r>
        <w:rPr>
          <w:rFonts w:hint="eastAsia"/>
          <w:sz w:val="24"/>
        </w:rPr>
        <w:t>第四部分</w:t>
      </w:r>
      <w:r>
        <w:rPr>
          <w:sz w:val="24"/>
        </w:rPr>
        <w:t xml:space="preserve"> </w:t>
      </w:r>
      <w:r>
        <w:rPr>
          <w:rFonts w:hint="eastAsia"/>
          <w:sz w:val="24"/>
        </w:rPr>
        <w:t>附件</w:t>
      </w:r>
      <w:r>
        <w:ptab w:relativeTo="margin" w:alignment="right" w:leader="dot"/>
      </w:r>
      <w:r>
        <w:rPr>
          <w:rFonts w:hint="eastAsia"/>
          <w:lang w:val="zh-CN"/>
        </w:rPr>
        <w:t>25</w:t>
      </w:r>
    </w:p>
    <w:p>
      <w:pPr>
        <w:pStyle w:val="11"/>
        <w:adjustRightInd w:val="0"/>
        <w:snapToGrid w:val="0"/>
        <w:spacing w:line="440" w:lineRule="exact"/>
        <w:jc w:val="left"/>
        <w:rPr>
          <w:rFonts w:ascii="仿宋" w:hAnsi="仿宋" w:eastAsia="仿宋" w:cstheme="minorBidi"/>
          <w:sz w:val="24"/>
        </w:rPr>
      </w:pPr>
      <w:r>
        <w:rPr>
          <w:rFonts w:hint="eastAsia"/>
          <w:sz w:val="24"/>
        </w:rPr>
        <w:t>附件</w:t>
      </w:r>
      <w:r>
        <w:rPr>
          <w:sz w:val="24"/>
        </w:rPr>
        <w:t>1</w:t>
      </w:r>
      <w:r>
        <w:ptab w:relativeTo="margin" w:alignment="right" w:leader="dot"/>
      </w:r>
      <w:r>
        <w:rPr>
          <w:rFonts w:hint="eastAsia"/>
        </w:rPr>
        <w:t>31</w:t>
      </w:r>
    </w:p>
    <w:p>
      <w:pPr>
        <w:pStyle w:val="11"/>
        <w:adjustRightInd w:val="0"/>
        <w:snapToGrid w:val="0"/>
        <w:spacing w:line="440" w:lineRule="exact"/>
        <w:jc w:val="left"/>
        <w:rPr>
          <w:rFonts w:ascii="仿宋" w:hAnsi="仿宋" w:eastAsia="仿宋" w:cstheme="minorBidi"/>
          <w:sz w:val="24"/>
        </w:rPr>
      </w:pPr>
      <w:r>
        <w:rPr>
          <w:rFonts w:hint="eastAsia"/>
          <w:sz w:val="24"/>
        </w:rPr>
        <w:t>附件</w:t>
      </w:r>
      <w:r>
        <w:rPr>
          <w:sz w:val="24"/>
        </w:rPr>
        <w:t>2</w:t>
      </w:r>
      <w:r>
        <w:ptab w:relativeTo="margin" w:alignment="right" w:leader="dot"/>
      </w:r>
      <w:r>
        <w:rPr>
          <w:rFonts w:hint="eastAsia"/>
        </w:rPr>
        <w:t>32</w:t>
      </w:r>
    </w:p>
    <w:p>
      <w:pPr>
        <w:pStyle w:val="11"/>
        <w:adjustRightInd w:val="0"/>
        <w:snapToGrid w:val="0"/>
        <w:spacing w:line="440" w:lineRule="exact"/>
        <w:jc w:val="left"/>
        <w:rPr>
          <w:rFonts w:ascii="仿宋" w:hAnsi="仿宋" w:eastAsia="仿宋" w:cstheme="minorBidi"/>
          <w:sz w:val="24"/>
        </w:rPr>
      </w:pPr>
      <w:r>
        <w:rPr>
          <w:rFonts w:hint="eastAsia"/>
          <w:sz w:val="24"/>
        </w:rPr>
        <w:t>第五部分</w:t>
      </w:r>
      <w:r>
        <w:rPr>
          <w:sz w:val="24"/>
        </w:rPr>
        <w:t xml:space="preserve"> </w:t>
      </w:r>
      <w:r>
        <w:rPr>
          <w:rFonts w:hint="eastAsia"/>
          <w:sz w:val="24"/>
        </w:rPr>
        <w:t>附表</w:t>
      </w:r>
      <w:r>
        <w:ptab w:relativeTo="margin" w:alignment="right" w:leader="dot"/>
      </w:r>
      <w:r>
        <w:rPr>
          <w:rFonts w:hint="eastAsia"/>
        </w:rPr>
        <w:t>44</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r>
        <w:ptab w:relativeTo="margin" w:alignment="right" w:leader="dot"/>
      </w:r>
      <w:r>
        <w:rPr>
          <w:rFonts w:hint="eastAsia"/>
          <w:lang w:val="zh-CN"/>
        </w:rPr>
        <w:t>45</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ptab w:relativeTo="margin" w:alignment="right" w:leader="dot"/>
      </w:r>
      <w:r>
        <w:rPr>
          <w:rFonts w:hint="eastAsia"/>
          <w:lang w:val="zh-CN"/>
        </w:rPr>
        <w:t>45</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ptab w:relativeTo="margin" w:alignment="right" w:leader="dot"/>
      </w:r>
      <w:r>
        <w:rPr>
          <w:rFonts w:hint="eastAsia"/>
          <w:lang w:val="zh-CN"/>
        </w:rPr>
        <w:t>45</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r>
        <w:ptab w:relativeTo="margin" w:alignment="right" w:leader="dot"/>
      </w:r>
      <w:r>
        <w:rPr>
          <w:rFonts w:hint="eastAsia"/>
          <w:lang w:val="zh-CN"/>
        </w:rPr>
        <w:t>45</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五、财政拨款支出决算明细表</w:t>
      </w:r>
      <w:r>
        <w:ptab w:relativeTo="margin" w:alignment="right" w:leader="dot"/>
      </w:r>
      <w:r>
        <w:rPr>
          <w:rFonts w:hint="eastAsia"/>
          <w:lang w:val="zh-CN"/>
        </w:rPr>
        <w:t>45</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r>
        <w:ptab w:relativeTo="margin" w:alignment="right" w:leader="dot"/>
      </w:r>
      <w:r>
        <w:rPr>
          <w:rFonts w:hint="eastAsia"/>
          <w:lang w:val="zh-CN"/>
        </w:rPr>
        <w:t>45</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r>
        <w:ptab w:relativeTo="margin" w:alignment="right" w:leader="dot"/>
      </w:r>
      <w:r>
        <w:rPr>
          <w:rFonts w:hint="eastAsia"/>
          <w:lang w:val="zh-CN"/>
        </w:rPr>
        <w:t>45</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r>
        <w:ptab w:relativeTo="margin" w:alignment="right" w:leader="dot"/>
      </w:r>
      <w:r>
        <w:rPr>
          <w:rFonts w:hint="eastAsia"/>
          <w:lang w:val="zh-CN"/>
        </w:rPr>
        <w:t>45</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r>
        <w:ptab w:relativeTo="margin" w:alignment="right" w:leader="dot"/>
      </w:r>
      <w:r>
        <w:rPr>
          <w:rFonts w:hint="eastAsia"/>
          <w:lang w:val="zh-CN"/>
        </w:rPr>
        <w:t>45</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r>
        <w:ptab w:relativeTo="margin" w:alignment="right" w:leader="dot"/>
      </w:r>
      <w:r>
        <w:rPr>
          <w:rFonts w:hint="eastAsia"/>
          <w:lang w:val="zh-CN"/>
        </w:rPr>
        <w:t>45</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w:t>
      </w:r>
      <w:r>
        <w:rPr>
          <w:rFonts w:hint="eastAsia"/>
          <w:i/>
          <w:iCs/>
          <w:sz w:val="24"/>
        </w:rPr>
        <w:t>决算表</w:t>
      </w:r>
      <w:r>
        <w:ptab w:relativeTo="margin" w:alignment="right" w:leader="dot"/>
      </w:r>
      <w:r>
        <w:rPr>
          <w:rFonts w:hint="eastAsia"/>
          <w:lang w:val="zh-CN"/>
        </w:rPr>
        <w:t>45</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r>
        <w:ptab w:relativeTo="margin" w:alignment="right" w:leader="dot"/>
      </w:r>
      <w:r>
        <w:rPr>
          <w:rFonts w:hint="eastAsia"/>
          <w:lang w:val="zh-CN"/>
        </w:rPr>
        <w:t>45</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r>
        <w:ptab w:relativeTo="margin" w:alignment="right" w:leader="dot"/>
      </w:r>
      <w:bookmarkStart w:id="13" w:name="_Toc15377196"/>
      <w:bookmarkStart w:id="14" w:name="_Toc15396599"/>
      <w:r>
        <w:rPr>
          <w:rFonts w:hint="eastAsia"/>
          <w:lang w:val="zh-CN"/>
        </w:rPr>
        <w:t>45</w:t>
      </w:r>
      <w:r>
        <w:rPr>
          <w:rFonts w:ascii="仿宋" w:hAnsi="仿宋" w:eastAsia="仿宋"/>
          <w:b/>
          <w:sz w:val="24"/>
        </w:rPr>
        <w:br w:type="page"/>
      </w:r>
    </w:p>
    <w:bookmarkEnd w:id="13"/>
    <w:bookmarkEnd w:id="14"/>
    <w:p>
      <w:pPr>
        <w:pStyle w:val="2"/>
        <w:jc w:val="center"/>
        <w:rPr>
          <w:rFonts w:ascii="黑体" w:eastAsia="黑体"/>
          <w:color w:val="000000"/>
          <w:sz w:val="32"/>
          <w:szCs w:val="32"/>
        </w:rPr>
      </w:pPr>
      <w:bookmarkStart w:id="15" w:name="_Toc15396601"/>
      <w:bookmarkStart w:id="16" w:name="_Toc15377200"/>
      <w:r>
        <w:rPr>
          <w:rFonts w:hint="eastAsia" w:ascii="黑体" w:hAnsi="黑体" w:eastAsia="黑体"/>
          <w:b w:val="0"/>
        </w:rPr>
        <w:t xml:space="preserve">第一部分 </w:t>
      </w:r>
      <w:r>
        <w:rPr>
          <w:rStyle w:val="26"/>
          <w:rFonts w:hint="eastAsia" w:ascii="黑体" w:hAnsi="黑体" w:eastAsia="黑体"/>
          <w:b/>
          <w:bCs/>
        </w:rPr>
        <w:t>部门概况</w:t>
      </w:r>
    </w:p>
    <w:p>
      <w:pPr>
        <w:pStyle w:val="3"/>
        <w:rPr>
          <w:rStyle w:val="27"/>
          <w:rFonts w:ascii="仿宋" w:hAnsi="仿宋" w:cs="Times New Roman"/>
          <w:b w:val="0"/>
          <w:bCs w:val="0"/>
        </w:rPr>
      </w:pPr>
      <w:r>
        <w:rPr>
          <w:rFonts w:hint="eastAsia" w:ascii="黑体" w:hAnsi="黑体" w:eastAsia="黑体"/>
          <w:b w:val="0"/>
          <w:color w:val="000000"/>
        </w:rPr>
        <w:t>一、基</w:t>
      </w:r>
      <w:r>
        <w:rPr>
          <w:rStyle w:val="27"/>
          <w:rFonts w:hint="eastAsia" w:ascii="黑体" w:hAnsi="黑体" w:eastAsia="黑体" w:cs="Times New Roman"/>
          <w:b w:val="0"/>
          <w:bCs w:val="0"/>
        </w:rPr>
        <w:t>本职能及主要工作。</w:t>
      </w:r>
    </w:p>
    <w:p>
      <w:pPr>
        <w:pStyle w:val="13"/>
        <w:widowControl/>
        <w:spacing w:before="0" w:beforeAutospacing="0" w:after="0" w:afterAutospacing="0" w:line="528" w:lineRule="atLeast"/>
        <w:rPr>
          <w:rFonts w:eastAsia="楷体_GB2312"/>
        </w:rPr>
      </w:pPr>
      <w:bookmarkStart w:id="17" w:name="_Toc15378445"/>
      <w:bookmarkStart w:id="18" w:name="_Toc15377198"/>
      <w:r>
        <w:rPr>
          <w:rFonts w:hint="eastAsia" w:ascii="楷体_GB2312" w:hAnsi="楷体_GB2312" w:eastAsia="楷体_GB2312" w:cs="楷体_GB2312"/>
          <w:b/>
          <w:color w:val="000000"/>
          <w:sz w:val="32"/>
          <w:szCs w:val="32"/>
        </w:rPr>
        <w:t>（一）主要职能</w:t>
      </w:r>
      <w:bookmarkEnd w:id="17"/>
      <w:bookmarkEnd w:id="18"/>
      <w:r>
        <w:rPr>
          <w:rFonts w:hint="eastAsia" w:ascii="楷体_GB2312" w:hAnsi="楷体_GB2312" w:eastAsia="楷体_GB2312" w:cs="楷体_GB2312"/>
          <w:b/>
          <w:color w:val="000000"/>
          <w:sz w:val="32"/>
          <w:szCs w:val="32"/>
        </w:rPr>
        <w:t>。</w:t>
      </w:r>
    </w:p>
    <w:p>
      <w:pPr>
        <w:pStyle w:val="13"/>
        <w:widowControl/>
        <w:spacing w:before="0" w:beforeAutospacing="0" w:after="0" w:afterAutospacing="0" w:line="528" w:lineRule="atLeast"/>
        <w:rPr>
          <w:rFonts w:ascii="仿宋" w:hAnsi="仿宋" w:eastAsia="仿宋"/>
          <w:bCs/>
          <w:color w:val="000000"/>
          <w:sz w:val="32"/>
          <w:szCs w:val="32"/>
        </w:rPr>
      </w:pPr>
      <w:r>
        <w:rPr>
          <w:rFonts w:hint="eastAsia" w:ascii="仿宋" w:hAnsi="仿宋" w:eastAsia="仿宋"/>
          <w:bCs/>
          <w:color w:val="000000"/>
          <w:sz w:val="32"/>
          <w:szCs w:val="32"/>
        </w:rPr>
        <w:t>　　当好党和政府发展科技事业的助手，进一步搞好科技工作者服务工作；加强科技普及及工作；为提高全面科技文化素质服务，为社会主义精神文明建设服务，进一步做好基层组织、下级组织的服务工作，实行群众办公、民主办公、加强科学协会自身体制作风改革；加强农村科普网络的建立，搞好协会的协调工作管理工作。</w:t>
      </w:r>
    </w:p>
    <w:p>
      <w:pPr>
        <w:pStyle w:val="5"/>
        <w:adjustRightInd w:val="0"/>
        <w:snapToGrid w:val="0"/>
        <w:spacing w:before="93" w:line="560" w:lineRule="exact"/>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（二）2019年重点工作完成情况。</w:t>
      </w:r>
    </w:p>
    <w:p>
      <w:pPr>
        <w:widowControl/>
        <w:autoSpaceDE w:val="0"/>
        <w:spacing w:line="520" w:lineRule="exact"/>
        <w:ind w:firstLine="480" w:firstLineChars="150"/>
        <w:rPr>
          <w:rFonts w:ascii="仿宋" w:hAnsi="仿宋" w:eastAsia="仿宋"/>
          <w:bCs/>
          <w:color w:val="000000"/>
          <w:kern w:val="0"/>
          <w:sz w:val="32"/>
          <w:szCs w:val="32"/>
        </w:rPr>
      </w:pPr>
      <w:r>
        <w:rPr>
          <w:rFonts w:hint="eastAsia" w:ascii="仿宋" w:hAnsi="仿宋" w:eastAsia="仿宋"/>
          <w:bCs/>
          <w:color w:val="000000"/>
          <w:kern w:val="0"/>
          <w:sz w:val="32"/>
          <w:szCs w:val="32"/>
        </w:rPr>
        <w:t>1、深入开展科普惠农工程建设。做好科普惠农项目贮备工作，积极争取省、州“科普惠农兴村计划”项目，使其成为农村科普工作的强力抓手。</w:t>
      </w:r>
    </w:p>
    <w:p>
      <w:pPr>
        <w:widowControl/>
        <w:autoSpaceDE w:val="0"/>
        <w:spacing w:line="520" w:lineRule="exact"/>
        <w:rPr>
          <w:rFonts w:ascii="仿宋" w:hAnsi="仿宋" w:eastAsia="仿宋"/>
          <w:bCs/>
          <w:color w:val="000000"/>
          <w:kern w:val="0"/>
          <w:sz w:val="32"/>
          <w:szCs w:val="32"/>
        </w:rPr>
      </w:pPr>
      <w:r>
        <w:rPr>
          <w:rFonts w:hint="eastAsia" w:ascii="仿宋" w:hAnsi="仿宋" w:eastAsia="仿宋"/>
          <w:bCs/>
          <w:color w:val="000000"/>
          <w:kern w:val="0"/>
          <w:sz w:val="32"/>
          <w:szCs w:val="32"/>
        </w:rPr>
        <w:t xml:space="preserve">   2、积极争取并完成一个校园科技馆在红原县中学建成。</w:t>
      </w:r>
    </w:p>
    <w:p>
      <w:pPr>
        <w:widowControl/>
        <w:autoSpaceDE w:val="0"/>
        <w:spacing w:line="520" w:lineRule="exact"/>
        <w:ind w:firstLine="480" w:firstLineChars="150"/>
        <w:rPr>
          <w:rFonts w:ascii="仿宋" w:hAnsi="仿宋" w:eastAsia="仿宋"/>
          <w:bCs/>
          <w:color w:val="000000"/>
          <w:kern w:val="0"/>
          <w:sz w:val="32"/>
          <w:szCs w:val="32"/>
        </w:rPr>
      </w:pPr>
      <w:r>
        <w:rPr>
          <w:rFonts w:hint="eastAsia" w:ascii="仿宋" w:hAnsi="仿宋" w:eastAsia="仿宋"/>
          <w:bCs/>
          <w:color w:val="000000"/>
          <w:kern w:val="0"/>
          <w:sz w:val="32"/>
          <w:szCs w:val="32"/>
        </w:rPr>
        <w:t>3、抓好“青少年科技创新”工作，认真开展“科普进校园活动”工作。积极争取2019年 “科普进校园”活动在红原举行。</w:t>
      </w:r>
    </w:p>
    <w:p>
      <w:pPr>
        <w:autoSpaceDE w:val="0"/>
        <w:spacing w:line="520" w:lineRule="exact"/>
        <w:ind w:firstLine="480" w:firstLineChars="150"/>
        <w:rPr>
          <w:rFonts w:ascii="仿宋" w:hAnsi="仿宋" w:eastAsia="仿宋"/>
          <w:bCs/>
          <w:color w:val="000000"/>
          <w:kern w:val="0"/>
          <w:sz w:val="32"/>
          <w:szCs w:val="32"/>
        </w:rPr>
      </w:pPr>
      <w:r>
        <w:rPr>
          <w:rFonts w:hint="eastAsia" w:ascii="仿宋" w:hAnsi="仿宋" w:eastAsia="仿宋"/>
          <w:bCs/>
          <w:color w:val="000000"/>
          <w:kern w:val="0"/>
          <w:sz w:val="32"/>
          <w:szCs w:val="32"/>
        </w:rPr>
        <w:t>4、根据中央和省委、州委、县委关于推进党的群团改革工作任务要求，按照州科协对改革工作的统一安排和部署，高度重视、迅速行动，始终坚持政治引领、密切联系群众、突出问题导向、强化学会主体地位、系统推进改革的基本原则，紧紧围绕群团改革的要求，进一步明晰工作思路，创新工作举措，认真完成科协改革工作。</w:t>
      </w:r>
    </w:p>
    <w:p>
      <w:pPr>
        <w:autoSpaceDE w:val="0"/>
        <w:spacing w:line="520" w:lineRule="exact"/>
        <w:ind w:firstLine="480" w:firstLineChars="150"/>
        <w:rPr>
          <w:rFonts w:ascii="仿宋" w:hAnsi="仿宋" w:eastAsia="仿宋"/>
          <w:bCs/>
          <w:color w:val="000000"/>
          <w:kern w:val="0"/>
          <w:sz w:val="32"/>
          <w:szCs w:val="32"/>
        </w:rPr>
      </w:pPr>
      <w:r>
        <w:rPr>
          <w:rFonts w:hint="eastAsia" w:ascii="仿宋" w:hAnsi="仿宋" w:eastAsia="仿宋"/>
          <w:bCs/>
          <w:color w:val="000000"/>
          <w:kern w:val="0"/>
          <w:sz w:val="32"/>
          <w:szCs w:val="32"/>
        </w:rPr>
        <w:t>5、精心组织，提前谋划，认真做好2019年科协换届工作。</w:t>
      </w:r>
    </w:p>
    <w:p>
      <w:pPr>
        <w:autoSpaceDE w:val="0"/>
        <w:spacing w:line="520" w:lineRule="exact"/>
        <w:ind w:firstLine="480" w:firstLineChars="150"/>
        <w:rPr>
          <w:rFonts w:ascii="仿宋" w:hAnsi="仿宋" w:eastAsia="仿宋"/>
          <w:bCs/>
          <w:color w:val="000000"/>
          <w:sz w:val="32"/>
          <w:szCs w:val="32"/>
        </w:rPr>
      </w:pPr>
      <w:r>
        <w:rPr>
          <w:rFonts w:hint="eastAsia" w:ascii="仿宋" w:hAnsi="仿宋" w:eastAsia="仿宋"/>
          <w:bCs/>
          <w:color w:val="000000"/>
          <w:kern w:val="0"/>
          <w:sz w:val="32"/>
          <w:szCs w:val="32"/>
        </w:rPr>
        <w:t>6、作好单位保密工作，倡导保密办公。根据保密工作新形势、新要求，积极增强保密知识宣传教育，提高单位职工依法办事能力。</w:t>
      </w:r>
    </w:p>
    <w:p>
      <w:pPr>
        <w:pStyle w:val="3"/>
        <w:rPr>
          <w:rStyle w:val="27"/>
          <w:b w:val="0"/>
          <w:bCs w:val="0"/>
        </w:rPr>
      </w:pPr>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15"/>
      <w:bookmarkEnd w:id="16"/>
    </w:p>
    <w:p>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s="仿宋"/>
          <w:sz w:val="32"/>
          <w:szCs w:val="32"/>
          <w:lang w:val="zh-CN"/>
        </w:rPr>
        <w:t>红原县科学技术协会为独立核算全额拨款行政单位，下设民族科普大队。截止</w:t>
      </w:r>
      <w:r>
        <w:rPr>
          <w:rFonts w:hint="eastAsia" w:ascii="仿宋" w:hAnsi="仿宋" w:eastAsia="仿宋" w:cs="仿宋"/>
          <w:sz w:val="32"/>
          <w:szCs w:val="32"/>
        </w:rPr>
        <w:t>2019年底我单位共有编制7个，其中公务员编制3个，行政工勤编制1个，事业编制3个；在职8人，其中行政工勤1人，公务员4人，事业编制3人。</w:t>
      </w:r>
      <w:r>
        <w:rPr>
          <w:rFonts w:hint="eastAsia" w:ascii="仿宋" w:hAnsi="仿宋" w:eastAsia="仿宋"/>
          <w:color w:val="000000"/>
          <w:sz w:val="32"/>
          <w:szCs w:val="32"/>
        </w:rPr>
        <w:t>纳入2019年度部门决算编制范围的二级预算单位包括：</w:t>
      </w:r>
    </w:p>
    <w:p>
      <w:pPr>
        <w:pStyle w:val="5"/>
        <w:numPr>
          <w:ilvl w:val="0"/>
          <w:numId w:val="1"/>
        </w:numPr>
        <w:adjustRightInd w:val="0"/>
        <w:snapToGrid w:val="0"/>
        <w:spacing w:before="93" w:line="600" w:lineRule="exact"/>
        <w:outlineLvl w:val="2"/>
        <w:rPr>
          <w:rFonts w:ascii="仿宋" w:hAnsi="仿宋" w:eastAsia="仿宋"/>
          <w:color w:val="000000"/>
          <w:sz w:val="32"/>
          <w:szCs w:val="32"/>
        </w:rPr>
      </w:pPr>
      <w:r>
        <w:rPr>
          <w:rFonts w:hint="eastAsia" w:ascii="仿宋" w:hAnsi="仿宋" w:eastAsia="仿宋"/>
          <w:color w:val="000000"/>
          <w:sz w:val="32"/>
          <w:szCs w:val="32"/>
        </w:rPr>
        <w:t>红原县民族科普大队</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Fonts w:ascii="黑体" w:hAnsi="黑体" w:eastAsia="黑体"/>
          <w:b w:val="0"/>
          <w:bCs w:val="0"/>
        </w:rPr>
      </w:pPr>
      <w:bookmarkStart w:id="19" w:name="_Toc15396602"/>
      <w:bookmarkStart w:id="20"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19"/>
      <w:bookmarkEnd w:id="20"/>
    </w:p>
    <w:p>
      <w:pPr>
        <w:pStyle w:val="25"/>
        <w:numPr>
          <w:ilvl w:val="0"/>
          <w:numId w:val="2"/>
        </w:numPr>
        <w:spacing w:line="600" w:lineRule="exact"/>
        <w:ind w:firstLineChars="0"/>
        <w:outlineLvl w:val="1"/>
        <w:rPr>
          <w:rStyle w:val="27"/>
          <w:rFonts w:ascii="黑体" w:hAnsi="黑体" w:eastAsia="黑体"/>
          <w:b w:val="0"/>
        </w:rPr>
      </w:pPr>
      <w:bookmarkStart w:id="21" w:name="_Toc15377205"/>
      <w:bookmarkStart w:id="22"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1"/>
      <w:bookmarkEnd w:id="22"/>
    </w:p>
    <w:p>
      <w:pPr>
        <w:spacing w:line="600" w:lineRule="exact"/>
        <w:ind w:firstLine="420" w:firstLineChars="200"/>
        <w:rPr>
          <w:rFonts w:ascii="仿宋" w:hAnsi="仿宋" w:eastAsia="仿宋"/>
          <w:color w:val="000000"/>
          <w:sz w:val="32"/>
          <w:szCs w:val="32"/>
        </w:rPr>
      </w:pPr>
      <w:r>
        <w:drawing>
          <wp:anchor distT="0" distB="0" distL="114300" distR="114300" simplePos="0" relativeHeight="251658240" behindDoc="0" locked="0" layoutInCell="1" allowOverlap="1">
            <wp:simplePos x="0" y="0"/>
            <wp:positionH relativeFrom="margin">
              <wp:align>center</wp:align>
            </wp:positionH>
            <wp:positionV relativeFrom="paragraph">
              <wp:posOffset>1256665</wp:posOffset>
            </wp:positionV>
            <wp:extent cx="3740150" cy="1581150"/>
            <wp:effectExtent l="0" t="0" r="12700" b="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hAnsi="仿宋" w:eastAsia="仿宋"/>
          <w:color w:val="000000"/>
          <w:sz w:val="32"/>
          <w:szCs w:val="32"/>
        </w:rPr>
        <w:t>2019年度收、支总计201.84万元。与2018年相比，收、支总计减少13.78万元，下降4</w:t>
      </w:r>
      <w:r>
        <w:rPr>
          <w:rFonts w:ascii="仿宋" w:hAnsi="仿宋" w:eastAsia="仿宋"/>
          <w:color w:val="000000"/>
          <w:sz w:val="32"/>
          <w:szCs w:val="32"/>
        </w:rPr>
        <w:t>%</w:t>
      </w:r>
      <w:r>
        <w:rPr>
          <w:rFonts w:hint="eastAsia" w:ascii="仿宋" w:hAnsi="仿宋" w:eastAsia="仿宋"/>
          <w:color w:val="000000"/>
          <w:sz w:val="32"/>
          <w:szCs w:val="32"/>
        </w:rPr>
        <w:t>。主要变动原因是2019年县科协收入为节省部分开支，增加了收入资金费用使用。</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5"/>
        <w:numPr>
          <w:ilvl w:val="0"/>
          <w:numId w:val="2"/>
        </w:numPr>
        <w:spacing w:line="600" w:lineRule="exact"/>
        <w:ind w:firstLineChars="0"/>
        <w:outlineLvl w:val="1"/>
        <w:rPr>
          <w:rStyle w:val="27"/>
          <w:rFonts w:ascii="黑体" w:hAnsi="黑体" w:eastAsia="黑体"/>
          <w:b w:val="0"/>
        </w:rPr>
      </w:pPr>
      <w:bookmarkStart w:id="23" w:name="_Toc15396604"/>
      <w:bookmarkStart w:id="24"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23"/>
      <w:bookmarkEnd w:id="24"/>
    </w:p>
    <w:p>
      <w:pPr>
        <w:spacing w:line="600" w:lineRule="exact"/>
        <w:ind w:firstLine="420" w:firstLineChars="200"/>
        <w:outlineLvl w:val="1"/>
        <w:rPr>
          <w:rFonts w:ascii="仿宋" w:hAnsi="仿宋" w:eastAsia="仿宋"/>
          <w:color w:val="000000"/>
          <w:sz w:val="32"/>
          <w:szCs w:val="32"/>
        </w:rPr>
      </w:pPr>
      <w:r>
        <w:drawing>
          <wp:anchor distT="0" distB="0" distL="114300" distR="114300" simplePos="0" relativeHeight="251659264" behindDoc="1" locked="0" layoutInCell="1" allowOverlap="1">
            <wp:simplePos x="0" y="0"/>
            <wp:positionH relativeFrom="margin">
              <wp:align>center</wp:align>
            </wp:positionH>
            <wp:positionV relativeFrom="paragraph">
              <wp:posOffset>933450</wp:posOffset>
            </wp:positionV>
            <wp:extent cx="3898900" cy="2197100"/>
            <wp:effectExtent l="0" t="0" r="6350" b="1270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9年本年收入合计196.84万元，其中：一般公共预算财政拨款收入157.47万元，占80</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 xml:space="preserve"> </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5"/>
        <w:numPr>
          <w:ilvl w:val="0"/>
          <w:numId w:val="2"/>
        </w:numPr>
        <w:spacing w:line="600" w:lineRule="exact"/>
        <w:ind w:firstLineChars="0"/>
        <w:outlineLvl w:val="1"/>
        <w:rPr>
          <w:rStyle w:val="27"/>
          <w:rFonts w:ascii="黑体" w:hAnsi="黑体" w:eastAsia="黑体"/>
          <w:b w:val="0"/>
        </w:rPr>
      </w:pPr>
      <w:bookmarkStart w:id="25" w:name="_Toc15377207"/>
      <w:bookmarkStart w:id="26"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5"/>
      <w:bookmarkEnd w:id="26"/>
    </w:p>
    <w:p>
      <w:pPr>
        <w:spacing w:line="600" w:lineRule="exact"/>
        <w:ind w:firstLine="420" w:firstLineChars="200"/>
        <w:outlineLvl w:val="1"/>
        <w:rPr>
          <w:rFonts w:ascii="仿宋" w:hAnsi="仿宋" w:eastAsia="仿宋"/>
          <w:color w:val="000000"/>
          <w:sz w:val="32"/>
          <w:szCs w:val="32"/>
        </w:rPr>
      </w:pPr>
      <w:r>
        <w:rPr>
          <w:rFonts w:hint="eastAsia"/>
        </w:rPr>
        <w:drawing>
          <wp:anchor distT="0" distB="0" distL="114300" distR="114300" simplePos="0" relativeHeight="251660288" behindDoc="0" locked="0" layoutInCell="1" allowOverlap="1">
            <wp:simplePos x="0" y="0"/>
            <wp:positionH relativeFrom="margin">
              <wp:align>center</wp:align>
            </wp:positionH>
            <wp:positionV relativeFrom="paragraph">
              <wp:posOffset>831850</wp:posOffset>
            </wp:positionV>
            <wp:extent cx="3350260" cy="2152650"/>
            <wp:effectExtent l="0" t="0" r="2540" b="0"/>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9年本年支出合计173.71万元，其中：基本支出149.85万元，占86</w:t>
      </w:r>
      <w:r>
        <w:rPr>
          <w:rFonts w:ascii="仿宋" w:hAnsi="仿宋" w:eastAsia="仿宋"/>
          <w:color w:val="000000"/>
          <w:sz w:val="32"/>
          <w:szCs w:val="32"/>
        </w:rPr>
        <w:t>%</w:t>
      </w:r>
      <w:r>
        <w:rPr>
          <w:rFonts w:hint="eastAsia" w:ascii="仿宋" w:hAnsi="仿宋" w:eastAsia="仿宋"/>
          <w:color w:val="000000"/>
          <w:sz w:val="32"/>
          <w:szCs w:val="32"/>
        </w:rPr>
        <w:t>；项目支出23.86万元，占14</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27"/>
          <w:rFonts w:ascii="黑体" w:hAnsi="黑体" w:eastAsia="黑体"/>
          <w:b w:val="0"/>
        </w:rPr>
      </w:pPr>
      <w:bookmarkStart w:id="27" w:name="_Toc15396606"/>
      <w:bookmarkStart w:id="28"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27"/>
      <w:bookmarkEnd w:id="28"/>
    </w:p>
    <w:p>
      <w:pPr>
        <w:spacing w:line="600" w:lineRule="exact"/>
        <w:ind w:firstLine="640"/>
        <w:rPr>
          <w:rFonts w:ascii="仿宋" w:hAnsi="仿宋" w:eastAsia="仿宋"/>
          <w:color w:val="000000"/>
          <w:sz w:val="32"/>
          <w:szCs w:val="32"/>
        </w:rPr>
      </w:pPr>
      <w:bookmarkStart w:id="29" w:name="_Hlk53484019"/>
      <w:r>
        <w:rPr>
          <w:rFonts w:hint="eastAsia"/>
        </w:rPr>
        <w:drawing>
          <wp:anchor distT="0" distB="0" distL="114300" distR="114300" simplePos="0" relativeHeight="251661312" behindDoc="0" locked="0" layoutInCell="1" allowOverlap="1">
            <wp:simplePos x="0" y="0"/>
            <wp:positionH relativeFrom="margin">
              <wp:align>center</wp:align>
            </wp:positionH>
            <wp:positionV relativeFrom="paragraph">
              <wp:posOffset>1727200</wp:posOffset>
            </wp:positionV>
            <wp:extent cx="3644900" cy="1901825"/>
            <wp:effectExtent l="0" t="0" r="12700" b="317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9年财政拨款收、支</w:t>
      </w:r>
      <w:bookmarkEnd w:id="29"/>
      <w:r>
        <w:rPr>
          <w:rFonts w:hint="eastAsia" w:ascii="仿宋" w:hAnsi="仿宋" w:eastAsia="仿宋"/>
          <w:color w:val="000000"/>
          <w:sz w:val="32"/>
          <w:szCs w:val="32"/>
        </w:rPr>
        <w:t>总计201.84万元。与2018年相比，财政拨款收、支总计增加13.78万元，增长6</w:t>
      </w:r>
      <w:r>
        <w:rPr>
          <w:rFonts w:ascii="仿宋" w:hAnsi="仿宋" w:eastAsia="仿宋"/>
          <w:color w:val="000000"/>
          <w:sz w:val="32"/>
          <w:szCs w:val="32"/>
        </w:rPr>
        <w:t>%</w:t>
      </w:r>
      <w:r>
        <w:rPr>
          <w:rFonts w:hint="eastAsia" w:ascii="仿宋" w:hAnsi="仿宋" w:eastAsia="仿宋"/>
          <w:color w:val="000000"/>
          <w:sz w:val="32"/>
          <w:szCs w:val="32"/>
        </w:rPr>
        <w:t>。主要变动原因是主要变动原因是科协为节省部分开支，减少了资财政拨款收入经费使用。</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7"/>
          <w:rFonts w:ascii="黑体" w:hAnsi="黑体" w:eastAsia="黑体"/>
          <w:b w:val="0"/>
        </w:rPr>
      </w:pPr>
      <w:bookmarkStart w:id="30" w:name="_Toc15396607"/>
      <w:bookmarkStart w:id="3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ind w:firstLine="420" w:firstLineChars="200"/>
        <w:rPr>
          <w:rFonts w:ascii="仿宋" w:hAnsi="仿宋" w:eastAsia="仿宋"/>
          <w:color w:val="000000"/>
          <w:sz w:val="32"/>
          <w:szCs w:val="32"/>
        </w:rPr>
      </w:pPr>
      <w:r>
        <w:rPr>
          <w:rFonts w:hint="eastAsia"/>
        </w:rPr>
        <w:drawing>
          <wp:anchor distT="0" distB="0" distL="114300" distR="114300" simplePos="0" relativeHeight="251662336" behindDoc="0" locked="0" layoutInCell="1" allowOverlap="1">
            <wp:simplePos x="0" y="0"/>
            <wp:positionH relativeFrom="margin">
              <wp:align>center</wp:align>
            </wp:positionH>
            <wp:positionV relativeFrom="paragraph">
              <wp:posOffset>1752600</wp:posOffset>
            </wp:positionV>
            <wp:extent cx="4378960" cy="1774825"/>
            <wp:effectExtent l="0" t="0" r="2540" b="1587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9年一般公共预算财政拨款支出万元，占本年支出合计的100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8年相比，一般公共预算财政拨款增加4.97万元，增长2</w:t>
      </w:r>
      <w:r>
        <w:rPr>
          <w:rFonts w:ascii="仿宋" w:hAnsi="仿宋" w:eastAsia="仿宋"/>
          <w:color w:val="000000"/>
          <w:sz w:val="32"/>
          <w:szCs w:val="32"/>
        </w:rPr>
        <w:t>%</w:t>
      </w:r>
      <w:r>
        <w:rPr>
          <w:rFonts w:hint="eastAsia" w:ascii="仿宋" w:hAnsi="仿宋" w:eastAsia="仿宋"/>
          <w:color w:val="000000"/>
          <w:sz w:val="32"/>
          <w:szCs w:val="32"/>
        </w:rPr>
        <w:t>。主要变动原因是科协为节省部分开支，减少了财政拨款收入经费使用。</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rPr>
        <w:drawing>
          <wp:anchor distT="0" distB="0" distL="114300" distR="114300" simplePos="0" relativeHeight="251663360" behindDoc="0" locked="0" layoutInCell="1" allowOverlap="1">
            <wp:simplePos x="0" y="0"/>
            <wp:positionH relativeFrom="margin">
              <wp:align>center</wp:align>
            </wp:positionH>
            <wp:positionV relativeFrom="paragraph">
              <wp:posOffset>1689100</wp:posOffset>
            </wp:positionV>
            <wp:extent cx="3978910" cy="2219325"/>
            <wp:effectExtent l="0" t="0" r="2540" b="952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政拨款支出173.71万元，主要用于以下方面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sz w:val="32"/>
          <w:szCs w:val="32"/>
        </w:rPr>
        <w:t>科学技术支出133.79</w:t>
      </w:r>
      <w:r>
        <w:rPr>
          <w:rFonts w:hint="eastAsia" w:ascii="仿宋" w:hAnsi="仿宋" w:eastAsia="仿宋"/>
          <w:color w:val="000000" w:themeColor="text1"/>
          <w:sz w:val="32"/>
          <w:szCs w:val="32"/>
          <w14:textFill>
            <w14:solidFill>
              <w14:schemeClr w14:val="tx1"/>
            </w14:solidFill>
          </w14:textFill>
        </w:rPr>
        <w:t>万元，占73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社会保障和就业支出</w:t>
      </w:r>
      <w:r>
        <w:rPr>
          <w:rFonts w:hint="eastAsia" w:ascii="仿宋" w:hAnsi="仿宋" w:eastAsia="仿宋"/>
          <w:color w:val="000000" w:themeColor="text1"/>
          <w:sz w:val="32"/>
          <w:szCs w:val="32"/>
          <w14:textFill>
            <w14:solidFill>
              <w14:schemeClr w14:val="tx1"/>
            </w14:solidFill>
          </w14:textFill>
        </w:rPr>
        <w:t>4.19万元，占2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14:textFill>
            <w14:solidFill>
              <w14:schemeClr w14:val="tx1"/>
            </w14:solidFill>
          </w14:textFill>
        </w:rPr>
        <w:t>1.79万元，占1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；住房保障支出2.52万元，占18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 xml:space="preserve"> </w:t>
      </w:r>
    </w:p>
    <w:p>
      <w:pPr>
        <w:spacing w:line="600" w:lineRule="exact"/>
        <w:ind w:firstLine="640"/>
        <w:rPr>
          <w:rFonts w:ascii="仿宋" w:hAnsi="仿宋" w:eastAsia="仿宋"/>
          <w:b/>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3" w:firstLineChars="200"/>
        <w:outlineLvl w:val="2"/>
        <w:rPr>
          <w:rFonts w:ascii="仿宋" w:hAnsi="仿宋" w:eastAsia="仿宋"/>
          <w:b/>
          <w:color w:val="000000"/>
          <w:sz w:val="32"/>
          <w:szCs w:val="32"/>
        </w:rPr>
      </w:pPr>
      <w:bookmarkStart w:id="34" w:name="_Toc15377212"/>
      <w:r>
        <w:rPr>
          <w:rFonts w:hint="eastAsia" w:ascii="仿宋" w:hAnsi="仿宋" w:eastAsia="仿宋"/>
          <w:b/>
          <w:color w:val="000000"/>
          <w:sz w:val="32"/>
          <w:szCs w:val="32"/>
        </w:rPr>
        <w:t>（三）一般公共预算财政拨款支出决算具体情况</w:t>
      </w:r>
      <w:bookmarkEnd w:id="34"/>
    </w:p>
    <w:p>
      <w:pPr>
        <w:spacing w:line="600" w:lineRule="exact"/>
        <w:ind w:firstLine="643" w:firstLineChars="200"/>
        <w:outlineLvl w:val="2"/>
        <w:rPr>
          <w:rFonts w:ascii="仿宋" w:hAnsi="仿宋" w:eastAsia="仿宋"/>
          <w:color w:val="FF0000"/>
          <w:sz w:val="32"/>
          <w:szCs w:val="32"/>
        </w:rPr>
      </w:pPr>
      <w:bookmarkStart w:id="35" w:name="_Toc15377444"/>
      <w:bookmarkStart w:id="36" w:name="_Toc15378460"/>
      <w:bookmarkStart w:id="37" w:name="_Toc15377213"/>
      <w:r>
        <w:rPr>
          <w:rFonts w:hint="eastAsia" w:ascii="仿宋" w:hAnsi="仿宋" w:eastAsia="仿宋"/>
          <w:b/>
          <w:color w:val="000000" w:themeColor="text1"/>
          <w:sz w:val="32"/>
          <w:szCs w:val="32"/>
          <w14:textFill>
            <w14:solidFill>
              <w14:schemeClr w14:val="tx1"/>
            </w14:solidFill>
          </w14:textFill>
        </w:rPr>
        <w:t>2019年一般公共预算支出决算数为173.71万元</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5"/>
      <w:bookmarkEnd w:id="36"/>
      <w:bookmarkEnd w:id="37"/>
    </w:p>
    <w:p>
      <w:pPr>
        <w:spacing w:line="600" w:lineRule="exact"/>
        <w:ind w:firstLine="643" w:firstLineChars="200"/>
        <w:rPr>
          <w:rStyle w:val="16"/>
          <w:rFonts w:ascii="仿宋" w:hAnsi="仿宋" w:eastAsia="仿宋"/>
          <w:bCs/>
          <w:sz w:val="32"/>
          <w:szCs w:val="32"/>
        </w:rPr>
      </w:pPr>
      <w:r>
        <w:rPr>
          <w:rStyle w:val="16"/>
          <w:rFonts w:hint="eastAsia" w:ascii="仿宋" w:hAnsi="仿宋" w:eastAsia="仿宋"/>
          <w:bCs/>
          <w:sz w:val="32"/>
          <w:szCs w:val="32"/>
        </w:rPr>
        <w:t>1.科学技术支出（类）206为133.79万元，完成预算100%。其中科学技术管理事务（款）</w:t>
      </w:r>
      <w:r>
        <w:rPr>
          <w:rStyle w:val="16"/>
          <w:rFonts w:ascii="仿宋" w:hAnsi="仿宋" w:eastAsia="仿宋"/>
          <w:bCs/>
          <w:sz w:val="32"/>
          <w:szCs w:val="32"/>
        </w:rPr>
        <w:t>20601</w:t>
      </w:r>
      <w:r>
        <w:rPr>
          <w:rStyle w:val="16"/>
          <w:rFonts w:hint="eastAsia" w:ascii="仿宋" w:hAnsi="仿宋" w:eastAsia="仿宋"/>
          <w:bCs/>
          <w:sz w:val="32"/>
          <w:szCs w:val="32"/>
        </w:rPr>
        <w:t>行政运行（项）</w:t>
      </w:r>
      <w:r>
        <w:rPr>
          <w:rStyle w:val="16"/>
          <w:rFonts w:ascii="仿宋" w:hAnsi="仿宋" w:eastAsia="仿宋"/>
          <w:bCs/>
          <w:sz w:val="32"/>
          <w:szCs w:val="32"/>
        </w:rPr>
        <w:t>2060101</w:t>
      </w:r>
      <w:r>
        <w:rPr>
          <w:rStyle w:val="16"/>
          <w:rFonts w:hint="eastAsia" w:ascii="仿宋" w:hAnsi="仿宋" w:eastAsia="仿宋"/>
          <w:bCs/>
          <w:sz w:val="32"/>
          <w:szCs w:val="32"/>
        </w:rPr>
        <w:t>、一般行政管理事务(项)</w:t>
      </w:r>
      <w:r>
        <w:t xml:space="preserve"> </w:t>
      </w:r>
      <w:r>
        <w:rPr>
          <w:rStyle w:val="16"/>
          <w:rFonts w:ascii="仿宋" w:hAnsi="仿宋" w:eastAsia="仿宋"/>
          <w:bCs/>
          <w:sz w:val="32"/>
          <w:szCs w:val="32"/>
        </w:rPr>
        <w:t>2060102</w:t>
      </w:r>
      <w:r>
        <w:rPr>
          <w:rStyle w:val="16"/>
          <w:rFonts w:hint="eastAsia" w:ascii="仿宋" w:hAnsi="仿宋" w:eastAsia="仿宋"/>
          <w:bCs/>
          <w:sz w:val="32"/>
          <w:szCs w:val="32"/>
        </w:rPr>
        <w:t>：95.05万元，完成预算100%，科学技术普及（款）</w:t>
      </w:r>
      <w:r>
        <w:rPr>
          <w:rStyle w:val="16"/>
          <w:rFonts w:ascii="仿宋" w:hAnsi="仿宋" w:eastAsia="仿宋"/>
          <w:bCs/>
          <w:sz w:val="32"/>
          <w:szCs w:val="32"/>
        </w:rPr>
        <w:t>20607</w:t>
      </w:r>
      <w:r>
        <w:rPr>
          <w:rStyle w:val="16"/>
          <w:rFonts w:hint="eastAsia" w:ascii="仿宋" w:hAnsi="仿宋" w:eastAsia="仿宋"/>
          <w:bCs/>
          <w:sz w:val="32"/>
          <w:szCs w:val="32"/>
        </w:rPr>
        <w:t>机构运行（项）</w:t>
      </w:r>
      <w:r>
        <w:rPr>
          <w:rStyle w:val="16"/>
          <w:rFonts w:ascii="仿宋" w:hAnsi="仿宋" w:eastAsia="仿宋"/>
          <w:bCs/>
          <w:sz w:val="32"/>
          <w:szCs w:val="32"/>
        </w:rPr>
        <w:t>2060701</w:t>
      </w:r>
      <w:r>
        <w:rPr>
          <w:rStyle w:val="16"/>
          <w:rFonts w:hint="eastAsia" w:ascii="仿宋" w:hAnsi="仿宋" w:eastAsia="仿宋"/>
          <w:bCs/>
          <w:sz w:val="32"/>
          <w:szCs w:val="32"/>
        </w:rPr>
        <w:t>：30.87万元，完成预算100%；科学技术普及（款）</w:t>
      </w:r>
      <w:r>
        <w:rPr>
          <w:rStyle w:val="16"/>
          <w:rFonts w:ascii="仿宋" w:hAnsi="仿宋" w:eastAsia="仿宋"/>
          <w:bCs/>
          <w:sz w:val="32"/>
          <w:szCs w:val="32"/>
        </w:rPr>
        <w:t>20607</w:t>
      </w:r>
      <w:r>
        <w:rPr>
          <w:rStyle w:val="16"/>
          <w:rFonts w:ascii="仿宋" w:hAnsi="仿宋" w:eastAsia="仿宋"/>
          <w:bCs/>
          <w:sz w:val="32"/>
          <w:szCs w:val="32"/>
        </w:rPr>
        <w:tab/>
      </w:r>
      <w:r>
        <w:rPr>
          <w:rStyle w:val="16"/>
          <w:rFonts w:hint="eastAsia" w:ascii="仿宋" w:hAnsi="仿宋" w:eastAsia="仿宋"/>
          <w:bCs/>
          <w:sz w:val="32"/>
          <w:szCs w:val="32"/>
        </w:rPr>
        <w:t>科普活动（项）</w:t>
      </w:r>
      <w:r>
        <w:rPr>
          <w:rStyle w:val="16"/>
          <w:rFonts w:ascii="仿宋" w:hAnsi="仿宋" w:eastAsia="仿宋"/>
          <w:bCs/>
          <w:sz w:val="32"/>
          <w:szCs w:val="32"/>
        </w:rPr>
        <w:t>2060702</w:t>
      </w:r>
      <w:r>
        <w:rPr>
          <w:rStyle w:val="16"/>
          <w:rFonts w:hint="eastAsia" w:ascii="仿宋" w:hAnsi="仿宋" w:eastAsia="仿宋"/>
          <w:bCs/>
          <w:sz w:val="32"/>
          <w:szCs w:val="32"/>
        </w:rPr>
        <w:t>其他科学技术普及支出（项）</w:t>
      </w:r>
      <w:r>
        <w:rPr>
          <w:rStyle w:val="16"/>
          <w:rFonts w:ascii="仿宋" w:hAnsi="仿宋" w:eastAsia="仿宋"/>
          <w:bCs/>
          <w:sz w:val="32"/>
          <w:szCs w:val="32"/>
        </w:rPr>
        <w:t>2060799</w:t>
      </w:r>
      <w:r>
        <w:rPr>
          <w:rStyle w:val="16"/>
          <w:rFonts w:hint="eastAsia" w:ascii="仿宋" w:hAnsi="仿宋" w:eastAsia="仿宋"/>
          <w:bCs/>
          <w:sz w:val="32"/>
          <w:szCs w:val="32"/>
        </w:rPr>
        <w:t>：7.87万元，完成预算100%；科学技术支出（类）206决算数等于预算数的主要原因是决算种类开支与预算种类开支持平。</w:t>
      </w:r>
    </w:p>
    <w:p>
      <w:pPr>
        <w:spacing w:line="600" w:lineRule="exact"/>
        <w:ind w:firstLine="643" w:firstLineChars="200"/>
        <w:rPr>
          <w:rStyle w:val="16"/>
          <w:rFonts w:ascii="仿宋" w:hAnsi="仿宋" w:eastAsia="仿宋"/>
          <w:bCs/>
          <w:sz w:val="32"/>
          <w:szCs w:val="32"/>
        </w:rPr>
      </w:pPr>
      <w:r>
        <w:rPr>
          <w:rStyle w:val="16"/>
          <w:rFonts w:hint="eastAsia" w:ascii="仿宋" w:hAnsi="仿宋" w:eastAsia="仿宋"/>
          <w:bCs/>
          <w:sz w:val="32"/>
          <w:szCs w:val="32"/>
        </w:rPr>
        <w:t>2.社会保障和就业支出（类）</w:t>
      </w:r>
      <w:r>
        <w:rPr>
          <w:rStyle w:val="16"/>
          <w:rFonts w:ascii="仿宋" w:hAnsi="仿宋" w:eastAsia="仿宋"/>
          <w:bCs/>
          <w:sz w:val="32"/>
          <w:szCs w:val="32"/>
        </w:rPr>
        <w:t>208</w:t>
      </w:r>
      <w:r>
        <w:rPr>
          <w:rStyle w:val="16"/>
          <w:rFonts w:ascii="仿宋" w:hAnsi="仿宋" w:eastAsia="仿宋"/>
          <w:bCs/>
          <w:sz w:val="32"/>
          <w:szCs w:val="32"/>
        </w:rPr>
        <w:tab/>
      </w:r>
      <w:r>
        <w:rPr>
          <w:rStyle w:val="16"/>
          <w:rFonts w:hint="eastAsia" w:ascii="仿宋" w:hAnsi="仿宋" w:eastAsia="仿宋"/>
          <w:bCs/>
          <w:sz w:val="32"/>
          <w:szCs w:val="32"/>
        </w:rPr>
        <w:t>：20.36万元，完成预算100%。其中行政事业单位离退休（款）</w:t>
      </w:r>
      <w:r>
        <w:rPr>
          <w:rStyle w:val="16"/>
          <w:rFonts w:ascii="仿宋" w:hAnsi="仿宋" w:eastAsia="仿宋"/>
          <w:bCs/>
          <w:sz w:val="32"/>
          <w:szCs w:val="32"/>
        </w:rPr>
        <w:t>20805</w:t>
      </w:r>
      <w:r>
        <w:rPr>
          <w:rStyle w:val="16"/>
          <w:rFonts w:ascii="仿宋" w:hAnsi="仿宋" w:eastAsia="仿宋"/>
          <w:bCs/>
          <w:sz w:val="32"/>
          <w:szCs w:val="32"/>
        </w:rPr>
        <w:tab/>
      </w:r>
      <w:r>
        <w:rPr>
          <w:rStyle w:val="16"/>
          <w:rFonts w:hint="eastAsia" w:ascii="仿宋" w:hAnsi="仿宋" w:eastAsia="仿宋"/>
          <w:bCs/>
          <w:sz w:val="32"/>
          <w:szCs w:val="32"/>
        </w:rPr>
        <w:t>机关事业单位基本养老保险缴费支出（项）</w:t>
      </w:r>
      <w:r>
        <w:rPr>
          <w:rStyle w:val="16"/>
          <w:rFonts w:ascii="仿宋" w:hAnsi="仿宋" w:eastAsia="仿宋"/>
          <w:bCs/>
          <w:sz w:val="32"/>
          <w:szCs w:val="32"/>
        </w:rPr>
        <w:t>2080505</w:t>
      </w:r>
      <w:r>
        <w:rPr>
          <w:rStyle w:val="16"/>
          <w:rFonts w:ascii="仿宋" w:hAnsi="仿宋" w:eastAsia="仿宋"/>
          <w:bCs/>
          <w:sz w:val="32"/>
          <w:szCs w:val="32"/>
        </w:rPr>
        <w:tab/>
      </w:r>
      <w:r>
        <w:rPr>
          <w:rStyle w:val="16"/>
          <w:rFonts w:hint="eastAsia" w:ascii="仿宋" w:hAnsi="仿宋" w:eastAsia="仿宋"/>
          <w:bCs/>
          <w:sz w:val="32"/>
          <w:szCs w:val="32"/>
        </w:rPr>
        <w:t>：13.89万元，完成预算100%，行政事业单位离退休（款）</w:t>
      </w:r>
      <w:r>
        <w:rPr>
          <w:rStyle w:val="16"/>
          <w:rFonts w:ascii="仿宋" w:hAnsi="仿宋" w:eastAsia="仿宋"/>
          <w:bCs/>
          <w:sz w:val="32"/>
          <w:szCs w:val="32"/>
        </w:rPr>
        <w:t>20805</w:t>
      </w:r>
      <w:r>
        <w:rPr>
          <w:rStyle w:val="16"/>
          <w:rFonts w:hint="eastAsia" w:ascii="仿宋" w:hAnsi="仿宋" w:eastAsia="仿宋"/>
          <w:bCs/>
          <w:sz w:val="32"/>
          <w:szCs w:val="32"/>
        </w:rPr>
        <w:t>机关事业单位职业年金缴费支出（项）</w:t>
      </w:r>
      <w:r>
        <w:rPr>
          <w:rStyle w:val="16"/>
          <w:rFonts w:ascii="仿宋" w:hAnsi="仿宋" w:eastAsia="仿宋"/>
          <w:bCs/>
          <w:sz w:val="32"/>
          <w:szCs w:val="32"/>
        </w:rPr>
        <w:t>2080506</w:t>
      </w:r>
      <w:r>
        <w:rPr>
          <w:rStyle w:val="16"/>
          <w:rFonts w:ascii="仿宋" w:hAnsi="仿宋" w:eastAsia="仿宋"/>
          <w:bCs/>
          <w:sz w:val="32"/>
          <w:szCs w:val="32"/>
        </w:rPr>
        <w:tab/>
      </w:r>
      <w:r>
        <w:rPr>
          <w:rStyle w:val="16"/>
          <w:rFonts w:hint="eastAsia" w:ascii="仿宋" w:hAnsi="仿宋" w:eastAsia="仿宋"/>
          <w:bCs/>
          <w:sz w:val="32"/>
          <w:szCs w:val="32"/>
        </w:rPr>
        <w:t>：6.47万元，完成预算100%。社会保障和就业支出（类）</w:t>
      </w:r>
      <w:r>
        <w:rPr>
          <w:rStyle w:val="16"/>
          <w:rFonts w:ascii="仿宋" w:hAnsi="仿宋" w:eastAsia="仿宋"/>
          <w:bCs/>
          <w:sz w:val="32"/>
          <w:szCs w:val="32"/>
        </w:rPr>
        <w:t>208</w:t>
      </w:r>
      <w:r>
        <w:rPr>
          <w:rStyle w:val="16"/>
          <w:rFonts w:hint="eastAsia" w:ascii="仿宋" w:hAnsi="仿宋" w:eastAsia="仿宋"/>
          <w:bCs/>
          <w:sz w:val="32"/>
          <w:szCs w:val="32"/>
        </w:rPr>
        <w:t>决算数等于预算数的主要原因是决算种类开支与预算种类开支持平。</w:t>
      </w:r>
    </w:p>
    <w:p>
      <w:pPr>
        <w:spacing w:line="600" w:lineRule="exact"/>
        <w:ind w:firstLine="643" w:firstLineChars="200"/>
        <w:rPr>
          <w:rStyle w:val="16"/>
          <w:rFonts w:ascii="仿宋" w:hAnsi="仿宋" w:eastAsia="仿宋"/>
          <w:bCs/>
          <w:sz w:val="32"/>
          <w:szCs w:val="32"/>
        </w:rPr>
      </w:pPr>
      <w:r>
        <w:rPr>
          <w:rStyle w:val="16"/>
          <w:rFonts w:hint="eastAsia" w:ascii="仿宋" w:hAnsi="仿宋" w:eastAsia="仿宋"/>
          <w:bCs/>
          <w:sz w:val="32"/>
          <w:szCs w:val="32"/>
        </w:rPr>
        <w:t>3.卫生健康支出（类）</w:t>
      </w:r>
      <w:r>
        <w:rPr>
          <w:rStyle w:val="16"/>
          <w:rFonts w:ascii="仿宋" w:hAnsi="仿宋" w:eastAsia="仿宋"/>
          <w:bCs/>
          <w:sz w:val="32"/>
          <w:szCs w:val="32"/>
        </w:rPr>
        <w:t>210</w:t>
      </w:r>
      <w:r>
        <w:rPr>
          <w:rStyle w:val="16"/>
          <w:rFonts w:ascii="仿宋" w:hAnsi="仿宋" w:eastAsia="仿宋"/>
          <w:bCs/>
          <w:sz w:val="32"/>
          <w:szCs w:val="32"/>
        </w:rPr>
        <w:tab/>
      </w:r>
      <w:r>
        <w:rPr>
          <w:rStyle w:val="16"/>
          <w:rFonts w:hint="eastAsia" w:ascii="仿宋" w:hAnsi="仿宋" w:eastAsia="仿宋"/>
          <w:bCs/>
          <w:sz w:val="32"/>
          <w:szCs w:val="32"/>
        </w:rPr>
        <w:t>：7.92万元，完成预算100%。其中行政事业单位医疗（款）</w:t>
      </w:r>
      <w:r>
        <w:rPr>
          <w:rStyle w:val="16"/>
          <w:rFonts w:ascii="仿宋" w:hAnsi="仿宋" w:eastAsia="仿宋"/>
          <w:bCs/>
          <w:sz w:val="32"/>
          <w:szCs w:val="32"/>
        </w:rPr>
        <w:t>21011</w:t>
      </w:r>
      <w:r>
        <w:rPr>
          <w:rStyle w:val="16"/>
          <w:rFonts w:ascii="仿宋" w:hAnsi="仿宋" w:eastAsia="仿宋"/>
          <w:bCs/>
          <w:sz w:val="32"/>
          <w:szCs w:val="32"/>
        </w:rPr>
        <w:tab/>
      </w:r>
      <w:r>
        <w:rPr>
          <w:rStyle w:val="16"/>
          <w:rFonts w:hint="eastAsia" w:ascii="仿宋" w:hAnsi="仿宋" w:eastAsia="仿宋"/>
          <w:bCs/>
          <w:sz w:val="32"/>
          <w:szCs w:val="32"/>
        </w:rPr>
        <w:t>行政单位医疗（项）</w:t>
      </w:r>
      <w:r>
        <w:rPr>
          <w:rStyle w:val="16"/>
          <w:rFonts w:ascii="仿宋" w:hAnsi="仿宋" w:eastAsia="仿宋"/>
          <w:bCs/>
          <w:sz w:val="32"/>
          <w:szCs w:val="32"/>
        </w:rPr>
        <w:t>2101101</w:t>
      </w:r>
      <w:r>
        <w:rPr>
          <w:rStyle w:val="16"/>
          <w:rFonts w:ascii="仿宋" w:hAnsi="仿宋" w:eastAsia="仿宋"/>
          <w:bCs/>
          <w:sz w:val="32"/>
          <w:szCs w:val="32"/>
        </w:rPr>
        <w:tab/>
      </w:r>
      <w:r>
        <w:rPr>
          <w:rStyle w:val="16"/>
          <w:rFonts w:hint="eastAsia" w:ascii="仿宋" w:hAnsi="仿宋" w:eastAsia="仿宋"/>
          <w:bCs/>
          <w:sz w:val="32"/>
          <w:szCs w:val="32"/>
        </w:rPr>
        <w:t>：5.20万元，完成预算100%；行政事业单位医疗（款）</w:t>
      </w:r>
      <w:r>
        <w:rPr>
          <w:rStyle w:val="16"/>
          <w:rFonts w:ascii="仿宋" w:hAnsi="仿宋" w:eastAsia="仿宋"/>
          <w:bCs/>
          <w:sz w:val="32"/>
          <w:szCs w:val="32"/>
        </w:rPr>
        <w:t>2101101</w:t>
      </w:r>
      <w:r>
        <w:rPr>
          <w:rStyle w:val="16"/>
          <w:rFonts w:ascii="仿宋" w:hAnsi="仿宋" w:eastAsia="仿宋"/>
          <w:bCs/>
          <w:sz w:val="32"/>
          <w:szCs w:val="32"/>
        </w:rPr>
        <w:tab/>
      </w:r>
      <w:r>
        <w:rPr>
          <w:rStyle w:val="16"/>
          <w:rFonts w:hint="eastAsia" w:ascii="仿宋" w:hAnsi="仿宋" w:eastAsia="仿宋"/>
          <w:bCs/>
          <w:sz w:val="32"/>
          <w:szCs w:val="32"/>
        </w:rPr>
        <w:t>公务员医疗补助（项）</w:t>
      </w:r>
      <w:r>
        <w:rPr>
          <w:rStyle w:val="16"/>
          <w:rFonts w:ascii="仿宋" w:hAnsi="仿宋" w:eastAsia="仿宋"/>
          <w:bCs/>
          <w:sz w:val="32"/>
          <w:szCs w:val="32"/>
        </w:rPr>
        <w:t>2101103</w:t>
      </w:r>
      <w:r>
        <w:rPr>
          <w:rStyle w:val="16"/>
          <w:rFonts w:ascii="仿宋" w:hAnsi="仿宋" w:eastAsia="仿宋"/>
          <w:bCs/>
          <w:sz w:val="32"/>
          <w:szCs w:val="32"/>
        </w:rPr>
        <w:tab/>
      </w:r>
      <w:r>
        <w:rPr>
          <w:rStyle w:val="16"/>
          <w:rFonts w:hint="eastAsia" w:ascii="仿宋" w:hAnsi="仿宋" w:eastAsia="仿宋"/>
          <w:bCs/>
          <w:sz w:val="32"/>
          <w:szCs w:val="32"/>
        </w:rPr>
        <w:t>:0.93万元，完成预算100%。行政事业单位医疗（款）</w:t>
      </w:r>
      <w:r>
        <w:rPr>
          <w:rStyle w:val="16"/>
          <w:rFonts w:ascii="仿宋" w:hAnsi="仿宋" w:eastAsia="仿宋"/>
          <w:bCs/>
          <w:sz w:val="32"/>
          <w:szCs w:val="32"/>
        </w:rPr>
        <w:t>2101101</w:t>
      </w:r>
      <w:r>
        <w:rPr>
          <w:rStyle w:val="16"/>
          <w:rFonts w:ascii="仿宋" w:hAnsi="仿宋" w:eastAsia="仿宋"/>
          <w:bCs/>
          <w:sz w:val="32"/>
          <w:szCs w:val="32"/>
        </w:rPr>
        <w:tab/>
      </w:r>
      <w:r>
        <w:rPr>
          <w:rStyle w:val="16"/>
          <w:rFonts w:hint="eastAsia" w:ascii="仿宋" w:hAnsi="仿宋" w:eastAsia="仿宋"/>
          <w:bCs/>
          <w:sz w:val="32"/>
          <w:szCs w:val="32"/>
        </w:rPr>
        <w:t>事业单位医疗（项）</w:t>
      </w:r>
      <w:r>
        <w:rPr>
          <w:rStyle w:val="16"/>
          <w:rFonts w:ascii="仿宋" w:hAnsi="仿宋" w:eastAsia="仿宋"/>
          <w:bCs/>
          <w:sz w:val="32"/>
          <w:szCs w:val="32"/>
        </w:rPr>
        <w:t>2101102</w:t>
      </w:r>
      <w:r>
        <w:rPr>
          <w:rStyle w:val="16"/>
          <w:rFonts w:hint="eastAsia" w:ascii="仿宋" w:hAnsi="仿宋" w:eastAsia="仿宋"/>
          <w:bCs/>
          <w:sz w:val="32"/>
          <w:szCs w:val="32"/>
        </w:rPr>
        <w:t>：1.57万元，完成预算100%；行政事业单位医疗（款）其他行政事业单位医疗支出（项）:0.22万元，完成预算100%。行政事业单位医疗（类）</w:t>
      </w:r>
      <w:r>
        <w:rPr>
          <w:rStyle w:val="16"/>
          <w:rFonts w:ascii="仿宋" w:hAnsi="仿宋" w:eastAsia="仿宋"/>
          <w:bCs/>
          <w:sz w:val="32"/>
          <w:szCs w:val="32"/>
        </w:rPr>
        <w:t>2101101</w:t>
      </w:r>
      <w:r>
        <w:rPr>
          <w:rStyle w:val="16"/>
          <w:rFonts w:hint="eastAsia" w:ascii="仿宋" w:hAnsi="仿宋" w:eastAsia="仿宋"/>
          <w:bCs/>
          <w:sz w:val="32"/>
          <w:szCs w:val="32"/>
        </w:rPr>
        <w:t>决算数等于预算数的主要原因决算种类开支与预算种类开支持平。</w:t>
      </w:r>
    </w:p>
    <w:p>
      <w:pPr>
        <w:spacing w:line="600" w:lineRule="exact"/>
        <w:ind w:firstLine="643" w:firstLineChars="200"/>
        <w:rPr>
          <w:rStyle w:val="16"/>
          <w:rFonts w:ascii="仿宋" w:hAnsi="仿宋" w:eastAsia="仿宋"/>
          <w:bCs/>
          <w:sz w:val="32"/>
          <w:szCs w:val="32"/>
        </w:rPr>
      </w:pPr>
      <w:r>
        <w:rPr>
          <w:rStyle w:val="16"/>
          <w:rFonts w:hint="eastAsia" w:ascii="仿宋" w:hAnsi="仿宋" w:eastAsia="仿宋"/>
          <w:bCs/>
          <w:sz w:val="32"/>
          <w:szCs w:val="32"/>
        </w:rPr>
        <w:t>4.住房保障支出（类）</w:t>
      </w:r>
      <w:r>
        <w:rPr>
          <w:rStyle w:val="16"/>
          <w:rFonts w:ascii="仿宋" w:hAnsi="仿宋" w:eastAsia="仿宋"/>
          <w:bCs/>
          <w:sz w:val="32"/>
          <w:szCs w:val="32"/>
        </w:rPr>
        <w:t>221</w:t>
      </w:r>
      <w:r>
        <w:rPr>
          <w:rStyle w:val="16"/>
          <w:rFonts w:hint="eastAsia" w:ascii="仿宋" w:hAnsi="仿宋" w:eastAsia="仿宋"/>
          <w:bCs/>
          <w:sz w:val="32"/>
          <w:szCs w:val="32"/>
        </w:rPr>
        <w:t>：11.64万元，完成预算100%。住房改革支出（款）</w:t>
      </w:r>
      <w:r>
        <w:rPr>
          <w:rStyle w:val="16"/>
          <w:rFonts w:ascii="仿宋" w:hAnsi="仿宋" w:eastAsia="仿宋"/>
          <w:bCs/>
          <w:sz w:val="32"/>
          <w:szCs w:val="32"/>
        </w:rPr>
        <w:t>22102</w:t>
      </w:r>
      <w:r>
        <w:rPr>
          <w:rStyle w:val="16"/>
          <w:rFonts w:ascii="仿宋" w:hAnsi="仿宋" w:eastAsia="仿宋"/>
          <w:bCs/>
          <w:sz w:val="32"/>
          <w:szCs w:val="32"/>
        </w:rPr>
        <w:tab/>
      </w:r>
      <w:r>
        <w:rPr>
          <w:rStyle w:val="16"/>
          <w:rFonts w:hint="eastAsia" w:ascii="仿宋" w:hAnsi="仿宋" w:eastAsia="仿宋"/>
          <w:bCs/>
          <w:sz w:val="32"/>
          <w:szCs w:val="32"/>
        </w:rPr>
        <w:t>住房公积金（项）</w:t>
      </w:r>
      <w:r>
        <w:rPr>
          <w:rStyle w:val="16"/>
          <w:rFonts w:ascii="仿宋" w:hAnsi="仿宋" w:eastAsia="仿宋"/>
          <w:bCs/>
          <w:sz w:val="32"/>
          <w:szCs w:val="32"/>
        </w:rPr>
        <w:t>2210201</w:t>
      </w:r>
      <w:r>
        <w:rPr>
          <w:rStyle w:val="16"/>
          <w:rFonts w:hint="eastAsia" w:ascii="仿宋" w:hAnsi="仿宋" w:eastAsia="仿宋"/>
          <w:bCs/>
          <w:sz w:val="32"/>
          <w:szCs w:val="32"/>
        </w:rPr>
        <w:t>：11.64万元，完成预算100%。住房保障支出（类）221决算数等于预算数的主要原因决算种类开支与预算种类开支持平。</w:t>
      </w:r>
    </w:p>
    <w:p>
      <w:pPr>
        <w:tabs>
          <w:tab w:val="right" w:pos="8306"/>
        </w:tabs>
        <w:spacing w:line="600" w:lineRule="exact"/>
        <w:ind w:firstLine="640"/>
        <w:outlineLvl w:val="1"/>
        <w:rPr>
          <w:rStyle w:val="27"/>
        </w:rPr>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38"/>
      <w:bookmarkEnd w:id="39"/>
      <w:r>
        <w:rPr>
          <w:rStyle w:val="27"/>
          <w:rFonts w:ascii="黑体" w:hAnsi="黑体" w:eastAsia="黑体"/>
          <w:b w:val="0"/>
        </w:rPr>
        <w:tab/>
      </w:r>
    </w:p>
    <w:p>
      <w:pPr>
        <w:spacing w:line="600" w:lineRule="exact"/>
        <w:ind w:firstLine="645"/>
        <w:rPr>
          <w:rFonts w:ascii="仿宋" w:hAnsi="仿宋" w:eastAsia="仿宋"/>
          <w:color w:val="000000"/>
          <w:sz w:val="32"/>
          <w:szCs w:val="32"/>
        </w:rPr>
      </w:pPr>
      <w:bookmarkStart w:id="40" w:name="_Toc15377215"/>
      <w:bookmarkStart w:id="41" w:name="_Toc15396609"/>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9年一般公共预算财政拨款基本支出139.39万元，其中：</w:t>
      </w:r>
    </w:p>
    <w:p>
      <w:pPr>
        <w:spacing w:line="600" w:lineRule="exact"/>
        <w:ind w:firstLine="645"/>
        <w:rPr>
          <w:rFonts w:ascii="仿宋" w:hAnsi="仿宋" w:eastAsia="仿宋"/>
          <w:color w:val="0000FF"/>
          <w:sz w:val="32"/>
          <w:szCs w:val="32"/>
        </w:rPr>
      </w:pPr>
      <w:r>
        <w:rPr>
          <w:rFonts w:hint="eastAsia" w:ascii="仿宋" w:hAnsi="仿宋" w:eastAsia="仿宋"/>
          <w:color w:val="000000"/>
          <w:sz w:val="32"/>
          <w:szCs w:val="32"/>
        </w:rPr>
        <w:t>人员经费136.82万元，主要包括：基本工资31.16万元 、津贴补贴47.58万元、奖金16.72万元、机关事业单位基本养老保险缴费13.89万元、职业年金缴费6.47万元、职工基本医疗保险缴费6.77万元、公务员医疗补助缴费1.15万元，其他社会保障缴费0.95万元、住房公积金11.64万元、医疗费0.48万元、其他对个人和家庭的补助0.01万元。</w:t>
      </w:r>
      <w:r>
        <w:rPr>
          <w:rFonts w:ascii="仿宋" w:hAnsi="仿宋" w:eastAsia="仿宋"/>
          <w:color w:val="000000"/>
          <w:sz w:val="32"/>
          <w:szCs w:val="32"/>
        </w:rPr>
        <w:br w:type="textWrapping"/>
      </w:r>
      <w:r>
        <w:rPr>
          <w:rFonts w:hint="eastAsia" w:ascii="仿宋" w:hAnsi="仿宋" w:eastAsia="仿宋"/>
          <w:color w:val="000000"/>
          <w:sz w:val="32"/>
          <w:szCs w:val="32"/>
        </w:rPr>
        <w:t xml:space="preserve">    公用经费15.16万元，主要包括：办公费3.16万元、印刷费0.20万元、手续费0.05万元、水费0.10万元、电费0.49万元、邮电费0.50万元、取暖费0.30万元、差旅费1.7万元、公务接待费0.20万元、培训费0.20万元、公务用车运行维护费2.20万元。</w:t>
      </w:r>
    </w:p>
    <w:p>
      <w:pPr>
        <w:spacing w:line="600" w:lineRule="exact"/>
        <w:ind w:firstLine="640"/>
        <w:outlineLvl w:val="1"/>
        <w:rPr>
          <w:rStyle w:val="27"/>
          <w:rFonts w:ascii="黑体" w:hAnsi="黑体" w:eastAsia="黑体"/>
          <w:b w:val="0"/>
        </w:rPr>
      </w:pPr>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0"/>
      <w:bookmarkEnd w:id="41"/>
    </w:p>
    <w:p>
      <w:pPr>
        <w:spacing w:line="580" w:lineRule="exact"/>
        <w:ind w:firstLine="643" w:firstLineChars="200"/>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9年“三公”经费财政拨款支出决算为4.8万元，完成预算100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rPr>
        <w:t>19年公务用车购置及运行维护费支出决算2.20万元，占46</w:t>
      </w:r>
      <w:r>
        <w:rPr>
          <w:rFonts w:ascii="仿宋" w:hAnsi="仿宋" w:eastAsia="仿宋"/>
          <w:color w:val="000000"/>
          <w:sz w:val="32"/>
          <w:szCs w:val="32"/>
        </w:rPr>
        <w:t>%</w:t>
      </w:r>
      <w:r>
        <w:rPr>
          <w:rFonts w:hint="eastAsia" w:ascii="仿宋" w:hAnsi="仿宋" w:eastAsia="仿宋"/>
          <w:color w:val="000000"/>
          <w:sz w:val="32"/>
          <w:szCs w:val="32"/>
        </w:rPr>
        <w:t>；公务接待费支出决算0.20万元，占4</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9年“三公”经费财政拨款支出决算中，公务用车购置及运行维护费支出决算2.20万元，占92</w:t>
      </w:r>
      <w:r>
        <w:rPr>
          <w:rFonts w:ascii="仿宋" w:hAnsi="仿宋" w:eastAsia="仿宋"/>
          <w:color w:val="000000"/>
          <w:sz w:val="32"/>
          <w:szCs w:val="32"/>
        </w:rPr>
        <w:t>%</w:t>
      </w:r>
      <w:r>
        <w:rPr>
          <w:rFonts w:hint="eastAsia" w:ascii="仿宋" w:hAnsi="仿宋" w:eastAsia="仿宋"/>
          <w:color w:val="000000"/>
          <w:sz w:val="32"/>
          <w:szCs w:val="32"/>
        </w:rPr>
        <w:t>；公务接待费支出决算0.20万元，占8</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rPr>
        <w:drawing>
          <wp:anchor distT="0" distB="0" distL="114300" distR="114300" simplePos="0" relativeHeight="251664384" behindDoc="0" locked="0" layoutInCell="1" allowOverlap="1">
            <wp:simplePos x="0" y="0"/>
            <wp:positionH relativeFrom="column">
              <wp:posOffset>127000</wp:posOffset>
            </wp:positionH>
            <wp:positionV relativeFrom="paragraph">
              <wp:posOffset>482600</wp:posOffset>
            </wp:positionV>
            <wp:extent cx="2635250" cy="1873250"/>
            <wp:effectExtent l="0" t="0" r="12700" b="1270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rPr>
        <w:drawing>
          <wp:anchor distT="0" distB="0" distL="114300" distR="114300" simplePos="0" relativeHeight="251665408" behindDoc="1" locked="0" layoutInCell="1" allowOverlap="1">
            <wp:simplePos x="0" y="0"/>
            <wp:positionH relativeFrom="column">
              <wp:posOffset>2997200</wp:posOffset>
            </wp:positionH>
            <wp:positionV relativeFrom="paragraph">
              <wp:posOffset>501650</wp:posOffset>
            </wp:positionV>
            <wp:extent cx="2616200" cy="1866900"/>
            <wp:effectExtent l="0" t="0" r="12700" b="0"/>
            <wp:wrapTight wrapText="bothSides">
              <wp:wrapPolygon>
                <wp:start x="0" y="0"/>
                <wp:lineTo x="0" y="21380"/>
                <wp:lineTo x="21548" y="21380"/>
                <wp:lineTo x="21548" y="0"/>
                <wp:lineTo x="0" y="0"/>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hint="eastAsia" w:ascii="仿宋" w:hAnsi="仿宋" w:eastAsia="仿宋"/>
          <w:color w:val="000000"/>
          <w:sz w:val="32"/>
          <w:szCs w:val="32"/>
        </w:rPr>
        <w:t>（图7：“三公”经费财政拨款支出结构）（饼状图）</w:t>
      </w:r>
      <w:bookmarkStart w:id="44" w:name="_Toc15396610"/>
      <w:bookmarkStart w:id="45" w:name="_Toc15377218"/>
    </w:p>
    <w:p>
      <w:pPr>
        <w:spacing w:line="600" w:lineRule="exact"/>
        <w:ind w:firstLine="640"/>
        <w:rPr>
          <w:rFonts w:ascii="仿宋" w:hAnsi="仿宋" w:eastAsia="仿宋" w:cs="仿宋_GB2312"/>
          <w:sz w:val="32"/>
          <w:szCs w:val="32"/>
        </w:rPr>
      </w:pPr>
      <w:r>
        <w:rPr>
          <w:rFonts w:hint="eastAsia" w:ascii="仿宋_GB2312" w:eastAsia="仿宋_GB2312"/>
          <w:b/>
          <w:color w:val="000000"/>
          <w:sz w:val="32"/>
          <w:szCs w:val="32"/>
        </w:rPr>
        <w:t>1.公务用车购置及运行维护费支出</w:t>
      </w:r>
      <w:r>
        <w:rPr>
          <w:rFonts w:hint="eastAsia" w:ascii="仿宋" w:hAnsi="仿宋" w:eastAsia="仿宋" w:cs="仿宋_GB2312"/>
          <w:sz w:val="32"/>
          <w:szCs w:val="32"/>
        </w:rPr>
        <w:t>2.20万元,</w:t>
      </w:r>
      <w:r>
        <w:rPr>
          <w:rFonts w:hint="eastAsia" w:cs="仿宋_GB2312"/>
        </w:rPr>
        <w:t>完成预算100</w:t>
      </w:r>
      <w:r>
        <w:rPr>
          <w:rFonts w:cs="仿宋_GB2312"/>
        </w:rPr>
        <w:t>%</w:t>
      </w:r>
      <w:r>
        <w:rPr>
          <w:rFonts w:hint="eastAsia" w:cs="仿宋_GB2312"/>
        </w:rPr>
        <w:t>。</w:t>
      </w:r>
      <w:r>
        <w:rPr>
          <w:rFonts w:hint="eastAsia" w:ascii="仿宋" w:hAnsi="仿宋" w:eastAsia="仿宋" w:cs="仿宋_GB2312"/>
          <w:sz w:val="32"/>
          <w:szCs w:val="32"/>
        </w:rPr>
        <w:t>公务用车购置及运行维护费支出决算比</w:t>
      </w:r>
      <w:r>
        <w:rPr>
          <w:rFonts w:ascii="仿宋" w:hAnsi="仿宋" w:eastAsia="仿宋" w:cs="仿宋_GB2312"/>
          <w:sz w:val="32"/>
          <w:szCs w:val="32"/>
        </w:rPr>
        <w:t>201</w:t>
      </w:r>
      <w:r>
        <w:rPr>
          <w:rFonts w:hint="eastAsia" w:ascii="仿宋" w:hAnsi="仿宋" w:eastAsia="仿宋" w:cs="仿宋_GB2312"/>
          <w:sz w:val="32"/>
          <w:szCs w:val="32"/>
        </w:rPr>
        <w:t>8年减少4.8万元，下降2.18</w:t>
      </w:r>
      <w:r>
        <w:rPr>
          <w:rFonts w:ascii="仿宋" w:hAnsi="仿宋" w:eastAsia="仿宋" w:cs="仿宋_GB2312"/>
          <w:sz w:val="32"/>
          <w:szCs w:val="32"/>
        </w:rPr>
        <w:t>%</w:t>
      </w:r>
      <w:r>
        <w:rPr>
          <w:rFonts w:hint="eastAsia" w:ascii="仿宋" w:hAnsi="仿宋" w:eastAsia="仿宋" w:cs="仿宋_GB2312"/>
          <w:sz w:val="32"/>
          <w:szCs w:val="32"/>
        </w:rPr>
        <w:t>。主要原因是外出州内、省内出差、培训活动量减少，公务用车运行维护费开支相对减少。</w:t>
      </w:r>
    </w:p>
    <w:p>
      <w:pPr>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截至</w:t>
      </w:r>
      <w:r>
        <w:rPr>
          <w:rFonts w:ascii="仿宋" w:hAnsi="仿宋" w:eastAsia="仿宋" w:cs="仿宋_GB2312"/>
          <w:sz w:val="32"/>
          <w:szCs w:val="32"/>
        </w:rPr>
        <w:t>20</w:t>
      </w:r>
      <w:r>
        <w:rPr>
          <w:rFonts w:hint="eastAsia" w:ascii="仿宋" w:hAnsi="仿宋" w:eastAsia="仿宋" w:cs="仿宋_GB2312"/>
          <w:sz w:val="32"/>
          <w:szCs w:val="32"/>
        </w:rPr>
        <w:t>19年</w:t>
      </w:r>
      <w:r>
        <w:rPr>
          <w:rFonts w:ascii="仿宋" w:hAnsi="仿宋" w:eastAsia="仿宋" w:cs="仿宋_GB2312"/>
          <w:sz w:val="32"/>
          <w:szCs w:val="32"/>
        </w:rPr>
        <w:t>12</w:t>
      </w:r>
      <w:r>
        <w:rPr>
          <w:rFonts w:hint="eastAsia" w:ascii="仿宋" w:hAnsi="仿宋" w:eastAsia="仿宋" w:cs="仿宋_GB2312"/>
          <w:sz w:val="32"/>
          <w:szCs w:val="32"/>
        </w:rPr>
        <w:t>月底，单位共有公务用车1辆，其中：越野车1辆。</w:t>
      </w:r>
    </w:p>
    <w:p>
      <w:pPr>
        <w:spacing w:line="600" w:lineRule="exact"/>
        <w:ind w:firstLine="640"/>
        <w:rPr>
          <w:rFonts w:ascii="仿宋" w:hAnsi="仿宋" w:eastAsia="仿宋" w:cs="仿宋_GB2312"/>
          <w:sz w:val="32"/>
          <w:szCs w:val="32"/>
        </w:rPr>
      </w:pPr>
      <w:r>
        <w:rPr>
          <w:rFonts w:hint="eastAsia" w:ascii="仿宋_GB2312" w:eastAsia="仿宋_GB2312"/>
          <w:b/>
          <w:color w:val="000000"/>
          <w:sz w:val="32"/>
          <w:szCs w:val="32"/>
        </w:rPr>
        <w:t>2公务用车运行维护费支出</w:t>
      </w:r>
      <w:r>
        <w:rPr>
          <w:rFonts w:hint="eastAsia" w:ascii="仿宋_GB2312" w:eastAsia="仿宋_GB2312"/>
          <w:color w:val="000000"/>
          <w:sz w:val="32"/>
          <w:szCs w:val="32"/>
        </w:rPr>
        <w:t>2.20万元。</w:t>
      </w:r>
      <w:r>
        <w:rPr>
          <w:rFonts w:hint="eastAsia" w:ascii="仿宋" w:hAnsi="仿宋" w:eastAsia="仿宋" w:cs="仿宋_GB2312"/>
          <w:sz w:val="32"/>
          <w:szCs w:val="32"/>
        </w:rPr>
        <w:t>主要用于出差、外出培训工作等所需的公务用车燃料费、维修购置费、过路过桥费、保险费等支出。</w:t>
      </w:r>
    </w:p>
    <w:p>
      <w:pPr>
        <w:spacing w:line="600" w:lineRule="exact"/>
        <w:ind w:firstLine="640"/>
        <w:rPr>
          <w:rFonts w:ascii="仿宋" w:hAnsi="仿宋" w:eastAsia="仿宋" w:cs="仿宋_GB2312"/>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0.20万元，</w:t>
      </w:r>
      <w:r>
        <w:rPr>
          <w:rFonts w:hint="eastAsia" w:ascii="仿宋" w:hAnsi="仿宋" w:eastAsia="仿宋" w:cs="仿宋_GB2312"/>
          <w:sz w:val="32"/>
          <w:szCs w:val="32"/>
        </w:rPr>
        <w:t>完成预算100</w:t>
      </w:r>
      <w:r>
        <w:rPr>
          <w:rFonts w:ascii="仿宋" w:hAnsi="仿宋" w:eastAsia="仿宋" w:cs="仿宋_GB2312"/>
          <w:sz w:val="32"/>
          <w:szCs w:val="32"/>
        </w:rPr>
        <w:t>%</w:t>
      </w:r>
      <w:r>
        <w:rPr>
          <w:rFonts w:hint="eastAsia" w:ascii="仿宋" w:hAnsi="仿宋" w:eastAsia="仿宋" w:cs="仿宋_GB2312"/>
          <w:sz w:val="32"/>
          <w:szCs w:val="32"/>
        </w:rPr>
        <w:t>。公务接待费支出决算比</w:t>
      </w:r>
      <w:r>
        <w:rPr>
          <w:rFonts w:ascii="仿宋" w:hAnsi="仿宋" w:eastAsia="仿宋" w:cs="仿宋_GB2312"/>
          <w:sz w:val="32"/>
          <w:szCs w:val="32"/>
        </w:rPr>
        <w:t>201</w:t>
      </w:r>
      <w:r>
        <w:rPr>
          <w:rFonts w:hint="eastAsia" w:ascii="仿宋" w:hAnsi="仿宋" w:eastAsia="仿宋" w:cs="仿宋_GB2312"/>
          <w:sz w:val="32"/>
          <w:szCs w:val="32"/>
        </w:rPr>
        <w:t>8年减少0.08万元，下降0.4</w:t>
      </w:r>
      <w:r>
        <w:rPr>
          <w:rFonts w:ascii="仿宋" w:hAnsi="仿宋" w:eastAsia="仿宋" w:cs="仿宋_GB2312"/>
          <w:sz w:val="32"/>
          <w:szCs w:val="32"/>
        </w:rPr>
        <w:t>%</w:t>
      </w:r>
      <w:r>
        <w:rPr>
          <w:rFonts w:hint="eastAsia" w:ascii="仿宋" w:hAnsi="仿宋" w:eastAsia="仿宋" w:cs="仿宋_GB2312"/>
          <w:sz w:val="32"/>
          <w:szCs w:val="32"/>
        </w:rPr>
        <w:t>。主要原因是我单位接待工作，尽量减少了单位陪同人员，倡导力行节约。</w:t>
      </w:r>
    </w:p>
    <w:p>
      <w:pPr>
        <w:spacing w:line="600" w:lineRule="exact"/>
        <w:ind w:firstLine="640"/>
        <w:rPr>
          <w:rFonts w:ascii="仿宋" w:hAnsi="仿宋" w:eastAsia="仿宋" w:cs="仿宋_GB2312"/>
          <w:sz w:val="32"/>
          <w:szCs w:val="32"/>
        </w:rPr>
      </w:pPr>
      <w:r>
        <w:rPr>
          <w:rFonts w:hint="eastAsia" w:ascii="仿宋" w:hAnsi="仿宋" w:eastAsia="仿宋" w:cs="仿宋_GB2312"/>
          <w:sz w:val="32"/>
          <w:szCs w:val="32"/>
        </w:rPr>
        <w:t>主要用于开展业务活动开支的交通费、住宿费、用餐费等。县内公务接待112次，30人次（不包括陪同人员）。共计支出0.20万元。（接待具体内容包括：开展2019年科普干事暨科普宣传员培训班、调研院士专家工作站等）。</w:t>
      </w:r>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4"/>
      <w:bookmarkEnd w:id="45"/>
    </w:p>
    <w:p>
      <w:pPr>
        <w:spacing w:line="600" w:lineRule="exact"/>
        <w:ind w:firstLine="640"/>
        <w:rPr>
          <w:rFonts w:ascii="仿宋" w:hAnsi="仿宋" w:eastAsia="仿宋" w:cs="仿宋_GB2312"/>
          <w:sz w:val="32"/>
          <w:szCs w:val="32"/>
        </w:rPr>
      </w:pPr>
      <w:r>
        <w:rPr>
          <w:rFonts w:ascii="仿宋" w:hAnsi="仿宋" w:eastAsia="仿宋" w:cs="仿宋_GB2312"/>
          <w:sz w:val="32"/>
          <w:szCs w:val="32"/>
        </w:rPr>
        <w:t>201</w:t>
      </w:r>
      <w:r>
        <w:rPr>
          <w:rFonts w:hint="eastAsia" w:ascii="仿宋" w:hAnsi="仿宋" w:eastAsia="仿宋" w:cs="仿宋_GB2312"/>
          <w:sz w:val="32"/>
          <w:szCs w:val="32"/>
        </w:rPr>
        <w:t>9年政府性基金预算拨款支出0万元。</w:t>
      </w:r>
    </w:p>
    <w:p>
      <w:pPr>
        <w:numPr>
          <w:ilvl w:val="0"/>
          <w:numId w:val="3"/>
        </w:numPr>
        <w:spacing w:line="600" w:lineRule="exact"/>
        <w:ind w:firstLine="640"/>
        <w:outlineLvl w:val="1"/>
        <w:rPr>
          <w:rStyle w:val="27"/>
          <w:rFonts w:ascii="黑体" w:hAnsi="黑体" w:eastAsia="黑体"/>
          <w:b w:val="0"/>
        </w:rPr>
      </w:pPr>
      <w:bookmarkStart w:id="46" w:name="_Toc15377219"/>
      <w:bookmarkStart w:id="47" w:name="_Toc15396611"/>
      <w:r>
        <w:rPr>
          <w:rStyle w:val="27"/>
          <w:rFonts w:hint="eastAsia" w:ascii="黑体" w:hAnsi="黑体" w:eastAsia="黑体"/>
          <w:b w:val="0"/>
        </w:rPr>
        <w:t>国有资本经营预算支出决算情况说明</w:t>
      </w:r>
      <w:bookmarkEnd w:id="46"/>
      <w:bookmarkEnd w:id="47"/>
    </w:p>
    <w:p>
      <w:pPr>
        <w:widowControl/>
        <w:adjustRightInd w:val="0"/>
        <w:snapToGrid w:val="0"/>
        <w:spacing w:line="480" w:lineRule="exact"/>
        <w:ind w:firstLine="640" w:firstLineChars="200"/>
        <w:jc w:val="left"/>
        <w:rPr>
          <w:rFonts w:ascii="仿宋" w:hAnsi="仿宋" w:eastAsia="仿宋" w:cs="仿宋_GB2312"/>
          <w:sz w:val="32"/>
          <w:szCs w:val="32"/>
        </w:rPr>
      </w:pPr>
      <w:r>
        <w:rPr>
          <w:rFonts w:ascii="仿宋" w:hAnsi="仿宋" w:eastAsia="仿宋" w:cs="仿宋_GB2312"/>
          <w:sz w:val="32"/>
          <w:szCs w:val="32"/>
        </w:rPr>
        <w:t>201</w:t>
      </w:r>
      <w:r>
        <w:rPr>
          <w:rFonts w:hint="eastAsia" w:ascii="仿宋" w:hAnsi="仿宋" w:eastAsia="仿宋" w:cs="仿宋_GB2312"/>
          <w:sz w:val="32"/>
          <w:szCs w:val="32"/>
        </w:rPr>
        <w:t>9年国有资本经营预算拨款支出0万元。</w:t>
      </w:r>
    </w:p>
    <w:p>
      <w:pPr>
        <w:spacing w:line="600" w:lineRule="exact"/>
        <w:ind w:firstLine="800" w:firstLineChars="250"/>
        <w:outlineLvl w:val="1"/>
        <w:rPr>
          <w:rStyle w:val="27"/>
          <w:rFonts w:ascii="黑体" w:hAnsi="黑体" w:eastAsia="黑体"/>
        </w:rPr>
      </w:pPr>
      <w:bookmarkStart w:id="48" w:name="_Toc15396612"/>
      <w:bookmarkStart w:id="49"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48"/>
      <w:bookmarkEnd w:id="49"/>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0" w:name="_Toc15377224"/>
      <w:r>
        <w:rPr>
          <w:rFonts w:hint="eastAsia" w:ascii="仿宋" w:hAnsi="仿宋" w:eastAsia="仿宋"/>
          <w:b/>
          <w:color w:val="000000"/>
          <w:sz w:val="32"/>
          <w:szCs w:val="32"/>
        </w:rPr>
        <w:t>（一）国有资产占有使用情况</w:t>
      </w:r>
      <w:bookmarkEnd w:id="50"/>
    </w:p>
    <w:p>
      <w:pPr>
        <w:widowControl/>
        <w:adjustRightInd w:val="0"/>
        <w:snapToGrid w:val="0"/>
        <w:spacing w:line="48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截至</w:t>
      </w:r>
      <w:r>
        <w:rPr>
          <w:rFonts w:ascii="仿宋" w:hAnsi="仿宋" w:eastAsia="仿宋" w:cs="仿宋_GB2312"/>
          <w:sz w:val="32"/>
          <w:szCs w:val="32"/>
        </w:rPr>
        <w:t>201</w:t>
      </w:r>
      <w:r>
        <w:rPr>
          <w:rFonts w:hint="eastAsia" w:ascii="仿宋" w:hAnsi="仿宋" w:eastAsia="仿宋" w:cs="仿宋_GB2312"/>
          <w:sz w:val="32"/>
          <w:szCs w:val="32"/>
        </w:rPr>
        <w:t>9年</w:t>
      </w:r>
      <w:r>
        <w:rPr>
          <w:rFonts w:ascii="仿宋" w:hAnsi="仿宋" w:eastAsia="仿宋" w:cs="仿宋_GB2312"/>
          <w:sz w:val="32"/>
          <w:szCs w:val="32"/>
        </w:rPr>
        <w:t>12</w:t>
      </w:r>
      <w:r>
        <w:rPr>
          <w:rFonts w:hint="eastAsia" w:ascii="仿宋" w:hAnsi="仿宋" w:eastAsia="仿宋" w:cs="仿宋_GB2312"/>
          <w:sz w:val="32"/>
          <w:szCs w:val="32"/>
        </w:rPr>
        <w:t>月</w:t>
      </w:r>
      <w:r>
        <w:rPr>
          <w:rFonts w:ascii="仿宋" w:hAnsi="仿宋" w:eastAsia="仿宋" w:cs="仿宋_GB2312"/>
          <w:sz w:val="32"/>
          <w:szCs w:val="32"/>
        </w:rPr>
        <w:t>31</w:t>
      </w:r>
      <w:r>
        <w:rPr>
          <w:rFonts w:hint="eastAsia" w:ascii="仿宋" w:hAnsi="仿宋" w:eastAsia="仿宋" w:cs="仿宋_GB2312"/>
          <w:sz w:val="32"/>
          <w:szCs w:val="32"/>
        </w:rPr>
        <w:t>日，县科协共有车辆1辆，其中：单位用车1辆。</w:t>
      </w:r>
      <w:r>
        <w:rPr>
          <w:rFonts w:ascii="仿宋" w:hAnsi="仿宋" w:eastAsia="仿宋" w:cs="仿宋_GB2312"/>
          <w:sz w:val="32"/>
          <w:szCs w:val="32"/>
        </w:rPr>
        <w:t xml:space="preserve"> </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（二）预算绩效管理情况。</w:t>
      </w:r>
    </w:p>
    <w:p>
      <w:pPr>
        <w:widowControl/>
        <w:adjustRightInd w:val="0"/>
        <w:snapToGrid w:val="0"/>
        <w:spacing w:line="48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根据预算绩效管理要求，本部门在年初预算编制阶段，组织对我单位开展了预算事前绩效评估，年终执行完毕后，开展了绩效目标完成情况梳理填报。</w:t>
      </w:r>
    </w:p>
    <w:p>
      <w:pPr>
        <w:widowControl/>
        <w:adjustRightInd w:val="0"/>
        <w:snapToGrid w:val="0"/>
        <w:spacing w:line="480" w:lineRule="exact"/>
        <w:ind w:firstLine="640" w:firstLineChars="200"/>
        <w:jc w:val="left"/>
        <w:rPr>
          <w:rFonts w:ascii="仿宋" w:hAnsi="仿宋" w:eastAsia="仿宋" w:cs="仿宋_GB2312"/>
          <w:sz w:val="32"/>
          <w:szCs w:val="32"/>
        </w:rPr>
      </w:pPr>
      <w:r>
        <w:rPr>
          <w:rFonts w:hint="eastAsia" w:ascii="仿宋" w:hAnsi="仿宋" w:eastAsia="仿宋" w:cs="仿宋_GB2312"/>
          <w:sz w:val="32"/>
          <w:szCs w:val="32"/>
        </w:rPr>
        <w:t>本部门按要求对2019年部门整体支出开展绩效自评，从评价情况来看，</w:t>
      </w:r>
      <w:r>
        <w:rPr>
          <w:rFonts w:ascii="仿宋" w:hAnsi="仿宋" w:eastAsia="仿宋" w:cs="仿宋_GB2312"/>
          <w:sz w:val="32"/>
          <w:szCs w:val="32"/>
        </w:rPr>
        <w:t xml:space="preserve"> </w:t>
      </w:r>
      <w:r>
        <w:rPr>
          <w:rFonts w:hint="eastAsia" w:ascii="仿宋" w:hAnsi="仿宋" w:eastAsia="仿宋" w:cs="仿宋_GB2312"/>
          <w:sz w:val="32"/>
          <w:szCs w:val="32"/>
        </w:rPr>
        <w:t>包括部门职责履行结果、重点项目绩效评价结果和服务对象满意度等。</w:t>
      </w:r>
    </w:p>
    <w:p>
      <w:pPr>
        <w:widowControl/>
        <w:adjustRightInd w:val="0"/>
        <w:snapToGrid w:val="0"/>
        <w:spacing w:line="480" w:lineRule="exact"/>
        <w:ind w:left="720"/>
        <w:jc w:val="left"/>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w:t>
      </w:r>
      <w:r>
        <w:rPr>
          <w:rFonts w:hint="eastAsia" w:ascii="仿宋_GB2312" w:hAnsi="宋体" w:eastAsia="仿宋_GB2312" w:cs="宋体"/>
          <w:color w:val="000000"/>
          <w:kern w:val="0"/>
          <w:sz w:val="32"/>
          <w:lang w:bidi="ar"/>
        </w:rPr>
        <w:t>1</w:t>
      </w:r>
      <w:r>
        <w:rPr>
          <w:rFonts w:hint="eastAsia" w:ascii="仿宋_GB2312" w:hAnsi="宋体" w:eastAsia="仿宋_GB2312" w:cs="宋体"/>
          <w:color w:val="000000"/>
          <w:kern w:val="0"/>
          <w:sz w:val="32"/>
          <w:lang w:val="zh-CN" w:bidi="ar"/>
        </w:rPr>
        <w:t>）、职责履行结果。</w:t>
      </w:r>
    </w:p>
    <w:p>
      <w:pPr>
        <w:widowControl/>
        <w:adjustRightInd w:val="0"/>
        <w:snapToGrid w:val="0"/>
        <w:spacing w:line="480" w:lineRule="exact"/>
        <w:ind w:firstLine="640" w:firstLineChars="200"/>
        <w:jc w:val="left"/>
        <w:rPr>
          <w:rFonts w:ascii="仿宋_GB2312" w:hAnsi="宋体" w:eastAsia="仿宋_GB2312" w:cs="宋体"/>
          <w:color w:val="000000"/>
          <w:kern w:val="0"/>
          <w:sz w:val="32"/>
          <w:lang w:val="zh-CN" w:bidi="ar"/>
        </w:rPr>
      </w:pPr>
      <w:r>
        <w:rPr>
          <w:rFonts w:hint="eastAsia" w:ascii="仿宋" w:hAnsi="仿宋" w:eastAsia="仿宋" w:cs="仿宋_GB2312"/>
          <w:sz w:val="32"/>
          <w:szCs w:val="32"/>
        </w:rPr>
        <w:t>县科协加强部门职责执行工作。进一步提高了办公办事质量水平，以严格规范单位行政行为，加强了单位组织领导，下设领导小组，保证工作组织有保障；建立权责明确的单位</w:t>
      </w:r>
      <w:r>
        <w:fldChar w:fldCharType="begin"/>
      </w:r>
      <w:r>
        <w:instrText xml:space="preserve"> HYPERLINK "http://www.so.com/s?q=%E4%BD%93%E5%88%B6&amp;ie=utf-8&amp;src=internal_wenda_recommend_textn" \t "https://wenda.so.com/q/_blank" </w:instrText>
      </w:r>
      <w:r>
        <w:fldChar w:fldCharType="separate"/>
      </w:r>
      <w:r>
        <w:rPr>
          <w:rFonts w:hint="eastAsia" w:ascii="仿宋" w:hAnsi="仿宋" w:eastAsia="仿宋" w:cs="仿宋_GB2312"/>
          <w:sz w:val="32"/>
          <w:szCs w:val="32"/>
        </w:rPr>
        <w:t>体制</w:t>
      </w:r>
      <w:r>
        <w:rPr>
          <w:rFonts w:hint="eastAsia" w:ascii="仿宋" w:hAnsi="仿宋" w:eastAsia="仿宋" w:cs="仿宋_GB2312"/>
          <w:sz w:val="32"/>
          <w:szCs w:val="32"/>
        </w:rPr>
        <w:fldChar w:fldCharType="end"/>
      </w:r>
      <w:r>
        <w:rPr>
          <w:rFonts w:hint="eastAsia" w:ascii="仿宋" w:hAnsi="仿宋" w:eastAsia="仿宋" w:cs="仿宋_GB2312"/>
          <w:sz w:val="32"/>
          <w:szCs w:val="32"/>
        </w:rPr>
        <w:t>，促使</w:t>
      </w:r>
      <w:r>
        <w:fldChar w:fldCharType="begin"/>
      </w:r>
      <w:r>
        <w:instrText xml:space="preserve"> HYPERLINK "http://www.so.com/s?q=%E8%A1%8C%E6%94%BF%E6%9D%83%E5%8A%9B&amp;ie=utf-8&amp;src=internal_wenda_recommend_textn" \t "https://wenda.so.com/q/_blank" </w:instrText>
      </w:r>
      <w:r>
        <w:fldChar w:fldCharType="separate"/>
      </w:r>
      <w:r>
        <w:rPr>
          <w:rFonts w:hint="eastAsia" w:ascii="仿宋" w:hAnsi="仿宋" w:eastAsia="仿宋" w:cs="仿宋_GB2312"/>
          <w:sz w:val="32"/>
          <w:szCs w:val="32"/>
        </w:rPr>
        <w:t>行政活</w:t>
      </w:r>
      <w:r>
        <w:rPr>
          <w:rFonts w:hint="eastAsia" w:ascii="仿宋" w:hAnsi="仿宋" w:eastAsia="仿宋" w:cs="仿宋_GB2312"/>
          <w:sz w:val="32"/>
          <w:szCs w:val="32"/>
        </w:rPr>
        <w:fldChar w:fldCharType="end"/>
      </w:r>
      <w:r>
        <w:rPr>
          <w:rFonts w:hint="eastAsia" w:ascii="仿宋" w:hAnsi="仿宋" w:eastAsia="仿宋" w:cs="仿宋_GB2312"/>
          <w:sz w:val="32"/>
          <w:szCs w:val="32"/>
        </w:rPr>
        <w:t>动授予有据、行使有规、监督有效；深化了单位内部</w:t>
      </w:r>
      <w:r>
        <w:fldChar w:fldCharType="begin"/>
      </w:r>
      <w:r>
        <w:instrText xml:space="preserve"> HYPERLINK "http://www.so.com/s?q=%E8%A1%8C%E6%94%BF%E7%AE%A1%E7%90%86%E4%BD%93%E5%88%B6&amp;ie=utf-8&amp;src=internal_wenda_recommend_textn" \t "https://wenda.so.com/q/_blank" </w:instrText>
      </w:r>
      <w:r>
        <w:fldChar w:fldCharType="separate"/>
      </w:r>
      <w:r>
        <w:rPr>
          <w:rFonts w:hint="eastAsia" w:ascii="仿宋" w:hAnsi="仿宋" w:eastAsia="仿宋" w:cs="仿宋_GB2312"/>
          <w:sz w:val="32"/>
          <w:szCs w:val="32"/>
        </w:rPr>
        <w:t>行政管理体制</w:t>
      </w:r>
      <w:r>
        <w:rPr>
          <w:rFonts w:hint="eastAsia" w:ascii="仿宋" w:hAnsi="仿宋" w:eastAsia="仿宋" w:cs="仿宋_GB2312"/>
          <w:sz w:val="32"/>
          <w:szCs w:val="32"/>
        </w:rPr>
        <w:fldChar w:fldCharType="end"/>
      </w:r>
      <w:r>
        <w:rPr>
          <w:rFonts w:hint="eastAsia" w:ascii="仿宋" w:hAnsi="仿宋" w:eastAsia="仿宋" w:cs="仿宋_GB2312"/>
          <w:sz w:val="32"/>
          <w:szCs w:val="32"/>
        </w:rPr>
        <w:t>改革，努力形成</w:t>
      </w:r>
      <w:r>
        <w:fldChar w:fldCharType="begin"/>
      </w:r>
      <w:r>
        <w:instrText xml:space="preserve"> HYPERLINK "http://www.so.com/s?q=%E8%A1%8C%E4%B8%BA%E8%A7%84%E8%8C%83&amp;ie=utf-8&amp;src=internal_wenda_recommend_textn" \t "https://wenda.so.com/q/_blank" </w:instrText>
      </w:r>
      <w:r>
        <w:fldChar w:fldCharType="separate"/>
      </w:r>
      <w:r>
        <w:rPr>
          <w:rFonts w:hint="eastAsia" w:ascii="仿宋" w:hAnsi="仿宋" w:eastAsia="仿宋" w:cs="仿宋_GB2312"/>
          <w:sz w:val="32"/>
          <w:szCs w:val="32"/>
        </w:rPr>
        <w:t>行为规范</w:t>
      </w:r>
      <w:r>
        <w:rPr>
          <w:rFonts w:hint="eastAsia" w:ascii="仿宋" w:hAnsi="仿宋" w:eastAsia="仿宋" w:cs="仿宋_GB2312"/>
          <w:sz w:val="32"/>
          <w:szCs w:val="32"/>
        </w:rPr>
        <w:fldChar w:fldCharType="end"/>
      </w:r>
      <w:r>
        <w:rPr>
          <w:rFonts w:hint="eastAsia" w:ascii="仿宋" w:hAnsi="仿宋" w:eastAsia="仿宋" w:cs="仿宋_GB2312"/>
          <w:sz w:val="32"/>
          <w:szCs w:val="32"/>
        </w:rPr>
        <w:t>、运转协调、公正透明、</w:t>
      </w:r>
      <w:r>
        <w:fldChar w:fldCharType="begin"/>
      </w:r>
      <w:r>
        <w:instrText xml:space="preserve"> HYPERLINK "http://www.so.com/s?q=%E5%BB%89%E6%94%BF&amp;ie=utf-8&amp;src=internal_wenda_recommend_textn" \t "https://wenda.so.com/q/_blank" </w:instrText>
      </w:r>
      <w:r>
        <w:fldChar w:fldCharType="separate"/>
      </w:r>
      <w:r>
        <w:rPr>
          <w:rFonts w:hint="eastAsia" w:ascii="仿宋" w:hAnsi="仿宋" w:eastAsia="仿宋" w:cs="仿宋_GB2312"/>
          <w:sz w:val="32"/>
          <w:szCs w:val="32"/>
        </w:rPr>
        <w:t>廉政</w:t>
      </w:r>
      <w:r>
        <w:rPr>
          <w:rFonts w:hint="eastAsia" w:ascii="仿宋" w:hAnsi="仿宋" w:eastAsia="仿宋" w:cs="仿宋_GB2312"/>
          <w:sz w:val="32"/>
          <w:szCs w:val="32"/>
        </w:rPr>
        <w:fldChar w:fldCharType="end"/>
      </w:r>
      <w:r>
        <w:rPr>
          <w:rFonts w:hint="eastAsia" w:ascii="仿宋" w:hAnsi="仿宋" w:eastAsia="仿宋" w:cs="仿宋_GB2312"/>
          <w:sz w:val="32"/>
          <w:szCs w:val="32"/>
        </w:rPr>
        <w:t>高效的单位行政管理体制。</w:t>
      </w:r>
    </w:p>
    <w:p>
      <w:pPr>
        <w:widowControl/>
        <w:adjustRightInd w:val="0"/>
        <w:snapToGrid w:val="0"/>
        <w:spacing w:line="480" w:lineRule="exact"/>
        <w:ind w:firstLine="320" w:firstLineChars="100"/>
        <w:jc w:val="left"/>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（2）强化考核工作。</w:t>
      </w:r>
      <w:r>
        <w:rPr>
          <w:rFonts w:hint="eastAsia" w:ascii="仿宋" w:hAnsi="仿宋" w:eastAsia="仿宋" w:cs="仿宋_GB2312"/>
          <w:sz w:val="32"/>
          <w:szCs w:val="32"/>
        </w:rPr>
        <w:t>2019年单位履行了岗位职责考核和自身建设素质考核。考核涉及单位职工政治理论学习，集体活动参与、考勤、请休假、政务信息等方面。</w:t>
      </w:r>
    </w:p>
    <w:p>
      <w:pPr>
        <w:widowControl/>
        <w:adjustRightInd w:val="0"/>
        <w:snapToGrid w:val="0"/>
        <w:spacing w:line="480" w:lineRule="exact"/>
        <w:ind w:firstLine="320" w:firstLineChars="100"/>
        <w:jc w:val="left"/>
        <w:rPr>
          <w:rFonts w:ascii="黑体" w:hAnsi="宋体" w:eastAsia="黑体" w:cs="宋体"/>
          <w:color w:val="000000"/>
          <w:kern w:val="0"/>
        </w:rPr>
      </w:pPr>
      <w:r>
        <w:rPr>
          <w:rFonts w:hint="eastAsia" w:ascii="黑体" w:hAnsi="宋体" w:eastAsia="黑体" w:cs="宋体"/>
          <w:color w:val="000000"/>
          <w:kern w:val="0"/>
          <w:sz w:val="32"/>
          <w:lang w:bidi="ar"/>
        </w:rPr>
        <w:t>（3）评价结论及建议。</w:t>
      </w:r>
    </w:p>
    <w:p>
      <w:pPr>
        <w:widowControl/>
        <w:shd w:val="clear" w:color="auto" w:fill="FFFFFF"/>
        <w:spacing w:line="540" w:lineRule="atLeast"/>
        <w:ind w:firstLine="720"/>
        <w:jc w:val="left"/>
        <w:rPr>
          <w:rFonts w:ascii="仿宋" w:hAnsi="仿宋" w:eastAsia="仿宋" w:cs="仿宋_GB2312"/>
          <w:sz w:val="32"/>
          <w:szCs w:val="32"/>
        </w:rPr>
      </w:pPr>
      <w:r>
        <w:rPr>
          <w:rFonts w:hint="eastAsia" w:ascii="楷体" w:hAnsi="楷体" w:eastAsia="楷体" w:cs="楷体"/>
          <w:b/>
          <w:bCs/>
          <w:color w:val="000000"/>
          <w:sz w:val="32"/>
          <w:szCs w:val="32"/>
        </w:rPr>
        <w:t>评价结论。</w:t>
      </w:r>
      <w:r>
        <w:rPr>
          <w:rFonts w:hint="eastAsia" w:ascii="仿宋" w:hAnsi="仿宋" w:eastAsia="仿宋" w:cs="仿宋_GB2312"/>
          <w:sz w:val="32"/>
          <w:szCs w:val="32"/>
        </w:rPr>
        <w:t>县科协2019年决算工作</w:t>
      </w:r>
      <w:r>
        <w:rPr>
          <w:rFonts w:ascii="仿宋" w:hAnsi="仿宋" w:eastAsia="仿宋" w:cs="仿宋_GB2312"/>
          <w:sz w:val="32"/>
          <w:szCs w:val="32"/>
        </w:rPr>
        <w:t>执行情况良好，无不良记录及违规违纪行为，</w:t>
      </w:r>
      <w:r>
        <w:rPr>
          <w:rFonts w:hint="eastAsia" w:ascii="仿宋" w:hAnsi="仿宋" w:eastAsia="仿宋" w:cs="仿宋_GB2312"/>
          <w:sz w:val="32"/>
          <w:szCs w:val="32"/>
        </w:rPr>
        <w:t>2019年</w:t>
      </w:r>
      <w:r>
        <w:rPr>
          <w:rFonts w:ascii="仿宋" w:hAnsi="仿宋" w:eastAsia="仿宋" w:cs="仿宋_GB2312"/>
          <w:sz w:val="32"/>
          <w:szCs w:val="32"/>
        </w:rPr>
        <w:t>预算支出和决算支出情况相符</w:t>
      </w:r>
      <w:r>
        <w:rPr>
          <w:rFonts w:hint="eastAsia" w:ascii="仿宋" w:hAnsi="仿宋" w:eastAsia="仿宋" w:cs="仿宋_GB2312"/>
          <w:sz w:val="32"/>
          <w:szCs w:val="32"/>
        </w:rPr>
        <w:t>。</w:t>
      </w:r>
    </w:p>
    <w:p>
      <w:pPr>
        <w:spacing w:line="560" w:lineRule="exact"/>
        <w:ind w:firstLine="643" w:firstLineChars="200"/>
        <w:rPr>
          <w:rFonts w:ascii="仿宋_GB2312" w:hAnsi="仿宋_GB2312" w:eastAsia="仿宋_GB2312" w:cs="仿宋_GB2312"/>
          <w:color w:val="000000"/>
          <w:sz w:val="32"/>
          <w:szCs w:val="32"/>
        </w:rPr>
      </w:pPr>
      <w:r>
        <w:rPr>
          <w:rFonts w:hint="eastAsia" w:ascii="楷体" w:hAnsi="楷体" w:eastAsia="楷体" w:cs="楷体"/>
          <w:b/>
          <w:bCs/>
          <w:color w:val="000000"/>
          <w:sz w:val="32"/>
          <w:szCs w:val="32"/>
        </w:rPr>
        <w:t>存在问题。</w:t>
      </w:r>
      <w:r>
        <w:rPr>
          <w:rFonts w:hint="eastAsia" w:ascii="仿宋" w:hAnsi="仿宋" w:eastAsia="仿宋" w:cs="仿宋_GB2312"/>
          <w:sz w:val="32"/>
          <w:szCs w:val="32"/>
        </w:rPr>
        <w:t>一</w:t>
      </w:r>
      <w:r>
        <w:rPr>
          <w:rFonts w:ascii="仿宋" w:hAnsi="仿宋" w:eastAsia="仿宋" w:cs="仿宋_GB2312"/>
          <w:sz w:val="32"/>
          <w:szCs w:val="32"/>
        </w:rPr>
        <w:t>是部门决算上报处理效率还待提升</w:t>
      </w:r>
      <w:r>
        <w:rPr>
          <w:rFonts w:hint="eastAsia" w:ascii="仿宋" w:hAnsi="仿宋" w:eastAsia="仿宋" w:cs="仿宋_GB2312"/>
          <w:sz w:val="32"/>
          <w:szCs w:val="32"/>
        </w:rPr>
        <w:t>，二是有关目标任务有待进一步完善。</w:t>
      </w:r>
    </w:p>
    <w:p>
      <w:pPr>
        <w:widowControl/>
        <w:shd w:val="clear" w:color="auto" w:fill="FFFFFF"/>
        <w:spacing w:line="540" w:lineRule="atLeast"/>
        <w:ind w:firstLine="720"/>
        <w:jc w:val="left"/>
        <w:rPr>
          <w:rFonts w:ascii="仿宋_GB2312" w:hAnsi="仿宋_GB2312" w:eastAsia="仿宋_GB2312" w:cs="仿宋_GB2312"/>
          <w:color w:val="000000"/>
          <w:sz w:val="32"/>
          <w:szCs w:val="32"/>
        </w:rPr>
      </w:pPr>
      <w:r>
        <w:rPr>
          <w:rFonts w:hint="eastAsia" w:ascii="楷体" w:hAnsi="楷体" w:eastAsia="楷体" w:cs="楷体"/>
          <w:b/>
          <w:bCs/>
          <w:color w:val="000000"/>
          <w:sz w:val="32"/>
          <w:szCs w:val="32"/>
        </w:rPr>
        <w:t>改进建议。</w:t>
      </w:r>
      <w:r>
        <w:rPr>
          <w:rFonts w:ascii="仿宋" w:hAnsi="仿宋" w:eastAsia="仿宋" w:cs="仿宋_GB2312"/>
          <w:sz w:val="32"/>
          <w:szCs w:val="32"/>
        </w:rPr>
        <w:t>加快完善相应制度建设和账务处理。</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 w:hAnsi="仿宋" w:eastAsia="仿宋" w:cs="楷体_GB2312"/>
          <w:b/>
          <w:bCs/>
          <w:sz w:val="32"/>
          <w:szCs w:val="32"/>
        </w:rPr>
        <w:t>项目支出绩效评价情况。</w:t>
      </w:r>
    </w:p>
    <w:p>
      <w:pPr>
        <w:spacing w:line="56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根据预算绩效管理要求，红原县科学技术协会在年初预算编制阶段，组织对3个项目开展了预算事前绩效评估，对3个项目编制了绩效目标，预算执行过程中，选取3个项目开展绩效监控，年终执行完毕后，对3个项目开展了绩效目标完成情况自评。</w:t>
      </w:r>
    </w:p>
    <w:p>
      <w:pPr>
        <w:spacing w:line="580" w:lineRule="exact"/>
        <w:ind w:firstLine="640" w:firstLineChars="200"/>
        <w:rPr>
          <w:rFonts w:ascii="仿宋" w:hAnsi="仿宋" w:eastAsia="仿宋" w:cs="宋体"/>
          <w:color w:val="000000"/>
          <w:kern w:val="0"/>
          <w:sz w:val="32"/>
          <w:szCs w:val="32"/>
          <w:lang w:val="zh-CN" w:bidi="ar"/>
        </w:rPr>
      </w:pPr>
      <w:r>
        <w:rPr>
          <w:rFonts w:hint="eastAsia" w:ascii="仿宋" w:hAnsi="仿宋" w:eastAsia="仿宋" w:cs="仿宋_GB2312"/>
          <w:sz w:val="32"/>
          <w:szCs w:val="32"/>
        </w:rPr>
        <w:t>本部门还自行组织了3个项目支出绩效评价，从评价情况来看。</w:t>
      </w:r>
    </w:p>
    <w:p>
      <w:pPr>
        <w:spacing w:line="580" w:lineRule="exact"/>
        <w:ind w:firstLine="640" w:firstLineChars="200"/>
        <w:rPr>
          <w:rFonts w:ascii="仿宋" w:hAnsi="仿宋" w:eastAsia="仿宋" w:cs="仿宋_GB2312"/>
          <w:sz w:val="32"/>
          <w:szCs w:val="32"/>
        </w:rPr>
      </w:pPr>
      <w:r>
        <w:rPr>
          <w:rFonts w:hint="eastAsia" w:ascii="楷体_GB2312" w:hAnsi="楷体_GB2312" w:eastAsia="楷体_GB2312" w:cs="楷体_GB2312"/>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w:t>
      </w:r>
      <w:r>
        <w:rPr>
          <w:rFonts w:hint="eastAsia" w:ascii="仿宋" w:hAnsi="仿宋" w:eastAsia="仿宋" w:cs="仿宋_GB2312"/>
          <w:sz w:val="32"/>
          <w:szCs w:val="32"/>
        </w:rPr>
        <w:t xml:space="preserve"> 本部门在2019年度部门决算中反映专项资金项目“科普活动”支出，开展科普培训、实用技术推广站栏建设支出</w:t>
      </w:r>
      <w:r>
        <w:rPr>
          <w:rFonts w:ascii="仿宋" w:hAnsi="仿宋" w:eastAsia="仿宋" w:cs="仿宋_GB2312"/>
          <w:sz w:val="32"/>
          <w:szCs w:val="32"/>
        </w:rPr>
        <w:t>10</w:t>
      </w:r>
      <w:r>
        <w:rPr>
          <w:rFonts w:hint="eastAsia" w:ascii="仿宋" w:hAnsi="仿宋" w:eastAsia="仿宋" w:cs="仿宋_GB2312"/>
          <w:sz w:val="32"/>
          <w:szCs w:val="32"/>
        </w:rPr>
        <w:t>万元”、“科普活动”支出，开展科普培训、实用技术推广站栏建设支出</w:t>
      </w:r>
      <w:r>
        <w:rPr>
          <w:rFonts w:ascii="仿宋" w:hAnsi="仿宋" w:eastAsia="仿宋" w:cs="仿宋_GB2312"/>
          <w:sz w:val="32"/>
          <w:szCs w:val="32"/>
        </w:rPr>
        <w:t>10</w:t>
      </w:r>
      <w:r>
        <w:rPr>
          <w:rFonts w:hint="eastAsia" w:ascii="仿宋" w:hAnsi="仿宋" w:eastAsia="仿宋" w:cs="仿宋_GB2312"/>
          <w:sz w:val="32"/>
          <w:szCs w:val="32"/>
        </w:rPr>
        <w:t>万元“其他科学技术普及支出科协专用设备支出1</w:t>
      </w:r>
      <w:r>
        <w:rPr>
          <w:rFonts w:ascii="仿宋" w:hAnsi="仿宋" w:eastAsia="仿宋" w:cs="仿宋_GB2312"/>
          <w:sz w:val="32"/>
          <w:szCs w:val="32"/>
        </w:rPr>
        <w:t>0</w:t>
      </w:r>
      <w:r>
        <w:rPr>
          <w:rFonts w:hint="eastAsia" w:ascii="仿宋" w:hAnsi="仿宋" w:eastAsia="仿宋" w:cs="仿宋_GB2312"/>
          <w:sz w:val="32"/>
          <w:szCs w:val="32"/>
        </w:rPr>
        <w:t>万元”等3个项目绩效目标实际完成情况。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（1）“科普活动”项目绩效目标完成情况综述。我单位结合实际，立足单位资源优势，与时俱进、开拓创新，形成了单位特色。开展了相关系列“科普活动”，增强了全县科普文化素养，项目全年预算数</w:t>
      </w:r>
      <w:r>
        <w:rPr>
          <w:rFonts w:ascii="仿宋" w:hAnsi="仿宋" w:eastAsia="仿宋" w:cs="仿宋_GB2312"/>
          <w:sz w:val="32"/>
          <w:szCs w:val="32"/>
        </w:rPr>
        <w:t>20</w:t>
      </w:r>
      <w:r>
        <w:rPr>
          <w:rFonts w:hint="eastAsia" w:ascii="仿宋" w:hAnsi="仿宋" w:eastAsia="仿宋" w:cs="仿宋_GB2312"/>
          <w:sz w:val="32"/>
          <w:szCs w:val="32"/>
        </w:rPr>
        <w:t>万元，执行数为</w:t>
      </w:r>
      <w:r>
        <w:rPr>
          <w:rFonts w:ascii="仿宋" w:hAnsi="仿宋" w:eastAsia="仿宋" w:cs="仿宋_GB2312"/>
          <w:sz w:val="32"/>
          <w:szCs w:val="32"/>
        </w:rPr>
        <w:t>20</w:t>
      </w:r>
      <w:r>
        <w:rPr>
          <w:rFonts w:hint="eastAsia" w:ascii="仿宋" w:hAnsi="仿宋" w:eastAsia="仿宋" w:cs="仿宋_GB2312"/>
          <w:sz w:val="32"/>
          <w:szCs w:val="32"/>
        </w:rPr>
        <w:t>万元，完成预算的100%。</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（2）其他科学技术普及支出绩效目标完成情况综述。我单位结合实际，立足单位资源优势，与时俱进、开拓创新，形成了单位特色。开展了相关系列“科普活动”，增强了全县科普文化素养项目全年预算数</w:t>
      </w:r>
      <w:r>
        <w:rPr>
          <w:rFonts w:ascii="仿宋" w:hAnsi="仿宋" w:eastAsia="仿宋" w:cs="仿宋_GB2312"/>
          <w:sz w:val="32"/>
          <w:szCs w:val="32"/>
        </w:rPr>
        <w:t>10</w:t>
      </w:r>
      <w:r>
        <w:rPr>
          <w:rFonts w:hint="eastAsia" w:ascii="仿宋" w:hAnsi="仿宋" w:eastAsia="仿宋" w:cs="仿宋_GB2312"/>
          <w:sz w:val="32"/>
          <w:szCs w:val="32"/>
        </w:rPr>
        <w:t>万元，执行数为</w:t>
      </w:r>
      <w:r>
        <w:rPr>
          <w:rFonts w:ascii="仿宋" w:hAnsi="仿宋" w:eastAsia="仿宋" w:cs="仿宋_GB2312"/>
          <w:sz w:val="32"/>
          <w:szCs w:val="32"/>
        </w:rPr>
        <w:t>10</w:t>
      </w:r>
      <w:r>
        <w:rPr>
          <w:rFonts w:hint="eastAsia" w:ascii="仿宋" w:hAnsi="仿宋" w:eastAsia="仿宋" w:cs="仿宋_GB2312"/>
          <w:sz w:val="32"/>
          <w:szCs w:val="32"/>
        </w:rPr>
        <w:t>万元，完成预算的100%。</w:t>
      </w:r>
      <w:r>
        <w:rPr>
          <w:rFonts w:ascii="仿宋" w:hAnsi="仿宋" w:eastAsia="仿宋" w:cs="仿宋_GB2312"/>
          <w:sz w:val="32"/>
          <w:szCs w:val="32"/>
        </w:rPr>
        <w:t xml:space="preserve"> </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886"/>
        <w:gridCol w:w="851"/>
        <w:gridCol w:w="850"/>
        <w:gridCol w:w="4591"/>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(2019年度)</w:t>
            </w:r>
          </w:p>
        </w:tc>
      </w:tr>
      <w:tr>
        <w:tblPrEx>
          <w:tblCellMar>
            <w:top w:w="0" w:type="dxa"/>
            <w:left w:w="0" w:type="dxa"/>
            <w:bottom w:w="0" w:type="dxa"/>
            <w:right w:w="0" w:type="dxa"/>
          </w:tblCellMar>
        </w:tblPrEx>
        <w:trPr>
          <w:trHeight w:val="276" w:hRule="atLeast"/>
          <w:jc w:val="center"/>
        </w:trPr>
        <w:tc>
          <w:tcPr>
            <w:tcW w:w="212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83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县科协2019年科学技术普及支出项目</w:t>
            </w:r>
          </w:p>
        </w:tc>
      </w:tr>
      <w:tr>
        <w:tblPrEx>
          <w:tblCellMar>
            <w:top w:w="0" w:type="dxa"/>
            <w:left w:w="0" w:type="dxa"/>
            <w:bottom w:w="0" w:type="dxa"/>
            <w:right w:w="0" w:type="dxa"/>
          </w:tblCellMar>
        </w:tblPrEx>
        <w:trPr>
          <w:trHeight w:val="276" w:hRule="atLeast"/>
          <w:jc w:val="center"/>
        </w:trPr>
        <w:tc>
          <w:tcPr>
            <w:tcW w:w="212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83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红原县科学技术协会</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73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73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73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无</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无</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258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6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58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16.8</w:t>
            </w:r>
          </w:p>
        </w:tc>
        <w:tc>
          <w:tcPr>
            <w:tcW w:w="6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绩效目标</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目标内容</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ascii="宋体" w:hAnsi="宋体"/>
                <w:color w:val="000000"/>
                <w:sz w:val="20"/>
              </w:rPr>
              <w:t>县科协2019年科学技术普及支出项目16.8万元目标明确，既完成绩效目标实际的100%。1、阿州财教（2018）95号下达资金10万。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县科协2019年科学技术普及支出项目16.8万元目标明确，既完成绩效目标实际的100%。1、阿州财教（2018）95号下达资金10万。</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进度计划</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项目计划实施进度明确</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cs="宋体"/>
                <w:sz w:val="24"/>
              </w:rPr>
              <w:t>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目标匹配</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绩效目标设定符合实际需求的抽样项目点个数/抽样项目点总数×100%</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ascii="宋体" w:hAnsi="宋体"/>
                <w:color w:val="000000"/>
                <w:sz w:val="20"/>
              </w:rPr>
            </w:pPr>
            <w:r>
              <w:rPr>
                <w:rFonts w:hint="eastAsia" w:ascii="宋体" w:hAnsi="宋体"/>
                <w:color w:val="000000"/>
                <w:sz w:val="20"/>
              </w:rPr>
              <w:t>符合实际需求的抽样项目</w:t>
            </w:r>
          </w:p>
          <w:p>
            <w:pPr>
              <w:rPr>
                <w:rFonts w:cs="宋体"/>
                <w:sz w:val="24"/>
              </w:rPr>
            </w:pPr>
            <w:r>
              <w:rPr>
                <w:rFonts w:hint="eastAsia" w:ascii="宋体" w:hAnsi="宋体"/>
                <w:color w:val="000000"/>
                <w:sz w:val="20"/>
              </w:rPr>
              <w:t>符合率100%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olor w:val="000000"/>
                <w:sz w:val="20"/>
              </w:rPr>
            </w:pPr>
            <w:r>
              <w:rPr>
                <w:rFonts w:hint="eastAsia" w:ascii="宋体" w:hAnsi="宋体"/>
                <w:color w:val="000000"/>
                <w:sz w:val="20"/>
              </w:rPr>
              <w:t>符合实际需求的抽样项目</w:t>
            </w:r>
          </w:p>
          <w:p>
            <w:pPr>
              <w:widowControl/>
              <w:jc w:val="center"/>
              <w:textAlignment w:val="center"/>
              <w:rPr>
                <w:rFonts w:ascii="宋体" w:hAnsi="宋体" w:cs="宋体"/>
                <w:color w:val="000000"/>
                <w:sz w:val="24"/>
              </w:rPr>
            </w:pPr>
            <w:r>
              <w:rPr>
                <w:rFonts w:hint="eastAsia" w:ascii="宋体" w:hAnsi="宋体"/>
                <w:color w:val="000000"/>
                <w:sz w:val="20"/>
              </w:rPr>
              <w:t>符合率100%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决策依据</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政策依据</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ascii="宋体" w:hAnsi="宋体"/>
                <w:color w:val="000000"/>
                <w:sz w:val="20"/>
              </w:rPr>
              <w:t>符合党中央、国务院和省委、省政府决策部署；符合当前经济社会发展需要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符合党中央、国务院和省委、省政府决策部署；符合当前经济社会发展需要</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项目完成</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实际完成任务量/绩效目标设定任务量×100%</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cs="宋体"/>
                <w:sz w:val="24"/>
              </w:rPr>
            </w:pPr>
          </w:p>
          <w:p>
            <w:pPr>
              <w:jc w:val="center"/>
              <w:rPr>
                <w:rFonts w:cs="宋体"/>
                <w:sz w:val="24"/>
              </w:rPr>
            </w:pPr>
          </w:p>
          <w:p>
            <w:pPr>
              <w:jc w:val="center"/>
              <w:rPr>
                <w:rFonts w:cs="宋体"/>
                <w:sz w:val="24"/>
              </w:rPr>
            </w:pPr>
            <w:r>
              <w:rPr>
                <w:rFonts w:hint="eastAsia" w:cs="宋体"/>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经济效益</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ascii="宋体" w:hAnsi="宋体"/>
                <w:color w:val="000000"/>
                <w:sz w:val="20"/>
              </w:rPr>
              <w:t>反映相关产出对经济社会发展带来的影响和效果，根据项目实际细化具体指标。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社会效益</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ascii="宋体" w:hAnsi="宋体"/>
                <w:color w:val="000000"/>
                <w:sz w:val="20"/>
              </w:rPr>
              <w:t>反映相关产出带来影响的可持续期限，根据项目实际细化具体指标。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03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olor w:val="000000"/>
                <w:sz w:val="20"/>
              </w:rPr>
            </w:pPr>
            <w:r>
              <w:rPr>
                <w:rFonts w:hint="eastAsia" w:ascii="宋体" w:hAnsi="宋体"/>
                <w:color w:val="000000"/>
                <w:sz w:val="20"/>
              </w:rPr>
              <w:t>可持续效益</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left"/>
              <w:rPr>
                <w:rFonts w:ascii="宋体" w:hAnsi="宋体"/>
                <w:color w:val="000000"/>
                <w:sz w:val="20"/>
              </w:rPr>
            </w:pPr>
            <w:r>
              <w:rPr>
                <w:rFonts w:hint="eastAsia" w:ascii="宋体" w:hAnsi="宋体"/>
                <w:color w:val="000000"/>
                <w:sz w:val="20"/>
              </w:rPr>
              <w:t>为科普科技工作提供了评定依据，为我县科技事业发展工作提供了强有力的保障，有效提高了广大群众对我县科技事业的重视，保障科技人才队伍不断地壮大。</w:t>
            </w:r>
          </w:p>
          <w:p>
            <w:pPr>
              <w:rPr>
                <w:rFonts w:ascii="宋体" w:hAnsi="宋体"/>
                <w:color w:val="000000"/>
                <w:sz w:val="20"/>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olor w:val="000000"/>
                <w:sz w:val="20"/>
              </w:rPr>
            </w:pPr>
            <w:r>
              <w:rPr>
                <w:rFonts w:hint="eastAsia" w:ascii="宋体" w:hAnsi="宋体"/>
                <w:color w:val="000000"/>
                <w:sz w:val="20"/>
              </w:rPr>
              <w:t>为科普科技工作提供了评定依据，为我县科技事业发展工作提供了强有力的保障，有效提高了广大群众对我县科技事业的重视，保障科技人才队伍不断地壮大。</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64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ascii="宋体" w:hAnsi="宋体"/>
                <w:color w:val="000000"/>
                <w:sz w:val="20"/>
              </w:rPr>
            </w:pPr>
            <w:r>
              <w:rPr>
                <w:rFonts w:hint="eastAsia" w:ascii="宋体" w:hAnsi="宋体"/>
                <w:color w:val="000000"/>
                <w:sz w:val="20"/>
              </w:rPr>
              <w:t>有效提高了广大群众对我县科技事业的重视，</w:t>
            </w:r>
          </w:p>
          <w:p>
            <w:pPr>
              <w:rPr>
                <w:rFonts w:cs="宋体"/>
                <w:sz w:val="24"/>
              </w:rPr>
            </w:pPr>
            <w:r>
              <w:rPr>
                <w:rFonts w:hint="eastAsia" w:ascii="宋体" w:hAnsi="宋体"/>
                <w:color w:val="000000"/>
                <w:sz w:val="20"/>
              </w:rPr>
              <w:t>服务满意度达90%以上。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有效提高了广大群众对我县科技事业的重视，服务满意度达90%以上。</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(2019年度)</w:t>
            </w:r>
          </w:p>
        </w:tc>
      </w:tr>
      <w:tr>
        <w:tblPrEx>
          <w:tblCellMar>
            <w:top w:w="0" w:type="dxa"/>
            <w:left w:w="0" w:type="dxa"/>
            <w:bottom w:w="0" w:type="dxa"/>
            <w:right w:w="0" w:type="dxa"/>
          </w:tblCellMar>
        </w:tblPrEx>
        <w:trPr>
          <w:trHeight w:val="276" w:hRule="atLeast"/>
          <w:jc w:val="center"/>
        </w:trPr>
        <w:tc>
          <w:tcPr>
            <w:tcW w:w="212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83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县科协2019年科学技术普及支出项目</w:t>
            </w:r>
          </w:p>
        </w:tc>
      </w:tr>
      <w:tr>
        <w:tblPrEx>
          <w:tblCellMar>
            <w:top w:w="0" w:type="dxa"/>
            <w:left w:w="0" w:type="dxa"/>
            <w:bottom w:w="0" w:type="dxa"/>
            <w:right w:w="0" w:type="dxa"/>
          </w:tblCellMar>
        </w:tblPrEx>
        <w:trPr>
          <w:trHeight w:val="276" w:hRule="atLeast"/>
          <w:jc w:val="center"/>
        </w:trPr>
        <w:tc>
          <w:tcPr>
            <w:tcW w:w="212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83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红原县科学技术协会</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73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73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ascii="宋体" w:hAnsi="宋体" w:cs="宋体"/>
                <w:color w:val="000000"/>
                <w:sz w:val="24"/>
              </w:rPr>
              <w:t>10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73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无</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无</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258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6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58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16.8</w:t>
            </w:r>
          </w:p>
        </w:tc>
        <w:tc>
          <w:tcPr>
            <w:tcW w:w="6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绩效目标</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目标内容</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ascii="宋体" w:hAnsi="宋体"/>
                <w:color w:val="000000"/>
                <w:sz w:val="20"/>
              </w:rPr>
              <w:t>县科协2019年科学技术普及支出项目16.8万元目标明确，既完成绩效目标实际的100%。2、阿州财教（2018）95号下达资金10万元。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县科协2019年科学技术普及支出项目16.8万元目标明确，既完成绩效目标实际的100%。2、阿州财教（2018）95号下达资金10万元。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进度计划</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项目计划实施进度明确</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cs="宋体"/>
                <w:sz w:val="24"/>
              </w:rPr>
              <w:t>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目标匹配</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绩效目标设定符合实际需求的抽样项目点个数/抽样项目点总数×100%</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ascii="宋体" w:hAnsi="宋体"/>
                <w:color w:val="000000"/>
                <w:sz w:val="20"/>
              </w:rPr>
            </w:pPr>
            <w:r>
              <w:rPr>
                <w:rFonts w:hint="eastAsia" w:ascii="宋体" w:hAnsi="宋体"/>
                <w:color w:val="000000"/>
                <w:sz w:val="20"/>
              </w:rPr>
              <w:t>符合实际需求的抽样项目</w:t>
            </w:r>
          </w:p>
          <w:p>
            <w:pPr>
              <w:rPr>
                <w:rFonts w:cs="宋体"/>
                <w:sz w:val="24"/>
              </w:rPr>
            </w:pPr>
            <w:r>
              <w:rPr>
                <w:rFonts w:hint="eastAsia" w:ascii="宋体" w:hAnsi="宋体"/>
                <w:color w:val="000000"/>
                <w:sz w:val="20"/>
              </w:rPr>
              <w:t>符合率100%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olor w:val="000000"/>
                <w:sz w:val="20"/>
              </w:rPr>
            </w:pPr>
            <w:r>
              <w:rPr>
                <w:rFonts w:hint="eastAsia" w:ascii="宋体" w:hAnsi="宋体"/>
                <w:color w:val="000000"/>
                <w:sz w:val="20"/>
              </w:rPr>
              <w:t>符合实际需求的抽样项目</w:t>
            </w:r>
          </w:p>
          <w:p>
            <w:pPr>
              <w:widowControl/>
              <w:jc w:val="center"/>
              <w:textAlignment w:val="center"/>
              <w:rPr>
                <w:rFonts w:ascii="宋体" w:hAnsi="宋体" w:cs="宋体"/>
                <w:color w:val="000000"/>
                <w:sz w:val="24"/>
              </w:rPr>
            </w:pPr>
            <w:r>
              <w:rPr>
                <w:rFonts w:hint="eastAsia" w:ascii="宋体" w:hAnsi="宋体"/>
                <w:color w:val="000000"/>
                <w:sz w:val="20"/>
              </w:rPr>
              <w:t>符合率100%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决策依据</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政策依据</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ascii="宋体" w:hAnsi="宋体"/>
                <w:color w:val="000000"/>
                <w:sz w:val="20"/>
              </w:rPr>
              <w:t>符合党中央、国务院和省委、省政府决策部署；符合当前经济社会发展需要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符合党中央、国务院和省委、省政府决策部署；符合当前经济社会发展需要</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项目完成</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实际完成任务量/绩效目标设定任务量×100%</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cs="宋体"/>
                <w:sz w:val="24"/>
              </w:rPr>
            </w:pPr>
          </w:p>
          <w:p>
            <w:pPr>
              <w:jc w:val="center"/>
              <w:rPr>
                <w:rFonts w:cs="宋体"/>
                <w:sz w:val="24"/>
              </w:rPr>
            </w:pPr>
          </w:p>
          <w:p>
            <w:pPr>
              <w:jc w:val="center"/>
              <w:rPr>
                <w:rFonts w:cs="宋体"/>
                <w:sz w:val="24"/>
              </w:rPr>
            </w:pPr>
            <w:r>
              <w:rPr>
                <w:rFonts w:hint="eastAsia" w:cs="宋体"/>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经济效益</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ascii="宋体" w:hAnsi="宋体"/>
                <w:color w:val="000000"/>
                <w:sz w:val="20"/>
              </w:rPr>
              <w:t>反映相关产出对经济社会发展带来的影响和效果，根据项目实际细化具体指标。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社会效益</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ascii="宋体" w:hAnsi="宋体"/>
                <w:color w:val="000000"/>
                <w:sz w:val="20"/>
              </w:rPr>
              <w:t>反映相关产出带来影响的可持续期限，根据项目实际细化具体指标。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03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olor w:val="000000"/>
                <w:sz w:val="20"/>
              </w:rPr>
            </w:pPr>
            <w:r>
              <w:rPr>
                <w:rFonts w:hint="eastAsia" w:ascii="宋体" w:hAnsi="宋体"/>
                <w:color w:val="000000"/>
                <w:sz w:val="20"/>
              </w:rPr>
              <w:t>可持续效益</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left"/>
              <w:rPr>
                <w:rFonts w:ascii="宋体" w:hAnsi="宋体"/>
                <w:color w:val="000000"/>
                <w:sz w:val="20"/>
              </w:rPr>
            </w:pPr>
            <w:r>
              <w:rPr>
                <w:rFonts w:hint="eastAsia" w:ascii="宋体" w:hAnsi="宋体"/>
                <w:color w:val="000000"/>
                <w:sz w:val="20"/>
              </w:rPr>
              <w:t>为科普科技工作提供了评定依据，为我县科技事业发展工作提供了强有力的保障，有效提高了广大群众对我县科技事业的重视，保障科技人才队伍不断地壮大。</w:t>
            </w:r>
          </w:p>
          <w:p>
            <w:pPr>
              <w:rPr>
                <w:rFonts w:ascii="宋体" w:hAnsi="宋体"/>
                <w:color w:val="000000"/>
                <w:sz w:val="20"/>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olor w:val="000000"/>
                <w:sz w:val="20"/>
              </w:rPr>
            </w:pPr>
            <w:r>
              <w:rPr>
                <w:rFonts w:hint="eastAsia" w:ascii="宋体" w:hAnsi="宋体"/>
                <w:color w:val="000000"/>
                <w:sz w:val="20"/>
              </w:rPr>
              <w:t>为科普科技工作提供了评定依据，为我县科技事业发展工作提供了强有力的保障，有效提高了广大群众对我县科技事业的重视，保障科技人才队伍不断地壮大。</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64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ascii="宋体" w:hAnsi="宋体"/>
                <w:color w:val="000000"/>
                <w:sz w:val="20"/>
              </w:rPr>
            </w:pPr>
            <w:r>
              <w:rPr>
                <w:rFonts w:hint="eastAsia" w:ascii="宋体" w:hAnsi="宋体"/>
                <w:color w:val="000000"/>
                <w:sz w:val="20"/>
              </w:rPr>
              <w:t>有效提高了广大群众对我县科技事业的重视，</w:t>
            </w:r>
          </w:p>
          <w:p>
            <w:pPr>
              <w:rPr>
                <w:rFonts w:cs="宋体"/>
                <w:sz w:val="24"/>
              </w:rPr>
            </w:pPr>
            <w:r>
              <w:rPr>
                <w:rFonts w:hint="eastAsia" w:ascii="宋体" w:hAnsi="宋体"/>
                <w:color w:val="000000"/>
                <w:sz w:val="20"/>
              </w:rPr>
              <w:t>服务满意度达90%以上。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有效提高了广大群众对我县科技事业的重视，服务满意度达90%以上。</w:t>
            </w:r>
          </w:p>
        </w:tc>
      </w:tr>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textAlignment w:val="center"/>
              <w:rPr>
                <w:rFonts w:ascii="宋体" w:hAnsi="宋体" w:cs="宋体"/>
                <w:b/>
                <w:bCs/>
                <w:color w:val="000000"/>
                <w:kern w:val="0"/>
                <w:sz w:val="36"/>
                <w:szCs w:val="36"/>
              </w:rPr>
            </w:pPr>
          </w:p>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(2019年度)</w:t>
            </w:r>
          </w:p>
        </w:tc>
      </w:tr>
      <w:tr>
        <w:tblPrEx>
          <w:tblCellMar>
            <w:top w:w="0" w:type="dxa"/>
            <w:left w:w="0" w:type="dxa"/>
            <w:bottom w:w="0" w:type="dxa"/>
            <w:right w:w="0" w:type="dxa"/>
          </w:tblCellMar>
        </w:tblPrEx>
        <w:trPr>
          <w:trHeight w:val="276" w:hRule="atLeast"/>
          <w:jc w:val="center"/>
        </w:trPr>
        <w:tc>
          <w:tcPr>
            <w:tcW w:w="212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83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县科协2019年科学技术普及支出项目</w:t>
            </w:r>
          </w:p>
        </w:tc>
      </w:tr>
      <w:tr>
        <w:tblPrEx>
          <w:tblCellMar>
            <w:top w:w="0" w:type="dxa"/>
            <w:left w:w="0" w:type="dxa"/>
            <w:bottom w:w="0" w:type="dxa"/>
            <w:right w:w="0" w:type="dxa"/>
          </w:tblCellMar>
        </w:tblPrEx>
        <w:trPr>
          <w:trHeight w:val="276" w:hRule="atLeast"/>
          <w:jc w:val="center"/>
        </w:trPr>
        <w:tc>
          <w:tcPr>
            <w:tcW w:w="212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83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红原县科学技术协会</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173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73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73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无</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r>
              <w:rPr>
                <w:rFonts w:hint="eastAsia" w:ascii="宋体" w:hAnsi="宋体" w:cs="宋体"/>
                <w:color w:val="000000"/>
                <w:sz w:val="24"/>
              </w:rPr>
              <w:t>无</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258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6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587"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16.8</w:t>
            </w:r>
          </w:p>
        </w:tc>
        <w:tc>
          <w:tcPr>
            <w:tcW w:w="698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hAnsi="宋体" w:cs="宋体"/>
                <w:color w:val="000000"/>
                <w:sz w:val="24"/>
              </w:rPr>
              <w:t>10</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绩效目标</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目标内容</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ascii="宋体" w:hAnsi="宋体"/>
                <w:color w:val="000000"/>
                <w:sz w:val="20"/>
              </w:rPr>
              <w:t>县科协2019年科学技术普及支出项目16.8万元目标明确，既完成绩效目标实际的100%。3、阿州财教（2019）40号下达资金10万元。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县科协2019年科学技术普及支出项目16.8万元目标明确，既完成绩效目标实际的100%。3、阿州财教（2019）40号下达资金10万元。</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进度计划</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项目计划实施进度明确</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cs="宋体"/>
                <w:sz w:val="24"/>
              </w:rPr>
              <w:t>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目标匹配</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绩效目标设定符合实际需求的抽样项目点个数/抽样项目点总数×100%</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ascii="宋体" w:hAnsi="宋体"/>
                <w:color w:val="000000"/>
                <w:sz w:val="20"/>
              </w:rPr>
            </w:pPr>
            <w:r>
              <w:rPr>
                <w:rFonts w:hint="eastAsia" w:ascii="宋体" w:hAnsi="宋体"/>
                <w:color w:val="000000"/>
                <w:sz w:val="20"/>
              </w:rPr>
              <w:t>符合实际需求的抽样项目</w:t>
            </w:r>
          </w:p>
          <w:p>
            <w:pPr>
              <w:rPr>
                <w:rFonts w:cs="宋体"/>
                <w:sz w:val="24"/>
              </w:rPr>
            </w:pPr>
            <w:r>
              <w:rPr>
                <w:rFonts w:hint="eastAsia" w:ascii="宋体" w:hAnsi="宋体"/>
                <w:color w:val="000000"/>
                <w:sz w:val="20"/>
              </w:rPr>
              <w:t>符合率100%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olor w:val="000000"/>
                <w:sz w:val="20"/>
              </w:rPr>
            </w:pPr>
            <w:r>
              <w:rPr>
                <w:rFonts w:hint="eastAsia" w:ascii="宋体" w:hAnsi="宋体"/>
                <w:color w:val="000000"/>
                <w:sz w:val="20"/>
              </w:rPr>
              <w:t>符合实际需求的抽样项目</w:t>
            </w:r>
          </w:p>
          <w:p>
            <w:pPr>
              <w:widowControl/>
              <w:jc w:val="center"/>
              <w:textAlignment w:val="center"/>
              <w:rPr>
                <w:rFonts w:ascii="宋体" w:hAnsi="宋体" w:cs="宋体"/>
                <w:color w:val="000000"/>
                <w:sz w:val="24"/>
              </w:rPr>
            </w:pPr>
            <w:r>
              <w:rPr>
                <w:rFonts w:hint="eastAsia" w:ascii="宋体" w:hAnsi="宋体"/>
                <w:color w:val="000000"/>
                <w:sz w:val="20"/>
              </w:rPr>
              <w:t>符合率100%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决策依据</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政策依据</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ascii="宋体" w:hAnsi="宋体"/>
                <w:color w:val="000000"/>
                <w:sz w:val="20"/>
              </w:rPr>
              <w:t>符合党中央、国务院和省委、省政府决策部署；符合当前经济社会发展需要</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符合党中央、国务院和省委、省政府决策部署；符合当前经济社会发展需要</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项目完成</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实际完成任务量/绩效目标设定任务量×100%</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cs="宋体"/>
                <w:sz w:val="24"/>
              </w:rPr>
            </w:pPr>
          </w:p>
          <w:p>
            <w:pPr>
              <w:jc w:val="center"/>
              <w:rPr>
                <w:rFonts w:cs="宋体"/>
                <w:sz w:val="24"/>
              </w:rPr>
            </w:pPr>
          </w:p>
          <w:p>
            <w:pPr>
              <w:jc w:val="center"/>
              <w:rPr>
                <w:rFonts w:cs="宋体"/>
                <w:sz w:val="24"/>
              </w:rPr>
            </w:pPr>
            <w:r>
              <w:rPr>
                <w:rFonts w:hint="eastAsia" w:cs="宋体"/>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经济效益</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ascii="宋体" w:hAnsi="宋体"/>
                <w:color w:val="000000"/>
                <w:sz w:val="20"/>
              </w:rPr>
              <w:t>反映相关产出对经济社会发展带来的影响和效果，根据项目实际细化具体指标。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社会效益</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rPr>
                <w:rFonts w:cs="宋体"/>
                <w:sz w:val="24"/>
              </w:rPr>
            </w:pPr>
            <w:r>
              <w:rPr>
                <w:rFonts w:hint="eastAsia" w:ascii="宋体" w:hAnsi="宋体"/>
                <w:color w:val="000000"/>
                <w:sz w:val="20"/>
              </w:rPr>
              <w:t>反映相关产出带来影响的可持续期限，根据项目实际细化具体指标。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03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olor w:val="000000"/>
                <w:sz w:val="20"/>
              </w:rPr>
            </w:pPr>
            <w:r>
              <w:rPr>
                <w:rFonts w:hint="eastAsia" w:ascii="宋体" w:hAnsi="宋体"/>
                <w:color w:val="000000"/>
                <w:sz w:val="20"/>
              </w:rPr>
              <w:t>可持续效益</w:t>
            </w: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left"/>
              <w:rPr>
                <w:rFonts w:ascii="宋体" w:hAnsi="宋体"/>
                <w:color w:val="000000"/>
                <w:sz w:val="20"/>
              </w:rPr>
            </w:pPr>
            <w:r>
              <w:rPr>
                <w:rFonts w:hint="eastAsia" w:ascii="宋体" w:hAnsi="宋体"/>
                <w:color w:val="000000"/>
                <w:sz w:val="20"/>
              </w:rPr>
              <w:t>为科普科技工作提供了评定依据，为我县科技事业发展工作提供了强有力的保障，有效提高了广大群众对我县科技事业的重视，保障科技人才队伍不断地壮大。</w:t>
            </w:r>
          </w:p>
          <w:p>
            <w:pPr>
              <w:rPr>
                <w:rFonts w:ascii="宋体" w:hAnsi="宋体"/>
                <w:color w:val="000000"/>
                <w:sz w:val="20"/>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olor w:val="000000"/>
                <w:sz w:val="20"/>
              </w:rPr>
            </w:pPr>
            <w:r>
              <w:rPr>
                <w:rFonts w:hint="eastAsia" w:ascii="宋体" w:hAnsi="宋体"/>
                <w:color w:val="000000"/>
                <w:sz w:val="20"/>
              </w:rPr>
              <w:t>为科普科技工作提供了评定依据，为我县科技事业发展工作提供了强有力的保障，有效提高了广大群众对我县科技事业的重视，保障科技人才队伍不断地壮大。</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64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8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459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tcPr>
          <w:p>
            <w:pPr>
              <w:jc w:val="center"/>
              <w:rPr>
                <w:rFonts w:ascii="宋体" w:hAnsi="宋体"/>
                <w:color w:val="000000"/>
                <w:sz w:val="20"/>
              </w:rPr>
            </w:pPr>
            <w:r>
              <w:rPr>
                <w:rFonts w:hint="eastAsia" w:ascii="宋体" w:hAnsi="宋体"/>
                <w:color w:val="000000"/>
                <w:sz w:val="20"/>
              </w:rPr>
              <w:t>有效提高了广大群众对我县科技事业的重视，</w:t>
            </w:r>
          </w:p>
          <w:p>
            <w:pPr>
              <w:rPr>
                <w:rFonts w:cs="宋体"/>
                <w:sz w:val="24"/>
              </w:rPr>
            </w:pPr>
            <w:r>
              <w:rPr>
                <w:rFonts w:hint="eastAsia" w:ascii="宋体" w:hAnsi="宋体"/>
                <w:color w:val="000000"/>
                <w:sz w:val="20"/>
              </w:rPr>
              <w:t>服务满意度达90%以上。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olor w:val="000000"/>
                <w:sz w:val="20"/>
              </w:rPr>
              <w:t>有效提高了广大群众对我县科技事业的重视，服务满意度达90%以上。</w:t>
            </w:r>
          </w:p>
        </w:tc>
      </w:tr>
    </w:tbl>
    <w:p>
      <w:pPr>
        <w:spacing w:line="580" w:lineRule="exact"/>
        <w:rPr>
          <w:rFonts w:ascii="仿宋_GB2312" w:hAnsi="仿宋_GB2312" w:eastAsia="仿宋_GB2312" w:cs="仿宋_GB2312"/>
          <w:sz w:val="32"/>
          <w:szCs w:val="32"/>
        </w:rPr>
      </w:pPr>
    </w:p>
    <w:p>
      <w:pPr>
        <w:spacing w:line="580" w:lineRule="exact"/>
        <w:ind w:left="630"/>
        <w:rPr>
          <w:rFonts w:ascii="仿宋" w:hAnsi="仿宋" w:eastAsia="仿宋" w:cs="仿宋_GB2312"/>
          <w:sz w:val="32"/>
          <w:szCs w:val="32"/>
        </w:rPr>
      </w:pPr>
      <w:r>
        <w:rPr>
          <w:rFonts w:hint="eastAsia" w:ascii="仿宋" w:hAnsi="仿宋" w:eastAsia="仿宋" w:cs="仿宋_GB2312"/>
          <w:sz w:val="32"/>
          <w:szCs w:val="32"/>
        </w:rPr>
        <w:t>2.部门绩效评价结果。</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本部门按要求对2019年部门整体支出绩效评价情况开展自评，《红原县科学技术协会2019年部门整体支出绩效评价报告》见附件（附件1）。</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本部门自行组织对我单位专项资金项目“科普活动”支出，开展科普培训、实用技术推广站栏建设支出第一期</w:t>
      </w:r>
      <w:r>
        <w:rPr>
          <w:rFonts w:ascii="仿宋" w:hAnsi="仿宋" w:eastAsia="仿宋" w:cs="仿宋_GB2312"/>
          <w:sz w:val="32"/>
          <w:szCs w:val="32"/>
        </w:rPr>
        <w:t>10</w:t>
      </w:r>
      <w:r>
        <w:rPr>
          <w:rFonts w:hint="eastAsia" w:ascii="仿宋" w:hAnsi="仿宋" w:eastAsia="仿宋" w:cs="仿宋_GB2312"/>
          <w:sz w:val="32"/>
          <w:szCs w:val="32"/>
        </w:rPr>
        <w:t>万元项目、开展科普培训、实用技术推广站栏建设支出第二期1</w:t>
      </w:r>
      <w:r>
        <w:rPr>
          <w:rFonts w:ascii="仿宋" w:hAnsi="仿宋" w:eastAsia="仿宋" w:cs="仿宋_GB2312"/>
          <w:sz w:val="32"/>
          <w:szCs w:val="32"/>
        </w:rPr>
        <w:t>0</w:t>
      </w:r>
      <w:r>
        <w:rPr>
          <w:rFonts w:hint="eastAsia" w:ascii="仿宋" w:hAnsi="仿宋" w:eastAsia="仿宋" w:cs="仿宋_GB2312"/>
          <w:sz w:val="32"/>
          <w:szCs w:val="32"/>
        </w:rPr>
        <w:t>万元项目、其他科学技术普及支出科协专用设备支出</w:t>
      </w:r>
      <w:r>
        <w:rPr>
          <w:rFonts w:ascii="仿宋" w:hAnsi="仿宋" w:eastAsia="仿宋" w:cs="仿宋_GB2312"/>
          <w:sz w:val="32"/>
          <w:szCs w:val="32"/>
        </w:rPr>
        <w:t>10</w:t>
      </w:r>
      <w:r>
        <w:rPr>
          <w:rFonts w:hint="eastAsia" w:ascii="仿宋" w:hAnsi="仿宋" w:eastAsia="仿宋" w:cs="仿宋_GB2312"/>
          <w:sz w:val="32"/>
          <w:szCs w:val="32"/>
        </w:rPr>
        <w:t>万元开展了绩效评价，《开展科普培训、实用技术推广站栏建设支出第一期</w:t>
      </w:r>
      <w:r>
        <w:rPr>
          <w:rFonts w:ascii="仿宋" w:hAnsi="仿宋" w:eastAsia="仿宋" w:cs="仿宋_GB2312"/>
          <w:sz w:val="32"/>
          <w:szCs w:val="32"/>
        </w:rPr>
        <w:t>10</w:t>
      </w:r>
      <w:r>
        <w:rPr>
          <w:rFonts w:hint="eastAsia" w:ascii="仿宋" w:hAnsi="仿宋" w:eastAsia="仿宋" w:cs="仿宋_GB2312"/>
          <w:sz w:val="32"/>
          <w:szCs w:val="32"/>
        </w:rPr>
        <w:t>万元项目、开展科普培训、实用技术推广站栏建设支出第二期1</w:t>
      </w:r>
      <w:r>
        <w:rPr>
          <w:rFonts w:ascii="仿宋" w:hAnsi="仿宋" w:eastAsia="仿宋" w:cs="仿宋_GB2312"/>
          <w:sz w:val="32"/>
          <w:szCs w:val="32"/>
        </w:rPr>
        <w:t>0</w:t>
      </w:r>
      <w:r>
        <w:rPr>
          <w:rFonts w:hint="eastAsia" w:ascii="仿宋" w:hAnsi="仿宋" w:eastAsia="仿宋" w:cs="仿宋_GB2312"/>
          <w:sz w:val="32"/>
          <w:szCs w:val="32"/>
        </w:rPr>
        <w:t>万元项目、其他科学技术普及支出科协专用设备支出</w:t>
      </w:r>
      <w:r>
        <w:rPr>
          <w:rFonts w:ascii="仿宋" w:hAnsi="仿宋" w:eastAsia="仿宋" w:cs="仿宋_GB2312"/>
          <w:sz w:val="32"/>
          <w:szCs w:val="32"/>
        </w:rPr>
        <w:t>10</w:t>
      </w:r>
      <w:r>
        <w:rPr>
          <w:rFonts w:hint="eastAsia" w:ascii="仿宋" w:hAnsi="仿宋" w:eastAsia="仿宋" w:cs="仿宋_GB2312"/>
          <w:sz w:val="32"/>
          <w:szCs w:val="32"/>
        </w:rPr>
        <w:t>万元2019年绩效评价报告》见附件（附件2）。</w:t>
      </w:r>
    </w:p>
    <w:p>
      <w:pPr>
        <w:widowControl/>
        <w:ind w:firstLine="3213" w:firstLineChars="1000"/>
        <w:jc w:val="left"/>
        <w:rPr>
          <w:rFonts w:ascii="仿宋_GB2312" w:eastAsia="仿宋_GB2312"/>
          <w:b/>
          <w:color w:val="000000"/>
          <w:sz w:val="32"/>
          <w:szCs w:val="32"/>
        </w:rPr>
      </w:pPr>
      <w:r>
        <w:rPr>
          <w:rFonts w:ascii="仿宋_GB2312" w:eastAsia="仿宋_GB2312"/>
          <w:b/>
          <w:color w:val="000000"/>
          <w:sz w:val="32"/>
          <w:szCs w:val="32"/>
        </w:rPr>
        <w:br w:type="page"/>
      </w:r>
      <w:bookmarkStart w:id="51" w:name="_Toc15396613"/>
      <w:bookmarkStart w:id="52" w:name="_Toc15377225"/>
      <w:r>
        <w:rPr>
          <w:rFonts w:hint="eastAsia" w:ascii="黑体" w:hAnsi="黑体" w:eastAsia="黑体"/>
          <w:color w:val="000000"/>
          <w:sz w:val="44"/>
          <w:szCs w:val="44"/>
        </w:rPr>
        <w:t>三、名</w:t>
      </w:r>
      <w:r>
        <w:rPr>
          <w:rStyle w:val="26"/>
          <w:rFonts w:hint="eastAsia" w:ascii="黑体" w:hAnsi="黑体" w:eastAsia="黑体"/>
          <w:b w:val="0"/>
        </w:rPr>
        <w:t>词解释</w:t>
      </w:r>
      <w:bookmarkEnd w:id="51"/>
      <w:bookmarkEnd w:id="52"/>
    </w:p>
    <w:p>
      <w:pPr>
        <w:pStyle w:val="24"/>
        <w:spacing w:line="560" w:lineRule="exact"/>
        <w:ind w:firstLine="640" w:firstLineChars="200"/>
        <w:rPr>
          <w:rFonts w:ascii="仿宋_GB2312" w:eastAsia="仿宋_GB2312"/>
          <w:sz w:val="32"/>
          <w:szCs w:val="32"/>
        </w:rPr>
      </w:pPr>
      <w:bookmarkStart w:id="53" w:name="_Hlk53410370"/>
      <w:bookmarkStart w:id="54" w:name="_Toc15396614"/>
      <w:bookmarkStart w:id="55"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其他收入：指单位取得的除上述收入以外的各项收入。主要是利息等。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9.一般公共预算财政拨款收入：指单位从同级财政部门取得的一般公共预算财政拨款资金。</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10.科学技术支出：包括科学技术管理事务、基础研究、应用研究、技术研究与开发、科技条件与服务、社会科学、科学技术普及、</w:t>
      </w:r>
      <w:r>
        <w:fldChar w:fldCharType="begin"/>
      </w:r>
      <w:r>
        <w:instrText xml:space="preserve"> HYPERLINK "http://www.so.com/s?q=%E7%A7%91%E6%8A%80%E4%BA%A4%E6%B5%81&amp;ie=utf-8&amp;src=internal_wenda_recommend_textn" \t "https://wenda.so.com/q/_blank" </w:instrText>
      </w:r>
      <w:r>
        <w:fldChar w:fldCharType="separate"/>
      </w:r>
      <w:r>
        <w:rPr>
          <w:rFonts w:hint="eastAsia" w:ascii="仿宋_GB2312" w:eastAsia="仿宋_GB2312"/>
          <w:sz w:val="32"/>
          <w:szCs w:val="32"/>
        </w:rPr>
        <w:t>科技交流</w:t>
      </w:r>
      <w:r>
        <w:rPr>
          <w:rFonts w:hint="eastAsia" w:ascii="仿宋_GB2312" w:eastAsia="仿宋_GB2312"/>
          <w:sz w:val="32"/>
          <w:szCs w:val="32"/>
        </w:rPr>
        <w:fldChar w:fldCharType="end"/>
      </w:r>
      <w:r>
        <w:rPr>
          <w:rFonts w:hint="eastAsia" w:ascii="仿宋_GB2312" w:eastAsia="仿宋_GB2312"/>
          <w:sz w:val="32"/>
          <w:szCs w:val="32"/>
        </w:rPr>
        <w:t>与合作、其他科学技术</w:t>
      </w:r>
      <w:r>
        <w:fldChar w:fldCharType="begin"/>
      </w:r>
      <w:r>
        <w:instrText xml:space="preserve"> HYPERLINK "http://www.so.com/s?q=%E6%94%AF%E5%87%BA&amp;ie=utf-8&amp;src=internal_wenda_recommend_textn" \t "https://wenda.so.com/q/_blank" </w:instrText>
      </w:r>
      <w:r>
        <w:fldChar w:fldCharType="separate"/>
      </w:r>
      <w:r>
        <w:rPr>
          <w:rFonts w:hint="eastAsia" w:ascii="仿宋_GB2312" w:eastAsia="仿宋_GB2312"/>
          <w:sz w:val="32"/>
          <w:szCs w:val="32"/>
        </w:rPr>
        <w:t>支出</w:t>
      </w:r>
      <w:r>
        <w:rPr>
          <w:rFonts w:hint="eastAsia" w:ascii="仿宋_GB2312" w:eastAsia="仿宋_GB2312"/>
          <w:sz w:val="32"/>
          <w:szCs w:val="32"/>
        </w:rPr>
        <w:fldChar w:fldCharType="end"/>
      </w:r>
      <w:r>
        <w:rPr>
          <w:rFonts w:hint="eastAsia" w:ascii="仿宋_GB2312" w:eastAsia="仿宋_GB2312"/>
          <w:sz w:val="32"/>
          <w:szCs w:val="32"/>
        </w:rPr>
        <w:t>。</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11.社会保障和就业支出主要包括：社会保险基金补助支出、</w:t>
      </w:r>
      <w:r>
        <w:fldChar w:fldCharType="begin"/>
      </w:r>
      <w:r>
        <w:instrText xml:space="preserve"> HYPERLINK "http://www.so.com/s?q=%E8%A1%8C%E6%94%BF%E4%BA%8B%E4%B8%9A%E5%8D%95%E4%BD%8D&amp;ie=utf-8&amp;src=internal_wenda_recommend_textn" \t "https://wenda.so.com/q/_blank" </w:instrText>
      </w:r>
      <w:r>
        <w:fldChar w:fldCharType="separate"/>
      </w:r>
      <w:r>
        <w:rPr>
          <w:rFonts w:hint="eastAsia" w:ascii="仿宋_GB2312" w:eastAsia="仿宋_GB2312"/>
          <w:sz w:val="32"/>
          <w:szCs w:val="32"/>
        </w:rPr>
        <w:t>行政事业单位</w:t>
      </w:r>
      <w:r>
        <w:rPr>
          <w:rFonts w:hint="eastAsia" w:ascii="仿宋_GB2312" w:eastAsia="仿宋_GB2312"/>
          <w:sz w:val="32"/>
          <w:szCs w:val="32"/>
        </w:rPr>
        <w:fldChar w:fldCharType="end"/>
      </w:r>
      <w:r>
        <w:rPr>
          <w:rFonts w:hint="eastAsia" w:ascii="仿宋_GB2312" w:eastAsia="仿宋_GB2312"/>
          <w:sz w:val="32"/>
          <w:szCs w:val="32"/>
        </w:rPr>
        <w:t>离退休支出、就业补助支出、</w:t>
      </w:r>
      <w:r>
        <w:fldChar w:fldCharType="begin"/>
      </w:r>
      <w:r>
        <w:instrText xml:space="preserve"> HYPERLINK "http://www.so.com/s?q=%E5%9F%8E%E5%B8%82%E5%B1%85%E6%B0%91%E6%9C%80%E4%BD%8E%E7%94%9F%E6%B4%BB%E4%BF%9D%E9%9A%9C&amp;ie=utf-8&amp;src=internal_wenda_recommend_textn" \t "https://wenda.so.com/q/_blank" </w:instrText>
      </w:r>
      <w:r>
        <w:fldChar w:fldCharType="separate"/>
      </w:r>
      <w:r>
        <w:rPr>
          <w:rFonts w:hint="eastAsia" w:ascii="仿宋_GB2312" w:eastAsia="仿宋_GB2312"/>
          <w:sz w:val="32"/>
          <w:szCs w:val="32"/>
        </w:rPr>
        <w:t>城市居民最低生活保障</w:t>
      </w:r>
      <w:r>
        <w:rPr>
          <w:rFonts w:hint="eastAsia" w:ascii="仿宋_GB2312" w:eastAsia="仿宋_GB2312"/>
          <w:sz w:val="32"/>
          <w:szCs w:val="32"/>
        </w:rPr>
        <w:fldChar w:fldCharType="end"/>
      </w:r>
      <w:r>
        <w:rPr>
          <w:rFonts w:hint="eastAsia" w:ascii="仿宋_GB2312" w:eastAsia="仿宋_GB2312"/>
          <w:sz w:val="32"/>
          <w:szCs w:val="32"/>
        </w:rPr>
        <w:t>支出、</w:t>
      </w:r>
      <w:r>
        <w:fldChar w:fldCharType="begin"/>
      </w:r>
      <w:r>
        <w:instrText xml:space="preserve"> HYPERLINK "http://www.so.com/s?q=%E5%86%9C%E6%9D%91&amp;ie=utf-8&amp;src=internal_wenda_recommend_textn" \t "https://wenda.so.com/q/_blank" </w:instrText>
      </w:r>
      <w:r>
        <w:fldChar w:fldCharType="separate"/>
      </w:r>
      <w:r>
        <w:rPr>
          <w:rFonts w:hint="eastAsia" w:ascii="仿宋_GB2312" w:eastAsia="仿宋_GB2312"/>
          <w:sz w:val="32"/>
          <w:szCs w:val="32"/>
        </w:rPr>
        <w:t>农村</w:t>
      </w:r>
      <w:r>
        <w:rPr>
          <w:rFonts w:hint="eastAsia" w:ascii="仿宋_GB2312" w:eastAsia="仿宋_GB2312"/>
          <w:sz w:val="32"/>
          <w:szCs w:val="32"/>
        </w:rPr>
        <w:fldChar w:fldCharType="end"/>
      </w:r>
      <w:r>
        <w:rPr>
          <w:rFonts w:hint="eastAsia" w:ascii="仿宋_GB2312" w:eastAsia="仿宋_GB2312"/>
          <w:sz w:val="32"/>
          <w:szCs w:val="32"/>
        </w:rPr>
        <w:t>最低生活保障支出、自然灾害生活救助支出。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12.科学技术普及：科普活动（科普宣传、科普培训、科普讲座等）和其他科学技术普及支出。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13.住房保障支出：住房改革支出和住房公积金。</w:t>
      </w:r>
    </w:p>
    <w:p>
      <w:pPr>
        <w:pStyle w:val="24"/>
        <w:spacing w:line="560" w:lineRule="exact"/>
        <w:ind w:firstLine="640" w:firstLineChars="200"/>
        <w:rPr>
          <w:rFonts w:ascii="仿宋_GB2312" w:eastAsia="仿宋_GB2312"/>
          <w:b w:val="0"/>
          <w:bCs w:val="0"/>
          <w:color w:val="auto"/>
          <w:sz w:val="32"/>
          <w:szCs w:val="32"/>
        </w:rPr>
      </w:pPr>
      <w:r>
        <w:rPr>
          <w:rFonts w:hint="eastAsia" w:ascii="仿宋_GB2312" w:eastAsia="仿宋_GB2312"/>
          <w:b w:val="0"/>
          <w:bCs w:val="0"/>
          <w:color w:val="auto"/>
          <w:sz w:val="32"/>
          <w:szCs w:val="32"/>
        </w:rPr>
        <w:t>14.医疗卫生与计划生育支出（类）医疗保障（款）：反映用于医疗保障等方面的支出。</w:t>
      </w:r>
    </w:p>
    <w:p>
      <w:pPr>
        <w:pStyle w:val="24"/>
        <w:spacing w:line="560" w:lineRule="exact"/>
        <w:ind w:firstLine="640" w:firstLineChars="200"/>
        <w:rPr>
          <w:rFonts w:ascii="仿宋_GB2312" w:eastAsia="仿宋_GB2312"/>
          <w:b w:val="0"/>
          <w:bCs w:val="0"/>
          <w:color w:val="auto"/>
          <w:sz w:val="32"/>
          <w:szCs w:val="32"/>
        </w:rPr>
      </w:pPr>
      <w:r>
        <w:rPr>
          <w:rFonts w:hint="eastAsia" w:ascii="仿宋_GB2312" w:eastAsia="仿宋_GB2312"/>
          <w:b w:val="0"/>
          <w:bCs w:val="0"/>
          <w:color w:val="auto"/>
          <w:sz w:val="32"/>
          <w:szCs w:val="32"/>
        </w:rPr>
        <w:t>15.行政单位医疗（项）：反映财政部门集中安排的行政单位基本医疗保险缴费经费，未参加医疗保险的行政单位的公费医疗经费，按国家规定享受离休人员、红军老战士待遇人员的医疗经费。</w:t>
      </w:r>
    </w:p>
    <w:p>
      <w:pPr>
        <w:pStyle w:val="24"/>
        <w:spacing w:line="560" w:lineRule="exact"/>
        <w:ind w:firstLine="640" w:firstLineChars="200"/>
        <w:rPr>
          <w:rFonts w:ascii="仿宋_GB2312" w:eastAsia="仿宋_GB2312"/>
          <w:b w:val="0"/>
          <w:bCs w:val="0"/>
          <w:color w:val="auto"/>
          <w:sz w:val="32"/>
          <w:szCs w:val="32"/>
        </w:rPr>
      </w:pPr>
      <w:r>
        <w:rPr>
          <w:rFonts w:hint="eastAsia" w:ascii="仿宋_GB2312" w:eastAsia="仿宋_GB2312"/>
          <w:b w:val="0"/>
          <w:bCs w:val="0"/>
          <w:color w:val="auto"/>
          <w:sz w:val="32"/>
          <w:szCs w:val="32"/>
        </w:rPr>
        <w:t>16.住房保障支出（类）住房改革支出（款）：反映行政事业单位用财政拨款资金和其他资金等安排的住房改革支出。</w:t>
      </w:r>
    </w:p>
    <w:p>
      <w:pPr>
        <w:pStyle w:val="24"/>
        <w:spacing w:line="560" w:lineRule="exact"/>
        <w:ind w:firstLine="640" w:firstLineChars="200"/>
        <w:rPr>
          <w:rFonts w:ascii="仿宋_GB2312" w:eastAsia="仿宋_GB2312"/>
          <w:b w:val="0"/>
          <w:bCs w:val="0"/>
          <w:color w:val="auto"/>
          <w:sz w:val="32"/>
          <w:szCs w:val="32"/>
        </w:rPr>
      </w:pPr>
      <w:r>
        <w:rPr>
          <w:rFonts w:hint="eastAsia" w:ascii="仿宋_GB2312" w:eastAsia="仿宋_GB2312"/>
          <w:b w:val="0"/>
          <w:bCs w:val="0"/>
          <w:color w:val="auto"/>
          <w:sz w:val="32"/>
          <w:szCs w:val="32"/>
        </w:rPr>
        <w:t>17.住房公积金（项）：反映行政事业单位按人力资源和社会保障部、财政部规定的基本工资和津贴补贴以及规定比例为职工缴纳的住房公积金。</w:t>
      </w:r>
    </w:p>
    <w:p>
      <w:pPr>
        <w:ind w:firstLine="640" w:firstLineChars="200"/>
        <w:rPr>
          <w:rFonts w:ascii="仿宋_GB2312" w:eastAsia="仿宋_GB2312"/>
          <w:b w:val="0"/>
          <w:bCs w:val="0"/>
          <w:color w:val="auto"/>
          <w:sz w:val="32"/>
          <w:szCs w:val="32"/>
        </w:rPr>
      </w:pPr>
      <w:r>
        <w:rPr>
          <w:rFonts w:hint="eastAsia" w:ascii="仿宋_GB2312" w:eastAsia="仿宋_GB2312"/>
          <w:b w:val="0"/>
          <w:bCs w:val="0"/>
          <w:color w:val="auto"/>
          <w:sz w:val="32"/>
          <w:szCs w:val="32"/>
        </w:rPr>
        <w:t>18.基本支出：指为保障机构正常运转、完成日常工作任务而发生的人员支出和公用支出。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19项目支出：指在基本支出之外为完成特定行政任务和事业发展目标所发生的支出。</w:t>
      </w:r>
      <w:r>
        <w:rPr>
          <w:rFonts w:ascii="仿宋_GB2312" w:eastAsia="仿宋_GB2312"/>
          <w:color w:val="000000"/>
          <w:sz w:val="32"/>
          <w:szCs w:val="32"/>
        </w:rPr>
        <w:t xml:space="preserve"> </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22.医疗卫生与计划生育支出：医院开展医疗服务及其辅助活动过程中的支出，包括人员经费、利用的药品及卫生材料支出、计提的固定资产折旧、无形资产摊销、提取医疗风险和其他费用、计划生育材料费用、支出等。</w:t>
      </w:r>
    </w:p>
    <w:p>
      <w:pPr>
        <w:pStyle w:val="24"/>
        <w:spacing w:line="560" w:lineRule="exact"/>
        <w:ind w:firstLine="640" w:firstLineChars="200"/>
        <w:rPr>
          <w:rFonts w:ascii="仿宋_GB2312" w:eastAsia="仿宋_GB2312"/>
          <w:sz w:val="32"/>
          <w:szCs w:val="32"/>
        </w:rPr>
      </w:pPr>
      <w:r>
        <w:rPr>
          <w:rFonts w:hint="eastAsia" w:ascii="仿宋_GB2312" w:eastAsia="仿宋_GB2312"/>
          <w:sz w:val="32"/>
          <w:szCs w:val="32"/>
        </w:rPr>
        <w:t>23.公务接待费：包括公务接待、公餐宴请、议费、公用取暖费等。</w:t>
      </w:r>
    </w:p>
    <w:bookmarkEnd w:id="53"/>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b w:val="0"/>
        </w:rPr>
        <w:t>四部分 附件</w:t>
      </w:r>
      <w:bookmarkEnd w:id="54"/>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rPr>
        <w:t>红原县科学技术协会</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480" w:lineRule="exact"/>
        <w:ind w:firstLine="720"/>
        <w:jc w:val="left"/>
        <w:rPr>
          <w:rFonts w:ascii="仿宋" w:hAnsi="仿宋" w:eastAsia="仿宋"/>
          <w:bCs/>
          <w:color w:val="000000"/>
          <w:kern w:val="0"/>
          <w:sz w:val="32"/>
          <w:szCs w:val="32"/>
        </w:rPr>
      </w:pPr>
      <w:r>
        <w:rPr>
          <w:rFonts w:hint="eastAsia" w:ascii="仿宋_GB2312" w:hAnsi="宋体" w:eastAsia="仿宋_GB2312" w:cs="宋体"/>
          <w:color w:val="000000"/>
          <w:kern w:val="0"/>
          <w:sz w:val="32"/>
          <w:szCs w:val="32"/>
          <w:shd w:val="clear" w:color="auto" w:fill="FFFFFF"/>
          <w:lang w:val="zh-CN"/>
        </w:rPr>
        <w:t>（一）机构组成</w:t>
      </w:r>
      <w:r>
        <w:rPr>
          <w:rFonts w:hint="eastAsia" w:ascii="仿宋" w:hAnsi="仿宋" w:eastAsia="仿宋"/>
          <w:bCs/>
          <w:color w:val="000000"/>
          <w:kern w:val="0"/>
          <w:sz w:val="32"/>
          <w:szCs w:val="32"/>
        </w:rPr>
        <w:t>。</w:t>
      </w:r>
    </w:p>
    <w:p>
      <w:pPr>
        <w:widowControl/>
        <w:adjustRightInd w:val="0"/>
        <w:snapToGrid w:val="0"/>
        <w:spacing w:line="480" w:lineRule="exact"/>
        <w:ind w:firstLine="720"/>
        <w:jc w:val="left"/>
        <w:rPr>
          <w:rFonts w:ascii="仿宋" w:hAnsi="仿宋" w:eastAsia="仿宋"/>
          <w:bCs/>
          <w:color w:val="000000"/>
          <w:kern w:val="0"/>
          <w:sz w:val="32"/>
          <w:szCs w:val="32"/>
        </w:rPr>
      </w:pPr>
      <w:r>
        <w:rPr>
          <w:rFonts w:hint="eastAsia" w:ascii="仿宋" w:hAnsi="仿宋" w:eastAsia="仿宋"/>
          <w:bCs/>
          <w:color w:val="000000"/>
          <w:kern w:val="0"/>
          <w:sz w:val="32"/>
          <w:szCs w:val="32"/>
        </w:rPr>
        <w:t>行政单位1个，全称：红原县科学技术协会。下属二级预算单位1个全称：红原县民族科普大队。</w:t>
      </w:r>
    </w:p>
    <w:p>
      <w:pPr>
        <w:pStyle w:val="13"/>
        <w:widowControl/>
        <w:spacing w:before="0" w:beforeAutospacing="0" w:after="0" w:afterAutospacing="0" w:line="528" w:lineRule="atLeast"/>
        <w:ind w:firstLine="640" w:firstLineChars="200"/>
        <w:rPr>
          <w:rFonts w:ascii="仿宋" w:hAnsi="仿宋" w:eastAsia="仿宋"/>
          <w:bCs/>
          <w:color w:val="000000"/>
          <w:sz w:val="32"/>
          <w:szCs w:val="32"/>
        </w:rPr>
      </w:pPr>
      <w:r>
        <w:rPr>
          <w:rFonts w:hint="eastAsia" w:ascii="仿宋_GB2312" w:hAnsi="宋体" w:eastAsia="仿宋_GB2312" w:cs="宋体"/>
          <w:color w:val="000000"/>
          <w:sz w:val="32"/>
          <w:szCs w:val="32"/>
          <w:shd w:val="clear" w:color="auto" w:fill="FFFFFF"/>
          <w:lang w:val="zh-CN"/>
        </w:rPr>
        <w:t>（二）机构职能。</w:t>
      </w:r>
      <w:r>
        <w:rPr>
          <w:rFonts w:hint="eastAsia" w:ascii="仿宋" w:hAnsi="仿宋" w:eastAsia="仿宋"/>
          <w:bCs/>
          <w:color w:val="000000"/>
          <w:sz w:val="32"/>
          <w:szCs w:val="32"/>
        </w:rPr>
        <w:t>当好党和政府发展科技事业的助手，进一步搞好科技工作者服务工作；加强科技普及及工作；为提高全面科技文化素质服务，为社会主义精神文明建设服务，进一步做好基层组织、下级组织的服务工作，实行群众办公、民主办公、加强科学协会自身体制作风改革；加强农村科普网络的建立，搞好协会的协调工作管理工作。</w:t>
      </w:r>
    </w:p>
    <w:p>
      <w:pPr>
        <w:ind w:firstLine="640" w:firstLineChars="200"/>
        <w:rPr>
          <w:rFonts w:ascii="黑体" w:hAnsi="宋体" w:eastAsia="黑体" w:cs="宋体"/>
          <w:color w:val="000000"/>
          <w:kern w:val="0"/>
          <w:sz w:val="32"/>
          <w:lang w:bidi="ar"/>
        </w:rPr>
      </w:pPr>
      <w:r>
        <w:rPr>
          <w:rFonts w:hint="eastAsia" w:ascii="仿宋_GB2312" w:hAnsi="宋体" w:eastAsia="仿宋_GB2312" w:cs="宋体"/>
          <w:color w:val="000000"/>
          <w:kern w:val="0"/>
          <w:sz w:val="32"/>
          <w:szCs w:val="32"/>
          <w:shd w:val="clear" w:color="auto" w:fill="FFFFFF"/>
          <w:lang w:val="zh-CN"/>
        </w:rPr>
        <w:t>（三）人员概况。</w:t>
      </w:r>
      <w:r>
        <w:rPr>
          <w:rFonts w:hint="eastAsia" w:ascii="仿宋" w:hAnsi="仿宋" w:eastAsia="仿宋" w:cs="仿宋"/>
          <w:sz w:val="32"/>
          <w:szCs w:val="32"/>
          <w:lang w:val="zh-CN"/>
        </w:rPr>
        <w:t>红原县科学技术协会为独立核算全额拨款行政单位，下设民族科普大队。截止</w:t>
      </w:r>
      <w:r>
        <w:rPr>
          <w:rFonts w:hint="eastAsia" w:ascii="仿宋" w:hAnsi="仿宋" w:eastAsia="仿宋" w:cs="仿宋"/>
          <w:sz w:val="32"/>
          <w:szCs w:val="32"/>
        </w:rPr>
        <w:t>2019年底我单位共有编制7个，其中公务员编制3个，行政工勤编制1个，事业编制3个；在职8人，其中行政工勤1人，公务员4人，事业编制3人。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（三）、部门财政资金收支情况</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2019年度收、支总计201.84万元。与2018年相比，收、支总计减少13.78万元，下降4</w:t>
      </w:r>
      <w:r>
        <w:rPr>
          <w:rFonts w:ascii="仿宋" w:hAnsi="仿宋" w:eastAsia="仿宋"/>
          <w:color w:val="000000"/>
          <w:sz w:val="32"/>
          <w:szCs w:val="32"/>
        </w:rPr>
        <w:t>%</w:t>
      </w:r>
      <w:r>
        <w:rPr>
          <w:rFonts w:hint="eastAsia" w:ascii="仿宋" w:hAnsi="仿宋" w:eastAsia="仿宋"/>
          <w:color w:val="000000"/>
          <w:sz w:val="32"/>
          <w:szCs w:val="32"/>
        </w:rPr>
        <w:t>。主要变动原因是2019年县科协收入为节省部分开支，增加了收入资金费用使用。</w:t>
      </w:r>
    </w:p>
    <w:p>
      <w:pPr>
        <w:spacing w:line="600" w:lineRule="exact"/>
        <w:outlineLvl w:val="1"/>
        <w:rPr>
          <w:rStyle w:val="27"/>
          <w:rFonts w:ascii="黑体" w:hAnsi="黑体" w:eastAsia="黑体"/>
          <w:b w:val="0"/>
        </w:rPr>
      </w:pPr>
      <w:r>
        <w:rPr>
          <w:rFonts w:hint="eastAsia" w:ascii="黑体" w:hAnsi="黑体" w:eastAsia="黑体"/>
          <w:color w:val="000000"/>
          <w:sz w:val="32"/>
          <w:szCs w:val="32"/>
        </w:rPr>
        <w:t>1、收</w:t>
      </w:r>
      <w:r>
        <w:rPr>
          <w:rStyle w:val="27"/>
          <w:rFonts w:hint="eastAsia" w:ascii="黑体" w:hAnsi="黑体" w:eastAsia="黑体"/>
          <w:b w:val="0"/>
        </w:rPr>
        <w:t>入决算情况说明</w:t>
      </w: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9年本年收入合计196.84万元，其中：一般公共预算财政拨款收入157.47万元，占80</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 xml:space="preserve"> </w:t>
      </w:r>
    </w:p>
    <w:p>
      <w:pPr>
        <w:spacing w:line="600" w:lineRule="exact"/>
        <w:ind w:left="640"/>
        <w:outlineLvl w:val="1"/>
        <w:rPr>
          <w:rStyle w:val="27"/>
          <w:rFonts w:ascii="黑体" w:hAnsi="黑体" w:eastAsia="黑体"/>
          <w:b w:val="0"/>
        </w:rPr>
      </w:pPr>
      <w:r>
        <w:rPr>
          <w:rFonts w:hint="eastAsia" w:ascii="黑体" w:hAnsi="黑体" w:eastAsia="黑体"/>
          <w:color w:val="000000"/>
          <w:sz w:val="32"/>
          <w:szCs w:val="32"/>
        </w:rPr>
        <w:t>2、支</w:t>
      </w:r>
      <w:r>
        <w:rPr>
          <w:rStyle w:val="27"/>
          <w:rFonts w:hint="eastAsia" w:ascii="黑体" w:hAnsi="黑体" w:eastAsia="黑体"/>
          <w:b w:val="0"/>
        </w:rPr>
        <w:t>出决算情况说明</w:t>
      </w: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9年本年支出合计173.71万元，其中：基本支出149.85万元，占86</w:t>
      </w:r>
      <w:r>
        <w:rPr>
          <w:rFonts w:ascii="仿宋" w:hAnsi="仿宋" w:eastAsia="仿宋"/>
          <w:color w:val="000000"/>
          <w:sz w:val="32"/>
          <w:szCs w:val="32"/>
        </w:rPr>
        <w:t>%</w:t>
      </w:r>
      <w:r>
        <w:rPr>
          <w:rFonts w:hint="eastAsia" w:ascii="仿宋" w:hAnsi="仿宋" w:eastAsia="仿宋"/>
          <w:color w:val="000000"/>
          <w:sz w:val="32"/>
          <w:szCs w:val="32"/>
        </w:rPr>
        <w:t>；项目支出23.86万元，占14</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outlineLvl w:val="1"/>
        <w:rPr>
          <w:rStyle w:val="27"/>
          <w:rFonts w:ascii="黑体" w:hAnsi="黑体" w:eastAsia="黑体"/>
          <w:b w:val="0"/>
        </w:rPr>
      </w:pPr>
      <w:r>
        <w:rPr>
          <w:rFonts w:hint="eastAsia" w:ascii="黑体" w:hAnsi="黑体" w:eastAsia="黑体"/>
          <w:color w:val="000000"/>
          <w:sz w:val="32"/>
          <w:szCs w:val="32"/>
        </w:rPr>
        <w:t>（3、财</w:t>
      </w:r>
      <w:r>
        <w:rPr>
          <w:rStyle w:val="27"/>
          <w:rFonts w:hint="eastAsia" w:ascii="黑体" w:hAnsi="黑体" w:eastAsia="黑体"/>
          <w:b w:val="0"/>
        </w:rPr>
        <w:t>政拨款收入支出决算总体情况说明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9年财政拨款收、支总计201.84万元。与2018年相比，财政拨款收、支总计增加13.78万元，增长6</w:t>
      </w:r>
      <w:r>
        <w:rPr>
          <w:rFonts w:ascii="仿宋" w:hAnsi="仿宋" w:eastAsia="仿宋"/>
          <w:color w:val="000000"/>
          <w:sz w:val="32"/>
          <w:szCs w:val="32"/>
        </w:rPr>
        <w:t>%</w:t>
      </w:r>
      <w:r>
        <w:rPr>
          <w:rFonts w:hint="eastAsia" w:ascii="仿宋" w:hAnsi="仿宋" w:eastAsia="仿宋"/>
          <w:color w:val="000000"/>
          <w:sz w:val="32"/>
          <w:szCs w:val="32"/>
        </w:rPr>
        <w:t>。主要变动原因是主要变动原因是科协为节省部分开支，减少了资财政拨款收入经费使用。</w:t>
      </w:r>
    </w:p>
    <w:p>
      <w:pPr>
        <w:widowControl/>
        <w:adjustRightInd w:val="0"/>
        <w:snapToGrid w:val="0"/>
        <w:spacing w:line="580" w:lineRule="exact"/>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（三）、部门财政资金支出情况。</w:t>
      </w:r>
    </w:p>
    <w:p>
      <w:pPr>
        <w:spacing w:line="600" w:lineRule="exact"/>
        <w:ind w:firstLine="640" w:firstLineChars="200"/>
        <w:outlineLvl w:val="1"/>
        <w:rPr>
          <w:rStyle w:val="27"/>
          <w:rFonts w:ascii="黑体" w:hAnsi="黑体" w:eastAsia="黑体"/>
          <w:b w:val="0"/>
        </w:rPr>
      </w:pPr>
      <w:r>
        <w:rPr>
          <w:rFonts w:hint="eastAsia" w:ascii="黑体" w:hAnsi="黑体" w:eastAsia="黑体"/>
          <w:color w:val="000000"/>
          <w:sz w:val="32"/>
          <w:szCs w:val="32"/>
        </w:rPr>
        <w:t>1、</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一般公共预算财政拨款支出决算总体情况</w:t>
      </w: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8年相比，一般公共预算财政拨款增加4.97万元，增长2</w:t>
      </w:r>
      <w:r>
        <w:rPr>
          <w:rFonts w:ascii="仿宋" w:hAnsi="仿宋" w:eastAsia="仿宋"/>
          <w:color w:val="000000"/>
          <w:sz w:val="32"/>
          <w:szCs w:val="32"/>
        </w:rPr>
        <w:t>%</w:t>
      </w:r>
      <w:r>
        <w:rPr>
          <w:rFonts w:hint="eastAsia" w:ascii="仿宋" w:hAnsi="仿宋" w:eastAsia="仿宋"/>
          <w:color w:val="000000"/>
          <w:sz w:val="32"/>
          <w:szCs w:val="32"/>
        </w:rPr>
        <w:t>。主要变动原因是科协为节省部分开支，减少了财政拨款收入经费使用。</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一般公共预算财政拨款支出决算结构情况</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政拨款支出173.71万元，主要用于以下方面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sz w:val="32"/>
          <w:szCs w:val="32"/>
        </w:rPr>
        <w:t>科学技术支出133.79</w:t>
      </w:r>
      <w:r>
        <w:rPr>
          <w:rFonts w:hint="eastAsia" w:ascii="仿宋" w:hAnsi="仿宋" w:eastAsia="仿宋"/>
          <w:color w:val="000000" w:themeColor="text1"/>
          <w:sz w:val="32"/>
          <w:szCs w:val="32"/>
          <w14:textFill>
            <w14:solidFill>
              <w14:schemeClr w14:val="tx1"/>
            </w14:solidFill>
          </w14:textFill>
        </w:rPr>
        <w:t>万元，占73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社会保障和就业支出</w:t>
      </w:r>
      <w:r>
        <w:rPr>
          <w:rFonts w:hint="eastAsia" w:ascii="仿宋" w:hAnsi="仿宋" w:eastAsia="仿宋"/>
          <w:color w:val="000000" w:themeColor="text1"/>
          <w:sz w:val="32"/>
          <w:szCs w:val="32"/>
          <w14:textFill>
            <w14:solidFill>
              <w14:schemeClr w14:val="tx1"/>
            </w14:solidFill>
          </w14:textFill>
        </w:rPr>
        <w:t>4.19万元，占2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14:textFill>
            <w14:solidFill>
              <w14:schemeClr w14:val="tx1"/>
            </w14:solidFill>
          </w14:textFill>
        </w:rPr>
        <w:t>1.79万元，占1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；住房保障支出2.52万元，占18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 xml:space="preserve"> </w:t>
      </w:r>
    </w:p>
    <w:p>
      <w:pPr>
        <w:spacing w:line="600" w:lineRule="exac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rPr>
        <w:t>一般公共预算财政拨款支出决算具体情况</w:t>
      </w:r>
    </w:p>
    <w:p>
      <w:pPr>
        <w:spacing w:line="600" w:lineRule="exact"/>
        <w:ind w:firstLine="640" w:firstLineChars="200"/>
        <w:outlineLvl w:val="2"/>
        <w:rPr>
          <w:rFonts w:ascii="仿宋" w:hAnsi="仿宋" w:eastAsia="仿宋"/>
          <w:color w:val="000000"/>
          <w:sz w:val="32"/>
          <w:szCs w:val="32"/>
        </w:rPr>
      </w:pPr>
      <w:r>
        <w:rPr>
          <w:rFonts w:hint="eastAsia" w:ascii="仿宋" w:hAnsi="仿宋" w:eastAsia="仿宋"/>
          <w:color w:val="000000"/>
          <w:sz w:val="32"/>
          <w:szCs w:val="32"/>
        </w:rPr>
        <w:t>2019年一般公共预算支出决算数为173.71万元，</w:t>
      </w:r>
      <w:r>
        <w:rPr>
          <w:rFonts w:hint="eastAsia" w:ascii="仿宋" w:hAnsi="仿宋" w:eastAsia="仿宋"/>
          <w:b/>
          <w:color w:val="000000"/>
          <w:sz w:val="32"/>
          <w:szCs w:val="32"/>
        </w:rPr>
        <w:t>完成</w:t>
      </w:r>
      <w:r>
        <w:rPr>
          <w:rFonts w:hint="eastAsia" w:ascii="仿宋" w:hAnsi="仿宋" w:eastAsia="仿宋"/>
          <w:b/>
          <w:sz w:val="32"/>
          <w:szCs w:val="32"/>
        </w:rPr>
        <w:t>预算100</w:t>
      </w:r>
      <w:r>
        <w:rPr>
          <w:rFonts w:ascii="仿宋" w:hAnsi="仿宋" w:eastAsia="仿宋"/>
          <w:b/>
          <w:sz w:val="32"/>
          <w:szCs w:val="32"/>
        </w:rPr>
        <w:t>%</w:t>
      </w:r>
      <w:r>
        <w:rPr>
          <w:rFonts w:hint="eastAsia" w:ascii="仿宋" w:hAnsi="仿宋" w:eastAsia="仿宋"/>
          <w:b/>
          <w:sz w:val="32"/>
          <w:szCs w:val="32"/>
        </w:rPr>
        <w:t>。其中：</w:t>
      </w:r>
    </w:p>
    <w:p>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1.科学技术支出（类）为133.79万元，完成预算100%。其中科学技术管理事务（款）行政运行（项）、一般行政管理事务(项)：95.05万元，完成预算100%，科学技术普及（款）机构运行（项）：30.87万元，完成预算100%；科学技术普及（款）科普活动（项）其他科学技术普及支出（项）：7.87万元，完成预算100%；科学技术支出（类）决算数等于预算数的主要原因是决算种类开支与预算种类开支持平。</w:t>
      </w:r>
    </w:p>
    <w:p>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2.社会保障和就业支出（类）：20.36万元，完成预算100%。其中行政事业单位离退休（款）机关事业单位基本养老保险缴费支出（项）：13.89万元，完成预算100%，行政事业单位离退休（款）机关事业单位职业年金缴费支出（项）：6.47万元，完成预算100%。社会保障和就业支出（类）决算数等于预算数的主要原因是决算种类开支与预算种类开支持平。</w:t>
      </w:r>
    </w:p>
    <w:p>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3.卫生健康支出（类）：7.92万元，完成预算100%。其中行政事业单位医疗（款）行政单位医疗（项）：5.20万元，完成预算100%；行政事业单位医疗（款）公务员医疗补助（项）:0.93万元，完成预算100%。行政事业单位医疗（款）事业单位医疗（项）：1.57万元，完成预算100%；行政事业单位医疗（款）其他行政事业单位医疗支出（项）:0.22万元，完成预算100%。行政事业单位医疗（类）决算数等于预算数的主要原因决算种类开支与预算种类开支持平。</w:t>
      </w:r>
    </w:p>
    <w:p>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4.住房保障支出（类）：11.64万元，完成预算100%。住房改革支出（款）住房公积金（项）：11.64万元，完成预算100%。住房保障支出（类）决算数等于预算数的主要原因决算种类开支与预算种类开支持平。</w:t>
      </w:r>
    </w:p>
    <w:p>
      <w:pPr>
        <w:tabs>
          <w:tab w:val="right" w:pos="8306"/>
        </w:tabs>
        <w:spacing w:line="600" w:lineRule="exact"/>
        <w:ind w:firstLine="640"/>
        <w:outlineLvl w:val="1"/>
        <w:rPr>
          <w:rStyle w:val="27"/>
        </w:rPr>
      </w:pP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9年一般公共预算财政拨款基本支出139.39万元，其中：</w:t>
      </w:r>
    </w:p>
    <w:p>
      <w:pPr>
        <w:spacing w:line="600" w:lineRule="exact"/>
        <w:ind w:firstLine="645"/>
        <w:rPr>
          <w:rFonts w:ascii="仿宋" w:hAnsi="仿宋" w:eastAsia="仿宋"/>
          <w:color w:val="0000FF"/>
          <w:sz w:val="32"/>
          <w:szCs w:val="32"/>
        </w:rPr>
      </w:pPr>
      <w:r>
        <w:rPr>
          <w:rFonts w:hint="eastAsia" w:ascii="仿宋" w:hAnsi="仿宋" w:eastAsia="仿宋"/>
          <w:color w:val="000000"/>
          <w:sz w:val="32"/>
          <w:szCs w:val="32"/>
        </w:rPr>
        <w:t>人员经费136.82万元，主要包括：基本工资31.16万元 、津贴补贴47.58万元、奖金16.72万元、机关事业单位基本养老保险缴费13.89万元、职业年金缴费6.47万元、职工基本医疗保险缴费6.77万元、公务员医疗补助缴费1.15万元，其他社会保障缴费0.95万元、住房公积金11.64万元、医疗费0.48万元、其他对个人和家庭的补助0.01万元。</w:t>
      </w:r>
      <w:r>
        <w:rPr>
          <w:rFonts w:ascii="仿宋" w:hAnsi="仿宋" w:eastAsia="仿宋"/>
          <w:color w:val="000000"/>
          <w:sz w:val="32"/>
          <w:szCs w:val="32"/>
        </w:rPr>
        <w:br w:type="textWrapping"/>
      </w:r>
      <w:r>
        <w:rPr>
          <w:rFonts w:hint="eastAsia" w:ascii="仿宋" w:hAnsi="仿宋" w:eastAsia="仿宋"/>
          <w:color w:val="000000"/>
          <w:sz w:val="32"/>
          <w:szCs w:val="32"/>
        </w:rPr>
        <w:t xml:space="preserve">    公用经费15.16万元，主要包括：办公费3.16万元、印刷费0.20万元、手续费0.05万元、水费0.10万元、电费0.49万元、邮电费0.50万元、取暖费0.30万元、差旅费1.7万元、公务接待费0.20万元、培训费0.20万元、公务用车运行维护费2.20万元。</w:t>
      </w:r>
    </w:p>
    <w:p>
      <w:pPr>
        <w:spacing w:line="600" w:lineRule="exact"/>
        <w:ind w:firstLine="640"/>
        <w:outlineLvl w:val="1"/>
        <w:rPr>
          <w:rStyle w:val="27"/>
          <w:rFonts w:ascii="黑体" w:hAnsi="黑体" w:eastAsia="黑体"/>
          <w:b w:val="0"/>
        </w:rPr>
      </w:pPr>
      <w:r>
        <w:rPr>
          <w:rStyle w:val="27"/>
          <w:rFonts w:hint="eastAsia" w:ascii="黑体" w:hAnsi="黑体" w:eastAsia="黑体"/>
        </w:rPr>
        <w:t>“</w:t>
      </w:r>
      <w:r>
        <w:rPr>
          <w:rStyle w:val="27"/>
          <w:rFonts w:hint="eastAsia" w:ascii="黑体" w:hAnsi="黑体" w:eastAsia="黑体"/>
          <w:b w:val="0"/>
        </w:rPr>
        <w:t>三公”经费财政拨款支出决算情况说明</w:t>
      </w:r>
    </w:p>
    <w:p>
      <w:pPr>
        <w:spacing w:line="58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（一）“三公”经费财政拨款支出决算总体情况说明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9年“三公”经费财政拨款支出决算为4.8万元，完成预算100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9年“三公”经费财政拨款支出决算中，公务用车购置及运行维护费支出决算2.20万元，占92</w:t>
      </w:r>
      <w:r>
        <w:rPr>
          <w:rFonts w:ascii="仿宋" w:hAnsi="仿宋" w:eastAsia="仿宋"/>
          <w:color w:val="000000"/>
          <w:sz w:val="32"/>
          <w:szCs w:val="32"/>
        </w:rPr>
        <w:t>%</w:t>
      </w:r>
      <w:r>
        <w:rPr>
          <w:rFonts w:hint="eastAsia" w:ascii="仿宋" w:hAnsi="仿宋" w:eastAsia="仿宋"/>
          <w:color w:val="000000"/>
          <w:sz w:val="32"/>
          <w:szCs w:val="32"/>
        </w:rPr>
        <w:t>；公务接待费支出决算0.20万元，占8</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cs="仿宋_GB2312"/>
          <w:color w:val="000000"/>
          <w:sz w:val="32"/>
          <w:szCs w:val="32"/>
        </w:rPr>
      </w:pPr>
      <w:r>
        <w:rPr>
          <w:rFonts w:hint="eastAsia" w:ascii="仿宋_GB2312" w:eastAsia="仿宋_GB2312"/>
          <w:b/>
          <w:color w:val="000000"/>
          <w:sz w:val="32"/>
          <w:szCs w:val="32"/>
        </w:rPr>
        <w:t>1.公务用车购置及运行维护费支出</w:t>
      </w:r>
      <w:r>
        <w:rPr>
          <w:rFonts w:hint="eastAsia" w:ascii="仿宋" w:hAnsi="仿宋" w:eastAsia="仿宋" w:cs="仿宋_GB2312"/>
          <w:color w:val="000000"/>
          <w:sz w:val="32"/>
          <w:szCs w:val="32"/>
        </w:rPr>
        <w:t>2.20万元,完成预算100</w:t>
      </w:r>
      <w:r>
        <w:rPr>
          <w:rFonts w:ascii="仿宋" w:hAnsi="仿宋" w:eastAsia="仿宋" w:cs="仿宋_GB2312"/>
          <w:color w:val="000000"/>
          <w:sz w:val="32"/>
          <w:szCs w:val="32"/>
        </w:rPr>
        <w:t>%</w:t>
      </w:r>
      <w:r>
        <w:rPr>
          <w:rFonts w:hint="eastAsia" w:ascii="仿宋" w:hAnsi="仿宋" w:eastAsia="仿宋" w:cs="仿宋_GB2312"/>
          <w:color w:val="000000"/>
          <w:sz w:val="32"/>
          <w:szCs w:val="32"/>
        </w:rPr>
        <w:t>。公务用车购置及运行维护费支出决算比</w:t>
      </w:r>
      <w:r>
        <w:rPr>
          <w:rFonts w:ascii="仿宋" w:hAnsi="仿宋" w:eastAsia="仿宋" w:cs="仿宋_GB2312"/>
          <w:color w:val="000000"/>
          <w:sz w:val="32"/>
          <w:szCs w:val="32"/>
        </w:rPr>
        <w:t>201</w:t>
      </w:r>
      <w:r>
        <w:rPr>
          <w:rFonts w:hint="eastAsia" w:ascii="仿宋" w:hAnsi="仿宋" w:eastAsia="仿宋" w:cs="仿宋_GB2312"/>
          <w:color w:val="000000"/>
          <w:sz w:val="32"/>
          <w:szCs w:val="32"/>
        </w:rPr>
        <w:t>8年减少4.8万元，下降2.18</w:t>
      </w:r>
      <w:r>
        <w:rPr>
          <w:rFonts w:ascii="仿宋" w:hAnsi="仿宋" w:eastAsia="仿宋" w:cs="仿宋_GB2312"/>
          <w:color w:val="000000"/>
          <w:sz w:val="32"/>
          <w:szCs w:val="32"/>
        </w:rPr>
        <w:t>%</w:t>
      </w:r>
      <w:r>
        <w:rPr>
          <w:rFonts w:hint="eastAsia" w:ascii="仿宋" w:hAnsi="仿宋" w:eastAsia="仿宋" w:cs="仿宋_GB2312"/>
          <w:color w:val="000000"/>
          <w:sz w:val="32"/>
          <w:szCs w:val="32"/>
        </w:rPr>
        <w:t>。主要原因是外出州内、省内出差、培训活动量减少，公务用车运行维护费开支相对减少。</w:t>
      </w:r>
    </w:p>
    <w:p>
      <w:pPr>
        <w:spacing w:line="600" w:lineRule="exact"/>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截至</w:t>
      </w:r>
      <w:r>
        <w:rPr>
          <w:rFonts w:ascii="仿宋" w:hAnsi="仿宋" w:eastAsia="仿宋" w:cs="仿宋_GB2312"/>
          <w:color w:val="000000"/>
          <w:sz w:val="32"/>
          <w:szCs w:val="32"/>
        </w:rPr>
        <w:t>20</w:t>
      </w:r>
      <w:r>
        <w:rPr>
          <w:rFonts w:hint="eastAsia" w:ascii="仿宋" w:hAnsi="仿宋" w:eastAsia="仿宋" w:cs="仿宋_GB2312"/>
          <w:color w:val="000000"/>
          <w:sz w:val="32"/>
          <w:szCs w:val="32"/>
        </w:rPr>
        <w:t>19年</w:t>
      </w:r>
      <w:r>
        <w:rPr>
          <w:rFonts w:ascii="仿宋" w:hAnsi="仿宋" w:eastAsia="仿宋" w:cs="仿宋_GB2312"/>
          <w:color w:val="000000"/>
          <w:sz w:val="32"/>
          <w:szCs w:val="32"/>
        </w:rPr>
        <w:t>12</w:t>
      </w:r>
      <w:r>
        <w:rPr>
          <w:rFonts w:hint="eastAsia" w:ascii="仿宋" w:hAnsi="仿宋" w:eastAsia="仿宋" w:cs="仿宋_GB2312"/>
          <w:color w:val="000000"/>
          <w:sz w:val="32"/>
          <w:szCs w:val="32"/>
        </w:rPr>
        <w:t>月底，单位共有公务用车1辆，其中：越野车1辆。</w:t>
      </w:r>
    </w:p>
    <w:p>
      <w:pPr>
        <w:spacing w:line="600" w:lineRule="exact"/>
        <w:ind w:firstLine="640"/>
        <w:rPr>
          <w:rFonts w:ascii="仿宋" w:hAnsi="仿宋" w:eastAsia="仿宋" w:cs="仿宋_GB2312"/>
          <w:color w:val="000000"/>
          <w:sz w:val="32"/>
          <w:szCs w:val="32"/>
        </w:rPr>
      </w:pPr>
      <w:r>
        <w:rPr>
          <w:rFonts w:hint="eastAsia" w:ascii="仿宋_GB2312" w:eastAsia="仿宋_GB2312"/>
          <w:b/>
          <w:color w:val="000000"/>
          <w:sz w:val="32"/>
          <w:szCs w:val="32"/>
        </w:rPr>
        <w:t>2公务用车运行维护费支出</w:t>
      </w:r>
      <w:r>
        <w:rPr>
          <w:rFonts w:hint="eastAsia" w:ascii="仿宋_GB2312" w:eastAsia="仿宋_GB2312"/>
          <w:color w:val="000000"/>
          <w:sz w:val="32"/>
          <w:szCs w:val="32"/>
        </w:rPr>
        <w:t>2.20万元。</w:t>
      </w:r>
      <w:r>
        <w:rPr>
          <w:rFonts w:hint="eastAsia" w:ascii="仿宋" w:hAnsi="仿宋" w:eastAsia="仿宋" w:cs="仿宋_GB2312"/>
          <w:color w:val="000000"/>
          <w:sz w:val="32"/>
          <w:szCs w:val="32"/>
        </w:rPr>
        <w:t>主要用于出差、外出培训工作等所需的公务用车燃料费、维修购置费、过路过桥费、保险费等支出。</w:t>
      </w:r>
    </w:p>
    <w:p>
      <w:pPr>
        <w:spacing w:line="600" w:lineRule="exact"/>
        <w:ind w:firstLine="640"/>
        <w:rPr>
          <w:rFonts w:ascii="仿宋" w:hAnsi="仿宋" w:eastAsia="仿宋" w:cs="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0.20万元</w:t>
      </w:r>
      <w:r>
        <w:rPr>
          <w:rFonts w:hint="eastAsia" w:ascii="仿宋" w:hAnsi="仿宋" w:eastAsia="仿宋" w:cs="仿宋_GB2312"/>
          <w:color w:val="000000"/>
          <w:sz w:val="32"/>
          <w:szCs w:val="32"/>
        </w:rPr>
        <w:t>。完成预算100</w:t>
      </w:r>
      <w:r>
        <w:rPr>
          <w:rFonts w:ascii="仿宋" w:hAnsi="仿宋" w:eastAsia="仿宋" w:cs="仿宋_GB2312"/>
          <w:color w:val="000000"/>
          <w:sz w:val="32"/>
          <w:szCs w:val="32"/>
        </w:rPr>
        <w:t>%</w:t>
      </w:r>
      <w:r>
        <w:rPr>
          <w:rFonts w:hint="eastAsia" w:ascii="仿宋" w:hAnsi="仿宋" w:eastAsia="仿宋" w:cs="仿宋_GB2312"/>
          <w:color w:val="000000"/>
          <w:sz w:val="32"/>
          <w:szCs w:val="32"/>
        </w:rPr>
        <w:t>。公务接待费支出决算比</w:t>
      </w:r>
      <w:r>
        <w:rPr>
          <w:rFonts w:ascii="仿宋" w:hAnsi="仿宋" w:eastAsia="仿宋" w:cs="仿宋_GB2312"/>
          <w:color w:val="000000"/>
          <w:sz w:val="32"/>
          <w:szCs w:val="32"/>
        </w:rPr>
        <w:t>201</w:t>
      </w:r>
      <w:r>
        <w:rPr>
          <w:rFonts w:hint="eastAsia" w:ascii="仿宋" w:hAnsi="仿宋" w:eastAsia="仿宋" w:cs="仿宋_GB2312"/>
          <w:color w:val="000000"/>
          <w:sz w:val="32"/>
          <w:szCs w:val="32"/>
        </w:rPr>
        <w:t>8年减少0.08万元，下降0.4</w:t>
      </w:r>
      <w:r>
        <w:rPr>
          <w:rFonts w:ascii="仿宋" w:hAnsi="仿宋" w:eastAsia="仿宋" w:cs="仿宋_GB2312"/>
          <w:color w:val="000000"/>
          <w:sz w:val="32"/>
          <w:szCs w:val="32"/>
        </w:rPr>
        <w:t>%</w:t>
      </w:r>
      <w:r>
        <w:rPr>
          <w:rFonts w:hint="eastAsia" w:ascii="仿宋" w:hAnsi="仿宋" w:eastAsia="仿宋" w:cs="仿宋_GB2312"/>
          <w:color w:val="000000"/>
          <w:sz w:val="32"/>
          <w:szCs w:val="32"/>
        </w:rPr>
        <w:t>。主要原因是我单位接待工作，尽量减少了单位陪同人员，倡导力行节约。</w:t>
      </w:r>
    </w:p>
    <w:p>
      <w:pPr>
        <w:widowControl/>
        <w:adjustRightInd w:val="0"/>
        <w:snapToGrid w:val="0"/>
        <w:spacing w:line="480" w:lineRule="exact"/>
        <w:ind w:firstLine="640" w:firstLineChars="200"/>
        <w:jc w:val="left"/>
        <w:rPr>
          <w:rFonts w:ascii="仿宋" w:hAnsi="仿宋" w:eastAsia="仿宋" w:cs="仿宋_GB2312"/>
          <w:color w:val="000000"/>
          <w:sz w:val="32"/>
          <w:szCs w:val="32"/>
        </w:rPr>
      </w:pPr>
      <w:r>
        <w:rPr>
          <w:rFonts w:hint="eastAsia" w:ascii="仿宋" w:hAnsi="仿宋" w:eastAsia="仿宋" w:cs="仿宋_GB2312"/>
          <w:color w:val="000000"/>
          <w:sz w:val="32"/>
          <w:szCs w:val="32"/>
        </w:rPr>
        <w:t>主要用于开展业务活动开支的交通费、住宿费、用餐费等。县内公务接待112次，30人次（不包括陪同人员）。共计支出0.20万元。（接待具体内容包括：开展2019年科普干事暨科普宣传员培训班、调研院士专家工作站等）。</w:t>
      </w:r>
    </w:p>
    <w:p>
      <w:pPr>
        <w:spacing w:line="600" w:lineRule="exact"/>
        <w:ind w:firstLine="640"/>
        <w:outlineLvl w:val="1"/>
        <w:rPr>
          <w:rStyle w:val="27"/>
          <w:rFonts w:ascii="黑体" w:hAnsi="黑体" w:eastAsia="黑体"/>
        </w:rPr>
      </w:pPr>
      <w:r>
        <w:rPr>
          <w:rFonts w:hint="eastAsia" w:ascii="黑体" w:eastAsia="黑体"/>
          <w:color w:val="000000"/>
          <w:sz w:val="32"/>
          <w:szCs w:val="32"/>
        </w:rPr>
        <w:t>（四）、</w:t>
      </w:r>
      <w:r>
        <w:rPr>
          <w:rStyle w:val="27"/>
          <w:rFonts w:hint="eastAsia" w:ascii="黑体" w:hAnsi="黑体" w:eastAsia="黑体"/>
          <w:b w:val="0"/>
        </w:rPr>
        <w:t>政府性基金预算支出决算情况说明</w:t>
      </w:r>
    </w:p>
    <w:p>
      <w:pPr>
        <w:widowControl/>
        <w:adjustRightInd w:val="0"/>
        <w:snapToGrid w:val="0"/>
        <w:spacing w:line="480" w:lineRule="exact"/>
        <w:ind w:firstLine="640" w:firstLineChars="200"/>
        <w:jc w:val="left"/>
        <w:rPr>
          <w:rFonts w:ascii="仿宋" w:hAnsi="仿宋" w:eastAsia="仿宋" w:cs="仿宋_GB2312"/>
          <w:color w:val="000000"/>
          <w:sz w:val="32"/>
          <w:szCs w:val="32"/>
        </w:rPr>
      </w:pPr>
      <w:r>
        <w:rPr>
          <w:rFonts w:ascii="仿宋" w:hAnsi="仿宋" w:eastAsia="仿宋" w:cs="仿宋_GB2312"/>
          <w:color w:val="000000"/>
          <w:sz w:val="32"/>
          <w:szCs w:val="32"/>
        </w:rPr>
        <w:t>201</w:t>
      </w:r>
      <w:r>
        <w:rPr>
          <w:rFonts w:hint="eastAsia" w:ascii="仿宋" w:hAnsi="仿宋" w:eastAsia="仿宋" w:cs="仿宋_GB2312"/>
          <w:color w:val="000000"/>
          <w:sz w:val="32"/>
          <w:szCs w:val="32"/>
        </w:rPr>
        <w:t>9年政府性基金预算拨款支出0万元。</w:t>
      </w:r>
    </w:p>
    <w:p>
      <w:pPr>
        <w:spacing w:line="600" w:lineRule="exact"/>
        <w:ind w:firstLine="640" w:firstLineChars="200"/>
        <w:outlineLvl w:val="1"/>
        <w:rPr>
          <w:rStyle w:val="27"/>
          <w:rFonts w:ascii="黑体" w:hAnsi="黑体" w:eastAsia="黑体"/>
          <w:b w:val="0"/>
        </w:rPr>
      </w:pPr>
      <w:r>
        <w:rPr>
          <w:rStyle w:val="27"/>
          <w:rFonts w:hint="eastAsia" w:ascii="黑体" w:hAnsi="黑体" w:eastAsia="黑体"/>
          <w:b w:val="0"/>
        </w:rPr>
        <w:t>（五）、国有资本经营预算支出决算情况说明</w:t>
      </w:r>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800" w:firstLineChars="250"/>
        <w:outlineLvl w:val="1"/>
        <w:rPr>
          <w:rStyle w:val="27"/>
          <w:rFonts w:ascii="黑体" w:hAnsi="黑体" w:eastAsia="黑体"/>
        </w:rPr>
      </w:pPr>
      <w:r>
        <w:rPr>
          <w:rFonts w:hint="eastAsia" w:ascii="黑体" w:hAnsi="黑体" w:eastAsia="黑体"/>
          <w:color w:val="000000"/>
          <w:sz w:val="32"/>
          <w:szCs w:val="32"/>
        </w:rPr>
        <w:t>（六）</w:t>
      </w:r>
      <w:r>
        <w:rPr>
          <w:rStyle w:val="27"/>
          <w:rFonts w:hint="eastAsia" w:ascii="黑体" w:hAnsi="黑体" w:eastAsia="黑体"/>
        </w:rPr>
        <w:t>、</w:t>
      </w:r>
      <w:r>
        <w:rPr>
          <w:rStyle w:val="27"/>
          <w:rFonts w:hint="eastAsia" w:ascii="黑体" w:hAnsi="黑体" w:eastAsia="黑体"/>
          <w:b w:val="0"/>
        </w:rPr>
        <w:t>其他重要事项的情况说明</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国有资产占有使用情况</w:t>
      </w:r>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日，县科协共有车辆1辆，其中：单位用车1辆。</w:t>
      </w:r>
      <w:r>
        <w:rPr>
          <w:rFonts w:ascii="仿宋" w:hAnsi="仿宋" w:eastAsia="仿宋"/>
          <w:b/>
          <w:color w:val="FF0000"/>
          <w:sz w:val="32"/>
          <w:szCs w:val="32"/>
        </w:rPr>
        <w:t xml:space="preserve"> </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480" w:lineRule="exact"/>
        <w:ind w:firstLine="640" w:firstLineChars="200"/>
        <w:jc w:val="left"/>
        <w:rPr>
          <w:rFonts w:ascii="仿宋" w:hAnsi="仿宋" w:eastAsia="仿宋" w:cs="仿宋_GB2312"/>
          <w:color w:val="000000"/>
          <w:sz w:val="32"/>
          <w:szCs w:val="32"/>
        </w:rPr>
      </w:pPr>
      <w:r>
        <w:rPr>
          <w:rFonts w:hint="eastAsia" w:ascii="仿宋" w:hAnsi="仿宋" w:eastAsia="仿宋" w:cs="仿宋_GB2312"/>
          <w:color w:val="000000"/>
          <w:sz w:val="32"/>
          <w:szCs w:val="32"/>
        </w:rPr>
        <w:t>根据预算绩效管理要求，本部门在年初预算编制阶段，组织对我单位开展了预算事前绩效评估，开展了绩效目标完成情况梳理填报。</w:t>
      </w:r>
    </w:p>
    <w:p>
      <w:pPr>
        <w:widowControl/>
        <w:adjustRightInd w:val="0"/>
        <w:snapToGrid w:val="0"/>
        <w:spacing w:line="480" w:lineRule="exact"/>
        <w:ind w:firstLine="640" w:firstLineChars="200"/>
        <w:jc w:val="left"/>
        <w:rPr>
          <w:rFonts w:ascii="仿宋" w:hAnsi="仿宋" w:eastAsia="仿宋" w:cs="仿宋_GB2312"/>
          <w:color w:val="000000"/>
          <w:sz w:val="32"/>
          <w:szCs w:val="32"/>
        </w:rPr>
      </w:pPr>
      <w:r>
        <w:rPr>
          <w:rFonts w:hint="eastAsia" w:ascii="仿宋" w:hAnsi="仿宋" w:eastAsia="仿宋" w:cs="仿宋_GB2312"/>
          <w:color w:val="000000"/>
          <w:sz w:val="32"/>
          <w:szCs w:val="32"/>
        </w:rPr>
        <w:t>本部门按要求对2019年部门整体支出开展绩效自评，从评价情况来看，包括部门职责履行结果、重点项目绩效评价结果和服务对象满意度等。</w:t>
      </w:r>
    </w:p>
    <w:p>
      <w:pPr>
        <w:widowControl/>
        <w:adjustRightInd w:val="0"/>
        <w:snapToGrid w:val="0"/>
        <w:spacing w:line="480" w:lineRule="exact"/>
        <w:ind w:left="720"/>
        <w:jc w:val="left"/>
        <w:rPr>
          <w:rFonts w:ascii="仿宋_GB2312" w:hAnsi="宋体" w:eastAsia="仿宋_GB2312" w:cs="宋体"/>
          <w:color w:val="000000"/>
          <w:kern w:val="0"/>
          <w:sz w:val="32"/>
          <w:lang w:val="zh-CN" w:bidi="ar"/>
        </w:rPr>
      </w:pPr>
      <w:r>
        <w:rPr>
          <w:rFonts w:hint="eastAsia" w:ascii="仿宋_GB2312" w:hAnsi="宋体" w:eastAsia="仿宋_GB2312" w:cs="宋体"/>
          <w:color w:val="000000"/>
          <w:kern w:val="0"/>
          <w:sz w:val="32"/>
          <w:lang w:val="zh-CN" w:bidi="ar"/>
        </w:rPr>
        <w:t>（</w:t>
      </w:r>
      <w:r>
        <w:rPr>
          <w:rFonts w:hint="eastAsia" w:ascii="仿宋_GB2312" w:hAnsi="宋体" w:eastAsia="仿宋_GB2312" w:cs="宋体"/>
          <w:color w:val="000000"/>
          <w:kern w:val="0"/>
          <w:sz w:val="32"/>
          <w:lang w:bidi="ar"/>
        </w:rPr>
        <w:t>1</w:t>
      </w:r>
      <w:r>
        <w:rPr>
          <w:rFonts w:hint="eastAsia" w:ascii="仿宋_GB2312" w:hAnsi="宋体" w:eastAsia="仿宋_GB2312" w:cs="宋体"/>
          <w:color w:val="000000"/>
          <w:kern w:val="0"/>
          <w:sz w:val="32"/>
          <w:lang w:val="zh-CN" w:bidi="ar"/>
        </w:rPr>
        <w:t>）、职责履行结果。</w:t>
      </w:r>
    </w:p>
    <w:p>
      <w:pPr>
        <w:widowControl/>
        <w:adjustRightInd w:val="0"/>
        <w:snapToGrid w:val="0"/>
        <w:spacing w:line="480" w:lineRule="exact"/>
        <w:ind w:firstLine="640" w:firstLineChars="200"/>
        <w:jc w:val="left"/>
        <w:rPr>
          <w:rFonts w:ascii="仿宋" w:hAnsi="仿宋" w:eastAsia="仿宋" w:cs="仿宋_GB2312"/>
          <w:color w:val="000000"/>
          <w:sz w:val="32"/>
          <w:szCs w:val="32"/>
        </w:rPr>
      </w:pPr>
      <w:r>
        <w:rPr>
          <w:rFonts w:hint="eastAsia" w:ascii="仿宋" w:hAnsi="仿宋" w:eastAsia="仿宋" w:cs="仿宋_GB2312"/>
          <w:color w:val="000000"/>
          <w:sz w:val="32"/>
          <w:szCs w:val="32"/>
        </w:rPr>
        <w:t>县科协加强部门职责执行工作。进一步提高了办公办事质量水平，以严格规范单位行政行为，加强了单位组织领导，下设领导小组，保证工作组织有保障；建立权责明确的单位</w:t>
      </w:r>
      <w:r>
        <w:fldChar w:fldCharType="begin"/>
      </w:r>
      <w:r>
        <w:instrText xml:space="preserve"> HYPERLINK "http://www.so.com/s?q=%E4%BD%93%E5%88%B6&amp;ie=utf-8&amp;src=internal_wenda_recommend_textn" \t "https://wenda.so.com/q/_blank" </w:instrText>
      </w:r>
      <w:r>
        <w:fldChar w:fldCharType="separate"/>
      </w:r>
      <w:r>
        <w:rPr>
          <w:rFonts w:hint="eastAsia" w:ascii="仿宋" w:hAnsi="仿宋" w:eastAsia="仿宋" w:cs="仿宋_GB2312"/>
          <w:color w:val="000000"/>
          <w:sz w:val="32"/>
          <w:szCs w:val="32"/>
        </w:rPr>
        <w:t>体制</w:t>
      </w:r>
      <w:r>
        <w:rPr>
          <w:rFonts w:hint="eastAsia" w:ascii="仿宋" w:hAnsi="仿宋" w:eastAsia="仿宋" w:cs="仿宋_GB2312"/>
          <w:color w:val="000000"/>
          <w:sz w:val="32"/>
          <w:szCs w:val="32"/>
        </w:rPr>
        <w:fldChar w:fldCharType="end"/>
      </w:r>
      <w:r>
        <w:rPr>
          <w:rFonts w:hint="eastAsia" w:ascii="仿宋" w:hAnsi="仿宋" w:eastAsia="仿宋" w:cs="仿宋_GB2312"/>
          <w:color w:val="000000"/>
          <w:sz w:val="32"/>
          <w:szCs w:val="32"/>
        </w:rPr>
        <w:t>，促使</w:t>
      </w:r>
      <w:r>
        <w:fldChar w:fldCharType="begin"/>
      </w:r>
      <w:r>
        <w:instrText xml:space="preserve"> HYPERLINK "http://www.so.com/s?q=%E8%A1%8C%E6%94%BF%E6%9D%83%E5%8A%9B&amp;ie=utf-8&amp;src=internal_wenda_recommend_textn" \t "https://wenda.so.com/q/_blank" </w:instrText>
      </w:r>
      <w:r>
        <w:fldChar w:fldCharType="separate"/>
      </w:r>
      <w:r>
        <w:rPr>
          <w:rFonts w:hint="eastAsia" w:ascii="仿宋" w:hAnsi="仿宋" w:eastAsia="仿宋" w:cs="仿宋_GB2312"/>
          <w:color w:val="000000"/>
          <w:sz w:val="32"/>
          <w:szCs w:val="32"/>
        </w:rPr>
        <w:t>行政活</w:t>
      </w:r>
      <w:r>
        <w:rPr>
          <w:rFonts w:hint="eastAsia" w:ascii="仿宋" w:hAnsi="仿宋" w:eastAsia="仿宋" w:cs="仿宋_GB2312"/>
          <w:color w:val="000000"/>
          <w:sz w:val="32"/>
          <w:szCs w:val="32"/>
        </w:rPr>
        <w:fldChar w:fldCharType="end"/>
      </w:r>
      <w:r>
        <w:rPr>
          <w:rFonts w:hint="eastAsia" w:ascii="仿宋" w:hAnsi="仿宋" w:eastAsia="仿宋" w:cs="仿宋_GB2312"/>
          <w:color w:val="000000"/>
          <w:sz w:val="32"/>
          <w:szCs w:val="32"/>
        </w:rPr>
        <w:t>动授予有据、行使有规、监督有效；深化了单位内部</w:t>
      </w:r>
      <w:r>
        <w:fldChar w:fldCharType="begin"/>
      </w:r>
      <w:r>
        <w:instrText xml:space="preserve"> HYPERLINK "http://www.so.com/s?q=%E8%A1%8C%E6%94%BF%E7%AE%A1%E7%90%86%E4%BD%93%E5%88%B6&amp;ie=utf-8&amp;src=internal_wenda_recommend_textn" \t "https://wenda.so.com/q/_blank" </w:instrText>
      </w:r>
      <w:r>
        <w:fldChar w:fldCharType="separate"/>
      </w:r>
      <w:r>
        <w:rPr>
          <w:rFonts w:hint="eastAsia" w:ascii="仿宋" w:hAnsi="仿宋" w:eastAsia="仿宋" w:cs="仿宋_GB2312"/>
          <w:color w:val="000000"/>
          <w:sz w:val="32"/>
          <w:szCs w:val="32"/>
        </w:rPr>
        <w:t>行政管理体制</w:t>
      </w:r>
      <w:r>
        <w:rPr>
          <w:rFonts w:hint="eastAsia" w:ascii="仿宋" w:hAnsi="仿宋" w:eastAsia="仿宋" w:cs="仿宋_GB2312"/>
          <w:color w:val="000000"/>
          <w:sz w:val="32"/>
          <w:szCs w:val="32"/>
        </w:rPr>
        <w:fldChar w:fldCharType="end"/>
      </w:r>
      <w:r>
        <w:rPr>
          <w:rFonts w:hint="eastAsia" w:ascii="仿宋" w:hAnsi="仿宋" w:eastAsia="仿宋" w:cs="仿宋_GB2312"/>
          <w:color w:val="000000"/>
          <w:sz w:val="32"/>
          <w:szCs w:val="32"/>
        </w:rPr>
        <w:t>改革，努力形成</w:t>
      </w:r>
      <w:r>
        <w:fldChar w:fldCharType="begin"/>
      </w:r>
      <w:r>
        <w:instrText xml:space="preserve"> HYPERLINK "http://www.so.com/s?q=%E8%A1%8C%E4%B8%BA%E8%A7%84%E8%8C%83&amp;ie=utf-8&amp;src=internal_wenda_recommend_textn" \t "https://wenda.so.com/q/_blank" </w:instrText>
      </w:r>
      <w:r>
        <w:fldChar w:fldCharType="separate"/>
      </w:r>
      <w:r>
        <w:rPr>
          <w:rFonts w:hint="eastAsia" w:ascii="仿宋" w:hAnsi="仿宋" w:eastAsia="仿宋" w:cs="仿宋_GB2312"/>
          <w:color w:val="000000"/>
          <w:sz w:val="32"/>
          <w:szCs w:val="32"/>
        </w:rPr>
        <w:t>行为规范</w:t>
      </w:r>
      <w:r>
        <w:rPr>
          <w:rFonts w:hint="eastAsia" w:ascii="仿宋" w:hAnsi="仿宋" w:eastAsia="仿宋" w:cs="仿宋_GB2312"/>
          <w:color w:val="000000"/>
          <w:sz w:val="32"/>
          <w:szCs w:val="32"/>
        </w:rPr>
        <w:fldChar w:fldCharType="end"/>
      </w:r>
      <w:r>
        <w:rPr>
          <w:rFonts w:hint="eastAsia" w:ascii="仿宋" w:hAnsi="仿宋" w:eastAsia="仿宋" w:cs="仿宋_GB2312"/>
          <w:color w:val="000000"/>
          <w:sz w:val="32"/>
          <w:szCs w:val="32"/>
        </w:rPr>
        <w:t>、运转协调、公正透明、</w:t>
      </w:r>
      <w:r>
        <w:fldChar w:fldCharType="begin"/>
      </w:r>
      <w:r>
        <w:instrText xml:space="preserve"> HYPERLINK "http://www.so.com/s?q=%E5%BB%89%E6%94%BF&amp;ie=utf-8&amp;src=internal_wenda_recommend_textn" \t "https://wenda.so.com/q/_blank" </w:instrText>
      </w:r>
      <w:r>
        <w:fldChar w:fldCharType="separate"/>
      </w:r>
      <w:r>
        <w:rPr>
          <w:rFonts w:hint="eastAsia" w:ascii="仿宋" w:hAnsi="仿宋" w:eastAsia="仿宋" w:cs="仿宋_GB2312"/>
          <w:color w:val="000000"/>
          <w:sz w:val="32"/>
          <w:szCs w:val="32"/>
        </w:rPr>
        <w:t>廉政</w:t>
      </w:r>
      <w:r>
        <w:rPr>
          <w:rFonts w:hint="eastAsia" w:ascii="仿宋" w:hAnsi="仿宋" w:eastAsia="仿宋" w:cs="仿宋_GB2312"/>
          <w:color w:val="000000"/>
          <w:sz w:val="32"/>
          <w:szCs w:val="32"/>
        </w:rPr>
        <w:fldChar w:fldCharType="end"/>
      </w:r>
      <w:r>
        <w:rPr>
          <w:rFonts w:hint="eastAsia" w:ascii="仿宋" w:hAnsi="仿宋" w:eastAsia="仿宋" w:cs="仿宋_GB2312"/>
          <w:color w:val="000000"/>
          <w:sz w:val="32"/>
          <w:szCs w:val="32"/>
        </w:rPr>
        <w:t>高效的单位行政管理体制。</w:t>
      </w:r>
    </w:p>
    <w:p>
      <w:pPr>
        <w:widowControl/>
        <w:adjustRightInd w:val="0"/>
        <w:snapToGrid w:val="0"/>
        <w:spacing w:line="480" w:lineRule="exact"/>
        <w:ind w:firstLine="320" w:firstLineChars="100"/>
        <w:jc w:val="left"/>
        <w:rPr>
          <w:rFonts w:ascii="仿宋" w:hAnsi="仿宋" w:eastAsia="仿宋" w:cs="仿宋_GB2312"/>
          <w:color w:val="000000"/>
          <w:sz w:val="32"/>
          <w:szCs w:val="32"/>
        </w:rPr>
      </w:pPr>
      <w:r>
        <w:rPr>
          <w:rFonts w:hint="eastAsia" w:ascii="仿宋_GB2312" w:hAnsi="宋体" w:eastAsia="仿宋_GB2312" w:cs="宋体"/>
          <w:color w:val="000000"/>
          <w:kern w:val="0"/>
          <w:sz w:val="32"/>
          <w:lang w:val="zh-CN" w:bidi="ar"/>
        </w:rPr>
        <w:t>（2）强化考核工作。</w:t>
      </w:r>
      <w:r>
        <w:rPr>
          <w:rFonts w:hint="eastAsia" w:ascii="仿宋" w:hAnsi="仿宋" w:eastAsia="仿宋" w:cs="仿宋_GB2312"/>
          <w:color w:val="000000"/>
          <w:sz w:val="32"/>
          <w:szCs w:val="32"/>
        </w:rPr>
        <w:t>2019年单位履行了岗位职责考核和自身建设素质考核。考核涉及单位职工政治理论学习，集体活动参与、考勤、请休假、政务信息等方面。</w:t>
      </w:r>
    </w:p>
    <w:p>
      <w:pPr>
        <w:widowControl/>
        <w:adjustRightInd w:val="0"/>
        <w:snapToGrid w:val="0"/>
        <w:spacing w:line="480" w:lineRule="exact"/>
        <w:ind w:firstLine="320" w:firstLineChars="100"/>
        <w:jc w:val="left"/>
        <w:rPr>
          <w:rFonts w:ascii="黑体" w:hAnsi="宋体" w:eastAsia="黑体" w:cs="宋体"/>
          <w:color w:val="000000"/>
          <w:kern w:val="0"/>
        </w:rPr>
      </w:pPr>
      <w:r>
        <w:rPr>
          <w:rFonts w:hint="eastAsia" w:ascii="黑体" w:hAnsi="宋体" w:eastAsia="黑体" w:cs="宋体"/>
          <w:color w:val="000000"/>
          <w:kern w:val="0"/>
          <w:sz w:val="32"/>
          <w:lang w:bidi="ar"/>
        </w:rPr>
        <w:t>（3）评价结论及建议。</w:t>
      </w:r>
    </w:p>
    <w:p>
      <w:pPr>
        <w:widowControl/>
        <w:shd w:val="clear" w:color="auto" w:fill="FFFFFF"/>
        <w:spacing w:line="540" w:lineRule="atLeast"/>
        <w:ind w:firstLine="720"/>
        <w:jc w:val="left"/>
        <w:rPr>
          <w:rFonts w:ascii="仿宋_GB2312" w:hAnsi="仿宋_GB2312" w:eastAsia="仿宋_GB2312" w:cs="仿宋_GB2312"/>
          <w:color w:val="000000"/>
          <w:sz w:val="32"/>
          <w:szCs w:val="32"/>
        </w:rPr>
      </w:pPr>
      <w:r>
        <w:rPr>
          <w:rFonts w:hint="eastAsia" w:ascii="楷体" w:hAnsi="楷体" w:eastAsia="楷体" w:cs="楷体"/>
          <w:b/>
          <w:bCs/>
          <w:color w:val="000000"/>
          <w:sz w:val="32"/>
          <w:szCs w:val="32"/>
        </w:rPr>
        <w:t>评价结论。</w:t>
      </w:r>
      <w:r>
        <w:rPr>
          <w:rFonts w:hint="eastAsia" w:ascii="仿宋" w:hAnsi="仿宋" w:eastAsia="仿宋" w:cs="仿宋_GB2312"/>
          <w:color w:val="000000"/>
          <w:sz w:val="32"/>
          <w:szCs w:val="32"/>
        </w:rPr>
        <w:t>县科协2019年决算工作</w:t>
      </w:r>
      <w:r>
        <w:rPr>
          <w:rFonts w:ascii="仿宋" w:hAnsi="仿宋" w:eastAsia="仿宋" w:cs="仿宋_GB2312"/>
          <w:color w:val="000000"/>
          <w:sz w:val="32"/>
          <w:szCs w:val="32"/>
        </w:rPr>
        <w:t>执行情况良好，无不良记录及违规违纪行为，</w:t>
      </w:r>
      <w:r>
        <w:rPr>
          <w:rFonts w:hint="eastAsia" w:ascii="仿宋" w:hAnsi="仿宋" w:eastAsia="仿宋" w:cs="仿宋_GB2312"/>
          <w:color w:val="000000"/>
          <w:sz w:val="32"/>
          <w:szCs w:val="32"/>
        </w:rPr>
        <w:t>2019年</w:t>
      </w:r>
      <w:r>
        <w:rPr>
          <w:rFonts w:ascii="仿宋" w:hAnsi="仿宋" w:eastAsia="仿宋" w:cs="仿宋_GB2312"/>
          <w:color w:val="000000"/>
          <w:sz w:val="32"/>
          <w:szCs w:val="32"/>
        </w:rPr>
        <w:t>预算支出和决算支出情况相符</w:t>
      </w:r>
      <w:r>
        <w:rPr>
          <w:rFonts w:hint="eastAsia" w:ascii="仿宋" w:hAnsi="仿宋" w:eastAsia="仿宋" w:cs="仿宋_GB2312"/>
          <w:color w:val="000000"/>
          <w:sz w:val="32"/>
          <w:szCs w:val="32"/>
        </w:rPr>
        <w:t>。</w:t>
      </w:r>
    </w:p>
    <w:p>
      <w:pPr>
        <w:spacing w:line="560" w:lineRule="exact"/>
        <w:ind w:firstLine="643" w:firstLineChars="200"/>
        <w:rPr>
          <w:rFonts w:ascii="仿宋" w:hAnsi="仿宋" w:eastAsia="仿宋" w:cs="仿宋_GB2312"/>
          <w:color w:val="000000"/>
          <w:sz w:val="32"/>
          <w:szCs w:val="32"/>
        </w:rPr>
      </w:pPr>
      <w:r>
        <w:rPr>
          <w:rFonts w:hint="eastAsia" w:ascii="楷体" w:hAnsi="楷体" w:eastAsia="楷体" w:cs="楷体"/>
          <w:b/>
          <w:bCs/>
          <w:color w:val="000000"/>
          <w:sz w:val="32"/>
          <w:szCs w:val="32"/>
        </w:rPr>
        <w:t>存在问题：</w:t>
      </w:r>
      <w:r>
        <w:rPr>
          <w:rFonts w:hint="eastAsia" w:ascii="仿宋" w:hAnsi="仿宋" w:eastAsia="仿宋" w:cs="仿宋_GB2312"/>
          <w:color w:val="000000"/>
          <w:sz w:val="32"/>
          <w:szCs w:val="32"/>
        </w:rPr>
        <w:t>一</w:t>
      </w:r>
      <w:r>
        <w:rPr>
          <w:rFonts w:ascii="仿宋" w:hAnsi="仿宋" w:eastAsia="仿宋" w:cs="仿宋_GB2312"/>
          <w:color w:val="000000"/>
          <w:sz w:val="32"/>
          <w:szCs w:val="32"/>
        </w:rPr>
        <w:t>是部门决算上报处理效率还待提升</w:t>
      </w:r>
      <w:r>
        <w:rPr>
          <w:rFonts w:hint="eastAsia" w:ascii="仿宋" w:hAnsi="仿宋" w:eastAsia="仿宋" w:cs="仿宋_GB2312"/>
          <w:color w:val="000000"/>
          <w:sz w:val="32"/>
          <w:szCs w:val="32"/>
        </w:rPr>
        <w:t>，二是有关目标任务有待进一步完善。</w:t>
      </w:r>
    </w:p>
    <w:p>
      <w:pPr>
        <w:widowControl/>
        <w:shd w:val="clear" w:color="auto" w:fill="FFFFFF"/>
        <w:spacing w:line="540" w:lineRule="atLeast"/>
        <w:ind w:firstLine="720"/>
        <w:jc w:val="left"/>
        <w:rPr>
          <w:rFonts w:ascii="仿宋_GB2312" w:hAnsi="仿宋_GB2312" w:eastAsia="仿宋_GB2312" w:cs="仿宋_GB2312"/>
          <w:color w:val="000000"/>
          <w:sz w:val="32"/>
          <w:szCs w:val="32"/>
        </w:rPr>
      </w:pPr>
      <w:r>
        <w:rPr>
          <w:rFonts w:hint="eastAsia" w:ascii="仿宋_GB2312" w:hAnsi="宋体" w:eastAsia="仿宋_GB2312" w:cs="宋体"/>
          <w:color w:val="000000"/>
          <w:kern w:val="0"/>
          <w:sz w:val="32"/>
          <w:szCs w:val="32"/>
          <w:shd w:val="clear" w:color="auto" w:fill="FFFFFF"/>
          <w:lang w:val="zh-CN"/>
        </w:rPr>
        <w:t>改进建议：</w:t>
      </w:r>
      <w:r>
        <w:rPr>
          <w:rFonts w:ascii="仿宋" w:hAnsi="仿宋" w:eastAsia="仿宋" w:cs="仿宋_GB2312"/>
          <w:color w:val="000000"/>
          <w:sz w:val="32"/>
          <w:szCs w:val="32"/>
        </w:rPr>
        <w:t>加快完善相应制度建设和账务处理。</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spacing w:line="560" w:lineRule="exact"/>
        <w:ind w:firstLine="640" w:firstLineChars="200"/>
        <w:rPr>
          <w:rFonts w:ascii="仿宋" w:hAnsi="仿宋" w:eastAsia="仿宋" w:cs="仿宋_GB2312"/>
          <w:color w:val="000000"/>
          <w:sz w:val="32"/>
          <w:szCs w:val="32"/>
        </w:rPr>
      </w:pPr>
      <w:r>
        <w:rPr>
          <w:rFonts w:hint="eastAsia" w:ascii="仿宋_GB2312" w:hAnsi="宋体" w:eastAsia="仿宋_GB2312" w:cs="宋体"/>
          <w:color w:val="000000"/>
          <w:kern w:val="0"/>
          <w:sz w:val="32"/>
          <w:szCs w:val="32"/>
          <w:shd w:val="clear" w:color="auto" w:fill="FFFFFF"/>
          <w:lang w:val="zh-CN"/>
        </w:rPr>
        <w:t>1、绩效自评。</w:t>
      </w:r>
      <w:r>
        <w:rPr>
          <w:rFonts w:hint="eastAsia" w:ascii="仿宋" w:hAnsi="仿宋" w:eastAsia="仿宋" w:cs="仿宋_GB2312"/>
          <w:color w:val="000000"/>
          <w:sz w:val="32"/>
          <w:szCs w:val="32"/>
        </w:rPr>
        <w:t>公开加强我单位预算绩效管理，不断提高财政资金配置和使用效益，经单位研究决定，成立绩效管理自评小组，以绩效考核的各项文件精神为指导，以整体绩效支出为内容，对各项支出的质量指标，数量指标，对指标内容进行一一的评价考核打分，根据预算绩效管理要求，本部门在年初预算编制阶段，组织对我单位开展了预算事前绩效评估，年终执行完毕后，开展了绩效目标完成情况梳理填报。并按照要求对2019年部门整体支出开展绩效自评，从评价情况来看，自评得分 87分。</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宋体" w:eastAsia="仿宋_GB2312" w:cs="宋体"/>
          <w:color w:val="000000"/>
          <w:kern w:val="0"/>
          <w:sz w:val="32"/>
          <w:szCs w:val="32"/>
          <w:shd w:val="clear" w:color="auto" w:fill="FFFFFF"/>
          <w:lang w:val="zh-CN"/>
        </w:rPr>
        <w:t>2、评价结果整改</w:t>
      </w:r>
      <w:r>
        <w:rPr>
          <w:rFonts w:hint="eastAsia" w:ascii="仿宋" w:hAnsi="仿宋" w:eastAsia="仿宋" w:cs="仿宋_GB2312"/>
          <w:color w:val="000000"/>
          <w:sz w:val="32"/>
          <w:szCs w:val="32"/>
        </w:rPr>
        <w:t>。存在的问题：一是有关目标任务有待进一步完善，二是机制有待进一步完善。下一步改进措施：一是加强学习，二是进一步规范部分不健全机制。</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shd w:val="clear" w:color="auto" w:fill="FFFFFF"/>
        <w:spacing w:after="240"/>
        <w:ind w:firstLine="640" w:firstLineChars="200"/>
        <w:jc w:val="left"/>
        <w:rPr>
          <w:rFonts w:ascii="仿宋" w:hAnsi="仿宋" w:eastAsia="仿宋" w:cs="仿宋_GB2312"/>
          <w:color w:val="000000"/>
          <w:sz w:val="32"/>
          <w:szCs w:val="32"/>
        </w:rPr>
      </w:pPr>
      <w:r>
        <w:rPr>
          <w:rFonts w:hint="eastAsia" w:ascii="仿宋" w:hAnsi="仿宋" w:eastAsia="仿宋" w:cs="仿宋_GB2312"/>
          <w:color w:val="000000"/>
          <w:sz w:val="32"/>
          <w:szCs w:val="32"/>
        </w:rPr>
        <w:t>我单位切实做到财务管理健全规范，没有发生违法违规现象，我单位将在以后的工作中加强专项资金的管理使用，严格控制专项资金的开支，提高经费的使用效率。</w:t>
      </w:r>
    </w:p>
    <w:p>
      <w:pPr>
        <w:widowControl/>
        <w:shd w:val="clear" w:color="auto" w:fill="FFFFFF"/>
        <w:spacing w:after="240"/>
        <w:jc w:val="left"/>
        <w:rPr>
          <w:rFonts w:ascii="仿宋" w:hAnsi="仿宋" w:eastAsia="仿宋" w:cs="仿宋_GB2312"/>
          <w:color w:val="000000"/>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红原县科学技术协会2019年</w:t>
      </w:r>
      <w:r>
        <w:rPr>
          <w:rFonts w:hint="eastAsia" w:ascii="方正小标宋简体" w:hAnsi="宋体" w:eastAsia="方正小标宋简体"/>
          <w:color w:val="000000"/>
          <w:kern w:val="0"/>
          <w:sz w:val="44"/>
          <w:szCs w:val="44"/>
          <w:lang w:val="zh-CN"/>
        </w:rPr>
        <w:t>绩效评价报告</w:t>
      </w: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1．说明项目主管部门（单位）在该项目管理中的职能。</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640" w:firstLineChars="200"/>
        <w:jc w:val="left"/>
        <w:rPr>
          <w:rFonts w:ascii="仿宋" w:hAnsi="仿宋" w:eastAsia="仿宋"/>
          <w:sz w:val="32"/>
          <w:szCs w:val="32"/>
        </w:rPr>
      </w:pPr>
      <w:r>
        <w:rPr>
          <w:rFonts w:hint="eastAsia" w:ascii="仿宋" w:hAnsi="仿宋" w:eastAsia="仿宋"/>
          <w:sz w:val="32"/>
          <w:szCs w:val="32"/>
        </w:rPr>
        <w:t>科协是科普工作的主要社会力量，在公民科学素质建设 中发挥着牵头引领作用。多年以来，红原县科协积极履行科 普职责，丰富科普内容，创新科普手段，广泛开展群众性、社 会性、经常性科普活动，打造了基层科普行动计划等品牌科普活动，树立了科协组织鲜明的社会形象。</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2．项目立项、资金申报的依据。</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640" w:firstLineChars="200"/>
        <w:jc w:val="left"/>
        <w:rPr>
          <w:rFonts w:ascii="仿宋" w:hAnsi="仿宋" w:eastAsia="仿宋"/>
          <w:sz w:val="32"/>
          <w:szCs w:val="32"/>
        </w:rPr>
      </w:pPr>
      <w:r>
        <w:rPr>
          <w:rFonts w:hint="eastAsia" w:ascii="仿宋" w:hAnsi="仿宋" w:eastAsia="仿宋"/>
          <w:sz w:val="32"/>
          <w:szCs w:val="32"/>
        </w:rPr>
        <w:t>县科协科普项目立项与资金申报依据主要来自党中央、国务院和省委、省政府决策部署；符合当前经济社会发展需要。</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3．资金管理办法制定情况，资金支持具体项目的条件。</w:t>
      </w:r>
    </w:p>
    <w:p>
      <w:pPr>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县科协落实管理办法任务，加强项目资金管理，接受上级主管部门检查和监督，加快了信息化建设，逐步实现了本单位资金管理，进一步提高了项目投资效益；资金支持项目条件：单位合理界定项目投资范围,集中财力保证重点项目发展，组织实施项目,"自管,自理,"规范项目资金管理从立项做起,项目资金安排要坚持"有所为，有所不为"和"集中财力办大事"的分配原则,充分发挥市场配置资源在投资领域中的基础作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4．资金分配的原则及考虑因素。</w:t>
      </w:r>
    </w:p>
    <w:p>
      <w:pPr>
        <w:ind w:firstLine="640" w:firstLineChars="200"/>
        <w:rPr>
          <w:rFonts w:ascii="仿宋" w:hAnsi="仿宋" w:eastAsia="仿宋"/>
          <w:sz w:val="32"/>
          <w:szCs w:val="32"/>
        </w:rPr>
      </w:pPr>
      <w:r>
        <w:rPr>
          <w:rFonts w:hint="eastAsia" w:ascii="仿宋" w:hAnsi="仿宋" w:eastAsia="仿宋"/>
          <w:sz w:val="32"/>
          <w:szCs w:val="32"/>
        </w:rPr>
        <w:t>资金分配原则及考虑因素：改革分配方式。要围绕使“市场在资源配置中起决定性作用”深化财政专项资金分配改革，推行竞争性分配；规范分配管理。财政专项资金的竞争性分配，应坚持“两不变”，即：坚持不改变主管部门对财政专项资金项目的管理职能和主体责任；不改变主管部门对财政专项资金项目的分配权、管理权。突出“五个强化”，即：强化主管部门对财政专项资金项目监督管理主体职能作用；强化财政部门对财政专项资金的监督管理主体职能作用；强化纪检监察等部门对财政专项资金项目申报、评审、实施等过程监管；强化财政专项资金审计监督；强化财政专项资金项目的社会监督。</w:t>
      </w:r>
    </w:p>
    <w:p>
      <w:pPr>
        <w:ind w:firstLine="640" w:firstLineChars="200"/>
        <w:rPr>
          <w:rFonts w:ascii="仿宋" w:hAnsi="仿宋" w:eastAsia="仿宋"/>
          <w:sz w:val="32"/>
          <w:szCs w:val="32"/>
        </w:rPr>
      </w:pPr>
      <w:r>
        <w:rPr>
          <w:rFonts w:hint="eastAsia" w:ascii="仿宋" w:hAnsi="仿宋" w:eastAsia="仿宋"/>
          <w:sz w:val="32"/>
          <w:szCs w:val="32"/>
        </w:rPr>
        <w:t>考虑因素：</w:t>
      </w:r>
      <w:r>
        <w:rPr>
          <w:rFonts w:ascii="仿宋" w:hAnsi="仿宋" w:eastAsia="仿宋"/>
          <w:sz w:val="32"/>
          <w:szCs w:val="32"/>
        </w:rPr>
        <w:t>与项目的实施进度以及验收情况挂钩，对工程质量不符合要求的，要暂缓支付并要求中标单位整改。</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r>
        <w:rPr>
          <w:rFonts w:hint="eastAsia" w:ascii="仿宋" w:hAnsi="仿宋" w:eastAsia="仿宋" w:cs="仿宋_GB2312"/>
          <w:sz w:val="32"/>
          <w:szCs w:val="32"/>
        </w:rPr>
        <w:t>专项资金项目“科普活动”支出，开展科普培训、实用技术推广站栏建设支出第一期</w:t>
      </w:r>
      <w:r>
        <w:rPr>
          <w:rFonts w:ascii="仿宋" w:hAnsi="仿宋" w:eastAsia="仿宋" w:cs="仿宋_GB2312"/>
          <w:sz w:val="32"/>
          <w:szCs w:val="32"/>
        </w:rPr>
        <w:t>10</w:t>
      </w:r>
      <w:r>
        <w:rPr>
          <w:rFonts w:hint="eastAsia" w:ascii="仿宋" w:hAnsi="仿宋" w:eastAsia="仿宋" w:cs="仿宋_GB2312"/>
          <w:sz w:val="32"/>
          <w:szCs w:val="32"/>
        </w:rPr>
        <w:t>万元、“科普活动”支出，开展科普培训、实用技术推广站栏建设支出第二期1</w:t>
      </w:r>
      <w:r>
        <w:rPr>
          <w:rFonts w:ascii="仿宋" w:hAnsi="仿宋" w:eastAsia="仿宋" w:cs="仿宋_GB2312"/>
          <w:sz w:val="32"/>
          <w:szCs w:val="32"/>
        </w:rPr>
        <w:t>0</w:t>
      </w:r>
      <w:r>
        <w:rPr>
          <w:rFonts w:hint="eastAsia" w:ascii="仿宋" w:hAnsi="仿宋" w:eastAsia="仿宋" w:cs="仿宋_GB2312"/>
          <w:sz w:val="32"/>
          <w:szCs w:val="32"/>
        </w:rPr>
        <w:t>万元“其他科学技术普及支出科协专用设备支出1</w:t>
      </w:r>
      <w:r>
        <w:rPr>
          <w:rFonts w:ascii="仿宋" w:hAnsi="仿宋" w:eastAsia="仿宋" w:cs="仿宋_GB2312"/>
          <w:sz w:val="32"/>
          <w:szCs w:val="32"/>
        </w:rPr>
        <w:t>0</w:t>
      </w:r>
      <w:r>
        <w:rPr>
          <w:rFonts w:hint="eastAsia" w:ascii="仿宋" w:hAnsi="仿宋" w:eastAsia="仿宋" w:cs="仿宋_GB2312"/>
          <w:sz w:val="32"/>
          <w:szCs w:val="32"/>
        </w:rPr>
        <w:t>万元”。</w:t>
      </w:r>
    </w:p>
    <w:p>
      <w:pPr>
        <w:pStyle w:val="13"/>
        <w:widowControl/>
        <w:spacing w:before="0" w:beforeAutospacing="0" w:after="0" w:afterAutospacing="0" w:line="528" w:lineRule="atLeast"/>
        <w:ind w:firstLine="640" w:firstLineChars="200"/>
        <w:rPr>
          <w:rFonts w:ascii="仿宋" w:hAnsi="仿宋" w:eastAsia="仿宋"/>
          <w:bCs/>
          <w:color w:val="000000"/>
          <w:sz w:val="32"/>
          <w:szCs w:val="32"/>
        </w:rPr>
      </w:pPr>
      <w:r>
        <w:rPr>
          <w:rFonts w:hint="eastAsia" w:ascii="仿宋_GB2312" w:hAnsi="宋体" w:eastAsia="仿宋_GB2312"/>
          <w:sz w:val="32"/>
          <w:szCs w:val="32"/>
          <w:lang w:val="zh-CN"/>
        </w:rPr>
        <w:t>2．项目应实现的具体绩效目标，包括目标的量化、细化情况以及项目实施进度计划等。</w:t>
      </w:r>
      <w:r>
        <w:rPr>
          <w:rFonts w:hint="eastAsia" w:ascii="仿宋" w:hAnsi="仿宋" w:eastAsia="仿宋" w:cs="仿宋_GB2312"/>
          <w:sz w:val="32"/>
          <w:szCs w:val="32"/>
        </w:rPr>
        <w:t>按照</w:t>
      </w:r>
      <w:r>
        <w:rPr>
          <w:rFonts w:ascii="仿宋" w:hAnsi="仿宋" w:eastAsia="仿宋" w:cs="仿宋_GB2312"/>
          <w:sz w:val="32"/>
          <w:szCs w:val="32"/>
        </w:rPr>
        <w:t>文件要求，</w:t>
      </w:r>
      <w:r>
        <w:rPr>
          <w:rFonts w:hint="eastAsia" w:ascii="仿宋" w:hAnsi="仿宋" w:eastAsia="仿宋" w:cs="仿宋_GB2312"/>
          <w:sz w:val="32"/>
          <w:szCs w:val="32"/>
        </w:rPr>
        <w:t>专项资金项目“科普活动”支出，开展科普培训、实用技术推广站栏建设支出第一期</w:t>
      </w:r>
      <w:r>
        <w:rPr>
          <w:rFonts w:ascii="仿宋" w:hAnsi="仿宋" w:eastAsia="仿宋" w:cs="仿宋_GB2312"/>
          <w:sz w:val="32"/>
          <w:szCs w:val="32"/>
        </w:rPr>
        <w:t>10</w:t>
      </w:r>
      <w:r>
        <w:rPr>
          <w:rFonts w:hint="eastAsia" w:ascii="仿宋" w:hAnsi="仿宋" w:eastAsia="仿宋" w:cs="仿宋_GB2312"/>
          <w:sz w:val="32"/>
          <w:szCs w:val="32"/>
        </w:rPr>
        <w:t>万元、“科普活动”支出，开展科普培训、实用技术推广站栏建设支出第二期1</w:t>
      </w:r>
      <w:r>
        <w:rPr>
          <w:rFonts w:ascii="仿宋" w:hAnsi="仿宋" w:eastAsia="仿宋" w:cs="仿宋_GB2312"/>
          <w:sz w:val="32"/>
          <w:szCs w:val="32"/>
        </w:rPr>
        <w:t>0</w:t>
      </w:r>
      <w:r>
        <w:rPr>
          <w:rFonts w:hint="eastAsia" w:ascii="仿宋" w:hAnsi="仿宋" w:eastAsia="仿宋" w:cs="仿宋_GB2312"/>
          <w:sz w:val="32"/>
          <w:szCs w:val="32"/>
        </w:rPr>
        <w:t>万元“其他科学技术普及支出科协专用设备支出</w:t>
      </w:r>
      <w:r>
        <w:rPr>
          <w:rFonts w:ascii="仿宋" w:hAnsi="仿宋" w:eastAsia="仿宋" w:cs="仿宋_GB2312"/>
          <w:sz w:val="32"/>
          <w:szCs w:val="32"/>
        </w:rPr>
        <w:t>10</w:t>
      </w:r>
      <w:r>
        <w:rPr>
          <w:rFonts w:hint="eastAsia" w:ascii="仿宋" w:hAnsi="仿宋" w:eastAsia="仿宋" w:cs="仿宋_GB2312"/>
          <w:sz w:val="32"/>
          <w:szCs w:val="32"/>
        </w:rPr>
        <w:t>万元”三类项目是为</w:t>
      </w:r>
      <w:r>
        <w:rPr>
          <w:rFonts w:hint="eastAsia" w:ascii="仿宋" w:hAnsi="仿宋" w:eastAsia="仿宋"/>
          <w:bCs/>
          <w:color w:val="000000"/>
          <w:sz w:val="32"/>
          <w:szCs w:val="32"/>
        </w:rPr>
        <w:t>加强科技普及工作；为提高科技文化素质服务，为社会主义精神文明建设服务，进一步做好基层组织、下级组织的服务工作，实行群众办公、民主办公、加强科学协会自身体制作风改革；加强农村科普网络的建立，搞好协会的协调工作管理工作。通过开展科普活动、推进站栏的建设及科协专用设备购置，无论前期准备、中期建设、后期巩固实施，都严格按照要求开展，开展情况良好，项目发展进一步增强了科普科技工作在全县的深入推广。</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3．分析评价申报内容是否与实际相符，申报目标是否合理可行。</w:t>
      </w:r>
    </w:p>
    <w:p>
      <w:pPr>
        <w:adjustRightInd w:val="0"/>
        <w:snapToGrid w:val="0"/>
        <w:spacing w:line="600" w:lineRule="exact"/>
        <w:ind w:firstLine="720"/>
        <w:rPr>
          <w:rFonts w:ascii="仿宋_GB2312" w:hAnsi="宋体" w:eastAsia="仿宋_GB2312"/>
          <w:sz w:val="32"/>
          <w:szCs w:val="32"/>
          <w:lang w:val="zh-CN"/>
        </w:rPr>
      </w:pPr>
      <w:r>
        <w:rPr>
          <w:rFonts w:hint="eastAsia" w:ascii="仿宋" w:hAnsi="仿宋" w:eastAsia="仿宋" w:cs="仿宋_GB2312"/>
          <w:sz w:val="32"/>
          <w:szCs w:val="32"/>
        </w:rPr>
        <w:t>专项资金项目“科普活动”支出，开展科普培训、实用技术推广站栏建设支出第一期</w:t>
      </w:r>
      <w:r>
        <w:rPr>
          <w:rFonts w:ascii="仿宋" w:hAnsi="仿宋" w:eastAsia="仿宋" w:cs="仿宋_GB2312"/>
          <w:sz w:val="32"/>
          <w:szCs w:val="32"/>
        </w:rPr>
        <w:t>10</w:t>
      </w:r>
      <w:r>
        <w:rPr>
          <w:rFonts w:hint="eastAsia" w:ascii="仿宋" w:hAnsi="仿宋" w:eastAsia="仿宋" w:cs="仿宋_GB2312"/>
          <w:sz w:val="32"/>
          <w:szCs w:val="32"/>
        </w:rPr>
        <w:t>万元、“科普活动”支出，开展科普培训、实用技术推广站栏建设支出第二期1</w:t>
      </w:r>
      <w:r>
        <w:rPr>
          <w:rFonts w:ascii="仿宋" w:hAnsi="仿宋" w:eastAsia="仿宋" w:cs="仿宋_GB2312"/>
          <w:sz w:val="32"/>
          <w:szCs w:val="32"/>
        </w:rPr>
        <w:t>0</w:t>
      </w:r>
      <w:r>
        <w:rPr>
          <w:rFonts w:hint="eastAsia" w:ascii="仿宋" w:hAnsi="仿宋" w:eastAsia="仿宋" w:cs="仿宋_GB2312"/>
          <w:sz w:val="32"/>
          <w:szCs w:val="32"/>
        </w:rPr>
        <w:t>万元“其他科学技术普及支出科协专用设备支出1</w:t>
      </w:r>
      <w:r>
        <w:rPr>
          <w:rFonts w:ascii="仿宋" w:hAnsi="仿宋" w:eastAsia="仿宋" w:cs="仿宋_GB2312"/>
          <w:sz w:val="32"/>
          <w:szCs w:val="32"/>
        </w:rPr>
        <w:t>0</w:t>
      </w:r>
      <w:r>
        <w:rPr>
          <w:rFonts w:hint="eastAsia" w:ascii="仿宋" w:hAnsi="仿宋" w:eastAsia="仿宋" w:cs="仿宋_GB2312"/>
          <w:sz w:val="32"/>
          <w:szCs w:val="32"/>
        </w:rPr>
        <w:t>万元”三类项目申报与实际相符，申报目标合理可行。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shd w:val="clear" w:color="auto" w:fill="FFFFFF"/>
        <w:wordWrap w:val="0"/>
        <w:spacing w:line="560" w:lineRule="atLeast"/>
        <w:ind w:firstLine="640"/>
        <w:rPr>
          <w:color w:val="2B2B2B"/>
          <w:kern w:val="0"/>
          <w:szCs w:val="21"/>
        </w:rPr>
      </w:pPr>
      <w:r>
        <w:rPr>
          <w:rFonts w:hint="eastAsia" w:ascii="仿宋_GB2312" w:hAnsi="宋体" w:eastAsia="仿宋_GB2312"/>
          <w:sz w:val="32"/>
          <w:szCs w:val="32"/>
          <w:lang w:val="zh-CN"/>
        </w:rPr>
        <w:t>说明项目绩效自评采用的组织实施步骤及方法。</w:t>
      </w:r>
    </w:p>
    <w:p>
      <w:pPr>
        <w:widowControl/>
        <w:shd w:val="clear" w:color="auto" w:fill="FFFFFF"/>
        <w:wordWrap w:val="0"/>
        <w:spacing w:line="600" w:lineRule="atLeast"/>
        <w:ind w:firstLine="630"/>
        <w:rPr>
          <w:rFonts w:ascii="仿宋" w:hAnsi="仿宋" w:eastAsia="仿宋" w:cs="宋体"/>
          <w:color w:val="333333"/>
          <w:spacing w:val="8"/>
          <w:kern w:val="0"/>
          <w:sz w:val="32"/>
          <w:szCs w:val="32"/>
        </w:rPr>
      </w:pPr>
      <w:r>
        <w:rPr>
          <w:rFonts w:hint="eastAsia" w:ascii="仿宋" w:hAnsi="仿宋" w:eastAsia="仿宋" w:cs="宋体"/>
          <w:color w:val="333333"/>
          <w:spacing w:val="8"/>
          <w:kern w:val="0"/>
          <w:sz w:val="32"/>
          <w:szCs w:val="32"/>
        </w:rPr>
        <w:t>项目绩效评价的目的是：严格落实《预算法》及绩效管理工作的有关规定，进一步规范财政资金的管理，强化财政支出绩效理念，提升部门责任意识，为今后预算安排提供决策支持。同时增强本单位支出管理的责任，优化支出结构，保障更好地履行职责，提高资金使用效益。</w:t>
      </w:r>
    </w:p>
    <w:p>
      <w:pPr>
        <w:widowControl/>
        <w:shd w:val="clear" w:color="auto" w:fill="FFFFFF"/>
        <w:wordWrap w:val="0"/>
        <w:spacing w:line="560" w:lineRule="atLeast"/>
        <w:ind w:firstLine="640" w:firstLineChars="200"/>
        <w:rPr>
          <w:color w:val="2B2B2B"/>
          <w:kern w:val="0"/>
          <w:szCs w:val="21"/>
        </w:rPr>
      </w:pPr>
      <w:r>
        <w:rPr>
          <w:rFonts w:hint="eastAsia" w:ascii="方正楷体_GBK" w:eastAsia="方正楷体_GBK"/>
          <w:color w:val="232323"/>
          <w:kern w:val="0"/>
          <w:sz w:val="32"/>
          <w:szCs w:val="32"/>
        </w:rPr>
        <w:t>项目自评组织过程</w:t>
      </w:r>
      <w:r>
        <w:rPr>
          <w:rFonts w:hint="eastAsia" w:ascii="方正楷体_GBK" w:eastAsia="方正楷体_GBK"/>
          <w:b/>
          <w:bCs/>
          <w:color w:val="232323"/>
          <w:kern w:val="0"/>
          <w:sz w:val="32"/>
          <w:szCs w:val="32"/>
        </w:rPr>
        <w:t> </w:t>
      </w:r>
    </w:p>
    <w:p>
      <w:pPr>
        <w:widowControl/>
        <w:shd w:val="clear" w:color="auto" w:fill="FFFFFF"/>
        <w:wordWrap w:val="0"/>
        <w:spacing w:line="560" w:lineRule="atLeast"/>
        <w:ind w:firstLine="643"/>
        <w:rPr>
          <w:color w:val="2B2B2B"/>
          <w:kern w:val="0"/>
          <w:szCs w:val="21"/>
        </w:rPr>
      </w:pPr>
      <w:r>
        <w:rPr>
          <w:b/>
          <w:bCs/>
          <w:color w:val="232323"/>
          <w:kern w:val="0"/>
          <w:sz w:val="32"/>
          <w:szCs w:val="32"/>
        </w:rPr>
        <w:t>1.</w:t>
      </w:r>
      <w:r>
        <w:rPr>
          <w:rFonts w:hint="eastAsia" w:ascii="方正仿宋_GBK" w:eastAsia="方正仿宋_GBK"/>
          <w:b/>
          <w:bCs/>
          <w:color w:val="232323"/>
          <w:kern w:val="0"/>
          <w:sz w:val="32"/>
          <w:szCs w:val="32"/>
        </w:rPr>
        <w:t>前期准备</w:t>
      </w:r>
    </w:p>
    <w:p>
      <w:pPr>
        <w:widowControl/>
        <w:shd w:val="clear" w:color="auto" w:fill="FFFFFF"/>
        <w:wordWrap w:val="0"/>
        <w:spacing w:line="600" w:lineRule="atLeast"/>
        <w:ind w:firstLine="630"/>
        <w:rPr>
          <w:rFonts w:ascii="仿宋" w:hAnsi="仿宋" w:eastAsia="仿宋" w:cs="宋体"/>
          <w:color w:val="333333"/>
          <w:spacing w:val="8"/>
          <w:kern w:val="0"/>
          <w:sz w:val="32"/>
          <w:szCs w:val="32"/>
        </w:rPr>
      </w:pPr>
      <w:r>
        <w:rPr>
          <w:rFonts w:hint="eastAsia" w:ascii="仿宋" w:hAnsi="仿宋" w:eastAsia="仿宋" w:cs="宋体"/>
          <w:color w:val="333333"/>
          <w:spacing w:val="8"/>
          <w:kern w:val="0"/>
          <w:sz w:val="32"/>
          <w:szCs w:val="32"/>
        </w:rPr>
        <w:t>根据绩效评价的要求，本单位领导高度重视，成立项目自评工作领导小组，对照项目自评方案进行研究和部署，对照各实施项目的内容逐条逐项自评。通过自评发现问题，查找原因，及时纠正偏差，为下一步工作夯实基础。</w:t>
      </w:r>
    </w:p>
    <w:p>
      <w:pPr>
        <w:widowControl/>
        <w:shd w:val="clear" w:color="auto" w:fill="FFFFFF"/>
        <w:wordWrap w:val="0"/>
        <w:spacing w:line="560" w:lineRule="atLeast"/>
        <w:ind w:firstLine="643"/>
        <w:rPr>
          <w:color w:val="2B2B2B"/>
          <w:kern w:val="0"/>
          <w:szCs w:val="21"/>
        </w:rPr>
      </w:pPr>
      <w:r>
        <w:rPr>
          <w:b/>
          <w:bCs/>
          <w:color w:val="232323"/>
          <w:kern w:val="0"/>
          <w:sz w:val="32"/>
          <w:szCs w:val="32"/>
        </w:rPr>
        <w:t>2.</w:t>
      </w:r>
      <w:r>
        <w:rPr>
          <w:rFonts w:hint="eastAsia" w:ascii="方正仿宋_GBK" w:eastAsia="方正仿宋_GBK"/>
          <w:b/>
          <w:bCs/>
          <w:color w:val="232323"/>
          <w:kern w:val="0"/>
          <w:sz w:val="32"/>
          <w:szCs w:val="32"/>
        </w:rPr>
        <w:t>组织实施</w:t>
      </w:r>
    </w:p>
    <w:p>
      <w:pPr>
        <w:widowControl/>
        <w:shd w:val="clear" w:color="auto" w:fill="FFFFFF"/>
        <w:wordWrap w:val="0"/>
        <w:spacing w:line="600" w:lineRule="atLeast"/>
        <w:ind w:firstLine="630"/>
        <w:rPr>
          <w:rFonts w:ascii="仿宋" w:hAnsi="仿宋" w:eastAsia="仿宋" w:cs="宋体"/>
          <w:color w:val="333333"/>
          <w:spacing w:val="8"/>
          <w:kern w:val="0"/>
          <w:sz w:val="32"/>
          <w:szCs w:val="32"/>
        </w:rPr>
      </w:pPr>
      <w:r>
        <w:rPr>
          <w:rFonts w:hint="eastAsia" w:ascii="仿宋" w:hAnsi="仿宋" w:eastAsia="仿宋" w:cs="宋体"/>
          <w:color w:val="333333"/>
          <w:spacing w:val="8"/>
          <w:kern w:val="0"/>
          <w:sz w:val="32"/>
          <w:szCs w:val="32"/>
        </w:rPr>
        <w:t>（</w:t>
      </w:r>
      <w:r>
        <w:rPr>
          <w:rFonts w:ascii="仿宋" w:hAnsi="仿宋" w:eastAsia="仿宋" w:cs="宋体"/>
          <w:color w:val="333333"/>
          <w:spacing w:val="8"/>
          <w:kern w:val="0"/>
          <w:sz w:val="32"/>
          <w:szCs w:val="32"/>
        </w:rPr>
        <w:t>1</w:t>
      </w:r>
      <w:r>
        <w:rPr>
          <w:rFonts w:hint="eastAsia" w:ascii="仿宋" w:hAnsi="仿宋" w:eastAsia="仿宋" w:cs="宋体"/>
          <w:color w:val="333333"/>
          <w:spacing w:val="8"/>
          <w:kern w:val="0"/>
          <w:sz w:val="32"/>
          <w:szCs w:val="32"/>
        </w:rPr>
        <w:t>）召开布置会。组织召开了项目绩效自评布置会，就评价对象、评价原则、评价内容、评价目的、评价标准、工作组织、工作步骤和进度、绩效自评报告的填报等做了详细说明。</w:t>
      </w:r>
    </w:p>
    <w:p>
      <w:pPr>
        <w:widowControl/>
        <w:shd w:val="clear" w:color="auto" w:fill="FFFFFF"/>
        <w:wordWrap w:val="0"/>
        <w:spacing w:line="600" w:lineRule="atLeast"/>
        <w:ind w:firstLine="630"/>
        <w:rPr>
          <w:rFonts w:ascii="仿宋" w:hAnsi="仿宋" w:eastAsia="仿宋" w:cs="宋体"/>
          <w:color w:val="333333"/>
          <w:spacing w:val="8"/>
          <w:kern w:val="0"/>
          <w:sz w:val="32"/>
          <w:szCs w:val="32"/>
        </w:rPr>
      </w:pPr>
      <w:r>
        <w:rPr>
          <w:rFonts w:hint="eastAsia" w:ascii="仿宋" w:hAnsi="仿宋" w:eastAsia="仿宋" w:cs="宋体"/>
          <w:color w:val="333333"/>
          <w:spacing w:val="8"/>
          <w:kern w:val="0"/>
          <w:sz w:val="32"/>
          <w:szCs w:val="32"/>
        </w:rPr>
        <w:t>（</w:t>
      </w:r>
      <w:r>
        <w:rPr>
          <w:rFonts w:ascii="仿宋" w:hAnsi="仿宋" w:eastAsia="仿宋" w:cs="宋体"/>
          <w:color w:val="333333"/>
          <w:spacing w:val="8"/>
          <w:kern w:val="0"/>
          <w:sz w:val="32"/>
          <w:szCs w:val="32"/>
        </w:rPr>
        <w:t>2</w:t>
      </w:r>
      <w:r>
        <w:rPr>
          <w:rFonts w:hint="eastAsia" w:ascii="仿宋" w:hAnsi="仿宋" w:eastAsia="仿宋" w:cs="宋体"/>
          <w:color w:val="333333"/>
          <w:spacing w:val="8"/>
          <w:kern w:val="0"/>
          <w:sz w:val="32"/>
          <w:szCs w:val="32"/>
        </w:rPr>
        <w:t>）确认绩效指标。结合项目绩效预算中所提出的指标，制定细化绩效自评指标。</w:t>
      </w:r>
    </w:p>
    <w:p>
      <w:pPr>
        <w:widowControl/>
        <w:shd w:val="clear" w:color="auto" w:fill="FFFFFF"/>
        <w:wordWrap w:val="0"/>
        <w:spacing w:line="600" w:lineRule="atLeast"/>
        <w:ind w:firstLine="630"/>
        <w:rPr>
          <w:rFonts w:ascii="仿宋" w:hAnsi="仿宋" w:eastAsia="仿宋" w:cs="宋体"/>
          <w:color w:val="333333"/>
          <w:spacing w:val="8"/>
          <w:kern w:val="0"/>
          <w:sz w:val="32"/>
          <w:szCs w:val="32"/>
        </w:rPr>
      </w:pPr>
      <w:r>
        <w:rPr>
          <w:rFonts w:hint="eastAsia" w:ascii="仿宋" w:hAnsi="仿宋" w:eastAsia="仿宋" w:cs="宋体"/>
          <w:color w:val="333333"/>
          <w:spacing w:val="8"/>
          <w:kern w:val="0"/>
          <w:sz w:val="32"/>
          <w:szCs w:val="32"/>
        </w:rPr>
        <w:t>（</w:t>
      </w:r>
      <w:r>
        <w:rPr>
          <w:rFonts w:ascii="仿宋" w:hAnsi="仿宋" w:eastAsia="仿宋" w:cs="宋体"/>
          <w:color w:val="333333"/>
          <w:spacing w:val="8"/>
          <w:kern w:val="0"/>
          <w:sz w:val="32"/>
          <w:szCs w:val="32"/>
        </w:rPr>
        <w:t>3</w:t>
      </w:r>
      <w:r>
        <w:rPr>
          <w:rFonts w:hint="eastAsia" w:ascii="仿宋" w:hAnsi="仿宋" w:eastAsia="仿宋" w:cs="宋体"/>
          <w:color w:val="333333"/>
          <w:spacing w:val="8"/>
          <w:kern w:val="0"/>
          <w:sz w:val="32"/>
          <w:szCs w:val="32"/>
        </w:rPr>
        <w:t>）部门整体支出绩效自评。组织开展部门整体支出绩效自评工作。</w:t>
      </w:r>
    </w:p>
    <w:p>
      <w:pPr>
        <w:pStyle w:val="13"/>
        <w:shd w:val="clear" w:color="auto" w:fill="FFFFFF"/>
        <w:spacing w:before="93" w:beforeAutospacing="0" w:after="240" w:afterAutospacing="0"/>
        <w:jc w:val="both"/>
        <w:rPr>
          <w:rFonts w:ascii="微软雅黑" w:hAnsi="微软雅黑" w:eastAsia="微软雅黑" w:cs="宋体"/>
          <w:color w:val="333333"/>
          <w:spacing w:val="8"/>
        </w:rPr>
      </w:pPr>
    </w:p>
    <w:p>
      <w:pPr>
        <w:widowControl/>
        <w:shd w:val="clear" w:color="auto" w:fill="FFFFFF"/>
        <w:spacing w:after="240"/>
        <w:jc w:val="left"/>
        <w:rPr>
          <w:rFonts w:ascii="方正仿宋_GBK" w:eastAsia="方正仿宋_GBK"/>
          <w:b/>
          <w:bCs/>
          <w:color w:val="232323"/>
          <w:kern w:val="0"/>
          <w:sz w:val="32"/>
          <w:szCs w:val="32"/>
        </w:rPr>
      </w:pPr>
      <w:r>
        <w:rPr>
          <w:rFonts w:hint="eastAsia" w:ascii="方正仿宋_GBK" w:eastAsia="方正仿宋_GBK"/>
          <w:b/>
          <w:bCs/>
          <w:color w:val="232323"/>
          <w:kern w:val="0"/>
          <w:sz w:val="32"/>
          <w:szCs w:val="32"/>
        </w:rPr>
        <w:t>三、综合评价结论</w:t>
      </w:r>
    </w:p>
    <w:p>
      <w:pPr>
        <w:pStyle w:val="13"/>
        <w:shd w:val="clear" w:color="auto" w:fill="FFFFFF"/>
        <w:spacing w:before="93" w:beforeAutospacing="0" w:after="360" w:afterAutospacing="0"/>
        <w:ind w:firstLine="672" w:firstLineChars="200"/>
        <w:rPr>
          <w:rFonts w:ascii="仿宋" w:hAnsi="仿宋" w:eastAsia="仿宋" w:cs="宋体"/>
          <w:color w:val="333333"/>
          <w:spacing w:val="8"/>
          <w:sz w:val="32"/>
          <w:szCs w:val="32"/>
        </w:rPr>
      </w:pPr>
      <w:r>
        <w:rPr>
          <w:rFonts w:hint="eastAsia" w:ascii="仿宋" w:hAnsi="仿宋" w:eastAsia="仿宋" w:cs="宋体"/>
          <w:color w:val="333333"/>
          <w:spacing w:val="8"/>
          <w:sz w:val="32"/>
          <w:szCs w:val="32"/>
        </w:rPr>
        <w:t>在县政府的大力支持下，科技项目工作的实施产生了较好的社会效益，充分说明地方党委和政府高度重视科技创新，支持科协发展，让广大群众、广大青少年近距离体验到科技产品，增强了科技意识和科学素养，项目满意度100%。</w:t>
      </w:r>
    </w:p>
    <w:p>
      <w:pPr>
        <w:pStyle w:val="13"/>
        <w:shd w:val="clear" w:color="auto" w:fill="FFFFFF"/>
        <w:spacing w:before="93" w:beforeAutospacing="0" w:after="360" w:afterAutospacing="0"/>
        <w:ind w:firstLine="672" w:firstLineChars="200"/>
        <w:rPr>
          <w:rFonts w:ascii="微软雅黑" w:hAnsi="微软雅黑" w:eastAsia="微软雅黑" w:cs="宋体"/>
          <w:color w:val="333333"/>
        </w:rPr>
      </w:pPr>
      <w:r>
        <w:rPr>
          <w:rFonts w:hint="eastAsia" w:ascii="仿宋" w:hAnsi="仿宋" w:eastAsia="仿宋" w:cs="宋体"/>
          <w:color w:val="333333"/>
          <w:spacing w:val="8"/>
          <w:sz w:val="32"/>
          <w:szCs w:val="32"/>
        </w:rPr>
        <w:t>组织2019年项目支出绩效评价工作中，加强了执行中的绩效监控、确保绩效目标实现。绩效评价结果作为下一年度安排项目预算的重要依据，绩效评价结果较好的单位项目优先考虑和重点支持，绩效评价结果较差的单位项目相应减少预算直至取消预算安排。绩效评价结果在一定范围内进行信息公开，严格实行绩效问责制度，提高财政资金使用的公开性和透明度。</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widowControl/>
        <w:shd w:val="clear" w:color="auto" w:fill="FFFFFF"/>
        <w:ind w:firstLine="672" w:firstLineChars="200"/>
        <w:jc w:val="left"/>
        <w:rPr>
          <w:rFonts w:ascii="仿宋" w:hAnsi="仿宋" w:eastAsia="仿宋" w:cs="宋体"/>
          <w:color w:val="333333"/>
          <w:spacing w:val="8"/>
          <w:kern w:val="0"/>
          <w:sz w:val="32"/>
          <w:szCs w:val="32"/>
        </w:rPr>
      </w:pPr>
      <w:r>
        <w:rPr>
          <w:rFonts w:hint="eastAsia" w:ascii="仿宋" w:hAnsi="仿宋" w:eastAsia="仿宋" w:cs="宋体"/>
          <w:color w:val="333333"/>
          <w:spacing w:val="8"/>
          <w:kern w:val="0"/>
          <w:sz w:val="32"/>
          <w:szCs w:val="32"/>
        </w:rPr>
        <w:t>说明项目资金申报、批复及预算调整等程序的相关情况。项目资金2019年申报、批复金额30万元，无预算调整。</w:t>
      </w:r>
    </w:p>
    <w:p>
      <w:pPr>
        <w:widowControl/>
        <w:shd w:val="clear" w:color="auto" w:fill="FFFFFF"/>
        <w:ind w:firstLine="640"/>
        <w:jc w:val="left"/>
        <w:rPr>
          <w:rFonts w:ascii="仿宋" w:hAnsi="仿宋" w:eastAsia="仿宋" w:cs="宋体"/>
          <w:color w:val="333333"/>
          <w:spacing w:val="8"/>
          <w:kern w:val="0"/>
          <w:sz w:val="32"/>
          <w:szCs w:val="32"/>
        </w:rPr>
      </w:pPr>
      <w:r>
        <w:rPr>
          <w:rFonts w:hint="eastAsia" w:ascii="仿宋" w:hAnsi="仿宋" w:eastAsia="仿宋" w:cs="宋体"/>
          <w:color w:val="333333"/>
          <w:spacing w:val="8"/>
          <w:kern w:val="0"/>
          <w:sz w:val="32"/>
          <w:szCs w:val="32"/>
        </w:rPr>
        <w:t>（二）资金计划、到位及使用情况</w:t>
      </w:r>
    </w:p>
    <w:p>
      <w:pPr>
        <w:widowControl/>
        <w:shd w:val="clear" w:color="auto" w:fill="FFFFFF"/>
        <w:ind w:firstLine="720"/>
        <w:jc w:val="left"/>
        <w:rPr>
          <w:rFonts w:ascii="仿宋" w:hAnsi="仿宋" w:eastAsia="仿宋" w:cs="宋体"/>
          <w:color w:val="333333"/>
          <w:spacing w:val="8"/>
          <w:kern w:val="0"/>
          <w:sz w:val="32"/>
          <w:szCs w:val="32"/>
        </w:rPr>
      </w:pPr>
      <w:r>
        <w:rPr>
          <w:rFonts w:hint="eastAsia" w:ascii="仿宋" w:hAnsi="仿宋" w:eastAsia="仿宋" w:cs="宋体"/>
          <w:color w:val="333333"/>
          <w:spacing w:val="8"/>
          <w:kern w:val="0"/>
          <w:sz w:val="32"/>
          <w:szCs w:val="32"/>
        </w:rPr>
        <w:t>1．资金计划。县财政资金安排，财政根据单位资金需求，安排下达资金计划，单位申报，财政审批。</w:t>
      </w:r>
    </w:p>
    <w:p>
      <w:pPr>
        <w:widowControl/>
        <w:shd w:val="clear" w:color="auto" w:fill="FFFFFF"/>
        <w:ind w:firstLine="720"/>
        <w:jc w:val="left"/>
        <w:rPr>
          <w:rFonts w:ascii="仿宋" w:hAnsi="仿宋" w:eastAsia="仿宋" w:cs="宋体"/>
          <w:color w:val="333333"/>
          <w:spacing w:val="8"/>
          <w:kern w:val="0"/>
          <w:sz w:val="32"/>
          <w:szCs w:val="32"/>
        </w:rPr>
      </w:pPr>
      <w:r>
        <w:rPr>
          <w:rFonts w:hint="eastAsia" w:ascii="仿宋" w:hAnsi="仿宋" w:eastAsia="仿宋" w:cs="宋体"/>
          <w:color w:val="333333"/>
          <w:spacing w:val="8"/>
          <w:kern w:val="0"/>
          <w:sz w:val="32"/>
          <w:szCs w:val="32"/>
        </w:rPr>
        <w:t>2．资金到位。资金到位及时，支付准时。</w:t>
      </w:r>
    </w:p>
    <w:p>
      <w:pPr>
        <w:widowControl/>
        <w:shd w:val="clear" w:color="auto" w:fill="FFFFFF"/>
        <w:ind w:firstLine="720"/>
        <w:jc w:val="left"/>
        <w:rPr>
          <w:rFonts w:ascii="仿宋" w:hAnsi="仿宋" w:eastAsia="仿宋" w:cs="宋体"/>
          <w:color w:val="333333"/>
          <w:spacing w:val="8"/>
          <w:kern w:val="0"/>
          <w:sz w:val="32"/>
          <w:szCs w:val="32"/>
        </w:rPr>
      </w:pPr>
      <w:r>
        <w:rPr>
          <w:rFonts w:hint="eastAsia" w:ascii="仿宋" w:hAnsi="仿宋" w:eastAsia="仿宋" w:cs="宋体"/>
          <w:color w:val="333333"/>
          <w:spacing w:val="8"/>
          <w:kern w:val="0"/>
          <w:sz w:val="32"/>
          <w:szCs w:val="32"/>
        </w:rPr>
        <w:t>3．资金使用。资金支付范围主要是测绘费、资料费、租车费、宣传培训费、差旅费等。支付标准按照合同、相关文件执行，支付依据合规合法、与预算相符。</w:t>
      </w:r>
    </w:p>
    <w:p>
      <w:pPr>
        <w:widowControl/>
        <w:shd w:val="clear" w:color="auto" w:fill="FFFFFF"/>
        <w:ind w:firstLine="640"/>
        <w:jc w:val="left"/>
        <w:rPr>
          <w:rFonts w:ascii="仿宋" w:hAnsi="仿宋" w:eastAsia="仿宋" w:cs="宋体"/>
          <w:color w:val="333333"/>
          <w:spacing w:val="8"/>
          <w:kern w:val="0"/>
          <w:sz w:val="32"/>
          <w:szCs w:val="32"/>
        </w:rPr>
      </w:pPr>
      <w:r>
        <w:rPr>
          <w:rFonts w:hint="eastAsia" w:ascii="仿宋" w:hAnsi="仿宋" w:eastAsia="仿宋" w:cs="宋体"/>
          <w:color w:val="333333"/>
          <w:spacing w:val="8"/>
          <w:kern w:val="0"/>
          <w:sz w:val="32"/>
          <w:szCs w:val="32"/>
        </w:rPr>
        <w:t>（三）项目财务管理情况</w:t>
      </w:r>
    </w:p>
    <w:p>
      <w:pPr>
        <w:widowControl/>
        <w:shd w:val="clear" w:color="auto" w:fill="FFFFFF"/>
        <w:ind w:firstLine="720"/>
        <w:jc w:val="left"/>
        <w:rPr>
          <w:rFonts w:ascii="仿宋" w:hAnsi="仿宋" w:eastAsia="仿宋" w:cs="宋体"/>
          <w:color w:val="333333"/>
          <w:spacing w:val="8"/>
          <w:kern w:val="0"/>
          <w:sz w:val="32"/>
          <w:szCs w:val="32"/>
        </w:rPr>
      </w:pPr>
      <w:r>
        <w:rPr>
          <w:rFonts w:hint="eastAsia" w:ascii="仿宋" w:hAnsi="仿宋" w:eastAsia="仿宋" w:cs="宋体"/>
          <w:color w:val="333333"/>
          <w:spacing w:val="8"/>
          <w:kern w:val="0"/>
          <w:sz w:val="32"/>
          <w:szCs w:val="32"/>
        </w:rPr>
        <w:t>项目实施单位财务管理制度健全，严格执行红原县行政事业单位财务管理制度，账务处理及时，会计核算按照预算资金性质、功能分类等，规范处理。</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（二）资金计划、到位及使用情况（可用表格形式反映）。</w:t>
      </w:r>
    </w:p>
    <w:p>
      <w:pPr>
        <w:adjustRightInd w:val="0"/>
        <w:snapToGrid w:val="0"/>
        <w:spacing w:line="600" w:lineRule="exact"/>
        <w:ind w:firstLine="720"/>
        <w:rPr>
          <w:rFonts w:ascii="仿宋" w:hAnsi="仿宋" w:eastAsia="仿宋"/>
          <w:color w:val="000000"/>
          <w:sz w:val="32"/>
          <w:szCs w:val="32"/>
        </w:rPr>
      </w:pPr>
      <w:r>
        <w:rPr>
          <w:rFonts w:ascii="Calibri" w:hAnsi="Calibri" w:eastAsia="仿宋" w:cs="Calibri"/>
          <w:color w:val="000000"/>
          <w:sz w:val="32"/>
          <w:szCs w:val="32"/>
        </w:rPr>
        <w:t>  </w:t>
      </w:r>
      <w:r>
        <w:rPr>
          <w:rFonts w:hint="eastAsia" w:ascii="仿宋" w:hAnsi="仿宋" w:eastAsia="仿宋"/>
          <w:color w:val="000000"/>
          <w:sz w:val="32"/>
          <w:szCs w:val="32"/>
        </w:rPr>
        <w:t xml:space="preserve"> 1．资金计划。2019年县科协专项经费30万元，比2017年减少43％。</w:t>
      </w:r>
      <w:r>
        <w:rPr>
          <w:rFonts w:hint="eastAsia" w:ascii="仿宋" w:hAnsi="仿宋" w:eastAsia="仿宋"/>
          <w:color w:val="000000"/>
          <w:sz w:val="32"/>
          <w:szCs w:val="32"/>
        </w:rPr>
        <w:br w:type="textWrapping"/>
      </w:r>
      <w:r>
        <w:rPr>
          <w:rFonts w:ascii="Calibri" w:hAnsi="Calibri" w:eastAsia="仿宋" w:cs="Calibri"/>
          <w:color w:val="000000"/>
          <w:sz w:val="32"/>
          <w:szCs w:val="32"/>
        </w:rPr>
        <w:t>      </w:t>
      </w:r>
      <w:r>
        <w:rPr>
          <w:rFonts w:hint="eastAsia" w:ascii="仿宋" w:hAnsi="仿宋" w:eastAsia="仿宋"/>
          <w:color w:val="000000"/>
          <w:sz w:val="32"/>
          <w:szCs w:val="32"/>
        </w:rPr>
        <w:t xml:space="preserve"> 2．资金到位。2019年县级科协专项经费30万元，比2017年减少43％。</w:t>
      </w:r>
      <w:r>
        <w:rPr>
          <w:rFonts w:hint="eastAsia" w:ascii="仿宋" w:hAnsi="仿宋" w:eastAsia="仿宋"/>
          <w:color w:val="000000"/>
          <w:sz w:val="32"/>
          <w:szCs w:val="32"/>
        </w:rPr>
        <w:br w:type="textWrapping"/>
      </w:r>
      <w:r>
        <w:rPr>
          <w:rFonts w:ascii="Calibri" w:hAnsi="Calibri" w:eastAsia="仿宋" w:cs="Calibri"/>
          <w:color w:val="000000"/>
          <w:sz w:val="32"/>
          <w:szCs w:val="32"/>
        </w:rPr>
        <w:t>      </w:t>
      </w:r>
      <w:r>
        <w:rPr>
          <w:rFonts w:hint="eastAsia" w:ascii="仿宋" w:hAnsi="仿宋" w:eastAsia="仿宋"/>
          <w:color w:val="000000"/>
          <w:sz w:val="32"/>
          <w:szCs w:val="32"/>
        </w:rPr>
        <w:t xml:space="preserve"> 3．资金使用。截止2019年12月16日，按照相关文件要求，在认真检查验收的基础上，支付项目资金30万元，资金开支范围、标准符合方案要求，支付进度达到100％以上，支付依据合规合法，资金支付与预算相符。</w:t>
      </w:r>
    </w:p>
    <w:p>
      <w:pPr>
        <w:adjustRightInd w:val="0"/>
        <w:snapToGrid w:val="0"/>
        <w:spacing w:line="600" w:lineRule="exact"/>
        <w:ind w:firstLine="720"/>
        <w:rPr>
          <w:rFonts w:ascii="楷体_GB2312" w:hAnsi="宋体" w:eastAsia="楷体_GB2312"/>
          <w:b/>
          <w:sz w:val="32"/>
          <w:szCs w:val="32"/>
          <w:lang w:val="zh-CN"/>
        </w:rPr>
      </w:pPr>
      <w:r>
        <w:rPr>
          <w:rFonts w:hint="eastAsia" w:ascii="仿宋" w:hAnsi="仿宋" w:eastAsia="仿宋"/>
          <w:color w:val="000000"/>
          <w:sz w:val="32"/>
          <w:szCs w:val="32"/>
        </w:rPr>
        <w:t>（</w:t>
      </w:r>
      <w:r>
        <w:rPr>
          <w:rFonts w:hint="eastAsia" w:ascii="楷体_GB2312" w:hAnsi="宋体" w:eastAsia="楷体_GB2312"/>
          <w:b/>
          <w:sz w:val="32"/>
          <w:szCs w:val="32"/>
          <w:lang w:val="zh-CN"/>
        </w:rPr>
        <w:t>三）项目财务管理情况。</w:t>
      </w:r>
    </w:p>
    <w:p>
      <w:pPr>
        <w:widowControl/>
        <w:spacing w:before="240" w:after="240" w:line="480" w:lineRule="auto"/>
        <w:ind w:firstLine="640" w:firstLineChars="200"/>
        <w:jc w:val="left"/>
        <w:textAlignment w:val="center"/>
        <w:rPr>
          <w:rFonts w:ascii="仿宋" w:hAnsi="仿宋" w:eastAsia="仿宋"/>
          <w:color w:val="000000"/>
          <w:sz w:val="32"/>
          <w:szCs w:val="32"/>
        </w:rPr>
      </w:pPr>
      <w:r>
        <w:rPr>
          <w:rFonts w:hint="eastAsia" w:ascii="仿宋" w:hAnsi="仿宋" w:eastAsia="仿宋"/>
          <w:color w:val="000000"/>
          <w:sz w:val="32"/>
          <w:szCs w:val="32"/>
        </w:rPr>
        <w:t>第一条</w:t>
      </w:r>
      <w:r>
        <w:rPr>
          <w:rFonts w:ascii="Calibri" w:hAnsi="Calibri" w:eastAsia="仿宋" w:cs="Calibri"/>
          <w:color w:val="000000"/>
          <w:sz w:val="32"/>
          <w:szCs w:val="32"/>
        </w:rPr>
        <w:t>  </w:t>
      </w:r>
      <w:r>
        <w:rPr>
          <w:rFonts w:hint="eastAsia" w:ascii="仿宋" w:hAnsi="仿宋" w:eastAsia="仿宋"/>
          <w:color w:val="000000"/>
          <w:sz w:val="32"/>
          <w:szCs w:val="32"/>
        </w:rPr>
        <w:t>为规范和加强红原县科协科普惠农项目经费管理，提高资金使用效益，根据上级有关规定，参照中国科协、财政部《“科普惠农兴村计划”实施方案(试行)》和《科普惠农兴村计划专项资金管理办法（试行）》等有关规定，就我县科普活动工作经费管理制定本办法。</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第二条</w:t>
      </w:r>
      <w:r>
        <w:rPr>
          <w:rFonts w:ascii="Calibri" w:hAnsi="Calibri" w:eastAsia="仿宋" w:cs="Calibri"/>
          <w:color w:val="000000"/>
          <w:sz w:val="32"/>
          <w:szCs w:val="32"/>
        </w:rPr>
        <w:t>  </w:t>
      </w:r>
      <w:r>
        <w:rPr>
          <w:rFonts w:hint="eastAsia" w:ascii="仿宋" w:hAnsi="仿宋" w:eastAsia="仿宋"/>
          <w:color w:val="000000"/>
          <w:sz w:val="32"/>
          <w:szCs w:val="32"/>
        </w:rPr>
        <w:t>本办法适用于红原县科协组织实施的“科普惠农”项目。</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第三条</w:t>
      </w:r>
      <w:r>
        <w:rPr>
          <w:rFonts w:ascii="Calibri" w:hAnsi="Calibri" w:eastAsia="仿宋" w:cs="Calibri"/>
          <w:color w:val="000000"/>
          <w:sz w:val="32"/>
          <w:szCs w:val="32"/>
        </w:rPr>
        <w:t>  </w:t>
      </w:r>
      <w:r>
        <w:rPr>
          <w:rFonts w:hint="eastAsia" w:ascii="仿宋" w:hAnsi="仿宋" w:eastAsia="仿宋"/>
          <w:color w:val="000000"/>
          <w:sz w:val="32"/>
          <w:szCs w:val="32"/>
        </w:rPr>
        <w:t>基本原则</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（一）立足科普，面向全市。采取自愿申报的形式，全县范围内符合申报条件的单位和个人均可申报。申报对象要求立足于农村科普工作，注重社会公益，不以营利为主要目的。</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（二）差额评选，择优支持。县科协综合年度科普经费资金预算、科普事业发展需要和项目申报情况等因素，最终确定补助名单。实行差额评选制，在申报对象中择优支持。</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三）奖补结合，追踪问效。县科协安排专项资金，通过以奖代补和奖补结合方式对评选出的单位和个人进行补助和奖励。项目形成后采取事前考察、事中考核、事后验收的程序，规范对项目的实施和管理。县科协对项目资金的使用及其结果实行监督考核和追踪问效，经组织对项目进行实地考核验收，下达书面整改通知后仍不能通过验收的单位和个人，今后将不再给予项目资金支持。</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四）项目资金，专款专用。项目资金主要用于奖励和补助单位和个人购置科普资料和设备，以及面向农民和农村青少年开展培训、讲座、展览、引进推广新技术和新品种等农村科普活动的支出。县科协统一监督管理全市“科普惠农”项目实施。</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xml:space="preserve">　　第二章 </w:t>
      </w:r>
      <w:r>
        <w:rPr>
          <w:rFonts w:ascii="Calibri" w:hAnsi="Calibri" w:eastAsia="仿宋" w:cs="Calibri"/>
          <w:color w:val="000000"/>
          <w:sz w:val="32"/>
          <w:szCs w:val="32"/>
        </w:rPr>
        <w:t> </w:t>
      </w:r>
      <w:r>
        <w:rPr>
          <w:rFonts w:hint="eastAsia" w:ascii="仿宋" w:hAnsi="仿宋" w:eastAsia="仿宋"/>
          <w:color w:val="000000"/>
          <w:sz w:val="32"/>
          <w:szCs w:val="32"/>
        </w:rPr>
        <w:t>项目申报</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第四条</w:t>
      </w:r>
      <w:r>
        <w:rPr>
          <w:rFonts w:ascii="Calibri" w:hAnsi="Calibri" w:eastAsia="仿宋" w:cs="Calibri"/>
          <w:color w:val="000000"/>
          <w:sz w:val="32"/>
          <w:szCs w:val="32"/>
        </w:rPr>
        <w:t>  </w:t>
      </w:r>
      <w:r>
        <w:rPr>
          <w:rFonts w:hint="eastAsia" w:ascii="仿宋" w:hAnsi="仿宋" w:eastAsia="仿宋"/>
          <w:color w:val="000000"/>
          <w:sz w:val="32"/>
          <w:szCs w:val="32"/>
        </w:rPr>
        <w:t>申报程序</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（一）公开申报、部门汇总。每年8—9月份在网上向科协科普科申报，由科普科收集并汇总。</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（二）实地考察。10月份由科协组织人员对所申报项目进行实地考察，考察组成员拿出初步考察意见。</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（三）班子会议审定。11月下旬召开党政班子联席会议，根据考察意见对有关项目进行审定，确定具体奖补金额。</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（四）项目公示。12月上旬在科协网上对拟扶持项目进行集中公示，公示时间不少于7天。</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（五）绩效考核。项目完成后，由项目单位向县科协报送绩效自评表和相关印证材料。下年度科协组织人员对所有项目进行一次综合绩效评价，并出具综合绩效评价报告。</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第五条</w:t>
      </w:r>
      <w:r>
        <w:rPr>
          <w:rFonts w:ascii="Calibri" w:hAnsi="Calibri" w:eastAsia="仿宋" w:cs="Calibri"/>
          <w:color w:val="000000"/>
          <w:sz w:val="32"/>
          <w:szCs w:val="32"/>
        </w:rPr>
        <w:t>  </w:t>
      </w:r>
      <w:r>
        <w:rPr>
          <w:rFonts w:hint="eastAsia" w:ascii="仿宋" w:hAnsi="仿宋" w:eastAsia="仿宋"/>
          <w:color w:val="000000"/>
          <w:sz w:val="32"/>
          <w:szCs w:val="32"/>
        </w:rPr>
        <w:t>项目申报补助范围：在全国科普日开展了卓有成效科普活动的乡镇（街道）；创建乡村e站、社区e站、科普屋场（画廊）、开展科普培训和宣传有特色的村（社区）；有一定规模和特色及县级科普示范基地、优秀农技协、科普带头人；其它从事科普活动经审核认定需要资助的单位或组织。</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xml:space="preserve">　　第三章 </w:t>
      </w:r>
      <w:r>
        <w:rPr>
          <w:rFonts w:ascii="Calibri" w:hAnsi="Calibri" w:eastAsia="仿宋" w:cs="Calibri"/>
          <w:color w:val="000000"/>
          <w:sz w:val="32"/>
          <w:szCs w:val="32"/>
        </w:rPr>
        <w:t> </w:t>
      </w:r>
      <w:r>
        <w:rPr>
          <w:rFonts w:hint="eastAsia" w:ascii="仿宋" w:hAnsi="仿宋" w:eastAsia="仿宋"/>
          <w:color w:val="000000"/>
          <w:sz w:val="32"/>
          <w:szCs w:val="32"/>
        </w:rPr>
        <w:t>绩效管理</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第六条</w:t>
      </w:r>
      <w:r>
        <w:rPr>
          <w:rFonts w:ascii="Calibri" w:hAnsi="Calibri" w:eastAsia="仿宋" w:cs="Calibri"/>
          <w:color w:val="000000"/>
          <w:sz w:val="32"/>
          <w:szCs w:val="32"/>
        </w:rPr>
        <w:t>  </w:t>
      </w:r>
      <w:r>
        <w:rPr>
          <w:rFonts w:hint="eastAsia" w:ascii="仿宋" w:hAnsi="仿宋" w:eastAsia="仿宋"/>
          <w:color w:val="000000"/>
          <w:sz w:val="32"/>
          <w:szCs w:val="32"/>
        </w:rPr>
        <w:t>项目批复后，实施单位应当严格按照批复的项目资金预算执行，不得自行调整。执行过程中确因实施条件与项目申报时发生重大变化需调整的，应当按照申报程序履行报批手续。</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第七条</w:t>
      </w:r>
      <w:r>
        <w:rPr>
          <w:rFonts w:ascii="Calibri" w:hAnsi="Calibri" w:eastAsia="仿宋" w:cs="Calibri"/>
          <w:color w:val="000000"/>
          <w:sz w:val="32"/>
          <w:szCs w:val="32"/>
        </w:rPr>
        <w:t>  </w:t>
      </w:r>
      <w:r>
        <w:rPr>
          <w:rFonts w:hint="eastAsia" w:ascii="仿宋" w:hAnsi="仿宋" w:eastAsia="仿宋"/>
          <w:color w:val="000000"/>
          <w:sz w:val="32"/>
          <w:szCs w:val="32"/>
        </w:rPr>
        <w:t>项目实施单位在实施过程中，根据项目申报书和项目实施要求，收集整理好相关资料、照片、记录等。</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第八条</w:t>
      </w:r>
      <w:r>
        <w:rPr>
          <w:rFonts w:ascii="Calibri" w:hAnsi="Calibri" w:eastAsia="仿宋" w:cs="Calibri"/>
          <w:color w:val="000000"/>
          <w:sz w:val="32"/>
          <w:szCs w:val="32"/>
        </w:rPr>
        <w:t>  </w:t>
      </w:r>
      <w:r>
        <w:rPr>
          <w:rFonts w:hint="eastAsia" w:ascii="仿宋" w:hAnsi="仿宋" w:eastAsia="仿宋"/>
          <w:color w:val="000000"/>
          <w:sz w:val="32"/>
          <w:szCs w:val="32"/>
        </w:rPr>
        <w:t>县科协定期协调解决项目实施单位在项目实施进度、质量和实施中出现问题，确保项目顺利进行。</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第九条</w:t>
      </w:r>
      <w:r>
        <w:rPr>
          <w:rFonts w:ascii="Calibri" w:hAnsi="Calibri" w:eastAsia="仿宋" w:cs="Calibri"/>
          <w:color w:val="000000"/>
          <w:sz w:val="32"/>
          <w:szCs w:val="32"/>
        </w:rPr>
        <w:t>  </w:t>
      </w:r>
      <w:r>
        <w:rPr>
          <w:rFonts w:hint="eastAsia" w:ascii="仿宋" w:hAnsi="仿宋" w:eastAsia="仿宋"/>
          <w:color w:val="000000"/>
          <w:sz w:val="32"/>
          <w:szCs w:val="32"/>
        </w:rPr>
        <w:t>项目实施单位提交绩效自评表、费用开支明细复印件、项目支出表及照片记录等相关印证材料。</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第十条</w:t>
      </w:r>
      <w:r>
        <w:rPr>
          <w:rFonts w:ascii="Calibri" w:hAnsi="Calibri" w:eastAsia="仿宋" w:cs="Calibri"/>
          <w:color w:val="000000"/>
          <w:sz w:val="32"/>
          <w:szCs w:val="32"/>
        </w:rPr>
        <w:t>  </w:t>
      </w:r>
      <w:r>
        <w:rPr>
          <w:rFonts w:hint="eastAsia" w:ascii="仿宋" w:hAnsi="仿宋" w:eastAsia="仿宋"/>
          <w:color w:val="000000"/>
          <w:sz w:val="32"/>
          <w:szCs w:val="32"/>
        </w:rPr>
        <w:t>县科协按照项目管理要求，将项目实施过程中的有关文件、资料、图片等造册归档，为上级项目验收做好准备。县科协根据项目单位所报绩效自评表和下去检查情况，形成全年科普项目经费绩效评价综合报告，送财政和纪检组备案。</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xml:space="preserve">　　第四章 </w:t>
      </w:r>
      <w:r>
        <w:rPr>
          <w:rFonts w:ascii="Calibri" w:hAnsi="Calibri" w:eastAsia="仿宋" w:cs="Calibri"/>
          <w:color w:val="000000"/>
          <w:sz w:val="32"/>
          <w:szCs w:val="32"/>
        </w:rPr>
        <w:t> </w:t>
      </w:r>
      <w:r>
        <w:rPr>
          <w:rFonts w:hint="eastAsia" w:ascii="仿宋" w:hAnsi="仿宋" w:eastAsia="仿宋"/>
          <w:color w:val="000000"/>
          <w:sz w:val="32"/>
          <w:szCs w:val="32"/>
        </w:rPr>
        <w:t>资金监管</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第十一条</w:t>
      </w:r>
      <w:r>
        <w:rPr>
          <w:rFonts w:ascii="Calibri" w:hAnsi="Calibri" w:eastAsia="仿宋" w:cs="Calibri"/>
          <w:color w:val="000000"/>
          <w:sz w:val="32"/>
          <w:szCs w:val="32"/>
        </w:rPr>
        <w:t>  </w:t>
      </w:r>
      <w:r>
        <w:rPr>
          <w:rFonts w:hint="eastAsia" w:ascii="仿宋" w:hAnsi="仿宋" w:eastAsia="仿宋"/>
          <w:color w:val="000000"/>
          <w:sz w:val="32"/>
          <w:szCs w:val="32"/>
        </w:rPr>
        <w:t>科普惠农项目资金按照“奖励先进、定额补助、定向使用”的原则进行分配、使用。</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第十二条</w:t>
      </w:r>
      <w:r>
        <w:rPr>
          <w:rFonts w:ascii="Calibri" w:hAnsi="Calibri" w:eastAsia="仿宋" w:cs="Calibri"/>
          <w:color w:val="000000"/>
          <w:sz w:val="32"/>
          <w:szCs w:val="32"/>
        </w:rPr>
        <w:t>  </w:t>
      </w:r>
      <w:r>
        <w:rPr>
          <w:rFonts w:hint="eastAsia" w:ascii="仿宋" w:hAnsi="仿宋" w:eastAsia="仿宋"/>
          <w:color w:val="000000"/>
          <w:sz w:val="32"/>
          <w:szCs w:val="32"/>
        </w:rPr>
        <w:t>科普惠农项目资金的开支范围包括：</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一）科普专用资料和设备费。包括图书资料费、专用设备费和展品展具费。其中，图书资料费是指为开展农村科普活动所需购买或制作图书、音像资料、宣传资料等发生的费用；专用设备费是指为开展农村科普活动所需购买影像制作器材、演示播放器材及其相关的多媒体计算机等科普专用设备所发生的费用；展品展具费是指用于购买和制作科普宣传品、宣传栏等科普展品、展具所发生的费用。</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二）科普活动费。包括培训讲座费、展览费和新技术新品种推广费等。其中，培训讲座费是指为开展面向农民和农村青少年的培训讲座过程中发生的聘请师资、租赁场地和设备等费用；展览费是指举办面向农民和农村青少年的科普宣传展览过程中发生的交通运输、差旅和劳务等费用；新技术新品种推广费是指在开展面向农民的科普示范活动中发生的购买新品种新技术及配套原辅材料、聘请专业技术人员、租赁示范场地和设备等费用。</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（三）其他费用。是指除上述各项费用开支以外的开展农村科普活动过程中所发生的支出。</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第十三条</w:t>
      </w:r>
      <w:r>
        <w:rPr>
          <w:rFonts w:ascii="Calibri" w:hAnsi="Calibri" w:eastAsia="仿宋" w:cs="Calibri"/>
          <w:color w:val="000000"/>
          <w:sz w:val="32"/>
          <w:szCs w:val="32"/>
        </w:rPr>
        <w:t>  </w:t>
      </w:r>
      <w:r>
        <w:rPr>
          <w:rFonts w:hint="eastAsia" w:ascii="仿宋" w:hAnsi="仿宋" w:eastAsia="仿宋"/>
          <w:color w:val="000000"/>
          <w:sz w:val="32"/>
          <w:szCs w:val="32"/>
        </w:rPr>
        <w:t>县科协对科普惠农项目资金使用情况进行检查和监督，并进行不定期抽查。有下列行为之一的，市科协和财政局将追回其相应科普惠农项目资金，并追究相关人员的责任。</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（一）提供虚假资料的。</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（二）截留、挤占、挪用专项资金的。</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（三）失职致使计划无法实施，造成不良影响的。</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（四）因主观原因经费不能及时拨付到用款单位和个人的。</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（五）其他违反国家有关法律、法规的行为。</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xml:space="preserve">　　第五章 </w:t>
      </w:r>
      <w:r>
        <w:rPr>
          <w:rFonts w:ascii="Calibri" w:hAnsi="Calibri" w:eastAsia="仿宋" w:cs="Calibri"/>
          <w:color w:val="000000"/>
          <w:sz w:val="32"/>
          <w:szCs w:val="32"/>
        </w:rPr>
        <w:t> </w:t>
      </w:r>
      <w:r>
        <w:rPr>
          <w:rFonts w:hint="eastAsia" w:ascii="仿宋" w:hAnsi="仿宋" w:eastAsia="仿宋"/>
          <w:color w:val="000000"/>
          <w:sz w:val="32"/>
          <w:szCs w:val="32"/>
        </w:rPr>
        <w:t>附则</w:t>
      </w:r>
    </w:p>
    <w:p>
      <w:pPr>
        <w:widowControl/>
        <w:spacing w:before="240" w:after="240" w:line="480" w:lineRule="auto"/>
        <w:jc w:val="left"/>
        <w:textAlignment w:val="center"/>
        <w:rPr>
          <w:rFonts w:ascii="仿宋" w:hAnsi="仿宋" w:eastAsia="仿宋"/>
          <w:color w:val="000000"/>
          <w:sz w:val="32"/>
          <w:szCs w:val="32"/>
        </w:rPr>
      </w:pPr>
      <w:r>
        <w:rPr>
          <w:rFonts w:hint="eastAsia" w:ascii="仿宋" w:hAnsi="仿宋" w:eastAsia="仿宋"/>
          <w:color w:val="000000"/>
          <w:sz w:val="32"/>
          <w:szCs w:val="32"/>
        </w:rPr>
        <w:t>　　第十四条</w:t>
      </w:r>
      <w:r>
        <w:rPr>
          <w:rFonts w:ascii="Calibri" w:hAnsi="Calibri" w:eastAsia="仿宋" w:cs="Calibri"/>
          <w:color w:val="000000"/>
          <w:sz w:val="32"/>
          <w:szCs w:val="32"/>
        </w:rPr>
        <w:t>  </w:t>
      </w:r>
      <w:r>
        <w:rPr>
          <w:rFonts w:hint="eastAsia" w:ascii="仿宋" w:hAnsi="仿宋" w:eastAsia="仿宋"/>
          <w:color w:val="000000"/>
          <w:sz w:val="32"/>
          <w:szCs w:val="32"/>
        </w:rPr>
        <w:t>科普惠农以外的科普项目，如财政专项、青少年专项、其他用于科普事业发展的各类项目参照本办法执行。</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 w:hAnsi="仿宋" w:eastAsia="仿宋"/>
          <w:color w:val="000000"/>
          <w:sz w:val="32"/>
          <w:szCs w:val="32"/>
        </w:rPr>
        <w:t>结合项目组织实施管理办法，重点围绕以下内容进行分析评价，并对自评中发现的问题分析说明。</w:t>
      </w:r>
      <w:r>
        <w:rPr>
          <w:rFonts w:hint="eastAsia" w:ascii="微软雅黑" w:hAnsi="微软雅黑" w:eastAsia="微软雅黑"/>
          <w:color w:val="555555"/>
        </w:rPr>
        <w:br w:type="textWrapping"/>
      </w:r>
      <w:r>
        <w:rPr>
          <w:rFonts w:hint="eastAsia" w:ascii="微软雅黑" w:hAnsi="微软雅黑" w:eastAsia="微软雅黑"/>
          <w:b/>
          <w:bCs/>
          <w:color w:val="555555"/>
          <w:shd w:val="clear" w:color="auto" w:fill="FFFFFF"/>
        </w:rPr>
        <w:t xml:space="preserve">       </w:t>
      </w:r>
      <w:r>
        <w:rPr>
          <w:rFonts w:hint="eastAsia" w:ascii="楷体_GB2312" w:hAnsi="宋体" w:eastAsia="楷体_GB2312"/>
          <w:b/>
          <w:sz w:val="32"/>
          <w:szCs w:val="32"/>
          <w:lang w:val="zh-CN"/>
        </w:rPr>
        <w:t>（一）项目组织架构及实施流程。</w:t>
      </w:r>
      <w:r>
        <w:rPr>
          <w:rFonts w:hint="eastAsia" w:ascii="仿宋" w:hAnsi="仿宋" w:eastAsia="仿宋"/>
          <w:color w:val="000000"/>
          <w:sz w:val="32"/>
          <w:szCs w:val="32"/>
        </w:rPr>
        <w:t>项目管理决策机构为局党组会。具体流程为：承办股室根据项目申报需求，编制项目建议书。股室负责人对项目建议书进行审核。相关领导审核项目建议书并提出审核意见，提交党组会审议。审核后的项目建议书由承办股室上报政府相关部批复。</w:t>
      </w:r>
      <w:r>
        <w:rPr>
          <w:rFonts w:hint="eastAsia" w:ascii="仿宋" w:hAnsi="仿宋" w:eastAsia="仿宋"/>
          <w:color w:val="000000"/>
          <w:sz w:val="32"/>
          <w:szCs w:val="32"/>
        </w:rPr>
        <w:br w:type="textWrapping"/>
      </w:r>
      <w:r>
        <w:rPr>
          <w:rFonts w:ascii="Calibri" w:hAnsi="Calibri" w:eastAsia="仿宋" w:cs="Calibri"/>
          <w:color w:val="000000"/>
          <w:sz w:val="32"/>
          <w:szCs w:val="32"/>
        </w:rPr>
        <w:t>      </w:t>
      </w:r>
      <w:r>
        <w:rPr>
          <w:rFonts w:hint="eastAsia" w:ascii="仿宋" w:hAnsi="仿宋" w:eastAsia="仿宋"/>
          <w:color w:val="000000"/>
          <w:sz w:val="32"/>
          <w:szCs w:val="32"/>
        </w:rPr>
        <w:t xml:space="preserve"> </w:t>
      </w:r>
      <w:r>
        <w:rPr>
          <w:rFonts w:hint="eastAsia" w:ascii="楷体_GB2312" w:hAnsi="宋体" w:eastAsia="楷体_GB2312"/>
          <w:b/>
          <w:sz w:val="32"/>
          <w:szCs w:val="32"/>
          <w:lang w:val="zh-CN"/>
        </w:rPr>
        <w:t>（二）项目管理情况。</w:t>
      </w:r>
      <w:r>
        <w:rPr>
          <w:rFonts w:hint="eastAsia" w:ascii="仿宋" w:hAnsi="仿宋" w:eastAsia="仿宋"/>
          <w:color w:val="000000"/>
          <w:sz w:val="32"/>
          <w:szCs w:val="32"/>
        </w:rPr>
        <w:t>2019年县级财政专项扶贫资金项目在招投标、政府采购、项目公示制等相关规定上符合管理要求，流程清晰，责任明确。</w:t>
      </w:r>
      <w:r>
        <w:rPr>
          <w:rFonts w:hint="eastAsia" w:ascii="仿宋" w:hAnsi="仿宋" w:eastAsia="仿宋"/>
          <w:color w:val="000000"/>
          <w:sz w:val="32"/>
          <w:szCs w:val="32"/>
        </w:rPr>
        <w:br w:type="textWrapping"/>
      </w:r>
      <w:r>
        <w:rPr>
          <w:rFonts w:ascii="Calibri" w:hAnsi="Calibri" w:eastAsia="仿宋" w:cs="Calibri"/>
          <w:color w:val="000000"/>
          <w:sz w:val="32"/>
          <w:szCs w:val="32"/>
        </w:rPr>
        <w:t>      </w:t>
      </w:r>
      <w:r>
        <w:rPr>
          <w:rFonts w:hint="eastAsia" w:ascii="仿宋" w:hAnsi="仿宋" w:eastAsia="仿宋"/>
          <w:color w:val="000000"/>
          <w:sz w:val="32"/>
          <w:szCs w:val="32"/>
        </w:rPr>
        <w:t xml:space="preserve"> </w:t>
      </w:r>
      <w:r>
        <w:rPr>
          <w:rFonts w:hint="eastAsia" w:ascii="楷体_GB2312" w:hAnsi="宋体" w:eastAsia="楷体_GB2312"/>
          <w:b/>
          <w:sz w:val="32"/>
          <w:szCs w:val="32"/>
          <w:lang w:val="zh-CN"/>
        </w:rPr>
        <w:t>（三）项目监管情况。</w:t>
      </w:r>
      <w:r>
        <w:rPr>
          <w:rFonts w:hint="eastAsia" w:ascii="仿宋" w:hAnsi="仿宋" w:eastAsia="仿宋"/>
          <w:color w:val="000000"/>
          <w:sz w:val="32"/>
          <w:szCs w:val="32"/>
        </w:rPr>
        <w:t>主管部门为加强项目管理成立了内审小组对项目的开展情况进行监管，保证了项目合规合法运行。</w:t>
      </w:r>
      <w:r>
        <w:rPr>
          <w:rFonts w:hint="eastAsia" w:ascii="仿宋" w:hAnsi="仿宋" w:eastAsia="仿宋"/>
          <w:color w:val="000000"/>
          <w:sz w:val="32"/>
          <w:szCs w:val="32"/>
        </w:rPr>
        <w:br w:type="textWrapping"/>
      </w:r>
      <w:r>
        <w:rPr>
          <w:rFonts w:ascii="Calibri" w:hAnsi="Calibri" w:eastAsia="仿宋" w:cs="Calibri"/>
          <w:color w:val="000000"/>
          <w:sz w:val="32"/>
          <w:szCs w:val="32"/>
        </w:rPr>
        <w:t>       </w:t>
      </w:r>
      <w:r>
        <w:rPr>
          <w:rFonts w:hint="eastAsia" w:ascii="仿宋" w:hAnsi="仿宋" w:eastAsia="仿宋"/>
          <w:color w:val="000000"/>
          <w:sz w:val="32"/>
          <w:szCs w:val="32"/>
        </w:rPr>
        <w:t xml:space="preserve"> </w:t>
      </w:r>
      <w:r>
        <w:rPr>
          <w:rFonts w:hint="eastAsia" w:ascii="黑体" w:hAnsi="宋体" w:eastAsia="黑体"/>
          <w:sz w:val="32"/>
          <w:szCs w:val="32"/>
        </w:rPr>
        <w:t>四、项目绩效情况</w:t>
      </w:r>
      <w:r>
        <w:rPr>
          <w:rFonts w:ascii="黑体" w:hAnsi="宋体" w:eastAsia="黑体"/>
          <w:sz w:val="32"/>
          <w:szCs w:val="32"/>
        </w:rPr>
        <w:t> </w:t>
      </w:r>
      <w:r>
        <w:rPr>
          <w:rFonts w:ascii="Calibri" w:hAnsi="Calibri" w:eastAsia="仿宋" w:cs="Calibri"/>
          <w:color w:val="000000"/>
          <w:sz w:val="32"/>
          <w:szCs w:val="32"/>
        </w:rPr>
        <w:t> </w:t>
      </w:r>
      <w:r>
        <w:rPr>
          <w:rFonts w:hint="eastAsia" w:ascii="仿宋" w:hAnsi="仿宋" w:eastAsia="仿宋"/>
          <w:color w:val="000000"/>
          <w:sz w:val="32"/>
          <w:szCs w:val="32"/>
        </w:rPr>
        <w:br w:type="textWrapping"/>
      </w:r>
      <w:r>
        <w:rPr>
          <w:rFonts w:ascii="Calibri" w:hAnsi="Calibri" w:eastAsia="仿宋" w:cs="Calibri"/>
          <w:color w:val="000000"/>
          <w:sz w:val="32"/>
          <w:szCs w:val="32"/>
        </w:rPr>
        <w:t>      </w:t>
      </w:r>
      <w:r>
        <w:rPr>
          <w:rFonts w:hint="eastAsia" w:ascii="仿宋" w:hAnsi="仿宋" w:eastAsia="仿宋"/>
          <w:color w:val="000000"/>
          <w:sz w:val="32"/>
          <w:szCs w:val="32"/>
        </w:rPr>
        <w:t xml:space="preserve"> </w:t>
      </w:r>
      <w:r>
        <w:rPr>
          <w:rFonts w:hint="eastAsia" w:ascii="楷体_GB2312" w:hAnsi="宋体" w:eastAsia="楷体_GB2312"/>
          <w:b/>
          <w:sz w:val="32"/>
          <w:szCs w:val="32"/>
          <w:lang w:val="zh-CN"/>
        </w:rPr>
        <w:t>（一）项目完成情况。</w:t>
      </w:r>
      <w:r>
        <w:rPr>
          <w:rFonts w:hint="eastAsia" w:ascii="仿宋" w:hAnsi="仿宋" w:eastAsia="仿宋"/>
          <w:color w:val="000000"/>
          <w:sz w:val="32"/>
          <w:szCs w:val="32"/>
        </w:rPr>
        <w:br w:type="textWrapping"/>
      </w:r>
      <w:r>
        <w:rPr>
          <w:rFonts w:ascii="Calibri" w:hAnsi="Calibri" w:eastAsia="仿宋" w:cs="Calibri"/>
          <w:color w:val="000000"/>
          <w:sz w:val="32"/>
          <w:szCs w:val="32"/>
        </w:rPr>
        <w:t>      </w:t>
      </w:r>
      <w:r>
        <w:rPr>
          <w:rFonts w:hint="eastAsia" w:ascii="仿宋" w:hAnsi="仿宋" w:eastAsia="仿宋"/>
          <w:color w:val="000000"/>
          <w:sz w:val="32"/>
          <w:szCs w:val="32"/>
        </w:rPr>
        <w:t xml:space="preserve"> 2019年县级财政专项扶贫资金批次共3个项目，分别是：</w:t>
      </w:r>
      <w:r>
        <w:rPr>
          <w:rFonts w:hint="eastAsia" w:ascii="仿宋" w:hAnsi="仿宋" w:eastAsia="仿宋" w:cs="仿宋_GB2312"/>
          <w:sz w:val="32"/>
          <w:szCs w:val="32"/>
        </w:rPr>
        <w:t>专项资金项目“科普活动”支出，开展科普培训、实用技术推广站栏建设支出第一期</w:t>
      </w:r>
      <w:r>
        <w:rPr>
          <w:rFonts w:ascii="仿宋" w:hAnsi="仿宋" w:eastAsia="仿宋" w:cs="仿宋_GB2312"/>
          <w:sz w:val="32"/>
          <w:szCs w:val="32"/>
        </w:rPr>
        <w:t>10</w:t>
      </w:r>
      <w:r>
        <w:rPr>
          <w:rFonts w:hint="eastAsia" w:ascii="仿宋" w:hAnsi="仿宋" w:eastAsia="仿宋" w:cs="仿宋_GB2312"/>
          <w:sz w:val="32"/>
          <w:szCs w:val="32"/>
        </w:rPr>
        <w:t>万元、“科普活动”支出，开展科普培训、实用技术推广站栏建设支出第二期</w:t>
      </w:r>
      <w:r>
        <w:rPr>
          <w:rFonts w:ascii="仿宋" w:hAnsi="仿宋" w:eastAsia="仿宋" w:cs="仿宋_GB2312"/>
          <w:sz w:val="32"/>
          <w:szCs w:val="32"/>
        </w:rPr>
        <w:t>10</w:t>
      </w:r>
      <w:r>
        <w:rPr>
          <w:rFonts w:hint="eastAsia" w:ascii="仿宋" w:hAnsi="仿宋" w:eastAsia="仿宋" w:cs="仿宋_GB2312"/>
          <w:sz w:val="32"/>
          <w:szCs w:val="32"/>
        </w:rPr>
        <w:t>万元“其他科学技术普及支出科协专用设备支出</w:t>
      </w:r>
      <w:r>
        <w:rPr>
          <w:rFonts w:ascii="仿宋" w:hAnsi="仿宋" w:eastAsia="仿宋" w:cs="仿宋_GB2312"/>
          <w:sz w:val="32"/>
          <w:szCs w:val="32"/>
        </w:rPr>
        <w:t>10</w:t>
      </w:r>
      <w:r>
        <w:rPr>
          <w:rFonts w:hint="eastAsia" w:ascii="仿宋" w:hAnsi="仿宋" w:eastAsia="仿宋" w:cs="仿宋_GB2312"/>
          <w:sz w:val="32"/>
          <w:szCs w:val="32"/>
        </w:rPr>
        <w:t>万元”。</w:t>
      </w:r>
      <w:r>
        <w:rPr>
          <w:rFonts w:hint="eastAsia" w:ascii="仿宋" w:hAnsi="仿宋" w:eastAsia="仿宋"/>
          <w:color w:val="000000"/>
          <w:sz w:val="32"/>
          <w:szCs w:val="32"/>
        </w:rPr>
        <w:t>3个项目均完成目标任务。实施得到了广大群众的认可，取得了很好的经济和社会效益。</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widowControl/>
        <w:shd w:val="clear" w:color="auto" w:fill="FFFFFF"/>
        <w:ind w:firstLine="602"/>
        <w:rPr>
          <w:rFonts w:ascii="仿宋" w:hAnsi="仿宋" w:eastAsia="仿宋" w:cs="宋体"/>
          <w:color w:val="333333"/>
          <w:kern w:val="0"/>
          <w:sz w:val="32"/>
          <w:szCs w:val="32"/>
        </w:rPr>
      </w:pPr>
      <w:r>
        <w:rPr>
          <w:rFonts w:hint="eastAsia" w:ascii="仿宋" w:hAnsi="仿宋" w:eastAsia="仿宋" w:cs="宋体"/>
          <w:b/>
          <w:bCs/>
          <w:color w:val="333333"/>
          <w:kern w:val="0"/>
          <w:sz w:val="32"/>
          <w:szCs w:val="32"/>
        </w:rPr>
        <w:t>1、经济效益指标情况</w:t>
      </w:r>
    </w:p>
    <w:p>
      <w:pPr>
        <w:widowControl/>
        <w:shd w:val="clear" w:color="auto" w:fill="FFFFFF"/>
        <w:ind w:firstLine="640" w:firstLineChars="200"/>
        <w:rPr>
          <w:rFonts w:ascii="仿宋" w:hAnsi="仿宋" w:eastAsia="仿宋"/>
          <w:color w:val="000000"/>
          <w:sz w:val="32"/>
          <w:szCs w:val="32"/>
        </w:rPr>
      </w:pPr>
      <w:r>
        <w:rPr>
          <w:rFonts w:hint="eastAsia" w:ascii="仿宋" w:hAnsi="仿宋" w:eastAsia="仿宋"/>
          <w:color w:val="000000"/>
          <w:sz w:val="32"/>
          <w:szCs w:val="32"/>
        </w:rPr>
        <w:t>反映相关产出对经济社会发展带来的影响和效果，根据项目实际细化具体指标。</w:t>
      </w:r>
    </w:p>
    <w:p>
      <w:pPr>
        <w:widowControl/>
        <w:shd w:val="clear" w:color="auto" w:fill="FFFFFF"/>
        <w:ind w:firstLine="602"/>
        <w:rPr>
          <w:rFonts w:ascii="仿宋" w:hAnsi="仿宋" w:eastAsia="仿宋" w:cs="宋体"/>
          <w:color w:val="333333"/>
          <w:kern w:val="0"/>
          <w:sz w:val="32"/>
          <w:szCs w:val="32"/>
        </w:rPr>
      </w:pPr>
      <w:r>
        <w:rPr>
          <w:rFonts w:hint="eastAsia" w:ascii="仿宋" w:hAnsi="仿宋" w:eastAsia="仿宋" w:cs="宋体"/>
          <w:b/>
          <w:bCs/>
          <w:color w:val="333333"/>
          <w:kern w:val="0"/>
          <w:sz w:val="32"/>
          <w:szCs w:val="32"/>
        </w:rPr>
        <w:t>2、社会效益指标情况</w:t>
      </w:r>
    </w:p>
    <w:p>
      <w:pPr>
        <w:widowControl/>
        <w:shd w:val="clear" w:color="auto" w:fill="FFFFFF"/>
        <w:ind w:firstLine="640" w:firstLineChars="200"/>
        <w:rPr>
          <w:rFonts w:ascii="仿宋" w:hAnsi="仿宋" w:eastAsia="仿宋"/>
          <w:color w:val="000000"/>
          <w:sz w:val="32"/>
          <w:szCs w:val="32"/>
        </w:rPr>
      </w:pPr>
      <w:r>
        <w:rPr>
          <w:rFonts w:hint="eastAsia" w:ascii="仿宋" w:hAnsi="仿宋" w:eastAsia="仿宋"/>
          <w:color w:val="000000"/>
          <w:sz w:val="32"/>
          <w:szCs w:val="32"/>
        </w:rPr>
        <w:t>反映相关产出带来影响的可持续期限，根据项目实际细化具体指标。</w:t>
      </w:r>
    </w:p>
    <w:p>
      <w:pPr>
        <w:widowControl/>
        <w:shd w:val="clear" w:color="auto" w:fill="FFFFFF"/>
        <w:ind w:firstLine="602"/>
        <w:rPr>
          <w:rFonts w:ascii="仿宋" w:hAnsi="仿宋" w:eastAsia="仿宋" w:cs="宋体"/>
          <w:color w:val="333333"/>
          <w:kern w:val="0"/>
          <w:sz w:val="32"/>
          <w:szCs w:val="32"/>
        </w:rPr>
      </w:pPr>
      <w:r>
        <w:rPr>
          <w:rFonts w:hint="eastAsia" w:ascii="仿宋" w:hAnsi="仿宋" w:eastAsia="仿宋" w:cs="宋体"/>
          <w:b/>
          <w:bCs/>
          <w:color w:val="333333"/>
          <w:kern w:val="0"/>
          <w:sz w:val="32"/>
          <w:szCs w:val="32"/>
        </w:rPr>
        <w:t>3、可持续影响指标情况分析</w:t>
      </w:r>
    </w:p>
    <w:p>
      <w:pPr>
        <w:ind w:firstLine="640" w:firstLineChars="200"/>
        <w:jc w:val="left"/>
        <w:rPr>
          <w:rFonts w:ascii="仿宋" w:hAnsi="仿宋" w:eastAsia="仿宋"/>
          <w:color w:val="000000"/>
          <w:sz w:val="32"/>
          <w:szCs w:val="32"/>
        </w:rPr>
      </w:pPr>
      <w:r>
        <w:rPr>
          <w:rFonts w:hint="eastAsia" w:ascii="仿宋" w:hAnsi="仿宋" w:eastAsia="仿宋"/>
          <w:color w:val="000000"/>
          <w:sz w:val="32"/>
          <w:szCs w:val="32"/>
        </w:rPr>
        <w:t>为科普科技工作提供了评定依据，为我县科技事业发展工作提供了强有力的保障，有效提高了广大群众对我县科技事业的重视，保障科技人才队伍不断地壮大。</w:t>
      </w:r>
    </w:p>
    <w:p>
      <w:pPr>
        <w:widowControl/>
        <w:shd w:val="clear" w:color="auto" w:fill="FFFFFF"/>
        <w:rPr>
          <w:rFonts w:ascii="仿宋" w:hAnsi="仿宋" w:eastAsia="仿宋" w:cs="宋体"/>
          <w:color w:val="333333"/>
          <w:kern w:val="0"/>
          <w:sz w:val="32"/>
          <w:szCs w:val="32"/>
        </w:rPr>
      </w:pPr>
      <w:r>
        <w:rPr>
          <w:rFonts w:hint="eastAsia" w:ascii="仿宋" w:hAnsi="仿宋" w:eastAsia="仿宋" w:cs="宋体"/>
          <w:b/>
          <w:bCs/>
          <w:color w:val="333333"/>
          <w:kern w:val="0"/>
          <w:sz w:val="32"/>
          <w:szCs w:val="32"/>
        </w:rPr>
        <w:t>（五）项目满意度指标</w:t>
      </w:r>
    </w:p>
    <w:p>
      <w:pPr>
        <w:widowControl/>
        <w:shd w:val="clear" w:color="auto" w:fill="FFFFFF"/>
        <w:ind w:firstLine="640" w:firstLineChars="200"/>
        <w:rPr>
          <w:rFonts w:ascii="仿宋" w:hAnsi="仿宋" w:eastAsia="仿宋"/>
          <w:color w:val="000000"/>
          <w:sz w:val="32"/>
          <w:szCs w:val="32"/>
        </w:rPr>
      </w:pPr>
      <w:r>
        <w:rPr>
          <w:rFonts w:hint="eastAsia" w:ascii="仿宋" w:hAnsi="仿宋" w:eastAsia="仿宋"/>
          <w:color w:val="000000"/>
          <w:sz w:val="32"/>
          <w:szCs w:val="32"/>
        </w:rPr>
        <w:t>服务满意度达90%以上，围绕绩效评价指标体系，通过数据采集分析等方式，对该项目绩效进行了客观、公开的评价。</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r>
        <w:rPr>
          <w:rFonts w:hint="eastAsia" w:ascii="仿宋" w:hAnsi="仿宋" w:eastAsia="仿宋"/>
          <w:color w:val="000000"/>
          <w:sz w:val="32"/>
          <w:szCs w:val="32"/>
        </w:rPr>
        <w:br w:type="textWrapping"/>
      </w:r>
      <w:r>
        <w:rPr>
          <w:rFonts w:ascii="Calibri" w:hAnsi="Calibri" w:eastAsia="仿宋" w:cs="Calibri"/>
          <w:color w:val="000000"/>
          <w:sz w:val="32"/>
          <w:szCs w:val="32"/>
        </w:rPr>
        <w:t>      </w:t>
      </w:r>
      <w:r>
        <w:rPr>
          <w:rFonts w:hint="eastAsia" w:ascii="仿宋" w:hAnsi="仿宋" w:eastAsia="仿宋"/>
          <w:color w:val="000000"/>
          <w:sz w:val="32"/>
          <w:szCs w:val="32"/>
        </w:rPr>
        <w:t xml:space="preserve"> 2019年县级财政专项扶贫资金项目实施完成，评价结论87分。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widowControl/>
        <w:shd w:val="clear" w:color="auto" w:fill="FFFFFF"/>
        <w:wordWrap w:val="0"/>
        <w:spacing w:line="560" w:lineRule="atLeast"/>
        <w:ind w:firstLine="640" w:firstLineChars="200"/>
        <w:rPr>
          <w:rFonts w:ascii="仿宋" w:hAnsi="仿宋" w:eastAsia="仿宋"/>
          <w:color w:val="000000"/>
          <w:sz w:val="32"/>
          <w:szCs w:val="32"/>
          <w:shd w:val="clear" w:color="auto" w:fill="FFFFFF"/>
        </w:rPr>
      </w:pPr>
      <w:r>
        <w:rPr>
          <w:rFonts w:hint="eastAsia" w:ascii="仿宋" w:hAnsi="仿宋" w:eastAsia="仿宋"/>
          <w:color w:val="000000"/>
          <w:sz w:val="32"/>
          <w:szCs w:val="32"/>
          <w:shd w:val="clear" w:color="auto" w:fill="FFFFFF"/>
        </w:rPr>
        <w:t>结合自评情况，分析存在的问题及原因。单位结合自评工作发现问题，项目实施及后期工作良好，项目管理有待加强，比如管理条列规定不明确，单位管理任务的分工划分还需进一步明细化和标准化。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spacing w:line="580" w:lineRule="exact"/>
        <w:ind w:firstLine="640" w:firstLineChars="200"/>
        <w:rPr>
          <w:rFonts w:ascii="仿宋" w:hAnsi="仿宋" w:eastAsia="仿宋" w:cs="仿宋_GB2312"/>
          <w:sz w:val="32"/>
          <w:szCs w:val="32"/>
        </w:rPr>
      </w:pPr>
      <w:r>
        <w:rPr>
          <w:rFonts w:hint="eastAsia" w:ascii="仿宋" w:hAnsi="仿宋" w:eastAsia="仿宋"/>
          <w:color w:val="000000"/>
          <w:sz w:val="32"/>
          <w:szCs w:val="32"/>
          <w:shd w:val="clear" w:color="auto" w:fill="FFFFFF"/>
        </w:rPr>
        <w:t>为保证我科协的科普项目能够扎实有效实施，项目经费筹集、管理、使用到位，规范收支，专款专用，根据项目实施方案要求，结合自身实际，分别制定相应措施，严格项目实施和经费管理。在实行项目效果管理，坚持“建、管、用”并重原则，合理配置，严格按照项目的目标任务，明确经费开支范围，有效整合各项资源，避免重复浪费，较好的确保了项目顺利开展、实施收效明显。</w:t>
      </w:r>
    </w:p>
    <w:p>
      <w:pPr>
        <w:spacing w:line="580" w:lineRule="exact"/>
        <w:rPr>
          <w:rStyle w:val="26"/>
          <w:rFonts w:ascii="仿宋" w:hAnsi="仿宋" w:eastAsia="仿宋" w:cs="仿宋_GB2312"/>
          <w:b w:val="0"/>
          <w:bCs w:val="0"/>
          <w:kern w:val="2"/>
          <w:sz w:val="32"/>
          <w:szCs w:val="32"/>
        </w:rPr>
      </w:pPr>
    </w:p>
    <w:p>
      <w:pPr>
        <w:spacing w:line="580" w:lineRule="exact"/>
        <w:rPr>
          <w:rStyle w:val="26"/>
          <w:rFonts w:ascii="仿宋" w:hAnsi="仿宋" w:eastAsia="仿宋" w:cs="仿宋_GB2312"/>
          <w:b w:val="0"/>
          <w:bCs w:val="0"/>
          <w:kern w:val="2"/>
          <w:sz w:val="32"/>
          <w:szCs w:val="32"/>
        </w:rPr>
      </w:pPr>
    </w:p>
    <w:p>
      <w:pPr>
        <w:spacing w:line="580" w:lineRule="exact"/>
        <w:rPr>
          <w:rStyle w:val="26"/>
          <w:rFonts w:ascii="仿宋" w:hAnsi="仿宋" w:eastAsia="仿宋" w:cs="仿宋_GB2312"/>
          <w:b w:val="0"/>
          <w:bCs w:val="0"/>
          <w:kern w:val="2"/>
          <w:sz w:val="32"/>
          <w:szCs w:val="32"/>
        </w:rPr>
      </w:pPr>
    </w:p>
    <w:p>
      <w:pPr>
        <w:spacing w:line="580" w:lineRule="exact"/>
        <w:rPr>
          <w:rStyle w:val="26"/>
          <w:rFonts w:ascii="仿宋" w:hAnsi="仿宋" w:eastAsia="仿宋" w:cs="仿宋_GB2312"/>
          <w:b w:val="0"/>
          <w:bCs w:val="0"/>
          <w:kern w:val="2"/>
          <w:sz w:val="32"/>
          <w:szCs w:val="32"/>
        </w:rPr>
      </w:pPr>
    </w:p>
    <w:p>
      <w:pPr>
        <w:spacing w:line="580" w:lineRule="exact"/>
        <w:rPr>
          <w:rStyle w:val="26"/>
          <w:rFonts w:ascii="仿宋" w:hAnsi="仿宋" w:eastAsia="仿宋" w:cs="仿宋_GB2312"/>
          <w:b w:val="0"/>
          <w:bCs w:val="0"/>
          <w:kern w:val="2"/>
          <w:sz w:val="32"/>
          <w:szCs w:val="32"/>
        </w:rPr>
      </w:pPr>
    </w:p>
    <w:p>
      <w:pPr>
        <w:spacing w:line="580" w:lineRule="exact"/>
        <w:rPr>
          <w:rStyle w:val="26"/>
          <w:rFonts w:ascii="仿宋" w:hAnsi="仿宋" w:eastAsia="仿宋" w:cs="仿宋_GB2312"/>
          <w:b w:val="0"/>
          <w:bCs w:val="0"/>
          <w:kern w:val="2"/>
          <w:sz w:val="32"/>
          <w:szCs w:val="32"/>
        </w:rPr>
      </w:pPr>
    </w:p>
    <w:p>
      <w:pPr>
        <w:spacing w:line="600" w:lineRule="exact"/>
        <w:jc w:val="center"/>
        <w:outlineLvl w:val="0"/>
        <w:rPr>
          <w:rStyle w:val="26"/>
          <w:rFonts w:ascii="黑体" w:hAnsi="黑体" w:eastAsia="黑体"/>
          <w:b w:val="0"/>
        </w:rPr>
      </w:pPr>
      <w:bookmarkStart w:id="56"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5"/>
      <w:bookmarkEnd w:id="56"/>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7" w:name="_Toc15396619"/>
      <w:r>
        <w:rPr>
          <w:rFonts w:hint="eastAsia" w:ascii="仿宋" w:hAnsi="仿宋" w:eastAsia="仿宋"/>
          <w:b w:val="0"/>
          <w:color w:val="000000"/>
        </w:rPr>
        <w:t>一、收</w:t>
      </w:r>
      <w:r>
        <w:rPr>
          <w:rStyle w:val="27"/>
          <w:rFonts w:hint="eastAsia" w:ascii="仿宋" w:hAnsi="仿宋" w:eastAsia="仿宋"/>
          <w:b w:val="0"/>
          <w:bCs w:val="0"/>
        </w:rPr>
        <w:t>入支出决算总表</w:t>
      </w:r>
      <w:bookmarkEnd w:id="57"/>
    </w:p>
    <w:p>
      <w:pPr>
        <w:pStyle w:val="3"/>
        <w:rPr>
          <w:rFonts w:ascii="仿宋" w:hAnsi="仿宋" w:eastAsia="仿宋"/>
          <w:color w:val="000000"/>
        </w:rPr>
      </w:pPr>
      <w:bookmarkStart w:id="58"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58"/>
    </w:p>
    <w:p>
      <w:pPr>
        <w:pStyle w:val="3"/>
        <w:rPr>
          <w:rFonts w:ascii="仿宋" w:hAnsi="仿宋" w:eastAsia="仿宋"/>
          <w:color w:val="000000"/>
        </w:rPr>
      </w:pPr>
      <w:bookmarkStart w:id="59"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59"/>
    </w:p>
    <w:p>
      <w:pPr>
        <w:pStyle w:val="3"/>
        <w:rPr>
          <w:rFonts w:ascii="仿宋" w:hAnsi="仿宋" w:eastAsia="仿宋"/>
          <w:b w:val="0"/>
          <w:color w:val="000000"/>
        </w:rPr>
      </w:pPr>
      <w:bookmarkStart w:id="60"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0"/>
    </w:p>
    <w:p>
      <w:pPr>
        <w:pStyle w:val="3"/>
        <w:rPr>
          <w:rStyle w:val="27"/>
          <w:rFonts w:ascii="仿宋" w:hAnsi="仿宋" w:eastAsia="仿宋"/>
          <w:b w:val="0"/>
          <w:bCs w:val="0"/>
        </w:rPr>
      </w:pPr>
      <w:bookmarkStart w:id="61"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61"/>
      <w:bookmarkStart w:id="62" w:name="_Toc15396624"/>
    </w:p>
    <w:p>
      <w:pPr>
        <w:pStyle w:val="3"/>
        <w:rPr>
          <w:rFonts w:ascii="仿宋" w:hAnsi="仿宋" w:eastAsia="仿宋"/>
          <w:color w:val="000000"/>
        </w:rPr>
      </w:pPr>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2"/>
    </w:p>
    <w:p>
      <w:pPr>
        <w:pStyle w:val="3"/>
        <w:rPr>
          <w:rFonts w:ascii="仿宋" w:hAnsi="仿宋" w:eastAsia="仿宋"/>
          <w:color w:val="000000"/>
        </w:rPr>
      </w:pPr>
      <w:bookmarkStart w:id="63"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3"/>
    </w:p>
    <w:p>
      <w:pPr>
        <w:pStyle w:val="3"/>
        <w:rPr>
          <w:rFonts w:ascii="仿宋" w:hAnsi="仿宋" w:eastAsia="仿宋"/>
          <w:color w:val="000000"/>
        </w:rPr>
      </w:pPr>
      <w:bookmarkStart w:id="64"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4"/>
    </w:p>
    <w:p>
      <w:pPr>
        <w:pStyle w:val="3"/>
        <w:rPr>
          <w:rFonts w:ascii="仿宋" w:hAnsi="仿宋" w:eastAsia="仿宋"/>
          <w:color w:val="000000"/>
        </w:rPr>
      </w:pPr>
      <w:bookmarkStart w:id="65"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65"/>
    </w:p>
    <w:p>
      <w:pPr>
        <w:pStyle w:val="3"/>
        <w:rPr>
          <w:rFonts w:ascii="仿宋" w:hAnsi="仿宋" w:eastAsia="仿宋"/>
          <w:color w:val="000000"/>
        </w:rPr>
      </w:pPr>
      <w:bookmarkStart w:id="66"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66"/>
    </w:p>
    <w:p>
      <w:pPr>
        <w:pStyle w:val="3"/>
        <w:rPr>
          <w:rFonts w:ascii="仿宋" w:hAnsi="仿宋" w:eastAsia="仿宋"/>
          <w:color w:val="000000"/>
        </w:rPr>
      </w:pPr>
      <w:bookmarkStart w:id="67"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67"/>
    </w:p>
    <w:p>
      <w:pPr>
        <w:pStyle w:val="3"/>
        <w:rPr>
          <w:rFonts w:ascii="仿宋" w:hAnsi="仿宋" w:eastAsia="仿宋"/>
          <w:color w:val="000000"/>
        </w:rPr>
      </w:pPr>
      <w:bookmarkStart w:id="68"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68"/>
    </w:p>
    <w:p>
      <w:pPr>
        <w:pStyle w:val="3"/>
        <w:rPr>
          <w:rFonts w:ascii="仿宋" w:hAnsi="仿宋" w:eastAsia="仿宋"/>
          <w:color w:val="000000" w:themeColor="text1"/>
          <w14:textFill>
            <w14:solidFill>
              <w14:schemeClr w14:val="tx1"/>
            </w14:solidFill>
          </w14:textFill>
        </w:rPr>
      </w:pPr>
      <w:bookmarkStart w:id="69"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69"/>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panose1 w:val="02000000000000000000"/>
    <w:charset w:val="86"/>
    <w:family w:val="roman"/>
    <w:pitch w:val="default"/>
    <w:sig w:usb0="00000001" w:usb1="08000000" w:usb2="00000000" w:usb3="00000000" w:csb0="00040000" w:csb1="00000000"/>
  </w:font>
  <w:font w:name="方正仿宋_GBK">
    <w:panose1 w:val="03000509000000000000"/>
    <w:charset w:val="86"/>
    <w:family w:val="roma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65443134"/>
    </w:sdtPr>
    <w:sdtContent>
      <w:p>
        <w:pPr>
          <w:pStyle w:val="8"/>
          <w:jc w:val="right"/>
        </w:pPr>
        <w:r>
          <w:fldChar w:fldCharType="begin"/>
        </w:r>
        <w:r>
          <w:instrText xml:space="preserve">PAGE   \* MERGEFORMAT</w:instrText>
        </w:r>
        <w:r>
          <w:fldChar w:fldCharType="separate"/>
        </w:r>
        <w:r>
          <w:rPr>
            <w:lang w:val="zh-CN"/>
          </w:rPr>
          <w:t>2</w:t>
        </w:r>
        <w:r>
          <w:fldChar w:fldCharType="end"/>
        </w: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316C"/>
    <w:rsid w:val="000134B6"/>
    <w:rsid w:val="000201A5"/>
    <w:rsid w:val="000203C2"/>
    <w:rsid w:val="000222C6"/>
    <w:rsid w:val="0002549F"/>
    <w:rsid w:val="000468DB"/>
    <w:rsid w:val="0004752B"/>
    <w:rsid w:val="00054EB4"/>
    <w:rsid w:val="00056A28"/>
    <w:rsid w:val="0006487A"/>
    <w:rsid w:val="00065F8F"/>
    <w:rsid w:val="00070A43"/>
    <w:rsid w:val="000768F2"/>
    <w:rsid w:val="00076A84"/>
    <w:rsid w:val="00080157"/>
    <w:rsid w:val="000873D3"/>
    <w:rsid w:val="0009184B"/>
    <w:rsid w:val="00094236"/>
    <w:rsid w:val="0009593C"/>
    <w:rsid w:val="00097322"/>
    <w:rsid w:val="000979BF"/>
    <w:rsid w:val="00097F37"/>
    <w:rsid w:val="000A6A92"/>
    <w:rsid w:val="000B047F"/>
    <w:rsid w:val="000B5923"/>
    <w:rsid w:val="000B5A48"/>
    <w:rsid w:val="000B6FF3"/>
    <w:rsid w:val="000C1F5F"/>
    <w:rsid w:val="000C3467"/>
    <w:rsid w:val="000C3CA6"/>
    <w:rsid w:val="000D1267"/>
    <w:rsid w:val="000D1D50"/>
    <w:rsid w:val="000D5782"/>
    <w:rsid w:val="000E6613"/>
    <w:rsid w:val="000E672F"/>
    <w:rsid w:val="000E7119"/>
    <w:rsid w:val="000E74A6"/>
    <w:rsid w:val="00113AFF"/>
    <w:rsid w:val="00114E9B"/>
    <w:rsid w:val="00120382"/>
    <w:rsid w:val="00122578"/>
    <w:rsid w:val="00127477"/>
    <w:rsid w:val="00134251"/>
    <w:rsid w:val="00135121"/>
    <w:rsid w:val="0013521D"/>
    <w:rsid w:val="00142216"/>
    <w:rsid w:val="001449CE"/>
    <w:rsid w:val="00144D6A"/>
    <w:rsid w:val="00145F2C"/>
    <w:rsid w:val="0014729F"/>
    <w:rsid w:val="00151F89"/>
    <w:rsid w:val="00157BAB"/>
    <w:rsid w:val="001606FC"/>
    <w:rsid w:val="00160C27"/>
    <w:rsid w:val="001654D1"/>
    <w:rsid w:val="00174518"/>
    <w:rsid w:val="0018106D"/>
    <w:rsid w:val="001877A7"/>
    <w:rsid w:val="00191536"/>
    <w:rsid w:val="00196687"/>
    <w:rsid w:val="001C0962"/>
    <w:rsid w:val="001D7531"/>
    <w:rsid w:val="001E5ADC"/>
    <w:rsid w:val="001E737D"/>
    <w:rsid w:val="001E7D24"/>
    <w:rsid w:val="001F0592"/>
    <w:rsid w:val="001F7506"/>
    <w:rsid w:val="002006CD"/>
    <w:rsid w:val="002010D3"/>
    <w:rsid w:val="00202B36"/>
    <w:rsid w:val="00204B7A"/>
    <w:rsid w:val="00204CDE"/>
    <w:rsid w:val="0021101A"/>
    <w:rsid w:val="00213DDA"/>
    <w:rsid w:val="00220536"/>
    <w:rsid w:val="00233B20"/>
    <w:rsid w:val="00235629"/>
    <w:rsid w:val="00236F0B"/>
    <w:rsid w:val="0024186C"/>
    <w:rsid w:val="002434DE"/>
    <w:rsid w:val="00260C38"/>
    <w:rsid w:val="002616C0"/>
    <w:rsid w:val="00265372"/>
    <w:rsid w:val="002662AA"/>
    <w:rsid w:val="00280496"/>
    <w:rsid w:val="00285580"/>
    <w:rsid w:val="00294DC9"/>
    <w:rsid w:val="00295495"/>
    <w:rsid w:val="002A31DE"/>
    <w:rsid w:val="002A3892"/>
    <w:rsid w:val="002A5754"/>
    <w:rsid w:val="002B2613"/>
    <w:rsid w:val="002B62EC"/>
    <w:rsid w:val="002C1024"/>
    <w:rsid w:val="002C404F"/>
    <w:rsid w:val="002C7D90"/>
    <w:rsid w:val="002D19B0"/>
    <w:rsid w:val="002D2152"/>
    <w:rsid w:val="002D6D05"/>
    <w:rsid w:val="002F1818"/>
    <w:rsid w:val="002F52A3"/>
    <w:rsid w:val="002F567B"/>
    <w:rsid w:val="003216A9"/>
    <w:rsid w:val="00335A74"/>
    <w:rsid w:val="0034797B"/>
    <w:rsid w:val="003638C3"/>
    <w:rsid w:val="0036561B"/>
    <w:rsid w:val="0037013F"/>
    <w:rsid w:val="003731F2"/>
    <w:rsid w:val="00380C92"/>
    <w:rsid w:val="003962C1"/>
    <w:rsid w:val="003969AA"/>
    <w:rsid w:val="003A484F"/>
    <w:rsid w:val="003A4883"/>
    <w:rsid w:val="003B0BE0"/>
    <w:rsid w:val="003B0C1B"/>
    <w:rsid w:val="003B1601"/>
    <w:rsid w:val="003B688C"/>
    <w:rsid w:val="003C0291"/>
    <w:rsid w:val="003C39AE"/>
    <w:rsid w:val="003C7B60"/>
    <w:rsid w:val="003D0C0F"/>
    <w:rsid w:val="003D1FB2"/>
    <w:rsid w:val="003D66DA"/>
    <w:rsid w:val="003E1310"/>
    <w:rsid w:val="003E6F55"/>
    <w:rsid w:val="003F6619"/>
    <w:rsid w:val="00406254"/>
    <w:rsid w:val="00407B21"/>
    <w:rsid w:val="0041022D"/>
    <w:rsid w:val="0041340F"/>
    <w:rsid w:val="00416CD4"/>
    <w:rsid w:val="004223DE"/>
    <w:rsid w:val="00434489"/>
    <w:rsid w:val="00437085"/>
    <w:rsid w:val="00443880"/>
    <w:rsid w:val="004464F4"/>
    <w:rsid w:val="00463E0E"/>
    <w:rsid w:val="004677ED"/>
    <w:rsid w:val="00467AF3"/>
    <w:rsid w:val="00471401"/>
    <w:rsid w:val="00471BBF"/>
    <w:rsid w:val="00473F31"/>
    <w:rsid w:val="0048263A"/>
    <w:rsid w:val="00487E5D"/>
    <w:rsid w:val="00494589"/>
    <w:rsid w:val="004A711F"/>
    <w:rsid w:val="004B199D"/>
    <w:rsid w:val="004B4690"/>
    <w:rsid w:val="004D5E94"/>
    <w:rsid w:val="004E0A2D"/>
    <w:rsid w:val="004E1D4D"/>
    <w:rsid w:val="004E206B"/>
    <w:rsid w:val="004E3E30"/>
    <w:rsid w:val="004E6DF7"/>
    <w:rsid w:val="004F0FBD"/>
    <w:rsid w:val="004F403E"/>
    <w:rsid w:val="00505A47"/>
    <w:rsid w:val="0050750A"/>
    <w:rsid w:val="00512FDA"/>
    <w:rsid w:val="00515C3B"/>
    <w:rsid w:val="00517E99"/>
    <w:rsid w:val="00520C3E"/>
    <w:rsid w:val="00520DA0"/>
    <w:rsid w:val="00564FC1"/>
    <w:rsid w:val="005664BB"/>
    <w:rsid w:val="00566FFA"/>
    <w:rsid w:val="005718DA"/>
    <w:rsid w:val="0057481D"/>
    <w:rsid w:val="00575F0B"/>
    <w:rsid w:val="005807A9"/>
    <w:rsid w:val="0058486E"/>
    <w:rsid w:val="005856EC"/>
    <w:rsid w:val="00585B33"/>
    <w:rsid w:val="00586CC2"/>
    <w:rsid w:val="0059014D"/>
    <w:rsid w:val="00592A31"/>
    <w:rsid w:val="005B5C64"/>
    <w:rsid w:val="005B6976"/>
    <w:rsid w:val="005C6BD0"/>
    <w:rsid w:val="005C6C4C"/>
    <w:rsid w:val="005D1C8B"/>
    <w:rsid w:val="005D468D"/>
    <w:rsid w:val="005D5CED"/>
    <w:rsid w:val="005E3514"/>
    <w:rsid w:val="005E5641"/>
    <w:rsid w:val="005E7D7E"/>
    <w:rsid w:val="005F1A4C"/>
    <w:rsid w:val="00605688"/>
    <w:rsid w:val="006070AF"/>
    <w:rsid w:val="00607E6C"/>
    <w:rsid w:val="00610028"/>
    <w:rsid w:val="006101B1"/>
    <w:rsid w:val="00614E44"/>
    <w:rsid w:val="0062270A"/>
    <w:rsid w:val="00622830"/>
    <w:rsid w:val="00623DA0"/>
    <w:rsid w:val="0062529D"/>
    <w:rsid w:val="00630AEF"/>
    <w:rsid w:val="006325F8"/>
    <w:rsid w:val="00633463"/>
    <w:rsid w:val="00634C9A"/>
    <w:rsid w:val="006440E4"/>
    <w:rsid w:val="00653229"/>
    <w:rsid w:val="0066343B"/>
    <w:rsid w:val="00664777"/>
    <w:rsid w:val="00666993"/>
    <w:rsid w:val="00671B2A"/>
    <w:rsid w:val="00672D5D"/>
    <w:rsid w:val="006748A4"/>
    <w:rsid w:val="00681A31"/>
    <w:rsid w:val="00682BF8"/>
    <w:rsid w:val="00683E73"/>
    <w:rsid w:val="00684256"/>
    <w:rsid w:val="00694B55"/>
    <w:rsid w:val="006A3141"/>
    <w:rsid w:val="006A5E34"/>
    <w:rsid w:val="006B2422"/>
    <w:rsid w:val="006B2B9A"/>
    <w:rsid w:val="006C1937"/>
    <w:rsid w:val="006E38FE"/>
    <w:rsid w:val="006F020C"/>
    <w:rsid w:val="006F7988"/>
    <w:rsid w:val="007127B7"/>
    <w:rsid w:val="0071798E"/>
    <w:rsid w:val="00722178"/>
    <w:rsid w:val="00727533"/>
    <w:rsid w:val="007416B6"/>
    <w:rsid w:val="00746F48"/>
    <w:rsid w:val="00751C6E"/>
    <w:rsid w:val="0075404D"/>
    <w:rsid w:val="0076182A"/>
    <w:rsid w:val="00762F51"/>
    <w:rsid w:val="007638BE"/>
    <w:rsid w:val="00767B7E"/>
    <w:rsid w:val="007770C3"/>
    <w:rsid w:val="00784D24"/>
    <w:rsid w:val="00785FBA"/>
    <w:rsid w:val="007868C5"/>
    <w:rsid w:val="00786E4A"/>
    <w:rsid w:val="007875EB"/>
    <w:rsid w:val="0079426B"/>
    <w:rsid w:val="007A617F"/>
    <w:rsid w:val="007D1682"/>
    <w:rsid w:val="007D312A"/>
    <w:rsid w:val="007D3F19"/>
    <w:rsid w:val="007E23B0"/>
    <w:rsid w:val="007F1991"/>
    <w:rsid w:val="007F2C2F"/>
    <w:rsid w:val="007F55FC"/>
    <w:rsid w:val="007F5665"/>
    <w:rsid w:val="007F7FC6"/>
    <w:rsid w:val="00800112"/>
    <w:rsid w:val="00813348"/>
    <w:rsid w:val="008253BB"/>
    <w:rsid w:val="00833962"/>
    <w:rsid w:val="0083706E"/>
    <w:rsid w:val="008408F6"/>
    <w:rsid w:val="008422AE"/>
    <w:rsid w:val="008423A5"/>
    <w:rsid w:val="00850625"/>
    <w:rsid w:val="00853718"/>
    <w:rsid w:val="00855221"/>
    <w:rsid w:val="00860645"/>
    <w:rsid w:val="00871F71"/>
    <w:rsid w:val="00872FD8"/>
    <w:rsid w:val="00875BFF"/>
    <w:rsid w:val="00882E27"/>
    <w:rsid w:val="00885AF4"/>
    <w:rsid w:val="00892510"/>
    <w:rsid w:val="008939CD"/>
    <w:rsid w:val="0089547D"/>
    <w:rsid w:val="008B768C"/>
    <w:rsid w:val="008C39F5"/>
    <w:rsid w:val="008C4DB1"/>
    <w:rsid w:val="008C4EAF"/>
    <w:rsid w:val="008C5176"/>
    <w:rsid w:val="008C7FD0"/>
    <w:rsid w:val="008E1DE7"/>
    <w:rsid w:val="008E707C"/>
    <w:rsid w:val="008F036B"/>
    <w:rsid w:val="008F0CFD"/>
    <w:rsid w:val="008F472F"/>
    <w:rsid w:val="00900B08"/>
    <w:rsid w:val="00902155"/>
    <w:rsid w:val="00902FA3"/>
    <w:rsid w:val="00912436"/>
    <w:rsid w:val="00923564"/>
    <w:rsid w:val="0092392E"/>
    <w:rsid w:val="00925455"/>
    <w:rsid w:val="0092672E"/>
    <w:rsid w:val="009315F9"/>
    <w:rsid w:val="00933499"/>
    <w:rsid w:val="00935C98"/>
    <w:rsid w:val="0094116A"/>
    <w:rsid w:val="00946945"/>
    <w:rsid w:val="009504BA"/>
    <w:rsid w:val="00951248"/>
    <w:rsid w:val="0095152F"/>
    <w:rsid w:val="00954C49"/>
    <w:rsid w:val="00954E03"/>
    <w:rsid w:val="009551AA"/>
    <w:rsid w:val="00955E37"/>
    <w:rsid w:val="00965168"/>
    <w:rsid w:val="0097099F"/>
    <w:rsid w:val="00971997"/>
    <w:rsid w:val="00971FFC"/>
    <w:rsid w:val="0098660A"/>
    <w:rsid w:val="009931C3"/>
    <w:rsid w:val="00994141"/>
    <w:rsid w:val="009B2C43"/>
    <w:rsid w:val="009B4EAE"/>
    <w:rsid w:val="009B7573"/>
    <w:rsid w:val="009C032C"/>
    <w:rsid w:val="009C22F4"/>
    <w:rsid w:val="009C2E98"/>
    <w:rsid w:val="009C37FB"/>
    <w:rsid w:val="009D3447"/>
    <w:rsid w:val="009D4711"/>
    <w:rsid w:val="009F1185"/>
    <w:rsid w:val="009F18CD"/>
    <w:rsid w:val="009F21B7"/>
    <w:rsid w:val="009F2A13"/>
    <w:rsid w:val="009F7527"/>
    <w:rsid w:val="00A039ED"/>
    <w:rsid w:val="00A04EB0"/>
    <w:rsid w:val="00A13CC1"/>
    <w:rsid w:val="00A13D95"/>
    <w:rsid w:val="00A16847"/>
    <w:rsid w:val="00A20F52"/>
    <w:rsid w:val="00A237D8"/>
    <w:rsid w:val="00A268C4"/>
    <w:rsid w:val="00A307CD"/>
    <w:rsid w:val="00A331C8"/>
    <w:rsid w:val="00A3351D"/>
    <w:rsid w:val="00A35117"/>
    <w:rsid w:val="00A36993"/>
    <w:rsid w:val="00A40A00"/>
    <w:rsid w:val="00A4142F"/>
    <w:rsid w:val="00A422EB"/>
    <w:rsid w:val="00A45BB7"/>
    <w:rsid w:val="00A56DF2"/>
    <w:rsid w:val="00A56E6E"/>
    <w:rsid w:val="00A57D63"/>
    <w:rsid w:val="00A64A25"/>
    <w:rsid w:val="00A67AB5"/>
    <w:rsid w:val="00A70DAD"/>
    <w:rsid w:val="00A733B2"/>
    <w:rsid w:val="00A741C2"/>
    <w:rsid w:val="00A87BBC"/>
    <w:rsid w:val="00A91760"/>
    <w:rsid w:val="00A92A65"/>
    <w:rsid w:val="00A93B00"/>
    <w:rsid w:val="00A93C21"/>
    <w:rsid w:val="00AB4881"/>
    <w:rsid w:val="00AB64C9"/>
    <w:rsid w:val="00AC3C6A"/>
    <w:rsid w:val="00AC3C87"/>
    <w:rsid w:val="00AC79B4"/>
    <w:rsid w:val="00AD0F83"/>
    <w:rsid w:val="00AD1890"/>
    <w:rsid w:val="00AD5620"/>
    <w:rsid w:val="00AD656B"/>
    <w:rsid w:val="00AD7C1B"/>
    <w:rsid w:val="00AE16BA"/>
    <w:rsid w:val="00AE1EBE"/>
    <w:rsid w:val="00AF37A0"/>
    <w:rsid w:val="00B03C9D"/>
    <w:rsid w:val="00B05764"/>
    <w:rsid w:val="00B060AE"/>
    <w:rsid w:val="00B10517"/>
    <w:rsid w:val="00B14E76"/>
    <w:rsid w:val="00B161B8"/>
    <w:rsid w:val="00B2048C"/>
    <w:rsid w:val="00B310B9"/>
    <w:rsid w:val="00B31E93"/>
    <w:rsid w:val="00B35D70"/>
    <w:rsid w:val="00B35F3F"/>
    <w:rsid w:val="00B36CBB"/>
    <w:rsid w:val="00B425E0"/>
    <w:rsid w:val="00B43898"/>
    <w:rsid w:val="00B440AA"/>
    <w:rsid w:val="00B44B70"/>
    <w:rsid w:val="00B53C56"/>
    <w:rsid w:val="00B567FC"/>
    <w:rsid w:val="00B57DAF"/>
    <w:rsid w:val="00B61FC1"/>
    <w:rsid w:val="00B6229B"/>
    <w:rsid w:val="00B77EA6"/>
    <w:rsid w:val="00B81598"/>
    <w:rsid w:val="00B841F1"/>
    <w:rsid w:val="00B908C8"/>
    <w:rsid w:val="00B944D6"/>
    <w:rsid w:val="00BB26B3"/>
    <w:rsid w:val="00BB4DF0"/>
    <w:rsid w:val="00BB7ECE"/>
    <w:rsid w:val="00BC289F"/>
    <w:rsid w:val="00BC2D50"/>
    <w:rsid w:val="00BC5361"/>
    <w:rsid w:val="00BC5460"/>
    <w:rsid w:val="00BC6B50"/>
    <w:rsid w:val="00BD0E25"/>
    <w:rsid w:val="00BD77D1"/>
    <w:rsid w:val="00BE2410"/>
    <w:rsid w:val="00BF5BD6"/>
    <w:rsid w:val="00BF6515"/>
    <w:rsid w:val="00C00CB3"/>
    <w:rsid w:val="00C03E31"/>
    <w:rsid w:val="00C15931"/>
    <w:rsid w:val="00C15C0D"/>
    <w:rsid w:val="00C22C46"/>
    <w:rsid w:val="00C30E69"/>
    <w:rsid w:val="00C33E72"/>
    <w:rsid w:val="00C354B2"/>
    <w:rsid w:val="00C35554"/>
    <w:rsid w:val="00C42709"/>
    <w:rsid w:val="00C533CC"/>
    <w:rsid w:val="00C55574"/>
    <w:rsid w:val="00C56BF4"/>
    <w:rsid w:val="00C5751C"/>
    <w:rsid w:val="00C61BFC"/>
    <w:rsid w:val="00C62B85"/>
    <w:rsid w:val="00C65438"/>
    <w:rsid w:val="00C771BC"/>
    <w:rsid w:val="00C91CBB"/>
    <w:rsid w:val="00CB4E70"/>
    <w:rsid w:val="00CC09B6"/>
    <w:rsid w:val="00CC3E61"/>
    <w:rsid w:val="00CC666F"/>
    <w:rsid w:val="00CD0292"/>
    <w:rsid w:val="00CD1D30"/>
    <w:rsid w:val="00CD1E3F"/>
    <w:rsid w:val="00CE004E"/>
    <w:rsid w:val="00CE44F6"/>
    <w:rsid w:val="00CE49DA"/>
    <w:rsid w:val="00CE7B61"/>
    <w:rsid w:val="00D00095"/>
    <w:rsid w:val="00D114F0"/>
    <w:rsid w:val="00D179F5"/>
    <w:rsid w:val="00D20620"/>
    <w:rsid w:val="00D2207C"/>
    <w:rsid w:val="00D254F7"/>
    <w:rsid w:val="00D25540"/>
    <w:rsid w:val="00D26091"/>
    <w:rsid w:val="00D2685C"/>
    <w:rsid w:val="00D34E7C"/>
    <w:rsid w:val="00D35489"/>
    <w:rsid w:val="00D355BD"/>
    <w:rsid w:val="00D36AFE"/>
    <w:rsid w:val="00D51276"/>
    <w:rsid w:val="00D616ED"/>
    <w:rsid w:val="00D7035F"/>
    <w:rsid w:val="00D72BB9"/>
    <w:rsid w:val="00D85042"/>
    <w:rsid w:val="00D87565"/>
    <w:rsid w:val="00D96393"/>
    <w:rsid w:val="00DA4485"/>
    <w:rsid w:val="00DA5045"/>
    <w:rsid w:val="00DA634F"/>
    <w:rsid w:val="00DA65AC"/>
    <w:rsid w:val="00DB1913"/>
    <w:rsid w:val="00DC410D"/>
    <w:rsid w:val="00DC5A81"/>
    <w:rsid w:val="00DC68CA"/>
    <w:rsid w:val="00DC6B12"/>
    <w:rsid w:val="00DC7CBA"/>
    <w:rsid w:val="00DD1781"/>
    <w:rsid w:val="00DD73B7"/>
    <w:rsid w:val="00DE4B73"/>
    <w:rsid w:val="00DE69D8"/>
    <w:rsid w:val="00DF28BC"/>
    <w:rsid w:val="00DF34B9"/>
    <w:rsid w:val="00DF7548"/>
    <w:rsid w:val="00E01053"/>
    <w:rsid w:val="00E07ACF"/>
    <w:rsid w:val="00E109D5"/>
    <w:rsid w:val="00E331A1"/>
    <w:rsid w:val="00E33202"/>
    <w:rsid w:val="00E336A9"/>
    <w:rsid w:val="00E472B1"/>
    <w:rsid w:val="00E47E3E"/>
    <w:rsid w:val="00E50624"/>
    <w:rsid w:val="00E568DF"/>
    <w:rsid w:val="00E64269"/>
    <w:rsid w:val="00E66797"/>
    <w:rsid w:val="00E82267"/>
    <w:rsid w:val="00E853CE"/>
    <w:rsid w:val="00E867B6"/>
    <w:rsid w:val="00E87F08"/>
    <w:rsid w:val="00E9173F"/>
    <w:rsid w:val="00E94BD7"/>
    <w:rsid w:val="00E954DF"/>
    <w:rsid w:val="00EA010F"/>
    <w:rsid w:val="00EC3230"/>
    <w:rsid w:val="00EC6713"/>
    <w:rsid w:val="00ED1B63"/>
    <w:rsid w:val="00ED2F95"/>
    <w:rsid w:val="00ED3C1F"/>
    <w:rsid w:val="00ED4085"/>
    <w:rsid w:val="00ED420E"/>
    <w:rsid w:val="00ED6FBE"/>
    <w:rsid w:val="00EE2F57"/>
    <w:rsid w:val="00EE48D2"/>
    <w:rsid w:val="00EF1835"/>
    <w:rsid w:val="00EF4C34"/>
    <w:rsid w:val="00EF77C6"/>
    <w:rsid w:val="00F05438"/>
    <w:rsid w:val="00F10A12"/>
    <w:rsid w:val="00F1361C"/>
    <w:rsid w:val="00F13FBC"/>
    <w:rsid w:val="00F156F0"/>
    <w:rsid w:val="00F160C7"/>
    <w:rsid w:val="00F20BA0"/>
    <w:rsid w:val="00F2408F"/>
    <w:rsid w:val="00F240E9"/>
    <w:rsid w:val="00F26E5A"/>
    <w:rsid w:val="00F36D8F"/>
    <w:rsid w:val="00F417B1"/>
    <w:rsid w:val="00F45853"/>
    <w:rsid w:val="00F549BA"/>
    <w:rsid w:val="00F602DF"/>
    <w:rsid w:val="00F742FE"/>
    <w:rsid w:val="00F754A1"/>
    <w:rsid w:val="00F77154"/>
    <w:rsid w:val="00F81FD9"/>
    <w:rsid w:val="00F841AA"/>
    <w:rsid w:val="00F84A94"/>
    <w:rsid w:val="00F87E96"/>
    <w:rsid w:val="00FA23E8"/>
    <w:rsid w:val="00FC2ABC"/>
    <w:rsid w:val="00FD3CC1"/>
    <w:rsid w:val="00FE2DD1"/>
    <w:rsid w:val="00FF1E02"/>
    <w:rsid w:val="00FF30B4"/>
    <w:rsid w:val="00FF53CA"/>
    <w:rsid w:val="10C055FF"/>
    <w:rsid w:val="16BB723D"/>
    <w:rsid w:val="22C627C7"/>
    <w:rsid w:val="240371BF"/>
    <w:rsid w:val="29D939D8"/>
    <w:rsid w:val="29FD04D3"/>
    <w:rsid w:val="2B473369"/>
    <w:rsid w:val="319F7F4E"/>
    <w:rsid w:val="4B1931D8"/>
    <w:rsid w:val="4ECE2238"/>
    <w:rsid w:val="57A70DE1"/>
    <w:rsid w:val="72734D90"/>
    <w:rsid w:val="794C3C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uiPriority w:val="1"/>
  </w:style>
  <w:style w:type="table" w:default="1" w:styleId="14">
    <w:name w:val="Normal Table"/>
    <w:unhideWhenUsed/>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HTML Preformatted"/>
    <w:basedOn w:val="1"/>
    <w:link w:val="32"/>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3">
    <w:name w:val="Normal (Web)"/>
    <w:basedOn w:val="1"/>
    <w:unhideWhenUsed/>
    <w:qFormat/>
    <w:uiPriority w:val="99"/>
    <w:pPr>
      <w:spacing w:before="100" w:beforeAutospacing="1" w:after="100" w:afterAutospacing="1"/>
      <w:jc w:val="left"/>
    </w:pPr>
    <w:rPr>
      <w:kern w:val="0"/>
      <w:sz w:val="24"/>
    </w:rPr>
  </w:style>
  <w:style w:type="character" w:styleId="16">
    <w:name w:val="Strong"/>
    <w:basedOn w:val="15"/>
    <w:qFormat/>
    <w:uiPriority w:val="22"/>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9"/>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8"/>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列表段落1"/>
    <w:basedOn w:val="1"/>
    <w:qFormat/>
    <w:uiPriority w:val="34"/>
    <w:pPr>
      <w:ind w:firstLine="420" w:firstLineChars="200"/>
    </w:pPr>
  </w:style>
  <w:style w:type="character" w:customStyle="1" w:styleId="26">
    <w:name w:val="标题 1 字符"/>
    <w:basedOn w:val="15"/>
    <w:link w:val="2"/>
    <w:qFormat/>
    <w:uiPriority w:val="9"/>
    <w:rPr>
      <w:rFonts w:ascii="Times New Roman" w:hAnsi="Times New Roman"/>
      <w:b/>
      <w:bCs/>
      <w:kern w:val="44"/>
      <w:sz w:val="44"/>
      <w:szCs w:val="44"/>
    </w:rPr>
  </w:style>
  <w:style w:type="character" w:customStyle="1" w:styleId="27">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7"/>
    <w:semiHidden/>
    <w:qFormat/>
    <w:uiPriority w:val="99"/>
    <w:rPr>
      <w:rFonts w:ascii="Times New Roman" w:hAnsi="Times New Roman"/>
      <w:kern w:val="2"/>
      <w:sz w:val="18"/>
      <w:szCs w:val="18"/>
    </w:rPr>
  </w:style>
  <w:style w:type="character" w:customStyle="1" w:styleId="30">
    <w:name w:val="标题 3 字符"/>
    <w:basedOn w:val="15"/>
    <w:link w:val="4"/>
    <w:qFormat/>
    <w:uiPriority w:val="9"/>
    <w:rPr>
      <w:rFonts w:ascii="Times New Roman" w:hAnsi="Times New Roman"/>
      <w:b/>
      <w:bCs/>
      <w:kern w:val="2"/>
      <w:sz w:val="32"/>
      <w:szCs w:val="32"/>
    </w:rPr>
  </w:style>
  <w:style w:type="paragraph" w:customStyle="1" w:styleId="31">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HTML 预设格式 字符"/>
    <w:basedOn w:val="15"/>
    <w:link w:val="12"/>
    <w:semiHidden/>
    <w:qFormat/>
    <w:uiPriority w:val="99"/>
    <w:rPr>
      <w:rFonts w:ascii="宋体" w:hAnsi="宋体" w:cs="宋体"/>
      <w:sz w:val="24"/>
      <w:szCs w:val="24"/>
    </w:rPr>
  </w:style>
  <w:style w:type="paragraph" w:customStyle="1" w:styleId="33">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chart" Target="charts/chart8.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16383\Desktop\&#39292;&#29366;&#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3.xlsx"/></Relationships>
</file>

<file path=word/charts/_rels/chart8.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078671836302"/>
          <c:y val="0.269031959240389"/>
          <c:w val="0.828507011460878"/>
          <c:h val="0.600080647358527"/>
        </c:manualLayout>
      </c:layout>
      <c:barChart>
        <c:barDir val="col"/>
        <c:grouping val="clustered"/>
        <c:varyColors val="0"/>
        <c:ser>
          <c:idx val="2"/>
          <c:order val="1"/>
          <c:tx>
            <c:strRef>
              <c:f>2019</c:f>
              <c:strCache>
                <c:ptCount val="1"/>
                <c:pt idx="0">
                  <c:v>2019</c:v>
                </c:pt>
              </c:strCache>
            </c:strRef>
          </c:tx>
          <c:spPr>
            <a:solidFill>
              <a:srgbClr val="FF0000"/>
            </a:solidFill>
            <a:ln>
              <a:solidFill>
                <a:schemeClr val="bg1"/>
              </a:solidFill>
            </a:ln>
            <a:effectLst/>
          </c:spPr>
          <c:invertIfNegative val="0"/>
          <c:dLbls>
            <c:delete val="1"/>
          </c:dLbls>
          <c:cat>
            <c:strRef>
              <c:f>{"收支总计"}</c:f>
              <c:strCache>
                <c:ptCount val="1"/>
                <c:pt idx="0">
                  <c:v>收支总计</c:v>
                </c:pt>
              </c:strCache>
            </c:strRef>
          </c:cat>
          <c:val>
            <c:numRef>
              <c:f>Sheet1!$A$3:$E$3</c:f>
              <c:numCache>
                <c:formatCode>General</c:formatCode>
                <c:ptCount val="5"/>
                <c:pt idx="0">
                  <c:v>201.84</c:v>
                </c:pt>
                <c:pt idx="2">
                  <c:v>188.06</c:v>
                </c:pt>
              </c:numCache>
            </c:numRef>
          </c:val>
        </c:ser>
        <c:ser>
          <c:idx val="0"/>
          <c:order val="2"/>
          <c:tx>
            <c:strRef>
              <c:f>2018</c:f>
              <c:strCache>
                <c:ptCount val="1"/>
                <c:pt idx="0">
                  <c:v>2018</c:v>
                </c:pt>
              </c:strCache>
            </c:strRef>
          </c:tx>
          <c:spPr>
            <a:solidFill>
              <a:srgbClr val="FF0000"/>
            </a:solidFill>
            <a:ln>
              <a:noFill/>
            </a:ln>
            <a:effectLst/>
          </c:spPr>
          <c:invertIfNegative val="0"/>
          <c:dLbls>
            <c:delete val="1"/>
          </c:dLbls>
          <c:val>
            <c:numRef>
              <c:f>{1}</c:f>
              <c:numCache>
                <c:formatCode>General</c:formatCode>
                <c:ptCount val="1"/>
                <c:pt idx="0">
                  <c:v>1</c:v>
                </c:pt>
              </c:numCache>
            </c:numRef>
          </c:val>
        </c:ser>
        <c:dLbls>
          <c:showLegendKey val="0"/>
          <c:showVal val="0"/>
          <c:showCatName val="0"/>
          <c:showSerName val="0"/>
          <c:showPercent val="0"/>
          <c:showBubbleSize val="0"/>
        </c:dLbls>
        <c:gapWidth val="219"/>
        <c:axId val="672585080"/>
        <c:axId val="672587640"/>
        <c:extLst>
          <c:ext xmlns:c15="http://schemas.microsoft.com/office/drawing/2012/chart" uri="{02D57815-91ED-43cb-92C2-25804820EDAC}">
            <c15:filteredBarSeries>
              <c15:ser>
                <c:idx val="1"/>
                <c:order val="0"/>
                <c:spPr>
                  <a:solidFill>
                    <a:schemeClr val="accent2"/>
                  </a:solidFill>
                  <a:ln>
                    <a:noFill/>
                  </a:ln>
                  <a:effectLst/>
                </c:spPr>
                <c:invertIfNegative val="0"/>
                <c:dLbls>
                  <c:delete val="1"/>
                </c:dLbls>
                <c:cat>
                  <c:strRef>
                    <c:extLst>
                      <c:ext uri="{02D57815-91ED-43cb-92C2-25804820EDAC}">
                        <c15:fullRef>
                          <c15:sqref/>
                        </c15:fullRef>
                        <c15:formulaRef>
                          <c15:sqref>{"收支总计"}</c15:sqref>
                        </c15:formulaRef>
                      </c:ext>
                    </c:extLst>
                    <c:strCache>
                      <c:ptCount val="1"/>
                      <c:pt idx="0">
                        <c:v>收支总计</c:v>
                      </c:pt>
                    </c:strCache>
                  </c:strRef>
                </c:cat>
                <c:val>
                  <c:numRef>
                    <c:extLst>
                      <c:ext uri="{02D57815-91ED-43cb-92C2-25804820EDAC}">
                        <c15:formulaRef>
                          <c15:sqref>Sheet1!$A$2:$E$2</c15:sqref>
                        </c15:formulaRef>
                      </c:ext>
                    </c:extLst>
                    <c:numCache>
                      <c:formatCode>General</c:formatCode>
                      <c:ptCount val="5"/>
                    </c:numCache>
                  </c:numRef>
                </c:val>
              </c15:ser>
            </c15:filteredBarSeries>
          </c:ext>
        </c:extLst>
      </c:barChart>
      <c:catAx>
        <c:axId val="672585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2587640"/>
        <c:crosses val="autoZero"/>
        <c:auto val="1"/>
        <c:lblAlgn val="ctr"/>
        <c:lblOffset val="100"/>
        <c:noMultiLvlLbl val="0"/>
      </c:catAx>
      <c:valAx>
        <c:axId val="672587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258508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dist">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en-US" altLang="zh-CN"/>
              <a:t>2019</a:t>
            </a:r>
            <a:r>
              <a:rPr lang="zh-CN" altLang="en-US"/>
              <a:t>年本年收入决算情况</a:t>
            </a:r>
            <a:endParaRPr lang="zh-CN" altLang="en-US"/>
          </a:p>
        </c:rich>
      </c:tx>
      <c:layout>
        <c:manualLayout>
          <c:xMode val="edge"/>
          <c:yMode val="edge"/>
          <c:x val="0.404918566775244"/>
          <c:y val="0.0635838150289017"/>
        </c:manualLayout>
      </c:layout>
      <c:overlay val="0"/>
      <c:spPr>
        <a:noFill/>
        <a:ln>
          <a:noFill/>
        </a:ln>
        <a:effectLst/>
      </c:spPr>
    </c:title>
    <c:autoTitleDeleted val="0"/>
    <c:plotArea>
      <c:layout/>
      <c:pieChart>
        <c:varyColors val="1"/>
        <c:ser>
          <c:idx val="0"/>
          <c:order val="0"/>
          <c:tx>
            <c:strRef>
              <c:f>Sheet1!$B$1</c:f>
              <c:strCache>
                <c:ptCount val="1"/>
                <c:pt idx="0">
                  <c:v>2019本年收入决算情况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2">
                  <c:v>本年收入</c:v>
                </c:pt>
                <c:pt idx="3">
                  <c:v>一般公共预算财政拨款收入</c:v>
                </c:pt>
              </c:strCache>
            </c:strRef>
          </c:cat>
          <c:val>
            <c:numRef>
              <c:f>Sheet1!$B$2:$B$5</c:f>
              <c:numCache>
                <c:formatCode>General</c:formatCode>
                <c:ptCount val="4"/>
                <c:pt idx="2" c:formatCode="0%">
                  <c:v>1</c:v>
                </c:pt>
                <c:pt idx="3" c:formatCode="0%">
                  <c:v>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800">
                <a:effectLst/>
              </a:rPr>
              <a:t>支</a:t>
            </a:r>
            <a:r>
              <a:rPr lang="zh-CN" altLang="zh-CN" sz="1800" b="1">
                <a:effectLst/>
              </a:rPr>
              <a:t>出决算情况说明</a:t>
            </a:r>
            <a:endParaRPr lang="zh-CN" altLang="zh-CN" sz="1800">
              <a:effectLst/>
            </a:endParaRP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3"/>
                <c:pt idx="0">
                  <c:v>本年支出100%</c:v>
                </c:pt>
                <c:pt idx="1">
                  <c:v>基本支出86%</c:v>
                </c:pt>
                <c:pt idx="2">
                  <c:v>项目支出14%</c:v>
                </c:pt>
              </c:strCache>
            </c:strRef>
          </c:cat>
          <c:val>
            <c:numRef>
              <c:f>Sheet1!$B$2:$B$5</c:f>
              <c:numCache>
                <c:formatCode>0%</c:formatCode>
                <c:ptCount val="4"/>
                <c:pt idx="0">
                  <c:v>1</c:v>
                </c:pt>
                <c:pt idx="1">
                  <c:v>0.86</c:v>
                </c:pt>
                <c:pt idx="2">
                  <c:v>0.14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财政拨款收、支总计</a:t>
            </a:r>
            <a:endParaRPr lang="zh-CN" altLang="en-US"/>
          </a:p>
        </c:rich>
      </c:tx>
      <c:layout/>
      <c:overlay val="0"/>
      <c:spPr>
        <a:noFill/>
        <a:ln>
          <a:noFill/>
        </a:ln>
        <a:effectLst/>
      </c:spPr>
    </c:title>
    <c:autoTitleDeleted val="0"/>
    <c:plotArea>
      <c:layout>
        <c:manualLayout>
          <c:layoutTarget val="inner"/>
          <c:xMode val="edge"/>
          <c:yMode val="edge"/>
          <c:x val="0.0819830448023265"/>
          <c:y val="0.288480801335559"/>
          <c:w val="0.862267826277813"/>
          <c:h val="0.589994873345339"/>
        </c:manualLayout>
      </c:layout>
      <c:barChart>
        <c:barDir val="col"/>
        <c:grouping val="clustered"/>
        <c:varyColors val="0"/>
        <c:ser>
          <c:idx val="0"/>
          <c:order val="0"/>
          <c:tx>
            <c:strRef>
              <c:f>Sheet1!$B$1</c:f>
              <c:strCache>
                <c:ptCount val="1"/>
                <c:pt idx="0">
                  <c:v>列1</c:v>
                </c:pt>
              </c:strCache>
            </c:strRef>
          </c:tx>
          <c:spPr>
            <a:solidFill>
              <a:schemeClr val="accent1"/>
            </a:solidFill>
            <a:ln>
              <a:noFill/>
            </a:ln>
            <a:effectLst/>
          </c:spPr>
          <c:invertIfNegative val="0"/>
          <c:dLbls>
            <c:delete val="1"/>
          </c:dLbls>
          <c:cat>
            <c:numRef>
              <c:f>Sheet1!$A$2:$A$5</c:f>
              <c:numCache>
                <c:formatCode>General</c:formatCode>
                <c:ptCount val="4"/>
                <c:pt idx="0">
                  <c:v>2019</c:v>
                </c:pt>
                <c:pt idx="1">
                  <c:v>2018</c:v>
                </c:pt>
              </c:numCache>
            </c:numRef>
          </c:cat>
          <c:val>
            <c:numRef>
              <c:f>Sheet1!$B$2:$B$5</c:f>
              <c:numCache>
                <c:formatCode>General</c:formatCode>
                <c:ptCount val="4"/>
                <c:pt idx="0">
                  <c:v>201.84</c:v>
                </c:pt>
                <c:pt idx="1">
                  <c:v>188.06</c:v>
                </c:pt>
              </c:numCache>
            </c:numRef>
          </c:val>
        </c:ser>
        <c:ser>
          <c:idx val="1"/>
          <c:order val="1"/>
          <c:tx>
            <c:strRef>
              <c:f>Sheet1!$C$1</c:f>
              <c:strCache>
                <c:ptCount val="1"/>
                <c:pt idx="0">
                  <c:v>列2</c:v>
                </c:pt>
              </c:strCache>
            </c:strRef>
          </c:tx>
          <c:spPr>
            <a:solidFill>
              <a:schemeClr val="accent2"/>
            </a:solidFill>
            <a:ln>
              <a:noFill/>
            </a:ln>
            <a:effectLst/>
          </c:spPr>
          <c:invertIfNegative val="0"/>
          <c:dLbls>
            <c:delete val="1"/>
          </c:dLbls>
          <c:cat>
            <c:numRef>
              <c:f>Sheet1!$A$2:$A$5</c:f>
              <c:numCache>
                <c:formatCode>General</c:formatCode>
                <c:ptCount val="4"/>
                <c:pt idx="0">
                  <c:v>2019</c:v>
                </c:pt>
                <c:pt idx="1">
                  <c:v>2018</c:v>
                </c:pt>
              </c:numCache>
            </c:numRef>
          </c:cat>
          <c:val>
            <c:numRef>
              <c:f>Sheet1!$C$2:$C$5</c:f>
              <c:numCache>
                <c:formatCode>General</c:formatCode>
                <c:ptCount val="4"/>
              </c:numCache>
            </c:numRef>
          </c:val>
        </c:ser>
        <c:ser>
          <c:idx val="2"/>
          <c:order val="2"/>
          <c:tx>
            <c:strRef>
              <c:f>Sheet1!$D$1</c:f>
              <c:strCache>
                <c:ptCount val="1"/>
                <c:pt idx="0">
                  <c:v>列3</c:v>
                </c:pt>
              </c:strCache>
            </c:strRef>
          </c:tx>
          <c:spPr>
            <a:solidFill>
              <a:schemeClr val="accent3"/>
            </a:solidFill>
            <a:ln>
              <a:noFill/>
            </a:ln>
            <a:effectLst/>
          </c:spPr>
          <c:invertIfNegative val="0"/>
          <c:dLbls>
            <c:delete val="1"/>
          </c:dLbls>
          <c:cat>
            <c:numRef>
              <c:f>Sheet1!$A$2:$A$5</c:f>
              <c:numCache>
                <c:formatCode>General</c:formatCode>
                <c:ptCount val="4"/>
                <c:pt idx="0">
                  <c:v>2019</c:v>
                </c:pt>
                <c:pt idx="1">
                  <c:v>2018</c:v>
                </c:pt>
              </c:numCache>
            </c:num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657004816"/>
        <c:axId val="657007056"/>
      </c:barChart>
      <c:catAx>
        <c:axId val="657004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7007056"/>
        <c:crosses val="autoZero"/>
        <c:auto val="1"/>
        <c:lblAlgn val="ctr"/>
        <c:lblOffset val="100"/>
        <c:noMultiLvlLbl val="0"/>
      </c:catAx>
      <c:valAx>
        <c:axId val="65700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7004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1" i="0" u="none" strike="noStrike" baseline="0">
                <a:effectLst/>
              </a:rPr>
              <a:t>一般公共预算财政拨款支出决算总体情况</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numRef>
              <c:f>Sheet1!$A$2:$A$5</c:f>
              <c:numCache>
                <c:formatCode>General</c:formatCode>
                <c:ptCount val="4"/>
                <c:pt idx="0">
                  <c:v>2019</c:v>
                </c:pt>
                <c:pt idx="1">
                  <c:v>2018</c:v>
                </c:pt>
              </c:numCache>
            </c:numRef>
          </c:cat>
          <c:val>
            <c:numRef>
              <c:f>Sheet1!$B$2:$B$5</c:f>
              <c:numCache>
                <c:formatCode>General</c:formatCode>
                <c:ptCount val="4"/>
                <c:pt idx="0">
                  <c:v>173.71</c:v>
                </c:pt>
                <c:pt idx="1">
                  <c:v>168.74</c:v>
                </c:pt>
              </c:numCache>
            </c:numRef>
          </c:val>
        </c:ser>
        <c:ser>
          <c:idx val="1"/>
          <c:order val="1"/>
          <c:tx>
            <c:strRef>
              <c:f>Sheet1!$C$1</c:f>
              <c:strCache>
                <c:ptCount val="1"/>
                <c:pt idx="0">
                  <c:v>列2</c:v>
                </c:pt>
              </c:strCache>
            </c:strRef>
          </c:tx>
          <c:spPr>
            <a:solidFill>
              <a:schemeClr val="accent2"/>
            </a:solidFill>
            <a:ln>
              <a:noFill/>
            </a:ln>
            <a:effectLst/>
          </c:spPr>
          <c:invertIfNegative val="0"/>
          <c:dLbls>
            <c:delete val="1"/>
          </c:dLbls>
          <c:cat>
            <c:numRef>
              <c:f>Sheet1!$A$2:$A$5</c:f>
              <c:numCache>
                <c:formatCode>General</c:formatCode>
                <c:ptCount val="4"/>
                <c:pt idx="0">
                  <c:v>2019</c:v>
                </c:pt>
                <c:pt idx="1">
                  <c:v>2018</c:v>
                </c:pt>
              </c:numCache>
            </c:numRef>
          </c:cat>
          <c:val>
            <c:numRef>
              <c:f>Sheet1!$C$2:$C$5</c:f>
              <c:numCache>
                <c:formatCode>General</c:formatCode>
                <c:ptCount val="4"/>
              </c:numCache>
            </c:numRef>
          </c:val>
        </c:ser>
        <c:ser>
          <c:idx val="2"/>
          <c:order val="2"/>
          <c:tx>
            <c:strRef>
              <c:f>Sheet1!$D$1</c:f>
              <c:strCache>
                <c:ptCount val="1"/>
                <c:pt idx="0">
                  <c:v>列1</c:v>
                </c:pt>
              </c:strCache>
            </c:strRef>
          </c:tx>
          <c:spPr>
            <a:solidFill>
              <a:schemeClr val="accent3"/>
            </a:solidFill>
            <a:ln>
              <a:noFill/>
            </a:ln>
            <a:effectLst/>
          </c:spPr>
          <c:invertIfNegative val="0"/>
          <c:dLbls>
            <c:delete val="1"/>
          </c:dLbls>
          <c:cat>
            <c:numRef>
              <c:f>Sheet1!$A$2:$A$5</c:f>
              <c:numCache>
                <c:formatCode>General</c:formatCode>
                <c:ptCount val="4"/>
                <c:pt idx="0">
                  <c:v>2019</c:v>
                </c:pt>
                <c:pt idx="1">
                  <c:v>2018</c:v>
                </c:pt>
              </c:numCache>
            </c:num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579659216"/>
        <c:axId val="579658896"/>
      </c:barChart>
      <c:catAx>
        <c:axId val="57965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9658896"/>
        <c:crosses val="autoZero"/>
        <c:auto val="1"/>
        <c:lblAlgn val="ctr"/>
        <c:lblOffset val="100"/>
        <c:noMultiLvlLbl val="0"/>
      </c:catAx>
      <c:valAx>
        <c:axId val="5796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9659216"/>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1" i="0" u="none" strike="noStrike" baseline="0">
                <a:effectLst/>
              </a:rPr>
              <a:t>一般公共预算财政拨款支出决算结构情况</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科学技术支出</c:v>
                </c:pt>
                <c:pt idx="1">
                  <c:v>社会保障和就业支出</c:v>
                </c:pt>
                <c:pt idx="2">
                  <c:v>卫生健康支出</c:v>
                </c:pt>
                <c:pt idx="3">
                  <c:v>住房保障支出</c:v>
                </c:pt>
              </c:strCache>
            </c:strRef>
          </c:cat>
          <c:val>
            <c:numRef>
              <c:f>Sheet1!$B$2:$B$5</c:f>
              <c:numCache>
                <c:formatCode>0%</c:formatCode>
                <c:ptCount val="4"/>
                <c:pt idx="0">
                  <c:v>0.73</c:v>
                </c:pt>
                <c:pt idx="1">
                  <c:v>0.02</c:v>
                </c:pt>
                <c:pt idx="2">
                  <c:v>0.01</c:v>
                </c:pt>
                <c:pt idx="3">
                  <c:v>0.18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1" i="0" u="none" strike="noStrike" baseline="0">
                <a:effectLst/>
              </a:rPr>
              <a:t>“三公”经费财政拨款支出决算具体情况说明</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“三公”经费财政拨款支出决算具体情况说明</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2"/>
                <c:pt idx="0">
                  <c:v>三公经费支出</c:v>
                </c:pt>
                <c:pt idx="1">
                  <c:v>公务接待费支出</c:v>
                </c:pt>
              </c:strCache>
            </c:strRef>
          </c:cat>
          <c:val>
            <c:numRef>
              <c:f>Sheet1!$B$2:$B$5</c:f>
              <c:numCache>
                <c:formatCode>0%</c:formatCode>
                <c:ptCount val="4"/>
                <c:pt idx="0">
                  <c:v>1</c:v>
                </c:pt>
                <c:pt idx="1">
                  <c:v>0.08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1" i="0" u="none" strike="noStrike" baseline="0">
                <a:effectLst/>
              </a:rPr>
              <a:t>“三公”经费财政拨款支出决算具体情况说明</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“三公”经费财政拨款支出决算具体情况说明</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2"/>
                <c:pt idx="0">
                  <c:v>三公经费支出</c:v>
                </c:pt>
                <c:pt idx="1">
                  <c:v>公务用车购置及运行维护费</c:v>
                </c:pt>
              </c:strCache>
            </c:strRef>
          </c:cat>
          <c:val>
            <c:numRef>
              <c:f>Sheet1!$B$2:$B$5</c:f>
              <c:numCache>
                <c:formatCode>0%</c:formatCode>
                <c:ptCount val="4"/>
                <c:pt idx="0">
                  <c:v>1</c:v>
                </c:pt>
                <c:pt idx="1">
                  <c:v>0.98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45</Pages>
  <Words>17745</Words>
  <Characters>4601</Characters>
  <Lines>38</Lines>
  <Paragraphs>44</Paragraphs>
  <TotalTime>1</TotalTime>
  <ScaleCrop>false</ScaleCrop>
  <LinksUpToDate>false</LinksUpToDate>
  <CharactersWithSpaces>22302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2020-10-10T07:21:00Z</dcterms:created>
  <dc:creator>曹颖</dc:creator>
  <cp:lastModifiedBy>R.u.n 2</cp:lastModifiedBy>
  <cp:lastPrinted>2020-07-23T02:58:00Z</cp:lastPrinted>
  <dcterms:modified xsi:type="dcterms:W3CDTF">2020-10-26T02:40:16Z</dcterms:modified>
  <dc:title>四川省***</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