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auto"/>
          <w:sz w:val="72"/>
          <w:szCs w:val="72"/>
          <w:highlight w:val="none"/>
        </w:rPr>
      </w:pPr>
      <w:bookmarkStart w:id="0" w:name="_Toc15306267"/>
    </w:p>
    <w:p>
      <w:pPr>
        <w:spacing w:line="600" w:lineRule="exact"/>
        <w:jc w:val="center"/>
        <w:outlineLvl w:val="0"/>
        <w:rPr>
          <w:rFonts w:ascii="方正小标宋简体" w:hAnsi="宋体" w:eastAsia="方正小标宋简体"/>
          <w:color w:val="auto"/>
          <w:sz w:val="72"/>
          <w:szCs w:val="72"/>
          <w:highlight w:val="none"/>
        </w:rPr>
      </w:pPr>
    </w:p>
    <w:p>
      <w:pPr>
        <w:spacing w:line="600" w:lineRule="exact"/>
        <w:jc w:val="center"/>
        <w:outlineLvl w:val="0"/>
        <w:rPr>
          <w:rFonts w:ascii="方正小标宋简体" w:hAnsi="宋体" w:eastAsia="方正小标宋简体"/>
          <w:color w:val="auto"/>
          <w:sz w:val="72"/>
          <w:szCs w:val="72"/>
          <w:highlight w:val="none"/>
        </w:rPr>
      </w:pPr>
    </w:p>
    <w:p>
      <w:pPr>
        <w:spacing w:line="600" w:lineRule="exact"/>
        <w:jc w:val="center"/>
        <w:outlineLvl w:val="0"/>
        <w:rPr>
          <w:rFonts w:ascii="方正小标宋简体" w:hAnsi="宋体" w:eastAsia="方正小标宋简体"/>
          <w:color w:val="auto"/>
          <w:sz w:val="72"/>
          <w:szCs w:val="72"/>
          <w:highlight w:val="none"/>
        </w:rPr>
      </w:pPr>
    </w:p>
    <w:p>
      <w:pPr>
        <w:adjustRightInd w:val="0"/>
        <w:snapToGrid w:val="0"/>
        <w:spacing w:line="360" w:lineRule="auto"/>
        <w:jc w:val="center"/>
        <w:outlineLvl w:val="0"/>
        <w:rPr>
          <w:rFonts w:ascii="方正小标宋简体" w:hAnsi="宋体" w:eastAsia="方正小标宋简体"/>
          <w:color w:val="auto"/>
          <w:sz w:val="72"/>
          <w:szCs w:val="72"/>
          <w:highlight w:val="none"/>
        </w:rPr>
      </w:pPr>
      <w:bookmarkStart w:id="1" w:name="_Toc15377193"/>
      <w:bookmarkStart w:id="2" w:name="_Toc15377425"/>
      <w:bookmarkStart w:id="3" w:name="_Toc15396475"/>
      <w:bookmarkStart w:id="4" w:name="_Toc15396597"/>
      <w:bookmarkStart w:id="5" w:name="_Toc15378441"/>
      <w:r>
        <w:rPr>
          <w:rFonts w:ascii="黑体" w:hAnsi="黑体" w:eastAsia="黑体"/>
          <w:color w:val="auto"/>
          <w:sz w:val="72"/>
          <w:szCs w:val="72"/>
          <w:highlight w:val="none"/>
        </w:rPr>
        <w:t>201</w:t>
      </w:r>
      <w:r>
        <w:rPr>
          <w:rFonts w:hint="eastAsia" w:ascii="黑体" w:hAnsi="黑体" w:eastAsia="黑体"/>
          <w:color w:val="auto"/>
          <w:sz w:val="72"/>
          <w:szCs w:val="72"/>
          <w:highlight w:val="none"/>
        </w:rPr>
        <w:t>9</w:t>
      </w:r>
      <w:r>
        <w:rPr>
          <w:rFonts w:hint="eastAsia" w:ascii="方正小标宋简体" w:hAnsi="宋体" w:eastAsia="方正小标宋简体"/>
          <w:color w:val="auto"/>
          <w:sz w:val="72"/>
          <w:szCs w:val="72"/>
          <w:highlight w:val="none"/>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auto"/>
          <w:sz w:val="72"/>
          <w:szCs w:val="72"/>
          <w:highlight w:val="none"/>
        </w:rPr>
      </w:pPr>
      <w:bookmarkStart w:id="6" w:name="_Toc15396476"/>
      <w:bookmarkStart w:id="7" w:name="_Toc15396598"/>
      <w:bookmarkStart w:id="8" w:name="_Toc15377194"/>
      <w:bookmarkStart w:id="9" w:name="_Toc15378442"/>
      <w:bookmarkStart w:id="10" w:name="_Toc15377426"/>
      <w:r>
        <w:rPr>
          <w:rFonts w:hint="eastAsia" w:ascii="方正小标宋简体" w:hAnsi="宋体" w:eastAsia="方正小标宋简体"/>
          <w:color w:val="auto"/>
          <w:sz w:val="72"/>
          <w:szCs w:val="72"/>
          <w:highlight w:val="none"/>
        </w:rPr>
        <w:t>四川省阿坝州</w:t>
      </w:r>
      <w:r>
        <w:rPr>
          <w:rFonts w:hint="eastAsia" w:ascii="方正小标宋简体" w:hAnsi="宋体" w:eastAsia="方正小标宋简体"/>
          <w:color w:val="auto"/>
          <w:sz w:val="72"/>
          <w:szCs w:val="72"/>
          <w:highlight w:val="none"/>
          <w:lang w:eastAsia="zh-CN"/>
        </w:rPr>
        <w:t>红原县</w:t>
      </w:r>
      <w:bookmarkEnd w:id="0"/>
      <w:bookmarkStart w:id="11" w:name="_Toc15306268"/>
      <w:r>
        <w:rPr>
          <w:rFonts w:hint="eastAsia" w:ascii="方正小标宋简体" w:hAnsi="宋体" w:eastAsia="方正小标宋简体"/>
          <w:color w:val="auto"/>
          <w:sz w:val="72"/>
          <w:szCs w:val="72"/>
          <w:highlight w:val="none"/>
          <w:lang w:eastAsia="zh-CN"/>
        </w:rPr>
        <w:t>自然资源局</w:t>
      </w:r>
      <w:r>
        <w:rPr>
          <w:rFonts w:hint="eastAsia" w:ascii="方正小标宋简体" w:hAnsi="宋体" w:eastAsia="方正小标宋简体"/>
          <w:color w:val="auto"/>
          <w:sz w:val="72"/>
          <w:szCs w:val="72"/>
          <w:highlight w:val="none"/>
        </w:rPr>
        <w:t>部门决算</w:t>
      </w:r>
      <w:bookmarkEnd w:id="6"/>
      <w:bookmarkEnd w:id="7"/>
      <w:bookmarkEnd w:id="8"/>
      <w:bookmarkEnd w:id="9"/>
      <w:bookmarkEnd w:id="10"/>
      <w:bookmarkEnd w:id="11"/>
    </w:p>
    <w:p>
      <w:pPr>
        <w:adjustRightInd w:val="0"/>
        <w:snapToGrid w:val="0"/>
        <w:spacing w:line="360" w:lineRule="auto"/>
        <w:jc w:val="both"/>
        <w:outlineLvl w:val="0"/>
        <w:rPr>
          <w:rFonts w:ascii="方正小标宋简体" w:hAnsi="宋体" w:eastAsia="方正小标宋简体"/>
          <w:color w:val="auto"/>
          <w:sz w:val="52"/>
          <w:szCs w:val="52"/>
          <w:highlight w:val="none"/>
        </w:rPr>
      </w:pPr>
    </w:p>
    <w:p>
      <w:pPr>
        <w:widowControl/>
        <w:jc w:val="center"/>
        <w:rPr>
          <w:rFonts w:ascii="方正小标宋简体" w:hAnsi="宋体" w:eastAsia="方正小标宋简体"/>
          <w:color w:val="auto"/>
          <w:sz w:val="36"/>
          <w:szCs w:val="36"/>
          <w:highlight w:val="none"/>
        </w:rPr>
      </w:pPr>
    </w:p>
    <w:p>
      <w:pPr>
        <w:rPr>
          <w:rFonts w:ascii="方正小标宋简体" w:hAnsi="宋体" w:eastAsia="方正小标宋简体"/>
          <w:color w:val="auto"/>
          <w:sz w:val="36"/>
          <w:szCs w:val="36"/>
          <w:highlight w:val="none"/>
        </w:rPr>
      </w:pPr>
    </w:p>
    <w:p>
      <w:pPr>
        <w:rPr>
          <w:rFonts w:ascii="方正小标宋简体" w:hAnsi="宋体" w:eastAsia="方正小标宋简体"/>
          <w:color w:val="auto"/>
          <w:sz w:val="36"/>
          <w:szCs w:val="36"/>
          <w:highlight w:val="none"/>
        </w:rPr>
      </w:pPr>
    </w:p>
    <w:p>
      <w:pPr>
        <w:rPr>
          <w:rFonts w:ascii="方正小标宋简体" w:hAnsi="宋体" w:eastAsia="方正小标宋简体"/>
          <w:color w:val="auto"/>
          <w:sz w:val="36"/>
          <w:szCs w:val="36"/>
          <w:highlight w:val="none"/>
        </w:rPr>
      </w:pPr>
    </w:p>
    <w:p>
      <w:pPr>
        <w:rPr>
          <w:rFonts w:ascii="方正小标宋简体" w:hAnsi="宋体" w:eastAsia="方正小标宋简体"/>
          <w:color w:val="auto"/>
          <w:sz w:val="36"/>
          <w:szCs w:val="36"/>
          <w:highlight w:val="none"/>
        </w:rPr>
      </w:pPr>
    </w:p>
    <w:p>
      <w:pPr>
        <w:widowControl/>
        <w:jc w:val="center"/>
        <w:rPr>
          <w:rFonts w:ascii="方正小标宋简体" w:hAnsi="宋体" w:eastAsia="方正小标宋简体"/>
          <w:color w:val="auto"/>
          <w:sz w:val="36"/>
          <w:szCs w:val="36"/>
          <w:highlight w:val="none"/>
        </w:rPr>
      </w:pPr>
    </w:p>
    <w:p>
      <w:pPr>
        <w:keepNext w:val="0"/>
        <w:keepLines w:val="0"/>
        <w:pageBreakBefore w:val="0"/>
        <w:widowControl/>
        <w:kinsoku/>
        <w:wordWrap/>
        <w:overflowPunct/>
        <w:topLinePunct w:val="0"/>
        <w:autoSpaceDE/>
        <w:autoSpaceDN/>
        <w:bidi w:val="0"/>
        <w:spacing w:line="400" w:lineRule="exact"/>
        <w:jc w:val="center"/>
        <w:textAlignment w:val="auto"/>
      </w:pPr>
      <w:r>
        <w:rPr>
          <w:rFonts w:ascii="方正小标宋简体" w:hAnsi="宋体" w:eastAsia="方正小标宋简体"/>
          <w:color w:val="auto"/>
          <w:sz w:val="36"/>
          <w:szCs w:val="36"/>
          <w:highlight w:val="none"/>
        </w:rPr>
        <w:br w:type="page"/>
      </w:r>
      <w:r>
        <w:rPr>
          <w:rFonts w:hint="eastAsia" w:ascii="黑体" w:hAnsi="黑体" w:eastAsia="黑体"/>
          <w:color w:val="auto"/>
          <w:sz w:val="36"/>
          <w:szCs w:val="36"/>
          <w:highlight w:val="none"/>
        </w:rPr>
        <w:t>目录</w:t>
      </w:r>
    </w:p>
    <w:p>
      <w:pPr>
        <w:pStyle w:val="12"/>
        <w:keepNext w:val="0"/>
        <w:keepLines w:val="0"/>
        <w:pageBreakBefore w:val="0"/>
        <w:kinsoku/>
        <w:wordWrap/>
        <w:overflowPunct/>
        <w:topLinePunct w:val="0"/>
        <w:autoSpaceDE/>
        <w:autoSpaceDN/>
        <w:bidi w:val="0"/>
        <w:adjustRightInd w:val="0"/>
        <w:snapToGrid w:val="0"/>
        <w:spacing w:before="0" w:line="400" w:lineRule="exact"/>
        <w:jc w:val="left"/>
        <w:textAlignment w:val="auto"/>
        <w:rPr>
          <w:rFonts w:cstheme="minorBidi"/>
          <w:color w:val="auto"/>
          <w:sz w:val="28"/>
          <w:szCs w:val="28"/>
          <w:highlight w:val="none"/>
        </w:rPr>
      </w:pPr>
      <w:bookmarkStart w:id="75" w:name="_GoBack"/>
      <w:bookmarkEnd w:id="75"/>
      <w:r>
        <w:rPr>
          <w:rFonts w:hint="eastAsia"/>
          <w:color w:val="auto"/>
          <w:sz w:val="28"/>
          <w:szCs w:val="32"/>
          <w:highlight w:val="none"/>
        </w:rPr>
        <w:t>第一部分</w:t>
      </w:r>
      <w:r>
        <w:rPr>
          <w:color w:val="auto"/>
          <w:sz w:val="28"/>
          <w:szCs w:val="32"/>
          <w:highlight w:val="none"/>
        </w:rPr>
        <w:t xml:space="preserve"> </w:t>
      </w:r>
      <w:r>
        <w:rPr>
          <w:rFonts w:hint="eastAsia"/>
          <w:color w:val="auto"/>
          <w:sz w:val="28"/>
          <w:szCs w:val="32"/>
          <w:highlight w:val="none"/>
        </w:rPr>
        <w:t>部门概况</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olor w:val="auto"/>
          <w:sz w:val="28"/>
          <w:szCs w:val="28"/>
          <w:highlight w:val="none"/>
        </w:rPr>
      </w:pPr>
      <w:r>
        <w:rPr>
          <w:rFonts w:hint="eastAsia"/>
          <w:color w:val="auto"/>
          <w:sz w:val="28"/>
          <w:szCs w:val="28"/>
          <w:highlight w:val="none"/>
        </w:rPr>
        <w:t>一、基本职能及主要工作</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color w:val="auto"/>
          <w:sz w:val="28"/>
          <w:szCs w:val="28"/>
          <w:highlight w:val="none"/>
        </w:rPr>
        <w:t>二、机构设置</w:t>
      </w:r>
    </w:p>
    <w:p>
      <w:pPr>
        <w:pStyle w:val="12"/>
        <w:keepNext w:val="0"/>
        <w:keepLines w:val="0"/>
        <w:pageBreakBefore w:val="0"/>
        <w:kinsoku/>
        <w:wordWrap/>
        <w:overflowPunct/>
        <w:topLinePunct w:val="0"/>
        <w:autoSpaceDE/>
        <w:autoSpaceDN/>
        <w:bidi w:val="0"/>
        <w:adjustRightInd w:val="0"/>
        <w:snapToGrid w:val="0"/>
        <w:spacing w:before="0" w:line="400" w:lineRule="exact"/>
        <w:jc w:val="left"/>
        <w:textAlignment w:val="auto"/>
        <w:rPr>
          <w:color w:val="auto"/>
          <w:sz w:val="28"/>
          <w:szCs w:val="28"/>
          <w:highlight w:val="none"/>
        </w:rPr>
      </w:pPr>
      <w:r>
        <w:rPr>
          <w:rFonts w:hint="eastAsia"/>
          <w:color w:val="auto"/>
          <w:sz w:val="28"/>
          <w:szCs w:val="32"/>
          <w:highlight w:val="none"/>
        </w:rPr>
        <w:t>第二部分度部门决算情况说明</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color w:val="auto"/>
          <w:sz w:val="28"/>
          <w:szCs w:val="28"/>
          <w:highlight w:val="none"/>
        </w:rPr>
        <w:t>一、收入支出决算总体情况说明</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color w:val="auto"/>
          <w:sz w:val="28"/>
          <w:szCs w:val="28"/>
          <w:highlight w:val="none"/>
        </w:rPr>
        <w:t>二、收入决算情况说明</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color w:val="auto"/>
          <w:sz w:val="28"/>
          <w:szCs w:val="28"/>
          <w:highlight w:val="none"/>
        </w:rPr>
        <w:t>三、支出决算情况说明</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color w:val="auto"/>
          <w:sz w:val="28"/>
          <w:szCs w:val="28"/>
          <w:highlight w:val="none"/>
        </w:rPr>
        <w:t>四、财政拨款收入支出决算总体情况说明</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color w:val="auto"/>
          <w:sz w:val="28"/>
          <w:szCs w:val="28"/>
          <w:highlight w:val="none"/>
        </w:rPr>
        <w:t>五、一般公共预算财政拨款支出决算情况说明</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color w:val="auto"/>
          <w:sz w:val="28"/>
          <w:szCs w:val="28"/>
          <w:highlight w:val="none"/>
        </w:rPr>
        <w:t>六、一般公共预算财政拨款基本支出决算情况说明</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color w:val="auto"/>
          <w:sz w:val="28"/>
          <w:szCs w:val="28"/>
          <w:highlight w:val="none"/>
        </w:rPr>
        <w:t>七、</w:t>
      </w:r>
      <w:r>
        <w:rPr>
          <w:color w:val="auto"/>
          <w:sz w:val="28"/>
          <w:szCs w:val="28"/>
          <w:highlight w:val="none"/>
        </w:rPr>
        <w:t>“</w:t>
      </w:r>
      <w:r>
        <w:rPr>
          <w:rFonts w:hint="eastAsia"/>
          <w:color w:val="auto"/>
          <w:sz w:val="28"/>
          <w:szCs w:val="28"/>
          <w:highlight w:val="none"/>
        </w:rPr>
        <w:t>三公”经费财政拨款支出决算情况说明</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color w:val="auto"/>
          <w:sz w:val="28"/>
          <w:szCs w:val="28"/>
          <w:highlight w:val="none"/>
        </w:rPr>
        <w:t>八、政府性基金预算支出决算情况说明</w:t>
      </w:r>
    </w:p>
    <w:p>
      <w:pPr>
        <w:pStyle w:val="13"/>
        <w:keepNext w:val="0"/>
        <w:keepLines w:val="0"/>
        <w:pageBreakBefore w:val="0"/>
        <w:kinsoku/>
        <w:wordWrap/>
        <w:overflowPunct/>
        <w:topLinePunct w:val="0"/>
        <w:autoSpaceDE/>
        <w:autoSpaceDN/>
        <w:bidi w:val="0"/>
        <w:adjustRightInd w:val="0"/>
        <w:snapToGrid w:val="0"/>
        <w:spacing w:line="400" w:lineRule="exact"/>
        <w:ind w:leftChars="0"/>
        <w:jc w:val="left"/>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九、</w:t>
      </w:r>
      <w:r>
        <w:rPr>
          <w:color w:val="auto"/>
          <w:sz w:val="28"/>
          <w:szCs w:val="28"/>
          <w:highlight w:val="none"/>
        </w:rPr>
        <w:t xml:space="preserve"> 国</w:t>
      </w:r>
      <w:r>
        <w:rPr>
          <w:rFonts w:hint="eastAsia"/>
          <w:color w:val="auto"/>
          <w:sz w:val="28"/>
          <w:szCs w:val="28"/>
          <w:highlight w:val="none"/>
        </w:rPr>
        <w:t>有资本经营预算支出决算情况说明</w:t>
      </w:r>
    </w:p>
    <w:p>
      <w:pPr>
        <w:keepNext w:val="0"/>
        <w:keepLines w:val="0"/>
        <w:pageBreakBefore w:val="0"/>
        <w:kinsoku/>
        <w:wordWrap/>
        <w:overflowPunct/>
        <w:topLinePunct w:val="0"/>
        <w:autoSpaceDE/>
        <w:autoSpaceDN/>
        <w:bidi w:val="0"/>
        <w:adjustRightInd w:val="0"/>
        <w:snapToGrid w:val="0"/>
        <w:spacing w:line="400" w:lineRule="exact"/>
        <w:ind w:firstLine="560" w:firstLineChars="200"/>
        <w:jc w:val="left"/>
        <w:textAlignment w:val="auto"/>
        <w:rPr>
          <w:rFonts w:ascii="仿宋" w:hAnsi="仿宋" w:eastAsia="仿宋" w:cstheme="minorBidi"/>
          <w:color w:val="auto"/>
          <w:sz w:val="28"/>
          <w:szCs w:val="28"/>
          <w:highlight w:val="none"/>
        </w:rPr>
      </w:pPr>
      <w:r>
        <w:rPr>
          <w:rStyle w:val="18"/>
          <w:rFonts w:hint="eastAsia" w:ascii="仿宋" w:hAnsi="仿宋" w:eastAsia="仿宋"/>
          <w:color w:val="auto"/>
          <w:sz w:val="28"/>
          <w:szCs w:val="28"/>
          <w:highlight w:val="none"/>
          <w:u w:val="none"/>
        </w:rPr>
        <w:t>十、</w:t>
      </w:r>
      <w:r>
        <w:rPr>
          <w:rFonts w:hint="eastAsia"/>
          <w:color w:val="auto"/>
          <w:sz w:val="28"/>
          <w:szCs w:val="28"/>
          <w:highlight w:val="none"/>
        </w:rPr>
        <w:t>其他重要事项的情况说明</w:t>
      </w:r>
      <w:r>
        <w:rPr>
          <w:rFonts w:ascii="仿宋" w:hAnsi="仿宋" w:eastAsia="仿宋"/>
          <w:color w:val="auto"/>
          <w:sz w:val="28"/>
          <w:szCs w:val="28"/>
          <w:highlight w:val="none"/>
        </w:rPr>
        <w:tab/>
      </w:r>
    </w:p>
    <w:p>
      <w:pPr>
        <w:pStyle w:val="12"/>
        <w:keepNext w:val="0"/>
        <w:keepLines w:val="0"/>
        <w:pageBreakBefore w:val="0"/>
        <w:kinsoku/>
        <w:wordWrap/>
        <w:overflowPunct/>
        <w:topLinePunct w:val="0"/>
        <w:autoSpaceDE/>
        <w:autoSpaceDN/>
        <w:bidi w:val="0"/>
        <w:adjustRightInd w:val="0"/>
        <w:snapToGrid w:val="0"/>
        <w:spacing w:before="0" w:line="400" w:lineRule="exact"/>
        <w:jc w:val="left"/>
        <w:textAlignment w:val="auto"/>
        <w:rPr>
          <w:rFonts w:cstheme="minorBidi"/>
          <w:color w:val="auto"/>
          <w:sz w:val="28"/>
          <w:szCs w:val="28"/>
          <w:highlight w:val="none"/>
        </w:rPr>
      </w:pPr>
      <w:r>
        <w:rPr>
          <w:rFonts w:hint="eastAsia"/>
          <w:color w:val="auto"/>
          <w:sz w:val="28"/>
          <w:szCs w:val="32"/>
          <w:highlight w:val="none"/>
        </w:rPr>
        <w:t>第三部分</w:t>
      </w:r>
      <w:r>
        <w:rPr>
          <w:color w:val="auto"/>
          <w:sz w:val="28"/>
          <w:szCs w:val="32"/>
          <w:highlight w:val="none"/>
        </w:rPr>
        <w:t xml:space="preserve"> </w:t>
      </w:r>
      <w:r>
        <w:rPr>
          <w:rFonts w:hint="eastAsia"/>
          <w:color w:val="auto"/>
          <w:sz w:val="28"/>
          <w:szCs w:val="32"/>
          <w:highlight w:val="none"/>
        </w:rPr>
        <w:t>名词解释</w:t>
      </w:r>
    </w:p>
    <w:p>
      <w:pPr>
        <w:pStyle w:val="12"/>
        <w:keepNext w:val="0"/>
        <w:keepLines w:val="0"/>
        <w:pageBreakBefore w:val="0"/>
        <w:kinsoku/>
        <w:wordWrap/>
        <w:overflowPunct/>
        <w:topLinePunct w:val="0"/>
        <w:autoSpaceDE/>
        <w:autoSpaceDN/>
        <w:bidi w:val="0"/>
        <w:adjustRightInd w:val="0"/>
        <w:snapToGrid w:val="0"/>
        <w:spacing w:before="0" w:line="400" w:lineRule="exact"/>
        <w:jc w:val="left"/>
        <w:textAlignment w:val="auto"/>
        <w:rPr>
          <w:rFonts w:cstheme="minorBidi"/>
          <w:color w:val="auto"/>
          <w:sz w:val="28"/>
          <w:szCs w:val="28"/>
          <w:highlight w:val="none"/>
        </w:rPr>
      </w:pPr>
      <w:r>
        <w:rPr>
          <w:rFonts w:hint="eastAsia"/>
          <w:color w:val="auto"/>
          <w:sz w:val="28"/>
          <w:szCs w:val="32"/>
          <w:highlight w:val="none"/>
        </w:rPr>
        <w:t>第四部分</w:t>
      </w:r>
      <w:r>
        <w:rPr>
          <w:color w:val="auto"/>
          <w:sz w:val="28"/>
          <w:szCs w:val="32"/>
          <w:highlight w:val="none"/>
        </w:rPr>
        <w:t xml:space="preserve"> </w:t>
      </w:r>
      <w:r>
        <w:rPr>
          <w:rFonts w:hint="eastAsia"/>
          <w:color w:val="auto"/>
          <w:sz w:val="28"/>
          <w:szCs w:val="32"/>
          <w:highlight w:val="none"/>
        </w:rPr>
        <w:t>附件</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color w:val="auto"/>
          <w:sz w:val="28"/>
          <w:szCs w:val="28"/>
          <w:highlight w:val="none"/>
        </w:rPr>
        <w:t>附件</w:t>
      </w:r>
      <w:r>
        <w:rPr>
          <w:color w:val="auto"/>
          <w:sz w:val="28"/>
          <w:szCs w:val="28"/>
          <w:highlight w:val="none"/>
        </w:rPr>
        <w:t>1</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color w:val="auto"/>
          <w:sz w:val="28"/>
          <w:szCs w:val="28"/>
          <w:highlight w:val="none"/>
        </w:rPr>
        <w:t>附件</w:t>
      </w:r>
      <w:r>
        <w:rPr>
          <w:color w:val="auto"/>
          <w:sz w:val="28"/>
          <w:szCs w:val="28"/>
          <w:highlight w:val="none"/>
        </w:rPr>
        <w:t>2</w:t>
      </w:r>
    </w:p>
    <w:p>
      <w:pPr>
        <w:pStyle w:val="12"/>
        <w:keepNext w:val="0"/>
        <w:keepLines w:val="0"/>
        <w:pageBreakBefore w:val="0"/>
        <w:kinsoku/>
        <w:wordWrap/>
        <w:overflowPunct/>
        <w:topLinePunct w:val="0"/>
        <w:autoSpaceDE/>
        <w:autoSpaceDN/>
        <w:bidi w:val="0"/>
        <w:adjustRightInd w:val="0"/>
        <w:snapToGrid w:val="0"/>
        <w:spacing w:before="0" w:line="400" w:lineRule="exact"/>
        <w:jc w:val="left"/>
        <w:textAlignment w:val="auto"/>
        <w:rPr>
          <w:rFonts w:cstheme="minorBidi"/>
          <w:color w:val="auto"/>
          <w:sz w:val="28"/>
          <w:szCs w:val="28"/>
          <w:highlight w:val="none"/>
        </w:rPr>
      </w:pPr>
      <w:r>
        <w:rPr>
          <w:rFonts w:hint="eastAsia"/>
          <w:color w:val="auto"/>
          <w:sz w:val="28"/>
          <w:szCs w:val="32"/>
          <w:highlight w:val="none"/>
        </w:rPr>
        <w:t>第五部分</w:t>
      </w:r>
      <w:r>
        <w:rPr>
          <w:color w:val="auto"/>
          <w:sz w:val="28"/>
          <w:szCs w:val="32"/>
          <w:highlight w:val="none"/>
        </w:rPr>
        <w:t xml:space="preserve"> </w:t>
      </w:r>
      <w:r>
        <w:rPr>
          <w:rFonts w:hint="eastAsia"/>
          <w:color w:val="auto"/>
          <w:sz w:val="28"/>
          <w:szCs w:val="32"/>
          <w:highlight w:val="none"/>
        </w:rPr>
        <w:t>附表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一、</w:t>
      </w:r>
      <w:r>
        <w:rPr>
          <w:rFonts w:hint="eastAsia"/>
          <w:color w:val="auto"/>
          <w:sz w:val="28"/>
          <w:szCs w:val="28"/>
          <w:highlight w:val="none"/>
        </w:rPr>
        <w:t>收入支出决算总表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二、</w:t>
      </w:r>
      <w:r>
        <w:rPr>
          <w:rFonts w:hint="eastAsia"/>
          <w:color w:val="auto"/>
          <w:sz w:val="28"/>
          <w:szCs w:val="28"/>
          <w:highlight w:val="none"/>
        </w:rPr>
        <w:t>收入</w:t>
      </w:r>
      <w:r>
        <w:rPr>
          <w:rFonts w:hint="eastAsia" w:ascii="仿宋" w:hAnsi="仿宋" w:eastAsia="仿宋"/>
          <w:color w:val="auto"/>
          <w:sz w:val="28"/>
          <w:szCs w:val="28"/>
          <w:highlight w:val="none"/>
        </w:rPr>
        <w:t>决算</w:t>
      </w:r>
      <w:r>
        <w:rPr>
          <w:rFonts w:hint="eastAsia"/>
          <w:color w:val="auto"/>
          <w:sz w:val="28"/>
          <w:szCs w:val="28"/>
          <w:highlight w:val="none"/>
        </w:rPr>
        <w:t>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三、</w:t>
      </w:r>
      <w:r>
        <w:rPr>
          <w:rFonts w:hint="eastAsia"/>
          <w:color w:val="auto"/>
          <w:sz w:val="28"/>
          <w:szCs w:val="28"/>
          <w:highlight w:val="none"/>
        </w:rPr>
        <w:t>支出</w:t>
      </w:r>
      <w:r>
        <w:rPr>
          <w:rFonts w:hint="eastAsia" w:ascii="仿宋" w:hAnsi="仿宋" w:eastAsia="仿宋"/>
          <w:color w:val="auto"/>
          <w:sz w:val="28"/>
          <w:szCs w:val="28"/>
          <w:highlight w:val="none"/>
        </w:rPr>
        <w:t>决算</w:t>
      </w:r>
      <w:r>
        <w:rPr>
          <w:rFonts w:hint="eastAsia"/>
          <w:color w:val="auto"/>
          <w:sz w:val="28"/>
          <w:szCs w:val="28"/>
          <w:highlight w:val="none"/>
        </w:rPr>
        <w:t>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四、</w:t>
      </w:r>
      <w:r>
        <w:rPr>
          <w:rFonts w:hint="eastAsia"/>
          <w:color w:val="auto"/>
          <w:sz w:val="28"/>
          <w:szCs w:val="28"/>
          <w:highlight w:val="none"/>
        </w:rPr>
        <w:t>财政拨款收入支出决算总表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olor w:val="auto"/>
          <w:sz w:val="28"/>
          <w:szCs w:val="28"/>
          <w:highlight w:val="none"/>
        </w:rPr>
      </w:pPr>
      <w:r>
        <w:rPr>
          <w:rFonts w:hint="eastAsia" w:ascii="仿宋" w:hAnsi="仿宋" w:eastAsia="仿宋"/>
          <w:color w:val="auto"/>
          <w:sz w:val="28"/>
          <w:szCs w:val="28"/>
          <w:highlight w:val="none"/>
        </w:rPr>
        <w:t>五、财政拨款支出决算明细表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六、</w:t>
      </w:r>
      <w:r>
        <w:rPr>
          <w:rFonts w:hint="eastAsia"/>
          <w:color w:val="auto"/>
          <w:sz w:val="28"/>
          <w:szCs w:val="28"/>
          <w:highlight w:val="none"/>
        </w:rPr>
        <w:t>一般公共预算财政拨款支出决算表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七、</w:t>
      </w:r>
      <w:r>
        <w:rPr>
          <w:rFonts w:hint="eastAsia"/>
          <w:color w:val="auto"/>
          <w:sz w:val="28"/>
          <w:szCs w:val="28"/>
          <w:highlight w:val="none"/>
        </w:rPr>
        <w:t>一般公共预算财政拨款支出决算明细表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八、</w:t>
      </w:r>
      <w:r>
        <w:rPr>
          <w:rFonts w:hint="eastAsia"/>
          <w:color w:val="auto"/>
          <w:sz w:val="28"/>
          <w:szCs w:val="28"/>
          <w:highlight w:val="none"/>
        </w:rPr>
        <w:t>一般公共预算财政拨款基本支出决算表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九、</w:t>
      </w:r>
      <w:r>
        <w:rPr>
          <w:rFonts w:hint="eastAsia"/>
          <w:color w:val="auto"/>
          <w:sz w:val="28"/>
          <w:szCs w:val="28"/>
          <w:highlight w:val="none"/>
        </w:rPr>
        <w:t>一般公共预算财政拨款项目支出决算表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十、</w:t>
      </w:r>
      <w:r>
        <w:rPr>
          <w:rFonts w:hint="eastAsia"/>
          <w:color w:val="auto"/>
          <w:sz w:val="28"/>
          <w:szCs w:val="28"/>
          <w:highlight w:val="none"/>
        </w:rPr>
        <w:t>一般公共预算财政拨款“三公”经费支出决算表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十一、</w:t>
      </w:r>
      <w:r>
        <w:rPr>
          <w:rFonts w:hint="eastAsia"/>
          <w:color w:val="auto"/>
          <w:sz w:val="28"/>
          <w:szCs w:val="28"/>
          <w:highlight w:val="none"/>
        </w:rPr>
        <w:t>政府性基金预算财政拨款收入支出决算表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十二、</w:t>
      </w:r>
      <w:r>
        <w:rPr>
          <w:rFonts w:hint="eastAsia"/>
          <w:color w:val="auto"/>
          <w:sz w:val="28"/>
          <w:szCs w:val="28"/>
          <w:highlight w:val="none"/>
        </w:rPr>
        <w:t>政府性基金预算财政拨款“三公”经费支出决算表</w:t>
      </w:r>
    </w:p>
    <w:p>
      <w:pPr>
        <w:pStyle w:val="13"/>
        <w:keepNext w:val="0"/>
        <w:keepLines w:val="0"/>
        <w:pageBreakBefore w:val="0"/>
        <w:kinsoku/>
        <w:wordWrap/>
        <w:overflowPunct/>
        <w:topLinePunct w:val="0"/>
        <w:autoSpaceDE/>
        <w:autoSpaceDN/>
        <w:bidi w:val="0"/>
        <w:adjustRightInd w:val="0"/>
        <w:snapToGrid w:val="0"/>
        <w:spacing w:line="400" w:lineRule="exact"/>
        <w:jc w:val="left"/>
        <w:textAlignment w:val="auto"/>
        <w:rPr>
          <w:rFonts w:ascii="仿宋" w:hAnsi="仿宋" w:eastAsia="仿宋" w:cstheme="minorBidi"/>
          <w:color w:val="auto"/>
          <w:sz w:val="28"/>
          <w:szCs w:val="28"/>
          <w:highlight w:val="none"/>
        </w:rPr>
      </w:pPr>
      <w:r>
        <w:rPr>
          <w:rFonts w:hint="eastAsia" w:ascii="仿宋" w:hAnsi="仿宋" w:eastAsia="仿宋"/>
          <w:color w:val="auto"/>
          <w:sz w:val="28"/>
          <w:szCs w:val="28"/>
          <w:highlight w:val="none"/>
        </w:rPr>
        <w:t>十三、</w:t>
      </w:r>
      <w:r>
        <w:rPr>
          <w:rFonts w:hint="eastAsia"/>
          <w:color w:val="auto"/>
          <w:sz w:val="28"/>
          <w:szCs w:val="28"/>
          <w:highlight w:val="none"/>
        </w:rPr>
        <w:t>国有资本经营预算支出决算表</w:t>
      </w:r>
    </w:p>
    <w:p>
      <w:pPr>
        <w:keepNext w:val="0"/>
        <w:keepLines w:val="0"/>
        <w:pageBreakBefore w:val="0"/>
        <w:widowControl/>
        <w:kinsoku/>
        <w:wordWrap/>
        <w:overflowPunct/>
        <w:topLinePunct w:val="0"/>
        <w:autoSpaceDE/>
        <w:autoSpaceDN/>
        <w:bidi w:val="0"/>
        <w:spacing w:line="400" w:lineRule="exact"/>
        <w:jc w:val="left"/>
        <w:textAlignment w:val="auto"/>
        <w:rPr>
          <w:rFonts w:ascii="仿宋" w:hAnsi="仿宋" w:eastAsia="仿宋"/>
          <w:bCs/>
          <w:color w:val="auto"/>
          <w:kern w:val="44"/>
          <w:sz w:val="28"/>
          <w:szCs w:val="28"/>
          <w:highlight w:val="none"/>
        </w:rPr>
      </w:pPr>
      <w:bookmarkStart w:id="12" w:name="_Toc15377196"/>
      <w:bookmarkStart w:id="13" w:name="_Toc15396599"/>
      <w:r>
        <w:rPr>
          <w:rFonts w:ascii="仿宋" w:hAnsi="仿宋" w:eastAsia="仿宋"/>
          <w:b/>
          <w:color w:val="auto"/>
          <w:sz w:val="28"/>
          <w:szCs w:val="28"/>
          <w:highlight w:val="none"/>
        </w:rPr>
        <w:br w:type="page"/>
      </w:r>
    </w:p>
    <w:p>
      <w:pPr>
        <w:pStyle w:val="4"/>
        <w:jc w:val="center"/>
        <w:rPr>
          <w:rStyle w:val="27"/>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Style w:val="27"/>
          <w:rFonts w:hint="eastAsia" w:ascii="黑体" w:hAnsi="黑体" w:eastAsia="黑体"/>
          <w:b w:val="0"/>
          <w:bCs w:val="0"/>
          <w:color w:val="auto"/>
          <w:highlight w:val="none"/>
        </w:rPr>
        <w:t>部门概况</w:t>
      </w:r>
      <w:bookmarkEnd w:id="12"/>
      <w:bookmarkEnd w:id="13"/>
    </w:p>
    <w:p>
      <w:pPr>
        <w:widowControl/>
        <w:jc w:val="left"/>
        <w:rPr>
          <w:rFonts w:ascii="黑体" w:eastAsia="黑体"/>
          <w:color w:val="auto"/>
          <w:sz w:val="32"/>
          <w:szCs w:val="32"/>
          <w:highlight w:val="none"/>
        </w:rPr>
      </w:pPr>
    </w:p>
    <w:p>
      <w:pPr>
        <w:pStyle w:val="5"/>
        <w:rPr>
          <w:rStyle w:val="28"/>
          <w:rFonts w:ascii="仿宋" w:hAnsi="仿宋" w:eastAsia="仿宋"/>
          <w:b w:val="0"/>
          <w:bCs w:val="0"/>
          <w:color w:val="auto"/>
          <w:highlight w:val="none"/>
        </w:rPr>
      </w:pPr>
      <w:bookmarkStart w:id="14" w:name="_Toc15396600"/>
      <w:bookmarkStart w:id="15" w:name="_Toc15377197"/>
      <w:r>
        <w:rPr>
          <w:rFonts w:hint="eastAsia" w:ascii="黑体" w:hAnsi="黑体" w:eastAsia="黑体"/>
          <w:b w:val="0"/>
          <w:color w:val="auto"/>
          <w:highlight w:val="none"/>
        </w:rPr>
        <w:t>一、基</w:t>
      </w:r>
      <w:r>
        <w:rPr>
          <w:rStyle w:val="28"/>
          <w:rFonts w:hint="eastAsia" w:ascii="黑体" w:hAnsi="黑体" w:eastAsia="黑体"/>
          <w:b w:val="0"/>
          <w:bCs w:val="0"/>
          <w:color w:val="auto"/>
          <w:highlight w:val="none"/>
        </w:rPr>
        <w:t>本职能及主要工作</w:t>
      </w:r>
      <w:bookmarkEnd w:id="14"/>
      <w:bookmarkEnd w:id="15"/>
    </w:p>
    <w:p>
      <w:pPr>
        <w:pStyle w:val="7"/>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bookmarkStart w:id="16" w:name="_Toc15378445"/>
      <w:bookmarkStart w:id="17" w:name="_Toc15377198"/>
      <w:r>
        <w:rPr>
          <w:rFonts w:hint="eastAsia" w:ascii="仿宋" w:hAnsi="仿宋" w:eastAsia="仿宋"/>
          <w:bCs/>
          <w:color w:val="auto"/>
          <w:sz w:val="32"/>
          <w:szCs w:val="32"/>
          <w:highlight w:val="none"/>
        </w:rPr>
        <w:t>（一）主要职能。</w:t>
      </w:r>
      <w:bookmarkEnd w:id="16"/>
      <w:bookmarkEnd w:id="17"/>
      <w:bookmarkStart w:id="18" w:name="_Toc15378446"/>
      <w:bookmarkStart w:id="19" w:name="_Toc15377199"/>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 w:hAnsi="仿宋" w:eastAsia="仿宋"/>
          <w:b w:val="0"/>
          <w:bCs w:val="0"/>
          <w:color w:val="auto"/>
          <w:kern w:val="2"/>
          <w:sz w:val="32"/>
          <w:szCs w:val="32"/>
          <w:highlight w:val="none"/>
          <w:lang w:val="en-US" w:eastAsia="zh-CN"/>
        </w:rPr>
        <w:t>1.</w:t>
      </w:r>
      <w:r>
        <w:rPr>
          <w:rFonts w:hint="eastAsia" w:ascii="仿宋" w:hAnsi="仿宋" w:eastAsia="仿宋"/>
          <w:b w:val="0"/>
          <w:bCs w:val="0"/>
          <w:color w:val="auto"/>
          <w:kern w:val="2"/>
          <w:sz w:val="32"/>
          <w:szCs w:val="32"/>
          <w:highlight w:val="none"/>
        </w:rPr>
        <w:t>负责贯彻全县国土资源管理、矿产资源管理及防震减灾职能。</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（1）彻执行国家和省州关于土地矿产等国土资源方面的方针、政策和法律、法规;依法负责拟定本县土地、矿产等自然资</w:t>
      </w:r>
    </w:p>
    <w:p>
      <w:pPr>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源管理的规章制度;研究拟定调查、规划、保护和合理利用我县土地和矿产等自然资源的政策;组织贯彻实施土地和矿产等自然资源管理的技术标准、规范和办法.</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研究制定全县国土资源管理事业发展战略;组织编制和实施全县国土规划、土地利用总体规划、其它国土资源专项规划和土地利用年度计划;组织实施矿产资源的调查、评价，编制全县矿产资源保护和合理利用规划、地质勘查规划、地灾灾害防治,和地质遗迹保护规划，对建设项目用地预审。</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bCs w:val="0"/>
          <w:color w:val="auto"/>
          <w:sz w:val="32"/>
          <w:szCs w:val="32"/>
          <w:highlight w:val="none"/>
        </w:rPr>
      </w:pPr>
      <w:r>
        <w:rPr>
          <w:rFonts w:hint="eastAsia" w:ascii="仿宋" w:hAnsi="仿宋" w:eastAsia="仿宋"/>
          <w:b w:val="0"/>
          <w:bCs w:val="0"/>
          <w:color w:val="auto"/>
          <w:kern w:val="2"/>
          <w:sz w:val="32"/>
          <w:szCs w:val="32"/>
          <w:highlight w:val="none"/>
          <w:lang w:val="en-US" w:eastAsia="zh-CN"/>
        </w:rPr>
        <w:t>2.</w:t>
      </w:r>
      <w:r>
        <w:rPr>
          <w:rFonts w:hint="eastAsia" w:ascii="仿宋" w:hAnsi="仿宋" w:eastAsia="仿宋"/>
          <w:b w:val="0"/>
          <w:bCs w:val="0"/>
          <w:color w:val="auto"/>
          <w:kern w:val="2"/>
          <w:sz w:val="32"/>
          <w:szCs w:val="32"/>
          <w:highlight w:val="none"/>
        </w:rPr>
        <w:t>行政审批事项</w:t>
      </w:r>
      <w:r>
        <w:rPr>
          <w:rFonts w:hint="eastAsia" w:ascii="仿宋" w:hAnsi="仿宋" w:eastAsia="仿宋"/>
          <w:b/>
          <w:bCs/>
          <w:color w:val="auto"/>
          <w:kern w:val="2"/>
          <w:sz w:val="32"/>
          <w:szCs w:val="32"/>
          <w:highlight w:val="none"/>
        </w:rPr>
        <w:t>。</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负责统一管理全县土地和城乡地籍、地政工作;制定并贯彻实施地籍管理办法;组织实施全县土地资源调查、评价分等定价，统计和动态监测工作;依法负责土地确权、登记、发证等工作，并组织土地权属证书的审理工作。</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进行基准地价、标定地价评测;确认地地使用权价格;审批国有土地资源处置方案并组织实施;拟定并按规定组织实施土地使用权出让、租赁、作价出资、转让交易和政府收购、储备办法;按规定组织实施农村“三项”建设管理和农村非农土地使，用权的流转管理。</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（3）管理全县土地测绘工作。负责全县测绘单位的资格审查，测绘工作证件，测绘任务登记管理，归口管理全县地籍测绘，指导测量标志的管理和保护。</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宋体" w:eastAsia="仿宋_GB2312" w:cs="宋体"/>
          <w:color w:val="auto"/>
          <w:kern w:val="0"/>
          <w:sz w:val="32"/>
          <w:szCs w:val="24"/>
          <w:highlight w:val="none"/>
          <w:lang w:val="zh-CN" w:eastAsia="zh-CN" w:bidi="ar"/>
        </w:rPr>
      </w:pPr>
      <w:r>
        <w:rPr>
          <w:rFonts w:hint="eastAsia" w:ascii="仿宋_GB2312" w:hAnsi="仿宋_GB2312" w:eastAsia="仿宋_GB2312" w:cs="仿宋_GB2312"/>
          <w:color w:val="auto"/>
          <w:sz w:val="32"/>
          <w:szCs w:val="32"/>
          <w:highlight w:val="none"/>
        </w:rPr>
        <w:t>（4）承担矿产资源储备管理工作，依法管理江河地质、地勘成果资料，依法保护地质环境，依法管理矿产资源探矿权和采矿权的审批、登记、发证和转让。审核地质环境影响评估报告。</w:t>
      </w:r>
    </w:p>
    <w:p>
      <w:pPr>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b w:val="0"/>
          <w:bCs w:val="0"/>
          <w:color w:val="auto"/>
          <w:sz w:val="32"/>
          <w:szCs w:val="32"/>
          <w:highlight w:val="none"/>
        </w:rPr>
      </w:pPr>
      <w:r>
        <w:rPr>
          <w:rFonts w:hint="eastAsia" w:ascii="仿宋" w:hAnsi="仿宋" w:eastAsia="仿宋"/>
          <w:b w:val="0"/>
          <w:bCs w:val="0"/>
          <w:color w:val="auto"/>
          <w:sz w:val="32"/>
          <w:szCs w:val="32"/>
          <w:highlight w:val="none"/>
          <w:lang w:val="en-US" w:eastAsia="zh-CN"/>
        </w:rPr>
        <w:t>3.</w:t>
      </w:r>
      <w:r>
        <w:rPr>
          <w:rFonts w:hint="eastAsia" w:ascii="仿宋" w:hAnsi="仿宋" w:eastAsia="仿宋"/>
          <w:b w:val="0"/>
          <w:bCs w:val="0"/>
          <w:color w:val="auto"/>
          <w:sz w:val="32"/>
          <w:szCs w:val="32"/>
          <w:highlight w:val="none"/>
        </w:rPr>
        <w:t>承担县政府和上级相关部门交办的其它工作。</w:t>
      </w:r>
    </w:p>
    <w:p>
      <w:pPr>
        <w:pStyle w:val="7"/>
        <w:adjustRightInd w:val="0"/>
        <w:snapToGrid w:val="0"/>
        <w:spacing w:before="93" w:line="600" w:lineRule="exact"/>
        <w:ind w:firstLine="672" w:firstLineChars="210"/>
        <w:outlineLvl w:val="2"/>
        <w:rPr>
          <w:rFonts w:hint="eastAsia" w:ascii="仿宋" w:hAnsi="仿宋" w:eastAsia="仿宋"/>
          <w:bCs/>
          <w:color w:val="auto"/>
          <w:sz w:val="32"/>
          <w:szCs w:val="32"/>
          <w:highlight w:val="none"/>
        </w:rPr>
      </w:pPr>
      <w:r>
        <w:rPr>
          <w:rFonts w:hint="eastAsia" w:ascii="仿宋" w:hAnsi="仿宋" w:eastAsia="仿宋"/>
          <w:bCs/>
          <w:color w:val="auto"/>
          <w:sz w:val="32"/>
          <w:szCs w:val="32"/>
          <w:highlight w:val="none"/>
        </w:rPr>
        <w:t>（二）</w:t>
      </w:r>
      <w:r>
        <w:rPr>
          <w:rFonts w:ascii="仿宋" w:hAnsi="仿宋" w:eastAsia="仿宋"/>
          <w:bCs/>
          <w:color w:val="auto"/>
          <w:sz w:val="32"/>
          <w:szCs w:val="32"/>
          <w:highlight w:val="none"/>
        </w:rPr>
        <w:t>201</w:t>
      </w:r>
      <w:r>
        <w:rPr>
          <w:rFonts w:hint="eastAsia" w:ascii="仿宋" w:hAnsi="仿宋" w:eastAsia="仿宋"/>
          <w:bCs/>
          <w:color w:val="auto"/>
          <w:sz w:val="32"/>
          <w:szCs w:val="32"/>
          <w:highlight w:val="none"/>
        </w:rPr>
        <w:t>9年重点工作完成情况。</w:t>
      </w:r>
      <w:bookmarkEnd w:id="18"/>
      <w:bookmarkEnd w:id="19"/>
    </w:p>
    <w:p>
      <w:pPr>
        <w:keepNext w:val="0"/>
        <w:keepLines w:val="0"/>
        <w:pageBreakBefore w:val="0"/>
        <w:kinsoku/>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1.</w:t>
      </w:r>
      <w:r>
        <w:rPr>
          <w:rFonts w:hint="eastAsia" w:ascii="仿宋_GB2312" w:hAnsi="仿宋_GB2312" w:eastAsia="仿宋_GB2312" w:cs="仿宋_GB2312"/>
          <w:b w:val="0"/>
          <w:bCs w:val="0"/>
          <w:color w:val="auto"/>
          <w:sz w:val="32"/>
          <w:szCs w:val="32"/>
          <w:highlight w:val="none"/>
        </w:rPr>
        <w:t>抓好三调工作。</w:t>
      </w:r>
      <w:r>
        <w:rPr>
          <w:rFonts w:hint="eastAsia" w:ascii="仿宋_GB2312" w:hAnsi="仿宋_GB2312" w:eastAsia="仿宋_GB2312" w:cs="仿宋_GB2312"/>
          <w:b w:val="0"/>
          <w:bCs w:val="0"/>
          <w:color w:val="auto"/>
          <w:sz w:val="32"/>
          <w:szCs w:val="32"/>
          <w:highlight w:val="none"/>
          <w:lang w:eastAsia="zh-CN"/>
        </w:rPr>
        <w:t>县局</w:t>
      </w:r>
      <w:r>
        <w:rPr>
          <w:rFonts w:hint="eastAsia" w:ascii="仿宋_GB2312" w:hAnsi="仿宋_GB2312" w:eastAsia="仿宋_GB2312" w:cs="仿宋_GB2312"/>
          <w:b w:val="0"/>
          <w:bCs w:val="0"/>
          <w:color w:val="auto"/>
          <w:sz w:val="32"/>
          <w:szCs w:val="32"/>
          <w:highlight w:val="none"/>
        </w:rPr>
        <w:t>响应国家号召开始全省第三次全国国土调查“百日攻坚”行动精神，按照“真实、真实、再真实”的要求，严密组织实施各项调查任务。</w:t>
      </w:r>
      <w:r>
        <w:rPr>
          <w:rFonts w:hint="eastAsia" w:ascii="仿宋_GB2312" w:hAnsi="仿宋_GB2312" w:eastAsia="仿宋_GB2312" w:cs="仿宋_GB2312"/>
          <w:b w:val="0"/>
          <w:bCs w:val="0"/>
          <w:color w:val="auto"/>
          <w:sz w:val="32"/>
          <w:szCs w:val="32"/>
          <w:highlight w:val="none"/>
          <w:lang w:eastAsia="zh-CN"/>
        </w:rPr>
        <w:t>经检查</w:t>
      </w:r>
      <w:r>
        <w:rPr>
          <w:rFonts w:hint="eastAsia" w:ascii="仿宋_GB2312" w:hAnsi="仿宋_GB2312" w:eastAsia="仿宋_GB2312" w:cs="仿宋_GB2312"/>
          <w:b w:val="0"/>
          <w:bCs w:val="0"/>
          <w:color w:val="auto"/>
          <w:sz w:val="32"/>
          <w:szCs w:val="32"/>
          <w:highlight w:val="none"/>
        </w:rPr>
        <w:t>红原</w:t>
      </w:r>
      <w:r>
        <w:rPr>
          <w:rFonts w:hint="eastAsia" w:ascii="仿宋_GB2312" w:hAnsi="仿宋_GB2312" w:eastAsia="仿宋_GB2312" w:cs="仿宋_GB2312"/>
          <w:b w:val="0"/>
          <w:bCs w:val="0"/>
          <w:color w:val="auto"/>
          <w:sz w:val="32"/>
          <w:szCs w:val="32"/>
          <w:highlight w:val="none"/>
          <w:lang w:eastAsia="zh-CN"/>
        </w:rPr>
        <w:t>县</w:t>
      </w:r>
      <w:r>
        <w:rPr>
          <w:rFonts w:hint="eastAsia" w:ascii="仿宋_GB2312" w:hAnsi="仿宋_GB2312" w:eastAsia="仿宋_GB2312" w:cs="仿宋_GB2312"/>
          <w:b w:val="0"/>
          <w:bCs w:val="0"/>
          <w:color w:val="auto"/>
          <w:sz w:val="32"/>
          <w:szCs w:val="32"/>
          <w:highlight w:val="none"/>
        </w:rPr>
        <w:t>全图斑差错率</w:t>
      </w:r>
      <w:r>
        <w:rPr>
          <w:rFonts w:hint="eastAsia" w:ascii="仿宋_GB2312" w:hAnsi="仿宋_GB2312" w:eastAsia="仿宋_GB2312" w:cs="仿宋_GB2312"/>
          <w:b w:val="0"/>
          <w:bCs w:val="0"/>
          <w:color w:val="auto"/>
          <w:sz w:val="32"/>
          <w:szCs w:val="32"/>
          <w:highlight w:val="none"/>
          <w:lang w:eastAsia="zh-CN"/>
        </w:rPr>
        <w:t>仅</w:t>
      </w:r>
      <w:r>
        <w:rPr>
          <w:rFonts w:hint="eastAsia" w:ascii="仿宋_GB2312" w:hAnsi="仿宋_GB2312" w:eastAsia="仿宋_GB2312" w:cs="仿宋_GB2312"/>
          <w:b w:val="0"/>
          <w:bCs w:val="0"/>
          <w:color w:val="auto"/>
          <w:sz w:val="32"/>
          <w:szCs w:val="32"/>
          <w:highlight w:val="none"/>
        </w:rPr>
        <w:t>为0.14%</w:t>
      </w:r>
      <w:r>
        <w:rPr>
          <w:rFonts w:hint="eastAsia" w:ascii="仿宋_GB2312" w:hAnsi="仿宋_GB2312" w:eastAsia="仿宋_GB2312" w:cs="仿宋_GB2312"/>
          <w:b w:val="0"/>
          <w:bCs w:val="0"/>
          <w:color w:val="auto"/>
          <w:sz w:val="32"/>
          <w:szCs w:val="32"/>
          <w:highlight w:val="none"/>
          <w:lang w:eastAsia="zh-CN"/>
        </w:rPr>
        <w:t>，是全州最早通过自然资源部技术审查的三个县之一。</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CN"/>
        </w:rPr>
        <w:t>推进建设项目用地预审工作</w:t>
      </w:r>
      <w:r>
        <w:rPr>
          <w:rFonts w:hint="eastAsia" w:ascii="仿宋_GB2312" w:hAnsi="仿宋_GB2312" w:eastAsia="仿宋_GB2312" w:cs="仿宋_GB2312"/>
          <w:b w:val="0"/>
          <w:bCs w:val="0"/>
          <w:color w:val="auto"/>
          <w:sz w:val="32"/>
          <w:szCs w:val="32"/>
          <w:highlight w:val="none"/>
        </w:rPr>
        <w:t>。至目前为止</w:t>
      </w:r>
      <w:r>
        <w:rPr>
          <w:rFonts w:hint="eastAsia" w:ascii="仿宋_GB2312" w:hAnsi="仿宋_GB2312" w:eastAsia="仿宋_GB2312" w:cs="仿宋_GB2312"/>
          <w:b w:val="0"/>
          <w:bCs w:val="0"/>
          <w:color w:val="auto"/>
          <w:sz w:val="32"/>
          <w:szCs w:val="32"/>
          <w:highlight w:val="none"/>
          <w:lang w:eastAsia="zh-CN"/>
        </w:rPr>
        <w:t>我局</w:t>
      </w:r>
      <w:r>
        <w:rPr>
          <w:rFonts w:hint="eastAsia" w:ascii="仿宋_GB2312" w:hAnsi="仿宋_GB2312" w:eastAsia="仿宋_GB2312" w:cs="仿宋_GB2312"/>
          <w:b w:val="0"/>
          <w:bCs w:val="0"/>
          <w:color w:val="auto"/>
          <w:sz w:val="32"/>
          <w:szCs w:val="32"/>
          <w:highlight w:val="none"/>
        </w:rPr>
        <w:t>共办理</w:t>
      </w:r>
      <w:r>
        <w:rPr>
          <w:rFonts w:hint="eastAsia" w:ascii="仿宋_GB2312" w:hAnsi="仿宋_GB2312" w:eastAsia="仿宋_GB2312" w:cs="仿宋_GB2312"/>
          <w:b w:val="0"/>
          <w:bCs w:val="0"/>
          <w:color w:val="auto"/>
          <w:sz w:val="32"/>
          <w:szCs w:val="32"/>
          <w:highlight w:val="none"/>
          <w:lang w:val="en-US" w:eastAsia="zh-CN"/>
        </w:rPr>
        <w:t>37</w:t>
      </w:r>
      <w:r>
        <w:rPr>
          <w:rFonts w:hint="eastAsia" w:ascii="仿宋_GB2312" w:hAnsi="仿宋_GB2312" w:eastAsia="仿宋_GB2312" w:cs="仿宋_GB2312"/>
          <w:b w:val="0"/>
          <w:bCs w:val="0"/>
          <w:color w:val="auto"/>
          <w:sz w:val="32"/>
          <w:szCs w:val="32"/>
          <w:highlight w:val="none"/>
        </w:rPr>
        <w:t>宗土地预审，总面积是</w:t>
      </w:r>
      <w:r>
        <w:rPr>
          <w:rFonts w:hint="eastAsia" w:ascii="仿宋_GB2312" w:hAnsi="仿宋_GB2312" w:eastAsia="仿宋_GB2312" w:cs="仿宋_GB2312"/>
          <w:b w:val="0"/>
          <w:bCs w:val="0"/>
          <w:color w:val="auto"/>
          <w:sz w:val="32"/>
          <w:szCs w:val="32"/>
          <w:highlight w:val="none"/>
          <w:lang w:val="en-US" w:eastAsia="zh-CN"/>
        </w:rPr>
        <w:t>49.9647</w:t>
      </w:r>
      <w:r>
        <w:rPr>
          <w:rFonts w:hint="eastAsia" w:ascii="仿宋_GB2312" w:hAnsi="仿宋_GB2312" w:eastAsia="仿宋_GB2312" w:cs="仿宋_GB2312"/>
          <w:b w:val="0"/>
          <w:bCs w:val="0"/>
          <w:color w:val="auto"/>
          <w:sz w:val="32"/>
          <w:szCs w:val="32"/>
          <w:highlight w:val="none"/>
          <w:lang w:eastAsia="zh-CN"/>
        </w:rPr>
        <w:t>公顷</w:t>
      </w:r>
      <w:r>
        <w:rPr>
          <w:rFonts w:hint="eastAsia" w:ascii="仿宋_GB2312" w:hAnsi="仿宋_GB2312" w:eastAsia="仿宋_GB2312" w:cs="仿宋_GB2312"/>
          <w:b w:val="0"/>
          <w:bCs w:val="0"/>
          <w:color w:val="auto"/>
          <w:sz w:val="32"/>
          <w:szCs w:val="32"/>
          <w:highlight w:val="none"/>
        </w:rPr>
        <w:t>，总投资规模</w:t>
      </w:r>
      <w:r>
        <w:rPr>
          <w:rFonts w:hint="eastAsia" w:ascii="仿宋_GB2312" w:hAnsi="仿宋_GB2312" w:eastAsia="仿宋_GB2312" w:cs="仿宋_GB2312"/>
          <w:b w:val="0"/>
          <w:bCs w:val="0"/>
          <w:color w:val="auto"/>
          <w:sz w:val="32"/>
          <w:szCs w:val="32"/>
          <w:highlight w:val="none"/>
          <w:lang w:val="en-US" w:eastAsia="zh-CN"/>
        </w:rPr>
        <w:t>37794.9356</w:t>
      </w:r>
      <w:r>
        <w:rPr>
          <w:rFonts w:hint="eastAsia" w:ascii="仿宋_GB2312" w:hAnsi="仿宋_GB2312" w:eastAsia="仿宋_GB2312" w:cs="仿宋_GB2312"/>
          <w:b w:val="0"/>
          <w:bCs w:val="0"/>
          <w:color w:val="auto"/>
          <w:sz w:val="32"/>
          <w:szCs w:val="32"/>
          <w:highlight w:val="none"/>
        </w:rPr>
        <w:t>万元</w:t>
      </w:r>
      <w:r>
        <w:rPr>
          <w:rFonts w:hint="eastAsia" w:ascii="仿宋_GB2312" w:hAnsi="仿宋_GB2312" w:eastAsia="仿宋_GB2312" w:cs="仿宋_GB2312"/>
          <w:b w:val="0"/>
          <w:bCs w:val="0"/>
          <w:i w:val="0"/>
          <w:caps w:val="0"/>
          <w:color w:val="auto"/>
          <w:spacing w:val="0"/>
          <w:sz w:val="32"/>
          <w:szCs w:val="32"/>
          <w:highlight w:val="none"/>
          <w:shd w:val="clear" w:color="auto" w:fill="FFFFFF"/>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3.加快建设用地报建工作。一是2019年第一批城市建设用地。二是2019年第一批乡镇建设用地。</w:t>
      </w:r>
    </w:p>
    <w:p>
      <w:pPr>
        <w:pStyle w:val="14"/>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left"/>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4.完善空间规划审批制度</w:t>
      </w:r>
      <w:r>
        <w:rPr>
          <w:rFonts w:hint="eastAsia" w:ascii="仿宋_GB2312" w:hAnsi="仿宋_GB2312" w:eastAsia="仿宋_GB2312" w:cs="仿宋_GB2312"/>
          <w:b w:val="0"/>
          <w:bCs w:val="0"/>
          <w:color w:val="auto"/>
          <w:kern w:val="32"/>
          <w:sz w:val="32"/>
          <w:szCs w:val="32"/>
          <w:highlight w:val="none"/>
          <w:lang w:val="en-US" w:eastAsia="zh-CN" w:bidi="ar-SA"/>
        </w:rPr>
        <w:t>。</w:t>
      </w:r>
      <w:r>
        <w:rPr>
          <w:rFonts w:hint="eastAsia" w:ascii="仿宋_GB2312" w:hAnsi="仿宋_GB2312" w:eastAsia="仿宋_GB2312" w:cs="仿宋_GB2312"/>
          <w:b w:val="0"/>
          <w:bCs w:val="0"/>
          <w:color w:val="auto"/>
          <w:sz w:val="32"/>
          <w:szCs w:val="32"/>
          <w:highlight w:val="none"/>
          <w:lang w:val="en-US" w:eastAsia="zh-CN"/>
        </w:rPr>
        <w:t>2019年审批项目27项，办理选址意见书14份，办理用地规划许可证14份，工程规划许可证14份，下达规划条件函5份，成立了红原县城乡规划委员会组织我县重点项目的审批、评审工作，2019</w:t>
      </w:r>
      <w:r>
        <w:rPr>
          <w:rFonts w:hint="eastAsia" w:ascii="仿宋_GB2312" w:hAnsi="仿宋_GB2312" w:eastAsia="仿宋_GB2312" w:cs="仿宋_GB2312"/>
          <w:b w:val="0"/>
          <w:bCs w:val="0"/>
          <w:color w:val="auto"/>
          <w:sz w:val="32"/>
          <w:szCs w:val="32"/>
          <w:highlight w:val="none"/>
          <w:lang w:eastAsia="zh-CN"/>
        </w:rPr>
        <w:t>年以来组织召开规委会</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lang w:eastAsia="zh-CN"/>
        </w:rPr>
        <w:t>次，审批各项</w:t>
      </w:r>
      <w:r>
        <w:rPr>
          <w:rFonts w:hint="eastAsia" w:ascii="仿宋_GB2312" w:hAnsi="仿宋_GB2312" w:eastAsia="仿宋_GB2312" w:cs="仿宋_GB2312"/>
          <w:b w:val="0"/>
          <w:bCs w:val="0"/>
          <w:color w:val="auto"/>
          <w:sz w:val="32"/>
          <w:szCs w:val="32"/>
          <w:highlight w:val="none"/>
          <w:lang w:val="en-US" w:eastAsia="zh-CN"/>
        </w:rPr>
        <w:t>规划</w:t>
      </w:r>
      <w:r>
        <w:rPr>
          <w:rFonts w:hint="eastAsia" w:ascii="仿宋_GB2312" w:hAnsi="仿宋_GB2312" w:eastAsia="仿宋_GB2312" w:cs="仿宋_GB2312"/>
          <w:b w:val="0"/>
          <w:bCs w:val="0"/>
          <w:color w:val="auto"/>
          <w:sz w:val="32"/>
          <w:szCs w:val="32"/>
          <w:highlight w:val="none"/>
          <w:lang w:eastAsia="zh-CN"/>
        </w:rPr>
        <w:t>建设工程项目</w:t>
      </w:r>
      <w:r>
        <w:rPr>
          <w:rFonts w:hint="eastAsia" w:ascii="仿宋_GB2312" w:hAnsi="仿宋_GB2312" w:eastAsia="仿宋_GB2312" w:cs="仿宋_GB2312"/>
          <w:b w:val="0"/>
          <w:bCs w:val="0"/>
          <w:color w:val="auto"/>
          <w:sz w:val="32"/>
          <w:szCs w:val="32"/>
          <w:highlight w:val="none"/>
          <w:lang w:val="en-US" w:eastAsia="zh-CN"/>
        </w:rPr>
        <w:t>10</w:t>
      </w:r>
      <w:r>
        <w:rPr>
          <w:rFonts w:hint="eastAsia" w:ascii="仿宋_GB2312" w:hAnsi="仿宋_GB2312" w:eastAsia="仿宋_GB2312" w:cs="仿宋_GB2312"/>
          <w:b w:val="0"/>
          <w:bCs w:val="0"/>
          <w:color w:val="auto"/>
          <w:sz w:val="32"/>
          <w:szCs w:val="32"/>
          <w:highlight w:val="none"/>
          <w:lang w:eastAsia="zh-CN"/>
        </w:rPr>
        <w:t>项。</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5.开展国土空间“双评价”工作。根据《阿坝州自然资源局关于开展县市国土空间规划和“一张图”建设工作的通知》（阿州资源自发〔2019〕112号）文件要求，我局立即</w:t>
      </w:r>
      <w:r>
        <w:rPr>
          <w:rFonts w:hint="eastAsia" w:ascii="仿宋_GB2312" w:hAnsi="仿宋_GB2312" w:eastAsia="仿宋_GB2312" w:cs="仿宋_GB2312"/>
          <w:b w:val="0"/>
          <w:bCs w:val="0"/>
          <w:color w:val="auto"/>
          <w:sz w:val="32"/>
          <w:szCs w:val="32"/>
          <w:highlight w:val="none"/>
          <w:lang w:eastAsia="zh-CN"/>
        </w:rPr>
        <w:t>召开启动空间规划编制工作动员大会，组织相关人员到各部门收集资料，开展</w:t>
      </w:r>
      <w:r>
        <w:rPr>
          <w:rFonts w:hint="eastAsia" w:ascii="仿宋_GB2312" w:hAnsi="仿宋_GB2312" w:eastAsia="仿宋_GB2312" w:cs="仿宋_GB2312"/>
          <w:b w:val="0"/>
          <w:bCs w:val="0"/>
          <w:color w:val="auto"/>
          <w:sz w:val="32"/>
          <w:szCs w:val="32"/>
          <w:highlight w:val="none"/>
          <w:lang w:val="en-US" w:eastAsia="zh-CN"/>
        </w:rPr>
        <w:t>国土空间“双评价”前期工作。</w:t>
      </w:r>
    </w:p>
    <w:p>
      <w:pPr>
        <w:keepNext w:val="0"/>
        <w:keepLines w:val="0"/>
        <w:pageBreakBefore w:val="0"/>
        <w:widowControl w:val="0"/>
        <w:kinsoku/>
        <w:wordWrap w:val="0"/>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6.充分确保用地保障</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一是今年完成</w:t>
      </w:r>
      <w:r>
        <w:rPr>
          <w:rFonts w:hint="eastAsia" w:ascii="仿宋_GB2312" w:hAnsi="仿宋_GB2312" w:eastAsia="仿宋_GB2312" w:cs="仿宋_GB2312"/>
          <w:b w:val="0"/>
          <w:bCs w:val="0"/>
          <w:color w:val="auto"/>
          <w:sz w:val="32"/>
          <w:szCs w:val="32"/>
          <w:highlight w:val="none"/>
          <w:lang w:val="en-US" w:eastAsia="zh-CN"/>
        </w:rPr>
        <w:t>2块宗地招拍挂工作，</w:t>
      </w:r>
      <w:r>
        <w:rPr>
          <w:rFonts w:hint="eastAsia" w:ascii="仿宋_GB2312" w:hAnsi="仿宋_GB2312" w:eastAsia="仿宋_GB2312" w:cs="仿宋_GB2312"/>
          <w:b w:val="0"/>
          <w:bCs w:val="0"/>
          <w:color w:val="auto"/>
          <w:sz w:val="32"/>
          <w:szCs w:val="32"/>
          <w:highlight w:val="none"/>
        </w:rPr>
        <w:t>红原县绿色产业园区513233001002GB00447W00000000地块完成招拍挂工作，该宗地面积为48616.28平方米（合72.92亩），该宗地的土地用途为工业，成交价为466.7163万元；红原县绿色产业园区513233001002GB00467号宗地</w:t>
      </w:r>
      <w:r>
        <w:rPr>
          <w:rFonts w:hint="eastAsia" w:ascii="仿宋_GB2312" w:hAnsi="仿宋_GB2312" w:eastAsia="仿宋_GB2312" w:cs="仿宋_GB2312"/>
          <w:b w:val="0"/>
          <w:bCs w:val="0"/>
          <w:color w:val="auto"/>
          <w:sz w:val="32"/>
          <w:szCs w:val="32"/>
          <w:highlight w:val="none"/>
          <w:lang w:eastAsia="zh-CN"/>
        </w:rPr>
        <w:t>完成</w:t>
      </w:r>
      <w:r>
        <w:rPr>
          <w:rFonts w:hint="eastAsia" w:ascii="仿宋_GB2312" w:hAnsi="仿宋_GB2312" w:eastAsia="仿宋_GB2312" w:cs="仿宋_GB2312"/>
          <w:b w:val="0"/>
          <w:bCs w:val="0"/>
          <w:color w:val="auto"/>
          <w:sz w:val="32"/>
          <w:szCs w:val="32"/>
          <w:highlight w:val="none"/>
        </w:rPr>
        <w:t>招拍</w:t>
      </w:r>
      <w:r>
        <w:rPr>
          <w:rFonts w:hint="eastAsia" w:ascii="仿宋_GB2312" w:hAnsi="仿宋_GB2312" w:eastAsia="仿宋_GB2312" w:cs="仿宋_GB2312"/>
          <w:b w:val="0"/>
          <w:bCs w:val="0"/>
          <w:color w:val="auto"/>
          <w:sz w:val="32"/>
          <w:szCs w:val="32"/>
          <w:highlight w:val="none"/>
          <w:lang w:eastAsia="zh-CN"/>
        </w:rPr>
        <w:t>挂</w:t>
      </w:r>
      <w:r>
        <w:rPr>
          <w:rFonts w:hint="eastAsia" w:ascii="仿宋_GB2312" w:hAnsi="仿宋_GB2312" w:eastAsia="仿宋_GB2312" w:cs="仿宋_GB2312"/>
          <w:b w:val="0"/>
          <w:bCs w:val="0"/>
          <w:color w:val="auto"/>
          <w:sz w:val="32"/>
          <w:szCs w:val="32"/>
          <w:highlight w:val="none"/>
        </w:rPr>
        <w:t>工作</w:t>
      </w:r>
      <w:r>
        <w:rPr>
          <w:rFonts w:hint="eastAsia" w:ascii="仿宋_GB2312" w:hAnsi="仿宋_GB2312" w:eastAsia="仿宋_GB2312" w:cs="仿宋_GB2312"/>
          <w:b w:val="0"/>
          <w:bCs w:val="0"/>
          <w:color w:val="auto"/>
          <w:sz w:val="32"/>
          <w:szCs w:val="32"/>
          <w:highlight w:val="none"/>
          <w:lang w:eastAsia="zh-CN"/>
        </w:rPr>
        <w:t>，成交价为</w:t>
      </w:r>
      <w:r>
        <w:rPr>
          <w:rFonts w:hint="eastAsia" w:ascii="仿宋_GB2312" w:hAnsi="仿宋_GB2312" w:eastAsia="仿宋_GB2312" w:cs="仿宋_GB2312"/>
          <w:b w:val="0"/>
          <w:bCs w:val="0"/>
          <w:color w:val="auto"/>
          <w:sz w:val="32"/>
          <w:szCs w:val="32"/>
          <w:highlight w:val="none"/>
          <w:lang w:val="en-US" w:eastAsia="zh-CN"/>
        </w:rPr>
        <w:t>32万元</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二是</w:t>
      </w:r>
      <w:r>
        <w:rPr>
          <w:rFonts w:hint="eastAsia" w:ascii="仿宋_GB2312" w:hAnsi="仿宋_GB2312" w:eastAsia="仿宋_GB2312" w:cs="仿宋_GB2312"/>
          <w:b w:val="0"/>
          <w:bCs w:val="0"/>
          <w:color w:val="auto"/>
          <w:sz w:val="32"/>
          <w:szCs w:val="32"/>
          <w:highlight w:val="none"/>
        </w:rPr>
        <w:t>配合交通运输局制定完善久（治）马（尔康）高速工程建设土地补偿标准。</w:t>
      </w:r>
      <w:r>
        <w:rPr>
          <w:rFonts w:hint="eastAsia" w:ascii="仿宋_GB2312" w:hAnsi="仿宋_GB2312" w:eastAsia="仿宋_GB2312" w:cs="仿宋_GB2312"/>
          <w:b w:val="0"/>
          <w:bCs w:val="0"/>
          <w:color w:val="auto"/>
          <w:sz w:val="32"/>
          <w:szCs w:val="32"/>
          <w:highlight w:val="none"/>
          <w:lang w:eastAsia="zh-CN"/>
        </w:rPr>
        <w:t>三是</w:t>
      </w:r>
      <w:r>
        <w:rPr>
          <w:rFonts w:hint="eastAsia" w:ascii="仿宋_GB2312" w:hAnsi="仿宋_GB2312" w:eastAsia="仿宋_GB2312" w:cs="仿宋_GB2312"/>
          <w:b w:val="0"/>
          <w:bCs w:val="0"/>
          <w:color w:val="auto"/>
          <w:sz w:val="32"/>
          <w:szCs w:val="32"/>
          <w:highlight w:val="none"/>
        </w:rPr>
        <w:t>完成2019年耕地质量等级调查评价与监测工作</w:t>
      </w:r>
      <w:r>
        <w:rPr>
          <w:rFonts w:hint="eastAsia" w:ascii="仿宋_GB2312" w:hAnsi="仿宋_GB2312" w:eastAsia="仿宋_GB2312" w:cs="仿宋_GB2312"/>
          <w:b w:val="0"/>
          <w:bCs w:val="0"/>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7.提高不动产登记服务工作。</w:t>
      </w:r>
      <w:r>
        <w:rPr>
          <w:rFonts w:hint="eastAsia" w:ascii="仿宋_GB2312" w:hAnsi="仿宋_GB2312" w:eastAsia="仿宋_GB2312" w:cs="仿宋_GB2312"/>
          <w:b w:val="0"/>
          <w:bCs w:val="0"/>
          <w:color w:val="auto"/>
          <w:kern w:val="0"/>
          <w:sz w:val="32"/>
          <w:szCs w:val="32"/>
          <w:highlight w:val="none"/>
          <w:lang w:eastAsia="zh-CN"/>
        </w:rPr>
        <w:t>我中心</w:t>
      </w:r>
      <w:r>
        <w:rPr>
          <w:rFonts w:hint="eastAsia" w:ascii="仿宋_GB2312" w:hAnsi="仿宋_GB2312" w:eastAsia="仿宋_GB2312" w:cs="仿宋_GB2312"/>
          <w:b w:val="0"/>
          <w:bCs w:val="0"/>
          <w:color w:val="auto"/>
          <w:kern w:val="0"/>
          <w:sz w:val="32"/>
          <w:szCs w:val="32"/>
          <w:highlight w:val="none"/>
        </w:rPr>
        <w:t>共颁发不动产</w:t>
      </w:r>
      <w:r>
        <w:rPr>
          <w:rFonts w:hint="eastAsia" w:ascii="仿宋_GB2312" w:hAnsi="仿宋_GB2312" w:eastAsia="仿宋_GB2312" w:cs="仿宋_GB2312"/>
          <w:b w:val="0"/>
          <w:bCs w:val="0"/>
          <w:color w:val="auto"/>
          <w:kern w:val="0"/>
          <w:sz w:val="32"/>
          <w:szCs w:val="32"/>
          <w:highlight w:val="none"/>
          <w:lang w:eastAsia="zh-CN"/>
        </w:rPr>
        <w:t>权</w:t>
      </w:r>
      <w:r>
        <w:rPr>
          <w:rFonts w:hint="eastAsia" w:ascii="仿宋_GB2312" w:hAnsi="仿宋_GB2312" w:eastAsia="仿宋_GB2312" w:cs="仿宋_GB2312"/>
          <w:b w:val="0"/>
          <w:bCs w:val="0"/>
          <w:color w:val="auto"/>
          <w:kern w:val="0"/>
          <w:sz w:val="32"/>
          <w:szCs w:val="32"/>
          <w:highlight w:val="none"/>
        </w:rPr>
        <w:t>证</w:t>
      </w:r>
      <w:r>
        <w:rPr>
          <w:rFonts w:hint="eastAsia" w:ascii="仿宋_GB2312" w:hAnsi="仿宋_GB2312" w:eastAsia="仿宋_GB2312" w:cs="仿宋_GB2312"/>
          <w:b w:val="0"/>
          <w:bCs w:val="0"/>
          <w:color w:val="auto"/>
          <w:kern w:val="0"/>
          <w:sz w:val="32"/>
          <w:szCs w:val="32"/>
          <w:highlight w:val="none"/>
          <w:lang w:eastAsia="zh-CN"/>
        </w:rPr>
        <w:t>书</w:t>
      </w:r>
      <w:r>
        <w:rPr>
          <w:rFonts w:hint="eastAsia" w:ascii="仿宋_GB2312" w:hAnsi="仿宋_GB2312" w:eastAsia="仿宋_GB2312" w:cs="仿宋_GB2312"/>
          <w:b w:val="0"/>
          <w:bCs w:val="0"/>
          <w:color w:val="auto"/>
          <w:kern w:val="0"/>
          <w:sz w:val="32"/>
          <w:szCs w:val="32"/>
          <w:highlight w:val="none"/>
          <w:lang w:val="en-US" w:eastAsia="zh-CN"/>
        </w:rPr>
        <w:t xml:space="preserve"> 1665</w:t>
      </w:r>
      <w:r>
        <w:rPr>
          <w:rFonts w:hint="eastAsia" w:ascii="仿宋_GB2312" w:hAnsi="仿宋_GB2312" w:eastAsia="仿宋_GB2312" w:cs="仿宋_GB2312"/>
          <w:b w:val="0"/>
          <w:bCs w:val="0"/>
          <w:color w:val="auto"/>
          <w:kern w:val="0"/>
          <w:sz w:val="32"/>
          <w:szCs w:val="32"/>
          <w:highlight w:val="none"/>
        </w:rPr>
        <w:t>本，</w:t>
      </w:r>
      <w:r>
        <w:rPr>
          <w:rFonts w:hint="eastAsia" w:ascii="仿宋_GB2312" w:hAnsi="仿宋_GB2312" w:eastAsia="仿宋_GB2312" w:cs="仿宋_GB2312"/>
          <w:b w:val="0"/>
          <w:bCs w:val="0"/>
          <w:color w:val="auto"/>
          <w:kern w:val="0"/>
          <w:sz w:val="32"/>
          <w:szCs w:val="32"/>
          <w:highlight w:val="none"/>
          <w:lang w:eastAsia="zh-CN"/>
        </w:rPr>
        <w:t>颁发</w:t>
      </w:r>
      <w:r>
        <w:rPr>
          <w:rFonts w:hint="eastAsia" w:ascii="仿宋_GB2312" w:hAnsi="仿宋_GB2312" w:eastAsia="仿宋_GB2312" w:cs="仿宋_GB2312"/>
          <w:b w:val="0"/>
          <w:bCs w:val="0"/>
          <w:color w:val="auto"/>
          <w:kern w:val="0"/>
          <w:sz w:val="32"/>
          <w:szCs w:val="32"/>
          <w:highlight w:val="none"/>
        </w:rPr>
        <w:t>不动登记证明</w:t>
      </w:r>
      <w:r>
        <w:rPr>
          <w:rFonts w:hint="eastAsia" w:ascii="仿宋_GB2312" w:hAnsi="仿宋_GB2312" w:eastAsia="仿宋_GB2312" w:cs="仿宋_GB2312"/>
          <w:b w:val="0"/>
          <w:bCs w:val="0"/>
          <w:color w:val="auto"/>
          <w:kern w:val="0"/>
          <w:sz w:val="32"/>
          <w:szCs w:val="32"/>
          <w:highlight w:val="none"/>
          <w:lang w:val="en-US" w:eastAsia="zh-CN"/>
        </w:rPr>
        <w:t>615</w:t>
      </w:r>
      <w:r>
        <w:rPr>
          <w:rFonts w:hint="eastAsia" w:ascii="仿宋_GB2312" w:hAnsi="仿宋_GB2312" w:eastAsia="仿宋_GB2312" w:cs="仿宋_GB2312"/>
          <w:b w:val="0"/>
          <w:bCs w:val="0"/>
          <w:color w:val="auto"/>
          <w:kern w:val="0"/>
          <w:sz w:val="32"/>
          <w:szCs w:val="32"/>
          <w:highlight w:val="none"/>
        </w:rPr>
        <w:t>份</w:t>
      </w:r>
      <w:r>
        <w:rPr>
          <w:rFonts w:hint="eastAsia" w:ascii="仿宋_GB2312" w:hAnsi="仿宋_GB2312" w:eastAsia="仿宋_GB2312" w:cs="仿宋_GB2312"/>
          <w:b w:val="0"/>
          <w:bCs w:val="0"/>
          <w:color w:val="auto"/>
          <w:kern w:val="0"/>
          <w:sz w:val="32"/>
          <w:szCs w:val="32"/>
          <w:highlight w:val="none"/>
          <w:lang w:eastAsia="zh-CN"/>
        </w:rPr>
        <w:t>，共计完成不动产登记业务</w:t>
      </w:r>
      <w:r>
        <w:rPr>
          <w:rFonts w:hint="eastAsia" w:ascii="仿宋_GB2312" w:hAnsi="仿宋_GB2312" w:eastAsia="仿宋_GB2312" w:cs="仿宋_GB2312"/>
          <w:b w:val="0"/>
          <w:bCs w:val="0"/>
          <w:color w:val="auto"/>
          <w:kern w:val="0"/>
          <w:sz w:val="32"/>
          <w:szCs w:val="32"/>
          <w:highlight w:val="none"/>
          <w:lang w:val="en-US" w:eastAsia="zh-CN"/>
        </w:rPr>
        <w:t>2280件，2019年共颁发不动产权证书388本，颁发不动产登记证明104份，共计完成不动产登记业务492件。</w:t>
      </w:r>
      <w:r>
        <w:rPr>
          <w:rFonts w:hint="eastAsia" w:ascii="仿宋_GB2312" w:hAnsi="仿宋_GB2312" w:eastAsia="仿宋_GB2312" w:cs="仿宋_GB2312"/>
          <w:b w:val="0"/>
          <w:bCs w:val="0"/>
          <w:color w:val="auto"/>
          <w:sz w:val="32"/>
          <w:szCs w:val="32"/>
          <w:highlight w:val="none"/>
          <w:lang w:val="en-US" w:eastAsia="zh-CN"/>
        </w:rPr>
        <w:t>三是共完成了州自然资源局安排的房产信息核查10件，共出具了红原县境内房产信息查询记录260份。</w:t>
      </w:r>
    </w:p>
    <w:p>
      <w:pPr>
        <w:keepNext w:val="0"/>
        <w:keepLines w:val="0"/>
        <w:pageBreakBefore w:val="0"/>
        <w:kinsoku/>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8.</w:t>
      </w:r>
      <w:r>
        <w:rPr>
          <w:rFonts w:hint="eastAsia" w:ascii="仿宋_GB2312" w:hAnsi="仿宋_GB2312" w:eastAsia="仿宋_GB2312" w:cs="仿宋_GB2312"/>
          <w:b w:val="0"/>
          <w:bCs w:val="0"/>
          <w:color w:val="auto"/>
          <w:sz w:val="32"/>
          <w:szCs w:val="32"/>
          <w:highlight w:val="none"/>
        </w:rPr>
        <w:t>严守</w:t>
      </w:r>
      <w:r>
        <w:rPr>
          <w:rFonts w:hint="eastAsia" w:ascii="仿宋_GB2312" w:hAnsi="仿宋_GB2312" w:eastAsia="仿宋_GB2312" w:cs="仿宋_GB2312"/>
          <w:b w:val="0"/>
          <w:bCs w:val="0"/>
          <w:color w:val="auto"/>
          <w:sz w:val="32"/>
          <w:szCs w:val="32"/>
          <w:highlight w:val="none"/>
          <w:lang w:eastAsia="zh-CN"/>
        </w:rPr>
        <w:t>生态</w:t>
      </w:r>
      <w:r>
        <w:rPr>
          <w:rFonts w:hint="eastAsia" w:ascii="仿宋_GB2312" w:hAnsi="仿宋_GB2312" w:eastAsia="仿宋_GB2312" w:cs="仿宋_GB2312"/>
          <w:b w:val="0"/>
          <w:bCs w:val="0"/>
          <w:color w:val="auto"/>
          <w:sz w:val="32"/>
          <w:szCs w:val="32"/>
          <w:highlight w:val="none"/>
        </w:rPr>
        <w:t>保护红线。完成生态红线划定调整的初步成果，</w:t>
      </w:r>
      <w:r>
        <w:rPr>
          <w:rFonts w:hint="eastAsia" w:ascii="仿宋_GB2312" w:hAnsi="仿宋_GB2312" w:eastAsia="仿宋_GB2312" w:cs="仿宋_GB2312"/>
          <w:b w:val="0"/>
          <w:bCs w:val="0"/>
          <w:color w:val="auto"/>
          <w:sz w:val="32"/>
          <w:szCs w:val="32"/>
          <w:highlight w:val="none"/>
          <w:lang w:eastAsia="zh-CN"/>
        </w:rPr>
        <w:t>通过了</w:t>
      </w:r>
      <w:r>
        <w:rPr>
          <w:rFonts w:hint="eastAsia" w:ascii="仿宋_GB2312" w:hAnsi="仿宋_GB2312" w:eastAsia="仿宋_GB2312" w:cs="仿宋_GB2312"/>
          <w:b w:val="0"/>
          <w:bCs w:val="0"/>
          <w:color w:val="auto"/>
          <w:sz w:val="32"/>
          <w:szCs w:val="32"/>
          <w:highlight w:val="none"/>
        </w:rPr>
        <w:t>省自然资源厅</w:t>
      </w:r>
      <w:r>
        <w:rPr>
          <w:rFonts w:hint="eastAsia" w:ascii="仿宋_GB2312" w:hAnsi="仿宋_GB2312" w:eastAsia="仿宋_GB2312" w:cs="仿宋_GB2312"/>
          <w:b w:val="0"/>
          <w:bCs w:val="0"/>
          <w:color w:val="auto"/>
          <w:sz w:val="32"/>
          <w:szCs w:val="32"/>
          <w:highlight w:val="none"/>
          <w:lang w:eastAsia="zh-CN"/>
        </w:rPr>
        <w:t>的</w:t>
      </w:r>
      <w:r>
        <w:rPr>
          <w:rFonts w:hint="eastAsia" w:ascii="仿宋_GB2312" w:hAnsi="仿宋_GB2312" w:eastAsia="仿宋_GB2312" w:cs="仿宋_GB2312"/>
          <w:b w:val="0"/>
          <w:bCs w:val="0"/>
          <w:color w:val="auto"/>
          <w:sz w:val="32"/>
          <w:szCs w:val="32"/>
          <w:highlight w:val="none"/>
        </w:rPr>
        <w:t>技术审查，正在等待自然资源</w:t>
      </w:r>
      <w:r>
        <w:rPr>
          <w:rFonts w:hint="eastAsia" w:ascii="仿宋_GB2312" w:hAnsi="仿宋_GB2312" w:eastAsia="仿宋_GB2312" w:cs="仿宋_GB2312"/>
          <w:b w:val="0"/>
          <w:bCs w:val="0"/>
          <w:color w:val="auto"/>
          <w:sz w:val="32"/>
          <w:szCs w:val="32"/>
          <w:highlight w:val="none"/>
          <w:lang w:eastAsia="zh-CN"/>
        </w:rPr>
        <w:t>部</w:t>
      </w:r>
      <w:r>
        <w:rPr>
          <w:rFonts w:hint="eastAsia" w:ascii="仿宋_GB2312" w:hAnsi="仿宋_GB2312" w:eastAsia="仿宋_GB2312" w:cs="仿宋_GB2312"/>
          <w:b w:val="0"/>
          <w:bCs w:val="0"/>
          <w:color w:val="auto"/>
          <w:sz w:val="32"/>
          <w:szCs w:val="32"/>
          <w:highlight w:val="none"/>
        </w:rPr>
        <w:t>的审核下发。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9.</w:t>
      </w:r>
      <w:r>
        <w:rPr>
          <w:rFonts w:hint="eastAsia" w:ascii="仿宋_GB2312" w:hAnsi="仿宋_GB2312" w:eastAsia="仿宋_GB2312" w:cs="仿宋_GB2312"/>
          <w:b w:val="0"/>
          <w:bCs w:val="0"/>
          <w:color w:val="auto"/>
          <w:sz w:val="32"/>
          <w:szCs w:val="32"/>
          <w:highlight w:val="none"/>
        </w:rPr>
        <w:t>强化生态保护修复</w:t>
      </w:r>
      <w:r>
        <w:rPr>
          <w:rFonts w:hint="eastAsia" w:ascii="仿宋_GB2312" w:hAnsi="仿宋_GB2312" w:eastAsia="仿宋_GB2312" w:cs="仿宋_GB2312"/>
          <w:b w:val="0"/>
          <w:bCs w:val="0"/>
          <w:color w:val="auto"/>
          <w:sz w:val="32"/>
          <w:szCs w:val="32"/>
          <w:highlight w:val="none"/>
          <w:lang w:eastAsia="zh-CN"/>
        </w:rPr>
        <w:t>及防治</w:t>
      </w:r>
      <w:r>
        <w:rPr>
          <w:rFonts w:hint="eastAsia" w:ascii="仿宋_GB2312" w:hAnsi="仿宋_GB2312" w:eastAsia="仿宋_GB2312" w:cs="仿宋_GB2312"/>
          <w:b w:val="0"/>
          <w:bCs w:val="0"/>
          <w:color w:val="auto"/>
          <w:sz w:val="32"/>
          <w:szCs w:val="32"/>
          <w:highlight w:val="none"/>
        </w:rPr>
        <w:t>。及时落实汛期值班制度和灾情速报制度，明确了汛期带班领导和值班人员及</w:t>
      </w:r>
      <w:r>
        <w:rPr>
          <w:rFonts w:hint="eastAsia" w:ascii="仿宋_GB2312" w:hAnsi="仿宋_GB2312" w:eastAsia="仿宋_GB2312" w:cs="仿宋_GB2312"/>
          <w:b w:val="0"/>
          <w:bCs w:val="0"/>
          <w:color w:val="auto"/>
          <w:sz w:val="32"/>
          <w:szCs w:val="32"/>
          <w:highlight w:val="none"/>
          <w:lang w:val="en-US" w:eastAsia="zh-CN"/>
        </w:rPr>
        <w:t>40</w:t>
      </w:r>
      <w:r>
        <w:rPr>
          <w:rFonts w:hint="eastAsia" w:ascii="仿宋_GB2312" w:hAnsi="仿宋_GB2312" w:eastAsia="仿宋_GB2312" w:cs="仿宋_GB2312"/>
          <w:b w:val="0"/>
          <w:bCs w:val="0"/>
          <w:color w:val="auto"/>
          <w:sz w:val="32"/>
          <w:szCs w:val="32"/>
          <w:highlight w:val="none"/>
        </w:rPr>
        <w:t>个地质灾害隐患点的监测人员。</w:t>
      </w:r>
      <w:r>
        <w:rPr>
          <w:rFonts w:hint="eastAsia" w:ascii="仿宋_GB2312" w:hAnsi="仿宋_GB2312" w:eastAsia="仿宋_GB2312" w:cs="仿宋_GB2312"/>
          <w:b w:val="0"/>
          <w:bCs w:val="0"/>
          <w:color w:val="auto"/>
          <w:sz w:val="32"/>
          <w:szCs w:val="32"/>
          <w:highlight w:val="none"/>
          <w:lang w:eastAsia="zh-CN"/>
        </w:rPr>
        <w:t>严格</w:t>
      </w:r>
      <w:r>
        <w:rPr>
          <w:rFonts w:hint="eastAsia" w:ascii="仿宋_GB2312" w:hAnsi="仿宋_GB2312" w:eastAsia="仿宋_GB2312" w:cs="仿宋_GB2312"/>
          <w:b w:val="0"/>
          <w:bCs w:val="0"/>
          <w:color w:val="auto"/>
          <w:sz w:val="32"/>
          <w:szCs w:val="32"/>
          <w:highlight w:val="none"/>
        </w:rPr>
        <w:t>实行24小时值班值守制度，加大巡查、排查力度，做好了值班记录、巡查记录、抽查记录，对重大险情及时报告。</w:t>
      </w:r>
      <w:r>
        <w:rPr>
          <w:rFonts w:hint="eastAsia" w:ascii="仿宋_GB2312" w:hAnsi="仿宋_GB2312" w:eastAsia="仿宋_GB2312" w:cs="仿宋_GB2312"/>
          <w:b w:val="0"/>
          <w:bCs w:val="0"/>
          <w:color w:val="auto"/>
          <w:sz w:val="32"/>
          <w:szCs w:val="32"/>
          <w:highlight w:val="none"/>
          <w:lang w:eastAsia="zh-CN"/>
        </w:rPr>
        <w:t>今年</w:t>
      </w:r>
      <w:r>
        <w:rPr>
          <w:rFonts w:hint="eastAsia" w:ascii="仿宋_GB2312" w:hAnsi="仿宋_GB2312" w:eastAsia="仿宋_GB2312" w:cs="仿宋_GB2312"/>
          <w:b w:val="0"/>
          <w:bCs w:val="0"/>
          <w:color w:val="auto"/>
          <w:sz w:val="32"/>
          <w:szCs w:val="32"/>
          <w:highlight w:val="none"/>
        </w:rPr>
        <w:t>发放</w:t>
      </w:r>
      <w:r>
        <w:rPr>
          <w:rFonts w:hint="eastAsia" w:ascii="仿宋_GB2312" w:hAnsi="仿宋_GB2312" w:eastAsia="仿宋_GB2312" w:cs="仿宋_GB2312"/>
          <w:b w:val="0"/>
          <w:bCs w:val="0"/>
          <w:color w:val="auto"/>
          <w:sz w:val="32"/>
          <w:szCs w:val="32"/>
          <w:highlight w:val="none"/>
          <w:lang w:eastAsia="zh-CN"/>
        </w:rPr>
        <w:t>防灾预案表、</w:t>
      </w:r>
      <w:r>
        <w:rPr>
          <w:rFonts w:hint="eastAsia" w:ascii="仿宋_GB2312" w:hAnsi="仿宋_GB2312" w:eastAsia="仿宋_GB2312" w:cs="仿宋_GB2312"/>
          <w:b w:val="0"/>
          <w:bCs w:val="0"/>
          <w:color w:val="auto"/>
          <w:sz w:val="32"/>
          <w:szCs w:val="32"/>
          <w:highlight w:val="none"/>
        </w:rPr>
        <w:t>地质灾害防灾明白卡和避险明白卡</w:t>
      </w:r>
      <w:r>
        <w:rPr>
          <w:rFonts w:hint="eastAsia" w:ascii="仿宋_GB2312" w:hAnsi="仿宋_GB2312" w:eastAsia="仿宋_GB2312" w:cs="仿宋_GB2312"/>
          <w:b w:val="0"/>
          <w:bCs w:val="0"/>
          <w:color w:val="auto"/>
          <w:sz w:val="32"/>
          <w:szCs w:val="32"/>
          <w:highlight w:val="none"/>
          <w:lang w:eastAsia="zh-CN"/>
        </w:rPr>
        <w:t>共</w:t>
      </w:r>
      <w:r>
        <w:rPr>
          <w:rFonts w:hint="eastAsia" w:ascii="仿宋_GB2312" w:hAnsi="仿宋_GB2312" w:eastAsia="仿宋_GB2312" w:cs="仿宋_GB2312"/>
          <w:b w:val="0"/>
          <w:bCs w:val="0"/>
          <w:color w:val="auto"/>
          <w:sz w:val="32"/>
          <w:szCs w:val="32"/>
          <w:highlight w:val="none"/>
          <w:lang w:val="en-US" w:eastAsia="zh-CN"/>
        </w:rPr>
        <w:t>594份</w:t>
      </w:r>
      <w:r>
        <w:rPr>
          <w:rFonts w:hint="eastAsia" w:ascii="仿宋_GB2312" w:hAnsi="仿宋_GB2312" w:eastAsia="仿宋_GB2312" w:cs="仿宋_GB2312"/>
          <w:b w:val="0"/>
          <w:bCs w:val="0"/>
          <w:color w:val="auto"/>
          <w:sz w:val="32"/>
          <w:szCs w:val="32"/>
          <w:highlight w:val="none"/>
        </w:rPr>
        <w:t>。邀请省地质工程集团</w:t>
      </w:r>
      <w:r>
        <w:rPr>
          <w:rFonts w:hint="eastAsia" w:ascii="仿宋_GB2312" w:hAnsi="仿宋_GB2312" w:eastAsia="仿宋_GB2312" w:cs="仿宋_GB2312"/>
          <w:b w:val="0"/>
          <w:bCs w:val="0"/>
          <w:color w:val="auto"/>
          <w:sz w:val="32"/>
          <w:szCs w:val="32"/>
          <w:highlight w:val="none"/>
          <w:lang w:eastAsia="zh-CN"/>
        </w:rPr>
        <w:t>作为我县汛期地质灾害督导驻守单位，派出</w:t>
      </w:r>
      <w:r>
        <w:rPr>
          <w:rFonts w:hint="eastAsia" w:ascii="仿宋_GB2312" w:hAnsi="仿宋_GB2312" w:eastAsia="仿宋_GB2312" w:cs="仿宋_GB2312"/>
          <w:b w:val="0"/>
          <w:bCs w:val="0"/>
          <w:color w:val="auto"/>
          <w:sz w:val="32"/>
          <w:szCs w:val="32"/>
          <w:highlight w:val="none"/>
        </w:rPr>
        <w:t>专家到我县地质灾害重点防治乡镇开展了地质灾害防治知识宣传培训</w:t>
      </w:r>
      <w:r>
        <w:rPr>
          <w:rFonts w:hint="eastAsia" w:ascii="仿宋_GB2312" w:hAnsi="仿宋_GB2312" w:eastAsia="仿宋_GB2312" w:cs="仿宋_GB2312"/>
          <w:b w:val="0"/>
          <w:bCs w:val="0"/>
          <w:color w:val="auto"/>
          <w:sz w:val="32"/>
          <w:szCs w:val="32"/>
          <w:highlight w:val="none"/>
          <w:lang w:val="en-US" w:eastAsia="zh-CN"/>
        </w:rPr>
        <w:t>600</w:t>
      </w:r>
      <w:r>
        <w:rPr>
          <w:rFonts w:hint="eastAsia" w:ascii="仿宋_GB2312" w:hAnsi="仿宋_GB2312" w:eastAsia="仿宋_GB2312" w:cs="仿宋_GB2312"/>
          <w:b w:val="0"/>
          <w:bCs w:val="0"/>
          <w:color w:val="auto"/>
          <w:sz w:val="32"/>
          <w:szCs w:val="32"/>
          <w:highlight w:val="none"/>
        </w:rPr>
        <w:t>人</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rPr>
        <w:t>次。</w:t>
      </w:r>
      <w:r>
        <w:rPr>
          <w:rFonts w:hint="eastAsia" w:ascii="仿宋_GB2312" w:hAnsi="仿宋_GB2312" w:eastAsia="仿宋_GB2312" w:cs="仿宋_GB2312"/>
          <w:b w:val="0"/>
          <w:bCs w:val="0"/>
          <w:color w:val="auto"/>
          <w:sz w:val="32"/>
          <w:szCs w:val="32"/>
          <w:highlight w:val="none"/>
          <w:lang w:eastAsia="zh-CN"/>
        </w:rPr>
        <w:t>截止</w:t>
      </w:r>
      <w:r>
        <w:rPr>
          <w:rFonts w:hint="eastAsia" w:ascii="仿宋_GB2312" w:hAnsi="仿宋_GB2312" w:eastAsia="仿宋_GB2312" w:cs="仿宋_GB2312"/>
          <w:b w:val="0"/>
          <w:bCs w:val="0"/>
          <w:color w:val="auto"/>
          <w:sz w:val="32"/>
          <w:szCs w:val="32"/>
          <w:highlight w:val="none"/>
        </w:rPr>
        <w:t>目前</w:t>
      </w:r>
      <w:r>
        <w:rPr>
          <w:rFonts w:hint="eastAsia" w:ascii="仿宋_GB2312" w:hAnsi="仿宋_GB2312" w:eastAsia="仿宋_GB2312" w:cs="仿宋_GB2312"/>
          <w:b w:val="0"/>
          <w:bCs w:val="0"/>
          <w:color w:val="auto"/>
          <w:sz w:val="32"/>
          <w:szCs w:val="32"/>
          <w:highlight w:val="none"/>
          <w:lang w:val="en-US" w:eastAsia="zh-CN"/>
        </w:rPr>
        <w:t>已查明各类地质灾害44处，有4处销号，我县目前地质灾害隐患点为40处。</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20" w:lineRule="exact"/>
        <w:ind w:left="0" w:leftChars="0" w:firstLine="640" w:firstLineChars="200"/>
        <w:jc w:val="both"/>
        <w:textAlignment w:val="auto"/>
        <w:outlineLvl w:val="9"/>
        <w:rPr>
          <w:rFonts w:hint="eastAsia" w:ascii="楷体" w:hAnsi="楷体" w:eastAsia="楷体" w:cs="楷体"/>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10.推进“山水林田湖草”工作。</w:t>
      </w:r>
      <w:r>
        <w:rPr>
          <w:rFonts w:hint="eastAsia" w:ascii="仿宋_GB2312" w:hAnsi="仿宋_GB2312" w:eastAsia="仿宋_GB2312" w:cs="仿宋_GB2312"/>
          <w:b w:val="0"/>
          <w:bCs w:val="0"/>
          <w:color w:val="auto"/>
          <w:sz w:val="32"/>
          <w:szCs w:val="32"/>
          <w:highlight w:val="none"/>
          <w:lang w:eastAsia="zh-CN"/>
        </w:rPr>
        <w:t>为认真贯彻落实党中央、省委、州委关于切实抓好生态文明体制建设各项指示精神，</w:t>
      </w:r>
      <w:r>
        <w:rPr>
          <w:rFonts w:hint="eastAsia" w:ascii="仿宋_GB2312" w:hAnsi="仿宋_GB2312" w:eastAsia="仿宋_GB2312" w:cs="仿宋_GB2312"/>
          <w:b w:val="0"/>
          <w:bCs w:val="0"/>
          <w:color w:val="auto"/>
          <w:sz w:val="32"/>
          <w:szCs w:val="32"/>
          <w:highlight w:val="none"/>
          <w:lang w:val="en-US" w:eastAsia="zh-CN"/>
        </w:rPr>
        <w:t>8月22日我局已完成该项目政府采购程序。</w:t>
      </w:r>
      <w:r>
        <w:rPr>
          <w:rFonts w:hint="eastAsia" w:ascii="楷体" w:hAnsi="楷体" w:eastAsia="楷体" w:cs="楷体"/>
          <w:b w:val="0"/>
          <w:bCs w:val="0"/>
          <w:color w:val="auto"/>
          <w:sz w:val="32"/>
          <w:szCs w:val="32"/>
          <w:highlight w:val="none"/>
        </w:rPr>
        <w:t>　</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640" w:firstLineChars="200"/>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11.加大土地执法监察工作。</w:t>
      </w:r>
      <w:r>
        <w:rPr>
          <w:rFonts w:hint="eastAsia" w:ascii="仿宋_GB2312" w:hAnsi="仿宋_GB2312" w:eastAsia="仿宋_GB2312" w:cs="仿宋_GB2312"/>
          <w:b w:val="0"/>
          <w:bCs w:val="0"/>
          <w:color w:val="auto"/>
          <w:sz w:val="32"/>
          <w:szCs w:val="32"/>
          <w:highlight w:val="none"/>
          <w:lang w:eastAsia="zh-CN"/>
        </w:rPr>
        <w:t>截至目前，此次专项整治共计拆除违建彩钢棚</w:t>
      </w:r>
      <w:r>
        <w:rPr>
          <w:rFonts w:hint="eastAsia" w:ascii="仿宋_GB2312" w:hAnsi="仿宋_GB2312" w:eastAsia="仿宋_GB2312" w:cs="仿宋_GB2312"/>
          <w:b w:val="0"/>
          <w:bCs w:val="0"/>
          <w:color w:val="auto"/>
          <w:sz w:val="32"/>
          <w:szCs w:val="32"/>
          <w:highlight w:val="none"/>
          <w:lang w:val="en-US" w:eastAsia="zh-CN"/>
        </w:rPr>
        <w:t>49</w:t>
      </w:r>
      <w:r>
        <w:rPr>
          <w:rFonts w:hint="eastAsia" w:ascii="仿宋_GB2312" w:hAnsi="仿宋_GB2312" w:eastAsia="仿宋_GB2312" w:cs="仿宋_GB2312"/>
          <w:b w:val="0"/>
          <w:bCs w:val="0"/>
          <w:color w:val="auto"/>
          <w:sz w:val="32"/>
          <w:szCs w:val="32"/>
          <w:highlight w:val="none"/>
          <w:lang w:eastAsia="zh-CN"/>
        </w:rPr>
        <w:t>处，面积</w:t>
      </w:r>
      <w:r>
        <w:rPr>
          <w:rFonts w:hint="eastAsia" w:ascii="仿宋_GB2312" w:hAnsi="仿宋_GB2312" w:eastAsia="仿宋_GB2312" w:cs="仿宋_GB2312"/>
          <w:b w:val="0"/>
          <w:bCs w:val="0"/>
          <w:color w:val="auto"/>
          <w:sz w:val="32"/>
          <w:szCs w:val="32"/>
          <w:highlight w:val="none"/>
          <w:lang w:val="en-US" w:eastAsia="zh-CN"/>
        </w:rPr>
        <w:t>2099㎡；整改违规彩钢棚53处，面积4630㎡。</w:t>
      </w:r>
      <w:r>
        <w:rPr>
          <w:rFonts w:hint="eastAsia" w:ascii="仿宋_GB2312" w:hAnsi="仿宋_GB2312" w:eastAsia="仿宋_GB2312" w:cs="仿宋_GB2312"/>
          <w:b w:val="0"/>
          <w:bCs w:val="0"/>
          <w:color w:val="auto"/>
          <w:sz w:val="32"/>
          <w:szCs w:val="32"/>
          <w:highlight w:val="none"/>
          <w:lang w:eastAsia="zh-CN"/>
        </w:rPr>
        <w:t>今年以来，我局共出动执法人次</w:t>
      </w:r>
      <w:r>
        <w:rPr>
          <w:rFonts w:hint="eastAsia" w:ascii="仿宋_GB2312" w:hAnsi="仿宋_GB2312" w:eastAsia="仿宋_GB2312" w:cs="仿宋_GB2312"/>
          <w:b w:val="0"/>
          <w:bCs w:val="0"/>
          <w:color w:val="auto"/>
          <w:sz w:val="32"/>
          <w:szCs w:val="32"/>
          <w:highlight w:val="none"/>
          <w:lang w:val="en-US" w:eastAsia="zh-CN"/>
        </w:rPr>
        <w:t>200余人次，下达执法通知书25份。立案处理</w:t>
      </w:r>
      <w:r>
        <w:rPr>
          <w:rFonts w:hint="eastAsia" w:ascii="仿宋_GB2312" w:hAnsi="仿宋_GB2312" w:eastAsia="仿宋_GB2312" w:cs="仿宋_GB2312"/>
          <w:b w:val="0"/>
          <w:bCs w:val="0"/>
          <w:color w:val="auto"/>
          <w:sz w:val="32"/>
          <w:szCs w:val="32"/>
          <w:highlight w:val="none"/>
          <w:lang w:eastAsia="zh-CN"/>
        </w:rPr>
        <w:t>违法占地</w:t>
      </w:r>
      <w:r>
        <w:rPr>
          <w:rFonts w:hint="eastAsia" w:ascii="仿宋_GB2312" w:hAnsi="仿宋_GB2312" w:eastAsia="仿宋_GB2312" w:cs="仿宋_GB2312"/>
          <w:b w:val="0"/>
          <w:bCs w:val="0"/>
          <w:color w:val="auto"/>
          <w:sz w:val="32"/>
          <w:szCs w:val="32"/>
          <w:highlight w:val="none"/>
          <w:lang w:val="en-US" w:eastAsia="zh-CN"/>
        </w:rPr>
        <w:t>1起，即俄么塘花海旅游开发有限责任公司超占国有土地一案，责令当事人立即停止违法采挖行为，处罚440882.22元（肆拾肆万零捌佰捌拾贰元贰角贰分）罚款。</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right="0" w:rightChars="0" w:firstLine="640" w:firstLineChars="200"/>
        <w:jc w:val="both"/>
        <w:textAlignment w:val="auto"/>
        <w:outlineLvl w:val="9"/>
        <w:rPr>
          <w:rFonts w:hint="eastAsia" w:ascii="楷体_GB2312" w:hAnsi="仿宋" w:eastAsia="楷体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12.加强矿产执法监察工作。2019年立案查处非法盗采泥炭资源</w:t>
      </w:r>
      <w:r>
        <w:rPr>
          <w:rFonts w:hint="eastAsia" w:ascii="仿宋_GB2312" w:hAnsi="仿宋_GB2312" w:eastAsia="仿宋_GB2312" w:cs="仿宋_GB2312"/>
          <w:b w:val="0"/>
          <w:bCs w:val="0"/>
          <w:color w:val="auto"/>
          <w:sz w:val="32"/>
          <w:szCs w:val="32"/>
          <w:highlight w:val="none"/>
        </w:rPr>
        <w:t>案</w:t>
      </w:r>
      <w:r>
        <w:rPr>
          <w:rFonts w:hint="eastAsia" w:ascii="仿宋_GB2312" w:hAnsi="仿宋_GB2312" w:eastAsia="仿宋_GB2312" w:cs="仿宋_GB2312"/>
          <w:b w:val="0"/>
          <w:bCs w:val="0"/>
          <w:color w:val="auto"/>
          <w:sz w:val="32"/>
          <w:szCs w:val="32"/>
          <w:highlight w:val="none"/>
          <w:lang w:val="en-US" w:eastAsia="zh-CN"/>
        </w:rPr>
        <w:t>2</w:t>
      </w:r>
      <w:r>
        <w:rPr>
          <w:rFonts w:hint="eastAsia" w:ascii="仿宋_GB2312" w:hAnsi="仿宋_GB2312" w:eastAsia="仿宋_GB2312" w:cs="仿宋_GB2312"/>
          <w:b w:val="0"/>
          <w:bCs w:val="0"/>
          <w:color w:val="auto"/>
          <w:sz w:val="32"/>
          <w:szCs w:val="32"/>
          <w:highlight w:val="none"/>
        </w:rPr>
        <w:t>起</w:t>
      </w:r>
      <w:r>
        <w:rPr>
          <w:rFonts w:hint="eastAsia" w:ascii="仿宋_GB2312" w:hAnsi="仿宋_GB2312" w:eastAsia="仿宋_GB2312" w:cs="仿宋_GB2312"/>
          <w:b w:val="0"/>
          <w:bCs w:val="0"/>
          <w:color w:val="auto"/>
          <w:sz w:val="32"/>
          <w:szCs w:val="32"/>
          <w:highlight w:val="none"/>
          <w:lang w:eastAsia="zh-CN"/>
        </w:rPr>
        <w:t>，下发执法通知书</w:t>
      </w:r>
      <w:r>
        <w:rPr>
          <w:rFonts w:hint="eastAsia" w:ascii="仿宋_GB2312" w:hAnsi="仿宋_GB2312" w:eastAsia="仿宋_GB2312" w:cs="仿宋_GB2312"/>
          <w:b w:val="0"/>
          <w:bCs w:val="0"/>
          <w:color w:val="auto"/>
          <w:sz w:val="32"/>
          <w:szCs w:val="32"/>
          <w:highlight w:val="none"/>
          <w:lang w:val="en-US" w:eastAsia="zh-CN"/>
        </w:rPr>
        <w:t>2份，</w:t>
      </w:r>
      <w:r>
        <w:rPr>
          <w:rFonts w:hint="eastAsia" w:ascii="仿宋_GB2312" w:hAnsi="仿宋_GB2312" w:eastAsia="仿宋_GB2312" w:cs="仿宋_GB2312"/>
          <w:b w:val="0"/>
          <w:bCs w:val="0"/>
          <w:color w:val="auto"/>
          <w:sz w:val="32"/>
          <w:szCs w:val="32"/>
          <w:highlight w:val="none"/>
        </w:rPr>
        <w:t>责令当事人立即停止违法</w:t>
      </w:r>
      <w:r>
        <w:rPr>
          <w:rFonts w:hint="eastAsia" w:ascii="仿宋_GB2312" w:hAnsi="仿宋_GB2312" w:eastAsia="仿宋_GB2312" w:cs="仿宋_GB2312"/>
          <w:b w:val="0"/>
          <w:bCs w:val="0"/>
          <w:color w:val="auto"/>
          <w:sz w:val="32"/>
          <w:szCs w:val="32"/>
          <w:highlight w:val="none"/>
          <w:lang w:eastAsia="zh-CN"/>
        </w:rPr>
        <w:t>采挖行为</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处罚共计</w:t>
      </w:r>
      <w:r>
        <w:rPr>
          <w:rFonts w:hint="eastAsia" w:ascii="仿宋_GB2312" w:hAnsi="仿宋_GB2312" w:eastAsia="仿宋_GB2312" w:cs="仿宋_GB2312"/>
          <w:b w:val="0"/>
          <w:bCs w:val="0"/>
          <w:color w:val="auto"/>
          <w:sz w:val="32"/>
          <w:szCs w:val="32"/>
          <w:highlight w:val="none"/>
          <w:lang w:val="en-US" w:eastAsia="zh-CN"/>
        </w:rPr>
        <w:t>88000.00元罚款，责令</w:t>
      </w:r>
      <w:r>
        <w:rPr>
          <w:rFonts w:hint="eastAsia" w:ascii="仿宋_GB2312" w:hAnsi="仿宋_GB2312" w:eastAsia="仿宋_GB2312" w:cs="仿宋_GB2312"/>
          <w:b w:val="0"/>
          <w:bCs w:val="0"/>
          <w:color w:val="auto"/>
          <w:sz w:val="32"/>
          <w:szCs w:val="32"/>
          <w:highlight w:val="none"/>
          <w:lang w:eastAsia="zh-CN"/>
        </w:rPr>
        <w:t>恢复泥炭采挖点草原生态植被。</w:t>
      </w:r>
    </w:p>
    <w:p>
      <w:pPr>
        <w:pStyle w:val="7"/>
        <w:adjustRightInd w:val="0"/>
        <w:snapToGrid w:val="0"/>
        <w:spacing w:before="93" w:line="600" w:lineRule="exact"/>
        <w:ind w:firstLine="672" w:firstLineChars="210"/>
        <w:outlineLvl w:val="2"/>
        <w:rPr>
          <w:rFonts w:hint="eastAsia" w:ascii="仿宋" w:hAnsi="仿宋" w:eastAsia="仿宋"/>
          <w:b w:val="0"/>
          <w:bCs w:val="0"/>
          <w:color w:val="auto"/>
          <w:sz w:val="32"/>
          <w:szCs w:val="32"/>
          <w:highlight w:val="none"/>
        </w:rPr>
      </w:pPr>
    </w:p>
    <w:p>
      <w:pPr>
        <w:pStyle w:val="5"/>
        <w:rPr>
          <w:rStyle w:val="28"/>
          <w:b w:val="0"/>
          <w:bCs w:val="0"/>
          <w:color w:val="auto"/>
          <w:highlight w:val="none"/>
        </w:rPr>
      </w:pPr>
      <w:bookmarkStart w:id="20" w:name="_Toc15377200"/>
      <w:bookmarkStart w:id="21" w:name="_Toc15396601"/>
      <w:r>
        <w:rPr>
          <w:rFonts w:hint="eastAsia" w:ascii="黑体" w:eastAsia="黑体"/>
          <w:b w:val="0"/>
          <w:color w:val="auto"/>
          <w:highlight w:val="none"/>
        </w:rPr>
        <w:t>二、</w:t>
      </w:r>
      <w:r>
        <w:rPr>
          <w:rFonts w:hint="eastAsia" w:ascii="黑体" w:hAnsi="黑体" w:eastAsia="黑体"/>
          <w:b w:val="0"/>
          <w:color w:val="auto"/>
          <w:highlight w:val="none"/>
        </w:rPr>
        <w:t>机</w:t>
      </w:r>
      <w:r>
        <w:rPr>
          <w:rStyle w:val="28"/>
          <w:rFonts w:hint="eastAsia" w:ascii="黑体" w:hAnsi="黑体" w:eastAsia="黑体"/>
          <w:b w:val="0"/>
          <w:bCs w:val="0"/>
          <w:color w:val="auto"/>
          <w:highlight w:val="none"/>
        </w:rPr>
        <w:t>构设置</w:t>
      </w:r>
      <w:bookmarkEnd w:id="20"/>
      <w:bookmarkEnd w:id="21"/>
    </w:p>
    <w:p>
      <w:pPr>
        <w:ind w:firstLine="800" w:firstLineChars="250"/>
      </w:pPr>
      <w:r>
        <w:rPr>
          <w:rFonts w:hint="eastAsia" w:ascii="仿宋" w:hAnsi="仿宋" w:eastAsia="仿宋"/>
          <w:color w:val="auto"/>
          <w:sz w:val="32"/>
          <w:szCs w:val="32"/>
          <w:highlight w:val="none"/>
          <w:lang w:eastAsia="zh-CN"/>
        </w:rPr>
        <w:t>红原县自然资源局</w:t>
      </w:r>
      <w:r>
        <w:rPr>
          <w:rFonts w:hint="eastAsia" w:ascii="仿宋" w:hAnsi="仿宋" w:eastAsia="仿宋"/>
          <w:color w:val="auto"/>
          <w:sz w:val="32"/>
          <w:szCs w:val="32"/>
          <w:highlight w:val="none"/>
        </w:rPr>
        <w:t>下属二级单位</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个，其中</w:t>
      </w:r>
      <w:r>
        <w:rPr>
          <w:rFonts w:hint="eastAsia" w:ascii="仿宋" w:hAnsi="仿宋" w:eastAsia="仿宋"/>
          <w:color w:val="auto"/>
          <w:sz w:val="32"/>
          <w:szCs w:val="32"/>
          <w:highlight w:val="none"/>
          <w:lang w:eastAsia="zh-CN"/>
        </w:rPr>
        <w:t>行政单位</w:t>
      </w:r>
      <w:r>
        <w:rPr>
          <w:rFonts w:hint="eastAsia" w:ascii="仿宋" w:hAnsi="仿宋" w:eastAsia="仿宋"/>
          <w:color w:val="auto"/>
          <w:sz w:val="32"/>
          <w:szCs w:val="32"/>
          <w:highlight w:val="none"/>
          <w:lang w:val="en-US" w:eastAsia="zh-CN"/>
        </w:rPr>
        <w:t>1个，</w:t>
      </w:r>
      <w:r>
        <w:rPr>
          <w:rFonts w:hint="eastAsia" w:ascii="仿宋" w:hAnsi="仿宋" w:eastAsia="仿宋"/>
          <w:color w:val="auto"/>
          <w:sz w:val="32"/>
          <w:szCs w:val="32"/>
          <w:highlight w:val="none"/>
        </w:rPr>
        <w:t>事业单位</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个</w:t>
      </w:r>
      <w:r>
        <w:rPr>
          <w:rFonts w:hint="eastAsia" w:ascii="仿宋" w:hAnsi="仿宋" w:eastAsia="仿宋"/>
          <w:color w:val="auto"/>
          <w:sz w:val="32"/>
          <w:szCs w:val="32"/>
          <w:highlight w:val="none"/>
          <w:lang w:eastAsia="zh-CN"/>
        </w:rPr>
        <w:t>，</w:t>
      </w:r>
      <w:r>
        <w:rPr>
          <w:rFonts w:hint="eastAsia" w:ascii="仿宋_GB2312" w:hAnsi="仿宋_GB2312" w:eastAsia="仿宋_GB2312" w:cs="仿宋_GB2312"/>
          <w:color w:val="auto"/>
          <w:sz w:val="32"/>
          <w:szCs w:val="32"/>
          <w:highlight w:val="none"/>
        </w:rPr>
        <w:t>共有编制2</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个，其中公务员编制</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个，行政工勤编制1个，参公编制</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个，事业编制</w:t>
      </w: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rPr>
        <w:t>个，在职2</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人，公务员</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人，行政工勤1人，参公</w:t>
      </w:r>
      <w:r>
        <w:rPr>
          <w:rFonts w:hint="eastAsia" w:ascii="仿宋_GB2312"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人，事业编制1</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人。</w:t>
      </w:r>
      <w:r>
        <w:rPr>
          <w:rFonts w:hint="eastAsia" w:ascii="仿宋" w:hAnsi="仿宋" w:eastAsia="仿宋"/>
          <w:color w:val="auto"/>
          <w:sz w:val="32"/>
          <w:szCs w:val="32"/>
          <w:highlight w:val="none"/>
        </w:rPr>
        <w:t>纳入</w:t>
      </w:r>
      <w:r>
        <w:rPr>
          <w:rFonts w:hint="eastAsia" w:ascii="仿宋" w:hAnsi="仿宋" w:eastAsia="仿宋"/>
          <w:color w:val="auto"/>
          <w:sz w:val="32"/>
          <w:szCs w:val="32"/>
          <w:highlight w:val="none"/>
          <w:lang w:eastAsia="zh-CN"/>
        </w:rPr>
        <w:t>四川省阿坝州红原县自然资源局</w:t>
      </w:r>
      <w:r>
        <w:rPr>
          <w:rFonts w:hint="eastAsia" w:ascii="仿宋" w:hAnsi="仿宋" w:eastAsia="仿宋"/>
          <w:color w:val="auto"/>
          <w:sz w:val="32"/>
          <w:szCs w:val="32"/>
          <w:highlight w:val="none"/>
        </w:rPr>
        <w:t>201</w:t>
      </w:r>
      <w:r>
        <w:rPr>
          <w:rFonts w:hint="eastAsia" w:ascii="仿宋" w:hAnsi="仿宋" w:eastAsia="仿宋"/>
          <w:color w:val="auto"/>
          <w:sz w:val="32"/>
          <w:szCs w:val="32"/>
          <w:highlight w:val="none"/>
          <w:lang w:val="en-US" w:eastAsia="zh-CN"/>
        </w:rPr>
        <w:t>9</w:t>
      </w:r>
      <w:r>
        <w:rPr>
          <w:rFonts w:hint="eastAsia" w:ascii="仿宋" w:hAnsi="仿宋" w:eastAsia="仿宋"/>
          <w:color w:val="auto"/>
          <w:sz w:val="32"/>
          <w:szCs w:val="32"/>
          <w:highlight w:val="none"/>
        </w:rPr>
        <w:t>年度部门决算编制范围的二级预算单位包括：</w:t>
      </w:r>
      <w:bookmarkStart w:id="22" w:name="_Toc15378449"/>
      <w:bookmarkStart w:id="23" w:name="_Toc15377202"/>
      <w:bookmarkStart w:id="24" w:name="_Toc15377433"/>
      <w:bookmarkStart w:id="25" w:name="_Toc15306276"/>
      <w:r>
        <w:rPr>
          <w:rFonts w:hint="eastAsia" w:ascii="仿宋" w:hAnsi="仿宋" w:eastAsia="仿宋"/>
          <w:color w:val="auto"/>
          <w:sz w:val="32"/>
          <w:szCs w:val="32"/>
          <w:highlight w:val="none"/>
          <w:lang w:val="en-US" w:eastAsia="zh-CN"/>
        </w:rPr>
        <w:t>1.四川省阿坝州红原县自然资源局（本级）2.四川省阿坝州</w:t>
      </w:r>
      <w:r>
        <w:rPr>
          <w:rFonts w:hint="eastAsia" w:ascii="仿宋" w:hAnsi="仿宋" w:eastAsia="仿宋"/>
          <w:color w:val="auto"/>
          <w:sz w:val="32"/>
          <w:szCs w:val="32"/>
          <w:highlight w:val="none"/>
          <w:lang w:eastAsia="zh-CN"/>
        </w:rPr>
        <w:t>红原县不动产登记中心</w:t>
      </w:r>
      <w:bookmarkEnd w:id="22"/>
      <w:bookmarkEnd w:id="23"/>
      <w:bookmarkEnd w:id="24"/>
      <w:bookmarkEnd w:id="25"/>
      <w:r>
        <w:rPr>
          <w:rFonts w:hint="eastAsia" w:ascii="仿宋" w:hAnsi="仿宋" w:eastAsia="仿宋"/>
          <w:color w:val="auto"/>
          <w:sz w:val="32"/>
          <w:szCs w:val="32"/>
          <w:highlight w:val="none"/>
          <w:lang w:eastAsia="zh-CN"/>
        </w:rPr>
        <w:t>（本级）。</w:t>
      </w:r>
    </w:p>
    <w:p>
      <w:pPr>
        <w:pStyle w:val="4"/>
        <w:ind w:right="440"/>
        <w:jc w:val="right"/>
        <w:rPr>
          <w:color w:val="auto"/>
          <w:highlight w:val="none"/>
        </w:rPr>
      </w:pPr>
      <w:bookmarkStart w:id="26" w:name="_Toc15396602"/>
      <w:bookmarkStart w:id="27" w:name="_Toc15377204"/>
      <w:r>
        <w:rPr>
          <w:rFonts w:hint="eastAsia" w:ascii="黑体" w:hAnsi="黑体" w:eastAsia="黑体"/>
          <w:b w:val="0"/>
          <w:color w:val="auto"/>
          <w:highlight w:val="none"/>
        </w:rPr>
        <w:t>第二部分</w:t>
      </w:r>
      <w:r>
        <w:rPr>
          <w:rFonts w:hint="eastAsia" w:ascii="黑体" w:hAnsi="黑体" w:eastAsia="黑体"/>
          <w:color w:val="auto"/>
          <w:highlight w:val="none"/>
        </w:rPr>
        <w:t xml:space="preserve"> </w:t>
      </w:r>
      <w:r>
        <w:rPr>
          <w:rStyle w:val="27"/>
          <w:rFonts w:hint="eastAsia" w:ascii="黑体" w:hAnsi="黑体" w:eastAsia="黑体"/>
          <w:b w:val="0"/>
          <w:bCs w:val="0"/>
          <w:color w:val="auto"/>
          <w:highlight w:val="none"/>
        </w:rPr>
        <w:t>2019年度部门决算情况说明</w:t>
      </w:r>
      <w:bookmarkEnd w:id="26"/>
      <w:bookmarkEnd w:id="27"/>
    </w:p>
    <w:p>
      <w:pPr>
        <w:pStyle w:val="26"/>
        <w:numPr>
          <w:ilvl w:val="0"/>
          <w:numId w:val="1"/>
        </w:numPr>
        <w:spacing w:line="600" w:lineRule="exact"/>
        <w:ind w:firstLineChars="0"/>
        <w:outlineLvl w:val="1"/>
        <w:rPr>
          <w:rStyle w:val="28"/>
          <w:rFonts w:ascii="黑体" w:hAnsi="黑体" w:eastAsia="黑体"/>
          <w:b w:val="0"/>
          <w:color w:val="auto"/>
          <w:highlight w:val="none"/>
        </w:rPr>
      </w:pPr>
      <w:bookmarkStart w:id="28" w:name="_Toc15396603"/>
      <w:bookmarkStart w:id="29" w:name="_Toc15377205"/>
      <w:r>
        <w:rPr>
          <w:rFonts w:hint="eastAsia" w:ascii="黑体" w:hAnsi="黑体" w:eastAsia="黑体"/>
          <w:color w:val="auto"/>
          <w:sz w:val="32"/>
          <w:szCs w:val="32"/>
          <w:highlight w:val="none"/>
        </w:rPr>
        <w:t>收</w:t>
      </w:r>
      <w:r>
        <w:rPr>
          <w:rStyle w:val="28"/>
          <w:rFonts w:hint="eastAsia" w:ascii="黑体" w:hAnsi="黑体" w:eastAsia="黑体"/>
          <w:b w:val="0"/>
          <w:color w:val="auto"/>
          <w:highlight w:val="none"/>
        </w:rPr>
        <w:t>入支出决算总体情况说明</w:t>
      </w:r>
      <w:bookmarkEnd w:id="28"/>
      <w:bookmarkEnd w:id="29"/>
    </w:p>
    <w:p>
      <w:pPr>
        <w:spacing w:line="600" w:lineRule="exact"/>
        <w:ind w:firstLine="640" w:firstLineChars="20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2019年度收</w:t>
      </w:r>
      <w:r>
        <w:rPr>
          <w:rFonts w:hint="eastAsia" w:ascii="仿宋" w:hAnsi="仿宋" w:eastAsia="仿宋"/>
          <w:color w:val="auto"/>
          <w:sz w:val="32"/>
          <w:szCs w:val="32"/>
          <w:highlight w:val="none"/>
          <w:lang w:eastAsia="zh-CN"/>
        </w:rPr>
        <w:t>入</w:t>
      </w:r>
      <w:r>
        <w:rPr>
          <w:rFonts w:hint="eastAsia" w:ascii="仿宋" w:hAnsi="仿宋" w:eastAsia="仿宋"/>
          <w:color w:val="auto"/>
          <w:sz w:val="32"/>
          <w:szCs w:val="32"/>
          <w:highlight w:val="none"/>
          <w:lang w:val="en-US" w:eastAsia="zh-CN"/>
        </w:rPr>
        <w:t>2992.32万元</w:t>
      </w:r>
      <w:r>
        <w:rPr>
          <w:rFonts w:hint="eastAsia" w:ascii="仿宋" w:hAnsi="仿宋" w:eastAsia="仿宋"/>
          <w:color w:val="auto"/>
          <w:sz w:val="32"/>
          <w:szCs w:val="32"/>
          <w:highlight w:val="none"/>
        </w:rPr>
        <w:t>、支</w:t>
      </w:r>
      <w:r>
        <w:rPr>
          <w:rFonts w:hint="eastAsia" w:ascii="仿宋" w:hAnsi="仿宋" w:eastAsia="仿宋"/>
          <w:color w:val="auto"/>
          <w:sz w:val="32"/>
          <w:szCs w:val="32"/>
          <w:highlight w:val="none"/>
          <w:lang w:eastAsia="zh-CN"/>
        </w:rPr>
        <w:t>出</w:t>
      </w:r>
      <w:r>
        <w:rPr>
          <w:rFonts w:hint="eastAsia" w:ascii="仿宋" w:hAnsi="仿宋" w:eastAsia="仿宋"/>
          <w:color w:val="auto"/>
          <w:sz w:val="32"/>
          <w:szCs w:val="32"/>
          <w:highlight w:val="none"/>
          <w:lang w:val="en-US" w:eastAsia="zh-CN"/>
        </w:rPr>
        <w:t>2005.2万元，</w:t>
      </w:r>
      <w:r>
        <w:rPr>
          <w:rFonts w:hint="eastAsia" w:ascii="仿宋" w:hAnsi="仿宋" w:eastAsia="仿宋"/>
          <w:color w:val="auto"/>
          <w:sz w:val="32"/>
          <w:szCs w:val="32"/>
          <w:highlight w:val="none"/>
        </w:rPr>
        <w:t>总计</w:t>
      </w:r>
      <w:r>
        <w:rPr>
          <w:rFonts w:hint="eastAsia" w:ascii="仿宋" w:hAnsi="仿宋" w:eastAsia="仿宋"/>
          <w:color w:val="auto"/>
          <w:sz w:val="32"/>
          <w:szCs w:val="32"/>
          <w:highlight w:val="none"/>
          <w:lang w:val="en-US" w:eastAsia="zh-CN"/>
        </w:rPr>
        <w:t>4997.52万元</w:t>
      </w:r>
      <w:r>
        <w:rPr>
          <w:rFonts w:hint="eastAsia" w:ascii="仿宋" w:hAnsi="仿宋" w:eastAsia="仿宋"/>
          <w:color w:val="auto"/>
          <w:sz w:val="32"/>
          <w:szCs w:val="32"/>
          <w:highlight w:val="none"/>
        </w:rPr>
        <w:t>万元。与2018年相比，收</w:t>
      </w:r>
      <w:r>
        <w:rPr>
          <w:rFonts w:hint="eastAsia" w:ascii="仿宋" w:hAnsi="仿宋" w:eastAsia="仿宋"/>
          <w:color w:val="auto"/>
          <w:sz w:val="32"/>
          <w:szCs w:val="32"/>
          <w:highlight w:val="none"/>
          <w:lang w:eastAsia="zh-CN"/>
        </w:rPr>
        <w:t>入</w:t>
      </w:r>
      <w:r>
        <w:rPr>
          <w:rFonts w:hint="eastAsia" w:ascii="仿宋" w:hAnsi="仿宋" w:eastAsia="仿宋"/>
          <w:color w:val="auto"/>
          <w:sz w:val="32"/>
          <w:szCs w:val="32"/>
          <w:highlight w:val="none"/>
          <w:lang w:val="en-US" w:eastAsia="zh-CN"/>
        </w:rPr>
        <w:t>1908.08万元，增加1084.24万元</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增加</w:t>
      </w:r>
      <w:r>
        <w:rPr>
          <w:rFonts w:hint="eastAsia" w:ascii="仿宋" w:hAnsi="仿宋" w:eastAsia="仿宋"/>
          <w:color w:val="auto"/>
          <w:sz w:val="32"/>
          <w:szCs w:val="32"/>
          <w:highlight w:val="none"/>
          <w:lang w:val="en-US" w:eastAsia="zh-CN"/>
        </w:rPr>
        <w:t>36.23%，</w:t>
      </w:r>
      <w:r>
        <w:rPr>
          <w:rFonts w:hint="eastAsia" w:ascii="仿宋" w:hAnsi="仿宋" w:eastAsia="仿宋"/>
          <w:color w:val="auto"/>
          <w:sz w:val="32"/>
          <w:szCs w:val="32"/>
          <w:highlight w:val="none"/>
        </w:rPr>
        <w:t>支</w:t>
      </w:r>
      <w:r>
        <w:rPr>
          <w:rFonts w:hint="eastAsia" w:ascii="仿宋" w:hAnsi="仿宋" w:eastAsia="仿宋"/>
          <w:color w:val="auto"/>
          <w:sz w:val="32"/>
          <w:szCs w:val="32"/>
          <w:highlight w:val="none"/>
          <w:lang w:eastAsia="zh-CN"/>
        </w:rPr>
        <w:t>出</w:t>
      </w:r>
      <w:r>
        <w:rPr>
          <w:rFonts w:hint="eastAsia" w:ascii="仿宋" w:hAnsi="仿宋" w:eastAsia="仿宋"/>
          <w:color w:val="auto"/>
          <w:sz w:val="32"/>
          <w:szCs w:val="32"/>
          <w:highlight w:val="none"/>
          <w:lang w:val="en-US" w:eastAsia="zh-CN"/>
        </w:rPr>
        <w:t>2079.31</w:t>
      </w:r>
      <w:r>
        <w:rPr>
          <w:rFonts w:hint="eastAsia" w:ascii="仿宋" w:hAnsi="仿宋" w:eastAsia="仿宋"/>
          <w:color w:val="auto"/>
          <w:sz w:val="32"/>
          <w:szCs w:val="32"/>
          <w:highlight w:val="none"/>
        </w:rPr>
        <w:t>万元</w:t>
      </w:r>
      <w:r>
        <w:rPr>
          <w:rFonts w:hint="eastAsia" w:ascii="仿宋" w:hAnsi="仿宋" w:eastAsia="仿宋"/>
          <w:color w:val="auto"/>
          <w:sz w:val="32"/>
          <w:szCs w:val="32"/>
          <w:highlight w:val="none"/>
          <w:lang w:eastAsia="zh-CN"/>
        </w:rPr>
        <w:t>，减少</w:t>
      </w:r>
      <w:r>
        <w:rPr>
          <w:rFonts w:hint="eastAsia" w:ascii="仿宋" w:hAnsi="仿宋" w:eastAsia="仿宋"/>
          <w:color w:val="auto"/>
          <w:sz w:val="32"/>
          <w:szCs w:val="32"/>
          <w:highlight w:val="none"/>
          <w:lang w:val="en-US" w:eastAsia="zh-CN"/>
        </w:rPr>
        <w:t>74.11万元、减少3.70%。收入增加</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eastAsia="zh-CN"/>
        </w:rPr>
        <w:t>，本年度增加财政拨款收入增加专项资金，如：减挂钩专项资金</w:t>
      </w:r>
      <w:r>
        <w:rPr>
          <w:rFonts w:hint="eastAsia" w:ascii="仿宋" w:hAnsi="仿宋" w:eastAsia="仿宋"/>
          <w:color w:val="auto"/>
          <w:sz w:val="32"/>
          <w:szCs w:val="32"/>
          <w:highlight w:val="none"/>
          <w:lang w:val="en-US" w:eastAsia="zh-CN"/>
        </w:rPr>
        <w:t>2318万元</w:t>
      </w:r>
      <w:r>
        <w:rPr>
          <w:rFonts w:hint="eastAsia" w:ascii="仿宋" w:hAnsi="仿宋" w:eastAsia="仿宋"/>
          <w:color w:val="auto"/>
          <w:sz w:val="32"/>
          <w:szCs w:val="32"/>
          <w:highlight w:val="none"/>
          <w:lang w:eastAsia="zh-CN"/>
        </w:rPr>
        <w:t>等。支出减少</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eastAsia="zh-CN"/>
        </w:rPr>
        <w:t>项目支出减少。</w:t>
      </w: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w:t>
      </w:r>
      <w:r>
        <w:rPr>
          <w:rFonts w:ascii="仿宋" w:hAnsi="仿宋" w:eastAsia="仿宋"/>
          <w:color w:val="auto"/>
          <w:sz w:val="32"/>
          <w:szCs w:val="32"/>
          <w:highlight w:val="none"/>
        </w:rPr>
        <w:t>1</w:t>
      </w:r>
      <w:r>
        <w:rPr>
          <w:rFonts w:hint="eastAsia" w:ascii="仿宋" w:hAnsi="仿宋" w:eastAsia="仿宋"/>
          <w:color w:val="auto"/>
          <w:sz w:val="32"/>
          <w:szCs w:val="32"/>
          <w:highlight w:val="none"/>
        </w:rPr>
        <w:t>：收、支决算总计变动情况图）（柱状图）</w:t>
      </w:r>
    </w:p>
    <w:p>
      <w:pPr>
        <w:pStyle w:val="2"/>
        <w:rPr>
          <w:color w:val="auto"/>
          <w:highlight w:val="none"/>
        </w:rPr>
      </w:pPr>
      <w:r>
        <w:rPr>
          <w:color w:val="auto"/>
          <w:highlight w:val="none"/>
        </w:rPr>
        <w:drawing>
          <wp:inline distT="0" distB="0" distL="114300" distR="114300">
            <wp:extent cx="5488305" cy="2761615"/>
            <wp:effectExtent l="0" t="0" r="1714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488305" cy="2761615"/>
                    </a:xfrm>
                    <a:prstGeom prst="rect">
                      <a:avLst/>
                    </a:prstGeom>
                    <a:noFill/>
                    <a:ln>
                      <a:noFill/>
                    </a:ln>
                  </pic:spPr>
                </pic:pic>
              </a:graphicData>
            </a:graphic>
          </wp:inline>
        </w:drawing>
      </w:r>
    </w:p>
    <w:p>
      <w:pPr>
        <w:spacing w:line="600" w:lineRule="exact"/>
        <w:ind w:firstLine="640" w:firstLineChars="200"/>
        <w:jc w:val="left"/>
        <w:rPr>
          <w:rFonts w:ascii="仿宋_GB2312" w:eastAsia="仿宋_GB2312"/>
          <w:color w:val="auto"/>
          <w:sz w:val="32"/>
          <w:szCs w:val="32"/>
          <w:highlight w:val="none"/>
        </w:rPr>
      </w:pPr>
    </w:p>
    <w:p>
      <w:pPr>
        <w:pStyle w:val="26"/>
        <w:numPr>
          <w:ilvl w:val="0"/>
          <w:numId w:val="1"/>
        </w:numPr>
        <w:spacing w:line="600" w:lineRule="exact"/>
        <w:ind w:firstLineChars="0"/>
        <w:outlineLvl w:val="1"/>
        <w:rPr>
          <w:rStyle w:val="28"/>
          <w:rFonts w:ascii="黑体" w:hAnsi="黑体" w:eastAsia="黑体"/>
          <w:b w:val="0"/>
          <w:color w:val="auto"/>
          <w:highlight w:val="none"/>
        </w:rPr>
      </w:pPr>
      <w:bookmarkStart w:id="30" w:name="_Toc15396604"/>
      <w:bookmarkStart w:id="31" w:name="_Toc15377206"/>
      <w:r>
        <w:rPr>
          <w:rFonts w:hint="eastAsia" w:ascii="黑体" w:hAnsi="黑体" w:eastAsia="黑体"/>
          <w:color w:val="auto"/>
          <w:sz w:val="32"/>
          <w:szCs w:val="32"/>
          <w:highlight w:val="none"/>
        </w:rPr>
        <w:t>收</w:t>
      </w:r>
      <w:r>
        <w:rPr>
          <w:rStyle w:val="28"/>
          <w:rFonts w:hint="eastAsia" w:ascii="黑体" w:hAnsi="黑体" w:eastAsia="黑体"/>
          <w:b w:val="0"/>
          <w:color w:val="auto"/>
          <w:highlight w:val="none"/>
        </w:rPr>
        <w:t>入决算情况说明</w:t>
      </w:r>
      <w:bookmarkEnd w:id="30"/>
      <w:bookmarkEnd w:id="31"/>
    </w:p>
    <w:p>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201</w:t>
      </w:r>
      <w:r>
        <w:rPr>
          <w:rFonts w:hint="eastAsia" w:ascii="仿宋" w:hAnsi="仿宋" w:eastAsia="仿宋"/>
          <w:color w:val="auto"/>
          <w:sz w:val="32"/>
          <w:szCs w:val="32"/>
          <w:highlight w:val="none"/>
        </w:rPr>
        <w:t>9年本年收入合计</w:t>
      </w:r>
      <w:r>
        <w:rPr>
          <w:rFonts w:hint="eastAsia" w:ascii="仿宋" w:hAnsi="仿宋" w:eastAsia="仿宋"/>
          <w:color w:val="auto"/>
          <w:sz w:val="32"/>
          <w:szCs w:val="32"/>
          <w:highlight w:val="none"/>
          <w:lang w:val="en-US" w:eastAsia="zh-CN"/>
        </w:rPr>
        <w:t>2992.32</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2804.43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93.72</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187.88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6.28</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；上级补助收入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；事业收入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；附属单位上缴收入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；其他收入</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（图2：收入决算结构图）（饼状图）</w:t>
      </w:r>
    </w:p>
    <w:p>
      <w:pPr>
        <w:pStyle w:val="2"/>
        <w:rPr>
          <w:color w:val="auto"/>
          <w:highlight w:val="none"/>
        </w:rPr>
      </w:pPr>
      <w:r>
        <w:rPr>
          <w:color w:val="auto"/>
          <w:highlight w:val="none"/>
        </w:rPr>
        <w:drawing>
          <wp:inline distT="0" distB="0" distL="114300" distR="114300">
            <wp:extent cx="4596130" cy="2761615"/>
            <wp:effectExtent l="0" t="0" r="1397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4596130" cy="2761615"/>
                    </a:xfrm>
                    <a:prstGeom prst="rect">
                      <a:avLst/>
                    </a:prstGeom>
                    <a:noFill/>
                    <a:ln>
                      <a:noFill/>
                    </a:ln>
                  </pic:spPr>
                </pic:pic>
              </a:graphicData>
            </a:graphic>
          </wp:inline>
        </w:drawing>
      </w:r>
    </w:p>
    <w:p>
      <w:pPr>
        <w:spacing w:line="600" w:lineRule="exact"/>
        <w:ind w:firstLine="640" w:firstLineChars="200"/>
        <w:rPr>
          <w:rFonts w:ascii="仿宋_GB2312" w:eastAsia="仿宋_GB2312"/>
          <w:color w:val="auto"/>
          <w:sz w:val="32"/>
          <w:szCs w:val="32"/>
          <w:highlight w:val="none"/>
        </w:rPr>
      </w:pPr>
    </w:p>
    <w:p>
      <w:pPr>
        <w:pStyle w:val="26"/>
        <w:numPr>
          <w:ilvl w:val="0"/>
          <w:numId w:val="1"/>
        </w:numPr>
        <w:spacing w:line="600" w:lineRule="exact"/>
        <w:ind w:firstLineChars="0"/>
        <w:outlineLvl w:val="1"/>
        <w:rPr>
          <w:rStyle w:val="28"/>
          <w:rFonts w:ascii="黑体" w:hAnsi="黑体" w:eastAsia="黑体"/>
          <w:b w:val="0"/>
          <w:color w:val="auto"/>
          <w:highlight w:val="none"/>
        </w:rPr>
      </w:pPr>
      <w:bookmarkStart w:id="32" w:name="_Toc15377207"/>
      <w:bookmarkStart w:id="33" w:name="_Toc15396605"/>
      <w:r>
        <w:rPr>
          <w:rFonts w:hint="eastAsia" w:ascii="黑体" w:hAnsi="黑体" w:eastAsia="黑体"/>
          <w:color w:val="auto"/>
          <w:sz w:val="32"/>
          <w:szCs w:val="32"/>
          <w:highlight w:val="none"/>
        </w:rPr>
        <w:t>支</w:t>
      </w:r>
      <w:r>
        <w:rPr>
          <w:rStyle w:val="28"/>
          <w:rFonts w:hint="eastAsia" w:ascii="黑体" w:hAnsi="黑体" w:eastAsia="黑体"/>
          <w:b w:val="0"/>
          <w:color w:val="auto"/>
          <w:highlight w:val="none"/>
        </w:rPr>
        <w:t>出决算情况说明</w:t>
      </w:r>
      <w:bookmarkEnd w:id="32"/>
      <w:bookmarkEnd w:id="33"/>
    </w:p>
    <w:p>
      <w:pPr>
        <w:spacing w:line="600" w:lineRule="exact"/>
        <w:ind w:firstLine="640" w:firstLineChars="200"/>
        <w:outlineLvl w:val="1"/>
        <w:rPr>
          <w:rFonts w:ascii="仿宋" w:hAnsi="仿宋" w:eastAsia="仿宋"/>
          <w:color w:val="auto"/>
          <w:sz w:val="32"/>
          <w:szCs w:val="32"/>
          <w:highlight w:val="none"/>
        </w:rPr>
      </w:pPr>
      <w:r>
        <w:rPr>
          <w:rFonts w:ascii="仿宋" w:hAnsi="仿宋" w:eastAsia="仿宋"/>
          <w:color w:val="auto"/>
          <w:sz w:val="32"/>
          <w:szCs w:val="32"/>
          <w:highlight w:val="none"/>
        </w:rPr>
        <w:t>201</w:t>
      </w:r>
      <w:r>
        <w:rPr>
          <w:rFonts w:hint="eastAsia" w:ascii="仿宋" w:hAnsi="仿宋" w:eastAsia="仿宋"/>
          <w:color w:val="auto"/>
          <w:sz w:val="32"/>
          <w:szCs w:val="32"/>
          <w:highlight w:val="none"/>
        </w:rPr>
        <w:t>9年本年支出合计</w:t>
      </w:r>
      <w:r>
        <w:rPr>
          <w:rFonts w:hint="eastAsia" w:ascii="仿宋" w:hAnsi="仿宋" w:eastAsia="仿宋"/>
          <w:color w:val="auto"/>
          <w:sz w:val="32"/>
          <w:szCs w:val="32"/>
          <w:highlight w:val="none"/>
          <w:lang w:val="en-US" w:eastAsia="zh-CN"/>
        </w:rPr>
        <w:t>2005.2</w:t>
      </w:r>
      <w:r>
        <w:rPr>
          <w:rFonts w:hint="eastAsia" w:ascii="仿宋" w:hAnsi="仿宋" w:eastAsia="仿宋"/>
          <w:color w:val="auto"/>
          <w:sz w:val="32"/>
          <w:szCs w:val="32"/>
          <w:highlight w:val="none"/>
        </w:rPr>
        <w:t>万元，其中：基本支出478.43万元，占</w:t>
      </w:r>
      <w:r>
        <w:rPr>
          <w:rFonts w:hint="eastAsia" w:ascii="仿宋" w:hAnsi="仿宋" w:eastAsia="仿宋"/>
          <w:color w:val="auto"/>
          <w:sz w:val="32"/>
          <w:szCs w:val="32"/>
          <w:highlight w:val="none"/>
          <w:lang w:val="en-US" w:eastAsia="zh-CN"/>
        </w:rPr>
        <w:t>23.86</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；项目支出1,526.77万元，占</w:t>
      </w:r>
      <w:r>
        <w:rPr>
          <w:rFonts w:hint="eastAsia" w:ascii="仿宋" w:hAnsi="仿宋" w:eastAsia="仿宋"/>
          <w:color w:val="auto"/>
          <w:sz w:val="32"/>
          <w:szCs w:val="32"/>
          <w:highlight w:val="none"/>
          <w:lang w:val="en-US" w:eastAsia="zh-CN"/>
        </w:rPr>
        <w:t>76.14</w:t>
      </w:r>
      <w:r>
        <w:rPr>
          <w:rFonts w:ascii="仿宋" w:hAnsi="仿宋" w:eastAsia="仿宋"/>
          <w:color w:val="auto"/>
          <w:sz w:val="32"/>
          <w:szCs w:val="32"/>
          <w:highlight w:val="none"/>
        </w:rPr>
        <w:t>%</w:t>
      </w:r>
      <w:r>
        <w:rPr>
          <w:rFonts w:hint="eastAsia" w:ascii="仿宋" w:hAnsi="仿宋" w:eastAsia="仿宋"/>
          <w:color w:val="auto"/>
          <w:sz w:val="32"/>
          <w:szCs w:val="32"/>
          <w:highlight w:val="none"/>
        </w:rPr>
        <w:t>；上缴上级支出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；经营支出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；对附属单位补助支出</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（图3：支出决算结构图）（饼状图）</w:t>
      </w:r>
    </w:p>
    <w:p>
      <w:pPr>
        <w:pStyle w:val="2"/>
        <w:rPr>
          <w:color w:val="auto"/>
          <w:highlight w:val="none"/>
        </w:rPr>
      </w:pPr>
      <w:r>
        <w:rPr>
          <w:color w:val="auto"/>
          <w:highlight w:val="none"/>
        </w:rPr>
        <w:drawing>
          <wp:inline distT="0" distB="0" distL="114300" distR="114300">
            <wp:extent cx="4743450" cy="252730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4743450" cy="2527300"/>
                    </a:xfrm>
                    <a:prstGeom prst="rect">
                      <a:avLst/>
                    </a:prstGeom>
                    <a:noFill/>
                    <a:ln>
                      <a:noFill/>
                    </a:ln>
                  </pic:spPr>
                </pic:pic>
              </a:graphicData>
            </a:graphic>
          </wp:inline>
        </w:drawing>
      </w:r>
    </w:p>
    <w:p>
      <w:pPr>
        <w:spacing w:line="600" w:lineRule="exact"/>
        <w:ind w:firstLine="640" w:firstLineChars="200"/>
        <w:rPr>
          <w:rFonts w:ascii="仿宋_GB2312" w:eastAsia="仿宋_GB2312"/>
          <w:color w:val="auto"/>
          <w:sz w:val="32"/>
          <w:szCs w:val="32"/>
          <w:highlight w:val="none"/>
        </w:rPr>
      </w:pPr>
    </w:p>
    <w:p>
      <w:pPr>
        <w:spacing w:line="600" w:lineRule="exact"/>
        <w:ind w:firstLine="640" w:firstLineChars="200"/>
        <w:outlineLvl w:val="1"/>
        <w:rPr>
          <w:rStyle w:val="28"/>
          <w:rFonts w:ascii="黑体" w:hAnsi="黑体" w:eastAsia="黑体"/>
          <w:b w:val="0"/>
          <w:color w:val="auto"/>
          <w:highlight w:val="none"/>
        </w:rPr>
      </w:pPr>
      <w:bookmarkStart w:id="34" w:name="_Toc15377208"/>
      <w:bookmarkStart w:id="35" w:name="_Toc15396606"/>
      <w:r>
        <w:rPr>
          <w:rFonts w:hint="eastAsia" w:ascii="黑体" w:hAnsi="黑体" w:eastAsia="黑体"/>
          <w:color w:val="auto"/>
          <w:sz w:val="32"/>
          <w:szCs w:val="32"/>
          <w:highlight w:val="none"/>
        </w:rPr>
        <w:t>四、财</w:t>
      </w:r>
      <w:r>
        <w:rPr>
          <w:rStyle w:val="28"/>
          <w:rFonts w:hint="eastAsia" w:ascii="黑体" w:hAnsi="黑体" w:eastAsia="黑体"/>
          <w:b w:val="0"/>
          <w:color w:val="auto"/>
          <w:highlight w:val="none"/>
        </w:rPr>
        <w:t>政拨款收入支出决算总体情况说明</w:t>
      </w:r>
      <w:bookmarkEnd w:id="34"/>
      <w:bookmarkEnd w:id="35"/>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201</w:t>
      </w:r>
      <w:r>
        <w:rPr>
          <w:rFonts w:hint="eastAsia" w:ascii="仿宋" w:hAnsi="仿宋" w:eastAsia="仿宋"/>
          <w:color w:val="auto"/>
          <w:sz w:val="32"/>
          <w:szCs w:val="32"/>
          <w:highlight w:val="none"/>
        </w:rPr>
        <w:t>9年财政拨款收</w:t>
      </w:r>
      <w:r>
        <w:rPr>
          <w:rFonts w:hint="eastAsia" w:ascii="仿宋" w:hAnsi="仿宋" w:eastAsia="仿宋"/>
          <w:color w:val="auto"/>
          <w:sz w:val="32"/>
          <w:szCs w:val="32"/>
          <w:highlight w:val="none"/>
          <w:lang w:eastAsia="zh-CN"/>
        </w:rPr>
        <w:t>入2,992.32万元</w:t>
      </w:r>
      <w:r>
        <w:rPr>
          <w:rFonts w:hint="eastAsia" w:ascii="仿宋" w:hAnsi="仿宋" w:eastAsia="仿宋"/>
          <w:color w:val="auto"/>
          <w:sz w:val="32"/>
          <w:szCs w:val="32"/>
          <w:highlight w:val="none"/>
        </w:rPr>
        <w:t>、支</w:t>
      </w:r>
      <w:r>
        <w:rPr>
          <w:rFonts w:hint="eastAsia" w:ascii="仿宋" w:hAnsi="仿宋" w:eastAsia="仿宋"/>
          <w:color w:val="auto"/>
          <w:sz w:val="32"/>
          <w:szCs w:val="32"/>
          <w:highlight w:val="none"/>
          <w:lang w:eastAsia="zh-CN"/>
        </w:rPr>
        <w:t>出2,005.20万元</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201</w:t>
      </w:r>
      <w:r>
        <w:rPr>
          <w:rFonts w:hint="eastAsia" w:ascii="仿宋" w:hAnsi="仿宋" w:eastAsia="仿宋"/>
          <w:color w:val="auto"/>
          <w:sz w:val="32"/>
          <w:szCs w:val="32"/>
          <w:highlight w:val="none"/>
        </w:rPr>
        <w:t>8年相比，财政拨款收</w:t>
      </w:r>
      <w:r>
        <w:rPr>
          <w:rFonts w:hint="eastAsia" w:ascii="仿宋" w:hAnsi="仿宋" w:eastAsia="仿宋"/>
          <w:color w:val="auto"/>
          <w:sz w:val="32"/>
          <w:szCs w:val="32"/>
          <w:highlight w:val="none"/>
          <w:lang w:eastAsia="zh-CN"/>
        </w:rPr>
        <w:t>入1,908.01万元增加</w:t>
      </w:r>
      <w:r>
        <w:rPr>
          <w:rFonts w:hint="eastAsia" w:ascii="仿宋" w:hAnsi="仿宋" w:eastAsia="仿宋"/>
          <w:color w:val="auto"/>
          <w:sz w:val="32"/>
          <w:szCs w:val="32"/>
          <w:highlight w:val="none"/>
          <w:lang w:val="en-US" w:eastAsia="zh-CN"/>
        </w:rPr>
        <w:t>1084.31万元，增加36.24%，主要变动原因是</w:t>
      </w:r>
      <w:r>
        <w:rPr>
          <w:rFonts w:hint="eastAsia" w:ascii="仿宋" w:hAnsi="仿宋" w:eastAsia="仿宋"/>
          <w:color w:val="auto"/>
          <w:sz w:val="32"/>
          <w:szCs w:val="32"/>
          <w:highlight w:val="none"/>
          <w:lang w:eastAsia="zh-CN"/>
        </w:rPr>
        <w:t>本年度增加财政拨款收入增加专项资金，如：减挂钩专项资金</w:t>
      </w:r>
      <w:r>
        <w:rPr>
          <w:rFonts w:hint="eastAsia" w:ascii="仿宋" w:hAnsi="仿宋" w:eastAsia="仿宋"/>
          <w:color w:val="auto"/>
          <w:sz w:val="32"/>
          <w:szCs w:val="32"/>
          <w:highlight w:val="none"/>
          <w:lang w:val="en-US" w:eastAsia="zh-CN"/>
        </w:rPr>
        <w:t>2318万元</w:t>
      </w:r>
      <w:r>
        <w:rPr>
          <w:rFonts w:hint="eastAsia" w:ascii="仿宋" w:hAnsi="仿宋" w:eastAsia="仿宋"/>
          <w:color w:val="auto"/>
          <w:sz w:val="32"/>
          <w:szCs w:val="32"/>
          <w:highlight w:val="none"/>
          <w:lang w:eastAsia="zh-CN"/>
        </w:rPr>
        <w:t>等。</w:t>
      </w:r>
      <w:r>
        <w:rPr>
          <w:rFonts w:hint="eastAsia" w:ascii="仿宋" w:hAnsi="仿宋" w:eastAsia="仿宋"/>
          <w:color w:val="auto"/>
          <w:sz w:val="32"/>
          <w:szCs w:val="32"/>
          <w:highlight w:val="none"/>
        </w:rPr>
        <w:t>支</w:t>
      </w:r>
      <w:r>
        <w:rPr>
          <w:rFonts w:hint="eastAsia" w:ascii="仿宋" w:hAnsi="仿宋" w:eastAsia="仿宋"/>
          <w:color w:val="auto"/>
          <w:sz w:val="32"/>
          <w:szCs w:val="32"/>
          <w:highlight w:val="none"/>
          <w:lang w:eastAsia="zh-CN"/>
        </w:rPr>
        <w:t>出2,079.31</w:t>
      </w:r>
      <w:r>
        <w:rPr>
          <w:rFonts w:hint="eastAsia" w:ascii="仿宋" w:hAnsi="仿宋" w:eastAsia="仿宋"/>
          <w:color w:val="auto"/>
          <w:sz w:val="32"/>
          <w:szCs w:val="32"/>
          <w:highlight w:val="none"/>
        </w:rPr>
        <w:t>减少</w:t>
      </w:r>
      <w:r>
        <w:rPr>
          <w:rFonts w:hint="eastAsia" w:ascii="仿宋" w:hAnsi="仿宋" w:eastAsia="仿宋"/>
          <w:color w:val="auto"/>
          <w:sz w:val="32"/>
          <w:szCs w:val="32"/>
          <w:highlight w:val="none"/>
          <w:lang w:val="en-US" w:eastAsia="zh-CN"/>
        </w:rPr>
        <w:t>74.11</w:t>
      </w:r>
      <w:r>
        <w:rPr>
          <w:rFonts w:hint="eastAsia" w:ascii="仿宋" w:hAnsi="仿宋" w:eastAsia="仿宋"/>
          <w:color w:val="auto"/>
          <w:sz w:val="32"/>
          <w:szCs w:val="32"/>
          <w:highlight w:val="none"/>
        </w:rPr>
        <w:t>万元，下降</w:t>
      </w:r>
      <w:r>
        <w:rPr>
          <w:rFonts w:hint="eastAsia" w:ascii="仿宋" w:hAnsi="仿宋" w:eastAsia="仿宋"/>
          <w:color w:val="auto"/>
          <w:sz w:val="32"/>
          <w:szCs w:val="32"/>
          <w:highlight w:val="none"/>
          <w:lang w:val="en-US" w:eastAsia="zh-CN"/>
        </w:rPr>
        <w:t>3.70%，</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eastAsia="zh-CN"/>
        </w:rPr>
        <w:t>项目支出减少。</w:t>
      </w:r>
    </w:p>
    <w:p>
      <w:pPr>
        <w:spacing w:line="600" w:lineRule="exact"/>
        <w:rPr>
          <w:rFonts w:ascii="仿宋" w:hAnsi="仿宋" w:eastAsia="仿宋"/>
          <w:color w:val="auto"/>
          <w:sz w:val="32"/>
          <w:szCs w:val="32"/>
          <w:highlight w:val="none"/>
        </w:rPr>
      </w:pP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（图4：财政拨款收、支决算总计变动情况）（柱状图）</w:t>
      </w:r>
    </w:p>
    <w:p>
      <w:pPr>
        <w:pStyle w:val="2"/>
        <w:rPr>
          <w:color w:val="auto"/>
          <w:highlight w:val="none"/>
        </w:rPr>
      </w:pPr>
      <w:r>
        <w:rPr>
          <w:color w:val="auto"/>
          <w:highlight w:val="none"/>
        </w:rPr>
        <w:drawing>
          <wp:inline distT="0" distB="0" distL="114300" distR="114300">
            <wp:extent cx="4821555" cy="2761615"/>
            <wp:effectExtent l="0" t="0" r="1714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4821555" cy="2761615"/>
                    </a:xfrm>
                    <a:prstGeom prst="rect">
                      <a:avLst/>
                    </a:prstGeom>
                    <a:noFill/>
                    <a:ln>
                      <a:noFill/>
                    </a:ln>
                  </pic:spPr>
                </pic:pic>
              </a:graphicData>
            </a:graphic>
          </wp:inline>
        </w:drawing>
      </w:r>
    </w:p>
    <w:p>
      <w:pPr>
        <w:spacing w:line="600" w:lineRule="exact"/>
        <w:ind w:firstLine="640"/>
        <w:rPr>
          <w:rFonts w:ascii="仿宋" w:hAnsi="仿宋" w:eastAsia="仿宋"/>
          <w:b/>
          <w:color w:val="auto"/>
          <w:sz w:val="32"/>
          <w:szCs w:val="32"/>
          <w:highlight w:val="none"/>
        </w:rPr>
      </w:pPr>
    </w:p>
    <w:p>
      <w:pPr>
        <w:spacing w:line="600" w:lineRule="exact"/>
        <w:ind w:firstLine="640" w:firstLineChars="200"/>
        <w:outlineLvl w:val="1"/>
        <w:rPr>
          <w:rStyle w:val="28"/>
          <w:rFonts w:ascii="黑体" w:hAnsi="黑体" w:eastAsia="黑体"/>
          <w:b w:val="0"/>
          <w:color w:val="auto"/>
          <w:highlight w:val="none"/>
        </w:rPr>
      </w:pPr>
      <w:bookmarkStart w:id="36" w:name="_Toc15396607"/>
      <w:bookmarkStart w:id="37" w:name="_Toc15377209"/>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8"/>
          <w:rFonts w:hint="eastAsia" w:ascii="黑体" w:hAnsi="黑体" w:eastAsia="黑体"/>
          <w:b w:val="0"/>
          <w:color w:val="auto"/>
          <w:highlight w:val="none"/>
        </w:rPr>
        <w:t>般公共预算财政拨款支出决算情况说明</w:t>
      </w:r>
      <w:bookmarkEnd w:id="36"/>
      <w:bookmarkEnd w:id="37"/>
    </w:p>
    <w:p>
      <w:pPr>
        <w:spacing w:line="600" w:lineRule="exact"/>
        <w:ind w:firstLine="643" w:firstLineChars="200"/>
        <w:outlineLvl w:val="2"/>
        <w:rPr>
          <w:rFonts w:ascii="仿宋" w:hAnsi="仿宋" w:eastAsia="仿宋"/>
          <w:b/>
          <w:color w:val="auto"/>
          <w:sz w:val="32"/>
          <w:szCs w:val="32"/>
          <w:highlight w:val="none"/>
        </w:rPr>
      </w:pPr>
      <w:bookmarkStart w:id="38" w:name="_Toc15377210"/>
      <w:r>
        <w:rPr>
          <w:rFonts w:hint="eastAsia" w:ascii="仿宋" w:hAnsi="仿宋" w:eastAsia="仿宋"/>
          <w:b/>
          <w:color w:val="auto"/>
          <w:sz w:val="32"/>
          <w:szCs w:val="32"/>
          <w:highlight w:val="none"/>
        </w:rPr>
        <w:t>（一）一般公共预算财政拨款支出决算总体情况</w:t>
      </w:r>
      <w:bookmarkEnd w:id="38"/>
    </w:p>
    <w:p>
      <w:pPr>
        <w:spacing w:line="600" w:lineRule="exact"/>
        <w:ind w:firstLine="640" w:firstLineChars="200"/>
        <w:rPr>
          <w:rFonts w:hint="eastAsia" w:ascii="仿宋" w:hAnsi="仿宋" w:eastAsia="仿宋"/>
          <w:color w:val="auto"/>
          <w:sz w:val="32"/>
          <w:szCs w:val="32"/>
          <w:highlight w:val="none"/>
          <w:lang w:eastAsia="zh-CN"/>
        </w:rPr>
      </w:pPr>
      <w:r>
        <w:rPr>
          <w:rFonts w:ascii="仿宋" w:hAnsi="仿宋" w:eastAsia="仿宋"/>
          <w:color w:val="auto"/>
          <w:sz w:val="32"/>
          <w:szCs w:val="32"/>
          <w:highlight w:val="none"/>
        </w:rPr>
        <w:t>201</w:t>
      </w:r>
      <w:r>
        <w:rPr>
          <w:rFonts w:hint="eastAsia" w:ascii="仿宋" w:hAnsi="仿宋" w:eastAsia="仿宋"/>
          <w:color w:val="auto"/>
          <w:sz w:val="32"/>
          <w:szCs w:val="32"/>
          <w:highlight w:val="none"/>
        </w:rPr>
        <w:t>9年一般公共预算财政拨款支出1,455.05万元，占本年支出合计的</w:t>
      </w:r>
      <w:r>
        <w:rPr>
          <w:rFonts w:hint="eastAsia" w:ascii="仿宋" w:hAnsi="仿宋" w:eastAsia="仿宋"/>
          <w:color w:val="auto"/>
          <w:sz w:val="32"/>
          <w:szCs w:val="32"/>
          <w:highlight w:val="none"/>
          <w:lang w:val="en-US" w:eastAsia="zh-CN"/>
        </w:rPr>
        <w:t>72.56%</w:t>
      </w:r>
      <w:r>
        <w:rPr>
          <w:rFonts w:ascii="仿宋" w:hAnsi="仿宋" w:eastAsia="仿宋"/>
          <w:color w:val="auto"/>
          <w:sz w:val="32"/>
          <w:szCs w:val="32"/>
          <w:highlight w:val="none"/>
        </w:rPr>
        <w:t>%</w:t>
      </w:r>
      <w:r>
        <w:rPr>
          <w:rFonts w:hint="eastAsia" w:ascii="仿宋" w:hAnsi="仿宋" w:eastAsia="仿宋"/>
          <w:color w:val="auto"/>
          <w:sz w:val="32"/>
          <w:szCs w:val="32"/>
          <w:highlight w:val="none"/>
        </w:rPr>
        <w:t>。与</w:t>
      </w:r>
      <w:r>
        <w:rPr>
          <w:rFonts w:ascii="仿宋" w:hAnsi="仿宋" w:eastAsia="仿宋"/>
          <w:color w:val="auto"/>
          <w:sz w:val="32"/>
          <w:szCs w:val="32"/>
          <w:highlight w:val="none"/>
        </w:rPr>
        <w:t>201</w:t>
      </w:r>
      <w:r>
        <w:rPr>
          <w:rFonts w:hint="eastAsia" w:ascii="仿宋" w:hAnsi="仿宋" w:eastAsia="仿宋"/>
          <w:color w:val="auto"/>
          <w:sz w:val="32"/>
          <w:szCs w:val="32"/>
          <w:highlight w:val="none"/>
        </w:rPr>
        <w:t>8年相比，一般公共预算财政拨款1,396.29</w:t>
      </w:r>
      <w:r>
        <w:rPr>
          <w:rFonts w:hint="eastAsia" w:ascii="仿宋" w:hAnsi="仿宋" w:eastAsia="仿宋"/>
          <w:color w:val="auto"/>
          <w:sz w:val="32"/>
          <w:szCs w:val="32"/>
          <w:highlight w:val="none"/>
          <w:lang w:eastAsia="zh-CN"/>
        </w:rPr>
        <w:t>万元</w:t>
      </w:r>
      <w:r>
        <w:rPr>
          <w:rFonts w:hint="eastAsia" w:ascii="仿宋" w:hAnsi="仿宋" w:eastAsia="仿宋"/>
          <w:color w:val="auto"/>
          <w:sz w:val="32"/>
          <w:szCs w:val="32"/>
          <w:highlight w:val="none"/>
        </w:rPr>
        <w:t>增加</w:t>
      </w:r>
      <w:r>
        <w:rPr>
          <w:rFonts w:hint="eastAsia" w:ascii="仿宋" w:hAnsi="仿宋" w:eastAsia="仿宋"/>
          <w:color w:val="auto"/>
          <w:sz w:val="32"/>
          <w:szCs w:val="32"/>
          <w:highlight w:val="none"/>
          <w:lang w:val="en-US" w:eastAsia="zh-CN"/>
        </w:rPr>
        <w:t>58.76</w:t>
      </w:r>
      <w:r>
        <w:rPr>
          <w:rFonts w:hint="eastAsia" w:ascii="仿宋" w:hAnsi="仿宋" w:eastAsia="仿宋"/>
          <w:color w:val="auto"/>
          <w:sz w:val="32"/>
          <w:szCs w:val="32"/>
          <w:highlight w:val="none"/>
        </w:rPr>
        <w:t>万元，增长</w:t>
      </w:r>
      <w:r>
        <w:rPr>
          <w:rFonts w:hint="eastAsia" w:ascii="仿宋" w:hAnsi="仿宋" w:eastAsia="仿宋"/>
          <w:color w:val="auto"/>
          <w:sz w:val="32"/>
          <w:szCs w:val="32"/>
          <w:highlight w:val="none"/>
          <w:lang w:val="en-US" w:eastAsia="zh-CN"/>
        </w:rPr>
        <w:t>4.04</w:t>
      </w:r>
      <w:r>
        <w:rPr>
          <w:rFonts w:ascii="仿宋" w:hAnsi="仿宋" w:eastAsia="仿宋"/>
          <w:color w:val="auto"/>
          <w:sz w:val="32"/>
          <w:szCs w:val="32"/>
          <w:highlight w:val="none"/>
        </w:rPr>
        <w:t>%</w:t>
      </w:r>
      <w:r>
        <w:rPr>
          <w:rFonts w:hint="eastAsia" w:ascii="仿宋" w:hAnsi="仿宋" w:eastAsia="仿宋"/>
          <w:color w:val="auto"/>
          <w:sz w:val="32"/>
          <w:szCs w:val="32"/>
          <w:highlight w:val="none"/>
        </w:rPr>
        <w:t>。主要变动原因是</w:t>
      </w:r>
      <w:r>
        <w:rPr>
          <w:rFonts w:hint="eastAsia" w:ascii="仿宋" w:hAnsi="仿宋" w:eastAsia="仿宋"/>
          <w:color w:val="auto"/>
          <w:sz w:val="32"/>
          <w:szCs w:val="32"/>
          <w:highlight w:val="none"/>
          <w:lang w:eastAsia="zh-CN"/>
        </w:rPr>
        <w:t>本年度新进人员增加工资等相关支出。</w:t>
      </w:r>
    </w:p>
    <w:p>
      <w:pPr>
        <w:spacing w:line="60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（图5：一般公共预算财政拨款支出决算变动情况）（柱状图）</w:t>
      </w:r>
    </w:p>
    <w:p>
      <w:pPr>
        <w:pStyle w:val="2"/>
        <w:rPr>
          <w:color w:val="auto"/>
          <w:highlight w:val="none"/>
        </w:rPr>
      </w:pPr>
      <w:r>
        <w:rPr>
          <w:color w:val="auto"/>
          <w:highlight w:val="none"/>
        </w:rPr>
        <w:drawing>
          <wp:inline distT="0" distB="0" distL="114300" distR="114300">
            <wp:extent cx="4725670" cy="2021840"/>
            <wp:effectExtent l="0" t="0" r="17780" b="165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4725670" cy="2021840"/>
                    </a:xfrm>
                    <a:prstGeom prst="rect">
                      <a:avLst/>
                    </a:prstGeom>
                    <a:noFill/>
                    <a:ln>
                      <a:noFill/>
                    </a:ln>
                  </pic:spPr>
                </pic:pic>
              </a:graphicData>
            </a:graphic>
          </wp:inline>
        </w:drawing>
      </w:r>
    </w:p>
    <w:p>
      <w:pPr>
        <w:spacing w:line="600" w:lineRule="exact"/>
        <w:ind w:firstLine="640" w:firstLineChars="200"/>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39" w:name="_Toc15377211"/>
      <w:r>
        <w:rPr>
          <w:rFonts w:hint="eastAsia" w:ascii="仿宋" w:hAnsi="仿宋" w:eastAsia="仿宋"/>
          <w:b/>
          <w:color w:val="auto"/>
          <w:sz w:val="32"/>
          <w:szCs w:val="32"/>
          <w:highlight w:val="none"/>
        </w:rPr>
        <w:t>（二）一般公共预算财政拨款支出决算结构情况</w:t>
      </w:r>
      <w:bookmarkEnd w:id="39"/>
    </w:p>
    <w:p>
      <w:pPr>
        <w:spacing w:line="600" w:lineRule="exact"/>
        <w:ind w:firstLine="640"/>
        <w:rPr>
          <w:rFonts w:hint="default" w:ascii="仿宋" w:hAnsi="仿宋" w:eastAsia="仿宋" w:cs="Times New Roman"/>
          <w:color w:val="auto"/>
          <w:sz w:val="32"/>
          <w:szCs w:val="32"/>
          <w:highlight w:val="none"/>
          <w:lang w:val="en-US" w:eastAsia="zh-CN"/>
        </w:rPr>
      </w:pPr>
      <w:r>
        <w:rPr>
          <w:rFonts w:ascii="仿宋" w:hAnsi="仿宋" w:eastAsia="仿宋"/>
          <w:color w:val="auto"/>
          <w:sz w:val="32"/>
          <w:szCs w:val="32"/>
          <w:highlight w:val="none"/>
        </w:rPr>
        <w:t>201</w:t>
      </w:r>
      <w:r>
        <w:rPr>
          <w:rFonts w:hint="eastAsia" w:ascii="仿宋" w:hAnsi="仿宋" w:eastAsia="仿宋"/>
          <w:color w:val="auto"/>
          <w:sz w:val="32"/>
          <w:szCs w:val="32"/>
          <w:highlight w:val="none"/>
        </w:rPr>
        <w:t>9年一般公共预算财政拨款支出1,455.05万元，主要用于以下方面</w:t>
      </w:r>
      <w:r>
        <w:rPr>
          <w:rFonts w:ascii="仿宋" w:hAnsi="仿宋" w:eastAsia="仿宋"/>
          <w:color w:val="auto"/>
          <w:sz w:val="32"/>
          <w:szCs w:val="32"/>
          <w:highlight w:val="none"/>
        </w:rPr>
        <w:t>:</w:t>
      </w:r>
      <w:r>
        <w:rPr>
          <w:rFonts w:hint="eastAsia" w:ascii="仿宋" w:hAnsi="仿宋" w:eastAsia="仿宋"/>
          <w:b/>
          <w:color w:val="auto"/>
          <w:sz w:val="32"/>
          <w:szCs w:val="32"/>
          <w:highlight w:val="none"/>
        </w:rPr>
        <w:t>社会保障和就业</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67.6</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4.65</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lang w:eastAsia="zh-CN"/>
        </w:rPr>
        <w:t>卫生健康</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25.05</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1.72</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cs="Times New Roman"/>
          <w:b/>
          <w:color w:val="auto"/>
          <w:sz w:val="32"/>
          <w:szCs w:val="32"/>
          <w:highlight w:val="none"/>
          <w:lang w:val="en-US" w:eastAsia="zh-CN"/>
        </w:rPr>
        <w:t>节能环保支出</w:t>
      </w:r>
      <w:r>
        <w:rPr>
          <w:rFonts w:hint="eastAsia" w:ascii="仿宋" w:hAnsi="仿宋" w:eastAsia="仿宋"/>
          <w:color w:val="auto"/>
          <w:sz w:val="32"/>
          <w:szCs w:val="32"/>
          <w:highlight w:val="none"/>
          <w:lang w:val="en-US" w:eastAsia="zh-CN"/>
        </w:rPr>
        <w:t>135.96万元，占9.34%；</w:t>
      </w:r>
      <w:r>
        <w:rPr>
          <w:rFonts w:hint="eastAsia" w:ascii="仿宋" w:hAnsi="仿宋" w:eastAsia="仿宋" w:cs="Times New Roman"/>
          <w:b/>
          <w:color w:val="auto"/>
          <w:sz w:val="32"/>
          <w:szCs w:val="32"/>
          <w:highlight w:val="none"/>
          <w:lang w:val="en-US" w:eastAsia="zh-CN"/>
        </w:rPr>
        <w:t>农林水支出</w:t>
      </w:r>
      <w:r>
        <w:rPr>
          <w:rFonts w:hint="eastAsia" w:ascii="仿宋" w:hAnsi="仿宋" w:eastAsia="仿宋"/>
          <w:color w:val="auto"/>
          <w:sz w:val="32"/>
          <w:szCs w:val="32"/>
          <w:highlight w:val="none"/>
          <w:lang w:val="en-US" w:eastAsia="zh-CN"/>
        </w:rPr>
        <w:t>75万元，占5.15%；</w:t>
      </w:r>
      <w:r>
        <w:rPr>
          <w:rFonts w:hint="eastAsia" w:ascii="仿宋" w:hAnsi="仿宋" w:eastAsia="仿宋" w:cs="Times New Roman"/>
          <w:b/>
          <w:color w:val="auto"/>
          <w:sz w:val="32"/>
          <w:szCs w:val="32"/>
          <w:highlight w:val="none"/>
          <w:lang w:val="en-US" w:eastAsia="zh-CN"/>
        </w:rPr>
        <w:t>自然资源海洋气象等支出</w:t>
      </w:r>
      <w:r>
        <w:rPr>
          <w:rFonts w:hint="eastAsia" w:ascii="仿宋" w:hAnsi="仿宋" w:eastAsia="仿宋"/>
          <w:color w:val="auto"/>
          <w:sz w:val="32"/>
          <w:szCs w:val="32"/>
          <w:highlight w:val="none"/>
          <w:lang w:val="en-US" w:eastAsia="zh-CN"/>
        </w:rPr>
        <w:t>894.71万元，占61.49%；</w:t>
      </w:r>
      <w:r>
        <w:rPr>
          <w:rFonts w:hint="eastAsia" w:ascii="仿宋" w:hAnsi="仿宋" w:eastAsia="仿宋"/>
          <w:b/>
          <w:color w:val="auto"/>
          <w:sz w:val="32"/>
          <w:szCs w:val="32"/>
          <w:highlight w:val="none"/>
        </w:rPr>
        <w:t>住房保障</w:t>
      </w:r>
      <w:r>
        <w:rPr>
          <w:rFonts w:hint="eastAsia" w:ascii="仿宋" w:hAnsi="仿宋" w:eastAsia="仿宋"/>
          <w:color w:val="auto"/>
          <w:sz w:val="32"/>
          <w:szCs w:val="32"/>
          <w:highlight w:val="none"/>
        </w:rPr>
        <w:t>支出</w:t>
      </w:r>
      <w:r>
        <w:rPr>
          <w:rFonts w:hint="eastAsia" w:ascii="仿宋" w:hAnsi="仿宋" w:eastAsia="仿宋"/>
          <w:color w:val="auto"/>
          <w:sz w:val="32"/>
          <w:szCs w:val="32"/>
          <w:highlight w:val="none"/>
          <w:lang w:val="en-US" w:eastAsia="zh-CN"/>
        </w:rPr>
        <w:t>35.11</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2.41</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r>
        <w:rPr>
          <w:rFonts w:hint="eastAsia" w:ascii="仿宋" w:hAnsi="仿宋" w:eastAsia="仿宋"/>
          <w:b/>
          <w:color w:val="auto"/>
          <w:sz w:val="32"/>
          <w:szCs w:val="32"/>
          <w:highlight w:val="none"/>
          <w:lang w:eastAsia="zh-CN"/>
        </w:rPr>
        <w:t>灾害防治及应急管理支出</w:t>
      </w:r>
      <w:r>
        <w:rPr>
          <w:rFonts w:hint="eastAsia" w:ascii="仿宋" w:hAnsi="仿宋" w:eastAsia="仿宋" w:cs="Times New Roman"/>
          <w:color w:val="auto"/>
          <w:sz w:val="32"/>
          <w:szCs w:val="32"/>
          <w:highlight w:val="none"/>
          <w:lang w:val="en-US" w:eastAsia="zh-CN"/>
        </w:rPr>
        <w:t>221.62万元，占15.23%。</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2080505机关事业单位基本养老保险缴费支出42.23万元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2080506机关事业单位职业年金缴费支出25.38万元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2101101行政单位医疗8.09万元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2101102事业单位医疗11.96万元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2101103公务员医疗补助2.22万元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2101199其他行政事业单位医疗支出2.79万元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2200101行政运行161.82万元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2200150事业运行188.84万元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2209901其他国土海洋气象等支出0.40万元</w:t>
      </w:r>
    </w:p>
    <w:p>
      <w:pPr>
        <w:spacing w:line="600" w:lineRule="exact"/>
        <w:ind w:firstLine="640"/>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2210201住房公积金35.11万元</w:t>
      </w:r>
    </w:p>
    <w:p>
      <w:pPr>
        <w:spacing w:line="600" w:lineRule="exact"/>
        <w:ind w:firstLine="640"/>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2110401生态保护135.96</w:t>
      </w:r>
      <w:r>
        <w:rPr>
          <w:rFonts w:hint="eastAsia" w:ascii="仿宋" w:hAnsi="仿宋" w:eastAsia="仿宋"/>
          <w:color w:val="auto"/>
          <w:sz w:val="32"/>
          <w:szCs w:val="32"/>
          <w:highlight w:val="none"/>
          <w:lang w:eastAsia="zh-CN"/>
        </w:rPr>
        <w:t>万元</w:t>
      </w:r>
    </w:p>
    <w:p>
      <w:pPr>
        <w:pStyle w:val="2"/>
        <w:rPr>
          <w:rFonts w:hint="eastAsia"/>
          <w:color w:val="auto"/>
          <w:highlight w:val="none"/>
          <w:lang w:val="en-US" w:eastAsia="zh-CN"/>
        </w:rPr>
      </w:pPr>
      <w:r>
        <w:rPr>
          <w:rFonts w:hint="eastAsia"/>
          <w:color w:val="auto"/>
          <w:highlight w:val="none"/>
          <w:lang w:eastAsia="zh-CN"/>
        </w:rPr>
        <w:t>2130199其他农业支出</w:t>
      </w:r>
      <w:r>
        <w:rPr>
          <w:rFonts w:hint="eastAsia"/>
          <w:color w:val="auto"/>
          <w:highlight w:val="none"/>
          <w:lang w:val="en-US" w:eastAsia="zh-CN"/>
        </w:rPr>
        <w:t>75万元</w:t>
      </w:r>
    </w:p>
    <w:p>
      <w:pPr>
        <w:pStyle w:val="2"/>
        <w:rPr>
          <w:rFonts w:hint="eastAsia"/>
          <w:color w:val="auto"/>
          <w:highlight w:val="none"/>
          <w:lang w:val="en-US" w:eastAsia="zh-CN"/>
        </w:rPr>
      </w:pPr>
      <w:r>
        <w:rPr>
          <w:rFonts w:hint="default"/>
          <w:color w:val="auto"/>
          <w:highlight w:val="none"/>
          <w:lang w:val="en-US" w:eastAsia="zh-CN"/>
        </w:rPr>
        <w:t>2200105土地资源调查373.14</w:t>
      </w:r>
      <w:r>
        <w:rPr>
          <w:rFonts w:hint="eastAsia"/>
          <w:color w:val="auto"/>
          <w:highlight w:val="none"/>
          <w:lang w:val="en-US" w:eastAsia="zh-CN"/>
        </w:rPr>
        <w:t>万元</w:t>
      </w:r>
    </w:p>
    <w:p>
      <w:pPr>
        <w:pStyle w:val="2"/>
        <w:rPr>
          <w:rFonts w:hint="eastAsia"/>
          <w:color w:val="auto"/>
          <w:highlight w:val="none"/>
          <w:lang w:val="en-US" w:eastAsia="zh-CN"/>
        </w:rPr>
      </w:pPr>
      <w:r>
        <w:rPr>
          <w:rFonts w:hint="default"/>
          <w:color w:val="auto"/>
          <w:highlight w:val="none"/>
          <w:lang w:val="en-US" w:eastAsia="zh-CN"/>
        </w:rPr>
        <w:t>2200109自然资源调查150</w:t>
      </w:r>
      <w:r>
        <w:rPr>
          <w:rFonts w:hint="eastAsia"/>
          <w:color w:val="auto"/>
          <w:highlight w:val="none"/>
          <w:lang w:val="en-US" w:eastAsia="zh-CN"/>
        </w:rPr>
        <w:t>万元</w:t>
      </w:r>
    </w:p>
    <w:p>
      <w:pPr>
        <w:pStyle w:val="2"/>
        <w:rPr>
          <w:rFonts w:hint="default"/>
          <w:color w:val="auto"/>
          <w:highlight w:val="none"/>
          <w:lang w:val="en-US" w:eastAsia="zh-CN"/>
        </w:rPr>
      </w:pPr>
      <w:r>
        <w:rPr>
          <w:rFonts w:hint="default"/>
          <w:color w:val="auto"/>
          <w:highlight w:val="none"/>
          <w:lang w:val="en-US" w:eastAsia="zh-CN"/>
        </w:rPr>
        <w:t>2200399其他测绘事务支出7.90</w:t>
      </w:r>
      <w:r>
        <w:rPr>
          <w:rFonts w:hint="eastAsia"/>
          <w:color w:val="auto"/>
          <w:highlight w:val="none"/>
          <w:lang w:val="en-US" w:eastAsia="zh-CN"/>
        </w:rPr>
        <w:t>万元</w:t>
      </w:r>
      <w:r>
        <w:rPr>
          <w:rFonts w:hint="default"/>
          <w:color w:val="auto"/>
          <w:highlight w:val="none"/>
          <w:lang w:val="en-US" w:eastAsia="zh-CN"/>
        </w:rPr>
        <w:tab/>
      </w:r>
      <w:r>
        <w:rPr>
          <w:rFonts w:hint="default"/>
          <w:color w:val="auto"/>
          <w:highlight w:val="none"/>
          <w:lang w:val="en-US" w:eastAsia="zh-CN"/>
        </w:rPr>
        <w:tab/>
      </w:r>
    </w:p>
    <w:p>
      <w:pPr>
        <w:pStyle w:val="2"/>
        <w:rPr>
          <w:rFonts w:hint="default"/>
          <w:color w:val="auto"/>
          <w:highlight w:val="none"/>
          <w:lang w:val="en-US" w:eastAsia="zh-CN"/>
        </w:rPr>
      </w:pPr>
      <w:r>
        <w:rPr>
          <w:rFonts w:hint="default"/>
          <w:color w:val="auto"/>
          <w:highlight w:val="none"/>
          <w:lang w:val="en-US" w:eastAsia="zh-CN"/>
        </w:rPr>
        <w:t>2240601地质灾害防治</w:t>
      </w:r>
      <w:r>
        <w:rPr>
          <w:rFonts w:hint="default"/>
          <w:color w:val="auto"/>
          <w:highlight w:val="none"/>
          <w:lang w:val="en-US" w:eastAsia="zh-CN"/>
        </w:rPr>
        <w:tab/>
      </w:r>
      <w:r>
        <w:rPr>
          <w:rFonts w:hint="default"/>
          <w:color w:val="auto"/>
          <w:highlight w:val="none"/>
          <w:lang w:val="en-US" w:eastAsia="zh-CN"/>
        </w:rPr>
        <w:t>221.62</w:t>
      </w:r>
      <w:r>
        <w:rPr>
          <w:rFonts w:hint="eastAsia"/>
          <w:color w:val="auto"/>
          <w:highlight w:val="none"/>
          <w:lang w:val="en-US" w:eastAsia="zh-CN"/>
        </w:rPr>
        <w:t>万元</w:t>
      </w:r>
      <w:r>
        <w:rPr>
          <w:rFonts w:hint="default"/>
          <w:color w:val="auto"/>
          <w:highlight w:val="none"/>
          <w:lang w:val="en-US" w:eastAsia="zh-CN"/>
        </w:rPr>
        <w:tab/>
      </w:r>
    </w:p>
    <w:p>
      <w:pPr>
        <w:pStyle w:val="2"/>
        <w:rPr>
          <w:rFonts w:hint="default"/>
          <w:color w:val="auto"/>
          <w:highlight w:val="none"/>
          <w:lang w:val="en-US" w:eastAsia="zh-CN"/>
        </w:rPr>
      </w:pPr>
      <w:r>
        <w:rPr>
          <w:rFonts w:hint="default"/>
          <w:color w:val="auto"/>
          <w:highlight w:val="none"/>
          <w:lang w:val="en-US" w:eastAsia="zh-CN"/>
        </w:rPr>
        <w:t>2200199其他自然资源事务支</w:t>
      </w:r>
      <w:r>
        <w:rPr>
          <w:rFonts w:hint="eastAsia"/>
          <w:color w:val="auto"/>
          <w:highlight w:val="none"/>
          <w:lang w:val="en-US" w:eastAsia="zh-CN"/>
        </w:rPr>
        <w:t>出12.6万元</w:t>
      </w:r>
      <w:r>
        <w:rPr>
          <w:rFonts w:hint="default"/>
          <w:color w:val="auto"/>
          <w:highlight w:val="none"/>
          <w:lang w:val="en-US" w:eastAsia="zh-CN"/>
        </w:rPr>
        <w:tab/>
      </w:r>
    </w:p>
    <w:p>
      <w:pPr>
        <w:spacing w:line="60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（图6：一般公共预算财政拨款支出决算结构）（饼状图）</w:t>
      </w:r>
    </w:p>
    <w:p>
      <w:pPr>
        <w:spacing w:line="600" w:lineRule="exact"/>
        <w:ind w:firstLine="640" w:firstLineChars="200"/>
        <w:rPr>
          <w:rFonts w:ascii="仿宋" w:hAnsi="仿宋" w:eastAsia="仿宋"/>
          <w:color w:val="auto"/>
          <w:sz w:val="32"/>
          <w:szCs w:val="32"/>
          <w:highlight w:val="none"/>
        </w:rPr>
      </w:pPr>
    </w:p>
    <w:p>
      <w:pPr>
        <w:pStyle w:val="2"/>
        <w:rPr>
          <w:color w:val="auto"/>
          <w:highlight w:val="none"/>
        </w:rPr>
      </w:pPr>
      <w:r>
        <w:rPr>
          <w:color w:val="auto"/>
          <w:highlight w:val="none"/>
        </w:rPr>
        <w:drawing>
          <wp:inline distT="0" distB="0" distL="114300" distR="114300">
            <wp:extent cx="4596130" cy="2767330"/>
            <wp:effectExtent l="0" t="0" r="13970" b="139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a:stretch>
                      <a:fillRect/>
                    </a:stretch>
                  </pic:blipFill>
                  <pic:spPr>
                    <a:xfrm>
                      <a:off x="0" y="0"/>
                      <a:ext cx="4596130" cy="2767330"/>
                    </a:xfrm>
                    <a:prstGeom prst="rect">
                      <a:avLst/>
                    </a:prstGeom>
                    <a:noFill/>
                    <a:ln>
                      <a:noFill/>
                    </a:ln>
                  </pic:spPr>
                </pic:pic>
              </a:graphicData>
            </a:graphic>
          </wp:inline>
        </w:drawing>
      </w:r>
    </w:p>
    <w:p>
      <w:pPr>
        <w:spacing w:line="600" w:lineRule="exact"/>
        <w:ind w:firstLine="643" w:firstLineChars="200"/>
        <w:outlineLvl w:val="2"/>
        <w:rPr>
          <w:rFonts w:ascii="仿宋" w:hAnsi="仿宋" w:eastAsia="仿宋"/>
          <w:b/>
          <w:color w:val="auto"/>
          <w:sz w:val="32"/>
          <w:szCs w:val="32"/>
          <w:highlight w:val="none"/>
        </w:rPr>
      </w:pPr>
      <w:bookmarkStart w:id="40" w:name="_Toc15377212"/>
      <w:r>
        <w:rPr>
          <w:rFonts w:hint="eastAsia" w:ascii="仿宋" w:hAnsi="仿宋" w:eastAsia="仿宋"/>
          <w:b/>
          <w:color w:val="auto"/>
          <w:sz w:val="32"/>
          <w:szCs w:val="32"/>
          <w:highlight w:val="none"/>
        </w:rPr>
        <w:t>（三）一般公共预算财政拨款支出决算具体情况</w:t>
      </w:r>
      <w:bookmarkEnd w:id="40"/>
    </w:p>
    <w:p>
      <w:pPr>
        <w:spacing w:line="600" w:lineRule="exact"/>
        <w:ind w:firstLine="643" w:firstLineChars="200"/>
        <w:outlineLvl w:val="2"/>
        <w:rPr>
          <w:rFonts w:ascii="仿宋" w:hAnsi="仿宋" w:eastAsia="仿宋"/>
          <w:color w:val="auto"/>
          <w:sz w:val="32"/>
          <w:szCs w:val="32"/>
          <w:highlight w:val="none"/>
        </w:rPr>
      </w:pPr>
      <w:bookmarkStart w:id="41" w:name="_Toc15377213"/>
      <w:bookmarkStart w:id="42" w:name="_Toc15377444"/>
      <w:bookmarkStart w:id="43" w:name="_Toc15378460"/>
      <w:r>
        <w:rPr>
          <w:rFonts w:hint="eastAsia" w:ascii="仿宋" w:hAnsi="仿宋" w:eastAsia="仿宋"/>
          <w:b/>
          <w:color w:val="auto"/>
          <w:sz w:val="32"/>
          <w:szCs w:val="32"/>
          <w:highlight w:val="none"/>
        </w:rPr>
        <w:t>2019年</w:t>
      </w:r>
      <w:r>
        <w:rPr>
          <w:rFonts w:hint="eastAsia" w:ascii="仿宋" w:hAnsi="仿宋" w:eastAsia="仿宋"/>
          <w:b/>
          <w:color w:val="auto"/>
          <w:sz w:val="32"/>
          <w:szCs w:val="32"/>
          <w:highlight w:val="none"/>
          <w:lang w:eastAsia="zh-CN"/>
        </w:rPr>
        <w:t>一</w:t>
      </w:r>
      <w:r>
        <w:rPr>
          <w:rFonts w:hint="eastAsia" w:ascii="仿宋" w:hAnsi="仿宋" w:eastAsia="仿宋"/>
          <w:b/>
          <w:color w:val="auto"/>
          <w:sz w:val="32"/>
          <w:szCs w:val="32"/>
          <w:highlight w:val="none"/>
        </w:rPr>
        <w:t>般公共预算支出决算数为</w:t>
      </w:r>
      <w:r>
        <w:rPr>
          <w:rFonts w:hint="eastAsia" w:ascii="仿宋" w:hAnsi="仿宋" w:eastAsia="仿宋"/>
          <w:color w:val="auto"/>
          <w:sz w:val="32"/>
          <w:szCs w:val="32"/>
          <w:highlight w:val="none"/>
        </w:rPr>
        <w:t>1,455.05，</w:t>
      </w:r>
      <w:r>
        <w:rPr>
          <w:rStyle w:val="17"/>
          <w:rFonts w:hint="eastAsia" w:ascii="仿宋" w:hAnsi="仿宋" w:eastAsia="仿宋"/>
          <w:bCs/>
          <w:color w:val="auto"/>
          <w:sz w:val="32"/>
          <w:szCs w:val="32"/>
          <w:highlight w:val="none"/>
        </w:rPr>
        <w:t>完成预算</w:t>
      </w:r>
      <w:r>
        <w:rPr>
          <w:rStyle w:val="17"/>
          <w:rFonts w:hint="eastAsia" w:ascii="仿宋" w:hAnsi="仿宋" w:eastAsia="仿宋"/>
          <w:bCs/>
          <w:color w:val="auto"/>
          <w:sz w:val="32"/>
          <w:szCs w:val="32"/>
          <w:highlight w:val="none"/>
          <w:lang w:val="en-US" w:eastAsia="zh-CN"/>
        </w:rPr>
        <w:t>38.56</w:t>
      </w:r>
      <w:r>
        <w:rPr>
          <w:rStyle w:val="17"/>
          <w:rFonts w:ascii="仿宋" w:hAnsi="仿宋" w:eastAsia="仿宋"/>
          <w:bCs/>
          <w:color w:val="auto"/>
          <w:sz w:val="32"/>
          <w:szCs w:val="32"/>
          <w:highlight w:val="none"/>
        </w:rPr>
        <w:t>%</w:t>
      </w:r>
      <w:r>
        <w:rPr>
          <w:rStyle w:val="17"/>
          <w:rFonts w:hint="eastAsia" w:ascii="仿宋" w:hAnsi="仿宋" w:eastAsia="仿宋"/>
          <w:bCs/>
          <w:color w:val="auto"/>
          <w:sz w:val="32"/>
          <w:szCs w:val="32"/>
          <w:highlight w:val="none"/>
        </w:rPr>
        <w:t>。其中：</w:t>
      </w:r>
      <w:bookmarkEnd w:id="41"/>
      <w:bookmarkEnd w:id="42"/>
      <w:bookmarkEnd w:id="43"/>
    </w:p>
    <w:p>
      <w:pPr>
        <w:numPr>
          <w:ilvl w:val="0"/>
          <w:numId w:val="0"/>
        </w:numPr>
        <w:spacing w:line="600" w:lineRule="exact"/>
        <w:ind w:leftChars="200"/>
        <w:rPr>
          <w:rStyle w:val="17"/>
          <w:rFonts w:hint="eastAsia" w:ascii="仿宋" w:hAnsi="仿宋" w:eastAsia="仿宋"/>
          <w:b w:val="0"/>
          <w:bCs/>
          <w:color w:val="auto"/>
          <w:sz w:val="32"/>
          <w:szCs w:val="32"/>
          <w:highlight w:val="none"/>
          <w:lang w:eastAsia="zh-CN"/>
        </w:rPr>
      </w:pPr>
      <w:r>
        <w:rPr>
          <w:rStyle w:val="17"/>
          <w:rFonts w:hint="eastAsia" w:ascii="仿宋" w:hAnsi="仿宋" w:eastAsia="仿宋"/>
          <w:bCs/>
          <w:color w:val="auto"/>
          <w:sz w:val="32"/>
          <w:szCs w:val="32"/>
          <w:highlight w:val="none"/>
          <w:lang w:val="en-US" w:eastAsia="zh-CN"/>
        </w:rPr>
        <w:t>1.</w:t>
      </w:r>
      <w:r>
        <w:rPr>
          <w:rStyle w:val="17"/>
          <w:rFonts w:hint="eastAsia" w:ascii="仿宋" w:hAnsi="仿宋" w:eastAsia="仿宋"/>
          <w:bCs/>
          <w:color w:val="auto"/>
          <w:sz w:val="32"/>
          <w:szCs w:val="32"/>
          <w:highlight w:val="none"/>
        </w:rPr>
        <w:t>社会保障和就业</w:t>
      </w:r>
      <w:r>
        <w:rPr>
          <w:rStyle w:val="17"/>
          <w:rFonts w:ascii="仿宋" w:hAnsi="仿宋" w:eastAsia="仿宋"/>
          <w:bCs/>
          <w:color w:val="auto"/>
          <w:sz w:val="32"/>
          <w:szCs w:val="32"/>
          <w:highlight w:val="none"/>
        </w:rPr>
        <w:t>:</w:t>
      </w:r>
      <w:r>
        <w:rPr>
          <w:rStyle w:val="17"/>
          <w:rFonts w:ascii="仿宋" w:hAnsi="仿宋" w:eastAsia="仿宋"/>
          <w:b w:val="0"/>
          <w:bCs/>
          <w:color w:val="auto"/>
          <w:sz w:val="32"/>
          <w:szCs w:val="32"/>
          <w:highlight w:val="none"/>
        </w:rPr>
        <w:t xml:space="preserve"> </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67.6</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，决算数等于预算数</w:t>
      </w:r>
      <w:r>
        <w:rPr>
          <w:rStyle w:val="17"/>
          <w:rFonts w:hint="eastAsia" w:ascii="仿宋" w:hAnsi="仿宋" w:eastAsia="仿宋"/>
          <w:b w:val="0"/>
          <w:bCs/>
          <w:color w:val="auto"/>
          <w:sz w:val="32"/>
          <w:szCs w:val="32"/>
          <w:highlight w:val="none"/>
          <w:lang w:eastAsia="zh-CN"/>
        </w:rPr>
        <w:t>。</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2080505机关事业单位基本养老保险缴费支出42.23万元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2080506机关事业单位职业年金缴费支出25.38万元</w:t>
      </w:r>
    </w:p>
    <w:p>
      <w:pPr>
        <w:numPr>
          <w:ilvl w:val="0"/>
          <w:numId w:val="0"/>
        </w:numPr>
        <w:spacing w:line="600" w:lineRule="exact"/>
        <w:ind w:leftChars="200"/>
        <w:rPr>
          <w:rFonts w:ascii="仿宋" w:hAnsi="仿宋" w:eastAsia="仿宋"/>
          <w:b/>
          <w:color w:val="auto"/>
          <w:sz w:val="32"/>
          <w:szCs w:val="32"/>
          <w:highlight w:val="none"/>
        </w:rPr>
      </w:pPr>
      <w:r>
        <w:rPr>
          <w:rStyle w:val="17"/>
          <w:rFonts w:hint="eastAsia" w:ascii="仿宋" w:hAnsi="仿宋" w:eastAsia="仿宋"/>
          <w:bCs/>
          <w:color w:val="auto"/>
          <w:sz w:val="32"/>
          <w:szCs w:val="32"/>
          <w:highlight w:val="none"/>
          <w:lang w:val="en-US" w:eastAsia="zh-CN"/>
        </w:rPr>
        <w:t>2.</w:t>
      </w:r>
      <w:r>
        <w:rPr>
          <w:rStyle w:val="17"/>
          <w:rFonts w:hint="eastAsia" w:ascii="仿宋" w:hAnsi="仿宋" w:eastAsia="仿宋"/>
          <w:bCs/>
          <w:color w:val="auto"/>
          <w:sz w:val="32"/>
          <w:szCs w:val="32"/>
          <w:highlight w:val="none"/>
          <w:lang w:eastAsia="zh-CN"/>
        </w:rPr>
        <w:t>卫生健康支出</w:t>
      </w:r>
      <w:r>
        <w:rPr>
          <w:rStyle w:val="17"/>
          <w:rFonts w:ascii="仿宋" w:hAnsi="仿宋" w:eastAsia="仿宋"/>
          <w:bCs/>
          <w:color w:val="auto"/>
          <w:sz w:val="32"/>
          <w:szCs w:val="32"/>
          <w:highlight w:val="none"/>
        </w:rPr>
        <w:t>:</w:t>
      </w:r>
      <w:r>
        <w:rPr>
          <w:rStyle w:val="17"/>
          <w:rFonts w:hint="eastAsia" w:ascii="仿宋" w:hAnsi="仿宋" w:eastAsia="仿宋"/>
          <w:b w:val="0"/>
          <w:bCs/>
          <w:color w:val="auto"/>
          <w:sz w:val="32"/>
          <w:szCs w:val="32"/>
          <w:highlight w:val="none"/>
        </w:rPr>
        <w:t>支出决算为</w:t>
      </w:r>
      <w:r>
        <w:rPr>
          <w:rStyle w:val="17"/>
          <w:rFonts w:hint="eastAsia" w:ascii="仿宋" w:hAnsi="仿宋" w:eastAsia="仿宋"/>
          <w:b w:val="0"/>
          <w:bCs/>
          <w:color w:val="auto"/>
          <w:sz w:val="32"/>
          <w:szCs w:val="32"/>
          <w:highlight w:val="none"/>
          <w:lang w:val="en-US" w:eastAsia="zh-CN"/>
        </w:rPr>
        <w:t>25.05</w:t>
      </w:r>
      <w:r>
        <w:rPr>
          <w:rStyle w:val="17"/>
          <w:rFonts w:hint="eastAsia" w:ascii="仿宋" w:hAnsi="仿宋" w:eastAsia="仿宋"/>
          <w:b w:val="0"/>
          <w:bCs/>
          <w:color w:val="auto"/>
          <w:sz w:val="32"/>
          <w:szCs w:val="32"/>
          <w:highlight w:val="none"/>
        </w:rPr>
        <w:t>万元，完成预算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，决算数等于预算数。</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2101101行政单位医疗8.09万元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2101102事业单位医疗11.96万元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2101103公务员医疗补助2.22万元</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2101199其他行政事业单位医疗支出2.79万元</w:t>
      </w:r>
    </w:p>
    <w:p>
      <w:pPr>
        <w:numPr>
          <w:ilvl w:val="0"/>
          <w:numId w:val="0"/>
        </w:numPr>
        <w:spacing w:line="600" w:lineRule="exact"/>
        <w:ind w:leftChars="200"/>
        <w:rPr>
          <w:rFonts w:hint="eastAsia" w:ascii="仿宋" w:hAnsi="仿宋" w:eastAsia="仿宋"/>
          <w:color w:val="auto"/>
          <w:sz w:val="32"/>
          <w:szCs w:val="32"/>
          <w:highlight w:val="none"/>
          <w:lang w:val="en-US" w:eastAsia="zh-CN"/>
        </w:rPr>
      </w:pPr>
      <w:r>
        <w:rPr>
          <w:rStyle w:val="17"/>
          <w:rFonts w:hint="eastAsia" w:ascii="仿宋" w:hAnsi="仿宋" w:eastAsia="仿宋"/>
          <w:bCs/>
          <w:color w:val="auto"/>
          <w:sz w:val="32"/>
          <w:szCs w:val="32"/>
          <w:highlight w:val="none"/>
          <w:lang w:val="en-US" w:eastAsia="zh-CN"/>
        </w:rPr>
        <w:t>3.住房保障支出：</w:t>
      </w:r>
      <w:r>
        <w:rPr>
          <w:rFonts w:hint="eastAsia" w:ascii="仿宋" w:hAnsi="仿宋" w:eastAsia="仿宋"/>
          <w:color w:val="auto"/>
          <w:sz w:val="32"/>
          <w:szCs w:val="32"/>
          <w:highlight w:val="none"/>
          <w:lang w:val="en-US" w:eastAsia="zh-CN"/>
        </w:rPr>
        <w:t>支出决算数为35.11万元，完成预算100%，决算数等于预算数。</w:t>
      </w:r>
    </w:p>
    <w:p>
      <w:pPr>
        <w:spacing w:line="600" w:lineRule="exact"/>
        <w:ind w:firstLine="64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2210201住房公积金28.54万元</w:t>
      </w:r>
    </w:p>
    <w:p>
      <w:pPr>
        <w:numPr>
          <w:ilvl w:val="0"/>
          <w:numId w:val="0"/>
        </w:numPr>
        <w:spacing w:line="600" w:lineRule="exact"/>
        <w:ind w:leftChars="200"/>
        <w:rPr>
          <w:rFonts w:hint="eastAsia" w:ascii="仿宋" w:hAnsi="仿宋" w:eastAsia="仿宋"/>
          <w:color w:val="auto"/>
          <w:sz w:val="32"/>
          <w:szCs w:val="32"/>
          <w:highlight w:val="none"/>
          <w:lang w:val="en-US" w:eastAsia="zh-CN"/>
        </w:rPr>
      </w:pPr>
      <w:r>
        <w:rPr>
          <w:rStyle w:val="17"/>
          <w:rFonts w:hint="eastAsia" w:ascii="仿宋" w:hAnsi="仿宋" w:eastAsia="仿宋" w:cs="Times New Roman"/>
          <w:bCs/>
          <w:color w:val="auto"/>
          <w:kern w:val="2"/>
          <w:sz w:val="32"/>
          <w:szCs w:val="32"/>
          <w:highlight w:val="none"/>
          <w:lang w:val="en-US" w:eastAsia="zh-CN" w:bidi="ar-SA"/>
        </w:rPr>
        <w:t>4.城乡社区支出：</w:t>
      </w:r>
      <w:r>
        <w:rPr>
          <w:rFonts w:hint="eastAsia" w:ascii="仿宋" w:hAnsi="仿宋" w:eastAsia="仿宋"/>
          <w:color w:val="auto"/>
          <w:sz w:val="32"/>
          <w:szCs w:val="32"/>
          <w:highlight w:val="none"/>
          <w:lang w:val="en-US" w:eastAsia="zh-CN"/>
        </w:rPr>
        <w:t>支出决算数为550.15万元，完成预算100%，决算数等于预算数。</w:t>
      </w:r>
    </w:p>
    <w:p>
      <w:pPr>
        <w:pStyle w:val="2"/>
        <w:rPr>
          <w:rFonts w:hint="eastAsia"/>
          <w:b w:val="0"/>
          <w:bCs w:val="0"/>
          <w:color w:val="auto"/>
          <w:highlight w:val="none"/>
          <w:lang w:val="en-US" w:eastAsia="zh-CN"/>
        </w:rPr>
      </w:pPr>
      <w:r>
        <w:rPr>
          <w:rFonts w:hint="default"/>
          <w:b w:val="0"/>
          <w:bCs w:val="0"/>
          <w:color w:val="auto"/>
          <w:highlight w:val="none"/>
          <w:lang w:val="en-US" w:eastAsia="zh-CN"/>
        </w:rPr>
        <w:t>2120899其他国有土地使用权出让收入安排的支出</w:t>
      </w:r>
      <w:r>
        <w:rPr>
          <w:rFonts w:hint="eastAsia"/>
          <w:b w:val="0"/>
          <w:bCs w:val="0"/>
          <w:color w:val="auto"/>
          <w:highlight w:val="none"/>
          <w:lang w:val="en-US" w:eastAsia="zh-CN"/>
        </w:rPr>
        <w:t>362.27万元</w:t>
      </w:r>
    </w:p>
    <w:p>
      <w:pPr>
        <w:pStyle w:val="2"/>
        <w:rPr>
          <w:rFonts w:hint="eastAsia"/>
          <w:b w:val="0"/>
          <w:bCs w:val="0"/>
          <w:color w:val="auto"/>
          <w:highlight w:val="none"/>
          <w:lang w:val="en-US" w:eastAsia="zh-CN"/>
        </w:rPr>
      </w:pPr>
      <w:r>
        <w:rPr>
          <w:rFonts w:hint="default"/>
          <w:b w:val="0"/>
          <w:bCs w:val="0"/>
          <w:color w:val="auto"/>
          <w:highlight w:val="none"/>
          <w:lang w:val="en-US" w:eastAsia="zh-CN"/>
        </w:rPr>
        <w:t>2121099其他国有土地收益基金支出88.43</w:t>
      </w:r>
      <w:r>
        <w:rPr>
          <w:rFonts w:hint="eastAsia"/>
          <w:b w:val="0"/>
          <w:bCs w:val="0"/>
          <w:color w:val="auto"/>
          <w:highlight w:val="none"/>
          <w:lang w:val="en-US" w:eastAsia="zh-CN"/>
        </w:rPr>
        <w:t>万元</w:t>
      </w:r>
    </w:p>
    <w:p>
      <w:pPr>
        <w:pStyle w:val="2"/>
        <w:rPr>
          <w:rFonts w:hint="eastAsia"/>
          <w:b w:val="0"/>
          <w:bCs w:val="0"/>
          <w:color w:val="auto"/>
          <w:highlight w:val="none"/>
          <w:lang w:val="en-US" w:eastAsia="zh-CN"/>
        </w:rPr>
      </w:pPr>
      <w:r>
        <w:rPr>
          <w:rFonts w:hint="default"/>
          <w:b w:val="0"/>
          <w:bCs w:val="0"/>
          <w:color w:val="auto"/>
          <w:highlight w:val="none"/>
          <w:lang w:val="en-US" w:eastAsia="zh-CN"/>
        </w:rPr>
        <w:t>2121100农业土地开发资金安排的支出</w:t>
      </w:r>
      <w:r>
        <w:rPr>
          <w:rFonts w:hint="eastAsia"/>
          <w:b w:val="0"/>
          <w:bCs w:val="0"/>
          <w:color w:val="auto"/>
          <w:highlight w:val="none"/>
          <w:lang w:val="en-US" w:eastAsia="zh-CN"/>
        </w:rPr>
        <w:t>99.45万元</w:t>
      </w:r>
    </w:p>
    <w:p>
      <w:pPr>
        <w:pStyle w:val="2"/>
        <w:numPr>
          <w:ilvl w:val="0"/>
          <w:numId w:val="0"/>
        </w:numPr>
        <w:ind w:firstLine="321" w:firstLineChars="100"/>
        <w:rPr>
          <w:rFonts w:hint="default"/>
          <w:b w:val="0"/>
          <w:bCs w:val="0"/>
          <w:color w:val="auto"/>
          <w:highlight w:val="none"/>
          <w:lang w:val="en-US" w:eastAsia="zh-CN"/>
        </w:rPr>
      </w:pPr>
      <w:r>
        <w:rPr>
          <w:rStyle w:val="17"/>
          <w:rFonts w:hint="eastAsia" w:ascii="仿宋" w:hAnsi="仿宋" w:eastAsia="仿宋" w:cs="Times New Roman"/>
          <w:bCs/>
          <w:color w:val="auto"/>
          <w:kern w:val="2"/>
          <w:sz w:val="32"/>
          <w:szCs w:val="32"/>
          <w:highlight w:val="none"/>
          <w:lang w:val="en-US" w:eastAsia="zh-CN" w:bidi="ar-SA"/>
        </w:rPr>
        <w:t>5.农林水支出：</w:t>
      </w:r>
      <w:r>
        <w:rPr>
          <w:rFonts w:hint="eastAsia" w:ascii="仿宋" w:hAnsi="仿宋" w:eastAsia="仿宋"/>
          <w:color w:val="auto"/>
          <w:sz w:val="32"/>
          <w:szCs w:val="32"/>
          <w:highlight w:val="none"/>
          <w:lang w:val="en-US" w:eastAsia="zh-CN"/>
        </w:rPr>
        <w:t>支出决算数为75万元，完成预算3.13%，决算数小于预算数。</w:t>
      </w:r>
      <w:r>
        <w:rPr>
          <w:rFonts w:hint="default"/>
          <w:b w:val="0"/>
          <w:bCs w:val="0"/>
          <w:color w:val="auto"/>
          <w:highlight w:val="none"/>
          <w:lang w:val="en-US" w:eastAsia="zh-CN"/>
        </w:rPr>
        <w:tab/>
      </w:r>
      <w:r>
        <w:rPr>
          <w:rFonts w:hint="default"/>
          <w:b w:val="0"/>
          <w:bCs w:val="0"/>
          <w:color w:val="auto"/>
          <w:highlight w:val="none"/>
          <w:lang w:val="en-US" w:eastAsia="zh-CN"/>
        </w:rPr>
        <w:tab/>
      </w:r>
    </w:p>
    <w:p>
      <w:pPr>
        <w:pStyle w:val="2"/>
        <w:numPr>
          <w:ilvl w:val="0"/>
          <w:numId w:val="0"/>
        </w:numPr>
        <w:rPr>
          <w:rFonts w:hint="eastAsia"/>
          <w:b w:val="0"/>
          <w:bCs w:val="0"/>
          <w:color w:val="auto"/>
          <w:highlight w:val="none"/>
          <w:lang w:val="en-US" w:eastAsia="zh-CN"/>
        </w:rPr>
      </w:pPr>
      <w:r>
        <w:rPr>
          <w:rFonts w:hint="default"/>
          <w:b w:val="0"/>
          <w:bCs w:val="0"/>
          <w:color w:val="auto"/>
          <w:highlight w:val="none"/>
          <w:lang w:val="en-US" w:eastAsia="zh-CN"/>
        </w:rPr>
        <w:tab/>
      </w:r>
      <w:r>
        <w:rPr>
          <w:rFonts w:hint="default"/>
          <w:b w:val="0"/>
          <w:bCs w:val="0"/>
          <w:color w:val="auto"/>
          <w:highlight w:val="none"/>
          <w:lang w:val="en-US" w:eastAsia="zh-CN"/>
        </w:rPr>
        <w:t>2130199其他农业支出75</w:t>
      </w:r>
      <w:r>
        <w:rPr>
          <w:rFonts w:hint="eastAsia"/>
          <w:b w:val="0"/>
          <w:bCs w:val="0"/>
          <w:color w:val="auto"/>
          <w:highlight w:val="none"/>
          <w:lang w:val="en-US" w:eastAsia="zh-CN"/>
        </w:rPr>
        <w:t>万元</w:t>
      </w:r>
    </w:p>
    <w:p>
      <w:pPr>
        <w:numPr>
          <w:ilvl w:val="0"/>
          <w:numId w:val="0"/>
        </w:numPr>
        <w:spacing w:line="600" w:lineRule="exact"/>
        <w:ind w:leftChars="200"/>
        <w:rPr>
          <w:rFonts w:hint="eastAsia" w:ascii="仿宋" w:hAnsi="仿宋" w:eastAsia="仿宋" w:cs="Times New Roman"/>
          <w:color w:val="auto"/>
          <w:kern w:val="2"/>
          <w:sz w:val="32"/>
          <w:szCs w:val="32"/>
          <w:highlight w:val="none"/>
          <w:lang w:val="en-US" w:eastAsia="zh-CN" w:bidi="ar-SA"/>
        </w:rPr>
      </w:pPr>
      <w:r>
        <w:rPr>
          <w:rStyle w:val="17"/>
          <w:rFonts w:hint="eastAsia" w:ascii="仿宋" w:hAnsi="仿宋" w:eastAsia="仿宋" w:cs="Times New Roman"/>
          <w:bCs/>
          <w:color w:val="auto"/>
          <w:kern w:val="2"/>
          <w:sz w:val="32"/>
          <w:szCs w:val="32"/>
          <w:highlight w:val="none"/>
          <w:lang w:val="en-US" w:eastAsia="zh-CN" w:bidi="ar-SA"/>
        </w:rPr>
        <w:t>6.</w:t>
      </w:r>
      <w:r>
        <w:rPr>
          <w:rStyle w:val="17"/>
          <w:rFonts w:hint="default" w:ascii="仿宋" w:hAnsi="仿宋" w:eastAsia="仿宋" w:cs="Times New Roman"/>
          <w:bCs/>
          <w:color w:val="auto"/>
          <w:kern w:val="2"/>
          <w:sz w:val="32"/>
          <w:szCs w:val="32"/>
          <w:highlight w:val="none"/>
          <w:lang w:val="en-US" w:eastAsia="zh-CN" w:bidi="ar-SA"/>
        </w:rPr>
        <w:t>自然资源海洋气象等支出</w:t>
      </w:r>
      <w:r>
        <w:rPr>
          <w:rStyle w:val="17"/>
          <w:rFonts w:hint="eastAsia" w:ascii="仿宋" w:hAnsi="仿宋" w:eastAsia="仿宋" w:cs="Times New Roman"/>
          <w:bCs/>
          <w:color w:val="auto"/>
          <w:kern w:val="2"/>
          <w:sz w:val="32"/>
          <w:szCs w:val="32"/>
          <w:highlight w:val="none"/>
          <w:lang w:val="en-US" w:eastAsia="zh-CN" w:bidi="ar-SA"/>
        </w:rPr>
        <w:t>：</w:t>
      </w:r>
      <w:r>
        <w:rPr>
          <w:rFonts w:hint="eastAsia" w:ascii="仿宋" w:hAnsi="仿宋" w:eastAsia="仿宋" w:cs="Times New Roman"/>
          <w:color w:val="auto"/>
          <w:kern w:val="2"/>
          <w:sz w:val="32"/>
          <w:szCs w:val="32"/>
          <w:highlight w:val="none"/>
          <w:lang w:val="en-US" w:eastAsia="zh-CN" w:bidi="ar-SA"/>
        </w:rPr>
        <w:t>支出决算数为</w:t>
      </w:r>
      <w:r>
        <w:rPr>
          <w:rFonts w:hint="default" w:ascii="仿宋" w:hAnsi="仿宋" w:eastAsia="仿宋" w:cs="Times New Roman"/>
          <w:color w:val="auto"/>
          <w:kern w:val="2"/>
          <w:sz w:val="32"/>
          <w:szCs w:val="32"/>
          <w:highlight w:val="none"/>
          <w:lang w:val="en-US" w:eastAsia="zh-CN" w:bidi="ar-SA"/>
        </w:rPr>
        <w:t>894.71</w:t>
      </w:r>
      <w:r>
        <w:rPr>
          <w:rFonts w:hint="eastAsia" w:ascii="仿宋" w:hAnsi="仿宋" w:eastAsia="仿宋" w:cs="Times New Roman"/>
          <w:color w:val="auto"/>
          <w:kern w:val="2"/>
          <w:sz w:val="32"/>
          <w:szCs w:val="32"/>
          <w:highlight w:val="none"/>
          <w:lang w:val="en-US" w:eastAsia="zh-CN" w:bidi="ar-SA"/>
        </w:rPr>
        <w:t>万元，完成预算100%，决算数等于预算数。</w:t>
      </w:r>
    </w:p>
    <w:p>
      <w:pPr>
        <w:pStyle w:val="2"/>
        <w:numPr>
          <w:ilvl w:val="0"/>
          <w:numId w:val="0"/>
        </w:numPr>
        <w:ind w:firstLine="640"/>
        <w:rPr>
          <w:rFonts w:hint="eastAsia"/>
          <w:b w:val="0"/>
          <w:bCs w:val="0"/>
          <w:color w:val="auto"/>
          <w:highlight w:val="none"/>
          <w:lang w:val="en-US" w:eastAsia="zh-CN"/>
        </w:rPr>
      </w:pPr>
      <w:r>
        <w:rPr>
          <w:rFonts w:hint="eastAsia"/>
          <w:b w:val="0"/>
          <w:bCs w:val="0"/>
          <w:color w:val="auto"/>
          <w:highlight w:val="none"/>
          <w:lang w:val="en-US" w:eastAsia="zh-CN"/>
        </w:rPr>
        <w:t>2200101行政运行161.82万元</w:t>
      </w:r>
    </w:p>
    <w:p>
      <w:pPr>
        <w:pStyle w:val="2"/>
        <w:numPr>
          <w:ilvl w:val="0"/>
          <w:numId w:val="0"/>
        </w:numPr>
        <w:ind w:firstLine="640"/>
        <w:rPr>
          <w:rFonts w:hint="eastAsia"/>
          <w:b w:val="0"/>
          <w:bCs w:val="0"/>
          <w:color w:val="auto"/>
          <w:highlight w:val="none"/>
          <w:lang w:val="en-US" w:eastAsia="zh-CN"/>
        </w:rPr>
      </w:pPr>
      <w:r>
        <w:rPr>
          <w:rFonts w:hint="default"/>
          <w:b w:val="0"/>
          <w:bCs w:val="0"/>
          <w:color w:val="auto"/>
          <w:highlight w:val="none"/>
          <w:lang w:val="en-US" w:eastAsia="zh-CN"/>
        </w:rPr>
        <w:t>2200105土地资源调查373.14</w:t>
      </w:r>
      <w:r>
        <w:rPr>
          <w:rFonts w:hint="eastAsia"/>
          <w:b w:val="0"/>
          <w:bCs w:val="0"/>
          <w:color w:val="auto"/>
          <w:highlight w:val="none"/>
          <w:lang w:val="en-US" w:eastAsia="zh-CN"/>
        </w:rPr>
        <w:t>万元</w:t>
      </w:r>
    </w:p>
    <w:p>
      <w:pPr>
        <w:pStyle w:val="2"/>
        <w:numPr>
          <w:ilvl w:val="0"/>
          <w:numId w:val="0"/>
        </w:numPr>
        <w:ind w:firstLine="640"/>
        <w:rPr>
          <w:rFonts w:hint="eastAsia"/>
          <w:b w:val="0"/>
          <w:bCs w:val="0"/>
          <w:color w:val="auto"/>
          <w:highlight w:val="none"/>
          <w:lang w:val="en-US" w:eastAsia="zh-CN"/>
        </w:rPr>
      </w:pPr>
      <w:r>
        <w:rPr>
          <w:rFonts w:hint="default"/>
          <w:b w:val="0"/>
          <w:bCs w:val="0"/>
          <w:color w:val="auto"/>
          <w:highlight w:val="none"/>
          <w:lang w:val="en-US" w:eastAsia="zh-CN"/>
        </w:rPr>
        <w:t>2200109自然资源调查</w:t>
      </w:r>
      <w:r>
        <w:rPr>
          <w:rFonts w:hint="default"/>
          <w:b w:val="0"/>
          <w:bCs w:val="0"/>
          <w:color w:val="auto"/>
          <w:highlight w:val="none"/>
          <w:lang w:val="en-US" w:eastAsia="zh-CN"/>
        </w:rPr>
        <w:tab/>
      </w:r>
      <w:r>
        <w:rPr>
          <w:rFonts w:hint="default"/>
          <w:b w:val="0"/>
          <w:bCs w:val="0"/>
          <w:color w:val="auto"/>
          <w:highlight w:val="none"/>
          <w:lang w:val="en-US" w:eastAsia="zh-CN"/>
        </w:rPr>
        <w:t>150.00</w:t>
      </w:r>
      <w:r>
        <w:rPr>
          <w:rFonts w:hint="eastAsia"/>
          <w:b w:val="0"/>
          <w:bCs w:val="0"/>
          <w:color w:val="auto"/>
          <w:highlight w:val="none"/>
          <w:lang w:val="en-US" w:eastAsia="zh-CN"/>
        </w:rPr>
        <w:t>万元</w:t>
      </w:r>
    </w:p>
    <w:p>
      <w:pPr>
        <w:pStyle w:val="2"/>
        <w:numPr>
          <w:ilvl w:val="0"/>
          <w:numId w:val="0"/>
        </w:numPr>
        <w:ind w:firstLine="640"/>
        <w:rPr>
          <w:rFonts w:hint="eastAsia"/>
          <w:b w:val="0"/>
          <w:bCs w:val="0"/>
          <w:color w:val="auto"/>
          <w:highlight w:val="none"/>
          <w:lang w:val="en-US" w:eastAsia="zh-CN"/>
        </w:rPr>
      </w:pPr>
      <w:r>
        <w:rPr>
          <w:rFonts w:hint="default"/>
          <w:b w:val="0"/>
          <w:bCs w:val="0"/>
          <w:color w:val="auto"/>
          <w:highlight w:val="none"/>
          <w:lang w:val="en-US" w:eastAsia="zh-CN"/>
        </w:rPr>
        <w:t>2200199 其他自然资源事务支出12.60</w:t>
      </w:r>
      <w:r>
        <w:rPr>
          <w:rFonts w:hint="eastAsia"/>
          <w:b w:val="0"/>
          <w:bCs w:val="0"/>
          <w:color w:val="auto"/>
          <w:highlight w:val="none"/>
          <w:lang w:val="en-US" w:eastAsia="zh-CN"/>
        </w:rPr>
        <w:t>万元</w:t>
      </w:r>
    </w:p>
    <w:p>
      <w:pPr>
        <w:pStyle w:val="2"/>
        <w:numPr>
          <w:ilvl w:val="0"/>
          <w:numId w:val="0"/>
        </w:numPr>
        <w:ind w:firstLine="640"/>
        <w:rPr>
          <w:rFonts w:hint="eastAsia"/>
          <w:b w:val="0"/>
          <w:bCs w:val="0"/>
          <w:color w:val="auto"/>
          <w:highlight w:val="none"/>
          <w:lang w:val="en-US" w:eastAsia="zh-CN"/>
        </w:rPr>
      </w:pPr>
      <w:r>
        <w:rPr>
          <w:rFonts w:hint="default"/>
          <w:b w:val="0"/>
          <w:bCs w:val="0"/>
          <w:color w:val="auto"/>
          <w:highlight w:val="none"/>
          <w:lang w:val="en-US" w:eastAsia="zh-CN"/>
        </w:rPr>
        <w:t>2200150 事业运行188.84</w:t>
      </w:r>
      <w:r>
        <w:rPr>
          <w:rFonts w:hint="eastAsia"/>
          <w:b w:val="0"/>
          <w:bCs w:val="0"/>
          <w:color w:val="auto"/>
          <w:highlight w:val="none"/>
          <w:lang w:val="en-US" w:eastAsia="zh-CN"/>
        </w:rPr>
        <w:t>万元</w:t>
      </w:r>
    </w:p>
    <w:p>
      <w:pPr>
        <w:pStyle w:val="2"/>
        <w:numPr>
          <w:ilvl w:val="0"/>
          <w:numId w:val="0"/>
        </w:numPr>
        <w:ind w:firstLine="640"/>
        <w:rPr>
          <w:rFonts w:hint="eastAsia"/>
          <w:b w:val="0"/>
          <w:bCs w:val="0"/>
          <w:color w:val="auto"/>
          <w:highlight w:val="none"/>
          <w:lang w:val="en-US" w:eastAsia="zh-CN"/>
        </w:rPr>
      </w:pPr>
      <w:r>
        <w:rPr>
          <w:rFonts w:hint="default"/>
          <w:b w:val="0"/>
          <w:bCs w:val="0"/>
          <w:color w:val="auto"/>
          <w:highlight w:val="none"/>
          <w:lang w:val="en-US" w:eastAsia="zh-CN"/>
        </w:rPr>
        <w:t>2200399 其他测绘事务支出7.90</w:t>
      </w:r>
      <w:r>
        <w:rPr>
          <w:rFonts w:hint="eastAsia"/>
          <w:b w:val="0"/>
          <w:bCs w:val="0"/>
          <w:color w:val="auto"/>
          <w:highlight w:val="none"/>
          <w:lang w:val="en-US" w:eastAsia="zh-CN"/>
        </w:rPr>
        <w:t>万元</w:t>
      </w:r>
    </w:p>
    <w:p>
      <w:pPr>
        <w:pStyle w:val="2"/>
        <w:numPr>
          <w:ilvl w:val="0"/>
          <w:numId w:val="0"/>
        </w:numPr>
        <w:ind w:firstLine="640"/>
        <w:rPr>
          <w:rFonts w:ascii="仿宋" w:hAnsi="仿宋" w:eastAsia="仿宋"/>
          <w:b/>
          <w:color w:val="auto"/>
          <w:sz w:val="32"/>
          <w:szCs w:val="32"/>
          <w:highlight w:val="none"/>
        </w:rPr>
      </w:pPr>
      <w:r>
        <w:rPr>
          <w:rFonts w:hint="default"/>
          <w:b w:val="0"/>
          <w:bCs w:val="0"/>
          <w:color w:val="auto"/>
          <w:highlight w:val="none"/>
          <w:lang w:val="en-US" w:eastAsia="zh-CN"/>
        </w:rPr>
        <w:t>2209901其他自然资源海洋气象等支出</w:t>
      </w:r>
      <w:r>
        <w:rPr>
          <w:rFonts w:hint="eastAsia"/>
          <w:b w:val="0"/>
          <w:bCs w:val="0"/>
          <w:color w:val="auto"/>
          <w:highlight w:val="none"/>
          <w:lang w:val="en-US" w:eastAsia="zh-CN"/>
        </w:rPr>
        <w:t>0.4万元</w:t>
      </w:r>
      <w:r>
        <w:rPr>
          <w:rFonts w:hint="default"/>
          <w:b w:val="0"/>
          <w:bCs w:val="0"/>
          <w:color w:val="auto"/>
          <w:highlight w:val="none"/>
          <w:lang w:val="en-US" w:eastAsia="zh-CN"/>
        </w:rPr>
        <w:tab/>
      </w:r>
      <w:r>
        <w:rPr>
          <w:rFonts w:hint="default"/>
          <w:b w:val="0"/>
          <w:bCs w:val="0"/>
          <w:color w:val="auto"/>
          <w:highlight w:val="none"/>
          <w:lang w:val="en-US" w:eastAsia="zh-CN"/>
        </w:rPr>
        <w:tab/>
      </w:r>
      <w:r>
        <w:rPr>
          <w:rFonts w:hint="eastAsia"/>
          <w:b w:val="0"/>
          <w:bCs w:val="0"/>
          <w:color w:val="auto"/>
          <w:highlight w:val="none"/>
          <w:lang w:val="en-US" w:eastAsia="zh-CN"/>
        </w:rPr>
        <w:t xml:space="preserve">  </w:t>
      </w:r>
    </w:p>
    <w:p>
      <w:pPr>
        <w:tabs>
          <w:tab w:val="right" w:pos="8306"/>
        </w:tabs>
        <w:spacing w:line="600" w:lineRule="exact"/>
        <w:ind w:firstLine="640"/>
        <w:outlineLvl w:val="1"/>
        <w:rPr>
          <w:rStyle w:val="28"/>
          <w:color w:val="auto"/>
          <w:highlight w:val="none"/>
        </w:rPr>
      </w:pPr>
      <w:bookmarkStart w:id="44" w:name="_Toc15396608"/>
      <w:bookmarkStart w:id="45" w:name="_Toc15377214"/>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8"/>
          <w:rFonts w:hint="eastAsia" w:ascii="黑体" w:hAnsi="黑体" w:eastAsia="黑体"/>
          <w:b w:val="0"/>
          <w:color w:val="auto"/>
          <w:highlight w:val="none"/>
        </w:rPr>
        <w:t>般公共预算财政拨款基本支出决算情况说明</w:t>
      </w:r>
      <w:bookmarkEnd w:id="44"/>
      <w:bookmarkEnd w:id="45"/>
      <w:r>
        <w:rPr>
          <w:rStyle w:val="28"/>
          <w:rFonts w:ascii="黑体" w:hAnsi="黑体" w:eastAsia="黑体"/>
          <w:b w:val="0"/>
          <w:color w:val="auto"/>
          <w:highlight w:val="none"/>
        </w:rPr>
        <w:tab/>
      </w:r>
    </w:p>
    <w:p>
      <w:pPr>
        <w:spacing w:line="600" w:lineRule="exact"/>
        <w:ind w:firstLine="645"/>
        <w:rPr>
          <w:rFonts w:ascii="仿宋" w:hAnsi="仿宋" w:eastAsia="仿宋"/>
          <w:color w:val="auto"/>
          <w:sz w:val="32"/>
          <w:szCs w:val="32"/>
          <w:highlight w:val="none"/>
        </w:rPr>
      </w:pPr>
      <w:r>
        <w:rPr>
          <w:rFonts w:ascii="仿宋" w:hAnsi="仿宋" w:eastAsia="仿宋"/>
          <w:color w:val="auto"/>
          <w:sz w:val="32"/>
          <w:szCs w:val="32"/>
          <w:highlight w:val="none"/>
        </w:rPr>
        <w:t>201</w:t>
      </w:r>
      <w:r>
        <w:rPr>
          <w:rFonts w:hint="eastAsia" w:ascii="仿宋" w:hAnsi="仿宋" w:eastAsia="仿宋"/>
          <w:color w:val="auto"/>
          <w:sz w:val="32"/>
          <w:szCs w:val="32"/>
          <w:highlight w:val="none"/>
        </w:rPr>
        <w:t>9年一般公共预算财政拨款基本支出</w:t>
      </w:r>
      <w:r>
        <w:rPr>
          <w:rFonts w:hint="eastAsia" w:ascii="仿宋" w:hAnsi="仿宋" w:eastAsia="仿宋"/>
          <w:color w:val="auto"/>
          <w:sz w:val="32"/>
          <w:szCs w:val="32"/>
          <w:highlight w:val="none"/>
          <w:lang w:val="en-US" w:eastAsia="zh-CN"/>
        </w:rPr>
        <w:t>478.43</w:t>
      </w:r>
      <w:r>
        <w:rPr>
          <w:rFonts w:hint="eastAsia" w:ascii="仿宋" w:hAnsi="仿宋" w:eastAsia="仿宋"/>
          <w:color w:val="auto"/>
          <w:sz w:val="32"/>
          <w:szCs w:val="32"/>
          <w:highlight w:val="none"/>
        </w:rPr>
        <w:t>万元，其中：</w:t>
      </w:r>
    </w:p>
    <w:p>
      <w:pPr>
        <w:spacing w:line="600" w:lineRule="exact"/>
        <w:ind w:firstLine="645"/>
        <w:rPr>
          <w:rStyle w:val="28"/>
          <w:rFonts w:ascii="黑体" w:hAnsi="黑体" w:eastAsia="黑体"/>
          <w:b w:val="0"/>
          <w:color w:val="auto"/>
          <w:highlight w:val="none"/>
        </w:rPr>
      </w:pPr>
      <w:r>
        <w:rPr>
          <w:rFonts w:hint="eastAsia" w:ascii="仿宋" w:hAnsi="仿宋" w:eastAsia="仿宋"/>
          <w:color w:val="auto"/>
          <w:sz w:val="32"/>
          <w:szCs w:val="32"/>
          <w:highlight w:val="none"/>
        </w:rPr>
        <w:t>人员经费444.35万元，主要包括：基本工资</w:t>
      </w:r>
      <w:r>
        <w:rPr>
          <w:rFonts w:hint="eastAsia" w:ascii="仿宋" w:hAnsi="仿宋" w:eastAsia="仿宋"/>
          <w:color w:val="auto"/>
          <w:sz w:val="32"/>
          <w:szCs w:val="32"/>
          <w:highlight w:val="none"/>
          <w:lang w:val="en-US" w:eastAsia="zh-CN"/>
        </w:rPr>
        <w:t>86.94万元</w:t>
      </w:r>
      <w:r>
        <w:rPr>
          <w:rFonts w:hint="eastAsia" w:ascii="仿宋" w:hAnsi="仿宋" w:eastAsia="仿宋"/>
          <w:color w:val="auto"/>
          <w:sz w:val="32"/>
          <w:szCs w:val="32"/>
          <w:highlight w:val="none"/>
        </w:rPr>
        <w:t>、津贴补贴</w:t>
      </w:r>
      <w:r>
        <w:rPr>
          <w:rFonts w:hint="eastAsia" w:ascii="仿宋" w:hAnsi="仿宋" w:eastAsia="仿宋"/>
          <w:color w:val="auto"/>
          <w:sz w:val="32"/>
          <w:szCs w:val="32"/>
          <w:highlight w:val="none"/>
          <w:lang w:val="en-US" w:eastAsia="zh-CN"/>
        </w:rPr>
        <w:t>143.04万元</w:t>
      </w:r>
      <w:r>
        <w:rPr>
          <w:rFonts w:hint="eastAsia" w:ascii="仿宋" w:hAnsi="仿宋" w:eastAsia="仿宋"/>
          <w:color w:val="auto"/>
          <w:sz w:val="32"/>
          <w:szCs w:val="32"/>
          <w:highlight w:val="none"/>
        </w:rPr>
        <w:t>、奖金</w:t>
      </w:r>
      <w:r>
        <w:rPr>
          <w:rFonts w:hint="eastAsia" w:ascii="仿宋" w:hAnsi="仿宋" w:eastAsia="仿宋"/>
          <w:color w:val="auto"/>
          <w:sz w:val="32"/>
          <w:szCs w:val="32"/>
          <w:highlight w:val="none"/>
          <w:lang w:val="en-US" w:eastAsia="zh-CN"/>
        </w:rPr>
        <w:t>63.14万元</w:t>
      </w:r>
      <w:r>
        <w:rPr>
          <w:rFonts w:hint="eastAsia" w:ascii="仿宋" w:hAnsi="仿宋" w:eastAsia="仿宋"/>
          <w:color w:val="auto"/>
          <w:sz w:val="32"/>
          <w:szCs w:val="32"/>
          <w:highlight w:val="none"/>
        </w:rPr>
        <w:t>、绩效工资</w:t>
      </w:r>
      <w:r>
        <w:rPr>
          <w:rFonts w:hint="eastAsia" w:ascii="仿宋" w:hAnsi="仿宋" w:eastAsia="仿宋"/>
          <w:color w:val="auto"/>
          <w:sz w:val="32"/>
          <w:szCs w:val="32"/>
          <w:highlight w:val="none"/>
          <w:lang w:val="en-US" w:eastAsia="zh-CN"/>
        </w:rPr>
        <w:t>15.71万元</w:t>
      </w:r>
      <w:r>
        <w:rPr>
          <w:rFonts w:hint="eastAsia" w:ascii="仿宋" w:hAnsi="仿宋" w:eastAsia="仿宋"/>
          <w:color w:val="auto"/>
          <w:sz w:val="32"/>
          <w:szCs w:val="32"/>
          <w:highlight w:val="none"/>
        </w:rPr>
        <w:t>、机关事业单位基本养老保险缴费</w:t>
      </w:r>
      <w:r>
        <w:rPr>
          <w:rFonts w:hint="eastAsia" w:ascii="仿宋" w:hAnsi="仿宋" w:eastAsia="仿宋"/>
          <w:color w:val="auto"/>
          <w:sz w:val="32"/>
          <w:szCs w:val="32"/>
          <w:highlight w:val="none"/>
          <w:lang w:val="en-US" w:eastAsia="zh-CN"/>
        </w:rPr>
        <w:t>42.23万元</w:t>
      </w:r>
      <w:r>
        <w:rPr>
          <w:rFonts w:hint="eastAsia" w:ascii="仿宋" w:hAnsi="仿宋" w:eastAsia="仿宋"/>
          <w:color w:val="auto"/>
          <w:sz w:val="32"/>
          <w:szCs w:val="32"/>
          <w:highlight w:val="none"/>
        </w:rPr>
        <w:t>、职业年金缴费</w:t>
      </w:r>
      <w:r>
        <w:rPr>
          <w:rFonts w:hint="eastAsia" w:ascii="仿宋" w:hAnsi="仿宋" w:eastAsia="仿宋"/>
          <w:color w:val="auto"/>
          <w:sz w:val="32"/>
          <w:szCs w:val="32"/>
          <w:highlight w:val="none"/>
          <w:lang w:val="en-US" w:eastAsia="zh-CN"/>
        </w:rPr>
        <w:t>25.38万元</w:t>
      </w:r>
      <w:r>
        <w:rPr>
          <w:rFonts w:hint="eastAsia" w:ascii="仿宋" w:hAnsi="仿宋" w:eastAsia="仿宋"/>
          <w:color w:val="auto"/>
          <w:sz w:val="32"/>
          <w:szCs w:val="32"/>
          <w:highlight w:val="none"/>
        </w:rPr>
        <w:t>、其他社会保障缴费</w:t>
      </w:r>
      <w:r>
        <w:rPr>
          <w:rFonts w:hint="eastAsia" w:ascii="仿宋" w:hAnsi="仿宋" w:eastAsia="仿宋"/>
          <w:color w:val="auto"/>
          <w:sz w:val="32"/>
          <w:szCs w:val="32"/>
          <w:highlight w:val="none"/>
          <w:lang w:val="en-US" w:eastAsia="zh-CN"/>
        </w:rPr>
        <w:t>5.34万元</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eastAsia="zh-CN"/>
        </w:rPr>
        <w:t>职工基本医疗保险缴费</w:t>
      </w:r>
      <w:r>
        <w:rPr>
          <w:rFonts w:hint="eastAsia" w:ascii="仿宋" w:hAnsi="仿宋" w:eastAsia="仿宋"/>
          <w:color w:val="auto"/>
          <w:sz w:val="32"/>
          <w:szCs w:val="32"/>
          <w:highlight w:val="none"/>
          <w:lang w:val="en-US" w:eastAsia="zh-CN"/>
        </w:rPr>
        <w:t>20.04万元、公务员医疗补助缴费5.01万元、</w:t>
      </w:r>
      <w:r>
        <w:rPr>
          <w:rFonts w:hint="eastAsia" w:ascii="仿宋" w:hAnsi="仿宋" w:eastAsia="仿宋"/>
          <w:color w:val="auto"/>
          <w:sz w:val="32"/>
          <w:szCs w:val="32"/>
          <w:highlight w:val="none"/>
        </w:rPr>
        <w:t>医疗费</w:t>
      </w:r>
      <w:r>
        <w:rPr>
          <w:rFonts w:hint="eastAsia" w:ascii="仿宋" w:hAnsi="仿宋" w:eastAsia="仿宋"/>
          <w:color w:val="auto"/>
          <w:sz w:val="32"/>
          <w:szCs w:val="32"/>
          <w:highlight w:val="none"/>
          <w:lang w:val="en-US" w:eastAsia="zh-CN"/>
        </w:rPr>
        <w:t>2.21万元</w:t>
      </w:r>
      <w:r>
        <w:rPr>
          <w:rFonts w:hint="eastAsia" w:ascii="仿宋" w:hAnsi="仿宋" w:eastAsia="仿宋"/>
          <w:color w:val="auto"/>
          <w:sz w:val="32"/>
          <w:szCs w:val="32"/>
          <w:highlight w:val="none"/>
        </w:rPr>
        <w:t>、住房公积金</w:t>
      </w:r>
      <w:r>
        <w:rPr>
          <w:rFonts w:hint="eastAsia" w:ascii="仿宋" w:hAnsi="仿宋" w:eastAsia="仿宋"/>
          <w:color w:val="auto"/>
          <w:sz w:val="32"/>
          <w:szCs w:val="32"/>
          <w:highlight w:val="none"/>
          <w:lang w:val="en-US" w:eastAsia="zh-CN"/>
        </w:rPr>
        <w:t>35.11万元、医疗补助0.16万元、奖励金0.04万元</w:t>
      </w:r>
      <w:r>
        <w:rPr>
          <w:rFonts w:hint="eastAsia" w:ascii="仿宋" w:hAnsi="仿宋" w:eastAsia="仿宋"/>
          <w:color w:val="auto"/>
          <w:sz w:val="32"/>
          <w:szCs w:val="32"/>
          <w:highlight w:val="none"/>
        </w:rPr>
        <w:t>。</w:t>
      </w:r>
      <w:r>
        <w:rPr>
          <w:rFonts w:ascii="仿宋" w:hAnsi="仿宋" w:eastAsia="仿宋"/>
          <w:color w:val="auto"/>
          <w:sz w:val="32"/>
          <w:szCs w:val="32"/>
          <w:highlight w:val="none"/>
        </w:rPr>
        <w:br w:type="textWrapping"/>
      </w:r>
      <w:r>
        <w:rPr>
          <w:rFonts w:hint="eastAsia" w:ascii="仿宋" w:hAnsi="仿宋" w:eastAsia="仿宋"/>
          <w:color w:val="auto"/>
          <w:sz w:val="32"/>
          <w:szCs w:val="32"/>
          <w:highlight w:val="none"/>
        </w:rPr>
        <w:t>　　公用经费</w:t>
      </w:r>
      <w:r>
        <w:rPr>
          <w:rFonts w:hint="eastAsia" w:ascii="仿宋" w:hAnsi="仿宋" w:eastAsia="仿宋"/>
          <w:color w:val="auto"/>
          <w:sz w:val="32"/>
          <w:szCs w:val="32"/>
          <w:highlight w:val="none"/>
          <w:lang w:val="en-US" w:eastAsia="zh-CN"/>
        </w:rPr>
        <w:t>34.08</w:t>
      </w:r>
      <w:r>
        <w:rPr>
          <w:rFonts w:hint="eastAsia" w:ascii="仿宋" w:hAnsi="仿宋" w:eastAsia="仿宋"/>
          <w:color w:val="auto"/>
          <w:sz w:val="32"/>
          <w:szCs w:val="32"/>
          <w:highlight w:val="none"/>
        </w:rPr>
        <w:t>万元，主要包括：办公费</w:t>
      </w:r>
      <w:r>
        <w:rPr>
          <w:rFonts w:hint="eastAsia" w:ascii="仿宋" w:hAnsi="仿宋" w:eastAsia="仿宋"/>
          <w:color w:val="auto"/>
          <w:sz w:val="32"/>
          <w:szCs w:val="32"/>
          <w:highlight w:val="none"/>
          <w:lang w:val="en-US" w:eastAsia="zh-CN"/>
        </w:rPr>
        <w:t>10.73万元</w:t>
      </w:r>
      <w:r>
        <w:rPr>
          <w:rFonts w:hint="eastAsia" w:ascii="仿宋" w:hAnsi="仿宋" w:eastAsia="仿宋"/>
          <w:color w:val="auto"/>
          <w:sz w:val="32"/>
          <w:szCs w:val="32"/>
          <w:highlight w:val="none"/>
        </w:rPr>
        <w:t>、印刷费</w:t>
      </w:r>
      <w:r>
        <w:rPr>
          <w:rFonts w:hint="eastAsia" w:ascii="仿宋" w:hAnsi="仿宋" w:eastAsia="仿宋"/>
          <w:color w:val="auto"/>
          <w:sz w:val="32"/>
          <w:szCs w:val="32"/>
          <w:highlight w:val="none"/>
          <w:lang w:val="en-US" w:eastAsia="zh-CN"/>
        </w:rPr>
        <w:t>7.99万元</w:t>
      </w:r>
      <w:r>
        <w:rPr>
          <w:rFonts w:hint="eastAsia" w:ascii="仿宋" w:hAnsi="仿宋" w:eastAsia="仿宋"/>
          <w:color w:val="auto"/>
          <w:sz w:val="32"/>
          <w:szCs w:val="32"/>
          <w:highlight w:val="none"/>
        </w:rPr>
        <w:t>、水费</w:t>
      </w:r>
      <w:r>
        <w:rPr>
          <w:rFonts w:hint="eastAsia" w:ascii="仿宋" w:hAnsi="仿宋" w:eastAsia="仿宋"/>
          <w:color w:val="auto"/>
          <w:sz w:val="32"/>
          <w:szCs w:val="32"/>
          <w:highlight w:val="none"/>
          <w:lang w:val="en-US" w:eastAsia="zh-CN"/>
        </w:rPr>
        <w:t>0.20万元</w:t>
      </w:r>
      <w:r>
        <w:rPr>
          <w:rFonts w:hint="eastAsia" w:ascii="仿宋" w:hAnsi="仿宋" w:eastAsia="仿宋"/>
          <w:color w:val="auto"/>
          <w:sz w:val="32"/>
          <w:szCs w:val="32"/>
          <w:highlight w:val="none"/>
        </w:rPr>
        <w:t>、电费</w:t>
      </w:r>
      <w:r>
        <w:rPr>
          <w:rFonts w:hint="eastAsia" w:ascii="仿宋" w:hAnsi="仿宋" w:eastAsia="仿宋"/>
          <w:color w:val="auto"/>
          <w:sz w:val="32"/>
          <w:szCs w:val="32"/>
          <w:highlight w:val="none"/>
          <w:lang w:val="en-US" w:eastAsia="zh-CN"/>
        </w:rPr>
        <w:t>1.0万元</w:t>
      </w:r>
      <w:r>
        <w:rPr>
          <w:rFonts w:hint="eastAsia" w:ascii="仿宋" w:hAnsi="仿宋" w:eastAsia="仿宋"/>
          <w:color w:val="auto"/>
          <w:sz w:val="32"/>
          <w:szCs w:val="32"/>
          <w:highlight w:val="none"/>
        </w:rPr>
        <w:t>、邮电费</w:t>
      </w:r>
      <w:r>
        <w:rPr>
          <w:rFonts w:hint="eastAsia" w:ascii="仿宋" w:hAnsi="仿宋" w:eastAsia="仿宋"/>
          <w:color w:val="auto"/>
          <w:sz w:val="32"/>
          <w:szCs w:val="32"/>
          <w:highlight w:val="none"/>
          <w:lang w:val="en-US" w:eastAsia="zh-CN"/>
        </w:rPr>
        <w:t>3.39万元</w:t>
      </w:r>
      <w:r>
        <w:rPr>
          <w:rFonts w:hint="eastAsia" w:ascii="仿宋" w:hAnsi="仿宋" w:eastAsia="仿宋"/>
          <w:color w:val="auto"/>
          <w:sz w:val="32"/>
          <w:szCs w:val="32"/>
          <w:highlight w:val="none"/>
        </w:rPr>
        <w:t>、差旅费</w:t>
      </w:r>
      <w:r>
        <w:rPr>
          <w:rFonts w:hint="eastAsia" w:ascii="仿宋" w:hAnsi="仿宋" w:eastAsia="仿宋"/>
          <w:color w:val="auto"/>
          <w:sz w:val="32"/>
          <w:szCs w:val="32"/>
          <w:highlight w:val="none"/>
          <w:lang w:val="en-US" w:eastAsia="zh-CN"/>
        </w:rPr>
        <w:t>5.19万元</w:t>
      </w:r>
      <w:r>
        <w:rPr>
          <w:rFonts w:hint="eastAsia" w:ascii="仿宋" w:hAnsi="仿宋" w:eastAsia="仿宋"/>
          <w:color w:val="auto"/>
          <w:sz w:val="32"/>
          <w:szCs w:val="32"/>
          <w:highlight w:val="none"/>
        </w:rPr>
        <w:t>、维修（护）费</w:t>
      </w:r>
      <w:r>
        <w:rPr>
          <w:rFonts w:hint="eastAsia" w:ascii="仿宋" w:hAnsi="仿宋" w:eastAsia="仿宋"/>
          <w:color w:val="auto"/>
          <w:sz w:val="32"/>
          <w:szCs w:val="32"/>
          <w:highlight w:val="none"/>
          <w:lang w:val="en-US" w:eastAsia="zh-CN"/>
        </w:rPr>
        <w:t>0.86万元</w:t>
      </w:r>
      <w:r>
        <w:rPr>
          <w:rFonts w:hint="eastAsia" w:ascii="仿宋" w:hAnsi="仿宋" w:eastAsia="仿宋"/>
          <w:color w:val="auto"/>
          <w:sz w:val="32"/>
          <w:szCs w:val="32"/>
          <w:highlight w:val="none"/>
        </w:rPr>
        <w:t>、培训费</w:t>
      </w:r>
      <w:r>
        <w:rPr>
          <w:rFonts w:hint="eastAsia" w:ascii="仿宋" w:hAnsi="仿宋" w:eastAsia="仿宋"/>
          <w:color w:val="auto"/>
          <w:sz w:val="32"/>
          <w:szCs w:val="32"/>
          <w:highlight w:val="none"/>
          <w:lang w:val="en-US" w:eastAsia="zh-CN"/>
        </w:rPr>
        <w:t>0.25万元</w:t>
      </w:r>
      <w:r>
        <w:rPr>
          <w:rFonts w:hint="eastAsia" w:ascii="仿宋" w:hAnsi="仿宋" w:eastAsia="仿宋"/>
          <w:color w:val="auto"/>
          <w:sz w:val="32"/>
          <w:szCs w:val="32"/>
          <w:highlight w:val="none"/>
        </w:rPr>
        <w:t>、公务接待费</w:t>
      </w:r>
      <w:r>
        <w:rPr>
          <w:rFonts w:hint="eastAsia" w:ascii="仿宋" w:hAnsi="仿宋" w:eastAsia="仿宋"/>
          <w:color w:val="auto"/>
          <w:sz w:val="32"/>
          <w:szCs w:val="32"/>
          <w:highlight w:val="none"/>
          <w:lang w:val="en-US" w:eastAsia="zh-CN"/>
        </w:rPr>
        <w:t>0.44万元</w:t>
      </w:r>
      <w:r>
        <w:rPr>
          <w:rFonts w:hint="eastAsia" w:ascii="仿宋" w:hAnsi="仿宋" w:eastAsia="仿宋"/>
          <w:color w:val="auto"/>
          <w:sz w:val="32"/>
          <w:szCs w:val="32"/>
          <w:highlight w:val="none"/>
        </w:rPr>
        <w:t>、公务用车运行维护费</w:t>
      </w:r>
      <w:r>
        <w:rPr>
          <w:rFonts w:hint="eastAsia" w:ascii="仿宋" w:hAnsi="仿宋" w:eastAsia="仿宋"/>
          <w:color w:val="auto"/>
          <w:sz w:val="32"/>
          <w:szCs w:val="32"/>
          <w:highlight w:val="none"/>
          <w:lang w:val="en-US" w:eastAsia="zh-CN"/>
        </w:rPr>
        <w:t>4.02万元</w:t>
      </w:r>
      <w:r>
        <w:rPr>
          <w:rFonts w:hint="eastAsia" w:ascii="仿宋" w:hAnsi="仿宋" w:eastAsia="仿宋"/>
          <w:color w:val="auto"/>
          <w:sz w:val="32"/>
          <w:szCs w:val="32"/>
          <w:highlight w:val="none"/>
        </w:rPr>
        <w:t>。</w:t>
      </w:r>
    </w:p>
    <w:p>
      <w:pPr>
        <w:spacing w:line="600" w:lineRule="exact"/>
        <w:ind w:firstLine="640"/>
        <w:outlineLvl w:val="2"/>
        <w:rPr>
          <w:rFonts w:ascii="仿宋" w:hAnsi="仿宋" w:eastAsia="仿宋"/>
          <w:b/>
          <w:color w:val="auto"/>
          <w:sz w:val="32"/>
          <w:szCs w:val="32"/>
          <w:highlight w:val="none"/>
        </w:rPr>
      </w:pPr>
      <w:bookmarkStart w:id="46" w:name="_Toc15377216"/>
      <w:r>
        <w:rPr>
          <w:rFonts w:hint="eastAsia" w:ascii="仿宋" w:hAnsi="仿宋" w:eastAsia="仿宋"/>
          <w:b/>
          <w:color w:val="auto"/>
          <w:sz w:val="32"/>
          <w:szCs w:val="32"/>
          <w:highlight w:val="none"/>
        </w:rPr>
        <w:t>（一）“三公”经费财政拨款支出决算总体情况说明</w:t>
      </w:r>
      <w:bookmarkEnd w:id="46"/>
    </w:p>
    <w:p>
      <w:pPr>
        <w:spacing w:line="600" w:lineRule="exact"/>
        <w:ind w:firstLine="640"/>
        <w:rPr>
          <w:rFonts w:hint="eastAsia" w:ascii="仿宋" w:hAnsi="仿宋" w:eastAsia="仿宋"/>
          <w:b/>
          <w:color w:val="auto"/>
          <w:sz w:val="32"/>
          <w:szCs w:val="32"/>
          <w:highlight w:val="none"/>
          <w:lang w:eastAsia="zh-CN"/>
        </w:rPr>
      </w:pPr>
      <w:r>
        <w:rPr>
          <w:rFonts w:ascii="仿宋" w:hAnsi="仿宋" w:eastAsia="仿宋"/>
          <w:color w:val="auto"/>
          <w:sz w:val="32"/>
          <w:szCs w:val="32"/>
          <w:highlight w:val="none"/>
        </w:rPr>
        <w:t>201</w:t>
      </w:r>
      <w:r>
        <w:rPr>
          <w:rFonts w:hint="eastAsia" w:ascii="仿宋" w:hAnsi="仿宋" w:eastAsia="仿宋"/>
          <w:color w:val="auto"/>
          <w:sz w:val="32"/>
          <w:szCs w:val="32"/>
          <w:highlight w:val="none"/>
        </w:rPr>
        <w:t>9年“三公”经费财政拨款支出决算为</w:t>
      </w:r>
      <w:r>
        <w:rPr>
          <w:rFonts w:hint="eastAsia" w:ascii="仿宋" w:hAnsi="仿宋" w:eastAsia="仿宋"/>
          <w:color w:val="auto"/>
          <w:sz w:val="32"/>
          <w:szCs w:val="32"/>
          <w:highlight w:val="none"/>
          <w:lang w:val="en-US" w:eastAsia="zh-CN"/>
        </w:rPr>
        <w:t>4.46</w:t>
      </w:r>
      <w:r>
        <w:rPr>
          <w:rFonts w:hint="eastAsia" w:ascii="仿宋" w:hAnsi="仿宋" w:eastAsia="仿宋"/>
          <w:color w:val="auto"/>
          <w:sz w:val="32"/>
          <w:szCs w:val="32"/>
          <w:highlight w:val="none"/>
        </w:rPr>
        <w:t>万元，完成预算</w:t>
      </w:r>
      <w:r>
        <w:rPr>
          <w:rFonts w:hint="eastAsia" w:ascii="仿宋" w:hAnsi="仿宋" w:eastAsia="仿宋"/>
          <w:color w:val="auto"/>
          <w:sz w:val="32"/>
          <w:szCs w:val="32"/>
          <w:highlight w:val="none"/>
          <w:lang w:val="en-US" w:eastAsia="zh-CN"/>
        </w:rPr>
        <w:t>100</w:t>
      </w:r>
      <w:r>
        <w:rPr>
          <w:rFonts w:ascii="仿宋" w:hAnsi="仿宋" w:eastAsia="仿宋"/>
          <w:color w:val="auto"/>
          <w:sz w:val="32"/>
          <w:szCs w:val="32"/>
          <w:highlight w:val="none"/>
        </w:rPr>
        <w:t>%</w:t>
      </w:r>
      <w:r>
        <w:rPr>
          <w:rFonts w:hint="eastAsia" w:ascii="仿宋" w:hAnsi="仿宋" w:eastAsia="仿宋"/>
          <w:color w:val="auto"/>
          <w:sz w:val="32"/>
          <w:szCs w:val="32"/>
          <w:highlight w:val="none"/>
        </w:rPr>
        <w:t>，决算数</w:t>
      </w:r>
      <w:r>
        <w:rPr>
          <w:rFonts w:hint="eastAsia" w:ascii="仿宋" w:hAnsi="仿宋" w:eastAsia="仿宋"/>
          <w:color w:val="auto"/>
          <w:sz w:val="32"/>
          <w:szCs w:val="32"/>
          <w:highlight w:val="none"/>
          <w:lang w:eastAsia="zh-CN"/>
        </w:rPr>
        <w:t>等于</w:t>
      </w:r>
      <w:r>
        <w:rPr>
          <w:rFonts w:hint="eastAsia" w:ascii="仿宋" w:hAnsi="仿宋" w:eastAsia="仿宋"/>
          <w:color w:val="auto"/>
          <w:sz w:val="32"/>
          <w:szCs w:val="32"/>
          <w:highlight w:val="none"/>
        </w:rPr>
        <w:t>预算数</w:t>
      </w:r>
      <w:r>
        <w:rPr>
          <w:rFonts w:hint="eastAsia" w:ascii="仿宋" w:hAnsi="仿宋" w:eastAsia="仿宋"/>
          <w:color w:val="auto"/>
          <w:sz w:val="32"/>
          <w:szCs w:val="32"/>
          <w:highlight w:val="none"/>
          <w:lang w:eastAsia="zh-CN"/>
        </w:rPr>
        <w:t>。</w:t>
      </w:r>
    </w:p>
    <w:p>
      <w:pPr>
        <w:spacing w:line="600" w:lineRule="exact"/>
        <w:ind w:firstLine="640"/>
        <w:outlineLvl w:val="2"/>
        <w:rPr>
          <w:rFonts w:ascii="仿宋" w:hAnsi="仿宋" w:eastAsia="仿宋"/>
          <w:b/>
          <w:color w:val="auto"/>
          <w:sz w:val="32"/>
          <w:szCs w:val="32"/>
          <w:highlight w:val="none"/>
        </w:rPr>
      </w:pPr>
      <w:bookmarkStart w:id="47" w:name="_Toc15377217"/>
      <w:r>
        <w:rPr>
          <w:rFonts w:hint="eastAsia" w:ascii="仿宋" w:hAnsi="仿宋" w:eastAsia="仿宋"/>
          <w:b/>
          <w:color w:val="auto"/>
          <w:sz w:val="32"/>
          <w:szCs w:val="32"/>
          <w:highlight w:val="none"/>
        </w:rPr>
        <w:t>（二）“三公”经费财政拨款支出决算具体情况说明</w:t>
      </w:r>
      <w:bookmarkEnd w:id="47"/>
    </w:p>
    <w:p>
      <w:pPr>
        <w:spacing w:line="600" w:lineRule="exact"/>
        <w:ind w:firstLine="640"/>
        <w:rPr>
          <w:rFonts w:ascii="仿宋" w:hAnsi="仿宋" w:eastAsia="仿宋"/>
          <w:color w:val="auto"/>
          <w:sz w:val="32"/>
          <w:szCs w:val="32"/>
          <w:highlight w:val="none"/>
        </w:rPr>
      </w:pPr>
      <w:r>
        <w:rPr>
          <w:rFonts w:ascii="仿宋" w:hAnsi="仿宋" w:eastAsia="仿宋"/>
          <w:color w:val="auto"/>
          <w:sz w:val="32"/>
          <w:szCs w:val="32"/>
          <w:highlight w:val="none"/>
        </w:rPr>
        <w:t>201</w:t>
      </w:r>
      <w:r>
        <w:rPr>
          <w:rFonts w:hint="eastAsia" w:ascii="仿宋" w:hAnsi="仿宋" w:eastAsia="仿宋"/>
          <w:color w:val="auto"/>
          <w:sz w:val="32"/>
          <w:szCs w:val="32"/>
          <w:highlight w:val="none"/>
        </w:rPr>
        <w:t>9年“三公”经费财政拨款支出决算中，因公出国（境）费支出决算</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0</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；公务用车购置及运行维护费支出决算</w:t>
      </w:r>
      <w:r>
        <w:rPr>
          <w:rFonts w:hint="eastAsia" w:ascii="仿宋" w:hAnsi="仿宋" w:eastAsia="仿宋"/>
          <w:color w:val="auto"/>
          <w:sz w:val="32"/>
          <w:szCs w:val="32"/>
          <w:highlight w:val="none"/>
          <w:lang w:val="en-US" w:eastAsia="zh-CN"/>
        </w:rPr>
        <w:t>4.02</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90.13</w:t>
      </w:r>
      <w:r>
        <w:rPr>
          <w:rFonts w:ascii="仿宋" w:hAnsi="仿宋" w:eastAsia="仿宋"/>
          <w:color w:val="auto"/>
          <w:sz w:val="32"/>
          <w:szCs w:val="32"/>
          <w:highlight w:val="none"/>
        </w:rPr>
        <w:t>%</w:t>
      </w:r>
      <w:r>
        <w:rPr>
          <w:rFonts w:hint="eastAsia" w:ascii="仿宋" w:hAnsi="仿宋" w:eastAsia="仿宋"/>
          <w:color w:val="auto"/>
          <w:sz w:val="32"/>
          <w:szCs w:val="32"/>
          <w:highlight w:val="none"/>
        </w:rPr>
        <w:t>；公务接待费支出决算</w:t>
      </w:r>
      <w:r>
        <w:rPr>
          <w:rFonts w:hint="eastAsia" w:ascii="仿宋" w:hAnsi="仿宋" w:eastAsia="仿宋"/>
          <w:color w:val="auto"/>
          <w:sz w:val="32"/>
          <w:szCs w:val="32"/>
          <w:highlight w:val="none"/>
          <w:lang w:val="en-US" w:eastAsia="zh-CN"/>
        </w:rPr>
        <w:t>0.44</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9.87</w:t>
      </w:r>
      <w:r>
        <w:rPr>
          <w:rFonts w:ascii="仿宋" w:hAnsi="仿宋" w:eastAsia="仿宋"/>
          <w:color w:val="auto"/>
          <w:sz w:val="32"/>
          <w:szCs w:val="32"/>
          <w:highlight w:val="none"/>
        </w:rPr>
        <w:t>%</w:t>
      </w:r>
      <w:r>
        <w:rPr>
          <w:rFonts w:hint="eastAsia" w:ascii="仿宋" w:hAnsi="仿宋" w:eastAsia="仿宋"/>
          <w:color w:val="auto"/>
          <w:sz w:val="32"/>
          <w:szCs w:val="32"/>
          <w:highlight w:val="none"/>
        </w:rPr>
        <w:t>。具体情况如下：</w:t>
      </w:r>
    </w:p>
    <w:p>
      <w:pPr>
        <w:spacing w:line="600" w:lineRule="exact"/>
        <w:ind w:firstLine="64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（图7：“三公”经费财政拨款支出结构）（饼状图）</w:t>
      </w:r>
    </w:p>
    <w:p>
      <w:pPr>
        <w:pStyle w:val="2"/>
        <w:rPr>
          <w:color w:val="auto"/>
          <w:highlight w:val="none"/>
        </w:rPr>
      </w:pPr>
      <w:r>
        <w:rPr>
          <w:color w:val="auto"/>
          <w:highlight w:val="none"/>
        </w:rPr>
        <w:drawing>
          <wp:inline distT="0" distB="0" distL="114300" distR="114300">
            <wp:extent cx="4890770" cy="2767330"/>
            <wp:effectExtent l="0" t="0" r="5080" b="139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4890770" cy="2767330"/>
                    </a:xfrm>
                    <a:prstGeom prst="rect">
                      <a:avLst/>
                    </a:prstGeom>
                    <a:noFill/>
                    <a:ln>
                      <a:noFill/>
                    </a:ln>
                  </pic:spPr>
                </pic:pic>
              </a:graphicData>
            </a:graphic>
          </wp:inline>
        </w:drawing>
      </w:r>
    </w:p>
    <w:p>
      <w:pPr>
        <w:numPr>
          <w:ilvl w:val="0"/>
          <w:numId w:val="2"/>
        </w:numPr>
        <w:spacing w:line="600" w:lineRule="exact"/>
        <w:ind w:firstLine="640"/>
        <w:rPr>
          <w:rFonts w:hint="eastAsia" w:ascii="仿宋_GB2312" w:eastAsia="仿宋_GB2312"/>
          <w:color w:val="auto"/>
          <w:sz w:val="32"/>
          <w:szCs w:val="32"/>
          <w:highlight w:val="none"/>
          <w:lang w:eastAsia="zh-CN"/>
        </w:rPr>
      </w:pPr>
      <w:r>
        <w:rPr>
          <w:rFonts w:hint="eastAsia" w:ascii="仿宋_GB2312" w:eastAsia="仿宋_GB2312"/>
          <w:b/>
          <w:color w:val="auto"/>
          <w:sz w:val="32"/>
          <w:szCs w:val="32"/>
          <w:highlight w:val="none"/>
        </w:rPr>
        <w:t>因公出国（境）经费支出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val="0"/>
          <w:bCs/>
          <w:color w:val="auto"/>
          <w:sz w:val="32"/>
          <w:szCs w:val="32"/>
          <w:highlight w:val="none"/>
          <w:lang w:val="en-US" w:eastAsia="zh-CN"/>
        </w:rPr>
        <w:t>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全年安排因公出国（境）团组</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次，出国（境）</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人。因公出国（境）支出决算比</w:t>
      </w:r>
      <w:r>
        <w:rPr>
          <w:rFonts w:ascii="仿宋_GB2312" w:eastAsia="仿宋_GB2312"/>
          <w:color w:val="auto"/>
          <w:sz w:val="32"/>
          <w:szCs w:val="32"/>
          <w:highlight w:val="none"/>
        </w:rPr>
        <w:t>201</w:t>
      </w:r>
      <w:r>
        <w:rPr>
          <w:rFonts w:hint="eastAsia" w:ascii="仿宋_GB2312" w:eastAsia="仿宋_GB2312"/>
          <w:color w:val="auto"/>
          <w:sz w:val="32"/>
          <w:szCs w:val="32"/>
          <w:highlight w:val="none"/>
        </w:rPr>
        <w:t>8年</w:t>
      </w:r>
      <w:r>
        <w:rPr>
          <w:rFonts w:hint="eastAsia" w:ascii="仿宋_GB2312" w:eastAsia="仿宋_GB2312"/>
          <w:color w:val="auto"/>
          <w:sz w:val="32"/>
          <w:szCs w:val="32"/>
          <w:highlight w:val="none"/>
          <w:lang w:eastAsia="zh-CN"/>
        </w:rPr>
        <w:t>持平。</w:t>
      </w:r>
    </w:p>
    <w:p>
      <w:pPr>
        <w:numPr>
          <w:ilvl w:val="0"/>
          <w:numId w:val="0"/>
        </w:numPr>
        <w:spacing w:line="600" w:lineRule="exact"/>
        <w:ind w:firstLine="643" w:firstLineChars="200"/>
        <w:rPr>
          <w:rFonts w:ascii="仿宋_GB2312" w:eastAsia="仿宋_GB2312"/>
          <w:b/>
          <w:color w:val="auto"/>
          <w:sz w:val="32"/>
          <w:szCs w:val="32"/>
          <w:highlight w:val="none"/>
        </w:rPr>
      </w:pPr>
      <w:r>
        <w:rPr>
          <w:rFonts w:hint="eastAsia" w:ascii="仿宋_GB2312" w:eastAsia="仿宋_GB2312"/>
          <w:b/>
          <w:color w:val="auto"/>
          <w:sz w:val="32"/>
          <w:szCs w:val="32"/>
          <w:highlight w:val="none"/>
        </w:rPr>
        <w:t>2.公务用车购置及运行维护费支出</w:t>
      </w:r>
      <w:r>
        <w:rPr>
          <w:rFonts w:hint="eastAsia" w:ascii="仿宋_GB2312" w:eastAsia="仿宋_GB2312"/>
          <w:color w:val="auto"/>
          <w:sz w:val="32"/>
          <w:szCs w:val="32"/>
          <w:highlight w:val="none"/>
          <w:lang w:val="en-US" w:eastAsia="zh-CN"/>
        </w:rPr>
        <w:t>4.02</w:t>
      </w:r>
      <w:r>
        <w:rPr>
          <w:rFonts w:hint="eastAsia" w:ascii="仿宋_GB2312" w:eastAsia="仿宋_GB2312"/>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val="0"/>
          <w:bCs/>
          <w:color w:val="auto"/>
          <w:sz w:val="32"/>
          <w:szCs w:val="32"/>
          <w:highlight w:val="none"/>
          <w:lang w:val="en-US" w:eastAsia="zh-CN"/>
        </w:rPr>
        <w:t>100</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公务用车购置及运行维护费支出决算比</w:t>
      </w:r>
      <w:r>
        <w:rPr>
          <w:rFonts w:ascii="仿宋_GB2312" w:eastAsia="仿宋_GB2312"/>
          <w:color w:val="auto"/>
          <w:sz w:val="32"/>
          <w:szCs w:val="32"/>
          <w:highlight w:val="none"/>
        </w:rPr>
        <w:t>201</w:t>
      </w:r>
      <w:r>
        <w:rPr>
          <w:rFonts w:hint="eastAsia" w:ascii="仿宋_GB2312" w:eastAsia="仿宋_GB2312"/>
          <w:color w:val="auto"/>
          <w:sz w:val="32"/>
          <w:szCs w:val="32"/>
          <w:highlight w:val="none"/>
        </w:rPr>
        <w:t>8年</w:t>
      </w:r>
      <w:r>
        <w:rPr>
          <w:rFonts w:hint="eastAsia" w:ascii="仿宋_GB2312" w:eastAsia="仿宋_GB2312"/>
          <w:color w:val="auto"/>
          <w:sz w:val="32"/>
          <w:szCs w:val="32"/>
          <w:highlight w:val="none"/>
          <w:lang w:val="en-US" w:eastAsia="zh-CN"/>
        </w:rPr>
        <w:t>3.5万元</w:t>
      </w:r>
      <w:r>
        <w:rPr>
          <w:rFonts w:hint="eastAsia" w:ascii="仿宋_GB2312" w:eastAsia="仿宋_GB2312"/>
          <w:color w:val="auto"/>
          <w:sz w:val="32"/>
          <w:szCs w:val="32"/>
          <w:highlight w:val="none"/>
          <w:lang w:eastAsia="zh-CN"/>
        </w:rPr>
        <w:t>增加</w:t>
      </w:r>
      <w:r>
        <w:rPr>
          <w:rFonts w:hint="eastAsia" w:ascii="仿宋_GB2312" w:eastAsia="仿宋_GB2312"/>
          <w:color w:val="auto"/>
          <w:sz w:val="32"/>
          <w:szCs w:val="32"/>
          <w:highlight w:val="none"/>
          <w:lang w:val="en-US" w:eastAsia="zh-CN"/>
        </w:rPr>
        <w:t>0.52</w:t>
      </w:r>
      <w:r>
        <w:rPr>
          <w:rFonts w:hint="eastAsia" w:ascii="仿宋_GB2312" w:eastAsia="仿宋_GB2312"/>
          <w:color w:val="auto"/>
          <w:sz w:val="32"/>
          <w:szCs w:val="32"/>
          <w:highlight w:val="none"/>
        </w:rPr>
        <w:t>万元，增长</w:t>
      </w:r>
      <w:r>
        <w:rPr>
          <w:rFonts w:hint="eastAsia" w:ascii="仿宋_GB2312" w:eastAsia="仿宋_GB2312"/>
          <w:color w:val="auto"/>
          <w:sz w:val="32"/>
          <w:szCs w:val="32"/>
          <w:highlight w:val="none"/>
          <w:lang w:val="en-US" w:eastAsia="zh-CN"/>
        </w:rPr>
        <w:t>12.94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单位车辆使用年限较长，车辆老化维修费用及油耗增加。</w:t>
      </w:r>
    </w:p>
    <w:p>
      <w:pPr>
        <w:spacing w:line="600" w:lineRule="exact"/>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其中：</w:t>
      </w:r>
      <w:r>
        <w:rPr>
          <w:rFonts w:hint="eastAsia" w:ascii="仿宋_GB2312" w:eastAsia="仿宋_GB2312"/>
          <w:b/>
          <w:color w:val="auto"/>
          <w:sz w:val="32"/>
          <w:szCs w:val="32"/>
          <w:highlight w:val="none"/>
        </w:rPr>
        <w:t>公务用车购置支出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万元。全年按规定更新购置公务用车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辆，金额</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元。</w:t>
      </w: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201</w:t>
      </w:r>
      <w:r>
        <w:rPr>
          <w:rFonts w:hint="eastAsia" w:ascii="仿宋_GB2312" w:eastAsia="仿宋_GB2312"/>
          <w:color w:val="auto"/>
          <w:sz w:val="32"/>
          <w:szCs w:val="32"/>
          <w:highlight w:val="none"/>
        </w:rPr>
        <w:t>9年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月底，单位共有公务用车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 执法执勤用车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p>
    <w:p>
      <w:pPr>
        <w:spacing w:line="600" w:lineRule="exact"/>
        <w:ind w:firstLine="640"/>
        <w:rPr>
          <w:rFonts w:ascii="仿宋_GB2312" w:eastAsia="仿宋_GB2312"/>
          <w:color w:val="auto"/>
          <w:sz w:val="32"/>
          <w:szCs w:val="32"/>
          <w:highlight w:val="none"/>
        </w:rPr>
      </w:pPr>
      <w:r>
        <w:rPr>
          <w:rFonts w:hint="eastAsia" w:ascii="仿宋_GB2312" w:eastAsia="仿宋_GB2312"/>
          <w:b/>
          <w:color w:val="auto"/>
          <w:sz w:val="32"/>
          <w:szCs w:val="32"/>
          <w:highlight w:val="none"/>
        </w:rPr>
        <w:t>公务用车运行维护费支出</w:t>
      </w:r>
      <w:r>
        <w:rPr>
          <w:rFonts w:hint="eastAsia" w:ascii="仿宋_GB2312" w:eastAsia="仿宋_GB2312"/>
          <w:color w:val="auto"/>
          <w:sz w:val="32"/>
          <w:szCs w:val="32"/>
          <w:highlight w:val="none"/>
          <w:lang w:val="en-US" w:eastAsia="zh-CN"/>
        </w:rPr>
        <w:t>4.02</w:t>
      </w:r>
      <w:r>
        <w:rPr>
          <w:rFonts w:hint="eastAsia" w:ascii="仿宋_GB2312" w:eastAsia="仿宋_GB2312"/>
          <w:color w:val="auto"/>
          <w:sz w:val="32"/>
          <w:szCs w:val="32"/>
          <w:highlight w:val="none"/>
        </w:rPr>
        <w:t>万元。主要用于</w:t>
      </w:r>
      <w:r>
        <w:rPr>
          <w:rFonts w:hint="eastAsia" w:ascii="仿宋_GB2312" w:eastAsia="仿宋_GB2312"/>
          <w:color w:val="auto"/>
          <w:sz w:val="32"/>
          <w:szCs w:val="32"/>
          <w:highlight w:val="none"/>
          <w:lang w:eastAsia="zh-CN"/>
        </w:rPr>
        <w:t>土地调查、地灾巡查、脱贫攻坚工作</w:t>
      </w:r>
      <w:r>
        <w:rPr>
          <w:rFonts w:hint="eastAsia" w:ascii="仿宋_GB2312" w:eastAsia="仿宋_GB2312"/>
          <w:color w:val="auto"/>
          <w:sz w:val="32"/>
          <w:szCs w:val="32"/>
          <w:highlight w:val="none"/>
        </w:rPr>
        <w:t>等所需的公务用车燃料费、维修费、过路过桥费、保险费等支出。</w:t>
      </w:r>
    </w:p>
    <w:p>
      <w:pPr>
        <w:numPr>
          <w:ilvl w:val="0"/>
          <w:numId w:val="3"/>
        </w:numPr>
        <w:spacing w:line="600" w:lineRule="exact"/>
        <w:ind w:firstLine="640"/>
        <w:rPr>
          <w:rFonts w:hint="eastAsia" w:ascii="仿宋_GB2312" w:eastAsia="仿宋_GB2312"/>
          <w:color w:val="auto"/>
          <w:sz w:val="32"/>
          <w:szCs w:val="32"/>
          <w:highlight w:val="none"/>
          <w:lang w:eastAsia="zh-CN"/>
        </w:rPr>
      </w:pPr>
      <w:r>
        <w:rPr>
          <w:rFonts w:hint="eastAsia" w:ascii="仿宋_GB2312" w:eastAsia="仿宋_GB2312"/>
          <w:b/>
          <w:color w:val="auto"/>
          <w:sz w:val="32"/>
          <w:szCs w:val="32"/>
          <w:highlight w:val="none"/>
        </w:rPr>
        <w:t>公务接待费支出</w:t>
      </w:r>
      <w:r>
        <w:rPr>
          <w:rFonts w:hint="eastAsia" w:ascii="仿宋_GB2312" w:eastAsia="仿宋_GB2312"/>
          <w:color w:val="auto"/>
          <w:sz w:val="32"/>
          <w:szCs w:val="32"/>
          <w:highlight w:val="none"/>
          <w:lang w:val="en-US" w:eastAsia="zh-CN"/>
        </w:rPr>
        <w:t>0.44</w:t>
      </w:r>
      <w:r>
        <w:rPr>
          <w:rFonts w:hint="eastAsia" w:ascii="仿宋_GB2312" w:eastAsia="仿宋_GB2312"/>
          <w:color w:val="auto"/>
          <w:sz w:val="32"/>
          <w:szCs w:val="32"/>
          <w:highlight w:val="none"/>
        </w:rPr>
        <w:t>万元，</w:t>
      </w:r>
      <w:r>
        <w:rPr>
          <w:rStyle w:val="17"/>
          <w:rFonts w:hint="eastAsia" w:ascii="仿宋" w:hAnsi="仿宋" w:eastAsia="仿宋"/>
          <w:b w:val="0"/>
          <w:bCs/>
          <w:color w:val="auto"/>
          <w:sz w:val="32"/>
          <w:szCs w:val="32"/>
          <w:highlight w:val="none"/>
        </w:rPr>
        <w:t>完成预算</w:t>
      </w:r>
      <w:r>
        <w:rPr>
          <w:rStyle w:val="17"/>
          <w:rFonts w:hint="eastAsia" w:ascii="仿宋" w:hAnsi="仿宋" w:eastAsia="仿宋"/>
          <w:b w:val="0"/>
          <w:bCs/>
          <w:color w:val="auto"/>
          <w:sz w:val="32"/>
          <w:szCs w:val="32"/>
          <w:highlight w:val="none"/>
          <w:lang w:val="en-US" w:eastAsia="zh-CN"/>
        </w:rPr>
        <w:t>0.44</w:t>
      </w:r>
      <w:r>
        <w:rPr>
          <w:rStyle w:val="17"/>
          <w:rFonts w:ascii="仿宋" w:hAnsi="仿宋" w:eastAsia="仿宋"/>
          <w:b w:val="0"/>
          <w:bCs/>
          <w:color w:val="auto"/>
          <w:sz w:val="32"/>
          <w:szCs w:val="32"/>
          <w:highlight w:val="none"/>
        </w:rPr>
        <w:t>%</w:t>
      </w:r>
      <w:r>
        <w:rPr>
          <w:rStyle w:val="17"/>
          <w:rFonts w:hint="eastAsia" w:ascii="仿宋" w:hAnsi="仿宋" w:eastAsia="仿宋"/>
          <w:b w:val="0"/>
          <w:bCs/>
          <w:color w:val="auto"/>
          <w:sz w:val="32"/>
          <w:szCs w:val="32"/>
          <w:highlight w:val="none"/>
        </w:rPr>
        <w:t>。</w:t>
      </w:r>
      <w:r>
        <w:rPr>
          <w:rFonts w:hint="eastAsia" w:ascii="仿宋_GB2312" w:eastAsia="仿宋_GB2312"/>
          <w:color w:val="auto"/>
          <w:sz w:val="32"/>
          <w:szCs w:val="32"/>
          <w:highlight w:val="none"/>
        </w:rPr>
        <w:t>公务接待费支出决算比</w:t>
      </w:r>
      <w:r>
        <w:rPr>
          <w:rFonts w:ascii="仿宋_GB2312" w:eastAsia="仿宋_GB2312"/>
          <w:color w:val="auto"/>
          <w:sz w:val="32"/>
          <w:szCs w:val="32"/>
          <w:highlight w:val="none"/>
        </w:rPr>
        <w:t>201</w:t>
      </w:r>
      <w:r>
        <w:rPr>
          <w:rFonts w:hint="eastAsia" w:ascii="仿宋_GB2312" w:eastAsia="仿宋_GB2312"/>
          <w:color w:val="auto"/>
          <w:sz w:val="32"/>
          <w:szCs w:val="32"/>
          <w:highlight w:val="none"/>
        </w:rPr>
        <w:t>8年</w:t>
      </w:r>
      <w:r>
        <w:rPr>
          <w:rFonts w:hint="eastAsia" w:ascii="仿宋_GB2312" w:eastAsia="仿宋_GB2312"/>
          <w:color w:val="auto"/>
          <w:sz w:val="32"/>
          <w:szCs w:val="32"/>
          <w:highlight w:val="none"/>
          <w:lang w:eastAsia="zh-CN"/>
        </w:rPr>
        <w:t>持平。</w:t>
      </w:r>
    </w:p>
    <w:p>
      <w:pPr>
        <w:numPr>
          <w:ilvl w:val="0"/>
          <w:numId w:val="3"/>
        </w:numPr>
        <w:spacing w:line="600" w:lineRule="exact"/>
        <w:ind w:firstLine="640"/>
        <w:rPr>
          <w:rFonts w:ascii="仿宋_GB2312" w:eastAsia="仿宋_GB2312"/>
          <w:color w:val="auto"/>
          <w:sz w:val="32"/>
          <w:szCs w:val="32"/>
          <w:highlight w:val="none"/>
        </w:rPr>
      </w:pPr>
      <w:r>
        <w:rPr>
          <w:rFonts w:hint="eastAsia" w:ascii="仿宋" w:hAnsi="仿宋" w:eastAsia="仿宋"/>
          <w:b/>
          <w:color w:val="auto"/>
          <w:sz w:val="32"/>
          <w:szCs w:val="32"/>
          <w:highlight w:val="none"/>
        </w:rPr>
        <w:t>国内公务接待支出</w:t>
      </w:r>
      <w:r>
        <w:rPr>
          <w:rFonts w:hint="eastAsia" w:ascii="仿宋" w:hAnsi="仿宋" w:eastAsia="仿宋"/>
          <w:color w:val="auto"/>
          <w:sz w:val="32"/>
          <w:szCs w:val="32"/>
          <w:highlight w:val="none"/>
          <w:lang w:val="en-US" w:eastAsia="zh-CN"/>
        </w:rPr>
        <w:t>0.44</w:t>
      </w:r>
      <w:r>
        <w:rPr>
          <w:rFonts w:hint="eastAsia" w:ascii="仿宋_GB2312" w:eastAsia="仿宋_GB2312"/>
          <w:color w:val="auto"/>
          <w:sz w:val="32"/>
          <w:szCs w:val="32"/>
          <w:highlight w:val="none"/>
        </w:rPr>
        <w:t>万元，主要用于执行公务、开展业务活动</w:t>
      </w:r>
      <w:r>
        <w:rPr>
          <w:rFonts w:hint="eastAsia" w:ascii="仿宋_GB2312" w:eastAsia="仿宋_GB2312"/>
          <w:color w:val="auto"/>
          <w:sz w:val="32"/>
          <w:szCs w:val="32"/>
          <w:highlight w:val="none"/>
          <w:lang w:eastAsia="zh-CN"/>
        </w:rPr>
        <w:t>，上级部门督导检查工作</w:t>
      </w:r>
      <w:r>
        <w:rPr>
          <w:rFonts w:hint="eastAsia" w:ascii="仿宋_GB2312" w:eastAsia="仿宋_GB2312"/>
          <w:color w:val="auto"/>
          <w:sz w:val="32"/>
          <w:szCs w:val="32"/>
          <w:highlight w:val="none"/>
        </w:rPr>
        <w:t>开支的用餐费等国内公务接待</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13</w:t>
      </w:r>
      <w:r>
        <w:rPr>
          <w:rFonts w:hint="eastAsia" w:ascii="仿宋_GB2312" w:eastAsia="仿宋_GB2312"/>
          <w:color w:val="auto"/>
          <w:sz w:val="32"/>
          <w:szCs w:val="32"/>
          <w:highlight w:val="none"/>
        </w:rPr>
        <w:t>人次（不包括陪同人员），共计支出</w:t>
      </w:r>
      <w:r>
        <w:rPr>
          <w:rFonts w:hint="eastAsia" w:ascii="仿宋_GB2312" w:eastAsia="仿宋_GB2312"/>
          <w:color w:val="auto"/>
          <w:sz w:val="32"/>
          <w:szCs w:val="32"/>
          <w:highlight w:val="none"/>
          <w:lang w:val="en-US" w:eastAsia="zh-CN"/>
        </w:rPr>
        <w:t>0.44</w:t>
      </w:r>
      <w:r>
        <w:rPr>
          <w:rFonts w:hint="eastAsia" w:ascii="仿宋_GB2312" w:eastAsia="仿宋_GB2312"/>
          <w:color w:val="auto"/>
          <w:sz w:val="32"/>
          <w:szCs w:val="32"/>
          <w:highlight w:val="none"/>
        </w:rPr>
        <w:t>万元，具体内容包括：</w:t>
      </w:r>
      <w:r>
        <w:rPr>
          <w:rFonts w:hint="eastAsia" w:ascii="仿宋_GB2312" w:eastAsia="仿宋_GB2312"/>
          <w:color w:val="auto"/>
          <w:sz w:val="32"/>
          <w:szCs w:val="32"/>
          <w:highlight w:val="none"/>
          <w:lang w:eastAsia="zh-CN"/>
        </w:rPr>
        <w:t>第一批次来宾</w:t>
      </w:r>
      <w:r>
        <w:rPr>
          <w:rFonts w:hint="eastAsia" w:ascii="仿宋_GB2312" w:eastAsia="仿宋_GB2312"/>
          <w:color w:val="auto"/>
          <w:sz w:val="32"/>
          <w:szCs w:val="32"/>
          <w:highlight w:val="none"/>
          <w:lang w:val="en-US" w:eastAsia="zh-CN"/>
        </w:rPr>
        <w:t>5人，事由是州自然资源局2019年度片区地质灾害防治宣传及汛前检查工作，接待费用共计2390元；</w:t>
      </w:r>
      <w:r>
        <w:rPr>
          <w:rFonts w:hint="eastAsia" w:ascii="仿宋_GB2312" w:eastAsia="仿宋_GB2312"/>
          <w:color w:val="auto"/>
          <w:sz w:val="32"/>
          <w:szCs w:val="32"/>
          <w:highlight w:val="none"/>
          <w:lang w:eastAsia="zh-CN"/>
        </w:rPr>
        <w:t>第二批次来宾</w:t>
      </w:r>
      <w:r>
        <w:rPr>
          <w:rFonts w:hint="eastAsia" w:ascii="仿宋_GB2312" w:eastAsia="仿宋_GB2312"/>
          <w:color w:val="auto"/>
          <w:sz w:val="32"/>
          <w:szCs w:val="32"/>
          <w:highlight w:val="none"/>
          <w:lang w:val="en-US" w:eastAsia="zh-CN"/>
        </w:rPr>
        <w:t>8人，事由是省自然资源厅会同上海同济城市规划设计院开展川西北生态示范区国土空间规划调研工作，接待费用共计2010元。</w:t>
      </w:r>
    </w:p>
    <w:p>
      <w:pPr>
        <w:spacing w:line="600" w:lineRule="exact"/>
        <w:ind w:firstLine="643" w:firstLineChars="200"/>
        <w:rPr>
          <w:rFonts w:hint="default" w:ascii="黑体" w:eastAsia="仿宋_GB2312"/>
          <w:color w:val="auto"/>
          <w:sz w:val="32"/>
          <w:szCs w:val="32"/>
          <w:highlight w:val="none"/>
          <w:lang w:val="en-US" w:eastAsia="zh-CN"/>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万元，外事接待</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批次，</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人，共计支出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bookmarkStart w:id="48" w:name="_Toc15377218"/>
      <w:bookmarkStart w:id="49" w:name="_Toc15396610"/>
      <w:r>
        <w:rPr>
          <w:rFonts w:hint="eastAsia" w:ascii="仿宋_GB2312" w:eastAsia="仿宋_GB2312"/>
          <w:color w:val="auto"/>
          <w:sz w:val="32"/>
          <w:szCs w:val="32"/>
          <w:highlight w:val="none"/>
          <w:lang w:eastAsia="zh-CN"/>
        </w:rPr>
        <w:t>与</w:t>
      </w:r>
      <w:r>
        <w:rPr>
          <w:rFonts w:hint="eastAsia" w:ascii="仿宋_GB2312" w:eastAsia="仿宋_GB2312"/>
          <w:color w:val="auto"/>
          <w:sz w:val="32"/>
          <w:szCs w:val="32"/>
          <w:highlight w:val="none"/>
          <w:lang w:val="en-US" w:eastAsia="zh-CN"/>
        </w:rPr>
        <w:t>2018年持平。</w:t>
      </w:r>
    </w:p>
    <w:p>
      <w:pPr>
        <w:spacing w:line="600" w:lineRule="exact"/>
        <w:ind w:firstLine="640"/>
        <w:outlineLvl w:val="1"/>
        <w:rPr>
          <w:rStyle w:val="28"/>
          <w:rFonts w:ascii="黑体" w:hAnsi="黑体" w:eastAsia="黑体"/>
          <w:color w:val="auto"/>
          <w:highlight w:val="none"/>
        </w:rPr>
      </w:pPr>
      <w:r>
        <w:rPr>
          <w:rFonts w:hint="eastAsia" w:ascii="黑体" w:eastAsia="黑体"/>
          <w:color w:val="auto"/>
          <w:sz w:val="32"/>
          <w:szCs w:val="32"/>
          <w:highlight w:val="none"/>
        </w:rPr>
        <w:t>八、</w:t>
      </w:r>
      <w:r>
        <w:rPr>
          <w:rStyle w:val="28"/>
          <w:rFonts w:hint="eastAsia" w:ascii="黑体" w:hAnsi="黑体" w:eastAsia="黑体"/>
          <w:b w:val="0"/>
          <w:color w:val="auto"/>
          <w:highlight w:val="none"/>
        </w:rPr>
        <w:t>政府性基金预算支出决算情况说明</w:t>
      </w:r>
      <w:bookmarkEnd w:id="48"/>
      <w:bookmarkEnd w:id="49"/>
    </w:p>
    <w:p>
      <w:pPr>
        <w:spacing w:line="600" w:lineRule="exact"/>
        <w:ind w:firstLine="640"/>
        <w:rPr>
          <w:rFonts w:hint="eastAsia" w:ascii="仿宋_GB2312" w:eastAsia="仿宋_GB2312"/>
          <w:color w:val="auto"/>
          <w:sz w:val="32"/>
          <w:szCs w:val="32"/>
          <w:highlight w:val="none"/>
        </w:rPr>
      </w:pPr>
      <w:r>
        <w:rPr>
          <w:rFonts w:ascii="仿宋_GB2312" w:eastAsia="仿宋_GB2312"/>
          <w:color w:val="auto"/>
          <w:sz w:val="32"/>
          <w:szCs w:val="32"/>
          <w:highlight w:val="none"/>
        </w:rPr>
        <w:t>201</w:t>
      </w:r>
      <w:r>
        <w:rPr>
          <w:rFonts w:hint="eastAsia" w:ascii="仿宋_GB2312" w:eastAsia="仿宋_GB2312"/>
          <w:color w:val="auto"/>
          <w:sz w:val="32"/>
          <w:szCs w:val="32"/>
          <w:highlight w:val="none"/>
        </w:rPr>
        <w:t>9年政府性基金预算拨款支出</w:t>
      </w:r>
      <w:r>
        <w:rPr>
          <w:rFonts w:hint="eastAsia" w:ascii="仿宋_GB2312" w:eastAsia="仿宋_GB2312"/>
          <w:color w:val="auto"/>
          <w:sz w:val="32"/>
          <w:szCs w:val="32"/>
          <w:highlight w:val="none"/>
          <w:lang w:val="en-US" w:eastAsia="zh-CN"/>
        </w:rPr>
        <w:t>550.15</w:t>
      </w:r>
      <w:r>
        <w:rPr>
          <w:rFonts w:hint="eastAsia" w:ascii="仿宋_GB2312" w:eastAsia="仿宋_GB2312"/>
          <w:color w:val="auto"/>
          <w:sz w:val="32"/>
          <w:szCs w:val="32"/>
          <w:highlight w:val="none"/>
        </w:rPr>
        <w:t>万元。</w:t>
      </w:r>
    </w:p>
    <w:p>
      <w:pPr>
        <w:pStyle w:val="2"/>
        <w:rPr>
          <w:rFonts w:hint="eastAsia"/>
          <w:color w:val="auto"/>
          <w:highlight w:val="none"/>
        </w:rPr>
      </w:pPr>
      <w:r>
        <w:rPr>
          <w:rFonts w:hint="eastAsia"/>
          <w:color w:val="auto"/>
          <w:highlight w:val="none"/>
        </w:rPr>
        <w:t>2120899其他国有土地使用权出让收入安排的支出362.27</w:t>
      </w:r>
      <w:r>
        <w:rPr>
          <w:rFonts w:hint="eastAsia"/>
          <w:color w:val="auto"/>
          <w:highlight w:val="none"/>
          <w:lang w:eastAsia="zh-CN"/>
        </w:rPr>
        <w:t>万元</w:t>
      </w:r>
      <w:r>
        <w:rPr>
          <w:rFonts w:hint="eastAsia"/>
          <w:color w:val="auto"/>
          <w:highlight w:val="none"/>
        </w:rPr>
        <w:tab/>
      </w:r>
    </w:p>
    <w:p>
      <w:pPr>
        <w:pStyle w:val="2"/>
        <w:rPr>
          <w:rFonts w:hint="eastAsia"/>
          <w:color w:val="auto"/>
          <w:highlight w:val="none"/>
          <w:lang w:eastAsia="zh-CN"/>
        </w:rPr>
      </w:pPr>
      <w:r>
        <w:rPr>
          <w:rFonts w:hint="eastAsia"/>
          <w:color w:val="auto"/>
          <w:highlight w:val="none"/>
        </w:rPr>
        <w:t>2121099其他国有土地收益基金支出88.43</w:t>
      </w:r>
      <w:r>
        <w:rPr>
          <w:rFonts w:hint="eastAsia"/>
          <w:color w:val="auto"/>
          <w:highlight w:val="none"/>
          <w:lang w:eastAsia="zh-CN"/>
        </w:rPr>
        <w:t>万元</w:t>
      </w:r>
    </w:p>
    <w:p>
      <w:pPr>
        <w:pStyle w:val="2"/>
        <w:rPr>
          <w:rFonts w:ascii="仿宋_GB2312" w:eastAsia="仿宋_GB2312"/>
          <w:color w:val="auto"/>
          <w:sz w:val="32"/>
          <w:szCs w:val="32"/>
          <w:highlight w:val="none"/>
        </w:rPr>
      </w:pPr>
      <w:r>
        <w:rPr>
          <w:rFonts w:hint="eastAsia"/>
          <w:color w:val="auto"/>
          <w:highlight w:val="none"/>
          <w:lang w:eastAsia="zh-CN"/>
        </w:rPr>
        <w:t>2121100农业土地开发资金安排的支出99.45万元</w:t>
      </w:r>
    </w:p>
    <w:p>
      <w:pPr>
        <w:numPr>
          <w:ilvl w:val="0"/>
          <w:numId w:val="4"/>
        </w:numPr>
        <w:spacing w:line="600" w:lineRule="exact"/>
        <w:ind w:firstLine="640"/>
        <w:outlineLvl w:val="1"/>
        <w:rPr>
          <w:rStyle w:val="28"/>
          <w:rFonts w:ascii="黑体" w:hAnsi="黑体" w:eastAsia="黑体"/>
          <w:b w:val="0"/>
          <w:color w:val="auto"/>
          <w:highlight w:val="none"/>
        </w:rPr>
      </w:pPr>
      <w:bookmarkStart w:id="50" w:name="_Toc15377219"/>
      <w:bookmarkStart w:id="51" w:name="_Toc15396611"/>
      <w:r>
        <w:rPr>
          <w:rStyle w:val="28"/>
          <w:rFonts w:hint="eastAsia" w:ascii="黑体" w:hAnsi="黑体" w:eastAsia="黑体"/>
          <w:b w:val="0"/>
          <w:color w:val="auto"/>
          <w:highlight w:val="none"/>
        </w:rPr>
        <w:t>国有资本经营预算支出决算情况说明</w:t>
      </w:r>
      <w:bookmarkEnd w:id="50"/>
      <w:bookmarkEnd w:id="51"/>
    </w:p>
    <w:p>
      <w:pPr>
        <w:spacing w:line="600" w:lineRule="exact"/>
        <w:ind w:firstLine="640"/>
        <w:rPr>
          <w:rFonts w:ascii="方正小标宋简体" w:hAnsi="方正小标宋简体" w:eastAsia="方正小标宋简体" w:cs="方正小标宋简体"/>
          <w:color w:val="auto"/>
          <w:sz w:val="44"/>
          <w:szCs w:val="44"/>
          <w:highlight w:val="none"/>
        </w:rPr>
      </w:pPr>
      <w:r>
        <w:rPr>
          <w:rFonts w:ascii="仿宋_GB2312" w:eastAsia="仿宋_GB2312"/>
          <w:color w:val="auto"/>
          <w:sz w:val="32"/>
          <w:szCs w:val="32"/>
          <w:highlight w:val="none"/>
        </w:rPr>
        <w:t>201</w:t>
      </w:r>
      <w:r>
        <w:rPr>
          <w:rFonts w:hint="eastAsia" w:ascii="仿宋_GB2312" w:eastAsia="仿宋_GB2312"/>
          <w:color w:val="auto"/>
          <w:sz w:val="32"/>
          <w:szCs w:val="32"/>
          <w:highlight w:val="none"/>
        </w:rPr>
        <w:t>9年国有资本经营预算拨款支出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p>
    <w:p>
      <w:pPr>
        <w:spacing w:line="600" w:lineRule="exact"/>
        <w:ind w:firstLine="800" w:firstLineChars="250"/>
        <w:outlineLvl w:val="1"/>
        <w:rPr>
          <w:rStyle w:val="28"/>
          <w:rFonts w:ascii="黑体" w:hAnsi="黑体" w:eastAsia="黑体"/>
          <w:color w:val="auto"/>
          <w:highlight w:val="none"/>
        </w:rPr>
      </w:pPr>
      <w:bookmarkStart w:id="52" w:name="_Toc15396612"/>
      <w:bookmarkStart w:id="53" w:name="_Toc15377221"/>
      <w:r>
        <w:rPr>
          <w:rFonts w:hint="eastAsia" w:ascii="黑体" w:hAnsi="黑体" w:eastAsia="黑体"/>
          <w:color w:val="auto"/>
          <w:sz w:val="32"/>
          <w:szCs w:val="32"/>
          <w:highlight w:val="none"/>
        </w:rPr>
        <w:t>十</w:t>
      </w:r>
      <w:r>
        <w:rPr>
          <w:rStyle w:val="28"/>
          <w:rFonts w:hint="eastAsia" w:ascii="黑体" w:hAnsi="黑体" w:eastAsia="黑体"/>
          <w:color w:val="auto"/>
          <w:highlight w:val="none"/>
        </w:rPr>
        <w:t>、</w:t>
      </w:r>
      <w:r>
        <w:rPr>
          <w:rStyle w:val="28"/>
          <w:rFonts w:hint="eastAsia" w:ascii="黑体" w:hAnsi="黑体" w:eastAsia="黑体"/>
          <w:b w:val="0"/>
          <w:color w:val="auto"/>
          <w:highlight w:val="none"/>
        </w:rPr>
        <w:t>其他重要事项的情况说明</w:t>
      </w:r>
      <w:bookmarkEnd w:id="52"/>
      <w:bookmarkEnd w:id="53"/>
    </w:p>
    <w:p>
      <w:pPr>
        <w:spacing w:line="600" w:lineRule="exact"/>
        <w:ind w:firstLine="643" w:firstLineChars="200"/>
        <w:outlineLvl w:val="2"/>
        <w:rPr>
          <w:rFonts w:ascii="仿宋" w:hAnsi="仿宋" w:eastAsia="仿宋"/>
          <w:color w:val="auto"/>
          <w:sz w:val="32"/>
          <w:szCs w:val="32"/>
          <w:highlight w:val="none"/>
        </w:rPr>
      </w:pPr>
      <w:bookmarkStart w:id="54" w:name="_Toc15377222"/>
      <w:r>
        <w:rPr>
          <w:rFonts w:hint="eastAsia" w:ascii="仿宋" w:hAnsi="仿宋" w:eastAsia="仿宋"/>
          <w:b/>
          <w:color w:val="auto"/>
          <w:sz w:val="32"/>
          <w:szCs w:val="32"/>
          <w:highlight w:val="none"/>
        </w:rPr>
        <w:t>（一）机关运行经费支出情况</w:t>
      </w:r>
      <w:bookmarkEnd w:id="54"/>
    </w:p>
    <w:p>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201</w:t>
      </w:r>
      <w:r>
        <w:rPr>
          <w:rFonts w:hint="eastAsia" w:ascii="仿宋_GB2312" w:eastAsia="仿宋_GB2312"/>
          <w:color w:val="auto"/>
          <w:sz w:val="32"/>
          <w:szCs w:val="32"/>
          <w:highlight w:val="none"/>
        </w:rPr>
        <w:t>9年，</w:t>
      </w:r>
      <w:r>
        <w:rPr>
          <w:rFonts w:hint="eastAsia" w:ascii="仿宋_GB2312" w:eastAsia="仿宋_GB2312"/>
          <w:color w:val="auto"/>
          <w:sz w:val="32"/>
          <w:szCs w:val="32"/>
          <w:highlight w:val="none"/>
          <w:lang w:eastAsia="zh-CN"/>
        </w:rPr>
        <w:t>红原县自然资源局</w:t>
      </w:r>
      <w:r>
        <w:rPr>
          <w:rFonts w:hint="eastAsia" w:ascii="仿宋_GB2312" w:eastAsia="仿宋_GB2312"/>
          <w:color w:val="auto"/>
          <w:sz w:val="32"/>
          <w:szCs w:val="32"/>
          <w:highlight w:val="none"/>
        </w:rPr>
        <w:t>机关运行经费支出</w:t>
      </w:r>
      <w:r>
        <w:rPr>
          <w:rFonts w:hint="eastAsia" w:ascii="仿宋_GB2312" w:eastAsia="仿宋_GB2312"/>
          <w:color w:val="auto"/>
          <w:sz w:val="32"/>
          <w:szCs w:val="32"/>
          <w:highlight w:val="none"/>
          <w:lang w:val="en-US" w:eastAsia="zh-CN"/>
        </w:rPr>
        <w:t>17.44</w:t>
      </w:r>
      <w:r>
        <w:rPr>
          <w:rFonts w:hint="eastAsia" w:ascii="仿宋_GB2312" w:eastAsia="仿宋_GB2312"/>
          <w:color w:val="auto"/>
          <w:sz w:val="32"/>
          <w:szCs w:val="32"/>
          <w:highlight w:val="none"/>
        </w:rPr>
        <w:t>万元，比</w:t>
      </w:r>
      <w:r>
        <w:rPr>
          <w:rFonts w:ascii="仿宋_GB2312" w:eastAsia="仿宋_GB2312"/>
          <w:color w:val="auto"/>
          <w:sz w:val="32"/>
          <w:szCs w:val="32"/>
          <w:highlight w:val="none"/>
        </w:rPr>
        <w:t>201</w:t>
      </w:r>
      <w:r>
        <w:rPr>
          <w:rFonts w:hint="eastAsia" w:ascii="仿宋_GB2312" w:eastAsia="仿宋_GB2312"/>
          <w:color w:val="auto"/>
          <w:sz w:val="32"/>
          <w:szCs w:val="32"/>
          <w:highlight w:val="none"/>
        </w:rPr>
        <w:t>8年</w:t>
      </w:r>
      <w:r>
        <w:rPr>
          <w:rFonts w:hint="eastAsia" w:ascii="仿宋_GB2312" w:eastAsia="仿宋_GB2312"/>
          <w:color w:val="auto"/>
          <w:sz w:val="32"/>
          <w:szCs w:val="32"/>
          <w:highlight w:val="none"/>
          <w:lang w:val="en-US" w:eastAsia="zh-CN"/>
        </w:rPr>
        <w:t>27.18</w:t>
      </w:r>
      <w:r>
        <w:rPr>
          <w:rFonts w:hint="eastAsia" w:ascii="仿宋_GB2312" w:eastAsia="仿宋_GB2312"/>
          <w:color w:val="auto"/>
          <w:sz w:val="32"/>
          <w:szCs w:val="32"/>
          <w:highlight w:val="none"/>
        </w:rPr>
        <w:t>减少</w:t>
      </w:r>
      <w:r>
        <w:rPr>
          <w:rFonts w:hint="eastAsia" w:ascii="仿宋_GB2312" w:eastAsia="仿宋_GB2312"/>
          <w:color w:val="auto"/>
          <w:sz w:val="32"/>
          <w:szCs w:val="32"/>
          <w:highlight w:val="none"/>
          <w:lang w:val="en-US" w:eastAsia="zh-CN"/>
        </w:rPr>
        <w:t>9.74</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下降</w:t>
      </w:r>
      <w:r>
        <w:rPr>
          <w:rFonts w:hint="eastAsia" w:ascii="仿宋_GB2312" w:eastAsia="仿宋_GB2312"/>
          <w:color w:val="auto"/>
          <w:sz w:val="32"/>
          <w:szCs w:val="32"/>
          <w:highlight w:val="none"/>
          <w:lang w:val="en-US" w:eastAsia="zh-CN"/>
        </w:rPr>
        <w:t>35.84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主要原因是</w:t>
      </w:r>
      <w:r>
        <w:rPr>
          <w:rFonts w:hint="eastAsia" w:ascii="仿宋_GB2312" w:eastAsia="仿宋_GB2312"/>
          <w:color w:val="auto"/>
          <w:sz w:val="32"/>
          <w:szCs w:val="32"/>
          <w:highlight w:val="none"/>
          <w:lang w:eastAsia="zh-CN"/>
        </w:rPr>
        <w:t>厉行节约，规范开支。</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5" w:name="_Toc15377223"/>
      <w:r>
        <w:rPr>
          <w:rFonts w:hint="eastAsia" w:ascii="仿宋" w:hAnsi="仿宋" w:eastAsia="仿宋"/>
          <w:b/>
          <w:color w:val="auto"/>
          <w:sz w:val="32"/>
          <w:szCs w:val="32"/>
          <w:highlight w:val="none"/>
        </w:rPr>
        <w:t>（二）政府采购支出情况</w:t>
      </w:r>
      <w:bookmarkEnd w:id="55"/>
    </w:p>
    <w:p>
      <w:pPr>
        <w:spacing w:line="60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201</w:t>
      </w:r>
      <w:r>
        <w:rPr>
          <w:rFonts w:hint="eastAsia" w:ascii="仿宋_GB2312" w:eastAsia="仿宋_GB2312"/>
          <w:color w:val="auto"/>
          <w:sz w:val="32"/>
          <w:szCs w:val="32"/>
          <w:highlight w:val="none"/>
        </w:rPr>
        <w:t>9年，政府采购支出总额</w:t>
      </w:r>
      <w:r>
        <w:rPr>
          <w:rFonts w:hint="eastAsia" w:ascii="仿宋_GB2312" w:eastAsia="仿宋_GB2312"/>
          <w:color w:val="auto"/>
          <w:sz w:val="32"/>
          <w:szCs w:val="32"/>
          <w:highlight w:val="none"/>
          <w:lang w:val="en-US" w:eastAsia="zh-CN"/>
        </w:rPr>
        <w:t>774.18</w:t>
      </w:r>
      <w:r>
        <w:rPr>
          <w:rFonts w:hint="eastAsia" w:ascii="仿宋_GB2312" w:eastAsia="仿宋_GB2312"/>
          <w:color w:val="auto"/>
          <w:sz w:val="32"/>
          <w:szCs w:val="32"/>
          <w:highlight w:val="none"/>
        </w:rPr>
        <w:t>万元，其中：政府采购货物支出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万元、政府采购工程支出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万元、政府采购服务支出</w:t>
      </w:r>
      <w:r>
        <w:rPr>
          <w:rFonts w:hint="eastAsia" w:ascii="仿宋_GB2312" w:eastAsia="仿宋_GB2312"/>
          <w:color w:val="auto"/>
          <w:sz w:val="32"/>
          <w:szCs w:val="32"/>
          <w:highlight w:val="none"/>
          <w:lang w:val="en-US" w:eastAsia="zh-CN"/>
        </w:rPr>
        <w:t>774.18</w:t>
      </w:r>
      <w:r>
        <w:rPr>
          <w:rFonts w:hint="eastAsia" w:ascii="仿宋_GB2312" w:eastAsia="仿宋_GB2312"/>
          <w:color w:val="auto"/>
          <w:sz w:val="32"/>
          <w:szCs w:val="32"/>
          <w:highlight w:val="none"/>
        </w:rPr>
        <w:t>万元。主要用于</w:t>
      </w:r>
      <w:r>
        <w:rPr>
          <w:rFonts w:hint="eastAsia" w:ascii="仿宋_GB2312" w:eastAsia="仿宋_GB2312"/>
          <w:color w:val="auto"/>
          <w:sz w:val="32"/>
          <w:szCs w:val="32"/>
          <w:highlight w:val="none"/>
          <w:lang w:eastAsia="zh-CN"/>
        </w:rPr>
        <w:t>土地评估测绘委托业务费、地质灾害防治治理等业务服务项目</w:t>
      </w:r>
      <w:r>
        <w:rPr>
          <w:rFonts w:hint="eastAsia" w:ascii="仿宋_GB2312" w:eastAsia="仿宋_GB2312"/>
          <w:color w:val="auto"/>
          <w:sz w:val="32"/>
          <w:szCs w:val="32"/>
          <w:highlight w:val="none"/>
        </w:rPr>
        <w:t>。授予中小企业合同金额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，其中：授予小微企业合同金额</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万元，占政府采购支出总额的</w:t>
      </w:r>
      <w:r>
        <w:rPr>
          <w:rFonts w:hint="eastAsia" w:ascii="仿宋_GB2312" w:eastAsia="仿宋_GB2312"/>
          <w:color w:val="auto"/>
          <w:sz w:val="32"/>
          <w:szCs w:val="32"/>
          <w:highlight w:val="none"/>
          <w:lang w:val="en-US" w:eastAsia="zh-CN"/>
        </w:rPr>
        <w:t>0</w:t>
      </w:r>
      <w:r>
        <w:rPr>
          <w:rFonts w:ascii="仿宋_GB2312" w:eastAsia="仿宋_GB2312"/>
          <w:color w:val="auto"/>
          <w:sz w:val="32"/>
          <w:szCs w:val="32"/>
          <w:highlight w:val="none"/>
        </w:rPr>
        <w:t>%</w:t>
      </w:r>
      <w:r>
        <w:rPr>
          <w:rFonts w:hint="eastAsia" w:ascii="仿宋_GB2312" w:eastAsia="仿宋_GB2312"/>
          <w:color w:val="auto"/>
          <w:sz w:val="32"/>
          <w:szCs w:val="32"/>
          <w:highlight w:val="none"/>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6" w:name="_Toc15377224"/>
      <w:r>
        <w:rPr>
          <w:rFonts w:hint="eastAsia" w:ascii="仿宋" w:hAnsi="仿宋" w:eastAsia="仿宋"/>
          <w:b/>
          <w:color w:val="auto"/>
          <w:sz w:val="32"/>
          <w:szCs w:val="32"/>
          <w:highlight w:val="none"/>
        </w:rPr>
        <w:t>（三）国有资产占有使用情况</w:t>
      </w:r>
      <w:bookmarkEnd w:id="56"/>
    </w:p>
    <w:p>
      <w:pPr>
        <w:autoSpaceDE w:val="0"/>
        <w:autoSpaceDN w:val="0"/>
        <w:adjustRightInd w:val="0"/>
        <w:spacing w:line="600" w:lineRule="exact"/>
        <w:ind w:firstLine="640" w:firstLineChars="2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截至</w:t>
      </w:r>
      <w:r>
        <w:rPr>
          <w:rFonts w:ascii="仿宋_GB2312" w:eastAsia="仿宋_GB2312"/>
          <w:color w:val="auto"/>
          <w:sz w:val="32"/>
          <w:szCs w:val="32"/>
          <w:highlight w:val="none"/>
        </w:rPr>
        <w:t>201</w:t>
      </w:r>
      <w:r>
        <w:rPr>
          <w:rFonts w:hint="eastAsia" w:ascii="仿宋_GB2312" w:eastAsia="仿宋_GB2312"/>
          <w:color w:val="auto"/>
          <w:sz w:val="32"/>
          <w:szCs w:val="32"/>
          <w:highlight w:val="none"/>
        </w:rPr>
        <w:t>9年</w:t>
      </w:r>
      <w:r>
        <w:rPr>
          <w:rFonts w:ascii="仿宋_GB2312" w:eastAsia="仿宋_GB2312"/>
          <w:color w:val="auto"/>
          <w:sz w:val="32"/>
          <w:szCs w:val="32"/>
          <w:highlight w:val="none"/>
        </w:rPr>
        <w:t>12</w:t>
      </w:r>
      <w:r>
        <w:rPr>
          <w:rFonts w:hint="eastAsia" w:ascii="仿宋_GB2312" w:eastAsia="仿宋_GB2312"/>
          <w:color w:val="auto"/>
          <w:sz w:val="32"/>
          <w:szCs w:val="32"/>
          <w:highlight w:val="none"/>
        </w:rPr>
        <w:t>月</w:t>
      </w:r>
      <w:r>
        <w:rPr>
          <w:rFonts w:ascii="仿宋_GB2312" w:eastAsia="仿宋_GB2312"/>
          <w:color w:val="auto"/>
          <w:sz w:val="32"/>
          <w:szCs w:val="32"/>
          <w:highlight w:val="none"/>
        </w:rPr>
        <w:t>31</w:t>
      </w:r>
      <w:r>
        <w:rPr>
          <w:rFonts w:hint="eastAsia" w:ascii="仿宋_GB2312" w:eastAsia="仿宋_GB2312"/>
          <w:color w:val="auto"/>
          <w:sz w:val="32"/>
          <w:szCs w:val="32"/>
          <w:highlight w:val="none"/>
        </w:rPr>
        <w:t>日，</w:t>
      </w:r>
      <w:r>
        <w:rPr>
          <w:rFonts w:hint="eastAsia" w:ascii="仿宋_GB2312" w:eastAsia="仿宋_GB2312"/>
          <w:color w:val="auto"/>
          <w:sz w:val="32"/>
          <w:szCs w:val="32"/>
          <w:highlight w:val="none"/>
          <w:lang w:eastAsia="zh-CN"/>
        </w:rPr>
        <w:t>红原县自然资源局</w:t>
      </w:r>
      <w:r>
        <w:rPr>
          <w:rFonts w:hint="eastAsia" w:ascii="仿宋_GB2312" w:eastAsia="仿宋_GB2312"/>
          <w:color w:val="auto"/>
          <w:sz w:val="32"/>
          <w:szCs w:val="32"/>
          <w:highlight w:val="none"/>
        </w:rPr>
        <w:t>共有车辆</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辆，其中：主要领导干部用车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辆、机要通信用车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辆、应急保障用车</w:t>
      </w: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辆、其他用车</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辆</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50</w:t>
      </w:r>
      <w:r>
        <w:rPr>
          <w:rFonts w:hint="eastAsia" w:ascii="仿宋_GB2312" w:eastAsia="仿宋_GB2312"/>
          <w:color w:val="auto"/>
          <w:sz w:val="32"/>
          <w:szCs w:val="32"/>
          <w:highlight w:val="none"/>
        </w:rPr>
        <w:t>万元以上通用设备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万元以上专用设备</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根据预算绩效管理要求，本</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在年初预算编制阶段，组织对</w:t>
      </w:r>
      <w:r>
        <w:rPr>
          <w:rFonts w:hint="eastAsia" w:ascii="仿宋_GB2312" w:hAnsi="仿宋_GB2312" w:eastAsia="仿宋_GB2312" w:cs="仿宋_GB2312"/>
          <w:color w:val="auto"/>
          <w:sz w:val="32"/>
          <w:szCs w:val="32"/>
          <w:highlight w:val="none"/>
          <w:lang w:val="en-US" w:eastAsia="zh-CN"/>
        </w:rPr>
        <w:t>2019年地质灾害综合防治体系建设</w:t>
      </w:r>
      <w:r>
        <w:rPr>
          <w:rFonts w:hint="eastAsia" w:ascii="仿宋_GB2312" w:hAnsi="仿宋_GB2312" w:eastAsia="仿宋_GB2312" w:cs="仿宋_GB2312"/>
          <w:color w:val="auto"/>
          <w:sz w:val="32"/>
          <w:szCs w:val="32"/>
          <w:highlight w:val="none"/>
        </w:rPr>
        <w:t>项目项目支出开展了预算事前绩效评估，对</w:t>
      </w:r>
      <w:r>
        <w:rPr>
          <w:rFonts w:hint="eastAsia" w:ascii="仿宋_GB2312" w:hAnsi="仿宋_GB2312" w:eastAsia="仿宋_GB2312" w:cs="仿宋_GB2312"/>
          <w:color w:val="auto"/>
          <w:sz w:val="32"/>
          <w:szCs w:val="32"/>
          <w:highlight w:val="none"/>
          <w:lang w:val="en-US" w:eastAsia="zh-CN"/>
        </w:rPr>
        <w:t>该</w:t>
      </w:r>
      <w:r>
        <w:rPr>
          <w:rFonts w:hint="eastAsia" w:ascii="仿宋_GB2312" w:hAnsi="仿宋_GB2312" w:eastAsia="仿宋_GB2312" w:cs="仿宋_GB2312"/>
          <w:color w:val="auto"/>
          <w:sz w:val="32"/>
          <w:szCs w:val="32"/>
          <w:highlight w:val="none"/>
        </w:rPr>
        <w:t>项目编制了绩效目标，预算执行过程中，选取</w:t>
      </w:r>
      <w:r>
        <w:rPr>
          <w:rFonts w:hint="eastAsia" w:ascii="仿宋_GB2312" w:hAnsi="仿宋_GB2312" w:eastAsia="仿宋_GB2312" w:cs="仿宋_GB2312"/>
          <w:color w:val="auto"/>
          <w:sz w:val="32"/>
          <w:szCs w:val="32"/>
          <w:highlight w:val="none"/>
          <w:lang w:val="en-US" w:eastAsia="zh-CN"/>
        </w:rPr>
        <w:t>该</w:t>
      </w:r>
      <w:r>
        <w:rPr>
          <w:rFonts w:hint="eastAsia" w:ascii="仿宋_GB2312" w:hAnsi="仿宋_GB2312" w:eastAsia="仿宋_GB2312" w:cs="仿宋_GB2312"/>
          <w:color w:val="auto"/>
          <w:sz w:val="32"/>
          <w:szCs w:val="32"/>
          <w:highlight w:val="none"/>
        </w:rPr>
        <w:t>项目开展绩效监控，年终执行完毕后，对</w:t>
      </w:r>
      <w:r>
        <w:rPr>
          <w:rFonts w:hint="eastAsia" w:ascii="仿宋_GB2312" w:hAnsi="仿宋_GB2312" w:eastAsia="仿宋_GB2312" w:cs="仿宋_GB2312"/>
          <w:color w:val="auto"/>
          <w:sz w:val="32"/>
          <w:szCs w:val="32"/>
          <w:highlight w:val="none"/>
          <w:lang w:val="en-US" w:eastAsia="zh-CN"/>
        </w:rPr>
        <w:t>该</w:t>
      </w:r>
      <w:r>
        <w:rPr>
          <w:rFonts w:hint="eastAsia" w:ascii="仿宋_GB2312" w:hAnsi="仿宋_GB2312" w:eastAsia="仿宋_GB2312" w:cs="仿宋_GB2312"/>
          <w:color w:val="auto"/>
          <w:sz w:val="32"/>
          <w:szCs w:val="32"/>
          <w:highlight w:val="none"/>
        </w:rPr>
        <w:t>项目开展了绩效目标完成情况自评。</w:t>
      </w:r>
    </w:p>
    <w:p>
      <w:pPr>
        <w:numPr>
          <w:ilvl w:val="0"/>
          <w:numId w:val="5"/>
        </w:num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项目绩效目标完成情况。</w:t>
      </w:r>
      <w:r>
        <w:rPr>
          <w:rFonts w:hint="eastAsia" w:ascii="楷体_GB2312" w:hAnsi="楷体_GB2312" w:eastAsia="楷体_GB2312" w:cs="楷体_GB2312"/>
          <w:color w:val="auto"/>
          <w:sz w:val="32"/>
          <w:szCs w:val="32"/>
          <w:highlight w:val="none"/>
        </w:rPr>
        <w:br w:type="textWrapping"/>
      </w:r>
      <w:r>
        <w:rPr>
          <w:rFonts w:hint="eastAsia" w:ascii="仿宋_GB2312" w:hAnsi="仿宋_GB2312" w:eastAsia="仿宋_GB2312" w:cs="仿宋_GB2312"/>
          <w:color w:val="auto"/>
          <w:sz w:val="32"/>
          <w:szCs w:val="32"/>
          <w:highlight w:val="none"/>
        </w:rPr>
        <w:t xml:space="preserve">    本部门在2019年度部门决算中反映“</w:t>
      </w:r>
      <w:r>
        <w:rPr>
          <w:rFonts w:hint="eastAsia" w:ascii="仿宋_GB2312" w:hAnsi="仿宋_GB2312" w:eastAsia="仿宋_GB2312" w:cs="仿宋_GB2312"/>
          <w:color w:val="auto"/>
          <w:sz w:val="32"/>
          <w:szCs w:val="32"/>
          <w:highlight w:val="none"/>
          <w:lang w:eastAsia="zh-CN"/>
        </w:rPr>
        <w:t>生态保护</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其他农业支出</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土地资源调查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“自然资源调查”“其他自然资源事务支出”“地质灾害防治”</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个项目</w:t>
      </w:r>
      <w:r>
        <w:rPr>
          <w:rFonts w:hint="eastAsia" w:ascii="仿宋_GB2312" w:hAnsi="仿宋_GB2312" w:eastAsia="仿宋_GB2312" w:cs="仿宋_GB2312"/>
          <w:color w:val="auto"/>
          <w:sz w:val="32"/>
          <w:szCs w:val="32"/>
          <w:highlight w:val="none"/>
          <w:lang w:eastAsia="zh-CN"/>
        </w:rPr>
        <w:t>，选取</w:t>
      </w:r>
      <w:r>
        <w:rPr>
          <w:rFonts w:hint="eastAsia" w:ascii="仿宋_GB2312" w:hAnsi="仿宋_GB2312" w:eastAsia="仿宋_GB2312" w:cs="仿宋_GB2312"/>
          <w:color w:val="auto"/>
          <w:sz w:val="32"/>
          <w:szCs w:val="32"/>
          <w:highlight w:val="none"/>
        </w:rPr>
        <w:t>绩效目标实际完成情况。</w:t>
      </w:r>
    </w:p>
    <w:p>
      <w:pPr>
        <w:numPr>
          <w:ilvl w:val="0"/>
          <w:numId w:val="0"/>
        </w:numPr>
        <w:spacing w:line="580" w:lineRule="exact"/>
        <w:ind w:firstLine="320" w:firstLineChars="1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生态保护</w:t>
      </w:r>
      <w:r>
        <w:rPr>
          <w:rFonts w:hint="eastAsia" w:ascii="仿宋_GB2312" w:hAnsi="仿宋_GB2312" w:eastAsia="仿宋_GB2312" w:cs="仿宋_GB2312"/>
          <w:color w:val="auto"/>
          <w:sz w:val="32"/>
          <w:szCs w:val="32"/>
          <w:highlight w:val="none"/>
        </w:rPr>
        <w:t>项目绩效目标完成情况综述。项目全年预算数</w:t>
      </w:r>
      <w:r>
        <w:rPr>
          <w:rFonts w:hint="eastAsia" w:ascii="仿宋_GB2312" w:hAnsi="仿宋_GB2312" w:eastAsia="仿宋_GB2312" w:cs="仿宋_GB2312"/>
          <w:color w:val="auto"/>
          <w:sz w:val="32"/>
          <w:szCs w:val="32"/>
          <w:highlight w:val="none"/>
          <w:lang w:val="en-US" w:eastAsia="zh-CN"/>
        </w:rPr>
        <w:t>135.96</w:t>
      </w:r>
      <w:r>
        <w:rPr>
          <w:rFonts w:hint="eastAsia" w:ascii="仿宋_GB2312" w:hAnsi="仿宋_GB2312" w:eastAsia="仿宋_GB2312" w:cs="仿宋_GB2312"/>
          <w:color w:val="auto"/>
          <w:sz w:val="32"/>
          <w:szCs w:val="32"/>
          <w:highlight w:val="none"/>
        </w:rPr>
        <w:t>万元，执行数为</w:t>
      </w:r>
      <w:r>
        <w:rPr>
          <w:rFonts w:hint="eastAsia" w:ascii="仿宋_GB2312" w:hAnsi="仿宋_GB2312" w:eastAsia="仿宋_GB2312" w:cs="仿宋_GB2312"/>
          <w:color w:val="auto"/>
          <w:sz w:val="32"/>
          <w:szCs w:val="32"/>
          <w:highlight w:val="none"/>
          <w:lang w:val="en-US" w:eastAsia="zh-CN"/>
        </w:rPr>
        <w:t>135.96</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%。通过项目实施，保障</w:t>
      </w:r>
      <w:r>
        <w:rPr>
          <w:rFonts w:hint="eastAsia" w:ascii="仿宋_GB2312" w:hAnsi="仿宋_GB2312" w:eastAsia="仿宋_GB2312" w:cs="仿宋_GB2312"/>
          <w:color w:val="auto"/>
          <w:sz w:val="32"/>
          <w:szCs w:val="32"/>
          <w:highlight w:val="none"/>
          <w:lang w:eastAsia="zh-CN"/>
        </w:rPr>
        <w:t>了本年</w:t>
      </w:r>
      <w:r>
        <w:rPr>
          <w:rFonts w:hint="eastAsia" w:ascii="仿宋_GB2312" w:hAnsi="仿宋_GB2312" w:eastAsia="仿宋_GB2312" w:cs="仿宋_GB2312"/>
          <w:color w:val="auto"/>
          <w:sz w:val="32"/>
          <w:szCs w:val="32"/>
          <w:highlight w:val="none"/>
        </w:rPr>
        <w:t>草原植被恢复费</w:t>
      </w:r>
      <w:r>
        <w:rPr>
          <w:rFonts w:hint="eastAsia" w:ascii="仿宋_GB2312" w:hAnsi="仿宋_GB2312" w:eastAsia="仿宋_GB2312" w:cs="仿宋_GB2312"/>
          <w:color w:val="auto"/>
          <w:sz w:val="32"/>
          <w:szCs w:val="32"/>
          <w:highlight w:val="none"/>
          <w:lang w:val="en-US" w:eastAsia="zh-CN"/>
        </w:rPr>
        <w:t>742492</w:t>
      </w:r>
      <w:r>
        <w:rPr>
          <w:rFonts w:hint="eastAsia" w:ascii="仿宋_GB2312" w:hAnsi="仿宋_GB2312" w:eastAsia="仿宋_GB2312" w:cs="仿宋_GB2312"/>
          <w:color w:val="auto"/>
          <w:sz w:val="32"/>
          <w:szCs w:val="32"/>
          <w:highlight w:val="none"/>
        </w:rPr>
        <w:t>元</w:t>
      </w:r>
      <w:r>
        <w:rPr>
          <w:rFonts w:hint="eastAsia" w:ascii="仿宋_GB2312" w:hAnsi="仿宋_GB2312" w:eastAsia="仿宋_GB2312" w:cs="仿宋_GB2312"/>
          <w:color w:val="auto"/>
          <w:sz w:val="32"/>
          <w:szCs w:val="32"/>
          <w:highlight w:val="none"/>
          <w:lang w:eastAsia="zh-CN"/>
        </w:rPr>
        <w:t>及刷经寺老康猫地质灾害治理工程617094.25元的支出，保障土地项目的有效落实，促进我县经济快速稳定发展。</w:t>
      </w:r>
    </w:p>
    <w:p>
      <w:pPr>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其他农业支出</w:t>
      </w:r>
      <w:r>
        <w:rPr>
          <w:rFonts w:hint="eastAsia" w:ascii="仿宋_GB2312" w:hAnsi="仿宋_GB2312" w:eastAsia="仿宋_GB2312" w:cs="仿宋_GB2312"/>
          <w:color w:val="auto"/>
          <w:sz w:val="32"/>
          <w:szCs w:val="32"/>
          <w:highlight w:val="none"/>
        </w:rPr>
        <w:t>项目绩效目标完成情况综述。项目全年预算数</w:t>
      </w:r>
      <w:r>
        <w:rPr>
          <w:rFonts w:hint="eastAsia" w:ascii="仿宋_GB2312" w:hAnsi="仿宋_GB2312" w:eastAsia="仿宋_GB2312" w:cs="仿宋_GB2312"/>
          <w:color w:val="auto"/>
          <w:sz w:val="32"/>
          <w:szCs w:val="32"/>
          <w:highlight w:val="none"/>
          <w:lang w:val="en-US" w:eastAsia="zh-CN"/>
        </w:rPr>
        <w:t>75</w:t>
      </w:r>
      <w:r>
        <w:rPr>
          <w:rFonts w:hint="eastAsia" w:ascii="仿宋_GB2312" w:hAnsi="仿宋_GB2312" w:eastAsia="仿宋_GB2312" w:cs="仿宋_GB2312"/>
          <w:color w:val="auto"/>
          <w:sz w:val="32"/>
          <w:szCs w:val="32"/>
          <w:highlight w:val="none"/>
        </w:rPr>
        <w:t>万元，执行数为</w:t>
      </w:r>
      <w:r>
        <w:rPr>
          <w:rFonts w:hint="eastAsia" w:ascii="仿宋_GB2312" w:hAnsi="仿宋_GB2312" w:eastAsia="仿宋_GB2312" w:cs="仿宋_GB2312"/>
          <w:color w:val="auto"/>
          <w:sz w:val="32"/>
          <w:szCs w:val="32"/>
          <w:highlight w:val="none"/>
          <w:lang w:val="en-US" w:eastAsia="zh-CN"/>
        </w:rPr>
        <w:t>75</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%。通过项目实施，保障</w:t>
      </w:r>
      <w:r>
        <w:rPr>
          <w:rFonts w:hint="eastAsia" w:ascii="仿宋_GB2312" w:hAnsi="仿宋_GB2312" w:eastAsia="仿宋_GB2312" w:cs="仿宋_GB2312"/>
          <w:color w:val="auto"/>
          <w:sz w:val="32"/>
          <w:szCs w:val="32"/>
          <w:highlight w:val="none"/>
          <w:lang w:eastAsia="zh-CN"/>
        </w:rPr>
        <w:t>了全县</w:t>
      </w:r>
      <w:r>
        <w:rPr>
          <w:rFonts w:hint="eastAsia" w:ascii="仿宋_GB2312" w:hAnsi="仿宋_GB2312" w:eastAsia="仿宋_GB2312" w:cs="仿宋_GB2312"/>
          <w:color w:val="auto"/>
          <w:sz w:val="32"/>
          <w:szCs w:val="32"/>
          <w:highlight w:val="none"/>
        </w:rPr>
        <w:t>草原承包确权试点</w:t>
      </w:r>
      <w:r>
        <w:rPr>
          <w:rFonts w:hint="eastAsia" w:ascii="仿宋_GB2312" w:hAnsi="仿宋_GB2312" w:eastAsia="仿宋_GB2312" w:cs="仿宋_GB2312"/>
          <w:color w:val="auto"/>
          <w:sz w:val="32"/>
          <w:szCs w:val="32"/>
          <w:highlight w:val="none"/>
          <w:lang w:eastAsia="zh-CN"/>
        </w:rPr>
        <w:t>工作的顺利开展。</w:t>
      </w:r>
    </w:p>
    <w:p>
      <w:pPr>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土地资源调查</w:t>
      </w:r>
      <w:r>
        <w:rPr>
          <w:rFonts w:hint="eastAsia" w:ascii="仿宋_GB2312" w:hAnsi="仿宋_GB2312" w:eastAsia="仿宋_GB2312" w:cs="仿宋_GB2312"/>
          <w:color w:val="auto"/>
          <w:sz w:val="32"/>
          <w:szCs w:val="32"/>
          <w:highlight w:val="none"/>
        </w:rPr>
        <w:t>项目绩效目标完成情况综述。项目全年预算数</w:t>
      </w:r>
      <w:r>
        <w:rPr>
          <w:rFonts w:hint="eastAsia" w:ascii="仿宋_GB2312" w:hAnsi="仿宋_GB2312" w:eastAsia="仿宋_GB2312" w:cs="仿宋_GB2312"/>
          <w:color w:val="auto"/>
          <w:sz w:val="32"/>
          <w:szCs w:val="32"/>
          <w:highlight w:val="none"/>
          <w:lang w:val="en-US" w:eastAsia="zh-CN"/>
        </w:rPr>
        <w:t>373.14</w:t>
      </w:r>
      <w:r>
        <w:rPr>
          <w:rFonts w:hint="eastAsia" w:ascii="仿宋_GB2312" w:hAnsi="仿宋_GB2312" w:eastAsia="仿宋_GB2312" w:cs="仿宋_GB2312"/>
          <w:color w:val="auto"/>
          <w:sz w:val="32"/>
          <w:szCs w:val="32"/>
          <w:highlight w:val="none"/>
        </w:rPr>
        <w:t>万元，执行数为</w:t>
      </w:r>
      <w:r>
        <w:rPr>
          <w:rFonts w:hint="eastAsia" w:ascii="仿宋_GB2312" w:hAnsi="仿宋_GB2312" w:eastAsia="仿宋_GB2312" w:cs="仿宋_GB2312"/>
          <w:color w:val="auto"/>
          <w:sz w:val="32"/>
          <w:szCs w:val="32"/>
          <w:highlight w:val="none"/>
          <w:lang w:val="en-US" w:eastAsia="zh-CN"/>
        </w:rPr>
        <w:t>373.14</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%。通过项目实施，保障</w:t>
      </w:r>
      <w:r>
        <w:rPr>
          <w:rFonts w:hint="eastAsia" w:ascii="仿宋_GB2312" w:hAnsi="仿宋_GB2312" w:eastAsia="仿宋_GB2312" w:cs="仿宋_GB2312"/>
          <w:color w:val="auto"/>
          <w:sz w:val="32"/>
          <w:szCs w:val="32"/>
          <w:highlight w:val="none"/>
          <w:lang w:eastAsia="zh-CN"/>
        </w:rPr>
        <w:t>全县土地资源的评估、测绘、调查工作全面。有效的开展。</w:t>
      </w:r>
    </w:p>
    <w:p>
      <w:pPr>
        <w:pStyle w:val="2"/>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自然资源调查</w:t>
      </w:r>
      <w:r>
        <w:rPr>
          <w:rFonts w:hint="eastAsia" w:ascii="仿宋_GB2312" w:hAnsi="仿宋_GB2312" w:eastAsia="仿宋_GB2312" w:cs="仿宋_GB2312"/>
          <w:color w:val="auto"/>
          <w:sz w:val="32"/>
          <w:szCs w:val="32"/>
          <w:highlight w:val="none"/>
        </w:rPr>
        <w:t>项目绩效目标完成情况综述。项目全年预算数</w:t>
      </w:r>
      <w:r>
        <w:rPr>
          <w:rFonts w:hint="eastAsia" w:ascii="仿宋_GB2312" w:hAnsi="仿宋_GB2312" w:eastAsia="仿宋_GB2312" w:cs="仿宋_GB2312"/>
          <w:color w:val="auto"/>
          <w:sz w:val="32"/>
          <w:szCs w:val="32"/>
          <w:highlight w:val="none"/>
          <w:lang w:val="en-US" w:eastAsia="zh-CN"/>
        </w:rPr>
        <w:t>150</w:t>
      </w:r>
      <w:r>
        <w:rPr>
          <w:rFonts w:hint="eastAsia" w:ascii="仿宋_GB2312" w:hAnsi="仿宋_GB2312" w:eastAsia="仿宋_GB2312" w:cs="仿宋_GB2312"/>
          <w:color w:val="auto"/>
          <w:sz w:val="32"/>
          <w:szCs w:val="32"/>
          <w:highlight w:val="none"/>
        </w:rPr>
        <w:t>万元，执行数为</w:t>
      </w:r>
      <w:r>
        <w:rPr>
          <w:rFonts w:hint="eastAsia" w:ascii="仿宋_GB2312" w:hAnsi="仿宋_GB2312" w:eastAsia="仿宋_GB2312" w:cs="仿宋_GB2312"/>
          <w:color w:val="auto"/>
          <w:sz w:val="32"/>
          <w:szCs w:val="32"/>
          <w:highlight w:val="none"/>
          <w:lang w:val="en-US" w:eastAsia="zh-CN"/>
        </w:rPr>
        <w:t>150</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通过项目实施保障了第三次全国国土调查工作的顺利开展。</w:t>
      </w:r>
    </w:p>
    <w:p>
      <w:pPr>
        <w:pStyle w:val="2"/>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其他自然资源事务支出</w:t>
      </w:r>
      <w:r>
        <w:rPr>
          <w:rFonts w:hint="eastAsia" w:ascii="仿宋_GB2312" w:hAnsi="仿宋_GB2312" w:eastAsia="仿宋_GB2312" w:cs="仿宋_GB2312"/>
          <w:color w:val="auto"/>
          <w:sz w:val="32"/>
          <w:szCs w:val="32"/>
          <w:highlight w:val="none"/>
        </w:rPr>
        <w:t>项目绩效目标完成情况综述。项目全年预算数</w:t>
      </w:r>
      <w:r>
        <w:rPr>
          <w:rFonts w:hint="eastAsia" w:ascii="仿宋_GB2312" w:hAnsi="仿宋_GB2312" w:eastAsia="仿宋_GB2312" w:cs="仿宋_GB2312"/>
          <w:color w:val="auto"/>
          <w:sz w:val="32"/>
          <w:szCs w:val="32"/>
          <w:highlight w:val="none"/>
          <w:lang w:val="en-US" w:eastAsia="zh-CN"/>
        </w:rPr>
        <w:t>12.6</w:t>
      </w:r>
      <w:r>
        <w:rPr>
          <w:rFonts w:hint="eastAsia" w:ascii="仿宋_GB2312" w:hAnsi="仿宋_GB2312" w:eastAsia="仿宋_GB2312" w:cs="仿宋_GB2312"/>
          <w:color w:val="auto"/>
          <w:sz w:val="32"/>
          <w:szCs w:val="32"/>
          <w:highlight w:val="none"/>
        </w:rPr>
        <w:t>万元，执行数为</w:t>
      </w:r>
      <w:r>
        <w:rPr>
          <w:rFonts w:hint="eastAsia" w:ascii="仿宋_GB2312" w:hAnsi="仿宋_GB2312" w:eastAsia="仿宋_GB2312" w:cs="仿宋_GB2312"/>
          <w:color w:val="auto"/>
          <w:sz w:val="32"/>
          <w:szCs w:val="32"/>
          <w:highlight w:val="none"/>
          <w:lang w:val="en-US" w:eastAsia="zh-CN"/>
        </w:rPr>
        <w:t>12.6</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通过项目实施保障了</w:t>
      </w:r>
      <w:r>
        <w:rPr>
          <w:rFonts w:hint="eastAsia" w:ascii="仿宋_GB2312" w:hAnsi="仿宋_GB2312" w:eastAsia="仿宋_GB2312" w:cs="仿宋_GB2312"/>
          <w:color w:val="auto"/>
          <w:sz w:val="32"/>
          <w:szCs w:val="32"/>
          <w:highlight w:val="none"/>
          <w:lang w:val="en-US" w:eastAsia="zh-CN"/>
        </w:rPr>
        <w:t>2019年度</w:t>
      </w:r>
      <w:r>
        <w:rPr>
          <w:rFonts w:hint="eastAsia" w:ascii="仿宋_GB2312" w:hAnsi="仿宋_GB2312" w:eastAsia="仿宋_GB2312" w:cs="仿宋_GB2312"/>
          <w:color w:val="auto"/>
          <w:sz w:val="32"/>
          <w:szCs w:val="32"/>
          <w:highlight w:val="none"/>
          <w:lang w:eastAsia="zh-CN"/>
        </w:rPr>
        <w:t>地质灾害综合防治体系建设。</w:t>
      </w:r>
    </w:p>
    <w:p>
      <w:pPr>
        <w:pStyle w:val="2"/>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地质灾害防治支出</w:t>
      </w:r>
      <w:r>
        <w:rPr>
          <w:rFonts w:hint="eastAsia" w:ascii="仿宋_GB2312" w:hAnsi="仿宋_GB2312" w:eastAsia="仿宋_GB2312" w:cs="仿宋_GB2312"/>
          <w:color w:val="auto"/>
          <w:sz w:val="32"/>
          <w:szCs w:val="32"/>
          <w:highlight w:val="none"/>
        </w:rPr>
        <w:t>项目绩效目标完成情况综述。项目全年预算数</w:t>
      </w:r>
      <w:r>
        <w:rPr>
          <w:rFonts w:hint="eastAsia" w:ascii="仿宋_GB2312" w:hAnsi="仿宋_GB2312" w:eastAsia="仿宋_GB2312" w:cs="仿宋_GB2312"/>
          <w:color w:val="auto"/>
          <w:sz w:val="32"/>
          <w:szCs w:val="32"/>
          <w:highlight w:val="none"/>
          <w:lang w:val="en-US" w:eastAsia="zh-CN"/>
        </w:rPr>
        <w:t>221.62</w:t>
      </w:r>
      <w:r>
        <w:rPr>
          <w:rFonts w:hint="eastAsia" w:ascii="仿宋_GB2312" w:hAnsi="仿宋_GB2312" w:eastAsia="仿宋_GB2312" w:cs="仿宋_GB2312"/>
          <w:color w:val="auto"/>
          <w:sz w:val="32"/>
          <w:szCs w:val="32"/>
          <w:highlight w:val="none"/>
        </w:rPr>
        <w:t>万元，执行数为</w:t>
      </w:r>
      <w:r>
        <w:rPr>
          <w:rFonts w:hint="eastAsia" w:ascii="仿宋_GB2312" w:hAnsi="仿宋_GB2312" w:eastAsia="仿宋_GB2312" w:cs="仿宋_GB2312"/>
          <w:color w:val="auto"/>
          <w:sz w:val="32"/>
          <w:szCs w:val="32"/>
          <w:highlight w:val="none"/>
          <w:lang w:val="en-US" w:eastAsia="zh-CN"/>
        </w:rPr>
        <w:t>221.62</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通过项目实施保障了</w:t>
      </w:r>
      <w:r>
        <w:rPr>
          <w:rFonts w:hint="eastAsia" w:ascii="仿宋_GB2312" w:hAnsi="仿宋_GB2312" w:eastAsia="仿宋_GB2312" w:cs="仿宋_GB2312"/>
          <w:color w:val="auto"/>
          <w:sz w:val="32"/>
          <w:szCs w:val="32"/>
          <w:highlight w:val="none"/>
          <w:lang w:val="en-US" w:eastAsia="zh-CN"/>
        </w:rPr>
        <w:t>龙日乡格玛村安置点泥石流治理项目433631.98元、2018年地质灾害综合防治体系建设补助资金1055240元、查尔玛小学后山滑坡阿州国土资发（2017）202号和（2017）237号411585.77元、瓦切镇如意空行寺（尼姑寺）经堂后山滑坡治理工程结余资金10000元、龙日乡格玛村坡面泥石流及不稳定斜坡治理工程项目质保金31700元、刷经寺塘星村村委会后山泥石流149750元等资金的支付。</w:t>
      </w:r>
    </w:p>
    <w:tbl>
      <w:tblPr>
        <w:tblStyle w:val="15"/>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cs="宋体"/>
                <w:b/>
                <w:bCs/>
                <w:color w:val="auto"/>
                <w:kern w:val="0"/>
                <w:sz w:val="36"/>
                <w:szCs w:val="36"/>
                <w:highlight w:val="none"/>
              </w:rPr>
            </w:pPr>
          </w:p>
          <w:p>
            <w:pPr>
              <w:widowControl/>
              <w:jc w:val="center"/>
              <w:textAlignment w:val="center"/>
              <w:rPr>
                <w:rFonts w:ascii="宋体" w:hAnsi="宋体" w:cs="宋体"/>
                <w:color w:val="auto"/>
                <w:sz w:val="36"/>
                <w:szCs w:val="36"/>
                <w:highlight w:val="none"/>
              </w:rPr>
            </w:pPr>
            <w:r>
              <w:rPr>
                <w:rFonts w:hint="eastAsia" w:ascii="宋体" w:hAnsi="宋体" w:cs="宋体"/>
                <w:b/>
                <w:bCs/>
                <w:color w:val="auto"/>
                <w:kern w:val="0"/>
                <w:sz w:val="36"/>
                <w:szCs w:val="36"/>
                <w:highlight w:val="none"/>
              </w:rPr>
              <w:t>项目绩效目标完成情况表</w:t>
            </w:r>
            <w:r>
              <w:rPr>
                <w:rFonts w:hint="eastAsia" w:ascii="宋体" w:hAnsi="宋体" w:cs="宋体"/>
                <w:b/>
                <w:bCs/>
                <w:color w:val="auto"/>
                <w:kern w:val="0"/>
                <w:sz w:val="36"/>
                <w:szCs w:val="36"/>
                <w:highlight w:val="none"/>
              </w:rPr>
              <w:br w:type="textWrapping"/>
            </w:r>
            <w:r>
              <w:rPr>
                <w:rFonts w:hint="eastAsia" w:ascii="宋体" w:hAnsi="宋体" w:cs="宋体"/>
                <w:color w:val="auto"/>
                <w:kern w:val="0"/>
                <w:sz w:val="36"/>
                <w:szCs w:val="36"/>
                <w:highlight w:val="none"/>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abs>
                <w:tab w:val="left" w:pos="1024"/>
              </w:tabs>
              <w:jc w:val="left"/>
              <w:textAlignment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ab/>
            </w:r>
            <w:r>
              <w:rPr>
                <w:rFonts w:hint="eastAsia" w:ascii="宋体" w:hAnsi="宋体" w:cs="宋体"/>
                <w:color w:val="auto"/>
                <w:kern w:val="0"/>
                <w:sz w:val="24"/>
                <w:highlight w:val="none"/>
                <w:lang w:val="en-US" w:eastAsia="zh-CN"/>
              </w:rPr>
              <w:t>2019年地质灾害综合防治体系建设</w:t>
            </w:r>
            <w:r>
              <w:rPr>
                <w:rFonts w:hint="eastAsia" w:ascii="宋体" w:hAnsi="宋体" w:cs="宋体"/>
                <w:color w:val="auto"/>
                <w:kern w:val="0"/>
                <w:sz w:val="24"/>
                <w:highlight w:val="none"/>
              </w:rPr>
              <w:t>项目绩效</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红原县自然资源局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12.6万元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12.6万元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highlight w:val="none"/>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highlight w:val="none"/>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auto"/>
                <w:sz w:val="24"/>
                <w:highlight w:val="none"/>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b/>
                <w:bCs/>
                <w:color w:val="auto"/>
                <w:sz w:val="24"/>
                <w:highlight w:val="none"/>
                <w:lang w:val="en-US" w:eastAsia="zh-CN"/>
              </w:rPr>
              <w:t>一是</w:t>
            </w:r>
            <w:r>
              <w:rPr>
                <w:rFonts w:hint="eastAsia" w:ascii="宋体" w:hAnsi="宋体" w:cs="宋体"/>
                <w:color w:val="auto"/>
                <w:sz w:val="24"/>
                <w:highlight w:val="none"/>
                <w:lang w:val="en-US" w:eastAsia="zh-CN"/>
              </w:rPr>
              <w:t>完成35个地质灾害隐患点专职监测工作；</w:t>
            </w:r>
            <w:r>
              <w:rPr>
                <w:rFonts w:hint="eastAsia" w:ascii="宋体" w:hAnsi="宋体" w:cs="宋体"/>
                <w:b/>
                <w:bCs/>
                <w:color w:val="auto"/>
                <w:sz w:val="24"/>
                <w:highlight w:val="none"/>
                <w:lang w:val="en-US" w:eastAsia="zh-CN"/>
              </w:rPr>
              <w:t>二是</w:t>
            </w:r>
            <w:r>
              <w:rPr>
                <w:rFonts w:hint="eastAsia" w:ascii="宋体" w:hAnsi="宋体" w:cs="宋体"/>
                <w:color w:val="auto"/>
                <w:sz w:val="24"/>
                <w:highlight w:val="none"/>
                <w:lang w:val="en-US" w:eastAsia="zh-CN"/>
              </w:rPr>
              <w:t>完成地质灾害隐患点宣传培训和应急演练工作，覆盖率＞90%；</w:t>
            </w:r>
            <w:r>
              <w:rPr>
                <w:rFonts w:hint="eastAsia" w:ascii="宋体" w:hAnsi="宋体" w:cs="宋体"/>
                <w:b/>
                <w:bCs/>
                <w:color w:val="auto"/>
                <w:sz w:val="24"/>
                <w:highlight w:val="none"/>
                <w:lang w:val="en-US" w:eastAsia="zh-CN"/>
              </w:rPr>
              <w:t>三是</w:t>
            </w:r>
            <w:r>
              <w:rPr>
                <w:rFonts w:hint="eastAsia" w:ascii="宋体" w:hAnsi="宋体" w:cs="宋体"/>
                <w:color w:val="auto"/>
                <w:sz w:val="24"/>
                <w:highlight w:val="none"/>
                <w:lang w:val="en-US" w:eastAsia="zh-CN"/>
              </w:rPr>
              <w:t>填报四川省地质环境管理信息系统，填报率100%；</w:t>
            </w:r>
            <w:r>
              <w:rPr>
                <w:rFonts w:hint="eastAsia" w:ascii="宋体" w:hAnsi="宋体" w:cs="宋体"/>
                <w:b/>
                <w:bCs/>
                <w:color w:val="auto"/>
                <w:sz w:val="24"/>
                <w:highlight w:val="none"/>
                <w:lang w:val="en-US" w:eastAsia="zh-CN"/>
              </w:rPr>
              <w:t>四是</w:t>
            </w:r>
            <w:r>
              <w:rPr>
                <w:rFonts w:hint="eastAsia" w:ascii="宋体" w:hAnsi="宋体" w:cs="宋体"/>
                <w:color w:val="auto"/>
                <w:sz w:val="24"/>
                <w:highlight w:val="none"/>
                <w:lang w:val="en-US" w:eastAsia="zh-CN"/>
              </w:rPr>
              <w:t>编制并启动2019年度实施方案，目标完成率100%；</w:t>
            </w:r>
            <w:r>
              <w:rPr>
                <w:rFonts w:hint="eastAsia" w:ascii="宋体" w:hAnsi="宋体" w:cs="宋体"/>
                <w:b/>
                <w:bCs/>
                <w:color w:val="auto"/>
                <w:sz w:val="24"/>
                <w:highlight w:val="none"/>
                <w:lang w:val="en-US" w:eastAsia="zh-CN"/>
              </w:rPr>
              <w:t>五是</w:t>
            </w:r>
            <w:r>
              <w:rPr>
                <w:rFonts w:hint="eastAsia" w:ascii="宋体" w:hAnsi="宋体" w:cs="宋体"/>
                <w:color w:val="auto"/>
                <w:sz w:val="24"/>
                <w:highlight w:val="none"/>
                <w:lang w:val="en-US" w:eastAsia="zh-CN"/>
              </w:rPr>
              <w:t>完成2019年监测记录、值班记录，了解隐患点变化情况。</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b/>
                <w:bCs/>
                <w:color w:val="auto"/>
                <w:sz w:val="24"/>
                <w:highlight w:val="none"/>
                <w:lang w:val="en-US" w:eastAsia="zh-CN"/>
              </w:rPr>
              <w:t>一是</w:t>
            </w:r>
            <w:r>
              <w:rPr>
                <w:rFonts w:hint="eastAsia" w:ascii="宋体" w:hAnsi="宋体" w:cs="宋体"/>
                <w:color w:val="auto"/>
                <w:sz w:val="24"/>
                <w:highlight w:val="none"/>
                <w:lang w:val="en-US" w:eastAsia="zh-CN"/>
              </w:rPr>
              <w:t>完成35个地质灾害隐患点专职监测工作；</w:t>
            </w:r>
            <w:r>
              <w:rPr>
                <w:rFonts w:hint="eastAsia" w:ascii="宋体" w:hAnsi="宋体" w:cs="宋体"/>
                <w:b/>
                <w:bCs/>
                <w:color w:val="auto"/>
                <w:sz w:val="24"/>
                <w:highlight w:val="none"/>
                <w:lang w:val="en-US" w:eastAsia="zh-CN"/>
              </w:rPr>
              <w:t>二是</w:t>
            </w:r>
            <w:r>
              <w:rPr>
                <w:rFonts w:hint="eastAsia" w:ascii="宋体" w:hAnsi="宋体" w:cs="宋体"/>
                <w:color w:val="auto"/>
                <w:sz w:val="24"/>
                <w:highlight w:val="none"/>
                <w:lang w:val="en-US" w:eastAsia="zh-CN"/>
              </w:rPr>
              <w:t>完成地质灾害隐患点宣传培训和应急演练工作，覆盖率＞90%；</w:t>
            </w:r>
            <w:r>
              <w:rPr>
                <w:rFonts w:hint="eastAsia" w:ascii="宋体" w:hAnsi="宋体" w:cs="宋体"/>
                <w:b/>
                <w:bCs/>
                <w:color w:val="auto"/>
                <w:sz w:val="24"/>
                <w:highlight w:val="none"/>
                <w:lang w:val="en-US" w:eastAsia="zh-CN"/>
              </w:rPr>
              <w:t>三是</w:t>
            </w:r>
            <w:r>
              <w:rPr>
                <w:rFonts w:hint="eastAsia" w:ascii="宋体" w:hAnsi="宋体" w:cs="宋体"/>
                <w:color w:val="auto"/>
                <w:sz w:val="24"/>
                <w:highlight w:val="none"/>
                <w:lang w:val="en-US" w:eastAsia="zh-CN"/>
              </w:rPr>
              <w:t>填报四川省地质环境管理信息系统，填报率100%；</w:t>
            </w:r>
            <w:r>
              <w:rPr>
                <w:rFonts w:hint="eastAsia" w:ascii="宋体" w:hAnsi="宋体" w:cs="宋体"/>
                <w:b/>
                <w:bCs/>
                <w:color w:val="auto"/>
                <w:sz w:val="24"/>
                <w:highlight w:val="none"/>
                <w:lang w:val="en-US" w:eastAsia="zh-CN"/>
              </w:rPr>
              <w:t>四是</w:t>
            </w:r>
            <w:r>
              <w:rPr>
                <w:rFonts w:hint="eastAsia" w:ascii="宋体" w:hAnsi="宋体" w:cs="宋体"/>
                <w:color w:val="auto"/>
                <w:sz w:val="24"/>
                <w:highlight w:val="none"/>
                <w:lang w:val="en-US" w:eastAsia="zh-CN"/>
              </w:rPr>
              <w:t>编制并启动2019年度实施方案，目标完成率100%；</w:t>
            </w:r>
            <w:r>
              <w:rPr>
                <w:rFonts w:hint="eastAsia" w:ascii="宋体" w:hAnsi="宋体" w:cs="宋体"/>
                <w:b/>
                <w:bCs/>
                <w:color w:val="auto"/>
                <w:sz w:val="24"/>
                <w:highlight w:val="none"/>
                <w:lang w:val="en-US" w:eastAsia="zh-CN"/>
              </w:rPr>
              <w:t>五是</w:t>
            </w:r>
            <w:r>
              <w:rPr>
                <w:rFonts w:hint="eastAsia" w:ascii="宋体" w:hAnsi="宋体" w:cs="宋体"/>
                <w:color w:val="auto"/>
                <w:sz w:val="24"/>
                <w:highlight w:val="none"/>
                <w:lang w:val="en-US" w:eastAsia="zh-CN"/>
              </w:rPr>
              <w:t>完成2019年监测记录、值班记录，了解隐患点变化情况。</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sz w:val="24"/>
                <w:highlight w:val="none"/>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i w:val="0"/>
                <w:color w:val="auto"/>
                <w:kern w:val="0"/>
                <w:sz w:val="20"/>
                <w:szCs w:val="20"/>
                <w:highlight w:val="none"/>
                <w:u w:val="none"/>
                <w:lang w:val="en-US" w:eastAsia="zh-CN" w:bidi="ar"/>
              </w:rPr>
              <w:t>绩效目标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目标内容</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sz w:val="24"/>
                <w:highlight w:val="none"/>
                <w:lang w:val="en-US" w:eastAsia="zh-CN"/>
              </w:rPr>
              <w:t>2019年项目为群测群防专职监测用于35个地质灾害隐患点专职监测经费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val="en-US" w:eastAsia="zh-CN"/>
              </w:rPr>
              <w:t>2019年项目为群测群防专职监测用于35个地质灾害隐患点专职监测经费</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进度计划</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项目计划实施进度明确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sz w:val="20"/>
                <w:szCs w:val="20"/>
                <w:highlight w:val="none"/>
                <w:u w:val="none"/>
                <w:lang w:eastAsia="zh-CN"/>
              </w:rPr>
              <w:t>明确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sz w:val="20"/>
                <w:szCs w:val="20"/>
                <w:highlight w:val="none"/>
                <w:u w:val="none"/>
                <w:lang w:eastAsia="zh-CN"/>
              </w:rPr>
              <w:t>明确</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目标匹配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绩效目标设定符合实际需求的抽样项目点个数/抽样项目点总数×100%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35个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35个</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政策依据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项目符合党中央、国务院和省委、省政府决策部署；符合当前经济社会发展需要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sz w:val="20"/>
                <w:szCs w:val="20"/>
                <w:highlight w:val="none"/>
                <w:u w:val="none"/>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sz w:val="20"/>
                <w:szCs w:val="20"/>
                <w:highlight w:val="none"/>
                <w:u w:val="none"/>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lang w:val="en-US" w:eastAsia="zh-CN"/>
              </w:rPr>
              <w:t>决策依据</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实施规划</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实施规划符合实际，并根据情况变化适时调整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sz w:val="20"/>
                <w:szCs w:val="20"/>
                <w:highlight w:val="none"/>
                <w:u w:val="none"/>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sz w:val="20"/>
                <w:szCs w:val="20"/>
                <w:highlight w:val="none"/>
                <w:u w:val="none"/>
                <w:lang w:eastAsia="zh-CN"/>
              </w:rPr>
              <w:t>符合</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lang w:val="en-US" w:eastAsia="zh-CN"/>
              </w:rPr>
              <w:t>决策依据</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管理制度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项目资金分配决策程序明确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sz w:val="20"/>
                <w:szCs w:val="20"/>
                <w:highlight w:val="none"/>
                <w:u w:val="none"/>
                <w:lang w:eastAsia="zh-CN"/>
              </w:rPr>
              <w:t>明确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sz w:val="20"/>
                <w:szCs w:val="20"/>
                <w:highlight w:val="none"/>
                <w:u w:val="none"/>
                <w:lang w:eastAsia="zh-CN"/>
              </w:rPr>
              <w:t>明确</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项目管理</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 xml:space="preserve"> 资金到位</w:t>
            </w:r>
            <w:r>
              <w:rPr>
                <w:rFonts w:hint="eastAsia" w:ascii="宋体" w:hAnsi="宋体" w:cs="宋体"/>
                <w:i w:val="0"/>
                <w:color w:val="auto"/>
                <w:kern w:val="0"/>
                <w:sz w:val="20"/>
                <w:szCs w:val="20"/>
                <w:highlight w:val="none"/>
                <w:u w:val="none"/>
                <w:lang w:val="en-US" w:eastAsia="zh-CN" w:bidi="ar"/>
              </w:rPr>
              <w:t>、拨付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按规定及时拨付资金</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2"/>
                <w:sz w:val="20"/>
                <w:szCs w:val="20"/>
                <w:highlight w:val="none"/>
                <w:u w:val="none"/>
                <w:lang w:val="en-US" w:eastAsia="zh-CN" w:bidi="ar-SA"/>
              </w:rPr>
              <w:t>及时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2"/>
                <w:sz w:val="20"/>
                <w:szCs w:val="20"/>
                <w:highlight w:val="none"/>
                <w:u w:val="none"/>
                <w:lang w:val="en-US" w:eastAsia="zh-CN" w:bidi="ar-SA"/>
              </w:rPr>
              <w:t>及时</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eastAsia="宋体" w:cs="宋体"/>
                <w:i w:val="0"/>
                <w:color w:val="auto"/>
                <w:kern w:val="0"/>
                <w:sz w:val="20"/>
                <w:szCs w:val="20"/>
                <w:highlight w:val="none"/>
                <w:u w:val="none"/>
                <w:lang w:val="en-US" w:eastAsia="zh-CN" w:bidi="ar"/>
              </w:rPr>
              <w:t>完成数量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实际完成任务量/绩效目标设定任务量×100%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default"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sz w:val="20"/>
                <w:szCs w:val="20"/>
                <w:highlight w:val="none"/>
                <w:u w:val="none"/>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default"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sz w:val="20"/>
                <w:szCs w:val="20"/>
                <w:highlight w:val="none"/>
                <w:u w:val="none"/>
                <w:lang w:val="en-US" w:eastAsia="zh-CN"/>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完成质量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符合绩效目标设定的验收标准，达到行业基准水平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sz w:val="20"/>
                <w:szCs w:val="20"/>
                <w:highlight w:val="none"/>
                <w:u w:val="none"/>
                <w:lang w:eastAsia="zh-CN"/>
              </w:rPr>
              <w:t>符合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sz w:val="20"/>
                <w:szCs w:val="20"/>
                <w:highlight w:val="none"/>
                <w:u w:val="none"/>
                <w:lang w:eastAsia="zh-CN"/>
              </w:rPr>
              <w:t>符合</w:t>
            </w: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服务对象满意度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kern w:val="0"/>
                <w:sz w:val="20"/>
                <w:szCs w:val="20"/>
                <w:highlight w:val="none"/>
                <w:u w:val="none"/>
                <w:lang w:val="en-US" w:eastAsia="zh-CN" w:bidi="ar"/>
              </w:rPr>
              <w:t>反映服务对象或项目受益人对相关产出及其影响的认可程度，根据项目实际细化具体指标。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hint="eastAsia" w:ascii="宋体" w:hAnsi="宋体" w:eastAsia="宋体" w:cs="宋体"/>
                <w:i w:val="0"/>
                <w:color w:val="auto"/>
                <w:kern w:val="2"/>
                <w:sz w:val="20"/>
                <w:szCs w:val="20"/>
                <w:highlight w:val="none"/>
                <w:u w:val="none"/>
                <w:lang w:val="en-US" w:eastAsia="zh-CN" w:bidi="ar-SA"/>
              </w:rPr>
            </w:pPr>
            <w:r>
              <w:rPr>
                <w:rFonts w:hint="eastAsia" w:ascii="宋体" w:hAnsi="宋体" w:eastAsia="宋体" w:cs="宋体"/>
                <w:i w:val="0"/>
                <w:color w:val="auto"/>
                <w:sz w:val="20"/>
                <w:szCs w:val="20"/>
                <w:highlight w:val="none"/>
                <w:u w:val="none"/>
                <w:lang w:eastAsia="zh-CN"/>
              </w:rPr>
              <w:t>群众满意度高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jc w:val="center"/>
              <w:rPr>
                <w:rFonts w:ascii="宋体" w:hAnsi="宋体" w:cs="宋体"/>
                <w:color w:val="auto"/>
                <w:sz w:val="24"/>
                <w:highlight w:val="none"/>
              </w:rPr>
            </w:pPr>
            <w:r>
              <w:rPr>
                <w:rFonts w:hint="eastAsia" w:ascii="宋体" w:hAnsi="宋体" w:eastAsia="宋体" w:cs="宋体"/>
                <w:i w:val="0"/>
                <w:color w:val="auto"/>
                <w:sz w:val="20"/>
                <w:szCs w:val="20"/>
                <w:highlight w:val="none"/>
                <w:u w:val="none"/>
                <w:lang w:eastAsia="zh-CN"/>
              </w:rPr>
              <w:t>群众满意度高</w:t>
            </w:r>
          </w:p>
        </w:tc>
      </w:tr>
    </w:tbl>
    <w:p>
      <w:pPr>
        <w:spacing w:line="580" w:lineRule="exact"/>
        <w:ind w:left="630"/>
        <w:rPr>
          <w:rFonts w:ascii="仿宋_GB2312" w:hAnsi="仿宋_GB2312" w:eastAsia="仿宋_GB2312" w:cs="仿宋_GB2312"/>
          <w:color w:val="auto"/>
          <w:sz w:val="32"/>
          <w:szCs w:val="32"/>
          <w:highlight w:val="none"/>
        </w:rPr>
      </w:pPr>
    </w:p>
    <w:p>
      <w:pPr>
        <w:spacing w:line="580" w:lineRule="exact"/>
        <w:ind w:left="630"/>
        <w:rPr>
          <w:rFonts w:ascii="仿宋_GB2312" w:hAnsi="仿宋_GB2312" w:eastAsia="仿宋_GB2312" w:cs="仿宋_GB2312"/>
          <w:color w:val="auto"/>
          <w:sz w:val="32"/>
          <w:szCs w:val="32"/>
          <w:highlight w:val="none"/>
        </w:rPr>
      </w:pPr>
    </w:p>
    <w:p>
      <w:pPr>
        <w:spacing w:line="580" w:lineRule="exact"/>
        <w:ind w:left="630"/>
        <w:rPr>
          <w:rFonts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2.部门绩效评价结果。</w:t>
      </w:r>
    </w:p>
    <w:p>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本部门按要求对2019年部门整体支出绩效评价情况开展自评，《</w:t>
      </w:r>
      <w:r>
        <w:rPr>
          <w:rFonts w:hint="eastAsia" w:ascii="仿宋_GB2312" w:hAnsi="仿宋_GB2312" w:eastAsia="仿宋_GB2312" w:cs="仿宋_GB2312"/>
          <w:color w:val="auto"/>
          <w:sz w:val="32"/>
          <w:szCs w:val="32"/>
          <w:highlight w:val="none"/>
          <w:lang w:eastAsia="zh-CN"/>
        </w:rPr>
        <w:t>红原县自然资源局</w:t>
      </w:r>
      <w:r>
        <w:rPr>
          <w:rFonts w:hint="eastAsia" w:ascii="仿宋_GB2312" w:hAnsi="仿宋_GB2312" w:eastAsia="仿宋_GB2312" w:cs="仿宋_GB2312"/>
          <w:color w:val="auto"/>
          <w:sz w:val="32"/>
          <w:szCs w:val="32"/>
          <w:highlight w:val="none"/>
        </w:rPr>
        <w:t>2019年部门整体支出绩效评价报告》见附件（附件1）。</w:t>
      </w:r>
    </w:p>
    <w:p>
      <w:pPr>
        <w:spacing w:line="580" w:lineRule="exact"/>
        <w:ind w:firstLine="640" w:firstLineChars="200"/>
        <w:rPr>
          <w:rFonts w:ascii="仿宋_GB2312" w:eastAsia="仿宋_GB2312"/>
          <w:b/>
          <w:color w:val="auto"/>
          <w:sz w:val="32"/>
          <w:szCs w:val="32"/>
          <w:highlight w:val="none"/>
        </w:rPr>
      </w:pPr>
      <w:r>
        <w:rPr>
          <w:rFonts w:hint="eastAsia" w:ascii="仿宋_GB2312" w:hAnsi="仿宋_GB2312" w:eastAsia="仿宋_GB2312" w:cs="仿宋_GB2312"/>
          <w:color w:val="auto"/>
          <w:sz w:val="32"/>
          <w:szCs w:val="32"/>
          <w:highlight w:val="none"/>
        </w:rPr>
        <w:t>本部门自行组织对</w:t>
      </w:r>
      <w:r>
        <w:rPr>
          <w:rFonts w:hint="eastAsia" w:ascii="仿宋_GB2312" w:hAnsi="仿宋_GB2312" w:eastAsia="仿宋_GB2312" w:cs="仿宋_GB2312"/>
          <w:color w:val="auto"/>
          <w:sz w:val="32"/>
          <w:szCs w:val="32"/>
          <w:highlight w:val="none"/>
          <w:lang w:val="en-US" w:eastAsia="zh-CN"/>
        </w:rPr>
        <w:t>2019年地质灾害综合防治体系建设</w:t>
      </w:r>
      <w:r>
        <w:rPr>
          <w:rFonts w:hint="eastAsia" w:ascii="仿宋_GB2312" w:hAnsi="仿宋_GB2312" w:eastAsia="仿宋_GB2312" w:cs="仿宋_GB2312"/>
          <w:color w:val="auto"/>
          <w:sz w:val="32"/>
          <w:szCs w:val="32"/>
          <w:highlight w:val="none"/>
        </w:rPr>
        <w:t>项目绩效项目开展了绩效评价，《</w:t>
      </w:r>
      <w:r>
        <w:rPr>
          <w:rFonts w:hint="eastAsia" w:ascii="仿宋_GB2312" w:hAnsi="仿宋_GB2312" w:eastAsia="仿宋_GB2312" w:cs="仿宋_GB2312"/>
          <w:color w:val="auto"/>
          <w:sz w:val="32"/>
          <w:szCs w:val="32"/>
          <w:highlight w:val="none"/>
          <w:lang w:val="en-US" w:eastAsia="zh-CN"/>
        </w:rPr>
        <w:t>红原县自然资源局关于2019年地质灾害综合防治体系建设项目绩效自评报告</w:t>
      </w:r>
      <w:r>
        <w:rPr>
          <w:rFonts w:hint="eastAsia" w:ascii="仿宋_GB2312" w:hAnsi="仿宋_GB2312" w:eastAsia="仿宋_GB2312" w:cs="仿宋_GB2312"/>
          <w:color w:val="auto"/>
          <w:sz w:val="32"/>
          <w:szCs w:val="32"/>
          <w:highlight w:val="none"/>
        </w:rPr>
        <w:t>》见附件（附件2）。</w:t>
      </w:r>
    </w:p>
    <w:p>
      <w:pPr>
        <w:widowControl/>
        <w:jc w:val="left"/>
        <w:rPr>
          <w:rFonts w:ascii="仿宋_GB2312" w:eastAsia="仿宋_GB2312"/>
          <w:b/>
          <w:color w:val="auto"/>
          <w:sz w:val="32"/>
          <w:szCs w:val="32"/>
          <w:highlight w:val="none"/>
        </w:rPr>
      </w:pPr>
      <w:r>
        <w:rPr>
          <w:rFonts w:ascii="仿宋_GB2312" w:eastAsia="仿宋_GB2312"/>
          <w:b/>
          <w:color w:val="auto"/>
          <w:sz w:val="32"/>
          <w:szCs w:val="32"/>
          <w:highlight w:val="none"/>
        </w:rPr>
        <w:br w:type="page"/>
      </w:r>
    </w:p>
    <w:p>
      <w:pPr>
        <w:numPr>
          <w:ilvl w:val="0"/>
          <w:numId w:val="6"/>
        </w:numPr>
        <w:spacing w:line="600" w:lineRule="exact"/>
        <w:ind w:firstLine="660" w:firstLineChars="150"/>
        <w:jc w:val="center"/>
        <w:outlineLvl w:val="0"/>
        <w:rPr>
          <w:rStyle w:val="27"/>
          <w:rFonts w:ascii="黑体" w:hAnsi="黑体" w:eastAsia="黑体"/>
          <w:b w:val="0"/>
          <w:color w:val="auto"/>
          <w:highlight w:val="none"/>
        </w:rPr>
      </w:pPr>
      <w:bookmarkStart w:id="57" w:name="_Toc15396613"/>
      <w:bookmarkStart w:id="58" w:name="_Toc15377225"/>
      <w:r>
        <w:rPr>
          <w:rFonts w:hint="eastAsia" w:ascii="黑体" w:hAnsi="黑体" w:eastAsia="黑体"/>
          <w:color w:val="auto"/>
          <w:sz w:val="44"/>
          <w:szCs w:val="44"/>
          <w:highlight w:val="none"/>
        </w:rPr>
        <w:t>名</w:t>
      </w:r>
      <w:r>
        <w:rPr>
          <w:rStyle w:val="27"/>
          <w:rFonts w:hint="eastAsia" w:ascii="黑体" w:hAnsi="黑体" w:eastAsia="黑体"/>
          <w:b w:val="0"/>
          <w:color w:val="auto"/>
          <w:highlight w:val="none"/>
        </w:rPr>
        <w:t>词解释</w:t>
      </w:r>
      <w:bookmarkEnd w:id="57"/>
      <w:bookmarkEnd w:id="58"/>
    </w:p>
    <w:p>
      <w:pPr>
        <w:spacing w:line="600" w:lineRule="exact"/>
        <w:jc w:val="left"/>
        <w:rPr>
          <w:rFonts w:ascii="宋体"/>
          <w:b/>
          <w:color w:val="auto"/>
          <w:sz w:val="44"/>
          <w:szCs w:val="44"/>
          <w:highlight w:val="none"/>
        </w:rPr>
      </w:pPr>
    </w:p>
    <w:p>
      <w:pPr>
        <w:pStyle w:val="25"/>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5"/>
        <w:spacing w:line="560" w:lineRule="exact"/>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rPr>
        <w:t>事业收入：指事业单位开展专业业务活动及辅助活动取得的收入。</w:t>
      </w:r>
    </w:p>
    <w:p>
      <w:pPr>
        <w:pStyle w:val="25"/>
        <w:spacing w:line="560" w:lineRule="exact"/>
        <w:ind w:firstLine="640" w:firstLineChars="200"/>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3.政府性基金收入：指各级政府及其所属部门根据法律、行政法规规定并经国务院或财政部批准，向公民、法人和其他组织征收的政府性基金，以及参照政府性基金管理或纳入基金预算、具有特定用途的财政资金。</w:t>
      </w:r>
    </w:p>
    <w:p>
      <w:pPr>
        <w:pStyle w:val="25"/>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5</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其他收入：指单位取得的除上述收入以外的各项收入。主要是</w:t>
      </w:r>
      <w:r>
        <w:rPr>
          <w:rFonts w:hint="eastAsia" w:ascii="仿宋_GB2312" w:eastAsia="仿宋_GB2312"/>
          <w:color w:val="auto"/>
          <w:sz w:val="32"/>
          <w:szCs w:val="32"/>
          <w:highlight w:val="none"/>
          <w:lang w:eastAsia="zh-CN"/>
        </w:rPr>
        <w:t>利息收入</w:t>
      </w:r>
      <w:r>
        <w:rPr>
          <w:rFonts w:hint="eastAsia" w:ascii="仿宋_GB2312" w:eastAsia="仿宋_GB2312"/>
          <w:color w:val="auto"/>
          <w:sz w:val="32"/>
          <w:szCs w:val="32"/>
          <w:highlight w:val="none"/>
        </w:rPr>
        <w:t>。</w:t>
      </w:r>
      <w:r>
        <w:rPr>
          <w:rFonts w:ascii="仿宋_GB2312" w:eastAsia="仿宋_GB2312"/>
          <w:color w:val="auto"/>
          <w:sz w:val="32"/>
          <w:szCs w:val="32"/>
          <w:highlight w:val="none"/>
        </w:rPr>
        <w:t xml:space="preserve"> </w:t>
      </w:r>
    </w:p>
    <w:p>
      <w:pPr>
        <w:pStyle w:val="25"/>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auto"/>
          <w:sz w:val="32"/>
          <w:szCs w:val="32"/>
          <w:highlight w:val="none"/>
        </w:rPr>
        <w:t xml:space="preserve"> </w:t>
      </w:r>
    </w:p>
    <w:p>
      <w:pPr>
        <w:pStyle w:val="25"/>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7</w:t>
      </w:r>
      <w:r>
        <w:rPr>
          <w:rFonts w:ascii="仿宋_GB2312" w:eastAsia="仿宋_GB2312"/>
          <w:color w:val="auto"/>
          <w:sz w:val="32"/>
          <w:szCs w:val="32"/>
          <w:highlight w:val="none"/>
        </w:rPr>
        <w:t>.</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25"/>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8</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9</w:t>
      </w:r>
      <w:r>
        <w:rPr>
          <w:rFonts w:hint="eastAsia" w:ascii="仿宋_GB2312" w:eastAsia="仿宋_GB2312"/>
          <w:color w:val="auto"/>
          <w:sz w:val="32"/>
          <w:szCs w:val="32"/>
          <w:highlight w:val="none"/>
        </w:rPr>
        <w:t>、年末结转和结余：指单位按有关规定结转到下年或以后年度继续使用的资金。</w:t>
      </w:r>
    </w:p>
    <w:p>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10</w:t>
      </w:r>
      <w:r>
        <w:rPr>
          <w:rFonts w:ascii="仿宋_GB2312" w:eastAsia="仿宋_GB2312"/>
          <w:color w:val="auto"/>
          <w:sz w:val="32"/>
          <w:szCs w:val="32"/>
          <w:highlight w:val="none"/>
        </w:rPr>
        <w:t>.</w:t>
      </w:r>
      <w:r>
        <w:rPr>
          <w:rFonts w:hint="eastAsia" w:ascii="仿宋_GB2312" w:eastAsia="仿宋_GB2312"/>
          <w:color w:val="auto"/>
          <w:sz w:val="32"/>
          <w:szCs w:val="32"/>
          <w:highlight w:val="none"/>
        </w:rPr>
        <w:t>社会保障和就业：指</w:t>
      </w:r>
      <w:r>
        <w:rPr>
          <w:rFonts w:hint="eastAsia" w:ascii="仿宋_GB2312" w:eastAsia="仿宋_GB2312"/>
          <w:color w:val="auto"/>
          <w:sz w:val="32"/>
          <w:szCs w:val="32"/>
          <w:highlight w:val="none"/>
          <w:lang w:eastAsia="zh-CN"/>
        </w:rPr>
        <w:t>政府在社会保障与就业方面的支出</w:t>
      </w:r>
      <w:r>
        <w:rPr>
          <w:rFonts w:hint="eastAsia" w:ascii="仿宋_GB2312" w:eastAsia="仿宋_GB2312"/>
          <w:color w:val="auto"/>
          <w:sz w:val="32"/>
          <w:szCs w:val="32"/>
          <w:highlight w:val="none"/>
        </w:rPr>
        <w:t>。</w:t>
      </w:r>
    </w:p>
    <w:p>
      <w:pPr>
        <w:pStyle w:val="2"/>
        <w:ind w:left="0" w:leftChars="0" w:firstLine="640" w:firstLineChars="200"/>
        <w:rPr>
          <w:rFonts w:hint="default" w:eastAsia="仿宋_GB2312"/>
          <w:color w:val="auto"/>
          <w:highlight w:val="none"/>
          <w:lang w:val="en-US" w:eastAsia="zh-CN"/>
        </w:rPr>
      </w:pPr>
      <w:r>
        <w:rPr>
          <w:rFonts w:hint="eastAsia" w:ascii="仿宋_GB2312" w:eastAsia="仿宋_GB2312"/>
          <w:color w:val="auto"/>
          <w:sz w:val="32"/>
          <w:szCs w:val="32"/>
          <w:highlight w:val="none"/>
          <w:lang w:val="en-US" w:eastAsia="zh-CN"/>
        </w:rPr>
        <w:t>11.行政事业单位医疗：指行政事业单位医疗方面的支出。</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2</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国土资源事务</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国土资源管理等方面的支出</w:t>
      </w:r>
      <w:r>
        <w:rPr>
          <w:rFonts w:hint="eastAsia" w:ascii="仿宋_GB2312" w:eastAsia="仿宋_GB2312"/>
          <w:color w:val="auto"/>
          <w:sz w:val="32"/>
          <w:szCs w:val="32"/>
          <w:highlight w:val="none"/>
        </w:rPr>
        <w:t>。</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lang w:val="en-US" w:eastAsia="zh-CN"/>
        </w:rPr>
        <w:t>3</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行政运行</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行政单位（包括实行公务员管理的事业单位）的基本支出</w:t>
      </w:r>
      <w:r>
        <w:rPr>
          <w:rFonts w:hint="eastAsia" w:ascii="仿宋_GB2312" w:eastAsia="仿宋_GB2312"/>
          <w:color w:val="auto"/>
          <w:sz w:val="32"/>
          <w:szCs w:val="32"/>
          <w:highlight w:val="none"/>
        </w:rPr>
        <w:t>。</w:t>
      </w:r>
    </w:p>
    <w:p>
      <w:pPr>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1</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eastAsia="zh-CN"/>
        </w:rPr>
        <w:t>.事业运行：指事业单位的基本支出，不包括行政单位（包括实行公务员管理的事业单位）后勤服务中兴、医务室等附属事业单位。</w:t>
      </w:r>
    </w:p>
    <w:p>
      <w:pPr>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1</w:t>
      </w:r>
      <w:r>
        <w:rPr>
          <w:rFonts w:hint="eastAsia"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lang w:eastAsia="zh-CN"/>
        </w:rPr>
        <w:t>.住房保障支出：指集中反映政府用于住房方面的支出。</w:t>
      </w:r>
    </w:p>
    <w:p>
      <w:pPr>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16</w:t>
      </w:r>
      <w:r>
        <w:rPr>
          <w:rFonts w:hint="eastAsia" w:ascii="仿宋_GB2312" w:eastAsia="仿宋_GB2312"/>
          <w:color w:val="auto"/>
          <w:sz w:val="32"/>
          <w:szCs w:val="32"/>
          <w:highlight w:val="none"/>
          <w:lang w:eastAsia="zh-CN"/>
        </w:rPr>
        <w:t>.住房公积金：指反映行政事业单位按人力资源和社会保障部、财政部规定的基本工资和津贴补贴以及规定比例为职工缴纳的住房公积金。</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17</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城乡社区支出</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政府城乡社区事务支出</w:t>
      </w:r>
      <w:r>
        <w:rPr>
          <w:rFonts w:hint="eastAsia" w:ascii="仿宋_GB2312" w:eastAsia="仿宋_GB2312"/>
          <w:color w:val="auto"/>
          <w:sz w:val="32"/>
          <w:szCs w:val="32"/>
          <w:highlight w:val="none"/>
        </w:rPr>
        <w:t>。</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18</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国土海洋气象等支出</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政府用于国土资源、海洋、测绘、地震、气象等公益服务事业方面的支出</w:t>
      </w:r>
      <w:r>
        <w:rPr>
          <w:rFonts w:hint="eastAsia" w:ascii="仿宋_GB2312" w:eastAsia="仿宋_GB2312"/>
          <w:color w:val="auto"/>
          <w:sz w:val="32"/>
          <w:szCs w:val="32"/>
          <w:highlight w:val="none"/>
        </w:rPr>
        <w:t>。</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19</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一般行政管理事务</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行政单位（包括实行公务员管理的事业单位）未单独设置项级科目的其他项目支出</w:t>
      </w:r>
      <w:r>
        <w:rPr>
          <w:rFonts w:hint="eastAsia" w:ascii="仿宋_GB2312" w:eastAsia="仿宋_GB2312"/>
          <w:color w:val="auto"/>
          <w:sz w:val="32"/>
          <w:szCs w:val="32"/>
          <w:highlight w:val="none"/>
        </w:rPr>
        <w:t>。</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20</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地质灾害防治</w:t>
      </w:r>
      <w:r>
        <w:rPr>
          <w:rFonts w:hint="eastAsia" w:ascii="仿宋_GB2312" w:eastAsia="仿宋_GB2312"/>
          <w:color w:val="auto"/>
          <w:sz w:val="32"/>
          <w:szCs w:val="32"/>
          <w:highlight w:val="none"/>
        </w:rPr>
        <w:t>：指</w:t>
      </w:r>
      <w:r>
        <w:rPr>
          <w:rFonts w:hint="eastAsia" w:ascii="仿宋_GB2312" w:eastAsia="仿宋_GB2312"/>
          <w:color w:val="auto"/>
          <w:sz w:val="32"/>
          <w:szCs w:val="32"/>
          <w:highlight w:val="none"/>
          <w:lang w:eastAsia="zh-CN"/>
        </w:rPr>
        <w:t>地质灾害防治项目支出</w:t>
      </w:r>
      <w:r>
        <w:rPr>
          <w:rFonts w:hint="eastAsia" w:ascii="仿宋_GB2312" w:eastAsia="仿宋_GB2312"/>
          <w:color w:val="auto"/>
          <w:sz w:val="32"/>
          <w:szCs w:val="32"/>
          <w:highlight w:val="none"/>
        </w:rPr>
        <w:t>。</w:t>
      </w:r>
    </w:p>
    <w:p>
      <w:pPr>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21</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地震监测：指地震和火山监测台站、台网等设施建设与运行维护，观测设备的购置、维护和技术升级，地震观测工作等方面的支出。</w:t>
      </w:r>
    </w:p>
    <w:p>
      <w:pPr>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22</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其他国土海洋气象等支出：指其他用于国土海洋气象等方面的支出。</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3</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4</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ind w:firstLine="640" w:firstLineChars="200"/>
        <w:rPr>
          <w:rFonts w:hint="eastAsia" w:ascii="仿宋_GB2312" w:eastAsia="仿宋_GB2312"/>
          <w:color w:val="auto"/>
          <w:sz w:val="32"/>
          <w:szCs w:val="32"/>
          <w:highlight w:val="none"/>
        </w:rPr>
      </w:pPr>
      <w:r>
        <w:rPr>
          <w:rFonts w:ascii="仿宋_GB2312" w:eastAsia="仿宋_GB2312"/>
          <w:color w:val="auto"/>
          <w:sz w:val="32"/>
          <w:szCs w:val="32"/>
          <w:highlight w:val="none"/>
        </w:rPr>
        <w:t>2</w:t>
      </w:r>
      <w:r>
        <w:rPr>
          <w:rFonts w:hint="eastAsia" w:ascii="仿宋_GB2312" w:eastAsia="仿宋_GB2312"/>
          <w:color w:val="auto"/>
          <w:sz w:val="32"/>
          <w:szCs w:val="32"/>
          <w:highlight w:val="none"/>
          <w:lang w:val="en-US" w:eastAsia="zh-CN"/>
        </w:rPr>
        <w:t>5</w:t>
      </w:r>
      <w:r>
        <w:rPr>
          <w:rFonts w:ascii="仿宋_GB2312" w:eastAsia="仿宋_GB2312"/>
          <w:color w:val="auto"/>
          <w:sz w:val="32"/>
          <w:szCs w:val="32"/>
          <w:highlight w:val="none"/>
        </w:rPr>
        <w:t>.</w:t>
      </w:r>
      <w:r>
        <w:rPr>
          <w:rFonts w:hint="eastAsia" w:ascii="仿宋_GB2312" w:eastAsia="仿宋_GB2312"/>
          <w:color w:val="auto"/>
          <w:sz w:val="32"/>
          <w:szCs w:val="32"/>
          <w:highlight w:val="none"/>
        </w:rPr>
        <w:t>经营支出：指事业单位在专业业务活动及其辅助活动之外开展非独立核算经营活动发生的支出。</w:t>
      </w:r>
    </w:p>
    <w:p>
      <w:pPr>
        <w:pStyle w:val="2"/>
        <w:ind w:left="0" w:leftChars="0" w:firstLine="640" w:firstLineChars="200"/>
        <w:rPr>
          <w:rFonts w:hint="default" w:eastAsia="仿宋_GB2312"/>
          <w:color w:val="auto"/>
          <w:highlight w:val="none"/>
          <w:lang w:val="en-US" w:eastAsia="zh-CN"/>
        </w:rPr>
      </w:pPr>
      <w:r>
        <w:rPr>
          <w:rFonts w:hint="eastAsia" w:ascii="仿宋_GB2312" w:eastAsia="仿宋_GB2312"/>
          <w:color w:val="auto"/>
          <w:sz w:val="32"/>
          <w:szCs w:val="32"/>
          <w:highlight w:val="none"/>
          <w:lang w:val="en-US" w:eastAsia="zh-CN"/>
        </w:rPr>
        <w:t>26.对个人和家庭的补助：指政府用于对个人和家庭的补助支出。</w:t>
      </w:r>
    </w:p>
    <w:p>
      <w:pPr>
        <w:pStyle w:val="25"/>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27</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28</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29.委托业务费：指因委托外单位办理业务而支付的委托业务费。</w:t>
      </w:r>
    </w:p>
    <w:p>
      <w:pPr>
        <w:pStyle w:val="25"/>
        <w:spacing w:line="560" w:lineRule="exact"/>
        <w:ind w:firstLine="640" w:firstLineChars="200"/>
        <w:rPr>
          <w:rFonts w:hint="default" w:ascii="仿宋_GB2312" w:eastAsia="仿宋_GB2312"/>
          <w:color w:val="auto"/>
          <w:sz w:val="32"/>
          <w:szCs w:val="32"/>
          <w:highlight w:val="none"/>
          <w:lang w:val="en-US" w:eastAsia="zh-CN"/>
        </w:rPr>
      </w:pPr>
    </w:p>
    <w:p>
      <w:pPr>
        <w:pStyle w:val="25"/>
        <w:spacing w:line="560" w:lineRule="exact"/>
        <w:ind w:firstLine="640" w:firstLineChars="200"/>
        <w:rPr>
          <w:rFonts w:ascii="仿宋_GB2312" w:eastAsia="仿宋_GB2312" w:cs="黑体"/>
          <w:color w:val="auto"/>
          <w:sz w:val="32"/>
          <w:szCs w:val="32"/>
          <w:highlight w:val="none"/>
        </w:rPr>
      </w:pPr>
    </w:p>
    <w:p>
      <w:pPr>
        <w:spacing w:line="600" w:lineRule="exact"/>
        <w:jc w:val="center"/>
        <w:outlineLvl w:val="0"/>
        <w:rPr>
          <w:rStyle w:val="27"/>
          <w:rFonts w:ascii="黑体" w:hAnsi="黑体" w:eastAsia="黑体"/>
          <w:b w:val="0"/>
          <w:color w:val="auto"/>
          <w:highlight w:val="none"/>
        </w:rPr>
      </w:pPr>
      <w:bookmarkStart w:id="59" w:name="_Toc15396614"/>
      <w:bookmarkStart w:id="60" w:name="_Toc15377226"/>
      <w:r>
        <w:rPr>
          <w:rFonts w:hint="eastAsia" w:ascii="黑体" w:hAnsi="黑体" w:eastAsia="黑体"/>
          <w:color w:val="auto"/>
          <w:sz w:val="44"/>
          <w:szCs w:val="44"/>
          <w:highlight w:val="none"/>
        </w:rPr>
        <w:t>第</w:t>
      </w:r>
      <w:r>
        <w:rPr>
          <w:rStyle w:val="27"/>
          <w:rFonts w:hint="eastAsia" w:ascii="黑体" w:hAnsi="黑体" w:eastAsia="黑体"/>
          <w:b w:val="0"/>
          <w:color w:val="auto"/>
          <w:highlight w:val="none"/>
        </w:rPr>
        <w:t>四部分 附件</w:t>
      </w:r>
      <w:bookmarkEnd w:id="59"/>
    </w:p>
    <w:p>
      <w:pPr>
        <w:spacing w:line="600" w:lineRule="exact"/>
        <w:jc w:val="left"/>
        <w:outlineLvl w:val="0"/>
        <w:rPr>
          <w:rFonts w:ascii="方正小标宋简体" w:hAnsi="方正小标宋简体" w:eastAsia="方正小标宋简体" w:cs="方正小标宋简体"/>
          <w:color w:val="auto"/>
          <w:sz w:val="32"/>
          <w:szCs w:val="32"/>
          <w:highlight w:val="none"/>
        </w:rPr>
      </w:pPr>
      <w:r>
        <w:rPr>
          <w:rFonts w:hint="eastAsia" w:ascii="黑体" w:hAnsi="黑体" w:eastAsia="黑体" w:cs="黑体"/>
          <w:color w:val="auto"/>
          <w:sz w:val="32"/>
          <w:szCs w:val="32"/>
          <w:highlight w:val="none"/>
        </w:rPr>
        <w:t>附件1</w:t>
      </w:r>
    </w:p>
    <w:p>
      <w:pPr>
        <w:spacing w:line="580" w:lineRule="exact"/>
        <w:jc w:val="center"/>
        <w:rPr>
          <w:rFonts w:ascii="方正小标宋简体" w:hAnsi="方正小标宋简体" w:eastAsia="方正小标宋简体" w:cs="方正小标宋简体"/>
          <w:color w:val="auto"/>
          <w:sz w:val="44"/>
          <w:szCs w:val="44"/>
          <w:highlight w:val="none"/>
        </w:rPr>
      </w:pPr>
    </w:p>
    <w:p>
      <w:pPr>
        <w:spacing w:line="600" w:lineRule="exact"/>
        <w:jc w:val="center"/>
        <w:rPr>
          <w:rFonts w:ascii="方正小标宋简体" w:hAnsi="宋体" w:eastAsia="方正小标宋简体"/>
          <w:color w:val="auto"/>
          <w:kern w:val="0"/>
          <w:sz w:val="40"/>
          <w:szCs w:val="44"/>
          <w:highlight w:val="none"/>
          <w:lang w:val="zh-CN"/>
        </w:rPr>
      </w:pPr>
      <w:r>
        <w:rPr>
          <w:rFonts w:hint="eastAsia" w:ascii="方正小标宋简体" w:hAnsi="宋体" w:eastAsia="方正小标宋简体"/>
          <w:color w:val="auto"/>
          <w:kern w:val="0"/>
          <w:sz w:val="40"/>
          <w:szCs w:val="44"/>
          <w:highlight w:val="none"/>
          <w:lang w:eastAsia="zh-CN"/>
        </w:rPr>
        <w:t>红原县自然资源局</w:t>
      </w:r>
      <w:r>
        <w:rPr>
          <w:rFonts w:ascii="方正小标宋简体" w:hAnsi="宋体" w:eastAsia="方正小标宋简体"/>
          <w:color w:val="auto"/>
          <w:kern w:val="0"/>
          <w:sz w:val="40"/>
          <w:szCs w:val="44"/>
          <w:highlight w:val="none"/>
        </w:rPr>
        <w:t>2019年部门</w:t>
      </w:r>
      <w:r>
        <w:rPr>
          <w:rFonts w:hint="eastAsia" w:ascii="方正小标宋简体" w:hAnsi="宋体" w:eastAsia="方正小标宋简体"/>
          <w:color w:val="auto"/>
          <w:kern w:val="0"/>
          <w:sz w:val="40"/>
          <w:szCs w:val="44"/>
          <w:highlight w:val="none"/>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auto"/>
          <w:kern w:val="0"/>
          <w:sz w:val="24"/>
          <w:szCs w:val="32"/>
          <w:highlight w:val="none"/>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highlight w:val="none"/>
          <w:shd w:val="clear" w:color="auto" w:fill="FFFFFF"/>
          <w:lang w:val="zh-CN"/>
        </w:rPr>
      </w:pPr>
      <w:r>
        <w:rPr>
          <w:rFonts w:hint="eastAsia" w:ascii="黑体" w:hAnsi="宋体" w:eastAsia="黑体" w:cs="宋体"/>
          <w:color w:val="auto"/>
          <w:kern w:val="0"/>
          <w:sz w:val="32"/>
          <w:szCs w:val="32"/>
          <w:highlight w:val="none"/>
          <w:shd w:val="clear" w:color="auto" w:fill="FFFFFF"/>
        </w:rPr>
        <w:t>一、</w:t>
      </w:r>
      <w:r>
        <w:rPr>
          <w:rFonts w:hint="eastAsia" w:ascii="黑体" w:hAnsi="宋体" w:eastAsia="黑体" w:cs="宋体"/>
          <w:color w:val="auto"/>
          <w:kern w:val="0"/>
          <w:sz w:val="32"/>
          <w:szCs w:val="32"/>
          <w:highlight w:val="none"/>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（一）机构组成。</w:t>
      </w:r>
    </w:p>
    <w:p>
      <w:pPr>
        <w:pageBreakBefore w:val="0"/>
        <w:kinsoku/>
        <w:wordWrap/>
        <w:overflowPunct/>
        <w:topLinePunct w:val="0"/>
        <w:autoSpaceDE/>
        <w:autoSpaceDN/>
        <w:bidi w:val="0"/>
        <w:spacing w:line="560" w:lineRule="exact"/>
        <w:ind w:firstLine="960" w:firstLineChars="300"/>
        <w:textAlignment w:val="auto"/>
        <w:rPr>
          <w:color w:val="auto"/>
          <w:highlight w:val="none"/>
          <w:lang w:val="zh-CN"/>
        </w:rPr>
      </w:pPr>
      <w:r>
        <w:rPr>
          <w:rFonts w:hint="eastAsia" w:ascii="仿宋_GB2312" w:hAnsi="仿宋_GB2312" w:eastAsia="仿宋_GB2312" w:cs="仿宋_GB2312"/>
          <w:color w:val="auto"/>
          <w:sz w:val="32"/>
          <w:szCs w:val="32"/>
          <w:highlight w:val="none"/>
        </w:rPr>
        <w:t>红原县</w:t>
      </w:r>
      <w:r>
        <w:rPr>
          <w:rFonts w:hint="eastAsia" w:ascii="仿宋_GB2312" w:hAnsi="仿宋_GB2312" w:eastAsia="仿宋_GB2312" w:cs="仿宋_GB2312"/>
          <w:color w:val="auto"/>
          <w:sz w:val="32"/>
          <w:szCs w:val="32"/>
          <w:highlight w:val="none"/>
          <w:lang w:eastAsia="zh-CN"/>
        </w:rPr>
        <w:t>自然</w:t>
      </w:r>
      <w:r>
        <w:rPr>
          <w:rFonts w:hint="eastAsia" w:ascii="仿宋_GB2312" w:hAnsi="仿宋_GB2312" w:eastAsia="仿宋_GB2312" w:cs="仿宋_GB2312"/>
          <w:color w:val="auto"/>
          <w:sz w:val="32"/>
          <w:szCs w:val="32"/>
          <w:highlight w:val="none"/>
        </w:rPr>
        <w:t>资源局现有行政办公室、土地管理股、矿产资源管理股、不动产登记中心、执法大队、土地储备交易中心、邛溪镇国土所、瓦切镇国土所、安曲镇国土所共9个机构组成。</w:t>
      </w:r>
    </w:p>
    <w:p>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机构职能。</w:t>
      </w:r>
    </w:p>
    <w:p>
      <w:pPr>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1.负责贯彻全县国土资源管理、矿产资源管理。</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（1）彻执行国家和省州关于土地矿产等国土资源方面的方针、政策和法律、法规;依法负责拟定本县土地、矿产等自然资</w:t>
      </w:r>
    </w:p>
    <w:p>
      <w:pPr>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源管理的规章制度;研究拟定调查、规划、保护和合理利用我县土地和矿产等自然资源的政策;组织贯彻实施土地和矿产等自然资源管理的技术标准、规范和办法.</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研究制定全县国土资源管理事业发展战略;组织编制和实施全县国土规划、土地利用总体规划、其它国土资源专项规划和土地利用年度计划;组织实施矿产资源的调查、评价，编制全县矿产资源保护和合理利用规划、地质勘查规划、地灾灾害防治,和地质遗迹保护规划，对建设项目用地预审。</w:t>
      </w:r>
    </w:p>
    <w:p>
      <w:pPr>
        <w:pageBreakBefore w:val="0"/>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val="0"/>
          <w:color w:val="auto"/>
          <w:sz w:val="32"/>
          <w:szCs w:val="32"/>
          <w:highlight w:val="none"/>
        </w:rPr>
      </w:pPr>
      <w:r>
        <w:rPr>
          <w:rFonts w:hint="eastAsia" w:ascii="仿宋_GB2312" w:hAnsi="仿宋_GB2312" w:eastAsia="仿宋_GB2312" w:cs="仿宋_GB2312"/>
          <w:b/>
          <w:bCs w:val="0"/>
          <w:color w:val="auto"/>
          <w:sz w:val="32"/>
          <w:szCs w:val="32"/>
          <w:highlight w:val="none"/>
        </w:rPr>
        <w:t>2.行政审批事项。</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负责统一管理全县土地和城乡地籍、地政工作;制定并贯彻实施地籍管理办法;组织实施全县土地资源调查、评价分等定价，统计和动态监测工作;依法负责土地确权、登记、发证等工作，并组织土地权属证书的审理工作。</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进行基准地价、标定地价评测;确认地地使用权价格;审批国有土地资源处置方案并组织实施;拟定并按规定组织实施土地使用权出让、租赁、作价出资、转让交易和政府收购、储备办法;按规定组织实施农村“三项”建设管理和农村非农土地使，用权的流转管理。</w:t>
      </w:r>
    </w:p>
    <w:p>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（3）管理全县土地测绘工作。负责全县测绘单位的资格审查，测绘工作证件，测绘任务登记管理，归口管理全县地籍测绘，指导测量标志的管理和保护。</w:t>
      </w:r>
    </w:p>
    <w:p>
      <w:pPr>
        <w:pageBreakBefore w:val="0"/>
        <w:kinsoku/>
        <w:wordWrap/>
        <w:overflowPunct/>
        <w:topLinePunct w:val="0"/>
        <w:autoSpaceDE/>
        <w:autoSpaceDN/>
        <w:bidi w:val="0"/>
        <w:spacing w:line="560" w:lineRule="exact"/>
        <w:ind w:firstLine="640" w:firstLineChars="200"/>
        <w:textAlignment w:val="auto"/>
        <w:rPr>
          <w:color w:val="auto"/>
          <w:highlight w:val="none"/>
          <w:lang w:val="zh-CN"/>
        </w:rPr>
      </w:pPr>
      <w:r>
        <w:rPr>
          <w:rFonts w:hint="eastAsia" w:ascii="仿宋_GB2312" w:hAnsi="仿宋_GB2312" w:eastAsia="仿宋_GB2312" w:cs="仿宋_GB2312"/>
          <w:color w:val="auto"/>
          <w:sz w:val="32"/>
          <w:szCs w:val="32"/>
          <w:highlight w:val="none"/>
        </w:rPr>
        <w:t>（4）承担矿产资源储备管理工作，依法管理江河地质、地勘成果资料，依法保护地质环境，依法管理矿产资源探矿权和采矿权的审批、登记、发证和转让。审核地质环境影响评估报告。</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人员概况。</w:t>
      </w:r>
    </w:p>
    <w:p>
      <w:pPr>
        <w:ind w:firstLine="800" w:firstLineChars="250"/>
        <w:rPr>
          <w:color w:val="auto"/>
          <w:highlight w:val="none"/>
          <w:lang w:val="zh-CN"/>
        </w:rPr>
      </w:pPr>
      <w:r>
        <w:rPr>
          <w:rFonts w:hint="eastAsia" w:ascii="仿宋" w:hAnsi="仿宋" w:eastAsia="仿宋"/>
          <w:color w:val="auto"/>
          <w:sz w:val="32"/>
          <w:szCs w:val="32"/>
          <w:highlight w:val="none"/>
          <w:lang w:eastAsia="zh-CN"/>
        </w:rPr>
        <w:t>红原县自然资源局</w:t>
      </w:r>
      <w:r>
        <w:rPr>
          <w:rFonts w:hint="eastAsia" w:ascii="仿宋" w:hAnsi="仿宋" w:eastAsia="仿宋"/>
          <w:color w:val="auto"/>
          <w:sz w:val="32"/>
          <w:szCs w:val="32"/>
          <w:highlight w:val="none"/>
        </w:rPr>
        <w:t>下属二级单位</w:t>
      </w:r>
      <w:r>
        <w:rPr>
          <w:rFonts w:hint="eastAsia" w:ascii="仿宋" w:hAnsi="仿宋" w:eastAsia="仿宋"/>
          <w:color w:val="auto"/>
          <w:sz w:val="32"/>
          <w:szCs w:val="32"/>
          <w:highlight w:val="none"/>
          <w:lang w:val="en-US" w:eastAsia="zh-CN"/>
        </w:rPr>
        <w:t>2</w:t>
      </w:r>
      <w:r>
        <w:rPr>
          <w:rFonts w:hint="eastAsia" w:ascii="仿宋" w:hAnsi="仿宋" w:eastAsia="仿宋"/>
          <w:color w:val="auto"/>
          <w:sz w:val="32"/>
          <w:szCs w:val="32"/>
          <w:highlight w:val="none"/>
        </w:rPr>
        <w:t>个，其中</w:t>
      </w:r>
      <w:r>
        <w:rPr>
          <w:rFonts w:hint="eastAsia" w:ascii="仿宋" w:hAnsi="仿宋" w:eastAsia="仿宋"/>
          <w:color w:val="auto"/>
          <w:sz w:val="32"/>
          <w:szCs w:val="32"/>
          <w:highlight w:val="none"/>
          <w:lang w:eastAsia="zh-CN"/>
        </w:rPr>
        <w:t>行政单位</w:t>
      </w:r>
      <w:r>
        <w:rPr>
          <w:rFonts w:hint="eastAsia" w:ascii="仿宋" w:hAnsi="仿宋" w:eastAsia="仿宋"/>
          <w:color w:val="auto"/>
          <w:sz w:val="32"/>
          <w:szCs w:val="32"/>
          <w:highlight w:val="none"/>
          <w:lang w:val="en-US" w:eastAsia="zh-CN"/>
        </w:rPr>
        <w:t>1个，</w:t>
      </w:r>
      <w:r>
        <w:rPr>
          <w:rFonts w:hint="eastAsia" w:ascii="仿宋" w:hAnsi="仿宋" w:eastAsia="仿宋"/>
          <w:color w:val="auto"/>
          <w:sz w:val="32"/>
          <w:szCs w:val="32"/>
          <w:highlight w:val="none"/>
        </w:rPr>
        <w:t>事业单位</w:t>
      </w:r>
      <w:r>
        <w:rPr>
          <w:rFonts w:hint="eastAsia" w:ascii="仿宋" w:hAnsi="仿宋" w:eastAsia="仿宋"/>
          <w:color w:val="auto"/>
          <w:sz w:val="32"/>
          <w:szCs w:val="32"/>
          <w:highlight w:val="none"/>
          <w:lang w:val="en-US" w:eastAsia="zh-CN"/>
        </w:rPr>
        <w:t>1</w:t>
      </w:r>
      <w:r>
        <w:rPr>
          <w:rFonts w:hint="eastAsia" w:ascii="仿宋" w:hAnsi="仿宋" w:eastAsia="仿宋"/>
          <w:color w:val="auto"/>
          <w:sz w:val="32"/>
          <w:szCs w:val="32"/>
          <w:highlight w:val="none"/>
        </w:rPr>
        <w:t>个</w:t>
      </w:r>
      <w:r>
        <w:rPr>
          <w:rFonts w:hint="eastAsia" w:ascii="仿宋" w:hAnsi="仿宋" w:eastAsia="仿宋"/>
          <w:color w:val="auto"/>
          <w:sz w:val="32"/>
          <w:szCs w:val="32"/>
          <w:highlight w:val="none"/>
          <w:lang w:eastAsia="zh-CN"/>
        </w:rPr>
        <w:t>，</w:t>
      </w:r>
      <w:r>
        <w:rPr>
          <w:rFonts w:hint="eastAsia" w:ascii="仿宋_GB2312" w:hAnsi="仿宋_GB2312" w:eastAsia="仿宋_GB2312" w:cs="仿宋_GB2312"/>
          <w:color w:val="auto"/>
          <w:sz w:val="32"/>
          <w:szCs w:val="32"/>
          <w:highlight w:val="none"/>
        </w:rPr>
        <w:t>共有编制2</w:t>
      </w: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rPr>
        <w:t>个，其中公务员编制</w:t>
      </w:r>
      <w:r>
        <w:rPr>
          <w:rFonts w:hint="eastAsia" w:ascii="仿宋_GB2312" w:hAnsi="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个，行政工勤编制1个，参公编制</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个，事业编制</w:t>
      </w:r>
      <w:r>
        <w:rPr>
          <w:rFonts w:hint="eastAsia" w:ascii="仿宋_GB2312" w:hAnsi="仿宋_GB2312" w:eastAsia="仿宋_GB2312" w:cs="仿宋_GB2312"/>
          <w:color w:val="auto"/>
          <w:sz w:val="32"/>
          <w:szCs w:val="32"/>
          <w:highlight w:val="none"/>
          <w:lang w:val="en-US" w:eastAsia="zh-CN"/>
        </w:rPr>
        <w:t>19</w:t>
      </w:r>
      <w:r>
        <w:rPr>
          <w:rFonts w:hint="eastAsia" w:ascii="仿宋_GB2312" w:hAnsi="仿宋_GB2312" w:eastAsia="仿宋_GB2312" w:cs="仿宋_GB2312"/>
          <w:color w:val="auto"/>
          <w:sz w:val="32"/>
          <w:szCs w:val="32"/>
          <w:highlight w:val="none"/>
        </w:rPr>
        <w:t>个，在职2</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人，公务员</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人，行政工勤1人，参公</w:t>
      </w:r>
      <w:r>
        <w:rPr>
          <w:rFonts w:hint="eastAsia" w:ascii="仿宋_GB2312" w:hAnsi="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人，事业编制1</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人。</w:t>
      </w:r>
      <w:r>
        <w:rPr>
          <w:rFonts w:hint="eastAsia" w:ascii="仿宋" w:hAnsi="仿宋" w:eastAsia="仿宋"/>
          <w:color w:val="auto"/>
          <w:sz w:val="32"/>
          <w:szCs w:val="32"/>
          <w:highlight w:val="none"/>
        </w:rPr>
        <w:t>纳入</w:t>
      </w:r>
      <w:r>
        <w:rPr>
          <w:rFonts w:hint="eastAsia" w:ascii="仿宋" w:hAnsi="仿宋" w:eastAsia="仿宋"/>
          <w:color w:val="auto"/>
          <w:sz w:val="32"/>
          <w:szCs w:val="32"/>
          <w:highlight w:val="none"/>
          <w:lang w:eastAsia="zh-CN"/>
        </w:rPr>
        <w:t>四川省阿坝州红原县自然资源局</w:t>
      </w:r>
      <w:r>
        <w:rPr>
          <w:rFonts w:hint="eastAsia" w:ascii="仿宋" w:hAnsi="仿宋" w:eastAsia="仿宋"/>
          <w:color w:val="auto"/>
          <w:sz w:val="32"/>
          <w:szCs w:val="32"/>
          <w:highlight w:val="none"/>
        </w:rPr>
        <w:t>201</w:t>
      </w:r>
      <w:r>
        <w:rPr>
          <w:rFonts w:hint="eastAsia" w:ascii="仿宋" w:hAnsi="仿宋" w:eastAsia="仿宋"/>
          <w:color w:val="auto"/>
          <w:sz w:val="32"/>
          <w:szCs w:val="32"/>
          <w:highlight w:val="none"/>
          <w:lang w:val="en-US" w:eastAsia="zh-CN"/>
        </w:rPr>
        <w:t>9</w:t>
      </w:r>
      <w:r>
        <w:rPr>
          <w:rFonts w:hint="eastAsia" w:ascii="仿宋" w:hAnsi="仿宋" w:eastAsia="仿宋"/>
          <w:color w:val="auto"/>
          <w:sz w:val="32"/>
          <w:szCs w:val="32"/>
          <w:highlight w:val="none"/>
        </w:rPr>
        <w:t>年度部门决算编制范围的二级预算单位包括：</w:t>
      </w:r>
      <w:r>
        <w:rPr>
          <w:rFonts w:hint="eastAsia" w:ascii="仿宋" w:hAnsi="仿宋" w:eastAsia="仿宋"/>
          <w:color w:val="auto"/>
          <w:sz w:val="32"/>
          <w:szCs w:val="32"/>
          <w:highlight w:val="none"/>
          <w:lang w:val="en-US" w:eastAsia="zh-CN"/>
        </w:rPr>
        <w:t>1.四川省阿坝州红原县自然资源局（本级）2.四川省阿坝州</w:t>
      </w:r>
      <w:r>
        <w:rPr>
          <w:rFonts w:hint="eastAsia" w:ascii="仿宋" w:hAnsi="仿宋" w:eastAsia="仿宋"/>
          <w:color w:val="auto"/>
          <w:sz w:val="32"/>
          <w:szCs w:val="32"/>
          <w:highlight w:val="none"/>
          <w:lang w:eastAsia="zh-CN"/>
        </w:rPr>
        <w:t>红原县不动产登记中心（本级）。</w:t>
      </w: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（一）部门财政资金收入情况。</w:t>
      </w:r>
    </w:p>
    <w:p>
      <w:pPr>
        <w:pStyle w:val="2"/>
        <w:rPr>
          <w:color w:val="auto"/>
          <w:highlight w:val="none"/>
          <w:lang w:val="zh-CN"/>
        </w:rPr>
      </w:pPr>
      <w:r>
        <w:rPr>
          <w:rFonts w:ascii="仿宋" w:hAnsi="仿宋" w:eastAsia="仿宋"/>
          <w:color w:val="auto"/>
          <w:sz w:val="32"/>
          <w:szCs w:val="32"/>
          <w:highlight w:val="none"/>
        </w:rPr>
        <w:t>201</w:t>
      </w:r>
      <w:r>
        <w:rPr>
          <w:rFonts w:hint="eastAsia" w:ascii="仿宋" w:hAnsi="仿宋" w:eastAsia="仿宋"/>
          <w:color w:val="auto"/>
          <w:sz w:val="32"/>
          <w:szCs w:val="32"/>
          <w:highlight w:val="none"/>
        </w:rPr>
        <w:t>9年本年收入合计</w:t>
      </w:r>
      <w:r>
        <w:rPr>
          <w:rFonts w:hint="eastAsia" w:ascii="仿宋" w:hAnsi="仿宋" w:eastAsia="仿宋"/>
          <w:color w:val="auto"/>
          <w:sz w:val="32"/>
          <w:szCs w:val="32"/>
          <w:highlight w:val="none"/>
          <w:lang w:val="en-US" w:eastAsia="zh-CN"/>
        </w:rPr>
        <w:t>2992.32</w:t>
      </w:r>
      <w:r>
        <w:rPr>
          <w:rFonts w:hint="eastAsia" w:ascii="仿宋" w:hAnsi="仿宋" w:eastAsia="仿宋"/>
          <w:color w:val="auto"/>
          <w:sz w:val="32"/>
          <w:szCs w:val="32"/>
          <w:highlight w:val="none"/>
        </w:rPr>
        <w:t>万元，其中：一般公共预算财政拨款收入</w:t>
      </w:r>
      <w:r>
        <w:rPr>
          <w:rFonts w:hint="eastAsia" w:ascii="仿宋" w:hAnsi="仿宋" w:eastAsia="仿宋"/>
          <w:color w:val="auto"/>
          <w:sz w:val="32"/>
          <w:szCs w:val="32"/>
          <w:highlight w:val="none"/>
          <w:lang w:val="en-US" w:eastAsia="zh-CN"/>
        </w:rPr>
        <w:t>2804.43</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93.72</w:t>
      </w:r>
      <w:r>
        <w:rPr>
          <w:rFonts w:ascii="仿宋" w:hAnsi="仿宋" w:eastAsia="仿宋"/>
          <w:color w:val="auto"/>
          <w:sz w:val="32"/>
          <w:szCs w:val="32"/>
          <w:highlight w:val="none"/>
        </w:rPr>
        <w:t>%</w:t>
      </w:r>
      <w:r>
        <w:rPr>
          <w:rFonts w:hint="eastAsia" w:ascii="仿宋" w:hAnsi="仿宋" w:eastAsia="仿宋"/>
          <w:color w:val="auto"/>
          <w:sz w:val="32"/>
          <w:szCs w:val="32"/>
          <w:highlight w:val="none"/>
        </w:rPr>
        <w:t>；政府性基金预算财政拨款收入</w:t>
      </w:r>
      <w:r>
        <w:rPr>
          <w:rFonts w:hint="eastAsia" w:ascii="仿宋" w:hAnsi="仿宋" w:eastAsia="仿宋"/>
          <w:color w:val="auto"/>
          <w:sz w:val="32"/>
          <w:szCs w:val="32"/>
          <w:highlight w:val="none"/>
          <w:lang w:val="en-US" w:eastAsia="zh-CN"/>
        </w:rPr>
        <w:t>187.88</w:t>
      </w:r>
      <w:r>
        <w:rPr>
          <w:rFonts w:hint="eastAsia" w:ascii="仿宋" w:hAnsi="仿宋" w:eastAsia="仿宋"/>
          <w:color w:val="auto"/>
          <w:sz w:val="32"/>
          <w:szCs w:val="32"/>
          <w:highlight w:val="none"/>
        </w:rPr>
        <w:t>万元，占</w:t>
      </w:r>
      <w:r>
        <w:rPr>
          <w:rFonts w:hint="eastAsia" w:ascii="仿宋" w:hAnsi="仿宋" w:eastAsia="仿宋"/>
          <w:color w:val="auto"/>
          <w:sz w:val="32"/>
          <w:szCs w:val="32"/>
          <w:highlight w:val="none"/>
          <w:lang w:val="en-US" w:eastAsia="zh-CN"/>
        </w:rPr>
        <w:t>6.28</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widowControl/>
        <w:numPr>
          <w:ilvl w:val="0"/>
          <w:numId w:val="8"/>
        </w:numPr>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部门财政资金支出情况。</w:t>
      </w:r>
    </w:p>
    <w:p>
      <w:pPr>
        <w:pStyle w:val="2"/>
        <w:numPr>
          <w:ilvl w:val="0"/>
          <w:numId w:val="0"/>
        </w:numPr>
        <w:ind w:firstLine="640" w:firstLineChars="200"/>
        <w:rPr>
          <w:color w:val="auto"/>
          <w:highlight w:val="none"/>
          <w:lang w:val="zh-CN"/>
        </w:rPr>
      </w:pPr>
      <w:r>
        <w:rPr>
          <w:rFonts w:ascii="仿宋" w:hAnsi="仿宋" w:eastAsia="仿宋"/>
          <w:color w:val="auto"/>
          <w:sz w:val="32"/>
          <w:szCs w:val="32"/>
          <w:highlight w:val="none"/>
        </w:rPr>
        <w:t>201</w:t>
      </w:r>
      <w:r>
        <w:rPr>
          <w:rFonts w:hint="eastAsia" w:ascii="仿宋" w:hAnsi="仿宋" w:eastAsia="仿宋"/>
          <w:color w:val="auto"/>
          <w:sz w:val="32"/>
          <w:szCs w:val="32"/>
          <w:highlight w:val="none"/>
        </w:rPr>
        <w:t>9年本年支出合计</w:t>
      </w:r>
      <w:r>
        <w:rPr>
          <w:rFonts w:hint="eastAsia" w:ascii="仿宋" w:hAnsi="仿宋" w:eastAsia="仿宋"/>
          <w:color w:val="auto"/>
          <w:sz w:val="32"/>
          <w:szCs w:val="32"/>
          <w:highlight w:val="none"/>
          <w:lang w:val="en-US" w:eastAsia="zh-CN"/>
        </w:rPr>
        <w:t>2005.2</w:t>
      </w:r>
      <w:r>
        <w:rPr>
          <w:rFonts w:hint="eastAsia" w:ascii="仿宋" w:hAnsi="仿宋" w:eastAsia="仿宋"/>
          <w:color w:val="auto"/>
          <w:sz w:val="32"/>
          <w:szCs w:val="32"/>
          <w:highlight w:val="none"/>
        </w:rPr>
        <w:t>万元，其中：基本支出478.43万元，占</w:t>
      </w:r>
      <w:r>
        <w:rPr>
          <w:rFonts w:hint="eastAsia" w:ascii="仿宋" w:hAnsi="仿宋" w:eastAsia="仿宋"/>
          <w:color w:val="auto"/>
          <w:sz w:val="32"/>
          <w:szCs w:val="32"/>
          <w:highlight w:val="none"/>
          <w:lang w:val="en-US" w:eastAsia="zh-CN"/>
        </w:rPr>
        <w:t>23.86</w:t>
      </w:r>
      <w:r>
        <w:rPr>
          <w:rFonts w:ascii="仿宋" w:hAnsi="仿宋" w:eastAsia="仿宋"/>
          <w:color w:val="auto"/>
          <w:sz w:val="32"/>
          <w:szCs w:val="32"/>
          <w:highlight w:val="none"/>
        </w:rPr>
        <w:t>%</w:t>
      </w:r>
      <w:r>
        <w:rPr>
          <w:rFonts w:hint="eastAsia" w:ascii="仿宋" w:hAnsi="仿宋" w:eastAsia="仿宋"/>
          <w:color w:val="auto"/>
          <w:sz w:val="32"/>
          <w:szCs w:val="32"/>
          <w:highlight w:val="none"/>
        </w:rPr>
        <w:t>；项目支出1,526.77万元，占</w:t>
      </w:r>
      <w:r>
        <w:rPr>
          <w:rFonts w:hint="eastAsia" w:ascii="仿宋" w:hAnsi="仿宋" w:eastAsia="仿宋"/>
          <w:color w:val="auto"/>
          <w:sz w:val="32"/>
          <w:szCs w:val="32"/>
          <w:highlight w:val="none"/>
          <w:lang w:val="en-US" w:eastAsia="zh-CN"/>
        </w:rPr>
        <w:t>76.14</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（一）部门预算管理。</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rPr>
        <w:t>我局严格按照《预算法》及相关财经法规和政策编制本年度预算，严格控制编报质量，保证所有资金合法合规，严格按照相关规定进行预算编制，中央转移支付资金按照文件要求下达，专项转移支付严格根据分地区分项目进行编制。</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zh-CN" w:eastAsia="zh-CN"/>
        </w:rPr>
        <w:t>（二）执行管理情况。</w:t>
      </w:r>
      <w:r>
        <w:rPr>
          <w:rFonts w:hint="eastAsia" w:ascii="仿宋_GB2312" w:hAnsi="仿宋_GB2312" w:eastAsia="仿宋_GB2312" w:cs="仿宋_GB2312"/>
          <w:color w:val="auto"/>
          <w:sz w:val="32"/>
          <w:szCs w:val="32"/>
          <w:highlight w:val="none"/>
          <w:lang w:val="zh-CN" w:eastAsia="zh-CN"/>
        </w:rPr>
        <w:tab/>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right="0" w:firstLine="720"/>
        <w:jc w:val="left"/>
        <w:textAlignment w:val="auto"/>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eastAsia="zh-CN"/>
        </w:rPr>
        <w:t>我局</w:t>
      </w:r>
      <w:r>
        <w:rPr>
          <w:rFonts w:hint="eastAsia" w:ascii="仿宋_GB2312" w:hAnsi="仿宋_GB2312" w:eastAsia="仿宋_GB2312" w:cs="仿宋_GB2312"/>
          <w:color w:val="auto"/>
          <w:sz w:val="32"/>
          <w:szCs w:val="32"/>
          <w:highlight w:val="none"/>
        </w:rPr>
        <w:t>预算执行到位，严格按照预算管理进行支付并做到节能降耗，“三公”经费严格按照年初预算执行。</w:t>
      </w: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（一）评价结论。</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根据《红原县部门支出绩效评价指标体系》评分得分</w:t>
      </w:r>
      <w:r>
        <w:rPr>
          <w:rFonts w:hint="eastAsia" w:ascii="仿宋_GB2312" w:hAnsi="仿宋_GB2312" w:eastAsia="仿宋_GB2312" w:cs="仿宋_GB2312"/>
          <w:color w:val="auto"/>
          <w:sz w:val="32"/>
          <w:szCs w:val="32"/>
          <w:highlight w:val="none"/>
          <w:lang w:val="en-US" w:eastAsia="zh-CN"/>
        </w:rPr>
        <w:t>96.5</w:t>
      </w:r>
      <w:r>
        <w:rPr>
          <w:rFonts w:hint="eastAsia" w:ascii="仿宋_GB2312" w:hAnsi="仿宋_GB2312" w:eastAsia="仿宋_GB2312" w:cs="仿宋_GB2312"/>
          <w:color w:val="auto"/>
          <w:sz w:val="32"/>
          <w:szCs w:val="32"/>
          <w:highlight w:val="none"/>
        </w:rPr>
        <w:t>分，</w:t>
      </w:r>
      <w:r>
        <w:rPr>
          <w:rFonts w:hint="eastAsia" w:ascii="仿宋_GB2312" w:hAnsi="仿宋_GB2312" w:eastAsia="仿宋_GB2312" w:cs="仿宋_GB2312"/>
          <w:color w:val="auto"/>
          <w:sz w:val="32"/>
          <w:szCs w:val="32"/>
          <w:highlight w:val="none"/>
          <w:lang w:eastAsia="zh-CN"/>
        </w:rPr>
        <w:t>其中：预算调整扣</w:t>
      </w:r>
      <w:r>
        <w:rPr>
          <w:rFonts w:hint="eastAsia" w:ascii="仿宋_GB2312" w:hAnsi="仿宋_GB2312" w:eastAsia="仿宋_GB2312" w:cs="仿宋_GB2312"/>
          <w:color w:val="auto"/>
          <w:sz w:val="32"/>
          <w:szCs w:val="32"/>
          <w:highlight w:val="none"/>
          <w:lang w:val="en-US" w:eastAsia="zh-CN"/>
        </w:rPr>
        <w:t>1分，原因为年中存在追加资金；非税收入执行情况扣0.5分，原因为部分挂牌土地出让金存在缓交；绩效评价扣2分，原因为绩效覆盖评价率较低。</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（二）存在的问题</w:t>
      </w:r>
    </w:p>
    <w:p>
      <w:pPr>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60" w:lineRule="exact"/>
        <w:ind w:left="0" w:leftChars="0" w:right="0" w:firstLine="720"/>
        <w:jc w:val="left"/>
        <w:textAlignment w:val="auto"/>
        <w:rPr>
          <w:color w:val="auto"/>
          <w:highlight w:val="none"/>
          <w:lang w:val="zh-CN"/>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未更好的将地质灾害资金和不动产登记资金做好预算，导致年中申请追加预算。</w:t>
      </w:r>
      <w:r>
        <w:rPr>
          <w:rFonts w:hint="eastAsia" w:ascii="仿宋_GB2312" w:hAnsi="仿宋_GB2312" w:eastAsia="仿宋_GB2312" w:cs="仿宋_GB2312"/>
          <w:color w:val="auto"/>
          <w:sz w:val="32"/>
          <w:szCs w:val="32"/>
          <w:highlight w:val="none"/>
          <w:lang w:val="en-US" w:eastAsia="zh-CN"/>
        </w:rPr>
        <w:t>2.由于实际工作需要，导致预算经济科目与实际支出存在差异。</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highlight w:val="none"/>
          <w:shd w:val="clear" w:color="auto" w:fill="FFFFFF"/>
          <w:lang w:val="zh-CN"/>
        </w:rPr>
      </w:pPr>
      <w:r>
        <w:rPr>
          <w:rFonts w:hint="eastAsia" w:ascii="仿宋_GB2312" w:hAnsi="宋体" w:eastAsia="仿宋_GB2312" w:cs="宋体"/>
          <w:color w:val="auto"/>
          <w:kern w:val="0"/>
          <w:sz w:val="32"/>
          <w:szCs w:val="32"/>
          <w:highlight w:val="none"/>
          <w:shd w:val="clear" w:color="auto" w:fill="FFFFFF"/>
          <w:lang w:val="zh-CN"/>
        </w:rPr>
        <w:t>（三）改进建议。</w:t>
      </w:r>
    </w:p>
    <w:p>
      <w:pPr>
        <w:keepNext w:val="0"/>
        <w:keepLines w:val="0"/>
        <w:pageBreakBefore w:val="0"/>
        <w:kinsoku/>
        <w:wordWrap/>
        <w:overflowPunct/>
        <w:topLinePunct w:val="0"/>
        <w:autoSpaceDE/>
        <w:autoSpaceDN/>
        <w:bidi w:val="0"/>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1.加强组织领导，增强预算编制的准确性，提高对预算编制与执行的认识，为绩效评价工作开展创造更好的条件；2.建立长效机制，加强管理提高部门支出的绩效成果，为更好的服务工作发挥最大效益。</w:t>
      </w:r>
    </w:p>
    <w:p>
      <w:pPr>
        <w:pStyle w:val="2"/>
        <w:rPr>
          <w:color w:val="auto"/>
          <w:highlight w:val="none"/>
          <w:lang w:val="zh-CN"/>
        </w:rPr>
      </w:pPr>
    </w:p>
    <w:p>
      <w:pPr>
        <w:spacing w:line="580" w:lineRule="exact"/>
        <w:ind w:firstLine="640" w:firstLineChars="200"/>
        <w:rPr>
          <w:rFonts w:ascii="仿宋_GB2312" w:hAnsi="仿宋_GB2312" w:eastAsia="仿宋_GB2312" w:cs="仿宋_GB2312"/>
          <w:color w:val="auto"/>
          <w:sz w:val="32"/>
          <w:szCs w:val="32"/>
          <w:highlight w:val="none"/>
        </w:rPr>
      </w:pPr>
    </w:p>
    <w:p>
      <w:pPr>
        <w:spacing w:line="580" w:lineRule="exact"/>
        <w:ind w:firstLine="640" w:firstLineChars="200"/>
        <w:rPr>
          <w:rFonts w:ascii="仿宋_GB2312" w:hAnsi="仿宋_GB2312" w:eastAsia="仿宋_GB2312" w:cs="仿宋_GB2312"/>
          <w:color w:val="auto"/>
          <w:sz w:val="32"/>
          <w:szCs w:val="32"/>
          <w:highlight w:val="none"/>
        </w:rPr>
      </w:pPr>
    </w:p>
    <w:p>
      <w:pPr>
        <w:spacing w:line="580" w:lineRule="exact"/>
        <w:rPr>
          <w:rFonts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附件2</w:t>
      </w:r>
    </w:p>
    <w:p>
      <w:pPr>
        <w:spacing w:line="580" w:lineRule="exact"/>
        <w:ind w:firstLine="640" w:firstLineChars="200"/>
        <w:rPr>
          <w:rFonts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红原县自然资源局</w:t>
      </w:r>
    </w:p>
    <w:p>
      <w:pPr>
        <w:pStyle w:val="33"/>
        <w:keepNext w:val="0"/>
        <w:keepLines w:val="0"/>
        <w:pageBreakBefore w:val="0"/>
        <w:widowControl w:val="0"/>
        <w:kinsoku/>
        <w:wordWrap/>
        <w:overflowPunct/>
        <w:topLinePunct w:val="0"/>
        <w:autoSpaceDE/>
        <w:autoSpaceDN/>
        <w:bidi w:val="0"/>
        <w:adjustRightInd/>
        <w:snapToGrid/>
        <w:spacing w:line="560" w:lineRule="exact"/>
        <w:ind w:firstLine="883"/>
        <w:jc w:val="center"/>
        <w:textAlignment w:val="auto"/>
        <w:rPr>
          <w:rFonts w:ascii="仿宋_GB2312" w:hAnsi="宋体" w:eastAsia="仿宋_GB2312"/>
          <w:color w:val="auto"/>
          <w:kern w:val="2"/>
          <w:sz w:val="32"/>
          <w:szCs w:val="32"/>
          <w:highlight w:val="none"/>
        </w:rPr>
      </w:pPr>
      <w:r>
        <w:rPr>
          <w:rFonts w:hint="eastAsia" w:ascii="方正小标宋简体" w:hAnsi="宋体" w:eastAsia="方正小标宋简体"/>
          <w:color w:val="auto"/>
          <w:sz w:val="44"/>
          <w:szCs w:val="44"/>
          <w:highlight w:val="none"/>
          <w:lang w:eastAsia="zh-CN"/>
        </w:rPr>
        <w:t>关于</w:t>
      </w:r>
      <w:r>
        <w:rPr>
          <w:rFonts w:hint="eastAsia" w:ascii="方正小标宋简体" w:hAnsi="宋体" w:eastAsia="方正小标宋简体"/>
          <w:color w:val="auto"/>
          <w:sz w:val="44"/>
          <w:szCs w:val="44"/>
          <w:highlight w:val="none"/>
          <w:lang w:val="en-US" w:eastAsia="zh-CN"/>
        </w:rPr>
        <w:t>2019年地质灾害综合防治体系建设</w:t>
      </w:r>
      <w:r>
        <w:rPr>
          <w:rFonts w:hint="eastAsia" w:ascii="方正小标宋简体" w:hAnsi="宋体" w:eastAsia="方正小标宋简体"/>
          <w:color w:val="auto"/>
          <w:sz w:val="44"/>
          <w:szCs w:val="44"/>
          <w:highlight w:val="none"/>
        </w:rPr>
        <w:t>项目绩效自评报告</w:t>
      </w:r>
    </w:p>
    <w:p>
      <w:pPr>
        <w:spacing w:line="600" w:lineRule="exact"/>
        <w:rPr>
          <w:rFonts w:ascii="宋体" w:hAnsi="宋体"/>
          <w:color w:val="auto"/>
          <w:sz w:val="32"/>
          <w:szCs w:val="32"/>
          <w:highlight w:val="none"/>
          <w:lang w:val="zh-CN"/>
        </w:rPr>
      </w:pPr>
    </w:p>
    <w:p>
      <w:pPr>
        <w:adjustRightInd w:val="0"/>
        <w:snapToGrid w:val="0"/>
        <w:spacing w:line="600" w:lineRule="exact"/>
        <w:ind w:firstLine="720"/>
        <w:rPr>
          <w:rFonts w:hint="eastAsia" w:ascii="黑体" w:hAnsi="黑体" w:eastAsia="黑体" w:cs="黑体"/>
          <w:color w:val="auto"/>
          <w:sz w:val="32"/>
          <w:szCs w:val="32"/>
          <w:highlight w:val="none"/>
          <w:lang w:val="zh-CN"/>
        </w:rPr>
      </w:pPr>
      <w:r>
        <w:rPr>
          <w:rFonts w:hint="eastAsia" w:ascii="黑体" w:hAnsi="黑体" w:eastAsia="黑体" w:cs="黑体"/>
          <w:color w:val="auto"/>
          <w:sz w:val="32"/>
          <w:szCs w:val="32"/>
          <w:highlight w:val="none"/>
        </w:rPr>
        <w:t>一、</w:t>
      </w:r>
      <w:r>
        <w:rPr>
          <w:rFonts w:hint="eastAsia" w:ascii="黑体" w:hAnsi="黑体" w:eastAsia="黑体" w:cs="黑体"/>
          <w:color w:val="auto"/>
          <w:sz w:val="32"/>
          <w:szCs w:val="32"/>
          <w:highlight w:val="none"/>
          <w:lang w:val="zh-CN"/>
        </w:rPr>
        <w:t>项目概况</w:t>
      </w:r>
    </w:p>
    <w:p>
      <w:pPr>
        <w:adjustRightInd w:val="0"/>
        <w:snapToGrid w:val="0"/>
        <w:spacing w:line="600" w:lineRule="exact"/>
        <w:ind w:firstLine="720"/>
        <w:rPr>
          <w:rFonts w:hint="eastAsia" w:ascii="仿宋_GB2312" w:hAnsi="仿宋_GB2312" w:eastAsia="仿宋_GB2312" w:cs="仿宋_GB2312"/>
          <w:b/>
          <w:color w:val="auto"/>
          <w:sz w:val="32"/>
          <w:szCs w:val="32"/>
          <w:highlight w:val="none"/>
          <w:lang w:val="zh-CN"/>
        </w:rPr>
      </w:pPr>
      <w:r>
        <w:rPr>
          <w:rFonts w:hint="eastAsia" w:ascii="仿宋_GB2312" w:hAnsi="仿宋_GB2312" w:eastAsia="仿宋_GB2312" w:cs="仿宋_GB2312"/>
          <w:b/>
          <w:color w:val="auto"/>
          <w:sz w:val="32"/>
          <w:szCs w:val="32"/>
          <w:highlight w:val="none"/>
          <w:lang w:val="zh-CN"/>
        </w:rPr>
        <w:t>（一）项目基本情况。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2019年项目为群测群防专职监测35个地质灾害隐患点。根据《阿坝州财政局关于下达2019年地质灾害综合防治体系建设省级补助资金的通知》（阿州财投〔2019〕3号）文件，下达我县12.6万元，用于35个地质灾害隐患点专职监测经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根据任务书要求我局立即与各乡镇签订了《地灾防治工作目标责任书》、《地质灾害监测协议书》，落实了汛期值班制度和灾情速报制度，明确了汛期带班领导和值班人员及35个地质灾害隐患点的监测人员。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监测员已完成监测任务，遵照州自然资源局下达的任务书执行资金分配，按照3600元/人发放至每个人的银行卡，截止2019年末12.6万元已全部拨付完成。</w:t>
      </w:r>
    </w:p>
    <w:p>
      <w:pPr>
        <w:adjustRightInd w:val="0"/>
        <w:snapToGrid w:val="0"/>
        <w:spacing w:line="600" w:lineRule="exact"/>
        <w:ind w:firstLine="720"/>
        <w:rPr>
          <w:rFonts w:hint="eastAsia" w:ascii="仿宋_GB2312" w:hAnsi="仿宋_GB2312" w:eastAsia="仿宋_GB2312" w:cs="仿宋_GB2312"/>
          <w:b/>
          <w:color w:val="auto"/>
          <w:sz w:val="32"/>
          <w:szCs w:val="32"/>
          <w:highlight w:val="none"/>
          <w:lang w:val="zh-CN"/>
        </w:rPr>
      </w:pPr>
      <w:r>
        <w:rPr>
          <w:rFonts w:hint="eastAsia" w:ascii="仿宋_GB2312" w:hAnsi="仿宋_GB2312" w:eastAsia="仿宋_GB2312" w:cs="仿宋_GB2312"/>
          <w:b/>
          <w:color w:val="auto"/>
          <w:sz w:val="32"/>
          <w:szCs w:val="32"/>
          <w:highlight w:val="none"/>
          <w:lang w:val="zh-CN"/>
        </w:rPr>
        <w:t>（二）项目绩效目标。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color w:val="auto"/>
          <w:sz w:val="32"/>
          <w:szCs w:val="32"/>
          <w:highlight w:val="none"/>
          <w:lang w:val="en-US" w:eastAsia="zh-CN"/>
        </w:rPr>
        <w:t>完成35个地质灾害隐患点专职监测工作；</w:t>
      </w:r>
      <w:r>
        <w:rPr>
          <w:rFonts w:hint="eastAsia" w:ascii="仿宋_GB2312" w:hAnsi="仿宋_GB2312" w:eastAsia="仿宋_GB2312" w:cs="仿宋_GB2312"/>
          <w:b/>
          <w:bCs/>
          <w:color w:val="auto"/>
          <w:sz w:val="32"/>
          <w:szCs w:val="32"/>
          <w:highlight w:val="none"/>
          <w:lang w:val="en-US" w:eastAsia="zh-CN"/>
        </w:rPr>
        <w:t>二是</w:t>
      </w:r>
      <w:r>
        <w:rPr>
          <w:rFonts w:hint="eastAsia" w:ascii="仿宋_GB2312" w:hAnsi="仿宋_GB2312" w:eastAsia="仿宋_GB2312" w:cs="仿宋_GB2312"/>
          <w:color w:val="auto"/>
          <w:sz w:val="32"/>
          <w:szCs w:val="32"/>
          <w:highlight w:val="none"/>
          <w:lang w:val="en-US" w:eastAsia="zh-CN"/>
        </w:rPr>
        <w:t>完成地质灾害隐患点宣传培训和应急演练工作，覆盖率＞90%；</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color w:val="auto"/>
          <w:sz w:val="32"/>
          <w:szCs w:val="32"/>
          <w:highlight w:val="none"/>
          <w:lang w:val="en-US" w:eastAsia="zh-CN"/>
        </w:rPr>
        <w:t>填报四川省地质环境管理信息系统，填报率100%；</w:t>
      </w:r>
      <w:r>
        <w:rPr>
          <w:rFonts w:hint="eastAsia" w:ascii="仿宋_GB2312" w:hAnsi="仿宋_GB2312" w:eastAsia="仿宋_GB2312" w:cs="仿宋_GB2312"/>
          <w:b/>
          <w:bCs/>
          <w:color w:val="auto"/>
          <w:sz w:val="32"/>
          <w:szCs w:val="32"/>
          <w:highlight w:val="none"/>
          <w:lang w:val="en-US" w:eastAsia="zh-CN"/>
        </w:rPr>
        <w:t>四是</w:t>
      </w:r>
      <w:r>
        <w:rPr>
          <w:rFonts w:hint="eastAsia" w:ascii="仿宋_GB2312" w:hAnsi="仿宋_GB2312" w:eastAsia="仿宋_GB2312" w:cs="仿宋_GB2312"/>
          <w:color w:val="auto"/>
          <w:sz w:val="32"/>
          <w:szCs w:val="32"/>
          <w:highlight w:val="none"/>
          <w:lang w:val="en-US" w:eastAsia="zh-CN"/>
        </w:rPr>
        <w:t>编制并启动2019年度实施方案，目标完成率100%；</w:t>
      </w:r>
      <w:r>
        <w:rPr>
          <w:rFonts w:hint="eastAsia" w:ascii="仿宋_GB2312" w:hAnsi="仿宋_GB2312" w:eastAsia="仿宋_GB2312" w:cs="仿宋_GB2312"/>
          <w:b/>
          <w:bCs/>
          <w:color w:val="auto"/>
          <w:sz w:val="32"/>
          <w:szCs w:val="32"/>
          <w:highlight w:val="none"/>
          <w:lang w:val="en-US" w:eastAsia="zh-CN"/>
        </w:rPr>
        <w:t>五是</w:t>
      </w:r>
      <w:r>
        <w:rPr>
          <w:rFonts w:hint="eastAsia" w:ascii="仿宋_GB2312" w:hAnsi="仿宋_GB2312" w:eastAsia="仿宋_GB2312" w:cs="仿宋_GB2312"/>
          <w:color w:val="auto"/>
          <w:sz w:val="32"/>
          <w:szCs w:val="32"/>
          <w:highlight w:val="none"/>
          <w:lang w:val="en-US" w:eastAsia="zh-CN"/>
        </w:rPr>
        <w:t>完成2019年监测记录、值班记录，了解隐患点变化情况。</w:t>
      </w:r>
    </w:p>
    <w:p>
      <w:pPr>
        <w:adjustRightInd w:val="0"/>
        <w:snapToGrid w:val="0"/>
        <w:spacing w:line="600" w:lineRule="exact"/>
        <w:ind w:firstLine="720"/>
        <w:rPr>
          <w:rFonts w:hint="eastAsia" w:ascii="仿宋_GB2312" w:hAnsi="仿宋_GB2312" w:eastAsia="仿宋_GB2312" w:cs="仿宋_GB2312"/>
          <w:b/>
          <w:color w:val="auto"/>
          <w:sz w:val="32"/>
          <w:szCs w:val="32"/>
          <w:highlight w:val="none"/>
          <w:lang w:val="zh-CN"/>
        </w:rPr>
      </w:pPr>
      <w:r>
        <w:rPr>
          <w:rFonts w:hint="eastAsia" w:ascii="仿宋_GB2312" w:hAnsi="仿宋_GB2312" w:eastAsia="仿宋_GB2312" w:cs="仿宋_GB2312"/>
          <w:b/>
          <w:color w:val="auto"/>
          <w:sz w:val="32"/>
          <w:szCs w:val="32"/>
          <w:highlight w:val="none"/>
          <w:lang w:val="zh-CN"/>
        </w:rPr>
        <w:t>（三）项目自评步骤及方法。</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我局通过实地踏勘和地质灾害巡排查对全县地质灾害隐患点进行了逐一核查、销号，确定了</w:t>
      </w:r>
      <w:r>
        <w:rPr>
          <w:rFonts w:hint="eastAsia" w:ascii="仿宋_GB2312" w:hAnsi="仿宋_GB2312" w:eastAsia="仿宋_GB2312" w:cs="仿宋_GB2312"/>
          <w:color w:val="auto"/>
          <w:sz w:val="32"/>
          <w:szCs w:val="32"/>
          <w:highlight w:val="none"/>
          <w:lang w:val="en-US" w:eastAsia="zh-CN"/>
        </w:rPr>
        <w:t>35个地质灾害隐患点的专职监测员，并</w:t>
      </w:r>
      <w:r>
        <w:rPr>
          <w:rFonts w:hint="eastAsia" w:ascii="仿宋_GB2312" w:hAnsi="仿宋_GB2312" w:eastAsia="仿宋_GB2312" w:cs="仿宋_GB2312"/>
          <w:color w:val="auto"/>
          <w:sz w:val="32"/>
          <w:szCs w:val="32"/>
          <w:highlight w:val="none"/>
          <w:lang w:eastAsia="zh-CN"/>
        </w:rPr>
        <w:t>严格按照</w:t>
      </w:r>
      <w:r>
        <w:rPr>
          <w:rFonts w:hint="eastAsia" w:ascii="仿宋_GB2312" w:hAnsi="仿宋_GB2312" w:eastAsia="仿宋_GB2312" w:cs="仿宋_GB2312"/>
          <w:color w:val="auto"/>
          <w:sz w:val="32"/>
          <w:szCs w:val="32"/>
          <w:highlight w:val="none"/>
          <w:lang w:val="en-US" w:eastAsia="zh-CN"/>
        </w:rPr>
        <w:t>《四川省地质灾害防治专项资金管理办法》，征求各乡镇意见及我局定期抽查检查督导，对完成了年度监测任务的监测员，按照3600元/人的标准发放至每个监测员。</w:t>
      </w:r>
    </w:p>
    <w:p>
      <w:pPr>
        <w:adjustRightInd w:val="0"/>
        <w:snapToGrid w:val="0"/>
        <w:spacing w:line="600" w:lineRule="exact"/>
        <w:ind w:firstLine="72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二、项目资金申报及使用情况</w:t>
      </w:r>
    </w:p>
    <w:p>
      <w:pPr>
        <w:adjustRightInd w:val="0"/>
        <w:snapToGrid w:val="0"/>
        <w:spacing w:line="600" w:lineRule="exact"/>
        <w:ind w:firstLine="720"/>
        <w:rPr>
          <w:rFonts w:hint="eastAsia" w:ascii="仿宋_GB2312" w:hAnsi="仿宋_GB2312" w:eastAsia="仿宋_GB2312" w:cs="仿宋_GB2312"/>
          <w:b/>
          <w:color w:val="auto"/>
          <w:sz w:val="32"/>
          <w:szCs w:val="32"/>
          <w:highlight w:val="none"/>
          <w:lang w:val="zh-CN"/>
        </w:rPr>
      </w:pPr>
      <w:r>
        <w:rPr>
          <w:rFonts w:hint="eastAsia" w:ascii="仿宋_GB2312" w:hAnsi="仿宋_GB2312" w:eastAsia="仿宋_GB2312" w:cs="仿宋_GB2312"/>
          <w:b/>
          <w:color w:val="auto"/>
          <w:sz w:val="32"/>
          <w:szCs w:val="32"/>
          <w:highlight w:val="none"/>
          <w:lang w:val="zh-CN"/>
        </w:rPr>
        <w:t>（一）项目资金申报及批复情况。</w:t>
      </w:r>
    </w:p>
    <w:p>
      <w:pPr>
        <w:adjustRightInd w:val="0"/>
        <w:snapToGrid w:val="0"/>
        <w:spacing w:line="600" w:lineRule="exact"/>
        <w:ind w:firstLine="72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lang w:val="zh-CN"/>
        </w:rPr>
        <w:t>我局按照每年专业单位技术人员排查成果进行地质灾害隐患点核查和销号，实时更新四川省地质环境管理信息系统，年底我局将隐患点数量上报至州自然资源局，州自然资源局经核实后次年年初下达工作任务。</w:t>
      </w:r>
    </w:p>
    <w:p>
      <w:pPr>
        <w:adjustRightInd w:val="0"/>
        <w:snapToGrid w:val="0"/>
        <w:spacing w:line="600" w:lineRule="exact"/>
        <w:ind w:firstLine="72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b/>
          <w:color w:val="auto"/>
          <w:sz w:val="32"/>
          <w:szCs w:val="32"/>
          <w:highlight w:val="none"/>
          <w:lang w:val="zh-CN"/>
        </w:rPr>
        <w:t>（二）资金计划、到位及使用情况。</w:t>
      </w:r>
    </w:p>
    <w:p>
      <w:pPr>
        <w:adjustRightInd w:val="0"/>
        <w:snapToGrid w:val="0"/>
        <w:spacing w:line="600" w:lineRule="exact"/>
        <w:ind w:firstLine="720"/>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sz w:val="32"/>
          <w:szCs w:val="32"/>
          <w:highlight w:val="none"/>
          <w:lang w:val="zh-CN"/>
        </w:rPr>
        <w:t>1．资金计划</w:t>
      </w:r>
      <w:r>
        <w:rPr>
          <w:rFonts w:hint="eastAsia" w:ascii="仿宋_GB2312" w:hAnsi="仿宋_GB2312" w:eastAsia="仿宋_GB2312" w:cs="仿宋_GB2312"/>
          <w:color w:val="auto"/>
          <w:sz w:val="32"/>
          <w:szCs w:val="32"/>
          <w:highlight w:val="none"/>
          <w:lang w:val="zh-CN" w:eastAsia="zh-CN"/>
        </w:rPr>
        <w:t>、到位</w:t>
      </w:r>
      <w:r>
        <w:rPr>
          <w:rFonts w:hint="eastAsia" w:ascii="仿宋_GB2312" w:hAnsi="仿宋_GB2312" w:eastAsia="仿宋_GB2312" w:cs="仿宋_GB2312"/>
          <w:color w:val="auto"/>
          <w:sz w:val="32"/>
          <w:szCs w:val="32"/>
          <w:highlight w:val="none"/>
          <w:lang w:val="zh-CN"/>
        </w:rPr>
        <w:t>。</w:t>
      </w:r>
      <w:r>
        <w:rPr>
          <w:rFonts w:hint="eastAsia" w:ascii="仿宋_GB2312" w:hAnsi="仿宋_GB2312" w:eastAsia="仿宋_GB2312" w:cs="仿宋_GB2312"/>
          <w:color w:val="auto"/>
          <w:kern w:val="2"/>
          <w:sz w:val="32"/>
          <w:szCs w:val="32"/>
          <w:highlight w:val="none"/>
          <w:lang w:val="zh-CN" w:eastAsia="zh-CN" w:bidi="ar"/>
        </w:rPr>
        <w:t>该项目资金来源为</w:t>
      </w:r>
      <w:r>
        <w:rPr>
          <w:rFonts w:hint="eastAsia" w:ascii="仿宋_GB2312" w:hAnsi="仿宋_GB2312" w:eastAsia="仿宋_GB2312" w:cs="仿宋_GB2312"/>
          <w:color w:val="auto"/>
          <w:kern w:val="2"/>
          <w:sz w:val="32"/>
          <w:szCs w:val="32"/>
          <w:highlight w:val="none"/>
          <w:lang w:val="en-US" w:eastAsia="zh-CN" w:bidi="ar"/>
        </w:rPr>
        <w:t>2019年地质灾害综合防治体系建设补助资金，文件依据是</w:t>
      </w:r>
      <w:r>
        <w:rPr>
          <w:rFonts w:hint="eastAsia" w:ascii="仿宋_GB2312" w:hAnsi="仿宋_GB2312" w:eastAsia="仿宋_GB2312" w:cs="仿宋_GB2312"/>
          <w:color w:val="auto"/>
          <w:sz w:val="32"/>
          <w:szCs w:val="32"/>
          <w:highlight w:val="none"/>
          <w:lang w:val="en-US" w:eastAsia="zh-CN"/>
        </w:rPr>
        <w:t>阿州财投〔2019〕3号</w:t>
      </w:r>
      <w:r>
        <w:rPr>
          <w:rFonts w:hint="eastAsia" w:ascii="仿宋_GB2312" w:hAnsi="仿宋_GB2312" w:eastAsia="仿宋_GB2312" w:cs="仿宋_GB2312"/>
          <w:color w:val="auto"/>
          <w:kern w:val="2"/>
          <w:sz w:val="32"/>
          <w:szCs w:val="32"/>
          <w:highlight w:val="none"/>
          <w:lang w:val="en-US" w:eastAsia="zh-CN" w:bidi="ar"/>
        </w:rPr>
        <w:t>，截止目前已100%全部到位。</w:t>
      </w:r>
    </w:p>
    <w:p>
      <w:pPr>
        <w:adjustRightInd w:val="0"/>
        <w:snapToGrid w:val="0"/>
        <w:spacing w:line="600" w:lineRule="exact"/>
        <w:ind w:firstLine="72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zh-CN"/>
        </w:rPr>
        <w:t>2．资金使用。截止</w:t>
      </w:r>
      <w:r>
        <w:rPr>
          <w:rFonts w:hint="eastAsia" w:ascii="仿宋_GB2312" w:hAnsi="仿宋_GB2312" w:eastAsia="仿宋_GB2312" w:cs="仿宋_GB2312"/>
          <w:color w:val="auto"/>
          <w:sz w:val="32"/>
          <w:szCs w:val="32"/>
          <w:highlight w:val="none"/>
          <w:lang w:val="en-US" w:eastAsia="zh-CN"/>
        </w:rPr>
        <w:t>2019年末，下达资金12.6万元，分别于2019年8月12日支付79200元、2019年8月15日支付46800元（按照刷经寺镇、壤口乡、龙日乡、江茸乡、查尔玛乡、色地镇、瓦切镇、阿木乡、邛溪镇、安曲镇共计35名监测人员*3600元一户，共计126000元）。</w:t>
      </w:r>
    </w:p>
    <w:p>
      <w:pPr>
        <w:adjustRightInd w:val="0"/>
        <w:snapToGrid w:val="0"/>
        <w:spacing w:line="600" w:lineRule="exact"/>
        <w:ind w:firstLine="720"/>
        <w:rPr>
          <w:rFonts w:hint="eastAsia" w:ascii="仿宋_GB2312" w:hAnsi="仿宋_GB2312" w:eastAsia="仿宋_GB2312" w:cs="仿宋_GB2312"/>
          <w:b/>
          <w:color w:val="auto"/>
          <w:sz w:val="32"/>
          <w:szCs w:val="32"/>
          <w:highlight w:val="none"/>
          <w:lang w:val="zh-CN"/>
        </w:rPr>
      </w:pPr>
      <w:r>
        <w:rPr>
          <w:rFonts w:hint="eastAsia" w:ascii="仿宋_GB2312" w:hAnsi="仿宋_GB2312" w:eastAsia="仿宋_GB2312" w:cs="仿宋_GB2312"/>
          <w:b/>
          <w:color w:val="auto"/>
          <w:sz w:val="32"/>
          <w:szCs w:val="32"/>
          <w:highlight w:val="none"/>
          <w:lang w:val="zh-CN"/>
        </w:rPr>
        <w:t>（三）项目财务管理情况。</w:t>
      </w:r>
    </w:p>
    <w:p>
      <w:pPr>
        <w:adjustRightInd w:val="0"/>
        <w:snapToGrid w:val="0"/>
        <w:spacing w:line="600" w:lineRule="exact"/>
        <w:ind w:firstLine="72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经自查，</w:t>
      </w:r>
      <w:r>
        <w:rPr>
          <w:rFonts w:hint="eastAsia" w:ascii="仿宋_GB2312" w:hAnsi="仿宋_GB2312" w:eastAsia="仿宋_GB2312" w:cs="仿宋_GB2312"/>
          <w:color w:val="auto"/>
          <w:sz w:val="32"/>
          <w:szCs w:val="32"/>
          <w:highlight w:val="none"/>
          <w:lang w:eastAsia="zh-CN"/>
        </w:rPr>
        <w:t>该</w:t>
      </w:r>
      <w:r>
        <w:rPr>
          <w:rFonts w:hint="eastAsia" w:ascii="仿宋_GB2312" w:hAnsi="仿宋_GB2312" w:eastAsia="仿宋_GB2312" w:cs="仿宋_GB2312"/>
          <w:color w:val="auto"/>
          <w:sz w:val="32"/>
          <w:szCs w:val="32"/>
          <w:highlight w:val="none"/>
        </w:rPr>
        <w:t>项目我局完善了相关财务工作制度。一是细化了工作流程，明确了工作任务和责任人，使之有了更强的可操作性和针对性。二是进一步规范了财务工作运行机制。结合工作内容和需要对现有各类自制原始凭证进行统一设计，规范填写。加强了凭证审核力度，坚持出纳填制凭证、会计进行初审、财务主管进行最终审核，确保了会计核算和账务处理准确无误。通过进一步强化财务工作制度，使全局财务工作形成了一个相互衔接、相互制约的有机整体，同时财务制度得到进一步完善，财务基础工作得到进一步规范，财务人员自身工作能力得到进一步加强，确保了全局各项工作的顺利开展说明项目财务管理制度建设、机构设置、会计核算及账务处理等相关情况。对照项目资金管理办法，评价项目是否严格执行财务管理制度、财务处理是否及时、会计核算是否规范等。项目实施过程中严格按照项目财务管理制度进行财务管理，专款专用，专人负责，严格对照资金管理办法，不拆借资金，规范会计核算程序。</w:t>
      </w:r>
    </w:p>
    <w:p>
      <w:pPr>
        <w:adjustRightInd w:val="0"/>
        <w:snapToGrid w:val="0"/>
        <w:spacing w:line="600" w:lineRule="exact"/>
        <w:ind w:firstLine="72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三、项目实施及管理情况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eastAsia="zh-CN"/>
        </w:rPr>
        <w:t>一是</w:t>
      </w:r>
      <w:r>
        <w:rPr>
          <w:rFonts w:hint="eastAsia" w:ascii="仿宋_GB2312" w:hAnsi="仿宋_GB2312" w:eastAsia="仿宋_GB2312" w:cs="仿宋_GB2312"/>
          <w:color w:val="auto"/>
          <w:sz w:val="32"/>
          <w:szCs w:val="32"/>
          <w:highlight w:val="none"/>
          <w:lang w:eastAsia="zh-CN"/>
        </w:rPr>
        <w:t>与各乡镇签订了</w:t>
      </w:r>
      <w:r>
        <w:rPr>
          <w:rFonts w:hint="eastAsia" w:ascii="仿宋_GB2312" w:hAnsi="仿宋_GB2312" w:eastAsia="仿宋_GB2312" w:cs="仿宋_GB2312"/>
          <w:color w:val="auto"/>
          <w:sz w:val="32"/>
          <w:szCs w:val="32"/>
          <w:highlight w:val="none"/>
        </w:rPr>
        <w:t>《地灾防治工作目标责任书》</w:t>
      </w:r>
      <w:r>
        <w:rPr>
          <w:rFonts w:hint="eastAsia" w:ascii="仿宋_GB2312" w:hAnsi="仿宋_GB2312" w:eastAsia="仿宋_GB2312" w:cs="仿宋_GB2312"/>
          <w:color w:val="auto"/>
          <w:sz w:val="32"/>
          <w:szCs w:val="32"/>
          <w:highlight w:val="none"/>
          <w:lang w:eastAsia="zh-CN"/>
        </w:rPr>
        <w:t>，落实了防灾责任；</w:t>
      </w:r>
      <w:r>
        <w:rPr>
          <w:rFonts w:hint="eastAsia" w:ascii="仿宋_GB2312" w:hAnsi="仿宋_GB2312" w:eastAsia="仿宋_GB2312" w:cs="仿宋_GB2312"/>
          <w:b/>
          <w:bCs/>
          <w:color w:val="auto"/>
          <w:sz w:val="32"/>
          <w:szCs w:val="32"/>
          <w:highlight w:val="none"/>
          <w:lang w:eastAsia="zh-CN"/>
        </w:rPr>
        <w:t>二是</w:t>
      </w:r>
      <w:r>
        <w:rPr>
          <w:rFonts w:hint="eastAsia" w:ascii="仿宋_GB2312" w:hAnsi="仿宋_GB2312" w:eastAsia="仿宋_GB2312" w:cs="仿宋_GB2312"/>
          <w:color w:val="auto"/>
          <w:sz w:val="32"/>
          <w:szCs w:val="32"/>
          <w:highlight w:val="none"/>
          <w:lang w:eastAsia="zh-CN"/>
        </w:rPr>
        <w:t>与</w:t>
      </w:r>
      <w:r>
        <w:rPr>
          <w:rFonts w:hint="eastAsia" w:ascii="仿宋_GB2312" w:hAnsi="仿宋_GB2312" w:eastAsia="仿宋_GB2312" w:cs="仿宋_GB2312"/>
          <w:color w:val="auto"/>
          <w:sz w:val="32"/>
          <w:szCs w:val="32"/>
          <w:highlight w:val="none"/>
          <w:lang w:val="en-US" w:eastAsia="zh-CN"/>
        </w:rPr>
        <w:t>35个隐患点</w:t>
      </w:r>
      <w:r>
        <w:rPr>
          <w:rFonts w:hint="eastAsia" w:ascii="仿宋_GB2312" w:hAnsi="仿宋_GB2312" w:eastAsia="仿宋_GB2312" w:cs="仿宋_GB2312"/>
          <w:color w:val="auto"/>
          <w:sz w:val="32"/>
          <w:szCs w:val="32"/>
          <w:highlight w:val="none"/>
          <w:lang w:eastAsia="zh-CN"/>
        </w:rPr>
        <w:t>监测人员签订了</w:t>
      </w:r>
      <w:r>
        <w:rPr>
          <w:rFonts w:hint="eastAsia" w:ascii="仿宋_GB2312" w:hAnsi="仿宋_GB2312" w:eastAsia="仿宋_GB2312" w:cs="仿宋_GB2312"/>
          <w:color w:val="auto"/>
          <w:sz w:val="32"/>
          <w:szCs w:val="32"/>
          <w:highlight w:val="none"/>
        </w:rPr>
        <w:t>《地质灾害监测协议书》</w:t>
      </w:r>
      <w:r>
        <w:rPr>
          <w:rFonts w:hint="eastAsia" w:ascii="仿宋_GB2312" w:hAnsi="仿宋_GB2312" w:eastAsia="仿宋_GB2312" w:cs="仿宋_GB2312"/>
          <w:color w:val="auto"/>
          <w:sz w:val="32"/>
          <w:szCs w:val="32"/>
          <w:highlight w:val="none"/>
          <w:lang w:eastAsia="zh-CN"/>
        </w:rPr>
        <w:t>，落实了工作要求；</w:t>
      </w:r>
      <w:r>
        <w:rPr>
          <w:rFonts w:hint="eastAsia" w:ascii="仿宋_GB2312" w:hAnsi="仿宋_GB2312" w:eastAsia="仿宋_GB2312" w:cs="仿宋_GB2312"/>
          <w:b/>
          <w:bCs/>
          <w:color w:val="auto"/>
          <w:sz w:val="32"/>
          <w:szCs w:val="32"/>
          <w:highlight w:val="none"/>
          <w:lang w:eastAsia="zh-CN"/>
        </w:rPr>
        <w:t>三是</w:t>
      </w:r>
      <w:r>
        <w:rPr>
          <w:rFonts w:hint="eastAsia" w:ascii="仿宋_GB2312" w:hAnsi="仿宋_GB2312" w:eastAsia="仿宋_GB2312" w:cs="仿宋_GB2312"/>
          <w:b w:val="0"/>
          <w:bCs w:val="0"/>
          <w:color w:val="auto"/>
          <w:sz w:val="32"/>
          <w:szCs w:val="32"/>
          <w:highlight w:val="none"/>
          <w:lang w:eastAsia="zh-CN"/>
        </w:rPr>
        <w:t>落实了</w:t>
      </w:r>
      <w:r>
        <w:rPr>
          <w:rFonts w:hint="eastAsia" w:ascii="仿宋_GB2312" w:hAnsi="仿宋_GB2312" w:eastAsia="仿宋_GB2312" w:cs="仿宋_GB2312"/>
          <w:b w:val="0"/>
          <w:bCs w:val="0"/>
          <w:color w:val="auto"/>
          <w:sz w:val="32"/>
          <w:szCs w:val="32"/>
          <w:highlight w:val="none"/>
        </w:rPr>
        <w:t>汛期值班制度和灾情速报制度</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bCs/>
          <w:color w:val="auto"/>
          <w:sz w:val="32"/>
          <w:szCs w:val="32"/>
          <w:highlight w:val="none"/>
          <w:lang w:eastAsia="zh-CN"/>
        </w:rPr>
        <w:t>四是</w:t>
      </w:r>
      <w:r>
        <w:rPr>
          <w:rFonts w:hint="eastAsia" w:ascii="仿宋_GB2312" w:hAnsi="仿宋_GB2312" w:eastAsia="仿宋_GB2312" w:cs="仿宋_GB2312"/>
          <w:b w:val="0"/>
          <w:bCs w:val="0"/>
          <w:color w:val="auto"/>
          <w:sz w:val="32"/>
          <w:szCs w:val="32"/>
          <w:highlight w:val="none"/>
          <w:lang w:eastAsia="zh-CN"/>
        </w:rPr>
        <w:t>与气象局签订协议，实时发布气象预警信息到各监测责任人、防灾责任人、监测人员等相关工作人员；</w:t>
      </w:r>
      <w:r>
        <w:rPr>
          <w:rFonts w:hint="eastAsia" w:ascii="仿宋_GB2312" w:hAnsi="仿宋_GB2312" w:eastAsia="仿宋_GB2312" w:cs="仿宋_GB2312"/>
          <w:b/>
          <w:bCs/>
          <w:color w:val="auto"/>
          <w:sz w:val="32"/>
          <w:szCs w:val="32"/>
          <w:highlight w:val="none"/>
          <w:lang w:eastAsia="zh-CN"/>
        </w:rPr>
        <w:t>五是</w:t>
      </w:r>
      <w:r>
        <w:rPr>
          <w:rFonts w:hint="eastAsia" w:ascii="仿宋_GB2312" w:hAnsi="仿宋_GB2312" w:eastAsia="仿宋_GB2312" w:cs="仿宋_GB2312"/>
          <w:b w:val="0"/>
          <w:bCs w:val="0"/>
          <w:color w:val="auto"/>
          <w:sz w:val="32"/>
          <w:szCs w:val="32"/>
          <w:highlight w:val="none"/>
          <w:lang w:eastAsia="zh-CN"/>
        </w:rPr>
        <w:t>建立微信群，形成信息闭合链，及时了解监测人员巡排查情况，值班值守情况；</w:t>
      </w:r>
      <w:r>
        <w:rPr>
          <w:rFonts w:hint="eastAsia" w:ascii="仿宋_GB2312" w:hAnsi="仿宋_GB2312" w:eastAsia="仿宋_GB2312" w:cs="仿宋_GB2312"/>
          <w:b/>
          <w:bCs/>
          <w:color w:val="auto"/>
          <w:sz w:val="32"/>
          <w:szCs w:val="32"/>
          <w:highlight w:val="none"/>
          <w:lang w:eastAsia="zh-CN"/>
        </w:rPr>
        <w:t>六是</w:t>
      </w:r>
      <w:r>
        <w:rPr>
          <w:rFonts w:hint="eastAsia" w:ascii="仿宋_GB2312" w:hAnsi="仿宋_GB2312" w:eastAsia="仿宋_GB2312" w:cs="仿宋_GB2312"/>
          <w:color w:val="auto"/>
          <w:sz w:val="32"/>
          <w:szCs w:val="32"/>
          <w:highlight w:val="none"/>
          <w:lang w:eastAsia="zh-CN"/>
        </w:rPr>
        <w:t>严格按照</w:t>
      </w:r>
      <w:r>
        <w:rPr>
          <w:rFonts w:hint="eastAsia" w:ascii="仿宋_GB2312" w:hAnsi="仿宋_GB2312" w:eastAsia="仿宋_GB2312" w:cs="仿宋_GB2312"/>
          <w:color w:val="auto"/>
          <w:sz w:val="32"/>
          <w:szCs w:val="32"/>
          <w:highlight w:val="none"/>
          <w:lang w:val="en-US" w:eastAsia="zh-CN"/>
        </w:rPr>
        <w:t>《四川省地质灾害防治专项资金管理办法》进行资金管理和分配，经考核监测员完成监测任务后，按照3600元/人标准发放。</w:t>
      </w:r>
    </w:p>
    <w:p>
      <w:pPr>
        <w:adjustRightInd w:val="0"/>
        <w:snapToGrid w:val="0"/>
        <w:spacing w:line="600" w:lineRule="exact"/>
        <w:ind w:firstLine="720"/>
        <w:rPr>
          <w:rFonts w:hint="eastAsia" w:ascii="黑体" w:hAnsi="黑体" w:eastAsia="黑体" w:cs="黑体"/>
          <w:color w:val="auto"/>
          <w:sz w:val="32"/>
          <w:szCs w:val="32"/>
          <w:highlight w:val="none"/>
          <w:lang w:val="zh-CN"/>
        </w:rPr>
      </w:pPr>
      <w:r>
        <w:rPr>
          <w:rFonts w:hint="eastAsia" w:ascii="黑体" w:hAnsi="黑体" w:eastAsia="黑体" w:cs="黑体"/>
          <w:color w:val="auto"/>
          <w:sz w:val="32"/>
          <w:szCs w:val="32"/>
          <w:highlight w:val="none"/>
        </w:rPr>
        <w:t>四、项目绩效情况</w:t>
      </w:r>
      <w:r>
        <w:rPr>
          <w:rFonts w:hint="eastAsia" w:ascii="黑体" w:hAnsi="黑体" w:eastAsia="黑体" w:cs="黑体"/>
          <w:color w:val="auto"/>
          <w:sz w:val="32"/>
          <w:szCs w:val="32"/>
          <w:highlight w:val="none"/>
          <w:lang w:val="zh-CN"/>
        </w:rPr>
        <w:tab/>
      </w:r>
    </w:p>
    <w:p>
      <w:pPr>
        <w:adjustRightInd w:val="0"/>
        <w:snapToGrid w:val="0"/>
        <w:spacing w:line="600" w:lineRule="exact"/>
        <w:ind w:firstLine="720"/>
        <w:rPr>
          <w:rFonts w:hint="eastAsia" w:ascii="仿宋_GB2312" w:hAnsi="仿宋_GB2312" w:eastAsia="仿宋_GB2312" w:cs="仿宋_GB2312"/>
          <w:b/>
          <w:color w:val="auto"/>
          <w:sz w:val="32"/>
          <w:szCs w:val="32"/>
          <w:highlight w:val="none"/>
          <w:lang w:val="zh-CN"/>
        </w:rPr>
      </w:pPr>
      <w:r>
        <w:rPr>
          <w:rFonts w:hint="eastAsia" w:ascii="仿宋_GB2312" w:hAnsi="仿宋_GB2312" w:eastAsia="仿宋_GB2312" w:cs="仿宋_GB2312"/>
          <w:b/>
          <w:color w:val="auto"/>
          <w:sz w:val="32"/>
          <w:szCs w:val="32"/>
          <w:highlight w:val="none"/>
          <w:lang w:val="zh-CN"/>
        </w:rPr>
        <w:t>（一）项目完成情况。</w:t>
      </w:r>
    </w:p>
    <w:p>
      <w:pPr>
        <w:keepNext w:val="0"/>
        <w:keepLines w:val="0"/>
        <w:pageBreakBefore w:val="0"/>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rPr>
        <w:t>一是</w:t>
      </w:r>
      <w:r>
        <w:rPr>
          <w:rFonts w:hint="eastAsia" w:ascii="仿宋_GB2312" w:hAnsi="仿宋_GB2312" w:eastAsia="仿宋_GB2312" w:cs="仿宋_GB2312"/>
          <w:color w:val="auto"/>
          <w:sz w:val="32"/>
          <w:szCs w:val="32"/>
          <w:highlight w:val="none"/>
          <w:lang w:eastAsia="zh-CN"/>
        </w:rPr>
        <w:t>成立了</w:t>
      </w:r>
      <w:r>
        <w:rPr>
          <w:rFonts w:hint="eastAsia" w:ascii="仿宋_GB2312" w:hAnsi="仿宋_GB2312" w:eastAsia="仿宋_GB2312" w:cs="仿宋_GB2312"/>
          <w:color w:val="auto"/>
          <w:sz w:val="32"/>
          <w:szCs w:val="32"/>
          <w:highlight w:val="none"/>
        </w:rPr>
        <w:t>地质灾害防治工作领导小组</w:t>
      </w:r>
      <w:r>
        <w:rPr>
          <w:rFonts w:hint="eastAsia" w:ascii="仿宋_GB2312" w:hAnsi="仿宋_GB2312" w:eastAsia="仿宋_GB2312" w:cs="仿宋_GB2312"/>
          <w:color w:val="auto"/>
          <w:sz w:val="32"/>
          <w:szCs w:val="32"/>
          <w:highlight w:val="none"/>
          <w:lang w:eastAsia="zh-CN"/>
        </w:rPr>
        <w:t>和红原县地质灾害应急指挥部，健全了机制；</w:t>
      </w:r>
      <w:r>
        <w:rPr>
          <w:rFonts w:hint="eastAsia" w:ascii="仿宋_GB2312" w:hAnsi="仿宋_GB2312" w:eastAsia="仿宋_GB2312" w:cs="仿宋_GB2312"/>
          <w:b/>
          <w:bCs/>
          <w:color w:val="auto"/>
          <w:sz w:val="32"/>
          <w:szCs w:val="32"/>
          <w:highlight w:val="none"/>
          <w:lang w:eastAsia="zh-CN"/>
        </w:rPr>
        <w:t>二是</w:t>
      </w:r>
      <w:r>
        <w:rPr>
          <w:rFonts w:hint="eastAsia" w:ascii="仿宋_GB2312" w:hAnsi="仿宋_GB2312" w:eastAsia="仿宋_GB2312" w:cs="仿宋_GB2312"/>
          <w:color w:val="auto"/>
          <w:sz w:val="32"/>
          <w:szCs w:val="32"/>
          <w:highlight w:val="none"/>
          <w:lang w:eastAsia="zh-CN"/>
        </w:rPr>
        <w:t>落实了</w:t>
      </w:r>
      <w:r>
        <w:rPr>
          <w:rFonts w:hint="eastAsia" w:ascii="仿宋_GB2312" w:hAnsi="仿宋_GB2312" w:eastAsia="仿宋_GB2312" w:cs="仿宋_GB2312"/>
          <w:color w:val="auto"/>
          <w:sz w:val="32"/>
          <w:szCs w:val="32"/>
          <w:highlight w:val="none"/>
        </w:rPr>
        <w:t>时落实汛期值班制度和灾情速报制度，明确了汛期带班领导和值班人员及</w:t>
      </w:r>
      <w:r>
        <w:rPr>
          <w:rFonts w:hint="eastAsia" w:ascii="仿宋_GB2312" w:hAnsi="仿宋_GB2312" w:eastAsia="仿宋_GB2312" w:cs="仿宋_GB2312"/>
          <w:color w:val="auto"/>
          <w:sz w:val="32"/>
          <w:szCs w:val="32"/>
          <w:highlight w:val="none"/>
          <w:lang w:val="en-US" w:eastAsia="zh-CN"/>
        </w:rPr>
        <w:t>35</w:t>
      </w:r>
      <w:r>
        <w:rPr>
          <w:rFonts w:hint="eastAsia" w:ascii="仿宋_GB2312" w:hAnsi="仿宋_GB2312" w:eastAsia="仿宋_GB2312" w:cs="仿宋_GB2312"/>
          <w:color w:val="auto"/>
          <w:sz w:val="32"/>
          <w:szCs w:val="32"/>
          <w:highlight w:val="none"/>
        </w:rPr>
        <w:t>个地质灾害隐患点的监测人员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
          <w:bCs/>
          <w:color w:val="auto"/>
          <w:sz w:val="32"/>
          <w:szCs w:val="32"/>
          <w:highlight w:val="none"/>
          <w:lang w:eastAsia="zh-CN"/>
        </w:rPr>
        <w:t>三是</w:t>
      </w:r>
      <w:r>
        <w:rPr>
          <w:rFonts w:hint="eastAsia" w:ascii="仿宋_GB2312" w:hAnsi="仿宋_GB2312" w:eastAsia="仿宋_GB2312" w:cs="仿宋_GB2312"/>
          <w:color w:val="auto"/>
          <w:sz w:val="32"/>
          <w:szCs w:val="32"/>
          <w:highlight w:val="none"/>
        </w:rPr>
        <w:t>发放</w:t>
      </w:r>
      <w:r>
        <w:rPr>
          <w:rFonts w:hint="eastAsia" w:ascii="仿宋_GB2312" w:hAnsi="仿宋_GB2312" w:eastAsia="仿宋_GB2312" w:cs="仿宋_GB2312"/>
          <w:color w:val="auto"/>
          <w:sz w:val="32"/>
          <w:szCs w:val="32"/>
          <w:highlight w:val="none"/>
          <w:lang w:eastAsia="zh-CN"/>
        </w:rPr>
        <w:t>防灾预案表、</w:t>
      </w:r>
      <w:r>
        <w:rPr>
          <w:rFonts w:hint="eastAsia" w:ascii="仿宋_GB2312" w:hAnsi="仿宋_GB2312" w:eastAsia="仿宋_GB2312" w:cs="仿宋_GB2312"/>
          <w:color w:val="auto"/>
          <w:sz w:val="32"/>
          <w:szCs w:val="32"/>
          <w:highlight w:val="none"/>
        </w:rPr>
        <w:t>地质灾害防灾明白卡和避险明白卡</w:t>
      </w:r>
      <w:r>
        <w:rPr>
          <w:rFonts w:hint="eastAsia" w:ascii="仿宋_GB2312" w:hAnsi="仿宋_GB2312" w:eastAsia="仿宋_GB2312" w:cs="仿宋_GB2312"/>
          <w:color w:val="auto"/>
          <w:sz w:val="32"/>
          <w:szCs w:val="32"/>
          <w:highlight w:val="none"/>
          <w:lang w:eastAsia="zh-CN"/>
        </w:rPr>
        <w:t>共</w:t>
      </w:r>
      <w:r>
        <w:rPr>
          <w:rFonts w:hint="eastAsia" w:ascii="仿宋_GB2312" w:hAnsi="仿宋_GB2312" w:eastAsia="仿宋_GB2312" w:cs="仿宋_GB2312"/>
          <w:color w:val="auto"/>
          <w:sz w:val="32"/>
          <w:szCs w:val="32"/>
          <w:highlight w:val="none"/>
          <w:lang w:val="en-US" w:eastAsia="zh-CN"/>
        </w:rPr>
        <w:t>594份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开展了地质灾害防治知识宣传培训</w:t>
      </w:r>
      <w:r>
        <w:rPr>
          <w:rFonts w:hint="eastAsia" w:ascii="仿宋_GB2312" w:hAnsi="仿宋_GB2312" w:eastAsia="仿宋_GB2312" w:cs="仿宋_GB2312"/>
          <w:color w:val="auto"/>
          <w:sz w:val="32"/>
          <w:szCs w:val="32"/>
          <w:highlight w:val="none"/>
          <w:lang w:val="en-US" w:eastAsia="zh-CN"/>
        </w:rPr>
        <w:t>20次和</w:t>
      </w:r>
      <w:r>
        <w:rPr>
          <w:rFonts w:hint="eastAsia" w:ascii="仿宋_GB2312" w:hAnsi="仿宋_GB2312" w:eastAsia="仿宋_GB2312" w:cs="仿宋_GB2312"/>
          <w:color w:val="auto"/>
          <w:sz w:val="32"/>
          <w:szCs w:val="32"/>
          <w:highlight w:val="none"/>
          <w:lang w:eastAsia="zh-CN"/>
        </w:rPr>
        <w:t>应急演练</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次</w:t>
      </w:r>
      <w:r>
        <w:rPr>
          <w:rFonts w:hint="eastAsia" w:ascii="仿宋_GB2312" w:hAnsi="仿宋_GB2312" w:eastAsia="仿宋_GB2312" w:cs="仿宋_GB2312"/>
          <w:color w:val="auto"/>
          <w:sz w:val="32"/>
          <w:szCs w:val="32"/>
          <w:highlight w:val="none"/>
          <w:lang w:eastAsia="zh-CN"/>
        </w:rPr>
        <w:t>，参与人数</w:t>
      </w:r>
      <w:r>
        <w:rPr>
          <w:rFonts w:hint="eastAsia" w:ascii="仿宋_GB2312" w:hAnsi="仿宋_GB2312" w:eastAsia="仿宋_GB2312" w:cs="仿宋_GB2312"/>
          <w:color w:val="auto"/>
          <w:sz w:val="32"/>
          <w:szCs w:val="32"/>
          <w:highlight w:val="none"/>
          <w:lang w:val="en-US" w:eastAsia="zh-CN"/>
        </w:rPr>
        <w:t>1300人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发放宣传资料</w:t>
      </w:r>
      <w:r>
        <w:rPr>
          <w:rFonts w:hint="eastAsia" w:ascii="仿宋_GB2312" w:hAnsi="仿宋_GB2312" w:eastAsia="仿宋_GB2312" w:cs="仿宋_GB2312"/>
          <w:color w:val="auto"/>
          <w:sz w:val="32"/>
          <w:szCs w:val="32"/>
          <w:highlight w:val="none"/>
          <w:lang w:val="en-US" w:eastAsia="zh-CN"/>
        </w:rPr>
        <w:t>800</w:t>
      </w:r>
      <w:r>
        <w:rPr>
          <w:rFonts w:hint="eastAsia" w:ascii="仿宋_GB2312" w:hAnsi="仿宋_GB2312" w:eastAsia="仿宋_GB2312" w:cs="仿宋_GB2312"/>
          <w:color w:val="auto"/>
          <w:sz w:val="32"/>
          <w:szCs w:val="32"/>
          <w:highlight w:val="none"/>
        </w:rPr>
        <w:t>份</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bCs/>
          <w:color w:val="auto"/>
          <w:sz w:val="32"/>
          <w:szCs w:val="32"/>
          <w:highlight w:val="none"/>
          <w:lang w:val="en-US" w:eastAsia="zh-CN"/>
        </w:rPr>
        <w:t>四是</w:t>
      </w:r>
      <w:r>
        <w:rPr>
          <w:rFonts w:hint="eastAsia" w:ascii="仿宋_GB2312" w:hAnsi="仿宋_GB2312" w:eastAsia="仿宋_GB2312" w:cs="仿宋_GB2312"/>
          <w:color w:val="auto"/>
          <w:sz w:val="32"/>
          <w:szCs w:val="32"/>
          <w:highlight w:val="none"/>
          <w:lang w:val="en-US" w:eastAsia="zh-CN"/>
        </w:rPr>
        <w:t>我局对所有隐患点逐一进行了统一登记造册，共计开展巡、排查工作单位1个，专业技术人员3名，落实了责任单位、防灾责任人、监测责任人以及专职监测人员</w:t>
      </w: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b/>
          <w:bCs/>
          <w:color w:val="auto"/>
          <w:sz w:val="32"/>
          <w:szCs w:val="32"/>
          <w:highlight w:val="none"/>
          <w:lang w:eastAsia="zh-CN"/>
        </w:rPr>
        <w:t>是</w:t>
      </w:r>
      <w:r>
        <w:rPr>
          <w:rFonts w:hint="eastAsia" w:ascii="仿宋_GB2312" w:hAnsi="仿宋_GB2312" w:eastAsia="仿宋_GB2312" w:cs="仿宋_GB2312"/>
          <w:color w:val="auto"/>
          <w:sz w:val="32"/>
          <w:szCs w:val="32"/>
          <w:highlight w:val="none"/>
          <w:lang w:eastAsia="zh-CN"/>
        </w:rPr>
        <w:t>对地质环境管理信息系统完成了核实和填报</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最大限度保障了我县人民生命财产安全，截止目前我县未发生损害人民群众生命财产安全的地质灾害事故。</w:t>
      </w:r>
    </w:p>
    <w:p>
      <w:pPr>
        <w:adjustRightInd w:val="0"/>
        <w:snapToGrid w:val="0"/>
        <w:spacing w:line="600" w:lineRule="exact"/>
        <w:ind w:firstLine="720"/>
        <w:rPr>
          <w:rFonts w:hint="eastAsia" w:ascii="仿宋_GB2312" w:hAnsi="仿宋_GB2312" w:eastAsia="仿宋_GB2312" w:cs="仿宋_GB2312"/>
          <w:b/>
          <w:color w:val="auto"/>
          <w:sz w:val="32"/>
          <w:szCs w:val="32"/>
          <w:highlight w:val="none"/>
          <w:lang w:val="zh-CN"/>
        </w:rPr>
      </w:pPr>
      <w:r>
        <w:rPr>
          <w:rFonts w:hint="eastAsia" w:ascii="仿宋_GB2312" w:hAnsi="仿宋_GB2312" w:eastAsia="仿宋_GB2312" w:cs="仿宋_GB2312"/>
          <w:b/>
          <w:color w:val="auto"/>
          <w:sz w:val="32"/>
          <w:szCs w:val="32"/>
          <w:highlight w:val="none"/>
          <w:lang w:val="zh-CN"/>
        </w:rPr>
        <w:t>（二）项目效益情况。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较过去五年地质灾害预警预报能力有所提升，隐患识别能力、防范能力有所提高，四川省地质环境管理系统填报率</w:t>
      </w:r>
      <w:r>
        <w:rPr>
          <w:rFonts w:hint="eastAsia" w:ascii="仿宋_GB2312" w:hAnsi="仿宋_GB2312" w:eastAsia="仿宋_GB2312" w:cs="仿宋_GB2312"/>
          <w:color w:val="auto"/>
          <w:sz w:val="32"/>
          <w:szCs w:val="32"/>
          <w:highlight w:val="none"/>
          <w:lang w:val="en-US" w:eastAsia="zh-CN"/>
        </w:rPr>
        <w:t>100%，受益群众满意度95%，</w:t>
      </w:r>
      <w:r>
        <w:rPr>
          <w:rFonts w:hint="eastAsia" w:ascii="仿宋_GB2312" w:hAnsi="仿宋_GB2312" w:eastAsia="仿宋_GB2312" w:cs="仿宋_GB2312"/>
          <w:color w:val="auto"/>
          <w:sz w:val="32"/>
          <w:szCs w:val="32"/>
          <w:highlight w:val="none"/>
          <w:lang w:eastAsia="zh-CN"/>
        </w:rPr>
        <w:t>方案编制完成率</w:t>
      </w:r>
      <w:r>
        <w:rPr>
          <w:rFonts w:hint="eastAsia" w:ascii="仿宋_GB2312" w:hAnsi="仿宋_GB2312" w:eastAsia="仿宋_GB2312" w:cs="仿宋_GB2312"/>
          <w:color w:val="auto"/>
          <w:sz w:val="32"/>
          <w:szCs w:val="32"/>
          <w:highlight w:val="none"/>
          <w:lang w:val="en-US" w:eastAsia="zh-CN"/>
        </w:rPr>
        <w:t>100%，地质灾害隐患点培训/演练率91%,实施区群众参与度88%。</w:t>
      </w:r>
    </w:p>
    <w:p>
      <w:pPr>
        <w:adjustRightInd w:val="0"/>
        <w:snapToGrid w:val="0"/>
        <w:spacing w:line="600" w:lineRule="exact"/>
        <w:ind w:firstLine="72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五、评价结论及建议</w:t>
      </w:r>
    </w:p>
    <w:p>
      <w:pPr>
        <w:adjustRightInd w:val="0"/>
        <w:snapToGrid w:val="0"/>
        <w:spacing w:line="600" w:lineRule="exact"/>
        <w:ind w:firstLine="720"/>
        <w:rPr>
          <w:rFonts w:hint="eastAsia" w:ascii="仿宋_GB2312" w:hAnsi="仿宋_GB2312" w:eastAsia="仿宋_GB2312" w:cs="仿宋_GB2312"/>
          <w:b/>
          <w:color w:val="auto"/>
          <w:sz w:val="32"/>
          <w:szCs w:val="32"/>
          <w:highlight w:val="none"/>
          <w:lang w:val="zh-CN"/>
        </w:rPr>
      </w:pPr>
      <w:r>
        <w:rPr>
          <w:rFonts w:hint="eastAsia" w:ascii="仿宋_GB2312" w:hAnsi="仿宋_GB2312" w:eastAsia="仿宋_GB2312" w:cs="仿宋_GB2312"/>
          <w:b/>
          <w:color w:val="auto"/>
          <w:sz w:val="32"/>
          <w:szCs w:val="32"/>
          <w:highlight w:val="none"/>
          <w:lang w:val="zh-CN"/>
        </w:rPr>
        <w:t>（一）评价结论。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lang w:val="en-US" w:eastAsia="zh-CN"/>
        </w:rPr>
        <w:t>全面完成了2019年地质灾害隐患点专职监测工作任务，编制并启动了2019年度实施方案，</w:t>
      </w:r>
      <w:r>
        <w:rPr>
          <w:rFonts w:hint="eastAsia" w:ascii="仿宋_GB2312" w:hAnsi="仿宋_GB2312" w:eastAsia="仿宋_GB2312" w:cs="仿宋_GB2312"/>
          <w:color w:val="auto"/>
          <w:sz w:val="32"/>
          <w:szCs w:val="32"/>
          <w:highlight w:val="none"/>
        </w:rPr>
        <w:t>24小时值班值守</w:t>
      </w:r>
      <w:r>
        <w:rPr>
          <w:rFonts w:hint="eastAsia" w:ascii="仿宋_GB2312" w:hAnsi="仿宋_GB2312" w:eastAsia="仿宋_GB2312" w:cs="仿宋_GB2312"/>
          <w:color w:val="auto"/>
          <w:sz w:val="32"/>
          <w:szCs w:val="32"/>
          <w:highlight w:val="none"/>
          <w:lang w:eastAsia="zh-CN"/>
        </w:rPr>
        <w:t>制度，灾情速报制度，发放了“两卡一表”，并进行了防灾宣传培训、应急演练和巡排查，做好了抽查记录、巡查记录和排查记录，充分发挥了群测群防专职监测防灾功能</w:t>
      </w:r>
      <w:r>
        <w:rPr>
          <w:rFonts w:hint="eastAsia" w:ascii="仿宋_GB2312" w:hAnsi="仿宋_GB2312" w:eastAsia="仿宋_GB2312" w:cs="仿宋_GB2312"/>
          <w:color w:val="auto"/>
          <w:sz w:val="32"/>
          <w:szCs w:val="32"/>
          <w:highlight w:val="none"/>
        </w:rPr>
        <w:t>。</w:t>
      </w:r>
    </w:p>
    <w:p>
      <w:pPr>
        <w:adjustRightInd w:val="0"/>
        <w:snapToGrid w:val="0"/>
        <w:spacing w:line="600" w:lineRule="exact"/>
        <w:ind w:firstLine="720"/>
        <w:rPr>
          <w:rFonts w:hint="eastAsia" w:ascii="仿宋_GB2312" w:hAnsi="仿宋_GB2312" w:eastAsia="仿宋_GB2312" w:cs="仿宋_GB2312"/>
          <w:b/>
          <w:color w:val="auto"/>
          <w:sz w:val="32"/>
          <w:szCs w:val="32"/>
          <w:highlight w:val="none"/>
          <w:lang w:val="zh-CN"/>
        </w:rPr>
      </w:pPr>
      <w:r>
        <w:rPr>
          <w:rFonts w:hint="eastAsia" w:ascii="仿宋_GB2312" w:hAnsi="仿宋_GB2312" w:eastAsia="仿宋_GB2312" w:cs="仿宋_GB2312"/>
          <w:b/>
          <w:color w:val="auto"/>
          <w:sz w:val="32"/>
          <w:szCs w:val="32"/>
          <w:highlight w:val="none"/>
          <w:lang w:val="zh-CN"/>
        </w:rPr>
        <w:t>（二）存在的问题。</w:t>
      </w:r>
    </w:p>
    <w:p>
      <w:pPr>
        <w:adjustRightInd w:val="0"/>
        <w:snapToGrid w:val="0"/>
        <w:spacing w:line="600" w:lineRule="exact"/>
        <w:ind w:firstLine="643" w:firstLineChars="200"/>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b/>
          <w:bCs/>
          <w:color w:val="auto"/>
          <w:sz w:val="32"/>
          <w:szCs w:val="32"/>
          <w:highlight w:val="none"/>
          <w:lang w:eastAsia="zh-CN"/>
        </w:rPr>
        <w:t>一是</w:t>
      </w:r>
      <w:r>
        <w:rPr>
          <w:rFonts w:hint="eastAsia" w:ascii="仿宋_GB2312" w:hAnsi="仿宋_GB2312" w:eastAsia="仿宋_GB2312" w:cs="仿宋_GB2312"/>
          <w:color w:val="auto"/>
          <w:sz w:val="32"/>
          <w:szCs w:val="32"/>
          <w:highlight w:val="none"/>
          <w:lang w:eastAsia="zh-CN"/>
        </w:rPr>
        <w:t>由于红原县地质灾害隐患点较少，而辖区面积大，导致个别防灾责任人责任意识不强，监测员工作不到位，防灾避灾意识薄弱；</w:t>
      </w:r>
      <w:r>
        <w:rPr>
          <w:rFonts w:hint="eastAsia" w:ascii="仿宋_GB2312" w:hAnsi="仿宋_GB2312" w:eastAsia="仿宋_GB2312" w:cs="仿宋_GB2312"/>
          <w:b/>
          <w:bCs/>
          <w:color w:val="auto"/>
          <w:sz w:val="32"/>
          <w:szCs w:val="32"/>
          <w:highlight w:val="none"/>
          <w:lang w:eastAsia="zh-CN"/>
        </w:rPr>
        <w:t>二是</w:t>
      </w:r>
      <w:r>
        <w:rPr>
          <w:rFonts w:hint="eastAsia" w:ascii="仿宋_GB2312" w:hAnsi="仿宋_GB2312" w:eastAsia="仿宋_GB2312" w:cs="仿宋_GB2312"/>
          <w:color w:val="auto"/>
          <w:sz w:val="32"/>
          <w:szCs w:val="32"/>
          <w:highlight w:val="none"/>
          <w:lang w:eastAsia="zh-CN"/>
        </w:rPr>
        <w:t>地质灾害巡排查工作技术较高，工作任务重，经费少，巡排查工作体现不足。</w:t>
      </w:r>
      <w:r>
        <w:rPr>
          <w:rFonts w:hint="eastAsia" w:ascii="仿宋_GB2312" w:hAnsi="仿宋_GB2312" w:eastAsia="仿宋_GB2312" w:cs="仿宋_GB2312"/>
          <w:color w:val="auto"/>
          <w:sz w:val="32"/>
          <w:szCs w:val="32"/>
          <w:highlight w:val="none"/>
          <w:lang w:val="zh-CN"/>
        </w:rPr>
        <w:tab/>
      </w:r>
    </w:p>
    <w:p>
      <w:pPr>
        <w:adjustRightInd w:val="0"/>
        <w:snapToGrid w:val="0"/>
        <w:spacing w:line="600" w:lineRule="exact"/>
        <w:ind w:firstLine="720"/>
        <w:rPr>
          <w:rFonts w:hint="eastAsia" w:ascii="仿宋_GB2312" w:hAnsi="仿宋_GB2312" w:eastAsia="仿宋_GB2312" w:cs="仿宋_GB2312"/>
          <w:b/>
          <w:color w:val="auto"/>
          <w:sz w:val="32"/>
          <w:szCs w:val="32"/>
          <w:highlight w:val="none"/>
          <w:lang w:val="zh-CN"/>
        </w:rPr>
      </w:pPr>
      <w:r>
        <w:rPr>
          <w:rFonts w:hint="eastAsia" w:ascii="仿宋_GB2312" w:hAnsi="仿宋_GB2312" w:eastAsia="仿宋_GB2312" w:cs="仿宋_GB2312"/>
          <w:b/>
          <w:color w:val="auto"/>
          <w:sz w:val="32"/>
          <w:szCs w:val="32"/>
          <w:highlight w:val="none"/>
          <w:lang w:val="zh-CN"/>
        </w:rPr>
        <w:t>（三）相关建议。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一是</w:t>
      </w:r>
      <w:r>
        <w:rPr>
          <w:rFonts w:hint="eastAsia" w:ascii="仿宋_GB2312" w:hAnsi="仿宋_GB2312" w:eastAsia="仿宋_GB2312" w:cs="仿宋_GB2312"/>
          <w:color w:val="auto"/>
          <w:sz w:val="32"/>
          <w:szCs w:val="32"/>
          <w:highlight w:val="none"/>
          <w:lang w:eastAsia="zh-CN"/>
        </w:rPr>
        <w:t>加强宣传培训和应急演练，对各乡镇、学校等重点区域进行宣传培训和应急演练，增强防灾避灾知识，通过应急演练，及时做到各司其职、上下联动，一有险情立即有效有序撤离；</w:t>
      </w:r>
      <w:r>
        <w:rPr>
          <w:rFonts w:hint="eastAsia" w:ascii="仿宋_GB2312" w:hAnsi="仿宋_GB2312" w:eastAsia="仿宋_GB2312" w:cs="仿宋_GB2312"/>
          <w:b/>
          <w:bCs/>
          <w:color w:val="auto"/>
          <w:sz w:val="32"/>
          <w:szCs w:val="32"/>
          <w:highlight w:val="none"/>
          <w:lang w:eastAsia="zh-CN"/>
        </w:rPr>
        <w:t>二是</w:t>
      </w:r>
      <w:r>
        <w:rPr>
          <w:rFonts w:hint="eastAsia" w:ascii="仿宋_GB2312" w:hAnsi="仿宋_GB2312" w:eastAsia="仿宋_GB2312" w:cs="仿宋_GB2312"/>
          <w:color w:val="auto"/>
          <w:sz w:val="32"/>
          <w:szCs w:val="32"/>
          <w:highlight w:val="none"/>
        </w:rPr>
        <w:t>针对地质灾害防治工作专业性高、技术性强的特征，邀请</w:t>
      </w:r>
      <w:r>
        <w:rPr>
          <w:rFonts w:hint="eastAsia" w:ascii="仿宋_GB2312" w:hAnsi="仿宋_GB2312" w:eastAsia="仿宋_GB2312" w:cs="仿宋_GB2312"/>
          <w:color w:val="auto"/>
          <w:sz w:val="32"/>
          <w:szCs w:val="32"/>
          <w:highlight w:val="none"/>
          <w:lang w:eastAsia="zh-CN"/>
        </w:rPr>
        <w:t>作业单位</w:t>
      </w:r>
      <w:r>
        <w:rPr>
          <w:rFonts w:hint="eastAsia" w:ascii="仿宋_GB2312" w:hAnsi="仿宋_GB2312" w:eastAsia="仿宋_GB2312" w:cs="仿宋_GB2312"/>
          <w:color w:val="auto"/>
          <w:sz w:val="32"/>
          <w:szCs w:val="32"/>
          <w:highlight w:val="none"/>
        </w:rPr>
        <w:t>进行</w:t>
      </w:r>
      <w:r>
        <w:rPr>
          <w:rFonts w:hint="eastAsia" w:ascii="仿宋_GB2312" w:hAnsi="仿宋_GB2312" w:eastAsia="仿宋_GB2312" w:cs="仿宋_GB2312"/>
          <w:color w:val="auto"/>
          <w:sz w:val="32"/>
          <w:szCs w:val="32"/>
          <w:highlight w:val="none"/>
          <w:lang w:eastAsia="zh-CN"/>
        </w:rPr>
        <w:t>汛前、汛期、汛后</w:t>
      </w:r>
      <w:r>
        <w:rPr>
          <w:rFonts w:hint="eastAsia" w:ascii="仿宋_GB2312" w:hAnsi="仿宋_GB2312" w:eastAsia="仿宋_GB2312" w:cs="仿宋_GB2312"/>
          <w:color w:val="auto"/>
          <w:sz w:val="32"/>
          <w:szCs w:val="32"/>
          <w:highlight w:val="none"/>
        </w:rPr>
        <w:t>全方位地质灾害巡、排查，做到</w:t>
      </w:r>
      <w:r>
        <w:rPr>
          <w:rFonts w:hint="eastAsia" w:ascii="仿宋_GB2312" w:hAnsi="仿宋_GB2312" w:eastAsia="仿宋_GB2312" w:cs="仿宋_GB2312"/>
          <w:color w:val="auto"/>
          <w:sz w:val="32"/>
          <w:szCs w:val="32"/>
          <w:highlight w:val="none"/>
          <w:lang w:eastAsia="zh-CN"/>
        </w:rPr>
        <w:t>了</w:t>
      </w:r>
      <w:r>
        <w:rPr>
          <w:rFonts w:hint="eastAsia" w:ascii="仿宋_GB2312" w:hAnsi="仿宋_GB2312" w:eastAsia="仿宋_GB2312" w:cs="仿宋_GB2312"/>
          <w:color w:val="auto"/>
          <w:sz w:val="32"/>
          <w:szCs w:val="32"/>
          <w:highlight w:val="none"/>
        </w:rPr>
        <w:t>全覆盖不留死角</w:t>
      </w:r>
      <w:r>
        <w:rPr>
          <w:rFonts w:hint="eastAsia" w:ascii="仿宋_GB2312" w:hAnsi="仿宋_GB2312" w:eastAsia="仿宋_GB2312" w:cs="仿宋_GB2312"/>
          <w:color w:val="auto"/>
          <w:sz w:val="32"/>
          <w:szCs w:val="32"/>
          <w:highlight w:val="none"/>
          <w:lang w:eastAsia="zh-CN"/>
        </w:rPr>
        <w:t>，及时记录隐患点变化；</w:t>
      </w:r>
      <w:r>
        <w:rPr>
          <w:rFonts w:hint="eastAsia" w:ascii="仿宋_GB2312" w:hAnsi="仿宋_GB2312" w:eastAsia="仿宋_GB2312" w:cs="仿宋_GB2312"/>
          <w:b/>
          <w:bCs/>
          <w:color w:val="auto"/>
          <w:sz w:val="32"/>
          <w:szCs w:val="32"/>
          <w:highlight w:val="none"/>
          <w:lang w:val="en-US" w:eastAsia="zh-CN"/>
        </w:rPr>
        <w:t>三是</w:t>
      </w:r>
      <w:r>
        <w:rPr>
          <w:rFonts w:hint="eastAsia" w:ascii="仿宋_GB2312" w:hAnsi="仿宋_GB2312" w:eastAsia="仿宋_GB2312" w:cs="仿宋_GB2312"/>
          <w:color w:val="auto"/>
          <w:sz w:val="32"/>
          <w:szCs w:val="32"/>
          <w:highlight w:val="none"/>
          <w:lang w:eastAsia="zh-CN"/>
        </w:rPr>
        <w:t>积极申报资金，做好各类防灾避灾工作。</w:t>
      </w:r>
    </w:p>
    <w:p>
      <w:pPr>
        <w:rPr>
          <w:rFonts w:hint="eastAsia" w:ascii="仿宋_GB2312" w:hAnsi="仿宋_GB2312" w:eastAsia="仿宋_GB2312" w:cs="仿宋_GB2312"/>
          <w:color w:val="auto"/>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5120" w:firstLineChars="1600"/>
        <w:jc w:val="both"/>
        <w:textAlignment w:val="auto"/>
        <w:outlineLvl w:val="9"/>
        <w:rPr>
          <w:rFonts w:hint="eastAsia" w:ascii="仿宋_GB2312" w:hAnsi="仿宋_GB2312" w:eastAsia="仿宋_GB2312" w:cs="仿宋_GB2312"/>
          <w:color w:val="auto"/>
          <w:sz w:val="32"/>
          <w:szCs w:val="32"/>
          <w:highlight w:val="none"/>
          <w:lang w:val="en-US" w:eastAsia="zh-CN"/>
        </w:rPr>
      </w:pPr>
    </w:p>
    <w:p>
      <w:pPr>
        <w:spacing w:line="600" w:lineRule="exact"/>
        <w:jc w:val="center"/>
        <w:outlineLvl w:val="0"/>
        <w:rPr>
          <w:rStyle w:val="27"/>
          <w:rFonts w:ascii="黑体" w:hAnsi="黑体" w:eastAsia="黑体"/>
          <w:b w:val="0"/>
          <w:color w:val="auto"/>
          <w:highlight w:val="none"/>
        </w:rPr>
      </w:pPr>
    </w:p>
    <w:p>
      <w:pPr>
        <w:spacing w:line="600" w:lineRule="exact"/>
        <w:jc w:val="center"/>
        <w:outlineLvl w:val="0"/>
        <w:rPr>
          <w:rStyle w:val="27"/>
          <w:rFonts w:ascii="黑体" w:hAnsi="黑体" w:eastAsia="黑体"/>
          <w:b w:val="0"/>
          <w:color w:val="auto"/>
          <w:highlight w:val="none"/>
        </w:rPr>
      </w:pPr>
      <w:bookmarkStart w:id="61" w:name="_Toc15396618"/>
      <w:r>
        <w:rPr>
          <w:rFonts w:hint="eastAsia" w:ascii="黑体" w:hAnsi="黑体" w:eastAsia="黑体"/>
          <w:color w:val="auto"/>
          <w:sz w:val="44"/>
          <w:szCs w:val="44"/>
          <w:highlight w:val="none"/>
        </w:rPr>
        <w:t>第</w:t>
      </w:r>
      <w:r>
        <w:rPr>
          <w:rStyle w:val="27"/>
          <w:rFonts w:hint="eastAsia" w:ascii="黑体" w:hAnsi="黑体" w:eastAsia="黑体"/>
          <w:b w:val="0"/>
          <w:color w:val="auto"/>
          <w:highlight w:val="none"/>
        </w:rPr>
        <w:t>五部分 附表</w:t>
      </w:r>
      <w:bookmarkEnd w:id="60"/>
      <w:bookmarkEnd w:id="61"/>
    </w:p>
    <w:p>
      <w:pPr>
        <w:spacing w:line="600" w:lineRule="exact"/>
        <w:jc w:val="center"/>
        <w:outlineLvl w:val="0"/>
        <w:rPr>
          <w:rFonts w:ascii="仿宋" w:hAnsi="仿宋" w:eastAsia="仿宋"/>
          <w:b/>
          <w:color w:val="auto"/>
          <w:sz w:val="44"/>
          <w:szCs w:val="44"/>
          <w:highlight w:val="none"/>
        </w:rPr>
      </w:pPr>
    </w:p>
    <w:p>
      <w:pPr>
        <w:pStyle w:val="5"/>
        <w:rPr>
          <w:rFonts w:ascii="仿宋" w:hAnsi="仿宋" w:eastAsia="仿宋"/>
          <w:color w:val="auto"/>
          <w:highlight w:val="none"/>
        </w:rPr>
      </w:pPr>
      <w:bookmarkStart w:id="62" w:name="_Toc15396619"/>
      <w:r>
        <w:rPr>
          <w:rFonts w:hint="eastAsia" w:ascii="仿宋" w:hAnsi="仿宋" w:eastAsia="仿宋"/>
          <w:b w:val="0"/>
          <w:color w:val="auto"/>
          <w:highlight w:val="none"/>
        </w:rPr>
        <w:t>一、收</w:t>
      </w:r>
      <w:r>
        <w:rPr>
          <w:rStyle w:val="28"/>
          <w:rFonts w:hint="eastAsia" w:ascii="仿宋" w:hAnsi="仿宋" w:eastAsia="仿宋"/>
          <w:b w:val="0"/>
          <w:bCs w:val="0"/>
          <w:color w:val="auto"/>
          <w:highlight w:val="none"/>
        </w:rPr>
        <w:t>入支出决算总表</w:t>
      </w:r>
      <w:bookmarkEnd w:id="62"/>
    </w:p>
    <w:p>
      <w:pPr>
        <w:pStyle w:val="5"/>
        <w:rPr>
          <w:rFonts w:ascii="仿宋" w:hAnsi="仿宋" w:eastAsia="仿宋"/>
          <w:color w:val="auto"/>
          <w:highlight w:val="none"/>
        </w:rPr>
      </w:pPr>
      <w:bookmarkStart w:id="63" w:name="_Toc15396620"/>
      <w:r>
        <w:rPr>
          <w:rFonts w:hint="eastAsia" w:ascii="仿宋" w:hAnsi="仿宋" w:eastAsia="仿宋"/>
          <w:b w:val="0"/>
          <w:color w:val="auto"/>
          <w:highlight w:val="none"/>
        </w:rPr>
        <w:t>二、收</w:t>
      </w:r>
      <w:r>
        <w:rPr>
          <w:rStyle w:val="28"/>
          <w:rFonts w:hint="eastAsia" w:ascii="仿宋" w:hAnsi="仿宋" w:eastAsia="仿宋"/>
          <w:b w:val="0"/>
          <w:bCs w:val="0"/>
          <w:color w:val="auto"/>
          <w:highlight w:val="none"/>
        </w:rPr>
        <w:t>入决算表</w:t>
      </w:r>
      <w:bookmarkEnd w:id="63"/>
    </w:p>
    <w:p>
      <w:pPr>
        <w:pStyle w:val="5"/>
        <w:rPr>
          <w:rFonts w:ascii="仿宋" w:hAnsi="仿宋" w:eastAsia="仿宋"/>
          <w:color w:val="auto"/>
          <w:highlight w:val="none"/>
        </w:rPr>
      </w:pPr>
      <w:bookmarkStart w:id="64" w:name="_Toc15396621"/>
      <w:r>
        <w:rPr>
          <w:rStyle w:val="28"/>
          <w:rFonts w:hint="eastAsia" w:ascii="仿宋" w:hAnsi="仿宋" w:eastAsia="仿宋"/>
          <w:b w:val="0"/>
          <w:bCs w:val="0"/>
          <w:color w:val="auto"/>
          <w:highlight w:val="none"/>
        </w:rPr>
        <w:t>三、</w:t>
      </w:r>
      <w:r>
        <w:rPr>
          <w:rFonts w:hint="eastAsia" w:ascii="仿宋" w:hAnsi="仿宋" w:eastAsia="仿宋"/>
          <w:b w:val="0"/>
          <w:color w:val="auto"/>
          <w:highlight w:val="none"/>
        </w:rPr>
        <w:t>支</w:t>
      </w:r>
      <w:r>
        <w:rPr>
          <w:rStyle w:val="28"/>
          <w:rFonts w:hint="eastAsia" w:ascii="仿宋" w:hAnsi="仿宋" w:eastAsia="仿宋"/>
          <w:b w:val="0"/>
          <w:bCs w:val="0"/>
          <w:color w:val="auto"/>
          <w:highlight w:val="none"/>
        </w:rPr>
        <w:t>出决算表</w:t>
      </w:r>
      <w:bookmarkEnd w:id="64"/>
    </w:p>
    <w:p>
      <w:pPr>
        <w:pStyle w:val="5"/>
        <w:rPr>
          <w:rFonts w:ascii="仿宋" w:hAnsi="仿宋" w:eastAsia="仿宋"/>
          <w:b w:val="0"/>
          <w:color w:val="auto"/>
          <w:highlight w:val="none"/>
        </w:rPr>
      </w:pPr>
      <w:bookmarkStart w:id="65" w:name="_Toc15396622"/>
      <w:r>
        <w:rPr>
          <w:rStyle w:val="28"/>
          <w:rFonts w:hint="eastAsia" w:ascii="仿宋" w:hAnsi="仿宋" w:eastAsia="仿宋"/>
          <w:b w:val="0"/>
          <w:bCs w:val="0"/>
          <w:color w:val="auto"/>
          <w:highlight w:val="none"/>
        </w:rPr>
        <w:t>四、</w:t>
      </w:r>
      <w:r>
        <w:rPr>
          <w:rFonts w:hint="eastAsia" w:ascii="仿宋" w:hAnsi="仿宋" w:eastAsia="仿宋"/>
          <w:b w:val="0"/>
          <w:color w:val="auto"/>
          <w:highlight w:val="none"/>
        </w:rPr>
        <w:t>财</w:t>
      </w:r>
      <w:r>
        <w:rPr>
          <w:rStyle w:val="28"/>
          <w:rFonts w:hint="eastAsia" w:ascii="仿宋" w:hAnsi="仿宋" w:eastAsia="仿宋"/>
          <w:b w:val="0"/>
          <w:bCs w:val="0"/>
          <w:color w:val="auto"/>
          <w:highlight w:val="none"/>
        </w:rPr>
        <w:t>政拨款收入支出决算总表</w:t>
      </w:r>
      <w:bookmarkEnd w:id="65"/>
    </w:p>
    <w:p>
      <w:pPr>
        <w:pStyle w:val="5"/>
        <w:rPr>
          <w:rStyle w:val="28"/>
          <w:rFonts w:ascii="仿宋" w:hAnsi="仿宋" w:eastAsia="仿宋"/>
          <w:b w:val="0"/>
          <w:bCs w:val="0"/>
          <w:color w:val="auto"/>
          <w:highlight w:val="none"/>
        </w:rPr>
      </w:pPr>
      <w:bookmarkStart w:id="66" w:name="_Toc15396623"/>
      <w:r>
        <w:rPr>
          <w:rStyle w:val="28"/>
          <w:rFonts w:hint="eastAsia" w:ascii="仿宋" w:hAnsi="仿宋" w:eastAsia="仿宋"/>
          <w:b w:val="0"/>
          <w:bCs w:val="0"/>
          <w:color w:val="auto"/>
          <w:highlight w:val="none"/>
        </w:rPr>
        <w:t>五、</w:t>
      </w:r>
      <w:r>
        <w:rPr>
          <w:rFonts w:hint="eastAsia" w:ascii="仿宋" w:hAnsi="仿宋" w:eastAsia="仿宋"/>
          <w:b w:val="0"/>
          <w:color w:val="auto"/>
          <w:highlight w:val="none"/>
        </w:rPr>
        <w:t>财</w:t>
      </w:r>
      <w:r>
        <w:rPr>
          <w:rStyle w:val="28"/>
          <w:rFonts w:hint="eastAsia" w:ascii="仿宋" w:hAnsi="仿宋" w:eastAsia="仿宋"/>
          <w:b w:val="0"/>
          <w:bCs w:val="0"/>
          <w:color w:val="auto"/>
          <w:highlight w:val="none"/>
        </w:rPr>
        <w:t>政拨款支出决算明细表</w:t>
      </w:r>
      <w:bookmarkEnd w:id="66"/>
      <w:bookmarkStart w:id="67" w:name="_Toc15396624"/>
    </w:p>
    <w:p>
      <w:pPr>
        <w:pStyle w:val="5"/>
        <w:rPr>
          <w:rFonts w:ascii="仿宋" w:hAnsi="仿宋" w:eastAsia="仿宋"/>
          <w:color w:val="auto"/>
          <w:highlight w:val="none"/>
        </w:rPr>
      </w:pPr>
      <w:r>
        <w:rPr>
          <w:rStyle w:val="28"/>
          <w:rFonts w:hint="eastAsia" w:ascii="仿宋" w:hAnsi="仿宋" w:eastAsia="仿宋"/>
          <w:b w:val="0"/>
          <w:bCs w:val="0"/>
          <w:color w:val="auto"/>
          <w:highlight w:val="none"/>
        </w:rPr>
        <w:t>六、</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般公共预算财政拨款支出决算表</w:t>
      </w:r>
      <w:bookmarkEnd w:id="67"/>
    </w:p>
    <w:p>
      <w:pPr>
        <w:pStyle w:val="5"/>
        <w:rPr>
          <w:rFonts w:ascii="仿宋" w:hAnsi="仿宋" w:eastAsia="仿宋"/>
          <w:color w:val="auto"/>
          <w:highlight w:val="none"/>
        </w:rPr>
      </w:pPr>
      <w:bookmarkStart w:id="68" w:name="_Toc15396625"/>
      <w:r>
        <w:rPr>
          <w:rStyle w:val="28"/>
          <w:rFonts w:hint="eastAsia" w:ascii="仿宋" w:hAnsi="仿宋" w:eastAsia="仿宋"/>
          <w:b w:val="0"/>
          <w:bCs w:val="0"/>
          <w:color w:val="auto"/>
          <w:highlight w:val="none"/>
        </w:rPr>
        <w:t>七、</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般公共预算财政拨款支出决算明细表</w:t>
      </w:r>
      <w:bookmarkEnd w:id="68"/>
    </w:p>
    <w:p>
      <w:pPr>
        <w:pStyle w:val="5"/>
        <w:rPr>
          <w:rFonts w:ascii="仿宋" w:hAnsi="仿宋" w:eastAsia="仿宋"/>
          <w:color w:val="auto"/>
          <w:highlight w:val="none"/>
        </w:rPr>
      </w:pPr>
      <w:bookmarkStart w:id="69" w:name="_Toc15396626"/>
      <w:r>
        <w:rPr>
          <w:rStyle w:val="28"/>
          <w:rFonts w:hint="eastAsia" w:ascii="仿宋" w:hAnsi="仿宋" w:eastAsia="仿宋"/>
          <w:b w:val="0"/>
          <w:bCs w:val="0"/>
          <w:color w:val="auto"/>
          <w:highlight w:val="none"/>
        </w:rPr>
        <w:t>八、</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般公共预算财政拨款基本支出决算表</w:t>
      </w:r>
      <w:bookmarkEnd w:id="69"/>
    </w:p>
    <w:p>
      <w:pPr>
        <w:pStyle w:val="5"/>
        <w:rPr>
          <w:rFonts w:ascii="仿宋" w:hAnsi="仿宋" w:eastAsia="仿宋"/>
          <w:color w:val="auto"/>
          <w:highlight w:val="none"/>
        </w:rPr>
      </w:pPr>
      <w:bookmarkStart w:id="70" w:name="_Toc15396627"/>
      <w:r>
        <w:rPr>
          <w:rStyle w:val="28"/>
          <w:rFonts w:hint="eastAsia" w:ascii="仿宋" w:hAnsi="仿宋" w:eastAsia="仿宋"/>
          <w:b w:val="0"/>
          <w:bCs w:val="0"/>
          <w:color w:val="auto"/>
          <w:highlight w:val="none"/>
        </w:rPr>
        <w:t>九、</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般公共预算财政拨款项目支出决算表</w:t>
      </w:r>
      <w:bookmarkEnd w:id="70"/>
    </w:p>
    <w:p>
      <w:pPr>
        <w:pStyle w:val="5"/>
        <w:rPr>
          <w:rFonts w:ascii="仿宋" w:hAnsi="仿宋" w:eastAsia="仿宋"/>
          <w:color w:val="auto"/>
          <w:highlight w:val="none"/>
        </w:rPr>
      </w:pPr>
      <w:bookmarkStart w:id="71" w:name="_Toc15396628"/>
      <w:r>
        <w:rPr>
          <w:rStyle w:val="28"/>
          <w:rFonts w:hint="eastAsia" w:ascii="仿宋" w:hAnsi="仿宋" w:eastAsia="仿宋"/>
          <w:b w:val="0"/>
          <w:bCs w:val="0"/>
          <w:color w:val="auto"/>
          <w:highlight w:val="none"/>
        </w:rPr>
        <w:t>十、</w:t>
      </w:r>
      <w:r>
        <w:rPr>
          <w:rFonts w:hint="eastAsia" w:ascii="仿宋" w:hAnsi="仿宋" w:eastAsia="仿宋"/>
          <w:b w:val="0"/>
          <w:color w:val="auto"/>
          <w:highlight w:val="none"/>
        </w:rPr>
        <w:t>一</w:t>
      </w:r>
      <w:r>
        <w:rPr>
          <w:rStyle w:val="28"/>
          <w:rFonts w:hint="eastAsia" w:ascii="仿宋" w:hAnsi="仿宋" w:eastAsia="仿宋"/>
          <w:b w:val="0"/>
          <w:bCs w:val="0"/>
          <w:color w:val="auto"/>
          <w:highlight w:val="none"/>
        </w:rPr>
        <w:t>般公共预算财政拨款“三公”经费支出决算表</w:t>
      </w:r>
      <w:bookmarkEnd w:id="71"/>
    </w:p>
    <w:p>
      <w:pPr>
        <w:pStyle w:val="5"/>
        <w:rPr>
          <w:rFonts w:ascii="仿宋" w:hAnsi="仿宋" w:eastAsia="仿宋"/>
          <w:color w:val="auto"/>
          <w:highlight w:val="none"/>
        </w:rPr>
      </w:pPr>
      <w:bookmarkStart w:id="72" w:name="_Toc15396629"/>
      <w:r>
        <w:rPr>
          <w:rStyle w:val="28"/>
          <w:rFonts w:hint="eastAsia" w:ascii="仿宋" w:hAnsi="仿宋" w:eastAsia="仿宋"/>
          <w:b w:val="0"/>
          <w:bCs w:val="0"/>
          <w:color w:val="auto"/>
          <w:highlight w:val="none"/>
        </w:rPr>
        <w:t>十一、</w:t>
      </w:r>
      <w:r>
        <w:rPr>
          <w:rFonts w:hint="eastAsia" w:ascii="仿宋" w:hAnsi="仿宋" w:eastAsia="仿宋"/>
          <w:b w:val="0"/>
          <w:color w:val="auto"/>
          <w:highlight w:val="none"/>
        </w:rPr>
        <w:t>政</w:t>
      </w:r>
      <w:r>
        <w:rPr>
          <w:rStyle w:val="28"/>
          <w:rFonts w:hint="eastAsia" w:ascii="仿宋" w:hAnsi="仿宋" w:eastAsia="仿宋"/>
          <w:b w:val="0"/>
          <w:bCs w:val="0"/>
          <w:color w:val="auto"/>
          <w:highlight w:val="none"/>
        </w:rPr>
        <w:t>府性基金预算财政拨款收入支出决算表</w:t>
      </w:r>
      <w:bookmarkEnd w:id="72"/>
    </w:p>
    <w:p>
      <w:pPr>
        <w:pStyle w:val="5"/>
        <w:rPr>
          <w:rFonts w:ascii="仿宋" w:hAnsi="仿宋" w:eastAsia="仿宋"/>
          <w:color w:val="auto"/>
          <w:highlight w:val="none"/>
        </w:rPr>
      </w:pPr>
      <w:bookmarkStart w:id="73" w:name="_Toc15396630"/>
      <w:r>
        <w:rPr>
          <w:rStyle w:val="28"/>
          <w:rFonts w:hint="eastAsia" w:ascii="仿宋" w:hAnsi="仿宋" w:eastAsia="仿宋"/>
          <w:b w:val="0"/>
          <w:bCs w:val="0"/>
          <w:color w:val="auto"/>
          <w:highlight w:val="none"/>
        </w:rPr>
        <w:t>十二、</w:t>
      </w:r>
      <w:r>
        <w:rPr>
          <w:rFonts w:hint="eastAsia" w:ascii="仿宋" w:hAnsi="仿宋" w:eastAsia="仿宋"/>
          <w:b w:val="0"/>
          <w:color w:val="auto"/>
          <w:highlight w:val="none"/>
        </w:rPr>
        <w:t>政</w:t>
      </w:r>
      <w:r>
        <w:rPr>
          <w:rStyle w:val="28"/>
          <w:rFonts w:hint="eastAsia" w:ascii="仿宋" w:hAnsi="仿宋" w:eastAsia="仿宋"/>
          <w:b w:val="0"/>
          <w:bCs w:val="0"/>
          <w:color w:val="auto"/>
          <w:highlight w:val="none"/>
        </w:rPr>
        <w:t>府性基金预算财政拨款“三公”经费支出决算表</w:t>
      </w:r>
      <w:bookmarkEnd w:id="73"/>
    </w:p>
    <w:p>
      <w:pPr>
        <w:pStyle w:val="5"/>
        <w:rPr>
          <w:rFonts w:ascii="仿宋" w:hAnsi="仿宋" w:eastAsia="仿宋"/>
          <w:color w:val="auto"/>
          <w:highlight w:val="none"/>
        </w:rPr>
      </w:pPr>
      <w:bookmarkStart w:id="74" w:name="_Toc15396631"/>
      <w:r>
        <w:rPr>
          <w:rStyle w:val="28"/>
          <w:rFonts w:hint="eastAsia" w:ascii="仿宋" w:hAnsi="仿宋" w:eastAsia="仿宋"/>
          <w:b w:val="0"/>
          <w:bCs w:val="0"/>
          <w:color w:val="auto"/>
          <w:highlight w:val="none"/>
        </w:rPr>
        <w:t>十三、</w:t>
      </w:r>
      <w:r>
        <w:rPr>
          <w:rFonts w:hint="eastAsia" w:ascii="仿宋" w:hAnsi="仿宋" w:eastAsia="仿宋"/>
          <w:b w:val="0"/>
          <w:color w:val="auto"/>
          <w:highlight w:val="none"/>
        </w:rPr>
        <w:t>国</w:t>
      </w:r>
      <w:r>
        <w:rPr>
          <w:rStyle w:val="28"/>
          <w:rFonts w:hint="eastAsia" w:ascii="仿宋" w:hAnsi="仿宋" w:eastAsia="仿宋"/>
          <w:b w:val="0"/>
          <w:bCs w:val="0"/>
          <w:color w:val="auto"/>
          <w:highlight w:val="none"/>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23A31E"/>
    <w:multiLevelType w:val="singleLevel"/>
    <w:tmpl w:val="9923A31E"/>
    <w:lvl w:ilvl="0" w:tentative="0">
      <w:start w:val="1"/>
      <w:numFmt w:val="decimal"/>
      <w:lvlText w:val="%1."/>
      <w:lvlJc w:val="left"/>
      <w:pPr>
        <w:tabs>
          <w:tab w:val="left" w:pos="312"/>
        </w:tabs>
      </w:pPr>
    </w:lvl>
  </w:abstractNum>
  <w:abstractNum w:abstractNumId="1">
    <w:nsid w:val="CC6B8DD1"/>
    <w:multiLevelType w:val="singleLevel"/>
    <w:tmpl w:val="CC6B8DD1"/>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1801AF6F"/>
    <w:multiLevelType w:val="singleLevel"/>
    <w:tmpl w:val="1801AF6F"/>
    <w:lvl w:ilvl="0" w:tentative="0">
      <w:start w:val="2"/>
      <w:numFmt w:val="chineseCounting"/>
      <w:suff w:val="nothing"/>
      <w:lvlText w:val="（%1）"/>
      <w:lvlJc w:val="left"/>
      <w:rPr>
        <w:rFonts w:hint="eastAsia"/>
      </w:rPr>
    </w:lvl>
  </w:abstractNum>
  <w:abstractNum w:abstractNumId="6">
    <w:nsid w:val="1E73761C"/>
    <w:multiLevelType w:val="singleLevel"/>
    <w:tmpl w:val="1E73761C"/>
    <w:lvl w:ilvl="0" w:tentative="0">
      <w:start w:val="2"/>
      <w:numFmt w:val="chineseCounting"/>
      <w:suff w:val="nothing"/>
      <w:lvlText w:val="（%1）"/>
      <w:lvlJc w:val="left"/>
      <w:rPr>
        <w:rFonts w:hint="eastAsia"/>
      </w:rPr>
    </w:lvl>
  </w:abstractNum>
  <w:abstractNum w:abstractNumId="7">
    <w:nsid w:val="57523440"/>
    <w:multiLevelType w:val="singleLevel"/>
    <w:tmpl w:val="57523440"/>
    <w:lvl w:ilvl="0" w:tentative="0">
      <w:start w:val="3"/>
      <w:numFmt w:val="decimal"/>
      <w:lvlText w:val="%1."/>
      <w:lvlJc w:val="left"/>
      <w:pPr>
        <w:tabs>
          <w:tab w:val="left" w:pos="312"/>
        </w:tabs>
      </w:pPr>
    </w:lvl>
  </w:abstractNum>
  <w:num w:numId="1">
    <w:abstractNumId w:val="4"/>
  </w:num>
  <w:num w:numId="2">
    <w:abstractNumId w:val="0"/>
  </w:num>
  <w:num w:numId="3">
    <w:abstractNumId w:val="7"/>
  </w:num>
  <w:num w:numId="4">
    <w:abstractNumId w:val="2"/>
  </w:num>
  <w:num w:numId="5">
    <w:abstractNumId w:val="1"/>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8E0A01"/>
    <w:rsid w:val="025A45D1"/>
    <w:rsid w:val="03900FCF"/>
    <w:rsid w:val="05E2716A"/>
    <w:rsid w:val="08C24DC7"/>
    <w:rsid w:val="0CAB6969"/>
    <w:rsid w:val="0EEF2BE7"/>
    <w:rsid w:val="10C055FF"/>
    <w:rsid w:val="12442A32"/>
    <w:rsid w:val="12662FC8"/>
    <w:rsid w:val="14FD6B0E"/>
    <w:rsid w:val="15CC093E"/>
    <w:rsid w:val="16BB723D"/>
    <w:rsid w:val="17087FCF"/>
    <w:rsid w:val="18025BAA"/>
    <w:rsid w:val="1B4C2669"/>
    <w:rsid w:val="1D753539"/>
    <w:rsid w:val="1D944634"/>
    <w:rsid w:val="1F542D80"/>
    <w:rsid w:val="1F6D4A4A"/>
    <w:rsid w:val="232D52BA"/>
    <w:rsid w:val="240371BF"/>
    <w:rsid w:val="25562BAA"/>
    <w:rsid w:val="2582566F"/>
    <w:rsid w:val="29FD04D3"/>
    <w:rsid w:val="2A8A33CF"/>
    <w:rsid w:val="2AF208D7"/>
    <w:rsid w:val="2C102367"/>
    <w:rsid w:val="2D674D77"/>
    <w:rsid w:val="2DDE24C6"/>
    <w:rsid w:val="2FD76CDA"/>
    <w:rsid w:val="319F7F4E"/>
    <w:rsid w:val="326B02BB"/>
    <w:rsid w:val="36847849"/>
    <w:rsid w:val="37861CF2"/>
    <w:rsid w:val="3C5C5A39"/>
    <w:rsid w:val="3EDF2BC6"/>
    <w:rsid w:val="3F3B0068"/>
    <w:rsid w:val="40D8653E"/>
    <w:rsid w:val="43552D20"/>
    <w:rsid w:val="4585077D"/>
    <w:rsid w:val="48DA4E47"/>
    <w:rsid w:val="4B1931D8"/>
    <w:rsid w:val="4C62467D"/>
    <w:rsid w:val="4DAE7349"/>
    <w:rsid w:val="4ECE2238"/>
    <w:rsid w:val="4EF91579"/>
    <w:rsid w:val="50C04012"/>
    <w:rsid w:val="51FF0D49"/>
    <w:rsid w:val="53791617"/>
    <w:rsid w:val="55F54B0C"/>
    <w:rsid w:val="56340C63"/>
    <w:rsid w:val="57A70DE1"/>
    <w:rsid w:val="57C024DE"/>
    <w:rsid w:val="587E7E79"/>
    <w:rsid w:val="58D11FD8"/>
    <w:rsid w:val="59372933"/>
    <w:rsid w:val="59DC58EC"/>
    <w:rsid w:val="5AB514E0"/>
    <w:rsid w:val="5D2D7056"/>
    <w:rsid w:val="5DF21479"/>
    <w:rsid w:val="5EEE63E9"/>
    <w:rsid w:val="608554B5"/>
    <w:rsid w:val="61142BA8"/>
    <w:rsid w:val="6207344F"/>
    <w:rsid w:val="63F02BCA"/>
    <w:rsid w:val="689F5FEF"/>
    <w:rsid w:val="69DF24B3"/>
    <w:rsid w:val="6A9C73F8"/>
    <w:rsid w:val="6D0F2C05"/>
    <w:rsid w:val="6F831DAE"/>
    <w:rsid w:val="6FCA465B"/>
    <w:rsid w:val="72734D90"/>
    <w:rsid w:val="77204754"/>
    <w:rsid w:val="79A2071F"/>
    <w:rsid w:val="7DA1126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ind w:firstLine="496" w:firstLineChars="155"/>
    </w:pPr>
    <w:rPr>
      <w:rFonts w:ascii="FangSong_GB2312" w:hAnsi="宋体" w:eastAsia="FangSong_GB2312"/>
      <w:color w:val="000000"/>
      <w:sz w:val="32"/>
      <w:szCs w:val="20"/>
    </w:rPr>
  </w:style>
  <w:style w:type="paragraph" w:styleId="7">
    <w:name w:val="Body Text"/>
    <w:basedOn w:val="1"/>
    <w:link w:val="24"/>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1"/>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10"/>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7"/>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6">
    <w:name w:val="List Paragraph"/>
    <w:basedOn w:val="1"/>
    <w:qFormat/>
    <w:uiPriority w:val="34"/>
    <w:pPr>
      <w:ind w:firstLine="420" w:firstLineChars="200"/>
    </w:pPr>
  </w:style>
  <w:style w:type="character" w:customStyle="1" w:styleId="27">
    <w:name w:val="标题 1 字符"/>
    <w:basedOn w:val="16"/>
    <w:link w:val="4"/>
    <w:qFormat/>
    <w:uiPriority w:val="9"/>
    <w:rPr>
      <w:rFonts w:ascii="Times New Roman" w:hAnsi="Times New Roman"/>
      <w:b/>
      <w:bCs/>
      <w:kern w:val="44"/>
      <w:sz w:val="44"/>
      <w:szCs w:val="44"/>
    </w:rPr>
  </w:style>
  <w:style w:type="character" w:customStyle="1" w:styleId="28">
    <w:name w:val="标题 2 字符"/>
    <w:basedOn w:val="16"/>
    <w:link w:val="5"/>
    <w:qFormat/>
    <w:uiPriority w:val="9"/>
    <w:rPr>
      <w:rFonts w:asciiTheme="majorHAnsi" w:hAnsiTheme="majorHAnsi" w:eastAsiaTheme="majorEastAsia" w:cstheme="majorBidi"/>
      <w:b/>
      <w:bCs/>
      <w:kern w:val="2"/>
      <w:sz w:val="32"/>
      <w:szCs w:val="32"/>
    </w:rPr>
  </w:style>
  <w:style w:type="paragraph" w:customStyle="1" w:styleId="29">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6"/>
    <w:qFormat/>
    <w:uiPriority w:val="9"/>
    <w:rPr>
      <w:rFonts w:ascii="Times New Roman" w:hAnsi="Times New Roman"/>
      <w:b/>
      <w:bCs/>
      <w:kern w:val="2"/>
      <w:sz w:val="32"/>
      <w:szCs w:val="32"/>
    </w:rPr>
  </w:style>
  <w:style w:type="paragraph" w:customStyle="1" w:styleId="32">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3">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10</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2020-10-09T08:09:00Z</cp:lastPrinted>
  <dcterms:modified xsi:type="dcterms:W3CDTF">2020-10-27T06:43:32Z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