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auto"/>
          <w:sz w:val="72"/>
          <w:szCs w:val="72"/>
        </w:rPr>
      </w:pPr>
      <w:bookmarkStart w:id="0" w:name="_Toc15306267"/>
    </w:p>
    <w:p>
      <w:pPr>
        <w:spacing w:line="600" w:lineRule="exact"/>
        <w:jc w:val="center"/>
        <w:outlineLvl w:val="0"/>
        <w:rPr>
          <w:rFonts w:ascii="方正小标宋简体" w:hAnsi="宋体" w:eastAsia="方正小标宋简体"/>
          <w:color w:val="auto"/>
          <w:sz w:val="72"/>
          <w:szCs w:val="72"/>
        </w:rPr>
      </w:pPr>
    </w:p>
    <w:p>
      <w:pPr>
        <w:spacing w:line="600" w:lineRule="exact"/>
        <w:jc w:val="center"/>
        <w:outlineLvl w:val="0"/>
        <w:rPr>
          <w:rFonts w:ascii="方正小标宋简体" w:hAnsi="宋体" w:eastAsia="方正小标宋简体"/>
          <w:color w:val="auto"/>
          <w:sz w:val="72"/>
          <w:szCs w:val="72"/>
        </w:rPr>
      </w:pPr>
    </w:p>
    <w:p>
      <w:pPr>
        <w:spacing w:line="600" w:lineRule="exact"/>
        <w:jc w:val="center"/>
        <w:outlineLvl w:val="0"/>
        <w:rPr>
          <w:rFonts w:ascii="方正小标宋简体" w:hAnsi="宋体" w:eastAsia="方正小标宋简体"/>
          <w:color w:val="auto"/>
          <w:sz w:val="72"/>
          <w:szCs w:val="72"/>
        </w:rPr>
      </w:pPr>
    </w:p>
    <w:p>
      <w:pPr>
        <w:adjustRightInd w:val="0"/>
        <w:snapToGrid w:val="0"/>
        <w:spacing w:line="360" w:lineRule="auto"/>
        <w:jc w:val="center"/>
        <w:outlineLvl w:val="0"/>
        <w:rPr>
          <w:rFonts w:ascii="方正小标宋简体" w:hAnsi="宋体" w:eastAsia="方正小标宋简体"/>
          <w:color w:val="auto"/>
          <w:sz w:val="72"/>
          <w:szCs w:val="72"/>
        </w:rPr>
      </w:pPr>
      <w:bookmarkStart w:id="1" w:name="_Toc15377193"/>
      <w:bookmarkStart w:id="2" w:name="_Toc15396597"/>
      <w:bookmarkStart w:id="3" w:name="_Toc15377425"/>
      <w:bookmarkStart w:id="4" w:name="_Toc15378441"/>
      <w:bookmarkStart w:id="5" w:name="_Toc15396475"/>
      <w:r>
        <w:rPr>
          <w:rFonts w:ascii="黑体" w:hAnsi="黑体" w:eastAsia="黑体"/>
          <w:color w:val="auto"/>
          <w:sz w:val="72"/>
          <w:szCs w:val="72"/>
        </w:rPr>
        <w:t>201</w:t>
      </w:r>
      <w:r>
        <w:rPr>
          <w:rFonts w:hint="eastAsia" w:ascii="黑体" w:hAnsi="黑体" w:eastAsia="黑体"/>
          <w:color w:val="auto"/>
          <w:sz w:val="72"/>
          <w:szCs w:val="72"/>
        </w:rPr>
        <w:t>8</w:t>
      </w:r>
      <w:r>
        <w:rPr>
          <w:rFonts w:hint="eastAsia" w:ascii="方正小标宋简体" w:hAnsi="宋体" w:eastAsia="方正小标宋简体"/>
          <w:color w:val="auto"/>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auto"/>
          <w:sz w:val="72"/>
          <w:szCs w:val="72"/>
        </w:rPr>
      </w:pPr>
      <w:bookmarkStart w:id="6" w:name="_Toc15396476"/>
      <w:bookmarkStart w:id="7" w:name="_Toc15377194"/>
      <w:bookmarkStart w:id="8" w:name="_Toc15396598"/>
      <w:bookmarkStart w:id="9" w:name="_Toc15378442"/>
      <w:bookmarkStart w:id="10" w:name="_Toc15377426"/>
      <w:r>
        <w:rPr>
          <w:rFonts w:hint="eastAsia" w:ascii="方正小标宋简体" w:hAnsi="宋体" w:eastAsia="方正小标宋简体"/>
          <w:color w:val="auto"/>
          <w:sz w:val="72"/>
          <w:szCs w:val="72"/>
        </w:rPr>
        <w:t>四川省</w:t>
      </w:r>
      <w:bookmarkEnd w:id="0"/>
      <w:bookmarkStart w:id="11" w:name="_Toc15306268"/>
      <w:r>
        <w:rPr>
          <w:rFonts w:hint="eastAsia" w:ascii="方正小标宋简体" w:hAnsi="宋体" w:eastAsia="方正小标宋简体"/>
          <w:color w:val="auto"/>
          <w:sz w:val="72"/>
          <w:szCs w:val="72"/>
          <w:lang w:eastAsia="zh-CN"/>
        </w:rPr>
        <w:t>红原县国土资源局</w:t>
      </w:r>
      <w:r>
        <w:rPr>
          <w:rFonts w:hint="eastAsia" w:ascii="方正小标宋简体" w:hAnsi="宋体" w:eastAsia="方正小标宋简体"/>
          <w:color w:val="auto"/>
          <w:sz w:val="72"/>
          <w:szCs w:val="72"/>
        </w:rPr>
        <w:t>部门决算</w:t>
      </w:r>
      <w:bookmarkEnd w:id="6"/>
      <w:bookmarkEnd w:id="7"/>
      <w:bookmarkEnd w:id="8"/>
      <w:bookmarkEnd w:id="9"/>
      <w:bookmarkEnd w:id="10"/>
      <w:bookmarkEnd w:id="11"/>
    </w:p>
    <w:p>
      <w:pPr>
        <w:widowControl/>
        <w:jc w:val="center"/>
        <w:rPr>
          <w:rFonts w:ascii="黑体" w:hAnsi="黑体" w:eastAsia="黑体"/>
          <w:color w:val="auto"/>
          <w:sz w:val="48"/>
          <w:szCs w:val="48"/>
        </w:rPr>
      </w:pPr>
      <w:r>
        <w:rPr>
          <w:rFonts w:ascii="方正小标宋简体" w:hAnsi="宋体" w:eastAsia="方正小标宋简体"/>
          <w:color w:val="auto"/>
          <w:sz w:val="36"/>
          <w:szCs w:val="36"/>
        </w:rPr>
        <w:br w:type="page"/>
      </w:r>
      <w:r>
        <w:rPr>
          <w:rFonts w:hint="eastAsia" w:ascii="黑体" w:hAnsi="黑体" w:eastAsia="黑体"/>
          <w:color w:val="auto"/>
          <w:sz w:val="48"/>
          <w:szCs w:val="48"/>
        </w:rPr>
        <w:t>目录</w:t>
      </w:r>
    </w:p>
    <w:p>
      <w:pPr>
        <w:widowControl/>
        <w:jc w:val="center"/>
        <w:rPr>
          <w:rFonts w:ascii="黑体" w:hAnsi="黑体" w:eastAsia="黑体" w:cstheme="minorBidi"/>
          <w:color w:val="auto"/>
          <w:sz w:val="28"/>
          <w:szCs w:val="28"/>
        </w:rPr>
      </w:pPr>
      <w:r>
        <w:rPr>
          <w:rFonts w:ascii="黑体" w:hAnsi="黑体" w:eastAsia="黑体"/>
          <w:color w:val="auto"/>
          <w:sz w:val="48"/>
          <w:szCs w:val="48"/>
        </w:rPr>
        <w:fldChar w:fldCharType="begin"/>
      </w:r>
      <w:r>
        <w:rPr>
          <w:rFonts w:ascii="黑体" w:hAnsi="黑体" w:eastAsia="黑体"/>
          <w:color w:val="auto"/>
          <w:sz w:val="48"/>
          <w:szCs w:val="48"/>
        </w:rPr>
        <w:instrText xml:space="preserve"> TOC \o "1-2" \h \z \u </w:instrText>
      </w:r>
      <w:r>
        <w:rPr>
          <w:rFonts w:ascii="黑体" w:hAnsi="黑体" w:eastAsia="黑体"/>
          <w:color w:val="auto"/>
          <w:sz w:val="48"/>
          <w:szCs w:val="48"/>
        </w:rPr>
        <w:fldChar w:fldCharType="separate"/>
      </w:r>
    </w:p>
    <w:p>
      <w:pPr>
        <w:rPr>
          <w:color w:val="auto"/>
        </w:rPr>
      </w:pPr>
    </w:p>
    <w:p>
      <w:pPr>
        <w:pStyle w:val="12"/>
        <w:jc w:val="both"/>
        <w:rPr>
          <w:rFonts w:cstheme="minorBidi"/>
          <w:color w:val="auto"/>
        </w:rPr>
      </w:pPr>
      <w:r>
        <w:rPr>
          <w:color w:val="auto"/>
        </w:rPr>
        <w:fldChar w:fldCharType="begin"/>
      </w:r>
      <w:r>
        <w:rPr>
          <w:color w:val="auto"/>
        </w:rPr>
        <w:instrText xml:space="preserve"> HYPERLINK \l "_Toc15396599" </w:instrText>
      </w:r>
      <w:r>
        <w:rPr>
          <w:color w:val="auto"/>
        </w:rPr>
        <w:fldChar w:fldCharType="separate"/>
      </w:r>
      <w:r>
        <w:rPr>
          <w:rStyle w:val="17"/>
          <w:rFonts w:hint="eastAsia"/>
          <w:color w:val="auto"/>
        </w:rPr>
        <w:t>第一部分</w:t>
      </w:r>
      <w:r>
        <w:rPr>
          <w:rStyle w:val="17"/>
          <w:color w:val="auto"/>
        </w:rPr>
        <w:t xml:space="preserve"> </w:t>
      </w:r>
      <w:r>
        <w:rPr>
          <w:rStyle w:val="17"/>
          <w:rFonts w:hint="eastAsia"/>
          <w:color w:val="auto"/>
        </w:rPr>
        <w:t>部门概况</w:t>
      </w:r>
      <w:r>
        <w:rPr>
          <w:rFonts w:hint="eastAsia"/>
          <w:color w:val="auto"/>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"_Toc15396600" </w:instrText>
      </w:r>
      <w:r>
        <w:rPr>
          <w:color w:val="auto"/>
        </w:rPr>
        <w:fldChar w:fldCharType="separate"/>
      </w:r>
      <w:r>
        <w:rPr>
          <w:rStyle w:val="17"/>
          <w:rFonts w:hint="eastAsia" w:ascii="仿宋" w:hAnsi="仿宋" w:eastAsia="仿宋"/>
          <w:color w:val="auto"/>
          <w:sz w:val="28"/>
          <w:szCs w:val="28"/>
        </w:rPr>
        <w:t>一、基本职能及主要工作</w:t>
      </w:r>
      <w:r>
        <w:rPr>
          <w:rFonts w:hint="eastAsia"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"_Toc15396601" </w:instrText>
      </w:r>
      <w:r>
        <w:rPr>
          <w:color w:val="auto"/>
        </w:rPr>
        <w:fldChar w:fldCharType="separate"/>
      </w:r>
      <w:r>
        <w:rPr>
          <w:rStyle w:val="17"/>
          <w:rFonts w:hint="eastAsia" w:ascii="仿宋" w:hAnsi="仿宋" w:eastAsia="仿宋"/>
          <w:color w:val="auto"/>
          <w:sz w:val="28"/>
          <w:szCs w:val="28"/>
        </w:rPr>
        <w:t>二、机构设置</w:t>
      </w:r>
      <w:r>
        <w:rPr>
          <w:rFonts w:ascii="仿宋" w:hAnsi="仿宋" w:eastAsia="仿宋"/>
          <w:color w:val="auto"/>
          <w:sz w:val="28"/>
          <w:szCs w:val="28"/>
        </w:rPr>
        <w:fldChar w:fldCharType="end"/>
      </w:r>
    </w:p>
    <w:p>
      <w:pPr>
        <w:pStyle w:val="12"/>
        <w:jc w:val="both"/>
        <w:rPr>
          <w:color w:val="auto"/>
        </w:rPr>
      </w:pPr>
      <w:r>
        <w:rPr>
          <w:color w:val="auto"/>
        </w:rPr>
        <w:fldChar w:fldCharType="begin"/>
      </w:r>
      <w:r>
        <w:rPr>
          <w:color w:val="auto"/>
        </w:rPr>
        <w:instrText xml:space="preserve"> HYPERLINK \l "_Toc15396602" </w:instrText>
      </w:r>
      <w:r>
        <w:rPr>
          <w:color w:val="auto"/>
        </w:rPr>
        <w:fldChar w:fldCharType="separate"/>
      </w:r>
      <w:r>
        <w:rPr>
          <w:rStyle w:val="17"/>
          <w:rFonts w:hint="eastAsia"/>
          <w:color w:val="auto"/>
        </w:rPr>
        <w:t>第二部分</w:t>
      </w:r>
      <w:r>
        <w:rPr>
          <w:rStyle w:val="17"/>
          <w:color w:val="auto"/>
        </w:rPr>
        <w:t xml:space="preserve"> 2018</w:t>
      </w:r>
      <w:r>
        <w:rPr>
          <w:rStyle w:val="17"/>
          <w:rFonts w:hint="eastAsia"/>
          <w:color w:val="auto"/>
        </w:rPr>
        <w:t>年度部门决算情况说明</w:t>
      </w:r>
      <w:r>
        <w:rPr>
          <w:color w:val="auto"/>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"_Toc15396603" </w:instrText>
      </w:r>
      <w:r>
        <w:rPr>
          <w:color w:val="auto"/>
        </w:rPr>
        <w:fldChar w:fldCharType="separate"/>
      </w:r>
      <w:r>
        <w:rPr>
          <w:rStyle w:val="17"/>
          <w:rFonts w:hint="eastAsia" w:ascii="仿宋" w:hAnsi="仿宋" w:eastAsia="仿宋" w:cstheme="majorBidi"/>
          <w:bCs/>
          <w:color w:val="auto"/>
          <w:sz w:val="28"/>
          <w:szCs w:val="28"/>
        </w:rPr>
        <w:t>一、</w:t>
      </w:r>
      <w:r>
        <w:rPr>
          <w:rStyle w:val="17"/>
          <w:rFonts w:hint="eastAsia" w:ascii="仿宋" w:hAnsi="仿宋" w:eastAsia="仿宋"/>
          <w:color w:val="auto"/>
          <w:sz w:val="28"/>
          <w:szCs w:val="28"/>
        </w:rPr>
        <w:t>收</w:t>
      </w:r>
      <w:r>
        <w:rPr>
          <w:rStyle w:val="17"/>
          <w:rFonts w:hint="eastAsia" w:ascii="仿宋" w:hAnsi="仿宋" w:eastAsia="仿宋" w:cstheme="majorBidi"/>
          <w:bCs/>
          <w:color w:val="auto"/>
          <w:sz w:val="28"/>
          <w:szCs w:val="28"/>
        </w:rPr>
        <w:t>入支出决算总体情况说明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"_Toc15396604" </w:instrText>
      </w:r>
      <w:r>
        <w:rPr>
          <w:color w:val="auto"/>
        </w:rPr>
        <w:fldChar w:fldCharType="separate"/>
      </w:r>
      <w:r>
        <w:rPr>
          <w:rStyle w:val="17"/>
          <w:rFonts w:hint="eastAsia" w:ascii="仿宋" w:hAnsi="仿宋" w:eastAsia="仿宋" w:cstheme="majorBidi"/>
          <w:bCs/>
          <w:color w:val="auto"/>
          <w:sz w:val="28"/>
          <w:szCs w:val="28"/>
        </w:rPr>
        <w:t>二、</w:t>
      </w:r>
      <w:r>
        <w:rPr>
          <w:rStyle w:val="17"/>
          <w:rFonts w:hint="eastAsia" w:ascii="仿宋" w:hAnsi="仿宋" w:eastAsia="仿宋"/>
          <w:color w:val="auto"/>
          <w:sz w:val="28"/>
          <w:szCs w:val="28"/>
        </w:rPr>
        <w:t>收</w:t>
      </w:r>
      <w:r>
        <w:rPr>
          <w:rStyle w:val="17"/>
          <w:rFonts w:hint="eastAsia" w:ascii="仿宋" w:hAnsi="仿宋" w:eastAsia="仿宋" w:cstheme="majorBidi"/>
          <w:bCs/>
          <w:color w:val="auto"/>
          <w:sz w:val="28"/>
          <w:szCs w:val="28"/>
        </w:rPr>
        <w:t>入决算情况说明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"_Toc15396605" </w:instrText>
      </w:r>
      <w:r>
        <w:rPr>
          <w:color w:val="auto"/>
        </w:rPr>
        <w:fldChar w:fldCharType="separate"/>
      </w:r>
      <w:r>
        <w:rPr>
          <w:rStyle w:val="17"/>
          <w:rFonts w:hint="eastAsia" w:ascii="仿宋" w:hAnsi="仿宋" w:eastAsia="仿宋" w:cstheme="majorBidi"/>
          <w:bCs/>
          <w:color w:val="auto"/>
          <w:sz w:val="28"/>
          <w:szCs w:val="28"/>
        </w:rPr>
        <w:t>三、</w:t>
      </w:r>
      <w:r>
        <w:rPr>
          <w:rStyle w:val="17"/>
          <w:rFonts w:hint="eastAsia" w:ascii="仿宋" w:hAnsi="仿宋" w:eastAsia="仿宋"/>
          <w:color w:val="auto"/>
          <w:sz w:val="28"/>
          <w:szCs w:val="28"/>
        </w:rPr>
        <w:t>支</w:t>
      </w:r>
      <w:r>
        <w:rPr>
          <w:rStyle w:val="17"/>
          <w:rFonts w:hint="eastAsia" w:ascii="仿宋" w:hAnsi="仿宋" w:eastAsia="仿宋" w:cstheme="majorBidi"/>
          <w:bCs/>
          <w:color w:val="auto"/>
          <w:sz w:val="28"/>
          <w:szCs w:val="28"/>
        </w:rPr>
        <w:t>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"_Toc15396606" </w:instrText>
      </w:r>
      <w:r>
        <w:rPr>
          <w:color w:val="auto"/>
        </w:rPr>
        <w:fldChar w:fldCharType="separate"/>
      </w:r>
      <w:r>
        <w:rPr>
          <w:rStyle w:val="17"/>
          <w:rFonts w:hint="eastAsia" w:ascii="仿宋" w:hAnsi="仿宋" w:eastAsia="仿宋"/>
          <w:color w:val="auto"/>
          <w:sz w:val="28"/>
          <w:szCs w:val="28"/>
        </w:rPr>
        <w:t>四、财</w:t>
      </w:r>
      <w:r>
        <w:rPr>
          <w:rStyle w:val="17"/>
          <w:rFonts w:hint="eastAsia" w:ascii="仿宋" w:hAnsi="仿宋" w:eastAsia="仿宋" w:cstheme="majorBidi"/>
          <w:bCs/>
          <w:color w:val="auto"/>
          <w:sz w:val="28"/>
          <w:szCs w:val="28"/>
        </w:rPr>
        <w:t>政拨款收入支出决算总体情况说明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"_Toc15396607" </w:instrText>
      </w:r>
      <w:r>
        <w:rPr>
          <w:color w:val="auto"/>
        </w:rPr>
        <w:fldChar w:fldCharType="separate"/>
      </w:r>
      <w:r>
        <w:rPr>
          <w:rStyle w:val="17"/>
          <w:rFonts w:hint="eastAsia" w:ascii="仿宋" w:hAnsi="仿宋" w:eastAsia="仿宋"/>
          <w:color w:val="auto"/>
          <w:sz w:val="28"/>
          <w:szCs w:val="28"/>
        </w:rPr>
        <w:t>五、一</w:t>
      </w:r>
      <w:r>
        <w:rPr>
          <w:rStyle w:val="17"/>
          <w:rFonts w:hint="eastAsia" w:ascii="仿宋" w:hAnsi="仿宋" w:eastAsia="仿宋" w:cstheme="majorBidi"/>
          <w:bCs/>
          <w:color w:val="auto"/>
          <w:sz w:val="28"/>
          <w:szCs w:val="28"/>
        </w:rPr>
        <w:t>般公共预算财政拨款支出决算情况说明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"_Toc15396608" </w:instrText>
      </w:r>
      <w:r>
        <w:rPr>
          <w:color w:val="auto"/>
        </w:rPr>
        <w:fldChar w:fldCharType="separate"/>
      </w:r>
      <w:r>
        <w:rPr>
          <w:rStyle w:val="17"/>
          <w:rFonts w:hint="eastAsia" w:ascii="仿宋" w:hAnsi="仿宋" w:eastAsia="仿宋"/>
          <w:color w:val="auto"/>
          <w:sz w:val="28"/>
          <w:szCs w:val="28"/>
        </w:rPr>
        <w:t>六、一</w:t>
      </w:r>
      <w:r>
        <w:rPr>
          <w:rStyle w:val="17"/>
          <w:rFonts w:hint="eastAsia" w:ascii="仿宋" w:hAnsi="仿宋" w:eastAsia="仿宋" w:cstheme="majorBidi"/>
          <w:bCs/>
          <w:color w:val="auto"/>
          <w:sz w:val="28"/>
          <w:szCs w:val="28"/>
        </w:rPr>
        <w:t>般公共预算财政拨款基本支出决算情况说明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"_Toc15396609" </w:instrText>
      </w:r>
      <w:r>
        <w:rPr>
          <w:color w:val="auto"/>
        </w:rPr>
        <w:fldChar w:fldCharType="separate"/>
      </w:r>
      <w:r>
        <w:rPr>
          <w:rStyle w:val="17"/>
          <w:rFonts w:hint="eastAsia" w:ascii="仿宋" w:hAnsi="仿宋" w:eastAsia="仿宋"/>
          <w:color w:val="auto"/>
          <w:sz w:val="28"/>
          <w:szCs w:val="28"/>
        </w:rPr>
        <w:t>七、</w:t>
      </w:r>
      <w:r>
        <w:rPr>
          <w:rStyle w:val="17"/>
          <w:rFonts w:ascii="仿宋" w:hAnsi="仿宋" w:eastAsia="仿宋"/>
          <w:color w:val="auto"/>
          <w:sz w:val="28"/>
          <w:szCs w:val="28"/>
        </w:rPr>
        <w:t>“</w:t>
      </w:r>
      <w:r>
        <w:rPr>
          <w:rStyle w:val="17"/>
          <w:rFonts w:hint="eastAsia" w:ascii="仿宋" w:hAnsi="仿宋" w:eastAsia="仿宋" w:cstheme="majorBidi"/>
          <w:bCs/>
          <w:color w:val="auto"/>
          <w:sz w:val="28"/>
          <w:szCs w:val="28"/>
        </w:rPr>
        <w:t>三公”经费财政拨款支出决算情况说明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"_Toc15396610" </w:instrText>
      </w:r>
      <w:r>
        <w:rPr>
          <w:color w:val="auto"/>
        </w:rPr>
        <w:fldChar w:fldCharType="separate"/>
      </w:r>
      <w:r>
        <w:rPr>
          <w:rStyle w:val="17"/>
          <w:rFonts w:hint="eastAsia" w:ascii="仿宋" w:hAnsi="仿宋" w:eastAsia="仿宋"/>
          <w:color w:val="auto"/>
          <w:sz w:val="28"/>
          <w:szCs w:val="28"/>
        </w:rPr>
        <w:t>八、</w:t>
      </w:r>
      <w:r>
        <w:rPr>
          <w:rStyle w:val="17"/>
          <w:rFonts w:hint="eastAsia" w:ascii="仿宋" w:hAnsi="仿宋" w:eastAsia="仿宋" w:cstheme="majorBidi"/>
          <w:bCs/>
          <w:color w:val="auto"/>
          <w:sz w:val="28"/>
          <w:szCs w:val="28"/>
        </w:rPr>
        <w:t>政府性基金预算支出决算情况说明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"_Toc15396611" </w:instrText>
      </w:r>
      <w:r>
        <w:rPr>
          <w:color w:val="auto"/>
        </w:rPr>
        <w:fldChar w:fldCharType="separate"/>
      </w:r>
      <w:r>
        <w:rPr>
          <w:rStyle w:val="17"/>
          <w:rFonts w:hint="eastAsia" w:ascii="仿宋" w:hAnsi="仿宋" w:eastAsia="仿宋" w:cstheme="majorBidi"/>
          <w:bCs/>
          <w:color w:val="auto"/>
          <w:sz w:val="28"/>
          <w:szCs w:val="28"/>
        </w:rPr>
        <w:t>九、</w:t>
      </w:r>
      <w:r>
        <w:rPr>
          <w:rStyle w:val="17"/>
          <w:rFonts w:hint="eastAsia" w:ascii="仿宋" w:hAnsi="仿宋" w:eastAsia="仿宋"/>
          <w:color w:val="auto"/>
          <w:sz w:val="28"/>
          <w:szCs w:val="28"/>
        </w:rPr>
        <w:t xml:space="preserve"> 国</w:t>
      </w:r>
      <w:r>
        <w:rPr>
          <w:rStyle w:val="17"/>
          <w:rFonts w:hint="eastAsia" w:ascii="仿宋" w:hAnsi="仿宋" w:eastAsia="仿宋" w:cstheme="majorBidi"/>
          <w:bCs/>
          <w:color w:val="auto"/>
          <w:sz w:val="28"/>
          <w:szCs w:val="28"/>
        </w:rPr>
        <w:t>有资本经营预算支出决算情况说明</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"_Toc15396612" </w:instrText>
      </w:r>
      <w:r>
        <w:rPr>
          <w:color w:val="auto"/>
        </w:rPr>
        <w:fldChar w:fldCharType="separate"/>
      </w:r>
      <w:r>
        <w:rPr>
          <w:rStyle w:val="17"/>
          <w:rFonts w:hint="eastAsia" w:ascii="仿宋" w:hAnsi="仿宋" w:eastAsia="仿宋"/>
          <w:color w:val="auto"/>
          <w:sz w:val="28"/>
          <w:szCs w:val="28"/>
        </w:rPr>
        <w:t>十</w:t>
      </w:r>
      <w:r>
        <w:rPr>
          <w:rStyle w:val="17"/>
          <w:rFonts w:hint="eastAsia" w:ascii="仿宋" w:hAnsi="仿宋" w:eastAsia="仿宋" w:cstheme="majorBidi"/>
          <w:bCs/>
          <w:color w:val="auto"/>
          <w:sz w:val="28"/>
          <w:szCs w:val="28"/>
        </w:rPr>
        <w:t>一、其他重要事项的情况说明</w:t>
      </w:r>
      <w:r>
        <w:rPr>
          <w:rFonts w:ascii="仿宋" w:hAnsi="仿宋" w:eastAsia="仿宋"/>
          <w:color w:val="auto"/>
          <w:sz w:val="28"/>
          <w:szCs w:val="28"/>
        </w:rPr>
        <w:fldChar w:fldCharType="end"/>
      </w:r>
    </w:p>
    <w:p>
      <w:pPr>
        <w:pStyle w:val="12"/>
        <w:jc w:val="both"/>
        <w:rPr>
          <w:rFonts w:cstheme="minorBidi"/>
          <w:color w:val="auto"/>
        </w:rPr>
      </w:pPr>
      <w:r>
        <w:rPr>
          <w:color w:val="auto"/>
        </w:rPr>
        <w:fldChar w:fldCharType="begin"/>
      </w:r>
      <w:r>
        <w:rPr>
          <w:color w:val="auto"/>
        </w:rPr>
        <w:instrText xml:space="preserve"> HYPERLINK \l "_Toc15396613" </w:instrText>
      </w:r>
      <w:r>
        <w:rPr>
          <w:color w:val="auto"/>
        </w:rPr>
        <w:fldChar w:fldCharType="separate"/>
      </w:r>
      <w:r>
        <w:rPr>
          <w:rStyle w:val="17"/>
          <w:rFonts w:hint="eastAsia"/>
          <w:bCs/>
          <w:color w:val="auto"/>
          <w:kern w:val="44"/>
        </w:rPr>
        <w:t>第三部分</w:t>
      </w:r>
      <w:r>
        <w:rPr>
          <w:rStyle w:val="17"/>
          <w:rFonts w:hint="eastAsia"/>
          <w:color w:val="auto"/>
        </w:rPr>
        <w:t xml:space="preserve"> 名</w:t>
      </w:r>
      <w:r>
        <w:rPr>
          <w:rStyle w:val="17"/>
          <w:rFonts w:hint="eastAsia"/>
          <w:bCs/>
          <w:color w:val="auto"/>
          <w:kern w:val="44"/>
        </w:rPr>
        <w:t>词解释</w:t>
      </w:r>
      <w:r>
        <w:rPr>
          <w:color w:val="auto"/>
        </w:rPr>
        <w:fldChar w:fldCharType="end"/>
      </w:r>
    </w:p>
    <w:p>
      <w:pPr>
        <w:pStyle w:val="12"/>
        <w:jc w:val="both"/>
        <w:rPr>
          <w:rFonts w:cstheme="minorBidi"/>
          <w:color w:val="auto"/>
        </w:rPr>
      </w:pPr>
      <w:r>
        <w:rPr>
          <w:color w:val="auto"/>
        </w:rPr>
        <w:fldChar w:fldCharType="begin"/>
      </w:r>
      <w:r>
        <w:rPr>
          <w:color w:val="auto"/>
        </w:rPr>
        <w:instrText xml:space="preserve"> HYPERLINK \l "_Toc15396614" </w:instrText>
      </w:r>
      <w:r>
        <w:rPr>
          <w:color w:val="auto"/>
        </w:rPr>
        <w:fldChar w:fldCharType="separate"/>
      </w:r>
      <w:r>
        <w:rPr>
          <w:rStyle w:val="17"/>
          <w:rFonts w:hint="eastAsia"/>
          <w:color w:val="auto"/>
        </w:rPr>
        <w:t>第</w:t>
      </w:r>
      <w:r>
        <w:rPr>
          <w:rStyle w:val="17"/>
          <w:rFonts w:hint="eastAsia"/>
          <w:bCs/>
          <w:color w:val="auto"/>
          <w:kern w:val="44"/>
        </w:rPr>
        <w:t>四部分</w:t>
      </w:r>
      <w:r>
        <w:rPr>
          <w:rStyle w:val="17"/>
          <w:bCs/>
          <w:color w:val="auto"/>
          <w:kern w:val="44"/>
        </w:rPr>
        <w:t xml:space="preserve"> </w:t>
      </w:r>
      <w:r>
        <w:rPr>
          <w:rStyle w:val="17"/>
          <w:rFonts w:hint="eastAsia"/>
          <w:bCs/>
          <w:color w:val="auto"/>
          <w:kern w:val="44"/>
        </w:rPr>
        <w:t>附件</w:t>
      </w:r>
      <w:r>
        <w:rPr>
          <w:color w:val="auto"/>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"_Toc15396615" </w:instrText>
      </w:r>
      <w:r>
        <w:rPr>
          <w:color w:val="auto"/>
        </w:rPr>
        <w:fldChar w:fldCharType="separate"/>
      </w:r>
      <w:r>
        <w:rPr>
          <w:rStyle w:val="17"/>
          <w:rFonts w:hint="eastAsia" w:ascii="仿宋" w:hAnsi="仿宋" w:eastAsia="仿宋"/>
          <w:color w:val="auto"/>
          <w:kern w:val="44"/>
          <w:sz w:val="28"/>
          <w:szCs w:val="28"/>
        </w:rPr>
        <w:t>附件</w:t>
      </w:r>
      <w:r>
        <w:rPr>
          <w:rStyle w:val="17"/>
          <w:rFonts w:ascii="仿宋" w:hAnsi="仿宋" w:eastAsia="仿宋"/>
          <w:color w:val="auto"/>
          <w:kern w:val="44"/>
          <w:sz w:val="28"/>
          <w:szCs w:val="28"/>
        </w:rPr>
        <w:t>1</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color w:val="auto"/>
        </w:rPr>
        <w:fldChar w:fldCharType="begin"/>
      </w:r>
      <w:r>
        <w:rPr>
          <w:color w:val="auto"/>
        </w:rPr>
        <w:instrText xml:space="preserve"> HYPERLINK \l "_Toc15396617" </w:instrText>
      </w:r>
      <w:r>
        <w:rPr>
          <w:color w:val="auto"/>
        </w:rPr>
        <w:fldChar w:fldCharType="separate"/>
      </w:r>
      <w:r>
        <w:rPr>
          <w:rStyle w:val="17"/>
          <w:rFonts w:hint="eastAsia" w:ascii="仿宋" w:hAnsi="仿宋" w:eastAsia="仿宋"/>
          <w:color w:val="auto"/>
          <w:kern w:val="44"/>
          <w:sz w:val="28"/>
          <w:szCs w:val="28"/>
        </w:rPr>
        <w:t>附件</w:t>
      </w:r>
      <w:r>
        <w:rPr>
          <w:rStyle w:val="17"/>
          <w:rFonts w:ascii="仿宋" w:hAnsi="仿宋" w:eastAsia="仿宋"/>
          <w:color w:val="auto"/>
          <w:kern w:val="44"/>
          <w:sz w:val="28"/>
          <w:szCs w:val="28"/>
        </w:rPr>
        <w:t>2</w:t>
      </w:r>
      <w:r>
        <w:rPr>
          <w:rFonts w:ascii="仿宋" w:hAnsi="仿宋" w:eastAsia="仿宋"/>
          <w:color w:val="auto"/>
          <w:sz w:val="28"/>
          <w:szCs w:val="28"/>
        </w:rPr>
        <w:fldChar w:fldCharType="end"/>
      </w:r>
    </w:p>
    <w:p>
      <w:pPr>
        <w:pStyle w:val="12"/>
        <w:jc w:val="both"/>
        <w:rPr>
          <w:rFonts w:cstheme="minorBidi"/>
          <w:color w:val="auto"/>
        </w:rPr>
      </w:pPr>
      <w:r>
        <w:rPr>
          <w:color w:val="auto"/>
        </w:rPr>
        <w:fldChar w:fldCharType="begin"/>
      </w:r>
      <w:r>
        <w:rPr>
          <w:color w:val="auto"/>
        </w:rPr>
        <w:instrText xml:space="preserve"> HYPERLINK \l "_Toc15396618" </w:instrText>
      </w:r>
      <w:r>
        <w:rPr>
          <w:color w:val="auto"/>
        </w:rPr>
        <w:fldChar w:fldCharType="separate"/>
      </w:r>
      <w:r>
        <w:rPr>
          <w:rStyle w:val="17"/>
          <w:rFonts w:hint="eastAsia"/>
          <w:color w:val="auto"/>
        </w:rPr>
        <w:t>第</w:t>
      </w:r>
      <w:r>
        <w:rPr>
          <w:rStyle w:val="17"/>
          <w:rFonts w:hint="eastAsia"/>
          <w:bCs/>
          <w:color w:val="auto"/>
          <w:kern w:val="44"/>
        </w:rPr>
        <w:t>五部分</w:t>
      </w:r>
      <w:r>
        <w:rPr>
          <w:rStyle w:val="17"/>
          <w:bCs/>
          <w:color w:val="auto"/>
          <w:kern w:val="44"/>
        </w:rPr>
        <w:t xml:space="preserve"> </w:t>
      </w:r>
      <w:r>
        <w:rPr>
          <w:rStyle w:val="17"/>
          <w:rFonts w:hint="eastAsia"/>
          <w:bCs/>
          <w:color w:val="auto"/>
          <w:kern w:val="44"/>
        </w:rPr>
        <w:t>附表</w:t>
      </w:r>
      <w:r>
        <w:rPr>
          <w:color w:val="auto"/>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一、</w:t>
      </w:r>
      <w:r>
        <w:rPr>
          <w:color w:val="auto"/>
        </w:rPr>
        <w:fldChar w:fldCharType="begin"/>
      </w:r>
      <w:r>
        <w:rPr>
          <w:color w:val="auto"/>
        </w:rPr>
        <w:instrText xml:space="preserve"> HYPERLINK \l "_Toc15396619" </w:instrText>
      </w:r>
      <w:r>
        <w:rPr>
          <w:color w:val="auto"/>
        </w:rPr>
        <w:fldChar w:fldCharType="separate"/>
      </w:r>
      <w:r>
        <w:rPr>
          <w:rStyle w:val="17"/>
          <w:rFonts w:hint="eastAsia" w:ascii="仿宋" w:hAnsi="仿宋" w:eastAsia="仿宋"/>
          <w:color w:val="auto"/>
          <w:sz w:val="28"/>
          <w:szCs w:val="28"/>
        </w:rPr>
        <w:t>收入支出决算总表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二、</w:t>
      </w:r>
      <w:r>
        <w:rPr>
          <w:color w:val="auto"/>
        </w:rPr>
        <w:fldChar w:fldCharType="begin"/>
      </w:r>
      <w:r>
        <w:rPr>
          <w:color w:val="auto"/>
        </w:rPr>
        <w:instrText xml:space="preserve"> HYPERLINK \l "_Toc15396620" </w:instrText>
      </w:r>
      <w:r>
        <w:rPr>
          <w:color w:val="auto"/>
        </w:rPr>
        <w:fldChar w:fldCharType="separate"/>
      </w:r>
      <w:r>
        <w:rPr>
          <w:rStyle w:val="17"/>
          <w:rFonts w:hint="eastAsia" w:ascii="仿宋" w:hAnsi="仿宋" w:eastAsia="仿宋"/>
          <w:color w:val="auto"/>
          <w:sz w:val="28"/>
          <w:szCs w:val="28"/>
        </w:rPr>
        <w:t>收入总表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三、</w:t>
      </w:r>
      <w:r>
        <w:rPr>
          <w:color w:val="auto"/>
        </w:rPr>
        <w:fldChar w:fldCharType="begin"/>
      </w:r>
      <w:r>
        <w:rPr>
          <w:color w:val="auto"/>
        </w:rPr>
        <w:instrText xml:space="preserve"> HYPERLINK \l "_Toc15396621" </w:instrText>
      </w:r>
      <w:r>
        <w:rPr>
          <w:color w:val="auto"/>
        </w:rPr>
        <w:fldChar w:fldCharType="separate"/>
      </w:r>
      <w:r>
        <w:rPr>
          <w:rStyle w:val="17"/>
          <w:rFonts w:hint="eastAsia" w:ascii="仿宋" w:hAnsi="仿宋" w:eastAsia="仿宋"/>
          <w:color w:val="auto"/>
          <w:sz w:val="28"/>
          <w:szCs w:val="28"/>
        </w:rPr>
        <w:t>支出总表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四、</w:t>
      </w:r>
      <w:r>
        <w:rPr>
          <w:color w:val="auto"/>
        </w:rPr>
        <w:fldChar w:fldCharType="begin"/>
      </w:r>
      <w:r>
        <w:rPr>
          <w:color w:val="auto"/>
        </w:rPr>
        <w:instrText xml:space="preserve"> HYPERLINK \l "_Toc15396622" </w:instrText>
      </w:r>
      <w:r>
        <w:rPr>
          <w:color w:val="auto"/>
        </w:rPr>
        <w:fldChar w:fldCharType="separate"/>
      </w:r>
      <w:r>
        <w:rPr>
          <w:rStyle w:val="17"/>
          <w:rFonts w:hint="eastAsia" w:ascii="仿宋" w:hAnsi="仿宋" w:eastAsia="仿宋"/>
          <w:color w:val="auto"/>
          <w:sz w:val="28"/>
          <w:szCs w:val="28"/>
        </w:rPr>
        <w:t>财政拨款收入支出决算总表</w:t>
      </w:r>
      <w:r>
        <w:rPr>
          <w:rFonts w:ascii="仿宋" w:hAnsi="仿宋" w:eastAsia="仿宋"/>
          <w:color w:val="auto"/>
          <w:sz w:val="28"/>
          <w:szCs w:val="28"/>
        </w:rPr>
        <w:fldChar w:fldCharType="end"/>
      </w:r>
    </w:p>
    <w:p>
      <w:pPr>
        <w:pStyle w:val="13"/>
        <w:rPr>
          <w:rFonts w:ascii="仿宋" w:hAnsi="仿宋" w:eastAsia="仿宋"/>
          <w:color w:val="auto"/>
          <w:sz w:val="28"/>
          <w:szCs w:val="28"/>
        </w:rPr>
      </w:pPr>
      <w:r>
        <w:rPr>
          <w:rFonts w:hint="eastAsia" w:ascii="仿宋" w:hAnsi="仿宋" w:eastAsia="仿宋"/>
          <w:color w:val="auto"/>
          <w:sz w:val="28"/>
          <w:szCs w:val="28"/>
        </w:rPr>
        <w:t>五、</w:t>
      </w:r>
      <w:r>
        <w:rPr>
          <w:color w:val="auto"/>
        </w:rPr>
        <w:fldChar w:fldCharType="begin"/>
      </w:r>
      <w:r>
        <w:rPr>
          <w:color w:val="auto"/>
        </w:rPr>
        <w:instrText xml:space="preserve"> HYPERLINK \l "_Toc15396623" </w:instrText>
      </w:r>
      <w:r>
        <w:rPr>
          <w:color w:val="auto"/>
        </w:rPr>
        <w:fldChar w:fldCharType="separate"/>
      </w:r>
      <w:r>
        <w:rPr>
          <w:rFonts w:hint="eastAsia" w:ascii="仿宋" w:hAnsi="仿宋" w:eastAsia="仿宋"/>
          <w:color w:val="auto"/>
          <w:sz w:val="28"/>
          <w:szCs w:val="28"/>
        </w:rPr>
        <w:t>财政拨款支出决算明细表（政府经济分类科目）</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六、</w:t>
      </w:r>
      <w:r>
        <w:rPr>
          <w:color w:val="auto"/>
        </w:rPr>
        <w:fldChar w:fldCharType="begin"/>
      </w:r>
      <w:r>
        <w:rPr>
          <w:color w:val="auto"/>
        </w:rPr>
        <w:instrText xml:space="preserve"> HYPERLINK \l "_Toc15396624" </w:instrText>
      </w:r>
      <w:r>
        <w:rPr>
          <w:color w:val="auto"/>
        </w:rPr>
        <w:fldChar w:fldCharType="separate"/>
      </w:r>
      <w:r>
        <w:rPr>
          <w:rStyle w:val="17"/>
          <w:rFonts w:hint="eastAsia" w:ascii="仿宋" w:hAnsi="仿宋" w:eastAsia="仿宋"/>
          <w:color w:val="auto"/>
          <w:sz w:val="28"/>
          <w:szCs w:val="28"/>
        </w:rPr>
        <w:t>一般公共预算财政拨款支出决算表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七、</w:t>
      </w:r>
      <w:r>
        <w:rPr>
          <w:color w:val="auto"/>
        </w:rPr>
        <w:fldChar w:fldCharType="begin"/>
      </w:r>
      <w:r>
        <w:rPr>
          <w:color w:val="auto"/>
        </w:rPr>
        <w:instrText xml:space="preserve"> HYPERLINK \l "_Toc15396625" </w:instrText>
      </w:r>
      <w:r>
        <w:rPr>
          <w:color w:val="auto"/>
        </w:rPr>
        <w:fldChar w:fldCharType="separate"/>
      </w:r>
      <w:r>
        <w:rPr>
          <w:rStyle w:val="17"/>
          <w:rFonts w:hint="eastAsia" w:ascii="仿宋" w:hAnsi="仿宋" w:eastAsia="仿宋"/>
          <w:color w:val="auto"/>
          <w:sz w:val="28"/>
          <w:szCs w:val="28"/>
        </w:rPr>
        <w:t>一般公共预算财政拨款支出决算明细表</w:t>
      </w:r>
      <w:r>
        <w:rPr>
          <w:rFonts w:ascii="仿宋" w:hAnsi="仿宋" w:eastAsia="仿宋"/>
          <w:color w:val="auto"/>
          <w:sz w:val="28"/>
          <w:szCs w:val="28"/>
        </w:rPr>
        <w:fldChar w:fldCharType="end"/>
      </w:r>
    </w:p>
    <w:p>
      <w:pPr>
        <w:pStyle w:val="13"/>
        <w:rPr>
          <w:rFonts w:ascii="仿宋" w:hAnsi="仿宋" w:eastAsia="仿宋" w:cstheme="minorBidi"/>
          <w:color w:val="auto"/>
          <w:sz w:val="36"/>
          <w:szCs w:val="36"/>
        </w:rPr>
      </w:pPr>
      <w:r>
        <w:rPr>
          <w:rFonts w:hint="eastAsia" w:ascii="仿宋" w:hAnsi="仿宋" w:eastAsia="仿宋"/>
          <w:color w:val="auto"/>
          <w:sz w:val="28"/>
          <w:szCs w:val="28"/>
        </w:rPr>
        <w:t>八、</w:t>
      </w:r>
      <w:r>
        <w:rPr>
          <w:color w:val="auto"/>
        </w:rPr>
        <w:fldChar w:fldCharType="begin"/>
      </w:r>
      <w:r>
        <w:rPr>
          <w:color w:val="auto"/>
        </w:rPr>
        <w:instrText xml:space="preserve"> HYPERLINK \l "_Toc15396626" </w:instrText>
      </w:r>
      <w:r>
        <w:rPr>
          <w:color w:val="auto"/>
        </w:rPr>
        <w:fldChar w:fldCharType="separate"/>
      </w:r>
      <w:r>
        <w:rPr>
          <w:rStyle w:val="17"/>
          <w:rFonts w:hint="eastAsia" w:ascii="仿宋" w:hAnsi="仿宋" w:eastAsia="仿宋"/>
          <w:color w:val="auto"/>
          <w:sz w:val="28"/>
          <w:szCs w:val="28"/>
        </w:rPr>
        <w:t>一般公共预算财政拨款基本支出决算表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九、</w:t>
      </w:r>
      <w:r>
        <w:rPr>
          <w:color w:val="auto"/>
        </w:rPr>
        <w:fldChar w:fldCharType="begin"/>
      </w:r>
      <w:r>
        <w:rPr>
          <w:color w:val="auto"/>
        </w:rPr>
        <w:instrText xml:space="preserve"> HYPERLINK \l "_Toc15396627" </w:instrText>
      </w:r>
      <w:r>
        <w:rPr>
          <w:color w:val="auto"/>
        </w:rPr>
        <w:fldChar w:fldCharType="separate"/>
      </w:r>
      <w:r>
        <w:rPr>
          <w:rStyle w:val="17"/>
          <w:rFonts w:hint="eastAsia" w:ascii="仿宋" w:hAnsi="仿宋" w:eastAsia="仿宋"/>
          <w:color w:val="auto"/>
          <w:sz w:val="28"/>
          <w:szCs w:val="28"/>
        </w:rPr>
        <w:t>一般公共预算财政拨款项目支出决算表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十、</w:t>
      </w:r>
      <w:r>
        <w:rPr>
          <w:color w:val="auto"/>
        </w:rPr>
        <w:fldChar w:fldCharType="begin"/>
      </w:r>
      <w:r>
        <w:rPr>
          <w:color w:val="auto"/>
        </w:rPr>
        <w:instrText xml:space="preserve"> HYPERLINK \l "_Toc15396628" </w:instrText>
      </w:r>
      <w:r>
        <w:rPr>
          <w:color w:val="auto"/>
        </w:rPr>
        <w:fldChar w:fldCharType="separate"/>
      </w:r>
      <w:r>
        <w:rPr>
          <w:rStyle w:val="17"/>
          <w:rFonts w:hint="eastAsia" w:ascii="仿宋" w:hAnsi="仿宋" w:eastAsia="仿宋"/>
          <w:color w:val="auto"/>
          <w:sz w:val="28"/>
          <w:szCs w:val="28"/>
        </w:rPr>
        <w:t>一般公共预算财政拨款“三公”经费支出决算表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十一、</w:t>
      </w:r>
      <w:r>
        <w:rPr>
          <w:color w:val="auto"/>
        </w:rPr>
        <w:fldChar w:fldCharType="begin"/>
      </w:r>
      <w:r>
        <w:rPr>
          <w:color w:val="auto"/>
        </w:rPr>
        <w:instrText xml:space="preserve"> HYPERLINK \l "_Toc15396629" </w:instrText>
      </w:r>
      <w:r>
        <w:rPr>
          <w:color w:val="auto"/>
        </w:rPr>
        <w:fldChar w:fldCharType="separate"/>
      </w:r>
      <w:r>
        <w:rPr>
          <w:rStyle w:val="17"/>
          <w:rFonts w:hint="eastAsia" w:ascii="仿宋" w:hAnsi="仿宋" w:eastAsia="仿宋"/>
          <w:color w:val="auto"/>
          <w:sz w:val="28"/>
          <w:szCs w:val="28"/>
        </w:rPr>
        <w:t>政府性基金预算财政拨款收入支出决算表</w:t>
      </w:r>
      <w:r>
        <w:rPr>
          <w:rFonts w:ascii="仿宋" w:hAnsi="仿宋" w:eastAsia="仿宋"/>
          <w:color w:val="auto"/>
          <w:sz w:val="28"/>
          <w:szCs w:val="28"/>
        </w:rPr>
        <w:fldChar w:fldCharType="end"/>
      </w:r>
    </w:p>
    <w:p>
      <w:pPr>
        <w:pStyle w:val="13"/>
        <w:rPr>
          <w:rFonts w:ascii="仿宋" w:hAnsi="仿宋" w:eastAsia="仿宋" w:cstheme="minorBidi"/>
          <w:color w:val="auto"/>
          <w:sz w:val="28"/>
          <w:szCs w:val="28"/>
        </w:rPr>
      </w:pPr>
      <w:r>
        <w:rPr>
          <w:rFonts w:hint="eastAsia" w:ascii="仿宋" w:hAnsi="仿宋" w:eastAsia="仿宋"/>
          <w:color w:val="auto"/>
          <w:sz w:val="28"/>
          <w:szCs w:val="28"/>
        </w:rPr>
        <w:t>十二、</w:t>
      </w:r>
      <w:r>
        <w:rPr>
          <w:color w:val="auto"/>
        </w:rPr>
        <w:fldChar w:fldCharType="begin"/>
      </w:r>
      <w:r>
        <w:rPr>
          <w:color w:val="auto"/>
        </w:rPr>
        <w:instrText xml:space="preserve"> HYPERLINK \l "_Toc15396630" </w:instrText>
      </w:r>
      <w:r>
        <w:rPr>
          <w:color w:val="auto"/>
        </w:rPr>
        <w:fldChar w:fldCharType="separate"/>
      </w:r>
      <w:r>
        <w:rPr>
          <w:rStyle w:val="17"/>
          <w:rFonts w:hint="eastAsia" w:ascii="仿宋" w:hAnsi="仿宋" w:eastAsia="仿宋"/>
          <w:color w:val="auto"/>
          <w:sz w:val="28"/>
          <w:szCs w:val="28"/>
        </w:rPr>
        <w:t>政府性基金预算财政拨款“三公”经费支出决算表</w:t>
      </w:r>
      <w:r>
        <w:rPr>
          <w:rFonts w:ascii="仿宋" w:hAnsi="仿宋" w:eastAsia="仿宋"/>
          <w:color w:val="auto"/>
          <w:sz w:val="28"/>
          <w:szCs w:val="28"/>
        </w:rPr>
        <w:fldChar w:fldCharType="end"/>
      </w:r>
    </w:p>
    <w:p>
      <w:pPr>
        <w:pStyle w:val="13"/>
        <w:rPr>
          <w:rFonts w:ascii="仿宋" w:hAnsi="仿宋" w:eastAsia="仿宋"/>
          <w:color w:val="auto"/>
          <w:sz w:val="28"/>
          <w:szCs w:val="28"/>
        </w:rPr>
      </w:pPr>
      <w:r>
        <w:rPr>
          <w:rFonts w:hint="eastAsia" w:ascii="仿宋" w:hAnsi="仿宋" w:eastAsia="仿宋"/>
          <w:color w:val="auto"/>
          <w:sz w:val="28"/>
          <w:szCs w:val="28"/>
        </w:rPr>
        <w:t>十三、</w:t>
      </w:r>
      <w:r>
        <w:rPr>
          <w:color w:val="auto"/>
        </w:rPr>
        <w:fldChar w:fldCharType="begin"/>
      </w:r>
      <w:r>
        <w:rPr>
          <w:color w:val="auto"/>
        </w:rPr>
        <w:instrText xml:space="preserve"> HYPERLINK \l "_Toc15396631" </w:instrText>
      </w:r>
      <w:r>
        <w:rPr>
          <w:color w:val="auto"/>
        </w:rPr>
        <w:fldChar w:fldCharType="separate"/>
      </w:r>
      <w:r>
        <w:rPr>
          <w:rStyle w:val="17"/>
          <w:rFonts w:hint="eastAsia" w:ascii="仿宋" w:hAnsi="仿宋" w:eastAsia="仿宋"/>
          <w:color w:val="auto"/>
          <w:sz w:val="28"/>
          <w:szCs w:val="28"/>
        </w:rPr>
        <w:t>国有资本经营预算支出决算表</w:t>
      </w:r>
      <w:r>
        <w:rPr>
          <w:rFonts w:ascii="仿宋" w:hAnsi="仿宋" w:eastAsia="仿宋"/>
          <w:color w:val="auto"/>
          <w:sz w:val="28"/>
          <w:szCs w:val="28"/>
        </w:rPr>
        <w:fldChar w:fldCharType="end"/>
      </w:r>
    </w:p>
    <w:p>
      <w:pPr>
        <w:ind w:firstLine="320" w:firstLineChars="100"/>
        <w:rPr>
          <w:rStyle w:val="28"/>
          <w:rFonts w:hint="eastAsia" w:ascii="仿宋" w:hAnsi="仿宋" w:eastAsia="仿宋"/>
          <w:b w:val="0"/>
          <w:bCs w:val="0"/>
          <w:lang w:val="en-US" w:eastAsia="zh-CN"/>
        </w:rPr>
      </w:pPr>
      <w:r>
        <w:rPr>
          <w:rStyle w:val="28"/>
          <w:rFonts w:hint="eastAsia" w:ascii="仿宋" w:hAnsi="仿宋" w:eastAsia="仿宋"/>
          <w:b w:val="0"/>
          <w:bCs w:val="0"/>
          <w:lang w:val="en-US" w:eastAsia="zh-CN"/>
        </w:rPr>
        <w:t>十四、整体支出绩效评价打分表</w:t>
      </w:r>
    </w:p>
    <w:p>
      <w:pPr>
        <w:ind w:firstLine="320" w:firstLineChars="100"/>
        <w:rPr>
          <w:rStyle w:val="28"/>
          <w:rFonts w:hint="eastAsia" w:ascii="仿宋" w:hAnsi="仿宋" w:eastAsia="仿宋"/>
          <w:b w:val="0"/>
          <w:bCs w:val="0"/>
          <w:lang w:val="en-US" w:eastAsia="zh-CN"/>
        </w:rPr>
      </w:pPr>
      <w:r>
        <w:rPr>
          <w:rStyle w:val="28"/>
          <w:rFonts w:hint="eastAsia" w:ascii="仿宋" w:hAnsi="仿宋" w:eastAsia="仿宋"/>
          <w:b w:val="0"/>
          <w:bCs w:val="0"/>
          <w:lang w:val="en-US" w:eastAsia="zh-CN"/>
        </w:rPr>
        <w:t>十五、项目支出绩效评价打分表</w:t>
      </w:r>
    </w:p>
    <w:p/>
    <w:p>
      <w:pPr>
        <w:widowControl/>
        <w:jc w:val="left"/>
        <w:rPr>
          <w:rFonts w:ascii="仿宋" w:hAnsi="仿宋" w:eastAsia="仿宋"/>
          <w:color w:val="auto"/>
          <w:sz w:val="24"/>
        </w:rPr>
      </w:pPr>
      <w:r>
        <w:rPr>
          <w:rFonts w:ascii="仿宋" w:hAnsi="仿宋" w:eastAsia="仿宋"/>
          <w:color w:val="auto"/>
          <w:sz w:val="24"/>
        </w:rPr>
        <w:fldChar w:fldCharType="end"/>
      </w:r>
    </w:p>
    <w:p>
      <w:pPr>
        <w:widowControl/>
        <w:jc w:val="left"/>
        <w:rPr>
          <w:rFonts w:ascii="黑体" w:hAnsi="黑体" w:eastAsia="黑体"/>
          <w:bCs/>
          <w:color w:val="auto"/>
          <w:kern w:val="44"/>
          <w:sz w:val="44"/>
          <w:szCs w:val="44"/>
        </w:rPr>
      </w:pPr>
      <w:bookmarkStart w:id="12" w:name="_Toc15396599"/>
      <w:bookmarkStart w:id="13" w:name="_Toc15377196"/>
      <w:r>
        <w:rPr>
          <w:rFonts w:ascii="黑体" w:hAnsi="黑体" w:eastAsia="黑体"/>
          <w:b/>
          <w:color w:val="auto"/>
        </w:rPr>
        <w:br w:type="page"/>
      </w:r>
    </w:p>
    <w:p>
      <w:pPr>
        <w:pStyle w:val="4"/>
        <w:jc w:val="center"/>
        <w:rPr>
          <w:rStyle w:val="27"/>
          <w:rFonts w:ascii="黑体" w:hAnsi="黑体" w:eastAsia="黑体"/>
          <w:b/>
          <w:bCs w:val="0"/>
          <w:color w:val="auto"/>
        </w:rPr>
      </w:pPr>
      <w:r>
        <w:rPr>
          <w:rFonts w:hint="eastAsia" w:ascii="黑体" w:hAnsi="黑体" w:eastAsia="黑体"/>
          <w:b w:val="0"/>
          <w:color w:val="auto"/>
        </w:rPr>
        <w:t xml:space="preserve">第一部分 </w:t>
      </w:r>
      <w:r>
        <w:rPr>
          <w:rStyle w:val="27"/>
          <w:rFonts w:hint="eastAsia" w:ascii="黑体" w:hAnsi="黑体" w:eastAsia="黑体"/>
          <w:b w:val="0"/>
          <w:bCs w:val="0"/>
          <w:color w:val="auto"/>
        </w:rPr>
        <w:t>部门概况</w:t>
      </w:r>
      <w:bookmarkEnd w:id="12"/>
      <w:bookmarkEnd w:id="13"/>
    </w:p>
    <w:p>
      <w:pPr>
        <w:widowControl/>
        <w:jc w:val="left"/>
        <w:rPr>
          <w:rFonts w:ascii="黑体" w:eastAsia="黑体"/>
          <w:color w:val="auto"/>
          <w:sz w:val="32"/>
          <w:szCs w:val="32"/>
        </w:rPr>
      </w:pPr>
    </w:p>
    <w:p>
      <w:pPr>
        <w:pStyle w:val="5"/>
        <w:rPr>
          <w:rStyle w:val="28"/>
          <w:rFonts w:ascii="仿宋" w:hAnsi="仿宋" w:eastAsia="仿宋"/>
          <w:b w:val="0"/>
          <w:bCs w:val="0"/>
          <w:color w:val="auto"/>
        </w:rPr>
      </w:pPr>
      <w:bookmarkStart w:id="14" w:name="_Toc15396600"/>
      <w:bookmarkStart w:id="15" w:name="_Toc15377197"/>
      <w:r>
        <w:rPr>
          <w:rFonts w:hint="eastAsia" w:ascii="黑体" w:hAnsi="黑体" w:eastAsia="黑体"/>
          <w:b w:val="0"/>
          <w:color w:val="auto"/>
        </w:rPr>
        <w:t>一、基</w:t>
      </w:r>
      <w:r>
        <w:rPr>
          <w:rStyle w:val="28"/>
          <w:rFonts w:hint="eastAsia" w:ascii="黑体" w:hAnsi="黑体" w:eastAsia="黑体"/>
          <w:b w:val="0"/>
          <w:bCs w:val="0"/>
          <w:color w:val="auto"/>
        </w:rPr>
        <w:t>本职能及主要工作</w:t>
      </w:r>
      <w:bookmarkEnd w:id="14"/>
      <w:bookmarkEnd w:id="15"/>
    </w:p>
    <w:p>
      <w:pPr>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b/>
          <w:bCs w:val="0"/>
          <w:color w:val="auto"/>
          <w:sz w:val="32"/>
          <w:szCs w:val="32"/>
        </w:rPr>
      </w:pPr>
      <w:bookmarkStart w:id="16" w:name="_Toc15377198"/>
      <w:bookmarkStart w:id="17" w:name="_Toc15378445"/>
      <w:r>
        <w:rPr>
          <w:rFonts w:hint="eastAsia" w:ascii="仿宋" w:hAnsi="仿宋" w:eastAsia="仿宋"/>
          <w:b/>
          <w:bCs w:val="0"/>
          <w:color w:val="auto"/>
          <w:sz w:val="32"/>
          <w:szCs w:val="32"/>
        </w:rPr>
        <w:t>（一）主要职能。</w:t>
      </w:r>
      <w:bookmarkEnd w:id="16"/>
      <w:bookmarkEnd w:id="17"/>
      <w:bookmarkStart w:id="18" w:name="_Toc15377199"/>
      <w:bookmarkStart w:id="19" w:name="_Toc15378446"/>
    </w:p>
    <w:p>
      <w:pPr>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rPr>
        <w:t>1.负责贯彻全县国土资源管理、矿产资源管理。</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（1）彻执行国家和省州关于土地矿产等国土资源方面的方针、政策和法律、法规;依法负责拟定本县土地、矿产等自然资</w:t>
      </w:r>
    </w:p>
    <w:p>
      <w:pPr>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源管理的规章制度;研究拟定调查、规划、保护和合理利用我县土地和矿产等自然资源的政策;组织贯彻实施土地和矿产等自然资源管理的技术标准、规范和办法.</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研究制定全县国土资源管理事业发展战略;组织编制和实施全县国土规划、土地利用总体规划、其它国土资源专项规划和土地利用年度计划;组织实施矿产资源的调查、评价，编制全县矿产资源保护和合理利用规划、地质勘查规划、地灾灾害防治,和地质遗迹保护规划，对建设项目用地预审。</w:t>
      </w:r>
    </w:p>
    <w:p>
      <w:pPr>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rPr>
        <w:t>2.行政审批事项。</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负责统一管理全县土地和城乡地籍、地政工作;制定并贯彻实施地籍管理办法;组织实施全县土地资源调查、评价分等定价，统计和动态监测工作;依法负责土地确权、登记、发证等工作，并组织土地权属证书的审理工作。</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进行基准地价、标定地价评测;确认地地使用权价格;审批国有土地资源处置方案并组织实施;拟定并按规定组织实施土地使用权出让、租赁、作价出资、转让交易和政府收购、储备办法;按规定组织实施农村“三项”建设管理和农村非农土地使，用权的流转管理。</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（3）管理全县土地测绘工作。负责全县测绘单位的资格审查，测绘工作证件，测绘任务登记管理，归口管理全县地籍测绘，指导测量标志的管理和保护。</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auto"/>
          <w:kern w:val="0"/>
          <w:sz w:val="32"/>
          <w:szCs w:val="24"/>
          <w:lang w:val="zh-CN" w:eastAsia="zh-CN" w:bidi="ar"/>
        </w:rPr>
      </w:pPr>
      <w:r>
        <w:rPr>
          <w:rFonts w:hint="eastAsia" w:ascii="仿宋_GB2312" w:hAnsi="仿宋_GB2312" w:eastAsia="仿宋_GB2312" w:cs="仿宋_GB2312"/>
          <w:color w:val="auto"/>
          <w:sz w:val="32"/>
          <w:szCs w:val="32"/>
        </w:rPr>
        <w:t>（4）承担矿产资源储备管理工作，依法管理江河地质、地勘成果资料，依法保护地质环境，依法管理矿产资源探矿权和采矿权的审批、登记、发证和转让。审核地质环境影响评估报告。</w:t>
      </w:r>
    </w:p>
    <w:p>
      <w:pPr>
        <w:pStyle w:val="7"/>
        <w:adjustRightInd w:val="0"/>
        <w:snapToGrid w:val="0"/>
        <w:spacing w:before="93" w:line="600" w:lineRule="exact"/>
        <w:ind w:firstLine="675" w:firstLineChars="210"/>
        <w:outlineLvl w:val="2"/>
        <w:rPr>
          <w:rFonts w:hint="eastAsia" w:ascii="仿宋" w:hAnsi="仿宋" w:eastAsia="仿宋"/>
          <w:bCs/>
          <w:color w:val="auto"/>
          <w:sz w:val="32"/>
          <w:szCs w:val="32"/>
        </w:rPr>
      </w:pPr>
      <w:r>
        <w:rPr>
          <w:rFonts w:hint="eastAsia" w:ascii="仿宋" w:hAnsi="仿宋" w:eastAsia="仿宋"/>
          <w:b/>
          <w:bCs w:val="0"/>
          <w:color w:val="auto"/>
          <w:sz w:val="32"/>
          <w:szCs w:val="32"/>
        </w:rPr>
        <w:t>（二）</w:t>
      </w:r>
      <w:r>
        <w:rPr>
          <w:rFonts w:ascii="仿宋" w:hAnsi="仿宋" w:eastAsia="仿宋"/>
          <w:b/>
          <w:bCs w:val="0"/>
          <w:color w:val="auto"/>
          <w:sz w:val="32"/>
          <w:szCs w:val="32"/>
        </w:rPr>
        <w:t>201</w:t>
      </w:r>
      <w:r>
        <w:rPr>
          <w:rFonts w:hint="eastAsia" w:ascii="仿宋" w:hAnsi="仿宋" w:eastAsia="仿宋"/>
          <w:b/>
          <w:bCs w:val="0"/>
          <w:color w:val="auto"/>
          <w:sz w:val="32"/>
          <w:szCs w:val="32"/>
        </w:rPr>
        <w:t>8年重点工作完成情况。</w:t>
      </w:r>
      <w:bookmarkEnd w:id="18"/>
      <w:bookmarkEnd w:id="19"/>
    </w:p>
    <w:p>
      <w:pPr>
        <w:keepNext w:val="0"/>
        <w:keepLines w:val="0"/>
        <w:pageBreakBefore w:val="0"/>
        <w:kinsoku/>
        <w:wordWrap/>
        <w:overflowPunct/>
        <w:topLinePunct w:val="0"/>
        <w:autoSpaceDE/>
        <w:autoSpaceDN/>
        <w:bidi w:val="0"/>
        <w:adjustRightInd/>
        <w:snapToGrid/>
        <w:spacing w:line="500" w:lineRule="exact"/>
        <w:ind w:firstLine="643" w:firstLineChars="200"/>
        <w:textAlignment w:val="auto"/>
        <w:rPr>
          <w:rFonts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lang w:val="en-US" w:eastAsia="zh-CN"/>
        </w:rPr>
        <w:t>1.</w:t>
      </w:r>
      <w:r>
        <w:rPr>
          <w:rFonts w:hint="eastAsia" w:ascii="仿宋_GB2312" w:hAnsi="仿宋_GB2312" w:eastAsia="仿宋_GB2312" w:cs="仿宋_GB2312"/>
          <w:b/>
          <w:color w:val="auto"/>
          <w:sz w:val="32"/>
          <w:szCs w:val="32"/>
        </w:rPr>
        <w:t>确保用地保障</w:t>
      </w:r>
      <w:r>
        <w:rPr>
          <w:rFonts w:ascii="仿宋_GB2312" w:hAnsi="仿宋_GB2312" w:eastAsia="仿宋_GB2312" w:cs="仿宋_GB2312"/>
          <w:b/>
          <w:color w:val="auto"/>
          <w:sz w:val="32"/>
          <w:szCs w:val="32"/>
        </w:rPr>
        <w:t xml:space="preserve">  </w:t>
      </w:r>
    </w:p>
    <w:p>
      <w:pPr>
        <w:keepNext w:val="0"/>
        <w:keepLines w:val="0"/>
        <w:pageBreakBefore w:val="0"/>
        <w:kinsoku/>
        <w:wordWrap/>
        <w:overflowPunct/>
        <w:topLinePunct w:val="0"/>
        <w:autoSpaceDE/>
        <w:autoSpaceDN/>
        <w:bidi w:val="0"/>
        <w:adjustRightInd/>
        <w:spacing w:line="500" w:lineRule="exact"/>
        <w:ind w:firstLine="643" w:firstLineChars="200"/>
        <w:textAlignment w:val="auto"/>
        <w:rPr>
          <w:rFonts w:ascii="仿宋_GB2312" w:hAnsi="仿宋_GB2312" w:eastAsia="仿宋_GB2312" w:cs="仿宋_GB2312"/>
          <w:color w:val="auto"/>
          <w:sz w:val="32"/>
          <w:szCs w:val="32"/>
        </w:rPr>
      </w:pPr>
      <w:r>
        <w:rPr>
          <w:rFonts w:hint="eastAsia" w:ascii="仿宋_GB2312" w:eastAsia="仿宋_GB2312"/>
          <w:b/>
          <w:color w:val="auto"/>
          <w:sz w:val="32"/>
          <w:szCs w:val="32"/>
        </w:rPr>
        <w:t>一是</w:t>
      </w:r>
      <w:r>
        <w:rPr>
          <w:rFonts w:hint="eastAsia" w:ascii="仿宋_GB2312" w:eastAsia="仿宋_GB2312"/>
          <w:color w:val="auto"/>
          <w:sz w:val="32"/>
          <w:szCs w:val="32"/>
        </w:rPr>
        <w:t>全年共完成四宗用地招拍挂</w:t>
      </w:r>
      <w:r>
        <w:rPr>
          <w:rFonts w:hint="eastAsia" w:ascii="仿宋_GB2312" w:eastAsia="仿宋_GB2312"/>
          <w:color w:val="auto"/>
          <w:sz w:val="32"/>
          <w:szCs w:val="32"/>
          <w:lang w:eastAsia="zh-CN"/>
        </w:rPr>
        <w:t>出让工作</w:t>
      </w:r>
      <w:r>
        <w:rPr>
          <w:rFonts w:hint="eastAsia" w:ascii="仿宋_GB2312" w:eastAsia="仿宋_GB2312"/>
          <w:color w:val="auto"/>
          <w:sz w:val="32"/>
          <w:szCs w:val="32"/>
        </w:rPr>
        <w:t>，红原县福运汽车检测有限公司商业用地面积为6</w:t>
      </w:r>
      <w:r>
        <w:rPr>
          <w:rFonts w:ascii="仿宋_GB2312" w:eastAsia="仿宋_GB2312"/>
          <w:color w:val="auto"/>
          <w:sz w:val="32"/>
          <w:szCs w:val="32"/>
        </w:rPr>
        <w:t>0</w:t>
      </w:r>
      <w:r>
        <w:rPr>
          <w:rFonts w:hint="eastAsia" w:ascii="仿宋_GB2312" w:eastAsia="仿宋_GB2312"/>
          <w:color w:val="auto"/>
          <w:sz w:val="32"/>
          <w:szCs w:val="32"/>
        </w:rPr>
        <w:t>亩，成交价为880万元</w:t>
      </w:r>
      <w:r>
        <w:rPr>
          <w:rFonts w:hint="eastAsia" w:ascii="仿宋_GB2312" w:eastAsia="仿宋_GB2312"/>
          <w:color w:val="auto"/>
          <w:sz w:val="32"/>
          <w:szCs w:val="32"/>
          <w:lang w:eastAsia="zh-CN"/>
        </w:rPr>
        <w:t>；</w:t>
      </w:r>
      <w:r>
        <w:rPr>
          <w:rFonts w:hint="eastAsia" w:ascii="仿宋_GB2312" w:eastAsia="仿宋_GB2312"/>
          <w:color w:val="auto"/>
          <w:sz w:val="32"/>
          <w:szCs w:val="32"/>
        </w:rPr>
        <w:t>红原县芭拉哈旅游开发有限公司商业用地面积为40亩，成交价为640万元</w:t>
      </w:r>
      <w:r>
        <w:rPr>
          <w:rFonts w:hint="eastAsia" w:ascii="仿宋_GB2312" w:eastAsia="仿宋_GB2312"/>
          <w:color w:val="auto"/>
          <w:sz w:val="32"/>
          <w:szCs w:val="32"/>
          <w:lang w:eastAsia="zh-CN"/>
        </w:rPr>
        <w:t>；</w:t>
      </w:r>
      <w:r>
        <w:rPr>
          <w:rFonts w:hint="eastAsia" w:ascii="仿宋_GB2312" w:eastAsia="仿宋_GB2312"/>
          <w:color w:val="auto"/>
          <w:sz w:val="32"/>
          <w:szCs w:val="32"/>
        </w:rPr>
        <w:t>红原县秘境游牧文化旅游发展有限责任公司商业用地面积为15亩，成交价为250万元</w:t>
      </w:r>
      <w:r>
        <w:rPr>
          <w:rFonts w:hint="eastAsia" w:ascii="仿宋_GB2312" w:eastAsia="仿宋_GB2312"/>
          <w:color w:val="auto"/>
          <w:sz w:val="32"/>
          <w:szCs w:val="32"/>
          <w:lang w:eastAsia="zh-CN"/>
        </w:rPr>
        <w:t>；</w:t>
      </w:r>
      <w:r>
        <w:rPr>
          <w:rFonts w:hint="eastAsia" w:ascii="仿宋_GB2312" w:eastAsia="仿宋_GB2312"/>
          <w:color w:val="auto"/>
          <w:sz w:val="32"/>
          <w:szCs w:val="32"/>
        </w:rPr>
        <w:t>红原县俄么塘花海旅游开发有限责任公司商业用地面积为170.83亩，成交价为979.42万元</w:t>
      </w:r>
      <w:r>
        <w:rPr>
          <w:rFonts w:hint="eastAsia" w:ascii="仿宋_GB2312" w:eastAsia="仿宋_GB2312"/>
          <w:color w:val="auto"/>
          <w:sz w:val="32"/>
          <w:szCs w:val="32"/>
          <w:lang w:eastAsia="zh-CN"/>
        </w:rPr>
        <w:t>；</w:t>
      </w:r>
      <w:r>
        <w:rPr>
          <w:rFonts w:hint="eastAsia" w:ascii="仿宋_GB2312" w:hAnsi="仿宋_GB2312" w:eastAsia="仿宋_GB2312" w:cs="仿宋_GB2312"/>
          <w:b/>
          <w:bCs w:val="0"/>
          <w:color w:val="auto"/>
          <w:sz w:val="32"/>
          <w:szCs w:val="32"/>
          <w:lang w:eastAsia="zh-CN"/>
        </w:rPr>
        <w:t>二</w:t>
      </w:r>
      <w:r>
        <w:rPr>
          <w:rFonts w:hint="eastAsia" w:ascii="仿宋_GB2312" w:hAnsi="仿宋_GB2312" w:eastAsia="仿宋_GB2312" w:cs="仿宋_GB2312"/>
          <w:b/>
          <w:bCs w:val="0"/>
          <w:color w:val="auto"/>
          <w:sz w:val="32"/>
          <w:szCs w:val="32"/>
        </w:rPr>
        <w:t>是</w:t>
      </w:r>
      <w:r>
        <w:rPr>
          <w:rFonts w:hint="eastAsia" w:ascii="仿宋_GB2312" w:hAnsi="仿宋_GB2312" w:eastAsia="仿宋_GB2312" w:cs="仿宋_GB2312"/>
          <w:color w:val="auto"/>
          <w:sz w:val="32"/>
          <w:szCs w:val="32"/>
        </w:rPr>
        <w:t>为四川省龙日种畜场提供划拨用地34亩；为国安局提供划拨用地5亩；为森林公安局提供划拨用地5.05亩；为红原县公安局提供划拨用地4.95亩；</w:t>
      </w:r>
      <w:r>
        <w:rPr>
          <w:rFonts w:hint="eastAsia" w:ascii="仿宋_GB2312" w:hAnsi="仿宋_GB2312" w:eastAsia="仿宋_GB2312" w:cs="仿宋_GB2312"/>
          <w:b/>
          <w:color w:val="auto"/>
          <w:sz w:val="32"/>
          <w:szCs w:val="32"/>
          <w:lang w:eastAsia="zh-CN"/>
        </w:rPr>
        <w:t>三</w:t>
      </w:r>
      <w:r>
        <w:rPr>
          <w:rFonts w:hint="eastAsia" w:ascii="仿宋_GB2312" w:hAnsi="仿宋_GB2312" w:eastAsia="仿宋_GB2312" w:cs="仿宋_GB2312"/>
          <w:b/>
          <w:color w:val="auto"/>
          <w:sz w:val="32"/>
          <w:szCs w:val="32"/>
        </w:rPr>
        <w:t>是</w:t>
      </w:r>
      <w:r>
        <w:rPr>
          <w:rFonts w:hint="eastAsia" w:ascii="仿宋_GB2312" w:hAnsi="仿宋_GB2312" w:eastAsia="仿宋_GB2312" w:cs="仿宋_GB2312"/>
          <w:color w:val="auto"/>
          <w:sz w:val="32"/>
          <w:szCs w:val="32"/>
        </w:rPr>
        <w:t>我局对全县的闲置土地进行了全面的清理工作，并对土地使用权人发出了闲置土地处置的函。</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rPr>
        <w:t>全面</w:t>
      </w:r>
      <w:r>
        <w:rPr>
          <w:rFonts w:hint="eastAsia" w:ascii="仿宋_GB2312" w:hAnsi="仿宋_GB2312" w:eastAsia="仿宋_GB2312" w:cs="仿宋_GB2312"/>
          <w:b/>
          <w:bCs/>
          <w:color w:val="auto"/>
          <w:sz w:val="32"/>
          <w:szCs w:val="32"/>
          <w:lang w:eastAsia="zh-CN"/>
        </w:rPr>
        <w:t>完成</w:t>
      </w:r>
      <w:r>
        <w:rPr>
          <w:rFonts w:hint="eastAsia" w:ascii="仿宋_GB2312" w:hAnsi="仿宋_GB2312" w:eastAsia="仿宋_GB2312" w:cs="仿宋_GB2312"/>
          <w:b/>
          <w:bCs/>
          <w:color w:val="auto"/>
          <w:sz w:val="32"/>
          <w:szCs w:val="32"/>
        </w:rPr>
        <w:t>村集体不动产测绘工作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eastAsia="仿宋_GB2312" w:cs="仿宋"/>
          <w:color w:val="auto"/>
          <w:sz w:val="32"/>
          <w:szCs w:val="32"/>
          <w:lang w:bidi="ar-SA"/>
        </w:rPr>
        <w:t>为高效优质推进我县村集体经济改革发展工作，全面开展村集体资产清理，依据乡村确认的村集体资产数据</w:t>
      </w:r>
      <w:r>
        <w:rPr>
          <w:rFonts w:hint="eastAsia" w:ascii="仿宋_GB2312" w:eastAsia="仿宋_GB2312" w:cs="仿宋"/>
          <w:color w:val="auto"/>
          <w:sz w:val="32"/>
          <w:szCs w:val="32"/>
          <w:lang w:eastAsia="zh-CN" w:bidi="ar-SA"/>
        </w:rPr>
        <w:t>，</w:t>
      </w:r>
      <w:r>
        <w:rPr>
          <w:rFonts w:hint="eastAsia" w:ascii="仿宋_GB2312" w:eastAsia="仿宋_GB2312" w:cs="仿宋"/>
          <w:color w:val="auto"/>
          <w:sz w:val="32"/>
          <w:szCs w:val="32"/>
          <w:lang w:bidi="ar-SA"/>
        </w:rPr>
        <w:t>我局</w:t>
      </w:r>
      <w:r>
        <w:rPr>
          <w:rFonts w:hint="eastAsia" w:ascii="仿宋_GB2312" w:eastAsia="仿宋_GB2312" w:cs="仿宋"/>
          <w:color w:val="auto"/>
          <w:sz w:val="32"/>
          <w:szCs w:val="32"/>
          <w:lang w:eastAsia="zh-CN" w:bidi="ar-SA"/>
        </w:rPr>
        <w:t>安排</w:t>
      </w:r>
      <w:r>
        <w:rPr>
          <w:rFonts w:hint="eastAsia" w:ascii="仿宋_GB2312" w:eastAsia="仿宋_GB2312" w:cs="仿宋"/>
          <w:color w:val="auto"/>
          <w:sz w:val="32"/>
          <w:szCs w:val="32"/>
          <w:lang w:bidi="ar-SA"/>
        </w:rPr>
        <w:t>测绘公司</w:t>
      </w:r>
      <w:r>
        <w:rPr>
          <w:rFonts w:hint="eastAsia" w:ascii="仿宋_GB2312" w:eastAsia="仿宋_GB2312" w:cs="仿宋"/>
          <w:color w:val="auto"/>
          <w:sz w:val="32"/>
          <w:szCs w:val="32"/>
          <w:lang w:eastAsia="zh-CN" w:bidi="ar-SA"/>
        </w:rPr>
        <w:t>开展</w:t>
      </w:r>
      <w:r>
        <w:rPr>
          <w:rFonts w:hint="eastAsia" w:ascii="仿宋_GB2312" w:eastAsia="仿宋_GB2312" w:cs="仿宋"/>
          <w:color w:val="auto"/>
          <w:sz w:val="32"/>
          <w:szCs w:val="32"/>
          <w:lang w:bidi="ar-SA"/>
        </w:rPr>
        <w:t>全县村集体不动产测绘</w:t>
      </w:r>
      <w:r>
        <w:rPr>
          <w:rFonts w:hint="eastAsia" w:ascii="仿宋_GB2312" w:eastAsia="仿宋_GB2312" w:cs="仿宋"/>
          <w:color w:val="auto"/>
          <w:sz w:val="32"/>
          <w:szCs w:val="32"/>
          <w:lang w:eastAsia="zh-CN" w:bidi="ar-SA"/>
        </w:rPr>
        <w:t>工作</w:t>
      </w:r>
      <w:r>
        <w:rPr>
          <w:rFonts w:hint="eastAsia" w:ascii="仿宋_GB2312" w:eastAsia="仿宋_GB2312" w:cs="仿宋"/>
          <w:color w:val="auto"/>
          <w:sz w:val="32"/>
          <w:szCs w:val="32"/>
          <w:lang w:bidi="ar-SA"/>
        </w:rPr>
        <w:t>。</w:t>
      </w:r>
      <w:r>
        <w:rPr>
          <w:rFonts w:hint="eastAsia" w:ascii="仿宋_GB2312" w:eastAsia="仿宋_GB2312" w:cs="仿宋"/>
          <w:color w:val="auto"/>
          <w:sz w:val="32"/>
          <w:szCs w:val="32"/>
          <w:lang w:eastAsia="zh-CN" w:bidi="ar-SA"/>
        </w:rPr>
        <w:t>现已</w:t>
      </w:r>
      <w:r>
        <w:rPr>
          <w:rFonts w:hint="eastAsia" w:ascii="仿宋_GB2312" w:eastAsia="仿宋_GB2312" w:cs="仿宋"/>
          <w:color w:val="auto"/>
          <w:sz w:val="32"/>
          <w:szCs w:val="32"/>
          <w:lang w:bidi="ar-SA"/>
        </w:rPr>
        <w:t>最终完成11个乡镇35个村的测绘工作，共</w:t>
      </w:r>
      <w:r>
        <w:rPr>
          <w:rFonts w:hint="eastAsia" w:ascii="仿宋_GB2312" w:eastAsia="仿宋_GB2312" w:cs="仿宋"/>
          <w:color w:val="auto"/>
          <w:sz w:val="32"/>
          <w:szCs w:val="32"/>
          <w:lang w:eastAsia="zh-CN" w:bidi="ar-SA"/>
        </w:rPr>
        <w:t>涉及村集体不动产</w:t>
      </w:r>
      <w:r>
        <w:rPr>
          <w:rFonts w:hint="eastAsia" w:ascii="仿宋_GB2312" w:eastAsia="仿宋_GB2312" w:cs="仿宋"/>
          <w:color w:val="auto"/>
          <w:sz w:val="32"/>
          <w:szCs w:val="32"/>
          <w:lang w:bidi="ar-SA"/>
        </w:rPr>
        <w:t>85宗</w:t>
      </w:r>
      <w:r>
        <w:rPr>
          <w:rFonts w:hint="eastAsia" w:ascii="仿宋_GB2312" w:eastAsia="仿宋_GB2312" w:cs="仿宋"/>
          <w:color w:val="auto"/>
          <w:sz w:val="32"/>
          <w:szCs w:val="32"/>
          <w:lang w:eastAsia="zh-CN" w:bidi="ar-SA"/>
        </w:rPr>
        <w:t>，土地面积共</w:t>
      </w:r>
      <w:r>
        <w:rPr>
          <w:rFonts w:hint="eastAsia" w:ascii="仿宋_GB2312" w:eastAsia="仿宋_GB2312" w:cs="仿宋"/>
          <w:color w:val="auto"/>
          <w:sz w:val="32"/>
          <w:szCs w:val="32"/>
          <w:lang w:val="en-US" w:eastAsia="zh-CN" w:bidi="ar-SA"/>
        </w:rPr>
        <w:t>209372.45平方米，房屋面积共40329.19平方米，为村集体经济改革发展打下了坚实的基础。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3.整合数据，完成不动产登记存量数据入库</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color w:val="auto"/>
          <w:sz w:val="32"/>
          <w:szCs w:val="32"/>
          <w:lang w:eastAsia="zh-CN"/>
        </w:rPr>
        <w:t>完成不动产登记存量数据入库，宗地数量共计</w:t>
      </w:r>
      <w:r>
        <w:rPr>
          <w:rFonts w:hint="eastAsia" w:ascii="仿宋_GB2312" w:hAnsi="仿宋_GB2312" w:eastAsia="仿宋_GB2312" w:cs="仿宋_GB2312"/>
          <w:color w:val="auto"/>
          <w:sz w:val="32"/>
          <w:szCs w:val="32"/>
          <w:lang w:val="en-US" w:eastAsia="zh-CN"/>
        </w:rPr>
        <w:t>5189宗，房地产数量共计6119幢，户信息6119条。</w:t>
      </w:r>
      <w:r>
        <w:rPr>
          <w:rFonts w:hint="eastAsia" w:ascii="仿宋_GB2312" w:hAnsi="仿宋_GB2312" w:eastAsia="仿宋_GB2312" w:cs="仿宋_GB2312"/>
          <w:color w:val="auto"/>
          <w:sz w:val="32"/>
          <w:szCs w:val="32"/>
          <w:lang w:eastAsia="zh-CN"/>
        </w:rPr>
        <w:t>目前</w:t>
      </w:r>
      <w:r>
        <w:rPr>
          <w:rFonts w:hint="eastAsia" w:ascii="仿宋_GB2312" w:hAnsi="仿宋_GB2312" w:eastAsia="仿宋_GB2312" w:cs="仿宋_GB2312"/>
          <w:color w:val="auto"/>
          <w:sz w:val="32"/>
          <w:szCs w:val="32"/>
          <w:shd w:val="clear" w:color="auto" w:fill="auto"/>
          <w:lang w:eastAsia="zh-CN"/>
        </w:rPr>
        <w:t>信息平台运行正常，</w:t>
      </w:r>
      <w:r>
        <w:rPr>
          <w:rFonts w:hint="eastAsia" w:ascii="仿宋_GB2312" w:hAnsi="仿宋_GB2312" w:eastAsia="仿宋_GB2312" w:cs="仿宋_GB2312"/>
          <w:color w:val="auto"/>
          <w:kern w:val="0"/>
          <w:sz w:val="32"/>
          <w:szCs w:val="32"/>
        </w:rPr>
        <w:t>工作开展顺利，人员稳定，群众满意</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eastAsia="zh-CN"/>
        </w:rPr>
        <w:t>目前为止，</w:t>
      </w:r>
      <w:r>
        <w:rPr>
          <w:rFonts w:hint="eastAsia" w:ascii="仿宋_GB2312" w:hAnsi="仿宋_GB2312" w:eastAsia="仿宋_GB2312" w:cs="仿宋_GB2312"/>
          <w:color w:val="auto"/>
          <w:kern w:val="0"/>
          <w:sz w:val="32"/>
          <w:szCs w:val="32"/>
        </w:rPr>
        <w:t>共颁发不动产登记证</w:t>
      </w:r>
      <w:r>
        <w:rPr>
          <w:rFonts w:hint="eastAsia" w:ascii="仿宋_GB2312" w:hAnsi="仿宋_GB2312" w:eastAsia="仿宋_GB2312" w:cs="仿宋_GB2312"/>
          <w:color w:val="auto"/>
          <w:kern w:val="0"/>
          <w:sz w:val="32"/>
          <w:szCs w:val="32"/>
          <w:lang w:val="en-US" w:eastAsia="zh-CN"/>
        </w:rPr>
        <w:t xml:space="preserve"> 1176</w:t>
      </w:r>
      <w:r>
        <w:rPr>
          <w:rFonts w:hint="eastAsia" w:ascii="仿宋_GB2312" w:hAnsi="仿宋_GB2312" w:eastAsia="仿宋_GB2312" w:cs="仿宋_GB2312"/>
          <w:color w:val="auto"/>
          <w:kern w:val="0"/>
          <w:sz w:val="32"/>
          <w:szCs w:val="32"/>
        </w:rPr>
        <w:t>本，出具不动登记权利证明</w:t>
      </w:r>
      <w:r>
        <w:rPr>
          <w:rFonts w:hint="eastAsia" w:ascii="仿宋_GB2312" w:hAnsi="仿宋_GB2312" w:eastAsia="仿宋_GB2312" w:cs="仿宋_GB2312"/>
          <w:color w:val="auto"/>
          <w:kern w:val="0"/>
          <w:sz w:val="32"/>
          <w:szCs w:val="32"/>
          <w:lang w:val="en-US" w:eastAsia="zh-CN"/>
        </w:rPr>
        <w:t>483</w:t>
      </w:r>
      <w:r>
        <w:rPr>
          <w:rFonts w:hint="eastAsia" w:ascii="仿宋_GB2312" w:hAnsi="仿宋_GB2312" w:eastAsia="仿宋_GB2312" w:cs="仿宋_GB2312"/>
          <w:color w:val="auto"/>
          <w:kern w:val="0"/>
          <w:sz w:val="32"/>
          <w:szCs w:val="32"/>
        </w:rPr>
        <w:t>份</w:t>
      </w:r>
      <w:r>
        <w:rPr>
          <w:rFonts w:hint="eastAsia" w:ascii="仿宋_GB2312" w:hAnsi="仿宋_GB2312" w:eastAsia="仿宋_GB2312" w:cs="仿宋_GB2312"/>
          <w:color w:val="auto"/>
          <w:kern w:val="0"/>
          <w:sz w:val="32"/>
          <w:szCs w:val="32"/>
          <w:lang w:eastAsia="zh-CN"/>
        </w:rPr>
        <w:t>。同时</w:t>
      </w:r>
      <w:r>
        <w:rPr>
          <w:rFonts w:hint="eastAsia" w:ascii="仿宋_GB2312" w:hAnsi="仿宋_GB2312" w:eastAsia="仿宋_GB2312" w:cs="仿宋_GB2312"/>
          <w:color w:val="auto"/>
          <w:sz w:val="32"/>
          <w:szCs w:val="32"/>
          <w:lang w:eastAsia="zh-CN"/>
        </w:rPr>
        <w:t>形成了专有的内网进行不动产登记系统操作，</w:t>
      </w:r>
      <w:r>
        <w:rPr>
          <w:rFonts w:hint="eastAsia" w:ascii="仿宋_GB2312" w:hAnsi="仿宋_GB2312" w:eastAsia="仿宋_GB2312" w:cs="仿宋_GB2312"/>
          <w:color w:val="auto"/>
          <w:sz w:val="32"/>
          <w:szCs w:val="32"/>
        </w:rPr>
        <w:t>与州不动产登记局和四川国土资源厅不动产信息中心完成网络对接并实时上报。</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right="0" w:rightChars="0" w:firstLine="643"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积极推进防震减灾工作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20"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color w:val="auto"/>
          <w:lang w:val="en-US" w:eastAsia="zh-CN"/>
        </w:rPr>
        <w:t xml:space="preserve">  </w:t>
      </w:r>
      <w:r>
        <w:rPr>
          <w:rFonts w:hint="eastAsia" w:ascii="仿宋_GB2312" w:hAnsi="仿宋_GB2312" w:eastAsia="仿宋_GB2312" w:cs="仿宋_GB2312"/>
          <w:b w:val="0"/>
          <w:bCs w:val="0"/>
          <w:color w:val="auto"/>
          <w:sz w:val="32"/>
          <w:szCs w:val="32"/>
          <w:lang w:val="en-US" w:eastAsia="zh-CN"/>
        </w:rPr>
        <w:t>我局认真落实《阿坝州人民政府办公室关于印发《阿坝州建设工程抗震设防备案制度》的通知 》规定，全面推进一般工业与民用建设工程、人员密集场所建设工程、重大建设工程抗震设防管理，严格执行建设工程抗震设防要求备案审查制度，确保新建、改建、扩建工程达到抗震设防要求。我局在5.12防震减灾日开展了以“增强防震意识、提高减灾能力”为主题的宣传活动，设立宣传点、制作宣传横幅、发放宣传画报手册对防震减灾应对措施及应对突发事件的基本预防、避险、自救、互救的预防技能记性了广泛宣传，发放宣传手册、画报1200余份，有效提高了群众防灾应对能力。</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3" w:firstLineChars="200"/>
        <w:jc w:val="left"/>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5.</w:t>
      </w:r>
      <w:r>
        <w:rPr>
          <w:rFonts w:hint="eastAsia" w:ascii="仿宋_GB2312" w:hAnsi="仿宋_GB2312" w:eastAsia="仿宋_GB2312" w:cs="仿宋_GB2312"/>
          <w:b/>
          <w:bCs/>
          <w:color w:val="auto"/>
          <w:sz w:val="32"/>
          <w:szCs w:val="32"/>
        </w:rPr>
        <w:t>扎实开展违法用地清理工作</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加强了对县域内乱搭乱建乱占专项整治工作</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firstLineChars="200"/>
        <w:jc w:val="left"/>
        <w:textAlignment w:val="auto"/>
        <w:outlineLvl w:val="9"/>
        <w:rPr>
          <w:rFonts w:hint="eastAsia" w:ascii="仿宋" w:hAnsi="仿宋" w:eastAsia="仿宋"/>
          <w:bCs/>
          <w:color w:val="auto"/>
          <w:sz w:val="32"/>
          <w:szCs w:val="32"/>
        </w:rPr>
      </w:pPr>
      <w:r>
        <w:rPr>
          <w:rFonts w:hint="eastAsia" w:ascii="仿宋_GB2312" w:eastAsia="仿宋_GB2312"/>
          <w:color w:val="auto"/>
          <w:sz w:val="32"/>
          <w:szCs w:val="32"/>
        </w:rPr>
        <w:t>积极开展土地执法检查动态巡查，全面完成违法用地清理整顿工作，主要排查新建、在建项目是否存在未报即用、未供即用、未批先用等违法行为。通过巡查，我县在2018年期间，共巡查发现7宗违法用地，违法占地面积5898.6平方米，对巡查中发现的违法用地，我局责令停止违法建设，退还非法占用的土地。为有效扼制城区违法用地、乱搭乱建行为，维护城市规划建设管理秩序，我局在县委县政府的带领下，会同有关部门于2018年7月在我县周边及县城规划区内开展了拆违专项整治行动。此次专项整治共计拆除违建铁丝围栏1000余米；拆除违建彩钢棚18起，共计560㎡；拆除违建柴火棚7起，共计240㎡，拆除违建围墙20起，共计200余米。同时为进一步加强国土资源管理工作，从源头制止乱搭乱建违法行为，保护广大人民群众的根本利益，</w:t>
      </w:r>
      <w:r>
        <w:rPr>
          <w:rFonts w:hint="eastAsia" w:ascii="仿宋_GB2312" w:eastAsia="仿宋_GB2312"/>
          <w:color w:val="auto"/>
          <w:sz w:val="32"/>
          <w:szCs w:val="32"/>
          <w:lang w:eastAsia="zh-CN"/>
        </w:rPr>
        <w:t>县人民政府印</w:t>
      </w:r>
      <w:r>
        <w:rPr>
          <w:rFonts w:hint="eastAsia" w:ascii="仿宋_GB2312" w:eastAsia="仿宋_GB2312"/>
          <w:color w:val="auto"/>
          <w:sz w:val="32"/>
          <w:szCs w:val="32"/>
        </w:rPr>
        <w:t>发了《红原县人民政府关于在全县范围内规范整治违法占地乱搭乱建行为的通告》。</w:t>
      </w:r>
    </w:p>
    <w:p>
      <w:pPr>
        <w:pStyle w:val="5"/>
        <w:rPr>
          <w:rStyle w:val="28"/>
          <w:b w:val="0"/>
          <w:bCs w:val="0"/>
          <w:color w:val="auto"/>
        </w:rPr>
      </w:pPr>
      <w:bookmarkStart w:id="20" w:name="_Toc15377200"/>
      <w:bookmarkStart w:id="21" w:name="_Toc15396601"/>
      <w:r>
        <w:rPr>
          <w:rFonts w:hint="eastAsia" w:ascii="黑体" w:eastAsia="黑体"/>
          <w:b w:val="0"/>
          <w:color w:val="auto"/>
        </w:rPr>
        <w:t>二、</w:t>
      </w:r>
      <w:r>
        <w:rPr>
          <w:rFonts w:hint="eastAsia" w:ascii="黑体" w:hAnsi="黑体" w:eastAsia="黑体"/>
          <w:b w:val="0"/>
          <w:color w:val="auto"/>
        </w:rPr>
        <w:t>机</w:t>
      </w:r>
      <w:r>
        <w:rPr>
          <w:rStyle w:val="28"/>
          <w:rFonts w:hint="eastAsia" w:ascii="黑体" w:hAnsi="黑体" w:eastAsia="黑体"/>
          <w:b w:val="0"/>
          <w:bCs w:val="0"/>
          <w:color w:val="auto"/>
        </w:rPr>
        <w:t>构设置</w:t>
      </w:r>
      <w:bookmarkEnd w:id="20"/>
      <w:bookmarkEnd w:id="21"/>
    </w:p>
    <w:p>
      <w:pPr>
        <w:ind w:firstLine="800" w:firstLineChars="250"/>
        <w:rPr>
          <w:rFonts w:ascii="仿宋" w:hAnsi="仿宋" w:eastAsia="仿宋"/>
          <w:color w:val="auto"/>
          <w:kern w:val="0"/>
          <w:sz w:val="32"/>
          <w:szCs w:val="32"/>
        </w:rPr>
      </w:pPr>
      <w:r>
        <w:rPr>
          <w:rFonts w:hint="eastAsia" w:ascii="仿宋" w:hAnsi="仿宋" w:eastAsia="仿宋"/>
          <w:color w:val="auto"/>
          <w:sz w:val="32"/>
          <w:szCs w:val="32"/>
          <w:lang w:eastAsia="zh-CN"/>
        </w:rPr>
        <w:t>红原县国土资源局</w:t>
      </w:r>
      <w:r>
        <w:rPr>
          <w:rFonts w:hint="eastAsia" w:ascii="仿宋" w:hAnsi="仿宋" w:eastAsia="仿宋"/>
          <w:color w:val="auto"/>
          <w:sz w:val="32"/>
          <w:szCs w:val="32"/>
        </w:rPr>
        <w:t>下属二级单位</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个，其中</w:t>
      </w:r>
      <w:r>
        <w:rPr>
          <w:rFonts w:hint="eastAsia" w:ascii="仿宋" w:hAnsi="仿宋" w:eastAsia="仿宋"/>
          <w:color w:val="auto"/>
          <w:sz w:val="32"/>
          <w:szCs w:val="32"/>
          <w:lang w:eastAsia="zh-CN"/>
        </w:rPr>
        <w:t>行政单位</w:t>
      </w:r>
      <w:r>
        <w:rPr>
          <w:rFonts w:hint="eastAsia" w:ascii="仿宋" w:hAnsi="仿宋" w:eastAsia="仿宋"/>
          <w:color w:val="auto"/>
          <w:sz w:val="32"/>
          <w:szCs w:val="32"/>
          <w:lang w:val="en-US" w:eastAsia="zh-CN"/>
        </w:rPr>
        <w:t>1个，</w:t>
      </w:r>
      <w:r>
        <w:rPr>
          <w:rFonts w:hint="eastAsia" w:ascii="仿宋" w:hAnsi="仿宋" w:eastAsia="仿宋"/>
          <w:color w:val="auto"/>
          <w:sz w:val="32"/>
          <w:szCs w:val="32"/>
        </w:rPr>
        <w:t>事业单位</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个</w:t>
      </w:r>
      <w:r>
        <w:rPr>
          <w:rFonts w:hint="eastAsia" w:ascii="仿宋" w:hAnsi="仿宋" w:eastAsia="仿宋"/>
          <w:color w:val="auto"/>
          <w:sz w:val="32"/>
          <w:szCs w:val="32"/>
          <w:lang w:eastAsia="zh-CN"/>
        </w:rPr>
        <w:t>，</w:t>
      </w:r>
      <w:r>
        <w:rPr>
          <w:rFonts w:hint="eastAsia" w:ascii="仿宋_GB2312" w:hAnsi="仿宋_GB2312" w:eastAsia="仿宋_GB2312" w:cs="仿宋_GB2312"/>
          <w:color w:val="auto"/>
          <w:sz w:val="32"/>
          <w:szCs w:val="32"/>
        </w:rPr>
        <w:t>共有编制29个，其中公务员编制</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rPr>
        <w:t>个，行政工勤编制1个，参公编制5个，事业编制16个，在职26人，公务员</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rPr>
        <w:t>人，行政工勤1人，参公工勤</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rPr>
        <w:t>人，事业编制1</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rPr>
        <w:t>人。</w:t>
      </w:r>
      <w:r>
        <w:rPr>
          <w:rFonts w:hint="eastAsia" w:ascii="仿宋" w:hAnsi="仿宋" w:eastAsia="仿宋"/>
          <w:color w:val="auto"/>
          <w:sz w:val="32"/>
          <w:szCs w:val="32"/>
        </w:rPr>
        <w:t>纳入</w:t>
      </w:r>
      <w:r>
        <w:rPr>
          <w:rFonts w:hint="eastAsia" w:ascii="仿宋" w:hAnsi="仿宋" w:eastAsia="仿宋"/>
          <w:color w:val="auto"/>
          <w:sz w:val="32"/>
          <w:szCs w:val="32"/>
          <w:lang w:eastAsia="zh-CN"/>
        </w:rPr>
        <w:t>四川省阿坝州红原县国土资源局</w:t>
      </w:r>
      <w:r>
        <w:rPr>
          <w:rFonts w:hint="eastAsia" w:ascii="仿宋" w:hAnsi="仿宋" w:eastAsia="仿宋"/>
          <w:color w:val="auto"/>
          <w:sz w:val="32"/>
          <w:szCs w:val="32"/>
        </w:rPr>
        <w:t>2018年度部门决算编制范围的二级预算单位包括：</w:t>
      </w:r>
      <w:bookmarkStart w:id="22" w:name="_Toc15378449"/>
      <w:bookmarkStart w:id="23" w:name="_Toc15377202"/>
      <w:bookmarkStart w:id="24" w:name="_Toc15377433"/>
      <w:bookmarkStart w:id="25" w:name="_Toc15306276"/>
      <w:r>
        <w:rPr>
          <w:rFonts w:hint="eastAsia" w:ascii="仿宋" w:hAnsi="仿宋" w:eastAsia="仿宋"/>
          <w:color w:val="auto"/>
          <w:sz w:val="32"/>
          <w:szCs w:val="32"/>
          <w:lang w:val="en-US" w:eastAsia="zh-CN"/>
        </w:rPr>
        <w:t>1.四川省阿坝州红原县国土资源局（本级）2.四川省阿坝州</w:t>
      </w:r>
      <w:r>
        <w:rPr>
          <w:rFonts w:hint="eastAsia" w:ascii="仿宋" w:hAnsi="仿宋" w:eastAsia="仿宋"/>
          <w:color w:val="auto"/>
          <w:sz w:val="32"/>
          <w:szCs w:val="32"/>
          <w:lang w:eastAsia="zh-CN"/>
        </w:rPr>
        <w:t>红原县不动产登记中心</w:t>
      </w:r>
      <w:bookmarkEnd w:id="22"/>
      <w:bookmarkEnd w:id="23"/>
      <w:bookmarkEnd w:id="24"/>
      <w:bookmarkEnd w:id="25"/>
      <w:r>
        <w:rPr>
          <w:rFonts w:hint="eastAsia" w:ascii="仿宋" w:hAnsi="仿宋" w:eastAsia="仿宋"/>
          <w:color w:val="auto"/>
          <w:sz w:val="32"/>
          <w:szCs w:val="32"/>
          <w:lang w:eastAsia="zh-CN"/>
        </w:rPr>
        <w:t>（本级）。</w:t>
      </w:r>
    </w:p>
    <w:p>
      <w:pPr>
        <w:pStyle w:val="4"/>
        <w:ind w:right="440"/>
        <w:jc w:val="right"/>
        <w:rPr>
          <w:rStyle w:val="27"/>
          <w:rFonts w:ascii="黑体" w:hAnsi="黑体" w:eastAsia="黑体"/>
          <w:b w:val="0"/>
          <w:bCs w:val="0"/>
          <w:color w:val="auto"/>
        </w:rPr>
      </w:pPr>
      <w:bookmarkStart w:id="26" w:name="_Toc15396602"/>
      <w:bookmarkStart w:id="27" w:name="_Toc15377204"/>
      <w:r>
        <w:rPr>
          <w:rFonts w:hint="eastAsia" w:ascii="黑体" w:hAnsi="黑体" w:eastAsia="黑体"/>
          <w:b w:val="0"/>
          <w:color w:val="auto"/>
        </w:rPr>
        <w:t>第二部分</w:t>
      </w:r>
      <w:r>
        <w:rPr>
          <w:rFonts w:hint="eastAsia" w:ascii="黑体" w:hAnsi="黑体" w:eastAsia="黑体"/>
          <w:color w:val="auto"/>
        </w:rPr>
        <w:t xml:space="preserve"> </w:t>
      </w:r>
      <w:r>
        <w:rPr>
          <w:rStyle w:val="27"/>
          <w:rFonts w:hint="eastAsia" w:ascii="黑体" w:hAnsi="黑体" w:eastAsia="黑体"/>
          <w:b w:val="0"/>
          <w:bCs w:val="0"/>
          <w:color w:val="auto"/>
        </w:rPr>
        <w:t>2018年度部门决算情况说明</w:t>
      </w:r>
      <w:bookmarkEnd w:id="26"/>
      <w:bookmarkEnd w:id="27"/>
    </w:p>
    <w:p>
      <w:pPr>
        <w:rPr>
          <w:color w:val="auto"/>
        </w:rPr>
      </w:pPr>
    </w:p>
    <w:p>
      <w:pPr>
        <w:pStyle w:val="26"/>
        <w:numPr>
          <w:ilvl w:val="0"/>
          <w:numId w:val="2"/>
        </w:numPr>
        <w:spacing w:line="600" w:lineRule="exact"/>
        <w:ind w:firstLineChars="0"/>
        <w:outlineLvl w:val="1"/>
        <w:rPr>
          <w:rStyle w:val="28"/>
          <w:rFonts w:ascii="黑体" w:hAnsi="黑体" w:eastAsia="黑体"/>
          <w:b w:val="0"/>
          <w:color w:val="auto"/>
        </w:rPr>
      </w:pPr>
      <w:bookmarkStart w:id="28" w:name="_Toc15377205"/>
      <w:bookmarkStart w:id="29" w:name="_Toc15396603"/>
      <w:r>
        <w:rPr>
          <w:rFonts w:hint="eastAsia" w:ascii="黑体" w:hAnsi="黑体" w:eastAsia="黑体"/>
          <w:color w:val="auto"/>
          <w:sz w:val="32"/>
          <w:szCs w:val="32"/>
        </w:rPr>
        <w:t>收</w:t>
      </w:r>
      <w:r>
        <w:rPr>
          <w:rStyle w:val="28"/>
          <w:rFonts w:hint="eastAsia" w:ascii="黑体" w:hAnsi="黑体" w:eastAsia="黑体"/>
          <w:b w:val="0"/>
          <w:color w:val="auto"/>
        </w:rPr>
        <w:t>入支出决算总体情况说明</w:t>
      </w:r>
      <w:bookmarkEnd w:id="28"/>
      <w:bookmarkEnd w:id="29"/>
    </w:p>
    <w:p>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2018年度收</w:t>
      </w:r>
      <w:r>
        <w:rPr>
          <w:rFonts w:hint="eastAsia" w:ascii="仿宋" w:hAnsi="仿宋" w:eastAsia="仿宋"/>
          <w:color w:val="auto"/>
          <w:sz w:val="32"/>
          <w:szCs w:val="32"/>
          <w:lang w:eastAsia="zh-CN"/>
        </w:rPr>
        <w:t>入</w:t>
      </w:r>
      <w:r>
        <w:rPr>
          <w:rFonts w:hint="eastAsia" w:ascii="仿宋" w:hAnsi="仿宋" w:eastAsia="仿宋"/>
          <w:color w:val="auto"/>
          <w:sz w:val="32"/>
          <w:szCs w:val="32"/>
          <w:lang w:val="en-US" w:eastAsia="zh-CN"/>
        </w:rPr>
        <w:t>1908.08万元、支出2079.31</w:t>
      </w:r>
      <w:r>
        <w:rPr>
          <w:rFonts w:hint="eastAsia" w:ascii="仿宋" w:hAnsi="仿宋" w:eastAsia="仿宋"/>
          <w:color w:val="auto"/>
          <w:sz w:val="32"/>
          <w:szCs w:val="32"/>
        </w:rPr>
        <w:t>万元总计</w:t>
      </w:r>
      <w:r>
        <w:rPr>
          <w:rFonts w:hint="eastAsia" w:ascii="仿宋" w:hAnsi="仿宋" w:eastAsia="仿宋"/>
          <w:color w:val="auto"/>
          <w:sz w:val="32"/>
          <w:szCs w:val="32"/>
          <w:lang w:val="en-US" w:eastAsia="zh-CN"/>
        </w:rPr>
        <w:t>3987.39</w:t>
      </w:r>
      <w:r>
        <w:rPr>
          <w:rFonts w:hint="eastAsia" w:ascii="仿宋" w:hAnsi="仿宋" w:eastAsia="仿宋"/>
          <w:color w:val="auto"/>
          <w:sz w:val="32"/>
          <w:szCs w:val="32"/>
        </w:rPr>
        <w:t>万元。与2017年相比，收</w:t>
      </w:r>
      <w:r>
        <w:rPr>
          <w:rFonts w:hint="eastAsia" w:ascii="仿宋" w:hAnsi="仿宋" w:eastAsia="仿宋"/>
          <w:color w:val="auto"/>
          <w:sz w:val="32"/>
          <w:szCs w:val="32"/>
          <w:lang w:eastAsia="zh-CN"/>
        </w:rPr>
        <w:t>入</w:t>
      </w:r>
      <w:r>
        <w:rPr>
          <w:rFonts w:hint="eastAsia" w:ascii="仿宋" w:hAnsi="仿宋" w:eastAsia="仿宋"/>
          <w:color w:val="auto"/>
          <w:sz w:val="32"/>
          <w:szCs w:val="32"/>
          <w:lang w:val="en-US" w:eastAsia="zh-CN"/>
        </w:rPr>
        <w:t>1021.71万元</w:t>
      </w:r>
      <w:r>
        <w:rPr>
          <w:rFonts w:hint="eastAsia" w:ascii="仿宋" w:hAnsi="仿宋" w:eastAsia="仿宋"/>
          <w:color w:val="auto"/>
          <w:sz w:val="32"/>
          <w:szCs w:val="32"/>
        </w:rPr>
        <w:t>、支</w:t>
      </w:r>
      <w:r>
        <w:rPr>
          <w:rFonts w:hint="eastAsia" w:ascii="仿宋" w:hAnsi="仿宋" w:eastAsia="仿宋"/>
          <w:color w:val="auto"/>
          <w:sz w:val="32"/>
          <w:szCs w:val="32"/>
          <w:lang w:eastAsia="zh-CN"/>
        </w:rPr>
        <w:t>出</w:t>
      </w:r>
      <w:r>
        <w:rPr>
          <w:rFonts w:hint="eastAsia" w:ascii="仿宋" w:hAnsi="仿宋" w:eastAsia="仿宋"/>
          <w:color w:val="auto"/>
          <w:sz w:val="32"/>
          <w:szCs w:val="32"/>
          <w:lang w:val="en-US" w:eastAsia="zh-CN"/>
        </w:rPr>
        <w:t>977.88万元</w:t>
      </w:r>
      <w:r>
        <w:rPr>
          <w:rFonts w:hint="eastAsia" w:ascii="仿宋" w:hAnsi="仿宋" w:eastAsia="仿宋"/>
          <w:color w:val="auto"/>
          <w:sz w:val="32"/>
          <w:szCs w:val="32"/>
        </w:rPr>
        <w:t>总计</w:t>
      </w:r>
      <w:r>
        <w:rPr>
          <w:rFonts w:hint="eastAsia" w:ascii="仿宋" w:hAnsi="仿宋" w:eastAsia="仿宋"/>
          <w:color w:val="auto"/>
          <w:sz w:val="32"/>
          <w:szCs w:val="32"/>
          <w:lang w:val="en-US" w:eastAsia="zh-CN"/>
        </w:rPr>
        <w:t>1999.59万元</w:t>
      </w:r>
      <w:r>
        <w:rPr>
          <w:rFonts w:hint="eastAsia" w:ascii="仿宋" w:hAnsi="仿宋" w:eastAsia="仿宋"/>
          <w:color w:val="auto"/>
          <w:sz w:val="32"/>
          <w:szCs w:val="32"/>
        </w:rPr>
        <w:t>增加</w:t>
      </w:r>
      <w:r>
        <w:rPr>
          <w:rFonts w:hint="eastAsia" w:ascii="仿宋" w:hAnsi="仿宋" w:eastAsia="仿宋"/>
          <w:color w:val="auto"/>
          <w:sz w:val="32"/>
          <w:szCs w:val="32"/>
          <w:lang w:val="en-US" w:eastAsia="zh-CN"/>
        </w:rPr>
        <w:t>1987.8</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49.85</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财政拨款收入减少</w:t>
      </w:r>
      <w:r>
        <w:rPr>
          <w:rFonts w:hint="eastAsia" w:ascii="仿宋" w:hAnsi="仿宋" w:eastAsia="仿宋"/>
          <w:color w:val="auto"/>
          <w:sz w:val="32"/>
          <w:szCs w:val="32"/>
          <w:lang w:val="en-US" w:eastAsia="zh-CN"/>
        </w:rPr>
        <w:t>886.95万元，资本性支出增加1551.13万元</w:t>
      </w:r>
      <w:r>
        <w:rPr>
          <w:rFonts w:hint="eastAsia" w:ascii="仿宋" w:hAnsi="仿宋" w:eastAsia="仿宋"/>
          <w:color w:val="auto"/>
          <w:sz w:val="32"/>
          <w:szCs w:val="32"/>
          <w:lang w:eastAsia="zh-CN"/>
        </w:rPr>
        <w:t>。</w:t>
      </w:r>
    </w:p>
    <w:p>
      <w:pPr>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1</w:t>
      </w:r>
      <w:r>
        <w:rPr>
          <w:rFonts w:hint="eastAsia" w:ascii="仿宋" w:hAnsi="仿宋" w:eastAsia="仿宋"/>
          <w:color w:val="auto"/>
          <w:sz w:val="32"/>
          <w:szCs w:val="32"/>
        </w:rPr>
        <w:t>：收、支决算总计变动情况图）（柱状图）</w:t>
      </w:r>
    </w:p>
    <w:p>
      <w:pPr>
        <w:pStyle w:val="2"/>
        <w:rPr>
          <w:rFonts w:hint="eastAsia"/>
        </w:rPr>
      </w:pPr>
      <w:r>
        <w:drawing>
          <wp:inline distT="0" distB="0" distL="114300" distR="114300">
            <wp:extent cx="4572000" cy="2258060"/>
            <wp:effectExtent l="4445" t="4445" r="14605" b="23495"/>
            <wp:docPr id="2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
        <w:rPr>
          <w:rFonts w:hint="eastAsia"/>
          <w:color w:val="auto"/>
        </w:rPr>
      </w:pPr>
    </w:p>
    <w:p>
      <w:pPr>
        <w:pStyle w:val="26"/>
        <w:numPr>
          <w:ilvl w:val="0"/>
          <w:numId w:val="2"/>
        </w:numPr>
        <w:spacing w:line="600" w:lineRule="exact"/>
        <w:ind w:firstLineChars="0"/>
        <w:outlineLvl w:val="1"/>
        <w:rPr>
          <w:rStyle w:val="28"/>
          <w:rFonts w:ascii="黑体" w:hAnsi="黑体" w:eastAsia="黑体"/>
          <w:b w:val="0"/>
          <w:color w:val="auto"/>
        </w:rPr>
      </w:pPr>
      <w:bookmarkStart w:id="30" w:name="_Toc15377206"/>
      <w:bookmarkStart w:id="31" w:name="_Toc15396604"/>
      <w:r>
        <w:rPr>
          <w:rFonts w:hint="eastAsia" w:ascii="黑体" w:hAnsi="黑体" w:eastAsia="黑体"/>
          <w:color w:val="auto"/>
          <w:sz w:val="32"/>
          <w:szCs w:val="32"/>
        </w:rPr>
        <w:t>收</w:t>
      </w:r>
      <w:r>
        <w:rPr>
          <w:rStyle w:val="28"/>
          <w:rFonts w:hint="eastAsia" w:ascii="黑体" w:hAnsi="黑体" w:eastAsia="黑体"/>
          <w:b w:val="0"/>
          <w:color w:val="auto"/>
        </w:rPr>
        <w:t>入决算情况说明</w:t>
      </w:r>
      <w:bookmarkEnd w:id="30"/>
      <w:bookmarkEnd w:id="31"/>
    </w:p>
    <w:p>
      <w:pPr>
        <w:spacing w:line="600" w:lineRule="exact"/>
        <w:ind w:firstLine="640" w:firstLineChars="200"/>
        <w:outlineLvl w:val="1"/>
        <w:rPr>
          <w:rFonts w:hint="default" w:ascii="仿宋" w:hAnsi="仿宋" w:eastAsia="仿宋"/>
          <w:color w:val="auto"/>
          <w:sz w:val="32"/>
          <w:szCs w:val="32"/>
          <w:lang w:val="en-US" w:eastAsia="zh-CN"/>
        </w:rPr>
      </w:pPr>
      <w:r>
        <w:rPr>
          <w:rFonts w:ascii="仿宋" w:hAnsi="仿宋" w:eastAsia="仿宋"/>
          <w:color w:val="auto"/>
          <w:sz w:val="32"/>
          <w:szCs w:val="32"/>
        </w:rPr>
        <w:t>201</w:t>
      </w:r>
      <w:r>
        <w:rPr>
          <w:rFonts w:hint="eastAsia" w:ascii="仿宋" w:hAnsi="仿宋" w:eastAsia="仿宋"/>
          <w:color w:val="auto"/>
          <w:sz w:val="32"/>
          <w:szCs w:val="32"/>
        </w:rPr>
        <w:t>8年本年收入合计</w:t>
      </w:r>
      <w:r>
        <w:rPr>
          <w:rFonts w:hint="eastAsia" w:ascii="仿宋" w:hAnsi="仿宋" w:eastAsia="仿宋"/>
          <w:color w:val="auto"/>
          <w:sz w:val="32"/>
          <w:szCs w:val="32"/>
          <w:lang w:val="en-US" w:eastAsia="zh-CN"/>
        </w:rPr>
        <w:t>1908.08</w:t>
      </w:r>
      <w:r>
        <w:rPr>
          <w:rFonts w:hint="eastAsia" w:ascii="仿宋" w:hAnsi="仿宋" w:eastAsia="仿宋"/>
          <w:color w:val="auto"/>
          <w:sz w:val="32"/>
          <w:szCs w:val="32"/>
        </w:rPr>
        <w:t>万元，其中：一般公共预算财政拨款收入</w:t>
      </w:r>
      <w:r>
        <w:rPr>
          <w:rFonts w:hint="eastAsia" w:ascii="仿宋" w:hAnsi="仿宋" w:eastAsia="仿宋"/>
          <w:color w:val="auto"/>
          <w:sz w:val="32"/>
          <w:szCs w:val="32"/>
          <w:lang w:val="en-US" w:eastAsia="zh-CN"/>
        </w:rPr>
        <w:t>1115.59</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58.47</w:t>
      </w:r>
      <w:r>
        <w:rPr>
          <w:rFonts w:ascii="仿宋" w:hAnsi="仿宋" w:eastAsia="仿宋"/>
          <w:color w:val="auto"/>
          <w:sz w:val="32"/>
          <w:szCs w:val="32"/>
        </w:rPr>
        <w:t>%</w:t>
      </w:r>
      <w:r>
        <w:rPr>
          <w:rFonts w:hint="eastAsia" w:ascii="仿宋" w:hAnsi="仿宋" w:eastAsia="仿宋"/>
          <w:color w:val="auto"/>
          <w:sz w:val="32"/>
          <w:szCs w:val="32"/>
        </w:rPr>
        <w:t>；政府性基金预算财政拨款收入</w:t>
      </w:r>
      <w:r>
        <w:rPr>
          <w:rFonts w:hint="eastAsia" w:ascii="仿宋" w:hAnsi="仿宋" w:eastAsia="仿宋"/>
          <w:color w:val="auto"/>
          <w:sz w:val="32"/>
          <w:szCs w:val="32"/>
          <w:lang w:val="en-US" w:eastAsia="zh-CN"/>
        </w:rPr>
        <w:t>792.42</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41.53</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color w:val="auto"/>
          <w:sz w:val="32"/>
          <w:szCs w:val="32"/>
          <w:lang w:eastAsia="zh-CN"/>
        </w:rPr>
        <w:t>利息收入</w:t>
      </w:r>
      <w:r>
        <w:rPr>
          <w:rFonts w:hint="eastAsia" w:ascii="仿宋" w:hAnsi="仿宋" w:eastAsia="仿宋"/>
          <w:color w:val="auto"/>
          <w:sz w:val="32"/>
          <w:szCs w:val="32"/>
          <w:lang w:val="en-US" w:eastAsia="zh-CN"/>
        </w:rPr>
        <w:t>0.07万元，占0.003%</w:t>
      </w:r>
    </w:p>
    <w:p>
      <w:pPr>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（图2：收入决算结构图）（饼状图）</w:t>
      </w:r>
    </w:p>
    <w:p>
      <w:pPr>
        <w:pStyle w:val="2"/>
        <w:rPr>
          <w:color w:val="auto"/>
        </w:rPr>
      </w:pPr>
      <w:r>
        <w:drawing>
          <wp:inline distT="0" distB="0" distL="114300" distR="114300">
            <wp:extent cx="4572000" cy="2505710"/>
            <wp:effectExtent l="4445" t="4445" r="14605" b="23495"/>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6"/>
        <w:numPr>
          <w:ilvl w:val="0"/>
          <w:numId w:val="2"/>
        </w:numPr>
        <w:spacing w:line="600" w:lineRule="exact"/>
        <w:ind w:firstLineChars="0"/>
        <w:outlineLvl w:val="1"/>
        <w:rPr>
          <w:rStyle w:val="28"/>
          <w:rFonts w:ascii="黑体" w:hAnsi="黑体" w:eastAsia="黑体"/>
          <w:b w:val="0"/>
          <w:color w:val="auto"/>
        </w:rPr>
      </w:pPr>
      <w:bookmarkStart w:id="32" w:name="_Toc15396605"/>
      <w:bookmarkStart w:id="33" w:name="_Toc15377207"/>
      <w:r>
        <w:rPr>
          <w:rFonts w:hint="eastAsia" w:ascii="黑体" w:hAnsi="黑体" w:eastAsia="黑体"/>
          <w:color w:val="auto"/>
          <w:sz w:val="32"/>
          <w:szCs w:val="32"/>
        </w:rPr>
        <w:t>支</w:t>
      </w:r>
      <w:r>
        <w:rPr>
          <w:rStyle w:val="28"/>
          <w:rFonts w:hint="eastAsia" w:ascii="黑体" w:hAnsi="黑体" w:eastAsia="黑体"/>
          <w:b w:val="0"/>
          <w:color w:val="auto"/>
        </w:rPr>
        <w:t>出决算情况说明</w:t>
      </w:r>
      <w:bookmarkEnd w:id="32"/>
      <w:bookmarkEnd w:id="33"/>
    </w:p>
    <w:p>
      <w:pPr>
        <w:spacing w:line="600" w:lineRule="exact"/>
        <w:ind w:firstLine="640"/>
        <w:rPr>
          <w:rFonts w:ascii="仿宋" w:hAnsi="仿宋" w:eastAsia="仿宋"/>
          <w:color w:val="auto"/>
          <w:sz w:val="32"/>
          <w:szCs w:val="32"/>
          <w:shd w:val="pct10" w:color="auto" w:fill="FFFFFF"/>
        </w:rPr>
      </w:pPr>
      <w:r>
        <w:rPr>
          <w:rFonts w:ascii="仿宋" w:hAnsi="仿宋" w:eastAsia="仿宋"/>
          <w:color w:val="auto"/>
          <w:sz w:val="32"/>
          <w:szCs w:val="32"/>
        </w:rPr>
        <w:t>201</w:t>
      </w:r>
      <w:r>
        <w:rPr>
          <w:rFonts w:hint="eastAsia" w:ascii="仿宋" w:hAnsi="仿宋" w:eastAsia="仿宋"/>
          <w:color w:val="auto"/>
          <w:sz w:val="32"/>
          <w:szCs w:val="32"/>
        </w:rPr>
        <w:t>8年本年支出合计</w:t>
      </w:r>
      <w:r>
        <w:rPr>
          <w:rFonts w:hint="eastAsia" w:ascii="仿宋" w:hAnsi="仿宋" w:eastAsia="仿宋"/>
          <w:color w:val="auto"/>
          <w:sz w:val="32"/>
          <w:szCs w:val="32"/>
          <w:lang w:val="en-US" w:eastAsia="zh-CN"/>
        </w:rPr>
        <w:t>2079.31</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446.78</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21.49</w:t>
      </w:r>
      <w:r>
        <w:rPr>
          <w:rFonts w:ascii="仿宋" w:hAnsi="仿宋" w:eastAsia="仿宋"/>
          <w:color w:val="auto"/>
          <w:sz w:val="32"/>
          <w:szCs w:val="32"/>
        </w:rPr>
        <w:t>%</w:t>
      </w:r>
      <w:r>
        <w:rPr>
          <w:rFonts w:hint="eastAsia" w:ascii="仿宋" w:hAnsi="仿宋" w:eastAsia="仿宋"/>
          <w:color w:val="auto"/>
          <w:sz w:val="32"/>
          <w:szCs w:val="32"/>
        </w:rPr>
        <w:t>；项目支出</w:t>
      </w:r>
      <w:r>
        <w:rPr>
          <w:rFonts w:hint="eastAsia" w:ascii="仿宋" w:hAnsi="仿宋" w:eastAsia="仿宋"/>
          <w:color w:val="auto"/>
          <w:sz w:val="32"/>
          <w:szCs w:val="32"/>
          <w:lang w:val="en-US" w:eastAsia="zh-CN"/>
        </w:rPr>
        <w:t>1632.53</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78.51</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（图3：支出决算结构图）（饼状图）</w:t>
      </w:r>
    </w:p>
    <w:p>
      <w:pPr>
        <w:spacing w:line="600" w:lineRule="exact"/>
        <w:ind w:firstLine="420" w:firstLineChars="200"/>
        <w:rPr>
          <w:color w:val="auto"/>
        </w:rPr>
      </w:pPr>
      <w:r>
        <w:rPr>
          <w:color w:val="auto"/>
        </w:rPr>
        <w:drawing>
          <wp:anchor distT="0" distB="0" distL="114300" distR="114300" simplePos="0" relativeHeight="251660288" behindDoc="0" locked="0" layoutInCell="1" allowOverlap="1">
            <wp:simplePos x="0" y="0"/>
            <wp:positionH relativeFrom="column">
              <wp:posOffset>-71755</wp:posOffset>
            </wp:positionH>
            <wp:positionV relativeFrom="paragraph">
              <wp:posOffset>87630</wp:posOffset>
            </wp:positionV>
            <wp:extent cx="5447665" cy="2847975"/>
            <wp:effectExtent l="4445" t="4445" r="15240" b="5080"/>
            <wp:wrapTopAndBottom/>
            <wp:docPr id="2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8"/>
          <w:rFonts w:ascii="黑体" w:hAnsi="黑体" w:eastAsia="黑体"/>
          <w:b w:val="0"/>
          <w:color w:val="auto"/>
        </w:rPr>
      </w:pPr>
      <w:bookmarkStart w:id="34" w:name="_Toc15396606"/>
      <w:bookmarkStart w:id="35" w:name="_Toc15377208"/>
      <w:r>
        <w:rPr>
          <w:rFonts w:hint="eastAsia" w:ascii="黑体" w:hAnsi="黑体" w:eastAsia="黑体"/>
          <w:color w:val="auto"/>
          <w:sz w:val="32"/>
          <w:szCs w:val="32"/>
        </w:rPr>
        <w:t>四、财</w:t>
      </w:r>
      <w:r>
        <w:rPr>
          <w:rStyle w:val="28"/>
          <w:rFonts w:hint="eastAsia" w:ascii="黑体" w:hAnsi="黑体" w:eastAsia="黑体"/>
          <w:b w:val="0"/>
          <w:color w:val="auto"/>
        </w:rPr>
        <w:t>政拨款收入支出决算总体情况说明</w:t>
      </w:r>
      <w:bookmarkEnd w:id="34"/>
      <w:bookmarkEnd w:id="35"/>
    </w:p>
    <w:p>
      <w:pPr>
        <w:spacing w:line="600" w:lineRule="exact"/>
        <w:ind w:firstLine="640" w:firstLineChars="200"/>
        <w:rPr>
          <w:rFonts w:hint="eastAsia" w:ascii="仿宋" w:hAnsi="仿宋" w:eastAsia="仿宋"/>
          <w:color w:val="auto"/>
          <w:sz w:val="32"/>
          <w:szCs w:val="32"/>
          <w:lang w:val="en-US" w:eastAsia="zh-CN"/>
        </w:rPr>
      </w:pPr>
      <w:r>
        <w:rPr>
          <w:rFonts w:ascii="仿宋" w:hAnsi="仿宋" w:eastAsia="仿宋"/>
          <w:color w:val="auto"/>
          <w:sz w:val="32"/>
          <w:szCs w:val="32"/>
        </w:rPr>
        <w:t>201</w:t>
      </w:r>
      <w:r>
        <w:rPr>
          <w:rFonts w:hint="eastAsia" w:ascii="仿宋" w:hAnsi="仿宋" w:eastAsia="仿宋"/>
          <w:color w:val="auto"/>
          <w:sz w:val="32"/>
          <w:szCs w:val="32"/>
        </w:rPr>
        <w:t>8年财政拨款收</w:t>
      </w:r>
      <w:r>
        <w:rPr>
          <w:rFonts w:hint="eastAsia" w:ascii="仿宋" w:hAnsi="仿宋" w:eastAsia="仿宋"/>
          <w:color w:val="auto"/>
          <w:sz w:val="32"/>
          <w:szCs w:val="32"/>
          <w:lang w:eastAsia="zh-CN"/>
        </w:rPr>
        <w:t>入</w:t>
      </w:r>
      <w:r>
        <w:rPr>
          <w:rFonts w:hint="eastAsia" w:ascii="仿宋" w:hAnsi="仿宋" w:eastAsia="仿宋"/>
          <w:color w:val="auto"/>
          <w:sz w:val="32"/>
          <w:szCs w:val="32"/>
          <w:lang w:val="en-US" w:eastAsia="zh-CN"/>
        </w:rPr>
        <w:t>1908.01万元</w:t>
      </w:r>
      <w:r>
        <w:rPr>
          <w:rFonts w:hint="eastAsia" w:ascii="仿宋" w:hAnsi="仿宋" w:eastAsia="仿宋"/>
          <w:color w:val="auto"/>
          <w:sz w:val="32"/>
          <w:szCs w:val="32"/>
        </w:rPr>
        <w:t>、支</w:t>
      </w:r>
      <w:r>
        <w:rPr>
          <w:rFonts w:hint="eastAsia" w:ascii="仿宋" w:hAnsi="仿宋" w:eastAsia="仿宋"/>
          <w:color w:val="auto"/>
          <w:sz w:val="32"/>
          <w:szCs w:val="32"/>
          <w:lang w:eastAsia="zh-CN"/>
        </w:rPr>
        <w:t>出</w:t>
      </w:r>
      <w:r>
        <w:rPr>
          <w:rFonts w:hint="eastAsia" w:ascii="仿宋" w:hAnsi="仿宋" w:eastAsia="仿宋"/>
          <w:color w:val="auto"/>
          <w:sz w:val="32"/>
          <w:szCs w:val="32"/>
          <w:lang w:val="en-US" w:eastAsia="zh-CN"/>
        </w:rPr>
        <w:t>2079.31万元</w:t>
      </w:r>
      <w:r>
        <w:rPr>
          <w:rFonts w:hint="eastAsia" w:ascii="仿宋" w:hAnsi="仿宋" w:eastAsia="仿宋"/>
          <w:color w:val="auto"/>
          <w:sz w:val="32"/>
          <w:szCs w:val="32"/>
        </w:rPr>
        <w:t>总计</w:t>
      </w:r>
      <w:r>
        <w:rPr>
          <w:rFonts w:hint="eastAsia" w:ascii="仿宋" w:hAnsi="仿宋" w:eastAsia="仿宋"/>
          <w:color w:val="auto"/>
          <w:sz w:val="32"/>
          <w:szCs w:val="32"/>
          <w:lang w:val="en-US" w:eastAsia="zh-CN"/>
        </w:rPr>
        <w:t>3987.32</w:t>
      </w:r>
      <w:r>
        <w:rPr>
          <w:rFonts w:hint="eastAsia" w:ascii="仿宋" w:hAnsi="仿宋" w:eastAsia="仿宋"/>
          <w:color w:val="auto"/>
          <w:sz w:val="32"/>
          <w:szCs w:val="32"/>
        </w:rPr>
        <w:t>万元。与</w:t>
      </w:r>
      <w:r>
        <w:rPr>
          <w:rFonts w:ascii="仿宋" w:hAnsi="仿宋" w:eastAsia="仿宋"/>
          <w:color w:val="auto"/>
          <w:sz w:val="32"/>
          <w:szCs w:val="32"/>
        </w:rPr>
        <w:t>201</w:t>
      </w:r>
      <w:r>
        <w:rPr>
          <w:rFonts w:hint="eastAsia" w:ascii="仿宋" w:hAnsi="仿宋" w:eastAsia="仿宋"/>
          <w:color w:val="auto"/>
          <w:sz w:val="32"/>
          <w:szCs w:val="32"/>
        </w:rPr>
        <w:t>7年相比，财政拨款收</w:t>
      </w:r>
      <w:r>
        <w:rPr>
          <w:rFonts w:hint="eastAsia" w:ascii="仿宋" w:hAnsi="仿宋" w:eastAsia="仿宋"/>
          <w:color w:val="auto"/>
          <w:sz w:val="32"/>
          <w:szCs w:val="32"/>
          <w:lang w:eastAsia="zh-CN"/>
        </w:rPr>
        <w:t>入</w:t>
      </w:r>
      <w:r>
        <w:rPr>
          <w:rFonts w:hint="eastAsia" w:ascii="仿宋" w:hAnsi="仿宋" w:eastAsia="仿宋"/>
          <w:color w:val="auto"/>
          <w:sz w:val="32"/>
          <w:szCs w:val="32"/>
          <w:lang w:val="en-US" w:eastAsia="zh-CN"/>
        </w:rPr>
        <w:t>1021.06万元</w:t>
      </w:r>
      <w:r>
        <w:rPr>
          <w:rFonts w:hint="eastAsia" w:ascii="仿宋" w:hAnsi="仿宋" w:eastAsia="仿宋"/>
          <w:color w:val="auto"/>
          <w:sz w:val="32"/>
          <w:szCs w:val="32"/>
        </w:rPr>
        <w:t>、支</w:t>
      </w:r>
      <w:r>
        <w:rPr>
          <w:rFonts w:hint="eastAsia" w:ascii="仿宋" w:hAnsi="仿宋" w:eastAsia="仿宋"/>
          <w:color w:val="auto"/>
          <w:sz w:val="32"/>
          <w:szCs w:val="32"/>
          <w:lang w:eastAsia="zh-CN"/>
        </w:rPr>
        <w:t>出</w:t>
      </w:r>
      <w:r>
        <w:rPr>
          <w:rFonts w:hint="eastAsia" w:ascii="仿宋" w:hAnsi="仿宋" w:eastAsia="仿宋"/>
          <w:color w:val="auto"/>
          <w:sz w:val="32"/>
          <w:szCs w:val="32"/>
          <w:lang w:val="en-US" w:eastAsia="zh-CN"/>
        </w:rPr>
        <w:t>977.88万元</w:t>
      </w:r>
      <w:r>
        <w:rPr>
          <w:rFonts w:hint="eastAsia" w:ascii="仿宋" w:hAnsi="仿宋" w:eastAsia="仿宋"/>
          <w:color w:val="auto"/>
          <w:sz w:val="32"/>
          <w:szCs w:val="32"/>
        </w:rPr>
        <w:t>总计</w:t>
      </w:r>
      <w:r>
        <w:rPr>
          <w:rFonts w:hint="eastAsia" w:ascii="仿宋" w:hAnsi="仿宋" w:eastAsia="仿宋"/>
          <w:color w:val="auto"/>
          <w:sz w:val="32"/>
          <w:szCs w:val="32"/>
          <w:lang w:val="en-US" w:eastAsia="zh-CN"/>
        </w:rPr>
        <w:t>1998.94万元，</w:t>
      </w:r>
      <w:r>
        <w:rPr>
          <w:rFonts w:hint="eastAsia" w:ascii="仿宋" w:hAnsi="仿宋" w:eastAsia="仿宋"/>
          <w:color w:val="auto"/>
          <w:sz w:val="32"/>
          <w:szCs w:val="32"/>
        </w:rPr>
        <w:t>增加</w:t>
      </w:r>
      <w:r>
        <w:rPr>
          <w:rFonts w:hint="eastAsia" w:ascii="仿宋" w:hAnsi="仿宋" w:eastAsia="仿宋"/>
          <w:color w:val="auto"/>
          <w:sz w:val="32"/>
          <w:szCs w:val="32"/>
          <w:lang w:val="en-US" w:eastAsia="zh-CN"/>
        </w:rPr>
        <w:t>1988.38</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49.87</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val="en-US" w:eastAsia="zh-CN"/>
        </w:rPr>
        <w:t>2018年度增加了生态保护项目资金支出、地质灾害防治项目资金支出、国有土地使用权出让收入。</w:t>
      </w:r>
    </w:p>
    <w:p>
      <w:pPr>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（图4：财政拨款收、支决算总计变动情况）（柱状图）</w:t>
      </w:r>
    </w:p>
    <w:p>
      <w:pPr>
        <w:pStyle w:val="2"/>
        <w:rPr>
          <w:rFonts w:hint="eastAsia"/>
          <w:color w:val="auto"/>
        </w:rPr>
      </w:pPr>
      <w:r>
        <w:rPr>
          <w:color w:val="auto"/>
        </w:rPr>
        <w:drawing>
          <wp:inline distT="0" distB="0" distL="114300" distR="114300">
            <wp:extent cx="4572000" cy="2743200"/>
            <wp:effectExtent l="4445" t="4445" r="14605" b="14605"/>
            <wp:docPr id="1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rPr>
          <w:rFonts w:hint="eastAsia" w:eastAsia="宋体"/>
          <w:color w:val="auto"/>
          <w:lang w:eastAsia="zh-CN"/>
        </w:rPr>
      </w:pPr>
    </w:p>
    <w:p>
      <w:pPr>
        <w:spacing w:line="600" w:lineRule="exact"/>
        <w:ind w:firstLine="640" w:firstLineChars="200"/>
        <w:outlineLvl w:val="1"/>
        <w:rPr>
          <w:rStyle w:val="28"/>
          <w:rFonts w:ascii="黑体" w:hAnsi="黑体" w:eastAsia="黑体"/>
          <w:b w:val="0"/>
          <w:color w:val="auto"/>
        </w:rPr>
      </w:pPr>
      <w:bookmarkStart w:id="36" w:name="_Toc15396607"/>
      <w:bookmarkStart w:id="37" w:name="_Toc15377209"/>
      <w:r>
        <w:rPr>
          <w:rFonts w:hint="eastAsia" w:ascii="黑体" w:hAnsi="黑体" w:eastAsia="黑体"/>
          <w:color w:val="auto"/>
          <w:sz w:val="32"/>
          <w:szCs w:val="32"/>
        </w:rPr>
        <w:t>五、</w:t>
      </w:r>
      <w:r>
        <w:rPr>
          <w:rFonts w:hint="eastAsia" w:ascii="黑体" w:hAnsi="黑体" w:eastAsia="黑体"/>
          <w:b/>
          <w:color w:val="auto"/>
          <w:sz w:val="32"/>
          <w:szCs w:val="32"/>
        </w:rPr>
        <w:t>一</w:t>
      </w:r>
      <w:r>
        <w:rPr>
          <w:rStyle w:val="28"/>
          <w:rFonts w:hint="eastAsia" w:ascii="黑体" w:hAnsi="黑体" w:eastAsia="黑体"/>
          <w:b w:val="0"/>
          <w:color w:val="auto"/>
        </w:rPr>
        <w:t>般公共预算财政拨款支出决算情况说明</w:t>
      </w:r>
      <w:bookmarkEnd w:id="36"/>
      <w:bookmarkEnd w:id="37"/>
    </w:p>
    <w:p>
      <w:pPr>
        <w:spacing w:line="600" w:lineRule="exact"/>
        <w:ind w:firstLine="643" w:firstLineChars="200"/>
        <w:outlineLvl w:val="2"/>
        <w:rPr>
          <w:rFonts w:ascii="仿宋" w:hAnsi="仿宋" w:eastAsia="仿宋"/>
          <w:b/>
          <w:color w:val="auto"/>
          <w:sz w:val="32"/>
          <w:szCs w:val="32"/>
        </w:rPr>
      </w:pPr>
      <w:bookmarkStart w:id="38" w:name="_Toc15377210"/>
      <w:r>
        <w:rPr>
          <w:rFonts w:hint="eastAsia" w:ascii="仿宋" w:hAnsi="仿宋" w:eastAsia="仿宋"/>
          <w:b/>
          <w:color w:val="auto"/>
          <w:sz w:val="32"/>
          <w:szCs w:val="32"/>
        </w:rPr>
        <w:t>（一）一般公共预算财政拨款支出决算总体情况</w:t>
      </w:r>
      <w:bookmarkEnd w:id="38"/>
    </w:p>
    <w:p>
      <w:pPr>
        <w:spacing w:line="600" w:lineRule="exact"/>
        <w:ind w:firstLine="640" w:firstLineChars="200"/>
        <w:rPr>
          <w:rFonts w:hint="eastAsia" w:ascii="仿宋" w:hAnsi="仿宋" w:eastAsia="仿宋"/>
          <w:color w:val="auto"/>
          <w:sz w:val="32"/>
          <w:szCs w:val="32"/>
          <w:lang w:eastAsia="zh-CN"/>
        </w:rPr>
      </w:pPr>
      <w:r>
        <w:rPr>
          <w:rFonts w:ascii="仿宋" w:hAnsi="仿宋" w:eastAsia="仿宋"/>
          <w:color w:val="auto"/>
          <w:sz w:val="32"/>
          <w:szCs w:val="32"/>
        </w:rPr>
        <w:t>201</w:t>
      </w:r>
      <w:r>
        <w:rPr>
          <w:rFonts w:hint="eastAsia" w:ascii="仿宋" w:hAnsi="仿宋" w:eastAsia="仿宋"/>
          <w:color w:val="auto"/>
          <w:sz w:val="32"/>
          <w:szCs w:val="32"/>
        </w:rPr>
        <w:t>8年一般公共预算财政拨款支出</w:t>
      </w:r>
      <w:r>
        <w:rPr>
          <w:rFonts w:hint="eastAsia" w:ascii="仿宋" w:hAnsi="仿宋" w:eastAsia="仿宋"/>
          <w:color w:val="auto"/>
          <w:sz w:val="32"/>
          <w:szCs w:val="32"/>
          <w:lang w:val="en-US" w:eastAsia="zh-CN"/>
        </w:rPr>
        <w:t>1396.29</w:t>
      </w:r>
      <w:r>
        <w:rPr>
          <w:rFonts w:hint="eastAsia" w:ascii="仿宋" w:hAnsi="仿宋" w:eastAsia="仿宋"/>
          <w:color w:val="auto"/>
          <w:sz w:val="32"/>
          <w:szCs w:val="32"/>
        </w:rPr>
        <w:t>万元，占本年支出合计的</w:t>
      </w:r>
      <w:r>
        <w:rPr>
          <w:rFonts w:hint="eastAsia" w:ascii="仿宋" w:hAnsi="仿宋" w:eastAsia="仿宋"/>
          <w:color w:val="auto"/>
          <w:sz w:val="32"/>
          <w:szCs w:val="32"/>
          <w:lang w:val="en-US" w:eastAsia="zh-CN"/>
        </w:rPr>
        <w:t>67.15</w:t>
      </w:r>
      <w:r>
        <w:rPr>
          <w:rFonts w:ascii="仿宋" w:hAnsi="仿宋" w:eastAsia="仿宋"/>
          <w:color w:val="auto"/>
          <w:sz w:val="32"/>
          <w:szCs w:val="32"/>
        </w:rPr>
        <w:t>%</w:t>
      </w:r>
      <w:r>
        <w:rPr>
          <w:rFonts w:hint="eastAsia" w:ascii="仿宋" w:hAnsi="仿宋" w:eastAsia="仿宋"/>
          <w:color w:val="auto"/>
          <w:sz w:val="32"/>
          <w:szCs w:val="32"/>
        </w:rPr>
        <w:t>。与</w:t>
      </w:r>
      <w:r>
        <w:rPr>
          <w:rFonts w:ascii="仿宋" w:hAnsi="仿宋" w:eastAsia="仿宋"/>
          <w:color w:val="auto"/>
          <w:sz w:val="32"/>
          <w:szCs w:val="32"/>
        </w:rPr>
        <w:t>201</w:t>
      </w:r>
      <w:r>
        <w:rPr>
          <w:rFonts w:hint="eastAsia" w:ascii="仿宋" w:hAnsi="仿宋" w:eastAsia="仿宋"/>
          <w:color w:val="auto"/>
          <w:sz w:val="32"/>
          <w:szCs w:val="32"/>
        </w:rPr>
        <w:t>7年相比，一般公共预算财政拨款增加</w:t>
      </w:r>
      <w:r>
        <w:rPr>
          <w:rFonts w:hint="eastAsia" w:ascii="仿宋" w:hAnsi="仿宋" w:eastAsia="仿宋"/>
          <w:color w:val="auto"/>
          <w:sz w:val="32"/>
          <w:szCs w:val="32"/>
          <w:lang w:val="en-US" w:eastAsia="zh-CN"/>
        </w:rPr>
        <w:t>515.85</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36.94</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本年度增加了地质灾害防治资金支出。</w:t>
      </w:r>
    </w:p>
    <w:p>
      <w:pPr>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（图5：一般公共预算财政拨款支出决算变动情况）（柱状图）</w:t>
      </w:r>
    </w:p>
    <w:p>
      <w:pPr>
        <w:pStyle w:val="2"/>
        <w:rPr>
          <w:rFonts w:hint="eastAsia" w:ascii="仿宋" w:hAnsi="仿宋" w:eastAsia="仿宋"/>
          <w:color w:val="auto"/>
          <w:sz w:val="32"/>
          <w:szCs w:val="32"/>
        </w:rPr>
      </w:pPr>
    </w:p>
    <w:p>
      <w:pPr>
        <w:pStyle w:val="2"/>
        <w:rPr>
          <w:rFonts w:hint="eastAsia" w:ascii="仿宋" w:hAnsi="仿宋" w:eastAsia="仿宋"/>
          <w:color w:val="auto"/>
          <w:sz w:val="32"/>
          <w:szCs w:val="32"/>
        </w:rPr>
      </w:pPr>
      <w:r>
        <w:rPr>
          <w:color w:val="auto"/>
        </w:rPr>
        <w:drawing>
          <wp:inline distT="0" distB="0" distL="114300" distR="114300">
            <wp:extent cx="4572000" cy="2743200"/>
            <wp:effectExtent l="4445" t="4445" r="14605" b="14605"/>
            <wp:docPr id="1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auto"/>
          <w:sz w:val="32"/>
          <w:szCs w:val="32"/>
        </w:rPr>
      </w:pPr>
      <w:bookmarkStart w:id="39" w:name="_Toc15377211"/>
      <w:r>
        <w:rPr>
          <w:rFonts w:hint="eastAsia" w:ascii="仿宋" w:hAnsi="仿宋" w:eastAsia="仿宋"/>
          <w:b/>
          <w:color w:val="auto"/>
          <w:sz w:val="32"/>
          <w:szCs w:val="32"/>
        </w:rPr>
        <w:t>（二）一般公共预算财政拨款支出决算结构情况</w:t>
      </w:r>
      <w:bookmarkEnd w:id="39"/>
    </w:p>
    <w:p>
      <w:pPr>
        <w:spacing w:line="600" w:lineRule="exact"/>
        <w:ind w:firstLine="640"/>
        <w:rPr>
          <w:rFonts w:hint="eastAsia" w:ascii="仿宋" w:hAnsi="仿宋" w:eastAsia="仿宋"/>
          <w:b/>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8年一般公共预算财政拨款支出</w:t>
      </w:r>
      <w:r>
        <w:rPr>
          <w:rFonts w:hint="eastAsia" w:ascii="仿宋" w:hAnsi="仿宋" w:eastAsia="仿宋"/>
          <w:color w:val="auto"/>
          <w:sz w:val="32"/>
          <w:szCs w:val="32"/>
          <w:lang w:val="en-US" w:eastAsia="zh-CN"/>
        </w:rPr>
        <w:t>1396.29</w:t>
      </w:r>
      <w:r>
        <w:rPr>
          <w:rFonts w:hint="eastAsia" w:ascii="仿宋" w:hAnsi="仿宋" w:eastAsia="仿宋"/>
          <w:color w:val="auto"/>
          <w:sz w:val="32"/>
          <w:szCs w:val="32"/>
        </w:rPr>
        <w:t>万元，主要用于以下方面</w:t>
      </w:r>
      <w:r>
        <w:rPr>
          <w:rFonts w:ascii="仿宋" w:hAnsi="仿宋" w:eastAsia="仿宋"/>
          <w:color w:val="auto"/>
          <w:sz w:val="32"/>
          <w:szCs w:val="32"/>
        </w:rPr>
        <w:t>:</w:t>
      </w:r>
      <w:r>
        <w:rPr>
          <w:rFonts w:hint="eastAsia" w:ascii="仿宋" w:hAnsi="仿宋" w:eastAsia="仿宋"/>
          <w:b/>
          <w:color w:val="auto"/>
          <w:sz w:val="32"/>
          <w:szCs w:val="32"/>
        </w:rPr>
        <w:t>社会保障和就业（类）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63.65</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4.56</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医疗卫生</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19.38</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1.39</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住房保障</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28.54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2.04</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lang w:eastAsia="zh-CN"/>
        </w:rPr>
        <w:t>其他国土海洋气象</w:t>
      </w:r>
      <w:r>
        <w:rPr>
          <w:rFonts w:hint="eastAsia" w:ascii="仿宋" w:hAnsi="仿宋" w:eastAsia="仿宋"/>
          <w:color w:val="auto"/>
          <w:sz w:val="32"/>
          <w:szCs w:val="32"/>
          <w:lang w:eastAsia="zh-CN"/>
        </w:rPr>
        <w:t>等支出</w:t>
      </w:r>
      <w:r>
        <w:rPr>
          <w:rFonts w:hint="eastAsia" w:ascii="仿宋" w:hAnsi="仿宋" w:eastAsia="仿宋"/>
          <w:color w:val="auto"/>
          <w:sz w:val="32"/>
          <w:szCs w:val="32"/>
          <w:lang w:val="en-US" w:eastAsia="zh-CN"/>
        </w:rPr>
        <w:t>80.4万元，占5.76%；</w:t>
      </w:r>
      <w:r>
        <w:rPr>
          <w:rFonts w:hint="eastAsia" w:ascii="仿宋" w:hAnsi="仿宋" w:eastAsia="仿宋"/>
          <w:b/>
          <w:color w:val="auto"/>
          <w:sz w:val="32"/>
          <w:szCs w:val="32"/>
          <w:lang w:val="en-US" w:eastAsia="zh-CN"/>
        </w:rPr>
        <w:t>地震事务</w:t>
      </w:r>
      <w:r>
        <w:rPr>
          <w:rFonts w:hint="eastAsia" w:ascii="仿宋" w:hAnsi="仿宋" w:eastAsia="仿宋"/>
          <w:color w:val="auto"/>
          <w:sz w:val="32"/>
          <w:szCs w:val="32"/>
          <w:lang w:val="en-US" w:eastAsia="zh-CN"/>
        </w:rPr>
        <w:t>支出1万元，占0.07%；</w:t>
      </w:r>
      <w:r>
        <w:rPr>
          <w:rFonts w:hint="eastAsia" w:ascii="仿宋" w:hAnsi="仿宋" w:eastAsia="仿宋"/>
          <w:b/>
          <w:color w:val="auto"/>
          <w:sz w:val="32"/>
          <w:szCs w:val="32"/>
          <w:lang w:val="en-US" w:eastAsia="zh-CN"/>
        </w:rPr>
        <w:t>国土资源事务</w:t>
      </w:r>
      <w:r>
        <w:rPr>
          <w:rFonts w:hint="eastAsia" w:ascii="仿宋" w:hAnsi="仿宋" w:eastAsia="仿宋"/>
          <w:color w:val="auto"/>
          <w:sz w:val="32"/>
          <w:szCs w:val="32"/>
          <w:lang w:val="en-US" w:eastAsia="zh-CN"/>
        </w:rPr>
        <w:t>支出1203.31万元，占86.18%</w:t>
      </w:r>
      <w:r>
        <w:rPr>
          <w:rFonts w:hint="eastAsia" w:ascii="仿宋" w:hAnsi="仿宋" w:eastAsia="仿宋"/>
          <w:color w:val="auto"/>
          <w:sz w:val="32"/>
          <w:szCs w:val="32"/>
        </w:rPr>
        <w:t>。</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2080505机关事业单位基本养老保险缴费支出45.46万元</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2080506机关事业单位职业年金缴费支出18.19万元</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2101101行政单位医疗7.99万元</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2101102事业单位医疗7.99万元</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2101103公务员医疗补助1.7万元</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2101199其他行政事业单位医疗支出1.7万元</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2200101行政运行202.9万元</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2200102一般行政管理事务1.94万元</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2200111地质灾害防治866.17万元</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2200150事业运行132.3万元</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2200404地震监测1万元</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2209901其他国土海洋气象等支出80.4万元</w:t>
      </w:r>
    </w:p>
    <w:p>
      <w:pPr>
        <w:spacing w:line="600" w:lineRule="exact"/>
        <w:ind w:firstLine="64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2210201住房公积金28.54万元</w:t>
      </w:r>
    </w:p>
    <w:p>
      <w:pPr>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（图6：一般公共预算财政拨款支出决算结构）（饼状图）</w:t>
      </w:r>
    </w:p>
    <w:p>
      <w:pPr>
        <w:pStyle w:val="2"/>
        <w:rPr>
          <w:rFonts w:hint="eastAsia" w:ascii="仿宋" w:hAnsi="仿宋" w:eastAsia="仿宋"/>
          <w:color w:val="auto"/>
          <w:sz w:val="32"/>
          <w:szCs w:val="32"/>
        </w:rPr>
      </w:pPr>
    </w:p>
    <w:p>
      <w:pPr>
        <w:pStyle w:val="2"/>
        <w:rPr>
          <w:rFonts w:hint="eastAsia" w:ascii="仿宋" w:hAnsi="仿宋" w:eastAsia="仿宋"/>
          <w:color w:val="auto"/>
          <w:sz w:val="32"/>
          <w:szCs w:val="32"/>
        </w:rPr>
      </w:pPr>
      <w:r>
        <w:rPr>
          <w:color w:val="auto"/>
        </w:rPr>
        <w:drawing>
          <wp:inline distT="0" distB="0" distL="114300" distR="114300">
            <wp:extent cx="5273040" cy="2736215"/>
            <wp:effectExtent l="5080" t="4445" r="17780" b="21590"/>
            <wp:docPr id="1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auto"/>
          <w:sz w:val="32"/>
          <w:szCs w:val="32"/>
        </w:rPr>
      </w:pPr>
    </w:p>
    <w:p>
      <w:pPr>
        <w:spacing w:line="600" w:lineRule="exact"/>
        <w:ind w:firstLine="643" w:firstLineChars="200"/>
        <w:outlineLvl w:val="2"/>
        <w:rPr>
          <w:rFonts w:ascii="仿宋" w:hAnsi="仿宋" w:eastAsia="仿宋"/>
          <w:b/>
          <w:color w:val="auto"/>
          <w:sz w:val="32"/>
          <w:szCs w:val="32"/>
        </w:rPr>
      </w:pPr>
      <w:bookmarkStart w:id="40" w:name="_Toc15377212"/>
      <w:r>
        <w:rPr>
          <w:rFonts w:hint="eastAsia" w:ascii="仿宋" w:hAnsi="仿宋" w:eastAsia="仿宋"/>
          <w:b/>
          <w:color w:val="auto"/>
          <w:sz w:val="32"/>
          <w:szCs w:val="32"/>
        </w:rPr>
        <w:t>（三）一般公共预算财政拨款支出决算具体情况</w:t>
      </w:r>
      <w:bookmarkEnd w:id="40"/>
    </w:p>
    <w:p>
      <w:pPr>
        <w:spacing w:line="600" w:lineRule="exact"/>
        <w:ind w:firstLine="643" w:firstLineChars="200"/>
        <w:outlineLvl w:val="2"/>
        <w:rPr>
          <w:rFonts w:ascii="仿宋" w:hAnsi="仿宋" w:eastAsia="仿宋"/>
          <w:color w:val="auto"/>
          <w:sz w:val="32"/>
          <w:szCs w:val="32"/>
        </w:rPr>
      </w:pPr>
      <w:bookmarkStart w:id="41" w:name="_Toc15377444"/>
      <w:bookmarkStart w:id="42" w:name="_Toc15378460"/>
      <w:bookmarkStart w:id="43" w:name="_Toc15377213"/>
      <w:r>
        <w:rPr>
          <w:rFonts w:hint="eastAsia" w:ascii="仿宋" w:hAnsi="仿宋" w:eastAsia="仿宋"/>
          <w:b/>
          <w:color w:val="auto"/>
          <w:sz w:val="32"/>
          <w:szCs w:val="32"/>
        </w:rPr>
        <w:t>2018年</w:t>
      </w:r>
      <w:r>
        <w:rPr>
          <w:rFonts w:hint="eastAsia" w:ascii="仿宋" w:hAnsi="仿宋" w:eastAsia="仿宋"/>
          <w:b/>
          <w:color w:val="auto"/>
          <w:sz w:val="32"/>
          <w:szCs w:val="32"/>
          <w:lang w:eastAsia="zh-CN"/>
        </w:rPr>
        <w:t>一</w:t>
      </w:r>
      <w:r>
        <w:rPr>
          <w:rFonts w:hint="eastAsia" w:ascii="仿宋" w:hAnsi="仿宋" w:eastAsia="仿宋"/>
          <w:b/>
          <w:color w:val="auto"/>
          <w:sz w:val="32"/>
          <w:szCs w:val="32"/>
        </w:rPr>
        <w:t>般公共预算支出决算数为</w:t>
      </w:r>
      <w:r>
        <w:rPr>
          <w:rFonts w:hint="eastAsia" w:ascii="仿宋" w:hAnsi="仿宋" w:eastAsia="仿宋"/>
          <w:b/>
          <w:color w:val="auto"/>
          <w:sz w:val="32"/>
          <w:szCs w:val="32"/>
          <w:lang w:val="en-US" w:eastAsia="zh-CN"/>
        </w:rPr>
        <w:t>1396.29万元</w:t>
      </w:r>
      <w:r>
        <w:rPr>
          <w:rFonts w:hint="eastAsia" w:ascii="仿宋" w:hAnsi="仿宋" w:eastAsia="仿宋"/>
          <w:color w:val="auto"/>
          <w:sz w:val="32"/>
          <w:szCs w:val="32"/>
        </w:rPr>
        <w:t>，</w:t>
      </w:r>
      <w:r>
        <w:rPr>
          <w:rStyle w:val="15"/>
          <w:rFonts w:hint="eastAsia" w:ascii="仿宋" w:hAnsi="仿宋" w:eastAsia="仿宋"/>
          <w:bCs/>
          <w:color w:val="auto"/>
          <w:sz w:val="32"/>
          <w:szCs w:val="32"/>
        </w:rPr>
        <w:t>完成预算</w:t>
      </w:r>
      <w:r>
        <w:rPr>
          <w:rStyle w:val="15"/>
          <w:rFonts w:hint="eastAsia" w:ascii="仿宋" w:hAnsi="仿宋" w:eastAsia="仿宋"/>
          <w:bCs/>
          <w:color w:val="auto"/>
          <w:sz w:val="32"/>
          <w:szCs w:val="32"/>
          <w:lang w:val="en-US" w:eastAsia="zh-CN"/>
        </w:rPr>
        <w:t>79.97</w:t>
      </w:r>
      <w:r>
        <w:rPr>
          <w:rStyle w:val="15"/>
          <w:rFonts w:ascii="仿宋" w:hAnsi="仿宋" w:eastAsia="仿宋"/>
          <w:bCs/>
          <w:color w:val="auto"/>
          <w:sz w:val="32"/>
          <w:szCs w:val="32"/>
        </w:rPr>
        <w:t>%</w:t>
      </w:r>
      <w:r>
        <w:rPr>
          <w:rStyle w:val="15"/>
          <w:rFonts w:hint="eastAsia" w:ascii="仿宋" w:hAnsi="仿宋" w:eastAsia="仿宋"/>
          <w:bCs/>
          <w:color w:val="auto"/>
          <w:sz w:val="32"/>
          <w:szCs w:val="32"/>
        </w:rPr>
        <w:t>。其中：</w:t>
      </w:r>
      <w:bookmarkEnd w:id="41"/>
      <w:bookmarkEnd w:id="42"/>
      <w:bookmarkEnd w:id="43"/>
    </w:p>
    <w:p>
      <w:pPr>
        <w:numPr>
          <w:ilvl w:val="0"/>
          <w:numId w:val="3"/>
        </w:numPr>
        <w:spacing w:line="600" w:lineRule="exact"/>
        <w:ind w:firstLine="643" w:firstLineChars="200"/>
        <w:rPr>
          <w:rStyle w:val="15"/>
          <w:rFonts w:hint="eastAsia" w:ascii="仿宋" w:hAnsi="仿宋" w:eastAsia="仿宋"/>
          <w:b w:val="0"/>
          <w:bCs/>
          <w:color w:val="auto"/>
          <w:sz w:val="32"/>
          <w:szCs w:val="32"/>
          <w:lang w:val="en-US" w:eastAsia="zh-CN"/>
        </w:rPr>
      </w:pPr>
      <w:r>
        <w:rPr>
          <w:rStyle w:val="15"/>
          <w:rFonts w:hint="eastAsia" w:ascii="仿宋" w:hAnsi="仿宋" w:eastAsia="仿宋"/>
          <w:bCs/>
          <w:color w:val="auto"/>
          <w:sz w:val="32"/>
          <w:szCs w:val="32"/>
          <w:lang w:eastAsia="zh-CN"/>
        </w:rPr>
        <w:t>国土海洋气象等：</w:t>
      </w:r>
      <w:r>
        <w:rPr>
          <w:rStyle w:val="15"/>
          <w:rFonts w:hint="eastAsia" w:ascii="仿宋" w:hAnsi="仿宋" w:eastAsia="仿宋"/>
          <w:b w:val="0"/>
          <w:bCs/>
          <w:color w:val="auto"/>
          <w:sz w:val="32"/>
          <w:szCs w:val="32"/>
          <w:lang w:eastAsia="zh-CN"/>
        </w:rPr>
        <w:t>支出决算为</w:t>
      </w:r>
      <w:r>
        <w:rPr>
          <w:rStyle w:val="15"/>
          <w:rFonts w:hint="eastAsia" w:ascii="仿宋" w:hAnsi="仿宋" w:eastAsia="仿宋"/>
          <w:b w:val="0"/>
          <w:bCs/>
          <w:color w:val="auto"/>
          <w:sz w:val="32"/>
          <w:szCs w:val="32"/>
          <w:lang w:val="en-US" w:eastAsia="zh-CN"/>
        </w:rPr>
        <w:t>1284.71万元</w:t>
      </w:r>
      <w:r>
        <w:rPr>
          <w:rStyle w:val="15"/>
          <w:rFonts w:hint="eastAsia" w:ascii="仿宋" w:hAnsi="仿宋" w:eastAsia="仿宋"/>
          <w:bCs/>
          <w:color w:val="auto"/>
          <w:sz w:val="32"/>
          <w:szCs w:val="32"/>
          <w:lang w:val="en-US" w:eastAsia="zh-CN"/>
        </w:rPr>
        <w:t>，</w:t>
      </w:r>
      <w:r>
        <w:rPr>
          <w:rStyle w:val="15"/>
          <w:rFonts w:hint="eastAsia" w:ascii="仿宋" w:hAnsi="仿宋" w:eastAsia="仿宋"/>
          <w:b w:val="0"/>
          <w:bCs/>
          <w:color w:val="auto"/>
          <w:sz w:val="32"/>
          <w:szCs w:val="32"/>
        </w:rPr>
        <w:t>完成预算</w:t>
      </w:r>
      <w:r>
        <w:rPr>
          <w:rStyle w:val="15"/>
          <w:rFonts w:hint="eastAsia" w:ascii="仿宋" w:hAnsi="仿宋" w:eastAsia="仿宋"/>
          <w:b w:val="0"/>
          <w:bCs/>
          <w:color w:val="auto"/>
          <w:sz w:val="32"/>
          <w:szCs w:val="32"/>
          <w:lang w:val="en-US" w:eastAsia="zh-CN"/>
        </w:rPr>
        <w:t>78.6</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，决算数小于预算数的主要原因是</w:t>
      </w:r>
      <w:r>
        <w:rPr>
          <w:rStyle w:val="15"/>
          <w:rFonts w:hint="eastAsia" w:ascii="仿宋" w:hAnsi="仿宋" w:eastAsia="仿宋"/>
          <w:b w:val="0"/>
          <w:bCs/>
          <w:color w:val="auto"/>
          <w:sz w:val="32"/>
          <w:szCs w:val="32"/>
          <w:lang w:eastAsia="zh-CN"/>
        </w:rPr>
        <w:t>预算时将部分地质灾害防治治理项目资金纳入其中，实际本年未完成部分项目。</w:t>
      </w:r>
    </w:p>
    <w:p>
      <w:pPr>
        <w:numPr>
          <w:ilvl w:val="0"/>
          <w:numId w:val="0"/>
        </w:numPr>
        <w:spacing w:line="600" w:lineRule="exact"/>
        <w:ind w:firstLine="640" w:firstLineChars="200"/>
        <w:rPr>
          <w:rStyle w:val="15"/>
          <w:rFonts w:hint="eastAsia" w:ascii="仿宋" w:hAnsi="仿宋" w:eastAsia="仿宋"/>
          <w:b w:val="0"/>
          <w:bCs/>
          <w:color w:val="auto"/>
          <w:sz w:val="32"/>
          <w:szCs w:val="32"/>
          <w:lang w:val="en-US" w:eastAsia="zh-CN"/>
        </w:rPr>
      </w:pPr>
      <w:r>
        <w:rPr>
          <w:rStyle w:val="15"/>
          <w:rFonts w:hint="eastAsia" w:ascii="仿宋" w:hAnsi="仿宋" w:eastAsia="仿宋"/>
          <w:b w:val="0"/>
          <w:bCs/>
          <w:color w:val="auto"/>
          <w:sz w:val="32"/>
          <w:szCs w:val="32"/>
          <w:lang w:val="en-US" w:eastAsia="zh-CN"/>
        </w:rPr>
        <w:t>2200101行政运行支出202.9万元</w:t>
      </w:r>
    </w:p>
    <w:p>
      <w:pPr>
        <w:pStyle w:val="2"/>
        <w:ind w:left="0" w:leftChars="0" w:firstLine="640" w:firstLineChars="200"/>
        <w:rPr>
          <w:rStyle w:val="15"/>
          <w:rFonts w:hint="eastAsia" w:ascii="仿宋" w:hAnsi="仿宋" w:eastAsia="仿宋"/>
          <w:b w:val="0"/>
          <w:bCs/>
          <w:color w:val="auto"/>
          <w:sz w:val="32"/>
          <w:szCs w:val="32"/>
          <w:lang w:val="en-US" w:eastAsia="zh-CN"/>
        </w:rPr>
      </w:pPr>
      <w:r>
        <w:rPr>
          <w:rStyle w:val="15"/>
          <w:rFonts w:hint="eastAsia" w:ascii="仿宋" w:hAnsi="仿宋" w:eastAsia="仿宋"/>
          <w:b w:val="0"/>
          <w:bCs/>
          <w:color w:val="auto"/>
          <w:sz w:val="32"/>
          <w:szCs w:val="32"/>
          <w:lang w:val="en-US" w:eastAsia="zh-CN"/>
        </w:rPr>
        <w:t>2200102一般行政管理事务支出1.94万元</w:t>
      </w:r>
    </w:p>
    <w:p>
      <w:pPr>
        <w:pStyle w:val="2"/>
        <w:ind w:left="0" w:leftChars="0" w:firstLine="640" w:firstLineChars="200"/>
        <w:rPr>
          <w:rStyle w:val="15"/>
          <w:rFonts w:hint="eastAsia" w:ascii="仿宋" w:hAnsi="仿宋" w:eastAsia="仿宋"/>
          <w:b w:val="0"/>
          <w:bCs/>
          <w:color w:val="auto"/>
          <w:sz w:val="32"/>
          <w:szCs w:val="32"/>
          <w:lang w:val="en-US" w:eastAsia="zh-CN"/>
        </w:rPr>
      </w:pPr>
      <w:r>
        <w:rPr>
          <w:rStyle w:val="15"/>
          <w:rFonts w:hint="eastAsia" w:ascii="仿宋" w:hAnsi="仿宋" w:eastAsia="仿宋"/>
          <w:b w:val="0"/>
          <w:bCs/>
          <w:color w:val="auto"/>
          <w:sz w:val="32"/>
          <w:szCs w:val="32"/>
          <w:lang w:val="en-US" w:eastAsia="zh-CN"/>
        </w:rPr>
        <w:t>2200111地质灾害防治支出866.17万元</w:t>
      </w:r>
    </w:p>
    <w:p>
      <w:pPr>
        <w:pStyle w:val="2"/>
        <w:ind w:left="0" w:leftChars="0" w:firstLine="640" w:firstLineChars="200"/>
        <w:rPr>
          <w:rStyle w:val="15"/>
          <w:rFonts w:hint="eastAsia" w:ascii="仿宋" w:hAnsi="仿宋" w:eastAsia="仿宋"/>
          <w:b w:val="0"/>
          <w:bCs/>
          <w:color w:val="auto"/>
          <w:sz w:val="32"/>
          <w:szCs w:val="32"/>
          <w:lang w:val="en-US" w:eastAsia="zh-CN"/>
        </w:rPr>
      </w:pPr>
      <w:r>
        <w:rPr>
          <w:rStyle w:val="15"/>
          <w:rFonts w:hint="eastAsia" w:ascii="仿宋" w:hAnsi="仿宋" w:eastAsia="仿宋"/>
          <w:b w:val="0"/>
          <w:bCs/>
          <w:color w:val="auto"/>
          <w:sz w:val="32"/>
          <w:szCs w:val="32"/>
          <w:lang w:val="en-US" w:eastAsia="zh-CN"/>
        </w:rPr>
        <w:t>2200404地震监测支出1万元</w:t>
      </w:r>
    </w:p>
    <w:p>
      <w:pPr>
        <w:pStyle w:val="2"/>
        <w:ind w:left="0" w:leftChars="0" w:firstLine="640" w:firstLineChars="200"/>
        <w:rPr>
          <w:rFonts w:hint="default"/>
          <w:color w:val="auto"/>
          <w:lang w:val="en-US"/>
        </w:rPr>
      </w:pPr>
      <w:r>
        <w:rPr>
          <w:rStyle w:val="15"/>
          <w:rFonts w:hint="eastAsia" w:ascii="仿宋" w:hAnsi="仿宋" w:eastAsia="仿宋"/>
          <w:b w:val="0"/>
          <w:bCs/>
          <w:color w:val="auto"/>
          <w:sz w:val="32"/>
          <w:szCs w:val="32"/>
          <w:lang w:val="en-US" w:eastAsia="zh-CN"/>
        </w:rPr>
        <w:t>2209901其他国土海洋气象等支出80.4万元</w:t>
      </w:r>
    </w:p>
    <w:p>
      <w:pPr>
        <w:numPr>
          <w:ilvl w:val="0"/>
          <w:numId w:val="3"/>
        </w:numPr>
        <w:spacing w:line="600" w:lineRule="exact"/>
        <w:ind w:left="0" w:leftChars="0" w:firstLine="643" w:firstLineChars="200"/>
        <w:rPr>
          <w:rStyle w:val="15"/>
          <w:rFonts w:hint="eastAsia" w:ascii="仿宋" w:hAnsi="仿宋" w:eastAsia="仿宋"/>
          <w:b w:val="0"/>
          <w:bCs/>
          <w:color w:val="auto"/>
          <w:sz w:val="32"/>
          <w:szCs w:val="32"/>
          <w:lang w:eastAsia="zh-CN"/>
        </w:rPr>
      </w:pPr>
      <w:r>
        <w:rPr>
          <w:rStyle w:val="15"/>
          <w:rFonts w:hint="eastAsia" w:ascii="仿宋" w:hAnsi="仿宋" w:eastAsia="仿宋"/>
          <w:bCs/>
          <w:color w:val="auto"/>
          <w:sz w:val="32"/>
          <w:szCs w:val="32"/>
        </w:rPr>
        <w:t>社会保障和就业</w:t>
      </w:r>
      <w:r>
        <w:rPr>
          <w:rStyle w:val="15"/>
          <w:rFonts w:ascii="仿宋" w:hAnsi="仿宋" w:eastAsia="仿宋"/>
          <w:bCs/>
          <w:color w:val="auto"/>
          <w:sz w:val="32"/>
          <w:szCs w:val="32"/>
        </w:rPr>
        <w:t>:</w:t>
      </w:r>
      <w:r>
        <w:rPr>
          <w:rStyle w:val="15"/>
          <w:rFonts w:ascii="仿宋" w:hAnsi="仿宋" w:eastAsia="仿宋"/>
          <w:b w:val="0"/>
          <w:bCs/>
          <w:color w:val="auto"/>
          <w:sz w:val="32"/>
          <w:szCs w:val="32"/>
        </w:rPr>
        <w:t xml:space="preserve"> </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63.65</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，决算数等于预算数</w:t>
      </w:r>
      <w:r>
        <w:rPr>
          <w:rStyle w:val="15"/>
          <w:rFonts w:hint="eastAsia" w:ascii="仿宋" w:hAnsi="仿宋" w:eastAsia="仿宋"/>
          <w:b w:val="0"/>
          <w:bCs/>
          <w:color w:val="auto"/>
          <w:sz w:val="32"/>
          <w:szCs w:val="32"/>
          <w:lang w:eastAsia="zh-CN"/>
        </w:rPr>
        <w:t>。</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2080505机关事业单位基本养老保险缴费支出45.46万元</w:t>
      </w:r>
    </w:p>
    <w:p>
      <w:pPr>
        <w:spacing w:line="600" w:lineRule="exact"/>
        <w:ind w:firstLine="640"/>
        <w:rPr>
          <w:rFonts w:hint="eastAsia"/>
          <w:color w:val="auto"/>
          <w:lang w:eastAsia="zh-CN"/>
        </w:rPr>
      </w:pPr>
      <w:r>
        <w:rPr>
          <w:rFonts w:hint="eastAsia" w:ascii="仿宋" w:hAnsi="仿宋" w:eastAsia="仿宋"/>
          <w:color w:val="auto"/>
          <w:sz w:val="32"/>
          <w:szCs w:val="32"/>
          <w:lang w:val="en-US" w:eastAsia="zh-CN"/>
        </w:rPr>
        <w:t>2080506机关事业单位职业年金缴费支出18.19万元</w:t>
      </w:r>
    </w:p>
    <w:p>
      <w:pPr>
        <w:numPr>
          <w:ilvl w:val="0"/>
          <w:numId w:val="3"/>
        </w:numPr>
        <w:spacing w:line="600" w:lineRule="exact"/>
        <w:ind w:left="0" w:leftChars="0" w:firstLine="643" w:firstLineChars="200"/>
        <w:rPr>
          <w:rFonts w:ascii="仿宋" w:hAnsi="仿宋" w:eastAsia="仿宋"/>
          <w:b/>
          <w:color w:val="auto"/>
          <w:sz w:val="32"/>
          <w:szCs w:val="32"/>
        </w:rPr>
      </w:pPr>
      <w:r>
        <w:rPr>
          <w:rStyle w:val="15"/>
          <w:rFonts w:hint="eastAsia" w:ascii="仿宋" w:hAnsi="仿宋" w:eastAsia="仿宋"/>
          <w:bCs/>
          <w:color w:val="auto"/>
          <w:sz w:val="32"/>
          <w:szCs w:val="32"/>
        </w:rPr>
        <w:t>医疗卫生与计划生育</w:t>
      </w:r>
      <w:r>
        <w:rPr>
          <w:rStyle w:val="15"/>
          <w:rFonts w:ascii="仿宋" w:hAnsi="仿宋" w:eastAsia="仿宋"/>
          <w:bCs/>
          <w:color w:val="auto"/>
          <w:sz w:val="32"/>
          <w:szCs w:val="32"/>
        </w:rPr>
        <w:t>:</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19.38</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，决算数等于预算数。</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2101101行政单位医疗7.99万元</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2101102事业单位医疗7.99万元</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2101103公务员医疗补助1.7万元</w:t>
      </w:r>
    </w:p>
    <w:p>
      <w:pPr>
        <w:spacing w:line="600" w:lineRule="exact"/>
        <w:ind w:firstLine="64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2101199其他行政事业单位医疗支出1.7万元</w:t>
      </w:r>
    </w:p>
    <w:p>
      <w:pPr>
        <w:numPr>
          <w:ilvl w:val="0"/>
          <w:numId w:val="3"/>
        </w:numPr>
        <w:spacing w:line="600" w:lineRule="exact"/>
        <w:ind w:left="0" w:leftChars="0" w:firstLine="643" w:firstLineChars="200"/>
        <w:rPr>
          <w:rFonts w:hint="eastAsia" w:ascii="仿宋" w:hAnsi="仿宋" w:eastAsia="仿宋"/>
          <w:color w:val="auto"/>
          <w:sz w:val="32"/>
          <w:szCs w:val="32"/>
          <w:lang w:val="en-US" w:eastAsia="zh-CN"/>
        </w:rPr>
      </w:pPr>
      <w:r>
        <w:rPr>
          <w:rStyle w:val="15"/>
          <w:rFonts w:hint="eastAsia" w:ascii="仿宋" w:hAnsi="仿宋" w:eastAsia="仿宋"/>
          <w:bCs/>
          <w:color w:val="auto"/>
          <w:sz w:val="32"/>
          <w:szCs w:val="32"/>
          <w:lang w:val="en-US" w:eastAsia="zh-CN"/>
        </w:rPr>
        <w:t>住房保障支出：</w:t>
      </w:r>
      <w:r>
        <w:rPr>
          <w:rFonts w:hint="eastAsia" w:ascii="仿宋" w:hAnsi="仿宋" w:eastAsia="仿宋"/>
          <w:color w:val="auto"/>
          <w:sz w:val="32"/>
          <w:szCs w:val="32"/>
          <w:lang w:val="en-US" w:eastAsia="zh-CN"/>
        </w:rPr>
        <w:t>支出决算数为28.54万元，完成预算100%，决算数等于预算数。</w:t>
      </w:r>
    </w:p>
    <w:p>
      <w:pPr>
        <w:spacing w:line="600" w:lineRule="exact"/>
        <w:ind w:firstLine="64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2210201住房公积金28.54万元</w:t>
      </w:r>
    </w:p>
    <w:p>
      <w:pPr>
        <w:tabs>
          <w:tab w:val="right" w:pos="8306"/>
        </w:tabs>
        <w:spacing w:line="600" w:lineRule="exact"/>
        <w:ind w:firstLine="640"/>
        <w:outlineLvl w:val="1"/>
        <w:rPr>
          <w:rStyle w:val="28"/>
          <w:color w:val="auto"/>
        </w:rPr>
      </w:pPr>
      <w:bookmarkStart w:id="44" w:name="_Toc15396608"/>
      <w:bookmarkStart w:id="45" w:name="_Toc15377214"/>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28"/>
          <w:rFonts w:hint="eastAsia" w:ascii="黑体" w:hAnsi="黑体" w:eastAsia="黑体"/>
          <w:b w:val="0"/>
          <w:color w:val="auto"/>
        </w:rPr>
        <w:t>般公共预算财政拨款基本支出决算情况说明</w:t>
      </w:r>
      <w:bookmarkEnd w:id="44"/>
      <w:bookmarkEnd w:id="45"/>
      <w:r>
        <w:rPr>
          <w:rStyle w:val="28"/>
          <w:rFonts w:ascii="黑体" w:hAnsi="黑体" w:eastAsia="黑体"/>
          <w:b w:val="0"/>
          <w:color w:val="auto"/>
        </w:rPr>
        <w:tab/>
      </w:r>
    </w:p>
    <w:p>
      <w:pPr>
        <w:spacing w:line="600" w:lineRule="exact"/>
        <w:ind w:firstLine="645"/>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8年一般公共预算财政拨款基本支出</w:t>
      </w:r>
      <w:r>
        <w:rPr>
          <w:rFonts w:hint="eastAsia" w:ascii="仿宋" w:hAnsi="仿宋" w:eastAsia="仿宋"/>
          <w:color w:val="auto"/>
          <w:sz w:val="32"/>
          <w:szCs w:val="32"/>
          <w:lang w:val="en-US" w:eastAsia="zh-CN"/>
        </w:rPr>
        <w:t>446.78</w:t>
      </w:r>
      <w:r>
        <w:rPr>
          <w:rFonts w:hint="eastAsia" w:ascii="仿宋" w:hAnsi="仿宋" w:eastAsia="仿宋"/>
          <w:color w:val="auto"/>
          <w:sz w:val="32"/>
          <w:szCs w:val="32"/>
        </w:rPr>
        <w:t>万元，其中：</w:t>
      </w:r>
    </w:p>
    <w:p>
      <w:pPr>
        <w:spacing w:line="600" w:lineRule="exact"/>
        <w:ind w:firstLine="645"/>
        <w:rPr>
          <w:rFonts w:ascii="仿宋" w:hAnsi="仿宋" w:eastAsia="仿宋"/>
          <w:b/>
          <w:color w:val="auto"/>
          <w:sz w:val="32"/>
          <w:szCs w:val="32"/>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419.6</w:t>
      </w:r>
      <w:r>
        <w:rPr>
          <w:rFonts w:hint="eastAsia" w:ascii="仿宋" w:hAnsi="仿宋" w:eastAsia="仿宋"/>
          <w:color w:val="auto"/>
          <w:sz w:val="32"/>
          <w:szCs w:val="32"/>
        </w:rPr>
        <w:t>万元，主要包括：基本工资</w:t>
      </w:r>
      <w:r>
        <w:rPr>
          <w:rFonts w:hint="eastAsia" w:ascii="仿宋" w:hAnsi="仿宋" w:eastAsia="仿宋"/>
          <w:color w:val="auto"/>
          <w:sz w:val="32"/>
          <w:szCs w:val="32"/>
          <w:lang w:val="en-US" w:eastAsia="zh-CN"/>
        </w:rPr>
        <w:t>78.24万元</w:t>
      </w:r>
      <w:r>
        <w:rPr>
          <w:rFonts w:hint="eastAsia" w:ascii="仿宋" w:hAnsi="仿宋" w:eastAsia="仿宋"/>
          <w:color w:val="auto"/>
          <w:sz w:val="32"/>
          <w:szCs w:val="32"/>
        </w:rPr>
        <w:t>、津贴补贴</w:t>
      </w:r>
      <w:r>
        <w:rPr>
          <w:rFonts w:hint="eastAsia" w:ascii="仿宋" w:hAnsi="仿宋" w:eastAsia="仿宋"/>
          <w:color w:val="auto"/>
          <w:sz w:val="32"/>
          <w:szCs w:val="32"/>
          <w:lang w:val="en-US" w:eastAsia="zh-CN"/>
        </w:rPr>
        <w:t>130.77万元</w:t>
      </w:r>
      <w:r>
        <w:rPr>
          <w:rFonts w:hint="eastAsia" w:ascii="仿宋" w:hAnsi="仿宋" w:eastAsia="仿宋"/>
          <w:color w:val="auto"/>
          <w:sz w:val="32"/>
          <w:szCs w:val="32"/>
        </w:rPr>
        <w:t>、奖金</w:t>
      </w:r>
      <w:r>
        <w:rPr>
          <w:rFonts w:hint="eastAsia" w:ascii="仿宋" w:hAnsi="仿宋" w:eastAsia="仿宋"/>
          <w:color w:val="auto"/>
          <w:sz w:val="32"/>
          <w:szCs w:val="32"/>
          <w:lang w:val="en-US" w:eastAsia="zh-CN"/>
        </w:rPr>
        <w:t>52.96万元</w:t>
      </w:r>
      <w:r>
        <w:rPr>
          <w:rFonts w:hint="eastAsia" w:ascii="仿宋" w:hAnsi="仿宋" w:eastAsia="仿宋"/>
          <w:color w:val="auto"/>
          <w:sz w:val="32"/>
          <w:szCs w:val="32"/>
        </w:rPr>
        <w:t>、绩效工资</w:t>
      </w:r>
      <w:r>
        <w:rPr>
          <w:rFonts w:hint="eastAsia" w:ascii="仿宋" w:hAnsi="仿宋" w:eastAsia="仿宋"/>
          <w:color w:val="auto"/>
          <w:sz w:val="32"/>
          <w:szCs w:val="32"/>
          <w:lang w:val="en-US" w:eastAsia="zh-CN"/>
        </w:rPr>
        <w:t>39.06万元</w:t>
      </w:r>
      <w:r>
        <w:rPr>
          <w:rFonts w:hint="eastAsia" w:ascii="仿宋" w:hAnsi="仿宋" w:eastAsia="仿宋"/>
          <w:color w:val="auto"/>
          <w:sz w:val="32"/>
          <w:szCs w:val="32"/>
        </w:rPr>
        <w:t>、机关事业单位基本养老保险缴费</w:t>
      </w:r>
      <w:r>
        <w:rPr>
          <w:rFonts w:hint="eastAsia" w:ascii="仿宋" w:hAnsi="仿宋" w:eastAsia="仿宋"/>
          <w:color w:val="auto"/>
          <w:sz w:val="32"/>
          <w:szCs w:val="32"/>
          <w:lang w:val="en-US" w:eastAsia="zh-CN"/>
        </w:rPr>
        <w:t>45.46万元</w:t>
      </w:r>
      <w:r>
        <w:rPr>
          <w:rFonts w:hint="eastAsia" w:ascii="仿宋" w:hAnsi="仿宋" w:eastAsia="仿宋"/>
          <w:color w:val="auto"/>
          <w:sz w:val="32"/>
          <w:szCs w:val="32"/>
        </w:rPr>
        <w:t>、职业年金缴费</w:t>
      </w:r>
      <w:r>
        <w:rPr>
          <w:rFonts w:hint="eastAsia" w:ascii="仿宋" w:hAnsi="仿宋" w:eastAsia="仿宋"/>
          <w:color w:val="auto"/>
          <w:sz w:val="32"/>
          <w:szCs w:val="32"/>
          <w:lang w:val="en-US" w:eastAsia="zh-CN"/>
        </w:rPr>
        <w:t>18.19万元</w:t>
      </w:r>
      <w:r>
        <w:rPr>
          <w:rFonts w:hint="eastAsia" w:ascii="仿宋" w:hAnsi="仿宋" w:eastAsia="仿宋"/>
          <w:color w:val="auto"/>
          <w:sz w:val="32"/>
          <w:szCs w:val="32"/>
        </w:rPr>
        <w:t>、其他社会保障缴费</w:t>
      </w:r>
      <w:r>
        <w:rPr>
          <w:rFonts w:hint="eastAsia" w:ascii="仿宋" w:hAnsi="仿宋" w:eastAsia="仿宋"/>
          <w:color w:val="auto"/>
          <w:sz w:val="32"/>
          <w:szCs w:val="32"/>
          <w:lang w:val="en-US" w:eastAsia="zh-CN"/>
        </w:rPr>
        <w:t>4.86万元</w:t>
      </w:r>
      <w:r>
        <w:rPr>
          <w:rFonts w:hint="eastAsia" w:ascii="仿宋" w:hAnsi="仿宋" w:eastAsia="仿宋"/>
          <w:color w:val="auto"/>
          <w:sz w:val="32"/>
          <w:szCs w:val="32"/>
        </w:rPr>
        <w:t>、</w:t>
      </w:r>
      <w:r>
        <w:rPr>
          <w:rFonts w:hint="eastAsia" w:ascii="仿宋" w:hAnsi="仿宋" w:eastAsia="仿宋"/>
          <w:color w:val="auto"/>
          <w:sz w:val="32"/>
          <w:szCs w:val="32"/>
          <w:lang w:eastAsia="zh-CN"/>
        </w:rPr>
        <w:t>职工基本医疗保险缴费</w:t>
      </w:r>
      <w:r>
        <w:rPr>
          <w:rFonts w:hint="eastAsia" w:ascii="仿宋" w:hAnsi="仿宋" w:eastAsia="仿宋"/>
          <w:color w:val="auto"/>
          <w:sz w:val="32"/>
          <w:szCs w:val="32"/>
          <w:lang w:val="en-US" w:eastAsia="zh-CN"/>
        </w:rPr>
        <w:t>15.98万元、公务员医疗补助缴费1.7万元</w:t>
      </w:r>
      <w:r>
        <w:rPr>
          <w:rFonts w:hint="eastAsia" w:ascii="仿宋" w:hAnsi="仿宋" w:eastAsia="仿宋"/>
          <w:color w:val="auto"/>
          <w:sz w:val="32"/>
          <w:szCs w:val="32"/>
        </w:rPr>
        <w:t>医疗费</w:t>
      </w:r>
      <w:r>
        <w:rPr>
          <w:rFonts w:hint="eastAsia" w:ascii="仿宋" w:hAnsi="仿宋" w:eastAsia="仿宋"/>
          <w:color w:val="auto"/>
          <w:sz w:val="32"/>
          <w:szCs w:val="32"/>
          <w:lang w:val="en-US" w:eastAsia="zh-CN"/>
        </w:rPr>
        <w:t>3.83万元</w:t>
      </w:r>
      <w:r>
        <w:rPr>
          <w:rFonts w:hint="eastAsia" w:ascii="仿宋" w:hAnsi="仿宋" w:eastAsia="仿宋"/>
          <w:color w:val="auto"/>
          <w:sz w:val="32"/>
          <w:szCs w:val="32"/>
        </w:rPr>
        <w:t>、奖励金、住房公积金</w:t>
      </w:r>
      <w:r>
        <w:rPr>
          <w:rFonts w:hint="eastAsia" w:ascii="仿宋" w:hAnsi="仿宋" w:eastAsia="仿宋"/>
          <w:color w:val="auto"/>
          <w:sz w:val="32"/>
          <w:szCs w:val="32"/>
          <w:lang w:val="en-US" w:eastAsia="zh-CN"/>
        </w:rPr>
        <w:t>28.54万元</w:t>
      </w:r>
      <w:r>
        <w:rPr>
          <w:rFonts w:hint="eastAsia" w:ascii="仿宋" w:hAnsi="仿宋" w:eastAsia="仿宋"/>
          <w:color w:val="auto"/>
          <w:sz w:val="32"/>
          <w:szCs w:val="32"/>
        </w:rPr>
        <w:t>。</w:t>
      </w:r>
      <w:r>
        <w:rPr>
          <w:rFonts w:ascii="仿宋" w:hAnsi="仿宋" w:eastAsia="仿宋"/>
          <w:color w:val="auto"/>
          <w:sz w:val="32"/>
          <w:szCs w:val="32"/>
        </w:rPr>
        <w:br w:type="textWrapping"/>
      </w:r>
      <w:r>
        <w:rPr>
          <w:rFonts w:hint="eastAsia" w:ascii="仿宋" w:hAnsi="仿宋" w:eastAsia="仿宋"/>
          <w:color w:val="auto"/>
          <w:sz w:val="32"/>
          <w:szCs w:val="32"/>
        </w:rPr>
        <w:t>　　公用经费</w:t>
      </w:r>
      <w:r>
        <w:rPr>
          <w:rFonts w:hint="eastAsia" w:ascii="仿宋" w:hAnsi="仿宋" w:eastAsia="仿宋"/>
          <w:color w:val="auto"/>
          <w:sz w:val="32"/>
          <w:szCs w:val="32"/>
          <w:lang w:val="en-US" w:eastAsia="zh-CN"/>
        </w:rPr>
        <w:t>27.18</w:t>
      </w:r>
      <w:r>
        <w:rPr>
          <w:rFonts w:hint="eastAsia" w:ascii="仿宋" w:hAnsi="仿宋" w:eastAsia="仿宋"/>
          <w:color w:val="auto"/>
          <w:sz w:val="32"/>
          <w:szCs w:val="32"/>
        </w:rPr>
        <w:t>万元，主要包括：办公费</w:t>
      </w:r>
      <w:r>
        <w:rPr>
          <w:rFonts w:hint="eastAsia" w:ascii="仿宋" w:hAnsi="仿宋" w:eastAsia="仿宋"/>
          <w:color w:val="auto"/>
          <w:sz w:val="32"/>
          <w:szCs w:val="32"/>
          <w:lang w:val="en-US" w:eastAsia="zh-CN"/>
        </w:rPr>
        <w:t>7.8万元</w:t>
      </w:r>
      <w:r>
        <w:rPr>
          <w:rFonts w:hint="eastAsia" w:ascii="仿宋" w:hAnsi="仿宋" w:eastAsia="仿宋"/>
          <w:color w:val="auto"/>
          <w:sz w:val="32"/>
          <w:szCs w:val="32"/>
        </w:rPr>
        <w:t>、印刷费</w:t>
      </w:r>
      <w:r>
        <w:rPr>
          <w:rFonts w:hint="eastAsia" w:ascii="仿宋" w:hAnsi="仿宋" w:eastAsia="仿宋"/>
          <w:color w:val="auto"/>
          <w:sz w:val="32"/>
          <w:szCs w:val="32"/>
          <w:lang w:val="en-US" w:eastAsia="zh-CN"/>
        </w:rPr>
        <w:t>2.27万元</w:t>
      </w:r>
      <w:r>
        <w:rPr>
          <w:rFonts w:hint="eastAsia" w:ascii="仿宋" w:hAnsi="仿宋" w:eastAsia="仿宋"/>
          <w:color w:val="auto"/>
          <w:sz w:val="32"/>
          <w:szCs w:val="32"/>
        </w:rPr>
        <w:t>、手续费</w:t>
      </w:r>
      <w:r>
        <w:rPr>
          <w:rFonts w:hint="eastAsia" w:ascii="仿宋" w:hAnsi="仿宋" w:eastAsia="仿宋"/>
          <w:color w:val="auto"/>
          <w:sz w:val="32"/>
          <w:szCs w:val="32"/>
          <w:lang w:val="en-US" w:eastAsia="zh-CN"/>
        </w:rPr>
        <w:t>0.18万元</w:t>
      </w:r>
      <w:r>
        <w:rPr>
          <w:rFonts w:hint="eastAsia" w:ascii="仿宋" w:hAnsi="仿宋" w:eastAsia="仿宋"/>
          <w:color w:val="auto"/>
          <w:sz w:val="32"/>
          <w:szCs w:val="32"/>
        </w:rPr>
        <w:t>、水费</w:t>
      </w:r>
      <w:r>
        <w:rPr>
          <w:rFonts w:hint="eastAsia" w:ascii="仿宋" w:hAnsi="仿宋" w:eastAsia="仿宋"/>
          <w:color w:val="auto"/>
          <w:sz w:val="32"/>
          <w:szCs w:val="32"/>
          <w:lang w:val="en-US" w:eastAsia="zh-CN"/>
        </w:rPr>
        <w:t>0.32万元</w:t>
      </w:r>
      <w:r>
        <w:rPr>
          <w:rFonts w:hint="eastAsia" w:ascii="仿宋" w:hAnsi="仿宋" w:eastAsia="仿宋"/>
          <w:color w:val="auto"/>
          <w:sz w:val="32"/>
          <w:szCs w:val="32"/>
        </w:rPr>
        <w:t>、电费</w:t>
      </w:r>
      <w:r>
        <w:rPr>
          <w:rFonts w:hint="eastAsia" w:ascii="仿宋" w:hAnsi="仿宋" w:eastAsia="仿宋"/>
          <w:color w:val="auto"/>
          <w:sz w:val="32"/>
          <w:szCs w:val="32"/>
          <w:lang w:val="en-US" w:eastAsia="zh-CN"/>
        </w:rPr>
        <w:t>2.32万元</w:t>
      </w:r>
      <w:r>
        <w:rPr>
          <w:rFonts w:hint="eastAsia" w:ascii="仿宋" w:hAnsi="仿宋" w:eastAsia="仿宋"/>
          <w:color w:val="auto"/>
          <w:sz w:val="32"/>
          <w:szCs w:val="32"/>
        </w:rPr>
        <w:t>、邮电费</w:t>
      </w:r>
      <w:r>
        <w:rPr>
          <w:rFonts w:hint="eastAsia" w:ascii="仿宋" w:hAnsi="仿宋" w:eastAsia="仿宋"/>
          <w:color w:val="auto"/>
          <w:sz w:val="32"/>
          <w:szCs w:val="32"/>
          <w:lang w:val="en-US" w:eastAsia="zh-CN"/>
        </w:rPr>
        <w:t>2.5万元</w:t>
      </w:r>
      <w:r>
        <w:rPr>
          <w:rFonts w:hint="eastAsia" w:ascii="仿宋" w:hAnsi="仿宋" w:eastAsia="仿宋"/>
          <w:color w:val="auto"/>
          <w:sz w:val="32"/>
          <w:szCs w:val="32"/>
        </w:rPr>
        <w:t>、差旅费</w:t>
      </w:r>
      <w:r>
        <w:rPr>
          <w:rFonts w:hint="eastAsia" w:ascii="仿宋" w:hAnsi="仿宋" w:eastAsia="仿宋"/>
          <w:color w:val="auto"/>
          <w:sz w:val="32"/>
          <w:szCs w:val="32"/>
          <w:lang w:val="en-US" w:eastAsia="zh-CN"/>
        </w:rPr>
        <w:t>5.81万元</w:t>
      </w:r>
      <w:r>
        <w:rPr>
          <w:rFonts w:hint="eastAsia" w:ascii="仿宋" w:hAnsi="仿宋" w:eastAsia="仿宋"/>
          <w:color w:val="auto"/>
          <w:sz w:val="32"/>
          <w:szCs w:val="32"/>
        </w:rPr>
        <w:t>、维修（护）费</w:t>
      </w:r>
      <w:r>
        <w:rPr>
          <w:rFonts w:hint="eastAsia" w:ascii="仿宋" w:hAnsi="仿宋" w:eastAsia="仿宋"/>
          <w:color w:val="auto"/>
          <w:sz w:val="32"/>
          <w:szCs w:val="32"/>
          <w:lang w:val="en-US" w:eastAsia="zh-CN"/>
        </w:rPr>
        <w:t>0.49万元</w:t>
      </w:r>
      <w:r>
        <w:rPr>
          <w:rFonts w:hint="eastAsia" w:ascii="仿宋" w:hAnsi="仿宋" w:eastAsia="仿宋"/>
          <w:color w:val="auto"/>
          <w:sz w:val="32"/>
          <w:szCs w:val="32"/>
        </w:rPr>
        <w:t>、培训费</w:t>
      </w:r>
      <w:r>
        <w:rPr>
          <w:rFonts w:hint="eastAsia" w:ascii="仿宋" w:hAnsi="仿宋" w:eastAsia="仿宋"/>
          <w:color w:val="auto"/>
          <w:sz w:val="32"/>
          <w:szCs w:val="32"/>
          <w:lang w:val="en-US" w:eastAsia="zh-CN"/>
        </w:rPr>
        <w:t>0.35万元</w:t>
      </w:r>
      <w:r>
        <w:rPr>
          <w:rFonts w:hint="eastAsia" w:ascii="仿宋" w:hAnsi="仿宋" w:eastAsia="仿宋"/>
          <w:color w:val="auto"/>
          <w:sz w:val="32"/>
          <w:szCs w:val="32"/>
        </w:rPr>
        <w:t>、公务接待费</w:t>
      </w:r>
      <w:r>
        <w:rPr>
          <w:rFonts w:hint="eastAsia" w:ascii="仿宋" w:hAnsi="仿宋" w:eastAsia="仿宋"/>
          <w:color w:val="auto"/>
          <w:sz w:val="32"/>
          <w:szCs w:val="32"/>
          <w:lang w:val="en-US" w:eastAsia="zh-CN"/>
        </w:rPr>
        <w:t>0.44万元</w:t>
      </w:r>
      <w:r>
        <w:rPr>
          <w:rFonts w:hint="eastAsia" w:ascii="仿宋" w:hAnsi="仿宋" w:eastAsia="仿宋"/>
          <w:color w:val="auto"/>
          <w:sz w:val="32"/>
          <w:szCs w:val="32"/>
        </w:rPr>
        <w:t>、劳务费</w:t>
      </w:r>
      <w:r>
        <w:rPr>
          <w:rFonts w:hint="eastAsia" w:ascii="仿宋" w:hAnsi="仿宋" w:eastAsia="仿宋"/>
          <w:color w:val="auto"/>
          <w:sz w:val="32"/>
          <w:szCs w:val="32"/>
          <w:lang w:val="en-US" w:eastAsia="zh-CN"/>
        </w:rPr>
        <w:t>1.2万元</w:t>
      </w:r>
      <w:r>
        <w:rPr>
          <w:rFonts w:hint="eastAsia" w:ascii="仿宋" w:hAnsi="仿宋" w:eastAsia="仿宋"/>
          <w:color w:val="auto"/>
          <w:sz w:val="32"/>
          <w:szCs w:val="32"/>
        </w:rPr>
        <w:t>、公务用车运行维护费</w:t>
      </w:r>
      <w:r>
        <w:rPr>
          <w:rFonts w:hint="eastAsia" w:ascii="仿宋" w:hAnsi="仿宋" w:eastAsia="仿宋"/>
          <w:color w:val="auto"/>
          <w:sz w:val="32"/>
          <w:szCs w:val="32"/>
          <w:lang w:val="en-US" w:eastAsia="zh-CN"/>
        </w:rPr>
        <w:t>3.5万元</w:t>
      </w:r>
      <w:r>
        <w:rPr>
          <w:rFonts w:hint="eastAsia" w:ascii="仿宋" w:hAnsi="仿宋" w:eastAsia="仿宋"/>
          <w:color w:val="auto"/>
          <w:sz w:val="32"/>
          <w:szCs w:val="32"/>
        </w:rPr>
        <w:t>。</w:t>
      </w:r>
    </w:p>
    <w:p>
      <w:pPr>
        <w:spacing w:line="600" w:lineRule="exact"/>
        <w:ind w:firstLine="640"/>
        <w:outlineLvl w:val="1"/>
        <w:rPr>
          <w:rStyle w:val="28"/>
          <w:rFonts w:ascii="黑体" w:hAnsi="黑体" w:eastAsia="黑体"/>
          <w:b w:val="0"/>
          <w:color w:val="auto"/>
        </w:rPr>
      </w:pPr>
      <w:bookmarkStart w:id="46" w:name="_Toc15396609"/>
      <w:bookmarkStart w:id="47" w:name="_Toc15377215"/>
      <w:r>
        <w:rPr>
          <w:rFonts w:hint="eastAsia" w:ascii="黑体" w:eastAsia="黑体"/>
          <w:color w:val="auto"/>
          <w:sz w:val="32"/>
          <w:szCs w:val="32"/>
        </w:rPr>
        <w:t>七、</w:t>
      </w:r>
      <w:r>
        <w:rPr>
          <w:rStyle w:val="28"/>
          <w:rFonts w:hint="eastAsia" w:ascii="黑体" w:hAnsi="黑体" w:eastAsia="黑体"/>
          <w:color w:val="auto"/>
        </w:rPr>
        <w:t>“</w:t>
      </w:r>
      <w:r>
        <w:rPr>
          <w:rStyle w:val="28"/>
          <w:rFonts w:hint="eastAsia" w:ascii="黑体" w:hAnsi="黑体" w:eastAsia="黑体"/>
          <w:b w:val="0"/>
          <w:color w:val="auto"/>
        </w:rPr>
        <w:t>三公”经费财政拨款支出决算情况说明</w:t>
      </w:r>
      <w:bookmarkEnd w:id="46"/>
      <w:bookmarkEnd w:id="47"/>
    </w:p>
    <w:p>
      <w:pPr>
        <w:spacing w:line="600" w:lineRule="exact"/>
        <w:ind w:firstLine="640"/>
        <w:outlineLvl w:val="2"/>
        <w:rPr>
          <w:rFonts w:ascii="仿宋" w:hAnsi="仿宋" w:eastAsia="仿宋"/>
          <w:b/>
          <w:color w:val="auto"/>
          <w:sz w:val="32"/>
          <w:szCs w:val="32"/>
        </w:rPr>
      </w:pPr>
      <w:bookmarkStart w:id="48" w:name="_Toc15377216"/>
      <w:r>
        <w:rPr>
          <w:rFonts w:hint="eastAsia" w:ascii="仿宋" w:hAnsi="仿宋" w:eastAsia="仿宋"/>
          <w:b/>
          <w:color w:val="auto"/>
          <w:sz w:val="32"/>
          <w:szCs w:val="32"/>
        </w:rPr>
        <w:t>（一）“三公”经费财政拨款支出决算总体情况说明</w:t>
      </w:r>
      <w:bookmarkEnd w:id="48"/>
    </w:p>
    <w:p>
      <w:pPr>
        <w:spacing w:line="600" w:lineRule="exact"/>
        <w:ind w:firstLine="64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8年“三公”经费财政拨款支出决算为</w:t>
      </w:r>
      <w:r>
        <w:rPr>
          <w:rFonts w:hint="eastAsia" w:ascii="仿宋" w:hAnsi="仿宋" w:eastAsia="仿宋"/>
          <w:color w:val="auto"/>
          <w:sz w:val="32"/>
          <w:szCs w:val="32"/>
          <w:lang w:val="en-US" w:eastAsia="zh-CN"/>
        </w:rPr>
        <w:t>3.94</w:t>
      </w:r>
      <w:r>
        <w:rPr>
          <w:rFonts w:hint="eastAsia" w:ascii="仿宋" w:hAnsi="仿宋" w:eastAsia="仿宋"/>
          <w:color w:val="auto"/>
          <w:sz w:val="32"/>
          <w:szCs w:val="32"/>
        </w:rPr>
        <w:t>万元，完成预算</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，决算数与预算数持平。</w:t>
      </w:r>
    </w:p>
    <w:p>
      <w:pPr>
        <w:spacing w:line="600" w:lineRule="exact"/>
        <w:ind w:firstLine="640"/>
        <w:outlineLvl w:val="2"/>
        <w:rPr>
          <w:rFonts w:ascii="仿宋" w:hAnsi="仿宋" w:eastAsia="仿宋"/>
          <w:b/>
          <w:color w:val="auto"/>
          <w:sz w:val="32"/>
          <w:szCs w:val="32"/>
        </w:rPr>
      </w:pPr>
      <w:bookmarkStart w:id="49" w:name="_Toc15377217"/>
      <w:r>
        <w:rPr>
          <w:rFonts w:hint="eastAsia" w:ascii="仿宋" w:hAnsi="仿宋" w:eastAsia="仿宋"/>
          <w:b/>
          <w:color w:val="auto"/>
          <w:sz w:val="32"/>
          <w:szCs w:val="32"/>
        </w:rPr>
        <w:t>（二）“三公”经费财政拨款支出决算具体情况说明</w:t>
      </w:r>
      <w:bookmarkEnd w:id="49"/>
    </w:p>
    <w:p>
      <w:pPr>
        <w:spacing w:line="600" w:lineRule="exact"/>
        <w:ind w:firstLine="64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8年“三公”经费财政拨款支出决算中，因公出国（境）费支出决算</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；公务用车购置及运行维护费支出决算</w:t>
      </w:r>
      <w:r>
        <w:rPr>
          <w:rFonts w:hint="eastAsia" w:ascii="仿宋" w:hAnsi="仿宋" w:eastAsia="仿宋"/>
          <w:color w:val="auto"/>
          <w:sz w:val="32"/>
          <w:szCs w:val="32"/>
          <w:lang w:val="en-US" w:eastAsia="zh-CN"/>
        </w:rPr>
        <w:t>3.5</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88.83</w:t>
      </w:r>
      <w:r>
        <w:rPr>
          <w:rFonts w:ascii="仿宋" w:hAnsi="仿宋" w:eastAsia="仿宋"/>
          <w:color w:val="auto"/>
          <w:sz w:val="32"/>
          <w:szCs w:val="32"/>
        </w:rPr>
        <w:t>%</w:t>
      </w:r>
      <w:r>
        <w:rPr>
          <w:rFonts w:hint="eastAsia" w:ascii="仿宋" w:hAnsi="仿宋" w:eastAsia="仿宋"/>
          <w:color w:val="auto"/>
          <w:sz w:val="32"/>
          <w:szCs w:val="32"/>
        </w:rPr>
        <w:t>；公务接待费支出决算</w:t>
      </w:r>
      <w:r>
        <w:rPr>
          <w:rFonts w:hint="eastAsia" w:ascii="仿宋" w:hAnsi="仿宋" w:eastAsia="仿宋"/>
          <w:color w:val="auto"/>
          <w:sz w:val="32"/>
          <w:szCs w:val="32"/>
          <w:lang w:val="en-US" w:eastAsia="zh-CN"/>
        </w:rPr>
        <w:t>0.44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11.17</w:t>
      </w:r>
      <w:r>
        <w:rPr>
          <w:rFonts w:ascii="仿宋" w:hAnsi="仿宋" w:eastAsia="仿宋"/>
          <w:color w:val="auto"/>
          <w:sz w:val="32"/>
          <w:szCs w:val="32"/>
        </w:rPr>
        <w:t>%</w:t>
      </w:r>
      <w:r>
        <w:rPr>
          <w:rFonts w:hint="eastAsia" w:ascii="仿宋" w:hAnsi="仿宋" w:eastAsia="仿宋"/>
          <w:color w:val="auto"/>
          <w:sz w:val="32"/>
          <w:szCs w:val="32"/>
        </w:rPr>
        <w:t>。具体情况如下：</w:t>
      </w:r>
    </w:p>
    <w:p>
      <w:pPr>
        <w:spacing w:line="600" w:lineRule="exact"/>
        <w:ind w:firstLine="640"/>
        <w:rPr>
          <w:rFonts w:hint="eastAsia" w:ascii="仿宋" w:hAnsi="仿宋" w:eastAsia="仿宋"/>
          <w:color w:val="auto"/>
          <w:sz w:val="32"/>
          <w:szCs w:val="32"/>
        </w:rPr>
      </w:pPr>
      <w:r>
        <w:rPr>
          <w:rFonts w:hint="eastAsia" w:ascii="仿宋" w:hAnsi="仿宋" w:eastAsia="仿宋"/>
          <w:color w:val="auto"/>
          <w:sz w:val="32"/>
          <w:szCs w:val="32"/>
        </w:rPr>
        <w:t>（图</w:t>
      </w:r>
      <w:r>
        <w:rPr>
          <w:rFonts w:hint="eastAsia" w:ascii="仿宋" w:hAnsi="仿宋" w:eastAsia="仿宋"/>
          <w:color w:val="auto"/>
          <w:sz w:val="32"/>
          <w:szCs w:val="32"/>
          <w:lang w:val="en-US" w:eastAsia="zh-CN"/>
        </w:rPr>
        <w:t>7</w:t>
      </w:r>
      <w:r>
        <w:rPr>
          <w:rFonts w:hint="eastAsia" w:ascii="仿宋" w:hAnsi="仿宋" w:eastAsia="仿宋"/>
          <w:color w:val="auto"/>
          <w:sz w:val="32"/>
          <w:szCs w:val="32"/>
        </w:rPr>
        <w:t>：“三公”经费财政拨款支出结构）（饼状图）</w:t>
      </w:r>
    </w:p>
    <w:p>
      <w:pPr>
        <w:pStyle w:val="2"/>
        <w:rPr>
          <w:rFonts w:hint="eastAsia"/>
          <w:color w:val="auto"/>
        </w:rPr>
      </w:pPr>
      <w:r>
        <w:rPr>
          <w:color w:val="auto"/>
        </w:rPr>
        <w:drawing>
          <wp:inline distT="0" distB="0" distL="114300" distR="114300">
            <wp:extent cx="4572000" cy="2124075"/>
            <wp:effectExtent l="4445" t="4445" r="14605" b="5080"/>
            <wp:docPr id="20"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
        <w:rPr>
          <w:color w:val="auto"/>
        </w:rPr>
      </w:pPr>
    </w:p>
    <w:p>
      <w:pPr>
        <w:numPr>
          <w:ilvl w:val="0"/>
          <w:numId w:val="4"/>
        </w:numPr>
        <w:spacing w:line="600" w:lineRule="exact"/>
        <w:ind w:firstLine="640"/>
        <w:rPr>
          <w:rFonts w:hint="eastAsia" w:ascii="仿宋_GB2312" w:eastAsia="仿宋_GB2312"/>
          <w:color w:val="auto"/>
          <w:sz w:val="32"/>
          <w:szCs w:val="32"/>
          <w:lang w:eastAsia="zh-CN"/>
        </w:rPr>
      </w:pPr>
      <w:r>
        <w:rPr>
          <w:rFonts w:hint="eastAsia" w:ascii="仿宋_GB2312" w:eastAsia="仿宋_GB2312"/>
          <w:b/>
          <w:color w:val="auto"/>
          <w:sz w:val="32"/>
          <w:szCs w:val="32"/>
        </w:rPr>
        <w:t>因公出国（境）经费支出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Style w:val="15"/>
          <w:rFonts w:hint="eastAsia" w:ascii="仿宋" w:hAnsi="仿宋" w:eastAsia="仿宋"/>
          <w:b w:val="0"/>
          <w:bCs/>
          <w:color w:val="auto"/>
          <w:sz w:val="32"/>
          <w:szCs w:val="32"/>
        </w:rPr>
        <w:t>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人。因公出国（境）支出决算</w:t>
      </w:r>
      <w:r>
        <w:rPr>
          <w:rFonts w:hint="eastAsia" w:ascii="仿宋_GB2312" w:eastAsia="仿宋_GB2312"/>
          <w:color w:val="auto"/>
          <w:sz w:val="32"/>
          <w:szCs w:val="32"/>
          <w:lang w:eastAsia="zh-CN"/>
        </w:rPr>
        <w:t>与上年持平。</w:t>
      </w:r>
    </w:p>
    <w:p>
      <w:pPr>
        <w:numPr>
          <w:ilvl w:val="0"/>
          <w:numId w:val="0"/>
        </w:numPr>
        <w:spacing w:line="600" w:lineRule="exact"/>
        <w:ind w:firstLine="643" w:firstLineChars="200"/>
        <w:rPr>
          <w:rFonts w:ascii="仿宋_GB2312" w:eastAsia="仿宋_GB2312"/>
          <w:b/>
          <w:color w:val="auto"/>
          <w:sz w:val="32"/>
          <w:szCs w:val="32"/>
        </w:rPr>
      </w:pPr>
      <w:r>
        <w:rPr>
          <w:rFonts w:ascii="仿宋_GB2312" w:eastAsia="仿宋_GB2312"/>
          <w:b/>
          <w:color w:val="auto"/>
          <w:sz w:val="32"/>
          <w:szCs w:val="32"/>
        </w:rPr>
        <w:t>2.</w:t>
      </w:r>
      <w:r>
        <w:rPr>
          <w:rFonts w:hint="eastAsia" w:ascii="仿宋_GB2312" w:eastAsia="仿宋_GB2312"/>
          <w:b/>
          <w:color w:val="auto"/>
          <w:sz w:val="32"/>
          <w:szCs w:val="32"/>
        </w:rPr>
        <w:t>公务用车购置及运行维护费支出</w:t>
      </w:r>
      <w:r>
        <w:rPr>
          <w:rFonts w:hint="eastAsia" w:ascii="仿宋_GB2312" w:eastAsia="仿宋_GB2312"/>
          <w:color w:val="auto"/>
          <w:sz w:val="32"/>
          <w:szCs w:val="32"/>
          <w:lang w:val="en-US" w:eastAsia="zh-CN"/>
        </w:rPr>
        <w:t>3.5</w:t>
      </w:r>
      <w:r>
        <w:rPr>
          <w:rFonts w:hint="eastAsia" w:ascii="仿宋_GB2312" w:eastAsia="仿宋_GB2312"/>
          <w:color w:val="auto"/>
          <w:sz w:val="32"/>
          <w:szCs w:val="32"/>
        </w:rPr>
        <w:t>万元,</w:t>
      </w:r>
      <w:r>
        <w:rPr>
          <w:rStyle w:val="15"/>
          <w:rFonts w:hint="eastAsia" w:ascii="仿宋" w:hAnsi="仿宋" w:eastAsia="仿宋"/>
          <w:b w:val="0"/>
          <w:bCs/>
          <w:color w:val="auto"/>
          <w:sz w:val="32"/>
          <w:szCs w:val="32"/>
        </w:rPr>
        <w:t>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w:t>
      </w:r>
      <w:r>
        <w:rPr>
          <w:rFonts w:hint="eastAsia" w:ascii="仿宋_GB2312" w:eastAsia="仿宋_GB2312"/>
          <w:color w:val="auto"/>
          <w:sz w:val="32"/>
          <w:szCs w:val="32"/>
        </w:rPr>
        <w:t>公务用车购置及运行维护费支出决算比</w:t>
      </w:r>
      <w:r>
        <w:rPr>
          <w:rFonts w:ascii="仿宋_GB2312" w:eastAsia="仿宋_GB2312"/>
          <w:color w:val="auto"/>
          <w:sz w:val="32"/>
          <w:szCs w:val="32"/>
        </w:rPr>
        <w:t>201</w:t>
      </w:r>
      <w:r>
        <w:rPr>
          <w:rFonts w:hint="eastAsia" w:ascii="仿宋_GB2312" w:eastAsia="仿宋_GB2312"/>
          <w:color w:val="auto"/>
          <w:sz w:val="32"/>
          <w:szCs w:val="32"/>
        </w:rPr>
        <w:t>7年减少</w:t>
      </w:r>
      <w:r>
        <w:rPr>
          <w:rFonts w:hint="eastAsia" w:ascii="仿宋_GB2312" w:eastAsia="仿宋_GB2312"/>
          <w:color w:val="auto"/>
          <w:sz w:val="32"/>
          <w:szCs w:val="32"/>
          <w:lang w:val="en-US" w:eastAsia="zh-CN"/>
        </w:rPr>
        <w:t>3.37</w:t>
      </w:r>
      <w:r>
        <w:rPr>
          <w:rFonts w:hint="eastAsia" w:ascii="仿宋_GB2312" w:eastAsia="仿宋_GB2312"/>
          <w:color w:val="auto"/>
          <w:sz w:val="32"/>
          <w:szCs w:val="32"/>
        </w:rPr>
        <w:t>万元，下降</w:t>
      </w:r>
      <w:r>
        <w:rPr>
          <w:rFonts w:hint="eastAsia" w:ascii="仿宋_GB2312" w:eastAsia="仿宋_GB2312"/>
          <w:color w:val="auto"/>
          <w:sz w:val="32"/>
          <w:szCs w:val="32"/>
          <w:lang w:val="en-US" w:eastAsia="zh-CN"/>
        </w:rPr>
        <w:t>49.05</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厉行节约，规范开支。</w:t>
      </w:r>
    </w:p>
    <w:p>
      <w:pPr>
        <w:spacing w:line="600" w:lineRule="exact"/>
        <w:ind w:firstLine="640" w:firstLineChars="200"/>
        <w:rPr>
          <w:rFonts w:ascii="仿宋_GB2312" w:eastAsia="仿宋_GB2312"/>
          <w:b/>
          <w:color w:val="auto"/>
          <w:sz w:val="32"/>
          <w:szCs w:val="32"/>
        </w:rPr>
      </w:pPr>
      <w:r>
        <w:rPr>
          <w:rFonts w:hint="eastAsia" w:ascii="仿宋_GB2312" w:eastAsia="仿宋_GB2312"/>
          <w:color w:val="auto"/>
          <w:sz w:val="32"/>
          <w:szCs w:val="32"/>
        </w:rPr>
        <w:t>其中：</w:t>
      </w:r>
      <w:r>
        <w:rPr>
          <w:rFonts w:hint="eastAsia" w:ascii="仿宋_GB2312" w:eastAsia="仿宋_GB2312"/>
          <w:b/>
          <w:color w:val="auto"/>
          <w:sz w:val="32"/>
          <w:szCs w:val="32"/>
        </w:rPr>
        <w:t>公务用车购置支出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万元。全年按规定更新购置公务用车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辆，其中：轿车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万元，越野车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万元，载客汽车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万元。截至</w:t>
      </w:r>
      <w:r>
        <w:rPr>
          <w:rFonts w:ascii="仿宋_GB2312" w:eastAsia="仿宋_GB2312"/>
          <w:color w:val="auto"/>
          <w:sz w:val="32"/>
          <w:szCs w:val="32"/>
        </w:rPr>
        <w:t>201</w:t>
      </w:r>
      <w:r>
        <w:rPr>
          <w:rFonts w:hint="eastAsia" w:ascii="仿宋_GB2312" w:eastAsia="仿宋_GB2312"/>
          <w:color w:val="auto"/>
          <w:sz w:val="32"/>
          <w:szCs w:val="32"/>
        </w:rPr>
        <w:t>8年</w:t>
      </w:r>
      <w:r>
        <w:rPr>
          <w:rFonts w:ascii="仿宋_GB2312" w:eastAsia="仿宋_GB2312"/>
          <w:color w:val="auto"/>
          <w:sz w:val="32"/>
          <w:szCs w:val="32"/>
        </w:rPr>
        <w:t>12</w:t>
      </w:r>
      <w:r>
        <w:rPr>
          <w:rFonts w:hint="eastAsia" w:ascii="仿宋_GB2312" w:eastAsia="仿宋_GB2312"/>
          <w:color w:val="auto"/>
          <w:sz w:val="32"/>
          <w:szCs w:val="32"/>
        </w:rPr>
        <w:t>月底，单位共有公务用车</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辆，其中：轿车</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w:t>
      </w:r>
    </w:p>
    <w:p>
      <w:pPr>
        <w:spacing w:line="600" w:lineRule="exact"/>
        <w:ind w:firstLine="640"/>
        <w:rPr>
          <w:rFonts w:ascii="仿宋_GB2312" w:eastAsia="仿宋_GB2312"/>
          <w:color w:val="auto"/>
          <w:sz w:val="32"/>
          <w:szCs w:val="32"/>
        </w:rPr>
      </w:pPr>
      <w:r>
        <w:rPr>
          <w:rFonts w:hint="eastAsia" w:ascii="仿宋_GB2312" w:eastAsia="仿宋_GB2312"/>
          <w:b/>
          <w:color w:val="auto"/>
          <w:sz w:val="32"/>
          <w:szCs w:val="32"/>
        </w:rPr>
        <w:t>公务用车运行维护费支出</w:t>
      </w:r>
      <w:r>
        <w:rPr>
          <w:rFonts w:hint="eastAsia" w:ascii="仿宋_GB2312" w:eastAsia="仿宋_GB2312"/>
          <w:color w:val="auto"/>
          <w:sz w:val="32"/>
          <w:szCs w:val="32"/>
          <w:lang w:val="en-US" w:eastAsia="zh-CN"/>
        </w:rPr>
        <w:t>3.5</w:t>
      </w:r>
      <w:r>
        <w:rPr>
          <w:rFonts w:hint="eastAsia" w:ascii="仿宋_GB2312" w:eastAsia="仿宋_GB2312"/>
          <w:color w:val="auto"/>
          <w:sz w:val="32"/>
          <w:szCs w:val="32"/>
        </w:rPr>
        <w:t>万元。主要用于</w:t>
      </w:r>
      <w:r>
        <w:rPr>
          <w:rFonts w:hint="eastAsia" w:ascii="仿宋_GB2312" w:eastAsia="仿宋_GB2312"/>
          <w:color w:val="auto"/>
          <w:sz w:val="32"/>
          <w:szCs w:val="32"/>
          <w:lang w:eastAsia="zh-CN"/>
        </w:rPr>
        <w:t>土地调查、地灾巡查、脱贫攻坚工作</w:t>
      </w:r>
      <w:r>
        <w:rPr>
          <w:rFonts w:hint="eastAsia" w:ascii="仿宋_GB2312" w:eastAsia="仿宋_GB2312"/>
          <w:color w:val="auto"/>
          <w:sz w:val="32"/>
          <w:szCs w:val="32"/>
        </w:rPr>
        <w:t>等所需的公务用车燃料费、维修费、过路过桥费、保险费等支出。</w:t>
      </w:r>
    </w:p>
    <w:p>
      <w:pPr>
        <w:spacing w:line="600" w:lineRule="exact"/>
        <w:ind w:firstLine="640"/>
        <w:rPr>
          <w:rFonts w:ascii="仿宋_GB2312" w:eastAsia="仿宋_GB2312"/>
          <w:color w:val="auto"/>
          <w:sz w:val="32"/>
          <w:szCs w:val="32"/>
        </w:rPr>
      </w:pPr>
      <w:r>
        <w:rPr>
          <w:rFonts w:ascii="仿宋_GB2312" w:eastAsia="仿宋_GB2312"/>
          <w:b/>
          <w:color w:val="auto"/>
          <w:sz w:val="32"/>
          <w:szCs w:val="32"/>
        </w:rPr>
        <w:t>3.</w:t>
      </w:r>
      <w:r>
        <w:rPr>
          <w:rFonts w:hint="eastAsia" w:ascii="仿宋_GB2312" w:eastAsia="仿宋_GB2312"/>
          <w:b/>
          <w:color w:val="auto"/>
          <w:sz w:val="32"/>
          <w:szCs w:val="32"/>
        </w:rPr>
        <w:t>公务接待费支出</w:t>
      </w:r>
      <w:r>
        <w:rPr>
          <w:rFonts w:hint="eastAsia" w:ascii="仿宋_GB2312" w:eastAsia="仿宋_GB2312"/>
          <w:color w:val="auto"/>
          <w:sz w:val="32"/>
          <w:szCs w:val="32"/>
          <w:lang w:val="en-US" w:eastAsia="zh-CN"/>
        </w:rPr>
        <w:t>0.44</w:t>
      </w:r>
      <w:r>
        <w:rPr>
          <w:rFonts w:hint="eastAsia" w:ascii="仿宋_GB2312" w:eastAsia="仿宋_GB2312"/>
          <w:color w:val="auto"/>
          <w:sz w:val="32"/>
          <w:szCs w:val="32"/>
        </w:rPr>
        <w:t>万元，</w:t>
      </w:r>
      <w:r>
        <w:rPr>
          <w:rStyle w:val="15"/>
          <w:rFonts w:hint="eastAsia" w:ascii="仿宋" w:hAnsi="仿宋" w:eastAsia="仿宋"/>
          <w:b w:val="0"/>
          <w:bCs/>
          <w:color w:val="auto"/>
          <w:sz w:val="32"/>
          <w:szCs w:val="32"/>
        </w:rPr>
        <w:t>完成预算</w:t>
      </w:r>
      <w:r>
        <w:rPr>
          <w:rStyle w:val="15"/>
          <w:rFonts w:hint="eastAsia" w:ascii="仿宋" w:hAnsi="仿宋" w:eastAsia="仿宋"/>
          <w:b w:val="0"/>
          <w:bCs/>
          <w:color w:val="auto"/>
          <w:sz w:val="32"/>
          <w:szCs w:val="32"/>
          <w:lang w:val="en-US" w:eastAsia="zh-CN"/>
        </w:rPr>
        <w:t>10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w:t>
      </w:r>
      <w:r>
        <w:rPr>
          <w:rFonts w:hint="eastAsia" w:ascii="仿宋_GB2312" w:eastAsia="仿宋_GB2312"/>
          <w:color w:val="auto"/>
          <w:sz w:val="32"/>
          <w:szCs w:val="32"/>
        </w:rPr>
        <w:t>公务接待费支出决算比</w:t>
      </w:r>
      <w:r>
        <w:rPr>
          <w:rFonts w:ascii="仿宋_GB2312" w:eastAsia="仿宋_GB2312"/>
          <w:color w:val="auto"/>
          <w:sz w:val="32"/>
          <w:szCs w:val="32"/>
        </w:rPr>
        <w:t>201</w:t>
      </w:r>
      <w:r>
        <w:rPr>
          <w:rFonts w:hint="eastAsia" w:ascii="仿宋_GB2312" w:eastAsia="仿宋_GB2312"/>
          <w:color w:val="auto"/>
          <w:sz w:val="32"/>
          <w:szCs w:val="32"/>
        </w:rPr>
        <w:t>7年</w:t>
      </w:r>
      <w:r>
        <w:rPr>
          <w:rFonts w:hint="eastAsia" w:ascii="仿宋_GB2312" w:eastAsia="仿宋_GB2312"/>
          <w:color w:val="auto"/>
          <w:sz w:val="32"/>
          <w:szCs w:val="32"/>
          <w:lang w:eastAsia="zh-CN"/>
        </w:rPr>
        <w:t>持平</w:t>
      </w:r>
      <w:r>
        <w:rPr>
          <w:rFonts w:hint="eastAsia" w:ascii="仿宋_GB2312" w:eastAsia="仿宋_GB2312"/>
          <w:color w:val="auto"/>
          <w:sz w:val="32"/>
          <w:szCs w:val="32"/>
        </w:rPr>
        <w:t>。</w:t>
      </w:r>
    </w:p>
    <w:p>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主要用于执行公务、开展业务活动开支的交通费、住宿费、用餐费等。国内公务接待</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16</w:t>
      </w:r>
      <w:r>
        <w:rPr>
          <w:rFonts w:hint="eastAsia" w:ascii="仿宋_GB2312" w:eastAsia="仿宋_GB2312"/>
          <w:color w:val="auto"/>
          <w:sz w:val="32"/>
          <w:szCs w:val="32"/>
        </w:rPr>
        <w:t>人次（不包括陪同人员），共计支出</w:t>
      </w:r>
      <w:r>
        <w:rPr>
          <w:rFonts w:hint="eastAsia" w:ascii="仿宋_GB2312" w:eastAsia="仿宋_GB2312"/>
          <w:color w:val="auto"/>
          <w:sz w:val="32"/>
          <w:szCs w:val="32"/>
          <w:lang w:val="en-US" w:eastAsia="zh-CN"/>
        </w:rPr>
        <w:t>0.44</w:t>
      </w:r>
      <w:r>
        <w:rPr>
          <w:rFonts w:hint="eastAsia" w:ascii="仿宋_GB2312" w:eastAsia="仿宋_GB2312"/>
          <w:color w:val="auto"/>
          <w:sz w:val="32"/>
          <w:szCs w:val="32"/>
        </w:rPr>
        <w:t>万元，具体内容包括：</w:t>
      </w:r>
      <w:r>
        <w:rPr>
          <w:rFonts w:hint="eastAsia" w:ascii="仿宋_GB2312" w:eastAsia="仿宋_GB2312"/>
          <w:color w:val="auto"/>
          <w:sz w:val="32"/>
          <w:szCs w:val="32"/>
          <w:lang w:eastAsia="zh-CN"/>
        </w:rPr>
        <w:t>上级部门检查工作等。</w:t>
      </w:r>
    </w:p>
    <w:p>
      <w:pPr>
        <w:spacing w:line="600" w:lineRule="exact"/>
        <w:ind w:firstLine="643" w:firstLineChars="200"/>
        <w:rPr>
          <w:rFonts w:ascii="仿宋_GB2312" w:eastAsia="仿宋_GB2312"/>
          <w:color w:val="auto"/>
          <w:sz w:val="32"/>
          <w:szCs w:val="32"/>
        </w:rPr>
      </w:pPr>
      <w:r>
        <w:rPr>
          <w:rFonts w:hint="eastAsia" w:ascii="仿宋" w:hAnsi="仿宋" w:eastAsia="仿宋"/>
          <w:b/>
          <w:color w:val="auto"/>
          <w:sz w:val="32"/>
          <w:szCs w:val="32"/>
        </w:rPr>
        <w:t>外事接待支出</w:t>
      </w:r>
      <w:r>
        <w:rPr>
          <w:rFonts w:hint="eastAsia" w:ascii="仿宋" w:hAnsi="仿宋" w:eastAsia="仿宋"/>
          <w:color w:val="auto"/>
          <w:sz w:val="32"/>
          <w:szCs w:val="32"/>
          <w:lang w:val="en-US" w:eastAsia="zh-CN"/>
        </w:rPr>
        <w:t>0</w:t>
      </w:r>
      <w:r>
        <w:rPr>
          <w:rFonts w:hint="eastAsia" w:ascii="仿宋_GB2312" w:eastAsia="仿宋_GB2312"/>
          <w:color w:val="auto"/>
          <w:sz w:val="32"/>
          <w:szCs w:val="32"/>
        </w:rPr>
        <w:t>万元，外事接待</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人，共计支出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spacing w:line="600" w:lineRule="exact"/>
        <w:ind w:firstLine="640"/>
        <w:rPr>
          <w:rFonts w:hint="eastAsia" w:ascii="黑体" w:eastAsia="黑体"/>
          <w:color w:val="auto"/>
          <w:sz w:val="32"/>
          <w:szCs w:val="32"/>
        </w:rPr>
      </w:pPr>
      <w:r>
        <w:rPr>
          <w:rFonts w:hint="eastAsia" w:ascii="仿宋" w:hAnsi="仿宋" w:eastAsia="仿宋"/>
          <w:b/>
          <w:color w:val="auto"/>
          <w:sz w:val="32"/>
          <w:szCs w:val="32"/>
        </w:rPr>
        <w:t>其他国内公务接待支出</w:t>
      </w:r>
      <w:r>
        <w:rPr>
          <w:rFonts w:hint="eastAsia" w:ascii="仿宋" w:hAnsi="仿宋" w:eastAsia="仿宋"/>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bookmarkStart w:id="50" w:name="_Toc15377218"/>
      <w:bookmarkStart w:id="51" w:name="_Toc15396610"/>
    </w:p>
    <w:p>
      <w:pPr>
        <w:spacing w:line="600" w:lineRule="exact"/>
        <w:ind w:firstLine="640"/>
        <w:outlineLvl w:val="1"/>
        <w:rPr>
          <w:rStyle w:val="28"/>
          <w:rFonts w:ascii="黑体" w:hAnsi="黑体" w:eastAsia="黑体"/>
          <w:color w:val="auto"/>
        </w:rPr>
      </w:pPr>
      <w:r>
        <w:rPr>
          <w:rFonts w:hint="eastAsia" w:ascii="黑体" w:eastAsia="黑体"/>
          <w:color w:val="auto"/>
          <w:sz w:val="32"/>
          <w:szCs w:val="32"/>
        </w:rPr>
        <w:t>八、</w:t>
      </w:r>
      <w:r>
        <w:rPr>
          <w:rStyle w:val="28"/>
          <w:rFonts w:hint="eastAsia" w:ascii="黑体" w:hAnsi="黑体" w:eastAsia="黑体"/>
          <w:b w:val="0"/>
          <w:color w:val="auto"/>
        </w:rPr>
        <w:t>政府性基金预算支出决算情况说明</w:t>
      </w:r>
      <w:bookmarkEnd w:id="50"/>
      <w:bookmarkEnd w:id="51"/>
    </w:p>
    <w:p>
      <w:pPr>
        <w:spacing w:line="600" w:lineRule="exact"/>
        <w:ind w:firstLine="1292" w:firstLineChars="404"/>
        <w:rPr>
          <w:rFonts w:hint="eastAsia"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rPr>
        <w:t>8年政府性基金预算拨款支出</w:t>
      </w:r>
      <w:r>
        <w:rPr>
          <w:rFonts w:hint="eastAsia" w:ascii="仿宋_GB2312" w:eastAsia="仿宋_GB2312"/>
          <w:color w:val="auto"/>
          <w:sz w:val="32"/>
          <w:szCs w:val="32"/>
          <w:lang w:val="en-US" w:eastAsia="zh-CN"/>
        </w:rPr>
        <w:t>683.02</w:t>
      </w:r>
      <w:r>
        <w:rPr>
          <w:rFonts w:hint="eastAsia" w:ascii="仿宋_GB2312" w:eastAsia="仿宋_GB2312"/>
          <w:color w:val="auto"/>
          <w:sz w:val="32"/>
          <w:szCs w:val="32"/>
        </w:rPr>
        <w:t>万元。</w:t>
      </w:r>
    </w:p>
    <w:p>
      <w:pPr>
        <w:pStyle w:val="2"/>
        <w:rPr>
          <w:rFonts w:ascii="仿宋_GB2312" w:eastAsia="仿宋_GB2312"/>
          <w:color w:val="auto"/>
          <w:sz w:val="32"/>
          <w:szCs w:val="32"/>
        </w:rPr>
      </w:pPr>
      <w:r>
        <w:rPr>
          <w:rFonts w:hint="eastAsia" w:ascii="仿宋_GB2312" w:eastAsia="仿宋_GB2312"/>
          <w:color w:val="auto"/>
          <w:sz w:val="32"/>
          <w:szCs w:val="32"/>
          <w:lang w:val="en-US" w:eastAsia="zh-CN"/>
        </w:rPr>
        <w:t>2120899其他国有土地使用权出让收入安排的支出683.02万元。</w:t>
      </w:r>
    </w:p>
    <w:p>
      <w:pPr>
        <w:numPr>
          <w:ilvl w:val="0"/>
          <w:numId w:val="5"/>
        </w:numPr>
        <w:spacing w:line="600" w:lineRule="exact"/>
        <w:ind w:firstLine="640"/>
        <w:outlineLvl w:val="1"/>
        <w:rPr>
          <w:rStyle w:val="28"/>
          <w:rFonts w:ascii="黑体" w:hAnsi="黑体" w:eastAsia="黑体"/>
          <w:b w:val="0"/>
          <w:color w:val="auto"/>
        </w:rPr>
      </w:pPr>
      <w:bookmarkStart w:id="52" w:name="_Toc15396611"/>
      <w:bookmarkStart w:id="53" w:name="_Toc15377219"/>
      <w:r>
        <w:rPr>
          <w:rStyle w:val="28"/>
          <w:rFonts w:hint="eastAsia" w:ascii="黑体" w:hAnsi="黑体" w:eastAsia="黑体"/>
          <w:b w:val="0"/>
          <w:color w:val="auto"/>
        </w:rPr>
        <w:t>国有资本经营预算支出决算情况说明</w:t>
      </w:r>
      <w:bookmarkEnd w:id="52"/>
      <w:bookmarkEnd w:id="53"/>
    </w:p>
    <w:p>
      <w:pPr>
        <w:spacing w:line="600" w:lineRule="exact"/>
        <w:ind w:firstLine="1292" w:firstLineChars="404"/>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rPr>
        <w:t>8年国有资本经营预算拨款支出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pStyle w:val="26"/>
        <w:numPr>
          <w:ilvl w:val="0"/>
          <w:numId w:val="6"/>
        </w:numPr>
        <w:spacing w:line="580" w:lineRule="exact"/>
        <w:ind w:firstLineChars="0"/>
        <w:rPr>
          <w:rStyle w:val="28"/>
          <w:rFonts w:ascii="黑体" w:hAnsi="黑体" w:eastAsia="黑体"/>
          <w:b w:val="0"/>
          <w:color w:val="auto"/>
        </w:rPr>
      </w:pPr>
      <w:r>
        <w:rPr>
          <w:rStyle w:val="28"/>
          <w:rFonts w:hint="eastAsia" w:ascii="黑体" w:hAnsi="黑体" w:eastAsia="黑体"/>
          <w:b w:val="0"/>
          <w:color w:val="auto"/>
        </w:rPr>
        <w:t>预算绩效情况说明</w:t>
      </w:r>
    </w:p>
    <w:p>
      <w:pPr>
        <w:numPr>
          <w:ilvl w:val="0"/>
          <w:numId w:val="7"/>
        </w:numPr>
        <w:spacing w:line="580" w:lineRule="exact"/>
        <w:ind w:firstLine="643" w:firstLineChars="200"/>
        <w:rPr>
          <w:rFonts w:ascii="仿宋" w:hAnsi="仿宋" w:eastAsia="仿宋" w:cs="楷体_GB2312"/>
          <w:b/>
          <w:bCs/>
          <w:color w:val="auto"/>
          <w:sz w:val="32"/>
          <w:szCs w:val="32"/>
        </w:rPr>
      </w:pPr>
      <w:r>
        <w:rPr>
          <w:rFonts w:hint="eastAsia" w:ascii="仿宋" w:hAnsi="仿宋" w:eastAsia="仿宋" w:cs="楷体_GB2312"/>
          <w:b/>
          <w:bCs/>
          <w:color w:val="auto"/>
          <w:sz w:val="32"/>
          <w:szCs w:val="32"/>
        </w:rPr>
        <w:t>预算绩效管理工作开展情况。</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根据预算绩效管理要求，本部门（单位）在年初预算编制阶段，组织对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项目开展了预算事前绩效评估，</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个项目开展了绩效目标完成情况梳理填报。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本部门按要求对2018年部门整体支出开展绩效自评，从评价情况来看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2018</w:t>
      </w:r>
      <w:r>
        <w:rPr>
          <w:rFonts w:hint="eastAsia" w:ascii="仿宋_GB2312" w:hAnsi="仿宋_GB2312" w:eastAsia="仿宋_GB2312" w:cs="仿宋_GB2312"/>
          <w:color w:val="auto"/>
          <w:sz w:val="32"/>
          <w:szCs w:val="32"/>
        </w:rPr>
        <w:t>年全年来共收缴土地出让金</w:t>
      </w:r>
      <w:r>
        <w:rPr>
          <w:rFonts w:hint="eastAsia" w:ascii="仿宋_GB2312" w:hAnsi="仿宋_GB2312" w:eastAsia="仿宋_GB2312" w:cs="仿宋_GB2312"/>
          <w:color w:val="auto"/>
          <w:sz w:val="32"/>
          <w:szCs w:val="32"/>
          <w:lang w:eastAsia="zh-CN"/>
        </w:rPr>
        <w:t>（协议）</w:t>
      </w:r>
      <w:r>
        <w:rPr>
          <w:rFonts w:hint="eastAsia" w:ascii="仿宋_GB2312" w:hAnsi="仿宋_GB2312" w:eastAsia="仿宋_GB2312" w:cs="仿宋_GB2312"/>
          <w:color w:val="auto"/>
          <w:sz w:val="32"/>
          <w:szCs w:val="32"/>
          <w:lang w:val="en-US" w:eastAsia="zh-CN"/>
        </w:rPr>
        <w:t>1305609.23元</w:t>
      </w:r>
      <w:r>
        <w:rPr>
          <w:rFonts w:hint="eastAsia" w:ascii="仿宋_GB2312" w:hAnsi="仿宋_GB2312" w:eastAsia="仿宋_GB2312" w:cs="仿宋_GB2312"/>
          <w:color w:val="auto"/>
          <w:sz w:val="32"/>
          <w:szCs w:val="32"/>
        </w:rPr>
        <w:t>、土地出让金</w:t>
      </w:r>
      <w:r>
        <w:rPr>
          <w:rFonts w:hint="eastAsia" w:ascii="仿宋_GB2312" w:hAnsi="仿宋_GB2312" w:eastAsia="仿宋_GB2312" w:cs="仿宋_GB2312"/>
          <w:color w:val="auto"/>
          <w:sz w:val="32"/>
          <w:szCs w:val="32"/>
          <w:lang w:eastAsia="zh-CN"/>
        </w:rPr>
        <w:t>（招拍挂）</w:t>
      </w:r>
      <w:r>
        <w:rPr>
          <w:rFonts w:hint="eastAsia" w:ascii="仿宋_GB2312" w:hAnsi="仿宋_GB2312" w:eastAsia="仿宋_GB2312" w:cs="仿宋_GB2312"/>
          <w:color w:val="auto"/>
          <w:sz w:val="32"/>
          <w:szCs w:val="32"/>
          <w:lang w:val="en-US" w:eastAsia="zh-CN"/>
        </w:rPr>
        <w:t>14664644元、</w:t>
      </w:r>
      <w:r>
        <w:rPr>
          <w:rFonts w:hint="eastAsia" w:ascii="仿宋_GB2312" w:hAnsi="仿宋_GB2312" w:eastAsia="仿宋_GB2312" w:cs="仿宋_GB2312"/>
          <w:color w:val="auto"/>
          <w:sz w:val="32"/>
          <w:szCs w:val="32"/>
        </w:rPr>
        <w:t>新增建设用地有偿使用费</w:t>
      </w:r>
      <w:r>
        <w:rPr>
          <w:rFonts w:hint="eastAsia" w:ascii="仿宋_GB2312" w:hAnsi="仿宋_GB2312" w:eastAsia="仿宋_GB2312" w:cs="仿宋_GB2312"/>
          <w:color w:val="auto"/>
          <w:sz w:val="32"/>
          <w:szCs w:val="32"/>
          <w:lang w:val="en-US" w:eastAsia="zh-CN"/>
        </w:rPr>
        <w:t>359961.1</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、收缴证书费、工本费共计</w:t>
      </w:r>
      <w:r>
        <w:rPr>
          <w:rFonts w:hint="eastAsia" w:ascii="仿宋_GB2312" w:hAnsi="仿宋_GB2312" w:eastAsia="仿宋_GB2312" w:cs="仿宋_GB2312"/>
          <w:color w:val="auto"/>
          <w:sz w:val="32"/>
          <w:szCs w:val="32"/>
          <w:lang w:val="en-US" w:eastAsia="zh-CN"/>
        </w:rPr>
        <w:t>83430元、收缴罚没款78577.7元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2018年我局完成</w:t>
      </w:r>
      <w:r>
        <w:rPr>
          <w:rFonts w:hint="eastAsia" w:ascii="仿宋_GB2312" w:hAnsi="仿宋_GB2312" w:eastAsia="仿宋_GB2312" w:cs="仿宋_GB2312"/>
          <w:color w:val="auto"/>
          <w:sz w:val="32"/>
          <w:szCs w:val="32"/>
        </w:rPr>
        <w:t>刷经</w:t>
      </w:r>
      <w:r>
        <w:rPr>
          <w:rFonts w:hint="eastAsia" w:ascii="仿宋" w:hAnsi="仿宋" w:eastAsia="仿宋" w:cs="宋体"/>
          <w:color w:val="auto"/>
          <w:kern w:val="0"/>
          <w:sz w:val="32"/>
          <w:szCs w:val="32"/>
        </w:rPr>
        <w:t>寺老康猫泥石流滑坡治理工程、刷经寺镇塘星村村委会后山泥石流、红原县查尔玛小学后山滑坡等项目均已初验，工程款项均已拨付75%，等待终验</w:t>
      </w:r>
      <w:r>
        <w:rPr>
          <w:rFonts w:hint="eastAsia" w:ascii="仿宋" w:hAnsi="仿宋" w:eastAsia="仿宋" w:cs="宋体"/>
          <w:color w:val="auto"/>
          <w:kern w:val="0"/>
          <w:sz w:val="32"/>
          <w:szCs w:val="32"/>
          <w:lang w:eastAsia="zh-CN"/>
        </w:rPr>
        <w:t>。</w:t>
      </w:r>
      <w:r>
        <w:rPr>
          <w:rFonts w:hint="eastAsia" w:ascii="仿宋" w:hAnsi="仿宋" w:eastAsia="仿宋" w:cs="宋体"/>
          <w:color w:val="auto"/>
          <w:kern w:val="0"/>
          <w:sz w:val="32"/>
          <w:szCs w:val="32"/>
        </w:rPr>
        <w:t>我局整体支出绩效目标良好，较好完成今年预定工作目标，严格按照预算管理进行支付并做到节能降耗，“三公”经费严格按照年初预算执行。</w:t>
      </w:r>
      <w:r>
        <w:rPr>
          <w:rFonts w:hint="eastAsia" w:ascii="仿宋_GB2312" w:hAnsi="仿宋_GB2312" w:eastAsia="仿宋_GB2312" w:cs="仿宋_GB2312"/>
          <w:color w:val="auto"/>
          <w:sz w:val="32"/>
          <w:szCs w:val="32"/>
        </w:rPr>
        <w:t>在全面贯彻落实党的十九大精神,坚持以习近平新时代中国特色社会主义思想为指导,努力实现人民群众满意。本部门还自行组织了</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个项目绩效评价，从评价情况来看</w:t>
      </w:r>
      <w:r>
        <w:rPr>
          <w:rFonts w:hint="eastAsia" w:ascii="仿宋_GB2312" w:hAnsi="仿宋_GB2312" w:eastAsia="仿宋_GB2312" w:cs="仿宋_GB2312"/>
          <w:color w:val="auto"/>
          <w:sz w:val="32"/>
          <w:szCs w:val="32"/>
          <w:lang w:eastAsia="zh-CN"/>
        </w:rPr>
        <w:t>：有效的预防防治了地质灾害发生，完成土地补偿、草原植被恢复费、土地评估、测绘，不动产登记软</w:t>
      </w:r>
      <w:r>
        <w:rPr>
          <w:rFonts w:hint="eastAsia" w:ascii="仿宋_GB2312" w:hAnsi="仿宋_GB2312" w:eastAsia="仿宋_GB2312" w:cs="仿宋_GB2312"/>
          <w:color w:val="auto"/>
          <w:sz w:val="32"/>
          <w:szCs w:val="32"/>
          <w:lang w:val="en-US" w:eastAsia="zh-CN"/>
        </w:rPr>
        <w:t>(硬）</w:t>
      </w:r>
      <w:r>
        <w:rPr>
          <w:rFonts w:hint="eastAsia" w:ascii="仿宋_GB2312" w:hAnsi="仿宋_GB2312" w:eastAsia="仿宋_GB2312" w:cs="仿宋_GB2312"/>
          <w:color w:val="auto"/>
          <w:sz w:val="32"/>
          <w:szCs w:val="32"/>
          <w:lang w:eastAsia="zh-CN"/>
        </w:rPr>
        <w:t>件购买等工作，</w:t>
      </w:r>
      <w:r>
        <w:rPr>
          <w:rFonts w:hint="eastAsia" w:ascii="仿宋_GB2312" w:hAnsi="仿宋_GB2312" w:eastAsia="仿宋_GB2312" w:cs="仿宋_GB2312"/>
          <w:color w:val="auto"/>
          <w:sz w:val="32"/>
          <w:szCs w:val="32"/>
        </w:rPr>
        <w:t>确保了人民群众生命财产安全，促进社会和谐。</w:t>
      </w:r>
    </w:p>
    <w:p>
      <w:pPr>
        <w:numPr>
          <w:ilvl w:val="0"/>
          <w:numId w:val="7"/>
        </w:numPr>
        <w:spacing w:line="580" w:lineRule="exact"/>
        <w:ind w:firstLine="643" w:firstLineChars="200"/>
        <w:rPr>
          <w:rFonts w:ascii="仿宋_GB2312" w:hAnsi="仿宋_GB2312" w:eastAsia="仿宋_GB2312" w:cs="仿宋_GB2312"/>
          <w:color w:val="auto"/>
          <w:sz w:val="32"/>
          <w:szCs w:val="32"/>
        </w:rPr>
      </w:pPr>
      <w:r>
        <w:rPr>
          <w:rFonts w:hint="eastAsia" w:ascii="仿宋" w:hAnsi="仿宋" w:eastAsia="仿宋" w:cs="楷体_GB2312"/>
          <w:b/>
          <w:bCs/>
          <w:color w:val="auto"/>
          <w:sz w:val="32"/>
          <w:szCs w:val="32"/>
        </w:rPr>
        <w:t>项目绩效目标完成情况。</w:t>
      </w:r>
      <w:r>
        <w:rPr>
          <w:rFonts w:hint="eastAsia" w:ascii="楷体_GB2312" w:hAnsi="楷体_GB2312" w:eastAsia="楷体_GB2312" w:cs="楷体_GB2312"/>
          <w:b/>
          <w:bCs/>
          <w:color w:val="auto"/>
          <w:sz w:val="32"/>
          <w:szCs w:val="32"/>
        </w:rPr>
        <w:br w:type="textWrapping"/>
      </w:r>
      <w:r>
        <w:rPr>
          <w:rFonts w:hint="eastAsia" w:ascii="仿宋_GB2312" w:hAnsi="仿宋_GB2312" w:eastAsia="仿宋_GB2312" w:cs="仿宋_GB2312"/>
          <w:color w:val="auto"/>
          <w:sz w:val="32"/>
          <w:szCs w:val="32"/>
        </w:rPr>
        <w:t xml:space="preserve">    本部门在2018年度部门决算中反映“</w:t>
      </w:r>
      <w:r>
        <w:rPr>
          <w:rFonts w:hint="eastAsia" w:ascii="仿宋_GB2312" w:hAnsi="仿宋_GB2312" w:eastAsia="仿宋_GB2312" w:cs="仿宋_GB2312"/>
          <w:color w:val="auto"/>
          <w:sz w:val="32"/>
          <w:szCs w:val="32"/>
          <w:lang w:eastAsia="zh-CN"/>
        </w:rPr>
        <w:t>其他国有土地使用权出让收入安排的支出</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一般行政管理事务</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地质灾害防治</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“地震监测”“其他国土海洋气象等支出”</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个项目绩效目标实际完成情况。</w:t>
      </w:r>
    </w:p>
    <w:p>
      <w:pPr>
        <w:numPr>
          <w:ilvl w:val="0"/>
          <w:numId w:val="8"/>
        </w:num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其他国有土地使用权出让收入安排的支出</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792.42</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683.02</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86.19</w:t>
      </w:r>
      <w:r>
        <w:rPr>
          <w:rFonts w:hint="eastAsia" w:ascii="仿宋_GB2312" w:hAnsi="仿宋_GB2312" w:eastAsia="仿宋_GB2312" w:cs="仿宋_GB2312"/>
          <w:color w:val="auto"/>
          <w:sz w:val="32"/>
          <w:szCs w:val="32"/>
        </w:rPr>
        <w:t>%。通过项目实施，保障</w:t>
      </w:r>
      <w:r>
        <w:rPr>
          <w:rFonts w:hint="eastAsia" w:ascii="仿宋_GB2312" w:hAnsi="仿宋_GB2312" w:eastAsia="仿宋_GB2312" w:cs="仿宋_GB2312"/>
          <w:color w:val="auto"/>
          <w:sz w:val="32"/>
          <w:szCs w:val="32"/>
          <w:lang w:eastAsia="zh-CN"/>
        </w:rPr>
        <w:t>了本年</w:t>
      </w:r>
      <w:r>
        <w:rPr>
          <w:rFonts w:hint="eastAsia" w:ascii="仿宋_GB2312" w:hAnsi="仿宋_GB2312" w:eastAsia="仿宋_GB2312" w:cs="仿宋_GB2312"/>
          <w:color w:val="auto"/>
          <w:sz w:val="32"/>
          <w:szCs w:val="32"/>
        </w:rPr>
        <w:t>草原植被恢复费830232元、土地补偿6000000元（基金）</w:t>
      </w:r>
      <w:r>
        <w:rPr>
          <w:rFonts w:hint="eastAsia" w:ascii="仿宋_GB2312" w:hAnsi="仿宋_GB2312" w:eastAsia="仿宋_GB2312" w:cs="仿宋_GB2312"/>
          <w:color w:val="auto"/>
          <w:sz w:val="32"/>
          <w:szCs w:val="32"/>
          <w:lang w:eastAsia="zh-CN"/>
        </w:rPr>
        <w:t>的支出，保障土地项目的有效落实，促进我县经济快速稳定发展。</w:t>
      </w:r>
    </w:p>
    <w:p>
      <w:pPr>
        <w:numPr>
          <w:ilvl w:val="0"/>
          <w:numId w:val="8"/>
        </w:num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一般行政管理事务</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1.94</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1.94</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%。通过项目实施，保障</w:t>
      </w:r>
      <w:r>
        <w:rPr>
          <w:rFonts w:hint="eastAsia" w:ascii="仿宋_GB2312" w:hAnsi="仿宋_GB2312" w:eastAsia="仿宋_GB2312" w:cs="仿宋_GB2312"/>
          <w:color w:val="auto"/>
          <w:sz w:val="32"/>
          <w:szCs w:val="32"/>
          <w:lang w:eastAsia="zh-CN"/>
        </w:rPr>
        <w:t>不动产登记软（硬）件设备采购项目的实施，促进不动产数据准确，安全。</w:t>
      </w:r>
    </w:p>
    <w:p>
      <w:pPr>
        <w:numPr>
          <w:ilvl w:val="0"/>
          <w:numId w:val="8"/>
        </w:num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地质灾害防治</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1065.97</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866.17</w:t>
      </w:r>
      <w:r>
        <w:rPr>
          <w:rFonts w:hint="eastAsia" w:ascii="仿宋_GB2312" w:hAnsi="仿宋_GB2312" w:eastAsia="仿宋_GB2312" w:cs="仿宋_GB2312"/>
          <w:color w:val="auto"/>
          <w:sz w:val="32"/>
          <w:szCs w:val="32"/>
        </w:rPr>
        <w:t>元，完成预算的</w:t>
      </w:r>
      <w:r>
        <w:rPr>
          <w:rFonts w:hint="eastAsia" w:ascii="仿宋_GB2312" w:hAnsi="仿宋_GB2312" w:eastAsia="仿宋_GB2312" w:cs="仿宋_GB2312"/>
          <w:color w:val="auto"/>
          <w:sz w:val="32"/>
          <w:szCs w:val="32"/>
          <w:lang w:val="en-US" w:eastAsia="zh-CN"/>
        </w:rPr>
        <w:t>81.26</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color w:val="auto"/>
          <w:sz w:val="32"/>
          <w:szCs w:val="32"/>
          <w:lang w:eastAsia="zh-CN"/>
        </w:rPr>
        <w:t>完成地质灾害防治和治理，</w:t>
      </w:r>
      <w:r>
        <w:rPr>
          <w:rFonts w:hint="eastAsia" w:ascii="仿宋_GB2312" w:hAnsi="仿宋_GB2312" w:eastAsia="仿宋_GB2312" w:cs="仿宋_GB2312"/>
          <w:color w:val="auto"/>
          <w:sz w:val="32"/>
          <w:szCs w:val="32"/>
        </w:rPr>
        <w:t>确保了人民群众生命财产安全，促进社会和谐</w:t>
      </w:r>
      <w:r>
        <w:rPr>
          <w:rFonts w:hint="eastAsia" w:ascii="仿宋_GB2312" w:hAnsi="仿宋_GB2312" w:eastAsia="仿宋_GB2312" w:cs="仿宋_GB2312"/>
          <w:color w:val="auto"/>
          <w:sz w:val="32"/>
          <w:szCs w:val="32"/>
          <w:lang w:eastAsia="zh-CN"/>
        </w:rPr>
        <w:t>。</w:t>
      </w:r>
    </w:p>
    <w:p>
      <w:pPr>
        <w:pStyle w:val="2"/>
        <w:numPr>
          <w:ilvl w:val="0"/>
          <w:numId w:val="8"/>
        </w:numPr>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地震监测项目</w:t>
      </w:r>
      <w:r>
        <w:rPr>
          <w:rFonts w:hint="eastAsia" w:ascii="仿宋_GB2312" w:hAnsi="仿宋_GB2312" w:eastAsia="仿宋_GB2312" w:cs="仿宋_GB2312"/>
          <w:color w:val="auto"/>
          <w:sz w:val="32"/>
          <w:szCs w:val="32"/>
        </w:rPr>
        <w:t>绩效目标完成情况综述。项目全年预算数</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1万</w:t>
      </w:r>
      <w:r>
        <w:rPr>
          <w:rFonts w:hint="eastAsia" w:ascii="仿宋_GB2312" w:hAnsi="仿宋_GB2312" w:eastAsia="仿宋_GB2312" w:cs="仿宋_GB2312"/>
          <w:color w:val="auto"/>
          <w:sz w:val="32"/>
          <w:szCs w:val="32"/>
        </w:rPr>
        <w:t>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w:t>
      </w:r>
      <w:r>
        <w:rPr>
          <w:rFonts w:hint="eastAsia" w:ascii="仿宋_GB2312" w:hAnsi="仿宋_GB2312" w:eastAsia="仿宋_GB2312" w:cs="仿宋_GB2312"/>
          <w:color w:val="auto"/>
          <w:sz w:val="32"/>
          <w:szCs w:val="32"/>
          <w:lang w:val="en-US" w:eastAsia="zh-CN"/>
        </w:rPr>
        <w:t>施，有效的完成防震减灾项目实施。</w:t>
      </w:r>
    </w:p>
    <w:p>
      <w:pPr>
        <w:pStyle w:val="2"/>
        <w:numPr>
          <w:ilvl w:val="0"/>
          <w:numId w:val="8"/>
        </w:numPr>
        <w:ind w:left="0" w:leftChars="0" w:firstLine="640" w:firstLineChars="200"/>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其他国土海洋气象等支出</w:t>
      </w:r>
      <w:r>
        <w:rPr>
          <w:rFonts w:hint="eastAsia" w:ascii="仿宋_GB2312" w:hAnsi="仿宋_GB2312" w:eastAsia="仿宋_GB2312" w:cs="仿宋_GB2312"/>
          <w:color w:val="auto"/>
          <w:sz w:val="32"/>
          <w:szCs w:val="32"/>
          <w:lang w:val="en-US" w:eastAsia="zh-CN"/>
        </w:rPr>
        <w:t>项目绩效目标完成情况综述。项目全年预算数80.4万元，执行数为80.4万元，完成预算的100%。</w:t>
      </w:r>
      <w:r>
        <w:rPr>
          <w:rFonts w:hint="eastAsia" w:ascii="仿宋_GB2312" w:hAnsi="仿宋_GB2312" w:eastAsia="仿宋_GB2312" w:cs="仿宋_GB2312"/>
          <w:color w:val="auto"/>
          <w:sz w:val="32"/>
          <w:szCs w:val="32"/>
        </w:rPr>
        <w:t>通过项目实</w:t>
      </w:r>
      <w:r>
        <w:rPr>
          <w:rFonts w:hint="eastAsia" w:ascii="仿宋_GB2312" w:hAnsi="仿宋_GB2312" w:eastAsia="仿宋_GB2312" w:cs="仿宋_GB2312"/>
          <w:color w:val="auto"/>
          <w:sz w:val="32"/>
          <w:szCs w:val="32"/>
          <w:lang w:val="en-US" w:eastAsia="zh-CN"/>
        </w:rPr>
        <w:t>施，有效的完成土地评估及测绘，土地变更调查，不动产测绘及地质灾害预警预报。有效保障土地合法合规使用。</w:t>
      </w:r>
    </w:p>
    <w:tbl>
      <w:tblPr>
        <w:tblStyle w:val="18"/>
        <w:tblW w:w="9525" w:type="dxa"/>
        <w:tblInd w:w="0" w:type="dxa"/>
        <w:shd w:val="clear" w:color="auto" w:fill="auto"/>
        <w:tblLayout w:type="fixed"/>
        <w:tblCellMar>
          <w:top w:w="0" w:type="dxa"/>
          <w:left w:w="0" w:type="dxa"/>
          <w:bottom w:w="0" w:type="dxa"/>
          <w:right w:w="0" w:type="dxa"/>
        </w:tblCellMar>
      </w:tblPr>
      <w:tblGrid>
        <w:gridCol w:w="448"/>
        <w:gridCol w:w="834"/>
        <w:gridCol w:w="1041"/>
        <w:gridCol w:w="747"/>
        <w:gridCol w:w="1176"/>
        <w:gridCol w:w="1741"/>
        <w:gridCol w:w="1804"/>
        <w:gridCol w:w="1734"/>
      </w:tblGrid>
      <w:tr>
        <w:tblPrEx>
          <w:shd w:val="clear" w:color="auto" w:fill="auto"/>
          <w:tblLayout w:type="fixed"/>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项目支出绩效目标完成情况表</w:t>
            </w:r>
          </w:p>
        </w:tc>
      </w:tr>
      <w:tr>
        <w:tblPrEx>
          <w:tblLayout w:type="fixed"/>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项目名称</w:t>
            </w:r>
          </w:p>
        </w:tc>
        <w:tc>
          <w:tcPr>
            <w:tcW w:w="720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地质灾害防治</w:t>
            </w:r>
          </w:p>
        </w:tc>
      </w:tr>
      <w:tr>
        <w:tblPrEx>
          <w:tblLayout w:type="fixed"/>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预算单位</w:t>
            </w:r>
          </w:p>
        </w:tc>
        <w:tc>
          <w:tcPr>
            <w:tcW w:w="720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红原县国土资源局</w:t>
            </w:r>
          </w:p>
        </w:tc>
      </w:tr>
      <w:tr>
        <w:tblPrEx>
          <w:tblLayout w:type="fixed"/>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预算执行情况(万元</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预算数:</w:t>
            </w:r>
          </w:p>
        </w:tc>
        <w:tc>
          <w:tcPr>
            <w:tcW w:w="19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866.17万元</w:t>
            </w:r>
          </w:p>
        </w:tc>
        <w:tc>
          <w:tcPr>
            <w:tcW w:w="1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执行数:</w:t>
            </w:r>
          </w:p>
        </w:tc>
        <w:tc>
          <w:tcPr>
            <w:tcW w:w="35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866.17万元</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u w:val="none"/>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19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866.17万元</w:t>
            </w:r>
          </w:p>
        </w:tc>
        <w:tc>
          <w:tcPr>
            <w:tcW w:w="1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其中-财政拨款:</w:t>
            </w:r>
          </w:p>
        </w:tc>
        <w:tc>
          <w:tcPr>
            <w:tcW w:w="35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866.17万元</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u w:val="none"/>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19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0</w:t>
            </w:r>
          </w:p>
        </w:tc>
        <w:tc>
          <w:tcPr>
            <w:tcW w:w="1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其它资金:</w:t>
            </w:r>
          </w:p>
        </w:tc>
        <w:tc>
          <w:tcPr>
            <w:tcW w:w="35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0</w:t>
            </w:r>
          </w:p>
        </w:tc>
      </w:tr>
      <w:tr>
        <w:tblPrEx>
          <w:tblLayout w:type="fixed"/>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年度目标完成情况</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预期目标</w:t>
            </w:r>
          </w:p>
        </w:tc>
        <w:tc>
          <w:tcPr>
            <w:tcW w:w="64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实际完成目标</w:t>
            </w:r>
          </w:p>
        </w:tc>
      </w:tr>
      <w:tr>
        <w:tblPrEx>
          <w:tblLayout w:type="fixed"/>
          <w:tblCellMar>
            <w:top w:w="0" w:type="dxa"/>
            <w:left w:w="0" w:type="dxa"/>
            <w:bottom w:w="0" w:type="dxa"/>
            <w:right w:w="0" w:type="dxa"/>
          </w:tblCellMar>
        </w:tblPrEx>
        <w:trPr>
          <w:trHeight w:val="2792"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u w:val="none"/>
              </w:rPr>
            </w:pP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color w:val="auto"/>
                <w:kern w:val="2"/>
                <w:sz w:val="24"/>
                <w:szCs w:val="21"/>
                <w:lang w:val="en-US" w:eastAsia="zh-CN" w:bidi="ar"/>
              </w:rPr>
            </w:pPr>
            <w:r>
              <w:rPr>
                <w:rFonts w:hint="eastAsia" w:ascii="仿宋_GB2312" w:hAnsi="仿宋_GB2312" w:eastAsia="仿宋_GB2312" w:cs="仿宋_GB2312"/>
                <w:color w:val="auto"/>
                <w:kern w:val="2"/>
                <w:sz w:val="32"/>
                <w:szCs w:val="32"/>
                <w:lang w:val="en-US" w:eastAsia="zh-CN" w:bidi="ar-SA"/>
              </w:rPr>
              <w:t>本项目实施能有效的预防及治理了泥石流隐患点，及时保护人民群众生命财产安全。</w:t>
            </w:r>
          </w:p>
          <w:p>
            <w:pPr>
              <w:jc w:val="center"/>
              <w:rPr>
                <w:rFonts w:hint="eastAsia" w:ascii="宋体" w:hAnsi="宋体" w:eastAsia="宋体" w:cs="宋体"/>
                <w:b/>
                <w:i w:val="0"/>
                <w:color w:val="auto"/>
                <w:sz w:val="24"/>
                <w:szCs w:val="24"/>
                <w:u w:val="none"/>
                <w:lang w:eastAsia="zh-CN"/>
              </w:rPr>
            </w:pPr>
          </w:p>
        </w:tc>
        <w:tc>
          <w:tcPr>
            <w:tcW w:w="64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color w:val="auto"/>
                <w:kern w:val="2"/>
                <w:sz w:val="24"/>
                <w:szCs w:val="21"/>
                <w:lang w:val="en-US" w:eastAsia="zh-CN" w:bidi="ar"/>
              </w:rPr>
            </w:pPr>
            <w:r>
              <w:rPr>
                <w:rFonts w:hint="eastAsia" w:ascii="仿宋_GB2312" w:hAnsi="宋体" w:eastAsia="仿宋_GB2312" w:cs="仿宋_GB2312"/>
                <w:color w:val="auto"/>
                <w:kern w:val="2"/>
                <w:sz w:val="32"/>
                <w:szCs w:val="24"/>
                <w:lang w:val="en-US" w:eastAsia="zh-CN" w:bidi="ar"/>
              </w:rPr>
              <w:t>新建了部分</w:t>
            </w:r>
            <w:r>
              <w:rPr>
                <w:rFonts w:hint="eastAsia" w:ascii="仿宋_GB2312" w:hAnsi="宋体" w:eastAsia="仿宋_GB2312" w:cs="仿宋_GB2312"/>
                <w:color w:val="auto"/>
                <w:kern w:val="2"/>
                <w:sz w:val="32"/>
                <w:szCs w:val="24"/>
                <w:lang w:val="zh-CN" w:eastAsia="zh-CN" w:bidi="ar"/>
              </w:rPr>
              <w:t>停淤导流墙</w:t>
            </w:r>
            <w:r>
              <w:rPr>
                <w:rFonts w:hint="eastAsia" w:ascii="仿宋_GB2312" w:hAnsi="宋体" w:eastAsia="仿宋_GB2312" w:cs="仿宋_GB2312"/>
                <w:color w:val="auto"/>
                <w:kern w:val="2"/>
                <w:sz w:val="32"/>
                <w:szCs w:val="24"/>
                <w:lang w:val="en-US" w:eastAsia="zh-CN" w:bidi="ar"/>
              </w:rPr>
              <w:t>，排水沟；完成了部分地质灾害滑坡治理，极大的减少了地质灾害危险，</w:t>
            </w:r>
            <w:r>
              <w:rPr>
                <w:rFonts w:hint="eastAsia" w:ascii="仿宋_GB2312" w:hAnsi="仿宋_GB2312" w:eastAsia="仿宋_GB2312" w:cs="仿宋_GB2312"/>
                <w:color w:val="auto"/>
                <w:kern w:val="2"/>
                <w:sz w:val="32"/>
                <w:szCs w:val="32"/>
                <w:lang w:val="en-US" w:eastAsia="zh-CN" w:bidi="ar-SA"/>
              </w:rPr>
              <w:t>及时保护人民群众生命财产安全。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default" w:ascii="仿宋_GB2312" w:hAnsi="宋体" w:eastAsia="仿宋_GB2312" w:cs="仿宋_GB2312"/>
                <w:color w:val="auto"/>
                <w:lang w:val="en-US" w:eastAsia="zh-CN"/>
              </w:rPr>
            </w:pPr>
          </w:p>
          <w:p>
            <w:pPr>
              <w:jc w:val="center"/>
              <w:rPr>
                <w:rFonts w:hint="default" w:ascii="宋体" w:hAnsi="宋体" w:eastAsia="宋体" w:cs="宋体"/>
                <w:b/>
                <w:i w:val="0"/>
                <w:color w:val="auto"/>
                <w:sz w:val="24"/>
                <w:szCs w:val="24"/>
                <w:u w:val="none"/>
                <w:lang w:val="en-US" w:eastAsia="zh-CN"/>
              </w:rPr>
            </w:pPr>
          </w:p>
        </w:tc>
      </w:tr>
      <w:tr>
        <w:tblPrEx>
          <w:tblLayout w:type="fixed"/>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auto"/>
                <w:sz w:val="24"/>
                <w:szCs w:val="24"/>
                <w:u w:val="none"/>
              </w:rPr>
            </w:pPr>
            <w:r>
              <w:rPr>
                <w:rFonts w:hint="default" w:ascii="仿宋_GB2312" w:hAnsi="宋体" w:eastAsia="仿宋_GB2312" w:cs="仿宋_GB2312"/>
                <w:i w:val="0"/>
                <w:color w:val="auto"/>
                <w:kern w:val="0"/>
                <w:sz w:val="24"/>
                <w:szCs w:val="24"/>
                <w:u w:val="none"/>
                <w:lang w:val="en-US" w:eastAsia="zh-CN" w:bidi="ar"/>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 name="直接连接符_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直接连接符_10" descr="/"/>
                          <pic:cNvPicPr>
                            <a:picLocks noChangeAspect="1"/>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 name="直接连接符_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直接连接符_8" descr="/"/>
                          <pic:cNvPicPr>
                            <a:picLocks noChangeAspect="1"/>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6" name="直接连接符_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直接连接符_9" descr="/"/>
                          <pic:cNvPicPr>
                            <a:picLocks noChangeAspect="1"/>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 name="直接连接符_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直接连接符_7" descr="/"/>
                          <pic:cNvPicPr>
                            <a:picLocks noChangeAspect="1"/>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lang w:val="en-US" w:eastAsia="zh-CN" w:bidi="ar"/>
              </w:rPr>
              <w:t>一级指标</w:t>
            </w: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二级指标</w:t>
            </w:r>
          </w:p>
        </w:tc>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三级指标</w:t>
            </w:r>
          </w:p>
        </w:tc>
        <w:tc>
          <w:tcPr>
            <w:tcW w:w="29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指标评价内容</w:t>
            </w:r>
          </w:p>
        </w:tc>
        <w:tc>
          <w:tcPr>
            <w:tcW w:w="180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预期指标值(包含数字及文字描述)</w:t>
            </w:r>
          </w:p>
        </w:tc>
        <w:tc>
          <w:tcPr>
            <w:tcW w:w="17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实际完成指标值(包含数字及文字描述)</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8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7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r>
      <w:tr>
        <w:tblPrEx>
          <w:tblLayout w:type="fixed"/>
          <w:tblCellMar>
            <w:top w:w="0" w:type="dxa"/>
            <w:left w:w="0" w:type="dxa"/>
            <w:bottom w:w="0" w:type="dxa"/>
            <w:right w:w="0" w:type="dxa"/>
          </w:tblCellMar>
        </w:tblPrEx>
        <w:trPr>
          <w:trHeight w:val="12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8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7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r>
      <w:tr>
        <w:tblPrEx>
          <w:tblLayout w:type="fixed"/>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项目决策</w:t>
            </w: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目标内容</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项目预期提供的产品、服务、效益或其他目标明确,即绩效目标实际明确个数/应当明确个数×100%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eastAsia" w:ascii="宋体" w:hAnsi="宋体" w:cs="宋体"/>
                <w:i w:val="0"/>
                <w:color w:val="auto"/>
                <w:kern w:val="0"/>
                <w:sz w:val="20"/>
                <w:szCs w:val="20"/>
                <w:u w:val="none"/>
                <w:lang w:val="en-US" w:eastAsia="zh-CN" w:bidi="ar"/>
              </w:rPr>
              <w:t>10个</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eastAsia" w:ascii="宋体" w:hAnsi="宋体" w:cs="宋体"/>
                <w:i w:val="0"/>
                <w:color w:val="auto"/>
                <w:kern w:val="0"/>
                <w:sz w:val="20"/>
                <w:szCs w:val="20"/>
                <w:u w:val="none"/>
                <w:lang w:val="en-US" w:eastAsia="zh-CN" w:bidi="ar"/>
              </w:rPr>
              <w:t>10个</w:t>
            </w:r>
          </w:p>
        </w:tc>
      </w:tr>
      <w:tr>
        <w:tblPrEx>
          <w:tblLayout w:type="fixed"/>
          <w:tblCellMar>
            <w:top w:w="0" w:type="dxa"/>
            <w:left w:w="0" w:type="dxa"/>
            <w:bottom w:w="0" w:type="dxa"/>
            <w:right w:w="0" w:type="dxa"/>
          </w:tblCellMar>
        </w:tblPrEx>
        <w:trPr>
          <w:trHeight w:val="64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进度计划</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项目计划实施进度明确</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明确</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明确</w:t>
            </w:r>
          </w:p>
        </w:tc>
      </w:tr>
      <w:tr>
        <w:tblPrEx>
          <w:tblLayout w:type="fixed"/>
          <w:tblCellMar>
            <w:top w:w="0" w:type="dxa"/>
            <w:left w:w="0" w:type="dxa"/>
            <w:bottom w:w="0" w:type="dxa"/>
            <w:right w:w="0" w:type="dxa"/>
          </w:tblCellMar>
        </w:tblPrEx>
        <w:trPr>
          <w:trHeight w:val="69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目标匹配</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绩效目标设定符合实际需求的抽样项目点个数/抽样项目点总数×100%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10个</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10个</w:t>
            </w:r>
          </w:p>
        </w:tc>
      </w:tr>
      <w:tr>
        <w:tblPrEx>
          <w:tblLayout w:type="fixed"/>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决策依据</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政策依据</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项目符合党中央、国务院和省委、省政府决策部署；符合当前经济社会发展需要</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连续性项目根据需要制定中长期实施规划</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有</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有</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实施规划符合实际，并根据情况变化适时调整</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管理制度</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制定项目资金管理办法</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r>
      <w:tr>
        <w:tblPrEx>
          <w:tblLayout w:type="fixed"/>
          <w:tblCellMar>
            <w:top w:w="0" w:type="dxa"/>
            <w:left w:w="0" w:type="dxa"/>
            <w:bottom w:w="0" w:type="dxa"/>
            <w:right w:w="0" w:type="dxa"/>
          </w:tblCellMar>
        </w:tblPrEx>
        <w:trPr>
          <w:trHeight w:val="75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项目资金分配决策程序明确</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明确</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明确</w:t>
            </w:r>
          </w:p>
        </w:tc>
      </w:tr>
      <w:tr>
        <w:tblPrEx>
          <w:tblLayout w:type="fixed"/>
          <w:tblCellMar>
            <w:top w:w="0" w:type="dxa"/>
            <w:left w:w="0" w:type="dxa"/>
            <w:bottom w:w="0" w:type="dxa"/>
            <w:right w:w="0" w:type="dxa"/>
          </w:tblCellMar>
        </w:tblPrEx>
        <w:trPr>
          <w:trHeight w:val="82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分配方法</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资金分配方法是否科学合理</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合理</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合理</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分配过程符合相关规定</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r>
      <w:tr>
        <w:tblPrEx>
          <w:tblLayout w:type="fixed"/>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分配结果</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审核把关</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符合申报条件的抽样项目点个数/抽样项目点总数×100%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10个</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10个</w:t>
            </w:r>
          </w:p>
        </w:tc>
      </w:tr>
      <w:tr>
        <w:tblPrEx>
          <w:tblLayout w:type="fixed"/>
          <w:tblCellMar>
            <w:top w:w="0" w:type="dxa"/>
            <w:left w:w="0" w:type="dxa"/>
            <w:bottom w:w="0" w:type="dxa"/>
            <w:right w:w="0" w:type="dxa"/>
          </w:tblCellMar>
        </w:tblPrEx>
        <w:trPr>
          <w:trHeight w:val="102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资金集中</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集中</w:t>
            </w:r>
          </w:p>
        </w:tc>
        <w:tc>
          <w:tcPr>
            <w:tcW w:w="1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财政资金占项目资金总额比重较小项目个数/项目总数×100%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val="en-US" w:eastAsia="zh-CN"/>
              </w:rPr>
              <w:t>10个</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val="en-US" w:eastAsia="zh-CN"/>
              </w:rPr>
              <w:t>10个</w:t>
            </w:r>
          </w:p>
        </w:tc>
      </w:tr>
      <w:tr>
        <w:tblPrEx>
          <w:tblLayout w:type="fixed"/>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按实际分配结果选择客观因素测算验证资金分配方法制定、分配要素设定、基础数据应用、测算依据选取等是否科学合理（2分）</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合理</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合理</w:t>
            </w:r>
          </w:p>
        </w:tc>
      </w:tr>
      <w:tr>
        <w:tblPrEx>
          <w:tblLayout w:type="fixed"/>
          <w:tblCellMar>
            <w:top w:w="0" w:type="dxa"/>
            <w:left w:w="0" w:type="dxa"/>
            <w:bottom w:w="0" w:type="dxa"/>
            <w:right w:w="0" w:type="dxa"/>
          </w:tblCellMar>
        </w:tblPrEx>
        <w:trPr>
          <w:trHeight w:val="54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项目管理</w:t>
            </w: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资金到位</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分配时效</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县级主管部门按规定及时分配资金</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及时</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及时</w:t>
            </w:r>
          </w:p>
        </w:tc>
      </w:tr>
      <w:tr>
        <w:tblPrEx>
          <w:tblLayout w:type="fixed"/>
          <w:tblCellMar>
            <w:top w:w="0" w:type="dxa"/>
            <w:left w:w="0" w:type="dxa"/>
            <w:bottom w:w="0" w:type="dxa"/>
            <w:right w:w="0" w:type="dxa"/>
          </w:tblCellMar>
        </w:tblPrEx>
        <w:trPr>
          <w:trHeight w:val="11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资金拨付</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按规定及时拨付资金</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资金管理  </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使用范围</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资金使用是否合规</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支付依据</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资金支付依据符合规定，即支付依旧合规资金量/资金总量×100%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开支标准</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资金开支标准符合规定，即开支标准合规资金量/资金总量×100%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r>
      <w:tr>
        <w:tblPrEx>
          <w:tblLayout w:type="fixed"/>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财务管理</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财务制度健全，管理规范</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会计核算规范</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组织实施（4分）</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项目调整严格履行相关手续</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该项目未存在调整</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eastAsia="zh-CN"/>
              </w:rPr>
              <w:t>该项目未存在调整</w:t>
            </w:r>
          </w:p>
        </w:tc>
      </w:tr>
      <w:tr>
        <w:tblPrEx>
          <w:tblLayout w:type="fixed"/>
          <w:tblCellMar>
            <w:top w:w="0" w:type="dxa"/>
            <w:left w:w="0" w:type="dxa"/>
            <w:bottom w:w="0" w:type="dxa"/>
            <w:right w:w="0" w:type="dxa"/>
          </w:tblCellMar>
        </w:tblPrEx>
        <w:trPr>
          <w:trHeight w:val="8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投资变更</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项目投资变更额/项目总投入×100%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eastAsia="zh-CN"/>
              </w:rPr>
              <w:t>该项目未存在调整</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eastAsia="zh-CN"/>
              </w:rPr>
              <w:t>该项目未存在调整</w:t>
            </w:r>
          </w:p>
        </w:tc>
      </w:tr>
      <w:tr>
        <w:tblPrEx>
          <w:tblLayout w:type="fixed"/>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制度执行</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严格执行项目有关制度规定</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 name="直接连接符_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直接连接符_6" descr="/"/>
                          <pic:cNvPicPr>
                            <a:picLocks noChangeAspect="1"/>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eastAsia="宋体" w:cs="宋体"/>
                <w:i w:val="0"/>
                <w:color w:val="auto"/>
                <w:kern w:val="0"/>
                <w:sz w:val="20"/>
                <w:szCs w:val="20"/>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2" name="直接连接符_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直接连接符_5" descr="/"/>
                          <pic:cNvPicPr>
                            <a:picLocks noChangeAspect="1"/>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color w:val="auto"/>
                <w:kern w:val="0"/>
                <w:sz w:val="20"/>
                <w:szCs w:val="20"/>
                <w:u w:val="none"/>
                <w:lang w:val="en-US" w:eastAsia="zh-CN" w:bidi="ar"/>
              </w:rPr>
              <w:t>项目绩效</w:t>
            </w: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项目完成</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完成数量</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实际完成任务量/绩效目标设定任务量×100%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100%</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100%</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完成质量</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符合绩效目标设定的验收标准，达到行业基准水平</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r>
      <w:tr>
        <w:tblPrEx>
          <w:tblLayout w:type="fixed"/>
          <w:tblCellMar>
            <w:top w:w="0" w:type="dxa"/>
            <w:left w:w="0" w:type="dxa"/>
            <w:bottom w:w="0" w:type="dxa"/>
            <w:right w:w="0" w:type="dxa"/>
          </w:tblCellMar>
        </w:tblPrEx>
        <w:trPr>
          <w:trHeight w:val="80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完成时效</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（实际完成时间-绩效目标设定完成时间）/绩效目标设定完成时间×100%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100%</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100%</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完成成本</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（实际完成成本-预计完成成本）/预计完成成本×100%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val="en-US" w:eastAsia="zh-CN"/>
              </w:rPr>
              <w:t>100%</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val="en-US" w:eastAsia="zh-CN"/>
              </w:rPr>
              <w:t>100%</w:t>
            </w:r>
          </w:p>
        </w:tc>
      </w:tr>
      <w:tr>
        <w:tblPrEx>
          <w:tblLayout w:type="fixed"/>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项目效益</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经济效益</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反映相关产出对经济社会发展带来的影响和效果，根据项目实际细化具体指标。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有效治理地质灾害</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eastAsia="zh-CN"/>
              </w:rPr>
              <w:t>有效治理地质灾害</w:t>
            </w:r>
          </w:p>
        </w:tc>
      </w:tr>
      <w:tr>
        <w:tblPrEx>
          <w:tblLayout w:type="fixed"/>
          <w:tblCellMar>
            <w:top w:w="0" w:type="dxa"/>
            <w:left w:w="0" w:type="dxa"/>
            <w:bottom w:w="0" w:type="dxa"/>
            <w:right w:w="0" w:type="dxa"/>
          </w:tblCellMar>
        </w:tblPrEx>
        <w:trPr>
          <w:trHeight w:val="74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社会效益</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保障人民群众生命财产安全</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eastAsia="zh-CN"/>
              </w:rPr>
              <w:t>保障人民群众生命财产安全</w:t>
            </w:r>
          </w:p>
        </w:tc>
      </w:tr>
      <w:tr>
        <w:tblPrEx>
          <w:tblLayout w:type="fixed"/>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生态效益</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反映相关产出对自然环境带来的影响和效果，根据项目实际细化具体指标。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both"/>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治理地质灾害，防止泥石流灾害</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eastAsia="zh-CN"/>
              </w:rPr>
              <w:t>治理地质灾害，防止泥石流灾害</w:t>
            </w:r>
          </w:p>
        </w:tc>
      </w:tr>
      <w:tr>
        <w:tblPrEx>
          <w:tblLayout w:type="fixed"/>
          <w:tblCellMar>
            <w:top w:w="0" w:type="dxa"/>
            <w:left w:w="0" w:type="dxa"/>
            <w:bottom w:w="0" w:type="dxa"/>
            <w:right w:w="0" w:type="dxa"/>
          </w:tblCellMar>
        </w:tblPrEx>
        <w:trPr>
          <w:trHeight w:val="76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可持续效益</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反映相关产出带来影响的可持续期限，根据项目实际细化具体指标。</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改善泥石流、地灾情况，避免次生灾害</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eastAsia="zh-CN"/>
              </w:rPr>
              <w:t>改善泥石流、地灾情况，避免次生灾害</w:t>
            </w:r>
          </w:p>
        </w:tc>
      </w:tr>
      <w:tr>
        <w:tblPrEx>
          <w:tblLayout w:type="fixed"/>
          <w:tblCellMar>
            <w:top w:w="0" w:type="dxa"/>
            <w:left w:w="0" w:type="dxa"/>
            <w:bottom w:w="0" w:type="dxa"/>
            <w:right w:w="0" w:type="dxa"/>
          </w:tblCellMar>
        </w:tblPrEx>
        <w:trPr>
          <w:trHeight w:val="108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服务对象满意度</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反映服务对象或项目受益人对相关产出及其影响的认可程度，根据项目实际细化具体指标。</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群众满意度高</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群众满意度高</w:t>
            </w:r>
          </w:p>
        </w:tc>
      </w:tr>
      <w:tr>
        <w:tblPrEx>
          <w:tblLayout w:type="fixed"/>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项目支出绩效目标完成情况表</w:t>
            </w:r>
          </w:p>
        </w:tc>
      </w:tr>
      <w:tr>
        <w:tblPrEx>
          <w:tblLayout w:type="fixed"/>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项目名称</w:t>
            </w:r>
          </w:p>
        </w:tc>
        <w:tc>
          <w:tcPr>
            <w:tcW w:w="720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其他国土海洋气象等支出</w:t>
            </w:r>
          </w:p>
        </w:tc>
      </w:tr>
      <w:tr>
        <w:tblPrEx>
          <w:tblLayout w:type="fixed"/>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预算单位</w:t>
            </w:r>
          </w:p>
        </w:tc>
        <w:tc>
          <w:tcPr>
            <w:tcW w:w="720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红原县国土资源局</w:t>
            </w:r>
          </w:p>
        </w:tc>
      </w:tr>
      <w:tr>
        <w:tblPrEx>
          <w:tblLayout w:type="fixed"/>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预算执行情况(万元</w:t>
            </w: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预算数:</w:t>
            </w:r>
          </w:p>
        </w:tc>
        <w:tc>
          <w:tcPr>
            <w:tcW w:w="19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80.4万元</w:t>
            </w:r>
          </w:p>
        </w:tc>
        <w:tc>
          <w:tcPr>
            <w:tcW w:w="1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执行数:</w:t>
            </w:r>
          </w:p>
        </w:tc>
        <w:tc>
          <w:tcPr>
            <w:tcW w:w="35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80.4万元</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u w:val="none"/>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19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80.4万元</w:t>
            </w:r>
          </w:p>
        </w:tc>
        <w:tc>
          <w:tcPr>
            <w:tcW w:w="1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其中-财政拨款:</w:t>
            </w:r>
          </w:p>
        </w:tc>
        <w:tc>
          <w:tcPr>
            <w:tcW w:w="35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80.4万元</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u w:val="none"/>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19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0</w:t>
            </w:r>
          </w:p>
        </w:tc>
        <w:tc>
          <w:tcPr>
            <w:tcW w:w="1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其它资金:</w:t>
            </w:r>
          </w:p>
        </w:tc>
        <w:tc>
          <w:tcPr>
            <w:tcW w:w="35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0</w:t>
            </w:r>
          </w:p>
        </w:tc>
      </w:tr>
      <w:tr>
        <w:tblPrEx>
          <w:tblLayout w:type="fixed"/>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年度目标完成情况</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预期目标</w:t>
            </w:r>
          </w:p>
        </w:tc>
        <w:tc>
          <w:tcPr>
            <w:tcW w:w="64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实际完成目标</w:t>
            </w:r>
          </w:p>
        </w:tc>
      </w:tr>
      <w:tr>
        <w:tblPrEx>
          <w:tblLayout w:type="fixed"/>
          <w:tblCellMar>
            <w:top w:w="0" w:type="dxa"/>
            <w:left w:w="0" w:type="dxa"/>
            <w:bottom w:w="0" w:type="dxa"/>
            <w:right w:w="0" w:type="dxa"/>
          </w:tblCellMar>
        </w:tblPrEx>
        <w:trPr>
          <w:trHeight w:val="2792"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auto"/>
                <w:sz w:val="20"/>
                <w:szCs w:val="20"/>
                <w:u w:val="none"/>
              </w:rPr>
            </w:pP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auto"/>
                <w:sz w:val="24"/>
                <w:szCs w:val="24"/>
                <w:u w:val="none"/>
                <w:lang w:eastAsia="zh-CN"/>
              </w:rPr>
            </w:pPr>
            <w:r>
              <w:rPr>
                <w:rFonts w:hint="eastAsia" w:ascii="宋体" w:hAnsi="宋体" w:cs="宋体"/>
                <w:b/>
                <w:i w:val="0"/>
                <w:color w:val="auto"/>
                <w:sz w:val="24"/>
                <w:szCs w:val="24"/>
                <w:u w:val="none"/>
                <w:lang w:eastAsia="zh-CN"/>
              </w:rPr>
              <w:t>该项目实施确保及时为我县经济社会发展提供用地保障；</w:t>
            </w:r>
          </w:p>
        </w:tc>
        <w:tc>
          <w:tcPr>
            <w:tcW w:w="64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cs="宋体"/>
                <w:b/>
                <w:i w:val="0"/>
                <w:color w:val="auto"/>
                <w:sz w:val="24"/>
                <w:szCs w:val="24"/>
                <w:u w:val="none"/>
                <w:lang w:val="en-US" w:eastAsia="zh-CN"/>
              </w:rPr>
            </w:pPr>
            <w:r>
              <w:rPr>
                <w:rFonts w:hint="eastAsia" w:ascii="宋体" w:hAnsi="宋体" w:cs="宋体"/>
                <w:b/>
                <w:i w:val="0"/>
                <w:color w:val="auto"/>
                <w:sz w:val="24"/>
                <w:szCs w:val="24"/>
                <w:u w:val="none"/>
                <w:lang w:eastAsia="zh-CN"/>
              </w:rPr>
              <w:t>该项目实施确保及时为我县经济社会发展提供用地保障；</w:t>
            </w:r>
          </w:p>
          <w:p>
            <w:pPr>
              <w:jc w:val="center"/>
              <w:rPr>
                <w:rFonts w:hint="default" w:ascii="宋体" w:hAnsi="宋体" w:eastAsia="宋体" w:cs="宋体"/>
                <w:b/>
                <w:i w:val="0"/>
                <w:color w:val="auto"/>
                <w:sz w:val="24"/>
                <w:szCs w:val="24"/>
                <w:u w:val="none"/>
                <w:lang w:val="en-US" w:eastAsia="zh-CN"/>
              </w:rPr>
            </w:pPr>
          </w:p>
        </w:tc>
      </w:tr>
      <w:tr>
        <w:tblPrEx>
          <w:tblLayout w:type="fixed"/>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auto"/>
                <w:sz w:val="24"/>
                <w:szCs w:val="24"/>
                <w:u w:val="none"/>
              </w:rPr>
            </w:pPr>
            <w:r>
              <w:rPr>
                <w:rFonts w:hint="default" w:ascii="仿宋_GB2312" w:hAnsi="宋体" w:eastAsia="仿宋_GB2312" w:cs="仿宋_GB2312"/>
                <w:i w:val="0"/>
                <w:color w:val="auto"/>
                <w:kern w:val="0"/>
                <w:sz w:val="24"/>
                <w:szCs w:val="24"/>
                <w:u w:val="none"/>
                <w:lang w:val="en-US" w:eastAsia="zh-CN" w:bidi="ar"/>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 name="直接连接符_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直接连接符_10" descr="/"/>
                          <pic:cNvPicPr>
                            <a:picLocks noChangeAspect="1"/>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 name="直接连接符_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直接连接符_8" descr="/"/>
                          <pic:cNvPicPr>
                            <a:picLocks noChangeAspect="1"/>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 name="直接连接符_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直接连接符_9" descr="/"/>
                          <pic:cNvPicPr>
                            <a:picLocks noChangeAspect="1"/>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2" name="直接连接符_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直接连接符_7" descr="/"/>
                          <pic:cNvPicPr>
                            <a:picLocks noChangeAspect="1"/>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lang w:val="en-US" w:eastAsia="zh-CN" w:bidi="ar"/>
              </w:rPr>
              <w:t>一级指标</w:t>
            </w: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二级指标</w:t>
            </w:r>
          </w:p>
        </w:tc>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三级指标</w:t>
            </w:r>
          </w:p>
        </w:tc>
        <w:tc>
          <w:tcPr>
            <w:tcW w:w="29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指标评价内容</w:t>
            </w:r>
          </w:p>
        </w:tc>
        <w:tc>
          <w:tcPr>
            <w:tcW w:w="180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预期指标值(包含数字及文字描述)</w:t>
            </w:r>
          </w:p>
        </w:tc>
        <w:tc>
          <w:tcPr>
            <w:tcW w:w="17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实际完成指标值(包含数字及文字描述)</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8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7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r>
      <w:tr>
        <w:tblPrEx>
          <w:tblLayout w:type="fixed"/>
          <w:tblCellMar>
            <w:top w:w="0" w:type="dxa"/>
            <w:left w:w="0" w:type="dxa"/>
            <w:bottom w:w="0" w:type="dxa"/>
            <w:right w:w="0" w:type="dxa"/>
          </w:tblCellMar>
        </w:tblPrEx>
        <w:trPr>
          <w:trHeight w:val="12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8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c>
          <w:tcPr>
            <w:tcW w:w="17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auto"/>
                <w:sz w:val="20"/>
                <w:szCs w:val="20"/>
                <w:u w:val="none"/>
              </w:rPr>
            </w:pPr>
          </w:p>
        </w:tc>
      </w:tr>
      <w:tr>
        <w:tblPrEx>
          <w:tblLayout w:type="fixed"/>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项目决策</w:t>
            </w: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目标内容</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项目预期提供的产品、服务、效益或其他目标明确,即绩效目标实际明确个数/应当明确个数×100%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eastAsia" w:ascii="宋体" w:hAnsi="宋体" w:cs="宋体"/>
                <w:i w:val="0"/>
                <w:color w:val="auto"/>
                <w:kern w:val="0"/>
                <w:sz w:val="20"/>
                <w:szCs w:val="20"/>
                <w:u w:val="none"/>
                <w:lang w:val="en-US" w:eastAsia="zh-CN" w:bidi="ar"/>
              </w:rPr>
              <w:t>4个</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default" w:ascii="宋体" w:hAnsi="宋体" w:eastAsia="宋体" w:cs="宋体"/>
                <w:i w:val="0"/>
                <w:color w:val="auto"/>
                <w:kern w:val="0"/>
                <w:sz w:val="20"/>
                <w:szCs w:val="20"/>
                <w:u w:val="none"/>
                <w:lang w:val="en-US" w:eastAsia="zh-CN" w:bidi="ar"/>
              </w:rPr>
            </w:pPr>
            <w:r>
              <w:rPr>
                <w:rFonts w:hint="eastAsia" w:ascii="宋体" w:hAnsi="宋体" w:cs="宋体"/>
                <w:i w:val="0"/>
                <w:color w:val="auto"/>
                <w:kern w:val="0"/>
                <w:sz w:val="20"/>
                <w:szCs w:val="20"/>
                <w:u w:val="none"/>
                <w:lang w:val="en-US" w:eastAsia="zh-CN" w:bidi="ar"/>
              </w:rPr>
              <w:t>4个</w:t>
            </w:r>
          </w:p>
        </w:tc>
      </w:tr>
      <w:tr>
        <w:tblPrEx>
          <w:tblLayout w:type="fixed"/>
          <w:tblCellMar>
            <w:top w:w="0" w:type="dxa"/>
            <w:left w:w="0" w:type="dxa"/>
            <w:bottom w:w="0" w:type="dxa"/>
            <w:right w:w="0" w:type="dxa"/>
          </w:tblCellMar>
        </w:tblPrEx>
        <w:trPr>
          <w:trHeight w:val="64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进度计划</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项目计划实施进度明确</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明确</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明确</w:t>
            </w:r>
          </w:p>
        </w:tc>
      </w:tr>
      <w:tr>
        <w:tblPrEx>
          <w:tblLayout w:type="fixed"/>
          <w:tblCellMar>
            <w:top w:w="0" w:type="dxa"/>
            <w:left w:w="0" w:type="dxa"/>
            <w:bottom w:w="0" w:type="dxa"/>
            <w:right w:w="0" w:type="dxa"/>
          </w:tblCellMar>
        </w:tblPrEx>
        <w:trPr>
          <w:trHeight w:val="69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目标匹配</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绩效目标设定符合实际需求的抽样项目点个数/抽样项目点总数×100%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4</w:t>
            </w:r>
            <w:r>
              <w:rPr>
                <w:rFonts w:hint="eastAsia" w:ascii="宋体" w:hAnsi="宋体" w:eastAsia="宋体" w:cs="宋体"/>
                <w:i w:val="0"/>
                <w:color w:val="auto"/>
                <w:sz w:val="20"/>
                <w:szCs w:val="20"/>
                <w:u w:val="none"/>
                <w:lang w:val="en-US" w:eastAsia="zh-CN"/>
              </w:rPr>
              <w:t>个</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4</w:t>
            </w:r>
            <w:r>
              <w:rPr>
                <w:rFonts w:hint="eastAsia" w:ascii="宋体" w:hAnsi="宋体" w:eastAsia="宋体" w:cs="宋体"/>
                <w:i w:val="0"/>
                <w:color w:val="auto"/>
                <w:sz w:val="20"/>
                <w:szCs w:val="20"/>
                <w:u w:val="none"/>
                <w:lang w:val="en-US" w:eastAsia="zh-CN"/>
              </w:rPr>
              <w:t>个</w:t>
            </w:r>
          </w:p>
        </w:tc>
      </w:tr>
      <w:tr>
        <w:tblPrEx>
          <w:tblLayout w:type="fixed"/>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决策依据</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政策依据</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项目符合党中央、国务院和省委、省政府决策部署；符合当前经济社会发展需要</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连续性项目根据需要制定中长期实施规划</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有</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有</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实施规划符合实际，并根据情况变化适时调整</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管理制度</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制定项目资金管理办法</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r>
      <w:tr>
        <w:tblPrEx>
          <w:tblLayout w:type="fixed"/>
          <w:tblCellMar>
            <w:top w:w="0" w:type="dxa"/>
            <w:left w:w="0" w:type="dxa"/>
            <w:bottom w:w="0" w:type="dxa"/>
            <w:right w:w="0" w:type="dxa"/>
          </w:tblCellMar>
        </w:tblPrEx>
        <w:trPr>
          <w:trHeight w:val="75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项目资金分配决策程序明确</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明确</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明确</w:t>
            </w:r>
          </w:p>
        </w:tc>
      </w:tr>
      <w:tr>
        <w:tblPrEx>
          <w:tblLayout w:type="fixed"/>
          <w:tblCellMar>
            <w:top w:w="0" w:type="dxa"/>
            <w:left w:w="0" w:type="dxa"/>
            <w:bottom w:w="0" w:type="dxa"/>
            <w:right w:w="0" w:type="dxa"/>
          </w:tblCellMar>
        </w:tblPrEx>
        <w:trPr>
          <w:trHeight w:val="82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分配方法</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资金分配方法是否科学合理</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合理</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合理</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分配过程符合相关规定</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r>
      <w:tr>
        <w:tblPrEx>
          <w:tblLayout w:type="fixed"/>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分配结果</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审核把关</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符合申报条件的抽样项目点个数/抽样项目点总数×100%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4</w:t>
            </w:r>
            <w:r>
              <w:rPr>
                <w:rFonts w:hint="eastAsia" w:ascii="宋体" w:hAnsi="宋体" w:eastAsia="宋体" w:cs="宋体"/>
                <w:i w:val="0"/>
                <w:color w:val="auto"/>
                <w:sz w:val="20"/>
                <w:szCs w:val="20"/>
                <w:u w:val="none"/>
                <w:lang w:val="en-US" w:eastAsia="zh-CN"/>
              </w:rPr>
              <w:t>个</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4</w:t>
            </w:r>
            <w:r>
              <w:rPr>
                <w:rFonts w:hint="eastAsia" w:ascii="宋体" w:hAnsi="宋体" w:eastAsia="宋体" w:cs="宋体"/>
                <w:i w:val="0"/>
                <w:color w:val="auto"/>
                <w:sz w:val="20"/>
                <w:szCs w:val="20"/>
                <w:u w:val="none"/>
                <w:lang w:val="en-US" w:eastAsia="zh-CN"/>
              </w:rPr>
              <w:t>个</w:t>
            </w:r>
          </w:p>
        </w:tc>
      </w:tr>
      <w:tr>
        <w:tblPrEx>
          <w:tblLayout w:type="fixed"/>
          <w:tblCellMar>
            <w:top w:w="0" w:type="dxa"/>
            <w:left w:w="0" w:type="dxa"/>
            <w:bottom w:w="0" w:type="dxa"/>
            <w:right w:w="0" w:type="dxa"/>
          </w:tblCellMar>
        </w:tblPrEx>
        <w:trPr>
          <w:trHeight w:val="102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资金集中</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集中</w:t>
            </w:r>
          </w:p>
        </w:tc>
        <w:tc>
          <w:tcPr>
            <w:tcW w:w="1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财政资金占项目资金总额比重较小项目个数/项目总数×100%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4</w:t>
            </w:r>
            <w:r>
              <w:rPr>
                <w:rFonts w:hint="eastAsia" w:ascii="宋体" w:hAnsi="宋体" w:eastAsia="宋体" w:cs="宋体"/>
                <w:i w:val="0"/>
                <w:color w:val="auto"/>
                <w:sz w:val="20"/>
                <w:szCs w:val="20"/>
                <w:u w:val="none"/>
                <w:lang w:val="en-US" w:eastAsia="zh-CN"/>
              </w:rPr>
              <w:t>个</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4</w:t>
            </w:r>
            <w:r>
              <w:rPr>
                <w:rFonts w:hint="eastAsia" w:ascii="宋体" w:hAnsi="宋体" w:eastAsia="宋体" w:cs="宋体"/>
                <w:i w:val="0"/>
                <w:color w:val="auto"/>
                <w:sz w:val="20"/>
                <w:szCs w:val="20"/>
                <w:u w:val="none"/>
                <w:lang w:val="en-US" w:eastAsia="zh-CN"/>
              </w:rPr>
              <w:t>个</w:t>
            </w:r>
          </w:p>
        </w:tc>
      </w:tr>
      <w:tr>
        <w:tblPrEx>
          <w:tblLayout w:type="fixed"/>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7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按实际分配结果选择客观因素测算验证资金分配方法制定、分配要素设定、基础数据应用、测算依据选取等是否科学合理（2分）</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合理</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合理</w:t>
            </w:r>
          </w:p>
        </w:tc>
      </w:tr>
      <w:tr>
        <w:tblPrEx>
          <w:tblLayout w:type="fixed"/>
          <w:tblCellMar>
            <w:top w:w="0" w:type="dxa"/>
            <w:left w:w="0" w:type="dxa"/>
            <w:bottom w:w="0" w:type="dxa"/>
            <w:right w:w="0" w:type="dxa"/>
          </w:tblCellMar>
        </w:tblPrEx>
        <w:trPr>
          <w:trHeight w:val="54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项目管理</w:t>
            </w: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资金到位</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分配时效</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县级主管部门按规定及时分配资金</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及时</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及时</w:t>
            </w:r>
          </w:p>
        </w:tc>
      </w:tr>
      <w:tr>
        <w:tblPrEx>
          <w:tblLayout w:type="fixed"/>
          <w:tblCellMar>
            <w:top w:w="0" w:type="dxa"/>
            <w:left w:w="0" w:type="dxa"/>
            <w:bottom w:w="0" w:type="dxa"/>
            <w:right w:w="0" w:type="dxa"/>
          </w:tblCellMar>
        </w:tblPrEx>
        <w:trPr>
          <w:trHeight w:val="11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资金拨付</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按规定及时拨付资金</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资金管理  </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使用范围</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资金使用是否合规</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支付依据</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资金支付依据符合规定，即支付依旧合规资金量/资金总量×100%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开支标准</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资金开支标准符合规定，即开支标准合规资金量/资金总量×100%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r>
      <w:tr>
        <w:tblPrEx>
          <w:tblLayout w:type="fixed"/>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财务管理</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财务制度健全，管理规范</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会计核算规范</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组织实施（4分）</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项目调整严格履行相关手续</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该项目未存在调整</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eastAsia="zh-CN"/>
              </w:rPr>
              <w:t>该项目未存在调整</w:t>
            </w:r>
          </w:p>
        </w:tc>
      </w:tr>
      <w:tr>
        <w:tblPrEx>
          <w:tblLayout w:type="fixed"/>
          <w:tblCellMar>
            <w:top w:w="0" w:type="dxa"/>
            <w:left w:w="0" w:type="dxa"/>
            <w:bottom w:w="0" w:type="dxa"/>
            <w:right w:w="0" w:type="dxa"/>
          </w:tblCellMar>
        </w:tblPrEx>
        <w:trPr>
          <w:trHeight w:val="8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投资变更</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项目投资变更额/项目总投入×100%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eastAsia="zh-CN"/>
              </w:rPr>
              <w:t>该项目未存在调整</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eastAsia="zh-CN"/>
              </w:rPr>
              <w:t>该项目未存在调整</w:t>
            </w:r>
          </w:p>
        </w:tc>
      </w:tr>
      <w:tr>
        <w:tblPrEx>
          <w:tblLayout w:type="fixed"/>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制度执行</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严格执行项目有关制度规定</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是</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3" name="直接连接符_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直接连接符_6" descr="/"/>
                          <pic:cNvPicPr>
                            <a:picLocks noChangeAspect="1"/>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eastAsia="宋体" w:cs="宋体"/>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4" name="直接连接符_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直接连接符_5" descr="/"/>
                          <pic:cNvPicPr>
                            <a:picLocks noChangeAspect="1"/>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color w:val="auto"/>
                <w:kern w:val="0"/>
                <w:sz w:val="20"/>
                <w:szCs w:val="20"/>
                <w:u w:val="none"/>
                <w:lang w:val="en-US" w:eastAsia="zh-CN" w:bidi="ar"/>
              </w:rPr>
              <w:t>项目绩效</w:t>
            </w: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项目完成</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完成数量</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实际完成任务量/绩效目标设定任务量×100%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100%</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100%</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完成质量</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符合绩效目标设定的验收标准，达到行业基准水平</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符合</w:t>
            </w:r>
          </w:p>
        </w:tc>
      </w:tr>
      <w:tr>
        <w:tblPrEx>
          <w:tblLayout w:type="fixed"/>
          <w:tblCellMar>
            <w:top w:w="0" w:type="dxa"/>
            <w:left w:w="0" w:type="dxa"/>
            <w:bottom w:w="0" w:type="dxa"/>
            <w:right w:w="0" w:type="dxa"/>
          </w:tblCellMar>
        </w:tblPrEx>
        <w:trPr>
          <w:trHeight w:val="80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完成时效</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（实际完成时间-绩效目标设定完成时间）/绩效目标设定完成时间×100%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100%</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100%</w:t>
            </w:r>
          </w:p>
        </w:tc>
      </w:tr>
      <w:tr>
        <w:tblPrEx>
          <w:tblLayout w:type="fixed"/>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完成成本</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（实际完成成本-预计完成成本）/预计完成成本×100%</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val="en-US" w:eastAsia="zh-CN"/>
              </w:rPr>
              <w:t>100%</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lang w:val="en-US" w:eastAsia="zh-CN"/>
              </w:rPr>
              <w:t>100%</w:t>
            </w:r>
          </w:p>
        </w:tc>
      </w:tr>
      <w:tr>
        <w:tblPrEx>
          <w:tblLayout w:type="fixed"/>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项目效益</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经济效益</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反映相关产出对经济社会发展带来的影响和效果，根据项目实际细化具体指标。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确保国有资产不流失</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确保国有资产不流失</w:t>
            </w:r>
          </w:p>
        </w:tc>
      </w:tr>
      <w:tr>
        <w:tblPrEx>
          <w:tblLayout w:type="fixed"/>
          <w:tblCellMar>
            <w:top w:w="0" w:type="dxa"/>
            <w:left w:w="0" w:type="dxa"/>
            <w:bottom w:w="0" w:type="dxa"/>
            <w:right w:w="0" w:type="dxa"/>
          </w:tblCellMar>
        </w:tblPrEx>
        <w:trPr>
          <w:trHeight w:val="74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社会效益</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反映相关产出对社会发展带来的影响和效果，根据项目实际细化具体指标。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保障人民群众个人利益不受损</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保障人民群众个人利益不受损</w:t>
            </w:r>
          </w:p>
        </w:tc>
      </w:tr>
      <w:tr>
        <w:tblPrEx>
          <w:tblLayout w:type="fixed"/>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生态效益</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反映相关产出对自然环境带来的影响和效果，根据项目实际细化具体指标。</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eastAsia="zh-CN"/>
              </w:rPr>
            </w:pPr>
            <w:r>
              <w:rPr>
                <w:rFonts w:hint="eastAsia" w:ascii="宋体" w:hAnsi="宋体" w:cs="宋体"/>
                <w:i w:val="0"/>
                <w:color w:val="auto"/>
                <w:sz w:val="20"/>
                <w:szCs w:val="20"/>
                <w:u w:val="none"/>
                <w:lang w:eastAsia="zh-CN"/>
              </w:rPr>
              <w:t>确保及时为我县经济社会发展提供用地保障</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cs="宋体"/>
                <w:i w:val="0"/>
                <w:color w:val="auto"/>
                <w:sz w:val="20"/>
                <w:szCs w:val="20"/>
                <w:u w:val="none"/>
                <w:lang w:eastAsia="zh-CN"/>
              </w:rPr>
            </w:pPr>
            <w:r>
              <w:rPr>
                <w:rFonts w:hint="eastAsia" w:ascii="宋体" w:hAnsi="宋体" w:cs="宋体"/>
                <w:i w:val="0"/>
                <w:color w:val="auto"/>
                <w:sz w:val="20"/>
                <w:szCs w:val="20"/>
                <w:u w:val="none"/>
                <w:lang w:eastAsia="zh-CN"/>
              </w:rPr>
              <w:t>确保及时为我县经济社会发展提供用地保障</w:t>
            </w:r>
          </w:p>
        </w:tc>
      </w:tr>
      <w:tr>
        <w:tblPrEx>
          <w:tblLayout w:type="fixed"/>
          <w:tblCellMar>
            <w:top w:w="0" w:type="dxa"/>
            <w:left w:w="0" w:type="dxa"/>
            <w:bottom w:w="0" w:type="dxa"/>
            <w:right w:w="0" w:type="dxa"/>
          </w:tblCellMar>
        </w:tblPrEx>
        <w:trPr>
          <w:trHeight w:val="76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auto"/>
                <w:sz w:val="20"/>
                <w:szCs w:val="20"/>
                <w:u w:val="none"/>
              </w:rPr>
            </w:pP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可持续效益</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反映相关产出带来影响的可持续期限，根据项目实际细化具体指标。</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无</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无</w:t>
            </w:r>
          </w:p>
        </w:tc>
      </w:tr>
      <w:tr>
        <w:tblPrEx>
          <w:tblLayout w:type="fixed"/>
          <w:tblCellMar>
            <w:top w:w="0" w:type="dxa"/>
            <w:left w:w="0" w:type="dxa"/>
            <w:bottom w:w="0" w:type="dxa"/>
            <w:right w:w="0" w:type="dxa"/>
          </w:tblCellMar>
        </w:tblPrEx>
        <w:trPr>
          <w:trHeight w:val="1080" w:hRule="atLeast"/>
        </w:trPr>
        <w:tc>
          <w:tcPr>
            <w:tcW w:w="4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auto"/>
                <w:sz w:val="20"/>
                <w:szCs w:val="20"/>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服务对象满意度</w:t>
            </w:r>
          </w:p>
        </w:tc>
        <w:tc>
          <w:tcPr>
            <w:tcW w:w="29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反映服务对象或项目受益人对相关产出及其影响的认可程度，根据项目实际细化具体指标。</w:t>
            </w:r>
          </w:p>
        </w:tc>
        <w:tc>
          <w:tcPr>
            <w:tcW w:w="1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群众满意度高</w:t>
            </w:r>
          </w:p>
        </w:tc>
        <w:tc>
          <w:tcPr>
            <w:tcW w:w="1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auto"/>
                <w:sz w:val="20"/>
                <w:szCs w:val="20"/>
                <w:u w:val="none"/>
                <w:lang w:eastAsia="zh-CN"/>
              </w:rPr>
            </w:pPr>
            <w:r>
              <w:rPr>
                <w:rFonts w:hint="eastAsia" w:ascii="宋体" w:hAnsi="宋体" w:eastAsia="宋体" w:cs="宋体"/>
                <w:i w:val="0"/>
                <w:color w:val="auto"/>
                <w:sz w:val="20"/>
                <w:szCs w:val="20"/>
                <w:u w:val="none"/>
                <w:lang w:eastAsia="zh-CN"/>
              </w:rPr>
              <w:t>群众满意度高</w:t>
            </w:r>
          </w:p>
        </w:tc>
      </w:tr>
    </w:tbl>
    <w:p>
      <w:pPr>
        <w:numPr>
          <w:ilvl w:val="0"/>
          <w:numId w:val="7"/>
        </w:numPr>
        <w:spacing w:line="580" w:lineRule="exact"/>
        <w:ind w:firstLine="643" w:firstLineChars="200"/>
        <w:rPr>
          <w:rFonts w:ascii="仿宋" w:hAnsi="仿宋" w:eastAsia="仿宋" w:cs="仿宋_GB2312"/>
          <w:color w:val="auto"/>
          <w:sz w:val="32"/>
          <w:szCs w:val="32"/>
        </w:rPr>
      </w:pPr>
      <w:r>
        <w:rPr>
          <w:rFonts w:hint="eastAsia" w:ascii="仿宋" w:hAnsi="仿宋" w:eastAsia="仿宋" w:cs="楷体_GB2312"/>
          <w:b/>
          <w:bCs/>
          <w:color w:val="auto"/>
          <w:sz w:val="32"/>
          <w:szCs w:val="32"/>
        </w:rPr>
        <w:t>部门开展绩效评价结果。</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本部门按要求对2018年部门整体支出绩效评价情况开展自评，《</w:t>
      </w:r>
      <w:r>
        <w:rPr>
          <w:rFonts w:hint="eastAsia" w:ascii="仿宋_GB2312" w:hAnsi="仿宋_GB2312" w:eastAsia="仿宋_GB2312" w:cs="仿宋_GB2312"/>
          <w:color w:val="auto"/>
          <w:sz w:val="32"/>
          <w:szCs w:val="32"/>
          <w:lang w:eastAsia="zh-CN"/>
        </w:rPr>
        <w:t>红原县自然资源局</w:t>
      </w:r>
      <w:r>
        <w:rPr>
          <w:rFonts w:hint="eastAsia" w:ascii="仿宋_GB2312" w:hAnsi="仿宋_GB2312" w:eastAsia="仿宋_GB2312" w:cs="仿宋_GB2312"/>
          <w:color w:val="auto"/>
          <w:sz w:val="32"/>
          <w:szCs w:val="32"/>
        </w:rPr>
        <w:t>2018年部门整体支出绩效评价报告》见附件。</w:t>
      </w:r>
    </w:p>
    <w:p>
      <w:pPr>
        <w:pStyle w:val="32"/>
        <w:keepNext w:val="0"/>
        <w:keepLines w:val="0"/>
        <w:pageBreakBefore w:val="0"/>
        <w:widowControl/>
        <w:kinsoku/>
        <w:wordWrap/>
        <w:overflowPunct/>
        <w:topLinePunct w:val="0"/>
        <w:autoSpaceDE/>
        <w:autoSpaceDN/>
        <w:bidi w:val="0"/>
        <w:spacing w:line="520" w:lineRule="exact"/>
        <w:ind w:firstLine="420" w:firstLineChars="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本部门自行组织对地质灾害治理项目支出绩效的自评报告开展了绩效评价，《龙日乡格玛村安置点泥石流治理项目</w:t>
      </w:r>
    </w:p>
    <w:p>
      <w:pPr>
        <w:spacing w:line="580" w:lineRule="exact"/>
        <w:rPr>
          <w:rFonts w:ascii="方正小标宋简体" w:hAnsi="方正小标宋简体" w:eastAsia="方正小标宋简体" w:cs="方正小标宋简体"/>
          <w:color w:val="auto"/>
          <w:sz w:val="44"/>
          <w:szCs w:val="44"/>
        </w:rPr>
      </w:pPr>
      <w:r>
        <w:rPr>
          <w:rFonts w:hint="eastAsia" w:ascii="仿宋_GB2312" w:hAnsi="仿宋_GB2312" w:eastAsia="仿宋_GB2312" w:cs="仿宋_GB2312"/>
          <w:color w:val="auto"/>
          <w:sz w:val="32"/>
          <w:szCs w:val="32"/>
        </w:rPr>
        <w:t>2018年绩效评价报告》见附件。</w:t>
      </w:r>
    </w:p>
    <w:p>
      <w:pPr>
        <w:spacing w:line="600" w:lineRule="exact"/>
        <w:ind w:firstLine="800" w:firstLineChars="250"/>
        <w:outlineLvl w:val="1"/>
        <w:rPr>
          <w:rStyle w:val="28"/>
          <w:rFonts w:ascii="黑体" w:hAnsi="黑体" w:eastAsia="黑体"/>
          <w:color w:val="auto"/>
        </w:rPr>
      </w:pPr>
      <w:bookmarkStart w:id="54" w:name="_Toc15377221"/>
      <w:bookmarkStart w:id="55" w:name="_Toc15396612"/>
      <w:r>
        <w:rPr>
          <w:rFonts w:hint="eastAsia" w:ascii="黑体" w:hAnsi="黑体" w:eastAsia="黑体"/>
          <w:color w:val="auto"/>
          <w:sz w:val="32"/>
          <w:szCs w:val="32"/>
        </w:rPr>
        <w:t>十</w:t>
      </w:r>
      <w:r>
        <w:rPr>
          <w:rStyle w:val="28"/>
          <w:rFonts w:hint="eastAsia" w:ascii="黑体" w:hAnsi="黑体" w:eastAsia="黑体"/>
          <w:color w:val="auto"/>
        </w:rPr>
        <w:t>一、</w:t>
      </w:r>
      <w:r>
        <w:rPr>
          <w:rStyle w:val="28"/>
          <w:rFonts w:hint="eastAsia" w:ascii="黑体" w:hAnsi="黑体" w:eastAsia="黑体"/>
          <w:b w:val="0"/>
          <w:color w:val="auto"/>
        </w:rPr>
        <w:t>其他重要事项的情况说明</w:t>
      </w:r>
      <w:bookmarkEnd w:id="54"/>
      <w:bookmarkEnd w:id="55"/>
    </w:p>
    <w:p>
      <w:pPr>
        <w:spacing w:line="600" w:lineRule="exact"/>
        <w:ind w:firstLine="643" w:firstLineChars="200"/>
        <w:outlineLvl w:val="2"/>
        <w:rPr>
          <w:rFonts w:ascii="仿宋" w:hAnsi="仿宋" w:eastAsia="仿宋"/>
          <w:color w:val="auto"/>
          <w:sz w:val="32"/>
          <w:szCs w:val="32"/>
        </w:rPr>
      </w:pPr>
      <w:bookmarkStart w:id="56" w:name="_Toc15377222"/>
      <w:r>
        <w:rPr>
          <w:rFonts w:hint="eastAsia" w:ascii="仿宋" w:hAnsi="仿宋" w:eastAsia="仿宋"/>
          <w:b/>
          <w:color w:val="auto"/>
          <w:sz w:val="32"/>
          <w:szCs w:val="32"/>
        </w:rPr>
        <w:t>（一）机关运行经费支出情况</w:t>
      </w:r>
      <w:bookmarkEnd w:id="56"/>
    </w:p>
    <w:p>
      <w:pPr>
        <w:spacing w:line="600" w:lineRule="exact"/>
        <w:ind w:firstLine="640" w:firstLineChars="200"/>
        <w:rPr>
          <w:rFonts w:hint="default" w:ascii="仿宋_GB2312" w:eastAsia="仿宋_GB2312"/>
          <w:color w:val="auto"/>
          <w:sz w:val="32"/>
          <w:szCs w:val="32"/>
          <w:lang w:val="en-US" w:eastAsia="zh-CN"/>
        </w:rPr>
      </w:pPr>
      <w:r>
        <w:rPr>
          <w:rFonts w:ascii="仿宋_GB2312" w:eastAsia="仿宋_GB2312"/>
          <w:color w:val="auto"/>
          <w:sz w:val="32"/>
          <w:szCs w:val="32"/>
        </w:rPr>
        <w:t>201</w:t>
      </w:r>
      <w:r>
        <w:rPr>
          <w:rFonts w:hint="eastAsia" w:ascii="仿宋_GB2312" w:eastAsia="仿宋_GB2312"/>
          <w:color w:val="auto"/>
          <w:sz w:val="32"/>
          <w:szCs w:val="32"/>
        </w:rPr>
        <w:t>8年，</w:t>
      </w:r>
      <w:r>
        <w:rPr>
          <w:rFonts w:hint="eastAsia" w:ascii="仿宋_GB2312" w:eastAsia="仿宋_GB2312"/>
          <w:color w:val="auto"/>
          <w:sz w:val="32"/>
          <w:szCs w:val="32"/>
          <w:lang w:eastAsia="zh-CN"/>
        </w:rPr>
        <w:t>红原县国土资源局</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16.13</w:t>
      </w:r>
      <w:r>
        <w:rPr>
          <w:rFonts w:hint="eastAsia" w:ascii="仿宋_GB2312" w:eastAsia="仿宋_GB2312"/>
          <w:color w:val="auto"/>
          <w:sz w:val="32"/>
          <w:szCs w:val="32"/>
        </w:rPr>
        <w:t>万元，比</w:t>
      </w:r>
      <w:r>
        <w:rPr>
          <w:rFonts w:ascii="仿宋_GB2312" w:eastAsia="仿宋_GB2312"/>
          <w:color w:val="auto"/>
          <w:sz w:val="32"/>
          <w:szCs w:val="32"/>
        </w:rPr>
        <w:t>201</w:t>
      </w:r>
      <w:r>
        <w:rPr>
          <w:rFonts w:hint="eastAsia" w:ascii="仿宋_GB2312" w:eastAsia="仿宋_GB2312"/>
          <w:color w:val="auto"/>
          <w:sz w:val="32"/>
          <w:szCs w:val="32"/>
        </w:rPr>
        <w:t>7年减少</w:t>
      </w:r>
      <w:r>
        <w:rPr>
          <w:rFonts w:hint="eastAsia" w:ascii="仿宋_GB2312" w:eastAsia="仿宋_GB2312"/>
          <w:color w:val="auto"/>
          <w:sz w:val="32"/>
          <w:szCs w:val="32"/>
          <w:lang w:val="en-US" w:eastAsia="zh-CN"/>
        </w:rPr>
        <w:t>146.35</w:t>
      </w:r>
      <w:r>
        <w:rPr>
          <w:rFonts w:hint="eastAsia" w:ascii="仿宋_GB2312" w:eastAsia="仿宋_GB2312"/>
          <w:color w:val="auto"/>
          <w:sz w:val="32"/>
          <w:szCs w:val="32"/>
        </w:rPr>
        <w:t>万元，下降</w:t>
      </w:r>
      <w:r>
        <w:rPr>
          <w:rFonts w:hint="eastAsia" w:ascii="仿宋_GB2312" w:eastAsia="仿宋_GB2312"/>
          <w:color w:val="auto"/>
          <w:sz w:val="32"/>
          <w:szCs w:val="32"/>
          <w:lang w:val="en-US" w:eastAsia="zh-CN"/>
        </w:rPr>
        <w:t>90.07</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val="en-US" w:eastAsia="zh-CN"/>
        </w:rPr>
        <w:t>2018年减少委托业务费支出。</w:t>
      </w:r>
    </w:p>
    <w:p>
      <w:pPr>
        <w:spacing w:line="600" w:lineRule="exact"/>
        <w:ind w:firstLine="640"/>
        <w:rPr>
          <w:rFonts w:ascii="仿宋" w:hAnsi="仿宋" w:eastAsia="仿宋"/>
          <w:b/>
          <w:color w:val="auto"/>
          <w:sz w:val="32"/>
          <w:szCs w:val="32"/>
        </w:rPr>
      </w:pPr>
      <w:r>
        <w:rPr>
          <w:rFonts w:hint="eastAsia" w:ascii="仿宋" w:hAnsi="仿宋" w:eastAsia="仿宋"/>
          <w:b/>
          <w:color w:val="auto"/>
          <w:sz w:val="32"/>
          <w:szCs w:val="32"/>
        </w:rPr>
        <w:t>（数据来源财决</w:t>
      </w:r>
      <w:r>
        <w:rPr>
          <w:rFonts w:ascii="仿宋" w:hAnsi="仿宋" w:eastAsia="仿宋"/>
          <w:b/>
          <w:color w:val="auto"/>
          <w:sz w:val="32"/>
          <w:szCs w:val="32"/>
        </w:rPr>
        <w:t>CS05</w:t>
      </w:r>
      <w:r>
        <w:rPr>
          <w:rFonts w:hint="eastAsia" w:ascii="仿宋" w:hAnsi="仿宋" w:eastAsia="仿宋"/>
          <w:b/>
          <w:color w:val="auto"/>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bookmarkStart w:id="57" w:name="_Toc15377223"/>
      <w:r>
        <w:rPr>
          <w:rFonts w:hint="eastAsia" w:ascii="仿宋" w:hAnsi="仿宋" w:eastAsia="仿宋"/>
          <w:b/>
          <w:color w:val="auto"/>
          <w:sz w:val="32"/>
          <w:szCs w:val="32"/>
        </w:rPr>
        <w:t>（二）政府采购支出情况</w:t>
      </w:r>
      <w:bookmarkEnd w:id="57"/>
    </w:p>
    <w:p>
      <w:pPr>
        <w:spacing w:line="600" w:lineRule="exact"/>
        <w:ind w:firstLine="640" w:firstLineChars="200"/>
        <w:rPr>
          <w:rFonts w:ascii="仿宋" w:hAnsi="仿宋" w:eastAsia="仿宋"/>
          <w:b/>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rPr>
        <w:t>8年，</w:t>
      </w:r>
      <w:r>
        <w:rPr>
          <w:rFonts w:hint="eastAsia" w:ascii="仿宋_GB2312" w:eastAsia="仿宋_GB2312"/>
          <w:color w:val="auto"/>
          <w:sz w:val="32"/>
          <w:szCs w:val="32"/>
          <w:lang w:eastAsia="zh-CN"/>
        </w:rPr>
        <w:t>红原县国土局</w:t>
      </w:r>
      <w:r>
        <w:rPr>
          <w:rFonts w:hint="eastAsia" w:ascii="仿宋_GB2312" w:eastAsia="仿宋_GB2312"/>
          <w:color w:val="auto"/>
          <w:sz w:val="32"/>
          <w:szCs w:val="32"/>
        </w:rPr>
        <w:t>政府采购支出总额</w:t>
      </w:r>
      <w:r>
        <w:rPr>
          <w:rFonts w:hint="eastAsia" w:ascii="仿宋_GB2312" w:eastAsia="仿宋_GB2312"/>
          <w:color w:val="auto"/>
          <w:sz w:val="32"/>
          <w:szCs w:val="32"/>
          <w:lang w:val="en-US" w:eastAsia="zh-CN"/>
        </w:rPr>
        <w:t>4.12</w:t>
      </w:r>
      <w:r>
        <w:rPr>
          <w:rFonts w:hint="eastAsia" w:ascii="仿宋_GB2312" w:eastAsia="仿宋_GB2312"/>
          <w:color w:val="auto"/>
          <w:sz w:val="32"/>
          <w:szCs w:val="32"/>
        </w:rPr>
        <w:t>万元，其中：政府采购货物支出</w:t>
      </w:r>
      <w:r>
        <w:rPr>
          <w:rFonts w:hint="eastAsia" w:ascii="仿宋_GB2312" w:eastAsia="仿宋_GB2312"/>
          <w:color w:val="auto"/>
          <w:sz w:val="32"/>
          <w:szCs w:val="32"/>
          <w:lang w:val="en-US" w:eastAsia="zh-CN"/>
        </w:rPr>
        <w:t>4.12</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rPr>
        <w:t>主要用于</w:t>
      </w:r>
      <w:r>
        <w:rPr>
          <w:rFonts w:hint="eastAsia" w:ascii="仿宋_GB2312" w:eastAsia="仿宋_GB2312"/>
          <w:color w:val="auto"/>
          <w:sz w:val="32"/>
          <w:szCs w:val="32"/>
          <w:lang w:eastAsia="zh-CN"/>
        </w:rPr>
        <w:t>购买办公用品。</w:t>
      </w:r>
      <w:r>
        <w:rPr>
          <w:rFonts w:hint="eastAsia" w:ascii="仿宋" w:hAnsi="仿宋" w:eastAsia="仿宋"/>
          <w:b/>
          <w:color w:val="auto"/>
          <w:sz w:val="32"/>
          <w:szCs w:val="32"/>
        </w:rPr>
        <w:t>（数据来源财决</w:t>
      </w:r>
      <w:r>
        <w:rPr>
          <w:rFonts w:ascii="仿宋" w:hAnsi="仿宋" w:eastAsia="仿宋"/>
          <w:b/>
          <w:color w:val="auto"/>
          <w:sz w:val="32"/>
          <w:szCs w:val="32"/>
        </w:rPr>
        <w:t>CS06</w:t>
      </w:r>
      <w:r>
        <w:rPr>
          <w:rFonts w:hint="eastAsia" w:ascii="仿宋" w:hAnsi="仿宋" w:eastAsia="仿宋"/>
          <w:b/>
          <w:color w:val="auto"/>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bookmarkStart w:id="58" w:name="_Toc15377224"/>
      <w:r>
        <w:rPr>
          <w:rFonts w:hint="eastAsia" w:ascii="仿宋" w:hAnsi="仿宋" w:eastAsia="仿宋"/>
          <w:b/>
          <w:color w:val="auto"/>
          <w:sz w:val="32"/>
          <w:szCs w:val="32"/>
        </w:rPr>
        <w:t>（三）国有资产占有使用情况</w:t>
      </w:r>
      <w:bookmarkEnd w:id="58"/>
    </w:p>
    <w:p>
      <w:pPr>
        <w:spacing w:line="600" w:lineRule="exact"/>
        <w:ind w:firstLine="640"/>
        <w:rPr>
          <w:rFonts w:ascii="仿宋_GB2312" w:eastAsia="仿宋_GB2312"/>
          <w:color w:val="auto"/>
          <w:sz w:val="32"/>
          <w:szCs w:val="32"/>
        </w:rPr>
      </w:pPr>
      <w:r>
        <w:rPr>
          <w:rFonts w:hint="eastAsia" w:ascii="仿宋_GB2312" w:eastAsia="仿宋_GB2312"/>
          <w:color w:val="auto"/>
          <w:sz w:val="32"/>
          <w:szCs w:val="32"/>
        </w:rPr>
        <w:t>截至</w:t>
      </w:r>
      <w:r>
        <w:rPr>
          <w:rFonts w:ascii="仿宋_GB2312" w:eastAsia="仿宋_GB2312"/>
          <w:color w:val="auto"/>
          <w:sz w:val="32"/>
          <w:szCs w:val="32"/>
        </w:rPr>
        <w:t>201</w:t>
      </w:r>
      <w:r>
        <w:rPr>
          <w:rFonts w:hint="eastAsia" w:ascii="仿宋_GB2312" w:eastAsia="仿宋_GB2312"/>
          <w:color w:val="auto"/>
          <w:sz w:val="32"/>
          <w:szCs w:val="32"/>
        </w:rPr>
        <w:t>8年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ascii="仿宋_GB2312" w:eastAsia="仿宋_GB2312"/>
          <w:color w:val="auto"/>
          <w:sz w:val="32"/>
          <w:szCs w:val="32"/>
          <w:lang w:eastAsia="zh-CN"/>
        </w:rPr>
        <w:t>红原县国土局</w:t>
      </w:r>
      <w:r>
        <w:rPr>
          <w:rFonts w:hint="eastAsia" w:ascii="仿宋_GB2312" w:eastAsia="仿宋_GB2312"/>
          <w:color w:val="auto"/>
          <w:sz w:val="32"/>
          <w:szCs w:val="32"/>
        </w:rPr>
        <w:t>共有车辆</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辆，其中：一般公务用车</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r>
        <w:rPr>
          <w:rFonts w:hint="eastAsia" w:ascii="仿宋_GB2312" w:eastAsia="仿宋_GB2312"/>
          <w:color w:val="auto"/>
          <w:sz w:val="32"/>
          <w:szCs w:val="32"/>
        </w:rPr>
        <w:t>主要是用于主要用于</w:t>
      </w:r>
      <w:r>
        <w:rPr>
          <w:rFonts w:hint="eastAsia" w:ascii="仿宋_GB2312" w:eastAsia="仿宋_GB2312"/>
          <w:color w:val="auto"/>
          <w:sz w:val="32"/>
          <w:szCs w:val="32"/>
          <w:lang w:eastAsia="zh-CN"/>
        </w:rPr>
        <w:t>土地调查、地灾巡查、脱贫攻坚工作</w:t>
      </w:r>
      <w:r>
        <w:rPr>
          <w:rFonts w:hint="eastAsia" w:ascii="仿宋_GB2312" w:eastAsia="仿宋_GB2312"/>
          <w:color w:val="auto"/>
          <w:sz w:val="32"/>
          <w:szCs w:val="32"/>
        </w:rPr>
        <w:t>等所需的公务用车燃料费、维修费、过路过桥费、保险费等支出。</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（数据来源财决</w:t>
      </w:r>
      <w:r>
        <w:rPr>
          <w:rFonts w:ascii="仿宋" w:hAnsi="仿宋" w:eastAsia="仿宋"/>
          <w:b/>
          <w:color w:val="auto"/>
          <w:sz w:val="32"/>
          <w:szCs w:val="32"/>
        </w:rPr>
        <w:t>CS05</w:t>
      </w:r>
      <w:r>
        <w:rPr>
          <w:rFonts w:hint="eastAsia" w:ascii="仿宋" w:hAnsi="仿宋" w:eastAsia="仿宋"/>
          <w:b/>
          <w:color w:val="auto"/>
          <w:sz w:val="32"/>
          <w:szCs w:val="32"/>
        </w:rPr>
        <w:t>表，按部门决算报表填报数据罗列车辆情况。）</w:t>
      </w:r>
    </w:p>
    <w:p>
      <w:pPr>
        <w:widowControl/>
        <w:jc w:val="left"/>
        <w:rPr>
          <w:rFonts w:ascii="仿宋_GB2312" w:eastAsia="仿宋_GB2312"/>
          <w:b/>
          <w:color w:val="auto"/>
          <w:sz w:val="32"/>
          <w:szCs w:val="32"/>
        </w:rPr>
      </w:pPr>
      <w:r>
        <w:rPr>
          <w:rFonts w:ascii="仿宋_GB2312" w:eastAsia="仿宋_GB2312"/>
          <w:b/>
          <w:color w:val="auto"/>
          <w:sz w:val="32"/>
          <w:szCs w:val="32"/>
        </w:rPr>
        <w:br w:type="page"/>
      </w:r>
    </w:p>
    <w:p>
      <w:pPr>
        <w:numPr>
          <w:ilvl w:val="0"/>
          <w:numId w:val="9"/>
        </w:numPr>
        <w:spacing w:line="600" w:lineRule="exact"/>
        <w:ind w:firstLine="663" w:firstLineChars="150"/>
        <w:jc w:val="center"/>
        <w:outlineLvl w:val="0"/>
        <w:rPr>
          <w:rStyle w:val="27"/>
          <w:rFonts w:ascii="黑体" w:hAnsi="黑体" w:eastAsia="黑体"/>
          <w:b w:val="0"/>
          <w:color w:val="auto"/>
        </w:rPr>
      </w:pPr>
      <w:bookmarkStart w:id="59" w:name="_Toc15377225"/>
      <w:bookmarkStart w:id="60" w:name="_Toc15396613"/>
      <w:r>
        <w:rPr>
          <w:rFonts w:hint="eastAsia" w:ascii="黑体" w:hAnsi="黑体" w:eastAsia="黑体"/>
          <w:b/>
          <w:color w:val="auto"/>
          <w:sz w:val="44"/>
          <w:szCs w:val="44"/>
        </w:rPr>
        <w:t>名</w:t>
      </w:r>
      <w:r>
        <w:rPr>
          <w:rStyle w:val="27"/>
          <w:rFonts w:hint="eastAsia" w:ascii="黑体" w:hAnsi="黑体" w:eastAsia="黑体"/>
          <w:b w:val="0"/>
          <w:color w:val="auto"/>
        </w:rPr>
        <w:t>词解释</w:t>
      </w:r>
      <w:bookmarkEnd w:id="59"/>
      <w:bookmarkEnd w:id="60"/>
    </w:p>
    <w:p>
      <w:pPr>
        <w:spacing w:line="600" w:lineRule="exact"/>
        <w:jc w:val="left"/>
        <w:rPr>
          <w:rFonts w:ascii="宋体"/>
          <w:b/>
          <w:color w:val="auto"/>
          <w:sz w:val="44"/>
          <w:szCs w:val="44"/>
        </w:rPr>
      </w:pPr>
    </w:p>
    <w:p>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5"/>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5"/>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3.政府性基金收入：指各级政府及其所属部门根据法律、行政法规规定并经国务院或财政部批准，向公民、法人和其他组织征收的政府性基金，以及参照政府性基金管理或纳入基金预算、具有特定用途的财政资金。</w:t>
      </w:r>
    </w:p>
    <w:p>
      <w:pPr>
        <w:pStyle w:val="25"/>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4</w:t>
      </w:r>
      <w:r>
        <w:rPr>
          <w:rFonts w:ascii="仿宋_GB2312" w:eastAsia="仿宋_GB2312"/>
          <w:color w:val="auto"/>
          <w:sz w:val="32"/>
          <w:szCs w:val="32"/>
        </w:rPr>
        <w:t>.</w:t>
      </w:r>
      <w:r>
        <w:rPr>
          <w:rFonts w:hint="eastAsia" w:ascii="仿宋_GB2312" w:eastAsia="仿宋_GB2312"/>
          <w:color w:val="auto"/>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5</w:t>
      </w:r>
      <w:r>
        <w:rPr>
          <w:rFonts w:ascii="仿宋_GB2312" w:eastAsia="仿宋_GB2312"/>
          <w:color w:val="auto"/>
          <w:sz w:val="32"/>
          <w:szCs w:val="32"/>
        </w:rPr>
        <w:t>.</w:t>
      </w:r>
      <w:r>
        <w:rPr>
          <w:rFonts w:hint="eastAsia" w:ascii="仿宋_GB2312" w:eastAsia="仿宋_GB2312"/>
          <w:color w:val="auto"/>
          <w:sz w:val="32"/>
          <w:szCs w:val="32"/>
        </w:rPr>
        <w:t>其他收入：指单位取得的除上述收入以外的各项收入。主要是</w:t>
      </w:r>
      <w:r>
        <w:rPr>
          <w:rFonts w:hint="eastAsia" w:ascii="仿宋_GB2312" w:eastAsia="仿宋_GB2312"/>
          <w:color w:val="auto"/>
          <w:sz w:val="32"/>
          <w:szCs w:val="32"/>
          <w:lang w:eastAsia="zh-CN"/>
        </w:rPr>
        <w:t>利息收入</w:t>
      </w:r>
      <w:r>
        <w:rPr>
          <w:rFonts w:hint="eastAsia" w:ascii="仿宋_GB2312" w:eastAsia="仿宋_GB2312"/>
          <w:color w:val="auto"/>
          <w:sz w:val="32"/>
          <w:szCs w:val="32"/>
        </w:rPr>
        <w:t>。</w:t>
      </w:r>
      <w:r>
        <w:rPr>
          <w:rFonts w:ascii="仿宋_GB2312" w:eastAsia="仿宋_GB2312"/>
          <w:color w:val="auto"/>
          <w:sz w:val="32"/>
          <w:szCs w:val="32"/>
        </w:rPr>
        <w:t xml:space="preserve"> </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6</w:t>
      </w:r>
      <w:r>
        <w:rPr>
          <w:rFonts w:ascii="仿宋_GB2312" w:eastAsia="仿宋_GB2312"/>
          <w:color w:val="auto"/>
          <w:sz w:val="32"/>
          <w:szCs w:val="32"/>
        </w:rPr>
        <w:t>.</w:t>
      </w:r>
      <w:r>
        <w:rPr>
          <w:rFonts w:hint="eastAsia" w:ascii="仿宋_GB2312" w:eastAsia="仿宋_GB2312"/>
          <w:color w:val="auto"/>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auto"/>
          <w:sz w:val="32"/>
          <w:szCs w:val="32"/>
        </w:rPr>
        <w:t xml:space="preserve"> </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7</w:t>
      </w:r>
      <w:r>
        <w:rPr>
          <w:rFonts w:ascii="仿宋_GB2312" w:eastAsia="仿宋_GB2312"/>
          <w:color w:val="auto"/>
          <w:sz w:val="32"/>
          <w:szCs w:val="32"/>
        </w:rPr>
        <w:t>.</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8</w:t>
      </w:r>
      <w:r>
        <w:rPr>
          <w:rFonts w:ascii="仿宋_GB2312" w:eastAsia="仿宋_GB2312"/>
          <w:color w:val="auto"/>
          <w:sz w:val="32"/>
          <w:szCs w:val="32"/>
        </w:rPr>
        <w:t>.</w:t>
      </w:r>
      <w:r>
        <w:rPr>
          <w:rFonts w:hint="eastAsia" w:ascii="仿宋_GB2312" w:eastAsia="仿宋_GB2312"/>
          <w:color w:val="auto"/>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9</w:t>
      </w:r>
      <w:r>
        <w:rPr>
          <w:rFonts w:hint="eastAsia" w:ascii="仿宋_GB2312" w:eastAsia="仿宋_GB2312"/>
          <w:color w:val="auto"/>
          <w:sz w:val="32"/>
          <w:szCs w:val="32"/>
        </w:rPr>
        <w:t>、年末结转和结余：指单位按有关规定结转到下年或以后年度继续使用的资金。</w:t>
      </w:r>
    </w:p>
    <w:p>
      <w:pPr>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10</w:t>
      </w:r>
      <w:r>
        <w:rPr>
          <w:rFonts w:ascii="仿宋_GB2312" w:eastAsia="仿宋_GB2312"/>
          <w:color w:val="auto"/>
          <w:sz w:val="32"/>
          <w:szCs w:val="32"/>
        </w:rPr>
        <w:t>.</w:t>
      </w:r>
      <w:r>
        <w:rPr>
          <w:rFonts w:hint="eastAsia" w:ascii="仿宋_GB2312" w:eastAsia="仿宋_GB2312"/>
          <w:color w:val="auto"/>
          <w:sz w:val="32"/>
          <w:szCs w:val="32"/>
        </w:rPr>
        <w:t>社会保障和就业：指</w:t>
      </w:r>
      <w:r>
        <w:rPr>
          <w:rFonts w:hint="eastAsia" w:ascii="仿宋_GB2312" w:eastAsia="仿宋_GB2312"/>
          <w:color w:val="auto"/>
          <w:sz w:val="32"/>
          <w:szCs w:val="32"/>
          <w:lang w:eastAsia="zh-CN"/>
        </w:rPr>
        <w:t>政府在社会保障与就业方面的支出</w:t>
      </w:r>
      <w:r>
        <w:rPr>
          <w:rFonts w:hint="eastAsia" w:ascii="仿宋_GB2312" w:eastAsia="仿宋_GB2312"/>
          <w:color w:val="auto"/>
          <w:sz w:val="32"/>
          <w:szCs w:val="32"/>
        </w:rPr>
        <w:t>。</w:t>
      </w:r>
    </w:p>
    <w:p>
      <w:pPr>
        <w:pStyle w:val="2"/>
        <w:ind w:left="0" w:leftChars="0" w:firstLine="640" w:firstLineChars="200"/>
        <w:rPr>
          <w:rFonts w:hint="default" w:eastAsia="仿宋_GB2312"/>
          <w:color w:val="auto"/>
          <w:lang w:val="en-US" w:eastAsia="zh-CN"/>
        </w:rPr>
      </w:pPr>
      <w:r>
        <w:rPr>
          <w:rFonts w:hint="eastAsia" w:ascii="仿宋_GB2312" w:eastAsia="仿宋_GB2312"/>
          <w:color w:val="auto"/>
          <w:sz w:val="32"/>
          <w:szCs w:val="32"/>
          <w:lang w:val="en-US" w:eastAsia="zh-CN"/>
        </w:rPr>
        <w:t>11.行政事业单位医疗：指行政事业单位医疗方面的支出。</w:t>
      </w:r>
    </w:p>
    <w:p>
      <w:pPr>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lang w:val="en-US" w:eastAsia="zh-CN"/>
        </w:rPr>
        <w:t>2</w:t>
      </w:r>
      <w:r>
        <w:rPr>
          <w:rFonts w:ascii="仿宋_GB2312" w:eastAsia="仿宋_GB2312"/>
          <w:color w:val="auto"/>
          <w:sz w:val="32"/>
          <w:szCs w:val="32"/>
        </w:rPr>
        <w:t>.</w:t>
      </w:r>
      <w:r>
        <w:rPr>
          <w:rFonts w:hint="eastAsia" w:ascii="仿宋_GB2312" w:eastAsia="仿宋_GB2312"/>
          <w:color w:val="auto"/>
          <w:sz w:val="32"/>
          <w:szCs w:val="32"/>
          <w:lang w:eastAsia="zh-CN"/>
        </w:rPr>
        <w:t>国土资源事务</w:t>
      </w:r>
      <w:r>
        <w:rPr>
          <w:rFonts w:hint="eastAsia" w:ascii="仿宋_GB2312" w:eastAsia="仿宋_GB2312"/>
          <w:color w:val="auto"/>
          <w:sz w:val="32"/>
          <w:szCs w:val="32"/>
        </w:rPr>
        <w:t>：指</w:t>
      </w:r>
      <w:r>
        <w:rPr>
          <w:rFonts w:hint="eastAsia" w:ascii="仿宋_GB2312" w:eastAsia="仿宋_GB2312"/>
          <w:color w:val="auto"/>
          <w:sz w:val="32"/>
          <w:szCs w:val="32"/>
          <w:lang w:eastAsia="zh-CN"/>
        </w:rPr>
        <w:t>国土资源管理等方面的支出</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lang w:val="en-US" w:eastAsia="zh-CN"/>
        </w:rPr>
        <w:t>3</w:t>
      </w:r>
      <w:r>
        <w:rPr>
          <w:rFonts w:ascii="仿宋_GB2312" w:eastAsia="仿宋_GB2312"/>
          <w:color w:val="auto"/>
          <w:sz w:val="32"/>
          <w:szCs w:val="32"/>
        </w:rPr>
        <w:t>.</w:t>
      </w:r>
      <w:r>
        <w:rPr>
          <w:rFonts w:hint="eastAsia" w:ascii="仿宋_GB2312" w:eastAsia="仿宋_GB2312"/>
          <w:color w:val="auto"/>
          <w:sz w:val="32"/>
          <w:szCs w:val="32"/>
          <w:lang w:eastAsia="zh-CN"/>
        </w:rPr>
        <w:t>行政运行</w:t>
      </w:r>
      <w:r>
        <w:rPr>
          <w:rFonts w:hint="eastAsia" w:ascii="仿宋_GB2312" w:eastAsia="仿宋_GB2312"/>
          <w:color w:val="auto"/>
          <w:sz w:val="32"/>
          <w:szCs w:val="32"/>
        </w:rPr>
        <w:t>：指</w:t>
      </w:r>
      <w:r>
        <w:rPr>
          <w:rFonts w:hint="eastAsia" w:ascii="仿宋_GB2312" w:eastAsia="仿宋_GB2312"/>
          <w:color w:val="auto"/>
          <w:sz w:val="32"/>
          <w:szCs w:val="32"/>
          <w:lang w:eastAsia="zh-CN"/>
        </w:rPr>
        <w:t>行政单位（包括实行公务员管理的事业单位）的基本支出</w:t>
      </w:r>
      <w:r>
        <w:rPr>
          <w:rFonts w:hint="eastAsia" w:ascii="仿宋_GB2312" w:eastAsia="仿宋_GB2312"/>
          <w:color w:val="auto"/>
          <w:sz w:val="32"/>
          <w:szCs w:val="32"/>
        </w:rPr>
        <w:t>。</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1</w:t>
      </w:r>
      <w:r>
        <w:rPr>
          <w:rFonts w:hint="eastAsia" w:ascii="仿宋_GB2312" w:eastAsia="仿宋_GB2312"/>
          <w:color w:val="auto"/>
          <w:sz w:val="32"/>
          <w:szCs w:val="32"/>
          <w:lang w:val="en-US" w:eastAsia="zh-CN"/>
        </w:rPr>
        <w:t>4</w:t>
      </w:r>
      <w:r>
        <w:rPr>
          <w:rFonts w:hint="eastAsia" w:ascii="仿宋_GB2312" w:eastAsia="仿宋_GB2312"/>
          <w:color w:val="auto"/>
          <w:sz w:val="32"/>
          <w:szCs w:val="32"/>
          <w:lang w:eastAsia="zh-CN"/>
        </w:rPr>
        <w:t>.事业运行：指事业单位的基本支出，不包括行政单位（包括实行公务员管理的事业单位）后勤服务中兴、医务室等附属事业单位。</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1</w:t>
      </w:r>
      <w:r>
        <w:rPr>
          <w:rFonts w:hint="eastAsia" w:ascii="仿宋_GB2312" w:eastAsia="仿宋_GB2312"/>
          <w:color w:val="auto"/>
          <w:sz w:val="32"/>
          <w:szCs w:val="32"/>
          <w:lang w:val="en-US" w:eastAsia="zh-CN"/>
        </w:rPr>
        <w:t>5</w:t>
      </w:r>
      <w:r>
        <w:rPr>
          <w:rFonts w:hint="eastAsia" w:ascii="仿宋_GB2312" w:eastAsia="仿宋_GB2312"/>
          <w:color w:val="auto"/>
          <w:sz w:val="32"/>
          <w:szCs w:val="32"/>
          <w:lang w:eastAsia="zh-CN"/>
        </w:rPr>
        <w:t>.住房保障支出：指集中反映政府用于住房方面的支出。</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16</w:t>
      </w:r>
      <w:r>
        <w:rPr>
          <w:rFonts w:hint="eastAsia" w:ascii="仿宋_GB2312" w:eastAsia="仿宋_GB2312"/>
          <w:color w:val="auto"/>
          <w:sz w:val="32"/>
          <w:szCs w:val="32"/>
          <w:lang w:eastAsia="zh-CN"/>
        </w:rPr>
        <w:t>.住房公积金：指反映行政事业单位按人力资源和社会保障部、财政部规定的基本工资和津贴补贴以及规定比例为职工缴纳的住房公积金。</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lang w:eastAsia="zh-CN"/>
        </w:rPr>
        <w:t>城乡社区支出</w:t>
      </w:r>
      <w:r>
        <w:rPr>
          <w:rFonts w:hint="eastAsia" w:ascii="仿宋_GB2312" w:eastAsia="仿宋_GB2312"/>
          <w:color w:val="auto"/>
          <w:sz w:val="32"/>
          <w:szCs w:val="32"/>
        </w:rPr>
        <w:t>：指</w:t>
      </w:r>
      <w:r>
        <w:rPr>
          <w:rFonts w:hint="eastAsia" w:ascii="仿宋_GB2312" w:eastAsia="仿宋_GB2312"/>
          <w:color w:val="auto"/>
          <w:sz w:val="32"/>
          <w:szCs w:val="32"/>
          <w:lang w:eastAsia="zh-CN"/>
        </w:rPr>
        <w:t>政府城乡社区事务支出</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18</w:t>
      </w:r>
      <w:r>
        <w:rPr>
          <w:rFonts w:ascii="仿宋_GB2312" w:eastAsia="仿宋_GB2312"/>
          <w:color w:val="auto"/>
          <w:sz w:val="32"/>
          <w:szCs w:val="32"/>
        </w:rPr>
        <w:t>.</w:t>
      </w:r>
      <w:r>
        <w:rPr>
          <w:rFonts w:hint="eastAsia" w:ascii="仿宋_GB2312" w:eastAsia="仿宋_GB2312"/>
          <w:color w:val="auto"/>
          <w:sz w:val="32"/>
          <w:szCs w:val="32"/>
          <w:lang w:eastAsia="zh-CN"/>
        </w:rPr>
        <w:t>国土海洋气象等支出</w:t>
      </w:r>
      <w:r>
        <w:rPr>
          <w:rFonts w:hint="eastAsia" w:ascii="仿宋_GB2312" w:eastAsia="仿宋_GB2312"/>
          <w:color w:val="auto"/>
          <w:sz w:val="32"/>
          <w:szCs w:val="32"/>
        </w:rPr>
        <w:t>：指</w:t>
      </w:r>
      <w:r>
        <w:rPr>
          <w:rFonts w:hint="eastAsia" w:ascii="仿宋_GB2312" w:eastAsia="仿宋_GB2312"/>
          <w:color w:val="auto"/>
          <w:sz w:val="32"/>
          <w:szCs w:val="32"/>
          <w:lang w:eastAsia="zh-CN"/>
        </w:rPr>
        <w:t>政府用于国土资源、海洋、测绘、地震、气象等公益服务事业方面的支出</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19</w:t>
      </w:r>
      <w:r>
        <w:rPr>
          <w:rFonts w:ascii="仿宋_GB2312" w:eastAsia="仿宋_GB2312"/>
          <w:color w:val="auto"/>
          <w:sz w:val="32"/>
          <w:szCs w:val="32"/>
        </w:rPr>
        <w:t>.</w:t>
      </w:r>
      <w:r>
        <w:rPr>
          <w:rFonts w:hint="eastAsia" w:ascii="仿宋_GB2312" w:eastAsia="仿宋_GB2312"/>
          <w:color w:val="auto"/>
          <w:sz w:val="32"/>
          <w:szCs w:val="32"/>
          <w:lang w:eastAsia="zh-CN"/>
        </w:rPr>
        <w:t>一般行政管理事务</w:t>
      </w:r>
      <w:r>
        <w:rPr>
          <w:rFonts w:hint="eastAsia" w:ascii="仿宋_GB2312" w:eastAsia="仿宋_GB2312"/>
          <w:color w:val="auto"/>
          <w:sz w:val="32"/>
          <w:szCs w:val="32"/>
        </w:rPr>
        <w:t>：指</w:t>
      </w:r>
      <w:r>
        <w:rPr>
          <w:rFonts w:hint="eastAsia" w:ascii="仿宋_GB2312" w:eastAsia="仿宋_GB2312"/>
          <w:color w:val="auto"/>
          <w:sz w:val="32"/>
          <w:szCs w:val="32"/>
          <w:lang w:eastAsia="zh-CN"/>
        </w:rPr>
        <w:t>行政单位（包括实行公务员管理的事业单位）未单独设置项级科目的其他项目支出</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20</w:t>
      </w:r>
      <w:r>
        <w:rPr>
          <w:rFonts w:ascii="仿宋_GB2312" w:eastAsia="仿宋_GB2312"/>
          <w:color w:val="auto"/>
          <w:sz w:val="32"/>
          <w:szCs w:val="32"/>
        </w:rPr>
        <w:t>.</w:t>
      </w:r>
      <w:r>
        <w:rPr>
          <w:rFonts w:hint="eastAsia" w:ascii="仿宋_GB2312" w:eastAsia="仿宋_GB2312"/>
          <w:color w:val="auto"/>
          <w:sz w:val="32"/>
          <w:szCs w:val="32"/>
          <w:lang w:eastAsia="zh-CN"/>
        </w:rPr>
        <w:t>地质灾害防治</w:t>
      </w:r>
      <w:r>
        <w:rPr>
          <w:rFonts w:hint="eastAsia" w:ascii="仿宋_GB2312" w:eastAsia="仿宋_GB2312"/>
          <w:color w:val="auto"/>
          <w:sz w:val="32"/>
          <w:szCs w:val="32"/>
        </w:rPr>
        <w:t>：指</w:t>
      </w:r>
      <w:r>
        <w:rPr>
          <w:rFonts w:hint="eastAsia" w:ascii="仿宋_GB2312" w:eastAsia="仿宋_GB2312"/>
          <w:color w:val="auto"/>
          <w:sz w:val="32"/>
          <w:szCs w:val="32"/>
          <w:lang w:eastAsia="zh-CN"/>
        </w:rPr>
        <w:t>地质灾害防治项目支出</w:t>
      </w:r>
      <w:r>
        <w:rPr>
          <w:rFonts w:hint="eastAsia" w:ascii="仿宋_GB2312" w:eastAsia="仿宋_GB2312"/>
          <w:color w:val="auto"/>
          <w:sz w:val="32"/>
          <w:szCs w:val="32"/>
        </w:rPr>
        <w:t>。</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21</w:t>
      </w:r>
      <w:r>
        <w:rPr>
          <w:rFonts w:ascii="仿宋_GB2312" w:eastAsia="仿宋_GB2312"/>
          <w:color w:val="auto"/>
          <w:sz w:val="32"/>
          <w:szCs w:val="32"/>
        </w:rPr>
        <w:t>.</w:t>
      </w:r>
      <w:r>
        <w:rPr>
          <w:rFonts w:hint="eastAsia" w:ascii="仿宋_GB2312" w:eastAsia="仿宋_GB2312"/>
          <w:color w:val="auto"/>
          <w:sz w:val="32"/>
          <w:szCs w:val="32"/>
          <w:lang w:eastAsia="zh-CN"/>
        </w:rPr>
        <w:t>地震监测：指地震和火山监测台站、台网等设施建设与运行维护，观测设备的购置、维护和技术升级，地震观测工作等方面的支出。</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22</w:t>
      </w:r>
      <w:r>
        <w:rPr>
          <w:rFonts w:ascii="仿宋_GB2312" w:eastAsia="仿宋_GB2312"/>
          <w:color w:val="auto"/>
          <w:sz w:val="32"/>
          <w:szCs w:val="32"/>
        </w:rPr>
        <w:t>.</w:t>
      </w:r>
      <w:r>
        <w:rPr>
          <w:rFonts w:hint="eastAsia" w:ascii="仿宋_GB2312" w:eastAsia="仿宋_GB2312"/>
          <w:color w:val="auto"/>
          <w:sz w:val="32"/>
          <w:szCs w:val="32"/>
          <w:lang w:eastAsia="zh-CN"/>
        </w:rPr>
        <w:t>其他国土海洋气象等支出：指其他用于国土海洋气象等方面的支出。</w:t>
      </w:r>
    </w:p>
    <w:p>
      <w:pPr>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lang w:val="en-US" w:eastAsia="zh-CN"/>
        </w:rPr>
        <w:t>3</w:t>
      </w:r>
      <w:r>
        <w:rPr>
          <w:rFonts w:ascii="仿宋_GB2312" w:eastAsia="仿宋_GB2312"/>
          <w:color w:val="auto"/>
          <w:sz w:val="32"/>
          <w:szCs w:val="32"/>
        </w:rPr>
        <w:t>.</w:t>
      </w:r>
      <w:r>
        <w:rPr>
          <w:rFonts w:hint="eastAsia" w:ascii="仿宋_GB2312" w:eastAsia="仿宋_GB2312"/>
          <w:color w:val="auto"/>
          <w:sz w:val="32"/>
          <w:szCs w:val="32"/>
        </w:rPr>
        <w:t>基本支出：指为保障机构正常运转、完成日常工作任务而发生的人员支出和公用支出。</w:t>
      </w:r>
    </w:p>
    <w:p>
      <w:pPr>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pPr>
        <w:ind w:firstLine="640" w:firstLineChars="200"/>
        <w:rPr>
          <w:rFonts w:hint="eastAsia"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lang w:val="en-US" w:eastAsia="zh-CN"/>
        </w:rPr>
        <w:t>5</w:t>
      </w:r>
      <w:r>
        <w:rPr>
          <w:rFonts w:ascii="仿宋_GB2312" w:eastAsia="仿宋_GB2312"/>
          <w:color w:val="auto"/>
          <w:sz w:val="32"/>
          <w:szCs w:val="32"/>
        </w:rPr>
        <w:t>.</w:t>
      </w:r>
      <w:r>
        <w:rPr>
          <w:rFonts w:hint="eastAsia" w:ascii="仿宋_GB2312" w:eastAsia="仿宋_GB2312"/>
          <w:color w:val="auto"/>
          <w:sz w:val="32"/>
          <w:szCs w:val="32"/>
        </w:rPr>
        <w:t>经营支出：指事业单位在专业业务活动及其辅助活动之外开展非独立核算经营活动发生的支出。</w:t>
      </w:r>
    </w:p>
    <w:p>
      <w:pPr>
        <w:pStyle w:val="2"/>
        <w:ind w:left="0" w:leftChars="0" w:firstLine="640" w:firstLineChars="200"/>
        <w:rPr>
          <w:rFonts w:hint="default" w:eastAsia="仿宋_GB2312"/>
          <w:lang w:val="en-US" w:eastAsia="zh-CN"/>
        </w:rPr>
      </w:pPr>
      <w:r>
        <w:rPr>
          <w:rFonts w:hint="eastAsia" w:ascii="仿宋_GB2312" w:eastAsia="仿宋_GB2312"/>
          <w:color w:val="auto"/>
          <w:sz w:val="32"/>
          <w:szCs w:val="32"/>
          <w:lang w:val="en-US" w:eastAsia="zh-CN"/>
        </w:rPr>
        <w:t>26.对个人和家庭的补助：指政府用于对个人和家庭的补助支出。</w:t>
      </w:r>
    </w:p>
    <w:p>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27</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28</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29.委托业务费：指因委托外单位办理业务而支付的委托业务费。</w:t>
      </w:r>
    </w:p>
    <w:p>
      <w:pPr>
        <w:pStyle w:val="25"/>
        <w:spacing w:line="560" w:lineRule="exact"/>
        <w:ind w:firstLine="640" w:firstLineChars="200"/>
        <w:rPr>
          <w:rFonts w:hint="default" w:ascii="仿宋_GB2312" w:eastAsia="仿宋_GB2312"/>
          <w:color w:val="auto"/>
          <w:sz w:val="32"/>
          <w:szCs w:val="32"/>
          <w:lang w:val="en-US" w:eastAsia="zh-CN"/>
        </w:rPr>
      </w:pPr>
    </w:p>
    <w:p>
      <w:pPr>
        <w:pStyle w:val="25"/>
        <w:spacing w:line="560" w:lineRule="exact"/>
        <w:ind w:firstLine="640" w:firstLineChars="200"/>
        <w:rPr>
          <w:rFonts w:ascii="仿宋_GB2312" w:eastAsia="仿宋_GB2312" w:cs="黑体"/>
          <w:color w:val="auto"/>
          <w:sz w:val="32"/>
          <w:szCs w:val="32"/>
        </w:rPr>
      </w:pPr>
    </w:p>
    <w:p>
      <w:pPr>
        <w:spacing w:line="600" w:lineRule="exact"/>
        <w:jc w:val="center"/>
        <w:outlineLvl w:val="0"/>
        <w:rPr>
          <w:rStyle w:val="27"/>
          <w:rFonts w:ascii="黑体" w:hAnsi="黑体" w:eastAsia="黑体"/>
          <w:b w:val="0"/>
          <w:color w:val="auto"/>
        </w:rPr>
      </w:pPr>
      <w:bookmarkStart w:id="61" w:name="_Toc15377226"/>
      <w:r>
        <w:rPr>
          <w:rFonts w:ascii="宋体"/>
          <w:b/>
          <w:color w:val="auto"/>
          <w:sz w:val="44"/>
          <w:szCs w:val="44"/>
        </w:rPr>
        <w:br w:type="page"/>
      </w:r>
      <w:bookmarkStart w:id="62" w:name="_Toc15396614"/>
      <w:r>
        <w:rPr>
          <w:rFonts w:hint="eastAsia" w:ascii="黑体" w:hAnsi="黑体" w:eastAsia="黑体"/>
          <w:color w:val="auto"/>
          <w:sz w:val="44"/>
          <w:szCs w:val="44"/>
        </w:rPr>
        <w:t>第</w:t>
      </w:r>
      <w:r>
        <w:rPr>
          <w:rStyle w:val="27"/>
          <w:rFonts w:hint="eastAsia" w:ascii="黑体" w:hAnsi="黑体" w:eastAsia="黑体"/>
          <w:b w:val="0"/>
          <w:color w:val="auto"/>
        </w:rPr>
        <w:t>四部分 附件</w:t>
      </w:r>
      <w:bookmarkEnd w:id="62"/>
    </w:p>
    <w:p>
      <w:pPr>
        <w:spacing w:line="600" w:lineRule="exact"/>
        <w:jc w:val="center"/>
        <w:outlineLvl w:val="0"/>
        <w:rPr>
          <w:rStyle w:val="27"/>
          <w:color w:val="auto"/>
        </w:rPr>
      </w:pPr>
    </w:p>
    <w:p>
      <w:pPr>
        <w:keepNext w:val="0"/>
        <w:keepLines w:val="0"/>
        <w:pageBreakBefore w:val="0"/>
        <w:widowControl w:val="0"/>
        <w:kinsoku/>
        <w:wordWrap/>
        <w:overflowPunct/>
        <w:topLinePunct w:val="0"/>
        <w:autoSpaceDE/>
        <w:autoSpaceDN/>
        <w:bidi w:val="0"/>
        <w:adjustRightInd/>
        <w:snapToGrid/>
        <w:spacing w:line="530" w:lineRule="exact"/>
        <w:ind w:left="0" w:leftChars="0" w:right="0" w:rightChars="0" w:firstLine="0" w:firstLineChars="0"/>
        <w:jc w:val="both"/>
        <w:textAlignment w:val="auto"/>
        <w:outlineLvl w:val="9"/>
        <w:rPr>
          <w:rFonts w:hint="eastAsia" w:ascii="仿宋_GB2312" w:eastAsia="仿宋"/>
          <w:color w:val="auto"/>
          <w:sz w:val="32"/>
          <w:szCs w:val="32"/>
          <w:lang w:eastAsia="zh-CN"/>
        </w:rPr>
      </w:pPr>
      <w:bookmarkStart w:id="63" w:name="_Toc15396615"/>
      <w:r>
        <w:rPr>
          <w:rStyle w:val="27"/>
          <w:rFonts w:hint="eastAsia" w:ascii="仿宋" w:hAnsi="仿宋" w:eastAsia="仿宋"/>
          <w:b w:val="0"/>
          <w:bCs w:val="0"/>
          <w:color w:val="auto"/>
          <w:sz w:val="32"/>
          <w:szCs w:val="32"/>
        </w:rPr>
        <w:t>附件1</w:t>
      </w:r>
      <w:bookmarkEnd w:id="63"/>
      <w:bookmarkStart w:id="64" w:name="_Toc15396617"/>
      <w:r>
        <w:rPr>
          <w:rStyle w:val="27"/>
          <w:rFonts w:hint="eastAsia" w:ascii="仿宋" w:hAnsi="仿宋" w:eastAsia="仿宋"/>
          <w:b w:val="0"/>
          <w:bCs w:val="0"/>
          <w:color w:val="auto"/>
          <w:sz w:val="32"/>
          <w:szCs w:val="32"/>
          <w:lang w:eastAsia="zh-CN"/>
        </w:rPr>
        <w:t>：</w:t>
      </w:r>
    </w:p>
    <w:p>
      <w:pPr>
        <w:pStyle w:val="4"/>
        <w:pageBreakBefore w:val="0"/>
        <w:kinsoku/>
        <w:wordWrap/>
        <w:overflowPunct/>
        <w:topLinePunct w:val="0"/>
        <w:autoSpaceDE/>
        <w:autoSpaceDN/>
        <w:bidi w:val="0"/>
        <w:spacing w:before="0" w:beforeLines="0" w:after="0" w:afterLines="0" w:line="560" w:lineRule="exact"/>
        <w:ind w:firstLine="2640" w:firstLineChars="600"/>
        <w:jc w:val="both"/>
        <w:textAlignment w:val="auto"/>
        <w:rPr>
          <w:rFonts w:hint="eastAsia" w:ascii="方正小标宋简体" w:hAnsi="方正小标宋简体" w:eastAsia="方正小标宋简体" w:cs="方正小标宋简体"/>
          <w:b w:val="0"/>
          <w:bCs/>
          <w:color w:val="auto"/>
          <w:lang w:val="en-US" w:eastAsia="zh-CN"/>
        </w:rPr>
      </w:pPr>
      <w:r>
        <w:rPr>
          <w:rFonts w:hint="eastAsia" w:ascii="方正小标宋简体" w:hAnsi="方正小标宋简体" w:eastAsia="方正小标宋简体" w:cs="方正小标宋简体"/>
          <w:b w:val="0"/>
          <w:bCs/>
          <w:color w:val="auto"/>
          <w:lang w:val="en-US" w:eastAsia="zh-CN"/>
        </w:rPr>
        <w:t>红原县国土资源局</w:t>
      </w:r>
    </w:p>
    <w:p>
      <w:pPr>
        <w:pStyle w:val="4"/>
        <w:pageBreakBefore w:val="0"/>
        <w:kinsoku/>
        <w:wordWrap/>
        <w:overflowPunct/>
        <w:topLinePunct w:val="0"/>
        <w:autoSpaceDE/>
        <w:autoSpaceDN/>
        <w:bidi w:val="0"/>
        <w:spacing w:before="0" w:beforeLines="0" w:after="0" w:afterLines="0" w:line="560" w:lineRule="exact"/>
        <w:jc w:val="center"/>
        <w:textAlignment w:val="auto"/>
        <w:rPr>
          <w:rFonts w:hint="eastAsia" w:ascii="方正小标宋简体" w:hAnsi="方正小标宋简体" w:eastAsia="方正小标宋简体" w:cs="方正小标宋简体"/>
          <w:b w:val="0"/>
          <w:bCs/>
          <w:color w:val="auto"/>
          <w:lang w:val="en-US"/>
        </w:rPr>
      </w:pPr>
      <w:r>
        <w:rPr>
          <w:rFonts w:hint="eastAsia" w:ascii="方正小标宋简体" w:hAnsi="方正小标宋简体" w:eastAsia="方正小标宋简体" w:cs="方正小标宋简体"/>
          <w:b w:val="0"/>
          <w:bCs/>
          <w:color w:val="auto"/>
          <w:lang w:val="en-US" w:eastAsia="zh-CN"/>
        </w:rPr>
        <w:t>关于2019年整体支出绩效的报告</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黑体" w:hAnsi="宋体" w:eastAsia="黑体" w:cs="宋体"/>
          <w:color w:val="auto"/>
          <w:kern w:val="0"/>
          <w:sz w:val="32"/>
          <w:szCs w:val="24"/>
          <w:lang w:val="en-US" w:eastAsia="zh-CN" w:bidi="ar"/>
        </w:rPr>
      </w:pP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黑体" w:hAnsi="宋体" w:eastAsia="黑体" w:cs="宋体"/>
          <w:color w:val="auto"/>
          <w:kern w:val="0"/>
          <w:lang w:val="zh-CN" w:eastAsia="zh-CN"/>
        </w:rPr>
      </w:pPr>
      <w:r>
        <w:rPr>
          <w:rFonts w:hint="eastAsia" w:ascii="黑体" w:hAnsi="宋体" w:eastAsia="黑体" w:cs="宋体"/>
          <w:color w:val="auto"/>
          <w:kern w:val="0"/>
          <w:sz w:val="32"/>
          <w:szCs w:val="24"/>
          <w:lang w:val="en-US" w:eastAsia="zh-CN" w:bidi="ar"/>
        </w:rPr>
        <w:t>一、</w:t>
      </w:r>
      <w:r>
        <w:rPr>
          <w:rFonts w:hint="eastAsia" w:ascii="黑体" w:hAnsi="宋体" w:eastAsia="黑体" w:cs="宋体"/>
          <w:color w:val="auto"/>
          <w:kern w:val="0"/>
          <w:sz w:val="32"/>
          <w:szCs w:val="24"/>
          <w:lang w:val="zh-CN" w:eastAsia="zh-CN" w:bidi="ar"/>
        </w:rPr>
        <w:t>部门（单位）概况</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（一）机构组成。</w:t>
      </w:r>
    </w:p>
    <w:p>
      <w:pPr>
        <w:pageBreakBefore w:val="0"/>
        <w:kinsoku/>
        <w:wordWrap/>
        <w:overflowPunct/>
        <w:topLinePunct w:val="0"/>
        <w:autoSpaceDE/>
        <w:autoSpaceDN/>
        <w:bidi w:val="0"/>
        <w:spacing w:line="560" w:lineRule="exact"/>
        <w:ind w:firstLine="960" w:firstLineChars="300"/>
        <w:textAlignment w:val="auto"/>
        <w:rPr>
          <w:rFonts w:hint="eastAsia" w:ascii="仿宋_GB2312" w:hAnsi="宋体" w:eastAsia="仿宋_GB2312" w:cs="宋体"/>
          <w:color w:val="auto"/>
          <w:kern w:val="0"/>
          <w:sz w:val="32"/>
          <w:szCs w:val="24"/>
          <w:lang w:val="zh-CN" w:eastAsia="zh-CN" w:bidi="ar"/>
        </w:rPr>
      </w:pPr>
      <w:r>
        <w:rPr>
          <w:rFonts w:hint="eastAsia" w:ascii="仿宋_GB2312" w:hAnsi="仿宋_GB2312" w:eastAsia="仿宋_GB2312" w:cs="仿宋_GB2312"/>
          <w:color w:val="auto"/>
          <w:sz w:val="32"/>
          <w:szCs w:val="32"/>
        </w:rPr>
        <w:t>红原县</w:t>
      </w:r>
      <w:r>
        <w:rPr>
          <w:rFonts w:hint="eastAsia" w:ascii="仿宋_GB2312" w:hAnsi="仿宋_GB2312" w:cs="仿宋_GB2312"/>
          <w:color w:val="auto"/>
          <w:sz w:val="32"/>
          <w:szCs w:val="32"/>
          <w:lang w:eastAsia="zh-CN"/>
        </w:rPr>
        <w:t>国土</w:t>
      </w:r>
      <w:r>
        <w:rPr>
          <w:rFonts w:hint="eastAsia" w:ascii="仿宋_GB2312" w:hAnsi="仿宋_GB2312" w:eastAsia="仿宋_GB2312" w:cs="仿宋_GB2312"/>
          <w:color w:val="auto"/>
          <w:sz w:val="32"/>
          <w:szCs w:val="32"/>
        </w:rPr>
        <w:t>资源局现有行政办公室、土地管理股、矿产资源管理股、不动产登记中心、执法大队、土地储备交易中心、邛溪镇国土所、瓦切镇国土所、安曲镇国土所共9个机构组成。</w:t>
      </w:r>
    </w:p>
    <w:p>
      <w:pPr>
        <w:keepNext w:val="0"/>
        <w:keepLines w:val="0"/>
        <w:pageBreakBefore w:val="0"/>
        <w:widowControl/>
        <w:numPr>
          <w:ilvl w:val="0"/>
          <w:numId w:val="10"/>
        </w:numPr>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机构职能。</w:t>
      </w:r>
    </w:p>
    <w:p>
      <w:pPr>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rPr>
        <w:t>1.负责贯彻全县国土资源管理、矿产资源管理。</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（1）彻执行国家和省州关于土地矿产等国土资源方面的方针、政策和法律、法规;依法负责拟定本县土地、矿产等自然资</w:t>
      </w:r>
    </w:p>
    <w:p>
      <w:pPr>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源管理的规章制度;研究拟定调查、规划、保护和合理利用我县土地和矿产等自然资源的政策;组织贯彻实施土地和矿产等自然资源管理的技术标准、规范和办法.</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研究制定全县国土资源管理事业发展战略;组织编制和实施全县国土规划、土地利用总体规划、其它国土资源专项规划和土地利用年度计划;组织实施矿产资源的调查、评价，编制全县矿产资源保护和合理利用规划、地质勘查规划、地灾灾害防治,和地质遗迹保护规划，对建设项目用地预审。</w:t>
      </w:r>
    </w:p>
    <w:p>
      <w:pPr>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rPr>
        <w:t>2.行政审批事项。</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负责统一管理全县土地和城乡地籍、地政工作;制定并贯彻实施地籍管理办法;组织实施全县土地资源调查、评价分等定价，统计和动态监测工作;依法负责土地确权、登记、发证等工作，并组织土地权属证书的审理工作。</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进行基准地价、标定地价评测;确认地地使用权价格;审批国有土地资源处置方案并组织实施;拟定并按规定组织实施土地使用权出让、租赁、作价出资、转让交易和政府收购、储备办法;按规定组织实施农村“三项”建设管理和农村非农土地使，用权的流转管理。</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（3）管理全县土地测绘工作。负责全县测绘单位的资格审查，测绘工作证件，测绘任务登记管理，归口管理全县地籍测绘，指导测量标志的管理和保护。</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auto"/>
          <w:kern w:val="0"/>
          <w:sz w:val="32"/>
          <w:szCs w:val="24"/>
          <w:lang w:val="zh-CN" w:eastAsia="zh-CN" w:bidi="ar"/>
        </w:rPr>
      </w:pPr>
      <w:r>
        <w:rPr>
          <w:rFonts w:hint="eastAsia" w:ascii="仿宋_GB2312" w:hAnsi="仿宋_GB2312" w:eastAsia="仿宋_GB2312" w:cs="仿宋_GB2312"/>
          <w:color w:val="auto"/>
          <w:sz w:val="32"/>
          <w:szCs w:val="32"/>
        </w:rPr>
        <w:t>（4）承担矿产资源储备管理工作，依法管理江河地质、地勘成果资料，依法保护地质环境，依法管理矿产资源探矿权和采矿权的审批、登记、发证和转让。审核地质环境影响评估报告。</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（三）人员概况。</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auto"/>
          <w:kern w:val="0"/>
          <w:sz w:val="32"/>
          <w:szCs w:val="24"/>
          <w:lang w:val="zh-CN" w:eastAsia="zh-CN" w:bidi="ar"/>
        </w:rPr>
      </w:pPr>
      <w:r>
        <w:rPr>
          <w:rFonts w:hint="eastAsia" w:ascii="仿宋_GB2312" w:hAnsi="仿宋_GB2312" w:eastAsia="仿宋_GB2312" w:cs="仿宋_GB2312"/>
          <w:color w:val="auto"/>
          <w:sz w:val="32"/>
          <w:szCs w:val="32"/>
        </w:rPr>
        <w:t>我单位为独立核算全额拨款行政单位，截止201</w:t>
      </w:r>
      <w:r>
        <w:rPr>
          <w:rFonts w:hint="eastAsia" w:ascii="仿宋_GB2312" w:hAnsi="仿宋_GB2312" w:cs="仿宋_GB2312"/>
          <w:color w:val="auto"/>
          <w:sz w:val="32"/>
          <w:szCs w:val="32"/>
          <w:lang w:val="en-US" w:eastAsia="zh-CN"/>
        </w:rPr>
        <w:t>8</w:t>
      </w:r>
      <w:r>
        <w:rPr>
          <w:rFonts w:hint="eastAsia" w:ascii="仿宋_GB2312" w:hAnsi="仿宋_GB2312" w:eastAsia="仿宋_GB2312" w:cs="仿宋_GB2312"/>
          <w:color w:val="auto"/>
          <w:sz w:val="32"/>
          <w:szCs w:val="32"/>
        </w:rPr>
        <w:t>年底我单位共有编制29个，其中公务员编制</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rPr>
        <w:t>个，行政工勤编制1个，参公编制5个，事业编制16个，在职26人，公务员</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rPr>
        <w:t>人，行政工勤1人，参公工勤</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rPr>
        <w:t>人，事业编制1</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rPr>
        <w:t>人。</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黑体" w:hAnsi="宋体" w:eastAsia="黑体" w:cs="宋体"/>
          <w:color w:val="auto"/>
          <w:kern w:val="0"/>
          <w:lang w:val="en-US"/>
        </w:rPr>
      </w:pPr>
      <w:r>
        <w:rPr>
          <w:rFonts w:hint="eastAsia" w:ascii="黑体" w:hAnsi="宋体" w:eastAsia="黑体" w:cs="宋体"/>
          <w:color w:val="auto"/>
          <w:kern w:val="0"/>
          <w:sz w:val="32"/>
          <w:szCs w:val="24"/>
          <w:lang w:val="en-US" w:eastAsia="zh-CN" w:bidi="ar"/>
        </w:rPr>
        <w:t>二、部门财政资金收支情况</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（一）部门财政资金收入情况。</w:t>
      </w:r>
    </w:p>
    <w:p>
      <w:pPr>
        <w:pageBreakBefore w:val="0"/>
        <w:kinsoku/>
        <w:wordWrap/>
        <w:overflowPunct/>
        <w:topLinePunct w:val="0"/>
        <w:autoSpaceDE/>
        <w:autoSpaceDN/>
        <w:bidi w:val="0"/>
        <w:spacing w:line="560" w:lineRule="exact"/>
        <w:ind w:firstLine="480" w:firstLineChars="150"/>
        <w:textAlignment w:val="auto"/>
        <w:rPr>
          <w:rFonts w:hint="eastAsia" w:ascii="仿宋_GB2312" w:hAnsi="宋体" w:eastAsia="仿宋_GB2312" w:cs="宋体"/>
          <w:color w:val="auto"/>
          <w:kern w:val="0"/>
          <w:sz w:val="32"/>
          <w:szCs w:val="24"/>
          <w:highlight w:val="none"/>
          <w:lang w:val="zh-CN" w:eastAsia="zh-CN" w:bidi="ar"/>
        </w:rPr>
      </w:pPr>
      <w:r>
        <w:rPr>
          <w:rFonts w:hint="eastAsia" w:ascii="仿宋_GB2312" w:hAnsi="仿宋_GB2312" w:eastAsia="仿宋_GB2312" w:cs="仿宋_GB2312"/>
          <w:color w:val="auto"/>
          <w:sz w:val="32"/>
          <w:szCs w:val="32"/>
        </w:rPr>
        <w:t>201</w:t>
      </w:r>
      <w:r>
        <w:rPr>
          <w:rFonts w:hint="eastAsia" w:ascii="仿宋_GB2312" w:hAnsi="仿宋_GB2312" w:cs="仿宋_GB2312"/>
          <w:color w:val="auto"/>
          <w:sz w:val="32"/>
          <w:szCs w:val="32"/>
          <w:lang w:val="en-US" w:eastAsia="zh-CN"/>
        </w:rPr>
        <w:t>8</w:t>
      </w:r>
      <w:r>
        <w:rPr>
          <w:rFonts w:hint="eastAsia" w:ascii="仿宋_GB2312" w:hAnsi="仿宋_GB2312" w:eastAsia="仿宋_GB2312" w:cs="仿宋_GB2312"/>
          <w:color w:val="auto"/>
          <w:sz w:val="32"/>
          <w:szCs w:val="32"/>
        </w:rPr>
        <w:t>年我</w:t>
      </w:r>
      <w:r>
        <w:rPr>
          <w:rFonts w:hint="eastAsia" w:ascii="仿宋_GB2312" w:hAnsi="仿宋_GB2312" w:cs="仿宋_GB2312"/>
          <w:color w:val="auto"/>
          <w:sz w:val="32"/>
          <w:szCs w:val="32"/>
          <w:lang w:eastAsia="zh-CN"/>
        </w:rPr>
        <w:t>局</w:t>
      </w:r>
      <w:r>
        <w:rPr>
          <w:rFonts w:hint="eastAsia" w:ascii="仿宋_GB2312" w:hAnsi="仿宋_GB2312" w:eastAsia="仿宋_GB2312" w:cs="仿宋_GB2312"/>
          <w:color w:val="auto"/>
          <w:sz w:val="32"/>
          <w:szCs w:val="32"/>
        </w:rPr>
        <w:t>收入为19,080,816.07元，其中：一般公共预算财政拨款收入11,155,868.27元</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政府性基金预算财政拨款收入7,924,239.57元</w:t>
      </w:r>
      <w:r>
        <w:rPr>
          <w:rFonts w:hint="eastAsia" w:ascii="仿宋_GB2312" w:hAnsi="仿宋_GB2312" w:cs="仿宋_GB2312"/>
          <w:color w:val="auto"/>
          <w:sz w:val="32"/>
          <w:szCs w:val="32"/>
          <w:lang w:val="en-US" w:eastAsia="zh-CN"/>
        </w:rPr>
        <w:t>;2019年我局</w:t>
      </w:r>
      <w:r>
        <w:rPr>
          <w:rFonts w:hint="eastAsia" w:ascii="仿宋_GB2312" w:hAnsi="仿宋_GB2312" w:cs="仿宋_GB2312"/>
          <w:color w:val="auto"/>
          <w:sz w:val="32"/>
          <w:szCs w:val="32"/>
          <w:highlight w:val="none"/>
          <w:lang w:val="en-US" w:eastAsia="zh-CN"/>
        </w:rPr>
        <w:t xml:space="preserve">预算收入1867549元，其中：一般公共服务支出10881元，社会保障和就业支出246288元，卫生健康支出75801元，国土海洋气象等支出1407044元，住房保障支出127535元。     </w:t>
      </w:r>
      <w:r>
        <w:rPr>
          <w:rFonts w:hint="eastAsia" w:ascii="仿宋_GB2312" w:hAnsi="仿宋_GB2312" w:eastAsia="仿宋_GB2312" w:cs="仿宋_GB2312"/>
          <w:color w:val="auto"/>
          <w:sz w:val="32"/>
          <w:szCs w:val="32"/>
          <w:highlight w:val="none"/>
        </w:rPr>
        <w:t>。</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Autospacing="0" w:afterAutospacing="0" w:line="560" w:lineRule="exact"/>
        <w:ind w:left="720" w:leftChars="0" w:right="0" w:rightChars="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（二）部门财政资金支出情况。</w:t>
      </w:r>
    </w:p>
    <w:p>
      <w:pPr>
        <w:pageBreakBefore w:val="0"/>
        <w:kinsoku/>
        <w:wordWrap/>
        <w:overflowPunct/>
        <w:topLinePunct w:val="0"/>
        <w:autoSpaceDE/>
        <w:autoSpaceDN/>
        <w:bidi w:val="0"/>
        <w:spacing w:line="560" w:lineRule="exact"/>
        <w:ind w:firstLine="480" w:firstLineChars="15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201</w:t>
      </w:r>
      <w:r>
        <w:rPr>
          <w:rFonts w:hint="eastAsia" w:ascii="仿宋_GB2312" w:hAnsi="仿宋_GB2312" w:cs="仿宋_GB2312"/>
          <w:color w:val="auto"/>
          <w:sz w:val="32"/>
          <w:szCs w:val="32"/>
          <w:lang w:val="en-US" w:eastAsia="zh-CN"/>
        </w:rPr>
        <w:t>8</w:t>
      </w:r>
      <w:r>
        <w:rPr>
          <w:rFonts w:hint="eastAsia" w:ascii="仿宋_GB2312" w:hAnsi="仿宋_GB2312" w:eastAsia="仿宋_GB2312" w:cs="仿宋_GB2312"/>
          <w:color w:val="auto"/>
          <w:sz w:val="32"/>
          <w:szCs w:val="32"/>
        </w:rPr>
        <w:t>年本年支出合计20,793,103.49元，基本支出4,467,772.27元（其中：住房保障支出285,414.00元、社会保障和就业支出636,506.16元、医疗卫生</w:t>
      </w:r>
      <w:r>
        <w:rPr>
          <w:rFonts w:hint="eastAsia" w:ascii="仿宋_GB2312" w:hAnsi="仿宋_GB2312" w:cs="仿宋_GB2312"/>
          <w:color w:val="auto"/>
          <w:sz w:val="32"/>
          <w:szCs w:val="32"/>
          <w:lang w:eastAsia="zh-CN"/>
        </w:rPr>
        <w:t>和计划生育</w:t>
      </w:r>
      <w:r>
        <w:rPr>
          <w:rFonts w:hint="eastAsia" w:ascii="仿宋_GB2312" w:hAnsi="仿宋_GB2312" w:eastAsia="仿宋_GB2312" w:cs="仿宋_GB2312"/>
          <w:color w:val="auto"/>
          <w:sz w:val="32"/>
          <w:szCs w:val="32"/>
        </w:rPr>
        <w:t>支出193,815.24元、</w:t>
      </w:r>
      <w:r>
        <w:rPr>
          <w:rFonts w:hint="eastAsia" w:ascii="仿宋_GB2312" w:hAnsi="仿宋_GB2312" w:cs="仿宋_GB2312"/>
          <w:color w:val="auto"/>
          <w:sz w:val="32"/>
          <w:szCs w:val="32"/>
          <w:lang w:eastAsia="zh-CN"/>
        </w:rPr>
        <w:t>国土海洋气象等支出3,352,036.87元</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项目支出16,325,331.22元</w:t>
      </w:r>
      <w:r>
        <w:rPr>
          <w:rFonts w:hint="eastAsia" w:ascii="仿宋_GB2312" w:hAnsi="仿宋_GB2312" w:cs="仿宋_GB2312"/>
          <w:color w:val="auto"/>
          <w:sz w:val="32"/>
          <w:szCs w:val="32"/>
          <w:lang w:eastAsia="zh-CN"/>
        </w:rPr>
        <w:t>（其中：城乡社区支出6,830,232.00元、国土资源事务支出8,681,112.22元、地震事务10,000.00元、其他国土海洋气象等支出803,987.00元）</w:t>
      </w:r>
      <w:r>
        <w:rPr>
          <w:rFonts w:hint="eastAsia" w:ascii="仿宋_GB2312" w:hAnsi="仿宋_GB2312" w:eastAsia="仿宋_GB2312" w:cs="仿宋_GB2312"/>
          <w:color w:val="auto"/>
          <w:sz w:val="32"/>
          <w:szCs w:val="32"/>
        </w:rPr>
        <w:t>。</w:t>
      </w:r>
    </w:p>
    <w:p>
      <w:pPr>
        <w:pageBreakBefore w:val="0"/>
        <w:kinsoku/>
        <w:wordWrap/>
        <w:overflowPunct/>
        <w:topLinePunct w:val="0"/>
        <w:autoSpaceDE/>
        <w:autoSpaceDN/>
        <w:bidi w:val="0"/>
        <w:spacing w:line="560" w:lineRule="exact"/>
        <w:ind w:firstLine="480" w:firstLineChars="150"/>
        <w:textAlignment w:val="auto"/>
        <w:rPr>
          <w:rFonts w:hint="eastAsia" w:ascii="仿宋_GB2312" w:hAnsi="宋体" w:eastAsia="仿宋_GB2312" w:cs="宋体"/>
          <w:color w:val="auto"/>
          <w:kern w:val="0"/>
          <w:sz w:val="32"/>
          <w:szCs w:val="24"/>
          <w:highlight w:val="none"/>
          <w:lang w:val="zh-CN" w:eastAsia="zh-CN" w:bidi="ar"/>
        </w:rPr>
      </w:pPr>
      <w:r>
        <w:rPr>
          <w:rFonts w:hint="eastAsia" w:ascii="仿宋_GB2312" w:hAnsi="仿宋_GB2312" w:eastAsia="仿宋_GB2312" w:cs="仿宋_GB2312"/>
          <w:color w:val="auto"/>
          <w:sz w:val="32"/>
          <w:szCs w:val="32"/>
          <w:highlight w:val="none"/>
        </w:rPr>
        <w:t>201</w:t>
      </w:r>
      <w:r>
        <w:rPr>
          <w:rFonts w:hint="eastAsia" w:ascii="仿宋_GB2312" w:hAnsi="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年1至6月支出为</w:t>
      </w:r>
      <w:r>
        <w:rPr>
          <w:rFonts w:hint="eastAsia" w:ascii="仿宋_GB2312" w:hAnsi="仿宋_GB2312" w:cs="仿宋_GB2312"/>
          <w:color w:val="auto"/>
          <w:sz w:val="32"/>
          <w:szCs w:val="32"/>
          <w:highlight w:val="none"/>
          <w:lang w:val="en-US" w:eastAsia="zh-CN"/>
        </w:rPr>
        <w:t>3452279.68</w:t>
      </w:r>
      <w:r>
        <w:rPr>
          <w:rFonts w:hint="eastAsia" w:ascii="仿宋_GB2312" w:hAnsi="仿宋_GB2312" w:eastAsia="仿宋_GB2312" w:cs="仿宋_GB2312"/>
          <w:color w:val="auto"/>
          <w:sz w:val="32"/>
          <w:szCs w:val="32"/>
          <w:highlight w:val="none"/>
        </w:rPr>
        <w:t>元，其中：工</w:t>
      </w:r>
      <w:r>
        <w:rPr>
          <w:rFonts w:hint="eastAsia" w:ascii="仿宋_GB2312" w:hAnsi="仿宋_GB2312" w:cs="仿宋_GB2312"/>
          <w:color w:val="auto"/>
          <w:sz w:val="32"/>
          <w:szCs w:val="32"/>
          <w:highlight w:val="none"/>
          <w:lang w:eastAsia="zh-CN"/>
        </w:rPr>
        <w:t>资福利支出</w:t>
      </w:r>
      <w:r>
        <w:rPr>
          <w:rFonts w:hint="eastAsia" w:ascii="仿宋_GB2312" w:hAnsi="仿宋_GB2312" w:cs="仿宋_GB2312"/>
          <w:color w:val="auto"/>
          <w:sz w:val="32"/>
          <w:szCs w:val="32"/>
          <w:highlight w:val="none"/>
          <w:lang w:val="en-US" w:eastAsia="zh-CN"/>
        </w:rPr>
        <w:t>953464.5</w:t>
      </w:r>
      <w:r>
        <w:rPr>
          <w:rFonts w:hint="eastAsia" w:ascii="仿宋_GB2312" w:hAnsi="仿宋_GB2312" w:eastAsia="仿宋_GB2312" w:cs="仿宋_GB2312"/>
          <w:color w:val="auto"/>
          <w:sz w:val="32"/>
          <w:szCs w:val="32"/>
          <w:highlight w:val="none"/>
        </w:rPr>
        <w:t>元、公用经费</w:t>
      </w:r>
      <w:r>
        <w:rPr>
          <w:rFonts w:hint="eastAsia" w:ascii="仿宋_GB2312" w:hAnsi="仿宋_GB2312" w:cs="仿宋_GB2312"/>
          <w:color w:val="auto"/>
          <w:sz w:val="32"/>
          <w:szCs w:val="32"/>
          <w:highlight w:val="none"/>
          <w:lang w:val="en-US" w:eastAsia="zh-CN"/>
        </w:rPr>
        <w:t>106969.83</w:t>
      </w:r>
      <w:r>
        <w:rPr>
          <w:rFonts w:hint="eastAsia" w:ascii="仿宋_GB2312" w:hAnsi="仿宋_GB2312" w:eastAsia="仿宋_GB2312" w:cs="仿宋_GB2312"/>
          <w:color w:val="auto"/>
          <w:sz w:val="32"/>
          <w:szCs w:val="32"/>
          <w:highlight w:val="none"/>
        </w:rPr>
        <w:t>元</w:t>
      </w:r>
      <w:r>
        <w:rPr>
          <w:rFonts w:hint="eastAsia" w:ascii="仿宋_GB2312" w:hAnsi="仿宋_GB2312" w:cs="仿宋_GB2312"/>
          <w:color w:val="auto"/>
          <w:sz w:val="32"/>
          <w:szCs w:val="32"/>
          <w:highlight w:val="none"/>
          <w:lang w:eastAsia="zh-CN"/>
        </w:rPr>
        <w:t>、住房保障支出</w:t>
      </w:r>
      <w:r>
        <w:rPr>
          <w:rFonts w:hint="eastAsia" w:ascii="仿宋_GB2312" w:hAnsi="仿宋_GB2312" w:cs="仿宋_GB2312"/>
          <w:color w:val="auto"/>
          <w:sz w:val="32"/>
          <w:szCs w:val="32"/>
          <w:highlight w:val="none"/>
          <w:lang w:val="en-US" w:eastAsia="zh-CN"/>
        </w:rPr>
        <w:t>154404元、社会保障和就业支出501290.4元、</w:t>
      </w:r>
      <w:r>
        <w:rPr>
          <w:rFonts w:hint="eastAsia" w:ascii="仿宋_GB2312" w:hAnsi="仿宋_GB2312" w:eastAsia="仿宋_GB2312" w:cs="仿宋_GB2312"/>
          <w:color w:val="auto"/>
          <w:sz w:val="32"/>
          <w:szCs w:val="32"/>
          <w:highlight w:val="none"/>
        </w:rPr>
        <w:t>项目支出</w:t>
      </w:r>
      <w:r>
        <w:rPr>
          <w:rFonts w:hint="eastAsia" w:ascii="仿宋_GB2312" w:hAnsi="仿宋_GB2312" w:cs="仿宋_GB2312"/>
          <w:color w:val="auto"/>
          <w:sz w:val="32"/>
          <w:szCs w:val="32"/>
          <w:highlight w:val="none"/>
          <w:lang w:val="en-US" w:eastAsia="zh-CN"/>
        </w:rPr>
        <w:t xml:space="preserve">1736150.95 </w:t>
      </w:r>
      <w:r>
        <w:rPr>
          <w:rFonts w:hint="eastAsia" w:ascii="仿宋_GB2312" w:hAnsi="仿宋_GB2312" w:eastAsia="仿宋_GB2312" w:cs="仿宋_GB2312"/>
          <w:color w:val="auto"/>
          <w:sz w:val="32"/>
          <w:szCs w:val="32"/>
          <w:highlight w:val="none"/>
        </w:rPr>
        <w:t>元</w:t>
      </w:r>
      <w:r>
        <w:rPr>
          <w:rFonts w:hint="eastAsia" w:ascii="仿宋_GB2312" w:hAnsi="仿宋_GB2312" w:cs="仿宋_GB2312"/>
          <w:color w:val="auto"/>
          <w:sz w:val="32"/>
          <w:szCs w:val="32"/>
          <w:highlight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黑体" w:hAnsi="宋体" w:eastAsia="黑体" w:cs="宋体"/>
          <w:color w:val="auto"/>
          <w:kern w:val="0"/>
          <w:lang w:val="en-US"/>
        </w:rPr>
      </w:pPr>
      <w:r>
        <w:rPr>
          <w:rFonts w:hint="eastAsia" w:ascii="黑体" w:hAnsi="宋体" w:eastAsia="黑体" w:cs="宋体"/>
          <w:color w:val="auto"/>
          <w:kern w:val="0"/>
          <w:sz w:val="32"/>
          <w:szCs w:val="24"/>
          <w:lang w:val="en-US" w:eastAsia="zh-CN" w:bidi="ar"/>
        </w:rPr>
        <w:t>三、部门财政支出管理情况</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楷体" w:hAnsi="楷体" w:eastAsia="楷体" w:cs="楷体"/>
          <w:b/>
          <w:bCs/>
          <w:color w:val="auto"/>
          <w:kern w:val="0"/>
          <w:lang w:val="zh-CN" w:eastAsia="zh-CN"/>
        </w:rPr>
      </w:pPr>
      <w:r>
        <w:rPr>
          <w:rFonts w:hint="eastAsia" w:ascii="楷体" w:hAnsi="楷体" w:eastAsia="楷体" w:cs="楷体"/>
          <w:b/>
          <w:bCs/>
          <w:color w:val="auto"/>
          <w:kern w:val="0"/>
          <w:sz w:val="32"/>
          <w:szCs w:val="24"/>
          <w:lang w:val="zh-CN" w:eastAsia="zh-CN" w:bidi="ar"/>
        </w:rPr>
        <w:t>（一）预算编制情况。</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局严格按照《预算法》及相关财经法规和政策编制本年度预算，严格控制编报质量，保证所有资金合法合规，严格按照相关规定进行预算编制，中央转移支付资金按照文件要求下达，专项转移支付严格根据分地区分项目进行编制。</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楷体" w:hAnsi="楷体" w:eastAsia="楷体" w:cs="楷体"/>
          <w:b/>
          <w:bCs/>
          <w:color w:val="auto"/>
          <w:kern w:val="0"/>
          <w:lang w:val="zh-CN" w:eastAsia="zh-CN"/>
        </w:rPr>
      </w:pPr>
      <w:r>
        <w:rPr>
          <w:rFonts w:hint="eastAsia" w:ascii="楷体" w:hAnsi="楷体" w:eastAsia="楷体" w:cs="楷体"/>
          <w:b/>
          <w:bCs/>
          <w:color w:val="auto"/>
          <w:kern w:val="0"/>
          <w:sz w:val="32"/>
          <w:szCs w:val="24"/>
          <w:lang w:val="zh-CN" w:eastAsia="zh-CN" w:bidi="ar"/>
        </w:rPr>
        <w:t>（二）执行管理情况。</w:t>
      </w:r>
      <w:r>
        <w:rPr>
          <w:rFonts w:hint="eastAsia" w:ascii="楷体" w:hAnsi="楷体" w:eastAsia="楷体" w:cs="楷体"/>
          <w:b/>
          <w:bCs/>
          <w:color w:val="auto"/>
          <w:kern w:val="0"/>
          <w:sz w:val="32"/>
          <w:szCs w:val="24"/>
          <w:lang w:val="zh-CN" w:eastAsia="zh-CN" w:bidi="ar"/>
        </w:rPr>
        <w:tab/>
      </w:r>
    </w:p>
    <w:p>
      <w:pPr>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auto"/>
          <w:kern w:val="0"/>
          <w:lang w:val="zh-CN" w:eastAsia="zh-CN"/>
        </w:rPr>
      </w:pPr>
      <w:r>
        <w:rPr>
          <w:rFonts w:hint="eastAsia" w:ascii="仿宋_GB2312" w:hAnsi="仿宋_GB2312" w:cs="仿宋_GB2312"/>
          <w:color w:val="auto"/>
          <w:sz w:val="32"/>
          <w:szCs w:val="32"/>
          <w:lang w:eastAsia="zh-CN"/>
        </w:rPr>
        <w:t>我局</w:t>
      </w:r>
      <w:r>
        <w:rPr>
          <w:rFonts w:hint="eastAsia" w:ascii="仿宋_GB2312" w:hAnsi="仿宋_GB2312" w:eastAsia="仿宋_GB2312" w:cs="仿宋_GB2312"/>
          <w:color w:val="auto"/>
          <w:sz w:val="32"/>
          <w:szCs w:val="32"/>
        </w:rPr>
        <w:t>预算执行到位，严格按照预算管理进行支付并做到节能降耗，“三公”经费严格按照年初预算执行。</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楷体" w:hAnsi="楷体" w:eastAsia="楷体" w:cs="楷体"/>
          <w:b/>
          <w:bCs/>
          <w:color w:val="auto"/>
          <w:kern w:val="0"/>
          <w:lang w:val="zh-CN" w:eastAsia="zh-CN"/>
        </w:rPr>
      </w:pPr>
      <w:r>
        <w:rPr>
          <w:rFonts w:hint="eastAsia" w:ascii="楷体" w:hAnsi="楷体" w:eastAsia="楷体" w:cs="楷体"/>
          <w:b/>
          <w:bCs/>
          <w:color w:val="auto"/>
          <w:kern w:val="0"/>
          <w:sz w:val="32"/>
          <w:szCs w:val="24"/>
          <w:lang w:val="zh-CN" w:eastAsia="zh-CN" w:bidi="ar"/>
        </w:rPr>
        <w:t>（三）综合管理情况。</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eastAsia" w:ascii="仿宋" w:hAnsi="仿宋" w:eastAsia="仿宋" w:cs="宋体"/>
          <w:color w:val="auto"/>
          <w:kern w:val="0"/>
          <w:sz w:val="32"/>
          <w:szCs w:val="32"/>
          <w:lang w:val="zh-CN" w:eastAsia="zh-CN"/>
        </w:rPr>
      </w:pPr>
      <w:r>
        <w:rPr>
          <w:rFonts w:hint="eastAsia" w:ascii="仿宋" w:hAnsi="仿宋" w:eastAsia="仿宋" w:cs="宋体"/>
          <w:color w:val="auto"/>
          <w:kern w:val="0"/>
          <w:sz w:val="32"/>
          <w:szCs w:val="32"/>
          <w:lang w:val="en-US" w:eastAsia="zh-CN"/>
        </w:rPr>
        <w:t>在财务管理过程中建立健全财务核算制度、严格执行国家相关财经法规，加强了会计基础工作、逐渐规范了财务管理行为。严格按照《行政单位会计制度》和《行政单位财务规则》的规定设置的会计科目，建立了科学有效的会计核算方式，均真实、合法、准确的反映各项收支活动；建立健全了内控制度，加强和完善了经费收支和财务管理，积极配合各级财政部门开展相关经费的考评工作；本院在资金使用过程中，合理使用各项资金，严格执行各项经费开支范围和标准。对中央、省转移支付资金的使用全部用于与国土事务，并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在采购资金支出时手续齐备，采购的固定资产及时登记并入账；严格落实《党政机关厉行节约反对浪费条例》的相关规定，进一步规范了“三公经费”的管理并严格控制了“三公经费”的支出。</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eastAsia" w:ascii="楷体" w:hAnsi="楷体" w:eastAsia="楷体" w:cs="楷体"/>
          <w:b/>
          <w:bCs/>
          <w:color w:val="auto"/>
          <w:kern w:val="0"/>
          <w:lang w:val="zh-CN" w:eastAsia="zh-CN"/>
        </w:rPr>
      </w:pPr>
      <w:r>
        <w:rPr>
          <w:rFonts w:hint="eastAsia" w:ascii="楷体" w:hAnsi="楷体" w:eastAsia="楷体" w:cs="楷体"/>
          <w:b/>
          <w:bCs/>
          <w:color w:val="auto"/>
          <w:kern w:val="0"/>
          <w:sz w:val="32"/>
          <w:szCs w:val="24"/>
          <w:lang w:val="zh-CN" w:eastAsia="zh-CN" w:bidi="ar"/>
        </w:rPr>
        <w:t>（四）整体绩效。</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eastAsia" w:ascii="仿宋_GB2312" w:hAnsi="宋体" w:eastAsia="仿宋_GB2312" w:cs="宋体"/>
          <w:color w:val="auto"/>
          <w:kern w:val="0"/>
          <w:lang w:val="zh-CN" w:eastAsia="zh-CN"/>
        </w:rPr>
      </w:pPr>
      <w:r>
        <w:rPr>
          <w:rFonts w:hint="eastAsia" w:ascii="仿宋_GB2312" w:hAnsi="仿宋_GB2312" w:cs="仿宋_GB2312"/>
          <w:color w:val="auto"/>
          <w:sz w:val="32"/>
          <w:szCs w:val="32"/>
          <w:lang w:val="en-US" w:eastAsia="zh-CN"/>
        </w:rPr>
        <w:t>2</w:t>
      </w:r>
      <w:r>
        <w:rPr>
          <w:rFonts w:hint="eastAsia" w:ascii="仿宋" w:hAnsi="仿宋" w:eastAsia="仿宋" w:cs="宋体"/>
          <w:color w:val="auto"/>
          <w:kern w:val="0"/>
          <w:sz w:val="32"/>
          <w:szCs w:val="32"/>
          <w:lang w:val="en-US" w:eastAsia="zh-CN"/>
        </w:rPr>
        <w:t>018</w:t>
      </w:r>
      <w:r>
        <w:rPr>
          <w:rFonts w:hint="eastAsia" w:ascii="仿宋" w:hAnsi="仿宋" w:eastAsia="仿宋" w:cs="宋体"/>
          <w:color w:val="auto"/>
          <w:kern w:val="0"/>
          <w:sz w:val="32"/>
          <w:szCs w:val="32"/>
        </w:rPr>
        <w:t>年全年来共收缴土地出让金</w:t>
      </w:r>
      <w:r>
        <w:rPr>
          <w:rFonts w:hint="eastAsia" w:ascii="仿宋" w:hAnsi="仿宋" w:eastAsia="仿宋" w:cs="宋体"/>
          <w:color w:val="auto"/>
          <w:kern w:val="0"/>
          <w:sz w:val="32"/>
          <w:szCs w:val="32"/>
          <w:lang w:eastAsia="zh-CN"/>
        </w:rPr>
        <w:t>（协议）</w:t>
      </w:r>
      <w:r>
        <w:rPr>
          <w:rFonts w:hint="eastAsia" w:ascii="仿宋" w:hAnsi="仿宋" w:eastAsia="仿宋" w:cs="宋体"/>
          <w:color w:val="auto"/>
          <w:kern w:val="0"/>
          <w:sz w:val="32"/>
          <w:szCs w:val="32"/>
          <w:lang w:val="en-US" w:eastAsia="zh-CN"/>
        </w:rPr>
        <w:t>1305609.23元</w:t>
      </w:r>
      <w:r>
        <w:rPr>
          <w:rFonts w:hint="eastAsia" w:ascii="仿宋" w:hAnsi="仿宋" w:eastAsia="仿宋" w:cs="宋体"/>
          <w:color w:val="auto"/>
          <w:kern w:val="0"/>
          <w:sz w:val="32"/>
          <w:szCs w:val="32"/>
        </w:rPr>
        <w:t>、土地出让金</w:t>
      </w:r>
      <w:r>
        <w:rPr>
          <w:rFonts w:hint="eastAsia" w:ascii="仿宋" w:hAnsi="仿宋" w:eastAsia="仿宋" w:cs="宋体"/>
          <w:color w:val="auto"/>
          <w:kern w:val="0"/>
          <w:sz w:val="32"/>
          <w:szCs w:val="32"/>
          <w:lang w:eastAsia="zh-CN"/>
        </w:rPr>
        <w:t>（招拍挂）</w:t>
      </w:r>
      <w:r>
        <w:rPr>
          <w:rFonts w:hint="eastAsia" w:ascii="仿宋" w:hAnsi="仿宋" w:eastAsia="仿宋" w:cs="宋体"/>
          <w:color w:val="auto"/>
          <w:kern w:val="0"/>
          <w:sz w:val="32"/>
          <w:szCs w:val="32"/>
          <w:lang w:val="en-US" w:eastAsia="zh-CN"/>
        </w:rPr>
        <w:t>14664644元、</w:t>
      </w:r>
      <w:r>
        <w:rPr>
          <w:rFonts w:hint="eastAsia" w:ascii="仿宋" w:hAnsi="仿宋" w:eastAsia="仿宋" w:cs="宋体"/>
          <w:color w:val="auto"/>
          <w:kern w:val="0"/>
          <w:sz w:val="32"/>
          <w:szCs w:val="32"/>
        </w:rPr>
        <w:t>新增建设用地有偿使用费</w:t>
      </w:r>
      <w:r>
        <w:rPr>
          <w:rFonts w:hint="eastAsia" w:ascii="仿宋" w:hAnsi="仿宋" w:eastAsia="仿宋" w:cs="宋体"/>
          <w:color w:val="auto"/>
          <w:kern w:val="0"/>
          <w:sz w:val="32"/>
          <w:szCs w:val="32"/>
          <w:lang w:val="en-US" w:eastAsia="zh-CN"/>
        </w:rPr>
        <w:t>359961.1</w:t>
      </w:r>
      <w:r>
        <w:rPr>
          <w:rFonts w:hint="eastAsia" w:ascii="仿宋" w:hAnsi="仿宋" w:eastAsia="仿宋" w:cs="宋体"/>
          <w:color w:val="auto"/>
          <w:kern w:val="0"/>
          <w:sz w:val="32"/>
          <w:szCs w:val="32"/>
        </w:rPr>
        <w:t>元</w:t>
      </w:r>
      <w:r>
        <w:rPr>
          <w:rFonts w:hint="eastAsia" w:ascii="仿宋" w:hAnsi="仿宋" w:eastAsia="仿宋" w:cs="宋体"/>
          <w:color w:val="auto"/>
          <w:kern w:val="0"/>
          <w:sz w:val="32"/>
          <w:szCs w:val="32"/>
          <w:lang w:eastAsia="zh-CN"/>
        </w:rPr>
        <w:t>、收缴证书费、工本费共计</w:t>
      </w:r>
      <w:r>
        <w:rPr>
          <w:rFonts w:hint="eastAsia" w:ascii="仿宋" w:hAnsi="仿宋" w:eastAsia="仿宋" w:cs="宋体"/>
          <w:color w:val="auto"/>
          <w:kern w:val="0"/>
          <w:sz w:val="32"/>
          <w:szCs w:val="32"/>
          <w:lang w:val="en-US" w:eastAsia="zh-CN"/>
        </w:rPr>
        <w:t>83430元、收缴罚没款78577.7元</w:t>
      </w:r>
      <w:r>
        <w:rPr>
          <w:rFonts w:hint="eastAsia" w:ascii="仿宋" w:hAnsi="仿宋" w:eastAsia="仿宋" w:cs="宋体"/>
          <w:color w:val="auto"/>
          <w:kern w:val="0"/>
          <w:sz w:val="32"/>
          <w:szCs w:val="32"/>
        </w:rPr>
        <w:t>。</w:t>
      </w:r>
      <w:r>
        <w:rPr>
          <w:rFonts w:hint="eastAsia" w:ascii="仿宋_GB2312" w:hAnsi="仿宋_GB2312" w:cs="仿宋_GB2312"/>
          <w:color w:val="auto"/>
          <w:sz w:val="32"/>
          <w:szCs w:val="32"/>
          <w:lang w:val="en-US" w:eastAsia="zh-CN"/>
        </w:rPr>
        <w:t>2018年我局完成</w:t>
      </w:r>
      <w:r>
        <w:rPr>
          <w:rFonts w:hint="eastAsia" w:ascii="仿宋" w:hAnsi="仿宋" w:eastAsia="仿宋" w:cs="宋体"/>
          <w:color w:val="auto"/>
          <w:kern w:val="0"/>
          <w:sz w:val="32"/>
          <w:szCs w:val="32"/>
        </w:rPr>
        <w:t>刷经寺老康猫泥石流滑坡治理工程、刷经寺镇塘星村村委会后山泥石流、红原县查尔玛小学后山滑坡等项目均已初验，工程款项均已拨付75%，等待终验</w:t>
      </w:r>
      <w:r>
        <w:rPr>
          <w:rFonts w:hint="eastAsia" w:ascii="仿宋" w:hAnsi="仿宋" w:eastAsia="仿宋" w:cs="宋体"/>
          <w:color w:val="auto"/>
          <w:kern w:val="0"/>
          <w:sz w:val="32"/>
          <w:szCs w:val="32"/>
          <w:lang w:eastAsia="zh-CN"/>
        </w:rPr>
        <w:t>。</w:t>
      </w:r>
      <w:r>
        <w:rPr>
          <w:rFonts w:hint="eastAsia" w:ascii="仿宋" w:hAnsi="仿宋" w:eastAsia="仿宋" w:cs="宋体"/>
          <w:color w:val="auto"/>
          <w:kern w:val="0"/>
          <w:sz w:val="32"/>
          <w:szCs w:val="32"/>
        </w:rPr>
        <w:t>我局整体支出绩效目标良好，较好完成今年预定工作目标，严格按照预算管理进行支付并做到节能降耗，“三公”经费严格按照年初预算执行。</w:t>
      </w:r>
      <w:r>
        <w:rPr>
          <w:rFonts w:hint="eastAsia" w:ascii="仿宋_GB2312" w:hAnsi="仿宋_GB2312" w:eastAsia="仿宋_GB2312" w:cs="仿宋_GB2312"/>
          <w:color w:val="auto"/>
          <w:sz w:val="32"/>
          <w:szCs w:val="32"/>
        </w:rPr>
        <w:t>在全面贯彻落实党的十九大精神,坚持以习近平新时代中国特色社会主义思想为指导,努力实现人民群众满意。</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eastAsia" w:ascii="黑体" w:hAnsi="宋体" w:eastAsia="黑体" w:cs="宋体"/>
          <w:color w:val="auto"/>
          <w:kern w:val="0"/>
          <w:lang w:val="en-US"/>
        </w:rPr>
      </w:pPr>
      <w:r>
        <w:rPr>
          <w:rFonts w:hint="eastAsia" w:ascii="黑体" w:hAnsi="宋体" w:eastAsia="黑体" w:cs="宋体"/>
          <w:color w:val="auto"/>
          <w:kern w:val="0"/>
          <w:sz w:val="32"/>
          <w:szCs w:val="24"/>
          <w:lang w:val="en-US" w:eastAsia="zh-CN" w:bidi="ar"/>
        </w:rPr>
        <w:t>四、评价结论及建议</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（一）评价结论。</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rPr>
        <w:t>根据《2018年红原县部门支出绩效评价指标体系》评分得分</w:t>
      </w:r>
      <w:r>
        <w:rPr>
          <w:rFonts w:hint="eastAsia" w:ascii="仿宋_GB2312" w:hAnsi="仿宋_GB2312" w:eastAsia="仿宋_GB2312" w:cs="仿宋_GB2312"/>
          <w:color w:val="auto"/>
          <w:sz w:val="32"/>
          <w:szCs w:val="32"/>
          <w:lang w:val="en-US" w:eastAsia="zh-CN"/>
        </w:rPr>
        <w:t>96.5</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eastAsia="zh-CN"/>
        </w:rPr>
        <w:t>其中：预算调整扣</w:t>
      </w:r>
      <w:r>
        <w:rPr>
          <w:rFonts w:hint="eastAsia" w:ascii="仿宋_GB2312" w:hAnsi="仿宋_GB2312" w:eastAsia="仿宋_GB2312" w:cs="仿宋_GB2312"/>
          <w:color w:val="auto"/>
          <w:sz w:val="32"/>
          <w:szCs w:val="32"/>
          <w:lang w:val="en-US" w:eastAsia="zh-CN"/>
        </w:rPr>
        <w:t>1分，原因为年中存在追加资金；非税收入执行情况扣0.5分，原因为部分挂牌土地出让金存在缓交；绩效评价扣2分，原因为绩效覆盖评价率较低。</w:t>
      </w:r>
    </w:p>
    <w:p>
      <w:pPr>
        <w:keepNext w:val="0"/>
        <w:keepLines w:val="0"/>
        <w:pageBreakBefore w:val="0"/>
        <w:widowControl/>
        <w:numPr>
          <w:ilvl w:val="0"/>
          <w:numId w:val="11"/>
        </w:numPr>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eastAsia" w:ascii="仿宋_GB2312" w:hAnsi="仿宋_GB2312" w:eastAsia="仿宋_GB2312" w:cs="仿宋_GB2312"/>
          <w:color w:val="auto"/>
          <w:sz w:val="32"/>
          <w:szCs w:val="32"/>
          <w:lang w:val="zh-CN" w:eastAsia="zh-CN"/>
        </w:rPr>
      </w:pPr>
      <w:r>
        <w:rPr>
          <w:rFonts w:hint="eastAsia" w:ascii="楷体" w:hAnsi="楷体" w:eastAsia="楷体" w:cs="楷体"/>
          <w:b/>
          <w:bCs/>
          <w:color w:val="auto"/>
          <w:kern w:val="0"/>
          <w:sz w:val="32"/>
          <w:szCs w:val="24"/>
          <w:lang w:val="zh-CN" w:eastAsia="zh-CN" w:bidi="ar"/>
        </w:rPr>
        <w:t>存在问题。</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Autospacing="0" w:afterAutospacing="0" w:line="560" w:lineRule="exact"/>
        <w:ind w:left="720" w:leftChars="0" w:right="0" w:rightChars="0"/>
        <w:jc w:val="left"/>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未更好的将地质灾害资金和不动产登记资金做好预算，导致年中申请追加预算。</w:t>
      </w:r>
      <w:r>
        <w:rPr>
          <w:rFonts w:hint="eastAsia" w:ascii="仿宋_GB2312" w:hAnsi="仿宋_GB2312" w:eastAsia="仿宋_GB2312" w:cs="仿宋_GB2312"/>
          <w:color w:val="auto"/>
          <w:sz w:val="32"/>
          <w:szCs w:val="32"/>
          <w:lang w:val="en-US" w:eastAsia="zh-CN"/>
        </w:rPr>
        <w:t>2.由于实际工作需要，导致预算经济科目与实际支出存在差异。</w:t>
      </w:r>
    </w:p>
    <w:p>
      <w:pPr>
        <w:keepNext w:val="0"/>
        <w:keepLines w:val="0"/>
        <w:pageBreakBefore w:val="0"/>
        <w:widowControl/>
        <w:numPr>
          <w:ilvl w:val="0"/>
          <w:numId w:val="11"/>
        </w:numPr>
        <w:suppressLineNumbers w:val="0"/>
        <w:kinsoku/>
        <w:wordWrap/>
        <w:overflowPunct/>
        <w:topLinePunct w:val="0"/>
        <w:autoSpaceDE/>
        <w:autoSpaceDN/>
        <w:bidi w:val="0"/>
        <w:adjustRightInd w:val="0"/>
        <w:snapToGrid w:val="0"/>
        <w:spacing w:beforeAutospacing="0" w:afterAutospacing="0" w:line="560" w:lineRule="exact"/>
        <w:ind w:left="0" w:leftChars="0" w:right="0" w:firstLine="720" w:firstLineChars="0"/>
        <w:jc w:val="left"/>
        <w:textAlignment w:val="auto"/>
        <w:rPr>
          <w:rFonts w:hint="eastAsia" w:ascii="楷体" w:hAnsi="楷体" w:eastAsia="楷体" w:cs="楷体"/>
          <w:b/>
          <w:bCs/>
          <w:color w:val="auto"/>
          <w:kern w:val="0"/>
          <w:sz w:val="32"/>
          <w:szCs w:val="24"/>
          <w:lang w:val="zh-CN" w:eastAsia="zh-CN" w:bidi="ar"/>
        </w:rPr>
      </w:pPr>
      <w:r>
        <w:rPr>
          <w:rFonts w:hint="eastAsia" w:ascii="楷体" w:hAnsi="楷体" w:eastAsia="楷体" w:cs="楷体"/>
          <w:b/>
          <w:bCs/>
          <w:color w:val="auto"/>
          <w:kern w:val="0"/>
          <w:sz w:val="32"/>
          <w:szCs w:val="24"/>
          <w:lang w:val="zh-CN" w:eastAsia="zh-CN" w:bidi="ar"/>
        </w:rPr>
        <w:t>改进建议。</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1.加强组织领导，增强预算编制的准确性，提高对预算编制与执行的认识，为绩效评价工作开展创造更好的条件；2.建立长效机制，加强管理提高部门支出的绩效成果，为更好的服务工作发挥最大效益。</w:t>
      </w:r>
    </w:p>
    <w:p>
      <w:pPr>
        <w:pStyle w:val="2"/>
        <w:keepNext w:val="0"/>
        <w:keepLines w:val="0"/>
        <w:pageBreakBefore w:val="0"/>
        <w:kinsoku/>
        <w:wordWrap/>
        <w:overflowPunct/>
        <w:topLinePunct w:val="0"/>
        <w:autoSpaceDE/>
        <w:autoSpaceDN/>
        <w:bidi w:val="0"/>
        <w:spacing w:after="0" w:line="560" w:lineRule="exact"/>
        <w:ind w:left="0" w:leftChars="0" w:firstLine="0" w:firstLineChars="0"/>
        <w:jc w:val="center"/>
        <w:textAlignment w:val="auto"/>
        <w:rPr>
          <w:rFonts w:hint="eastAsia" w:ascii="仿宋_GB2312" w:hAnsi="仿宋_GB2312" w:eastAsia="仿宋_GB2312" w:cs="仿宋_GB2312"/>
          <w:color w:val="auto"/>
          <w:lang w:val="en-US" w:eastAsia="zh-CN"/>
        </w:rPr>
      </w:pPr>
      <w:r>
        <w:rPr>
          <w:rFonts w:hint="eastAsia" w:ascii="仿宋_GB2312" w:hAnsi="仿宋_GB2312" w:cs="仿宋_GB2312"/>
          <w:color w:val="auto"/>
          <w:lang w:val="en-US" w:eastAsia="zh-CN"/>
        </w:rPr>
        <w:t xml:space="preserve">                         </w:t>
      </w:r>
    </w:p>
    <w:p>
      <w:pPr>
        <w:pStyle w:val="5"/>
        <w:rPr>
          <w:rStyle w:val="27"/>
          <w:rFonts w:hint="eastAsia" w:ascii="仿宋" w:hAnsi="仿宋" w:eastAsia="仿宋"/>
          <w:b w:val="0"/>
          <w:bCs w:val="0"/>
          <w:color w:val="auto"/>
          <w:sz w:val="32"/>
          <w:szCs w:val="32"/>
          <w:lang w:eastAsia="zh-CN"/>
        </w:rPr>
      </w:pPr>
      <w:r>
        <w:rPr>
          <w:rStyle w:val="27"/>
          <w:rFonts w:hint="eastAsia" w:ascii="仿宋" w:hAnsi="仿宋" w:eastAsia="仿宋"/>
          <w:b w:val="0"/>
          <w:bCs w:val="0"/>
          <w:color w:val="auto"/>
          <w:sz w:val="32"/>
          <w:szCs w:val="32"/>
        </w:rPr>
        <w:t>附件2</w:t>
      </w:r>
      <w:bookmarkEnd w:id="64"/>
      <w:r>
        <w:rPr>
          <w:rStyle w:val="27"/>
          <w:rFonts w:hint="eastAsia" w:ascii="仿宋" w:hAnsi="仿宋" w:eastAsia="仿宋"/>
          <w:b w:val="0"/>
          <w:bCs w:val="0"/>
          <w:color w:val="auto"/>
          <w:sz w:val="32"/>
          <w:szCs w:val="32"/>
          <w:lang w:eastAsia="zh-CN"/>
        </w:rPr>
        <w:t>：</w:t>
      </w:r>
    </w:p>
    <w:p>
      <w:pPr>
        <w:pStyle w:val="32"/>
        <w:keepNext w:val="0"/>
        <w:keepLines w:val="0"/>
        <w:pageBreakBefore w:val="0"/>
        <w:widowControl/>
        <w:kinsoku/>
        <w:wordWrap/>
        <w:overflowPunct/>
        <w:topLinePunct w:val="0"/>
        <w:autoSpaceDE/>
        <w:autoSpaceDN/>
        <w:bidi w:val="0"/>
        <w:spacing w:line="520" w:lineRule="exact"/>
        <w:ind w:firstLine="420" w:firstLineChars="0"/>
        <w:jc w:val="center"/>
        <w:textAlignment w:val="auto"/>
        <w:rPr>
          <w:rFonts w:hint="eastAsia" w:ascii="方正小标宋简体" w:hAnsi="方正小标宋简体" w:eastAsia="方正小标宋简体" w:cs="方正小标宋简体"/>
          <w:b w:val="0"/>
          <w:bCs/>
          <w:color w:val="auto"/>
          <w:sz w:val="44"/>
          <w:szCs w:val="44"/>
          <w:lang w:eastAsia="zh-CN"/>
        </w:rPr>
      </w:pPr>
      <w:bookmarkStart w:id="65" w:name="_Toc15396618"/>
      <w:r>
        <w:rPr>
          <w:rFonts w:hint="eastAsia" w:ascii="方正小标宋简体" w:hAnsi="方正小标宋简体" w:eastAsia="方正小标宋简体" w:cs="方正小标宋简体"/>
          <w:b w:val="0"/>
          <w:bCs/>
          <w:color w:val="auto"/>
          <w:sz w:val="44"/>
          <w:szCs w:val="44"/>
          <w:lang w:eastAsia="zh-CN"/>
        </w:rPr>
        <w:t>红原县国土资源局</w:t>
      </w:r>
    </w:p>
    <w:p>
      <w:pPr>
        <w:pStyle w:val="32"/>
        <w:keepNext w:val="0"/>
        <w:keepLines w:val="0"/>
        <w:pageBreakBefore w:val="0"/>
        <w:widowControl/>
        <w:kinsoku/>
        <w:wordWrap/>
        <w:overflowPunct/>
        <w:topLinePunct w:val="0"/>
        <w:autoSpaceDE/>
        <w:autoSpaceDN/>
        <w:bidi w:val="0"/>
        <w:spacing w:line="520" w:lineRule="exact"/>
        <w:ind w:firstLine="420" w:firstLineChars="0"/>
        <w:jc w:val="center"/>
        <w:textAlignment w:val="auto"/>
        <w:rPr>
          <w:rFonts w:hint="eastAsia" w:ascii="方正小标宋简体" w:hAnsi="方正小标宋简体" w:eastAsia="方正小标宋简体" w:cs="方正小标宋简体"/>
          <w:b w:val="0"/>
          <w:bCs/>
          <w:color w:val="auto"/>
          <w:kern w:val="2"/>
          <w:sz w:val="44"/>
          <w:szCs w:val="44"/>
        </w:rPr>
      </w:pPr>
      <w:r>
        <w:rPr>
          <w:rFonts w:hint="eastAsia" w:ascii="方正小标宋简体" w:hAnsi="方正小标宋简体" w:eastAsia="方正小标宋简体" w:cs="方正小标宋简体"/>
          <w:b w:val="0"/>
          <w:bCs/>
          <w:color w:val="auto"/>
          <w:sz w:val="44"/>
          <w:szCs w:val="44"/>
          <w:lang w:eastAsia="zh-CN"/>
        </w:rPr>
        <w:t>关于地质灾害治理</w:t>
      </w:r>
      <w:r>
        <w:rPr>
          <w:rFonts w:hint="eastAsia" w:ascii="方正小标宋简体" w:hAnsi="方正小标宋简体" w:eastAsia="方正小标宋简体" w:cs="方正小标宋简体"/>
          <w:b w:val="0"/>
          <w:bCs/>
          <w:color w:val="auto"/>
          <w:sz w:val="44"/>
          <w:szCs w:val="44"/>
        </w:rPr>
        <w:t>项目支出绩效</w:t>
      </w:r>
      <w:r>
        <w:rPr>
          <w:rFonts w:hint="eastAsia" w:ascii="方正小标宋简体" w:hAnsi="方正小标宋简体" w:eastAsia="方正小标宋简体" w:cs="方正小标宋简体"/>
          <w:b w:val="0"/>
          <w:bCs/>
          <w:color w:val="auto"/>
          <w:sz w:val="44"/>
          <w:szCs w:val="44"/>
          <w:lang w:eastAsia="zh-CN"/>
        </w:rPr>
        <w:t>的</w:t>
      </w:r>
      <w:r>
        <w:rPr>
          <w:rFonts w:hint="eastAsia" w:ascii="方正小标宋简体" w:hAnsi="方正小标宋简体" w:eastAsia="方正小标宋简体" w:cs="方正小标宋简体"/>
          <w:b w:val="0"/>
          <w:bCs/>
          <w:color w:val="auto"/>
          <w:sz w:val="44"/>
          <w:szCs w:val="44"/>
        </w:rPr>
        <w:t>自评报告</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20" w:lineRule="exact"/>
        <w:ind w:left="0" w:right="0"/>
        <w:jc w:val="center"/>
        <w:textAlignment w:val="auto"/>
        <w:rPr>
          <w:rFonts w:hint="eastAsia" w:ascii="黑体" w:hAnsi="黑体" w:eastAsia="黑体" w:cs="黑体"/>
          <w:color w:val="auto"/>
          <w:sz w:val="32"/>
          <w:szCs w:val="32"/>
          <w:lang w:val="en-US"/>
        </w:rPr>
      </w:pPr>
      <w:r>
        <w:rPr>
          <w:rFonts w:hint="eastAsia" w:ascii="黑体" w:hAnsi="黑体" w:eastAsia="黑体" w:cs="黑体"/>
          <w:color w:val="auto"/>
          <w:kern w:val="2"/>
          <w:sz w:val="32"/>
          <w:szCs w:val="32"/>
          <w:lang w:val="en-US" w:eastAsia="zh-CN" w:bidi="ar"/>
        </w:rPr>
        <w:t>（龙日乡格玛村安置点泥石流治理项目）</w:t>
      </w:r>
    </w:p>
    <w:p>
      <w:pPr>
        <w:pStyle w:val="32"/>
        <w:keepNext w:val="0"/>
        <w:keepLines w:val="0"/>
        <w:pageBreakBefore w:val="0"/>
        <w:widowControl/>
        <w:kinsoku/>
        <w:wordWrap/>
        <w:overflowPunct/>
        <w:topLinePunct w:val="0"/>
        <w:autoSpaceDE/>
        <w:autoSpaceDN/>
        <w:bidi w:val="0"/>
        <w:spacing w:line="520" w:lineRule="exact"/>
        <w:jc w:val="center"/>
        <w:textAlignment w:val="auto"/>
        <w:rPr>
          <w:rFonts w:hint="eastAsia" w:ascii="宋体" w:hAnsi="宋体" w:eastAsia="宋体" w:cs="宋体"/>
          <w:color w:val="auto"/>
          <w:kern w:val="2"/>
          <w:sz w:val="32"/>
          <w:szCs w:val="32"/>
        </w:rPr>
      </w:pPr>
    </w:p>
    <w:p>
      <w:pPr>
        <w:pStyle w:val="32"/>
        <w:keepNext w:val="0"/>
        <w:keepLines w:val="0"/>
        <w:pageBreakBefore w:val="0"/>
        <w:widowControl/>
        <w:kinsoku/>
        <w:wordWrap/>
        <w:overflowPunct/>
        <w:topLinePunct w:val="0"/>
        <w:autoSpaceDE/>
        <w:autoSpaceDN/>
        <w:bidi w:val="0"/>
        <w:spacing w:line="520" w:lineRule="exact"/>
        <w:jc w:val="both"/>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lang w:eastAsia="zh-CN"/>
        </w:rPr>
        <w:t>红原县财政局：</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黑体" w:hAnsi="宋体" w:eastAsia="黑体" w:cs="黑体"/>
          <w:color w:val="auto"/>
          <w:lang w:val="zh-CN" w:eastAsia="zh-CN"/>
        </w:rPr>
      </w:pPr>
      <w:r>
        <w:rPr>
          <w:rFonts w:hint="eastAsia" w:ascii="黑体" w:hAnsi="宋体" w:eastAsia="黑体" w:cs="黑体"/>
          <w:color w:val="auto"/>
          <w:kern w:val="2"/>
          <w:sz w:val="32"/>
          <w:szCs w:val="24"/>
          <w:lang w:val="en-US" w:eastAsia="zh-CN" w:bidi="ar"/>
        </w:rPr>
        <w:t>一、</w:t>
      </w:r>
      <w:r>
        <w:rPr>
          <w:rFonts w:hint="eastAsia" w:ascii="黑体" w:hAnsi="宋体" w:eastAsia="黑体" w:cs="黑体"/>
          <w:color w:val="auto"/>
          <w:kern w:val="2"/>
          <w:sz w:val="32"/>
          <w:szCs w:val="24"/>
          <w:lang w:val="zh-CN" w:eastAsia="zh-CN" w:bidi="ar"/>
        </w:rPr>
        <w:t>项目概况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color w:val="auto"/>
          <w:lang w:val="zh-CN" w:eastAsia="zh-CN"/>
        </w:rPr>
      </w:pPr>
      <w:r>
        <w:rPr>
          <w:rFonts w:hint="eastAsia" w:ascii="楷体_GB2312" w:hAnsi="宋体" w:eastAsia="楷体_GB2312" w:cs="楷体_GB2312"/>
          <w:b/>
          <w:bCs w:val="0"/>
          <w:color w:val="auto"/>
          <w:kern w:val="2"/>
          <w:sz w:val="32"/>
          <w:szCs w:val="24"/>
          <w:lang w:val="zh-CN" w:eastAsia="zh-CN" w:bidi="ar"/>
        </w:rPr>
        <w:t>（一）项目基本情况。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default" w:ascii="仿宋_GB2312" w:hAnsi="宋体" w:eastAsia="仿宋_GB2312" w:cs="仿宋_GB2312"/>
          <w:color w:val="auto"/>
          <w:lang w:val="en-US" w:eastAsia="zh-CN"/>
        </w:rPr>
      </w:pPr>
      <w:r>
        <w:rPr>
          <w:rFonts w:hint="eastAsia" w:ascii="仿宋_GB2312" w:hAnsi="宋体" w:eastAsia="仿宋_GB2312" w:cs="仿宋_GB2312"/>
          <w:color w:val="auto"/>
          <w:kern w:val="2"/>
          <w:sz w:val="32"/>
          <w:szCs w:val="24"/>
          <w:lang w:val="zh-CN" w:eastAsia="zh-CN" w:bidi="ar"/>
        </w:rPr>
        <w:t>1．红原县龙日乡格玛村安置点泥石流治理工程是红原县发改委批准立项的项目，属于红原县</w:t>
      </w:r>
      <w:r>
        <w:rPr>
          <w:rFonts w:hint="eastAsia" w:ascii="仿宋_GB2312" w:hAnsi="宋体" w:eastAsia="仿宋_GB2312" w:cs="仿宋_GB2312"/>
          <w:color w:val="auto"/>
          <w:kern w:val="2"/>
          <w:sz w:val="32"/>
          <w:szCs w:val="24"/>
          <w:lang w:val="en-US" w:eastAsia="zh-CN" w:bidi="ar"/>
        </w:rPr>
        <w:t>22个扶贫专项资金项目；</w:t>
      </w:r>
      <w:r>
        <w:rPr>
          <w:rFonts w:hint="eastAsia" w:ascii="仿宋_GB2312" w:hAnsi="宋体" w:eastAsia="仿宋_GB2312" w:cs="仿宋_GB2312"/>
          <w:color w:val="auto"/>
          <w:kern w:val="2"/>
          <w:sz w:val="32"/>
          <w:szCs w:val="24"/>
          <w:lang w:val="zh-CN" w:eastAsia="zh-CN" w:bidi="ar"/>
        </w:rPr>
        <w:t>该项目建设内容及规模为：新建停淤导流墙长</w:t>
      </w:r>
      <w:r>
        <w:rPr>
          <w:rFonts w:hint="eastAsia" w:ascii="仿宋_GB2312" w:hAnsi="宋体" w:eastAsia="仿宋_GB2312" w:cs="仿宋_GB2312"/>
          <w:color w:val="auto"/>
          <w:kern w:val="2"/>
          <w:sz w:val="32"/>
          <w:szCs w:val="24"/>
          <w:lang w:val="en-US" w:eastAsia="zh-CN" w:bidi="ar"/>
        </w:rPr>
        <w:t>297米，该段截排水沟297米，该工程项目可行性经费预计301.14万元，财政评审金额为186.89万元，经费来源为2018年省级地质灾害防治专项资金</w:t>
      </w:r>
      <w:r>
        <w:rPr>
          <w:rFonts w:hint="eastAsia" w:ascii="仿宋_GB2312" w:hAnsi="宋体" w:eastAsia="仿宋_GB2312" w:cs="仿宋_GB2312"/>
          <w:color w:val="auto"/>
          <w:kern w:val="2"/>
          <w:sz w:val="32"/>
          <w:szCs w:val="24"/>
          <w:lang w:val="zh-CN" w:eastAsia="zh-CN" w:bidi="ar"/>
        </w:rPr>
        <w:t>。该项目通过四川日报必选网公开招标，中标方为株洲煤田实业公司，签订项目合同价为</w:t>
      </w:r>
      <w:r>
        <w:rPr>
          <w:rFonts w:hint="eastAsia" w:ascii="仿宋_GB2312" w:hAnsi="宋体" w:eastAsia="仿宋_GB2312" w:cs="仿宋_GB2312"/>
          <w:color w:val="auto"/>
          <w:kern w:val="2"/>
          <w:sz w:val="32"/>
          <w:szCs w:val="24"/>
          <w:lang w:val="en-US" w:eastAsia="zh-CN" w:bidi="ar"/>
        </w:rPr>
        <w:t>120.42万元。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color w:val="auto"/>
          <w:lang w:val="zh-CN" w:eastAsia="zh-CN"/>
        </w:rPr>
      </w:pPr>
      <w:r>
        <w:rPr>
          <w:rFonts w:hint="eastAsia" w:ascii="楷体_GB2312" w:hAnsi="宋体" w:eastAsia="楷体_GB2312" w:cs="楷体_GB2312"/>
          <w:b/>
          <w:bCs w:val="0"/>
          <w:color w:val="auto"/>
          <w:kern w:val="2"/>
          <w:sz w:val="32"/>
          <w:szCs w:val="24"/>
          <w:lang w:val="zh-CN" w:eastAsia="zh-CN" w:bidi="ar"/>
        </w:rPr>
        <w:t>（二）项目绩效目标。</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color w:val="auto"/>
          <w:lang w:val="zh-CN" w:eastAsia="zh-CN"/>
        </w:rPr>
      </w:pPr>
      <w:r>
        <w:rPr>
          <w:rFonts w:hint="eastAsia" w:ascii="仿宋_GB2312" w:hAnsi="宋体" w:eastAsia="仿宋_GB2312" w:cs="仿宋_GB2312"/>
          <w:color w:val="auto"/>
          <w:kern w:val="2"/>
          <w:sz w:val="32"/>
          <w:szCs w:val="24"/>
          <w:lang w:val="zh-CN" w:eastAsia="zh-CN" w:bidi="ar"/>
        </w:rPr>
        <w:t>1．项目主要内容为：新建停淤导致流墙长</w:t>
      </w:r>
      <w:r>
        <w:rPr>
          <w:rFonts w:hint="eastAsia" w:ascii="仿宋_GB2312" w:hAnsi="宋体" w:eastAsia="仿宋_GB2312" w:cs="仿宋_GB2312"/>
          <w:color w:val="auto"/>
          <w:kern w:val="2"/>
          <w:sz w:val="32"/>
          <w:szCs w:val="24"/>
          <w:lang w:val="en-US" w:eastAsia="zh-CN" w:bidi="ar"/>
        </w:rPr>
        <w:t>297米，该段截排水沟297米。</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color w:val="auto"/>
          <w:kern w:val="2"/>
          <w:sz w:val="32"/>
          <w:szCs w:val="24"/>
          <w:lang w:val="en-US" w:eastAsia="zh-CN" w:bidi="ar"/>
        </w:rPr>
      </w:pPr>
      <w:r>
        <w:rPr>
          <w:rFonts w:hint="eastAsia" w:ascii="仿宋_GB2312" w:hAnsi="宋体" w:eastAsia="仿宋_GB2312" w:cs="仿宋_GB2312"/>
          <w:color w:val="auto"/>
          <w:kern w:val="2"/>
          <w:sz w:val="32"/>
          <w:szCs w:val="24"/>
          <w:lang w:val="zh-CN" w:eastAsia="zh-CN" w:bidi="ar"/>
        </w:rPr>
        <w:t>2．本项目于</w:t>
      </w:r>
      <w:r>
        <w:rPr>
          <w:rFonts w:hint="eastAsia" w:ascii="仿宋_GB2312" w:hAnsi="宋体" w:eastAsia="仿宋_GB2312" w:cs="仿宋_GB2312"/>
          <w:color w:val="auto"/>
          <w:kern w:val="2"/>
          <w:sz w:val="32"/>
          <w:szCs w:val="24"/>
          <w:lang w:val="en-US" w:eastAsia="zh-CN" w:bidi="ar"/>
        </w:rPr>
        <w:t>2018年6月20日向县发改局申请立项，于2018年6月25日下达批复。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color w:val="auto"/>
          <w:kern w:val="2"/>
          <w:sz w:val="32"/>
          <w:szCs w:val="24"/>
          <w:lang w:val="en-US" w:eastAsia="zh-CN" w:bidi="ar"/>
        </w:rPr>
      </w:pPr>
      <w:r>
        <w:rPr>
          <w:rFonts w:hint="eastAsia" w:ascii="仿宋_GB2312" w:hAnsi="宋体" w:eastAsia="仿宋_GB2312" w:cs="仿宋_GB2312"/>
          <w:color w:val="auto"/>
          <w:kern w:val="2"/>
          <w:sz w:val="32"/>
          <w:szCs w:val="24"/>
          <w:lang w:val="zh-CN" w:eastAsia="zh-CN" w:bidi="ar"/>
        </w:rPr>
        <w:t>3．该项目于</w:t>
      </w:r>
      <w:r>
        <w:rPr>
          <w:rFonts w:hint="eastAsia" w:ascii="仿宋_GB2312" w:hAnsi="宋体" w:eastAsia="仿宋_GB2312" w:cs="仿宋_GB2312"/>
          <w:color w:val="auto"/>
          <w:kern w:val="2"/>
          <w:sz w:val="32"/>
          <w:szCs w:val="24"/>
          <w:lang w:val="en-US" w:eastAsia="zh-CN" w:bidi="ar"/>
        </w:rPr>
        <w:t>2018年9月25日完工，于2018年10月28日完成验收，该项目实施预防及治理了泥石流隐患点，及时保护人民群众生命财产安全。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color w:val="auto"/>
          <w:lang w:val="zh-CN" w:eastAsia="zh-CN"/>
        </w:rPr>
      </w:pPr>
      <w:r>
        <w:rPr>
          <w:rFonts w:hint="eastAsia" w:ascii="楷体_GB2312" w:hAnsi="宋体" w:eastAsia="楷体_GB2312" w:cs="楷体_GB2312"/>
          <w:b/>
          <w:bCs w:val="0"/>
          <w:color w:val="auto"/>
          <w:kern w:val="2"/>
          <w:sz w:val="32"/>
          <w:szCs w:val="24"/>
          <w:lang w:val="zh-CN" w:eastAsia="zh-CN" w:bidi="ar"/>
        </w:rPr>
        <w:t>（三）项目自评步骤及方法。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组  长：苏</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平      局长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副组长：</w:t>
      </w:r>
      <w:r>
        <w:rPr>
          <w:rFonts w:hint="eastAsia" w:ascii="仿宋_GB2312" w:hAnsi="仿宋_GB2312" w:eastAsia="仿宋_GB2312" w:cs="仿宋_GB2312"/>
          <w:color w:val="auto"/>
          <w:sz w:val="32"/>
          <w:szCs w:val="32"/>
          <w:lang w:eastAsia="zh-CN"/>
        </w:rPr>
        <w:t>任</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瑞</w:t>
      </w:r>
      <w:r>
        <w:rPr>
          <w:rFonts w:hint="eastAsia" w:ascii="仿宋_GB2312" w:hAnsi="仿宋_GB2312" w:eastAsia="仿宋_GB2312" w:cs="仿宋_GB2312"/>
          <w:color w:val="auto"/>
          <w:sz w:val="32"/>
          <w:szCs w:val="32"/>
        </w:rPr>
        <w:t xml:space="preserve">     副局长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唐兴顺     副局长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成  员：安萍、李刚、李扬</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曾耿、周裕琳、俄满头、</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黑体" w:hAnsi="宋体" w:eastAsia="黑体" w:cs="黑体"/>
          <w:color w:val="auto"/>
          <w:lang w:val="en-US"/>
        </w:rPr>
      </w:pPr>
      <w:r>
        <w:rPr>
          <w:rFonts w:hint="eastAsia" w:ascii="黑体" w:hAnsi="宋体" w:eastAsia="黑体" w:cs="黑体"/>
          <w:color w:val="auto"/>
          <w:kern w:val="2"/>
          <w:sz w:val="32"/>
          <w:szCs w:val="24"/>
          <w:lang w:val="en-US" w:eastAsia="zh-CN" w:bidi="ar"/>
        </w:rPr>
        <w:t>二、项目资金申报及使用情况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color w:val="auto"/>
          <w:lang w:val="zh-CN" w:eastAsia="zh-CN"/>
        </w:rPr>
      </w:pPr>
      <w:r>
        <w:rPr>
          <w:rFonts w:hint="eastAsia" w:ascii="楷体_GB2312" w:hAnsi="宋体" w:eastAsia="楷体_GB2312" w:cs="楷体_GB2312"/>
          <w:b/>
          <w:bCs w:val="0"/>
          <w:color w:val="auto"/>
          <w:kern w:val="2"/>
          <w:sz w:val="32"/>
          <w:szCs w:val="24"/>
          <w:lang w:val="zh-CN" w:eastAsia="zh-CN" w:bidi="ar"/>
        </w:rPr>
        <w:t>（一）项目资金申报及批复情况。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color w:val="auto"/>
          <w:kern w:val="2"/>
          <w:sz w:val="32"/>
          <w:szCs w:val="24"/>
          <w:lang w:val="en-US" w:eastAsia="zh-CN" w:bidi="ar"/>
        </w:rPr>
      </w:pPr>
      <w:r>
        <w:rPr>
          <w:rFonts w:hint="eastAsia" w:ascii="仿宋_GB2312" w:hAnsi="宋体" w:eastAsia="仿宋_GB2312" w:cs="仿宋_GB2312"/>
          <w:color w:val="auto"/>
          <w:kern w:val="2"/>
          <w:sz w:val="32"/>
          <w:szCs w:val="24"/>
          <w:lang w:val="en-US" w:eastAsia="zh-CN" w:bidi="ar"/>
        </w:rPr>
        <w:t>按照阿州财投</w:t>
      </w:r>
      <w:r>
        <w:rPr>
          <w:rFonts w:hint="eastAsia" w:ascii="仿宋" w:hAnsi="仿宋" w:eastAsia="仿宋" w:cs="仿宋"/>
          <w:color w:val="auto"/>
          <w:kern w:val="2"/>
          <w:sz w:val="32"/>
          <w:szCs w:val="24"/>
          <w:lang w:val="en-US" w:eastAsia="zh-CN" w:bidi="ar"/>
        </w:rPr>
        <w:t>〔</w:t>
      </w:r>
      <w:r>
        <w:rPr>
          <w:rFonts w:hint="eastAsia" w:ascii="仿宋_GB2312" w:hAnsi="宋体" w:eastAsia="仿宋_GB2312" w:cs="仿宋_GB2312"/>
          <w:color w:val="auto"/>
          <w:kern w:val="2"/>
          <w:sz w:val="32"/>
          <w:szCs w:val="24"/>
          <w:lang w:val="en-US" w:eastAsia="zh-CN" w:bidi="ar"/>
        </w:rPr>
        <w:t>2018</w:t>
      </w:r>
      <w:r>
        <w:rPr>
          <w:rFonts w:hint="eastAsia" w:ascii="仿宋" w:hAnsi="仿宋" w:eastAsia="仿宋" w:cs="仿宋"/>
          <w:color w:val="auto"/>
          <w:kern w:val="2"/>
          <w:sz w:val="32"/>
          <w:szCs w:val="24"/>
          <w:lang w:val="en-US" w:eastAsia="zh-CN" w:bidi="ar"/>
        </w:rPr>
        <w:t>〕</w:t>
      </w:r>
      <w:r>
        <w:rPr>
          <w:rFonts w:hint="eastAsia" w:ascii="仿宋_GB2312" w:hAnsi="宋体" w:eastAsia="仿宋_GB2312" w:cs="仿宋_GB2312"/>
          <w:color w:val="auto"/>
          <w:kern w:val="2"/>
          <w:sz w:val="32"/>
          <w:szCs w:val="24"/>
          <w:lang w:val="en-US" w:eastAsia="zh-CN" w:bidi="ar"/>
        </w:rPr>
        <w:t>3号文件</w:t>
      </w:r>
      <w:r>
        <w:rPr>
          <w:rFonts w:hint="eastAsia" w:ascii="仿宋_GB2312" w:hAnsi="宋体" w:eastAsia="仿宋_GB2312" w:cs="仿宋_GB2312"/>
          <w:color w:val="auto"/>
          <w:kern w:val="2"/>
          <w:sz w:val="32"/>
          <w:szCs w:val="24"/>
          <w:lang w:val="zh-CN" w:eastAsia="zh-CN" w:bidi="ar"/>
        </w:rPr>
        <w:t>下达为</w:t>
      </w:r>
      <w:r>
        <w:rPr>
          <w:rFonts w:hint="eastAsia" w:ascii="仿宋_GB2312" w:hAnsi="宋体" w:eastAsia="仿宋_GB2312" w:cs="仿宋_GB2312"/>
          <w:color w:val="auto"/>
          <w:kern w:val="2"/>
          <w:sz w:val="32"/>
          <w:szCs w:val="24"/>
          <w:lang w:val="en-US" w:eastAsia="zh-CN" w:bidi="ar"/>
        </w:rPr>
        <w:t>300.6万元和自动化实时监测体系13.1万元，共计313.7万元已全部到位。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color w:val="auto"/>
          <w:lang w:val="zh-CN" w:eastAsia="zh-CN"/>
        </w:rPr>
      </w:pPr>
      <w:r>
        <w:rPr>
          <w:rFonts w:hint="eastAsia" w:ascii="楷体_GB2312" w:hAnsi="宋体" w:eastAsia="楷体_GB2312" w:cs="楷体_GB2312"/>
          <w:b/>
          <w:bCs w:val="0"/>
          <w:color w:val="auto"/>
          <w:kern w:val="2"/>
          <w:sz w:val="32"/>
          <w:szCs w:val="24"/>
          <w:lang w:val="zh-CN" w:eastAsia="zh-CN" w:bidi="ar"/>
        </w:rPr>
        <w:t>（二）资金计划、到位及使用情况（可用表格形式反映）。</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仿宋_GB2312" w:eastAsia="仿宋_GB2312" w:cs="仿宋_GB2312"/>
          <w:color w:val="auto"/>
          <w:kern w:val="2"/>
          <w:sz w:val="32"/>
          <w:szCs w:val="24"/>
          <w:lang w:val="en-US" w:eastAsia="zh-CN" w:bidi="ar"/>
        </w:rPr>
      </w:pPr>
      <w:r>
        <w:rPr>
          <w:rFonts w:hint="eastAsia" w:ascii="仿宋_GB2312" w:hAnsi="仿宋_GB2312" w:eastAsia="仿宋_GB2312" w:cs="仿宋_GB2312"/>
          <w:color w:val="auto"/>
          <w:kern w:val="2"/>
          <w:sz w:val="32"/>
          <w:szCs w:val="24"/>
          <w:lang w:val="zh-CN" w:eastAsia="zh-CN" w:bidi="ar"/>
        </w:rPr>
        <w:t>1．资金计划、到位。该项目资金来源为</w:t>
      </w:r>
      <w:r>
        <w:rPr>
          <w:rFonts w:hint="eastAsia" w:ascii="仿宋_GB2312" w:hAnsi="仿宋_GB2312" w:eastAsia="仿宋_GB2312" w:cs="仿宋_GB2312"/>
          <w:color w:val="auto"/>
          <w:kern w:val="2"/>
          <w:sz w:val="32"/>
          <w:szCs w:val="24"/>
          <w:lang w:val="en-US" w:eastAsia="zh-CN" w:bidi="ar"/>
        </w:rPr>
        <w:t>2018年地质灾害综合防治体系建设省级补助资金，截止目前已100%q全部到位。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仿宋_GB2312" w:eastAsia="仿宋_GB2312" w:cs="仿宋_GB2312"/>
          <w:color w:val="auto"/>
          <w:kern w:val="2"/>
          <w:sz w:val="32"/>
          <w:szCs w:val="24"/>
          <w:lang w:val="en-US" w:eastAsia="zh-CN" w:bidi="ar"/>
        </w:rPr>
      </w:pPr>
      <w:r>
        <w:rPr>
          <w:rFonts w:hint="eastAsia" w:ascii="仿宋_GB2312" w:hAnsi="仿宋_GB2312" w:eastAsia="仿宋_GB2312" w:cs="仿宋_GB2312"/>
          <w:color w:val="auto"/>
          <w:kern w:val="2"/>
          <w:sz w:val="32"/>
          <w:szCs w:val="24"/>
          <w:lang w:val="en-US" w:eastAsia="zh-CN" w:bidi="ar"/>
        </w:rPr>
        <w:t>2</w:t>
      </w:r>
      <w:r>
        <w:rPr>
          <w:rFonts w:hint="eastAsia" w:ascii="仿宋_GB2312" w:hAnsi="仿宋_GB2312" w:eastAsia="仿宋_GB2312" w:cs="仿宋_GB2312"/>
          <w:color w:val="auto"/>
          <w:kern w:val="2"/>
          <w:sz w:val="32"/>
          <w:szCs w:val="24"/>
          <w:lang w:val="zh-CN" w:eastAsia="zh-CN" w:bidi="ar"/>
        </w:rPr>
        <w:t>．资金使用。截止目前该项目资金已支付</w:t>
      </w:r>
      <w:r>
        <w:rPr>
          <w:rFonts w:hint="eastAsia" w:ascii="仿宋_GB2312" w:hAnsi="仿宋_GB2312" w:eastAsia="仿宋_GB2312" w:cs="仿宋_GB2312"/>
          <w:color w:val="auto"/>
          <w:kern w:val="2"/>
          <w:sz w:val="32"/>
          <w:szCs w:val="24"/>
          <w:lang w:val="en-US" w:eastAsia="zh-CN" w:bidi="ar"/>
        </w:rPr>
        <w:t xml:space="preserve">194.21万元，其中：龙日乡安置点泥石流支付共计121.77万元，自动化实时专业监测体系支付13.1万元，结余资金经县政府常务会议同意用于邛溪镇玛萨村玛萨寺泥石流滑坡治理及瓦切镇如意空行寺僧房后山滑坡治理工程共计支付59.34万元。        </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color w:val="auto"/>
          <w:lang w:val="zh-CN" w:eastAsia="zh-CN"/>
        </w:rPr>
      </w:pPr>
      <w:r>
        <w:rPr>
          <w:rFonts w:hint="eastAsia" w:ascii="楷体_GB2312" w:hAnsi="宋体" w:eastAsia="楷体_GB2312" w:cs="楷体_GB2312"/>
          <w:b/>
          <w:bCs w:val="0"/>
          <w:color w:val="auto"/>
          <w:kern w:val="2"/>
          <w:sz w:val="32"/>
          <w:szCs w:val="24"/>
          <w:lang w:val="zh-CN" w:eastAsia="zh-CN" w:bidi="ar"/>
        </w:rPr>
        <w:t>（三）项目财务管理情况。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红原县</w:t>
      </w:r>
      <w:r>
        <w:rPr>
          <w:rFonts w:hint="eastAsia" w:ascii="仿宋_GB2312" w:hAnsi="仿宋_GB2312" w:eastAsia="仿宋_GB2312" w:cs="仿宋_GB2312"/>
          <w:color w:val="auto"/>
          <w:sz w:val="32"/>
          <w:szCs w:val="32"/>
          <w:lang w:eastAsia="zh-CN"/>
        </w:rPr>
        <w:t>龙日乡格玛村安置点</w:t>
      </w:r>
      <w:r>
        <w:rPr>
          <w:rFonts w:hint="eastAsia" w:ascii="仿宋_GB2312" w:hAnsi="仿宋_GB2312" w:eastAsia="仿宋_GB2312" w:cs="仿宋_GB2312"/>
          <w:color w:val="auto"/>
          <w:sz w:val="32"/>
          <w:szCs w:val="32"/>
        </w:rPr>
        <w:t>泥石流治理工程项目我局完善了相关财务工作制度。一是细化了工作流程，明确了工作任务和责任人，使之有了更强的可操作性和针对性。二是进一步规范了财务工作运行机制。结合工作内容和需要对现有各类自制原始凭证进行统一设计，规范填写。加强了凭证审核力度，坚持出纳填制凭证、会计进行初审、财务主管进行最终审核，确保了会计核算和账务处理准确无误。通过进一步强化财务工作制度，使全局财务工作形成了一个相互衔接、相互制约的有机整体，同时财务制度得到进一步完善，财务基础工作得到进一步规范，财务人员自身工作能力得到进一步加强，确保了全局各项工作的顺利开展说明项目财务管理制度建设、机构设置、会计核算及账务处理等相关情况。对照项目资金管理办法，评价项目是否严格执行财务管理制度、财务处理是否及时、会计核算是否规范等。项目实施过程中严格按照项目财务管理制度进行财务管理，专款专用，专人负责，严格对照资金管理办法，不拆借资金，规范会计核算程序。</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黑体" w:hAnsi="宋体" w:eastAsia="黑体" w:cs="黑体"/>
          <w:color w:val="auto"/>
          <w:lang w:val="en-US"/>
        </w:rPr>
      </w:pPr>
      <w:r>
        <w:rPr>
          <w:rFonts w:hint="eastAsia" w:ascii="黑体" w:hAnsi="宋体" w:eastAsia="黑体" w:cs="黑体"/>
          <w:color w:val="auto"/>
          <w:kern w:val="2"/>
          <w:sz w:val="32"/>
          <w:szCs w:val="24"/>
          <w:lang w:val="en-US" w:eastAsia="zh-CN" w:bidi="ar"/>
        </w:rPr>
        <w:t>三、项目实施及管理情况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该项目实施阶段我局由专人负责本项目，严格执行《基本建设财务管理规定》，严格执行招投标制度，严格执行《中华人民共和国政府采购法》执行，不拆分项目，不单列分包招标，保证项目招投标的严肃性。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color w:val="auto"/>
          <w:lang w:val="zh-CN" w:eastAsia="zh-CN"/>
        </w:rPr>
      </w:pPr>
      <w:r>
        <w:rPr>
          <w:rFonts w:hint="eastAsia" w:ascii="黑体" w:hAnsi="宋体" w:eastAsia="黑体" w:cs="黑体"/>
          <w:color w:val="auto"/>
          <w:kern w:val="2"/>
          <w:sz w:val="32"/>
          <w:szCs w:val="24"/>
          <w:lang w:val="en-US" w:eastAsia="zh-CN" w:bidi="ar"/>
        </w:rPr>
        <w:t>四、项目绩效情况</w:t>
      </w:r>
      <w:r>
        <w:rPr>
          <w:rFonts w:hint="eastAsia" w:ascii="仿宋_GB2312" w:hAnsi="宋体" w:eastAsia="仿宋_GB2312" w:cs="仿宋_GB2312"/>
          <w:color w:val="auto"/>
          <w:kern w:val="2"/>
          <w:sz w:val="32"/>
          <w:szCs w:val="24"/>
          <w:lang w:val="zh-CN" w:eastAsia="zh-CN" w:bidi="ar"/>
        </w:rPr>
        <w:tab/>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color w:val="auto"/>
          <w:lang w:val="zh-CN" w:eastAsia="zh-CN"/>
        </w:rPr>
      </w:pPr>
      <w:r>
        <w:rPr>
          <w:rFonts w:hint="eastAsia" w:ascii="楷体_GB2312" w:hAnsi="宋体" w:eastAsia="楷体_GB2312" w:cs="楷体_GB2312"/>
          <w:b/>
          <w:bCs w:val="0"/>
          <w:color w:val="auto"/>
          <w:kern w:val="2"/>
          <w:sz w:val="32"/>
          <w:szCs w:val="24"/>
          <w:lang w:val="zh-CN" w:eastAsia="zh-CN" w:bidi="ar"/>
        </w:rPr>
        <w:t>（一）项目完成情况。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color w:val="auto"/>
          <w:kern w:val="2"/>
          <w:sz w:val="32"/>
          <w:szCs w:val="24"/>
          <w:lang w:val="en-US" w:eastAsia="zh-CN" w:bidi="ar"/>
        </w:rPr>
      </w:pPr>
      <w:r>
        <w:rPr>
          <w:rFonts w:hint="eastAsia" w:ascii="仿宋_GB2312" w:hAnsi="宋体" w:eastAsia="仿宋_GB2312" w:cs="仿宋_GB2312"/>
          <w:color w:val="auto"/>
          <w:kern w:val="2"/>
          <w:sz w:val="32"/>
          <w:szCs w:val="24"/>
          <w:lang w:val="zh-CN" w:eastAsia="zh-CN" w:bidi="ar"/>
        </w:rPr>
        <w:t>该项目于该项目于</w:t>
      </w:r>
      <w:r>
        <w:rPr>
          <w:rFonts w:hint="eastAsia" w:ascii="仿宋_GB2312" w:hAnsi="宋体" w:eastAsia="仿宋_GB2312" w:cs="仿宋_GB2312"/>
          <w:color w:val="auto"/>
          <w:kern w:val="2"/>
          <w:sz w:val="32"/>
          <w:szCs w:val="24"/>
          <w:lang w:val="en-US" w:eastAsia="zh-CN" w:bidi="ar"/>
        </w:rPr>
        <w:t>2018年9月25日完工，于2018年10月28日完成验收。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楷体_GB2312"/>
          <w:b/>
          <w:bCs w:val="0"/>
          <w:color w:val="auto"/>
          <w:lang w:val="zh-CN" w:eastAsia="zh-CN"/>
        </w:rPr>
      </w:pPr>
      <w:r>
        <w:rPr>
          <w:rFonts w:hint="eastAsia" w:ascii="楷体_GB2312" w:hAnsi="宋体" w:eastAsia="楷体_GB2312" w:cs="楷体_GB2312"/>
          <w:b/>
          <w:bCs w:val="0"/>
          <w:color w:val="auto"/>
          <w:kern w:val="2"/>
          <w:sz w:val="32"/>
          <w:szCs w:val="24"/>
          <w:lang w:val="zh-CN" w:eastAsia="zh-CN" w:bidi="ar"/>
        </w:rPr>
        <w:t>（二）项目效益情况。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仿宋_GB2312"/>
          <w:color w:val="auto"/>
          <w:lang w:val="zh-CN" w:eastAsia="zh-CN"/>
        </w:rPr>
      </w:pPr>
      <w:r>
        <w:rPr>
          <w:rFonts w:hint="eastAsia" w:ascii="仿宋_GB2312" w:hAnsi="宋体" w:eastAsia="仿宋_GB2312" w:cs="仿宋_GB2312"/>
          <w:color w:val="auto"/>
          <w:kern w:val="2"/>
          <w:sz w:val="32"/>
          <w:szCs w:val="24"/>
          <w:lang w:val="en-US" w:eastAsia="zh-CN" w:bidi="ar"/>
        </w:rPr>
        <w:t>通过实施该项目，有效的避免泥石流的发生造成的损害。有效的改善了龙日乡格玛村安置点地质环境，及时保护人民群众生命财产安全。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黑体" w:hAnsi="宋体" w:eastAsia="黑体" w:cs="黑体"/>
          <w:color w:val="auto"/>
          <w:lang w:val="en-US"/>
        </w:rPr>
      </w:pPr>
      <w:r>
        <w:rPr>
          <w:rFonts w:hint="eastAsia" w:ascii="黑体" w:hAnsi="宋体" w:eastAsia="黑体" w:cs="黑体"/>
          <w:color w:val="auto"/>
          <w:kern w:val="2"/>
          <w:sz w:val="32"/>
          <w:szCs w:val="24"/>
          <w:lang w:val="en-US" w:eastAsia="zh-CN" w:bidi="ar"/>
        </w:rPr>
        <w:t>五、评价结论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该项目自实施以来，</w:t>
      </w:r>
      <w:r>
        <w:rPr>
          <w:rFonts w:hint="eastAsia" w:ascii="仿宋_GB2312" w:hAnsi="宋体" w:eastAsia="仿宋_GB2312" w:cs="仿宋_GB2312"/>
          <w:color w:val="auto"/>
          <w:kern w:val="2"/>
          <w:sz w:val="32"/>
          <w:szCs w:val="24"/>
          <w:lang w:val="zh-CN" w:eastAsia="zh-CN" w:bidi="ar"/>
        </w:rPr>
        <w:t>新建停淤导流墙</w:t>
      </w:r>
      <w:r>
        <w:rPr>
          <w:rFonts w:hint="eastAsia" w:ascii="仿宋_GB2312" w:hAnsi="宋体" w:eastAsia="仿宋_GB2312" w:cs="仿宋_GB2312"/>
          <w:color w:val="auto"/>
          <w:kern w:val="2"/>
          <w:sz w:val="32"/>
          <w:szCs w:val="24"/>
          <w:lang w:val="en-US" w:eastAsia="zh-CN" w:bidi="ar"/>
        </w:rPr>
        <w:t>，截排水沟，</w:t>
      </w:r>
      <w:r>
        <w:rPr>
          <w:rFonts w:hint="eastAsia" w:ascii="仿宋_GB2312" w:hAnsi="仿宋_GB2312" w:eastAsia="仿宋_GB2312" w:cs="仿宋_GB2312"/>
          <w:color w:val="auto"/>
          <w:sz w:val="32"/>
          <w:szCs w:val="32"/>
        </w:rPr>
        <w:t>保护了</w:t>
      </w:r>
      <w:r>
        <w:rPr>
          <w:rFonts w:hint="eastAsia" w:ascii="仿宋_GB2312" w:hAnsi="仿宋_GB2312" w:eastAsia="仿宋_GB2312" w:cs="仿宋_GB2312"/>
          <w:color w:val="auto"/>
          <w:sz w:val="32"/>
          <w:szCs w:val="32"/>
          <w:lang w:eastAsia="zh-CN"/>
        </w:rPr>
        <w:t>龙日乡安置</w:t>
      </w:r>
      <w:r>
        <w:rPr>
          <w:rFonts w:hint="eastAsia" w:ascii="仿宋_GB2312" w:hAnsi="仿宋_GB2312" w:eastAsia="仿宋_GB2312" w:cs="仿宋_GB2312"/>
          <w:color w:val="auto"/>
          <w:sz w:val="32"/>
          <w:szCs w:val="32"/>
        </w:rPr>
        <w:t>点不受泥石流危害，确保了</w:t>
      </w:r>
      <w:r>
        <w:rPr>
          <w:rFonts w:hint="eastAsia" w:ascii="仿宋_GB2312" w:hAnsi="仿宋_GB2312" w:eastAsia="仿宋_GB2312" w:cs="仿宋_GB2312"/>
          <w:color w:val="auto"/>
          <w:sz w:val="32"/>
          <w:szCs w:val="32"/>
          <w:lang w:eastAsia="zh-CN"/>
        </w:rPr>
        <w:t>龙日乡安置点</w:t>
      </w:r>
      <w:r>
        <w:rPr>
          <w:rFonts w:hint="eastAsia" w:ascii="仿宋_GB2312" w:hAnsi="仿宋_GB2312" w:eastAsia="仿宋_GB2312" w:cs="仿宋_GB2312"/>
          <w:color w:val="auto"/>
          <w:sz w:val="32"/>
          <w:szCs w:val="32"/>
        </w:rPr>
        <w:t>人民群众生命财产安全，促进社会和谐。</w:t>
      </w:r>
    </w:p>
    <w:p>
      <w:pPr>
        <w:spacing w:line="600" w:lineRule="exact"/>
        <w:jc w:val="both"/>
        <w:outlineLvl w:val="0"/>
        <w:rPr>
          <w:rStyle w:val="27"/>
          <w:rFonts w:hint="eastAsia" w:ascii="黑体" w:hAnsi="黑体" w:eastAsia="黑体"/>
          <w:b w:val="0"/>
          <w:color w:val="auto"/>
          <w:lang w:eastAsia="zh-CN"/>
        </w:rPr>
      </w:pPr>
    </w:p>
    <w:p>
      <w:pPr>
        <w:spacing w:line="600" w:lineRule="exact"/>
        <w:ind w:firstLine="3080" w:firstLineChars="700"/>
        <w:jc w:val="both"/>
        <w:outlineLvl w:val="0"/>
        <w:rPr>
          <w:rStyle w:val="27"/>
          <w:rFonts w:ascii="黑体" w:hAnsi="黑体" w:eastAsia="黑体"/>
          <w:b w:val="0"/>
          <w:color w:val="auto"/>
        </w:rPr>
      </w:pPr>
      <w:r>
        <w:rPr>
          <w:rStyle w:val="27"/>
          <w:rFonts w:hint="eastAsia" w:ascii="黑体" w:hAnsi="黑体" w:eastAsia="黑体"/>
          <w:b w:val="0"/>
          <w:color w:val="auto"/>
          <w:lang w:eastAsia="zh-CN"/>
        </w:rPr>
        <w:t>第</w:t>
      </w:r>
      <w:r>
        <w:rPr>
          <w:rStyle w:val="27"/>
          <w:rFonts w:hint="eastAsia" w:ascii="黑体" w:hAnsi="黑体" w:eastAsia="黑体"/>
          <w:b w:val="0"/>
          <w:color w:val="auto"/>
        </w:rPr>
        <w:t>五部分 附表</w:t>
      </w:r>
      <w:bookmarkEnd w:id="61"/>
      <w:bookmarkEnd w:id="65"/>
    </w:p>
    <w:p>
      <w:pPr>
        <w:spacing w:line="600" w:lineRule="exact"/>
        <w:jc w:val="center"/>
        <w:outlineLvl w:val="0"/>
        <w:rPr>
          <w:rFonts w:ascii="仿宋" w:hAnsi="仿宋" w:eastAsia="仿宋"/>
          <w:b/>
          <w:color w:val="auto"/>
          <w:sz w:val="44"/>
          <w:szCs w:val="44"/>
        </w:rPr>
      </w:pPr>
    </w:p>
    <w:p>
      <w:pPr>
        <w:pStyle w:val="5"/>
        <w:numPr>
          <w:ilvl w:val="0"/>
          <w:numId w:val="12"/>
        </w:numPr>
        <w:rPr>
          <w:rFonts w:hint="eastAsia" w:ascii="仿宋" w:hAnsi="仿宋" w:eastAsia="仿宋"/>
          <w:b w:val="0"/>
          <w:color w:val="auto"/>
        </w:rPr>
      </w:pPr>
      <w:bookmarkStart w:id="66" w:name="_Toc15396620"/>
      <w:r>
        <w:rPr>
          <w:rFonts w:hint="eastAsia" w:ascii="仿宋" w:hAnsi="仿宋" w:eastAsia="仿宋"/>
          <w:b w:val="0"/>
          <w:color w:val="auto"/>
        </w:rPr>
        <w:t>收入支出决算总表</w:t>
      </w:r>
    </w:p>
    <w:p>
      <w:pPr>
        <w:pStyle w:val="5"/>
        <w:numPr>
          <w:ilvl w:val="0"/>
          <w:numId w:val="0"/>
        </w:numPr>
        <w:rPr>
          <w:rFonts w:ascii="仿宋" w:hAnsi="仿宋" w:eastAsia="仿宋"/>
          <w:color w:val="auto"/>
        </w:rPr>
      </w:pPr>
      <w:r>
        <w:rPr>
          <w:rFonts w:hint="eastAsia" w:ascii="仿宋" w:hAnsi="仿宋" w:eastAsia="仿宋"/>
          <w:b w:val="0"/>
          <w:color w:val="auto"/>
        </w:rPr>
        <w:t>二、收</w:t>
      </w:r>
      <w:r>
        <w:rPr>
          <w:rStyle w:val="28"/>
          <w:rFonts w:hint="eastAsia" w:ascii="仿宋" w:hAnsi="仿宋" w:eastAsia="仿宋"/>
          <w:b w:val="0"/>
          <w:bCs w:val="0"/>
          <w:color w:val="auto"/>
        </w:rPr>
        <w:t>入总表</w:t>
      </w:r>
      <w:bookmarkEnd w:id="66"/>
    </w:p>
    <w:p>
      <w:pPr>
        <w:pStyle w:val="5"/>
        <w:rPr>
          <w:rFonts w:ascii="仿宋" w:hAnsi="仿宋" w:eastAsia="仿宋"/>
          <w:color w:val="auto"/>
        </w:rPr>
      </w:pPr>
      <w:bookmarkStart w:id="67" w:name="_Toc15396621"/>
      <w:r>
        <w:rPr>
          <w:rStyle w:val="28"/>
          <w:rFonts w:hint="eastAsia" w:ascii="仿宋" w:hAnsi="仿宋" w:eastAsia="仿宋"/>
          <w:b w:val="0"/>
          <w:bCs w:val="0"/>
          <w:color w:val="auto"/>
        </w:rPr>
        <w:t>三、</w:t>
      </w:r>
      <w:r>
        <w:rPr>
          <w:rFonts w:hint="eastAsia" w:ascii="仿宋" w:hAnsi="仿宋" w:eastAsia="仿宋"/>
          <w:b w:val="0"/>
          <w:color w:val="auto"/>
        </w:rPr>
        <w:t>支</w:t>
      </w:r>
      <w:r>
        <w:rPr>
          <w:rStyle w:val="28"/>
          <w:rFonts w:hint="eastAsia" w:ascii="仿宋" w:hAnsi="仿宋" w:eastAsia="仿宋"/>
          <w:b w:val="0"/>
          <w:bCs w:val="0"/>
          <w:color w:val="auto"/>
        </w:rPr>
        <w:t>出总表</w:t>
      </w:r>
      <w:bookmarkEnd w:id="67"/>
    </w:p>
    <w:p>
      <w:pPr>
        <w:pStyle w:val="5"/>
        <w:rPr>
          <w:rFonts w:ascii="仿宋" w:hAnsi="仿宋" w:eastAsia="仿宋"/>
          <w:b w:val="0"/>
          <w:color w:val="auto"/>
        </w:rPr>
      </w:pPr>
      <w:bookmarkStart w:id="68" w:name="_Toc15396622"/>
      <w:r>
        <w:rPr>
          <w:rStyle w:val="28"/>
          <w:rFonts w:hint="eastAsia" w:ascii="仿宋" w:hAnsi="仿宋" w:eastAsia="仿宋"/>
          <w:b w:val="0"/>
          <w:bCs w:val="0"/>
          <w:color w:val="auto"/>
        </w:rPr>
        <w:t>四、</w:t>
      </w:r>
      <w:r>
        <w:rPr>
          <w:rFonts w:hint="eastAsia" w:ascii="仿宋" w:hAnsi="仿宋" w:eastAsia="仿宋"/>
          <w:b w:val="0"/>
          <w:color w:val="auto"/>
        </w:rPr>
        <w:t>财</w:t>
      </w:r>
      <w:r>
        <w:rPr>
          <w:rStyle w:val="28"/>
          <w:rFonts w:hint="eastAsia" w:ascii="仿宋" w:hAnsi="仿宋" w:eastAsia="仿宋"/>
          <w:b w:val="0"/>
          <w:bCs w:val="0"/>
          <w:color w:val="auto"/>
        </w:rPr>
        <w:t>政拨款收入支出决算总表</w:t>
      </w:r>
      <w:bookmarkEnd w:id="68"/>
    </w:p>
    <w:p>
      <w:pPr>
        <w:pStyle w:val="5"/>
        <w:rPr>
          <w:rFonts w:ascii="仿宋" w:hAnsi="仿宋" w:eastAsia="仿宋"/>
          <w:color w:val="auto"/>
        </w:rPr>
      </w:pPr>
      <w:bookmarkStart w:id="69" w:name="_Toc15396623"/>
      <w:r>
        <w:rPr>
          <w:rStyle w:val="28"/>
          <w:rFonts w:hint="eastAsia" w:ascii="仿宋" w:hAnsi="仿宋" w:eastAsia="仿宋"/>
          <w:b w:val="0"/>
          <w:bCs w:val="0"/>
          <w:color w:val="auto"/>
        </w:rPr>
        <w:t>五、</w:t>
      </w:r>
      <w:r>
        <w:rPr>
          <w:rFonts w:hint="eastAsia" w:ascii="仿宋" w:hAnsi="仿宋" w:eastAsia="仿宋"/>
          <w:b w:val="0"/>
          <w:color w:val="auto"/>
        </w:rPr>
        <w:t>财</w:t>
      </w:r>
      <w:r>
        <w:rPr>
          <w:rStyle w:val="28"/>
          <w:rFonts w:hint="eastAsia" w:ascii="仿宋" w:hAnsi="仿宋" w:eastAsia="仿宋"/>
          <w:b w:val="0"/>
          <w:bCs w:val="0"/>
          <w:color w:val="auto"/>
        </w:rPr>
        <w:t>政拨款支出决算明细表（政府经济分类科目）</w:t>
      </w:r>
      <w:bookmarkEnd w:id="69"/>
    </w:p>
    <w:p>
      <w:pPr>
        <w:pStyle w:val="5"/>
        <w:rPr>
          <w:rFonts w:ascii="仿宋" w:hAnsi="仿宋" w:eastAsia="仿宋"/>
          <w:color w:val="auto"/>
        </w:rPr>
      </w:pPr>
      <w:bookmarkStart w:id="70" w:name="_Toc15396624"/>
      <w:r>
        <w:rPr>
          <w:rStyle w:val="28"/>
          <w:rFonts w:hint="eastAsia" w:ascii="仿宋" w:hAnsi="仿宋" w:eastAsia="仿宋"/>
          <w:b w:val="0"/>
          <w:bCs w:val="0"/>
          <w:color w:val="auto"/>
        </w:rPr>
        <w:t>六、</w:t>
      </w:r>
      <w:r>
        <w:rPr>
          <w:rFonts w:hint="eastAsia" w:ascii="仿宋" w:hAnsi="仿宋" w:eastAsia="仿宋"/>
          <w:b w:val="0"/>
          <w:color w:val="auto"/>
        </w:rPr>
        <w:t>一</w:t>
      </w:r>
      <w:r>
        <w:rPr>
          <w:rStyle w:val="28"/>
          <w:rFonts w:hint="eastAsia" w:ascii="仿宋" w:hAnsi="仿宋" w:eastAsia="仿宋"/>
          <w:b w:val="0"/>
          <w:bCs w:val="0"/>
          <w:color w:val="auto"/>
        </w:rPr>
        <w:t>般公共预算财政拨款支出决算表</w:t>
      </w:r>
      <w:bookmarkEnd w:id="70"/>
    </w:p>
    <w:p>
      <w:pPr>
        <w:pStyle w:val="5"/>
        <w:rPr>
          <w:rFonts w:ascii="仿宋" w:hAnsi="仿宋" w:eastAsia="仿宋"/>
          <w:color w:val="auto"/>
        </w:rPr>
      </w:pPr>
      <w:bookmarkStart w:id="71" w:name="_Toc15396625"/>
      <w:r>
        <w:rPr>
          <w:rStyle w:val="28"/>
          <w:rFonts w:hint="eastAsia" w:ascii="仿宋" w:hAnsi="仿宋" w:eastAsia="仿宋"/>
          <w:b w:val="0"/>
          <w:bCs w:val="0"/>
          <w:color w:val="auto"/>
        </w:rPr>
        <w:t>七、</w:t>
      </w:r>
      <w:r>
        <w:rPr>
          <w:rFonts w:hint="eastAsia" w:ascii="仿宋" w:hAnsi="仿宋" w:eastAsia="仿宋"/>
          <w:b w:val="0"/>
          <w:color w:val="auto"/>
        </w:rPr>
        <w:t>一</w:t>
      </w:r>
      <w:r>
        <w:rPr>
          <w:rStyle w:val="28"/>
          <w:rFonts w:hint="eastAsia" w:ascii="仿宋" w:hAnsi="仿宋" w:eastAsia="仿宋"/>
          <w:b w:val="0"/>
          <w:bCs w:val="0"/>
          <w:color w:val="auto"/>
        </w:rPr>
        <w:t>般公共预算财政拨款支出决算明细表</w:t>
      </w:r>
      <w:bookmarkEnd w:id="71"/>
    </w:p>
    <w:p>
      <w:pPr>
        <w:pStyle w:val="5"/>
        <w:rPr>
          <w:rFonts w:ascii="仿宋" w:hAnsi="仿宋" w:eastAsia="仿宋"/>
          <w:color w:val="auto"/>
        </w:rPr>
      </w:pPr>
      <w:bookmarkStart w:id="72" w:name="_Toc15396626"/>
      <w:r>
        <w:rPr>
          <w:rStyle w:val="28"/>
          <w:rFonts w:hint="eastAsia" w:ascii="仿宋" w:hAnsi="仿宋" w:eastAsia="仿宋"/>
          <w:b w:val="0"/>
          <w:bCs w:val="0"/>
          <w:color w:val="auto"/>
        </w:rPr>
        <w:t>八、</w:t>
      </w:r>
      <w:r>
        <w:rPr>
          <w:rFonts w:hint="eastAsia" w:ascii="仿宋" w:hAnsi="仿宋" w:eastAsia="仿宋"/>
          <w:b w:val="0"/>
          <w:color w:val="auto"/>
        </w:rPr>
        <w:t>一</w:t>
      </w:r>
      <w:r>
        <w:rPr>
          <w:rStyle w:val="28"/>
          <w:rFonts w:hint="eastAsia" w:ascii="仿宋" w:hAnsi="仿宋" w:eastAsia="仿宋"/>
          <w:b w:val="0"/>
          <w:bCs w:val="0"/>
          <w:color w:val="auto"/>
        </w:rPr>
        <w:t>般公共预算财政拨款基本支出决算表</w:t>
      </w:r>
      <w:bookmarkEnd w:id="72"/>
    </w:p>
    <w:p>
      <w:pPr>
        <w:pStyle w:val="5"/>
        <w:rPr>
          <w:rFonts w:ascii="仿宋" w:hAnsi="仿宋" w:eastAsia="仿宋"/>
          <w:color w:val="auto"/>
        </w:rPr>
      </w:pPr>
      <w:bookmarkStart w:id="73" w:name="_Toc15396627"/>
      <w:r>
        <w:rPr>
          <w:rStyle w:val="28"/>
          <w:rFonts w:hint="eastAsia" w:ascii="仿宋" w:hAnsi="仿宋" w:eastAsia="仿宋"/>
          <w:b w:val="0"/>
          <w:bCs w:val="0"/>
          <w:color w:val="auto"/>
        </w:rPr>
        <w:t>九、</w:t>
      </w:r>
      <w:r>
        <w:rPr>
          <w:rFonts w:hint="eastAsia" w:ascii="仿宋" w:hAnsi="仿宋" w:eastAsia="仿宋"/>
          <w:b w:val="0"/>
          <w:color w:val="auto"/>
        </w:rPr>
        <w:t>一</w:t>
      </w:r>
      <w:r>
        <w:rPr>
          <w:rStyle w:val="28"/>
          <w:rFonts w:hint="eastAsia" w:ascii="仿宋" w:hAnsi="仿宋" w:eastAsia="仿宋"/>
          <w:b w:val="0"/>
          <w:bCs w:val="0"/>
          <w:color w:val="auto"/>
        </w:rPr>
        <w:t>般公共预算财政拨款项目支出决算表</w:t>
      </w:r>
      <w:bookmarkEnd w:id="73"/>
    </w:p>
    <w:p>
      <w:pPr>
        <w:pStyle w:val="5"/>
        <w:rPr>
          <w:rFonts w:ascii="仿宋" w:hAnsi="仿宋" w:eastAsia="仿宋"/>
          <w:color w:val="auto"/>
        </w:rPr>
      </w:pPr>
      <w:bookmarkStart w:id="74" w:name="_Toc15396628"/>
      <w:r>
        <w:rPr>
          <w:rStyle w:val="28"/>
          <w:rFonts w:hint="eastAsia" w:ascii="仿宋" w:hAnsi="仿宋" w:eastAsia="仿宋"/>
          <w:b w:val="0"/>
          <w:bCs w:val="0"/>
          <w:color w:val="auto"/>
        </w:rPr>
        <w:t>十、</w:t>
      </w:r>
      <w:r>
        <w:rPr>
          <w:rFonts w:hint="eastAsia" w:ascii="仿宋" w:hAnsi="仿宋" w:eastAsia="仿宋"/>
          <w:b w:val="0"/>
          <w:color w:val="auto"/>
        </w:rPr>
        <w:t>一</w:t>
      </w:r>
      <w:r>
        <w:rPr>
          <w:rStyle w:val="28"/>
          <w:rFonts w:hint="eastAsia" w:ascii="仿宋" w:hAnsi="仿宋" w:eastAsia="仿宋"/>
          <w:b w:val="0"/>
          <w:bCs w:val="0"/>
          <w:color w:val="auto"/>
        </w:rPr>
        <w:t>般公共预算财政拨款“三公”经费支出决算表</w:t>
      </w:r>
      <w:bookmarkEnd w:id="74"/>
    </w:p>
    <w:p>
      <w:pPr>
        <w:pStyle w:val="5"/>
        <w:rPr>
          <w:rFonts w:ascii="仿宋" w:hAnsi="仿宋" w:eastAsia="仿宋"/>
          <w:color w:val="auto"/>
        </w:rPr>
      </w:pPr>
      <w:bookmarkStart w:id="75" w:name="_Toc15396629"/>
      <w:r>
        <w:rPr>
          <w:rStyle w:val="28"/>
          <w:rFonts w:hint="eastAsia" w:ascii="仿宋" w:hAnsi="仿宋" w:eastAsia="仿宋"/>
          <w:b w:val="0"/>
          <w:bCs w:val="0"/>
          <w:color w:val="auto"/>
        </w:rPr>
        <w:t>十一、</w:t>
      </w:r>
      <w:r>
        <w:rPr>
          <w:rFonts w:hint="eastAsia" w:ascii="仿宋" w:hAnsi="仿宋" w:eastAsia="仿宋"/>
          <w:b w:val="0"/>
          <w:color w:val="auto"/>
        </w:rPr>
        <w:t>政</w:t>
      </w:r>
      <w:r>
        <w:rPr>
          <w:rStyle w:val="28"/>
          <w:rFonts w:hint="eastAsia" w:ascii="仿宋" w:hAnsi="仿宋" w:eastAsia="仿宋"/>
          <w:b w:val="0"/>
          <w:bCs w:val="0"/>
          <w:color w:val="auto"/>
        </w:rPr>
        <w:t>府性基金预算财政拨款收入支出决算表</w:t>
      </w:r>
      <w:bookmarkEnd w:id="75"/>
    </w:p>
    <w:p>
      <w:pPr>
        <w:pStyle w:val="5"/>
        <w:rPr>
          <w:rFonts w:ascii="仿宋" w:hAnsi="仿宋" w:eastAsia="仿宋"/>
          <w:color w:val="auto"/>
        </w:rPr>
      </w:pPr>
      <w:bookmarkStart w:id="76" w:name="_Toc15396630"/>
      <w:r>
        <w:rPr>
          <w:rStyle w:val="28"/>
          <w:rFonts w:hint="eastAsia" w:ascii="仿宋" w:hAnsi="仿宋" w:eastAsia="仿宋"/>
          <w:b w:val="0"/>
          <w:bCs w:val="0"/>
          <w:color w:val="auto"/>
        </w:rPr>
        <w:t>十二、</w:t>
      </w:r>
      <w:r>
        <w:rPr>
          <w:rFonts w:hint="eastAsia" w:ascii="仿宋" w:hAnsi="仿宋" w:eastAsia="仿宋"/>
          <w:b w:val="0"/>
          <w:color w:val="auto"/>
        </w:rPr>
        <w:t>政</w:t>
      </w:r>
      <w:r>
        <w:rPr>
          <w:rStyle w:val="28"/>
          <w:rFonts w:hint="eastAsia" w:ascii="仿宋" w:hAnsi="仿宋" w:eastAsia="仿宋"/>
          <w:b w:val="0"/>
          <w:bCs w:val="0"/>
          <w:color w:val="auto"/>
        </w:rPr>
        <w:t>府性基金预算财政拨款“三公”经费支出决算表</w:t>
      </w:r>
      <w:bookmarkEnd w:id="76"/>
    </w:p>
    <w:p>
      <w:pPr>
        <w:pStyle w:val="5"/>
        <w:rPr>
          <w:rStyle w:val="28"/>
          <w:rFonts w:hint="eastAsia" w:ascii="仿宋" w:hAnsi="仿宋" w:eastAsia="仿宋"/>
          <w:b w:val="0"/>
          <w:bCs w:val="0"/>
          <w:color w:val="auto"/>
        </w:rPr>
      </w:pPr>
      <w:bookmarkStart w:id="77" w:name="_Toc15396631"/>
      <w:r>
        <w:rPr>
          <w:rStyle w:val="28"/>
          <w:rFonts w:hint="eastAsia" w:ascii="仿宋" w:hAnsi="仿宋" w:eastAsia="仿宋"/>
          <w:b w:val="0"/>
          <w:bCs w:val="0"/>
          <w:color w:val="auto"/>
        </w:rPr>
        <w:t>十三、</w:t>
      </w:r>
      <w:r>
        <w:rPr>
          <w:rFonts w:hint="eastAsia" w:ascii="仿宋" w:hAnsi="仿宋" w:eastAsia="仿宋"/>
          <w:b w:val="0"/>
          <w:color w:val="auto"/>
        </w:rPr>
        <w:t>国</w:t>
      </w:r>
      <w:r>
        <w:rPr>
          <w:rStyle w:val="28"/>
          <w:rFonts w:hint="eastAsia" w:ascii="仿宋" w:hAnsi="仿宋" w:eastAsia="仿宋"/>
          <w:b w:val="0"/>
          <w:bCs w:val="0"/>
          <w:color w:val="auto"/>
        </w:rPr>
        <w:t>有资本经营预算支出决算表</w:t>
      </w:r>
      <w:bookmarkEnd w:id="77"/>
    </w:p>
    <w:p>
      <w:pPr>
        <w:rPr>
          <w:rStyle w:val="28"/>
          <w:rFonts w:hint="eastAsia" w:ascii="仿宋" w:hAnsi="仿宋" w:eastAsia="仿宋"/>
          <w:b w:val="0"/>
          <w:bCs w:val="0"/>
          <w:lang w:val="en-US" w:eastAsia="zh-CN"/>
        </w:rPr>
      </w:pPr>
      <w:r>
        <w:rPr>
          <w:rStyle w:val="28"/>
          <w:rFonts w:hint="eastAsia" w:ascii="仿宋" w:hAnsi="仿宋" w:eastAsia="仿宋"/>
          <w:b w:val="0"/>
          <w:bCs w:val="0"/>
          <w:lang w:val="en-US" w:eastAsia="zh-CN"/>
        </w:rPr>
        <w:t>十四、整体支出绩效评价打分表</w:t>
      </w:r>
    </w:p>
    <w:p>
      <w:pPr>
        <w:rPr>
          <w:rStyle w:val="28"/>
          <w:rFonts w:hint="eastAsia" w:ascii="仿宋" w:hAnsi="仿宋" w:eastAsia="仿宋"/>
          <w:b w:val="0"/>
          <w:bCs w:val="0"/>
          <w:lang w:val="en-US" w:eastAsia="zh-CN"/>
        </w:rPr>
      </w:pPr>
      <w:bookmarkStart w:id="78" w:name="_GoBack"/>
      <w:bookmarkEnd w:id="78"/>
      <w:r>
        <w:rPr>
          <w:rStyle w:val="28"/>
          <w:rFonts w:hint="eastAsia" w:ascii="仿宋" w:hAnsi="仿宋" w:eastAsia="仿宋"/>
          <w:b w:val="0"/>
          <w:bCs w:val="0"/>
          <w:lang w:val="en-US" w:eastAsia="zh-CN"/>
        </w:rPr>
        <w:t>十五、项目支出绩效评价打分表</w:t>
      </w:r>
    </w:p>
    <w:p>
      <w:pPr>
        <w:rPr>
          <w:rFonts w:hint="eastAsia" w:eastAsia="仿宋"/>
          <w:lang w:eastAsia="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003" w:usb1="288F0000" w:usb2="00000006" w:usb3="00000000" w:csb0="00040001" w:csb1="00000000"/>
  </w:font>
  <w:font w:name="Book Antiqua">
    <w:altName w:val="Segoe Print"/>
    <w:panose1 w:val="02040602050305030304"/>
    <w:charset w:val="00"/>
    <w:family w:val="auto"/>
    <w:pitch w:val="default"/>
    <w:sig w:usb0="00000000" w:usb1="00000000" w:usb2="00000000" w:usb3="00000000" w:csb0="2000009F" w:csb1="DFD70000"/>
  </w:font>
  <w:font w:name="华文仿宋">
    <w:altName w:val="仿宋"/>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华文新魏">
    <w:altName w:val="宋体"/>
    <w:panose1 w:val="02010800040101010101"/>
    <w:charset w:val="86"/>
    <w:family w:val="auto"/>
    <w:pitch w:val="default"/>
    <w:sig w:usb0="00000000" w:usb1="0000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10"/>
          <w:jc w:val="center"/>
        </w:pPr>
        <w:r>
          <w:fldChar w:fldCharType="begin"/>
        </w:r>
        <w:r>
          <w:instrText xml:space="preserve">PAGE   \* MERGEFORMAT</w:instrText>
        </w:r>
        <w:r>
          <w:fldChar w:fldCharType="separate"/>
        </w:r>
        <w:r>
          <w:rPr>
            <w:lang w:val="zh-CN"/>
          </w:rPr>
          <w:t>10</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B1E627DE"/>
    <w:multiLevelType w:val="singleLevel"/>
    <w:tmpl w:val="B1E627DE"/>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3227A906"/>
    <w:multiLevelType w:val="singleLevel"/>
    <w:tmpl w:val="3227A906"/>
    <w:lvl w:ilvl="0" w:tentative="0">
      <w:start w:val="2"/>
      <w:numFmt w:val="chineseCounting"/>
      <w:suff w:val="nothing"/>
      <w:lvlText w:val="（%1）"/>
      <w:lvlJc w:val="left"/>
      <w:rPr>
        <w:rFonts w:hint="eastAsia"/>
      </w:rPr>
    </w:lvl>
  </w:abstractNum>
  <w:abstractNum w:abstractNumId="8">
    <w:nsid w:val="4E05F6E4"/>
    <w:multiLevelType w:val="singleLevel"/>
    <w:tmpl w:val="4E05F6E4"/>
    <w:lvl w:ilvl="0" w:tentative="0">
      <w:start w:val="1"/>
      <w:numFmt w:val="decimal"/>
      <w:lvlText w:val="%1."/>
      <w:lvlJc w:val="left"/>
      <w:pPr>
        <w:tabs>
          <w:tab w:val="left" w:pos="312"/>
        </w:tabs>
      </w:pPr>
    </w:lvl>
  </w:abstractNum>
  <w:abstractNum w:abstractNumId="9">
    <w:nsid w:val="5D5382B5"/>
    <w:multiLevelType w:val="singleLevel"/>
    <w:tmpl w:val="5D5382B5"/>
    <w:lvl w:ilvl="0" w:tentative="0">
      <w:start w:val="1"/>
      <w:numFmt w:val="chineseCounting"/>
      <w:suff w:val="nothing"/>
      <w:lvlText w:val="%1、"/>
      <w:lvlJc w:val="left"/>
    </w:lvl>
  </w:abstractNum>
  <w:abstractNum w:abstractNumId="10">
    <w:nsid w:val="5D6498A7"/>
    <w:multiLevelType w:val="singleLevel"/>
    <w:tmpl w:val="5D6498A7"/>
    <w:lvl w:ilvl="0" w:tentative="0">
      <w:start w:val="1"/>
      <w:numFmt w:val="decimal"/>
      <w:lvlText w:val="%1."/>
      <w:lvlJc w:val="left"/>
      <w:pPr>
        <w:tabs>
          <w:tab w:val="left" w:pos="312"/>
        </w:tabs>
      </w:pPr>
    </w:lvl>
  </w:abstractNum>
  <w:abstractNum w:abstractNumId="11">
    <w:nsid w:val="7D7C324A"/>
    <w:multiLevelType w:val="singleLevel"/>
    <w:tmpl w:val="7D7C324A"/>
    <w:lvl w:ilvl="0" w:tentative="0">
      <w:start w:val="4"/>
      <w:numFmt w:val="decimal"/>
      <w:lvlText w:val="%1."/>
      <w:lvlJc w:val="left"/>
      <w:pPr>
        <w:tabs>
          <w:tab w:val="left" w:pos="312"/>
        </w:tabs>
      </w:pPr>
    </w:lvl>
  </w:abstractNum>
  <w:num w:numId="1">
    <w:abstractNumId w:val="11"/>
  </w:num>
  <w:num w:numId="2">
    <w:abstractNumId w:val="5"/>
  </w:num>
  <w:num w:numId="3">
    <w:abstractNumId w:val="8"/>
  </w:num>
  <w:num w:numId="4">
    <w:abstractNumId w:val="10"/>
  </w:num>
  <w:num w:numId="5">
    <w:abstractNumId w:val="2"/>
  </w:num>
  <w:num w:numId="6">
    <w:abstractNumId w:val="6"/>
  </w:num>
  <w:num w:numId="7">
    <w:abstractNumId w:val="4"/>
  </w:num>
  <w:num w:numId="8">
    <w:abstractNumId w:val="0"/>
  </w:num>
  <w:num w:numId="9">
    <w:abstractNumId w:val="3"/>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B3B19"/>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2F2682B"/>
    <w:rsid w:val="04973DFB"/>
    <w:rsid w:val="04FE1487"/>
    <w:rsid w:val="061D7409"/>
    <w:rsid w:val="06496878"/>
    <w:rsid w:val="06670AF1"/>
    <w:rsid w:val="06B00C5A"/>
    <w:rsid w:val="06CA7818"/>
    <w:rsid w:val="07FF1437"/>
    <w:rsid w:val="084F5BEE"/>
    <w:rsid w:val="08710FC8"/>
    <w:rsid w:val="087222CA"/>
    <w:rsid w:val="093876CA"/>
    <w:rsid w:val="09B66EF2"/>
    <w:rsid w:val="0A2247E5"/>
    <w:rsid w:val="0B344ED8"/>
    <w:rsid w:val="0B78006F"/>
    <w:rsid w:val="0D840636"/>
    <w:rsid w:val="0E202594"/>
    <w:rsid w:val="0E582D1C"/>
    <w:rsid w:val="0EA76D1F"/>
    <w:rsid w:val="0ED62A80"/>
    <w:rsid w:val="0EDD2989"/>
    <w:rsid w:val="0F3066FF"/>
    <w:rsid w:val="0FE5752C"/>
    <w:rsid w:val="103F38AD"/>
    <w:rsid w:val="10C055FF"/>
    <w:rsid w:val="10F529AD"/>
    <w:rsid w:val="124078A6"/>
    <w:rsid w:val="12F00FE8"/>
    <w:rsid w:val="13C55688"/>
    <w:rsid w:val="13C56298"/>
    <w:rsid w:val="140C3A43"/>
    <w:rsid w:val="144730F9"/>
    <w:rsid w:val="15721038"/>
    <w:rsid w:val="15BF7120"/>
    <w:rsid w:val="165D0C07"/>
    <w:rsid w:val="16993E5A"/>
    <w:rsid w:val="16AA491B"/>
    <w:rsid w:val="16BB723D"/>
    <w:rsid w:val="16CE19C5"/>
    <w:rsid w:val="17215D4D"/>
    <w:rsid w:val="172B0282"/>
    <w:rsid w:val="17BE4C8E"/>
    <w:rsid w:val="184E678C"/>
    <w:rsid w:val="18FE7B0F"/>
    <w:rsid w:val="19656C93"/>
    <w:rsid w:val="19CC091C"/>
    <w:rsid w:val="19DE76C7"/>
    <w:rsid w:val="19F85534"/>
    <w:rsid w:val="1A365666"/>
    <w:rsid w:val="1A410B8B"/>
    <w:rsid w:val="1A792D08"/>
    <w:rsid w:val="1B3A0AE4"/>
    <w:rsid w:val="1B727665"/>
    <w:rsid w:val="1D742AD5"/>
    <w:rsid w:val="1DA24555"/>
    <w:rsid w:val="1FBF4CC7"/>
    <w:rsid w:val="1FDF0AD4"/>
    <w:rsid w:val="21625E4B"/>
    <w:rsid w:val="21A17F1A"/>
    <w:rsid w:val="228A6717"/>
    <w:rsid w:val="22DC7B03"/>
    <w:rsid w:val="22FA3672"/>
    <w:rsid w:val="232E0065"/>
    <w:rsid w:val="23876A18"/>
    <w:rsid w:val="23B85B3F"/>
    <w:rsid w:val="23FE1235"/>
    <w:rsid w:val="240371BF"/>
    <w:rsid w:val="24DF0C5F"/>
    <w:rsid w:val="25724271"/>
    <w:rsid w:val="25B46BBD"/>
    <w:rsid w:val="25DF65FE"/>
    <w:rsid w:val="284245F4"/>
    <w:rsid w:val="29FD04D3"/>
    <w:rsid w:val="2A0B7C36"/>
    <w:rsid w:val="2C167B61"/>
    <w:rsid w:val="2CB66EDD"/>
    <w:rsid w:val="2CFF2EA7"/>
    <w:rsid w:val="2D055209"/>
    <w:rsid w:val="2EEE4DC9"/>
    <w:rsid w:val="304B5BCA"/>
    <w:rsid w:val="30517EB5"/>
    <w:rsid w:val="319F7F4E"/>
    <w:rsid w:val="33C74114"/>
    <w:rsid w:val="33CF60B2"/>
    <w:rsid w:val="35406AB9"/>
    <w:rsid w:val="35FA778A"/>
    <w:rsid w:val="36985DEE"/>
    <w:rsid w:val="36CE20B3"/>
    <w:rsid w:val="36FB67A8"/>
    <w:rsid w:val="374E758F"/>
    <w:rsid w:val="37E92EFC"/>
    <w:rsid w:val="388D75E1"/>
    <w:rsid w:val="399D75B1"/>
    <w:rsid w:val="3A0C6C83"/>
    <w:rsid w:val="3A226BBA"/>
    <w:rsid w:val="3C982F8A"/>
    <w:rsid w:val="3D3E4063"/>
    <w:rsid w:val="3DDC7D0E"/>
    <w:rsid w:val="3E760EDF"/>
    <w:rsid w:val="404E034F"/>
    <w:rsid w:val="41B30540"/>
    <w:rsid w:val="428F2C63"/>
    <w:rsid w:val="42FB67B8"/>
    <w:rsid w:val="432F2CEF"/>
    <w:rsid w:val="434975B7"/>
    <w:rsid w:val="436C0687"/>
    <w:rsid w:val="43F73CA1"/>
    <w:rsid w:val="448873FE"/>
    <w:rsid w:val="451E23F2"/>
    <w:rsid w:val="453E098F"/>
    <w:rsid w:val="46976882"/>
    <w:rsid w:val="46C86BD4"/>
    <w:rsid w:val="46CC3F53"/>
    <w:rsid w:val="46EF5235"/>
    <w:rsid w:val="48764951"/>
    <w:rsid w:val="4A472B86"/>
    <w:rsid w:val="4BAA4ADF"/>
    <w:rsid w:val="4BDB2B3A"/>
    <w:rsid w:val="4DA374F1"/>
    <w:rsid w:val="4E5C462F"/>
    <w:rsid w:val="4E874766"/>
    <w:rsid w:val="5018417E"/>
    <w:rsid w:val="51C46F14"/>
    <w:rsid w:val="5209703C"/>
    <w:rsid w:val="53453368"/>
    <w:rsid w:val="536B7F0B"/>
    <w:rsid w:val="537B4B29"/>
    <w:rsid w:val="543B2AFB"/>
    <w:rsid w:val="555B779E"/>
    <w:rsid w:val="559B3047"/>
    <w:rsid w:val="56234A8B"/>
    <w:rsid w:val="5736075F"/>
    <w:rsid w:val="57A21EB6"/>
    <w:rsid w:val="58127652"/>
    <w:rsid w:val="5841402D"/>
    <w:rsid w:val="58556135"/>
    <w:rsid w:val="5993015A"/>
    <w:rsid w:val="5A2B1599"/>
    <w:rsid w:val="5A392FEB"/>
    <w:rsid w:val="5ABD20C1"/>
    <w:rsid w:val="5B192605"/>
    <w:rsid w:val="5B307BA6"/>
    <w:rsid w:val="5B653A11"/>
    <w:rsid w:val="5BFE09E4"/>
    <w:rsid w:val="5C73053F"/>
    <w:rsid w:val="5FD477C1"/>
    <w:rsid w:val="5FDE1CAC"/>
    <w:rsid w:val="5FFA383F"/>
    <w:rsid w:val="60B63E04"/>
    <w:rsid w:val="61102523"/>
    <w:rsid w:val="626E3218"/>
    <w:rsid w:val="62EE4C69"/>
    <w:rsid w:val="6314550F"/>
    <w:rsid w:val="63A65884"/>
    <w:rsid w:val="64DC7F8A"/>
    <w:rsid w:val="64EB0C66"/>
    <w:rsid w:val="654E0922"/>
    <w:rsid w:val="66FE35B2"/>
    <w:rsid w:val="67084ADE"/>
    <w:rsid w:val="675A4F7B"/>
    <w:rsid w:val="679B6483"/>
    <w:rsid w:val="67F7426D"/>
    <w:rsid w:val="689A5001"/>
    <w:rsid w:val="68AF4E32"/>
    <w:rsid w:val="69125F3D"/>
    <w:rsid w:val="696157D6"/>
    <w:rsid w:val="69905B55"/>
    <w:rsid w:val="6A070B46"/>
    <w:rsid w:val="6A7C30E0"/>
    <w:rsid w:val="6B7F3207"/>
    <w:rsid w:val="6BD57A82"/>
    <w:rsid w:val="6C732E3A"/>
    <w:rsid w:val="6CB362BA"/>
    <w:rsid w:val="6F3224AE"/>
    <w:rsid w:val="70076872"/>
    <w:rsid w:val="706B7283"/>
    <w:rsid w:val="707035EA"/>
    <w:rsid w:val="713A6422"/>
    <w:rsid w:val="7172401D"/>
    <w:rsid w:val="75117905"/>
    <w:rsid w:val="75282356"/>
    <w:rsid w:val="763E2684"/>
    <w:rsid w:val="76B26512"/>
    <w:rsid w:val="76D82155"/>
    <w:rsid w:val="770C6932"/>
    <w:rsid w:val="771A22E7"/>
    <w:rsid w:val="776B7A5A"/>
    <w:rsid w:val="776E00BF"/>
    <w:rsid w:val="78141B6B"/>
    <w:rsid w:val="78722F22"/>
    <w:rsid w:val="78BC2730"/>
    <w:rsid w:val="78C439F5"/>
    <w:rsid w:val="78D13438"/>
    <w:rsid w:val="79621BB1"/>
    <w:rsid w:val="7A6A0C17"/>
    <w:rsid w:val="7B59407C"/>
    <w:rsid w:val="7CAC0E53"/>
    <w:rsid w:val="7DB146BC"/>
    <w:rsid w:val="7DF66132"/>
    <w:rsid w:val="7E0F63F1"/>
    <w:rsid w:val="7E3D78FE"/>
    <w:rsid w:val="7E5B7C5D"/>
    <w:rsid w:val="7EDB4D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8">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rPr>
      <w:szCs w:val="20"/>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page number"/>
    <w:basedOn w:val="14"/>
    <w:qFormat/>
    <w:uiPriority w:val="0"/>
  </w:style>
  <w:style w:type="character" w:styleId="17">
    <w:name w:val="Hyperlink"/>
    <w:basedOn w:val="14"/>
    <w:unhideWhenUsed/>
    <w:qFormat/>
    <w:uiPriority w:val="99"/>
    <w:rPr>
      <w:color w:val="0000FF" w:themeColor="hyperlink"/>
      <w:u w:val="single"/>
      <w14:textFill>
        <w14:solidFill>
          <w14:schemeClr w14:val="hlink"/>
        </w14:solidFill>
      </w14:textFill>
    </w:rPr>
  </w:style>
  <w:style w:type="character" w:customStyle="1" w:styleId="19">
    <w:name w:val="Header Char"/>
    <w:basedOn w:val="14"/>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4"/>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4"/>
    <w:semiHidden/>
    <w:qFormat/>
    <w:uiPriority w:val="99"/>
    <w:rPr>
      <w:rFonts w:ascii="Times New Roman" w:hAnsi="Times New Roman"/>
      <w:szCs w:val="24"/>
    </w:rPr>
  </w:style>
  <w:style w:type="character" w:customStyle="1" w:styleId="24">
    <w:name w:val="正文文本 Char"/>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4"/>
    <w:link w:val="4"/>
    <w:qFormat/>
    <w:uiPriority w:val="9"/>
    <w:rPr>
      <w:rFonts w:ascii="Times New Roman" w:hAnsi="Times New Roman"/>
      <w:b/>
      <w:bCs/>
      <w:kern w:val="44"/>
      <w:sz w:val="44"/>
      <w:szCs w:val="44"/>
    </w:rPr>
  </w:style>
  <w:style w:type="character" w:customStyle="1" w:styleId="28">
    <w:name w:val="标题 2 Char"/>
    <w:basedOn w:val="14"/>
    <w:link w:val="5"/>
    <w:qFormat/>
    <w:uiPriority w:val="9"/>
    <w:rPr>
      <w:rFonts w:asciiTheme="majorHAnsi" w:hAnsiTheme="majorHAnsi" w:eastAsiaTheme="majorEastAsia" w:cstheme="majorBidi"/>
      <w:b/>
      <w:bCs/>
      <w:kern w:val="2"/>
      <w:sz w:val="32"/>
      <w:szCs w:val="32"/>
    </w:rPr>
  </w:style>
  <w:style w:type="paragraph" w:customStyle="1" w:styleId="29">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4"/>
    <w:link w:val="9"/>
    <w:semiHidden/>
    <w:qFormat/>
    <w:uiPriority w:val="99"/>
    <w:rPr>
      <w:rFonts w:ascii="Times New Roman" w:hAnsi="Times New Roman"/>
      <w:kern w:val="2"/>
      <w:sz w:val="18"/>
      <w:szCs w:val="18"/>
    </w:rPr>
  </w:style>
  <w:style w:type="character" w:customStyle="1" w:styleId="31">
    <w:name w:val="标题 3 Char"/>
    <w:basedOn w:val="14"/>
    <w:link w:val="6"/>
    <w:qFormat/>
    <w:uiPriority w:val="9"/>
    <w:rPr>
      <w:rFonts w:ascii="Times New Roman" w:hAnsi="Times New Roman"/>
      <w:b/>
      <w:bCs/>
      <w:kern w:val="2"/>
      <w:sz w:val="32"/>
      <w:szCs w:val="32"/>
    </w:rPr>
  </w:style>
  <w:style w:type="paragraph" w:customStyle="1" w:styleId="32">
    <w:name w:val="四号正文"/>
    <w:basedOn w:val="1"/>
    <w:qFormat/>
    <w:uiPriority w:val="0"/>
    <w:pPr>
      <w:keepNext w:val="0"/>
      <w:keepLines w:val="0"/>
      <w:widowControl w:val="0"/>
      <w:suppressLineNumbers w:val="0"/>
      <w:spacing w:before="0" w:beforeAutospacing="0" w:after="0" w:afterAutospacing="0" w:line="360" w:lineRule="auto"/>
      <w:ind w:left="0" w:right="0"/>
      <w:jc w:val="both"/>
    </w:pPr>
    <w:rPr>
      <w:rFonts w:hint="default" w:ascii="??" w:hAnsi="??" w:eastAsia="宋体" w:cs="Times New Roman"/>
      <w:color w:val="000000"/>
      <w:kern w:val="0"/>
      <w:sz w:val="28"/>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144.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32593;&#21543;.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www%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144.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144.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144.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14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收入支出变动情况</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manualLayout>
          <c:xMode val="edge"/>
          <c:yMode val="edge"/>
          <c:x val="0.349166666666667"/>
          <c:y val="0.0173611111111111"/>
        </c:manualLayout>
      </c:layout>
      <c:overlay val="0"/>
      <c:spPr>
        <a:noFill/>
        <a:ln>
          <a:noFill/>
        </a:ln>
        <a:effectLst/>
      </c:spPr>
    </c:title>
    <c:autoTitleDeleted val="0"/>
    <c:plotArea>
      <c:layout>
        <c:manualLayout>
          <c:layoutTarget val="inner"/>
          <c:xMode val="edge"/>
          <c:yMode val="edge"/>
          <c:x val="0.0684166666666667"/>
          <c:y val="0.172916666666667"/>
          <c:w val="0.901027777777778"/>
          <c:h val="0.606805555555556"/>
        </c:manualLayout>
      </c:layout>
      <c:barChart>
        <c:barDir val="col"/>
        <c:grouping val="clustered"/>
        <c:varyColors val="0"/>
        <c:ser>
          <c:idx val="0"/>
          <c:order val="0"/>
          <c:tx>
            <c:strRef>
              <c:f>[144.xlsx]Sheet1!$A$4</c:f>
              <c:strCache>
                <c:ptCount val="1"/>
                <c:pt idx="0">
                  <c:v>2018年</c:v>
                </c:pt>
              </c:strCache>
            </c:strRef>
          </c:tx>
          <c:spPr>
            <a:solidFill>
              <a:schemeClr val="accent1"/>
            </a:solidFill>
            <a:ln>
              <a:noFill/>
            </a:ln>
            <a:effectLst/>
          </c:spPr>
          <c:invertIfNegative val="0"/>
          <c:dLbls>
            <c:delete val="1"/>
          </c:dLbls>
          <c:cat>
            <c:strRef>
              <c:f>[144.xlsx]Sheet1!$B$3:$C$3</c:f>
              <c:strCache>
                <c:ptCount val="2"/>
                <c:pt idx="0">
                  <c:v>收入</c:v>
                </c:pt>
                <c:pt idx="1">
                  <c:v>支出</c:v>
                </c:pt>
              </c:strCache>
            </c:strRef>
          </c:cat>
          <c:val>
            <c:numRef>
              <c:f>[144.xlsx]Sheet1!$B$4:$C$4</c:f>
              <c:numCache>
                <c:formatCode>General</c:formatCode>
                <c:ptCount val="2"/>
                <c:pt idx="0">
                  <c:v>1908.08</c:v>
                </c:pt>
                <c:pt idx="1">
                  <c:v>2079.31</c:v>
                </c:pt>
              </c:numCache>
            </c:numRef>
          </c:val>
        </c:ser>
        <c:ser>
          <c:idx val="1"/>
          <c:order val="1"/>
          <c:tx>
            <c:strRef>
              <c:f>[144.xlsx]Sheet1!$A$5</c:f>
              <c:strCache>
                <c:ptCount val="1"/>
                <c:pt idx="0">
                  <c:v>2017年</c:v>
                </c:pt>
              </c:strCache>
            </c:strRef>
          </c:tx>
          <c:spPr>
            <a:solidFill>
              <a:schemeClr val="accent2"/>
            </a:solidFill>
            <a:ln>
              <a:noFill/>
            </a:ln>
            <a:effectLst/>
          </c:spPr>
          <c:invertIfNegative val="0"/>
          <c:dLbls>
            <c:delete val="1"/>
          </c:dLbls>
          <c:cat>
            <c:strRef>
              <c:f>[144.xlsx]Sheet1!$B$3:$C$3</c:f>
              <c:strCache>
                <c:ptCount val="2"/>
                <c:pt idx="0">
                  <c:v>收入</c:v>
                </c:pt>
                <c:pt idx="1">
                  <c:v>支出</c:v>
                </c:pt>
              </c:strCache>
            </c:strRef>
          </c:cat>
          <c:val>
            <c:numRef>
              <c:f>[144.xlsx]Sheet1!$B$5:$C$5</c:f>
              <c:numCache>
                <c:formatCode>General</c:formatCode>
                <c:ptCount val="2"/>
                <c:pt idx="0">
                  <c:v>1021.71</c:v>
                </c:pt>
                <c:pt idx="1">
                  <c:v>977.88</c:v>
                </c:pt>
              </c:numCache>
            </c:numRef>
          </c:val>
        </c:ser>
        <c:dLbls>
          <c:showLegendKey val="0"/>
          <c:showVal val="0"/>
          <c:showCatName val="0"/>
          <c:showSerName val="0"/>
          <c:showPercent val="0"/>
          <c:showBubbleSize val="0"/>
        </c:dLbls>
        <c:gapWidth val="219"/>
        <c:overlap val="-27"/>
        <c:axId val="238785985"/>
        <c:axId val="914238220"/>
      </c:barChart>
      <c:catAx>
        <c:axId val="23878598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4238220"/>
        <c:crosses val="autoZero"/>
        <c:auto val="1"/>
        <c:lblAlgn val="ctr"/>
        <c:lblOffset val="100"/>
        <c:noMultiLvlLbl val="0"/>
      </c:catAx>
      <c:valAx>
        <c:axId val="9142382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878598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[网吧.xlsx]Sheet2!$J$9:$L$9</c:f>
              <c:strCache>
                <c:ptCount val="3"/>
                <c:pt idx="0">
                  <c:v>一般公共预算财政拨款收入</c:v>
                </c:pt>
                <c:pt idx="1">
                  <c:v>政府性基金预算财政拨款收入</c:v>
                </c:pt>
                <c:pt idx="2">
                  <c:v>利息收入</c:v>
                </c:pt>
              </c:strCache>
            </c:strRef>
          </c:cat>
          <c:val>
            <c:numRef>
              <c:f>[网吧.xlsx]Sheet2!$J$10:$L$10</c:f>
              <c:numCache>
                <c:formatCode>General</c:formatCode>
                <c:ptCount val="3"/>
                <c:pt idx="0">
                  <c:v>1115.59</c:v>
                </c:pt>
                <c:pt idx="1">
                  <c:v>792.42</c:v>
                </c:pt>
                <c:pt idx="2">
                  <c:v>0.074</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[网吧.xlsx]Sheet2!$J$9:$L$9</c:f>
              <c:strCache>
                <c:ptCount val="3"/>
                <c:pt idx="0">
                  <c:v>一般公共预算财政拨款收入</c:v>
                </c:pt>
                <c:pt idx="1">
                  <c:v>政府性基金预算财政拨款收入</c:v>
                </c:pt>
                <c:pt idx="2">
                  <c:v>利息收入</c:v>
                </c:pt>
              </c:strCache>
            </c:strRef>
          </c:cat>
          <c:val>
            <c:numRef>
              <c:f>[网吧.xlsx]Sheet2!$J$11:$L$11</c:f>
              <c:numCache>
                <c:formatCode>0.00%</c:formatCode>
                <c:ptCount val="3"/>
                <c:pt idx="0">
                  <c:v>0.5847</c:v>
                </c:pt>
                <c:pt idx="1">
                  <c:v>0.4153</c:v>
                </c:pt>
                <c:pt idx="2">
                  <c:v>3e-5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a:t>
            </a:r>
          </a:p>
        </c:rich>
      </c:tx>
      <c:layout/>
      <c:overlay val="0"/>
      <c:spPr>
        <a:noFill/>
        <a:ln>
          <a:noFill/>
        </a:ln>
        <a:effectLst/>
      </c:spPr>
    </c:title>
    <c:autoTitleDeleted val="0"/>
    <c:plotArea>
      <c:layout/>
      <c:pieChart>
        <c:varyColors val="1"/>
        <c:ser>
          <c:idx val="0"/>
          <c:order val="0"/>
          <c:tx>
            <c:strRef>
              <c:f>'[www .xlsx]Sheet1'!$C$1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'[www .xlsx]Sheet1'!$A$2:$B$3</c:f>
              <c:multiLvlStrCache>
                <c:ptCount val="2"/>
                <c:lvl>
                  <c:pt idx="0">
                    <c:v>446.78万元</c:v>
                  </c:pt>
                  <c:pt idx="1">
                    <c:v>1632.53万元</c:v>
                  </c:pt>
                </c:lvl>
                <c:lvl>
                  <c:pt idx="0">
                    <c:v>基本支出</c:v>
                  </c:pt>
                  <c:pt idx="1">
                    <c:v>项目支出</c:v>
                  </c:pt>
                </c:lvl>
              </c:multiLvlStrCache>
            </c:multiLvlStrRef>
          </c:cat>
          <c:val>
            <c:numRef>
              <c:f>'[www .xlsx]Sheet1'!$C$2:$C$3</c:f>
              <c:numCache>
                <c:formatCode>0.00%</c:formatCode>
                <c:ptCount val="2"/>
                <c:pt idx="0">
                  <c:v>0.2149</c:v>
                </c:pt>
                <c:pt idx="1">
                  <c:v>0.7851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财政拨款收入支出变动情况</a:t>
            </a:r>
          </a:p>
        </c:rich>
      </c:tx>
      <c:layout/>
      <c:overlay val="0"/>
      <c:spPr>
        <a:noFill/>
        <a:ln>
          <a:noFill/>
        </a:ln>
        <a:effectLst/>
      </c:spPr>
    </c:title>
    <c:autoTitleDeleted val="0"/>
    <c:plotArea>
      <c:layout/>
      <c:barChart>
        <c:barDir val="col"/>
        <c:grouping val="clustered"/>
        <c:varyColors val="0"/>
        <c:ser>
          <c:idx val="0"/>
          <c:order val="0"/>
          <c:tx>
            <c:strRef>
              <c:f>[144.xlsx]Sheet1!$J$18</c:f>
              <c:strCache>
                <c:ptCount val="1"/>
                <c:pt idx="0">
                  <c:v>2018</c:v>
                </c:pt>
              </c:strCache>
            </c:strRef>
          </c:tx>
          <c:spPr>
            <a:solidFill>
              <a:schemeClr val="accent1"/>
            </a:solidFill>
            <a:ln>
              <a:noFill/>
            </a:ln>
            <a:effectLst/>
          </c:spPr>
          <c:invertIfNegative val="0"/>
          <c:dLbls>
            <c:delete val="1"/>
          </c:dLbls>
          <c:cat>
            <c:strRef>
              <c:f>[144.xlsx]Sheet1!$K$17:$L$17</c:f>
              <c:strCache>
                <c:ptCount val="2"/>
                <c:pt idx="0">
                  <c:v>收入</c:v>
                </c:pt>
                <c:pt idx="1">
                  <c:v>支出</c:v>
                </c:pt>
              </c:strCache>
            </c:strRef>
          </c:cat>
          <c:val>
            <c:numRef>
              <c:f>[144.xlsx]Sheet1!$K$18:$L$18</c:f>
              <c:numCache>
                <c:formatCode>General</c:formatCode>
                <c:ptCount val="2"/>
                <c:pt idx="0">
                  <c:v>1908.01</c:v>
                </c:pt>
                <c:pt idx="1">
                  <c:v>2079.31</c:v>
                </c:pt>
              </c:numCache>
            </c:numRef>
          </c:val>
        </c:ser>
        <c:ser>
          <c:idx val="1"/>
          <c:order val="1"/>
          <c:tx>
            <c:strRef>
              <c:f>[144.xlsx]Sheet1!$J$19</c:f>
              <c:strCache>
                <c:ptCount val="1"/>
                <c:pt idx="0">
                  <c:v>2017</c:v>
                </c:pt>
              </c:strCache>
            </c:strRef>
          </c:tx>
          <c:spPr>
            <a:solidFill>
              <a:schemeClr val="accent2"/>
            </a:solidFill>
            <a:ln>
              <a:noFill/>
            </a:ln>
            <a:effectLst/>
          </c:spPr>
          <c:invertIfNegative val="0"/>
          <c:dLbls>
            <c:delete val="1"/>
          </c:dLbls>
          <c:cat>
            <c:strRef>
              <c:f>[144.xlsx]Sheet1!$K$17:$L$17</c:f>
              <c:strCache>
                <c:ptCount val="2"/>
                <c:pt idx="0">
                  <c:v>收入</c:v>
                </c:pt>
                <c:pt idx="1">
                  <c:v>支出</c:v>
                </c:pt>
              </c:strCache>
            </c:strRef>
          </c:cat>
          <c:val>
            <c:numRef>
              <c:f>[144.xlsx]Sheet1!$K$19:$L$19</c:f>
              <c:numCache>
                <c:formatCode>General</c:formatCode>
                <c:ptCount val="2"/>
                <c:pt idx="0">
                  <c:v>1021.06</c:v>
                </c:pt>
                <c:pt idx="1">
                  <c:v>977.88</c:v>
                </c:pt>
              </c:numCache>
            </c:numRef>
          </c:val>
        </c:ser>
        <c:dLbls>
          <c:showLegendKey val="0"/>
          <c:showVal val="0"/>
          <c:showCatName val="0"/>
          <c:showSerName val="0"/>
          <c:showPercent val="0"/>
          <c:showBubbleSize val="0"/>
        </c:dLbls>
        <c:gapWidth val="219"/>
        <c:overlap val="-27"/>
        <c:axId val="548957122"/>
        <c:axId val="807833010"/>
      </c:barChart>
      <c:catAx>
        <c:axId val="54895712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7833010"/>
        <c:crosses val="autoZero"/>
        <c:auto val="1"/>
        <c:lblAlgn val="ctr"/>
        <c:lblOffset val="100"/>
        <c:noMultiLvlLbl val="0"/>
      </c:catAx>
      <c:valAx>
        <c:axId val="80783301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895712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[144.xlsx]Sheet1!$K$16:$K$17</c:f>
              <c:strCache>
                <c:ptCount val="1"/>
                <c:pt idx="0">
                  <c:v>公共预算财政拨款支出</c:v>
                </c:pt>
              </c:strCache>
            </c:strRef>
          </c:tx>
          <c:spPr>
            <a:solidFill>
              <a:schemeClr val="accent1"/>
            </a:solidFill>
            <a:ln>
              <a:noFill/>
            </a:ln>
            <a:effectLst/>
          </c:spPr>
          <c:invertIfNegative val="0"/>
          <c:dLbls>
            <c:delete val="1"/>
          </c:dLbls>
          <c:cat>
            <c:numRef>
              <c:f>[144.xlsx]Sheet1!$J$18:$J$19</c:f>
              <c:numCache>
                <c:formatCode>General</c:formatCode>
                <c:ptCount val="2"/>
                <c:pt idx="0">
                  <c:v>2018</c:v>
                </c:pt>
                <c:pt idx="1">
                  <c:v>2017</c:v>
                </c:pt>
              </c:numCache>
            </c:numRef>
          </c:cat>
          <c:val>
            <c:numRef>
              <c:f>[144.xlsx]Sheet1!$K$18:$K$19</c:f>
              <c:numCache>
                <c:formatCode>General</c:formatCode>
                <c:ptCount val="2"/>
                <c:pt idx="0">
                  <c:v>1396.29</c:v>
                </c:pt>
                <c:pt idx="1">
                  <c:v>880.44</c:v>
                </c:pt>
              </c:numCache>
            </c:numRef>
          </c:val>
        </c:ser>
        <c:dLbls>
          <c:showLegendKey val="0"/>
          <c:showVal val="0"/>
          <c:showCatName val="0"/>
          <c:showSerName val="0"/>
          <c:showPercent val="0"/>
          <c:showBubbleSize val="0"/>
        </c:dLbls>
        <c:gapWidth val="219"/>
        <c:overlap val="-27"/>
        <c:axId val="610491100"/>
        <c:axId val="917621167"/>
      </c:barChart>
      <c:catAx>
        <c:axId val="6104911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7621167"/>
        <c:crosses val="autoZero"/>
        <c:auto val="1"/>
        <c:lblAlgn val="ctr"/>
        <c:lblOffset val="100"/>
        <c:noMultiLvlLbl val="0"/>
      </c:catAx>
      <c:valAx>
        <c:axId val="917621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04911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[144.xlsx]Sheet1!$B$40:$B$45</c:f>
              <c:strCache>
                <c:ptCount val="6"/>
                <c:pt idx="0">
                  <c:v>社会保障和就业</c:v>
                </c:pt>
                <c:pt idx="1">
                  <c:v>医疗卫生</c:v>
                </c:pt>
                <c:pt idx="2">
                  <c:v>住房保障</c:v>
                </c:pt>
                <c:pt idx="3">
                  <c:v>其他国土海洋气象</c:v>
                </c:pt>
                <c:pt idx="4">
                  <c:v>地震事务</c:v>
                </c:pt>
                <c:pt idx="5">
                  <c:v>国土资源事务</c:v>
                </c:pt>
              </c:strCache>
            </c:strRef>
          </c:cat>
          <c:val>
            <c:numRef>
              <c:f>[144.xlsx]Sheet1!$C$40:$C$45</c:f>
              <c:numCache>
                <c:formatCode>General</c:formatCode>
                <c:ptCount val="6"/>
                <c:pt idx="0">
                  <c:v>63.65</c:v>
                </c:pt>
                <c:pt idx="1">
                  <c:v>19.38</c:v>
                </c:pt>
                <c:pt idx="2">
                  <c:v>28.54</c:v>
                </c:pt>
                <c:pt idx="3">
                  <c:v>80.4</c:v>
                </c:pt>
                <c:pt idx="4">
                  <c:v>1</c:v>
                </c:pt>
                <c:pt idx="5">
                  <c:v>1203.31</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[144.xlsx]Sheet1!$B$40:$B$45</c:f>
              <c:strCache>
                <c:ptCount val="6"/>
                <c:pt idx="0">
                  <c:v>社会保障和就业</c:v>
                </c:pt>
                <c:pt idx="1">
                  <c:v>医疗卫生</c:v>
                </c:pt>
                <c:pt idx="2">
                  <c:v>住房保障</c:v>
                </c:pt>
                <c:pt idx="3">
                  <c:v>其他国土海洋气象</c:v>
                </c:pt>
                <c:pt idx="4">
                  <c:v>地震事务</c:v>
                </c:pt>
                <c:pt idx="5">
                  <c:v>国土资源事务</c:v>
                </c:pt>
              </c:strCache>
            </c:strRef>
          </c:cat>
          <c:val>
            <c:numRef>
              <c:f>[144.xlsx]Sheet1!$D$40:$D$45</c:f>
              <c:numCache>
                <c:formatCode>0.00%</c:formatCode>
                <c:ptCount val="6"/>
                <c:pt idx="0">
                  <c:v>0.0456</c:v>
                </c:pt>
                <c:pt idx="1">
                  <c:v>0.0139</c:v>
                </c:pt>
                <c:pt idx="2">
                  <c:v>0.0204</c:v>
                </c:pt>
                <c:pt idx="3">
                  <c:v>0.0576</c:v>
                </c:pt>
                <c:pt idx="4">
                  <c:v>0.0007</c:v>
                </c:pt>
                <c:pt idx="5">
                  <c:v>0.8618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[144.xlsx]Sheet1!$C$35:$D$37</c:f>
              <c:multiLvlStrCache>
                <c:ptCount val="3"/>
                <c:lvl>
                  <c:pt idx="0">
                    <c:v>0万元</c:v>
                  </c:pt>
                  <c:pt idx="1">
                    <c:v>3.5万元</c:v>
                  </c:pt>
                  <c:pt idx="2">
                    <c:v>0.44万元</c:v>
                  </c:pt>
                </c:lvl>
                <c:lvl>
                  <c:pt idx="0">
                    <c:v>因公出国（境）费支出</c:v>
                  </c:pt>
                  <c:pt idx="1">
                    <c:v>公务用车购置及运行维护费</c:v>
                  </c:pt>
                  <c:pt idx="2">
                    <c:v>公务接待费支出</c:v>
                  </c:pt>
                </c:lvl>
              </c:multiLvlStrCache>
            </c:multiLvlStrRef>
          </c:cat>
          <c:val>
            <c:numRef>
              <c:f>[144.xlsx]Sheet1!$E$35:$E$37</c:f>
              <c:numCache>
                <c:formatCode>0%</c:formatCode>
                <c:ptCount val="3"/>
                <c:pt idx="0">
                  <c:v>0</c:v>
                </c:pt>
                <c:pt idx="1" c:formatCode="0.00%">
                  <c:v>0.8883</c:v>
                </c:pt>
                <c:pt idx="2" c:formatCode="0.00%">
                  <c:v>0.1117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ScaleCrop>false</ScaleCrop>
  <LinksUpToDate>false</LinksUpToDate>
  <CharactersWithSpaces>9641</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LENOVO</cp:lastModifiedBy>
  <cp:lastPrinted>2019-08-01T00:48:00Z</cp:lastPrinted>
  <dcterms:modified xsi:type="dcterms:W3CDTF">2019-09-02T01:24:30Z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