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pacing w:line="600" w:lineRule="exact"/>
        <w:jc w:val="center"/>
        <w:outlineLvl w:val="0"/>
        <w:rPr>
          <w:rFonts w:ascii="方正小标宋简体" w:hAnsi="宋体" w:eastAsia="方正小标宋简体"/>
          <w:color w:val="000000"/>
          <w:sz w:val="72"/>
          <w:szCs w:val="72"/>
        </w:rPr>
      </w:pPr>
      <w:bookmarkStart w:id="1" w:name="_Toc15396599"/>
      <w:bookmarkStart w:id="2" w:name="_Toc15377196"/>
    </w:p>
    <w:p>
      <w:pPr>
        <w:adjustRightInd w:val="0"/>
        <w:snapToGrid w:val="0"/>
        <w:spacing w:line="360" w:lineRule="auto"/>
        <w:jc w:val="center"/>
        <w:outlineLvl w:val="0"/>
        <w:rPr>
          <w:rFonts w:ascii="方正小标宋简体" w:hAnsi="宋体" w:eastAsia="方正小标宋简体"/>
          <w:color w:val="000000"/>
          <w:sz w:val="72"/>
          <w:szCs w:val="72"/>
        </w:rPr>
      </w:pPr>
      <w:bookmarkStart w:id="3" w:name="_Toc15396475"/>
      <w:bookmarkStart w:id="4" w:name="_Toc15378441"/>
      <w:bookmarkStart w:id="5" w:name="_Toc15377425"/>
      <w:bookmarkStart w:id="6" w:name="_Toc15377193"/>
      <w:bookmarkStart w:id="7"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8442"/>
      <w:bookmarkStart w:id="9" w:name="_Toc15377194"/>
      <w:bookmarkStart w:id="10" w:name="_Toc15396598"/>
      <w:bookmarkStart w:id="11" w:name="_Toc15396476"/>
      <w:bookmarkStart w:id="12"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3" w:name="_Toc15306268"/>
      <w:r>
        <w:rPr>
          <w:rFonts w:hint="eastAsia" w:ascii="方正小标宋简体" w:hAnsi="宋体" w:eastAsia="方正小标宋简体"/>
          <w:color w:val="000000"/>
          <w:sz w:val="72"/>
          <w:szCs w:val="72"/>
          <w:lang w:val="en-US" w:eastAsia="zh-CN"/>
        </w:rPr>
        <w:t>林业和草原局</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Fonts w:hint="eastAsia"/>
        </w:rPr>
        <w:fldChar w:fldCharType="end"/>
      </w:r>
    </w:p>
    <w:p>
      <w:pPr>
        <w:pStyle w:val="12"/>
        <w:rPr>
          <w:rFonts w:hint="default" w:ascii="仿宋" w:hAnsi="仿宋" w:eastAsia="仿宋" w:cstheme="minorBidi"/>
          <w:sz w:val="28"/>
          <w:szCs w:val="28"/>
          <w:lang w:val="en-US" w:eastAsia="zh-CN"/>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hint="eastAsia" w:ascii="仿宋" w:hAnsi="仿宋" w:eastAsia="仿宋"/>
          <w:sz w:val="28"/>
          <w:szCs w:val="28"/>
        </w:rPr>
        <w:fldChar w:fldCharType="end"/>
      </w:r>
      <w:r>
        <w:rPr>
          <w:rFonts w:hint="eastAsia" w:ascii="仿宋" w:hAnsi="仿宋" w:eastAsia="仿宋"/>
          <w:sz w:val="28"/>
          <w:szCs w:val="28"/>
          <w:lang w:val="en-US" w:eastAsia="zh-CN"/>
        </w:rPr>
        <w:t>..................................4</w:t>
      </w:r>
    </w:p>
    <w:p>
      <w:pPr>
        <w:pStyle w:val="12"/>
        <w:rPr>
          <w:rFonts w:hint="default" w:ascii="仿宋" w:hAnsi="仿宋" w:eastAsia="仿宋" w:cstheme="minorBidi"/>
          <w:sz w:val="28"/>
          <w:szCs w:val="28"/>
          <w:lang w:val="en-US" w:eastAsia="zh-CN"/>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w:t>
      </w:r>
      <w:r>
        <w:rPr>
          <w:rStyle w:val="17"/>
          <w:rFonts w:hint="eastAsia"/>
          <w:lang w:val="en-US" w:eastAsia="zh-CN"/>
        </w:rPr>
        <w:t>9</w:t>
      </w:r>
      <w:r>
        <w:rPr>
          <w:rStyle w:val="17"/>
          <w:rFonts w:hint="eastAsia"/>
        </w:rPr>
        <w:t>年度部门决算情况说明</w:t>
      </w:r>
      <w:r>
        <w:fldChar w:fldCharType="end"/>
      </w:r>
    </w:p>
    <w:p>
      <w:pPr>
        <w:pStyle w:val="12"/>
        <w:rPr>
          <w:rFonts w:hint="default" w:ascii="仿宋" w:hAnsi="仿宋" w:eastAsia="仿宋" w:cstheme="minorBidi"/>
          <w:sz w:val="28"/>
          <w:szCs w:val="28"/>
          <w:lang w:val="en-US" w:eastAsia="zh-CN"/>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fldChar w:fldCharType="end"/>
      </w:r>
      <w:r>
        <w:rPr>
          <w:rFonts w:hint="eastAsia" w:ascii="仿宋" w:hAnsi="仿宋" w:eastAsia="仿宋"/>
          <w:sz w:val="28"/>
          <w:szCs w:val="28"/>
          <w:lang w:val="en-US" w:eastAsia="zh-CN"/>
        </w:rPr>
        <w:t>...........................10</w:t>
      </w:r>
    </w:p>
    <w:p>
      <w:pPr>
        <w:pStyle w:val="12"/>
        <w:rPr>
          <w:rFonts w:hint="default" w:ascii="仿宋" w:hAnsi="仿宋" w:eastAsia="仿宋" w:cstheme="minorBidi"/>
          <w:sz w:val="28"/>
          <w:szCs w:val="28"/>
          <w:lang w:val="en-US" w:eastAsia="zh-CN"/>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fldChar w:fldCharType="end"/>
      </w:r>
      <w:r>
        <w:rPr>
          <w:rFonts w:hint="eastAsia" w:ascii="仿宋" w:hAnsi="仿宋" w:eastAsia="仿宋"/>
          <w:sz w:val="28"/>
          <w:szCs w:val="28"/>
          <w:lang w:val="en-US" w:eastAsia="zh-CN"/>
        </w:rPr>
        <w:t>...................................10</w:t>
      </w:r>
    </w:p>
    <w:p>
      <w:pPr>
        <w:pStyle w:val="12"/>
        <w:rPr>
          <w:rFonts w:hint="default" w:ascii="仿宋" w:hAnsi="仿宋" w:eastAsia="仿宋" w:cstheme="minorBidi"/>
          <w:sz w:val="28"/>
          <w:szCs w:val="28"/>
          <w:lang w:val="en-US" w:eastAsia="zh-CN"/>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fldChar w:fldCharType="end"/>
      </w:r>
      <w:r>
        <w:rPr>
          <w:rFonts w:hint="eastAsia" w:ascii="仿宋" w:hAnsi="仿宋" w:eastAsia="仿宋"/>
          <w:sz w:val="28"/>
          <w:szCs w:val="28"/>
          <w:lang w:val="en-US" w:eastAsia="zh-CN"/>
        </w:rPr>
        <w:t>...................................11</w:t>
      </w:r>
    </w:p>
    <w:p>
      <w:pPr>
        <w:pStyle w:val="12"/>
        <w:rPr>
          <w:rFonts w:hint="default" w:ascii="仿宋" w:hAnsi="仿宋" w:eastAsia="仿宋" w:cstheme="minorBidi"/>
          <w:sz w:val="28"/>
          <w:szCs w:val="28"/>
          <w:lang w:val="en-US" w:eastAsia="zh-CN"/>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r>
        <w:rPr>
          <w:rFonts w:hint="eastAsia" w:ascii="仿宋" w:hAnsi="仿宋" w:eastAsia="仿宋"/>
          <w:sz w:val="28"/>
          <w:szCs w:val="28"/>
          <w:lang w:val="en-US" w:eastAsia="zh-CN"/>
        </w:rPr>
        <w:t>...................12</w:t>
      </w:r>
    </w:p>
    <w:p>
      <w:pPr>
        <w:pStyle w:val="12"/>
        <w:rPr>
          <w:rFonts w:hint="default"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r>
        <w:rPr>
          <w:rFonts w:hint="eastAsia" w:ascii="仿宋" w:hAnsi="仿宋" w:eastAsia="仿宋"/>
          <w:sz w:val="28"/>
          <w:szCs w:val="28"/>
          <w:lang w:val="en-US" w:eastAsia="zh-CN"/>
        </w:rPr>
        <w:t>...............12</w:t>
      </w:r>
    </w:p>
    <w:p>
      <w:pPr>
        <w:pStyle w:val="12"/>
        <w:rPr>
          <w:rFonts w:hint="default"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r>
        <w:rPr>
          <w:rFonts w:hint="eastAsia" w:ascii="仿宋" w:hAnsi="仿宋" w:eastAsia="仿宋"/>
          <w:sz w:val="28"/>
          <w:szCs w:val="28"/>
          <w:lang w:val="en-US" w:eastAsia="zh-CN"/>
        </w:rPr>
        <w:t>...........16</w:t>
      </w:r>
    </w:p>
    <w:p>
      <w:pPr>
        <w:pStyle w:val="12"/>
        <w:rPr>
          <w:rFonts w:hint="default"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r>
        <w:rPr>
          <w:rFonts w:hint="eastAsia" w:ascii="仿宋" w:hAnsi="仿宋" w:eastAsia="仿宋"/>
          <w:sz w:val="28"/>
          <w:szCs w:val="28"/>
          <w:lang w:val="en-US" w:eastAsia="zh-CN"/>
        </w:rPr>
        <w:t>...............17</w:t>
      </w:r>
    </w:p>
    <w:p>
      <w:pPr>
        <w:pStyle w:val="12"/>
        <w:rPr>
          <w:rFonts w:hint="default"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r>
        <w:rPr>
          <w:rFonts w:hint="eastAsia" w:ascii="仿宋" w:hAnsi="仿宋" w:eastAsia="仿宋"/>
          <w:sz w:val="28"/>
          <w:szCs w:val="28"/>
          <w:lang w:val="en-US" w:eastAsia="zh-CN"/>
        </w:rPr>
        <w:t>.....................18</w:t>
      </w:r>
    </w:p>
    <w:p>
      <w:pPr>
        <w:pStyle w:val="12"/>
        <w:rPr>
          <w:rFonts w:hint="default" w:ascii="仿宋" w:hAnsi="仿宋" w:eastAsia="仿宋" w:cstheme="minorBidi"/>
          <w:sz w:val="28"/>
          <w:szCs w:val="28"/>
          <w:lang w:val="en-US" w:eastAsia="zh-CN"/>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r>
        <w:rPr>
          <w:rFonts w:hint="eastAsia" w:ascii="仿宋" w:hAnsi="仿宋" w:eastAsia="仿宋"/>
          <w:sz w:val="28"/>
          <w:szCs w:val="28"/>
          <w:lang w:val="en-US" w:eastAsia="zh-CN"/>
        </w:rPr>
        <w:t>..................19</w:t>
      </w:r>
    </w:p>
    <w:p>
      <w:pPr>
        <w:pStyle w:val="12"/>
        <w:rPr>
          <w:rFonts w:hint="default"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、其他重要事项的情况说明</w:t>
      </w:r>
      <w:r>
        <w:rPr>
          <w:rFonts w:ascii="仿宋" w:hAnsi="仿宋" w:eastAsia="仿宋"/>
          <w:sz w:val="28"/>
          <w:szCs w:val="28"/>
        </w:rPr>
        <w:fldChar w:fldCharType="end"/>
      </w:r>
      <w:r>
        <w:rPr>
          <w:rFonts w:hint="eastAsia" w:ascii="仿宋" w:hAnsi="仿宋" w:eastAsia="仿宋"/>
          <w:sz w:val="28"/>
          <w:szCs w:val="28"/>
          <w:lang w:val="en-US" w:eastAsia="zh-CN"/>
        </w:rPr>
        <w:t>.............................19</w:t>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2"/>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r>
        <w:rPr>
          <w:rFonts w:hint="eastAsia" w:ascii="仿宋" w:hAnsi="仿宋" w:eastAsia="仿宋"/>
          <w:sz w:val="28"/>
          <w:szCs w:val="28"/>
          <w:lang w:val="en-US" w:eastAsia="zh-CN"/>
        </w:rPr>
        <w:t>.................................................46</w:t>
      </w:r>
    </w:p>
    <w:p>
      <w:pPr>
        <w:pStyle w:val="12"/>
        <w:rPr>
          <w:rFonts w:hint="default" w:ascii="仿宋" w:hAnsi="仿宋" w:eastAsia="仿宋" w:cstheme="minorBidi"/>
          <w:sz w:val="28"/>
          <w:szCs w:val="28"/>
          <w:lang w:val="en-US" w:eastAsia="zh-CN"/>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fldChar w:fldCharType="end"/>
      </w:r>
      <w:r>
        <w:rPr>
          <w:rFonts w:hint="eastAsia" w:ascii="仿宋" w:hAnsi="仿宋" w:eastAsia="仿宋"/>
          <w:sz w:val="28"/>
          <w:szCs w:val="28"/>
          <w:lang w:val="en-US" w:eastAsia="zh-CN"/>
        </w:rPr>
        <w:t>.................................................56</w:t>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12"/>
        <w:rPr>
          <w:rFonts w:hint="default"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r>
        <w:rPr>
          <w:rFonts w:hint="eastAsia" w:ascii="仿宋" w:hAnsi="仿宋" w:eastAsia="仿宋"/>
          <w:sz w:val="28"/>
          <w:szCs w:val="28"/>
          <w:lang w:val="en-US" w:eastAsia="zh-CN"/>
        </w:rPr>
        <w:t>.......................77</w:t>
      </w:r>
    </w:p>
    <w:p>
      <w:pPr>
        <w:pStyle w:val="2"/>
        <w:jc w:val="center"/>
        <w:rPr>
          <w:rFonts w:ascii="仿宋" w:hAnsi="仿宋" w:eastAsia="仿宋"/>
          <w:color w:val="000000"/>
          <w:sz w:val="24"/>
        </w:rPr>
      </w:pPr>
      <w:r>
        <w:rPr>
          <w:rFonts w:ascii="仿宋" w:hAnsi="仿宋" w:eastAsia="仿宋"/>
          <w:color w:val="000000"/>
          <w:sz w:val="24"/>
        </w:rPr>
        <w:fldChar w:fldCharType="end"/>
      </w:r>
    </w:p>
    <w:p>
      <w:pPr>
        <w:pStyle w:val="2"/>
        <w:jc w:val="center"/>
        <w:rPr>
          <w:rFonts w:ascii="仿宋" w:hAnsi="仿宋" w:eastAsia="仿宋"/>
          <w:color w:val="000000"/>
          <w:sz w:val="24"/>
        </w:rPr>
      </w:pPr>
    </w:p>
    <w:p>
      <w:pPr>
        <w:pStyle w:val="2"/>
        <w:jc w:val="center"/>
        <w:rPr>
          <w:rFonts w:ascii="仿宋" w:hAnsi="仿宋" w:eastAsia="仿宋"/>
          <w:color w:val="000000"/>
          <w:sz w:val="24"/>
        </w:rPr>
      </w:pPr>
    </w:p>
    <w:p>
      <w:pPr>
        <w:pStyle w:val="2"/>
        <w:jc w:val="center"/>
        <w:rPr>
          <w:rFonts w:ascii="仿宋" w:hAnsi="仿宋" w:eastAsia="仿宋"/>
          <w:color w:val="000000"/>
          <w:sz w:val="24"/>
        </w:rPr>
      </w:pP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
      <w:bookmarkEnd w:id="2"/>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pStyle w:val="6"/>
        <w:adjustRightInd w:val="0"/>
        <w:snapToGrid w:val="0"/>
        <w:spacing w:before="93" w:line="560" w:lineRule="exact"/>
        <w:ind w:firstLine="672" w:firstLineChars="210"/>
        <w:outlineLvl w:val="2"/>
        <w:rPr>
          <w:sz w:val="32"/>
          <w:szCs w:val="32"/>
        </w:rPr>
      </w:pPr>
      <w:r>
        <w:rPr>
          <w:rFonts w:hint="eastAsia" w:ascii="宋体" w:hAnsi="宋体" w:eastAsia="宋体" w:cs="宋体"/>
          <w:color w:val="000000"/>
          <w:sz w:val="32"/>
          <w:szCs w:val="32"/>
          <w:shd w:val="clear" w:color="auto" w:fill="FFFFFF"/>
        </w:rPr>
        <w:t>1.贯彻执行林业及生态建设的法律、法规、规章和方针政策；负责林业及其生态建设的监督管理;负责拟订林业发展战略、中长期规划；承担林业生态文明建设的有关工作。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4.组织、协调、指导和监督湿地保护工作。拟订湿地保护规划，组织实施湿地保护小区、湿地公园等保护管理工作，监督湿地的合理利用。</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5.组织、协调、指导和监督石漠化治理工作。组织拟订并实施石漠化治理保护区建设规划。</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6"/>
        <w:adjustRightInd w:val="0"/>
        <w:snapToGrid w:val="0"/>
        <w:spacing w:before="93" w:line="600" w:lineRule="exact"/>
        <w:ind w:firstLine="672" w:firstLineChars="210"/>
        <w:outlineLvl w:val="2"/>
        <w:rPr>
          <w:rFonts w:ascii="宋体" w:hAnsi="宋体" w:eastAsia="宋体" w:cs="宋体"/>
          <w:bCs/>
          <w:color w:val="000000"/>
          <w:sz w:val="32"/>
          <w:szCs w:val="32"/>
        </w:rPr>
      </w:pPr>
      <w:r>
        <w:rPr>
          <w:rFonts w:hint="eastAsia" w:ascii="宋体" w:hAnsi="宋体" w:eastAsia="宋体" w:cs="宋体"/>
          <w:bCs/>
          <w:color w:val="000000"/>
          <w:sz w:val="32"/>
          <w:szCs w:val="32"/>
        </w:rPr>
        <w:t>（二）2019年重点工作完成情况。</w:t>
      </w:r>
      <w:bookmarkEnd w:id="18"/>
      <w:bookmarkEnd w:id="19"/>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rPr>
        <w:t>退牧还草项目</w:t>
      </w:r>
      <w:r>
        <w:rPr>
          <w:rFonts w:hint="eastAsia" w:ascii="宋体" w:hAnsi="宋体" w:cs="宋体"/>
          <w:sz w:val="32"/>
          <w:szCs w:val="32"/>
          <w:lang w:val="zh-CN"/>
        </w:rPr>
        <w:t>绩效情况</w:t>
      </w:r>
      <w:r>
        <w:rPr>
          <w:rFonts w:hint="eastAsia" w:ascii="宋体" w:hAnsi="宋体" w:cs="宋体"/>
          <w:sz w:val="32"/>
          <w:szCs w:val="32"/>
          <w:lang w:val="zh-CN"/>
        </w:rPr>
        <w:tab/>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（1）目标质量完成情况</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完成国家天然草原退牧还草划区轮牧围栏建设19万亩，完成任务数的100%；退化草原改良4万亩，舍饲棚圈(暖棚)建设100户，毒害草治理1万亩，完成应建数的100%。具体如下：</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1、查尔玛乡：完成划区轮牧围栏建设12万亩，退化草原改良2万亩，舍饲棚圈(暖棚)建设80户，毒害草治理0.5万亩；</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2、江茸乡：完成划区轮牧围栏建设4万亩，退化草原改良1万亩，舍饲棚圈(暖棚)建设20户，毒害草治理0.5万亩；</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3、龙日种畜场：完成划区轮牧围栏建设3万亩，退化草原改1万亩。</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w:t>
      </w:r>
      <w:r>
        <w:rPr>
          <w:rFonts w:hint="eastAsia" w:ascii="宋体" w:hAnsi="宋体" w:cs="宋体"/>
          <w:sz w:val="32"/>
          <w:szCs w:val="32"/>
        </w:rPr>
        <w:t>2</w:t>
      </w:r>
      <w:r>
        <w:rPr>
          <w:rFonts w:hint="eastAsia" w:ascii="宋体" w:hAnsi="宋体" w:cs="宋体"/>
          <w:sz w:val="32"/>
          <w:szCs w:val="32"/>
          <w:lang w:val="zh-CN"/>
        </w:rPr>
        <w:t>）项目效益情况</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rPr>
        <w:t>1.</w:t>
      </w:r>
      <w:r>
        <w:rPr>
          <w:rFonts w:hint="eastAsia" w:ascii="宋体" w:hAnsi="宋体" w:cs="宋体"/>
          <w:sz w:val="32"/>
          <w:szCs w:val="32"/>
          <w:lang w:val="zh-CN"/>
        </w:rPr>
        <w:t>生态效益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1、提高了水源涵养能力，有效调节水资源平衡</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 xml:space="preserve"> 通过项目建设，草地植被盖度得到提高，有效地拦截雨水，并通过土壤孔隙渗透到地下形成地下水，逐渐补充给江河。项目区地处长江、黄河上游，有效地涵养长江、黄河上游水源，对我国正在实施中的“南水北调”工程的水资源保障和全国水资源利用总体战略的实施也发挥了一定作用。</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2、改善了生态环境，有效保护生物多样性</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项目区位于青藏高原，是世界生物多样性中心之一。通过项目的实施，红原县退化草原植被得到了较好的保护和恢复，不仅有效地遏制草原退化，进一步调节气候，使生态环境逐步改善，形成良性循环，而且通过禁牧、休牧的实施，草地生物多样性得到较好地保护和可持续利用，成为长江游绿色生态屏障和生物多样性的重要组成部份。</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rPr>
        <w:t>2.</w:t>
      </w:r>
      <w:r>
        <w:rPr>
          <w:rFonts w:hint="eastAsia" w:ascii="宋体" w:hAnsi="宋体" w:cs="宋体"/>
          <w:sz w:val="32"/>
          <w:szCs w:val="32"/>
          <w:lang w:val="zh-CN"/>
        </w:rPr>
        <w:t>社会效益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通过项目实施，示范带动作用效果明显，牧民保护草原的意识增强，合理利用草地，科学养畜观念大大提高，并将畜牧业结构调整，生态环境保护有机地结合起来，促进了地方经济繁荣，对增进民族团结、保持社会安定起到了重要作用，社会效益显著。</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rPr>
        <w:t>3.</w:t>
      </w:r>
      <w:r>
        <w:rPr>
          <w:rFonts w:hint="eastAsia" w:ascii="宋体" w:hAnsi="宋体" w:cs="宋体"/>
          <w:sz w:val="32"/>
          <w:szCs w:val="32"/>
          <w:lang w:val="zh-CN"/>
        </w:rPr>
        <w:t>经济效益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通过2018年红原县国家天然退牧还草工程项目的实施，项目实施区生态环境得到一定程度的改善，特别是围栏草原，实施划区轮牧后，草原得到休养生息，有利于植被恢复，遏制草原退化。通过人工种草、饲草地等配套建设，改进放牧制度，加快了畜牧业内部结构调整，有利于处理好生态治理与经济发展、长远与当前的关系，促进了全县生态与经济的协调发展，也为长江上游生态屏障建设和社会经济可持续发展作出应有贡献。</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rPr>
        <w:t>湿地补偿</w:t>
      </w:r>
      <w:r>
        <w:rPr>
          <w:rFonts w:hint="eastAsia" w:ascii="宋体" w:hAnsi="宋体" w:cs="宋体"/>
          <w:sz w:val="32"/>
          <w:szCs w:val="32"/>
          <w:lang w:val="zh-CN"/>
        </w:rPr>
        <w:t>项目绩效情况</w:t>
      </w:r>
      <w:r>
        <w:rPr>
          <w:rFonts w:hint="eastAsia" w:ascii="宋体" w:hAnsi="宋体" w:cs="宋体"/>
          <w:sz w:val="32"/>
          <w:szCs w:val="32"/>
          <w:lang w:val="zh-CN"/>
        </w:rPr>
        <w:tab/>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w:t>
      </w:r>
      <w:r>
        <w:rPr>
          <w:rFonts w:hint="eastAsia" w:ascii="宋体" w:hAnsi="宋体" w:cs="宋体"/>
          <w:sz w:val="32"/>
          <w:szCs w:val="32"/>
        </w:rPr>
        <w:t>1</w:t>
      </w:r>
      <w:r>
        <w:rPr>
          <w:rFonts w:hint="eastAsia" w:ascii="宋体" w:hAnsi="宋体" w:cs="宋体"/>
          <w:sz w:val="32"/>
          <w:szCs w:val="32"/>
          <w:lang w:val="zh-CN"/>
        </w:rPr>
        <w:t>）项目完成情况。</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2016年12月，州财政局《下达2016年省级（阿州财农〔2016〕131号），组织相关人员编制完成《2016年年度四川省红原县省级湿地生态补偿实施方案》，并于2017年5月获得州林业局、州财政局的批复，随即组织各乡镇开展工作，2019年9月完成县乡、乡村级目标责任书的签订，10月审定生态补偿人员并进行公示。预计2019年11月将由县级验收小组对各乡镇湿地生态补偿工作开展情况及牧户管护情况进行验收，待验收合格后，由金融机构通过“一卡通”的形式兑现资金。</w:t>
      </w:r>
    </w:p>
    <w:p>
      <w:pPr>
        <w:snapToGrid w:val="0"/>
        <w:spacing w:line="560" w:lineRule="exact"/>
        <w:ind w:firstLine="640" w:firstLineChars="200"/>
        <w:rPr>
          <w:rFonts w:ascii="宋体" w:hAnsi="宋体" w:cs="宋体"/>
          <w:sz w:val="32"/>
          <w:szCs w:val="32"/>
          <w:lang w:val="zh-CN"/>
        </w:rPr>
      </w:pPr>
      <w:r>
        <w:rPr>
          <w:rFonts w:hint="eastAsia" w:ascii="宋体" w:hAnsi="宋体" w:cs="宋体"/>
          <w:sz w:val="32"/>
          <w:szCs w:val="32"/>
          <w:lang w:val="zh-CN"/>
        </w:rPr>
        <w:t>（</w:t>
      </w:r>
      <w:r>
        <w:rPr>
          <w:rFonts w:hint="eastAsia" w:ascii="宋体" w:hAnsi="宋体" w:cs="宋体"/>
          <w:sz w:val="32"/>
          <w:szCs w:val="32"/>
        </w:rPr>
        <w:t>2</w:t>
      </w:r>
      <w:r>
        <w:rPr>
          <w:rFonts w:hint="eastAsia" w:ascii="宋体" w:hAnsi="宋体" w:cs="宋体"/>
          <w:sz w:val="32"/>
          <w:szCs w:val="32"/>
          <w:lang w:val="zh-CN"/>
        </w:rPr>
        <w:t>）项目效益情况。</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1．生态效益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2.社会效益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3.经济效益</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numPr>
          <w:ilvl w:val="0"/>
          <w:numId w:val="1"/>
        </w:numPr>
        <w:snapToGrid w:val="0"/>
        <w:spacing w:line="560" w:lineRule="exact"/>
        <w:ind w:firstLine="640" w:firstLineChars="200"/>
        <w:rPr>
          <w:rFonts w:ascii="宋体" w:hAnsi="宋体" w:cs="宋体"/>
          <w:sz w:val="32"/>
          <w:szCs w:val="32"/>
        </w:rPr>
      </w:pPr>
      <w:r>
        <w:rPr>
          <w:rFonts w:hint="eastAsia" w:ascii="宋体" w:hAnsi="宋体" w:cs="宋体"/>
          <w:sz w:val="32"/>
          <w:szCs w:val="32"/>
        </w:rPr>
        <w:t>概述本单位整体支出绩效目标实现情况</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2019年，我单位严格按照国家的法律法规加强预算管理，大力提倡勤俭节约，坚持把有限的经费用在农牧业发展工作中，坚持财政预算管理制度务，坚持“以收定支”，做好预算支出及执行情况调度，对会计工作的事前、事中、事后的监督，确保了会计的延续性，做到每笔支出有据可查、有法可依，确保了 “三公”经费预算支出在严格控制在预算内，严格财经纪律，严格财务制度严格审批程序，确定支出都符合相关的要求，通过以上这些措施，较好地保证了财务管理工作和资金使用效率。</w:t>
      </w:r>
    </w:p>
    <w:p>
      <w:pPr>
        <w:pStyle w:val="6"/>
        <w:adjustRightInd w:val="0"/>
        <w:snapToGrid w:val="0"/>
        <w:spacing w:before="93" w:line="600" w:lineRule="exact"/>
        <w:ind w:firstLine="672" w:firstLineChars="210"/>
        <w:outlineLvl w:val="2"/>
        <w:rPr>
          <w:rFonts w:ascii="宋体" w:hAnsi="宋体" w:eastAsia="宋体" w:cs="宋体"/>
          <w:bCs/>
          <w:color w:val="000000"/>
          <w:sz w:val="32"/>
          <w:szCs w:val="32"/>
        </w:rPr>
      </w:pPr>
    </w:p>
    <w:p>
      <w:pPr>
        <w:pStyle w:val="3"/>
        <w:rPr>
          <w:rStyle w:val="27"/>
          <w:rFonts w:ascii="宋体" w:hAnsi="宋体" w:eastAsia="宋体" w:cs="宋体"/>
          <w:b w:val="0"/>
          <w:bCs w:val="0"/>
        </w:rPr>
      </w:pPr>
      <w:bookmarkStart w:id="20" w:name="_Toc15396601"/>
      <w:bookmarkStart w:id="21" w:name="_Toc15377200"/>
      <w:r>
        <w:rPr>
          <w:rFonts w:hint="eastAsia" w:ascii="宋体" w:hAnsi="宋体" w:eastAsia="宋体" w:cs="宋体"/>
          <w:b w:val="0"/>
          <w:color w:val="000000"/>
        </w:rPr>
        <w:t>二、机</w:t>
      </w:r>
      <w:r>
        <w:rPr>
          <w:rStyle w:val="27"/>
          <w:rFonts w:hint="eastAsia" w:ascii="宋体" w:hAnsi="宋体" w:eastAsia="宋体" w:cs="宋体"/>
          <w:b w:val="0"/>
          <w:bCs w:val="0"/>
        </w:rPr>
        <w:t>构设置</w:t>
      </w:r>
      <w:bookmarkEnd w:id="20"/>
      <w:bookmarkEnd w:id="21"/>
    </w:p>
    <w:p>
      <w:pPr>
        <w:widowControl/>
        <w:jc w:val="left"/>
        <w:rPr>
          <w:rFonts w:ascii="宋体" w:hAnsi="宋体" w:cs="宋体"/>
          <w:color w:val="000000"/>
          <w:sz w:val="32"/>
          <w:szCs w:val="32"/>
        </w:rPr>
      </w:pPr>
      <w:r>
        <w:rPr>
          <w:rFonts w:hint="eastAsia" w:ascii="宋体" w:hAnsi="宋体" w:cs="宋体"/>
          <w:sz w:val="32"/>
          <w:szCs w:val="32"/>
        </w:rPr>
        <w:t>红原县林业和草原局为行政单位，下属事业单位1个，为红原县噶曲国家湿地公园管理局，</w:t>
      </w:r>
      <w:r>
        <w:rPr>
          <w:rFonts w:hint="eastAsia" w:ascii="宋体" w:hAnsi="宋体" w:cs="宋体"/>
          <w:color w:val="000000"/>
          <w:sz w:val="32"/>
          <w:szCs w:val="32"/>
        </w:rPr>
        <w:t>纳入红原县林业和草原局2019年度部门决算编制。</w:t>
      </w:r>
    </w:p>
    <w:p>
      <w:pPr>
        <w:widowControl/>
        <w:jc w:val="left"/>
        <w:rPr>
          <w:rFonts w:ascii="宋体" w:hAnsi="宋体" w:cs="宋体"/>
          <w:color w:val="000000"/>
          <w:kern w:val="0"/>
          <w:sz w:val="32"/>
          <w:szCs w:val="32"/>
        </w:rPr>
      </w:pPr>
      <w:r>
        <w:rPr>
          <w:rFonts w:hint="eastAsia" w:ascii="宋体" w:hAnsi="宋体" w:cs="宋体"/>
          <w:color w:val="000000"/>
          <w:sz w:val="32"/>
          <w:szCs w:val="32"/>
        </w:rPr>
        <w:br w:type="page"/>
      </w:r>
    </w:p>
    <w:p>
      <w:pPr>
        <w:pStyle w:val="2"/>
        <w:ind w:right="440"/>
        <w:rPr>
          <w:rStyle w:val="26"/>
          <w:rFonts w:ascii="宋体" w:hAnsi="宋体" w:cs="宋体"/>
          <w:b w:val="0"/>
          <w:bCs w:val="0"/>
        </w:rPr>
      </w:pPr>
      <w:bookmarkStart w:id="22" w:name="_Toc15396602"/>
      <w:bookmarkStart w:id="23" w:name="_Toc15377204"/>
      <w:r>
        <w:rPr>
          <w:rFonts w:hint="eastAsia" w:ascii="宋体" w:hAnsi="宋体" w:cs="宋体"/>
          <w:b w:val="0"/>
          <w:color w:val="000000"/>
        </w:rPr>
        <w:t>第二部分</w:t>
      </w:r>
      <w:r>
        <w:rPr>
          <w:rStyle w:val="26"/>
          <w:rFonts w:hint="eastAsia" w:ascii="宋体" w:hAnsi="宋体" w:cs="宋体"/>
          <w:b w:val="0"/>
          <w:bCs w:val="0"/>
        </w:rPr>
        <w:t>2019年度部门决算情况说明</w:t>
      </w:r>
      <w:bookmarkEnd w:id="22"/>
      <w:bookmarkEnd w:id="23"/>
    </w:p>
    <w:p>
      <w:pPr>
        <w:rPr>
          <w:rFonts w:ascii="宋体" w:hAnsi="宋体" w:cs="宋体"/>
        </w:rPr>
      </w:pPr>
    </w:p>
    <w:p>
      <w:pPr>
        <w:pStyle w:val="25"/>
        <w:numPr>
          <w:ilvl w:val="0"/>
          <w:numId w:val="2"/>
        </w:numPr>
        <w:spacing w:line="600" w:lineRule="exact"/>
        <w:ind w:firstLineChars="0"/>
        <w:outlineLvl w:val="1"/>
        <w:rPr>
          <w:rStyle w:val="27"/>
          <w:rFonts w:ascii="宋体" w:hAnsi="宋体" w:eastAsia="宋体" w:cs="宋体"/>
          <w:b w:val="0"/>
        </w:rPr>
      </w:pPr>
      <w:bookmarkStart w:id="24" w:name="_Toc15396603"/>
      <w:bookmarkStart w:id="25" w:name="_Toc15377205"/>
      <w:r>
        <w:rPr>
          <w:rFonts w:hint="eastAsia" w:ascii="宋体" w:hAnsi="宋体" w:cs="宋体"/>
          <w:color w:val="000000"/>
          <w:sz w:val="32"/>
          <w:szCs w:val="32"/>
        </w:rPr>
        <w:t>收</w:t>
      </w:r>
      <w:r>
        <w:rPr>
          <w:rStyle w:val="27"/>
          <w:rFonts w:hint="eastAsia" w:ascii="宋体" w:hAnsi="宋体" w:eastAsia="宋体" w:cs="宋体"/>
          <w:b w:val="0"/>
        </w:rPr>
        <w:t>入支出决算总体情况说明</w:t>
      </w:r>
      <w:bookmarkEnd w:id="24"/>
      <w:bookmarkEnd w:id="25"/>
    </w:p>
    <w:p>
      <w:pPr>
        <w:spacing w:line="600" w:lineRule="exact"/>
        <w:ind w:firstLine="640" w:firstLineChars="200"/>
        <w:rPr>
          <w:rFonts w:ascii="宋体" w:hAnsi="宋体" w:cs="宋体"/>
          <w:color w:val="000000"/>
          <w:sz w:val="32"/>
          <w:szCs w:val="32"/>
        </w:rPr>
      </w:pPr>
      <w:r>
        <w:rPr>
          <w:rFonts w:hint="eastAsia" w:ascii="宋体" w:hAnsi="宋体" w:cs="宋体"/>
          <w:color w:val="000000"/>
          <w:sz w:val="32"/>
          <w:szCs w:val="32"/>
        </w:rPr>
        <w:t>2019年度</w:t>
      </w:r>
      <w:r>
        <w:rPr>
          <w:rFonts w:hint="eastAsia" w:ascii="宋体" w:hAnsi="宋体" w:cs="宋体"/>
          <w:color w:val="000000" w:themeColor="text1"/>
          <w:sz w:val="32"/>
          <w:szCs w:val="32"/>
        </w:rPr>
        <w:t>收入10,102.91元、支出8,269.24万元</w:t>
      </w:r>
      <w:r>
        <w:rPr>
          <w:rFonts w:hint="eastAsia" w:ascii="宋体" w:hAnsi="宋体" w:cs="宋体"/>
          <w:color w:val="000000"/>
          <w:sz w:val="32"/>
          <w:szCs w:val="32"/>
        </w:rPr>
        <w:t>。与2018年相比，收入增加1762.38万元，增长21%，支出增加1689.59万元，</w:t>
      </w:r>
      <w:r>
        <w:rPr>
          <w:rFonts w:hint="eastAsia" w:ascii="宋体" w:hAnsi="宋体" w:cs="宋体"/>
          <w:color w:val="000000" w:themeColor="text1"/>
          <w:sz w:val="32"/>
          <w:szCs w:val="32"/>
        </w:rPr>
        <w:t>增长26%。</w:t>
      </w:r>
      <w:r>
        <w:rPr>
          <w:rFonts w:hint="eastAsia" w:ascii="宋体" w:hAnsi="宋体" w:cs="宋体"/>
          <w:color w:val="000000"/>
          <w:sz w:val="32"/>
          <w:szCs w:val="32"/>
        </w:rPr>
        <w:t>主要变动原因是上调工资，项目资金增加。</w:t>
      </w: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（图1：收、支决算总计变动情况图）（柱状图）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1" name="图片 1" descr="收支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收支对比图"/>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pPr>
        <w:ind w:firstLine="640" w:firstLineChars="200"/>
        <w:jc w:val="left"/>
        <w:rPr>
          <w:rFonts w:ascii="宋体" w:hAnsi="宋体" w:cs="宋体"/>
          <w:color w:val="000000"/>
          <w:sz w:val="32"/>
          <w:szCs w:val="32"/>
        </w:rPr>
      </w:pPr>
    </w:p>
    <w:p>
      <w:pPr>
        <w:pStyle w:val="25"/>
        <w:numPr>
          <w:ilvl w:val="0"/>
          <w:numId w:val="2"/>
        </w:numPr>
        <w:spacing w:line="600" w:lineRule="exact"/>
        <w:ind w:firstLineChars="0"/>
        <w:outlineLvl w:val="1"/>
        <w:rPr>
          <w:rStyle w:val="27"/>
          <w:rFonts w:ascii="宋体" w:hAnsi="宋体" w:eastAsia="宋体" w:cs="宋体"/>
          <w:b w:val="0"/>
        </w:rPr>
      </w:pPr>
      <w:bookmarkStart w:id="26" w:name="_Toc15377206"/>
      <w:bookmarkStart w:id="27" w:name="_Toc15396604"/>
      <w:r>
        <w:rPr>
          <w:rFonts w:hint="eastAsia" w:ascii="宋体" w:hAnsi="宋体" w:cs="宋体"/>
          <w:color w:val="000000"/>
          <w:sz w:val="32"/>
          <w:szCs w:val="32"/>
        </w:rPr>
        <w:t>收</w:t>
      </w:r>
      <w:r>
        <w:rPr>
          <w:rStyle w:val="27"/>
          <w:rFonts w:hint="eastAsia" w:ascii="宋体" w:hAnsi="宋体" w:eastAsia="宋体" w:cs="宋体"/>
          <w:b w:val="0"/>
        </w:rPr>
        <w:t>入决算情况说明</w:t>
      </w:r>
      <w:bookmarkEnd w:id="26"/>
      <w:bookmarkEnd w:id="27"/>
    </w:p>
    <w:p>
      <w:pPr>
        <w:spacing w:line="600" w:lineRule="exact"/>
        <w:ind w:firstLine="640" w:firstLineChars="200"/>
        <w:outlineLvl w:val="1"/>
        <w:rPr>
          <w:rFonts w:ascii="宋体" w:hAnsi="宋体" w:cs="宋体"/>
          <w:color w:val="000000"/>
          <w:sz w:val="32"/>
          <w:szCs w:val="32"/>
        </w:rPr>
      </w:pPr>
      <w:r>
        <w:rPr>
          <w:rFonts w:hint="eastAsia" w:ascii="宋体" w:hAnsi="宋体" w:cs="宋体"/>
          <w:color w:val="000000"/>
          <w:sz w:val="32"/>
          <w:szCs w:val="32"/>
        </w:rPr>
        <w:t>2019年本年收入合计</w:t>
      </w:r>
      <w:r>
        <w:rPr>
          <w:rFonts w:hint="eastAsia" w:ascii="宋体" w:hAnsi="宋体" w:cs="宋体"/>
          <w:color w:val="000000" w:themeColor="text1"/>
          <w:sz w:val="32"/>
          <w:szCs w:val="32"/>
        </w:rPr>
        <w:t>10,102.91</w:t>
      </w:r>
      <w:r>
        <w:rPr>
          <w:rFonts w:hint="eastAsia" w:ascii="宋体" w:hAnsi="宋体" w:cs="宋体"/>
          <w:color w:val="000000"/>
          <w:sz w:val="32"/>
          <w:szCs w:val="32"/>
        </w:rPr>
        <w:t>万元，其中：一般公共预算财政拨款收入10,097.91万元，占99.95%；政府性基金预算财政拨款收入0万元，占0%；</w:t>
      </w:r>
      <w:r>
        <w:rPr>
          <w:rFonts w:hint="eastAsia" w:ascii="宋体" w:hAnsi="宋体" w:cs="宋体"/>
          <w:color w:val="000000" w:themeColor="text1"/>
          <w:sz w:val="32"/>
          <w:szCs w:val="32"/>
        </w:rPr>
        <w:t>上级补助收入0</w:t>
      </w:r>
      <w:r>
        <w:rPr>
          <w:rFonts w:hint="eastAsia" w:ascii="宋体" w:hAnsi="宋体" w:cs="宋体"/>
          <w:color w:val="000000"/>
          <w:sz w:val="32"/>
          <w:szCs w:val="32"/>
        </w:rPr>
        <w:t>万元，占0%；事业收入0万元，占0%；经营收入0万元，占0%；附属单位上缴收入0万元，占0%；其他收入5.00万元，占0.05%。</w:t>
      </w:r>
    </w:p>
    <w:p>
      <w:pPr>
        <w:spacing w:line="600" w:lineRule="exact"/>
        <w:ind w:firstLine="640" w:firstLineChars="200"/>
        <w:outlineLvl w:val="1"/>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（图2：收入决算结构图）（饼状图）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2" name="图片 2" descr="收入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收入决算结构图"/>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宋体" w:hAnsi="宋体" w:cs="宋体"/>
          <w:color w:val="FF0000"/>
          <w:sz w:val="32"/>
          <w:szCs w:val="32"/>
        </w:rPr>
      </w:pPr>
    </w:p>
    <w:p>
      <w:pPr>
        <w:pStyle w:val="25"/>
        <w:numPr>
          <w:ilvl w:val="0"/>
          <w:numId w:val="2"/>
        </w:numPr>
        <w:spacing w:line="600" w:lineRule="exact"/>
        <w:ind w:firstLineChars="0"/>
        <w:outlineLvl w:val="1"/>
        <w:rPr>
          <w:rStyle w:val="27"/>
          <w:rFonts w:ascii="宋体" w:hAnsi="宋体" w:eastAsia="宋体" w:cs="宋体"/>
          <w:b w:val="0"/>
        </w:rPr>
      </w:pPr>
      <w:bookmarkStart w:id="28" w:name="_Toc15396605"/>
      <w:bookmarkStart w:id="29" w:name="_Toc15377207"/>
      <w:r>
        <w:rPr>
          <w:rFonts w:hint="eastAsia" w:ascii="宋体" w:hAnsi="宋体" w:cs="宋体"/>
          <w:color w:val="000000"/>
          <w:sz w:val="32"/>
          <w:szCs w:val="32"/>
        </w:rPr>
        <w:t>支</w:t>
      </w:r>
      <w:r>
        <w:rPr>
          <w:rStyle w:val="27"/>
          <w:rFonts w:hint="eastAsia" w:ascii="宋体" w:hAnsi="宋体" w:eastAsia="宋体" w:cs="宋体"/>
          <w:b w:val="0"/>
        </w:rPr>
        <w:t>出决算情况说明</w:t>
      </w:r>
      <w:bookmarkEnd w:id="28"/>
      <w:bookmarkEnd w:id="29"/>
    </w:p>
    <w:p>
      <w:pPr>
        <w:spacing w:line="600" w:lineRule="exact"/>
        <w:ind w:firstLine="640" w:firstLineChars="200"/>
        <w:outlineLvl w:val="1"/>
        <w:rPr>
          <w:rFonts w:ascii="宋体" w:hAnsi="宋体" w:cs="宋体"/>
          <w:color w:val="000000"/>
          <w:sz w:val="32"/>
          <w:szCs w:val="32"/>
        </w:rPr>
      </w:pPr>
      <w:r>
        <w:rPr>
          <w:rFonts w:hint="eastAsia" w:ascii="宋体" w:hAnsi="宋体" w:cs="宋体"/>
          <w:color w:val="000000"/>
          <w:sz w:val="32"/>
          <w:szCs w:val="32"/>
        </w:rPr>
        <w:t>2019年本年支出合计8,269.24万元，其中：基本支出1,665.86万元，占20%；项目支出6,603.38万元，占80%；上缴上级支出0万元，占0%；经营支出0万元，占0%；对附属单位补助支出0万元，占0%。</w:t>
      </w: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（图3：支出决算结构图）（饼状图）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235450" cy="2545715"/>
            <wp:effectExtent l="0" t="0" r="12700" b="6985"/>
            <wp:docPr id="3" name="图片 3" descr="支出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支出决算结构图"/>
                    <pic:cNvPicPr>
                      <a:picLocks noChangeAspect="1"/>
                    </pic:cNvPicPr>
                  </pic:nvPicPr>
                  <pic:blipFill>
                    <a:blip r:embed="rId8"/>
                    <a:stretch>
                      <a:fillRect/>
                    </a:stretch>
                  </pic:blipFill>
                  <pic:spPr>
                    <a:xfrm>
                      <a:off x="0" y="0"/>
                      <a:ext cx="4235450" cy="2545715"/>
                    </a:xfrm>
                    <a:prstGeom prst="rect">
                      <a:avLst/>
                    </a:prstGeom>
                  </pic:spPr>
                </pic:pic>
              </a:graphicData>
            </a:graphic>
          </wp:inline>
        </w:drawing>
      </w:r>
    </w:p>
    <w:p>
      <w:pPr>
        <w:spacing w:line="600" w:lineRule="exact"/>
        <w:ind w:firstLine="640" w:firstLineChars="200"/>
        <w:rPr>
          <w:rFonts w:ascii="宋体" w:hAnsi="宋体" w:cs="宋体"/>
          <w:color w:val="FF0000"/>
          <w:sz w:val="32"/>
          <w:szCs w:val="32"/>
        </w:rPr>
      </w:pPr>
    </w:p>
    <w:p>
      <w:pPr>
        <w:spacing w:line="600" w:lineRule="exact"/>
        <w:ind w:firstLine="640" w:firstLineChars="200"/>
        <w:outlineLvl w:val="1"/>
        <w:rPr>
          <w:rStyle w:val="27"/>
          <w:rFonts w:ascii="宋体" w:hAnsi="宋体" w:eastAsia="宋体" w:cs="宋体"/>
          <w:b w:val="0"/>
        </w:rPr>
      </w:pPr>
      <w:bookmarkStart w:id="30" w:name="_Toc15396606"/>
      <w:bookmarkStart w:id="31" w:name="_Toc15377208"/>
      <w:r>
        <w:rPr>
          <w:rFonts w:hint="eastAsia" w:ascii="宋体" w:hAnsi="宋体" w:cs="宋体"/>
          <w:color w:val="000000"/>
          <w:sz w:val="32"/>
          <w:szCs w:val="32"/>
        </w:rPr>
        <w:t>四、财</w:t>
      </w:r>
      <w:r>
        <w:rPr>
          <w:rStyle w:val="27"/>
          <w:rFonts w:hint="eastAsia" w:ascii="宋体" w:hAnsi="宋体" w:eastAsia="宋体" w:cs="宋体"/>
          <w:b w:val="0"/>
        </w:rPr>
        <w:t>政拨款收入支出决算总体情况说明</w:t>
      </w:r>
      <w:bookmarkEnd w:id="30"/>
      <w:bookmarkEnd w:id="31"/>
    </w:p>
    <w:p>
      <w:pPr>
        <w:spacing w:line="600" w:lineRule="exact"/>
        <w:ind w:firstLine="640" w:firstLineChars="200"/>
        <w:rPr>
          <w:rFonts w:ascii="宋体" w:hAnsi="宋体" w:cs="宋体"/>
          <w:color w:val="000000"/>
          <w:sz w:val="32"/>
          <w:szCs w:val="32"/>
        </w:rPr>
      </w:pPr>
      <w:r>
        <w:rPr>
          <w:rFonts w:hint="eastAsia" w:ascii="宋体" w:hAnsi="宋体" w:cs="宋体"/>
          <w:color w:val="000000"/>
          <w:sz w:val="32"/>
          <w:szCs w:val="32"/>
        </w:rPr>
        <w:t>2019年度</w:t>
      </w:r>
      <w:r>
        <w:rPr>
          <w:rFonts w:hint="eastAsia" w:ascii="宋体" w:hAnsi="宋体" w:cs="宋体"/>
          <w:color w:val="000000" w:themeColor="text1"/>
          <w:sz w:val="32"/>
          <w:szCs w:val="32"/>
        </w:rPr>
        <w:t>收入10,102.91元、支出8,269.24万元</w:t>
      </w:r>
      <w:r>
        <w:rPr>
          <w:rFonts w:hint="eastAsia" w:ascii="宋体" w:hAnsi="宋体" w:cs="宋体"/>
          <w:color w:val="000000"/>
          <w:sz w:val="32"/>
          <w:szCs w:val="32"/>
        </w:rPr>
        <w:t>。与2018年相比，收入增加1762.38万元，增长21%，支出增加1689.59万元，</w:t>
      </w:r>
      <w:r>
        <w:rPr>
          <w:rFonts w:hint="eastAsia" w:ascii="宋体" w:hAnsi="宋体" w:cs="宋体"/>
          <w:color w:val="000000" w:themeColor="text1"/>
          <w:sz w:val="32"/>
          <w:szCs w:val="32"/>
        </w:rPr>
        <w:t>增长26%。</w:t>
      </w:r>
      <w:r>
        <w:rPr>
          <w:rFonts w:hint="eastAsia" w:ascii="宋体" w:hAnsi="宋体" w:cs="宋体"/>
          <w:color w:val="000000"/>
          <w:sz w:val="32"/>
          <w:szCs w:val="32"/>
        </w:rPr>
        <w:t>主要变动原因是上调工资，项目资金增加。</w:t>
      </w:r>
    </w:p>
    <w:p>
      <w:pPr>
        <w:spacing w:line="600" w:lineRule="exact"/>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（图4：财政拨款收、支决算总计变动情况）（柱状图）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4" name="图片 4" descr="收支变动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收支变动情况"/>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pPr>
        <w:spacing w:line="600" w:lineRule="exact"/>
        <w:ind w:firstLine="640"/>
        <w:rPr>
          <w:rFonts w:ascii="宋体" w:hAnsi="宋体" w:cs="宋体"/>
          <w:b/>
          <w:color w:val="00B050"/>
          <w:sz w:val="32"/>
          <w:szCs w:val="32"/>
        </w:rPr>
      </w:pPr>
    </w:p>
    <w:p>
      <w:pPr>
        <w:spacing w:line="600" w:lineRule="exact"/>
        <w:ind w:firstLine="640" w:firstLineChars="200"/>
        <w:outlineLvl w:val="1"/>
        <w:rPr>
          <w:rStyle w:val="27"/>
          <w:rFonts w:ascii="宋体" w:hAnsi="宋体" w:eastAsia="宋体" w:cs="宋体"/>
          <w:b w:val="0"/>
        </w:rPr>
      </w:pPr>
      <w:bookmarkStart w:id="32" w:name="_Toc15377209"/>
      <w:bookmarkStart w:id="33" w:name="_Toc15396607"/>
      <w:r>
        <w:rPr>
          <w:rFonts w:hint="eastAsia" w:ascii="宋体" w:hAnsi="宋体" w:cs="宋体"/>
          <w:color w:val="000000"/>
          <w:sz w:val="32"/>
          <w:szCs w:val="32"/>
        </w:rPr>
        <w:t>五、</w:t>
      </w:r>
      <w:r>
        <w:rPr>
          <w:rFonts w:hint="eastAsia" w:ascii="宋体" w:hAnsi="宋体" w:cs="宋体"/>
          <w:b/>
          <w:color w:val="000000"/>
          <w:sz w:val="32"/>
          <w:szCs w:val="32"/>
        </w:rPr>
        <w:t>一</w:t>
      </w:r>
      <w:r>
        <w:rPr>
          <w:rStyle w:val="27"/>
          <w:rFonts w:hint="eastAsia" w:ascii="宋体" w:hAnsi="宋体" w:eastAsia="宋体" w:cs="宋体"/>
          <w:b w:val="0"/>
        </w:rPr>
        <w:t>般公共预算财政拨款支出决算情况说明</w:t>
      </w:r>
      <w:bookmarkEnd w:id="32"/>
      <w:bookmarkEnd w:id="33"/>
    </w:p>
    <w:p>
      <w:pPr>
        <w:spacing w:line="600" w:lineRule="exact"/>
        <w:ind w:firstLine="643" w:firstLineChars="200"/>
        <w:outlineLvl w:val="2"/>
        <w:rPr>
          <w:rFonts w:ascii="宋体" w:hAnsi="宋体" w:cs="宋体"/>
          <w:b/>
          <w:color w:val="000000"/>
          <w:sz w:val="32"/>
          <w:szCs w:val="32"/>
        </w:rPr>
      </w:pPr>
      <w:bookmarkStart w:id="34" w:name="_Toc15377210"/>
      <w:r>
        <w:rPr>
          <w:rFonts w:hint="eastAsia" w:ascii="宋体" w:hAnsi="宋体" w:cs="宋体"/>
          <w:b/>
          <w:color w:val="000000"/>
          <w:sz w:val="32"/>
          <w:szCs w:val="32"/>
        </w:rPr>
        <w:t>（一）一般公共预算财政拨款支出决算总体情况</w:t>
      </w:r>
      <w:bookmarkEnd w:id="34"/>
    </w:p>
    <w:p>
      <w:pPr>
        <w:spacing w:line="600" w:lineRule="exact"/>
        <w:ind w:firstLine="640" w:firstLineChars="200"/>
        <w:rPr>
          <w:rFonts w:ascii="宋体" w:hAnsi="宋体" w:cs="宋体"/>
          <w:color w:val="000000"/>
          <w:sz w:val="32"/>
          <w:szCs w:val="32"/>
        </w:rPr>
      </w:pPr>
      <w:r>
        <w:rPr>
          <w:rFonts w:hint="eastAsia" w:ascii="宋体" w:hAnsi="宋体" w:cs="宋体"/>
          <w:color w:val="000000"/>
          <w:sz w:val="32"/>
          <w:szCs w:val="32"/>
        </w:rPr>
        <w:t>2019年一般公共预算财政拨款支出8,264.24万元，占本年支出合计的99.94%。与2018年相比，一般公共预算财政拨款增加1684.59万元，增长26%。主要变动原因是上调工资，</w:t>
      </w:r>
      <w:r>
        <w:rPr>
          <w:rFonts w:hint="eastAsia" w:ascii="宋体" w:hAnsi="宋体" w:cs="宋体"/>
          <w:color w:val="000000" w:themeColor="text1"/>
          <w:sz w:val="32"/>
          <w:szCs w:val="32"/>
        </w:rPr>
        <w:t>项目资金</w:t>
      </w:r>
      <w:r>
        <w:rPr>
          <w:rFonts w:hint="eastAsia" w:ascii="宋体" w:hAnsi="宋体" w:cs="宋体"/>
          <w:color w:val="000000"/>
          <w:sz w:val="32"/>
          <w:szCs w:val="32"/>
        </w:rPr>
        <w:t>增加。</w:t>
      </w:r>
    </w:p>
    <w:p>
      <w:pPr>
        <w:spacing w:line="600" w:lineRule="exact"/>
        <w:ind w:firstLine="640" w:firstLineChars="200"/>
        <w:rPr>
          <w:rFonts w:ascii="宋体" w:hAnsi="宋体" w:cs="宋体"/>
          <w:color w:val="000000"/>
          <w:sz w:val="32"/>
          <w:szCs w:val="32"/>
        </w:rPr>
      </w:pPr>
    </w:p>
    <w:p>
      <w:pPr>
        <w:spacing w:line="600" w:lineRule="exact"/>
        <w:ind w:firstLine="640" w:firstLineChars="200"/>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（图5：一般公共预算财政拨款支出决算变动情况）（柱状图）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5" name="图片 5"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一般"/>
                    <pic:cNvPicPr>
                      <a:picLocks noChangeAspect="1"/>
                    </pic:cNvPicPr>
                  </pic:nvPicPr>
                  <pic:blipFill>
                    <a:blip r:embed="rId10"/>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宋体" w:hAnsi="宋体" w:cs="宋体"/>
          <w:color w:val="000000" w:themeColor="text1"/>
          <w:sz w:val="32"/>
          <w:szCs w:val="32"/>
        </w:rPr>
      </w:pPr>
    </w:p>
    <w:p>
      <w:pPr>
        <w:spacing w:line="600" w:lineRule="exact"/>
        <w:ind w:firstLine="643" w:firstLineChars="200"/>
        <w:outlineLvl w:val="2"/>
        <w:rPr>
          <w:rFonts w:ascii="宋体" w:hAnsi="宋体" w:cs="宋体"/>
          <w:b/>
          <w:color w:val="000000"/>
          <w:sz w:val="32"/>
          <w:szCs w:val="32"/>
        </w:rPr>
      </w:pPr>
      <w:bookmarkStart w:id="35" w:name="_Toc15377211"/>
      <w:r>
        <w:rPr>
          <w:rFonts w:hint="eastAsia" w:ascii="宋体" w:hAnsi="宋体" w:cs="宋体"/>
          <w:b/>
          <w:color w:val="000000"/>
          <w:sz w:val="32"/>
          <w:szCs w:val="32"/>
        </w:rPr>
        <w:t>（二）一般公共预算财政拨款支出决算结构情况</w:t>
      </w:r>
      <w:bookmarkEnd w:id="35"/>
    </w:p>
    <w:p>
      <w:pPr>
        <w:spacing w:line="600" w:lineRule="exact"/>
        <w:ind w:firstLine="640"/>
        <w:rPr>
          <w:rFonts w:ascii="宋体" w:hAnsi="宋体" w:cs="宋体"/>
          <w:color w:val="000000" w:themeColor="text1"/>
          <w:sz w:val="32"/>
          <w:szCs w:val="32"/>
        </w:rPr>
      </w:pPr>
      <w:r>
        <w:rPr>
          <w:rFonts w:hint="eastAsia" w:ascii="宋体" w:hAnsi="宋体" w:cs="宋体"/>
          <w:color w:val="000000"/>
          <w:sz w:val="32"/>
          <w:szCs w:val="32"/>
        </w:rPr>
        <w:t>2019年一般公共预算财</w:t>
      </w:r>
      <w:r>
        <w:rPr>
          <w:rFonts w:hint="eastAsia" w:ascii="宋体" w:hAnsi="宋体" w:cs="宋体"/>
          <w:color w:val="000000" w:themeColor="text1"/>
          <w:sz w:val="32"/>
          <w:szCs w:val="32"/>
        </w:rPr>
        <w:t>政拨款支出8264.24万元，主要用于以下方面:</w:t>
      </w:r>
      <w:r>
        <w:rPr>
          <w:rFonts w:hint="eastAsia" w:ascii="宋体" w:hAnsi="宋体" w:cs="宋体"/>
          <w:b/>
          <w:color w:val="000000" w:themeColor="text1"/>
          <w:sz w:val="32"/>
          <w:szCs w:val="32"/>
        </w:rPr>
        <w:t>社会保障和就业（类）</w:t>
      </w:r>
      <w:r>
        <w:rPr>
          <w:rFonts w:hint="eastAsia" w:ascii="宋体" w:hAnsi="宋体" w:cs="宋体"/>
          <w:color w:val="000000" w:themeColor="text1"/>
          <w:sz w:val="32"/>
          <w:szCs w:val="32"/>
        </w:rPr>
        <w:t>支出213.45万元，占2.5%；</w:t>
      </w:r>
      <w:r>
        <w:rPr>
          <w:rFonts w:hint="eastAsia" w:ascii="宋体" w:hAnsi="宋体" w:cs="宋体"/>
          <w:b/>
          <w:bCs/>
          <w:color w:val="000000" w:themeColor="text1"/>
          <w:sz w:val="32"/>
          <w:szCs w:val="32"/>
        </w:rPr>
        <w:t>卫生健康(类)</w:t>
      </w:r>
      <w:r>
        <w:rPr>
          <w:rFonts w:hint="eastAsia" w:ascii="宋体" w:hAnsi="宋体" w:cs="宋体"/>
          <w:color w:val="000000" w:themeColor="text1"/>
          <w:sz w:val="32"/>
          <w:szCs w:val="32"/>
        </w:rPr>
        <w:t>支出94.55万元，占1%；</w:t>
      </w:r>
      <w:r>
        <w:rPr>
          <w:rFonts w:hint="eastAsia" w:ascii="宋体" w:hAnsi="宋体" w:cs="宋体"/>
          <w:b/>
          <w:bCs/>
          <w:color w:val="000000" w:themeColor="text1"/>
          <w:sz w:val="32"/>
          <w:szCs w:val="32"/>
        </w:rPr>
        <w:t>节能环保（类）</w:t>
      </w:r>
      <w:r>
        <w:rPr>
          <w:rFonts w:hint="eastAsia" w:ascii="宋体" w:hAnsi="宋体" w:cs="宋体"/>
          <w:color w:val="000000" w:themeColor="text1"/>
          <w:sz w:val="32"/>
          <w:szCs w:val="32"/>
        </w:rPr>
        <w:t>支出4,108.38万元，占50%；5.</w:t>
      </w:r>
      <w:r>
        <w:rPr>
          <w:rFonts w:hint="eastAsia" w:ascii="宋体" w:hAnsi="宋体" w:cs="宋体"/>
          <w:b/>
          <w:bCs/>
          <w:color w:val="000000" w:themeColor="text1"/>
          <w:sz w:val="32"/>
          <w:szCs w:val="32"/>
        </w:rPr>
        <w:t>农林水（类）</w:t>
      </w:r>
      <w:r>
        <w:rPr>
          <w:rFonts w:hint="eastAsia" w:ascii="宋体" w:hAnsi="宋体" w:cs="宋体"/>
          <w:color w:val="000000" w:themeColor="text1"/>
          <w:sz w:val="32"/>
          <w:szCs w:val="32"/>
        </w:rPr>
        <w:t>支出3,720.25万元，占45%；</w:t>
      </w:r>
      <w:r>
        <w:rPr>
          <w:rFonts w:hint="eastAsia" w:ascii="宋体" w:hAnsi="宋体" w:cs="宋体"/>
          <w:b/>
          <w:bCs/>
          <w:color w:val="000000" w:themeColor="text1"/>
          <w:sz w:val="32"/>
          <w:szCs w:val="32"/>
        </w:rPr>
        <w:t>住房保障(类)支出</w:t>
      </w:r>
      <w:r>
        <w:rPr>
          <w:rFonts w:hint="eastAsia" w:ascii="宋体" w:hAnsi="宋体" w:cs="宋体"/>
          <w:color w:val="000000" w:themeColor="text1"/>
          <w:sz w:val="32"/>
          <w:szCs w:val="32"/>
        </w:rPr>
        <w:t>127.61万元，占1.5%。</w:t>
      </w:r>
    </w:p>
    <w:p>
      <w:pPr>
        <w:spacing w:line="600" w:lineRule="exact"/>
        <w:ind w:firstLine="640"/>
        <w:rPr>
          <w:rFonts w:ascii="宋体" w:hAnsi="宋体" w:cs="宋体"/>
          <w:color w:val="000000"/>
          <w:sz w:val="32"/>
          <w:szCs w:val="32"/>
        </w:rPr>
      </w:pPr>
      <w:r>
        <w:rPr>
          <w:rFonts w:hint="eastAsia" w:ascii="宋体" w:hAnsi="宋体" w:cs="宋体"/>
          <w:color w:val="000000"/>
          <w:sz w:val="32"/>
          <w:szCs w:val="32"/>
        </w:rPr>
        <w:t>（图6：一般公共预算财政拨款支出决算结构）（饼状图）</w:t>
      </w:r>
    </w:p>
    <w:p>
      <w:pPr>
        <w:spacing w:line="600" w:lineRule="exact"/>
        <w:ind w:firstLine="640"/>
        <w:rPr>
          <w:rFonts w:ascii="宋体" w:hAnsi="宋体" w:cs="宋体"/>
          <w:color w:val="000000"/>
          <w:sz w:val="32"/>
          <w:szCs w:val="32"/>
        </w:rPr>
      </w:pPr>
    </w:p>
    <w:p>
      <w:pPr>
        <w:ind w:firstLine="640" w:firstLineChars="200"/>
        <w:rPr>
          <w:rFonts w:ascii="宋体" w:hAnsi="宋体" w:cs="宋体"/>
          <w:color w:val="000000"/>
          <w:sz w:val="32"/>
          <w:szCs w:val="32"/>
        </w:rPr>
      </w:pPr>
      <w:r>
        <w:rPr>
          <w:rFonts w:hint="eastAsia" w:ascii="宋体" w:hAnsi="宋体" w:cs="宋体"/>
          <w:color w:val="000000"/>
          <w:sz w:val="32"/>
          <w:szCs w:val="32"/>
        </w:rPr>
        <w:drawing>
          <wp:inline distT="0" distB="0" distL="114300" distR="114300">
            <wp:extent cx="5274310" cy="3549015"/>
            <wp:effectExtent l="0" t="0" r="2540" b="13335"/>
            <wp:docPr id="6" name="图片 6" descr="11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11111111111111111"/>
                    <pic:cNvPicPr>
                      <a:picLocks noChangeAspect="1"/>
                    </pic:cNvPicPr>
                  </pic:nvPicPr>
                  <pic:blipFill>
                    <a:blip r:embed="rId11"/>
                    <a:stretch>
                      <a:fillRect/>
                    </a:stretch>
                  </pic:blipFill>
                  <pic:spPr>
                    <a:xfrm>
                      <a:off x="0" y="0"/>
                      <a:ext cx="5274310" cy="3549015"/>
                    </a:xfrm>
                    <a:prstGeom prst="rect">
                      <a:avLst/>
                    </a:prstGeom>
                  </pic:spPr>
                </pic:pic>
              </a:graphicData>
            </a:graphic>
          </wp:inline>
        </w:drawing>
      </w:r>
    </w:p>
    <w:p>
      <w:pPr>
        <w:spacing w:line="600" w:lineRule="exact"/>
        <w:ind w:firstLine="643" w:firstLineChars="200"/>
        <w:outlineLvl w:val="2"/>
        <w:rPr>
          <w:rFonts w:ascii="宋体" w:hAnsi="宋体" w:cs="宋体"/>
          <w:b/>
          <w:color w:val="000000"/>
          <w:sz w:val="32"/>
          <w:szCs w:val="32"/>
        </w:rPr>
      </w:pPr>
      <w:bookmarkStart w:id="36" w:name="_Toc15377212"/>
      <w:r>
        <w:rPr>
          <w:rFonts w:hint="eastAsia" w:ascii="宋体" w:hAnsi="宋体" w:cs="宋体"/>
          <w:b/>
          <w:color w:val="000000"/>
          <w:sz w:val="32"/>
          <w:szCs w:val="32"/>
        </w:rPr>
        <w:t>（三）一般公共预算财政拨款支出决算具体情况</w:t>
      </w:r>
      <w:bookmarkEnd w:id="36"/>
    </w:p>
    <w:p>
      <w:pPr>
        <w:spacing w:line="600" w:lineRule="exact"/>
        <w:ind w:firstLine="643" w:firstLineChars="200"/>
        <w:outlineLvl w:val="2"/>
        <w:rPr>
          <w:rFonts w:ascii="宋体" w:hAnsi="宋体" w:cs="宋体"/>
          <w:color w:val="FF0000"/>
          <w:sz w:val="32"/>
          <w:szCs w:val="32"/>
        </w:rPr>
      </w:pPr>
      <w:bookmarkStart w:id="37" w:name="_Toc15378460"/>
      <w:bookmarkStart w:id="38" w:name="_Toc15377444"/>
      <w:bookmarkStart w:id="39" w:name="_Toc15377213"/>
      <w:r>
        <w:rPr>
          <w:rFonts w:hint="eastAsia" w:ascii="宋体" w:hAnsi="宋体" w:cs="宋体"/>
          <w:b/>
          <w:color w:val="000000" w:themeColor="text1"/>
          <w:sz w:val="32"/>
          <w:szCs w:val="32"/>
        </w:rPr>
        <w:t>2019年一般公共预算支出决算数为8264.24万元</w:t>
      </w:r>
      <w:r>
        <w:rPr>
          <w:rFonts w:hint="eastAsia" w:ascii="宋体" w:hAnsi="宋体" w:cs="宋体"/>
          <w:color w:val="000000" w:themeColor="text1"/>
          <w:sz w:val="32"/>
          <w:szCs w:val="32"/>
        </w:rPr>
        <w:t>，</w:t>
      </w:r>
      <w:r>
        <w:rPr>
          <w:rStyle w:val="16"/>
          <w:rFonts w:hint="eastAsia" w:ascii="宋体" w:hAnsi="宋体" w:cs="宋体"/>
          <w:bCs/>
          <w:color w:val="000000" w:themeColor="text1"/>
          <w:sz w:val="32"/>
          <w:szCs w:val="32"/>
        </w:rPr>
        <w:t>完成</w:t>
      </w:r>
      <w:r>
        <w:rPr>
          <w:rStyle w:val="16"/>
          <w:rFonts w:hint="eastAsia" w:ascii="宋体" w:hAnsi="宋体" w:cs="宋体"/>
          <w:bCs/>
          <w:color w:val="000000"/>
          <w:sz w:val="32"/>
          <w:szCs w:val="32"/>
        </w:rPr>
        <w:t>预算99.94%。其中：</w:t>
      </w:r>
      <w:bookmarkEnd w:id="37"/>
      <w:bookmarkEnd w:id="38"/>
      <w:bookmarkEnd w:id="39"/>
    </w:p>
    <w:p>
      <w:pPr>
        <w:spacing w:line="600" w:lineRule="exact"/>
        <w:rPr>
          <w:rFonts w:ascii="宋体" w:hAnsi="宋体" w:cs="宋体"/>
          <w:b/>
          <w:color w:val="000000" w:themeColor="text1"/>
          <w:sz w:val="32"/>
          <w:szCs w:val="32"/>
        </w:rPr>
      </w:pPr>
      <w:r>
        <w:rPr>
          <w:rStyle w:val="16"/>
          <w:rFonts w:hint="eastAsia" w:ascii="宋体" w:hAnsi="宋体" w:cs="宋体"/>
          <w:bCs/>
          <w:color w:val="000000"/>
          <w:sz w:val="32"/>
          <w:szCs w:val="32"/>
        </w:rPr>
        <w:t>1.社会保障和就业208（类）:</w:t>
      </w:r>
      <w:r>
        <w:rPr>
          <w:rStyle w:val="16"/>
          <w:rFonts w:hint="eastAsia" w:ascii="宋体" w:hAnsi="宋体" w:cs="宋体"/>
          <w:b w:val="0"/>
          <w:bCs/>
          <w:color w:val="000000"/>
          <w:sz w:val="32"/>
          <w:szCs w:val="32"/>
        </w:rPr>
        <w:t xml:space="preserve"> 支出决算为213.45万元，</w:t>
      </w:r>
      <w:r>
        <w:rPr>
          <w:rStyle w:val="16"/>
          <w:rFonts w:hint="eastAsia" w:ascii="宋体" w:hAnsi="宋体" w:cs="宋体"/>
          <w:b w:val="0"/>
          <w:bCs/>
          <w:color w:val="000000" w:themeColor="text1"/>
          <w:sz w:val="32"/>
          <w:szCs w:val="32"/>
        </w:rPr>
        <w:t>完成预算的100%，决算数大于预算数，</w:t>
      </w:r>
      <w:r>
        <w:rPr>
          <w:rStyle w:val="16"/>
          <w:rFonts w:hint="eastAsia" w:ascii="宋体" w:hAnsi="宋体" w:cs="宋体"/>
          <w:b w:val="0"/>
          <w:bCs/>
          <w:color w:val="000000"/>
          <w:sz w:val="32"/>
          <w:szCs w:val="32"/>
        </w:rPr>
        <w:t>决算数大于预算数的主要原因单位新增人员</w:t>
      </w:r>
      <w:r>
        <w:rPr>
          <w:rStyle w:val="16"/>
          <w:rFonts w:hint="eastAsia" w:ascii="宋体" w:hAnsi="宋体" w:cs="宋体"/>
          <w:b w:val="0"/>
          <w:bCs/>
          <w:color w:val="000000" w:themeColor="text1"/>
          <w:sz w:val="32"/>
          <w:szCs w:val="32"/>
        </w:rPr>
        <w:t>。</w:t>
      </w:r>
    </w:p>
    <w:p>
      <w:pPr>
        <w:spacing w:line="600" w:lineRule="exact"/>
        <w:rPr>
          <w:rStyle w:val="16"/>
          <w:rFonts w:ascii="宋体" w:hAnsi="宋体" w:cs="宋体"/>
          <w:b w:val="0"/>
          <w:bCs/>
          <w:color w:val="000000"/>
          <w:sz w:val="32"/>
          <w:szCs w:val="32"/>
        </w:rPr>
      </w:pPr>
      <w:r>
        <w:rPr>
          <w:rStyle w:val="16"/>
          <w:rFonts w:hint="eastAsia" w:ascii="宋体" w:hAnsi="宋体" w:cs="宋体"/>
          <w:b w:val="0"/>
          <w:bCs/>
          <w:color w:val="000000"/>
          <w:sz w:val="32"/>
          <w:szCs w:val="32"/>
        </w:rPr>
        <w:t>（其中包括2080505-机关事业单位基本养老保险缴费支出145.91万元，该支出主要用于支付职工机关事业单位基本养老保险缴费；2080506-机关事业单位职业年金缴费支出67.54万元，该支出主要用于支付职工机关事业单位职业年金。）</w:t>
      </w:r>
    </w:p>
    <w:p>
      <w:pPr>
        <w:spacing w:line="600" w:lineRule="exact"/>
        <w:rPr>
          <w:rStyle w:val="16"/>
          <w:rFonts w:ascii="宋体" w:hAnsi="宋体" w:cs="宋体"/>
          <w:b w:val="0"/>
          <w:bCs/>
          <w:color w:val="000000" w:themeColor="text1"/>
          <w:sz w:val="32"/>
          <w:szCs w:val="32"/>
        </w:rPr>
      </w:pPr>
      <w:r>
        <w:rPr>
          <w:rStyle w:val="16"/>
          <w:rFonts w:hint="eastAsia" w:ascii="宋体" w:hAnsi="宋体" w:cs="宋体"/>
          <w:bCs/>
          <w:color w:val="000000" w:themeColor="text1"/>
          <w:sz w:val="32"/>
          <w:szCs w:val="32"/>
        </w:rPr>
        <w:t>2.卫生健康支出210（类）:</w:t>
      </w:r>
      <w:r>
        <w:rPr>
          <w:rStyle w:val="16"/>
          <w:rFonts w:hint="eastAsia" w:ascii="宋体" w:hAnsi="宋体" w:cs="宋体"/>
          <w:b w:val="0"/>
          <w:bCs/>
          <w:color w:val="000000" w:themeColor="text1"/>
          <w:sz w:val="32"/>
          <w:szCs w:val="32"/>
        </w:rPr>
        <w:t>支出决算为94.55万元，完成预算的100%，决算数大于预算数，</w:t>
      </w:r>
      <w:r>
        <w:rPr>
          <w:rStyle w:val="16"/>
          <w:rFonts w:hint="eastAsia" w:ascii="宋体" w:hAnsi="宋体" w:cs="宋体"/>
          <w:b w:val="0"/>
          <w:bCs/>
          <w:color w:val="000000"/>
          <w:sz w:val="32"/>
          <w:szCs w:val="32"/>
        </w:rPr>
        <w:t>决算数大于预算数的主要原因单位新增人员</w:t>
      </w:r>
      <w:r>
        <w:rPr>
          <w:rStyle w:val="16"/>
          <w:rFonts w:hint="eastAsia" w:ascii="宋体" w:hAnsi="宋体" w:cs="宋体"/>
          <w:b w:val="0"/>
          <w:bCs/>
          <w:color w:val="000000" w:themeColor="text1"/>
          <w:sz w:val="32"/>
          <w:szCs w:val="32"/>
        </w:rPr>
        <w:t>。</w:t>
      </w:r>
    </w:p>
    <w:p>
      <w:pPr>
        <w:spacing w:line="600" w:lineRule="exact"/>
        <w:rPr>
          <w:rStyle w:val="16"/>
          <w:rFonts w:ascii="宋体" w:hAnsi="宋体" w:cs="宋体"/>
          <w:b w:val="0"/>
          <w:bCs/>
          <w:color w:val="000000"/>
          <w:sz w:val="32"/>
          <w:szCs w:val="32"/>
        </w:rPr>
      </w:pPr>
      <w:r>
        <w:rPr>
          <w:rStyle w:val="16"/>
          <w:rFonts w:hint="eastAsia" w:ascii="宋体" w:hAnsi="宋体" w:cs="宋体"/>
          <w:b w:val="0"/>
          <w:bCs/>
          <w:color w:val="000000"/>
          <w:sz w:val="32"/>
          <w:szCs w:val="32"/>
        </w:rPr>
        <w:t>（其中包括2101101-行政单位医疗支出7.96万元，该支出主要用于支付行政单位医疗缴费；2101102-事业单位医疗支出62.59万元，该支出主要用于支付业单位医疗支出；2101103-公务员医疗补助支出2.08万元，该支出主要用于支付公务员医疗补助缴费；2101199-其他行政事业单位医疗支出21.92万元，该支出主要用于支付其他行政事业单位医疗缴费。）</w:t>
      </w:r>
    </w:p>
    <w:p>
      <w:pPr>
        <w:spacing w:line="600" w:lineRule="exact"/>
        <w:rPr>
          <w:rFonts w:ascii="宋体" w:hAnsi="宋体" w:cs="宋体"/>
          <w:b/>
          <w:color w:val="000000" w:themeColor="text1"/>
          <w:sz w:val="32"/>
          <w:szCs w:val="32"/>
        </w:rPr>
      </w:pPr>
      <w:r>
        <w:rPr>
          <w:rFonts w:hint="eastAsia" w:ascii="宋体" w:hAnsi="宋体" w:cs="宋体"/>
          <w:b/>
          <w:bCs/>
          <w:color w:val="000000"/>
          <w:sz w:val="32"/>
          <w:szCs w:val="32"/>
        </w:rPr>
        <w:t>3.节能环保支出211(类)</w:t>
      </w:r>
      <w:r>
        <w:rPr>
          <w:rFonts w:hint="eastAsia" w:ascii="宋体" w:hAnsi="宋体" w:cs="宋体"/>
          <w:b/>
          <w:bCs/>
          <w:color w:val="000000" w:themeColor="text1"/>
          <w:sz w:val="32"/>
          <w:szCs w:val="32"/>
        </w:rPr>
        <w:t>：</w:t>
      </w:r>
      <w:r>
        <w:rPr>
          <w:rFonts w:hint="eastAsia" w:ascii="宋体" w:hAnsi="宋体" w:cs="宋体"/>
          <w:color w:val="000000" w:themeColor="text1"/>
          <w:sz w:val="32"/>
          <w:szCs w:val="32"/>
        </w:rPr>
        <w:t>支出决算数为4108.38万元，完成预算100%。</w:t>
      </w:r>
    </w:p>
    <w:p>
      <w:pPr>
        <w:spacing w:line="600" w:lineRule="exact"/>
        <w:rPr>
          <w:rFonts w:ascii="宋体" w:hAnsi="宋体" w:cs="宋体"/>
          <w:color w:val="000000" w:themeColor="text1"/>
          <w:sz w:val="32"/>
          <w:szCs w:val="32"/>
        </w:rPr>
      </w:pPr>
      <w:r>
        <w:rPr>
          <w:rFonts w:hint="eastAsia" w:ascii="宋体" w:hAnsi="宋体" w:cs="宋体"/>
          <w:color w:val="000000" w:themeColor="text1"/>
          <w:sz w:val="32"/>
          <w:szCs w:val="32"/>
        </w:rPr>
        <w:t>（其中包括2110401-生态保护支出3686.20万元；2110501-  森林管护支出17.16万元；2110506-天然林保护工程建设支出73.21万元；2110804-退牧还草工程建设支出294.14万元；2119901-其他节能环保支出37.67万元。）</w:t>
      </w:r>
    </w:p>
    <w:p>
      <w:pPr>
        <w:spacing w:line="600" w:lineRule="exact"/>
        <w:rPr>
          <w:rStyle w:val="16"/>
          <w:rFonts w:ascii="宋体" w:hAnsi="宋体" w:cs="宋体"/>
          <w:b w:val="0"/>
          <w:bCs/>
          <w:color w:val="000000" w:themeColor="text1"/>
          <w:sz w:val="32"/>
          <w:szCs w:val="32"/>
        </w:rPr>
      </w:pPr>
      <w:r>
        <w:rPr>
          <w:rFonts w:hint="eastAsia" w:ascii="宋体" w:hAnsi="宋体" w:cs="宋体"/>
          <w:b/>
          <w:bCs/>
          <w:color w:val="000000" w:themeColor="text1"/>
          <w:sz w:val="32"/>
          <w:szCs w:val="32"/>
        </w:rPr>
        <w:t>4.农林水支出213（类）：</w:t>
      </w:r>
      <w:r>
        <w:rPr>
          <w:rFonts w:hint="eastAsia" w:ascii="宋体" w:hAnsi="宋体" w:cs="宋体"/>
          <w:color w:val="000000" w:themeColor="text1"/>
          <w:sz w:val="32"/>
          <w:szCs w:val="32"/>
        </w:rPr>
        <w:t>支出决算数为3720.25万元，完成预算100%，</w:t>
      </w:r>
      <w:r>
        <w:rPr>
          <w:rStyle w:val="16"/>
          <w:rFonts w:hint="eastAsia" w:ascii="宋体" w:hAnsi="宋体" w:cs="宋体"/>
          <w:b w:val="0"/>
          <w:bCs/>
          <w:color w:val="000000"/>
          <w:sz w:val="32"/>
          <w:szCs w:val="32"/>
        </w:rPr>
        <w:t>决算数大于预算数，决算数大于预算数的主要原因是项目增加</w:t>
      </w:r>
      <w:r>
        <w:rPr>
          <w:rStyle w:val="16"/>
          <w:rFonts w:hint="eastAsia" w:ascii="宋体" w:hAnsi="宋体" w:cs="宋体"/>
          <w:b w:val="0"/>
          <w:bCs/>
          <w:color w:val="000000" w:themeColor="text1"/>
          <w:sz w:val="32"/>
          <w:szCs w:val="32"/>
        </w:rPr>
        <w:t>。</w:t>
      </w:r>
    </w:p>
    <w:p>
      <w:pPr>
        <w:spacing w:line="600" w:lineRule="exact"/>
        <w:rPr>
          <w:rFonts w:ascii="宋体" w:hAnsi="宋体" w:cs="宋体"/>
          <w:color w:val="000000" w:themeColor="text1"/>
          <w:sz w:val="32"/>
          <w:szCs w:val="32"/>
        </w:rPr>
      </w:pPr>
      <w:r>
        <w:rPr>
          <w:rFonts w:hint="eastAsia" w:ascii="宋体" w:hAnsi="宋体" w:cs="宋体"/>
          <w:color w:val="000000" w:themeColor="text1"/>
          <w:sz w:val="32"/>
          <w:szCs w:val="32"/>
        </w:rPr>
        <w:t>（其中包括2130119-防灾救灾支出29.75万元，2130199</w:t>
      </w:r>
      <w:r>
        <w:rPr>
          <w:rFonts w:hint="eastAsia" w:ascii="宋体" w:hAnsi="宋体" w:cs="宋体"/>
          <w:color w:val="000000" w:themeColor="text1"/>
          <w:sz w:val="32"/>
          <w:szCs w:val="32"/>
        </w:rPr>
        <w:tab/>
      </w:r>
      <w:r>
        <w:rPr>
          <w:rFonts w:hint="eastAsia" w:ascii="宋体" w:hAnsi="宋体" w:cs="宋体"/>
          <w:color w:val="000000" w:themeColor="text1"/>
          <w:sz w:val="32"/>
          <w:szCs w:val="32"/>
        </w:rPr>
        <w:t>-其他农业支出10.09万元；2130201</w:t>
      </w:r>
      <w:r>
        <w:rPr>
          <w:rFonts w:hint="eastAsia" w:ascii="宋体" w:hAnsi="宋体" w:cs="宋体"/>
          <w:color w:val="000000" w:themeColor="text1"/>
          <w:sz w:val="32"/>
          <w:szCs w:val="32"/>
        </w:rPr>
        <w:tab/>
      </w:r>
      <w:r>
        <w:rPr>
          <w:rFonts w:hint="eastAsia" w:ascii="宋体" w:hAnsi="宋体" w:cs="宋体"/>
          <w:color w:val="000000" w:themeColor="text1"/>
          <w:sz w:val="32"/>
          <w:szCs w:val="32"/>
        </w:rPr>
        <w:t>-行政运行支出240.38万元；2130204</w:t>
      </w:r>
      <w:r>
        <w:rPr>
          <w:rFonts w:hint="eastAsia" w:ascii="宋体" w:hAnsi="宋体" w:cs="宋体"/>
          <w:color w:val="000000" w:themeColor="text1"/>
          <w:sz w:val="32"/>
          <w:szCs w:val="32"/>
        </w:rPr>
        <w:tab/>
      </w:r>
      <w:r>
        <w:rPr>
          <w:rFonts w:hint="eastAsia" w:ascii="宋体" w:hAnsi="宋体" w:cs="宋体"/>
          <w:color w:val="000000" w:themeColor="text1"/>
          <w:sz w:val="32"/>
          <w:szCs w:val="32"/>
        </w:rPr>
        <w:t>-事业机构支出984.87万元；2130207-森林资源管理支出129.97万元；2130209-森林生态效益补偿支出157.50万元；2130212-湿地保护支出90.65万元；2130217-防沙治沙支出40.32万元；2130299-他林业和草原支出1,849.13万元；2130504</w:t>
      </w:r>
      <w:r>
        <w:rPr>
          <w:rFonts w:hint="eastAsia" w:ascii="宋体" w:hAnsi="宋体" w:cs="宋体"/>
          <w:color w:val="000000" w:themeColor="text1"/>
          <w:sz w:val="32"/>
          <w:szCs w:val="32"/>
        </w:rPr>
        <w:tab/>
      </w:r>
      <w:r>
        <w:rPr>
          <w:rFonts w:hint="eastAsia" w:ascii="宋体" w:hAnsi="宋体" w:cs="宋体"/>
          <w:color w:val="000000" w:themeColor="text1"/>
          <w:sz w:val="32"/>
          <w:szCs w:val="32"/>
        </w:rPr>
        <w:t>-农村基础设施建设支出187.59万元。）</w:t>
      </w:r>
    </w:p>
    <w:p>
      <w:pPr>
        <w:numPr>
          <w:ilvl w:val="0"/>
          <w:numId w:val="3"/>
        </w:numPr>
        <w:spacing w:line="600" w:lineRule="exact"/>
        <w:rPr>
          <w:rFonts w:ascii="宋体" w:hAnsi="宋体" w:cs="宋体"/>
          <w:color w:val="000000" w:themeColor="text1"/>
          <w:sz w:val="32"/>
          <w:szCs w:val="32"/>
        </w:rPr>
      </w:pPr>
      <w:r>
        <w:rPr>
          <w:rFonts w:hint="eastAsia" w:ascii="宋体" w:hAnsi="宋体" w:cs="宋体"/>
          <w:b/>
          <w:bCs/>
          <w:color w:val="000000" w:themeColor="text1"/>
          <w:sz w:val="32"/>
          <w:szCs w:val="32"/>
        </w:rPr>
        <w:t>住房保障支出221（类）：</w:t>
      </w:r>
      <w:r>
        <w:rPr>
          <w:rFonts w:hint="eastAsia" w:ascii="宋体" w:hAnsi="宋体" w:cs="宋体"/>
          <w:color w:val="000000" w:themeColor="text1"/>
          <w:sz w:val="32"/>
          <w:szCs w:val="32"/>
        </w:rPr>
        <w:t>支出决算数为127.61万元，完成预算100%，</w:t>
      </w:r>
      <w:r>
        <w:rPr>
          <w:rStyle w:val="16"/>
          <w:rFonts w:hint="eastAsia" w:ascii="宋体" w:hAnsi="宋体" w:cs="宋体"/>
          <w:b w:val="0"/>
          <w:bCs/>
          <w:color w:val="000000" w:themeColor="text1"/>
          <w:sz w:val="32"/>
          <w:szCs w:val="32"/>
        </w:rPr>
        <w:t>决算数大于预算数，</w:t>
      </w:r>
      <w:r>
        <w:rPr>
          <w:rStyle w:val="16"/>
          <w:rFonts w:hint="eastAsia" w:ascii="宋体" w:hAnsi="宋体" w:cs="宋体"/>
          <w:b w:val="0"/>
          <w:bCs/>
          <w:color w:val="000000"/>
          <w:sz w:val="32"/>
          <w:szCs w:val="32"/>
        </w:rPr>
        <w:t>决算数大于预算数的主要原因单位新增人员</w:t>
      </w:r>
      <w:r>
        <w:rPr>
          <w:rStyle w:val="16"/>
          <w:rFonts w:hint="eastAsia" w:ascii="宋体" w:hAnsi="宋体" w:cs="宋体"/>
          <w:b w:val="0"/>
          <w:bCs/>
          <w:color w:val="000000" w:themeColor="text1"/>
          <w:sz w:val="32"/>
          <w:szCs w:val="32"/>
        </w:rPr>
        <w:t>。</w:t>
      </w:r>
    </w:p>
    <w:p>
      <w:pPr>
        <w:spacing w:line="600" w:lineRule="exact"/>
        <w:rPr>
          <w:rFonts w:ascii="宋体" w:hAnsi="宋体" w:cs="宋体"/>
          <w:color w:val="000000" w:themeColor="text1"/>
          <w:sz w:val="32"/>
          <w:szCs w:val="32"/>
        </w:rPr>
      </w:pPr>
      <w:r>
        <w:rPr>
          <w:rFonts w:hint="eastAsia" w:ascii="宋体" w:hAnsi="宋体" w:cs="宋体"/>
          <w:color w:val="000000" w:themeColor="text1"/>
          <w:sz w:val="32"/>
          <w:szCs w:val="32"/>
        </w:rPr>
        <w:t>（其中包括2210201-住房公积金支出127.61万元，该支出主要用于支付职工住房公积金）</w:t>
      </w:r>
    </w:p>
    <w:p>
      <w:pPr>
        <w:spacing w:line="600" w:lineRule="exact"/>
        <w:rPr>
          <w:rFonts w:ascii="宋体" w:hAnsi="宋体" w:cs="宋体"/>
          <w:color w:val="000000" w:themeColor="text1"/>
          <w:sz w:val="32"/>
          <w:szCs w:val="32"/>
        </w:rPr>
      </w:pPr>
    </w:p>
    <w:p>
      <w:pPr>
        <w:tabs>
          <w:tab w:val="right" w:pos="8306"/>
        </w:tabs>
        <w:spacing w:line="600" w:lineRule="exact"/>
        <w:ind w:firstLine="640"/>
        <w:outlineLvl w:val="1"/>
        <w:rPr>
          <w:rStyle w:val="27"/>
          <w:rFonts w:ascii="宋体" w:hAnsi="宋体" w:eastAsia="宋体" w:cs="宋体"/>
        </w:rPr>
      </w:pPr>
      <w:bookmarkStart w:id="40" w:name="_Toc15377214"/>
      <w:bookmarkStart w:id="41" w:name="_Toc15396608"/>
      <w:r>
        <w:rPr>
          <w:rFonts w:hint="eastAsia" w:ascii="宋体" w:hAnsi="宋体" w:cs="宋体"/>
          <w:color w:val="000000"/>
          <w:sz w:val="32"/>
          <w:szCs w:val="32"/>
        </w:rPr>
        <w:t>六</w:t>
      </w:r>
      <w:r>
        <w:rPr>
          <w:rFonts w:hint="eastAsia" w:ascii="宋体" w:hAnsi="宋体" w:cs="宋体"/>
          <w:b/>
          <w:color w:val="000000"/>
          <w:sz w:val="32"/>
          <w:szCs w:val="32"/>
        </w:rPr>
        <w:t>、一</w:t>
      </w:r>
      <w:r>
        <w:rPr>
          <w:rStyle w:val="27"/>
          <w:rFonts w:hint="eastAsia" w:ascii="宋体" w:hAnsi="宋体" w:eastAsia="宋体" w:cs="宋体"/>
          <w:b w:val="0"/>
        </w:rPr>
        <w:t>般公共预算财政拨款基本支出决算情况说明</w:t>
      </w:r>
      <w:bookmarkEnd w:id="40"/>
      <w:bookmarkEnd w:id="41"/>
      <w:r>
        <w:rPr>
          <w:rStyle w:val="27"/>
          <w:rFonts w:hint="eastAsia" w:ascii="宋体" w:hAnsi="宋体" w:eastAsia="宋体" w:cs="宋体"/>
          <w:b w:val="0"/>
        </w:rPr>
        <w:tab/>
      </w:r>
    </w:p>
    <w:p>
      <w:pPr>
        <w:spacing w:line="600" w:lineRule="exact"/>
        <w:ind w:firstLine="645"/>
        <w:rPr>
          <w:rFonts w:ascii="宋体" w:hAnsi="宋体" w:cs="宋体"/>
          <w:color w:val="000000"/>
          <w:sz w:val="32"/>
          <w:szCs w:val="32"/>
        </w:rPr>
      </w:pPr>
      <w:r>
        <w:rPr>
          <w:rFonts w:hint="eastAsia" w:ascii="宋体" w:hAnsi="宋体" w:cs="宋体"/>
          <w:color w:val="000000"/>
          <w:sz w:val="32"/>
          <w:szCs w:val="32"/>
        </w:rPr>
        <w:t>2019年一般公共预算财政拨款基本支出1660.86万元，其中：</w:t>
      </w:r>
    </w:p>
    <w:p>
      <w:pPr>
        <w:spacing w:line="600" w:lineRule="exact"/>
        <w:ind w:firstLine="645"/>
        <w:rPr>
          <w:rFonts w:ascii="宋体" w:hAnsi="宋体" w:cs="宋体"/>
          <w:color w:val="000000"/>
          <w:sz w:val="32"/>
          <w:szCs w:val="32"/>
        </w:rPr>
      </w:pPr>
      <w:r>
        <w:rPr>
          <w:rFonts w:hint="eastAsia" w:ascii="宋体" w:hAnsi="宋体" w:cs="宋体"/>
          <w:color w:val="000000"/>
          <w:sz w:val="32"/>
          <w:szCs w:val="32"/>
        </w:rPr>
        <w:t>人员经费1588.61万元，主要包括：基本工资311.81万元、津贴补贴519.24万元、奖金194万元、绩效工资88.73万元、机关事业单位基本养老保险缴费145.91万元、职业年金缴费67.54万元、职工基本医疗保险缴费70.55万元、公务员医疗补助缴费24万元、其他社会保障缴费13.23万元、医疗费7.22万元、住房公积金127.61万元、抚恤金7.59万元、生活补助7.03万元、医疗费补助4.06万元、奖励金0.08万元。</w:t>
      </w:r>
      <w:r>
        <w:rPr>
          <w:rFonts w:hint="eastAsia" w:ascii="宋体" w:hAnsi="宋体" w:cs="宋体"/>
          <w:color w:val="000000"/>
          <w:sz w:val="32"/>
          <w:szCs w:val="32"/>
        </w:rPr>
        <w:br w:type="textWrapping"/>
      </w:r>
      <w:r>
        <w:rPr>
          <w:rFonts w:hint="eastAsia" w:ascii="宋体" w:hAnsi="宋体" w:cs="宋体"/>
          <w:color w:val="000000"/>
          <w:sz w:val="32"/>
          <w:szCs w:val="32"/>
        </w:rPr>
        <w:t>　　日常公用经费72.25万元，主要包括：办公费25.94万元、印刷费5.18万元、咨询费2.37万元、手续费0.99万元、电费3.49万元、邮电费3.50万元、取暖费2.00万元、差旅费5.69万元、维修（护）费1.49万元、会议费1万元、培训费3.47万元、公务接待费0.79万元、劳务费1.8万元、委托业务费0.38万元、公务用车运行维护费14.16万元。</w:t>
      </w:r>
    </w:p>
    <w:p>
      <w:pPr>
        <w:spacing w:line="600" w:lineRule="exact"/>
        <w:ind w:firstLine="640"/>
        <w:outlineLvl w:val="1"/>
        <w:rPr>
          <w:rStyle w:val="27"/>
          <w:rFonts w:ascii="宋体" w:hAnsi="宋体" w:eastAsia="宋体" w:cs="宋体"/>
          <w:b w:val="0"/>
        </w:rPr>
      </w:pPr>
      <w:bookmarkStart w:id="42" w:name="_Toc15396609"/>
      <w:bookmarkStart w:id="43" w:name="_Toc15377215"/>
      <w:r>
        <w:rPr>
          <w:rFonts w:hint="eastAsia" w:ascii="宋体" w:hAnsi="宋体" w:cs="宋体"/>
          <w:color w:val="000000"/>
          <w:sz w:val="32"/>
          <w:szCs w:val="32"/>
        </w:rPr>
        <w:t>七、</w:t>
      </w:r>
      <w:r>
        <w:rPr>
          <w:rStyle w:val="27"/>
          <w:rFonts w:hint="eastAsia" w:ascii="宋体" w:hAnsi="宋体" w:eastAsia="宋体" w:cs="宋体"/>
        </w:rPr>
        <w:t>“</w:t>
      </w:r>
      <w:r>
        <w:rPr>
          <w:rStyle w:val="27"/>
          <w:rFonts w:hint="eastAsia" w:ascii="宋体" w:hAnsi="宋体" w:eastAsia="宋体" w:cs="宋体"/>
          <w:b w:val="0"/>
        </w:rPr>
        <w:t>三公”经费财政拨款支出决算情况说明</w:t>
      </w:r>
      <w:bookmarkEnd w:id="42"/>
      <w:bookmarkEnd w:id="43"/>
    </w:p>
    <w:p>
      <w:pPr>
        <w:spacing w:line="600" w:lineRule="exact"/>
        <w:ind w:firstLine="640"/>
        <w:outlineLvl w:val="2"/>
        <w:rPr>
          <w:rFonts w:ascii="宋体" w:hAnsi="宋体" w:cs="宋体"/>
          <w:b/>
          <w:color w:val="000000"/>
          <w:sz w:val="32"/>
          <w:szCs w:val="32"/>
        </w:rPr>
      </w:pPr>
      <w:bookmarkStart w:id="44" w:name="_Toc15377216"/>
      <w:r>
        <w:rPr>
          <w:rFonts w:hint="eastAsia" w:ascii="宋体" w:hAnsi="宋体" w:cs="宋体"/>
          <w:b/>
          <w:color w:val="000000"/>
          <w:sz w:val="32"/>
          <w:szCs w:val="32"/>
        </w:rPr>
        <w:t>（一）“三公”经费财政拨款支出决算总体情况说明</w:t>
      </w:r>
      <w:bookmarkEnd w:id="44"/>
    </w:p>
    <w:p>
      <w:pPr>
        <w:spacing w:line="600" w:lineRule="exact"/>
        <w:ind w:firstLine="640"/>
        <w:rPr>
          <w:rFonts w:ascii="宋体" w:hAnsi="宋体" w:cs="宋体"/>
          <w:color w:val="000000"/>
          <w:sz w:val="32"/>
          <w:szCs w:val="32"/>
        </w:rPr>
      </w:pPr>
      <w:r>
        <w:rPr>
          <w:rFonts w:hint="eastAsia" w:ascii="宋体" w:hAnsi="宋体" w:cs="宋体"/>
          <w:color w:val="000000"/>
          <w:sz w:val="32"/>
          <w:szCs w:val="32"/>
        </w:rPr>
        <w:t>2019年“三公”经费财政拨款支出决算为14.95万元，完成预算100%，决算数小于预算数的主要原因是节约开支。</w:t>
      </w:r>
    </w:p>
    <w:p>
      <w:pPr>
        <w:spacing w:line="600" w:lineRule="exact"/>
        <w:ind w:firstLine="640"/>
        <w:outlineLvl w:val="2"/>
        <w:rPr>
          <w:rFonts w:ascii="宋体" w:hAnsi="宋体" w:cs="宋体"/>
          <w:b/>
          <w:color w:val="000000"/>
          <w:sz w:val="32"/>
          <w:szCs w:val="32"/>
        </w:rPr>
      </w:pPr>
      <w:bookmarkStart w:id="45" w:name="_Toc15377217"/>
      <w:r>
        <w:rPr>
          <w:rFonts w:hint="eastAsia" w:ascii="宋体" w:hAnsi="宋体" w:cs="宋体"/>
          <w:b/>
          <w:color w:val="000000"/>
          <w:sz w:val="32"/>
          <w:szCs w:val="32"/>
        </w:rPr>
        <w:t>（二）“三公”经费财政拨款支出决算具体情况说明</w:t>
      </w:r>
      <w:bookmarkEnd w:id="45"/>
    </w:p>
    <w:p>
      <w:pPr>
        <w:spacing w:line="600" w:lineRule="exact"/>
        <w:ind w:firstLine="640"/>
        <w:rPr>
          <w:rFonts w:ascii="宋体" w:hAnsi="宋体" w:cs="宋体"/>
          <w:color w:val="000000"/>
          <w:sz w:val="32"/>
          <w:szCs w:val="32"/>
        </w:rPr>
      </w:pPr>
      <w:r>
        <w:rPr>
          <w:rFonts w:hint="eastAsia" w:ascii="宋体" w:hAnsi="宋体" w:cs="宋体"/>
          <w:color w:val="000000"/>
          <w:sz w:val="32"/>
          <w:szCs w:val="32"/>
        </w:rPr>
        <w:t>2019年“三公”经费财政拨款支出决算中，因公出国（境）费支出决算0万元，占0%；公务用车购置及运行维护费支出决算14.16万元，占95%；公务接待费支出决算0.79万元，占5%。具体情况如下：</w:t>
      </w:r>
    </w:p>
    <w:p>
      <w:pPr>
        <w:spacing w:line="600" w:lineRule="exact"/>
        <w:ind w:firstLine="640"/>
        <w:rPr>
          <w:rFonts w:ascii="宋体" w:hAnsi="宋体" w:cs="宋体"/>
          <w:sz w:val="32"/>
          <w:szCs w:val="32"/>
        </w:rPr>
      </w:pPr>
      <w:r>
        <w:rPr>
          <w:rFonts w:hint="eastAsia" w:ascii="宋体" w:hAnsi="宋体" w:cs="宋体"/>
          <w:sz w:val="32"/>
          <w:szCs w:val="32"/>
        </w:rPr>
        <w:t>（图7：“三公”经费财政拨款支出结构）（饼状图）</w:t>
      </w:r>
    </w:p>
    <w:p>
      <w:pPr>
        <w:ind w:firstLine="640"/>
        <w:rPr>
          <w:rFonts w:ascii="宋体" w:hAnsi="宋体" w:cs="宋体"/>
          <w:sz w:val="32"/>
          <w:szCs w:val="32"/>
        </w:rPr>
      </w:pPr>
      <w:r>
        <w:rPr>
          <w:rFonts w:hint="eastAsia" w:ascii="宋体" w:hAnsi="宋体" w:cs="宋体"/>
          <w:sz w:val="32"/>
          <w:szCs w:val="32"/>
        </w:rPr>
        <w:drawing>
          <wp:inline distT="0" distB="0" distL="114300" distR="114300">
            <wp:extent cx="4584065" cy="2755265"/>
            <wp:effectExtent l="0" t="0" r="6985" b="6985"/>
            <wp:docPr id="7" name="图片 7" descr="三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三公"/>
                    <pic:cNvPicPr>
                      <a:picLocks noChangeAspect="1"/>
                    </pic:cNvPicPr>
                  </pic:nvPicPr>
                  <pic:blipFill>
                    <a:blip r:embed="rId12"/>
                    <a:stretch>
                      <a:fillRect/>
                    </a:stretch>
                  </pic:blipFill>
                  <pic:spPr>
                    <a:xfrm>
                      <a:off x="0" y="0"/>
                      <a:ext cx="4584065" cy="2755265"/>
                    </a:xfrm>
                    <a:prstGeom prst="rect">
                      <a:avLst/>
                    </a:prstGeom>
                  </pic:spPr>
                </pic:pic>
              </a:graphicData>
            </a:graphic>
          </wp:inline>
        </w:drawing>
      </w:r>
    </w:p>
    <w:p>
      <w:pPr>
        <w:spacing w:line="600" w:lineRule="exact"/>
        <w:ind w:firstLine="640"/>
        <w:rPr>
          <w:rFonts w:ascii="宋体" w:hAnsi="宋体" w:cs="宋体"/>
          <w:b/>
          <w:color w:val="000000"/>
          <w:sz w:val="32"/>
          <w:szCs w:val="32"/>
        </w:rPr>
      </w:pPr>
      <w:r>
        <w:rPr>
          <w:rFonts w:hint="eastAsia" w:ascii="宋体" w:hAnsi="宋体" w:cs="宋体"/>
          <w:b/>
          <w:color w:val="000000"/>
          <w:sz w:val="32"/>
          <w:szCs w:val="32"/>
        </w:rPr>
        <w:t>1.因公出国（境）经费支出</w:t>
      </w:r>
      <w:r>
        <w:rPr>
          <w:rFonts w:hint="eastAsia" w:ascii="宋体" w:hAnsi="宋体" w:cs="宋体"/>
          <w:color w:val="000000"/>
          <w:sz w:val="32"/>
          <w:szCs w:val="32"/>
        </w:rPr>
        <w:t>0万元，</w:t>
      </w:r>
      <w:r>
        <w:rPr>
          <w:rStyle w:val="16"/>
          <w:rFonts w:hint="eastAsia" w:ascii="宋体" w:hAnsi="宋体" w:cs="宋体"/>
          <w:b w:val="0"/>
          <w:bCs/>
          <w:color w:val="000000"/>
          <w:sz w:val="32"/>
          <w:szCs w:val="32"/>
        </w:rPr>
        <w:t>完成预算0%。</w:t>
      </w:r>
      <w:r>
        <w:rPr>
          <w:rFonts w:hint="eastAsia" w:ascii="宋体" w:hAnsi="宋体" w:cs="宋体"/>
          <w:color w:val="000000"/>
          <w:sz w:val="32"/>
          <w:szCs w:val="32"/>
        </w:rPr>
        <w:t>全年安排因公出国（境）团组0次，出国（境）0人。因公出国（境）支出决算比2018年增加/减少0万元，增长/下降0%。主要原因是单位出国人数为0人。</w:t>
      </w:r>
    </w:p>
    <w:p>
      <w:pPr>
        <w:spacing w:line="600" w:lineRule="exact"/>
        <w:rPr>
          <w:rFonts w:ascii="宋体" w:hAnsi="宋体" w:cs="宋体"/>
          <w:color w:val="000000"/>
          <w:sz w:val="32"/>
          <w:szCs w:val="32"/>
        </w:rPr>
      </w:pPr>
      <w:r>
        <w:rPr>
          <w:rFonts w:hint="eastAsia" w:ascii="宋体" w:hAnsi="宋体" w:cs="宋体"/>
          <w:color w:val="000000"/>
          <w:sz w:val="32"/>
          <w:szCs w:val="32"/>
        </w:rPr>
        <w:t>开支内容包括：无（团组名称、出访地点、取得成效）</w:t>
      </w:r>
    </w:p>
    <w:p>
      <w:pPr>
        <w:spacing w:line="600" w:lineRule="exact"/>
        <w:ind w:firstLine="640"/>
        <w:rPr>
          <w:rFonts w:ascii="宋体" w:hAnsi="宋体" w:cs="宋体"/>
          <w:b/>
          <w:color w:val="000000"/>
          <w:sz w:val="32"/>
          <w:szCs w:val="32"/>
        </w:rPr>
      </w:pPr>
      <w:r>
        <w:rPr>
          <w:rFonts w:hint="eastAsia" w:ascii="宋体" w:hAnsi="宋体" w:cs="宋体"/>
          <w:b/>
          <w:color w:val="000000"/>
          <w:sz w:val="32"/>
          <w:szCs w:val="32"/>
        </w:rPr>
        <w:t>2.公务用车购置及运行维护费支出</w:t>
      </w:r>
      <w:r>
        <w:rPr>
          <w:rFonts w:hint="eastAsia" w:ascii="宋体" w:hAnsi="宋体" w:cs="宋体"/>
          <w:color w:val="000000"/>
          <w:sz w:val="32"/>
          <w:szCs w:val="32"/>
        </w:rPr>
        <w:t>14.16万元,</w:t>
      </w:r>
      <w:r>
        <w:rPr>
          <w:rStyle w:val="16"/>
          <w:rFonts w:hint="eastAsia" w:ascii="宋体" w:hAnsi="宋体" w:cs="宋体"/>
          <w:b w:val="0"/>
          <w:bCs/>
          <w:color w:val="000000"/>
          <w:sz w:val="32"/>
          <w:szCs w:val="32"/>
        </w:rPr>
        <w:t>完成预算100%。</w:t>
      </w:r>
      <w:r>
        <w:rPr>
          <w:rFonts w:hint="eastAsia" w:ascii="宋体" w:hAnsi="宋体" w:cs="宋体"/>
          <w:color w:val="000000"/>
          <w:sz w:val="32"/>
          <w:szCs w:val="32"/>
        </w:rPr>
        <w:t>公务用车购置及运行维护费支出决算比2018年减少19.39万元，下降58%。主要原因是节约开支。</w:t>
      </w:r>
    </w:p>
    <w:p>
      <w:pPr>
        <w:spacing w:line="600" w:lineRule="exact"/>
        <w:ind w:firstLine="640" w:firstLineChars="200"/>
        <w:rPr>
          <w:rFonts w:ascii="宋体" w:hAnsi="宋体" w:cs="宋体"/>
          <w:color w:val="000000"/>
          <w:sz w:val="32"/>
          <w:szCs w:val="32"/>
        </w:rPr>
      </w:pPr>
      <w:r>
        <w:rPr>
          <w:rFonts w:hint="eastAsia" w:ascii="宋体" w:hAnsi="宋体" w:cs="宋体"/>
          <w:color w:val="000000"/>
          <w:sz w:val="32"/>
          <w:szCs w:val="32"/>
        </w:rPr>
        <w:t>其中：</w:t>
      </w:r>
      <w:r>
        <w:rPr>
          <w:rFonts w:hint="eastAsia" w:ascii="宋体" w:hAnsi="宋体" w:cs="宋体"/>
          <w:b/>
          <w:color w:val="000000"/>
          <w:sz w:val="32"/>
          <w:szCs w:val="32"/>
        </w:rPr>
        <w:t>公务用车购置支出</w:t>
      </w:r>
      <w:r>
        <w:rPr>
          <w:rFonts w:hint="eastAsia" w:ascii="宋体" w:hAnsi="宋体" w:cs="宋体"/>
          <w:color w:val="000000"/>
          <w:sz w:val="32"/>
          <w:szCs w:val="32"/>
        </w:rPr>
        <w:t>0万元。全年按规定更新购置公务用车0辆，金额0元。截至2019年12月底，单位共有公务用车8辆，其中：主要领导干部用车0辆、机要通信用车0辆、应急保障用车0辆、 执法执勤用车1辆、其他用车7辆。</w:t>
      </w:r>
    </w:p>
    <w:p>
      <w:pPr>
        <w:spacing w:line="600" w:lineRule="exact"/>
        <w:ind w:firstLine="640"/>
        <w:rPr>
          <w:rFonts w:ascii="宋体" w:hAnsi="宋体" w:cs="宋体"/>
          <w:color w:val="000000"/>
          <w:sz w:val="32"/>
          <w:szCs w:val="32"/>
        </w:rPr>
      </w:pPr>
      <w:r>
        <w:rPr>
          <w:rFonts w:hint="eastAsia" w:ascii="宋体" w:hAnsi="宋体" w:cs="宋体"/>
          <w:b/>
          <w:color w:val="000000"/>
          <w:sz w:val="32"/>
          <w:szCs w:val="32"/>
        </w:rPr>
        <w:t>公务用车运行维护费支出</w:t>
      </w:r>
      <w:r>
        <w:rPr>
          <w:rFonts w:hint="eastAsia" w:ascii="宋体" w:hAnsi="宋体" w:cs="宋体"/>
          <w:color w:val="000000"/>
          <w:sz w:val="32"/>
          <w:szCs w:val="32"/>
        </w:rPr>
        <w:t>14.16万元。主要用于培训、差旅、防护巡山等所需的公务用车燃料费、维修费、过路过桥费、保险费等支出。</w:t>
      </w:r>
    </w:p>
    <w:p>
      <w:pPr>
        <w:spacing w:line="600" w:lineRule="exact"/>
        <w:ind w:firstLine="640"/>
        <w:rPr>
          <w:rFonts w:ascii="宋体" w:hAnsi="宋体" w:cs="宋体"/>
          <w:color w:val="000000"/>
          <w:sz w:val="32"/>
          <w:szCs w:val="32"/>
        </w:rPr>
      </w:pPr>
      <w:r>
        <w:rPr>
          <w:rFonts w:hint="eastAsia" w:ascii="宋体" w:hAnsi="宋体" w:cs="宋体"/>
          <w:b/>
          <w:color w:val="000000"/>
          <w:sz w:val="32"/>
          <w:szCs w:val="32"/>
        </w:rPr>
        <w:t>3.公务接待费支出</w:t>
      </w:r>
      <w:r>
        <w:rPr>
          <w:rFonts w:hint="eastAsia" w:ascii="宋体" w:hAnsi="宋体" w:cs="宋体"/>
          <w:color w:val="000000"/>
          <w:sz w:val="32"/>
          <w:szCs w:val="32"/>
        </w:rPr>
        <w:t>0.79万元，</w:t>
      </w:r>
      <w:r>
        <w:rPr>
          <w:rStyle w:val="16"/>
          <w:rFonts w:hint="eastAsia" w:ascii="宋体" w:hAnsi="宋体" w:cs="宋体"/>
          <w:b w:val="0"/>
          <w:bCs/>
          <w:color w:val="000000"/>
          <w:sz w:val="32"/>
          <w:szCs w:val="32"/>
        </w:rPr>
        <w:t>完成预算27%。</w:t>
      </w:r>
      <w:r>
        <w:rPr>
          <w:rFonts w:hint="eastAsia" w:ascii="宋体" w:hAnsi="宋体" w:cs="宋体"/>
          <w:color w:val="000000"/>
          <w:sz w:val="32"/>
          <w:szCs w:val="32"/>
        </w:rPr>
        <w:t>公务接待费支出决算比2018年减少0.08万元，下降9%。主要原因是接待次数减少。</w:t>
      </w:r>
    </w:p>
    <w:p>
      <w:pPr>
        <w:spacing w:line="600" w:lineRule="exact"/>
        <w:ind w:firstLine="640"/>
        <w:rPr>
          <w:rFonts w:ascii="宋体" w:hAnsi="宋体" w:cs="宋体"/>
          <w:color w:val="000000"/>
          <w:sz w:val="32"/>
          <w:szCs w:val="32"/>
        </w:rPr>
      </w:pPr>
      <w:r>
        <w:rPr>
          <w:rFonts w:hint="eastAsia" w:ascii="宋体" w:hAnsi="宋体" w:cs="宋体"/>
          <w:color w:val="000000"/>
          <w:sz w:val="32"/>
          <w:szCs w:val="32"/>
        </w:rPr>
        <w:t>其中：</w:t>
      </w:r>
    </w:p>
    <w:p>
      <w:pPr>
        <w:spacing w:line="600" w:lineRule="exact"/>
        <w:ind w:firstLine="640"/>
        <w:rPr>
          <w:rFonts w:ascii="宋体" w:hAnsi="宋体" w:cs="宋体"/>
          <w:color w:val="000000"/>
          <w:sz w:val="32"/>
          <w:szCs w:val="32"/>
        </w:rPr>
      </w:pPr>
      <w:r>
        <w:rPr>
          <w:rFonts w:hint="eastAsia" w:ascii="宋体" w:hAnsi="宋体" w:cs="宋体"/>
          <w:b/>
          <w:color w:val="000000"/>
          <w:sz w:val="32"/>
          <w:szCs w:val="32"/>
        </w:rPr>
        <w:t>国内公务接待支出0.79</w:t>
      </w:r>
      <w:r>
        <w:rPr>
          <w:rFonts w:hint="eastAsia" w:ascii="宋体" w:hAnsi="宋体" w:cs="宋体"/>
          <w:color w:val="000000"/>
          <w:sz w:val="32"/>
          <w:szCs w:val="32"/>
        </w:rPr>
        <w:t>万元，主要用于执行公务、开展业务活动开支的交通费、住宿费、用餐费等。国内公务接待6批次，14人次（检查、调研接待费</w:t>
      </w:r>
      <w:r>
        <w:rPr>
          <w:rFonts w:hint="eastAsia" w:ascii="宋体" w:hAnsi="宋体" w:cs="宋体"/>
          <w:sz w:val="32"/>
          <w:szCs w:val="32"/>
        </w:rPr>
        <w:t>）共计支出0.79万元。</w:t>
      </w:r>
    </w:p>
    <w:p>
      <w:pPr>
        <w:spacing w:line="600" w:lineRule="exact"/>
        <w:ind w:firstLine="640" w:firstLineChars="200"/>
        <w:outlineLvl w:val="1"/>
        <w:rPr>
          <w:rStyle w:val="27"/>
          <w:rFonts w:ascii="宋体" w:hAnsi="宋体" w:eastAsia="宋体" w:cs="宋体"/>
        </w:rPr>
      </w:pPr>
      <w:bookmarkStart w:id="46" w:name="_Toc15396610"/>
      <w:bookmarkStart w:id="47" w:name="_Toc15377218"/>
      <w:r>
        <w:rPr>
          <w:rFonts w:hint="eastAsia" w:ascii="宋体" w:hAnsi="宋体" w:cs="宋体"/>
          <w:color w:val="000000"/>
          <w:sz w:val="32"/>
          <w:szCs w:val="32"/>
        </w:rPr>
        <w:t>八、</w:t>
      </w:r>
      <w:r>
        <w:rPr>
          <w:rStyle w:val="27"/>
          <w:rFonts w:hint="eastAsia" w:ascii="宋体" w:hAnsi="宋体" w:eastAsia="宋体" w:cs="宋体"/>
          <w:b w:val="0"/>
        </w:rPr>
        <w:t>政府性基金预算支出决算情况说明</w:t>
      </w:r>
      <w:bookmarkEnd w:id="46"/>
      <w:bookmarkEnd w:id="47"/>
    </w:p>
    <w:p>
      <w:pPr>
        <w:spacing w:line="600" w:lineRule="exact"/>
        <w:ind w:firstLine="640"/>
        <w:rPr>
          <w:rFonts w:ascii="宋体" w:hAnsi="宋体" w:cs="宋体"/>
          <w:color w:val="000000"/>
          <w:sz w:val="32"/>
          <w:szCs w:val="32"/>
        </w:rPr>
      </w:pPr>
      <w:r>
        <w:rPr>
          <w:rFonts w:hint="eastAsia" w:ascii="宋体" w:hAnsi="宋体" w:cs="宋体"/>
          <w:color w:val="000000"/>
          <w:sz w:val="32"/>
          <w:szCs w:val="32"/>
        </w:rPr>
        <w:t>2019年政府性基金预算拨款支出0万元。</w:t>
      </w:r>
    </w:p>
    <w:p>
      <w:pPr>
        <w:spacing w:line="600" w:lineRule="exact"/>
        <w:ind w:firstLine="640"/>
        <w:rPr>
          <w:rFonts w:ascii="宋体" w:hAnsi="宋体" w:cs="宋体"/>
          <w:color w:val="000000"/>
          <w:sz w:val="32"/>
          <w:szCs w:val="32"/>
        </w:rPr>
      </w:pPr>
    </w:p>
    <w:p>
      <w:pPr>
        <w:numPr>
          <w:ilvl w:val="0"/>
          <w:numId w:val="4"/>
        </w:numPr>
        <w:spacing w:line="600" w:lineRule="exact"/>
        <w:ind w:firstLine="640"/>
        <w:outlineLvl w:val="1"/>
        <w:rPr>
          <w:rStyle w:val="27"/>
          <w:rFonts w:ascii="宋体" w:hAnsi="宋体" w:eastAsia="宋体" w:cs="宋体"/>
          <w:b w:val="0"/>
        </w:rPr>
      </w:pPr>
      <w:bookmarkStart w:id="48" w:name="_Toc15396611"/>
      <w:bookmarkStart w:id="49" w:name="_Toc15377219"/>
      <w:r>
        <w:rPr>
          <w:rStyle w:val="27"/>
          <w:rFonts w:hint="eastAsia" w:ascii="宋体" w:hAnsi="宋体" w:eastAsia="宋体" w:cs="宋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宋体" w:hAnsi="宋体" w:cs="宋体"/>
          <w:color w:val="000000"/>
          <w:sz w:val="32"/>
          <w:szCs w:val="32"/>
        </w:rPr>
        <w:t>2019年国有资本经营预算拨款支出0万元。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autoSpaceDE w:val="0"/>
        <w:autoSpaceDN w:val="0"/>
        <w:adjustRightInd w:val="0"/>
        <w:spacing w:line="600" w:lineRule="exact"/>
        <w:ind w:firstLine="640" w:firstLineChars="200"/>
        <w:jc w:val="left"/>
        <w:outlineLvl w:val="2"/>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9年，红原县林业和草原局机关运行经费支出</w:t>
      </w:r>
      <w:r>
        <w:rPr>
          <w:rFonts w:hint="eastAsia" w:ascii="宋体" w:hAnsi="宋体" w:cs="宋体"/>
          <w:color w:val="000000" w:themeColor="text1"/>
          <w:sz w:val="32"/>
          <w:szCs w:val="32"/>
        </w:rPr>
        <w:t>23.27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8年减少8.86万元，下降28</w:t>
      </w:r>
      <w:r>
        <w:rPr>
          <w:rFonts w:ascii="仿宋_GB2312" w:eastAsia="仿宋_GB2312"/>
          <w:color w:val="000000"/>
          <w:sz w:val="32"/>
          <w:szCs w:val="32"/>
        </w:rPr>
        <w:t>%</w:t>
      </w:r>
      <w:r>
        <w:rPr>
          <w:rFonts w:hint="eastAsia" w:ascii="仿宋_GB2312" w:eastAsia="仿宋_GB2312"/>
          <w:color w:val="000000"/>
          <w:sz w:val="32"/>
          <w:szCs w:val="32"/>
        </w:rPr>
        <w:t>。</w:t>
      </w:r>
      <w:bookmarkStart w:id="53" w:name="_Toc15377223"/>
      <w:r>
        <w:rPr>
          <w:rFonts w:hint="eastAsia" w:ascii="仿宋_GB2312" w:eastAsia="仿宋_GB2312"/>
          <w:color w:val="000000"/>
          <w:sz w:val="32"/>
          <w:szCs w:val="32"/>
        </w:rPr>
        <w:t>主要原因是厉行节约，减少不必要的开支。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红原县林业人和草原局政府采购支出总额37.67万元，其中：政府采购货物支出37.67万元、政府采购工程支出0万元、政府采购服务支出0万元。主要用于2019年草原生态修复治理项目方案编制费。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日，红原县林业和草原局共有车辆8辆，其中：主要领导干部用车0辆、机要通信用车0辆、应急保障用车0辆、其他用车8辆，</w:t>
      </w:r>
      <w:r>
        <w:rPr>
          <w:rFonts w:hint="eastAsia" w:ascii="仿宋_GB2312" w:eastAsia="仿宋_GB2312"/>
          <w:color w:val="000000" w:themeColor="text1"/>
          <w:sz w:val="32"/>
          <w:szCs w:val="32"/>
        </w:rPr>
        <w:t>其他用车主要是用于各林业工作站防护巡山及森林草原防灭火宣传。单价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红原县林业和草原局）在年初预算编制阶段，组织对8个项目（湿地生态效益补偿项目、天然林资源保护工程财政专项项目等）开展了预算事前绩效评估，对4个项目编制了绩效目标，预算执行过程中，选取4个项目开展绩效监控，年终执行完毕后，对4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本部门按要求对2019年部门整体支出开展绩效自评，从评价情况来看1、</w:t>
      </w:r>
      <w:r>
        <w:rPr>
          <w:rFonts w:hint="eastAsia" w:ascii="仿宋_GB2312" w:hAnsi="仿宋" w:eastAsia="仿宋_GB2312" w:cs="仿宋"/>
          <w:sz w:val="32"/>
          <w:szCs w:val="32"/>
        </w:rPr>
        <w:t>预算编制情况，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2、执行管理情况，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3、支出控制，2019年本单位财政资金支出8269.24万元（其中社会保障和就业支出213.45万元，卫生健康支出94.55万元，节能环保支出4108.38万元，农林水支出3725.25万元，住房保障支出127.61万元）。4.综合管理情况，(1)资产管理：完善了固定资产档案，2019年对固定资产进行了了一次全面清查；(2)内部管理制度建设情况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5．财政监督情况，我单位财务管理制度健全，执行制度严格合规，会计核算符合相关规定，资金支付依据和开支标准合法合规，严格执行政府采购制度。资金管理做到专人管理，专款专用。</w:t>
      </w:r>
      <w:r>
        <w:rPr>
          <w:rFonts w:hint="eastAsia" w:ascii="仿宋_GB2312" w:eastAsia="仿宋_GB2312"/>
          <w:bCs/>
          <w:sz w:val="32"/>
          <w:szCs w:val="32"/>
        </w:rPr>
        <w:t>6、执行情况及完成情况，</w:t>
      </w:r>
      <w:r>
        <w:rPr>
          <w:rFonts w:hint="eastAsia" w:ascii="仿宋_GB2312" w:hAnsi="仿宋" w:eastAsia="仿宋_GB2312" w:cs="仿宋"/>
          <w:sz w:val="32"/>
          <w:szCs w:val="32"/>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r>
        <w:rPr>
          <w:rFonts w:hint="eastAsia" w:ascii="仿宋_GB2312" w:hAnsi="仿宋_GB2312" w:eastAsia="仿宋_GB2312" w:cs="仿宋_GB2312"/>
          <w:sz w:val="32"/>
          <w:szCs w:val="32"/>
        </w:rPr>
        <w:t>本部门还自行组织了4个项目绩效评价，从评价情况来看项目整体绩效目标达到预定目标完成时效达成预期目标。</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本部门在2019年度部门决算中反映“天然林资源保护工程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湿地生态效益补偿项目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“生态护林员”等4个项目绩效目标实际完成情况。</w:t>
      </w:r>
    </w:p>
    <w:p>
      <w:pPr>
        <w:adjustRightInd w:val="0"/>
        <w:snapToGrid w:val="0"/>
        <w:spacing w:line="560" w:lineRule="exact"/>
        <w:ind w:firstLine="720"/>
        <w:rPr>
          <w:rFonts w:ascii="仿宋_GB2312" w:hAnsi="仿宋_GB2312" w:eastAsia="仿宋_GB2312" w:cs="仿宋_GB2312"/>
          <w:sz w:val="32"/>
          <w:szCs w:val="32"/>
        </w:rPr>
      </w:pP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1.天然林资源保护工程财政专项项目项目绩效目标完成情况综述。项目全年预算数568.38万元，执行数为93.80万元，完成预算的17%</w:t>
      </w:r>
      <w:r>
        <w:rPr>
          <w:rFonts w:hint="eastAsia" w:ascii="仿宋_GB2312" w:eastAsia="仿宋_GB2312"/>
          <w:sz w:val="32"/>
          <w:szCs w:val="32"/>
        </w:rPr>
        <w:t>。2019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r>
        <w:rPr>
          <w:rFonts w:hint="eastAsia" w:ascii="仿宋_GB2312" w:hAnsi="仿宋_GB2312" w:eastAsia="仿宋_GB2312" w:cs="仿宋_GB2312"/>
          <w:sz w:val="32"/>
          <w:szCs w:val="32"/>
        </w:rPr>
        <w:t>发现的主要问题：由于我局天保人员身份未事业身份，天保工程资金存量过大，无法使用。下一步改进措施：建议州级政府部门能够出台县级国有林管理工作和管护经费的相关政策，并落实到县级财政预算中。</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2.湿地生态效益补偿项目绩效目标完成情况综述。项目全年预算数1439万元，执行数为1438.6万元，完成预算的99.97%。2019年</w:t>
      </w:r>
      <w:r>
        <w:rPr>
          <w:rFonts w:hint="eastAsia" w:ascii="仿宋_GB2312" w:hAnsi="仿宋_GB2312" w:eastAsia="仿宋_GB2312" w:cs="仿宋_GB2312"/>
          <w:sz w:val="32"/>
          <w:szCs w:val="32"/>
          <w:lang w:val="zh-CN"/>
        </w:rPr>
        <w:t>该项目</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val="zh-CN"/>
        </w:rPr>
        <w:t>到位</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zh-CN"/>
        </w:rPr>
        <w:t>级财政资金</w:t>
      </w:r>
      <w:r>
        <w:rPr>
          <w:rFonts w:hint="eastAsia" w:ascii="仿宋_GB2312" w:hAnsi="仿宋_GB2312" w:eastAsia="仿宋_GB2312" w:cs="仿宋_GB2312"/>
          <w:sz w:val="32"/>
          <w:szCs w:val="32"/>
        </w:rPr>
        <w:t>1439</w:t>
      </w:r>
      <w:r>
        <w:rPr>
          <w:rFonts w:hint="eastAsia" w:ascii="仿宋_GB2312" w:hAnsi="仿宋_GB2312" w:eastAsia="仿宋_GB2312" w:cs="仿宋_GB2312"/>
          <w:sz w:val="32"/>
          <w:szCs w:val="32"/>
          <w:lang w:val="zh-CN"/>
        </w:rPr>
        <w:t>万，</w:t>
      </w:r>
      <w:r>
        <w:rPr>
          <w:rFonts w:hint="eastAsia" w:ascii="仿宋_GB2312" w:hAnsi="仿宋_GB2312" w:eastAsia="仿宋_GB2312" w:cs="仿宋_GB2312"/>
          <w:sz w:val="32"/>
          <w:szCs w:val="32"/>
        </w:rPr>
        <w:t>并于2019年9月随即组织各乡镇开展工作，2019年9月完成县乡、乡村级目标责任书的签订，10月审定生态补偿人员并进行公示。2019年11月将由县级验收小组对各乡镇湿地生态补偿工作开展情况及牧户管护情况进行验收，待验收合格后，由金融机构通过“一卡通”的形式兑现资金。发现的主要问题：1.省级湿地生态补偿各乡镇湿地面积存在争议，红原县湿地生态补偿面积是参照2012年湿地调查数据，且红原县湿地面积测量受本地气候限制，丰水期与枯水期湿地面积偏差较大。以红原县麦洼乡为例，麦洼乡湿地是日干乔湿地自然保护区的重要组成部分，但是根据湿地调查数据，麦洼乡只有湿地面积10245亩，与实际情况不符。红原县其他部分乡镇也存在着这种问题，麦洼乡的情况最为突出。2.省级湿地生态补偿补偿标准存在争议，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下一步改进措施：1.建议补充经费重新核实红原县各乡镇湿地面积。2.建议对红原县一般湿地开展湿地管护补助和禁牧还湿补偿，其中湿地管护补助标准为每亩每年8元；禁牧还湿补偿标准为每亩每年160元.对重点湿地（日干乔湿地自然保护区和嘎曲国家湿地公园）开展季节性限牧还湿补偿和禁牧还湿补偿，并聘请季节性限牧还湿区生态管护员（每个联户各聘请一名），其中季节性限牧还湿补偿标准为每亩每年80元；禁牧还湿补偿禁牧补偿标准为每亩每年160元；季节性管护人员每月1380元，每年8个月。</w:t>
      </w:r>
    </w:p>
    <w:p>
      <w:pPr>
        <w:adjustRightInd w:val="0"/>
        <w:snapToGrid w:val="0"/>
        <w:spacing w:line="560" w:lineRule="exact"/>
        <w:ind w:firstLine="640" w:firstLineChars="200"/>
        <w:rPr>
          <w:rFonts w:ascii="仿宋_GB2312" w:hAnsi="仿宋_GB2312" w:eastAsia="仿宋_GB2312" w:cs="仿宋_GB2312"/>
          <w:sz w:val="32"/>
          <w:szCs w:val="32"/>
        </w:rPr>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生态护林员项目绩效目标完成情况综述。项目全年预算数74万元，执行数为74万元，完成预算的100%。2019年，178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发现的主要问题：一是补偿护林员劳务补助标准偏低，补偿标准低于社会务工人员平均月工资；二是补偿标准始终没有根据价格指数变化调整，没有随着国民经济的发展和物价上涨对补偿标准进行动态调整。下一步改进措施：一是生态护林员由乡镇林业工作站统一管理，不跨越乡镇选用，原则上在村内进行管护活动。同时加强护林员管理政策方面的法律法规宣传工作，加强对森林资源管护的考核力度； 二是建议提高护林员劳务补助资金标准，实行分类补偿能否根据区域生态的重要性和脆弱性，并综合考虑森林质量、地位级差、管护难度等指标，逐步提高补偿标准。</w:t>
      </w:r>
    </w:p>
    <w:p>
      <w:pPr>
        <w:autoSpaceDE w:val="0"/>
        <w:spacing w:line="52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4.森林生态效益补偿项目绩效目标完成情况综述。项目全年预算数187.17万元，执行数为83.13万元，完成预算的44.4%。</w:t>
      </w:r>
      <w:r>
        <w:rPr>
          <w:rFonts w:hint="eastAsia" w:ascii="仿宋_GB2312" w:hAnsi="仿宋_GB2312" w:eastAsia="仿宋_GB2312" w:cs="仿宋_GB2312"/>
          <w:sz w:val="32"/>
          <w:szCs w:val="32"/>
          <w:lang w:val="zh-CN"/>
        </w:rPr>
        <w:t>红原县</w:t>
      </w:r>
      <w:r>
        <w:rPr>
          <w:rFonts w:hint="eastAsia" w:ascii="仿宋_GB2312" w:hAnsi="仿宋_GB2312" w:eastAsia="仿宋_GB2312" w:cs="仿宋_GB2312"/>
          <w:sz w:val="32"/>
          <w:szCs w:val="32"/>
        </w:rPr>
        <w:t>2019年度</w:t>
      </w:r>
      <w:r>
        <w:rPr>
          <w:rFonts w:hint="eastAsia" w:ascii="仿宋_GB2312" w:hAnsi="仿宋_GB2312" w:eastAsia="仿宋_GB2312" w:cs="仿宋_GB2312"/>
          <w:sz w:val="32"/>
          <w:szCs w:val="32"/>
          <w:lang w:val="zh-CN"/>
        </w:rPr>
        <w:t>森林生态效益补偿项目，主要涉及我县国家级（省级）公益林15.629万亩，其中国有公益林10.7万亩、集体公益林4.929万亩。</w:t>
      </w:r>
      <w:r>
        <w:rPr>
          <w:rFonts w:hint="eastAsia" w:ascii="仿宋_GB2312" w:hAnsi="仿宋_GB2312" w:eastAsia="仿宋_GB2312" w:cs="仿宋_GB2312"/>
          <w:sz w:val="32"/>
          <w:szCs w:val="32"/>
        </w:rPr>
        <w:t>我县成立红原县森林生态效益补偿基金领导小组和管理办公室，办公室设在县林草局局林政资源审批股，处理我县国家（省）级公益林森林生态效益补偿的日常事务。根据相关政策要求，我局对森林生态效益补偿补助资金实行专帐管理、单独核算、专款专用，集体和个人补偿资金实行“一卡通”兑付。2019年8月底，县林草局将组织专业人员对我县补偿国家级公益林林地管护落实情况进行检查验收，通过内业检查《红原县集体公益林管护合同》的签订情况和各村集体公益林生态效益补偿补助资金兑现方案等相关材料以及外业检查各集体公益林管护情况，在检查合格后，对集体（个人）公益林生态效益补偿补助资金的实行“一卡通”补偿到户（在林权所有者“一卡通”账户明细上注明“生态效益补偿资金”），并在乡镇张榜公示，公示期不少于7天。县林业局和县财政局、监察局等部门联合并对兑现补偿补助资金进行相关抽查检查。 发现的主要问题：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下一步改进措施：一是县级林业部门配合各乡村定期集中开展对集体林管护人员的培训工作，以提高集体林管护人员的管护水平和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w:t>
      </w:r>
      <w:bookmarkStart w:id="73" w:name="_GoBack"/>
      <w:bookmarkEnd w:id="73"/>
      <w:r>
        <w:rPr>
          <w:rFonts w:hint="eastAsia" w:ascii="仿宋_GB2312" w:hAnsi="仿宋_GB2312" w:eastAsia="仿宋_GB2312" w:cs="仿宋_GB2312"/>
          <w:sz w:val="32"/>
          <w:szCs w:val="32"/>
        </w:rPr>
        <w:t>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营者的经济收入。</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4"/>
        <w:tblW w:w="9525" w:type="dxa"/>
        <w:tblInd w:w="0" w:type="dxa"/>
        <w:tblLayout w:type="fixed"/>
        <w:tblCellMar>
          <w:top w:w="0" w:type="dxa"/>
          <w:left w:w="0" w:type="dxa"/>
          <w:bottom w:w="0" w:type="dxa"/>
          <w:right w:w="0" w:type="dxa"/>
        </w:tblCellMar>
      </w:tblPr>
      <w:tblGrid>
        <w:gridCol w:w="449"/>
        <w:gridCol w:w="834"/>
        <w:gridCol w:w="1042"/>
        <w:gridCol w:w="7"/>
        <w:gridCol w:w="739"/>
        <w:gridCol w:w="11"/>
        <w:gridCol w:w="1165"/>
        <w:gridCol w:w="19"/>
        <w:gridCol w:w="1723"/>
        <w:gridCol w:w="31"/>
        <w:gridCol w:w="1589"/>
        <w:gridCol w:w="45"/>
        <w:gridCol w:w="1871"/>
      </w:tblGrid>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4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42"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2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91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59264" behindDoc="0" locked="0" layoutInCell="1" allowOverlap="1">
                  <wp:simplePos x="0" y="0"/>
                  <wp:positionH relativeFrom="column">
                    <wp:posOffset>771525</wp:posOffset>
                  </wp:positionH>
                  <wp:positionV relativeFrom="paragraph">
                    <wp:posOffset>0</wp:posOffset>
                  </wp:positionV>
                  <wp:extent cx="635" cy="0"/>
                  <wp:effectExtent l="0" t="0" r="0" b="0"/>
                  <wp:wrapNone/>
                  <wp:docPr id="85" name="Line_1"/>
                  <wp:cNvGraphicFramePr/>
                  <a:graphic xmlns:a="http://schemas.openxmlformats.org/drawingml/2006/main">
                    <a:graphicData uri="http://schemas.openxmlformats.org/drawingml/2006/picture">
                      <pic:pic xmlns:pic="http://schemas.openxmlformats.org/drawingml/2006/picture">
                        <pic:nvPicPr>
                          <pic:cNvPr id="85"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0288" behindDoc="0" locked="0" layoutInCell="1" allowOverlap="1">
                  <wp:simplePos x="0" y="0"/>
                  <wp:positionH relativeFrom="column">
                    <wp:posOffset>771525</wp:posOffset>
                  </wp:positionH>
                  <wp:positionV relativeFrom="paragraph">
                    <wp:posOffset>0</wp:posOffset>
                  </wp:positionV>
                  <wp:extent cx="635" cy="0"/>
                  <wp:effectExtent l="0" t="0" r="0" b="0"/>
                  <wp:wrapNone/>
                  <wp:docPr id="10" name="Line_3"/>
                  <wp:cNvGraphicFramePr/>
                  <a:graphic xmlns:a="http://schemas.openxmlformats.org/drawingml/2006/main">
                    <a:graphicData uri="http://schemas.openxmlformats.org/drawingml/2006/picture">
                      <pic:pic xmlns:pic="http://schemas.openxmlformats.org/drawingml/2006/picture">
                        <pic:nvPicPr>
                          <pic:cNvPr id="10"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1312" behindDoc="0" locked="0" layoutInCell="1" allowOverlap="1">
                  <wp:simplePos x="0" y="0"/>
                  <wp:positionH relativeFrom="column">
                    <wp:posOffset>771525</wp:posOffset>
                  </wp:positionH>
                  <wp:positionV relativeFrom="paragraph">
                    <wp:posOffset>0</wp:posOffset>
                  </wp:positionV>
                  <wp:extent cx="635" cy="0"/>
                  <wp:effectExtent l="0" t="0" r="0" b="0"/>
                  <wp:wrapNone/>
                  <wp:docPr id="86" name="Line_2"/>
                  <wp:cNvGraphicFramePr/>
                  <a:graphic xmlns:a="http://schemas.openxmlformats.org/drawingml/2006/main">
                    <a:graphicData uri="http://schemas.openxmlformats.org/drawingml/2006/picture">
                      <pic:pic xmlns:pic="http://schemas.openxmlformats.org/drawingml/2006/picture">
                        <pic:nvPicPr>
                          <pic:cNvPr id="86"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2336" behindDoc="0" locked="0" layoutInCell="1" allowOverlap="1">
                  <wp:simplePos x="0" y="0"/>
                  <wp:positionH relativeFrom="column">
                    <wp:posOffset>771525</wp:posOffset>
                  </wp:positionH>
                  <wp:positionV relativeFrom="paragraph">
                    <wp:posOffset>0</wp:posOffset>
                  </wp:positionV>
                  <wp:extent cx="635" cy="0"/>
                  <wp:effectExtent l="0" t="0" r="0" b="0"/>
                  <wp:wrapNone/>
                  <wp:docPr id="11" name="Line_5"/>
                  <wp:cNvGraphicFramePr/>
                  <a:graphic xmlns:a="http://schemas.openxmlformats.org/drawingml/2006/main">
                    <a:graphicData uri="http://schemas.openxmlformats.org/drawingml/2006/picture">
                      <pic:pic xmlns:pic="http://schemas.openxmlformats.org/drawingml/2006/picture">
                        <pic:nvPicPr>
                          <pic:cNvPr id="11"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3360" behindDoc="0" locked="0" layoutInCell="1" allowOverlap="1">
                  <wp:simplePos x="0" y="0"/>
                  <wp:positionH relativeFrom="column">
                    <wp:posOffset>771525</wp:posOffset>
                  </wp:positionH>
                  <wp:positionV relativeFrom="paragraph">
                    <wp:posOffset>0</wp:posOffset>
                  </wp:positionV>
                  <wp:extent cx="28575" cy="0"/>
                  <wp:effectExtent l="0" t="0" r="0" b="0"/>
                  <wp:wrapNone/>
                  <wp:docPr id="8" name="Line_4"/>
                  <wp:cNvGraphicFramePr/>
                  <a:graphic xmlns:a="http://schemas.openxmlformats.org/drawingml/2006/main">
                    <a:graphicData uri="http://schemas.openxmlformats.org/drawingml/2006/picture">
                      <pic:pic xmlns:pic="http://schemas.openxmlformats.org/drawingml/2006/picture">
                        <pic:nvPicPr>
                          <pic:cNvPr id="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4384" behindDoc="0" locked="0" layoutInCell="1" allowOverlap="1">
                  <wp:simplePos x="0" y="0"/>
                  <wp:positionH relativeFrom="column">
                    <wp:posOffset>1438275</wp:posOffset>
                  </wp:positionH>
                  <wp:positionV relativeFrom="paragraph">
                    <wp:posOffset>0</wp:posOffset>
                  </wp:positionV>
                  <wp:extent cx="635" cy="0"/>
                  <wp:effectExtent l="0" t="0" r="0" b="0"/>
                  <wp:wrapNone/>
                  <wp:docPr id="87" name="Line_6"/>
                  <wp:cNvGraphicFramePr/>
                  <a:graphic xmlns:a="http://schemas.openxmlformats.org/drawingml/2006/main">
                    <a:graphicData uri="http://schemas.openxmlformats.org/drawingml/2006/picture">
                      <pic:pic xmlns:pic="http://schemas.openxmlformats.org/drawingml/2006/picture">
                        <pic:nvPicPr>
                          <pic:cNvPr id="87"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天然林资源保护工程财政专项项目</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sz w:val="24"/>
              </w:rPr>
            </w:pPr>
            <w:r>
              <w:rPr>
                <w:rFonts w:hint="eastAsia" w:ascii="宋体" w:hAnsi="宋体" w:cs="宋体"/>
                <w:b/>
                <w:color w:val="00000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93.80万元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93.80万元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2019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jc w:val="center"/>
              <w:rPr>
                <w:rFonts w:ascii="宋体" w:hAnsi="宋体" w:cs="宋体"/>
                <w:b/>
                <w:color w:val="000000"/>
                <w:sz w:val="24"/>
              </w:rPr>
            </w:pP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ind w:firstLine="400" w:firstLineChars="200"/>
              <w:rPr>
                <w:rFonts w:ascii="仿宋_GB2312" w:eastAsia="仿宋_GB2312"/>
                <w:sz w:val="20"/>
                <w:szCs w:val="20"/>
              </w:rPr>
            </w:pPr>
            <w:r>
              <w:rPr>
                <w:rFonts w:hint="eastAsia" w:ascii="仿宋_GB2312" w:hAnsi="仿宋_GB2312" w:eastAsia="仿宋_GB2312" w:cs="仿宋_GB2312"/>
                <w:sz w:val="20"/>
                <w:szCs w:val="20"/>
              </w:rPr>
              <w:t>一是</w:t>
            </w:r>
            <w:r>
              <w:rPr>
                <w:rFonts w:hint="eastAsia" w:ascii="仿宋_GB2312" w:eastAsia="仿宋_GB2312"/>
                <w:sz w:val="20"/>
                <w:szCs w:val="20"/>
              </w:rPr>
              <w:t xml:space="preserve">项目完成任务量。我县公益林面积220.3381万亩，其中国有公益林面积215.4091万亩，集体公益林面积4.9290万亩,生态效益补偿面积覆盖率为 100%。 </w:t>
            </w:r>
          </w:p>
          <w:p>
            <w:pPr>
              <w:autoSpaceDE w:val="0"/>
              <w:spacing w:line="560" w:lineRule="exact"/>
              <w:ind w:firstLine="400" w:firstLineChars="200"/>
              <w:rPr>
                <w:rFonts w:ascii="仿宋_GB2312" w:hAnsi="仿宋_GB2312" w:eastAsia="仿宋_GB2312" w:cs="仿宋_GB2312"/>
                <w:b/>
                <w:bCs/>
                <w:sz w:val="20"/>
                <w:szCs w:val="20"/>
              </w:rPr>
            </w:pPr>
            <w:r>
              <w:rPr>
                <w:rFonts w:hint="eastAsia" w:ascii="仿宋_GB2312" w:eastAsia="仿宋_GB2312"/>
                <w:sz w:val="20"/>
                <w:szCs w:val="20"/>
              </w:rPr>
              <w:t>二是项目完成质量。2019年度我局通过层层落实了管护责任制，全县签订国有林管护合同48份，完成率达100%。加强监督与管理，</w:t>
            </w:r>
            <w:r>
              <w:rPr>
                <w:rFonts w:hint="eastAsia" w:ascii="仿宋_GB2312" w:hAnsi="仿宋_GB2312" w:eastAsia="仿宋_GB2312" w:cs="仿宋_GB2312"/>
                <w:sz w:val="20"/>
                <w:szCs w:val="20"/>
              </w:rPr>
              <w:t>杜绝滥砍乱伐、毁林开垦的现象发生，牲畜破坏国有林的情况也逐减少，国有林的管护取得了明显成绩，</w:t>
            </w:r>
            <w:r>
              <w:rPr>
                <w:rFonts w:hint="eastAsia" w:ascii="仿宋_GB2312" w:eastAsia="仿宋_GB2312"/>
                <w:sz w:val="20"/>
                <w:szCs w:val="20"/>
              </w:rPr>
              <w:t>行政案件逐年降低。</w:t>
            </w:r>
          </w:p>
          <w:p>
            <w:pPr>
              <w:adjustRightInd w:val="0"/>
              <w:snapToGrid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三是项目完成进度。2019年度天然林资源保护工程财政专项项目管护率达到100%。</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10"/>
                  <wp:cNvGraphicFramePr/>
                  <a:graphic xmlns:a="http://schemas.openxmlformats.org/drawingml/2006/main">
                    <a:graphicData uri="http://schemas.openxmlformats.org/drawingml/2006/picture">
                      <pic:pic xmlns:pic="http://schemas.openxmlformats.org/drawingml/2006/picture">
                        <pic:nvPicPr>
                          <pic:cNvPr id="9"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32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8" name="直接连接符_9"/>
                  <wp:cNvGraphicFramePr/>
                  <a:graphic xmlns:a="http://schemas.openxmlformats.org/drawingml/2006/main">
                    <a:graphicData uri="http://schemas.openxmlformats.org/drawingml/2006/picture">
                      <pic:pic xmlns:pic="http://schemas.openxmlformats.org/drawingml/2006/picture">
                        <pic:nvPicPr>
                          <pic:cNvPr id="88"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43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7"/>
                  <wp:cNvGraphicFramePr/>
                  <a:graphic xmlns:a="http://schemas.openxmlformats.org/drawingml/2006/main">
                    <a:graphicData uri="http://schemas.openxmlformats.org/drawingml/2006/picture">
                      <pic:pic xmlns:pic="http://schemas.openxmlformats.org/drawingml/2006/picture">
                        <pic:nvPicPr>
                          <pic:cNvPr id="12"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53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9" name="直接连接符_8"/>
                  <wp:cNvGraphicFramePr/>
                  <a:graphic xmlns:a="http://schemas.openxmlformats.org/drawingml/2006/main">
                    <a:graphicData uri="http://schemas.openxmlformats.org/drawingml/2006/picture">
                      <pic:pic xmlns:pic="http://schemas.openxmlformats.org/drawingml/2006/picture">
                        <pic:nvPicPr>
                          <pic:cNvPr id="89"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1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5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0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0636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90" name="直接连接符_6"/>
                  <wp:cNvGraphicFramePr/>
                  <a:graphic xmlns:a="http://schemas.openxmlformats.org/drawingml/2006/main">
                    <a:graphicData uri="http://schemas.openxmlformats.org/drawingml/2006/picture">
                      <pic:pic xmlns:pic="http://schemas.openxmlformats.org/drawingml/2006/picture">
                        <pic:nvPicPr>
                          <pic:cNvPr id="90"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0739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91" name="直接连接符_5"/>
                  <wp:cNvGraphicFramePr/>
                  <a:graphic xmlns:a="http://schemas.openxmlformats.org/drawingml/2006/main">
                    <a:graphicData uri="http://schemas.openxmlformats.org/drawingml/2006/picture">
                      <pic:pic xmlns:pic="http://schemas.openxmlformats.org/drawingml/2006/picture">
                        <pic:nvPicPr>
                          <pic:cNvPr id="91"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实施天然林保护工程任务以来我县当地农牧民从该项项目中得到经济收入稳步提高，2019年度通过天保工程项目，按照我县农牧民33428人数折算，从天保工程项目人均增收达到37.76元/人</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天然林保护工程是我县重大民生工程，通过项目的实施，促进社会稳定，生态得到保护，农户增收，充分体现了党和国家对人民群众的关心。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通过常年以来的管理与管护，基本杜绝了乱砍乱伐现象，资源保护明显加强。通过宣传使当地农民认识到了天然林保护的重要性，杜绝了乱砍乱伐现象，围绕停、减、管、造全面采取措施，天然林得到修养生息，天然林资源得到了有效的保护，森林蓄积量得到有效的增长，2019年度我县的森林覆盖率达到了8.44%。</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 xml:space="preserve">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jc w:val="center"/>
              <w:rPr>
                <w:rFonts w:ascii="宋体" w:hAnsi="宋体" w:cs="宋体"/>
                <w:color w:val="000000"/>
                <w:sz w:val="20"/>
                <w:szCs w:val="20"/>
              </w:rPr>
            </w:pPr>
            <w:r>
              <w:rPr>
                <w:rFonts w:hint="eastAsia" w:ascii="宋体" w:hAnsi="宋体" w:cs="宋体"/>
                <w:color w:val="000000"/>
                <w:kern w:val="0"/>
                <w:sz w:val="20"/>
                <w:szCs w:val="20"/>
              </w:rPr>
              <w:t>实施天然林保护工程任务以来我县当地农牧民从该项项目中得到经济收入稳步提高，2019年度通过天保工程项目，按照我县农牧民33428人数折算，从天保工程项目人均增收达到37.76元/人。</w:t>
            </w: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66432" behindDoc="0" locked="0" layoutInCell="1" allowOverlap="1">
                  <wp:simplePos x="0" y="0"/>
                  <wp:positionH relativeFrom="column">
                    <wp:posOffset>771525</wp:posOffset>
                  </wp:positionH>
                  <wp:positionV relativeFrom="paragraph">
                    <wp:posOffset>0</wp:posOffset>
                  </wp:positionV>
                  <wp:extent cx="635" cy="0"/>
                  <wp:effectExtent l="0" t="0" r="0" b="0"/>
                  <wp:wrapNone/>
                  <wp:docPr id="31" name="Line_1"/>
                  <wp:cNvGraphicFramePr/>
                  <a:graphic xmlns:a="http://schemas.openxmlformats.org/drawingml/2006/main">
                    <a:graphicData uri="http://schemas.openxmlformats.org/drawingml/2006/picture">
                      <pic:pic xmlns:pic="http://schemas.openxmlformats.org/drawingml/2006/picture">
                        <pic:nvPicPr>
                          <pic:cNvPr id="31"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7456" behindDoc="0" locked="0" layoutInCell="1" allowOverlap="1">
                  <wp:simplePos x="0" y="0"/>
                  <wp:positionH relativeFrom="column">
                    <wp:posOffset>771525</wp:posOffset>
                  </wp:positionH>
                  <wp:positionV relativeFrom="paragraph">
                    <wp:posOffset>0</wp:posOffset>
                  </wp:positionV>
                  <wp:extent cx="635" cy="0"/>
                  <wp:effectExtent l="0" t="0" r="0" b="0"/>
                  <wp:wrapNone/>
                  <wp:docPr id="28" name="Line_3"/>
                  <wp:cNvGraphicFramePr/>
                  <a:graphic xmlns:a="http://schemas.openxmlformats.org/drawingml/2006/main">
                    <a:graphicData uri="http://schemas.openxmlformats.org/drawingml/2006/picture">
                      <pic:pic xmlns:pic="http://schemas.openxmlformats.org/drawingml/2006/picture">
                        <pic:nvPicPr>
                          <pic:cNvPr id="28"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8480" behindDoc="0" locked="0" layoutInCell="1" allowOverlap="1">
                  <wp:simplePos x="0" y="0"/>
                  <wp:positionH relativeFrom="column">
                    <wp:posOffset>771525</wp:posOffset>
                  </wp:positionH>
                  <wp:positionV relativeFrom="paragraph">
                    <wp:posOffset>0</wp:posOffset>
                  </wp:positionV>
                  <wp:extent cx="635" cy="0"/>
                  <wp:effectExtent l="0" t="0" r="0" b="0"/>
                  <wp:wrapNone/>
                  <wp:docPr id="29" name="Line_2"/>
                  <wp:cNvGraphicFramePr/>
                  <a:graphic xmlns:a="http://schemas.openxmlformats.org/drawingml/2006/main">
                    <a:graphicData uri="http://schemas.openxmlformats.org/drawingml/2006/picture">
                      <pic:pic xmlns:pic="http://schemas.openxmlformats.org/drawingml/2006/picture">
                        <pic:nvPicPr>
                          <pic:cNvPr id="2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9504" behindDoc="0" locked="0" layoutInCell="1" allowOverlap="1">
                  <wp:simplePos x="0" y="0"/>
                  <wp:positionH relativeFrom="column">
                    <wp:posOffset>771525</wp:posOffset>
                  </wp:positionH>
                  <wp:positionV relativeFrom="paragraph">
                    <wp:posOffset>0</wp:posOffset>
                  </wp:positionV>
                  <wp:extent cx="635" cy="0"/>
                  <wp:effectExtent l="0" t="0" r="0" b="0"/>
                  <wp:wrapNone/>
                  <wp:docPr id="30" name="Line_5"/>
                  <wp:cNvGraphicFramePr/>
                  <a:graphic xmlns:a="http://schemas.openxmlformats.org/drawingml/2006/main">
                    <a:graphicData uri="http://schemas.openxmlformats.org/drawingml/2006/picture">
                      <pic:pic xmlns:pic="http://schemas.openxmlformats.org/drawingml/2006/picture">
                        <pic:nvPicPr>
                          <pic:cNvPr id="30"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0528" behindDoc="0" locked="0" layoutInCell="1" allowOverlap="1">
                  <wp:simplePos x="0" y="0"/>
                  <wp:positionH relativeFrom="column">
                    <wp:posOffset>771525</wp:posOffset>
                  </wp:positionH>
                  <wp:positionV relativeFrom="paragraph">
                    <wp:posOffset>0</wp:posOffset>
                  </wp:positionV>
                  <wp:extent cx="28575" cy="0"/>
                  <wp:effectExtent l="0" t="0" r="0" b="0"/>
                  <wp:wrapNone/>
                  <wp:docPr id="26" name="Line_4"/>
                  <wp:cNvGraphicFramePr/>
                  <a:graphic xmlns:a="http://schemas.openxmlformats.org/drawingml/2006/main">
                    <a:graphicData uri="http://schemas.openxmlformats.org/drawingml/2006/picture">
                      <pic:pic xmlns:pic="http://schemas.openxmlformats.org/drawingml/2006/picture">
                        <pic:nvPicPr>
                          <pic:cNvPr id="2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1552" behindDoc="0" locked="0" layoutInCell="1" allowOverlap="1">
                  <wp:simplePos x="0" y="0"/>
                  <wp:positionH relativeFrom="column">
                    <wp:posOffset>1438275</wp:posOffset>
                  </wp:positionH>
                  <wp:positionV relativeFrom="paragraph">
                    <wp:posOffset>0</wp:posOffset>
                  </wp:positionV>
                  <wp:extent cx="635" cy="0"/>
                  <wp:effectExtent l="0" t="0" r="0" b="0"/>
                  <wp:wrapNone/>
                  <wp:docPr id="22" name="Line_6"/>
                  <wp:cNvGraphicFramePr/>
                  <a:graphic xmlns:a="http://schemas.openxmlformats.org/drawingml/2006/main">
                    <a:graphicData uri="http://schemas.openxmlformats.org/drawingml/2006/picture">
                      <pic:pic xmlns:pic="http://schemas.openxmlformats.org/drawingml/2006/picture">
                        <pic:nvPicPr>
                          <pic:cNvPr id="22"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湿地生态补偿项目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ab/>
            </w:r>
            <w:r>
              <w:rPr>
                <w:rFonts w:hint="eastAsia" w:ascii="宋体" w:hAnsi="宋体" w:cs="宋体"/>
                <w:b/>
                <w:color w:val="000000"/>
                <w:kern w:val="0"/>
                <w:sz w:val="24"/>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lang w:val="zh-CN"/>
              </w:rPr>
              <w:t>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2019年</w:t>
            </w:r>
            <w:r>
              <w:rPr>
                <w:rFonts w:hint="eastAsia" w:ascii="宋体" w:hAnsi="宋体" w:cs="宋体"/>
                <w:color w:val="000000"/>
                <w:kern w:val="0"/>
                <w:sz w:val="20"/>
                <w:szCs w:val="20"/>
                <w:lang w:val="zh-CN"/>
              </w:rPr>
              <w:t>该项目</w:t>
            </w:r>
            <w:r>
              <w:rPr>
                <w:rFonts w:hint="eastAsia" w:ascii="宋体" w:hAnsi="宋体" w:cs="宋体"/>
                <w:color w:val="000000"/>
                <w:kern w:val="0"/>
                <w:sz w:val="20"/>
                <w:szCs w:val="20"/>
              </w:rPr>
              <w:t>实际</w:t>
            </w:r>
            <w:r>
              <w:rPr>
                <w:rFonts w:hint="eastAsia" w:ascii="宋体" w:hAnsi="宋体" w:cs="宋体"/>
                <w:color w:val="000000"/>
                <w:kern w:val="0"/>
                <w:sz w:val="20"/>
                <w:szCs w:val="20"/>
                <w:lang w:val="zh-CN"/>
              </w:rPr>
              <w:t>到位</w:t>
            </w:r>
            <w:r>
              <w:rPr>
                <w:rFonts w:hint="eastAsia" w:ascii="宋体" w:hAnsi="宋体" w:cs="宋体"/>
                <w:color w:val="000000"/>
                <w:kern w:val="0"/>
                <w:sz w:val="20"/>
                <w:szCs w:val="20"/>
              </w:rPr>
              <w:t>省</w:t>
            </w:r>
            <w:r>
              <w:rPr>
                <w:rFonts w:hint="eastAsia" w:ascii="宋体" w:hAnsi="宋体" w:cs="宋体"/>
                <w:color w:val="000000"/>
                <w:kern w:val="0"/>
                <w:sz w:val="20"/>
                <w:szCs w:val="20"/>
                <w:lang w:val="zh-CN"/>
              </w:rPr>
              <w:t>级财政资金</w:t>
            </w:r>
            <w:r>
              <w:rPr>
                <w:rFonts w:hint="eastAsia" w:ascii="宋体" w:hAnsi="宋体" w:cs="宋体"/>
                <w:color w:val="000000"/>
                <w:kern w:val="0"/>
                <w:sz w:val="20"/>
                <w:szCs w:val="20"/>
              </w:rPr>
              <w:t>1439</w:t>
            </w:r>
            <w:r>
              <w:rPr>
                <w:rFonts w:hint="eastAsia" w:ascii="宋体" w:hAnsi="宋体" w:cs="宋体"/>
                <w:color w:val="000000"/>
                <w:kern w:val="0"/>
                <w:sz w:val="20"/>
                <w:szCs w:val="20"/>
                <w:lang w:val="zh-CN"/>
              </w:rPr>
              <w:t>万，</w:t>
            </w:r>
            <w:r>
              <w:rPr>
                <w:rFonts w:hint="eastAsia" w:ascii="宋体" w:hAnsi="宋体" w:cs="宋体"/>
                <w:color w:val="000000"/>
                <w:kern w:val="0"/>
                <w:sz w:val="20"/>
                <w:szCs w:val="20"/>
              </w:rPr>
              <w:t>并于2019年9月随即组织各乡镇开展工作，2019年9月完成县乡、乡村级目标责任书的签订，10月审定生态补偿人员并进行公示。2019年11月将由县级验收小组对各乡镇湿地生态补偿工作开展情况及牧户管护情况进行验收，待验收合格后，由金融机构通过“一卡通”的形式兑现资金。</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10"/>
                  <wp:cNvGraphicFramePr/>
                  <a:graphic xmlns:a="http://schemas.openxmlformats.org/drawingml/2006/main">
                    <a:graphicData uri="http://schemas.openxmlformats.org/drawingml/2006/picture">
                      <pic:pic xmlns:pic="http://schemas.openxmlformats.org/drawingml/2006/picture">
                        <pic:nvPicPr>
                          <pic:cNvPr id="2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9"/>
                  <wp:cNvGraphicFramePr/>
                  <a:graphic xmlns:a="http://schemas.openxmlformats.org/drawingml/2006/main">
                    <a:graphicData uri="http://schemas.openxmlformats.org/drawingml/2006/picture">
                      <pic:pic xmlns:pic="http://schemas.openxmlformats.org/drawingml/2006/picture">
                        <pic:nvPicPr>
                          <pic:cNvPr id="23"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7"/>
                  <wp:cNvGraphicFramePr/>
                  <a:graphic xmlns:a="http://schemas.openxmlformats.org/drawingml/2006/main">
                    <a:graphicData uri="http://schemas.openxmlformats.org/drawingml/2006/picture">
                      <pic:pic xmlns:pic="http://schemas.openxmlformats.org/drawingml/2006/picture">
                        <pic:nvPicPr>
                          <pic:cNvPr id="2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1" name="直接连接符_8"/>
                  <wp:cNvGraphicFramePr/>
                  <a:graphic xmlns:a="http://schemas.openxmlformats.org/drawingml/2006/main">
                    <a:graphicData uri="http://schemas.openxmlformats.org/drawingml/2006/picture">
                      <pic:pic xmlns:pic="http://schemas.openxmlformats.org/drawingml/2006/picture">
                        <pic:nvPicPr>
                          <pic:cNvPr id="21"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ind w:firstLine="600" w:firstLineChars="300"/>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0"/>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8"/>
              </w:tabs>
              <w:ind w:firstLine="600" w:firstLineChars="300"/>
              <w:jc w:val="left"/>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4" name="直接连接符_6"/>
                  <wp:cNvGraphicFramePr/>
                  <a:graphic xmlns:a="http://schemas.openxmlformats.org/drawingml/2006/main">
                    <a:graphicData uri="http://schemas.openxmlformats.org/drawingml/2006/picture">
                      <pic:pic xmlns:pic="http://schemas.openxmlformats.org/drawingml/2006/picture">
                        <pic:nvPicPr>
                          <pic:cNvPr id="24"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jc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78720" behindDoc="0" locked="0" layoutInCell="1" allowOverlap="1">
                  <wp:simplePos x="0" y="0"/>
                  <wp:positionH relativeFrom="column">
                    <wp:posOffset>771525</wp:posOffset>
                  </wp:positionH>
                  <wp:positionV relativeFrom="paragraph">
                    <wp:posOffset>0</wp:posOffset>
                  </wp:positionV>
                  <wp:extent cx="635" cy="0"/>
                  <wp:effectExtent l="0" t="0" r="0" b="0"/>
                  <wp:wrapNone/>
                  <wp:docPr id="37" name="Line_1"/>
                  <wp:cNvGraphicFramePr/>
                  <a:graphic xmlns:a="http://schemas.openxmlformats.org/drawingml/2006/main">
                    <a:graphicData uri="http://schemas.openxmlformats.org/drawingml/2006/picture">
                      <pic:pic xmlns:pic="http://schemas.openxmlformats.org/drawingml/2006/picture">
                        <pic:nvPicPr>
                          <pic:cNvPr id="37"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9744" behindDoc="0" locked="0" layoutInCell="1" allowOverlap="1">
                  <wp:simplePos x="0" y="0"/>
                  <wp:positionH relativeFrom="column">
                    <wp:posOffset>771525</wp:posOffset>
                  </wp:positionH>
                  <wp:positionV relativeFrom="paragraph">
                    <wp:posOffset>0</wp:posOffset>
                  </wp:positionV>
                  <wp:extent cx="635" cy="0"/>
                  <wp:effectExtent l="0" t="0" r="0" b="0"/>
                  <wp:wrapNone/>
                  <wp:docPr id="32" name="Line_3"/>
                  <wp:cNvGraphicFramePr/>
                  <a:graphic xmlns:a="http://schemas.openxmlformats.org/drawingml/2006/main">
                    <a:graphicData uri="http://schemas.openxmlformats.org/drawingml/2006/picture">
                      <pic:pic xmlns:pic="http://schemas.openxmlformats.org/drawingml/2006/picture">
                        <pic:nvPicPr>
                          <pic:cNvPr id="32"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0768" behindDoc="0" locked="0" layoutInCell="1" allowOverlap="1">
                  <wp:simplePos x="0" y="0"/>
                  <wp:positionH relativeFrom="column">
                    <wp:posOffset>771525</wp:posOffset>
                  </wp:positionH>
                  <wp:positionV relativeFrom="paragraph">
                    <wp:posOffset>0</wp:posOffset>
                  </wp:positionV>
                  <wp:extent cx="635" cy="0"/>
                  <wp:effectExtent l="0" t="0" r="0" b="0"/>
                  <wp:wrapNone/>
                  <wp:docPr id="39" name="Line_2"/>
                  <wp:cNvGraphicFramePr/>
                  <a:graphic xmlns:a="http://schemas.openxmlformats.org/drawingml/2006/main">
                    <a:graphicData uri="http://schemas.openxmlformats.org/drawingml/2006/picture">
                      <pic:pic xmlns:pic="http://schemas.openxmlformats.org/drawingml/2006/picture">
                        <pic:nvPicPr>
                          <pic:cNvPr id="3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1792" behindDoc="0" locked="0" layoutInCell="1" allowOverlap="1">
                  <wp:simplePos x="0" y="0"/>
                  <wp:positionH relativeFrom="column">
                    <wp:posOffset>771525</wp:posOffset>
                  </wp:positionH>
                  <wp:positionV relativeFrom="paragraph">
                    <wp:posOffset>0</wp:posOffset>
                  </wp:positionV>
                  <wp:extent cx="635" cy="0"/>
                  <wp:effectExtent l="0" t="0" r="0" b="0"/>
                  <wp:wrapNone/>
                  <wp:docPr id="33" name="Line_5"/>
                  <wp:cNvGraphicFramePr/>
                  <a:graphic xmlns:a="http://schemas.openxmlformats.org/drawingml/2006/main">
                    <a:graphicData uri="http://schemas.openxmlformats.org/drawingml/2006/picture">
                      <pic:pic xmlns:pic="http://schemas.openxmlformats.org/drawingml/2006/picture">
                        <pic:nvPicPr>
                          <pic:cNvPr id="33"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2816" behindDoc="0" locked="0" layoutInCell="1" allowOverlap="1">
                  <wp:simplePos x="0" y="0"/>
                  <wp:positionH relativeFrom="column">
                    <wp:posOffset>771525</wp:posOffset>
                  </wp:positionH>
                  <wp:positionV relativeFrom="paragraph">
                    <wp:posOffset>0</wp:posOffset>
                  </wp:positionV>
                  <wp:extent cx="28575" cy="0"/>
                  <wp:effectExtent l="0" t="0" r="0" b="0"/>
                  <wp:wrapNone/>
                  <wp:docPr id="38" name="Line_4"/>
                  <wp:cNvGraphicFramePr/>
                  <a:graphic xmlns:a="http://schemas.openxmlformats.org/drawingml/2006/main">
                    <a:graphicData uri="http://schemas.openxmlformats.org/drawingml/2006/picture">
                      <pic:pic xmlns:pic="http://schemas.openxmlformats.org/drawingml/2006/picture">
                        <pic:nvPicPr>
                          <pic:cNvPr id="3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3840" behindDoc="0" locked="0" layoutInCell="1" allowOverlap="1">
                  <wp:simplePos x="0" y="0"/>
                  <wp:positionH relativeFrom="column">
                    <wp:posOffset>1438275</wp:posOffset>
                  </wp:positionH>
                  <wp:positionV relativeFrom="paragraph">
                    <wp:posOffset>0</wp:posOffset>
                  </wp:positionV>
                  <wp:extent cx="635" cy="0"/>
                  <wp:effectExtent l="0" t="0" r="0" b="0"/>
                  <wp:wrapNone/>
                  <wp:docPr id="36" name="Line_6"/>
                  <wp:cNvGraphicFramePr/>
                  <a:graphic xmlns:a="http://schemas.openxmlformats.org/drawingml/2006/main">
                    <a:graphicData uri="http://schemas.openxmlformats.org/drawingml/2006/picture">
                      <pic:pic xmlns:pic="http://schemas.openxmlformats.org/drawingml/2006/picture">
                        <pic:nvPicPr>
                          <pic:cNvPr id="36"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生态护林员项目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74万元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74万元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74万元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74万元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建立健全红原县建档立卡贫困户生态护林员政策机制是一项重大创新，意义重大的工作，政策性强、涉及面广、工作量大、任务艰巨、情况复杂，必须采取最强有力的措施确保政策顺利落实。</w:t>
            </w:r>
          </w:p>
          <w:p>
            <w:pPr>
              <w:jc w:val="center"/>
              <w:rPr>
                <w:rFonts w:ascii="宋体" w:hAnsi="宋体" w:cs="宋体"/>
                <w:b/>
                <w:color w:val="000000"/>
                <w:sz w:val="24"/>
              </w:rPr>
            </w:pP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2019年，178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w:t>
            </w: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848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10"/>
                  <wp:cNvGraphicFramePr/>
                  <a:graphic xmlns:a="http://schemas.openxmlformats.org/drawingml/2006/main">
                    <a:graphicData uri="http://schemas.openxmlformats.org/drawingml/2006/picture">
                      <pic:pic xmlns:pic="http://schemas.openxmlformats.org/drawingml/2006/picture">
                        <pic:nvPicPr>
                          <pic:cNvPr id="3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4" name="直接连接符_9"/>
                  <wp:cNvGraphicFramePr/>
                  <a:graphic xmlns:a="http://schemas.openxmlformats.org/drawingml/2006/main">
                    <a:graphicData uri="http://schemas.openxmlformats.org/drawingml/2006/picture">
                      <pic:pic xmlns:pic="http://schemas.openxmlformats.org/drawingml/2006/picture">
                        <pic:nvPicPr>
                          <pic:cNvPr id="34"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0" name="直接连接符_7"/>
                  <wp:cNvGraphicFramePr/>
                  <a:graphic xmlns:a="http://schemas.openxmlformats.org/drawingml/2006/main">
                    <a:graphicData uri="http://schemas.openxmlformats.org/drawingml/2006/picture">
                      <pic:pic xmlns:pic="http://schemas.openxmlformats.org/drawingml/2006/picture">
                        <pic:nvPicPr>
                          <pic:cNvPr id="40"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8"/>
                  <wp:cNvGraphicFramePr/>
                  <a:graphic xmlns:a="http://schemas.openxmlformats.org/drawingml/2006/main">
                    <a:graphicData uri="http://schemas.openxmlformats.org/drawingml/2006/picture">
                      <pic:pic xmlns:pic="http://schemas.openxmlformats.org/drawingml/2006/picture">
                        <pic:nvPicPr>
                          <pic:cNvPr id="42"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89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1" name="直接连接符_6"/>
                  <wp:cNvGraphicFramePr/>
                  <a:graphic xmlns:a="http://schemas.openxmlformats.org/drawingml/2006/main">
                    <a:graphicData uri="http://schemas.openxmlformats.org/drawingml/2006/picture">
                      <pic:pic xmlns:pic="http://schemas.openxmlformats.org/drawingml/2006/picture">
                        <pic:nvPicPr>
                          <pic:cNvPr id="4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99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3" name="直接连接符_5"/>
                  <wp:cNvGraphicFramePr/>
                  <a:graphic xmlns:a="http://schemas.openxmlformats.org/drawingml/2006/main">
                    <a:graphicData uri="http://schemas.openxmlformats.org/drawingml/2006/picture">
                      <pic:pic xmlns:pic="http://schemas.openxmlformats.org/drawingml/2006/picture">
                        <pic:nvPicPr>
                          <pic:cNvPr id="43"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选聘生态护林员以来我县当地农牧民从该项项目中得到经济收入稳步提高，建档立卡贫困户护林员平均年收入9600元。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选聘生态护林员实施森林管护，我县森林资源得到了有效的保护，森林蓄积量得到有效的增长。林分质量得到改善，通过茂密的林冠，纵横交错的根系来阻挡和减缓雨水对土壤的冲刷和侵蚀,减少土壤的流失；通过树冠、树干、枯枝落叶层以及根系的吸滞、存贮作用，发挥了涵养水源的作用。</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91008" behindDoc="0" locked="0" layoutInCell="1" allowOverlap="1">
                  <wp:simplePos x="0" y="0"/>
                  <wp:positionH relativeFrom="column">
                    <wp:posOffset>771525</wp:posOffset>
                  </wp:positionH>
                  <wp:positionV relativeFrom="paragraph">
                    <wp:posOffset>0</wp:posOffset>
                  </wp:positionV>
                  <wp:extent cx="635" cy="0"/>
                  <wp:effectExtent l="0" t="0" r="0" b="0"/>
                  <wp:wrapNone/>
                  <wp:docPr id="53" name="Line_1"/>
                  <wp:cNvGraphicFramePr/>
                  <a:graphic xmlns:a="http://schemas.openxmlformats.org/drawingml/2006/main">
                    <a:graphicData uri="http://schemas.openxmlformats.org/drawingml/2006/picture">
                      <pic:pic xmlns:pic="http://schemas.openxmlformats.org/drawingml/2006/picture">
                        <pic:nvPicPr>
                          <pic:cNvPr id="53"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2032" behindDoc="0" locked="0" layoutInCell="1" allowOverlap="1">
                  <wp:simplePos x="0" y="0"/>
                  <wp:positionH relativeFrom="column">
                    <wp:posOffset>771525</wp:posOffset>
                  </wp:positionH>
                  <wp:positionV relativeFrom="paragraph">
                    <wp:posOffset>0</wp:posOffset>
                  </wp:positionV>
                  <wp:extent cx="635" cy="0"/>
                  <wp:effectExtent l="0" t="0" r="0" b="0"/>
                  <wp:wrapNone/>
                  <wp:docPr id="54" name="Line_3"/>
                  <wp:cNvGraphicFramePr/>
                  <a:graphic xmlns:a="http://schemas.openxmlformats.org/drawingml/2006/main">
                    <a:graphicData uri="http://schemas.openxmlformats.org/drawingml/2006/picture">
                      <pic:pic xmlns:pic="http://schemas.openxmlformats.org/drawingml/2006/picture">
                        <pic:nvPicPr>
                          <pic:cNvPr id="54"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3056" behindDoc="0" locked="0" layoutInCell="1" allowOverlap="1">
                  <wp:simplePos x="0" y="0"/>
                  <wp:positionH relativeFrom="column">
                    <wp:posOffset>771525</wp:posOffset>
                  </wp:positionH>
                  <wp:positionV relativeFrom="paragraph">
                    <wp:posOffset>0</wp:posOffset>
                  </wp:positionV>
                  <wp:extent cx="635" cy="0"/>
                  <wp:effectExtent l="0" t="0" r="0" b="0"/>
                  <wp:wrapNone/>
                  <wp:docPr id="55" name="Line_2"/>
                  <wp:cNvGraphicFramePr/>
                  <a:graphic xmlns:a="http://schemas.openxmlformats.org/drawingml/2006/main">
                    <a:graphicData uri="http://schemas.openxmlformats.org/drawingml/2006/picture">
                      <pic:pic xmlns:pic="http://schemas.openxmlformats.org/drawingml/2006/picture">
                        <pic:nvPicPr>
                          <pic:cNvPr id="55"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4080" behindDoc="0" locked="0" layoutInCell="1" allowOverlap="1">
                  <wp:simplePos x="0" y="0"/>
                  <wp:positionH relativeFrom="column">
                    <wp:posOffset>771525</wp:posOffset>
                  </wp:positionH>
                  <wp:positionV relativeFrom="paragraph">
                    <wp:posOffset>0</wp:posOffset>
                  </wp:positionV>
                  <wp:extent cx="635" cy="0"/>
                  <wp:effectExtent l="0" t="0" r="0" b="0"/>
                  <wp:wrapNone/>
                  <wp:docPr id="45" name="Line_5"/>
                  <wp:cNvGraphicFramePr/>
                  <a:graphic xmlns:a="http://schemas.openxmlformats.org/drawingml/2006/main">
                    <a:graphicData uri="http://schemas.openxmlformats.org/drawingml/2006/picture">
                      <pic:pic xmlns:pic="http://schemas.openxmlformats.org/drawingml/2006/picture">
                        <pic:nvPicPr>
                          <pic:cNvPr id="45"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5104" behindDoc="0" locked="0" layoutInCell="1" allowOverlap="1">
                  <wp:simplePos x="0" y="0"/>
                  <wp:positionH relativeFrom="column">
                    <wp:posOffset>771525</wp:posOffset>
                  </wp:positionH>
                  <wp:positionV relativeFrom="paragraph">
                    <wp:posOffset>0</wp:posOffset>
                  </wp:positionV>
                  <wp:extent cx="28575" cy="0"/>
                  <wp:effectExtent l="0" t="0" r="0" b="0"/>
                  <wp:wrapNone/>
                  <wp:docPr id="46" name="Line_4"/>
                  <wp:cNvGraphicFramePr/>
                  <a:graphic xmlns:a="http://schemas.openxmlformats.org/drawingml/2006/main">
                    <a:graphicData uri="http://schemas.openxmlformats.org/drawingml/2006/picture">
                      <pic:pic xmlns:pic="http://schemas.openxmlformats.org/drawingml/2006/picture">
                        <pic:nvPicPr>
                          <pic:cNvPr id="4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6128" behindDoc="0" locked="0" layoutInCell="1" allowOverlap="1">
                  <wp:simplePos x="0" y="0"/>
                  <wp:positionH relativeFrom="column">
                    <wp:posOffset>1438275</wp:posOffset>
                  </wp:positionH>
                  <wp:positionV relativeFrom="paragraph">
                    <wp:posOffset>0</wp:posOffset>
                  </wp:positionV>
                  <wp:extent cx="635" cy="0"/>
                  <wp:effectExtent l="0" t="0" r="0" b="0"/>
                  <wp:wrapNone/>
                  <wp:docPr id="44" name="Line_6"/>
                  <wp:cNvGraphicFramePr/>
                  <a:graphic xmlns:a="http://schemas.openxmlformats.org/drawingml/2006/main">
                    <a:graphicData uri="http://schemas.openxmlformats.org/drawingml/2006/picture">
                      <pic:pic xmlns:pic="http://schemas.openxmlformats.org/drawingml/2006/picture">
                        <pic:nvPicPr>
                          <pic:cNvPr id="44"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森林生态效益补偿项目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187.17万元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83.13万元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187.17万元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83.13万元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为加强我县集体公益林管护力度，我局并于集体公益林权属所在的各乡镇人民政府、各村村委会签订红原县集体公益林管护合同40份。按照《四川省森林生态效益补偿资金管理办法》加强对我县集体公益林补偿补助资金的监管，使其我县的集体公益林资源得到安全有效的可持续发展利用</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rPr>
                <w:rFonts w:ascii="宋体" w:hAnsi="宋体" w:cs="宋体"/>
                <w:color w:val="000000"/>
                <w:kern w:val="0"/>
                <w:sz w:val="20"/>
                <w:szCs w:val="20"/>
              </w:rPr>
            </w:pPr>
            <w:r>
              <w:rPr>
                <w:rFonts w:hint="eastAsia" w:ascii="宋体" w:hAnsi="宋体" w:cs="宋体"/>
                <w:color w:val="000000"/>
                <w:kern w:val="0"/>
                <w:sz w:val="20"/>
                <w:szCs w:val="20"/>
              </w:rPr>
              <w:t>我县成立红原县森林生态效益补偿基金领导小组和管理办公室，办公室设在县环林局林政资源审批股，处理我县国家（省）级公益林森林生态效益补偿的日常事务。根据相关政策要求，我局对森林生态效益补偿补助资金实行专帐管理、单独核算、专款专用，集体和个人补偿资金实行“一卡通”兑付。</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971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8" name="直接连接符_10"/>
                  <wp:cNvGraphicFramePr/>
                  <a:graphic xmlns:a="http://schemas.openxmlformats.org/drawingml/2006/main">
                    <a:graphicData uri="http://schemas.openxmlformats.org/drawingml/2006/picture">
                      <pic:pic xmlns:pic="http://schemas.openxmlformats.org/drawingml/2006/picture">
                        <pic:nvPicPr>
                          <pic:cNvPr id="4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81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9" name="直接连接符_9"/>
                  <wp:cNvGraphicFramePr/>
                  <a:graphic xmlns:a="http://schemas.openxmlformats.org/drawingml/2006/main">
                    <a:graphicData uri="http://schemas.openxmlformats.org/drawingml/2006/picture">
                      <pic:pic xmlns:pic="http://schemas.openxmlformats.org/drawingml/2006/picture">
                        <pic:nvPicPr>
                          <pic:cNvPr id="49"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92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7" name="直接连接符_7"/>
                  <wp:cNvGraphicFramePr/>
                  <a:graphic xmlns:a="http://schemas.openxmlformats.org/drawingml/2006/main">
                    <a:graphicData uri="http://schemas.openxmlformats.org/drawingml/2006/picture">
                      <pic:pic xmlns:pic="http://schemas.openxmlformats.org/drawingml/2006/picture">
                        <pic:nvPicPr>
                          <pic:cNvPr id="4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02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0" name="直接连接符_8"/>
                  <wp:cNvGraphicFramePr/>
                  <a:graphic xmlns:a="http://schemas.openxmlformats.org/drawingml/2006/main">
                    <a:graphicData uri="http://schemas.openxmlformats.org/drawingml/2006/picture">
                      <pic:pic xmlns:pic="http://schemas.openxmlformats.org/drawingml/2006/picture">
                        <pic:nvPicPr>
                          <pic:cNvPr id="50"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0124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1" name="直接连接符_6"/>
                  <wp:cNvGraphicFramePr/>
                  <a:graphic xmlns:a="http://schemas.openxmlformats.org/drawingml/2006/main">
                    <a:graphicData uri="http://schemas.openxmlformats.org/drawingml/2006/picture">
                      <pic:pic xmlns:pic="http://schemas.openxmlformats.org/drawingml/2006/picture">
                        <pic:nvPicPr>
                          <pic:cNvPr id="5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0227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2" name="直接连接符_5"/>
                  <wp:cNvGraphicFramePr/>
                  <a:graphic xmlns:a="http://schemas.openxmlformats.org/drawingml/2006/main">
                    <a:graphicData uri="http://schemas.openxmlformats.org/drawingml/2006/picture">
                      <pic:pic xmlns:pic="http://schemas.openxmlformats.org/drawingml/2006/picture">
                        <pic:nvPicPr>
                          <pic:cNvPr id="52"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2019年度通过森林生态补偿效益项目，按照我县农牧民40621人数折算，人均增收达到28.18元/人，增加了林农收入，林权所有者获得了补偿，村集体林业工作热情得到了显著提高，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实施公益林森林生态效益补偿机制以来， 进一步建立健全了我县公益林生态效益补偿补助项目各项管理规章制度，完善杜绝滥砍乱伐、毁林开垦的现象发生，牲畜破坏集体公益林的情况也逐减少，集体公益林的管护取得了明显成绩。</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本部门按要求对2019年部门整体支出绩效评价情况开展自评，《红原县林业和草原局部门2019年部门整体支出绩效评价报告》见附件。</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本部门自行组织对天然林保护工程项目、湿地生态效益补偿项目等4个项目开展了绩效评价，《天然林保护工程项目2019年绩效评价报告》《生态护林员项目2019年绩效评价报告》《湿地生态效益补偿项目2019年绩效评价报告》《森林生态效益补偿项目2019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1.</w:t>
      </w:r>
      <w:r>
        <w:rPr>
          <w:rFonts w:hint="eastAsia" w:ascii="仿宋_GB2312" w:eastAsia="仿宋_GB2312" w:cs="黑体"/>
          <w:sz w:val="32"/>
          <w:szCs w:val="32"/>
        </w:rPr>
        <w:t>财政拨款收入：指单位从同级财政部门取得的财政预算资金。</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2.</w:t>
      </w:r>
      <w:r>
        <w:rPr>
          <w:rFonts w:hint="eastAsia" w:ascii="仿宋_GB2312" w:eastAsia="仿宋_GB2312" w:cs="黑体"/>
          <w:sz w:val="32"/>
          <w:szCs w:val="32"/>
        </w:rPr>
        <w:t>事业收入：指事业单位开展专业业务活动及辅助活动取得的收入。</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3.</w:t>
      </w:r>
      <w:r>
        <w:rPr>
          <w:rFonts w:hint="eastAsia" w:ascii="仿宋_GB2312" w:eastAsia="仿宋_GB2312" w:cs="黑体"/>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4.</w:t>
      </w:r>
      <w:r>
        <w:rPr>
          <w:rFonts w:hint="eastAsia" w:ascii="仿宋_GB2312" w:eastAsia="仿宋_GB2312" w:cs="黑体"/>
          <w:sz w:val="32"/>
          <w:szCs w:val="32"/>
        </w:rPr>
        <w:t>其他收入：指单位取得的除上述收入以外的各项收入。</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5.</w:t>
      </w:r>
      <w:r>
        <w:rPr>
          <w:rFonts w:hint="eastAsia" w:ascii="仿宋_GB2312" w:eastAsia="仿宋_GB2312" w:cs="黑体"/>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6.</w:t>
      </w:r>
      <w:r>
        <w:rPr>
          <w:rFonts w:hint="eastAsia" w:ascii="仿宋_GB2312" w:eastAsia="仿宋_GB2312" w:cs="黑体"/>
          <w:sz w:val="32"/>
          <w:szCs w:val="32"/>
        </w:rPr>
        <w:t>年初结转和结余：指以前年度尚未完成、结转到本年按有关规定继续使用的资金。</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7.</w:t>
      </w:r>
      <w:r>
        <w:rPr>
          <w:rFonts w:hint="eastAsia" w:ascii="仿宋_GB2312" w:eastAsia="仿宋_GB2312" w:cs="黑体"/>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cs="黑体"/>
          <w:sz w:val="32"/>
          <w:szCs w:val="32"/>
        </w:rPr>
      </w:pPr>
      <w:r>
        <w:rPr>
          <w:rFonts w:ascii="仿宋_GB2312" w:eastAsia="仿宋_GB2312" w:cs="黑体"/>
          <w:sz w:val="32"/>
          <w:szCs w:val="32"/>
        </w:rPr>
        <w:t>8</w:t>
      </w:r>
      <w:r>
        <w:rPr>
          <w:rFonts w:hint="eastAsia" w:ascii="仿宋_GB2312" w:eastAsia="仿宋_GB2312" w:cs="黑体"/>
          <w:sz w:val="32"/>
          <w:szCs w:val="32"/>
        </w:rPr>
        <w:t>、年末结转和结余：指单位按有关规定结转到下年或以后年度继续使用的资金。</w:t>
      </w:r>
    </w:p>
    <w:p>
      <w:pPr>
        <w:spacing w:line="600" w:lineRule="exact"/>
        <w:ind w:firstLine="640" w:firstLineChars="200"/>
        <w:rPr>
          <w:rFonts w:ascii="仿宋_GB2312" w:eastAsia="仿宋_GB2312" w:cs="黑体"/>
          <w:sz w:val="32"/>
          <w:szCs w:val="32"/>
        </w:rPr>
      </w:pPr>
      <w:r>
        <w:rPr>
          <w:rFonts w:hint="eastAsia" w:ascii="仿宋_GB2312" w:eastAsia="仿宋_GB2312" w:cs="黑体"/>
          <w:sz w:val="32"/>
          <w:szCs w:val="32"/>
        </w:rPr>
        <w:t>9</w:t>
      </w:r>
      <w:r>
        <w:rPr>
          <w:rFonts w:ascii="仿宋_GB2312" w:eastAsia="仿宋_GB2312" w:cs="黑体"/>
          <w:sz w:val="32"/>
          <w:szCs w:val="32"/>
        </w:rPr>
        <w:t>.</w:t>
      </w:r>
      <w:r>
        <w:rPr>
          <w:rFonts w:hint="eastAsia" w:ascii="仿宋_GB2312" w:eastAsia="仿宋_GB2312" w:cs="黑体"/>
          <w:sz w:val="32"/>
          <w:szCs w:val="32"/>
        </w:rPr>
        <w:t>社会保障和就业208（类）：其中包括2080505-机关事业单位基本养老保险缴费支出，该支出主要用于支付职工机关事业单位基本养老保险缴费；2080506-机关事业单位职业年金缴费支出，该支出主要用于支付职工机关事业单位职业年金。</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10</w:t>
      </w:r>
      <w:r>
        <w:rPr>
          <w:rFonts w:ascii="仿宋_GB2312" w:eastAsia="仿宋_GB2312" w:cs="黑体"/>
          <w:sz w:val="32"/>
          <w:szCs w:val="32"/>
        </w:rPr>
        <w:t>.</w:t>
      </w:r>
      <w:r>
        <w:rPr>
          <w:rFonts w:hint="eastAsia" w:ascii="仿宋_GB2312" w:eastAsia="仿宋_GB2312" w:cs="黑体"/>
          <w:sz w:val="32"/>
          <w:szCs w:val="32"/>
        </w:rPr>
        <w:t>卫生健康支出210（类）:其中包括2101101-行政单位医疗支出，该支出主要用于支付行政单位医疗缴费；2101102-事业单位医疗支出，该支出主要用于支付业单位医疗支出；2101103-公务员医疗补助支出，该支出主要用于支付公务员医疗补助缴费；2101199-其他行政事业单位医疗支出，该支出主要用于支付其他行政事业单位医疗缴费。</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11</w:t>
      </w:r>
      <w:r>
        <w:rPr>
          <w:rFonts w:ascii="仿宋_GB2312" w:eastAsia="仿宋_GB2312" w:cs="黑体"/>
          <w:sz w:val="32"/>
          <w:szCs w:val="32"/>
        </w:rPr>
        <w:t>.</w:t>
      </w:r>
      <w:r>
        <w:rPr>
          <w:rFonts w:hint="eastAsia" w:ascii="仿宋_GB2312" w:eastAsia="仿宋_GB2312" w:cs="黑体"/>
          <w:sz w:val="32"/>
          <w:szCs w:val="32"/>
        </w:rPr>
        <w:t>节能环保支出211(类)：其中包括2110401-生态保护支出，</w:t>
      </w:r>
      <w:r>
        <w:rPr>
          <w:rFonts w:hint="eastAsia" w:ascii="仿宋_GB2312" w:eastAsia="仿宋_GB2312"/>
          <w:sz w:val="32"/>
          <w:szCs w:val="32"/>
        </w:rPr>
        <w:t>该支出主要用于生态保护项目支出</w:t>
      </w:r>
      <w:r>
        <w:rPr>
          <w:rFonts w:hint="eastAsia" w:ascii="仿宋_GB2312" w:eastAsia="仿宋_GB2312" w:cs="黑体"/>
          <w:sz w:val="32"/>
          <w:szCs w:val="32"/>
        </w:rPr>
        <w:t>；2110501-森林管护支出，</w:t>
      </w:r>
      <w:r>
        <w:rPr>
          <w:rFonts w:hint="eastAsia" w:ascii="仿宋_GB2312" w:eastAsia="仿宋_GB2312"/>
          <w:sz w:val="32"/>
          <w:szCs w:val="32"/>
        </w:rPr>
        <w:t>该支出主要用于森林管护项目支出</w:t>
      </w:r>
      <w:r>
        <w:rPr>
          <w:rFonts w:hint="eastAsia" w:ascii="仿宋_GB2312" w:eastAsia="仿宋_GB2312" w:cs="黑体"/>
          <w:sz w:val="32"/>
          <w:szCs w:val="32"/>
        </w:rPr>
        <w:t>；2110506-天然林保护工程建设支出，</w:t>
      </w:r>
      <w:r>
        <w:rPr>
          <w:rFonts w:hint="eastAsia" w:ascii="仿宋_GB2312" w:eastAsia="仿宋_GB2312"/>
          <w:sz w:val="32"/>
          <w:szCs w:val="32"/>
        </w:rPr>
        <w:t>该支出主要用于天然林保护工程建设项目支出</w:t>
      </w:r>
      <w:r>
        <w:rPr>
          <w:rFonts w:hint="eastAsia" w:ascii="仿宋_GB2312" w:eastAsia="仿宋_GB2312" w:cs="黑体"/>
          <w:sz w:val="32"/>
          <w:szCs w:val="32"/>
        </w:rPr>
        <w:t>；2110804-退牧还草工程建设支出，</w:t>
      </w:r>
      <w:r>
        <w:rPr>
          <w:rFonts w:hint="eastAsia" w:ascii="仿宋_GB2312" w:eastAsia="仿宋_GB2312"/>
          <w:sz w:val="32"/>
          <w:szCs w:val="32"/>
        </w:rPr>
        <w:t>该支出主要用于退牧还草项目支出</w:t>
      </w:r>
      <w:r>
        <w:rPr>
          <w:rFonts w:hint="eastAsia" w:ascii="仿宋_GB2312" w:eastAsia="仿宋_GB2312" w:cs="黑体"/>
          <w:sz w:val="32"/>
          <w:szCs w:val="32"/>
        </w:rPr>
        <w:t>；2119901-其他节能环保支出，</w:t>
      </w:r>
      <w:r>
        <w:rPr>
          <w:rFonts w:hint="eastAsia" w:ascii="仿宋_GB2312" w:eastAsia="仿宋_GB2312"/>
          <w:sz w:val="32"/>
          <w:szCs w:val="32"/>
        </w:rPr>
        <w:t>该支出主要用于其他节能环保项目支出</w:t>
      </w:r>
      <w:r>
        <w:rPr>
          <w:rFonts w:hint="eastAsia" w:ascii="仿宋_GB2312" w:eastAsia="仿宋_GB2312" w:cs="黑体"/>
          <w:sz w:val="32"/>
          <w:szCs w:val="32"/>
        </w:rPr>
        <w:t>。）</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12.农林水支出213（类）：其中包括2130119-防灾救灾支出，指主要用于森林、草原防灾减灾；2130199-其他农业支出，</w:t>
      </w:r>
      <w:r>
        <w:rPr>
          <w:rFonts w:hint="eastAsia" w:ascii="仿宋_GB2312" w:eastAsia="仿宋_GB2312"/>
          <w:sz w:val="32"/>
          <w:szCs w:val="32"/>
        </w:rPr>
        <w:t>指主要用于其他林业支出</w:t>
      </w:r>
      <w:r>
        <w:rPr>
          <w:rFonts w:hint="eastAsia" w:ascii="仿宋_GB2312" w:eastAsia="仿宋_GB2312" w:cs="黑体"/>
          <w:sz w:val="32"/>
          <w:szCs w:val="32"/>
        </w:rPr>
        <w:t>；2130201-行政运行支出，指主要用于职工一般公用经费；2130204-事业机构支出，</w:t>
      </w:r>
      <w:r>
        <w:rPr>
          <w:rFonts w:hint="eastAsia" w:ascii="仿宋_GB2312" w:eastAsia="仿宋_GB2312"/>
          <w:sz w:val="32"/>
          <w:szCs w:val="32"/>
        </w:rPr>
        <w:t>指主要用于林业事业机构支出经费</w:t>
      </w:r>
      <w:r>
        <w:rPr>
          <w:rFonts w:hint="eastAsia" w:ascii="仿宋_GB2312" w:eastAsia="仿宋_GB2312" w:cs="黑体"/>
          <w:sz w:val="32"/>
          <w:szCs w:val="32"/>
        </w:rPr>
        <w:t>；2130207-森林资源管理支出，</w:t>
      </w:r>
      <w:r>
        <w:rPr>
          <w:rFonts w:hint="eastAsia" w:ascii="仿宋_GB2312" w:eastAsia="仿宋_GB2312"/>
          <w:sz w:val="32"/>
          <w:szCs w:val="32"/>
        </w:rPr>
        <w:t>指主要用于森林资源管理</w:t>
      </w:r>
      <w:r>
        <w:rPr>
          <w:rFonts w:hint="eastAsia" w:ascii="仿宋_GB2312" w:eastAsia="仿宋_GB2312" w:cs="黑体"/>
          <w:sz w:val="32"/>
          <w:szCs w:val="32"/>
        </w:rPr>
        <w:t>；2130209-森林生态效益补偿支出，</w:t>
      </w:r>
      <w:r>
        <w:rPr>
          <w:rFonts w:hint="eastAsia" w:ascii="仿宋_GB2312" w:eastAsia="仿宋_GB2312"/>
          <w:sz w:val="32"/>
          <w:szCs w:val="32"/>
        </w:rPr>
        <w:t>指主要用于森林生态效益补偿兑现老百姓</w:t>
      </w:r>
      <w:r>
        <w:rPr>
          <w:rFonts w:hint="eastAsia" w:ascii="仿宋_GB2312" w:eastAsia="仿宋_GB2312" w:cs="黑体"/>
          <w:sz w:val="32"/>
          <w:szCs w:val="32"/>
        </w:rPr>
        <w:t>；2130212-湿地保护支出，</w:t>
      </w:r>
      <w:r>
        <w:rPr>
          <w:rFonts w:hint="eastAsia" w:ascii="仿宋_GB2312" w:eastAsia="仿宋_GB2312"/>
          <w:sz w:val="32"/>
          <w:szCs w:val="32"/>
        </w:rPr>
        <w:t>指主要用于湿地保护</w:t>
      </w:r>
      <w:r>
        <w:rPr>
          <w:rFonts w:hint="eastAsia" w:ascii="仿宋_GB2312" w:eastAsia="仿宋_GB2312" w:cs="黑体"/>
          <w:sz w:val="32"/>
          <w:szCs w:val="32"/>
        </w:rPr>
        <w:t>；2130217-防沙治沙支出，</w:t>
      </w:r>
      <w:r>
        <w:rPr>
          <w:rFonts w:hint="eastAsia" w:ascii="仿宋_GB2312" w:eastAsia="仿宋_GB2312"/>
          <w:sz w:val="32"/>
          <w:szCs w:val="32"/>
        </w:rPr>
        <w:t>指主要用于全县防沙治沙</w:t>
      </w:r>
      <w:r>
        <w:rPr>
          <w:rFonts w:hint="eastAsia" w:ascii="仿宋_GB2312" w:eastAsia="仿宋_GB2312" w:cs="黑体"/>
          <w:sz w:val="32"/>
          <w:szCs w:val="32"/>
        </w:rPr>
        <w:t>，；2130299-其他林业和草原支出，</w:t>
      </w:r>
      <w:r>
        <w:rPr>
          <w:rFonts w:hint="eastAsia" w:ascii="仿宋_GB2312" w:eastAsia="仿宋_GB2312"/>
          <w:sz w:val="32"/>
          <w:szCs w:val="32"/>
        </w:rPr>
        <w:t>指主要用于其他林业和草原</w:t>
      </w:r>
      <w:r>
        <w:rPr>
          <w:rFonts w:hint="eastAsia" w:ascii="仿宋_GB2312" w:eastAsia="仿宋_GB2312" w:cs="黑体"/>
          <w:sz w:val="32"/>
          <w:szCs w:val="32"/>
        </w:rPr>
        <w:t>；2130504-农村基础设施建设支出，指主要用于农村基础设施建设。）</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13.住房保障支出221（类）：其中包括2210201-住房公积金支出，该支出主要用于支付职工住房公积金）</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14</w:t>
      </w:r>
      <w:r>
        <w:rPr>
          <w:rFonts w:ascii="仿宋_GB2312" w:eastAsia="仿宋_GB2312" w:cs="黑体"/>
          <w:sz w:val="32"/>
          <w:szCs w:val="32"/>
        </w:rPr>
        <w:t>.</w:t>
      </w:r>
      <w:r>
        <w:rPr>
          <w:rFonts w:hint="eastAsia" w:ascii="仿宋_GB2312" w:eastAsia="仿宋_GB2312" w:cs="黑体"/>
          <w:sz w:val="32"/>
          <w:szCs w:val="32"/>
        </w:rPr>
        <w:t>基本支出：指为保障机构正常运转、完成日常工作任务而发生的人员支出和公用支出。</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15</w:t>
      </w:r>
      <w:r>
        <w:rPr>
          <w:rFonts w:ascii="仿宋_GB2312" w:eastAsia="仿宋_GB2312" w:cs="黑体"/>
          <w:sz w:val="32"/>
          <w:szCs w:val="32"/>
        </w:rPr>
        <w:t>.</w:t>
      </w:r>
      <w:r>
        <w:rPr>
          <w:rFonts w:hint="eastAsia" w:ascii="仿宋_GB2312" w:eastAsia="仿宋_GB2312" w:cs="黑体"/>
          <w:sz w:val="32"/>
          <w:szCs w:val="32"/>
        </w:rPr>
        <w:t>项目支出：指在基本支出之外为完成特定行政任务和事业发展目标所发生的支出。</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16</w:t>
      </w:r>
      <w:r>
        <w:rPr>
          <w:rFonts w:ascii="仿宋_GB2312" w:eastAsia="仿宋_GB2312" w:cs="黑体"/>
          <w:sz w:val="32"/>
          <w:szCs w:val="32"/>
        </w:rPr>
        <w:t>.</w:t>
      </w:r>
      <w:r>
        <w:rPr>
          <w:rFonts w:hint="eastAsia" w:ascii="仿宋_GB2312" w:eastAsia="仿宋_GB2312" w:cs="黑体"/>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17</w:t>
      </w:r>
      <w:r>
        <w:rPr>
          <w:rFonts w:ascii="仿宋_GB2312" w:eastAsia="仿宋_GB2312" w:cs="黑体"/>
          <w:sz w:val="32"/>
          <w:szCs w:val="32"/>
        </w:rPr>
        <w:t>.</w:t>
      </w:r>
      <w:r>
        <w:rPr>
          <w:rFonts w:hint="eastAsia" w:ascii="仿宋_GB2312" w:eastAsia="仿宋_GB2312" w:cs="黑体"/>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18</w:t>
      </w:r>
      <w:r>
        <w:rPr>
          <w:rFonts w:ascii="仿宋_GB2312" w:eastAsia="仿宋_GB2312" w:cs="黑体"/>
          <w:sz w:val="32"/>
          <w:szCs w:val="32"/>
        </w:rPr>
        <w:t>.</w:t>
      </w:r>
      <w:r>
        <w:rPr>
          <w:rFonts w:hint="eastAsia" w:ascii="仿宋_GB2312" w:eastAsia="仿宋_GB2312" w:cs="黑体"/>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ind w:firstLine="2640" w:firstLineChars="600"/>
        <w:outlineLvl w:val="0"/>
        <w:rPr>
          <w:rStyle w:val="26"/>
          <w:rFonts w:ascii="黑体" w:hAnsi="黑体" w:eastAsia="黑体"/>
          <w:b w:val="0"/>
        </w:rPr>
      </w:pPr>
      <w:bookmarkStart w:id="57" w:name="_Toc15396614"/>
      <w:bookmarkStart w:id="58"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红原县林业和草原局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0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Calibri" w:hAnsi="Calibri" w:eastAsia="仿宋_GB2312"/>
          <w:sz w:val="30"/>
          <w:szCs w:val="30"/>
        </w:rPr>
        <w:t>我单位为行政单位，</w:t>
      </w:r>
      <w:r>
        <w:rPr>
          <w:rFonts w:hint="eastAsia" w:ascii="仿宋_GB2312" w:hAnsi="仿宋" w:eastAsia="仿宋_GB2312"/>
          <w:sz w:val="32"/>
          <w:szCs w:val="32"/>
        </w:rPr>
        <w:t>2019年年末独立编制机构数2个</w:t>
      </w:r>
      <w:r>
        <w:rPr>
          <w:rFonts w:hint="eastAsia" w:ascii="仿宋_GB2312" w:eastAsia="仿宋_GB2312"/>
          <w:sz w:val="30"/>
          <w:szCs w:val="30"/>
        </w:rPr>
        <w:t>。</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（1）贯彻执行林业及生态建设的法律、法规、规章和方针政策；负责林业及其生态建设的监督管理;负责拟订林业发展战略、中长期规划；承担林业生态文明建设的有关工作。</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（4）组织、协调、指导和监督湿地保护工作。拟订湿地保护规划，组织实施湿地保护区、湿地公园等保护管理工作，监督湿地的合理利用。</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rPr>
        <w:t xml:space="preserve">   （5）组织、协调、指导和监督石漠化治理工作。组织拟订并实施石漠化治理保护区建设规划。</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我单位共有编制</w:t>
      </w:r>
      <w:r>
        <w:rPr>
          <w:rFonts w:hint="eastAsia" w:ascii="仿宋_GB2312" w:hAnsi="宋体" w:eastAsia="仿宋_GB2312" w:cs="宋体"/>
          <w:color w:val="000000"/>
          <w:kern w:val="0"/>
          <w:sz w:val="32"/>
          <w:szCs w:val="32"/>
          <w:shd w:val="clear" w:color="auto" w:fill="FFFFFF"/>
        </w:rPr>
        <w:t>86</w:t>
      </w:r>
      <w:r>
        <w:rPr>
          <w:rFonts w:hint="eastAsia" w:ascii="仿宋_GB2312" w:hAnsi="宋体" w:eastAsia="仿宋_GB2312" w:cs="宋体"/>
          <w:color w:val="000000"/>
          <w:kern w:val="0"/>
          <w:sz w:val="32"/>
          <w:szCs w:val="32"/>
          <w:shd w:val="clear" w:color="auto" w:fill="FFFFFF"/>
          <w:lang w:val="zh-CN"/>
        </w:rPr>
        <w:t>个，其中</w:t>
      </w:r>
      <w:r>
        <w:rPr>
          <w:rFonts w:hint="eastAsia" w:ascii="仿宋_GB2312" w:hAnsi="宋体" w:eastAsia="仿宋_GB2312" w:cs="宋体"/>
          <w:color w:val="000000"/>
          <w:kern w:val="0"/>
          <w:sz w:val="32"/>
          <w:szCs w:val="32"/>
          <w:shd w:val="clear" w:color="auto" w:fill="FFFFFF"/>
        </w:rPr>
        <w:t>行政</w:t>
      </w:r>
      <w:r>
        <w:rPr>
          <w:rFonts w:hint="eastAsia" w:ascii="仿宋_GB2312" w:hAnsi="宋体" w:eastAsia="仿宋_GB2312" w:cs="宋体"/>
          <w:color w:val="000000"/>
          <w:kern w:val="0"/>
          <w:sz w:val="32"/>
          <w:szCs w:val="32"/>
          <w:shd w:val="clear" w:color="auto" w:fill="FFFFFF"/>
          <w:lang w:val="zh-CN"/>
        </w:rPr>
        <w:t>编制</w:t>
      </w:r>
      <w:r>
        <w:rPr>
          <w:rFonts w:hint="eastAsia" w:ascii="仿宋_GB2312" w:hAnsi="宋体" w:eastAsia="仿宋_GB2312" w:cs="宋体"/>
          <w:color w:val="000000"/>
          <w:kern w:val="0"/>
          <w:sz w:val="32"/>
          <w:szCs w:val="32"/>
          <w:shd w:val="clear" w:color="auto" w:fill="FFFFFF"/>
        </w:rPr>
        <w:t>8</w:t>
      </w:r>
      <w:r>
        <w:rPr>
          <w:rFonts w:hint="eastAsia" w:ascii="仿宋_GB2312" w:hAnsi="宋体" w:eastAsia="仿宋_GB2312" w:cs="宋体"/>
          <w:color w:val="000000"/>
          <w:kern w:val="0"/>
          <w:sz w:val="32"/>
          <w:szCs w:val="32"/>
          <w:shd w:val="clear" w:color="auto" w:fill="FFFFFF"/>
          <w:lang w:val="zh-CN"/>
        </w:rPr>
        <w:t>个，行政工勤编制1个，事业编制</w:t>
      </w:r>
      <w:r>
        <w:rPr>
          <w:rFonts w:hint="eastAsia" w:ascii="仿宋_GB2312" w:hAnsi="宋体" w:eastAsia="仿宋_GB2312" w:cs="宋体"/>
          <w:color w:val="000000"/>
          <w:kern w:val="0"/>
          <w:sz w:val="32"/>
          <w:szCs w:val="32"/>
          <w:shd w:val="clear" w:color="auto" w:fill="FFFFFF"/>
        </w:rPr>
        <w:t>77</w:t>
      </w:r>
      <w:r>
        <w:rPr>
          <w:rFonts w:hint="eastAsia" w:ascii="仿宋_GB2312" w:hAnsi="宋体" w:eastAsia="仿宋_GB2312" w:cs="宋体"/>
          <w:color w:val="000000"/>
          <w:kern w:val="0"/>
          <w:sz w:val="32"/>
          <w:szCs w:val="32"/>
          <w:shd w:val="clear" w:color="auto" w:fill="FFFFFF"/>
          <w:lang w:val="zh-CN"/>
        </w:rPr>
        <w:t>个。</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2019年本单位财政资金收入10,102.91万元。</w:t>
      </w:r>
    </w:p>
    <w:p>
      <w:pPr>
        <w:widowControl/>
        <w:adjustRightInd w:val="0"/>
        <w:snapToGrid w:val="0"/>
        <w:spacing w:line="560" w:lineRule="exact"/>
        <w:jc w:val="left"/>
        <w:rPr>
          <w:rFonts w:ascii="仿宋_GB2312"/>
          <w:color w:val="000000"/>
          <w:sz w:val="32"/>
          <w:szCs w:val="32"/>
        </w:rPr>
      </w:pPr>
      <w:r>
        <w:rPr>
          <w:rFonts w:hint="eastAsia" w:ascii="仿宋_GB2312"/>
          <w:color w:val="000000"/>
          <w:sz w:val="32"/>
          <w:szCs w:val="32"/>
        </w:rPr>
        <w:t>（其中社会保障和就业支出213.45万元，卫生健康支出94.55万元，节能环保支出4749.11万元，农林水支出4918.18万元，住房保障支出127.61万元）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w:t>
      </w:r>
      <w:r>
        <w:rPr>
          <w:rFonts w:hint="eastAsia" w:ascii="仿宋_GB2312" w:hAnsi="宋体" w:eastAsia="仿宋_GB2312" w:cs="宋体"/>
          <w:color w:val="000000"/>
          <w:kern w:val="0"/>
          <w:sz w:val="32"/>
          <w:szCs w:val="32"/>
          <w:shd w:val="clear" w:color="auto" w:fill="FFFFFF"/>
        </w:rPr>
        <w:t>本单位财政资金</w:t>
      </w:r>
      <w:r>
        <w:rPr>
          <w:rFonts w:hint="eastAsia" w:ascii="仿宋_GB2312" w:hAnsi="宋体" w:eastAsia="仿宋_GB2312" w:cs="宋体"/>
          <w:color w:val="000000"/>
          <w:kern w:val="0"/>
          <w:sz w:val="32"/>
          <w:szCs w:val="32"/>
          <w:shd w:val="clear" w:color="auto" w:fill="FFFFFF"/>
          <w:lang w:val="zh-CN"/>
        </w:rPr>
        <w:t>支出826</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.24万元。</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主要用于以下方面:社会保障和就业（类）支出213.45万元；卫生健康(类)支出94.55万元；节能环保（类）支出4,108.38万元；5.农林水（类）支出3,72</w:t>
      </w:r>
      <w:r>
        <w:rPr>
          <w:rFonts w:hint="eastAsia" w:ascii="仿宋_GB2312" w:hAnsi="宋体" w:eastAsia="仿宋_GB2312" w:cs="宋体"/>
          <w:color w:val="000000"/>
          <w:kern w:val="0"/>
          <w:sz w:val="32"/>
          <w:szCs w:val="32"/>
          <w:shd w:val="clear" w:color="auto" w:fill="FFFFFF"/>
        </w:rPr>
        <w:t>5</w:t>
      </w:r>
      <w:r>
        <w:rPr>
          <w:rFonts w:hint="eastAsia" w:ascii="仿宋_GB2312" w:hAnsi="宋体" w:eastAsia="仿宋_GB2312" w:cs="宋体"/>
          <w:color w:val="000000"/>
          <w:kern w:val="0"/>
          <w:sz w:val="32"/>
          <w:szCs w:val="32"/>
          <w:shd w:val="clear" w:color="auto" w:fill="FFFFFF"/>
          <w:lang w:val="zh-CN"/>
        </w:rPr>
        <w:t>.25万元；住房保障(类)支出127.61万元。</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numPr>
          <w:ilvl w:val="0"/>
          <w:numId w:val="7"/>
        </w:num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预算编制情况，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w:t>
      </w:r>
    </w:p>
    <w:p>
      <w:pPr>
        <w:numPr>
          <w:ilvl w:val="0"/>
          <w:numId w:val="7"/>
        </w:num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执行管理情况，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支出控制，2019年本单位财政资金支出8269.24万元（其中社会保障和就业支出213.45万元，卫生健康支出94.55万元，节能环保支出4108.38万元，农林水支出3725.25万元，住房保障支出127.61万元）。</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综合管理情况，(1)资产管理：完善了固定资产档案，2019年对固定资产进行了了一次全面清查；(2)内部管理制度建设情况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5.财政监督情况，我单位财务管理制度健全，执行制度严格合规，会计核算符合相关规定，资金支付依据和开支标准合法合规，严格执行政府采购制度。资金管理做到专人管理，专款专用。</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bCs/>
          <w:sz w:val="32"/>
          <w:szCs w:val="32"/>
        </w:rPr>
        <w:t>6.执行情况及完成情况，</w:t>
      </w:r>
      <w:r>
        <w:rPr>
          <w:rFonts w:hint="eastAsia" w:ascii="仿宋_GB2312" w:hAnsi="仿宋" w:eastAsia="仿宋_GB2312" w:cs="仿宋"/>
          <w:sz w:val="32"/>
          <w:szCs w:val="32"/>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r>
        <w:rPr>
          <w:rFonts w:hint="eastAsia" w:ascii="仿宋_GB2312" w:hAnsi="仿宋_GB2312" w:eastAsia="仿宋_GB2312" w:cs="仿宋_GB2312"/>
          <w:sz w:val="32"/>
          <w:szCs w:val="32"/>
        </w:rPr>
        <w:t>本部门还自行组织了4个项目绩效评价，从评价情况来看项目整体绩效目标达到预定目标完成时效达成预期目标。</w:t>
      </w:r>
    </w:p>
    <w:p>
      <w:pPr>
        <w:spacing w:line="560" w:lineRule="exact"/>
        <w:ind w:firstLine="480" w:firstLineChars="150"/>
        <w:rPr>
          <w:rFonts w:ascii="仿宋_GB2312" w:eastAsia="仿宋_GB2312"/>
          <w:bCs/>
          <w:sz w:val="32"/>
          <w:szCs w:val="32"/>
        </w:rPr>
      </w:pPr>
      <w:r>
        <w:rPr>
          <w:rFonts w:hint="eastAsia" w:ascii="仿宋_GB2312" w:hAnsi="仿宋_GB2312" w:eastAsia="仿宋_GB2312" w:cs="仿宋_GB2312"/>
          <w:sz w:val="32"/>
          <w:szCs w:val="32"/>
        </w:rPr>
        <w:t xml:space="preserve"> 7.</w:t>
      </w:r>
      <w:r>
        <w:rPr>
          <w:rFonts w:hint="eastAsia" w:ascii="仿宋_GB2312" w:eastAsia="仿宋_GB2312"/>
          <w:bCs/>
          <w:sz w:val="32"/>
          <w:szCs w:val="32"/>
        </w:rPr>
        <w:t>绩效目标及完成情况</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rPr>
        <w:t>退牧还草项目</w:t>
      </w:r>
      <w:r>
        <w:rPr>
          <w:rFonts w:hint="eastAsia" w:ascii="仿宋_GB2312" w:eastAsia="仿宋_GB2312"/>
          <w:bCs/>
          <w:sz w:val="32"/>
          <w:szCs w:val="32"/>
          <w:lang w:val="zh-CN"/>
        </w:rPr>
        <w:t>绩效情况</w:t>
      </w:r>
      <w:r>
        <w:rPr>
          <w:rFonts w:hint="eastAsia" w:ascii="仿宋_GB2312" w:eastAsia="仿宋_GB2312"/>
          <w:bCs/>
          <w:sz w:val="32"/>
          <w:szCs w:val="32"/>
          <w:lang w:val="zh-CN"/>
        </w:rPr>
        <w:tab/>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（1）目标质量完成情况</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完成国家天然草原退牧还草划区轮牧围栏建设19万亩，完成任务数的100%；退化草原改良4万亩，舍饲棚圈(暖棚)建设100户，毒害草治理1万亩，完成应建数的100%。具体如下：</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1、查尔玛乡：完成划区轮牧围栏建设12万亩，退化草原改良2万亩，舍饲棚圈(暖棚)建设80户，毒害草治理0.5万亩；</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2、江茸乡：完成划区轮牧围栏建设4万亩，退化草原改良1万亩，舍饲棚圈(暖棚)建设20户，毒害草治理0.5万亩；</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3、龙日种畜场：完成划区轮牧围栏建设3万亩，退化草原改1万亩。</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w:t>
      </w:r>
      <w:r>
        <w:rPr>
          <w:rFonts w:hint="eastAsia" w:ascii="仿宋_GB2312" w:eastAsia="仿宋_GB2312"/>
          <w:bCs/>
          <w:sz w:val="32"/>
          <w:szCs w:val="32"/>
        </w:rPr>
        <w:t>2</w:t>
      </w:r>
      <w:r>
        <w:rPr>
          <w:rFonts w:hint="eastAsia" w:ascii="仿宋_GB2312" w:eastAsia="仿宋_GB2312"/>
          <w:bCs/>
          <w:sz w:val="32"/>
          <w:szCs w:val="32"/>
          <w:lang w:val="zh-CN"/>
        </w:rPr>
        <w:t>）项目效益情况</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rPr>
        <w:t>1.</w:t>
      </w:r>
      <w:r>
        <w:rPr>
          <w:rFonts w:hint="eastAsia" w:ascii="仿宋_GB2312" w:eastAsia="仿宋_GB2312"/>
          <w:bCs/>
          <w:sz w:val="32"/>
          <w:szCs w:val="32"/>
          <w:lang w:val="zh-CN"/>
        </w:rPr>
        <w:t>生态效益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1、提高了水源涵养能力，有效调节水资源平衡</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 xml:space="preserve"> 通过项目建设，草地植被盖度得到提高，有效地拦截雨水，并通过土壤孔隙渗透到地下形成地下水，逐渐补充给江河。项目区地处长江、黄河上游，有效地涵养长江、黄河上游水源，对我国正在实施中的“南水北调”工程的水资源保障和全国水资源利用总体战略的实施也发挥了一定作用。</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2、改善了生态环境，有效保护生物多样性</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项目区位于青藏高原，是世界生物多样性中心之一。通过项目的实施，红原县退化草原植被得到了较好的保护和恢复，不仅有效地遏制草原退化，进一步调节气候，使生态环境逐步改善，形成良性循环，而且通过禁牧、休牧的实施，草地生物多样性得到较好地保护和可持续利用，成为长江游绿色生态屏障和生物多样性的重要组成部份。</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rPr>
        <w:t>2.</w:t>
      </w:r>
      <w:r>
        <w:rPr>
          <w:rFonts w:hint="eastAsia" w:ascii="仿宋_GB2312" w:eastAsia="仿宋_GB2312"/>
          <w:bCs/>
          <w:sz w:val="32"/>
          <w:szCs w:val="32"/>
          <w:lang w:val="zh-CN"/>
        </w:rPr>
        <w:t>社会效益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通过项目实施，示范带动作用效果明显，牧民保护草原的意识增强，合理利用草地，科学养畜观念大大提高，并将畜牧业结构调整，生态环境保护有机地结合起来，促进了地方经济繁荣，对增进民族团结、保持社会安定起到了重要作用，社会效益显著。</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rPr>
        <w:t>3.</w:t>
      </w:r>
      <w:r>
        <w:rPr>
          <w:rFonts w:hint="eastAsia" w:ascii="仿宋_GB2312" w:eastAsia="仿宋_GB2312"/>
          <w:bCs/>
          <w:sz w:val="32"/>
          <w:szCs w:val="32"/>
          <w:lang w:val="zh-CN"/>
        </w:rPr>
        <w:t>经济效益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通过2018年红原县国家天然退牧还草工程项目的实施，项目实施区生态环境得到一定程度的改善，特别是围栏草原，实施划区轮牧后，草原得到休养生息，有利于植被恢复，遏制草原退化。通过人工种草、饲草地等配套建设，改进放牧制度，加快了畜牧业内部结构调整，有利于处理好生态治理与经济发展、长远与当前的关系，促进了全县生态与经济的协调发展，也为长江上游生态屏障建设和社会经济可持续发展作出应有贡献。</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rPr>
        <w:t>湿地补偿</w:t>
      </w:r>
      <w:r>
        <w:rPr>
          <w:rFonts w:hint="eastAsia" w:ascii="仿宋_GB2312" w:eastAsia="仿宋_GB2312"/>
          <w:bCs/>
          <w:sz w:val="32"/>
          <w:szCs w:val="32"/>
          <w:lang w:val="zh-CN"/>
        </w:rPr>
        <w:t>项目绩效情况</w:t>
      </w:r>
      <w:r>
        <w:rPr>
          <w:rFonts w:hint="eastAsia" w:ascii="仿宋_GB2312" w:eastAsia="仿宋_GB2312"/>
          <w:bCs/>
          <w:sz w:val="32"/>
          <w:szCs w:val="32"/>
          <w:lang w:val="zh-CN"/>
        </w:rPr>
        <w:tab/>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w:t>
      </w:r>
      <w:r>
        <w:rPr>
          <w:rFonts w:hint="eastAsia" w:ascii="仿宋_GB2312" w:eastAsia="仿宋_GB2312"/>
          <w:bCs/>
          <w:sz w:val="32"/>
          <w:szCs w:val="32"/>
        </w:rPr>
        <w:t>1</w:t>
      </w:r>
      <w:r>
        <w:rPr>
          <w:rFonts w:hint="eastAsia" w:ascii="仿宋_GB2312" w:eastAsia="仿宋_GB2312"/>
          <w:bCs/>
          <w:sz w:val="32"/>
          <w:szCs w:val="32"/>
          <w:lang w:val="zh-CN"/>
        </w:rPr>
        <w:t>）项目完成情况。</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2016年12月，州财政局《下达2016年省级（阿州财农〔2016〕131号），组织相关人员编制完成《2016年年度四川省红原县省级湿地生态补偿实施方案》，并于2017年5月获得州林业局、州财政局的批复，随即组织各乡镇开展工作，2019年9月完成县乡、乡村级目标责任书的签订，10月审定生态补偿人员并进行公示。预计2019年11月将由县级验收小组对各乡镇湿地生态补偿工作开展情况及牧户管护情况进行验收，待验收合格后，由金融机构通过“一卡通”的形式兑现资金。</w:t>
      </w:r>
    </w:p>
    <w:p>
      <w:pPr>
        <w:spacing w:line="560" w:lineRule="exact"/>
        <w:ind w:firstLine="480" w:firstLineChars="150"/>
        <w:rPr>
          <w:rFonts w:ascii="仿宋_GB2312" w:eastAsia="仿宋_GB2312"/>
          <w:bCs/>
          <w:sz w:val="32"/>
          <w:szCs w:val="32"/>
          <w:lang w:val="zh-CN"/>
        </w:rPr>
      </w:pPr>
      <w:r>
        <w:rPr>
          <w:rFonts w:hint="eastAsia" w:ascii="仿宋_GB2312" w:eastAsia="仿宋_GB2312"/>
          <w:bCs/>
          <w:sz w:val="32"/>
          <w:szCs w:val="32"/>
          <w:lang w:val="zh-CN"/>
        </w:rPr>
        <w:t>（</w:t>
      </w:r>
      <w:r>
        <w:rPr>
          <w:rFonts w:hint="eastAsia" w:ascii="仿宋_GB2312" w:eastAsia="仿宋_GB2312"/>
          <w:bCs/>
          <w:sz w:val="32"/>
          <w:szCs w:val="32"/>
        </w:rPr>
        <w:t>2</w:t>
      </w:r>
      <w:r>
        <w:rPr>
          <w:rFonts w:hint="eastAsia" w:ascii="仿宋_GB2312" w:eastAsia="仿宋_GB2312"/>
          <w:bCs/>
          <w:sz w:val="32"/>
          <w:szCs w:val="32"/>
          <w:lang w:val="zh-CN"/>
        </w:rPr>
        <w:t>）项目效益情况。</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1．生态效益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2.社会效益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3.经济效益</w:t>
      </w: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spacing w:line="580" w:lineRule="exact"/>
        <w:ind w:firstLine="640" w:firstLineChars="200"/>
        <w:rPr>
          <w:rFonts w:ascii="仿宋_GB2312" w:hAnsi="仿宋_GB2312" w:eastAsia="仿宋_GB2312" w:cs="仿宋_GB2312"/>
          <w:sz w:val="32"/>
          <w:szCs w:val="32"/>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根据《红原县部门支出绩效评价指标体系》自查的分95分，总体评价较好。</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1、对绩效评价工作的认识不够。通过绩效评价工作的逐步推进，各部门逐步树立了绩效理念，对预算计算评价工作的态度由“被动接受”变为“主动实施”，但了解还不够深入，对单位绩效不重视，认为绩效评价只是财务部门的事情，相关项目职责部门配合不够，往往只能提供有限的财经资料或简单的工作计划、工作总结，绩效评价工作资料非常有限，内容粗浅。大部分单位直接借用工作计划，工作总结等做为绩效自评报告的主要内容。</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人员素质有待进一步提高。由于预算绩效管理工作开展时间短，涉及面广，专业性强，加上缺乏系统的培训，无论是预算单位还是财政部门相关人员，对预算绩效管理理解不充分，对预算绩效管理业务不精通，在一定程度上影响了绩效评价工作质量。</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1、完善绩效评价工作制度。 一是逐步建立和完善财政支出绩效评价相关制度，包括绩效目标审查制度、项目绩效考核制度、绩效奖惩制度等；二是建议将预算绩效管理与政府绩效考评结合起来，将单位预算绩效考评工作纳入到政府对单位的绩效考核当中，前者主要是项目层面的管理，后者是部门层面的管理，二者应该是一种互相促动的关系，即构建一套符合公共需求的绩效目标体系，提高政府的公共服务水平。</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学习培训，提升业务能力。由于绩效评价工作要求高，工作量大，涉及项目业务、财务、效益待多方面的专业知识，对各预算部门、财政部门的机构能力和人员素质来说，无疑是一场严峻的考验，只有通过进行多方位多层次的学习培训，努力提高相关人员素质，才能真正将预算绩效管理工作落实到位。对内财政部门相关人员可以通过业务培训、考察交流和实地调研等形式开展，在实际工作中不断积累经验，加强理论研究；对外加强对部门单位的绩效管理知识培训，可以采取邀请专家讲课、财政部门辅导和案例剖析等方式，不断提升绩效人员业务能力。</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3、加大宣传力度，树立绩效管理理念。通过各种媒介、各种形式和渠道，加大绩效管理理念宣传，创造良好社会舆论氛围，不断提高部门（单位）的绩效意识，发挥各部门在预算绩效管理中的主体作用。</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2019年天然林保护工程项目项目支出绩效评价报告</w:t>
      </w:r>
    </w:p>
    <w:p>
      <w:pPr>
        <w:spacing w:line="600" w:lineRule="exact"/>
        <w:rPr>
          <w:rFonts w:ascii="宋体" w:hAnsi="宋体"/>
          <w:sz w:val="32"/>
          <w:szCs w:val="32"/>
          <w:lang w:val="zh-CN"/>
        </w:rPr>
      </w:pP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（一）项目基本情况。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天然林资源保护工程财政专项项目主要包括：继续停止天然林商品性采伐，管护森林面积2241885亩，其中，国有林2189722亩，集体林48857亩。加强森林资源培育，不断扩大森林资源面积；完善国有林业单位职工基本养老、基本医疗、失业、工伤、生育等五项社会保险和政策性社会性支出补助政策；落实管护责任制；加强落实全县国有（集体）公益林管理责任制和森林生态效益补偿资金兑现工作，进一步改善和提高林区生产生活环境，健全林业职工的社会保障体系；生态状况从逐步好转进一步向明显改善转变，生物多样性明显增加，森林生态功能明显增强；增加从事林业就业岗位，促进地方社会稳定。</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红原县2019年天然林资源保护工程财政专项项目立项和资金申报的主要依据是根据《红原县天然林保护工程二期实施方案》进行项目资金的申报，经阿坝州人民政府同意实施。</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2019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红原县天然林保护工程项目用于国有林管护资金和天保人员的社会保险补助资金的</w:t>
      </w:r>
      <w:r>
        <w:rPr>
          <w:rFonts w:hint="eastAsia" w:ascii="仿宋_GB2312" w:hAnsi="仿宋_GB2312" w:eastAsia="仿宋_GB2312" w:cs="仿宋_GB2312"/>
          <w:sz w:val="32"/>
          <w:szCs w:val="32"/>
          <w:lang w:val="zh-CN"/>
        </w:rPr>
        <w:t>申报内容与天然林保护工程实施方案内容相符，申报目标合理可行。</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红原县2019年天然林资源保护工程财政专项项目立项和资金申报的主要依据是根据《红原县天然林保护工程二期实施方案》进行项目资金的申报，经阿坝州人民政府同意实施。并获得了《阿坝州财政局 阿坝州林业局关于提前下达2019年中央财政林业改革发展资金通知》（阿州财农〔2018〕151号）的批复。</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资金计划、到位及使用情况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w:t>
      </w:r>
      <w:r>
        <w:rPr>
          <w:rFonts w:hint="eastAsia" w:ascii="仿宋_GB2312" w:hAnsi="仿宋_GB2312" w:eastAsia="仿宋_GB2312" w:cs="仿宋_GB2312"/>
          <w:sz w:val="32"/>
          <w:szCs w:val="32"/>
        </w:rPr>
        <w:t>红原县2019年天然林资源保护工程财政专项项目资金计划为阿州财农〔2018〕151号568.38万元。</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rPr>
        <w:t>红原县2019年天然林资源保护工程财政专项项目资金实际到位情况为568.38万元。</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rPr>
        <w:t>一是红原县2019年天然林资源保护工程政专项项目资金实际使用情况：国有林管护使用资金为153.8万元（管护费支出93.8万元、生态扶贫整合60万）。</w:t>
      </w:r>
      <w:r>
        <w:rPr>
          <w:rFonts w:hint="eastAsia" w:ascii="仿宋_GB2312" w:hAnsi="仿宋_GB2312" w:eastAsia="仿宋_GB2312" w:cs="仿宋_GB2312"/>
          <w:sz w:val="32"/>
          <w:szCs w:val="32"/>
          <w:lang w:val="zh-CN"/>
        </w:rPr>
        <w:t>（三）项目财务管理情况。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我局对天然林资源保护工程财政专项资金实行专帐管理、单独核算、专款专用，对国有林管护资金实行专业账户进行兑付，在专项资金是使用管理中由县林草局进行专项资金的使用申报，并由于分管林业的副县长签字审核后，经县财政局审核同意拨付使用。 </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我县成立红原县天然林保护领导小组和管理办公室，办公室设在县林草局森林资源管理股，处理我县天然林保护工程实施方案内容的日常事务，项目资金管理支出由局计财股具体实施。</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1.项目完成任务量。我县公益林面积220.3357万亩，其中国有公益林面积215.4091万亩，集体公益林面积4.9266万亩,生态效益补偿面积覆盖率为 100%。</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项目完成质量。2019年度我局通过层层落实了管护责任制，全县签订国有林管护合同48份，完成率达100%。加强监督与管理，杜绝滥砍乱伐、毁林开垦的现象发生，牲畜破坏国有林的情况也逐减少，国有林的管护取得了明显成绩，行政案件逐年降低。</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3.项目完成进度。2019年度天然林资源保护工程财政专项项目管护率达到100%。</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（二）项目效益情况。</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生态效益，通过常年以来的管理与管护，基本杜绝了乱砍乱伐现象，资源保护明显加强。通过宣传使当地农民认识到了天然林保护的重要性，杜绝了乱砍乱伐现象，围绕停、减、管、造全面采取措施，天然林得到修养生息，天然林资源得到了有效的保护，森林蓄积量得到有效的增长，2019年度我县的森林覆盖率达到了8.44%。林分质量得到改善，通过茂密的林冠，纵横交错的根系来阻挡和减缓雨水对土壤的冲刷和侵蚀,减少土壤的流失；通过树冠、树干、枯枝落叶层以及根系的吸滞、存贮作用，发挥了涵养水源的作用，生态环境得到了进一步的改善。</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社会效益，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3.经济效益，实施天然林保护工程任务以来我县当地农牧民从该项项目中得到经济收入稳步提高，2019年度通过天保工程项目，按照我县农牧民33428人数折算，从天保工程项目人均增收达到37.76元/人。</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由于我局天保人员身份变为事业身份天保工程资金存量过大，无法使用。</w:t>
      </w:r>
      <w:r>
        <w:rPr>
          <w:rFonts w:hint="eastAsia" w:ascii="仿宋_GB2312" w:hAnsi="仿宋_GB2312" w:eastAsia="仿宋_GB2312" w:cs="仿宋_GB2312"/>
          <w:sz w:val="32"/>
          <w:szCs w:val="32"/>
          <w:lang w:val="zh-CN"/>
        </w:rPr>
        <w:tab/>
      </w:r>
    </w:p>
    <w:p>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（二）相关建议。</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一是建议州级政府部门能够出台县级国有林管理工作和管护经费的相关政策，并能落实到县级财政预算中；</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是建议提高现行国有林中央财政补偿基金标准，实行分类补偿能否根据区域生态的重要性和脆弱性，并综合考虑森林质量、地位级差、管护难度等指标，对现有国有林进行分类补偿，再根据国家财力情况，逐步提高补偿标准；</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三是能否积极利用市场机制实现补偿森林生态效益的有效途径，建立国有林资源保护的受益者直接补偿体系，能否落实下游地区对上游地区的国有林给予政策性补偿；</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是对于部分立地条件相对较好、生态区位不十分敏感的国有林，可以考虑在不会对生态带来影响的前提下，开展抚育、更新性质的采伐，充分利用国有林的景观资源、林下资源，加大开展国有林的非木质的经营利用，在提高国有林林分质量的同时增加当地农牧民的经济收入。</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2019年湿地生态补偿项目项目支出绩效评价报告</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一、项目概况</w:t>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（一）项目资金申报及批复情况。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2016年12月阿坝州财政局下达省级湿地生态效益补偿试点资金，红原县湿地补助资金1439万元，</w:t>
      </w:r>
      <w:r>
        <w:rPr>
          <w:rFonts w:ascii="仿宋" w:hAnsi="仿宋" w:eastAsia="仿宋" w:cs="仿宋_GB2312"/>
          <w:sz w:val="32"/>
          <w:szCs w:val="32"/>
          <w:lang w:val="zh-CN"/>
        </w:rPr>
        <w:t>按照省政府办公厅《关于支持贫困县开展统筹整合使用涉农资金试点的实施意见》（川府发〔2016〕44号）</w:t>
      </w:r>
      <w:r>
        <w:rPr>
          <w:rFonts w:hint="eastAsia" w:ascii="仿宋" w:hAnsi="仿宋" w:eastAsia="仿宋" w:cs="仿宋_GB2312"/>
          <w:sz w:val="32"/>
          <w:szCs w:val="32"/>
          <w:lang w:val="zh-CN"/>
        </w:rPr>
        <w:t>等文件规定，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标识标牌制作及项目验收等。</w:t>
      </w:r>
    </w:p>
    <w:p>
      <w:pPr>
        <w:adjustRightInd w:val="0"/>
        <w:snapToGrid w:val="0"/>
        <w:spacing w:line="560" w:lineRule="exact"/>
        <w:ind w:firstLine="482" w:firstLineChars="150"/>
        <w:rPr>
          <w:rFonts w:ascii="仿宋" w:hAnsi="仿宋" w:eastAsia="仿宋" w:cs="仿宋_GB2312"/>
          <w:sz w:val="32"/>
          <w:szCs w:val="32"/>
          <w:lang w:val="zh-CN"/>
        </w:rPr>
      </w:pPr>
      <w:r>
        <w:rPr>
          <w:rFonts w:hint="eastAsia" w:ascii="楷体" w:hAnsi="楷体" w:eastAsia="楷体" w:cs="仿宋_GB2312"/>
          <w:b/>
          <w:sz w:val="32"/>
          <w:szCs w:val="32"/>
          <w:lang w:val="zh-CN"/>
        </w:rPr>
        <w:t>（二）项目绩效目标。</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标识标牌制作及项目验收等。</w:t>
      </w:r>
    </w:p>
    <w:p>
      <w:pPr>
        <w:adjustRightInd w:val="0"/>
        <w:snapToGrid w:val="0"/>
        <w:spacing w:line="560" w:lineRule="exact"/>
        <w:ind w:firstLine="720"/>
        <w:rPr>
          <w:rFonts w:ascii="楷体" w:hAnsi="楷体" w:eastAsia="楷体" w:cs="仿宋_GB2312"/>
          <w:b/>
          <w:sz w:val="32"/>
          <w:szCs w:val="32"/>
          <w:lang w:val="zh-CN"/>
        </w:rPr>
      </w:pPr>
    </w:p>
    <w:p>
      <w:pPr>
        <w:adjustRightInd w:val="0"/>
        <w:snapToGrid w:val="0"/>
        <w:spacing w:line="560" w:lineRule="exact"/>
        <w:ind w:firstLine="720"/>
        <w:rPr>
          <w:rFonts w:ascii="仿宋" w:hAnsi="仿宋" w:eastAsia="仿宋" w:cs="仿宋_GB2312"/>
          <w:sz w:val="32"/>
          <w:szCs w:val="32"/>
          <w:lang w:val="zh-CN"/>
        </w:rPr>
      </w:pPr>
    </w:p>
    <w:p>
      <w:pPr>
        <w:adjustRightInd w:val="0"/>
        <w:snapToGrid w:val="0"/>
        <w:spacing w:line="560" w:lineRule="exact"/>
        <w:ind w:firstLine="720"/>
        <w:rPr>
          <w:rFonts w:ascii="仿宋" w:hAnsi="仿宋" w:eastAsia="仿宋" w:cs="仿宋_GB2312"/>
          <w:sz w:val="32"/>
          <w:szCs w:val="32"/>
          <w:lang w:val="zh-CN"/>
        </w:rPr>
      </w:pP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（三）项目资金申报相符性。</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项目申报内容与具体实施内容完全相符，且申报目标合理可行。</w:t>
      </w: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二、项目实施及管理情况</w:t>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sz w:val="32"/>
          <w:szCs w:val="32"/>
          <w:lang w:val="zh-CN"/>
        </w:rPr>
        <w:tab/>
      </w:r>
      <w:r>
        <w:rPr>
          <w:rFonts w:hint="eastAsia" w:ascii="楷体" w:hAnsi="楷体" w:eastAsia="楷体" w:cs="仿宋_GB2312"/>
          <w:b/>
          <w:sz w:val="32"/>
          <w:szCs w:val="32"/>
          <w:lang w:val="zh-CN"/>
        </w:rPr>
        <w:t>（一）资金计划、到位及使用情况。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1．资金计划及到位。</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rPr>
        <w:t>2019年</w:t>
      </w:r>
      <w:r>
        <w:rPr>
          <w:rFonts w:hint="eastAsia" w:ascii="仿宋" w:hAnsi="仿宋" w:eastAsia="仿宋" w:cs="仿宋_GB2312"/>
          <w:sz w:val="32"/>
          <w:szCs w:val="32"/>
          <w:lang w:val="zh-CN"/>
        </w:rPr>
        <w:t>该项目</w:t>
      </w:r>
      <w:r>
        <w:rPr>
          <w:rFonts w:hint="eastAsia" w:ascii="仿宋" w:hAnsi="仿宋" w:eastAsia="仿宋" w:cs="仿宋_GB2312"/>
          <w:sz w:val="32"/>
          <w:szCs w:val="32"/>
        </w:rPr>
        <w:t>实际</w:t>
      </w:r>
      <w:r>
        <w:rPr>
          <w:rFonts w:hint="eastAsia" w:ascii="仿宋" w:hAnsi="仿宋" w:eastAsia="仿宋" w:cs="仿宋_GB2312"/>
          <w:sz w:val="32"/>
          <w:szCs w:val="32"/>
          <w:lang w:val="zh-CN"/>
        </w:rPr>
        <w:t>到位</w:t>
      </w:r>
      <w:r>
        <w:rPr>
          <w:rFonts w:hint="eastAsia" w:ascii="仿宋" w:hAnsi="仿宋" w:eastAsia="仿宋" w:cs="仿宋_GB2312"/>
          <w:sz w:val="32"/>
          <w:szCs w:val="32"/>
        </w:rPr>
        <w:t>省</w:t>
      </w:r>
      <w:r>
        <w:rPr>
          <w:rFonts w:hint="eastAsia" w:ascii="仿宋" w:hAnsi="仿宋" w:eastAsia="仿宋" w:cs="仿宋_GB2312"/>
          <w:sz w:val="32"/>
          <w:szCs w:val="32"/>
          <w:lang w:val="zh-CN"/>
        </w:rPr>
        <w:t>级财政资金</w:t>
      </w:r>
      <w:r>
        <w:rPr>
          <w:rFonts w:hint="eastAsia" w:ascii="仿宋" w:hAnsi="仿宋" w:eastAsia="仿宋" w:cs="仿宋_GB2312"/>
          <w:sz w:val="32"/>
          <w:szCs w:val="32"/>
        </w:rPr>
        <w:t>1439</w:t>
      </w:r>
      <w:r>
        <w:rPr>
          <w:rFonts w:hint="eastAsia" w:ascii="仿宋" w:hAnsi="仿宋" w:eastAsia="仿宋" w:cs="仿宋_GB2312"/>
          <w:sz w:val="32"/>
          <w:szCs w:val="32"/>
          <w:lang w:val="zh-CN"/>
        </w:rPr>
        <w:t>万，资金到位率100％。</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2．资金使用。</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兑现201</w:t>
      </w:r>
      <w:r>
        <w:rPr>
          <w:rFonts w:hint="eastAsia" w:ascii="仿宋" w:hAnsi="仿宋" w:eastAsia="仿宋" w:cs="仿宋_GB2312"/>
          <w:sz w:val="32"/>
          <w:szCs w:val="32"/>
        </w:rPr>
        <w:t>9</w:t>
      </w:r>
      <w:r>
        <w:rPr>
          <w:rFonts w:hint="eastAsia" w:ascii="仿宋" w:hAnsi="仿宋" w:eastAsia="仿宋" w:cs="仿宋_GB2312"/>
          <w:sz w:val="32"/>
          <w:szCs w:val="32"/>
          <w:lang w:val="zh-CN"/>
        </w:rPr>
        <w:t>年度湿地生态补偿</w:t>
      </w:r>
      <w:r>
        <w:rPr>
          <w:rFonts w:hint="eastAsia" w:ascii="仿宋" w:hAnsi="仿宋" w:eastAsia="仿宋" w:cs="仿宋_GB2312"/>
          <w:sz w:val="32"/>
          <w:szCs w:val="32"/>
        </w:rPr>
        <w:t>1438.6万元</w:t>
      </w:r>
      <w:r>
        <w:rPr>
          <w:rFonts w:hint="eastAsia" w:ascii="仿宋" w:hAnsi="仿宋" w:eastAsia="仿宋" w:cs="仿宋_GB2312"/>
          <w:sz w:val="32"/>
          <w:szCs w:val="32"/>
          <w:lang w:val="zh-CN"/>
        </w:rPr>
        <w:t>。项目资金严格按照实施方案预算科目计划进行支出</w:t>
      </w:r>
    </w:p>
    <w:p>
      <w:pPr>
        <w:numPr>
          <w:ilvl w:val="0"/>
          <w:numId w:val="8"/>
        </w:num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项目财务管理情况。</w:t>
      </w:r>
    </w:p>
    <w:p>
      <w:pPr>
        <w:tabs>
          <w:tab w:val="left" w:pos="1560"/>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建设资金使用采取报账制。建设资金要按照项目会计制度进行管理,实行专户存储,专人管理,做到专款专用。项目资金要严格按照批复方案列支,要实行项目建设预算制和决算制,严禁挤占挪用。要加强对资金使用的检查和监督,建立健全项目建设的财务管理和审计制度,加强对建设项目的检察监督,充分发挥审计及投资和资金管理部门的监督作用,以确保项目的顺利进行及效益的正常发挥。项目实施过程中,要切实落实好配套资金,建设资金要及时、足额地拨付,不得以任何名义截留。</w:t>
      </w:r>
    </w:p>
    <w:p>
      <w:pPr>
        <w:adjustRightInd w:val="0"/>
        <w:snapToGrid w:val="0"/>
        <w:spacing w:line="560" w:lineRule="exact"/>
        <w:rPr>
          <w:rFonts w:ascii="楷体" w:hAnsi="楷体" w:eastAsia="楷体" w:cs="仿宋_GB2312"/>
          <w:b/>
          <w:sz w:val="32"/>
          <w:szCs w:val="32"/>
          <w:lang w:val="zh-CN"/>
        </w:rPr>
      </w:pP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（三）项目组织实施情况。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县委、县人民政府成立生态扶贫工作领导小组，全面统筹协调生态管护工作，研究解决工作推进中出现的问题，县环林局制定湿地管护员管理办法，指导各乡镇开展湿地管护员申请审核、公示汇总、协议签订、日志填报等事项，协助生态扶贫领导小组办公室开展上半年度检查验收，按照资金管理办法兑现补助资金。</w:t>
      </w:r>
    </w:p>
    <w:p>
      <w:pPr>
        <w:adjustRightInd w:val="0"/>
        <w:snapToGrid w:val="0"/>
        <w:spacing w:line="560" w:lineRule="exact"/>
        <w:ind w:firstLine="480" w:firstLineChars="150"/>
        <w:rPr>
          <w:rFonts w:ascii="黑体" w:hAnsi="黑体" w:eastAsia="黑体" w:cs="仿宋_GB2312"/>
          <w:sz w:val="32"/>
          <w:szCs w:val="32"/>
          <w:lang w:val="zh-CN"/>
        </w:rPr>
      </w:pPr>
      <w:r>
        <w:rPr>
          <w:rFonts w:hint="eastAsia" w:ascii="黑体" w:hAnsi="黑体" w:eastAsia="黑体" w:cs="仿宋_GB2312"/>
          <w:sz w:val="32"/>
          <w:szCs w:val="32"/>
          <w:lang w:val="zh-CN"/>
        </w:rPr>
        <w:t>四、项目绩效情况</w:t>
      </w:r>
      <w:r>
        <w:rPr>
          <w:rFonts w:hint="eastAsia" w:ascii="黑体" w:hAnsi="黑体" w:eastAsia="黑体" w:cs="仿宋_GB2312"/>
          <w:sz w:val="32"/>
          <w:szCs w:val="32"/>
          <w:lang w:val="zh-CN"/>
        </w:rPr>
        <w:tab/>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（一）项目完成情况。</w:t>
      </w:r>
    </w:p>
    <w:p>
      <w:pPr>
        <w:adjustRightInd w:val="0"/>
        <w:snapToGrid w:val="0"/>
        <w:spacing w:line="560" w:lineRule="exact"/>
        <w:ind w:firstLine="640" w:firstLineChars="200"/>
        <w:rPr>
          <w:rFonts w:ascii="仿宋" w:hAnsi="仿宋" w:eastAsia="仿宋" w:cs="仿宋"/>
          <w:snapToGrid w:val="0"/>
          <w:sz w:val="32"/>
          <w:szCs w:val="32"/>
        </w:rPr>
      </w:pPr>
      <w:r>
        <w:rPr>
          <w:rFonts w:hint="eastAsia" w:ascii="仿宋" w:hAnsi="仿宋" w:eastAsia="仿宋" w:cs="仿宋_GB2312"/>
          <w:sz w:val="32"/>
          <w:szCs w:val="32"/>
        </w:rPr>
        <w:t>2019年</w:t>
      </w:r>
      <w:r>
        <w:rPr>
          <w:rFonts w:hint="eastAsia" w:ascii="仿宋" w:hAnsi="仿宋" w:eastAsia="仿宋" w:cs="仿宋_GB2312"/>
          <w:sz w:val="32"/>
          <w:szCs w:val="32"/>
          <w:lang w:val="zh-CN"/>
        </w:rPr>
        <w:t>该项目</w:t>
      </w:r>
      <w:r>
        <w:rPr>
          <w:rFonts w:hint="eastAsia" w:ascii="仿宋" w:hAnsi="仿宋" w:eastAsia="仿宋" w:cs="仿宋_GB2312"/>
          <w:sz w:val="32"/>
          <w:szCs w:val="32"/>
        </w:rPr>
        <w:t>实际</w:t>
      </w:r>
      <w:r>
        <w:rPr>
          <w:rFonts w:hint="eastAsia" w:ascii="仿宋" w:hAnsi="仿宋" w:eastAsia="仿宋" w:cs="仿宋_GB2312"/>
          <w:sz w:val="32"/>
          <w:szCs w:val="32"/>
          <w:lang w:val="zh-CN"/>
        </w:rPr>
        <w:t>到位</w:t>
      </w:r>
      <w:r>
        <w:rPr>
          <w:rFonts w:hint="eastAsia" w:ascii="仿宋" w:hAnsi="仿宋" w:eastAsia="仿宋" w:cs="仿宋_GB2312"/>
          <w:sz w:val="32"/>
          <w:szCs w:val="32"/>
        </w:rPr>
        <w:t>省</w:t>
      </w:r>
      <w:r>
        <w:rPr>
          <w:rFonts w:hint="eastAsia" w:ascii="仿宋" w:hAnsi="仿宋" w:eastAsia="仿宋" w:cs="仿宋_GB2312"/>
          <w:sz w:val="32"/>
          <w:szCs w:val="32"/>
          <w:lang w:val="zh-CN"/>
        </w:rPr>
        <w:t>级财政资金</w:t>
      </w:r>
      <w:r>
        <w:rPr>
          <w:rFonts w:hint="eastAsia" w:ascii="仿宋" w:hAnsi="仿宋" w:eastAsia="仿宋" w:cs="仿宋_GB2312"/>
          <w:sz w:val="32"/>
          <w:szCs w:val="32"/>
        </w:rPr>
        <w:t>1439</w:t>
      </w:r>
      <w:r>
        <w:rPr>
          <w:rFonts w:hint="eastAsia" w:ascii="仿宋" w:hAnsi="仿宋" w:eastAsia="仿宋" w:cs="仿宋_GB2312"/>
          <w:sz w:val="32"/>
          <w:szCs w:val="32"/>
          <w:lang w:val="zh-CN"/>
        </w:rPr>
        <w:t>万，</w:t>
      </w:r>
      <w:r>
        <w:rPr>
          <w:rFonts w:hint="eastAsia" w:ascii="仿宋" w:hAnsi="仿宋" w:eastAsia="仿宋" w:cs="仿宋"/>
          <w:snapToGrid w:val="0"/>
          <w:sz w:val="32"/>
          <w:szCs w:val="32"/>
        </w:rPr>
        <w:t>并于2019年9月</w:t>
      </w:r>
      <w:r>
        <w:rPr>
          <w:rFonts w:hint="eastAsia" w:ascii="仿宋" w:hAnsi="仿宋" w:eastAsia="仿宋" w:cs="仿宋"/>
          <w:sz w:val="32"/>
          <w:szCs w:val="32"/>
        </w:rPr>
        <w:t>随即组织各乡镇开展工作，2019年9月完成县乡、乡村级目标责任书的签订，10月审定生态补偿人员并进行公示。2019年11月将由县级验收小组对各乡镇湿地生态补偿工作开展情况及牧户管护情况进行验收，待验收合格后，由金融机构通过“一卡通”的形式兑现资金。</w:t>
      </w:r>
    </w:p>
    <w:p>
      <w:pPr>
        <w:adjustRightInd w:val="0"/>
        <w:snapToGrid w:val="0"/>
        <w:spacing w:line="560" w:lineRule="exact"/>
        <w:ind w:firstLine="321" w:firstLineChars="100"/>
        <w:rPr>
          <w:rFonts w:ascii="楷体" w:hAnsi="楷体" w:eastAsia="楷体" w:cs="仿宋_GB2312"/>
          <w:b/>
          <w:sz w:val="32"/>
          <w:szCs w:val="32"/>
          <w:lang w:val="zh-CN"/>
        </w:rPr>
      </w:pPr>
      <w:r>
        <w:rPr>
          <w:rFonts w:hint="eastAsia" w:ascii="楷体" w:hAnsi="楷体" w:eastAsia="楷体" w:cs="仿宋_GB2312"/>
          <w:b/>
          <w:sz w:val="32"/>
          <w:szCs w:val="32"/>
          <w:lang w:val="zh-CN"/>
        </w:rPr>
        <w:t>（二）项目效益情况。</w:t>
      </w:r>
    </w:p>
    <w:p>
      <w:pPr>
        <w:pStyle w:val="5"/>
        <w:adjustRightInd w:val="0"/>
        <w:snapToGrid w:val="0"/>
        <w:spacing w:line="560" w:lineRule="exact"/>
        <w:ind w:firstLine="640"/>
        <w:rPr>
          <w:rStyle w:val="32"/>
          <w:rFonts w:ascii="仿宋" w:hAnsi="仿宋" w:eastAsia="仿宋" w:cs="仿宋"/>
          <w:sz w:val="32"/>
          <w:szCs w:val="32"/>
        </w:rPr>
      </w:pPr>
      <w:r>
        <w:rPr>
          <w:rStyle w:val="32"/>
          <w:rFonts w:hint="eastAsia" w:ascii="仿宋" w:hAnsi="仿宋" w:eastAsia="仿宋" w:cs="仿宋"/>
          <w:sz w:val="32"/>
          <w:szCs w:val="32"/>
        </w:rPr>
        <w:t>1．生态效益</w:t>
      </w:r>
    </w:p>
    <w:p>
      <w:pPr>
        <w:kinsoku w:val="0"/>
        <w:overflowPunct w:val="0"/>
        <w:autoSpaceDE w:val="0"/>
        <w:autoSpaceDN w:val="0"/>
        <w:adjustRightInd w:val="0"/>
        <w:snapToGrid w:val="0"/>
        <w:spacing w:line="560" w:lineRule="exact"/>
        <w:ind w:firstLine="640" w:firstLineChars="200"/>
        <w:rPr>
          <w:rFonts w:ascii="仿宋" w:hAnsi="仿宋" w:eastAsia="仿宋" w:cs="仿宋"/>
          <w:sz w:val="32"/>
          <w:szCs w:val="32"/>
          <w:lang w:bidi="bo-CN"/>
        </w:rPr>
      </w:pPr>
      <w:r>
        <w:rPr>
          <w:rFonts w:hint="eastAsia" w:ascii="仿宋" w:hAnsi="仿宋" w:eastAsia="仿宋" w:cs="仿宋"/>
          <w:sz w:val="32"/>
          <w:szCs w:val="32"/>
          <w:lang w:bidi="bo-CN"/>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pStyle w:val="5"/>
        <w:adjustRightInd w:val="0"/>
        <w:snapToGrid w:val="0"/>
        <w:spacing w:line="560" w:lineRule="exact"/>
        <w:ind w:firstLine="640"/>
        <w:rPr>
          <w:rFonts w:ascii="仿宋" w:hAnsi="仿宋" w:eastAsia="仿宋" w:cs="仿宋"/>
          <w:sz w:val="32"/>
          <w:szCs w:val="32"/>
        </w:rPr>
      </w:pPr>
      <w:r>
        <w:rPr>
          <w:rFonts w:hint="eastAsia" w:ascii="仿宋" w:hAnsi="仿宋" w:eastAsia="仿宋" w:cs="仿宋"/>
          <w:sz w:val="32"/>
          <w:szCs w:val="32"/>
        </w:rPr>
        <w:t>2.社会效益</w:t>
      </w:r>
    </w:p>
    <w:p>
      <w:pPr>
        <w:kinsoku w:val="0"/>
        <w:overflowPunct w:val="0"/>
        <w:autoSpaceDE w:val="0"/>
        <w:autoSpaceDN w:val="0"/>
        <w:adjustRightInd w:val="0"/>
        <w:snapToGrid w:val="0"/>
        <w:spacing w:line="560" w:lineRule="exact"/>
        <w:ind w:firstLine="640" w:firstLineChars="200"/>
        <w:rPr>
          <w:rFonts w:ascii="仿宋" w:hAnsi="仿宋" w:eastAsia="仿宋" w:cs="仿宋"/>
          <w:sz w:val="32"/>
          <w:szCs w:val="32"/>
          <w:lang w:bidi="bo-CN"/>
        </w:rPr>
      </w:pPr>
      <w:r>
        <w:rPr>
          <w:rFonts w:hint="eastAsia" w:ascii="仿宋" w:hAnsi="仿宋" w:eastAsia="仿宋" w:cs="仿宋"/>
          <w:sz w:val="32"/>
          <w:szCs w:val="32"/>
          <w:lang w:bidi="bo-CN"/>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pStyle w:val="5"/>
        <w:adjustRightInd w:val="0"/>
        <w:snapToGrid w:val="0"/>
        <w:spacing w:line="560" w:lineRule="exact"/>
        <w:ind w:firstLine="640"/>
        <w:rPr>
          <w:rFonts w:ascii="仿宋" w:hAnsi="仿宋" w:eastAsia="仿宋" w:cs="仿宋"/>
          <w:sz w:val="32"/>
          <w:szCs w:val="32"/>
        </w:rPr>
      </w:pPr>
      <w:r>
        <w:rPr>
          <w:rFonts w:hint="eastAsia" w:ascii="仿宋" w:hAnsi="仿宋" w:eastAsia="仿宋" w:cs="仿宋"/>
          <w:sz w:val="32"/>
          <w:szCs w:val="32"/>
        </w:rPr>
        <w:t>3.经济效益</w:t>
      </w:r>
    </w:p>
    <w:p>
      <w:pPr>
        <w:adjustRightInd w:val="0"/>
        <w:snapToGrid w:val="0"/>
        <w:spacing w:line="560" w:lineRule="exact"/>
        <w:ind w:firstLine="640"/>
        <w:rPr>
          <w:rFonts w:ascii="仿宋" w:hAnsi="仿宋" w:eastAsia="仿宋" w:cs="仿宋"/>
          <w:b/>
          <w:sz w:val="32"/>
          <w:szCs w:val="32"/>
        </w:rPr>
      </w:pPr>
      <w:r>
        <w:rPr>
          <w:rFonts w:hint="eastAsia" w:ascii="仿宋" w:hAnsi="仿宋" w:eastAsia="仿宋" w:cs="仿宋"/>
          <w:sz w:val="32"/>
          <w:szCs w:val="32"/>
          <w:lang w:bidi="bo-CN"/>
        </w:rPr>
        <w:t>湿地生态补偿工作结合精准扶贫，有效帮扶了一批贫困户，提高了牧户收入，此次补偿工作共计6281户，共兑现资金1438.6万元，平均每户每年增加收入2290.39元。其中贫困户696户，兑现资金约185.88万元，为稳定民生做出贡献。</w:t>
      </w:r>
      <w:r>
        <w:rPr>
          <w:rFonts w:hint="eastAsia" w:ascii="仿宋" w:hAnsi="仿宋" w:eastAsia="仿宋" w:cs="仿宋"/>
          <w:color w:val="000000"/>
          <w:sz w:val="32"/>
          <w:szCs w:val="32"/>
        </w:rPr>
        <w:t>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五、问题及建议</w:t>
      </w:r>
    </w:p>
    <w:p>
      <w:pPr>
        <w:pStyle w:val="25"/>
        <w:numPr>
          <w:ilvl w:val="0"/>
          <w:numId w:val="9"/>
        </w:numPr>
        <w:adjustRightInd w:val="0"/>
        <w:snapToGrid w:val="0"/>
        <w:spacing w:line="560" w:lineRule="exact"/>
        <w:ind w:firstLineChars="0"/>
        <w:rPr>
          <w:rFonts w:ascii="楷体" w:hAnsi="楷体" w:eastAsia="楷体" w:cs="仿宋_GB2312"/>
          <w:b/>
          <w:sz w:val="32"/>
          <w:szCs w:val="32"/>
          <w:lang w:val="zh-CN"/>
        </w:rPr>
      </w:pPr>
      <w:r>
        <w:rPr>
          <w:rFonts w:hint="eastAsia" w:ascii="楷体" w:hAnsi="楷体" w:eastAsia="楷体" w:cs="仿宋_GB2312"/>
          <w:b/>
          <w:sz w:val="32"/>
          <w:szCs w:val="32"/>
          <w:lang w:val="zh-CN"/>
        </w:rPr>
        <w:t>存在的问题。</w:t>
      </w:r>
    </w:p>
    <w:p>
      <w:pPr>
        <w:adjustRightInd w:val="0"/>
        <w:snapToGrid w:val="0"/>
        <w:spacing w:line="560" w:lineRule="exact"/>
        <w:ind w:firstLine="643" w:firstLineChars="200"/>
        <w:rPr>
          <w:rFonts w:ascii="仿宋" w:hAnsi="仿宋" w:eastAsia="仿宋" w:cs="仿宋"/>
          <w:sz w:val="32"/>
          <w:szCs w:val="32"/>
          <w:lang w:bidi="bo-CN"/>
        </w:rPr>
      </w:pPr>
      <w:r>
        <w:rPr>
          <w:rFonts w:hint="eastAsia" w:ascii="仿宋" w:hAnsi="仿宋" w:eastAsia="仿宋" w:cs="仿宋"/>
          <w:b/>
          <w:bCs/>
          <w:sz w:val="32"/>
          <w:szCs w:val="32"/>
        </w:rPr>
        <w:t>1.省级湿地生态补偿</w:t>
      </w:r>
      <w:r>
        <w:rPr>
          <w:rFonts w:hint="eastAsia" w:ascii="仿宋" w:hAnsi="仿宋" w:eastAsia="仿宋" w:cs="仿宋"/>
          <w:b/>
          <w:kern w:val="0"/>
          <w:sz w:val="32"/>
          <w:szCs w:val="32"/>
        </w:rPr>
        <w:t>各乡镇湿地面积存在争议</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sz w:val="32"/>
          <w:szCs w:val="32"/>
        </w:rPr>
        <w:t>红</w:t>
      </w:r>
      <w:r>
        <w:rPr>
          <w:rFonts w:hint="eastAsia" w:ascii="仿宋" w:hAnsi="仿宋" w:eastAsia="仿宋" w:cs="仿宋"/>
          <w:color w:val="000000"/>
          <w:sz w:val="32"/>
          <w:szCs w:val="32"/>
        </w:rPr>
        <w:t>原县湿地生态补偿面积是参照2012年湿地调查数据，且红原县湿地面积测量受本地气候限制，丰水期与枯水期湿地面积偏差较大。以红原县麦洼乡为例，麦洼乡湿地是日干乔湿地自然保护区的重要组成部分，但是根据湿地调查数据，麦洼乡只有湿地面积10245亩，与实际情况不符。红原县其他部分乡镇也存在着这种问题，麦洼乡的情况最为突出。</w:t>
      </w:r>
    </w:p>
    <w:p>
      <w:pPr>
        <w:adjustRightInd w:val="0"/>
        <w:snapToGrid w:val="0"/>
        <w:spacing w:line="560" w:lineRule="exact"/>
        <w:ind w:firstLine="643" w:firstLineChars="200"/>
        <w:rPr>
          <w:rFonts w:ascii="仿宋" w:hAnsi="仿宋" w:eastAsia="仿宋" w:cs="仿宋"/>
          <w:sz w:val="32"/>
          <w:szCs w:val="32"/>
          <w:lang w:bidi="bo-CN"/>
        </w:rPr>
      </w:pPr>
      <w:r>
        <w:rPr>
          <w:rFonts w:hint="eastAsia" w:ascii="仿宋" w:hAnsi="仿宋" w:eastAsia="仿宋" w:cs="仿宋"/>
          <w:b/>
          <w:bCs/>
          <w:sz w:val="32"/>
          <w:szCs w:val="32"/>
        </w:rPr>
        <w:t>2.省级湿地生态补偿</w:t>
      </w:r>
      <w:r>
        <w:rPr>
          <w:rFonts w:hint="eastAsia" w:ascii="仿宋" w:hAnsi="仿宋" w:eastAsia="仿宋" w:cs="仿宋"/>
          <w:b/>
          <w:kern w:val="0"/>
          <w:sz w:val="32"/>
          <w:szCs w:val="32"/>
        </w:rPr>
        <w:t>补偿标准存在争议</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w:t>
      </w:r>
    </w:p>
    <w:p>
      <w:pPr>
        <w:adjustRightInd w:val="0"/>
        <w:snapToGrid w:val="0"/>
        <w:spacing w:line="560" w:lineRule="exact"/>
        <w:ind w:firstLine="640" w:firstLineChars="200"/>
        <w:rPr>
          <w:rFonts w:ascii="仿宋" w:hAnsi="仿宋" w:eastAsia="仿宋" w:cs="仿宋"/>
          <w:b/>
          <w:sz w:val="32"/>
          <w:szCs w:val="32"/>
        </w:rPr>
      </w:pPr>
      <w:r>
        <w:rPr>
          <w:rFonts w:hint="eastAsia" w:ascii="仿宋" w:hAnsi="仿宋" w:eastAsia="仿宋" w:cs="仿宋"/>
          <w:color w:val="000000"/>
          <w:sz w:val="32"/>
          <w:szCs w:val="32"/>
        </w:rPr>
        <w:t>（一）</w:t>
      </w:r>
      <w:r>
        <w:rPr>
          <w:rFonts w:hint="eastAsia" w:ascii="仿宋" w:hAnsi="仿宋" w:eastAsia="仿宋" w:cs="仿宋"/>
          <w:b/>
          <w:sz w:val="32"/>
          <w:szCs w:val="32"/>
        </w:rPr>
        <w:t>建议</w:t>
      </w:r>
    </w:p>
    <w:p>
      <w:pPr>
        <w:adjustRightInd w:val="0"/>
        <w:snapToGrid w:val="0"/>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1.建议补充经费重新核实红原县各乡镇湿地面积。</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2.建议对红原县一般湿地开展湿地管护补助和禁牧还湿补偿，其中湿地管护补助标准为每亩每年8元；禁牧还湿补偿标准为每亩每年160元.对重点湿地（日干乔湿地自然保护区和嘎曲国家湿地公园）开展季节性限牧还湿补偿和禁牧还湿补偿，并聘请季节性限牧还湿区生态管护员（每个联户各聘请一名），其中季节性限牧还湿补偿标准为每亩每年80元；禁牧还湿补偿禁牧补偿标准为每亩每年160元；季节性管护人员每月1380元，每年8个月。</w:t>
      </w:r>
    </w:p>
    <w:p>
      <w:pPr>
        <w:spacing w:line="580" w:lineRule="exact"/>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2019年生态护林员项目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autoSpaceDE w:val="0"/>
        <w:spacing w:line="560" w:lineRule="exact"/>
        <w:ind w:firstLine="640"/>
        <w:rPr>
          <w:rFonts w:ascii="仿宋_GB2312" w:hAnsi="仿宋_GB2312" w:eastAsia="仿宋_GB2312" w:cs="仿宋_GB2312"/>
          <w:sz w:val="32"/>
          <w:szCs w:val="32"/>
        </w:rPr>
      </w:pPr>
    </w:p>
    <w:p>
      <w:pPr>
        <w:adjustRightInd w:val="0"/>
        <w:snapToGrid w:val="0"/>
        <w:spacing w:line="520" w:lineRule="exact"/>
        <w:rPr>
          <w:rFonts w:ascii="黑体" w:hAnsi="黑体" w:eastAsia="黑体" w:cs="黑体"/>
          <w:b/>
          <w:bCs/>
          <w:sz w:val="36"/>
          <w:szCs w:val="36"/>
          <w:lang w:val="zh-CN"/>
        </w:rPr>
      </w:pPr>
      <w:r>
        <w:rPr>
          <w:rFonts w:hint="eastAsia" w:ascii="黑体" w:hAnsi="黑体" w:eastAsia="黑体" w:cs="黑体"/>
          <w:b/>
          <w:bCs/>
          <w:sz w:val="36"/>
          <w:szCs w:val="36"/>
        </w:rPr>
        <w:t xml:space="preserve">一、 </w:t>
      </w:r>
      <w:r>
        <w:rPr>
          <w:rFonts w:hint="eastAsia" w:ascii="黑体" w:hAnsi="黑体" w:eastAsia="黑体" w:cs="黑体"/>
          <w:b/>
          <w:bCs/>
          <w:sz w:val="36"/>
          <w:szCs w:val="36"/>
          <w:lang w:val="zh-CN"/>
        </w:rPr>
        <w:t>项目概况</w:t>
      </w:r>
    </w:p>
    <w:p>
      <w:pPr>
        <w:spacing w:line="520" w:lineRule="exact"/>
        <w:ind w:firstLine="640" w:firstLineChars="200"/>
        <w:rPr>
          <w:rFonts w:ascii="黑体" w:hAnsi="宋体" w:eastAsia="黑体" w:cs="黑体"/>
          <w:sz w:val="32"/>
          <w:lang w:val="zh-CN"/>
        </w:rPr>
      </w:pPr>
      <w:r>
        <w:rPr>
          <w:rFonts w:hint="eastAsia" w:ascii="仿宋_GB2312" w:hAnsi="仿宋_GB2312" w:eastAsia="仿宋_GB2312" w:cs="仿宋_GB2312"/>
          <w:sz w:val="32"/>
          <w:szCs w:val="32"/>
        </w:rPr>
        <w:t>为切实贯彻习近平总书记在山西主持召开的深度贫困地区脱贫攻坚座谈会精神，按照四川省林业厅《关于做好在贫困人员中选聘生态护林员工作的通知》（川林发〔2016〕56号）、四川省林业厅生态护林员工作会等相关精神，结合红原县生态精准扶贫的总体要求，</w:t>
      </w:r>
      <w:r>
        <w:rPr>
          <w:rFonts w:hint="eastAsia" w:ascii="仿宋_GB2312" w:hAnsi="仿宋_GB2312" w:eastAsia="仿宋_GB2312" w:cs="仿宋_GB2312"/>
          <w:kern w:val="0"/>
          <w:sz w:val="32"/>
          <w:szCs w:val="32"/>
        </w:rPr>
        <w:t>深入贯彻县委、县人民政府制定的坚持生态优先、保护与建设并举的方针，利用生态补偿和生态保护工程资金使当地有劳动能力的部分贫困人口转为生态护林员，</w:t>
      </w:r>
      <w:r>
        <w:rPr>
          <w:rFonts w:hint="eastAsia" w:ascii="仿宋_GB2312" w:hAnsi="仿宋_GB2312" w:eastAsia="仿宋_GB2312" w:cs="仿宋_GB2312"/>
          <w:sz w:val="32"/>
          <w:szCs w:val="32"/>
        </w:rPr>
        <w:t>是打赢脱贫攻坚战的主要举措结，确保贫困群众增收和</w:t>
      </w:r>
      <w:r>
        <w:rPr>
          <w:rFonts w:hint="eastAsia" w:ascii="仿宋_GB2312" w:hAnsi="仿宋_GB2312" w:eastAsia="仿宋_GB2312" w:cs="仿宋_GB2312"/>
          <w:kern w:val="0"/>
          <w:sz w:val="32"/>
          <w:szCs w:val="32"/>
        </w:rPr>
        <w:t>全面建设小康社会</w:t>
      </w:r>
      <w:r>
        <w:rPr>
          <w:rFonts w:hint="eastAsia" w:ascii="仿宋_GB2312" w:hAnsi="仿宋_GB2312" w:eastAsia="仿宋_GB2312" w:cs="仿宋_GB2312"/>
          <w:sz w:val="32"/>
          <w:szCs w:val="32"/>
        </w:rPr>
        <w:t>，为</w:t>
      </w:r>
      <w:r>
        <w:rPr>
          <w:rFonts w:hint="eastAsia" w:ascii="仿宋_GB2312" w:hAnsi="仿宋_GB2312" w:eastAsia="仿宋_GB2312" w:cs="仿宋_GB2312"/>
          <w:kern w:val="0"/>
          <w:sz w:val="32"/>
          <w:szCs w:val="32"/>
        </w:rPr>
        <w:t>生态保护提供应有保障。</w:t>
      </w:r>
    </w:p>
    <w:p>
      <w:pPr>
        <w:numPr>
          <w:ilvl w:val="0"/>
          <w:numId w:val="10"/>
        </w:numPr>
        <w:autoSpaceDE w:val="0"/>
        <w:spacing w:line="520" w:lineRule="exact"/>
        <w:ind w:firstLine="64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utoSpaceDE w:val="0"/>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该项目是根据阿坝州林业局《关于做好2017年建档立卡贫困人员生态护林员选聘工作的通知》（阿州林发〔2017〕347号）文件要求，我县制定了《红原县2017年建档立卡贫困人口生态护林员选聘实施方案》经过红原县人民政府同意批复并实施。该项目向上申请补助资金于2016年9月5日《四川省财政厅关于下达2016年建档立卡贫困人口生态护林员补助资金的通知》（川财农〔2016〕155号）共下达补助资金51万元，该项目资金资源用于生态护林员劳务补助支出，专款专用。</w:t>
      </w:r>
    </w:p>
    <w:p>
      <w:pPr>
        <w:numPr>
          <w:ilvl w:val="0"/>
          <w:numId w:val="10"/>
        </w:numPr>
        <w:autoSpaceDE w:val="0"/>
        <w:spacing w:line="520" w:lineRule="exact"/>
        <w:ind w:firstLine="640"/>
        <w:rPr>
          <w:rFonts w:ascii="仿宋_GB2312" w:hAnsi="仿宋_GB2312" w:eastAsia="仿宋_GB2312" w:cs="仿宋_GB2312"/>
          <w:sz w:val="32"/>
          <w:szCs w:val="32"/>
        </w:rPr>
      </w:pPr>
      <w:r>
        <w:rPr>
          <w:rFonts w:hint="eastAsia" w:ascii="楷体_GB2312" w:hAnsi="宋体" w:eastAsia="楷体_GB2312" w:cs="楷体_GB2312"/>
          <w:b/>
          <w:sz w:val="32"/>
          <w:lang w:val="zh-CN"/>
        </w:rPr>
        <w:t>项目绩效目标。</w:t>
      </w:r>
    </w:p>
    <w:p>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2019年，178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w:t>
      </w:r>
    </w:p>
    <w:p>
      <w:pPr>
        <w:adjustRightInd w:val="0"/>
        <w:snapToGrid w:val="0"/>
        <w:spacing w:line="520" w:lineRule="exact"/>
        <w:ind w:firstLine="361" w:firstLineChars="100"/>
        <w:rPr>
          <w:rFonts w:ascii="黑体" w:hAnsi="宋体" w:eastAsia="黑体" w:cs="黑体"/>
          <w:b/>
          <w:bCs/>
          <w:sz w:val="36"/>
          <w:szCs w:val="36"/>
        </w:rPr>
      </w:pPr>
      <w:r>
        <w:rPr>
          <w:rFonts w:hint="eastAsia" w:ascii="黑体" w:hAnsi="宋体" w:eastAsia="黑体" w:cs="黑体"/>
          <w:b/>
          <w:bCs/>
          <w:sz w:val="36"/>
          <w:szCs w:val="36"/>
        </w:rPr>
        <w:t>二、项目实施及管理情况</w:t>
      </w:r>
    </w:p>
    <w:p>
      <w:pPr>
        <w:adjustRightInd w:val="0"/>
        <w:snapToGrid w:val="0"/>
        <w:spacing w:line="52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utoSpaceDE w:val="0"/>
        <w:spacing w:line="520" w:lineRule="exact"/>
        <w:ind w:firstLine="640" w:firstLineChars="200"/>
        <w:rPr>
          <w:rFonts w:ascii="仿宋_GB2312" w:hAnsi="宋体" w:eastAsia="仿宋_GB2312" w:cs="仿宋_GB2312"/>
        </w:rPr>
      </w:pPr>
      <w:r>
        <w:rPr>
          <w:rFonts w:hint="eastAsia" w:ascii="楷体_GB2312" w:hAnsi="宋体" w:eastAsia="楷体_GB2312" w:cs="楷体_GB2312"/>
          <w:sz w:val="32"/>
          <w:lang w:val="zh-CN"/>
        </w:rPr>
        <w:t>1．资金计划及到位</w:t>
      </w:r>
      <w:r>
        <w:rPr>
          <w:rFonts w:hint="eastAsia" w:ascii="楷体_GB2312" w:hAnsi="宋体" w:eastAsia="楷体_GB2312" w:cs="楷体_GB2312"/>
          <w:sz w:val="32"/>
        </w:rPr>
        <w:t>74</w:t>
      </w:r>
      <w:r>
        <w:rPr>
          <w:rFonts w:hint="eastAsia" w:ascii="仿宋_GB2312" w:hAnsi="仿宋_GB2312" w:eastAsia="仿宋_GB2312" w:cs="仿宋_GB2312"/>
          <w:sz w:val="32"/>
          <w:szCs w:val="32"/>
        </w:rPr>
        <w:t>万元，资金</w:t>
      </w:r>
      <w:r>
        <w:rPr>
          <w:rFonts w:hint="eastAsia" w:ascii="仿宋_GB2312" w:hAnsi="宋体" w:eastAsia="仿宋_GB2312" w:cs="仿宋_GB2312"/>
          <w:sz w:val="32"/>
          <w:lang w:val="zh-CN"/>
        </w:rPr>
        <w:t>到位及时。</w:t>
      </w:r>
    </w:p>
    <w:p>
      <w:pPr>
        <w:adjustRightInd w:val="0"/>
        <w:snapToGrid w:val="0"/>
        <w:spacing w:line="520" w:lineRule="exact"/>
        <w:ind w:firstLine="720"/>
        <w:rPr>
          <w:rFonts w:ascii="仿宋_GB2312" w:hAnsi="宋体" w:eastAsia="仿宋_GB2312" w:cs="仿宋_GB2312"/>
          <w:sz w:val="32"/>
        </w:rPr>
      </w:pPr>
      <w:r>
        <w:rPr>
          <w:rFonts w:hint="eastAsia" w:ascii="楷体_GB2312" w:hAnsi="宋体" w:eastAsia="楷体_GB2312" w:cs="楷体_GB2312"/>
          <w:sz w:val="32"/>
          <w:lang w:val="zh-CN"/>
        </w:rPr>
        <w:t>2．资金使用。</w:t>
      </w:r>
      <w:r>
        <w:rPr>
          <w:rFonts w:hint="eastAsia" w:ascii="仿宋_GB2312" w:hAnsi="仿宋_GB2312" w:eastAsia="仿宋_GB2312" w:cs="仿宋_GB2312"/>
          <w:sz w:val="32"/>
          <w:szCs w:val="32"/>
        </w:rPr>
        <w:t>对2019年选聘的生态护林员的劳务报酬通过采取“一卡通”形式给予</w:t>
      </w:r>
      <w:r>
        <w:rPr>
          <w:rFonts w:hint="eastAsia" w:ascii="仿宋_GB2312" w:hAnsi="宋体" w:eastAsia="仿宋_GB2312" w:cs="仿宋_GB2312"/>
          <w:sz w:val="32"/>
          <w:lang w:val="zh-CN"/>
        </w:rPr>
        <w:t>支付，合规合法，</w:t>
      </w:r>
      <w:r>
        <w:rPr>
          <w:rFonts w:hint="eastAsia" w:ascii="仿宋_GB2312" w:hAnsi="宋体" w:eastAsia="仿宋_GB2312" w:cs="仿宋_GB2312"/>
          <w:sz w:val="32"/>
        </w:rPr>
        <w:t>19年共支付护林员劳务补助资金74万元。</w:t>
      </w:r>
    </w:p>
    <w:p>
      <w:pPr>
        <w:adjustRightInd w:val="0"/>
        <w:snapToGrid w:val="0"/>
        <w:spacing w:line="52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20" w:lineRule="exact"/>
        <w:ind w:firstLine="720"/>
        <w:rPr>
          <w:rFonts w:ascii="仿宋_GB2312" w:hAnsi="仿宋_GB2312" w:eastAsia="仿宋_GB2312" w:cs="仿宋_GB2312"/>
          <w:sz w:val="32"/>
          <w:szCs w:val="32"/>
        </w:rPr>
      </w:pPr>
      <w:r>
        <w:rPr>
          <w:rFonts w:hint="eastAsia" w:ascii="仿宋_GB2312" w:hAnsi="宋体" w:eastAsia="仿宋_GB2312" w:cs="仿宋_GB2312"/>
          <w:sz w:val="32"/>
          <w:lang w:val="zh-CN"/>
        </w:rPr>
        <w:t>对照项目资金管理办法，</w:t>
      </w:r>
      <w:r>
        <w:rPr>
          <w:rFonts w:hint="eastAsia" w:ascii="仿宋_GB2312" w:hAnsi="宋体" w:eastAsia="仿宋_GB2312" w:cs="仿宋_GB2312"/>
          <w:sz w:val="32"/>
        </w:rPr>
        <w:t>生态护林员劳务补助资金</w:t>
      </w:r>
      <w:r>
        <w:rPr>
          <w:rFonts w:hint="eastAsia" w:ascii="仿宋_GB2312" w:hAnsi="宋体" w:eastAsia="仿宋_GB2312" w:cs="仿宋_GB2312"/>
          <w:sz w:val="32"/>
          <w:lang w:val="zh-CN"/>
        </w:rPr>
        <w:t>严格执行财务管理制度，</w:t>
      </w:r>
      <w:r>
        <w:rPr>
          <w:rFonts w:hint="eastAsia" w:ascii="仿宋_GB2312" w:hAnsi="仿宋_GB2312" w:eastAsia="仿宋_GB2312" w:cs="仿宋_GB2312"/>
          <w:sz w:val="32"/>
          <w:szCs w:val="32"/>
        </w:rPr>
        <w:t>通过“一卡通”形式于每月的中旬或者月底兑现该补助资金。</w:t>
      </w:r>
    </w:p>
    <w:p>
      <w:pPr>
        <w:adjustRightInd w:val="0"/>
        <w:snapToGrid w:val="0"/>
        <w:spacing w:line="52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bo-CN"/>
        </w:rPr>
        <w:t>建立健全红原县建档立卡贫困户生态护林员政策机制是一项重大创新，意义重大的工作，政策性强、涉及面广、工作量大、任务艰巨、情况复杂，必须采取最强有力的措施确保政策顺利落实。</w:t>
      </w:r>
    </w:p>
    <w:p>
      <w:pPr>
        <w:pStyle w:val="2"/>
        <w:keepNext w:val="0"/>
        <w:keepLines w:val="0"/>
        <w:widowControl/>
        <w:shd w:val="clear" w:color="auto" w:fill="FFFFFF"/>
        <w:spacing w:before="0" w:after="0" w:line="520" w:lineRule="exact"/>
        <w:rPr>
          <w:rFonts w:ascii="仿宋_GB2312" w:hAnsi="仿宋_GB2312" w:eastAsia="仿宋_GB2312" w:cs="仿宋_GB2312"/>
          <w:sz w:val="32"/>
          <w:szCs w:val="32"/>
        </w:rPr>
      </w:pPr>
      <w:r>
        <w:rPr>
          <w:rFonts w:hint="eastAsia" w:ascii="仿宋_GB2312" w:hAnsi="仿宋_GB2312" w:eastAsia="仿宋_GB2312" w:cs="仿宋_GB2312"/>
          <w:b w:val="0"/>
          <w:sz w:val="32"/>
          <w:szCs w:val="32"/>
        </w:rPr>
        <w:t xml:space="preserve">    1.加强组织领导。成立领导小组，以县人民政府对生态护林员选聘负总责，各相关单位密切配合，按照“统筹安排、分工包干、明确责任、各司其职”的要求，加强沟通协作，上下联动，围绕生态建设扶贫工作，以抓铁</w:t>
      </w:r>
      <w:r>
        <w:rPr>
          <w:rFonts w:hint="eastAsia" w:ascii="仿宋_GB2312" w:hAnsi="仿宋_GB2312" w:eastAsia="仿宋_GB2312" w:cs="仿宋_GB2312"/>
          <w:b w:val="0"/>
          <w:color w:val="000000"/>
          <w:sz w:val="32"/>
          <w:szCs w:val="32"/>
          <w:shd w:val="clear" w:color="auto" w:fill="FFFFFF"/>
        </w:rPr>
        <w:t>有痕的工作态度</w:t>
      </w:r>
      <w:r>
        <w:rPr>
          <w:rFonts w:hint="eastAsia" w:ascii="仿宋_GB2312" w:hAnsi="仿宋_GB2312" w:eastAsia="仿宋_GB2312" w:cs="仿宋_GB2312"/>
          <w:sz w:val="32"/>
          <w:szCs w:val="32"/>
        </w:rPr>
        <w:t>，</w:t>
      </w:r>
      <w:r>
        <w:rPr>
          <w:rFonts w:hint="eastAsia" w:ascii="仿宋_GB2312" w:hAnsi="仿宋_GB2312" w:eastAsia="仿宋_GB2312" w:cs="仿宋_GB2312"/>
          <w:b w:val="0"/>
          <w:sz w:val="32"/>
          <w:szCs w:val="32"/>
        </w:rPr>
        <w:t>把工作抓实、抓出成效。</w:t>
      </w:r>
      <w:r>
        <w:rPr>
          <w:rFonts w:hint="eastAsia" w:ascii="仿宋_GB2312" w:hAnsi="仿宋_GB2312" w:eastAsia="仿宋_GB2312" w:cs="仿宋_GB2312"/>
          <w:sz w:val="32"/>
          <w:szCs w:val="32"/>
        </w:rPr>
        <w:t> </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强化政策落实。一是认真全面贯彻落实中央和省关于落实做好在贫困人口中选聘生态护林员政策；二是实施该政策性扶贫项目资金专款专用，实现对贫困村贫困人员的全覆盖，确保项目资金精准投放到生态扶贫建设之中。 </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严格考核评价。建立健全红原县生态护林员考核评价体系和激励机制，县委、县政府将该扶贫工作纳入各乡（镇）政府精准扶贫工作重点考核内容，建立健全调度、通报、考核制度，定期不定期对该扶贫工作进行专项督导检查，就项目实施进度、建设质量、建设成效等内容进行跟踪监测和综合评价考核</w:t>
      </w:r>
    </w:p>
    <w:p>
      <w:pPr>
        <w:adjustRightInd w:val="0"/>
        <w:snapToGrid w:val="0"/>
        <w:spacing w:line="520" w:lineRule="exact"/>
        <w:rPr>
          <w:rFonts w:ascii="仿宋_GB2312" w:hAnsi="宋体" w:eastAsia="仿宋_GB2312" w:cs="仿宋_GB2312"/>
          <w:b/>
          <w:bCs/>
          <w:sz w:val="36"/>
          <w:szCs w:val="36"/>
          <w:lang w:val="zh-CN"/>
        </w:rPr>
      </w:pPr>
      <w:r>
        <w:rPr>
          <w:rFonts w:hint="eastAsia" w:ascii="黑体" w:hAnsi="宋体" w:eastAsia="黑体" w:cs="黑体"/>
          <w:b/>
          <w:bCs/>
          <w:sz w:val="36"/>
          <w:szCs w:val="36"/>
        </w:rPr>
        <w:t>三、项目绩效情况</w:t>
      </w:r>
      <w:r>
        <w:rPr>
          <w:rFonts w:hint="eastAsia" w:ascii="仿宋_GB2312" w:hAnsi="宋体" w:eastAsia="仿宋_GB2312" w:cs="仿宋_GB2312"/>
          <w:b/>
          <w:bCs/>
          <w:sz w:val="36"/>
          <w:szCs w:val="36"/>
          <w:lang w:val="zh-CN"/>
        </w:rPr>
        <w:tab/>
      </w:r>
    </w:p>
    <w:p>
      <w:pPr>
        <w:adjustRightInd w:val="0"/>
        <w:snapToGrid w:val="0"/>
        <w:spacing w:line="52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（一）项目完成情况。</w:t>
      </w:r>
    </w:p>
    <w:p>
      <w:pPr>
        <w:adjustRightInd w:val="0"/>
        <w:snapToGrid w:val="0"/>
        <w:spacing w:line="52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通过我县森林资源、建档立卡贫困户及贫困人口综合考虑制定红原县生态护林员指标，2019年度红原县生态护林员选聘工作在全县11个乡镇内选聘，选聘建档立卡贫困户178人。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红原县生态护林员实行“县建、乡聘、站管理、村用”和“目标、任务、资金、责任”到县的管理机制。</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红原县生态护林员劳务合同的签订主要是以各乡镇人民政府与选聘的生态护林员共同签订，认真按照劳务合同内容进行实施开展护林工作。2019年无一起森林火灾、大面积森林病虫害发生事件。</w:t>
      </w:r>
    </w:p>
    <w:p>
      <w:pPr>
        <w:adjustRightInd w:val="0"/>
        <w:snapToGrid w:val="0"/>
        <w:spacing w:line="52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spacing w:line="520" w:lineRule="exact"/>
        <w:ind w:firstLine="960" w:firstLineChars="300"/>
        <w:rPr>
          <w:rFonts w:ascii="仿宋_GB2312" w:eastAsia="仿宋_GB2312"/>
          <w:sz w:val="32"/>
          <w:szCs w:val="32"/>
        </w:rPr>
      </w:pPr>
      <w:r>
        <w:rPr>
          <w:rFonts w:hint="eastAsia" w:ascii="仿宋_GB2312" w:eastAsia="仿宋_GB2312"/>
          <w:sz w:val="32"/>
          <w:szCs w:val="32"/>
        </w:rPr>
        <w:t>一是生态效益，通过选聘生态护林员实施森林管护，我县森林资源得到了有效的保护，</w:t>
      </w:r>
      <w:r>
        <w:rPr>
          <w:rFonts w:hint="eastAsia" w:ascii="仿宋_GB2312" w:hAnsi="仿宋_GB2312" w:eastAsia="仿宋_GB2312" w:cs="仿宋_GB2312"/>
          <w:color w:val="333333"/>
          <w:kern w:val="0"/>
          <w:sz w:val="32"/>
          <w:szCs w:val="32"/>
        </w:rPr>
        <w:t>森林蓄积量得到有效的增长。林分质量得到改善，</w:t>
      </w:r>
      <w:r>
        <w:rPr>
          <w:rFonts w:hint="eastAsia" w:ascii="仿宋_GB2312" w:eastAsia="仿宋_GB2312"/>
          <w:sz w:val="32"/>
          <w:szCs w:val="32"/>
        </w:rPr>
        <w:t>通过茂密的林冠，纵横交错的根系来阻挡和减缓雨水对土壤的冲刷和侵蚀,减少土壤的流失；通过树冠、树干、枯枝落叶层以及根系的吸滞、存贮作用，发挥了涵养水源的作用。</w:t>
      </w:r>
    </w:p>
    <w:p>
      <w:pPr>
        <w:spacing w:line="520" w:lineRule="exact"/>
        <w:ind w:firstLine="800" w:firstLineChars="250"/>
        <w:rPr>
          <w:rFonts w:ascii="仿宋_GB2312" w:eastAsia="仿宋_GB2312"/>
          <w:sz w:val="32"/>
          <w:szCs w:val="32"/>
        </w:rPr>
      </w:pPr>
      <w:r>
        <w:rPr>
          <w:rFonts w:hint="eastAsia" w:ascii="仿宋_GB2312" w:eastAsia="仿宋_GB2312"/>
          <w:sz w:val="32"/>
          <w:szCs w:val="32"/>
        </w:rPr>
        <w:t>二是社会效益，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spacing w:line="520" w:lineRule="exact"/>
        <w:ind w:firstLine="960" w:firstLineChars="300"/>
        <w:rPr>
          <w:rFonts w:ascii="仿宋_GB2312" w:eastAsia="仿宋_GB2312"/>
          <w:sz w:val="32"/>
          <w:szCs w:val="32"/>
        </w:rPr>
      </w:pPr>
      <w:r>
        <w:rPr>
          <w:rFonts w:hint="eastAsia" w:ascii="仿宋_GB2312" w:eastAsia="仿宋_GB2312"/>
          <w:sz w:val="32"/>
          <w:szCs w:val="32"/>
        </w:rPr>
        <w:t>三是经济效益，选聘生态护林员以来我县当地农牧民从该项项目中得到经济收入稳步提高，建档立卡贫困户护林员平均年收入9600元。</w:t>
      </w:r>
    </w:p>
    <w:p>
      <w:pPr>
        <w:adjustRightInd w:val="0"/>
        <w:snapToGrid w:val="0"/>
        <w:spacing w:line="520" w:lineRule="exact"/>
        <w:rPr>
          <w:rFonts w:ascii="黑体" w:hAnsi="宋体" w:eastAsia="黑体" w:cs="黑体"/>
          <w:b/>
          <w:bCs/>
          <w:sz w:val="36"/>
          <w:szCs w:val="36"/>
        </w:rPr>
      </w:pPr>
      <w:r>
        <w:rPr>
          <w:rFonts w:hint="eastAsia" w:ascii="黑体" w:hAnsi="宋体" w:eastAsia="黑体" w:cs="黑体"/>
          <w:b/>
          <w:bCs/>
          <w:sz w:val="36"/>
          <w:szCs w:val="36"/>
        </w:rPr>
        <w:t>四、问题及建议</w:t>
      </w:r>
    </w:p>
    <w:p>
      <w:pPr>
        <w:adjustRightInd w:val="0"/>
        <w:snapToGrid w:val="0"/>
        <w:spacing w:line="52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utoSpaceDE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一是补偿护林员劳务补助标准偏低，补偿标准低于社会务工人员平均月工资；</w:t>
      </w:r>
    </w:p>
    <w:p>
      <w:pPr>
        <w:autoSpaceDE w:val="0"/>
        <w:spacing w:line="520" w:lineRule="exact"/>
        <w:rPr>
          <w:rFonts w:ascii="楷体_GB2312" w:hAnsi="宋体" w:eastAsia="仿宋_GB2312" w:cs="楷体_GB2312"/>
          <w:b/>
          <w:sz w:val="32"/>
        </w:rPr>
      </w:pPr>
      <w:r>
        <w:rPr>
          <w:rFonts w:hint="eastAsia" w:ascii="仿宋_GB2312" w:hAnsi="仿宋_GB2312" w:eastAsia="仿宋_GB2312" w:cs="仿宋_GB2312"/>
          <w:sz w:val="32"/>
          <w:szCs w:val="32"/>
        </w:rPr>
        <w:t xml:space="preserve">    二是补偿标准始终没有根据价格指数变化调整，没有随着国民经济的发展和物价上涨对补偿标准进行动态调整；</w:t>
      </w:r>
    </w:p>
    <w:p>
      <w:pPr>
        <w:numPr>
          <w:ilvl w:val="0"/>
          <w:numId w:val="11"/>
        </w:numPr>
        <w:autoSpaceDE w:val="0"/>
        <w:spacing w:line="520" w:lineRule="exact"/>
        <w:ind w:firstLine="640"/>
        <w:rPr>
          <w:rFonts w:ascii="楷体_GB2312" w:hAnsi="宋体" w:eastAsia="楷体_GB2312" w:cs="楷体_GB2312"/>
          <w:b/>
          <w:sz w:val="32"/>
          <w:lang w:val="zh-CN"/>
        </w:rPr>
      </w:pPr>
      <w:r>
        <w:rPr>
          <w:rFonts w:hint="eastAsia" w:ascii="楷体_GB2312" w:hAnsi="宋体" w:eastAsia="楷体_GB2312" w:cs="楷体_GB2312"/>
          <w:b/>
          <w:sz w:val="32"/>
          <w:lang w:val="zh-CN"/>
        </w:rPr>
        <w:t>相关建议。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一是生态护林员由乡镇林业工作站统一管理，不跨越乡镇选用，原则上在村内进行管护活动。同时加强护林员管理政策方面的法律法规宣传工作，加强对森林资源管护的考核力度；</w:t>
      </w:r>
    </w:p>
    <w:p>
      <w:pPr>
        <w:autoSpaceDE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二是建议提高护林员劳务补助资金标准，实行分类补偿能否根据区域生态的重要性和脆弱性，并综合考虑森林质量、地位级差、管护难度等指标，逐步提高补偿标准；</w:t>
      </w:r>
    </w:p>
    <w:p>
      <w:pPr>
        <w:spacing w:line="580" w:lineRule="exact"/>
        <w:ind w:firstLine="640"/>
        <w:rPr>
          <w:rFonts w:ascii="仿宋_GB2312" w:hAnsi="仿宋_GB2312" w:eastAsia="仿宋_GB2312" w:cs="仿宋_GB2312"/>
          <w:sz w:val="32"/>
          <w:szCs w:val="32"/>
        </w:rPr>
      </w:pPr>
    </w:p>
    <w:p>
      <w:pPr>
        <w:widowControl/>
        <w:jc w:val="left"/>
        <w:rPr>
          <w:rStyle w:val="26"/>
          <w:rFonts w:ascii="黑体" w:hAnsi="黑体" w:eastAsia="黑体"/>
          <w:b w:val="0"/>
        </w:rPr>
      </w:pPr>
    </w:p>
    <w:p>
      <w:pPr>
        <w:spacing w:line="580" w:lineRule="exact"/>
        <w:jc w:val="center"/>
        <w:rPr>
          <w:rFonts w:ascii="黑体" w:hAnsi="黑体" w:eastAsia="黑体" w:cs="方正小标宋简体"/>
          <w:sz w:val="44"/>
          <w:szCs w:val="44"/>
        </w:rPr>
      </w:pPr>
      <w:r>
        <w:rPr>
          <w:rStyle w:val="26"/>
          <w:rFonts w:ascii="黑体" w:hAnsi="黑体" w:eastAsia="黑体"/>
          <w:b w:val="0"/>
        </w:rPr>
        <w:br w:type="page"/>
      </w:r>
      <w:r>
        <w:rPr>
          <w:rFonts w:hint="eastAsia" w:ascii="黑体" w:hAnsi="黑体" w:eastAsia="黑体" w:cs="方正小标宋简体"/>
          <w:sz w:val="44"/>
          <w:szCs w:val="44"/>
        </w:rPr>
        <w:t>2019年森林生态效益补偿项目支出绩效评价报告</w:t>
      </w:r>
    </w:p>
    <w:p>
      <w:pPr>
        <w:spacing w:line="580" w:lineRule="exact"/>
        <w:jc w:val="center"/>
        <w:rPr>
          <w:rFonts w:ascii="黑体" w:hAnsi="黑体" w:eastAsia="黑体" w:cs="方正小标宋简体"/>
          <w:sz w:val="44"/>
          <w:szCs w:val="44"/>
        </w:rPr>
      </w:pPr>
    </w:p>
    <w:p>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sz w:val="32"/>
          <w:szCs w:val="32"/>
          <w:lang w:val="zh-CN"/>
        </w:rPr>
        <w:t>（一）项目基本情况。</w:t>
      </w:r>
    </w:p>
    <w:p>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红原县</w:t>
      </w:r>
      <w:r>
        <w:rPr>
          <w:rFonts w:hint="eastAsia" w:ascii="仿宋_GB2312" w:hAnsi="仿宋_GB2312" w:eastAsia="仿宋_GB2312" w:cs="仿宋_GB2312"/>
          <w:sz w:val="32"/>
          <w:szCs w:val="32"/>
        </w:rPr>
        <w:t>2019年度</w:t>
      </w:r>
      <w:r>
        <w:rPr>
          <w:rFonts w:hint="eastAsia" w:ascii="仿宋_GB2312" w:hAnsi="仿宋_GB2312" w:eastAsia="仿宋_GB2312" w:cs="仿宋_GB2312"/>
          <w:sz w:val="32"/>
          <w:szCs w:val="32"/>
          <w:lang w:val="zh-CN"/>
        </w:rPr>
        <w:t>森林生态效益补偿项目，主要涉及我</w:t>
      </w:r>
      <w:r>
        <w:rPr>
          <w:rFonts w:hint="eastAsia" w:ascii="仿宋_GB2312" w:hAnsi="仿宋_GB2312" w:eastAsia="仿宋_GB2312" w:cs="仿宋_GB2312"/>
          <w:color w:val="000000" w:themeColor="text1"/>
          <w:sz w:val="32"/>
          <w:szCs w:val="32"/>
          <w:lang w:val="zh-CN"/>
        </w:rPr>
        <w:t>县国家级（省级）公益林15.629万亩，其中国有公益林10.7万亩、集体公益林4.929万亩，</w:t>
      </w:r>
      <w:r>
        <w:rPr>
          <w:rFonts w:hint="eastAsia" w:ascii="仿宋_GB2312" w:hAnsi="仿宋_GB2312" w:eastAsia="仿宋_GB2312" w:cs="仿宋_GB2312"/>
          <w:color w:val="000000" w:themeColor="text1"/>
          <w:sz w:val="32"/>
          <w:szCs w:val="32"/>
        </w:rPr>
        <w:t>2019年度</w:t>
      </w:r>
      <w:r>
        <w:rPr>
          <w:rFonts w:hint="eastAsia" w:ascii="仿宋_GB2312" w:hAnsi="仿宋_GB2312" w:eastAsia="仿宋_GB2312" w:cs="仿宋_GB2312"/>
          <w:color w:val="000000" w:themeColor="text1"/>
          <w:sz w:val="32"/>
          <w:szCs w:val="32"/>
          <w:lang w:val="zh-CN"/>
        </w:rPr>
        <w:t>下达补偿资金</w:t>
      </w:r>
      <w:r>
        <w:rPr>
          <w:rFonts w:hint="eastAsia" w:ascii="仿宋_GB2312" w:hAnsi="仿宋_GB2312" w:eastAsia="仿宋_GB2312" w:cs="仿宋_GB2312"/>
          <w:color w:val="000000" w:themeColor="text1"/>
          <w:sz w:val="32"/>
          <w:szCs w:val="32"/>
        </w:rPr>
        <w:t>187.17</w:t>
      </w:r>
      <w:r>
        <w:rPr>
          <w:rFonts w:hint="eastAsia" w:ascii="仿宋_GB2312" w:hAnsi="仿宋_GB2312" w:eastAsia="仿宋_GB2312" w:cs="仿宋_GB2312"/>
          <w:color w:val="000000" w:themeColor="text1"/>
          <w:sz w:val="32"/>
          <w:szCs w:val="32"/>
          <w:lang w:val="zh-CN"/>
        </w:rPr>
        <w:t>万元</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lang w:val="zh-CN"/>
        </w:rPr>
        <w:t>主要用于国有林管护国家级公益林的劳务补助等支出和集体和个人管护国家级和省级公益林的经济补偿及管护情况检查验收。</w:t>
      </w:r>
    </w:p>
    <w:p>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w:t>
      </w:r>
      <w:r>
        <w:rPr>
          <w:rFonts w:hint="eastAsia" w:ascii="仿宋_GB2312" w:hAnsi="仿宋_GB2312" w:eastAsia="仿宋_GB2312" w:cs="仿宋_GB2312"/>
          <w:sz w:val="32"/>
          <w:szCs w:val="32"/>
          <w:lang w:val="zh-CN"/>
        </w:rPr>
        <w:t>原县森林公益林生态效益补偿项目是根据红原县天然林保护工程二期实施方案进行生态效益补偿资金的申报，经阿坝州人民政府同意实施</w:t>
      </w:r>
      <w:r>
        <w:rPr>
          <w:rFonts w:hint="eastAsia" w:ascii="仿宋_GB2312" w:hAnsi="仿宋_GB2312" w:cs="仿宋_GB2312"/>
          <w:sz w:val="32"/>
          <w:szCs w:val="32"/>
          <w:lang w:val="zh-CN"/>
        </w:rPr>
        <w:t>。</w:t>
      </w:r>
    </w:p>
    <w:p>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lang w:val="zh-CN"/>
        </w:rPr>
        <w:t>（二）项目绩效目标。</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为加强我县集体公益林管护力度，我局并于集体公益林权属所在的各乡镇人民政府、各村村委会签订红原县集体公益林管护</w:t>
      </w:r>
      <w:r>
        <w:rPr>
          <w:rFonts w:hint="eastAsia" w:ascii="仿宋_GB2312" w:hAnsi="仿宋_GB2312" w:eastAsia="仿宋_GB2312" w:cs="仿宋_GB2312"/>
          <w:color w:val="000000" w:themeColor="text1"/>
          <w:sz w:val="32"/>
          <w:szCs w:val="32"/>
        </w:rPr>
        <w:t>合同40份</w:t>
      </w:r>
      <w:r>
        <w:rPr>
          <w:rFonts w:hint="eastAsia" w:ascii="仿宋_GB2312" w:hAnsi="仿宋_GB2312" w:eastAsia="仿宋_GB2312" w:cs="仿宋_GB2312"/>
          <w:sz w:val="32"/>
          <w:szCs w:val="32"/>
        </w:rPr>
        <w:t>。按照《四川省森林生态效益补偿资金管理办法》加强对我县集体公益林补偿补助资金的监管，使我县的集体公益林资源得到安全有效的可持续发展利用，并把党和政府的利农惠民政策落到实处。</w:t>
      </w:r>
    </w:p>
    <w:p>
      <w:pPr>
        <w:spacing w:line="560" w:lineRule="exact"/>
        <w:ind w:firstLine="640" w:firstLineChars="200"/>
        <w:rPr>
          <w:rFonts w:ascii="仿宋_GB2312" w:hAnsi="宋体"/>
          <w:lang w:val="zh-CN"/>
        </w:rPr>
      </w:pPr>
      <w:r>
        <w:rPr>
          <w:rFonts w:hint="eastAsia" w:ascii="仿宋_GB2312" w:hAnsi="仿宋_GB2312" w:eastAsia="仿宋_GB2312" w:cs="仿宋_GB2312"/>
          <w:sz w:val="32"/>
          <w:szCs w:val="32"/>
        </w:rPr>
        <w:t>红原县集体公益林生态效益补偿补助资金的申请，符合《中华人民共和国森林法》第八条第六款：建立林业基金制度。 国家设立森林生态效益补偿基金，用于提供生态效益的防护林和特种用途林的森林资源、林木的营造、抚育、保护和管理；《中华人民共和国森林法实施条例》第十五条第三款：防护林和特种用途林的经营者，有获得森林生态效益补偿的权利；《中央财政森林生态效益补偿基金管理办法》第四条的相关规定，符合当前党中央、国务院、四川省省委、省政府的关于林业政策发展部署，符合当前经济社会发展的需要。</w:t>
      </w:r>
    </w:p>
    <w:p>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lang w:val="zh-CN"/>
        </w:rPr>
        <w:t>二、项目资金申报及使用情况</w:t>
      </w:r>
    </w:p>
    <w:p>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lang w:val="zh-CN"/>
        </w:rPr>
        <w:t>（一）项目资金申报及批复情况。</w:t>
      </w:r>
    </w:p>
    <w:p>
      <w:pPr>
        <w:adjustRightInd w:val="0"/>
        <w:snapToGrid w:val="0"/>
        <w:spacing w:line="560" w:lineRule="exact"/>
        <w:ind w:firstLine="640" w:firstLineChars="200"/>
        <w:rPr>
          <w:rFonts w:ascii="仿宋_GB2312" w:hAnsi="宋体"/>
          <w:lang w:val="zh-CN"/>
        </w:rPr>
      </w:pPr>
      <w:r>
        <w:rPr>
          <w:rFonts w:hint="eastAsia" w:ascii="仿宋_GB2312" w:hAnsi="仿宋_GB2312" w:eastAsia="仿宋_GB2312" w:cs="仿宋_GB2312"/>
          <w:sz w:val="32"/>
          <w:szCs w:val="32"/>
        </w:rPr>
        <w:t>红</w:t>
      </w:r>
      <w:r>
        <w:rPr>
          <w:rFonts w:hint="eastAsia" w:ascii="仿宋_GB2312" w:hAnsi="仿宋_GB2312" w:eastAsia="仿宋_GB2312" w:cs="仿宋_GB2312"/>
          <w:sz w:val="32"/>
          <w:szCs w:val="32"/>
          <w:lang w:val="zh-CN"/>
        </w:rPr>
        <w:t>原县森林公益林生态效益补偿项目是根据红原县天然林保护工程二期实施方案进行生态效益补偿资金的申报，经阿坝州人民政府同意实施，</w:t>
      </w:r>
      <w:r>
        <w:rPr>
          <w:rFonts w:hint="eastAsia" w:ascii="仿宋_GB2312" w:hAnsi="仿宋_GB2312" w:eastAsia="仿宋_GB2312" w:cs="仿宋_GB2312"/>
          <w:color w:val="000000" w:themeColor="text1"/>
          <w:sz w:val="32"/>
          <w:szCs w:val="32"/>
          <w:lang w:val="zh-CN"/>
        </w:rPr>
        <w:t>分别于201</w:t>
      </w:r>
      <w:r>
        <w:rPr>
          <w:rFonts w:hint="eastAsia" w:ascii="仿宋_GB2312" w:hAnsi="仿宋_GB2312" w:eastAsia="仿宋_GB2312" w:cs="仿宋_GB2312"/>
          <w:color w:val="000000" w:themeColor="text1"/>
          <w:sz w:val="32"/>
          <w:szCs w:val="32"/>
        </w:rPr>
        <w:t>8</w:t>
      </w:r>
      <w:r>
        <w:rPr>
          <w:rFonts w:hint="eastAsia" w:ascii="仿宋_GB2312" w:hAnsi="仿宋_GB2312" w:eastAsia="仿宋_GB2312" w:cs="仿宋_GB2312"/>
          <w:color w:val="000000" w:themeColor="text1"/>
          <w:sz w:val="32"/>
          <w:szCs w:val="32"/>
          <w:lang w:val="zh-CN"/>
        </w:rPr>
        <w:t>年</w:t>
      </w:r>
      <w:r>
        <w:rPr>
          <w:rFonts w:hint="eastAsia" w:ascii="仿宋_GB2312" w:hAnsi="仿宋_GB2312" w:eastAsia="仿宋_GB2312" w:cs="仿宋_GB2312"/>
          <w:color w:val="000000" w:themeColor="text1"/>
          <w:sz w:val="32"/>
          <w:szCs w:val="32"/>
        </w:rPr>
        <w:t>12</w:t>
      </w:r>
      <w:r>
        <w:rPr>
          <w:rFonts w:hint="eastAsia" w:ascii="仿宋_GB2312" w:hAnsi="仿宋_GB2312" w:eastAsia="仿宋_GB2312" w:cs="仿宋_GB2312"/>
          <w:color w:val="000000" w:themeColor="text1"/>
          <w:sz w:val="32"/>
          <w:szCs w:val="32"/>
          <w:lang w:val="zh-CN"/>
        </w:rPr>
        <w:t>月</w:t>
      </w:r>
      <w:r>
        <w:rPr>
          <w:rFonts w:hint="eastAsia" w:ascii="仿宋_GB2312" w:hAnsi="仿宋_GB2312" w:eastAsia="仿宋_GB2312" w:cs="仿宋_GB2312"/>
          <w:color w:val="000000" w:themeColor="text1"/>
          <w:sz w:val="32"/>
          <w:szCs w:val="32"/>
        </w:rPr>
        <w:t>31</w:t>
      </w:r>
      <w:r>
        <w:rPr>
          <w:rFonts w:hint="eastAsia" w:ascii="仿宋_GB2312" w:hAnsi="仿宋_GB2312" w:eastAsia="仿宋_GB2312" w:cs="仿宋_GB2312"/>
          <w:color w:val="000000" w:themeColor="text1"/>
          <w:sz w:val="32"/>
          <w:szCs w:val="32"/>
          <w:lang w:val="zh-CN"/>
        </w:rPr>
        <w:t>日获得《阿坝州财政局</w:t>
      </w:r>
      <w:r>
        <w:rPr>
          <w:rFonts w:hint="eastAsia" w:ascii="仿宋_GB2312" w:hAnsi="仿宋_GB2312" w:eastAsia="仿宋_GB2312" w:cs="仿宋_GB2312"/>
          <w:color w:val="000000" w:themeColor="text1"/>
          <w:sz w:val="32"/>
          <w:szCs w:val="32"/>
        </w:rPr>
        <w:t xml:space="preserve"> 阿坝州林业局</w:t>
      </w:r>
      <w:r>
        <w:rPr>
          <w:rFonts w:hint="eastAsia" w:ascii="仿宋_GB2312" w:hAnsi="仿宋_GB2312" w:eastAsia="仿宋_GB2312" w:cs="仿宋_GB2312"/>
          <w:color w:val="000000" w:themeColor="text1"/>
          <w:sz w:val="32"/>
          <w:szCs w:val="32"/>
          <w:lang w:val="zh-CN"/>
        </w:rPr>
        <w:t>关于提前下达201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年森林生态效益补偿资金的通知》（阿州财农〔201</w:t>
      </w:r>
      <w:r>
        <w:rPr>
          <w:rFonts w:hint="eastAsia" w:ascii="仿宋_GB2312" w:hAnsi="仿宋_GB2312" w:eastAsia="仿宋_GB2312" w:cs="仿宋_GB2312"/>
          <w:color w:val="000000" w:themeColor="text1"/>
          <w:sz w:val="32"/>
          <w:szCs w:val="32"/>
        </w:rPr>
        <w:t>8</w:t>
      </w:r>
      <w:r>
        <w:rPr>
          <w:rFonts w:hint="eastAsia" w:ascii="仿宋_GB2312" w:hAnsi="仿宋_GB2312" w:eastAsia="仿宋_GB2312" w:cs="仿宋_GB2312"/>
          <w:color w:val="000000" w:themeColor="text1"/>
          <w:sz w:val="32"/>
          <w:szCs w:val="32"/>
          <w:lang w:val="zh-CN"/>
        </w:rPr>
        <w:t>〕</w:t>
      </w:r>
      <w:r>
        <w:rPr>
          <w:rFonts w:hint="eastAsia" w:ascii="仿宋_GB2312" w:hAnsi="仿宋_GB2312" w:eastAsia="仿宋_GB2312" w:cs="仿宋_GB2312"/>
          <w:color w:val="000000" w:themeColor="text1"/>
          <w:sz w:val="32"/>
          <w:szCs w:val="32"/>
        </w:rPr>
        <w:t>146</w:t>
      </w:r>
      <w:r>
        <w:rPr>
          <w:rFonts w:hint="eastAsia" w:ascii="仿宋_GB2312" w:hAnsi="仿宋_GB2312" w:eastAsia="仿宋_GB2312" w:cs="仿宋_GB2312"/>
          <w:color w:val="000000" w:themeColor="text1"/>
          <w:sz w:val="32"/>
          <w:szCs w:val="32"/>
          <w:lang w:val="zh-CN"/>
        </w:rPr>
        <w:t>号）的批复，201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年</w:t>
      </w:r>
      <w:r>
        <w:rPr>
          <w:rFonts w:hint="eastAsia" w:ascii="仿宋_GB2312" w:hAnsi="仿宋_GB2312" w:eastAsia="仿宋_GB2312" w:cs="仿宋_GB2312"/>
          <w:color w:val="000000" w:themeColor="text1"/>
          <w:sz w:val="32"/>
          <w:szCs w:val="32"/>
        </w:rPr>
        <w:t>6</w:t>
      </w:r>
      <w:r>
        <w:rPr>
          <w:rFonts w:hint="eastAsia" w:ascii="仿宋_GB2312" w:hAnsi="仿宋_GB2312" w:eastAsia="仿宋_GB2312" w:cs="仿宋_GB2312"/>
          <w:color w:val="000000" w:themeColor="text1"/>
          <w:sz w:val="32"/>
          <w:szCs w:val="32"/>
          <w:lang w:val="zh-CN"/>
        </w:rPr>
        <w:t>月</w:t>
      </w:r>
      <w:r>
        <w:rPr>
          <w:rFonts w:hint="eastAsia" w:ascii="仿宋_GB2312" w:hAnsi="仿宋_GB2312" w:eastAsia="仿宋_GB2312" w:cs="仿宋_GB2312"/>
          <w:color w:val="000000" w:themeColor="text1"/>
          <w:sz w:val="32"/>
          <w:szCs w:val="32"/>
        </w:rPr>
        <w:t>25</w:t>
      </w:r>
      <w:r>
        <w:rPr>
          <w:rFonts w:hint="eastAsia" w:ascii="仿宋_GB2312" w:hAnsi="仿宋_GB2312" w:eastAsia="仿宋_GB2312" w:cs="仿宋_GB2312"/>
          <w:color w:val="000000" w:themeColor="text1"/>
          <w:sz w:val="32"/>
          <w:szCs w:val="32"/>
          <w:lang w:val="zh-CN"/>
        </w:rPr>
        <w:t>日获得《阿坝州财政局</w:t>
      </w:r>
      <w:r>
        <w:rPr>
          <w:rFonts w:hint="eastAsia" w:ascii="仿宋_GB2312" w:hAnsi="仿宋_GB2312" w:eastAsia="仿宋_GB2312" w:cs="仿宋_GB2312"/>
          <w:color w:val="000000" w:themeColor="text1"/>
          <w:sz w:val="32"/>
          <w:szCs w:val="32"/>
        </w:rPr>
        <w:t xml:space="preserve"> 阿坝州林业局</w:t>
      </w:r>
      <w:r>
        <w:rPr>
          <w:rFonts w:hint="eastAsia" w:ascii="仿宋_GB2312" w:hAnsi="仿宋_GB2312" w:eastAsia="仿宋_GB2312" w:cs="仿宋_GB2312"/>
          <w:color w:val="000000" w:themeColor="text1"/>
          <w:sz w:val="32"/>
          <w:szCs w:val="32"/>
          <w:lang w:val="zh-CN"/>
        </w:rPr>
        <w:t>关于下达201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年中央财政林业改革发展资金预算（第二批）的通知》（阿州财农〔201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w:t>
      </w:r>
      <w:r>
        <w:rPr>
          <w:rFonts w:hint="eastAsia" w:ascii="仿宋_GB2312" w:hAnsi="仿宋_GB2312" w:eastAsia="仿宋_GB2312" w:cs="仿宋_GB2312"/>
          <w:color w:val="000000" w:themeColor="text1"/>
          <w:sz w:val="32"/>
          <w:szCs w:val="32"/>
        </w:rPr>
        <w:t>58</w:t>
      </w:r>
      <w:r>
        <w:rPr>
          <w:rFonts w:hint="eastAsia" w:ascii="仿宋_GB2312" w:hAnsi="仿宋_GB2312" w:eastAsia="仿宋_GB2312" w:cs="仿宋_GB2312"/>
          <w:color w:val="000000" w:themeColor="text1"/>
          <w:sz w:val="32"/>
          <w:szCs w:val="32"/>
          <w:lang w:val="zh-CN"/>
        </w:rPr>
        <w:t>号）</w:t>
      </w:r>
      <w:r>
        <w:rPr>
          <w:rFonts w:hint="eastAsia" w:ascii="仿宋_GB2312" w:hAnsi="仿宋_GB2312" w:eastAsia="仿宋_GB2312" w:cs="仿宋_GB2312"/>
          <w:sz w:val="32"/>
          <w:szCs w:val="32"/>
          <w:lang w:val="zh-CN"/>
        </w:rPr>
        <w:t>的批复</w:t>
      </w:r>
      <w:r>
        <w:rPr>
          <w:rFonts w:hint="eastAsia" w:ascii="仿宋_GB2312" w:hAnsi="仿宋_GB2312" w:eastAsia="仿宋_GB2312" w:cs="仿宋_GB2312"/>
          <w:sz w:val="32"/>
          <w:szCs w:val="32"/>
        </w:rPr>
        <w:t>.</w:t>
      </w:r>
    </w:p>
    <w:p>
      <w:pPr>
        <w:adjustRightInd w:val="0"/>
        <w:snapToGrid w:val="0"/>
        <w:spacing w:line="560" w:lineRule="exact"/>
        <w:ind w:firstLine="720"/>
        <w:rPr>
          <w:rFonts w:ascii="仿宋_GB2312" w:hAnsi="宋体"/>
          <w:lang w:val="zh-CN"/>
        </w:rPr>
      </w:pPr>
      <w:r>
        <w:rPr>
          <w:rFonts w:hint="eastAsia" w:ascii="楷体_GB2312" w:hAnsi="宋体" w:eastAsia="楷体_GB2312"/>
          <w:b/>
          <w:sz w:val="32"/>
          <w:szCs w:val="32"/>
          <w:lang w:val="zh-CN"/>
        </w:rPr>
        <w:t>（二）资金计划、到位及使用情况。</w:t>
      </w:r>
    </w:p>
    <w:p>
      <w:pPr>
        <w:adjustRightInd w:val="0"/>
        <w:snapToGrid w:val="0"/>
        <w:spacing w:line="560" w:lineRule="exact"/>
        <w:ind w:firstLine="720"/>
        <w:rPr>
          <w:rFonts w:ascii="仿宋_GB2312" w:hAnsi="宋体" w:eastAsia="仿宋_GB2312"/>
          <w:lang w:val="zh-CN"/>
        </w:rPr>
      </w:pPr>
      <w:r>
        <w:rPr>
          <w:rFonts w:hint="eastAsia" w:ascii="楷体_GB2312" w:hAnsi="宋体" w:eastAsia="楷体_GB2312"/>
          <w:sz w:val="32"/>
          <w:szCs w:val="32"/>
          <w:lang w:val="zh-CN"/>
        </w:rPr>
        <w:t>1．资金计划。</w:t>
      </w:r>
      <w:r>
        <w:rPr>
          <w:rFonts w:hint="eastAsia" w:ascii="楷体_GB2312" w:hAnsi="宋体" w:eastAsia="楷体_GB2312"/>
          <w:sz w:val="32"/>
          <w:szCs w:val="32"/>
        </w:rPr>
        <w:t>2</w:t>
      </w:r>
      <w:r>
        <w:rPr>
          <w:rFonts w:hint="eastAsia" w:ascii="仿宋_GB2312" w:hAnsi="仿宋_GB2312" w:eastAsia="仿宋_GB2312" w:cs="仿宋_GB2312"/>
          <w:color w:val="000000" w:themeColor="text1"/>
          <w:sz w:val="32"/>
          <w:szCs w:val="32"/>
        </w:rPr>
        <w:t>019年度森林生态效益补偿</w:t>
      </w:r>
      <w:r>
        <w:rPr>
          <w:rFonts w:hint="eastAsia" w:ascii="仿宋_GB2312" w:hAnsi="仿宋_GB2312" w:cs="仿宋_GB2312"/>
          <w:color w:val="000000" w:themeColor="text1"/>
          <w:sz w:val="32"/>
          <w:szCs w:val="32"/>
        </w:rPr>
        <w:t>项目计划资金为</w:t>
      </w:r>
      <w:r>
        <w:rPr>
          <w:rFonts w:hint="eastAsia" w:ascii="仿宋_GB2312" w:hAnsi="仿宋_GB2312" w:eastAsia="仿宋_GB2312" w:cs="仿宋_GB2312"/>
          <w:color w:val="000000" w:themeColor="text1"/>
          <w:sz w:val="32"/>
          <w:szCs w:val="32"/>
        </w:rPr>
        <w:t>187.17万元</w:t>
      </w:r>
      <w:r>
        <w:rPr>
          <w:rFonts w:hint="eastAsia" w:ascii="仿宋_GB2312" w:hAnsi="仿宋_GB2312" w:cs="仿宋_GB2312"/>
          <w:color w:val="000000" w:themeColor="text1"/>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lang w:val="zh-CN"/>
        </w:rPr>
        <w:t>2．资金到位。</w:t>
      </w:r>
      <w:r>
        <w:rPr>
          <w:rFonts w:hint="eastAsia" w:ascii="楷体_GB2312" w:hAnsi="宋体" w:eastAsia="楷体_GB2312"/>
          <w:sz w:val="32"/>
          <w:szCs w:val="32"/>
        </w:rPr>
        <w:t>2</w:t>
      </w:r>
      <w:r>
        <w:rPr>
          <w:rFonts w:hint="eastAsia" w:ascii="仿宋_GB2312" w:hAnsi="仿宋_GB2312" w:eastAsia="仿宋_GB2312" w:cs="仿宋_GB2312"/>
          <w:color w:val="000000" w:themeColor="text1"/>
          <w:sz w:val="32"/>
          <w:szCs w:val="32"/>
        </w:rPr>
        <w:t>019年度森林生态效益补偿补助资金到位是在2018年12月31日，《阿坝州财政局和阿坝州林业局关于提前下达2019年森林生态效益补偿资金的通知》（阿州财农〔2018〕146号）文件（下达资金182.29万元）及</w:t>
      </w:r>
      <w:r>
        <w:rPr>
          <w:rFonts w:hint="eastAsia" w:ascii="仿宋_GB2312" w:hAnsi="仿宋_GB2312" w:eastAsia="仿宋_GB2312" w:cs="仿宋_GB2312"/>
          <w:color w:val="000000" w:themeColor="text1"/>
          <w:sz w:val="32"/>
          <w:szCs w:val="32"/>
          <w:lang w:val="zh-CN"/>
        </w:rPr>
        <w:t>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年</w:t>
      </w:r>
      <w:r>
        <w:rPr>
          <w:rFonts w:hint="eastAsia" w:ascii="仿宋_GB2312" w:hAnsi="仿宋_GB2312" w:eastAsia="仿宋_GB2312" w:cs="仿宋_GB2312"/>
          <w:color w:val="000000" w:themeColor="text1"/>
          <w:sz w:val="32"/>
          <w:szCs w:val="32"/>
        </w:rPr>
        <w:t>6</w:t>
      </w:r>
      <w:r>
        <w:rPr>
          <w:rFonts w:hint="eastAsia" w:ascii="仿宋_GB2312" w:hAnsi="仿宋_GB2312" w:eastAsia="仿宋_GB2312" w:cs="仿宋_GB2312"/>
          <w:color w:val="000000" w:themeColor="text1"/>
          <w:sz w:val="32"/>
          <w:szCs w:val="32"/>
          <w:lang w:val="zh-CN"/>
        </w:rPr>
        <w:t>月</w:t>
      </w:r>
      <w:r>
        <w:rPr>
          <w:rFonts w:hint="eastAsia" w:ascii="仿宋_GB2312" w:hAnsi="仿宋_GB2312" w:eastAsia="仿宋_GB2312" w:cs="仿宋_GB2312"/>
          <w:color w:val="000000" w:themeColor="text1"/>
          <w:sz w:val="32"/>
          <w:szCs w:val="32"/>
        </w:rPr>
        <w:t>25</w:t>
      </w:r>
      <w:r>
        <w:rPr>
          <w:rFonts w:hint="eastAsia" w:ascii="仿宋_GB2312" w:hAnsi="仿宋_GB2312" w:eastAsia="仿宋_GB2312" w:cs="仿宋_GB2312"/>
          <w:color w:val="000000" w:themeColor="text1"/>
          <w:sz w:val="32"/>
          <w:szCs w:val="32"/>
          <w:lang w:val="zh-CN"/>
        </w:rPr>
        <w:t>日，《阿坝州财政局</w:t>
      </w:r>
      <w:r>
        <w:rPr>
          <w:rFonts w:hint="eastAsia" w:ascii="仿宋_GB2312" w:hAnsi="仿宋_GB2312" w:eastAsia="仿宋_GB2312" w:cs="仿宋_GB2312"/>
          <w:color w:val="000000" w:themeColor="text1"/>
          <w:sz w:val="32"/>
          <w:szCs w:val="32"/>
        </w:rPr>
        <w:t xml:space="preserve"> 阿坝州林业局</w:t>
      </w:r>
      <w:r>
        <w:rPr>
          <w:rFonts w:hint="eastAsia" w:ascii="仿宋_GB2312" w:hAnsi="仿宋_GB2312" w:eastAsia="仿宋_GB2312" w:cs="仿宋_GB2312"/>
          <w:color w:val="000000" w:themeColor="text1"/>
          <w:sz w:val="32"/>
          <w:szCs w:val="32"/>
          <w:lang w:val="zh-CN"/>
        </w:rPr>
        <w:t>关于下达201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年中央财政林业改革发展资金预算（第二批）的通知》（阿州财农〔201</w:t>
      </w:r>
      <w:r>
        <w:rPr>
          <w:rFonts w:hint="eastAsia" w:ascii="仿宋_GB2312" w:hAnsi="仿宋_GB2312" w:eastAsia="仿宋_GB2312" w:cs="仿宋_GB2312"/>
          <w:color w:val="000000" w:themeColor="text1"/>
          <w:sz w:val="32"/>
          <w:szCs w:val="32"/>
        </w:rPr>
        <w:t>9</w:t>
      </w:r>
      <w:r>
        <w:rPr>
          <w:rFonts w:hint="eastAsia" w:ascii="仿宋_GB2312" w:hAnsi="仿宋_GB2312" w:eastAsia="仿宋_GB2312" w:cs="仿宋_GB2312"/>
          <w:color w:val="000000" w:themeColor="text1"/>
          <w:sz w:val="32"/>
          <w:szCs w:val="32"/>
          <w:lang w:val="zh-CN"/>
        </w:rPr>
        <w:t>〕</w:t>
      </w:r>
      <w:r>
        <w:rPr>
          <w:rFonts w:hint="eastAsia" w:ascii="仿宋_GB2312" w:hAnsi="仿宋_GB2312" w:eastAsia="仿宋_GB2312" w:cs="仿宋_GB2312"/>
          <w:color w:val="000000" w:themeColor="text1"/>
          <w:sz w:val="32"/>
          <w:szCs w:val="32"/>
        </w:rPr>
        <w:t>58</w:t>
      </w:r>
      <w:r>
        <w:rPr>
          <w:rFonts w:hint="eastAsia" w:ascii="仿宋_GB2312" w:hAnsi="仿宋_GB2312" w:eastAsia="仿宋_GB2312" w:cs="仿宋_GB2312"/>
          <w:color w:val="000000" w:themeColor="text1"/>
          <w:sz w:val="32"/>
          <w:szCs w:val="32"/>
          <w:lang w:val="zh-CN"/>
        </w:rPr>
        <w:t>号）文件（</w:t>
      </w:r>
      <w:r>
        <w:rPr>
          <w:rFonts w:hint="eastAsia" w:ascii="仿宋_GB2312" w:hAnsi="仿宋_GB2312" w:eastAsia="仿宋_GB2312" w:cs="仿宋_GB2312"/>
          <w:color w:val="000000" w:themeColor="text1"/>
          <w:sz w:val="32"/>
          <w:szCs w:val="32"/>
        </w:rPr>
        <w:t>下达资金4.88万元），共计下达资金187.17万元</w:t>
      </w:r>
      <w:r>
        <w:rPr>
          <w:rFonts w:hint="eastAsia" w:ascii="仿宋_GB2312" w:hAnsi="仿宋_GB2312" w:eastAsia="仿宋_GB2312" w:cs="仿宋_GB2312"/>
          <w:sz w:val="32"/>
          <w:szCs w:val="32"/>
        </w:rPr>
        <w:t>（其中：国有林补偿资金104.32万元、集体和个人所有国家级公益林补偿资金76.86万元、集体和个人所有省级公益林补偿0.69万元以及公共管护资金5.3万元）。</w:t>
      </w:r>
    </w:p>
    <w:p>
      <w:pPr>
        <w:spacing w:line="56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了加强生态效益补偿基金兑现工作 ，我县严格按照</w:t>
      </w:r>
      <w:r>
        <w:rPr>
          <w:rFonts w:hint="eastAsia" w:ascii="仿宋_GB2312" w:hAnsi="仿宋_GB2312" w:eastAsia="仿宋_GB2312" w:cs="仿宋_GB2312"/>
          <w:color w:val="000000" w:themeColor="text1"/>
          <w:sz w:val="32"/>
          <w:szCs w:val="32"/>
        </w:rPr>
        <w:t>《中央财政森林生态效益补偿基金管理办法》（财农〔2009〕381号）和《四川省森林生态效益补偿基金管理办法》以及(阿州财农〔2018〕146号)和(阿州财农〔2019〕58号)</w:t>
      </w:r>
      <w:r>
        <w:rPr>
          <w:rFonts w:hint="eastAsia" w:ascii="仿宋_GB2312" w:hAnsi="仿宋_GB2312" w:eastAsia="仿宋_GB2312" w:cs="仿宋_GB2312"/>
          <w:sz w:val="32"/>
          <w:szCs w:val="32"/>
        </w:rPr>
        <w:t>文件下达给我县森林公益林森林生态效益补偿资金，</w:t>
      </w:r>
      <w:r>
        <w:rPr>
          <w:rFonts w:hint="eastAsia" w:ascii="仿宋_GB2312" w:hAnsi="仿宋_GB2312" w:cs="仿宋_GB2312"/>
          <w:sz w:val="32"/>
          <w:szCs w:val="32"/>
        </w:rPr>
        <w:t>截止20年7月31日</w:t>
      </w:r>
      <w:r>
        <w:rPr>
          <w:rFonts w:hint="eastAsia" w:ascii="仿宋_GB2312" w:hAnsi="仿宋_GB2312" w:eastAsia="仿宋_GB2312" w:cs="仿宋_GB2312"/>
          <w:sz w:val="32"/>
          <w:szCs w:val="32"/>
        </w:rPr>
        <w:t>我县共兑现森林生态补偿补助资金83.13万元。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其中：1、按照2019年度集体公益林生态补偿兑现方案，由县林业和草原局联合县财政局按照《四川省森林生态效益补偿基金管理办法》和相关财务制度规定，通过县信用联社按照“一卡通”形式，兑现集体公益林补偿补助资金77.55万元；2、兑现国有公益林生态补偿管护费5.58万元用于我县壤口村国有公益林生态补偿管护补助资金；3、我县在集体公益林管护验收未使用公共管护资金,我局的检查验收费用是使用天保财政资金。</w:t>
      </w:r>
    </w:p>
    <w:p>
      <w:pPr>
        <w:spacing w:line="560" w:lineRule="exact"/>
        <w:ind w:firstLine="643" w:firstLineChars="200"/>
        <w:rPr>
          <w:rFonts w:ascii="楷体_GB2312" w:hAnsi="宋体" w:eastAsia="楷体_GB2312"/>
          <w:b/>
          <w:lang w:val="zh-CN"/>
        </w:rPr>
      </w:pPr>
      <w:r>
        <w:rPr>
          <w:rFonts w:hint="eastAsia" w:ascii="仿宋_GB2312" w:hAnsi="仿宋_GB2312" w:eastAsia="仿宋_GB2312" w:cs="仿宋_GB2312"/>
          <w:b/>
          <w:bCs/>
          <w:sz w:val="32"/>
          <w:szCs w:val="32"/>
        </w:rPr>
        <w:t>（三）</w:t>
      </w:r>
      <w:r>
        <w:rPr>
          <w:rFonts w:hint="eastAsia" w:ascii="楷体_GB2312" w:hAnsi="宋体" w:eastAsia="楷体_GB2312"/>
          <w:b/>
          <w:sz w:val="32"/>
          <w:szCs w:val="32"/>
          <w:lang w:val="zh-CN"/>
        </w:rPr>
        <w:t>项目财务管理情况。</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我县森林生态补偿补助资金项目，严格按照《中央森林生态效效益基金使用管理办法》及相关财务制度程序执行，专款专用。在使用森林生态效益补偿基金期间，无挤占、挪用、占用情况发生。</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60" w:lineRule="exact"/>
        <w:ind w:firstLine="640"/>
        <w:rPr>
          <w:rFonts w:ascii="楷体_GB2312" w:hAnsi="宋体" w:eastAsia="楷体_GB2312"/>
          <w:b/>
          <w:lang w:val="zh-CN"/>
        </w:rPr>
      </w:pPr>
      <w:r>
        <w:rPr>
          <w:rFonts w:hint="eastAsia" w:ascii="楷体_GB2312" w:hAnsi="宋体" w:eastAsia="楷体_GB2312"/>
          <w:b/>
          <w:sz w:val="32"/>
          <w:szCs w:val="32"/>
          <w:lang w:val="zh-CN"/>
        </w:rPr>
        <w:t>（一）项目组织架构及实施流程。</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我县成立红原县森林生态效益补偿基金领导小组和管理办公室，办公室设在县林草局森林资源管理股，处理我县国家（省）级公益林森林生态效益补偿的日常事务。根据相关政策要求，我局对森林生态效益补偿补助资金实行专帐管理、单独核算、专款专用，集体和个人补偿资金实行“一卡通”兑付。</w:t>
      </w:r>
    </w:p>
    <w:p>
      <w:pPr>
        <w:numPr>
          <w:ilvl w:val="0"/>
          <w:numId w:val="12"/>
        </w:numPr>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严格按照《中央森林生态效效益基金使用管理办法》及相关财务制度程序执行，专款专用。</w:t>
      </w:r>
    </w:p>
    <w:p>
      <w:pPr>
        <w:numPr>
          <w:ilvl w:val="0"/>
          <w:numId w:val="12"/>
        </w:numPr>
        <w:adjustRightInd w:val="0"/>
        <w:snapToGrid w:val="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年8月底，我局将组织专业人员对我县补偿国家级公益林林地管护落实情况进行检查验收，通过内业检查《红原县集体公益林管护合同》的签订情况和各村集体公益林生态效益补偿补助资金兑现方案等相关材料以及外业检查各集体公益林管护情况，在检查验收合格后，对集体（个人）公益林生态效益补偿补助资金的实行“一卡通”补偿到户（在林权所有者“一卡通”账户明细上注明“生态效益补偿资金”），并在乡镇张榜公示，公示期不少于7天。县林业局和县财政局、监察局等部门联合并对兑现补偿补助资金进行相关抽查检查。</w:t>
      </w:r>
    </w:p>
    <w:p>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1、项目完成数量：我县公益林面积220.3381万亩，其中国有公益林面积215.4091万亩，集体公益林面积4.9290万亩,生态效益补偿面积覆盖率为 100%。</w:t>
      </w:r>
      <w:r>
        <w:rPr>
          <w:rFonts w:hint="eastAsia" w:ascii="仿宋_GB2312" w:hAnsi="仿宋_GB2312" w:eastAsia="仿宋_GB2312" w:cs="仿宋_GB2312"/>
          <w:color w:val="000000" w:themeColor="text1"/>
          <w:sz w:val="32"/>
          <w:szCs w:val="32"/>
        </w:rPr>
        <w:t>我县按照生态补偿兑现方案进行</w:t>
      </w:r>
      <w:r>
        <w:rPr>
          <w:rFonts w:hint="eastAsia" w:ascii="仿宋_GB2312" w:hAnsi="仿宋_GB2312" w:eastAsia="仿宋_GB2312" w:cs="仿宋_GB2312"/>
          <w:sz w:val="32"/>
          <w:szCs w:val="32"/>
        </w:rPr>
        <w:t>管护验收合格后，按照《</w:t>
      </w:r>
      <w:r>
        <w:rPr>
          <w:rFonts w:hint="eastAsia" w:ascii="仿宋_GB2312" w:hAnsi="仿宋_GB2312" w:eastAsia="仿宋_GB2312" w:cs="仿宋_GB2312"/>
          <w:color w:val="000000" w:themeColor="text1"/>
          <w:sz w:val="32"/>
          <w:szCs w:val="32"/>
        </w:rPr>
        <w:t>四川省森林生态效益补偿基金管理办法》及财务制度程序</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000000" w:themeColor="text1"/>
          <w:sz w:val="32"/>
          <w:szCs w:val="32"/>
        </w:rPr>
        <w:t xml:space="preserve">通过县信用社“一卡通”形式全额及时兑付给集体林权属所有者。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红原县集体公益林生态补偿项目完成质量较好，2019年度我局通过层层落实了管护责任制，签订集体林管护合同166份，。全县经各村集体公益林股份管理董事会按程序选聘集体公益林护林员分别负责本村的集体公益林管护。我局加强对各集体公益林管护人员的培训，加强监督与管理，顺利通过县林业局年度管护检查验收。</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2019年度集体公益林未发生任何森林火灾，无发生病虫害。我县的集体公益林未发生任何盗伐滥伐林木案件情况，通过加强管护我县的集体公益林管护质量比2017、2018年度提高，行政案件逐年降低。</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utoSpaceDE w:val="0"/>
        <w:spacing w:line="560" w:lineRule="exact"/>
        <w:ind w:left="160" w:firstLine="420" w:firstLineChars="200"/>
        <w:rPr>
          <w:rFonts w:ascii="仿宋_GB2312" w:hAnsi="仿宋_GB2312" w:eastAsia="仿宋_GB2312" w:cs="仿宋_GB2312"/>
          <w:sz w:val="32"/>
          <w:szCs w:val="32"/>
        </w:rPr>
      </w:pPr>
      <w:r>
        <w:rPr>
          <w:rFonts w:hint="eastAsia" w:ascii="仿宋_GB2312" w:hAnsi="宋体"/>
          <w:lang w:val="zh-CN"/>
        </w:rPr>
        <w:t>从</w:t>
      </w:r>
      <w:r>
        <w:rPr>
          <w:rFonts w:hint="eastAsia" w:ascii="仿宋_GB2312" w:hAnsi="仿宋_GB2312" w:eastAsia="仿宋_GB2312" w:cs="仿宋_GB2312"/>
          <w:sz w:val="32"/>
          <w:szCs w:val="32"/>
        </w:rPr>
        <w:t>实施公益林森林生态效益补偿机制以来，进一步建立健全了我县公益林生态效益补偿补助项目各项管理规章制度，完善杜绝滥砍乱伐、毁林开垦的现象发生，牲畜破坏集体公益林的情况也逐减少，集体公益林的管护取得了明显成绩。 通过森林生态补偿效益项目，按照全县农牧民40621人数折算，人均增收达到37.41元，增加了林农收入，林权所有者获得了补偿，村集体林业工作热情得到了显著提高，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sz w:val="32"/>
          <w:szCs w:val="32"/>
          <w:lang w:val="zh-CN"/>
        </w:rPr>
        <w:t>（一）存在的问题。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 </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县级林业部门配合各乡村定期集中开展对集体林管护人员的培训工作，以提高集体林管护人员的履职能力和管护水平以便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因地制宜，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营者的经济收入。</w:t>
      </w:r>
    </w:p>
    <w:p>
      <w:pPr>
        <w:widowControl/>
        <w:jc w:val="left"/>
        <w:rPr>
          <w:rStyle w:val="26"/>
          <w:rFonts w:ascii="黑体" w:hAnsi="黑体" w:eastAsia="黑体"/>
          <w:b w:val="0"/>
        </w:rPr>
      </w:pPr>
    </w:p>
    <w:p>
      <w:pPr>
        <w:spacing w:line="600" w:lineRule="exact"/>
        <w:jc w:val="center"/>
        <w:outlineLvl w:val="0"/>
        <w:rPr>
          <w:rStyle w:val="26"/>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9"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CC8A7"/>
    <w:multiLevelType w:val="singleLevel"/>
    <w:tmpl w:val="9C0CC8A7"/>
    <w:lvl w:ilvl="0" w:tentative="0">
      <w:start w:val="2"/>
      <w:numFmt w:val="chineseCounting"/>
      <w:suff w:val="nothing"/>
      <w:lvlText w:val="（%1）"/>
      <w:lvlJc w:val="left"/>
      <w:rPr>
        <w:rFonts w:hint="eastAsia"/>
      </w:rPr>
    </w:lvl>
  </w:abstractNum>
  <w:abstractNum w:abstractNumId="1">
    <w:nsid w:val="B8FE9415"/>
    <w:multiLevelType w:val="singleLevel"/>
    <w:tmpl w:val="B8FE9415"/>
    <w:lvl w:ilvl="0" w:tentative="0">
      <w:start w:val="1"/>
      <w:numFmt w:val="decimal"/>
      <w:suff w:val="nothing"/>
      <w:lvlText w:val="%1、"/>
      <w:lvlJc w:val="left"/>
    </w:lvl>
  </w:abstractNum>
  <w:abstractNum w:abstractNumId="2">
    <w:nsid w:val="C3BED323"/>
    <w:multiLevelType w:val="singleLevel"/>
    <w:tmpl w:val="C3BED323"/>
    <w:lvl w:ilvl="0" w:tentative="0">
      <w:start w:val="2"/>
      <w:numFmt w:val="decimal"/>
      <w:suff w:val="nothing"/>
      <w:lvlText w:val="%1．"/>
      <w:lvlJc w:val="left"/>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D453BA5"/>
    <w:multiLevelType w:val="singleLevel"/>
    <w:tmpl w:val="ED453BA5"/>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2C88249"/>
    <w:multiLevelType w:val="singleLevel"/>
    <w:tmpl w:val="22C88249"/>
    <w:lvl w:ilvl="0" w:tentative="0">
      <w:start w:val="2"/>
      <w:numFmt w:val="chineseCounting"/>
      <w:suff w:val="nothing"/>
      <w:lvlText w:val="（%1）"/>
      <w:lvlJc w:val="left"/>
      <w:rPr>
        <w:rFonts w:hint="eastAsia"/>
      </w:rPr>
    </w:lvl>
  </w:abstractNum>
  <w:abstractNum w:abstractNumId="8">
    <w:nsid w:val="3928FCDD"/>
    <w:multiLevelType w:val="singleLevel"/>
    <w:tmpl w:val="3928FCDD"/>
    <w:lvl w:ilvl="0" w:tentative="0">
      <w:start w:val="1"/>
      <w:numFmt w:val="chineseCounting"/>
      <w:suff w:val="nothing"/>
      <w:lvlText w:val="（%1）"/>
      <w:lvlJc w:val="left"/>
      <w:rPr>
        <w:rFonts w:hint="eastAsia"/>
      </w:rPr>
    </w:lvl>
  </w:abstractNum>
  <w:abstractNum w:abstractNumId="9">
    <w:nsid w:val="566B0CF1"/>
    <w:multiLevelType w:val="multilevel"/>
    <w:tmpl w:val="566B0CF1"/>
    <w:lvl w:ilvl="0" w:tentative="0">
      <w:start w:val="1"/>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0">
    <w:nsid w:val="6EAAB9D2"/>
    <w:multiLevelType w:val="singleLevel"/>
    <w:tmpl w:val="6EAAB9D2"/>
    <w:lvl w:ilvl="0" w:tentative="0">
      <w:start w:val="5"/>
      <w:numFmt w:val="decimal"/>
      <w:lvlText w:val="%1."/>
      <w:lvlJc w:val="left"/>
      <w:pPr>
        <w:tabs>
          <w:tab w:val="left" w:pos="312"/>
        </w:tabs>
      </w:pPr>
    </w:lvl>
  </w:abstractNum>
  <w:abstractNum w:abstractNumId="11">
    <w:nsid w:val="7D6851BB"/>
    <w:multiLevelType w:val="singleLevel"/>
    <w:tmpl w:val="7D6851BB"/>
    <w:lvl w:ilvl="0" w:tentative="0">
      <w:start w:val="2"/>
      <w:numFmt w:val="chineseCounting"/>
      <w:suff w:val="nothing"/>
      <w:lvlText w:val="（%1）"/>
      <w:lvlJc w:val="left"/>
      <w:rPr>
        <w:rFonts w:hint="eastAsia"/>
      </w:rPr>
    </w:lvl>
  </w:abstractNum>
  <w:num w:numId="1">
    <w:abstractNumId w:val="2"/>
  </w:num>
  <w:num w:numId="2">
    <w:abstractNumId w:val="6"/>
  </w:num>
  <w:num w:numId="3">
    <w:abstractNumId w:val="10"/>
  </w:num>
  <w:num w:numId="4">
    <w:abstractNumId w:val="3"/>
  </w:num>
  <w:num w:numId="5">
    <w:abstractNumId w:val="4"/>
  </w:num>
  <w:num w:numId="6">
    <w:abstractNumId w:val="0"/>
  </w:num>
  <w:num w:numId="7">
    <w:abstractNumId w:val="1"/>
  </w:num>
  <w:num w:numId="8">
    <w:abstractNumId w:val="11"/>
  </w:num>
  <w:num w:numId="9">
    <w:abstractNumId w:val="9"/>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mU2NDRhOWE4MDM0MTFmNjg2M2JkZDAzMDAwZ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7D26"/>
    <w:rsid w:val="000D1267"/>
    <w:rsid w:val="000D1D50"/>
    <w:rsid w:val="000D5782"/>
    <w:rsid w:val="000E6613"/>
    <w:rsid w:val="000E7119"/>
    <w:rsid w:val="00102A8F"/>
    <w:rsid w:val="00114E9B"/>
    <w:rsid w:val="00137FC9"/>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745E"/>
    <w:rsid w:val="003F6619"/>
    <w:rsid w:val="00406254"/>
    <w:rsid w:val="00416CD4"/>
    <w:rsid w:val="004223DE"/>
    <w:rsid w:val="00434489"/>
    <w:rsid w:val="00437085"/>
    <w:rsid w:val="00443880"/>
    <w:rsid w:val="004464F4"/>
    <w:rsid w:val="00471401"/>
    <w:rsid w:val="00473F31"/>
    <w:rsid w:val="00474540"/>
    <w:rsid w:val="0048263A"/>
    <w:rsid w:val="00487E5D"/>
    <w:rsid w:val="004A711F"/>
    <w:rsid w:val="004B199D"/>
    <w:rsid w:val="004B4690"/>
    <w:rsid w:val="004E0A2D"/>
    <w:rsid w:val="004E206B"/>
    <w:rsid w:val="004E6DF7"/>
    <w:rsid w:val="004F0FBD"/>
    <w:rsid w:val="004F403E"/>
    <w:rsid w:val="00503526"/>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E5E7C"/>
    <w:rsid w:val="005F1A4C"/>
    <w:rsid w:val="005F4F00"/>
    <w:rsid w:val="00605688"/>
    <w:rsid w:val="006070AF"/>
    <w:rsid w:val="00607E6C"/>
    <w:rsid w:val="006101B1"/>
    <w:rsid w:val="00614E44"/>
    <w:rsid w:val="00616A4E"/>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2497"/>
    <w:rsid w:val="00885AF4"/>
    <w:rsid w:val="008939CD"/>
    <w:rsid w:val="008A484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3A0B"/>
    <w:rsid w:val="0097099F"/>
    <w:rsid w:val="00971997"/>
    <w:rsid w:val="00971FFC"/>
    <w:rsid w:val="0097298B"/>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171BD"/>
    <w:rsid w:val="00A237D8"/>
    <w:rsid w:val="00A268C4"/>
    <w:rsid w:val="00A307CD"/>
    <w:rsid w:val="00A331C8"/>
    <w:rsid w:val="00A35117"/>
    <w:rsid w:val="00A40A00"/>
    <w:rsid w:val="00A4142F"/>
    <w:rsid w:val="00A418AD"/>
    <w:rsid w:val="00A422EB"/>
    <w:rsid w:val="00A45BB7"/>
    <w:rsid w:val="00A56DF2"/>
    <w:rsid w:val="00A56E6E"/>
    <w:rsid w:val="00A67AB5"/>
    <w:rsid w:val="00A714BC"/>
    <w:rsid w:val="00A733B2"/>
    <w:rsid w:val="00A741C2"/>
    <w:rsid w:val="00A91760"/>
    <w:rsid w:val="00A928C0"/>
    <w:rsid w:val="00A93B00"/>
    <w:rsid w:val="00A93C21"/>
    <w:rsid w:val="00AB64C9"/>
    <w:rsid w:val="00AC3C6A"/>
    <w:rsid w:val="00AC55B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1B09"/>
    <w:rsid w:val="00B53C56"/>
    <w:rsid w:val="00B57DAF"/>
    <w:rsid w:val="00B77EA6"/>
    <w:rsid w:val="00B81598"/>
    <w:rsid w:val="00B82CC9"/>
    <w:rsid w:val="00B841F1"/>
    <w:rsid w:val="00B944D6"/>
    <w:rsid w:val="00BB4DF0"/>
    <w:rsid w:val="00BC289F"/>
    <w:rsid w:val="00BC2D50"/>
    <w:rsid w:val="00BC5361"/>
    <w:rsid w:val="00BC5460"/>
    <w:rsid w:val="00BC6B50"/>
    <w:rsid w:val="00BD0E25"/>
    <w:rsid w:val="00BD1670"/>
    <w:rsid w:val="00BF5BD6"/>
    <w:rsid w:val="00C03E31"/>
    <w:rsid w:val="00C30E69"/>
    <w:rsid w:val="00C33E72"/>
    <w:rsid w:val="00C354B2"/>
    <w:rsid w:val="00C35554"/>
    <w:rsid w:val="00C3639C"/>
    <w:rsid w:val="00C42709"/>
    <w:rsid w:val="00C4763C"/>
    <w:rsid w:val="00C532CA"/>
    <w:rsid w:val="00C533CC"/>
    <w:rsid w:val="00C5751C"/>
    <w:rsid w:val="00C60E57"/>
    <w:rsid w:val="00C61BFC"/>
    <w:rsid w:val="00C62B85"/>
    <w:rsid w:val="00C65438"/>
    <w:rsid w:val="00C91CBB"/>
    <w:rsid w:val="00CA71A8"/>
    <w:rsid w:val="00CB4E70"/>
    <w:rsid w:val="00CC09B6"/>
    <w:rsid w:val="00CC666F"/>
    <w:rsid w:val="00CD1E3F"/>
    <w:rsid w:val="00CE44F6"/>
    <w:rsid w:val="00CE49DA"/>
    <w:rsid w:val="00CE7B61"/>
    <w:rsid w:val="00D00095"/>
    <w:rsid w:val="00D114F0"/>
    <w:rsid w:val="00D130D3"/>
    <w:rsid w:val="00D179F5"/>
    <w:rsid w:val="00D20620"/>
    <w:rsid w:val="00D2207C"/>
    <w:rsid w:val="00D254F7"/>
    <w:rsid w:val="00D26091"/>
    <w:rsid w:val="00D2685C"/>
    <w:rsid w:val="00D34E7C"/>
    <w:rsid w:val="00D35489"/>
    <w:rsid w:val="00D36AFE"/>
    <w:rsid w:val="00D51276"/>
    <w:rsid w:val="00D7035F"/>
    <w:rsid w:val="00D86FB8"/>
    <w:rsid w:val="00DA634F"/>
    <w:rsid w:val="00DA65AC"/>
    <w:rsid w:val="00DB1913"/>
    <w:rsid w:val="00DC410D"/>
    <w:rsid w:val="00DC5A81"/>
    <w:rsid w:val="00DC68CA"/>
    <w:rsid w:val="00DC7CBA"/>
    <w:rsid w:val="00DD73B7"/>
    <w:rsid w:val="00DE4AF8"/>
    <w:rsid w:val="00DF28BC"/>
    <w:rsid w:val="00DF34B9"/>
    <w:rsid w:val="00DF7548"/>
    <w:rsid w:val="00E005D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265E5"/>
    <w:rsid w:val="00F36D8F"/>
    <w:rsid w:val="00F417B1"/>
    <w:rsid w:val="00F45853"/>
    <w:rsid w:val="00F52D6A"/>
    <w:rsid w:val="00F602DF"/>
    <w:rsid w:val="00F754A1"/>
    <w:rsid w:val="00F81FD9"/>
    <w:rsid w:val="00F82632"/>
    <w:rsid w:val="00F841AA"/>
    <w:rsid w:val="00F84A94"/>
    <w:rsid w:val="00F87E96"/>
    <w:rsid w:val="00F9257D"/>
    <w:rsid w:val="00FA23E8"/>
    <w:rsid w:val="00FD3CC1"/>
    <w:rsid w:val="00FF1E02"/>
    <w:rsid w:val="00FF30B4"/>
    <w:rsid w:val="01071085"/>
    <w:rsid w:val="01145789"/>
    <w:rsid w:val="01436AFB"/>
    <w:rsid w:val="017C08D9"/>
    <w:rsid w:val="01CB485F"/>
    <w:rsid w:val="01E60981"/>
    <w:rsid w:val="02064187"/>
    <w:rsid w:val="020F621C"/>
    <w:rsid w:val="0247011C"/>
    <w:rsid w:val="03004900"/>
    <w:rsid w:val="03416B23"/>
    <w:rsid w:val="034E58B2"/>
    <w:rsid w:val="03561A1B"/>
    <w:rsid w:val="036C681A"/>
    <w:rsid w:val="037A0641"/>
    <w:rsid w:val="037C4C83"/>
    <w:rsid w:val="039413ED"/>
    <w:rsid w:val="03AC5793"/>
    <w:rsid w:val="03BF4A94"/>
    <w:rsid w:val="04074E82"/>
    <w:rsid w:val="0417524E"/>
    <w:rsid w:val="04263F06"/>
    <w:rsid w:val="04355929"/>
    <w:rsid w:val="043E2886"/>
    <w:rsid w:val="0476335A"/>
    <w:rsid w:val="048A6743"/>
    <w:rsid w:val="049C2054"/>
    <w:rsid w:val="04B03F85"/>
    <w:rsid w:val="04E57589"/>
    <w:rsid w:val="04EE1FA5"/>
    <w:rsid w:val="05082A55"/>
    <w:rsid w:val="05133F81"/>
    <w:rsid w:val="05304781"/>
    <w:rsid w:val="053661B0"/>
    <w:rsid w:val="0556275D"/>
    <w:rsid w:val="05734460"/>
    <w:rsid w:val="05A7036C"/>
    <w:rsid w:val="05C278E7"/>
    <w:rsid w:val="05CB7B36"/>
    <w:rsid w:val="05E258A3"/>
    <w:rsid w:val="061D0C7B"/>
    <w:rsid w:val="06330434"/>
    <w:rsid w:val="06380514"/>
    <w:rsid w:val="065014AB"/>
    <w:rsid w:val="06551655"/>
    <w:rsid w:val="068030CC"/>
    <w:rsid w:val="06E23084"/>
    <w:rsid w:val="06E93213"/>
    <w:rsid w:val="072634E9"/>
    <w:rsid w:val="0730638D"/>
    <w:rsid w:val="07470E15"/>
    <w:rsid w:val="074C4F2F"/>
    <w:rsid w:val="07583DCC"/>
    <w:rsid w:val="075D0E55"/>
    <w:rsid w:val="07725BD3"/>
    <w:rsid w:val="07C11B04"/>
    <w:rsid w:val="07E75658"/>
    <w:rsid w:val="08211C9C"/>
    <w:rsid w:val="0825080D"/>
    <w:rsid w:val="086F21DD"/>
    <w:rsid w:val="08A11271"/>
    <w:rsid w:val="08B763CE"/>
    <w:rsid w:val="08CD3EF2"/>
    <w:rsid w:val="09127C2D"/>
    <w:rsid w:val="09597773"/>
    <w:rsid w:val="095E7E2B"/>
    <w:rsid w:val="097F2F0B"/>
    <w:rsid w:val="09910900"/>
    <w:rsid w:val="09B10948"/>
    <w:rsid w:val="09B523E1"/>
    <w:rsid w:val="09B660AB"/>
    <w:rsid w:val="09BF6D17"/>
    <w:rsid w:val="09E352B3"/>
    <w:rsid w:val="09E92A18"/>
    <w:rsid w:val="09F803F8"/>
    <w:rsid w:val="0A031370"/>
    <w:rsid w:val="0A077F46"/>
    <w:rsid w:val="0A2F7905"/>
    <w:rsid w:val="0A4B75A8"/>
    <w:rsid w:val="0A9A7D92"/>
    <w:rsid w:val="0AA74CD3"/>
    <w:rsid w:val="0AB112FE"/>
    <w:rsid w:val="0ACC71D7"/>
    <w:rsid w:val="0AED4485"/>
    <w:rsid w:val="0B143EA2"/>
    <w:rsid w:val="0B2C6D06"/>
    <w:rsid w:val="0B420EF7"/>
    <w:rsid w:val="0B4A4B8B"/>
    <w:rsid w:val="0B4C3AF7"/>
    <w:rsid w:val="0BB631F1"/>
    <w:rsid w:val="0BC8404A"/>
    <w:rsid w:val="0BD949DF"/>
    <w:rsid w:val="0BDC725D"/>
    <w:rsid w:val="0BEA0694"/>
    <w:rsid w:val="0C0F1836"/>
    <w:rsid w:val="0C151516"/>
    <w:rsid w:val="0C357658"/>
    <w:rsid w:val="0C466E90"/>
    <w:rsid w:val="0C4F2E99"/>
    <w:rsid w:val="0C66783A"/>
    <w:rsid w:val="0C724B7D"/>
    <w:rsid w:val="0C8F2D73"/>
    <w:rsid w:val="0C9D52F6"/>
    <w:rsid w:val="0CB039C8"/>
    <w:rsid w:val="0CBA74F7"/>
    <w:rsid w:val="0D070BAC"/>
    <w:rsid w:val="0D5F27FE"/>
    <w:rsid w:val="0D633F10"/>
    <w:rsid w:val="0D68143A"/>
    <w:rsid w:val="0D6A4E1D"/>
    <w:rsid w:val="0D707B46"/>
    <w:rsid w:val="0D8E3C27"/>
    <w:rsid w:val="0D92577C"/>
    <w:rsid w:val="0D9446E3"/>
    <w:rsid w:val="0DA246E6"/>
    <w:rsid w:val="0DA440C6"/>
    <w:rsid w:val="0DD53862"/>
    <w:rsid w:val="0DDE0389"/>
    <w:rsid w:val="0DE444CC"/>
    <w:rsid w:val="0E004D02"/>
    <w:rsid w:val="0E542A0B"/>
    <w:rsid w:val="0EA51838"/>
    <w:rsid w:val="0EAC19A2"/>
    <w:rsid w:val="0ED279AE"/>
    <w:rsid w:val="0F0632B5"/>
    <w:rsid w:val="0F0F3B07"/>
    <w:rsid w:val="0F2515A7"/>
    <w:rsid w:val="0F966682"/>
    <w:rsid w:val="0FA47089"/>
    <w:rsid w:val="101A02A5"/>
    <w:rsid w:val="10C055FF"/>
    <w:rsid w:val="10D34C31"/>
    <w:rsid w:val="10E76080"/>
    <w:rsid w:val="110A4306"/>
    <w:rsid w:val="111B4AB4"/>
    <w:rsid w:val="112C383A"/>
    <w:rsid w:val="11404030"/>
    <w:rsid w:val="118E2B7E"/>
    <w:rsid w:val="11997DD7"/>
    <w:rsid w:val="11BC7E08"/>
    <w:rsid w:val="11E91836"/>
    <w:rsid w:val="12226D83"/>
    <w:rsid w:val="12342E9E"/>
    <w:rsid w:val="125518E4"/>
    <w:rsid w:val="12597977"/>
    <w:rsid w:val="128230E5"/>
    <w:rsid w:val="1283533C"/>
    <w:rsid w:val="129C55D8"/>
    <w:rsid w:val="12CD2BFE"/>
    <w:rsid w:val="12D47738"/>
    <w:rsid w:val="12D80AD7"/>
    <w:rsid w:val="12DD518C"/>
    <w:rsid w:val="13065898"/>
    <w:rsid w:val="131534E4"/>
    <w:rsid w:val="13166882"/>
    <w:rsid w:val="1321608B"/>
    <w:rsid w:val="133139CA"/>
    <w:rsid w:val="139B0F44"/>
    <w:rsid w:val="13A845F2"/>
    <w:rsid w:val="13B21887"/>
    <w:rsid w:val="13DA69CA"/>
    <w:rsid w:val="14097567"/>
    <w:rsid w:val="140F30C8"/>
    <w:rsid w:val="14174B89"/>
    <w:rsid w:val="14300C21"/>
    <w:rsid w:val="146A60E9"/>
    <w:rsid w:val="14723B1B"/>
    <w:rsid w:val="14B67C96"/>
    <w:rsid w:val="14CD67EC"/>
    <w:rsid w:val="14D12F00"/>
    <w:rsid w:val="14F76971"/>
    <w:rsid w:val="150D699E"/>
    <w:rsid w:val="15130776"/>
    <w:rsid w:val="1518761B"/>
    <w:rsid w:val="153A126B"/>
    <w:rsid w:val="1563015C"/>
    <w:rsid w:val="15A101FB"/>
    <w:rsid w:val="161F5E9B"/>
    <w:rsid w:val="162E1021"/>
    <w:rsid w:val="163B7586"/>
    <w:rsid w:val="163E38D8"/>
    <w:rsid w:val="16464351"/>
    <w:rsid w:val="165D4BE7"/>
    <w:rsid w:val="16656363"/>
    <w:rsid w:val="166E2A0F"/>
    <w:rsid w:val="16886ED3"/>
    <w:rsid w:val="16904766"/>
    <w:rsid w:val="169B7860"/>
    <w:rsid w:val="16BB723D"/>
    <w:rsid w:val="16CD51C9"/>
    <w:rsid w:val="16E45C59"/>
    <w:rsid w:val="16E668A5"/>
    <w:rsid w:val="17262131"/>
    <w:rsid w:val="172D5A0A"/>
    <w:rsid w:val="172D7CEE"/>
    <w:rsid w:val="174F5D30"/>
    <w:rsid w:val="178268EC"/>
    <w:rsid w:val="17913A05"/>
    <w:rsid w:val="17A53391"/>
    <w:rsid w:val="17BA4238"/>
    <w:rsid w:val="17D906B9"/>
    <w:rsid w:val="18181FB2"/>
    <w:rsid w:val="18427E12"/>
    <w:rsid w:val="18682F0E"/>
    <w:rsid w:val="18725D00"/>
    <w:rsid w:val="18A033DC"/>
    <w:rsid w:val="18A13E66"/>
    <w:rsid w:val="18A4164D"/>
    <w:rsid w:val="18BB3F98"/>
    <w:rsid w:val="18BD43B7"/>
    <w:rsid w:val="18E64F62"/>
    <w:rsid w:val="18F31682"/>
    <w:rsid w:val="1980271E"/>
    <w:rsid w:val="19817099"/>
    <w:rsid w:val="19D03B6A"/>
    <w:rsid w:val="19D070DA"/>
    <w:rsid w:val="19DB2973"/>
    <w:rsid w:val="19E23BA6"/>
    <w:rsid w:val="1A2633EF"/>
    <w:rsid w:val="1A5C3F85"/>
    <w:rsid w:val="1A6B4592"/>
    <w:rsid w:val="1B811695"/>
    <w:rsid w:val="1B9665DC"/>
    <w:rsid w:val="1BB5722A"/>
    <w:rsid w:val="1BBC25BD"/>
    <w:rsid w:val="1BE100EF"/>
    <w:rsid w:val="1C4313F5"/>
    <w:rsid w:val="1C6146EB"/>
    <w:rsid w:val="1C674579"/>
    <w:rsid w:val="1C750115"/>
    <w:rsid w:val="1C837E33"/>
    <w:rsid w:val="1CDB7EF6"/>
    <w:rsid w:val="1CE86F56"/>
    <w:rsid w:val="1CF96FB5"/>
    <w:rsid w:val="1D3D78F4"/>
    <w:rsid w:val="1D51773B"/>
    <w:rsid w:val="1D6A3145"/>
    <w:rsid w:val="1D8334A3"/>
    <w:rsid w:val="1D85599E"/>
    <w:rsid w:val="1DAC50F9"/>
    <w:rsid w:val="1DDE3324"/>
    <w:rsid w:val="1E103F8A"/>
    <w:rsid w:val="1E2F2DDC"/>
    <w:rsid w:val="1E414212"/>
    <w:rsid w:val="1E632132"/>
    <w:rsid w:val="1E7049F6"/>
    <w:rsid w:val="1E856F70"/>
    <w:rsid w:val="1EAE110D"/>
    <w:rsid w:val="1EBB64AF"/>
    <w:rsid w:val="1ED407C7"/>
    <w:rsid w:val="1F155F30"/>
    <w:rsid w:val="1F310440"/>
    <w:rsid w:val="1FB27CCD"/>
    <w:rsid w:val="1FB858F7"/>
    <w:rsid w:val="1FCC4870"/>
    <w:rsid w:val="1FD858E0"/>
    <w:rsid w:val="200451EC"/>
    <w:rsid w:val="201E3FDA"/>
    <w:rsid w:val="204435DB"/>
    <w:rsid w:val="206474C0"/>
    <w:rsid w:val="206F6888"/>
    <w:rsid w:val="20A231CF"/>
    <w:rsid w:val="20B477A4"/>
    <w:rsid w:val="20CE189A"/>
    <w:rsid w:val="20F00D31"/>
    <w:rsid w:val="21144AA1"/>
    <w:rsid w:val="21275AED"/>
    <w:rsid w:val="21482E2F"/>
    <w:rsid w:val="21800025"/>
    <w:rsid w:val="218F1857"/>
    <w:rsid w:val="21A6773E"/>
    <w:rsid w:val="21AB745A"/>
    <w:rsid w:val="21B67DD4"/>
    <w:rsid w:val="21B90525"/>
    <w:rsid w:val="21D83DF8"/>
    <w:rsid w:val="21DC6723"/>
    <w:rsid w:val="22161257"/>
    <w:rsid w:val="222E1BB8"/>
    <w:rsid w:val="2261606C"/>
    <w:rsid w:val="2289667D"/>
    <w:rsid w:val="228D48AF"/>
    <w:rsid w:val="22913CC9"/>
    <w:rsid w:val="22B9737A"/>
    <w:rsid w:val="22DC3ACE"/>
    <w:rsid w:val="23003A5F"/>
    <w:rsid w:val="233F7126"/>
    <w:rsid w:val="234E7316"/>
    <w:rsid w:val="235935A2"/>
    <w:rsid w:val="23852194"/>
    <w:rsid w:val="238D1254"/>
    <w:rsid w:val="23973E97"/>
    <w:rsid w:val="23A90A43"/>
    <w:rsid w:val="23B60459"/>
    <w:rsid w:val="23C02FC2"/>
    <w:rsid w:val="23FA57EF"/>
    <w:rsid w:val="2403098B"/>
    <w:rsid w:val="240371BF"/>
    <w:rsid w:val="240B3B00"/>
    <w:rsid w:val="240E6C75"/>
    <w:rsid w:val="240F48A4"/>
    <w:rsid w:val="241875A4"/>
    <w:rsid w:val="24252418"/>
    <w:rsid w:val="243C4699"/>
    <w:rsid w:val="245B6650"/>
    <w:rsid w:val="249A6792"/>
    <w:rsid w:val="24E12DFC"/>
    <w:rsid w:val="24F45EBA"/>
    <w:rsid w:val="24FF1E90"/>
    <w:rsid w:val="24FF54C0"/>
    <w:rsid w:val="250B7DC2"/>
    <w:rsid w:val="253F2E9B"/>
    <w:rsid w:val="254B039C"/>
    <w:rsid w:val="25866CB6"/>
    <w:rsid w:val="259F6A57"/>
    <w:rsid w:val="25A33F63"/>
    <w:rsid w:val="25C218EA"/>
    <w:rsid w:val="26045E71"/>
    <w:rsid w:val="261460EF"/>
    <w:rsid w:val="26192A74"/>
    <w:rsid w:val="265505BB"/>
    <w:rsid w:val="266B3118"/>
    <w:rsid w:val="2678358B"/>
    <w:rsid w:val="26E50D2A"/>
    <w:rsid w:val="26F251F5"/>
    <w:rsid w:val="27033907"/>
    <w:rsid w:val="2725526C"/>
    <w:rsid w:val="275F0AFB"/>
    <w:rsid w:val="27600FD2"/>
    <w:rsid w:val="276C4006"/>
    <w:rsid w:val="27741652"/>
    <w:rsid w:val="277442DB"/>
    <w:rsid w:val="277B41E2"/>
    <w:rsid w:val="279F154E"/>
    <w:rsid w:val="27C9300F"/>
    <w:rsid w:val="27CC1F66"/>
    <w:rsid w:val="280D49CE"/>
    <w:rsid w:val="289A36BD"/>
    <w:rsid w:val="28CC7CFC"/>
    <w:rsid w:val="28EB1445"/>
    <w:rsid w:val="29477D95"/>
    <w:rsid w:val="294A049E"/>
    <w:rsid w:val="294F2592"/>
    <w:rsid w:val="29605D7C"/>
    <w:rsid w:val="299334AD"/>
    <w:rsid w:val="29C83E3C"/>
    <w:rsid w:val="29D4214A"/>
    <w:rsid w:val="29D9674F"/>
    <w:rsid w:val="29DF28AF"/>
    <w:rsid w:val="29E26021"/>
    <w:rsid w:val="29FD04D3"/>
    <w:rsid w:val="2A0B78C3"/>
    <w:rsid w:val="2A140426"/>
    <w:rsid w:val="2A544FFE"/>
    <w:rsid w:val="2A791FF6"/>
    <w:rsid w:val="2A7934D2"/>
    <w:rsid w:val="2A8311BC"/>
    <w:rsid w:val="2AA54FF2"/>
    <w:rsid w:val="2AB57B5E"/>
    <w:rsid w:val="2AC073AD"/>
    <w:rsid w:val="2AC20F0C"/>
    <w:rsid w:val="2B09629E"/>
    <w:rsid w:val="2B0F45C8"/>
    <w:rsid w:val="2B1D4F91"/>
    <w:rsid w:val="2B257A1B"/>
    <w:rsid w:val="2BD52B9A"/>
    <w:rsid w:val="2BD97EDF"/>
    <w:rsid w:val="2BF75217"/>
    <w:rsid w:val="2BFC0829"/>
    <w:rsid w:val="2C333305"/>
    <w:rsid w:val="2C3A51A4"/>
    <w:rsid w:val="2CB2624E"/>
    <w:rsid w:val="2CBB6D40"/>
    <w:rsid w:val="2CDD6E6A"/>
    <w:rsid w:val="2CEC10F7"/>
    <w:rsid w:val="2CF43D54"/>
    <w:rsid w:val="2CF55733"/>
    <w:rsid w:val="2CFF5AEF"/>
    <w:rsid w:val="2D071B47"/>
    <w:rsid w:val="2D4507A4"/>
    <w:rsid w:val="2D487560"/>
    <w:rsid w:val="2D620195"/>
    <w:rsid w:val="2D7757A3"/>
    <w:rsid w:val="2DB80943"/>
    <w:rsid w:val="2DDF6745"/>
    <w:rsid w:val="2DFD5F59"/>
    <w:rsid w:val="2E0713A1"/>
    <w:rsid w:val="2E10018A"/>
    <w:rsid w:val="2E244B8E"/>
    <w:rsid w:val="2E3209FB"/>
    <w:rsid w:val="2E3C111E"/>
    <w:rsid w:val="2E480871"/>
    <w:rsid w:val="2E49429D"/>
    <w:rsid w:val="2E4F669A"/>
    <w:rsid w:val="2E561B39"/>
    <w:rsid w:val="2E806273"/>
    <w:rsid w:val="2E81515A"/>
    <w:rsid w:val="2EA41B53"/>
    <w:rsid w:val="2EB35533"/>
    <w:rsid w:val="2EBB1596"/>
    <w:rsid w:val="2EC4406A"/>
    <w:rsid w:val="2EE663B4"/>
    <w:rsid w:val="2F22722D"/>
    <w:rsid w:val="2F321F2F"/>
    <w:rsid w:val="2F4E1E5A"/>
    <w:rsid w:val="2F5F4D08"/>
    <w:rsid w:val="2FD74715"/>
    <w:rsid w:val="2FD8538E"/>
    <w:rsid w:val="2FF256DA"/>
    <w:rsid w:val="300F2DB7"/>
    <w:rsid w:val="30120ECF"/>
    <w:rsid w:val="301F65D1"/>
    <w:rsid w:val="30355F71"/>
    <w:rsid w:val="30387D71"/>
    <w:rsid w:val="30433F48"/>
    <w:rsid w:val="30547627"/>
    <w:rsid w:val="305E5BEE"/>
    <w:rsid w:val="308507BB"/>
    <w:rsid w:val="30951FC1"/>
    <w:rsid w:val="30A67BB9"/>
    <w:rsid w:val="30FE1334"/>
    <w:rsid w:val="3112290E"/>
    <w:rsid w:val="313A5E0A"/>
    <w:rsid w:val="316E567A"/>
    <w:rsid w:val="319F7F4E"/>
    <w:rsid w:val="31D04004"/>
    <w:rsid w:val="31DB0B2E"/>
    <w:rsid w:val="32236BAB"/>
    <w:rsid w:val="329E70DA"/>
    <w:rsid w:val="32A13606"/>
    <w:rsid w:val="32BE3BCE"/>
    <w:rsid w:val="32C16D00"/>
    <w:rsid w:val="32C42DF8"/>
    <w:rsid w:val="32C67EDB"/>
    <w:rsid w:val="32E73C38"/>
    <w:rsid w:val="32ED1F43"/>
    <w:rsid w:val="331C4BD8"/>
    <w:rsid w:val="33221B16"/>
    <w:rsid w:val="33363525"/>
    <w:rsid w:val="335357A5"/>
    <w:rsid w:val="33642D3F"/>
    <w:rsid w:val="33A55B5C"/>
    <w:rsid w:val="33B10F31"/>
    <w:rsid w:val="34031E10"/>
    <w:rsid w:val="341A7C56"/>
    <w:rsid w:val="341E2AE3"/>
    <w:rsid w:val="34291520"/>
    <w:rsid w:val="343563AE"/>
    <w:rsid w:val="343D1CEB"/>
    <w:rsid w:val="345111CD"/>
    <w:rsid w:val="347D4B8D"/>
    <w:rsid w:val="347E0C1A"/>
    <w:rsid w:val="34865FC1"/>
    <w:rsid w:val="35036E82"/>
    <w:rsid w:val="350B6154"/>
    <w:rsid w:val="350F24C8"/>
    <w:rsid w:val="35122898"/>
    <w:rsid w:val="35164988"/>
    <w:rsid w:val="352607E3"/>
    <w:rsid w:val="353B67DF"/>
    <w:rsid w:val="35442F38"/>
    <w:rsid w:val="354E5C7D"/>
    <w:rsid w:val="3554471D"/>
    <w:rsid w:val="359D489E"/>
    <w:rsid w:val="35BA4662"/>
    <w:rsid w:val="35C12FDD"/>
    <w:rsid w:val="35C57AB6"/>
    <w:rsid w:val="36011445"/>
    <w:rsid w:val="362F2B03"/>
    <w:rsid w:val="367758E6"/>
    <w:rsid w:val="367B136A"/>
    <w:rsid w:val="367E23C6"/>
    <w:rsid w:val="368706EC"/>
    <w:rsid w:val="368E2136"/>
    <w:rsid w:val="36990393"/>
    <w:rsid w:val="36B6617E"/>
    <w:rsid w:val="36BF2BAE"/>
    <w:rsid w:val="36C74FD2"/>
    <w:rsid w:val="36DA46C2"/>
    <w:rsid w:val="36E160D5"/>
    <w:rsid w:val="36F90814"/>
    <w:rsid w:val="36FD0BFF"/>
    <w:rsid w:val="371B265B"/>
    <w:rsid w:val="37202B9A"/>
    <w:rsid w:val="37210E6E"/>
    <w:rsid w:val="37524002"/>
    <w:rsid w:val="3754187E"/>
    <w:rsid w:val="375E0DA1"/>
    <w:rsid w:val="37687C05"/>
    <w:rsid w:val="377279DA"/>
    <w:rsid w:val="37930B52"/>
    <w:rsid w:val="37B72747"/>
    <w:rsid w:val="37CB3FB1"/>
    <w:rsid w:val="37CD1A92"/>
    <w:rsid w:val="37D34BE3"/>
    <w:rsid w:val="37D80EEC"/>
    <w:rsid w:val="37DE1F27"/>
    <w:rsid w:val="37E41612"/>
    <w:rsid w:val="37F275E8"/>
    <w:rsid w:val="37F6043E"/>
    <w:rsid w:val="37F675C2"/>
    <w:rsid w:val="3814682D"/>
    <w:rsid w:val="382316B2"/>
    <w:rsid w:val="383028A8"/>
    <w:rsid w:val="383B78AD"/>
    <w:rsid w:val="38540E52"/>
    <w:rsid w:val="38563C3F"/>
    <w:rsid w:val="386355B9"/>
    <w:rsid w:val="3869702E"/>
    <w:rsid w:val="388676DC"/>
    <w:rsid w:val="38A44C87"/>
    <w:rsid w:val="38B3460A"/>
    <w:rsid w:val="38B84B07"/>
    <w:rsid w:val="38BC1630"/>
    <w:rsid w:val="38BD608A"/>
    <w:rsid w:val="38C92277"/>
    <w:rsid w:val="38DA5589"/>
    <w:rsid w:val="38F24FD4"/>
    <w:rsid w:val="38F54AED"/>
    <w:rsid w:val="391E17CD"/>
    <w:rsid w:val="39252EED"/>
    <w:rsid w:val="392F1331"/>
    <w:rsid w:val="393874B1"/>
    <w:rsid w:val="3952242A"/>
    <w:rsid w:val="39731673"/>
    <w:rsid w:val="397E1EDD"/>
    <w:rsid w:val="39BA0236"/>
    <w:rsid w:val="39E632F8"/>
    <w:rsid w:val="39F02E8E"/>
    <w:rsid w:val="39FB29DB"/>
    <w:rsid w:val="3A1630E0"/>
    <w:rsid w:val="3A18180C"/>
    <w:rsid w:val="3A1E72CD"/>
    <w:rsid w:val="3A603CE1"/>
    <w:rsid w:val="3A7D7BAC"/>
    <w:rsid w:val="3A8216CD"/>
    <w:rsid w:val="3A8B2FB6"/>
    <w:rsid w:val="3A8F4CCD"/>
    <w:rsid w:val="3AAB1B61"/>
    <w:rsid w:val="3AC3005B"/>
    <w:rsid w:val="3AF04B18"/>
    <w:rsid w:val="3B01379D"/>
    <w:rsid w:val="3B195F01"/>
    <w:rsid w:val="3B5E3C73"/>
    <w:rsid w:val="3B6B7F5F"/>
    <w:rsid w:val="3B7D264B"/>
    <w:rsid w:val="3B8055B9"/>
    <w:rsid w:val="3B8F6363"/>
    <w:rsid w:val="3B912DAB"/>
    <w:rsid w:val="3BAF46EC"/>
    <w:rsid w:val="3BBE649F"/>
    <w:rsid w:val="3BC0204F"/>
    <w:rsid w:val="3BE1374A"/>
    <w:rsid w:val="3C035233"/>
    <w:rsid w:val="3C077625"/>
    <w:rsid w:val="3C1451F1"/>
    <w:rsid w:val="3C245A08"/>
    <w:rsid w:val="3C2E1CF5"/>
    <w:rsid w:val="3C3D78F3"/>
    <w:rsid w:val="3C493FD1"/>
    <w:rsid w:val="3C587D60"/>
    <w:rsid w:val="3CA562BC"/>
    <w:rsid w:val="3CBC2E2C"/>
    <w:rsid w:val="3CCC3F1E"/>
    <w:rsid w:val="3D036C72"/>
    <w:rsid w:val="3D2E6609"/>
    <w:rsid w:val="3D345300"/>
    <w:rsid w:val="3D594B4A"/>
    <w:rsid w:val="3D5A6DB2"/>
    <w:rsid w:val="3D6E1B2B"/>
    <w:rsid w:val="3D880A01"/>
    <w:rsid w:val="3DAD0E5D"/>
    <w:rsid w:val="3DCE32F2"/>
    <w:rsid w:val="3DD877CF"/>
    <w:rsid w:val="3E023104"/>
    <w:rsid w:val="3E49054C"/>
    <w:rsid w:val="3E4E73E2"/>
    <w:rsid w:val="3E6A048E"/>
    <w:rsid w:val="3E91240D"/>
    <w:rsid w:val="3EA5705D"/>
    <w:rsid w:val="3EAD4B93"/>
    <w:rsid w:val="3EB46583"/>
    <w:rsid w:val="3EE226E0"/>
    <w:rsid w:val="3EF81CED"/>
    <w:rsid w:val="3F54043A"/>
    <w:rsid w:val="3F6216C4"/>
    <w:rsid w:val="3F786B21"/>
    <w:rsid w:val="3F891219"/>
    <w:rsid w:val="3F8D692D"/>
    <w:rsid w:val="3FAE1686"/>
    <w:rsid w:val="3FC76C24"/>
    <w:rsid w:val="3FD864E5"/>
    <w:rsid w:val="3FED4644"/>
    <w:rsid w:val="3FEF100D"/>
    <w:rsid w:val="3FFE47EB"/>
    <w:rsid w:val="400823D5"/>
    <w:rsid w:val="40135BF5"/>
    <w:rsid w:val="40191811"/>
    <w:rsid w:val="401F3EE1"/>
    <w:rsid w:val="404A2479"/>
    <w:rsid w:val="404D042F"/>
    <w:rsid w:val="40736DD3"/>
    <w:rsid w:val="407950C0"/>
    <w:rsid w:val="40807E05"/>
    <w:rsid w:val="40B32B45"/>
    <w:rsid w:val="40B94AD0"/>
    <w:rsid w:val="40BE48F9"/>
    <w:rsid w:val="413939AD"/>
    <w:rsid w:val="414C3DC0"/>
    <w:rsid w:val="41A36228"/>
    <w:rsid w:val="41A82A20"/>
    <w:rsid w:val="41C54E84"/>
    <w:rsid w:val="41EF66E6"/>
    <w:rsid w:val="420070FF"/>
    <w:rsid w:val="42305A70"/>
    <w:rsid w:val="42661138"/>
    <w:rsid w:val="42E34BCB"/>
    <w:rsid w:val="42ED77C8"/>
    <w:rsid w:val="43005A34"/>
    <w:rsid w:val="43033C32"/>
    <w:rsid w:val="430F37B7"/>
    <w:rsid w:val="438F0A92"/>
    <w:rsid w:val="43BC0479"/>
    <w:rsid w:val="43CD473F"/>
    <w:rsid w:val="43F633EF"/>
    <w:rsid w:val="43F67821"/>
    <w:rsid w:val="44343585"/>
    <w:rsid w:val="44512E53"/>
    <w:rsid w:val="44635031"/>
    <w:rsid w:val="447706AD"/>
    <w:rsid w:val="4481352F"/>
    <w:rsid w:val="44885C73"/>
    <w:rsid w:val="44976C84"/>
    <w:rsid w:val="44BC4D0C"/>
    <w:rsid w:val="44CF05E8"/>
    <w:rsid w:val="44D416C1"/>
    <w:rsid w:val="44EA1F06"/>
    <w:rsid w:val="44ED72D0"/>
    <w:rsid w:val="45237F33"/>
    <w:rsid w:val="45246CE5"/>
    <w:rsid w:val="454448DC"/>
    <w:rsid w:val="454A0617"/>
    <w:rsid w:val="458113C4"/>
    <w:rsid w:val="45832573"/>
    <w:rsid w:val="45A9382B"/>
    <w:rsid w:val="45AC72EF"/>
    <w:rsid w:val="45C472E0"/>
    <w:rsid w:val="46001ED9"/>
    <w:rsid w:val="462B3CA6"/>
    <w:rsid w:val="465A29AA"/>
    <w:rsid w:val="46626ADE"/>
    <w:rsid w:val="4666054E"/>
    <w:rsid w:val="467C6F8F"/>
    <w:rsid w:val="468A6DA0"/>
    <w:rsid w:val="468F3B41"/>
    <w:rsid w:val="46BE461C"/>
    <w:rsid w:val="46DF37ED"/>
    <w:rsid w:val="46E36A45"/>
    <w:rsid w:val="46E8610A"/>
    <w:rsid w:val="47013911"/>
    <w:rsid w:val="471D6F2F"/>
    <w:rsid w:val="472102BD"/>
    <w:rsid w:val="472B7A7A"/>
    <w:rsid w:val="47300CC5"/>
    <w:rsid w:val="475414EE"/>
    <w:rsid w:val="47900EA7"/>
    <w:rsid w:val="4796235E"/>
    <w:rsid w:val="47BB36AF"/>
    <w:rsid w:val="47BE4F54"/>
    <w:rsid w:val="483438A2"/>
    <w:rsid w:val="485740B1"/>
    <w:rsid w:val="48BB11C0"/>
    <w:rsid w:val="48E72AFF"/>
    <w:rsid w:val="49654CC5"/>
    <w:rsid w:val="49C65802"/>
    <w:rsid w:val="49E45042"/>
    <w:rsid w:val="49E73F48"/>
    <w:rsid w:val="49F71173"/>
    <w:rsid w:val="4A0362B3"/>
    <w:rsid w:val="4A253C8D"/>
    <w:rsid w:val="4A2E286C"/>
    <w:rsid w:val="4A633739"/>
    <w:rsid w:val="4A68082C"/>
    <w:rsid w:val="4A8E53A2"/>
    <w:rsid w:val="4AE157D8"/>
    <w:rsid w:val="4AE276EC"/>
    <w:rsid w:val="4B1931D8"/>
    <w:rsid w:val="4B2C5D7C"/>
    <w:rsid w:val="4B374DE6"/>
    <w:rsid w:val="4B3C570B"/>
    <w:rsid w:val="4B4B5BA3"/>
    <w:rsid w:val="4B6974D7"/>
    <w:rsid w:val="4B7263DE"/>
    <w:rsid w:val="4BBA4744"/>
    <w:rsid w:val="4BC73DDF"/>
    <w:rsid w:val="4BE57237"/>
    <w:rsid w:val="4BF837E5"/>
    <w:rsid w:val="4C112AEB"/>
    <w:rsid w:val="4C151B5F"/>
    <w:rsid w:val="4C1951E1"/>
    <w:rsid w:val="4C2C7420"/>
    <w:rsid w:val="4C2D07F6"/>
    <w:rsid w:val="4C407FD7"/>
    <w:rsid w:val="4C440E7D"/>
    <w:rsid w:val="4C5507F9"/>
    <w:rsid w:val="4C5971B7"/>
    <w:rsid w:val="4CCB5D96"/>
    <w:rsid w:val="4CDD3E2A"/>
    <w:rsid w:val="4CDF253A"/>
    <w:rsid w:val="4CFE0955"/>
    <w:rsid w:val="4D2602C4"/>
    <w:rsid w:val="4D31116B"/>
    <w:rsid w:val="4D3E5CD2"/>
    <w:rsid w:val="4D4B0C9D"/>
    <w:rsid w:val="4D5F08A5"/>
    <w:rsid w:val="4D8E2497"/>
    <w:rsid w:val="4DB21C68"/>
    <w:rsid w:val="4DB84C18"/>
    <w:rsid w:val="4DC964BF"/>
    <w:rsid w:val="4DD627E3"/>
    <w:rsid w:val="4DD6537C"/>
    <w:rsid w:val="4DF75730"/>
    <w:rsid w:val="4E153D7B"/>
    <w:rsid w:val="4E1E5442"/>
    <w:rsid w:val="4E3C538E"/>
    <w:rsid w:val="4E824FD7"/>
    <w:rsid w:val="4ECE2238"/>
    <w:rsid w:val="4EE005C9"/>
    <w:rsid w:val="4EE3705A"/>
    <w:rsid w:val="4EE92996"/>
    <w:rsid w:val="4EFB33CE"/>
    <w:rsid w:val="4F0029D6"/>
    <w:rsid w:val="4F114F56"/>
    <w:rsid w:val="4F3D2C1A"/>
    <w:rsid w:val="4F476160"/>
    <w:rsid w:val="4F4869B4"/>
    <w:rsid w:val="4F5E157B"/>
    <w:rsid w:val="4FBF52DA"/>
    <w:rsid w:val="4FD84EEF"/>
    <w:rsid w:val="500259E6"/>
    <w:rsid w:val="500C432D"/>
    <w:rsid w:val="50106532"/>
    <w:rsid w:val="5079131A"/>
    <w:rsid w:val="50943135"/>
    <w:rsid w:val="50A80D0C"/>
    <w:rsid w:val="50C11881"/>
    <w:rsid w:val="50E11DA8"/>
    <w:rsid w:val="50FD422E"/>
    <w:rsid w:val="510F404D"/>
    <w:rsid w:val="511D777C"/>
    <w:rsid w:val="51270E9A"/>
    <w:rsid w:val="51547F57"/>
    <w:rsid w:val="516366D6"/>
    <w:rsid w:val="51747405"/>
    <w:rsid w:val="522E0A56"/>
    <w:rsid w:val="52CF78F1"/>
    <w:rsid w:val="52D245DD"/>
    <w:rsid w:val="531B7ECF"/>
    <w:rsid w:val="531C54D4"/>
    <w:rsid w:val="53325191"/>
    <w:rsid w:val="533455B2"/>
    <w:rsid w:val="537F67E0"/>
    <w:rsid w:val="53A4487D"/>
    <w:rsid w:val="53AE313E"/>
    <w:rsid w:val="53EF78A0"/>
    <w:rsid w:val="53FD47F3"/>
    <w:rsid w:val="54040192"/>
    <w:rsid w:val="5407504C"/>
    <w:rsid w:val="541E6075"/>
    <w:rsid w:val="5471427F"/>
    <w:rsid w:val="5478095B"/>
    <w:rsid w:val="548708A5"/>
    <w:rsid w:val="54A7664E"/>
    <w:rsid w:val="54AB06A1"/>
    <w:rsid w:val="54FF0EE4"/>
    <w:rsid w:val="553221DA"/>
    <w:rsid w:val="55673542"/>
    <w:rsid w:val="557D227D"/>
    <w:rsid w:val="55C449E2"/>
    <w:rsid w:val="55DC5152"/>
    <w:rsid w:val="55DF1120"/>
    <w:rsid w:val="55E728A9"/>
    <w:rsid w:val="55F34A2B"/>
    <w:rsid w:val="560874DF"/>
    <w:rsid w:val="56111369"/>
    <w:rsid w:val="561B6300"/>
    <w:rsid w:val="561D6733"/>
    <w:rsid w:val="56277574"/>
    <w:rsid w:val="565E1C9C"/>
    <w:rsid w:val="56A67354"/>
    <w:rsid w:val="56AC6E4D"/>
    <w:rsid w:val="56AF6FE8"/>
    <w:rsid w:val="56B84209"/>
    <w:rsid w:val="56BA7D32"/>
    <w:rsid w:val="56C2047E"/>
    <w:rsid w:val="56C26449"/>
    <w:rsid w:val="56D1425B"/>
    <w:rsid w:val="56EC777E"/>
    <w:rsid w:val="56F32865"/>
    <w:rsid w:val="56FD3FB5"/>
    <w:rsid w:val="57303D19"/>
    <w:rsid w:val="573B163A"/>
    <w:rsid w:val="57757517"/>
    <w:rsid w:val="57842483"/>
    <w:rsid w:val="578454CC"/>
    <w:rsid w:val="579E401C"/>
    <w:rsid w:val="57A70DE1"/>
    <w:rsid w:val="57E36E71"/>
    <w:rsid w:val="57F35338"/>
    <w:rsid w:val="57F532B7"/>
    <w:rsid w:val="57FC14C5"/>
    <w:rsid w:val="581D6464"/>
    <w:rsid w:val="58360FBA"/>
    <w:rsid w:val="585522AA"/>
    <w:rsid w:val="58581611"/>
    <w:rsid w:val="58655C31"/>
    <w:rsid w:val="586E3FD1"/>
    <w:rsid w:val="59004454"/>
    <w:rsid w:val="59212978"/>
    <w:rsid w:val="59372E51"/>
    <w:rsid w:val="593765E8"/>
    <w:rsid w:val="59761DE1"/>
    <w:rsid w:val="5979337E"/>
    <w:rsid w:val="597A344D"/>
    <w:rsid w:val="599007EF"/>
    <w:rsid w:val="59A879EE"/>
    <w:rsid w:val="59DA09F8"/>
    <w:rsid w:val="59E84527"/>
    <w:rsid w:val="59F22592"/>
    <w:rsid w:val="59F41972"/>
    <w:rsid w:val="5A053008"/>
    <w:rsid w:val="5A0C40F9"/>
    <w:rsid w:val="5A300AEA"/>
    <w:rsid w:val="5A316FB1"/>
    <w:rsid w:val="5A466D8E"/>
    <w:rsid w:val="5A512CA2"/>
    <w:rsid w:val="5A6353C5"/>
    <w:rsid w:val="5A9D43F8"/>
    <w:rsid w:val="5AB666E6"/>
    <w:rsid w:val="5ACF7FF2"/>
    <w:rsid w:val="5AD66004"/>
    <w:rsid w:val="5AE600D6"/>
    <w:rsid w:val="5AEE7E20"/>
    <w:rsid w:val="5AFB50A6"/>
    <w:rsid w:val="5B026539"/>
    <w:rsid w:val="5B346C0D"/>
    <w:rsid w:val="5B4046EE"/>
    <w:rsid w:val="5B6C08FD"/>
    <w:rsid w:val="5B7663D0"/>
    <w:rsid w:val="5B965F91"/>
    <w:rsid w:val="5BAF3DD1"/>
    <w:rsid w:val="5BBA0BD9"/>
    <w:rsid w:val="5BD202D0"/>
    <w:rsid w:val="5BD667F3"/>
    <w:rsid w:val="5BDE2321"/>
    <w:rsid w:val="5BEC0F53"/>
    <w:rsid w:val="5C0128C3"/>
    <w:rsid w:val="5C1C1ADC"/>
    <w:rsid w:val="5C275EC9"/>
    <w:rsid w:val="5C3374B2"/>
    <w:rsid w:val="5C4339EE"/>
    <w:rsid w:val="5C604832"/>
    <w:rsid w:val="5C875CDD"/>
    <w:rsid w:val="5CA611D3"/>
    <w:rsid w:val="5CAC796E"/>
    <w:rsid w:val="5CB45030"/>
    <w:rsid w:val="5CB61F52"/>
    <w:rsid w:val="5CC5178C"/>
    <w:rsid w:val="5D042FDB"/>
    <w:rsid w:val="5D0741EA"/>
    <w:rsid w:val="5D1B46C8"/>
    <w:rsid w:val="5D2B0966"/>
    <w:rsid w:val="5D366032"/>
    <w:rsid w:val="5D520AE8"/>
    <w:rsid w:val="5D767D93"/>
    <w:rsid w:val="5D81117D"/>
    <w:rsid w:val="5D8B0EDC"/>
    <w:rsid w:val="5D9739E8"/>
    <w:rsid w:val="5DA26FA2"/>
    <w:rsid w:val="5DB76275"/>
    <w:rsid w:val="5DBF51BF"/>
    <w:rsid w:val="5DEC212F"/>
    <w:rsid w:val="5DF1122E"/>
    <w:rsid w:val="5DFC0C3F"/>
    <w:rsid w:val="5E0C39B7"/>
    <w:rsid w:val="5E431CD0"/>
    <w:rsid w:val="5E4762C5"/>
    <w:rsid w:val="5E4F424E"/>
    <w:rsid w:val="5E58474B"/>
    <w:rsid w:val="5E5F183D"/>
    <w:rsid w:val="5E924AE8"/>
    <w:rsid w:val="5ED0269A"/>
    <w:rsid w:val="5EED52CE"/>
    <w:rsid w:val="5F1F5017"/>
    <w:rsid w:val="5F4766A0"/>
    <w:rsid w:val="5F4E4209"/>
    <w:rsid w:val="5F612585"/>
    <w:rsid w:val="5F740031"/>
    <w:rsid w:val="5F7B1459"/>
    <w:rsid w:val="5F7F55DC"/>
    <w:rsid w:val="5FBE457A"/>
    <w:rsid w:val="5FC17150"/>
    <w:rsid w:val="5FE11C11"/>
    <w:rsid w:val="5FFD6782"/>
    <w:rsid w:val="600439CD"/>
    <w:rsid w:val="600F5ED9"/>
    <w:rsid w:val="601C4DC5"/>
    <w:rsid w:val="602D4489"/>
    <w:rsid w:val="6053681F"/>
    <w:rsid w:val="6054673B"/>
    <w:rsid w:val="608C01B5"/>
    <w:rsid w:val="608E7C29"/>
    <w:rsid w:val="609219E3"/>
    <w:rsid w:val="60EF5E7F"/>
    <w:rsid w:val="6112665C"/>
    <w:rsid w:val="61305AB4"/>
    <w:rsid w:val="616337E8"/>
    <w:rsid w:val="616F6B64"/>
    <w:rsid w:val="617D11FA"/>
    <w:rsid w:val="618B775D"/>
    <w:rsid w:val="619B4AD6"/>
    <w:rsid w:val="61AB5A23"/>
    <w:rsid w:val="61E85144"/>
    <w:rsid w:val="61EF26BD"/>
    <w:rsid w:val="61F25F0D"/>
    <w:rsid w:val="62456FE4"/>
    <w:rsid w:val="625E3A6C"/>
    <w:rsid w:val="626C7628"/>
    <w:rsid w:val="629372B1"/>
    <w:rsid w:val="629D7BF9"/>
    <w:rsid w:val="62C97002"/>
    <w:rsid w:val="62F574AB"/>
    <w:rsid w:val="63145F35"/>
    <w:rsid w:val="631D2568"/>
    <w:rsid w:val="6326361F"/>
    <w:rsid w:val="633A4BA5"/>
    <w:rsid w:val="6356414F"/>
    <w:rsid w:val="6358480A"/>
    <w:rsid w:val="635A1B7D"/>
    <w:rsid w:val="63796F35"/>
    <w:rsid w:val="63800EFE"/>
    <w:rsid w:val="638345E8"/>
    <w:rsid w:val="63A73683"/>
    <w:rsid w:val="63AA3902"/>
    <w:rsid w:val="63AE0741"/>
    <w:rsid w:val="63C331D2"/>
    <w:rsid w:val="64010119"/>
    <w:rsid w:val="64113ABE"/>
    <w:rsid w:val="643E473B"/>
    <w:rsid w:val="6454141E"/>
    <w:rsid w:val="64607301"/>
    <w:rsid w:val="64633167"/>
    <w:rsid w:val="64647C47"/>
    <w:rsid w:val="646B5C41"/>
    <w:rsid w:val="64923007"/>
    <w:rsid w:val="64C32337"/>
    <w:rsid w:val="64CC1048"/>
    <w:rsid w:val="64D24DBD"/>
    <w:rsid w:val="64F05690"/>
    <w:rsid w:val="64F92CA1"/>
    <w:rsid w:val="65307034"/>
    <w:rsid w:val="655F2D97"/>
    <w:rsid w:val="65965427"/>
    <w:rsid w:val="65C25CE9"/>
    <w:rsid w:val="65CA1226"/>
    <w:rsid w:val="65E029DD"/>
    <w:rsid w:val="65F57326"/>
    <w:rsid w:val="66062AD3"/>
    <w:rsid w:val="661943FF"/>
    <w:rsid w:val="66195D0A"/>
    <w:rsid w:val="661C6AD5"/>
    <w:rsid w:val="66962484"/>
    <w:rsid w:val="669D6972"/>
    <w:rsid w:val="66B46DC1"/>
    <w:rsid w:val="66BA2116"/>
    <w:rsid w:val="66FF0222"/>
    <w:rsid w:val="6718560F"/>
    <w:rsid w:val="67392016"/>
    <w:rsid w:val="67787B9A"/>
    <w:rsid w:val="677C380B"/>
    <w:rsid w:val="67863F67"/>
    <w:rsid w:val="678E48A0"/>
    <w:rsid w:val="679D49EE"/>
    <w:rsid w:val="67B0783A"/>
    <w:rsid w:val="67CB7C33"/>
    <w:rsid w:val="67E02655"/>
    <w:rsid w:val="68115405"/>
    <w:rsid w:val="681C4C11"/>
    <w:rsid w:val="684378A9"/>
    <w:rsid w:val="685E3B64"/>
    <w:rsid w:val="686A37FD"/>
    <w:rsid w:val="68B067A8"/>
    <w:rsid w:val="68C9273C"/>
    <w:rsid w:val="68CC62FB"/>
    <w:rsid w:val="68CE5DCF"/>
    <w:rsid w:val="68DE44F9"/>
    <w:rsid w:val="68F721FA"/>
    <w:rsid w:val="692F430D"/>
    <w:rsid w:val="69381252"/>
    <w:rsid w:val="693B5D09"/>
    <w:rsid w:val="697F07A1"/>
    <w:rsid w:val="698F0967"/>
    <w:rsid w:val="699E025F"/>
    <w:rsid w:val="6A300C88"/>
    <w:rsid w:val="6A3D2318"/>
    <w:rsid w:val="6A8D68F4"/>
    <w:rsid w:val="6A9226EC"/>
    <w:rsid w:val="6A9811CC"/>
    <w:rsid w:val="6AA12DCC"/>
    <w:rsid w:val="6AB55E07"/>
    <w:rsid w:val="6AC60007"/>
    <w:rsid w:val="6AE30EE4"/>
    <w:rsid w:val="6AEB5CE5"/>
    <w:rsid w:val="6AF760EF"/>
    <w:rsid w:val="6B076EAF"/>
    <w:rsid w:val="6B1E7761"/>
    <w:rsid w:val="6B2F716B"/>
    <w:rsid w:val="6B394AF4"/>
    <w:rsid w:val="6BC4633E"/>
    <w:rsid w:val="6C00528B"/>
    <w:rsid w:val="6C3E2DE5"/>
    <w:rsid w:val="6C480C6F"/>
    <w:rsid w:val="6C735190"/>
    <w:rsid w:val="6C7B1988"/>
    <w:rsid w:val="6C7F7E8E"/>
    <w:rsid w:val="6CD833A9"/>
    <w:rsid w:val="6CDF3C34"/>
    <w:rsid w:val="6CE00665"/>
    <w:rsid w:val="6CFD6E6C"/>
    <w:rsid w:val="6D0D076F"/>
    <w:rsid w:val="6D3B1EEA"/>
    <w:rsid w:val="6D521302"/>
    <w:rsid w:val="6D7F014E"/>
    <w:rsid w:val="6D8F23B7"/>
    <w:rsid w:val="6D9B5F8D"/>
    <w:rsid w:val="6DA763AA"/>
    <w:rsid w:val="6DAC6AD1"/>
    <w:rsid w:val="6DD35076"/>
    <w:rsid w:val="6DDB5C28"/>
    <w:rsid w:val="6DE06F24"/>
    <w:rsid w:val="6DF71A27"/>
    <w:rsid w:val="6E052AF4"/>
    <w:rsid w:val="6E0B3D12"/>
    <w:rsid w:val="6E0F3D9B"/>
    <w:rsid w:val="6E6241C3"/>
    <w:rsid w:val="6E727E7B"/>
    <w:rsid w:val="6E9A445A"/>
    <w:rsid w:val="6EC613DA"/>
    <w:rsid w:val="6ECC6DE7"/>
    <w:rsid w:val="6EDD7C94"/>
    <w:rsid w:val="6F235417"/>
    <w:rsid w:val="6F6028BC"/>
    <w:rsid w:val="6F78659A"/>
    <w:rsid w:val="6F9F773B"/>
    <w:rsid w:val="6FA64D8A"/>
    <w:rsid w:val="6FD505D8"/>
    <w:rsid w:val="70085ED9"/>
    <w:rsid w:val="700C3FC0"/>
    <w:rsid w:val="703877DD"/>
    <w:rsid w:val="70C27B82"/>
    <w:rsid w:val="70D048BE"/>
    <w:rsid w:val="70E3485B"/>
    <w:rsid w:val="7108585C"/>
    <w:rsid w:val="713D196A"/>
    <w:rsid w:val="7186092C"/>
    <w:rsid w:val="71864E09"/>
    <w:rsid w:val="71913F91"/>
    <w:rsid w:val="719877F3"/>
    <w:rsid w:val="71AE54B0"/>
    <w:rsid w:val="71B806F8"/>
    <w:rsid w:val="71D57288"/>
    <w:rsid w:val="71D60691"/>
    <w:rsid w:val="71D7512D"/>
    <w:rsid w:val="71E95C11"/>
    <w:rsid w:val="72476B73"/>
    <w:rsid w:val="725D1A01"/>
    <w:rsid w:val="726B17BD"/>
    <w:rsid w:val="726F0638"/>
    <w:rsid w:val="72734D90"/>
    <w:rsid w:val="72DA1974"/>
    <w:rsid w:val="72E41496"/>
    <w:rsid w:val="7331058E"/>
    <w:rsid w:val="734404B9"/>
    <w:rsid w:val="734C42D3"/>
    <w:rsid w:val="738F155C"/>
    <w:rsid w:val="739C0AA8"/>
    <w:rsid w:val="73A76452"/>
    <w:rsid w:val="73AA5383"/>
    <w:rsid w:val="73CB10F7"/>
    <w:rsid w:val="73D46914"/>
    <w:rsid w:val="740921A6"/>
    <w:rsid w:val="742219FB"/>
    <w:rsid w:val="74354156"/>
    <w:rsid w:val="743F0E97"/>
    <w:rsid w:val="749809DD"/>
    <w:rsid w:val="74CE0BB5"/>
    <w:rsid w:val="74CF3419"/>
    <w:rsid w:val="74DC7A2A"/>
    <w:rsid w:val="74DE429D"/>
    <w:rsid w:val="74E33F7C"/>
    <w:rsid w:val="74E40FF1"/>
    <w:rsid w:val="74E8251E"/>
    <w:rsid w:val="74F27A74"/>
    <w:rsid w:val="750C0ECA"/>
    <w:rsid w:val="75140D6D"/>
    <w:rsid w:val="75334E78"/>
    <w:rsid w:val="756E7D20"/>
    <w:rsid w:val="756F7EF1"/>
    <w:rsid w:val="757F079D"/>
    <w:rsid w:val="75877220"/>
    <w:rsid w:val="758A24E7"/>
    <w:rsid w:val="759F0339"/>
    <w:rsid w:val="75A17D05"/>
    <w:rsid w:val="75CA27CC"/>
    <w:rsid w:val="75DE6130"/>
    <w:rsid w:val="75E155B5"/>
    <w:rsid w:val="75E743F9"/>
    <w:rsid w:val="760A2974"/>
    <w:rsid w:val="761051A6"/>
    <w:rsid w:val="76816BAD"/>
    <w:rsid w:val="768B5D12"/>
    <w:rsid w:val="76A809F9"/>
    <w:rsid w:val="76CA5AB4"/>
    <w:rsid w:val="77044800"/>
    <w:rsid w:val="770D4204"/>
    <w:rsid w:val="770F214E"/>
    <w:rsid w:val="771A5F15"/>
    <w:rsid w:val="777532EF"/>
    <w:rsid w:val="778321AE"/>
    <w:rsid w:val="77A36332"/>
    <w:rsid w:val="77B514FD"/>
    <w:rsid w:val="77CD2CB1"/>
    <w:rsid w:val="77E53074"/>
    <w:rsid w:val="782117B8"/>
    <w:rsid w:val="78266A35"/>
    <w:rsid w:val="784179B8"/>
    <w:rsid w:val="785B25AF"/>
    <w:rsid w:val="788D35D4"/>
    <w:rsid w:val="78D96D77"/>
    <w:rsid w:val="78EB6342"/>
    <w:rsid w:val="78F32760"/>
    <w:rsid w:val="78FE34A6"/>
    <w:rsid w:val="79141078"/>
    <w:rsid w:val="79165FB7"/>
    <w:rsid w:val="792F0582"/>
    <w:rsid w:val="794F7757"/>
    <w:rsid w:val="79796B68"/>
    <w:rsid w:val="797C707D"/>
    <w:rsid w:val="7984323C"/>
    <w:rsid w:val="79AC19F3"/>
    <w:rsid w:val="79D86DD4"/>
    <w:rsid w:val="7A1100C7"/>
    <w:rsid w:val="7A216DB2"/>
    <w:rsid w:val="7A2E4CCF"/>
    <w:rsid w:val="7A364016"/>
    <w:rsid w:val="7A5700F3"/>
    <w:rsid w:val="7A684890"/>
    <w:rsid w:val="7A7A3D09"/>
    <w:rsid w:val="7A84285F"/>
    <w:rsid w:val="7A870004"/>
    <w:rsid w:val="7A903DDB"/>
    <w:rsid w:val="7A912B7A"/>
    <w:rsid w:val="7A985922"/>
    <w:rsid w:val="7AA91C2F"/>
    <w:rsid w:val="7AA95653"/>
    <w:rsid w:val="7ACE6A81"/>
    <w:rsid w:val="7B127790"/>
    <w:rsid w:val="7B156115"/>
    <w:rsid w:val="7B1950D6"/>
    <w:rsid w:val="7B1E6013"/>
    <w:rsid w:val="7B2466FB"/>
    <w:rsid w:val="7B3251F0"/>
    <w:rsid w:val="7B4B3A91"/>
    <w:rsid w:val="7B4B7A23"/>
    <w:rsid w:val="7B595302"/>
    <w:rsid w:val="7B6C444A"/>
    <w:rsid w:val="7B8661BC"/>
    <w:rsid w:val="7B9B1FB2"/>
    <w:rsid w:val="7BA82B2B"/>
    <w:rsid w:val="7BB035B1"/>
    <w:rsid w:val="7BCC0C5D"/>
    <w:rsid w:val="7BE03F47"/>
    <w:rsid w:val="7BE62DEB"/>
    <w:rsid w:val="7C0403CC"/>
    <w:rsid w:val="7C2410D6"/>
    <w:rsid w:val="7C446CEE"/>
    <w:rsid w:val="7C5C5170"/>
    <w:rsid w:val="7C5D6B84"/>
    <w:rsid w:val="7CA418C7"/>
    <w:rsid w:val="7CA81807"/>
    <w:rsid w:val="7CB640F5"/>
    <w:rsid w:val="7CDE7063"/>
    <w:rsid w:val="7CF77907"/>
    <w:rsid w:val="7CFE4AEB"/>
    <w:rsid w:val="7D32612D"/>
    <w:rsid w:val="7D5938C3"/>
    <w:rsid w:val="7D7854ED"/>
    <w:rsid w:val="7D8F4CC4"/>
    <w:rsid w:val="7DBE68F0"/>
    <w:rsid w:val="7DC91597"/>
    <w:rsid w:val="7DD742EB"/>
    <w:rsid w:val="7DD757A0"/>
    <w:rsid w:val="7DE164EE"/>
    <w:rsid w:val="7DE54839"/>
    <w:rsid w:val="7E1D0CBE"/>
    <w:rsid w:val="7E615CF3"/>
    <w:rsid w:val="7E656BD4"/>
    <w:rsid w:val="7E7F0CCC"/>
    <w:rsid w:val="7E9A5187"/>
    <w:rsid w:val="7EA6718B"/>
    <w:rsid w:val="7EAC2883"/>
    <w:rsid w:val="7EC87EB0"/>
    <w:rsid w:val="7ED0738F"/>
    <w:rsid w:val="7ED0745F"/>
    <w:rsid w:val="7EDD3FF5"/>
    <w:rsid w:val="7EFB2F99"/>
    <w:rsid w:val="7F0332B5"/>
    <w:rsid w:val="7F056FB6"/>
    <w:rsid w:val="7F3E4DE3"/>
    <w:rsid w:val="7F3F64B4"/>
    <w:rsid w:val="7F7249BA"/>
    <w:rsid w:val="7F86046B"/>
    <w:rsid w:val="7F9F0C44"/>
    <w:rsid w:val="7FBE417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正文首行缩进 Char"/>
    <w:basedOn w:val="15"/>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77</Pages>
  <Words>33073</Words>
  <Characters>36227</Characters>
  <Lines>41</Lines>
  <Paragraphs>76</Paragraphs>
  <TotalTime>15</TotalTime>
  <ScaleCrop>false</ScaleCrop>
  <LinksUpToDate>false</LinksUpToDate>
  <CharactersWithSpaces>36341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39845</cp:lastModifiedBy>
  <cp:lastPrinted>2020-07-23T02:58:00Z</cp:lastPrinted>
  <dcterms:modified xsi:type="dcterms:W3CDTF">2023-07-19T02:25:12Z</dcterms:modified>
  <dc:title>四川省***</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0C76A557B9C14A81AAEE4E2C5B224A1E_13</vt:lpwstr>
  </property>
</Properties>
</file>