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tabs>
          <w:tab w:val="left" w:pos="2252"/>
          <w:tab w:val="center" w:pos="4213"/>
        </w:tabs>
        <w:adjustRightInd w:val="0"/>
        <w:snapToGrid w:val="0"/>
        <w:spacing w:line="360" w:lineRule="auto"/>
        <w:jc w:val="left"/>
        <w:outlineLvl w:val="0"/>
        <w:rPr>
          <w:rFonts w:ascii="方正小标宋简体" w:hAnsi="宋体" w:eastAsia="方正小标宋简体"/>
          <w:color w:val="000000"/>
          <w:sz w:val="72"/>
          <w:szCs w:val="72"/>
        </w:rPr>
      </w:pPr>
      <w:bookmarkStart w:id="1" w:name="_Toc15396597"/>
      <w:bookmarkStart w:id="2" w:name="_Toc15377425"/>
      <w:bookmarkStart w:id="3" w:name="_Toc15378441"/>
      <w:bookmarkStart w:id="4" w:name="_Toc15377193"/>
      <w:bookmarkStart w:id="5" w:name="_Toc15396475"/>
      <w:r>
        <w:rPr>
          <w:rFonts w:hint="eastAsia" w:ascii="黑体" w:hAnsi="黑体" w:eastAsia="黑体"/>
          <w:color w:val="000000"/>
          <w:sz w:val="72"/>
          <w:szCs w:val="72"/>
        </w:rPr>
        <w:tab/>
      </w:r>
      <w:r>
        <w:rPr>
          <w:rFonts w:hint="eastAsia" w:ascii="黑体" w:hAnsi="黑体" w:eastAsia="黑体"/>
          <w:color w:val="000000"/>
          <w:sz w:val="72"/>
          <w:szCs w:val="72"/>
        </w:rPr>
        <w:tab/>
      </w:r>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96476"/>
      <w:bookmarkStart w:id="8" w:name="_Toc15377194"/>
      <w:bookmarkStart w:id="9" w:name="_Toc15377426"/>
      <w:bookmarkStart w:id="10" w:name="_Toc15396598"/>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阿坝州红原县环境保护和林业局部门决算</w:t>
      </w:r>
      <w:bookmarkEnd w:id="6"/>
      <w:bookmarkEnd w:id="7"/>
      <w:bookmarkEnd w:id="8"/>
      <w:bookmarkEnd w:id="9"/>
      <w:bookmarkEnd w:id="10"/>
      <w:bookmarkEnd w:id="11"/>
    </w:p>
    <w:p>
      <w:pPr>
        <w:widowControl/>
        <w:jc w:val="left"/>
        <w:rPr>
          <w:rFonts w:ascii="仿宋" w:hAnsi="仿宋" w:eastAsia="仿宋"/>
          <w:color w:val="000000"/>
          <w:sz w:val="24"/>
        </w:rPr>
      </w:pPr>
      <w:r>
        <w:rPr>
          <w:rFonts w:ascii="方正小标宋简体" w:hAnsi="宋体" w:eastAsia="方正小标宋简体"/>
          <w:color w:val="000000"/>
          <w:sz w:val="36"/>
          <w:szCs w:val="36"/>
        </w:rPr>
        <w:br w:type="page"/>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1"/>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rPr>
          <w:rStyle w:val="17"/>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Style w:val="17"/>
          <w:rFonts w:hint="eastAsia" w:ascii="仿宋" w:hAnsi="仿宋" w:eastAsia="仿宋"/>
          <w:sz w:val="28"/>
          <w:szCs w:val="28"/>
        </w:rPr>
        <w:fldChar w:fldCharType="end"/>
      </w:r>
    </w:p>
    <w:p>
      <w:pPr>
        <w:pStyle w:val="11"/>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rPr>
          <w:rStyle w:val="17"/>
          <w:rFonts w:hint="eastAsia"/>
        </w:rP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Style w:val="17"/>
          <w:rFonts w:hint="eastAsia" w:ascii="仿宋" w:hAnsi="仿宋" w:eastAsia="仿宋" w:cstheme="majorBidi"/>
          <w:bCs/>
          <w:sz w:val="28"/>
          <w:szCs w:val="28"/>
        </w:rPr>
        <w:fldChar w:fldCharType="end"/>
      </w:r>
    </w:p>
    <w:p>
      <w:pPr>
        <w:pStyle w:val="11"/>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rPr>
          <w:rStyle w:val="17"/>
          <w:rFonts w:hint="eastAsia"/>
          <w:bCs/>
          <w:kern w:val="44"/>
        </w:rPr>
        <w:fldChar w:fldCharType="end"/>
      </w:r>
    </w:p>
    <w:p>
      <w:pPr>
        <w:pStyle w:val="11"/>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rPr>
          <w:rStyle w:val="17"/>
          <w:rFonts w:hint="eastAsia"/>
          <w:bCs/>
          <w:kern w:val="44"/>
        </w:rP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Style w:val="17"/>
          <w:rFonts w:ascii="仿宋" w:hAnsi="仿宋" w:eastAsia="仿宋"/>
          <w:kern w:val="44"/>
          <w:sz w:val="28"/>
          <w:szCs w:val="28"/>
        </w:rPr>
        <w:fldChar w:fldCharType="end"/>
      </w:r>
    </w:p>
    <w:p>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Style w:val="17"/>
          <w:rFonts w:ascii="仿宋" w:hAnsi="仿宋" w:eastAsia="仿宋"/>
          <w:kern w:val="44"/>
          <w:sz w:val="28"/>
          <w:szCs w:val="28"/>
        </w:rPr>
        <w:fldChar w:fldCharType="end"/>
      </w:r>
    </w:p>
    <w:p>
      <w:pPr>
        <w:pStyle w:val="11"/>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rPr>
          <w:rStyle w:val="17"/>
          <w:rFonts w:hint="eastAsia"/>
          <w:bCs/>
          <w:kern w:val="44"/>
        </w:rP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Style w:val="17"/>
          <w:rFonts w:hint="eastAsia"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Style w:val="17"/>
          <w:rFonts w:hint="eastAsia" w:ascii="仿宋" w:hAnsi="仿宋" w:eastAsia="仿宋"/>
          <w:sz w:val="28"/>
          <w:szCs w:val="28"/>
        </w:rPr>
        <w:fldChar w:fldCharType="end"/>
      </w:r>
    </w:p>
    <w:p>
      <w:pPr>
        <w:pStyle w:val="12"/>
        <w:rPr>
          <w:rStyle w:val="17"/>
          <w:rFonts w:hint="eastAsia"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Style w:val="17"/>
          <w:rFonts w:hint="eastAsia" w:ascii="仿宋" w:hAnsi="仿宋" w:eastAsia="仿宋"/>
          <w:sz w:val="28"/>
          <w:szCs w:val="28"/>
        </w:rPr>
        <w:fldChar w:fldCharType="end"/>
      </w:r>
    </w:p>
    <w:p>
      <w:pPr>
        <w:ind w:firstLine="320" w:firstLineChars="100"/>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十四、整体支出绩效评价打分表</w:t>
      </w:r>
    </w:p>
    <w:p>
      <w:pPr>
        <w:ind w:firstLine="320" w:firstLineChars="100"/>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十五、项目支出绩效评价打分表</w:t>
      </w:r>
    </w:p>
    <w:p/>
    <w:p>
      <w:pPr>
        <w:widowControl/>
        <w:ind w:firstLine="1200" w:firstLineChars="500"/>
        <w:rPr>
          <w:rStyle w:val="26"/>
          <w:rFonts w:ascii="黑体" w:hAnsi="黑体" w:eastAsia="黑体"/>
          <w:b w:val="0"/>
          <w:bCs w:val="0"/>
        </w:rPr>
      </w:pPr>
      <w:r>
        <w:rPr>
          <w:rFonts w:ascii="仿宋" w:hAnsi="仿宋" w:eastAsia="仿宋"/>
          <w:color w:val="000000"/>
          <w:sz w:val="24"/>
        </w:rPr>
        <w:fldChar w:fldCharType="end"/>
      </w:r>
    </w:p>
    <w:p>
      <w:pPr>
        <w:widowControl/>
        <w:ind w:firstLine="2200" w:firstLineChars="500"/>
        <w:rPr>
          <w:rStyle w:val="26"/>
          <w:rFonts w:ascii="黑体" w:hAnsi="黑体" w:eastAsia="黑体"/>
          <w:b w:val="0"/>
          <w:bCs w:val="0"/>
        </w:rPr>
      </w:pPr>
    </w:p>
    <w:p>
      <w:pPr>
        <w:widowControl/>
        <w:ind w:firstLine="2200" w:firstLineChars="500"/>
        <w:rPr>
          <w:rStyle w:val="26"/>
          <w:rFonts w:ascii="黑体" w:hAnsi="黑体" w:eastAsia="黑体"/>
          <w:b w:val="0"/>
          <w:bCs w:val="0"/>
        </w:rPr>
      </w:pPr>
    </w:p>
    <w:p>
      <w:pPr>
        <w:widowControl/>
        <w:ind w:firstLine="2200" w:firstLineChars="500"/>
        <w:rPr>
          <w:rStyle w:val="26"/>
          <w:rFonts w:ascii="黑体" w:hAnsi="黑体" w:eastAsia="黑体"/>
          <w:b w:val="0"/>
          <w:bCs w:val="0"/>
        </w:rPr>
      </w:pPr>
    </w:p>
    <w:p>
      <w:pPr>
        <w:widowControl/>
        <w:ind w:firstLine="2200" w:firstLineChars="500"/>
        <w:rPr>
          <w:rStyle w:val="26"/>
          <w:rFonts w:ascii="黑体" w:hAnsi="黑体" w:eastAsia="黑体"/>
          <w:b w:val="0"/>
          <w:bCs w:val="0"/>
        </w:rPr>
      </w:pPr>
    </w:p>
    <w:p>
      <w:pPr>
        <w:widowControl/>
        <w:ind w:firstLine="2200" w:firstLineChars="500"/>
        <w:rPr>
          <w:rStyle w:val="26"/>
          <w:rFonts w:ascii="黑体" w:hAnsi="黑体" w:eastAsia="黑体"/>
          <w:b w:val="0"/>
          <w:bCs w:val="0"/>
        </w:rPr>
      </w:pPr>
    </w:p>
    <w:p>
      <w:pPr>
        <w:widowControl/>
        <w:ind w:firstLine="2200" w:firstLineChars="500"/>
        <w:rPr>
          <w:rStyle w:val="26"/>
          <w:rFonts w:ascii="黑体" w:hAnsi="黑体" w:eastAsia="黑体"/>
          <w:b w:val="0"/>
          <w:bCs w:val="0"/>
        </w:rPr>
      </w:pPr>
    </w:p>
    <w:p>
      <w:pPr>
        <w:widowControl/>
        <w:ind w:firstLine="2200" w:firstLineChars="500"/>
        <w:rPr>
          <w:rStyle w:val="26"/>
          <w:rFonts w:ascii="黑体" w:hAnsi="黑体" w:eastAsia="黑体"/>
          <w:b w:val="0"/>
          <w:bCs w:val="0"/>
        </w:rPr>
      </w:pPr>
    </w:p>
    <w:p>
      <w:pPr>
        <w:widowControl/>
        <w:ind w:firstLine="2200" w:firstLineChars="500"/>
        <w:rPr>
          <w:rStyle w:val="26"/>
          <w:rFonts w:ascii="黑体" w:hAnsi="黑体" w:eastAsia="黑体"/>
          <w:b w:val="0"/>
          <w:bCs w:val="0"/>
        </w:rPr>
      </w:pPr>
    </w:p>
    <w:p>
      <w:pPr>
        <w:widowControl/>
        <w:ind w:firstLine="2200" w:firstLineChars="500"/>
        <w:rPr>
          <w:rStyle w:val="26"/>
          <w:rFonts w:ascii="黑体" w:hAnsi="黑体" w:eastAsia="黑体"/>
          <w:bCs w:val="0"/>
        </w:rPr>
      </w:pPr>
      <w:r>
        <w:rPr>
          <w:rStyle w:val="26"/>
          <w:rFonts w:hint="eastAsia" w:ascii="黑体" w:hAnsi="黑体" w:eastAsia="黑体"/>
          <w:b w:val="0"/>
          <w:bCs w:val="0"/>
        </w:rPr>
        <w:t>第一部分 部门概况</w:t>
      </w:r>
    </w:p>
    <w:p>
      <w:pPr>
        <w:widowControl/>
        <w:jc w:val="left"/>
        <w:rPr>
          <w:rFonts w:ascii="黑体" w:eastAsia="黑体"/>
          <w:color w:val="000000"/>
          <w:sz w:val="32"/>
          <w:szCs w:val="32"/>
        </w:rPr>
      </w:pPr>
    </w:p>
    <w:p>
      <w:pPr>
        <w:pStyle w:val="3"/>
        <w:rPr>
          <w:rStyle w:val="27"/>
          <w:rFonts w:ascii="仿宋" w:hAnsi="仿宋" w:eastAsia="仿宋"/>
          <w:b w:val="0"/>
          <w:bCs/>
        </w:rPr>
      </w:pPr>
      <w:bookmarkStart w:id="12" w:name="_Toc15396600"/>
      <w:bookmarkStart w:id="13" w:name="_Toc15377197"/>
      <w:r>
        <w:rPr>
          <w:rFonts w:hint="eastAsia" w:ascii="黑体" w:hAnsi="黑体" w:eastAsia="黑体"/>
          <w:b w:val="0"/>
          <w:color w:val="000000"/>
        </w:rPr>
        <w:t>一、基</w:t>
      </w:r>
      <w:r>
        <w:rPr>
          <w:rStyle w:val="27"/>
          <w:rFonts w:hint="eastAsia" w:ascii="黑体" w:hAnsi="黑体" w:eastAsia="黑体"/>
          <w:b w:val="0"/>
          <w:bCs/>
        </w:rPr>
        <w:t>本职能及主要工作</w:t>
      </w:r>
      <w:bookmarkEnd w:id="12"/>
      <w:bookmarkEnd w:id="13"/>
    </w:p>
    <w:p>
      <w:pPr>
        <w:pStyle w:val="6"/>
        <w:adjustRightInd w:val="0"/>
        <w:snapToGrid w:val="0"/>
        <w:spacing w:before="93" w:line="600" w:lineRule="exact"/>
        <w:ind w:firstLine="675" w:firstLineChars="210"/>
        <w:outlineLvl w:val="2"/>
        <w:rPr>
          <w:rFonts w:ascii="仿宋" w:hAnsi="仿宋" w:eastAsia="仿宋"/>
          <w:b/>
          <w:color w:val="000000"/>
          <w:sz w:val="32"/>
          <w:szCs w:val="32"/>
        </w:rPr>
      </w:pPr>
      <w:bookmarkStart w:id="14" w:name="_Toc15378445"/>
      <w:bookmarkStart w:id="15" w:name="_Toc15377198"/>
      <w:r>
        <w:rPr>
          <w:rFonts w:hint="eastAsia" w:ascii="仿宋" w:hAnsi="仿宋" w:eastAsia="仿宋"/>
          <w:b/>
          <w:color w:val="000000"/>
          <w:sz w:val="32"/>
          <w:szCs w:val="32"/>
        </w:rPr>
        <w:t>（一）主要职能</w:t>
      </w:r>
      <w:bookmarkEnd w:id="14"/>
      <w:bookmarkEnd w:id="15"/>
    </w:p>
    <w:p>
      <w:pPr>
        <w:pStyle w:val="6"/>
        <w:adjustRightInd w:val="0"/>
        <w:snapToGrid w:val="0"/>
        <w:spacing w:before="93" w:line="560" w:lineRule="exact"/>
        <w:ind w:firstLine="672" w:firstLineChars="210"/>
        <w:outlineLvl w:val="2"/>
        <w:rPr>
          <w:sz w:val="32"/>
          <w:szCs w:val="32"/>
        </w:rPr>
      </w:pPr>
      <w:r>
        <w:rPr>
          <w:rFonts w:hint="eastAsia" w:ascii="宋体" w:hAnsi="宋体" w:eastAsia="宋体" w:cs="宋体"/>
          <w:color w:val="000000"/>
          <w:sz w:val="32"/>
          <w:szCs w:val="32"/>
          <w:shd w:val="clear" w:color="auto" w:fill="FFFFFF"/>
        </w:rPr>
        <w:t>1.贯彻执行林业及生态建设的法律、法规、规章和方针政策；负责林业及其生态建设的监督管理;负责拟订林业发展战略、中长期规划；承担林业生态文明建设的有关工作。</w:t>
      </w:r>
    </w:p>
    <w:p>
      <w:pPr>
        <w:pStyle w:val="13"/>
        <w:widowControl/>
        <w:snapToGrid w:val="0"/>
        <w:spacing w:before="0" w:beforeAutospacing="0" w:after="0" w:afterAutospacing="0" w:line="560" w:lineRule="exact"/>
        <w:rPr>
          <w:sz w:val="32"/>
          <w:szCs w:val="32"/>
        </w:rPr>
      </w:pPr>
      <w:r>
        <w:rPr>
          <w:rFonts w:hint="eastAsia" w:ascii="宋体" w:hAnsi="宋体" w:cs="宋体"/>
          <w:snapToGrid w:val="0"/>
          <w:color w:val="333333"/>
          <w:sz w:val="32"/>
          <w:szCs w:val="32"/>
          <w:shd w:val="clear" w:color="auto" w:fill="FFFFFF"/>
        </w:rPr>
        <w:t>　　</w:t>
      </w:r>
      <w:r>
        <w:rPr>
          <w:rFonts w:hint="eastAsia" w:ascii="宋体" w:hAnsi="宋体" w:cs="宋体"/>
          <w:color w:val="000000"/>
          <w:sz w:val="32"/>
          <w:szCs w:val="32"/>
          <w:shd w:val="clear" w:color="auto" w:fill="FFFFFF"/>
        </w:rPr>
        <w:t>2.组织、协调、指导和监督造林绿化工作。组织实施植树造林、封山育林和以植树种草等生物措施防治水土流失工作，指导、监督全民义务植树、造林绿化工作；依法负责退耕还林工作；承担林业应对气候变化的相关工作；承担县绿化委员会的日常工作。</w:t>
      </w:r>
    </w:p>
    <w:p>
      <w:pPr>
        <w:pStyle w:val="13"/>
        <w:widowControl/>
        <w:snapToGrid w:val="0"/>
        <w:spacing w:before="0" w:beforeAutospacing="0" w:after="0" w:afterAutospacing="0" w:line="560" w:lineRule="exact"/>
        <w:rPr>
          <w:sz w:val="32"/>
          <w:szCs w:val="32"/>
        </w:rPr>
      </w:pPr>
      <w:r>
        <w:rPr>
          <w:rFonts w:hint="eastAsia" w:ascii="宋体" w:hAnsi="宋体" w:cs="宋体"/>
          <w:snapToGrid w:val="0"/>
          <w:color w:val="333333"/>
          <w:sz w:val="32"/>
          <w:szCs w:val="32"/>
          <w:shd w:val="clear" w:color="auto" w:fill="FFFFFF"/>
        </w:rPr>
        <w:t>　　</w:t>
      </w:r>
      <w:r>
        <w:rPr>
          <w:rFonts w:hint="eastAsia" w:ascii="宋体" w:hAnsi="宋体" w:cs="宋体"/>
          <w:color w:val="000000"/>
          <w:sz w:val="32"/>
          <w:szCs w:val="32"/>
          <w:shd w:val="clear" w:color="auto" w:fill="FFFFFF"/>
        </w:rPr>
        <w:t>3.承担森林资源保护发展监督管理的责任。依法编制、审核森林采伐限额并监督执行，监督管理林（竹）木的凭证采伐、运输和经营加工，负责组织、指导林地、林权管理，负责重点国有林区森林资源资产产权变动的审核，依法承担应由县政府批准的林地征收、征用、占用的初审工作；负责天然林保护工作。</w:t>
      </w:r>
    </w:p>
    <w:p>
      <w:pPr>
        <w:pStyle w:val="13"/>
        <w:widowControl/>
        <w:snapToGrid w:val="0"/>
        <w:spacing w:before="0" w:beforeAutospacing="0" w:after="0" w:afterAutospacing="0" w:line="560" w:lineRule="exact"/>
        <w:rPr>
          <w:sz w:val="32"/>
          <w:szCs w:val="32"/>
        </w:rPr>
      </w:pPr>
      <w:r>
        <w:rPr>
          <w:rFonts w:hint="eastAsia" w:ascii="宋体" w:hAnsi="宋体" w:cs="宋体"/>
          <w:snapToGrid w:val="0"/>
          <w:color w:val="333333"/>
          <w:sz w:val="32"/>
          <w:szCs w:val="32"/>
          <w:shd w:val="clear" w:color="auto" w:fill="FFFFFF"/>
        </w:rPr>
        <w:t>　　</w:t>
      </w:r>
      <w:r>
        <w:rPr>
          <w:rFonts w:hint="eastAsia" w:ascii="宋体" w:hAnsi="宋体" w:cs="宋体"/>
          <w:color w:val="000000"/>
          <w:sz w:val="32"/>
          <w:szCs w:val="32"/>
          <w:shd w:val="clear" w:color="auto" w:fill="FFFFFF"/>
        </w:rPr>
        <w:t>4.组织、协调、指导和监督湿地保护工作。拟订湿地保护规划，组织实施湿地保护小区、湿地公园等保护管理工作，监督湿地的合理利用。</w:t>
      </w:r>
    </w:p>
    <w:p>
      <w:pPr>
        <w:pStyle w:val="13"/>
        <w:widowControl/>
        <w:snapToGrid w:val="0"/>
        <w:spacing w:before="0" w:beforeAutospacing="0" w:after="0" w:afterAutospacing="0" w:line="560" w:lineRule="exact"/>
        <w:rPr>
          <w:sz w:val="32"/>
          <w:szCs w:val="32"/>
        </w:rPr>
      </w:pPr>
      <w:r>
        <w:rPr>
          <w:rFonts w:hint="eastAsia" w:ascii="宋体" w:hAnsi="宋体" w:cs="宋体"/>
          <w:snapToGrid w:val="0"/>
          <w:color w:val="333333"/>
          <w:sz w:val="32"/>
          <w:szCs w:val="32"/>
          <w:shd w:val="clear" w:color="auto" w:fill="FFFFFF"/>
        </w:rPr>
        <w:t>　　</w:t>
      </w:r>
      <w:r>
        <w:rPr>
          <w:rFonts w:hint="eastAsia" w:ascii="宋体" w:hAnsi="宋体" w:cs="宋体"/>
          <w:color w:val="000000"/>
          <w:sz w:val="32"/>
          <w:szCs w:val="32"/>
          <w:shd w:val="clear" w:color="auto" w:fill="FFFFFF"/>
        </w:rPr>
        <w:t>5.组织、协调、指导和监督石漠化治理工作。组织拟订并实施石漠化治理保护区建设规划。</w:t>
      </w:r>
    </w:p>
    <w:p>
      <w:pPr>
        <w:pStyle w:val="6"/>
        <w:adjustRightInd w:val="0"/>
        <w:snapToGrid w:val="0"/>
        <w:spacing w:before="93" w:line="560" w:lineRule="exact"/>
        <w:ind w:firstLine="672" w:firstLineChars="210"/>
        <w:outlineLvl w:val="2"/>
        <w:rPr>
          <w:rFonts w:ascii="仿宋" w:hAnsi="仿宋" w:eastAsia="仿宋"/>
          <w:bCs/>
          <w:color w:val="000000"/>
          <w:sz w:val="32"/>
          <w:szCs w:val="32"/>
        </w:rPr>
      </w:pPr>
    </w:p>
    <w:p>
      <w:pPr>
        <w:pStyle w:val="6"/>
        <w:adjustRightInd w:val="0"/>
        <w:snapToGrid w:val="0"/>
        <w:spacing w:before="93" w:line="560" w:lineRule="exact"/>
        <w:ind w:firstLine="675" w:firstLineChars="210"/>
        <w:outlineLvl w:val="2"/>
        <w:rPr>
          <w:rFonts w:ascii="仿宋" w:hAnsi="仿宋" w:eastAsia="仿宋"/>
          <w:b/>
          <w:color w:val="000000"/>
          <w:sz w:val="32"/>
          <w:szCs w:val="32"/>
        </w:rPr>
      </w:pPr>
      <w:bookmarkStart w:id="16" w:name="_Toc15378446"/>
      <w:bookmarkStart w:id="17" w:name="_Toc15377199"/>
      <w:r>
        <w:rPr>
          <w:rFonts w:hint="eastAsia" w:ascii="仿宋" w:hAnsi="仿宋" w:eastAsia="仿宋"/>
          <w:b/>
          <w:color w:val="000000"/>
          <w:sz w:val="32"/>
          <w:szCs w:val="32"/>
        </w:rPr>
        <w:t>（二）</w:t>
      </w:r>
      <w:r>
        <w:rPr>
          <w:rFonts w:ascii="仿宋" w:hAnsi="仿宋" w:eastAsia="仿宋"/>
          <w:b/>
          <w:color w:val="000000"/>
          <w:sz w:val="32"/>
          <w:szCs w:val="32"/>
        </w:rPr>
        <w:t>201</w:t>
      </w:r>
      <w:r>
        <w:rPr>
          <w:rFonts w:hint="eastAsia" w:ascii="仿宋" w:hAnsi="仿宋" w:eastAsia="仿宋"/>
          <w:b/>
          <w:color w:val="000000"/>
          <w:sz w:val="32"/>
          <w:szCs w:val="32"/>
        </w:rPr>
        <w:t>8年重点工作完成情况。</w:t>
      </w:r>
      <w:bookmarkEnd w:id="16"/>
      <w:bookmarkEnd w:id="17"/>
    </w:p>
    <w:p>
      <w:pPr>
        <w:snapToGrid w:val="0"/>
        <w:spacing w:line="56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rPr>
        <w:t>沙化土地治理项目</w:t>
      </w:r>
      <w:r>
        <w:rPr>
          <w:rFonts w:hint="eastAsia" w:ascii="仿宋_GB2312" w:hAnsi="仿宋" w:eastAsia="仿宋_GB2312"/>
          <w:sz w:val="32"/>
          <w:szCs w:val="32"/>
          <w:lang w:val="zh-CN"/>
        </w:rPr>
        <w:t>绩效情况</w:t>
      </w:r>
      <w:r>
        <w:rPr>
          <w:rFonts w:hint="eastAsia" w:ascii="仿宋_GB2312" w:hAnsi="仿宋" w:eastAsia="仿宋_GB2312"/>
          <w:sz w:val="32"/>
          <w:szCs w:val="32"/>
          <w:lang w:val="zh-CN"/>
        </w:rPr>
        <w:tab/>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（1）目标质量完成情况</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项目计划目标，项目按国家基本建设程序实行工程管理。在项目的建设过程中，林业局统一调配相关部门的人员，定期对技术管理人员和现场施工人员进行技术培训，严格按照设计组织施工，协同工程监理等部门对项目建设进行管理，以确保工程建设进度、质量，并按有关规定进行项目验收制度，确保工程质量合格。</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按照实施方案项目进度计划，现已完成林草植被恢复点播灌木种子+种草面积1009.00hm2；配套设施建设封禁沙化面积855.02hm2，新建围栏23.40km；设置宣传碑牌1座。2017年8月底，通过了相关单位组成的验收小组的验收。</w:t>
      </w:r>
    </w:p>
    <w:p>
      <w:pPr>
        <w:snapToGrid w:val="0"/>
        <w:spacing w:line="56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w:t>
      </w:r>
      <w:r>
        <w:rPr>
          <w:rFonts w:hint="eastAsia" w:ascii="仿宋_GB2312" w:hAnsi="仿宋" w:eastAsia="仿宋_GB2312"/>
          <w:sz w:val="32"/>
          <w:szCs w:val="32"/>
        </w:rPr>
        <w:t>2</w:t>
      </w:r>
      <w:r>
        <w:rPr>
          <w:rFonts w:hint="eastAsia" w:ascii="仿宋_GB2312" w:hAnsi="仿宋" w:eastAsia="仿宋_GB2312"/>
          <w:sz w:val="32"/>
          <w:szCs w:val="32"/>
          <w:lang w:val="zh-CN"/>
        </w:rPr>
        <w:t>）项目效益情况</w:t>
      </w:r>
    </w:p>
    <w:p>
      <w:pPr>
        <w:snapToGrid w:val="0"/>
        <w:spacing w:line="56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rPr>
        <w:t>1.</w:t>
      </w:r>
      <w:r>
        <w:rPr>
          <w:rFonts w:hint="eastAsia" w:ascii="仿宋_GB2312" w:hAnsi="仿宋" w:eastAsia="仿宋_GB2312"/>
          <w:sz w:val="32"/>
          <w:szCs w:val="32"/>
          <w:lang w:val="zh-CN"/>
        </w:rPr>
        <w:t>生态效益</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本次涉及川西藏区生态保护与建设工程沙化土地治理面</w:t>
      </w:r>
      <w:bookmarkStart w:id="18" w:name="_Toc65055359"/>
      <w:bookmarkStart w:id="19" w:name="_Toc184366825"/>
      <w:bookmarkStart w:id="20" w:name="_Toc213210602"/>
      <w:r>
        <w:rPr>
          <w:rFonts w:hint="eastAsia" w:ascii="仿宋_GB2312" w:hAnsi="仿宋" w:eastAsia="仿宋_GB2312"/>
          <w:sz w:val="32"/>
          <w:szCs w:val="32"/>
        </w:rPr>
        <w:t>积1009.00hm</w:t>
      </w:r>
      <w:bookmarkEnd w:id="18"/>
      <w:bookmarkEnd w:id="19"/>
      <w:bookmarkEnd w:id="20"/>
      <w:r>
        <w:rPr>
          <w:rFonts w:hint="eastAsia" w:ascii="仿宋_GB2312" w:hAnsi="仿宋" w:eastAsia="仿宋_GB2312"/>
          <w:sz w:val="32"/>
          <w:szCs w:val="32"/>
        </w:rPr>
        <w:t>2，通过项目的实施，实施川西藏区生态保护与建设工程沙化土地治理项目的建设，将有效恢复和修复沙化土地的生态功能，地面植被将逐步恢复，覆盖度得到提高，有效地拦截雨水，提高水源涵养能力，并促进生物多样性保护，实现生态系统良性循环，人与自然和谐共处。</w:t>
      </w:r>
    </w:p>
    <w:p>
      <w:pPr>
        <w:snapToGrid w:val="0"/>
        <w:spacing w:line="56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rPr>
        <w:t>2.</w:t>
      </w:r>
      <w:r>
        <w:rPr>
          <w:rFonts w:hint="eastAsia" w:ascii="仿宋_GB2312" w:hAnsi="仿宋" w:eastAsia="仿宋_GB2312"/>
          <w:sz w:val="32"/>
          <w:szCs w:val="32"/>
          <w:lang w:val="zh-CN"/>
        </w:rPr>
        <w:t>社会效益</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开展沙化土地治理项目，将促进农牧业产业结构调整、优化，引导牧民从靠天养畜、掠夺式经营向建设养畜、科学利用草地资源转变，并有效地将环境保护、畜牧业结构调整、地方经济发展等结合起来，提高畜牧业科技水平，提供社会就业机会，增加试点区村民的劳务收入，繁荣地方经济；同时，随着项目的实施，区域生态环境的改善，将促进旅游等二、三产业发展，带动地区经济的可持续发展，加快该地区小康建设步伐，实现各民族共同富裕，促进社会、经济、文化全面进步。</w:t>
      </w:r>
    </w:p>
    <w:p>
      <w:pPr>
        <w:snapToGrid w:val="0"/>
        <w:spacing w:line="56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rPr>
        <w:t>3.</w:t>
      </w:r>
      <w:r>
        <w:rPr>
          <w:rFonts w:hint="eastAsia" w:ascii="仿宋_GB2312" w:hAnsi="仿宋" w:eastAsia="仿宋_GB2312"/>
          <w:sz w:val="32"/>
          <w:szCs w:val="32"/>
          <w:lang w:val="zh-CN"/>
        </w:rPr>
        <w:t>经济效益</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通过沙化治理，引导和培育沙产业，在改善生态环境的同时也促进区域的经济发展，同时随着工程的开展，将会产生大量的劳务用工，增加治理区农牧民的劳务收入，产生一定直接经济效益。初步测算工程建设将会产生约1867个劳务用工，增加当地劳务收入约32.73万元。同时，有机肥是当地丰富的可再生资源，当地农牧民通过收集后卖给项目实施单位，也会为当地农牧民带来收入。工程实施后，治理区间接经济效益主要体现在林草植被本身具有的涵养水源、固土保肥、碳氧平衡，自然灾害减少，提高单位产草量，推动畜牧业良性发展等。</w:t>
      </w:r>
    </w:p>
    <w:p>
      <w:pPr>
        <w:snapToGrid w:val="0"/>
        <w:spacing w:line="56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rPr>
        <w:t>湿地补偿</w:t>
      </w:r>
      <w:r>
        <w:rPr>
          <w:rFonts w:hint="eastAsia" w:ascii="仿宋_GB2312" w:hAnsi="仿宋" w:eastAsia="仿宋_GB2312"/>
          <w:sz w:val="32"/>
          <w:szCs w:val="32"/>
          <w:lang w:val="zh-CN"/>
        </w:rPr>
        <w:t>项目绩效情况</w:t>
      </w:r>
      <w:r>
        <w:rPr>
          <w:rFonts w:hint="eastAsia" w:ascii="仿宋_GB2312" w:hAnsi="仿宋" w:eastAsia="仿宋_GB2312"/>
          <w:sz w:val="32"/>
          <w:szCs w:val="32"/>
          <w:lang w:val="zh-CN"/>
        </w:rPr>
        <w:tab/>
      </w:r>
    </w:p>
    <w:p>
      <w:pPr>
        <w:snapToGrid w:val="0"/>
        <w:spacing w:line="56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w:t>
      </w:r>
      <w:r>
        <w:rPr>
          <w:rFonts w:hint="eastAsia" w:ascii="仿宋_GB2312" w:hAnsi="仿宋" w:eastAsia="仿宋_GB2312"/>
          <w:sz w:val="32"/>
          <w:szCs w:val="32"/>
        </w:rPr>
        <w:t>1</w:t>
      </w:r>
      <w:r>
        <w:rPr>
          <w:rFonts w:hint="eastAsia" w:ascii="仿宋_GB2312" w:hAnsi="仿宋" w:eastAsia="仿宋_GB2312"/>
          <w:sz w:val="32"/>
          <w:szCs w:val="32"/>
          <w:lang w:val="zh-CN"/>
        </w:rPr>
        <w:t>）项目完成情况。</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2016年12月，州财政局《下达2016年省级（阿州财农〔2016〕131号），组织相关人员编制完成《2016年年度四川省红原县省级湿地生态补偿实施方案》，并于2017年5月获得州林业局、州财政局的批复，随即组织各乡镇开展工作，2017年9月完成县乡、乡村级目标责任书的签订，10月审定生态补偿人员并进行公示。预计2017年11月将由县级验收小组对各乡镇湿地生态补偿工作开展情况及牧户管护情况进行验收，待验收合格后，由金融机构通过“一卡通”的形式兑现资金。</w:t>
      </w:r>
    </w:p>
    <w:p>
      <w:pPr>
        <w:snapToGrid w:val="0"/>
        <w:spacing w:line="56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w:t>
      </w:r>
      <w:r>
        <w:rPr>
          <w:rFonts w:hint="eastAsia" w:ascii="仿宋_GB2312" w:hAnsi="仿宋" w:eastAsia="仿宋_GB2312"/>
          <w:sz w:val="32"/>
          <w:szCs w:val="32"/>
        </w:rPr>
        <w:t>2</w:t>
      </w:r>
      <w:r>
        <w:rPr>
          <w:rFonts w:hint="eastAsia" w:ascii="仿宋_GB2312" w:hAnsi="仿宋" w:eastAsia="仿宋_GB2312"/>
          <w:sz w:val="32"/>
          <w:szCs w:val="32"/>
          <w:lang w:val="zh-CN"/>
        </w:rPr>
        <w:t>）项目效益情况。</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1．生态效益</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2.社会效益</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3.经济效益</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湿地生态补偿工作结合精准扶贫，有效帮扶了一批贫困户，提高了牧户收入，此次补偿工作共计6281户，共兑现资金1438.6万元，平均每户每年增加收入2290.39元。其中贫困户696户，兑现资金约185.88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numPr>
          <w:ilvl w:val="0"/>
          <w:numId w:val="1"/>
        </w:num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概述本单位整体支出绩效目标实现情况</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我单位严格按照国家的法律法规加强预算管理，大力提倡勤俭节约，坚持把有限的经费用在农牧业发展工作中，坚持财政预算管理制度务，坚持“以收定支”，做好预算支出及执行情况调度，对会计工作的事前、事中、事后的监督，确保了会计的延续性，做到每笔支出有据可查、有法可依，确保了 “三公”经费预算支出在严格控制在预算内，严格财经纪律，严格财务制度严格审批程序，确定支出都符合相关的要求，通过以上这些措施，较好地保证了财务管理工作和资金使用效率。</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7"/>
          <w:b w:val="0"/>
          <w:bCs w:val="0"/>
        </w:rPr>
      </w:pPr>
      <w:bookmarkStart w:id="21" w:name="_Toc15377200"/>
      <w:bookmarkStart w:id="22"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1"/>
      <w:bookmarkEnd w:id="22"/>
    </w:p>
    <w:p>
      <w:pPr>
        <w:ind w:firstLine="640" w:firstLineChars="200"/>
        <w:rPr>
          <w:rFonts w:ascii="仿宋" w:hAnsi="仿宋" w:eastAsia="仿宋"/>
          <w:color w:val="000000"/>
          <w:sz w:val="32"/>
          <w:szCs w:val="32"/>
        </w:rPr>
      </w:pPr>
      <w:r>
        <w:rPr>
          <w:rFonts w:hint="eastAsia" w:ascii="仿宋" w:hAnsi="仿宋" w:eastAsia="仿宋"/>
          <w:sz w:val="32"/>
          <w:szCs w:val="32"/>
        </w:rPr>
        <w:t>红原县环境保护和林业局为行政单位，下属事业单位1个，为红原县噶曲国家湿地公园管理局，</w:t>
      </w:r>
      <w:r>
        <w:rPr>
          <w:rFonts w:hint="eastAsia" w:ascii="仿宋" w:hAnsi="仿宋" w:eastAsia="仿宋"/>
          <w:color w:val="000000"/>
          <w:sz w:val="32"/>
          <w:szCs w:val="32"/>
        </w:rPr>
        <w:t>纳入红原县环境保和和林业局2018年度部门决算编制。</w:t>
      </w:r>
    </w:p>
    <w:p>
      <w:pPr>
        <w:pStyle w:val="6"/>
        <w:adjustRightInd w:val="0"/>
        <w:snapToGrid w:val="0"/>
        <w:spacing w:before="93" w:line="600" w:lineRule="exact"/>
        <w:outlineLvl w:val="2"/>
        <w:rPr>
          <w:rFonts w:ascii="仿宋" w:hAnsi="仿宋" w:eastAsia="仿宋"/>
          <w:color w:val="000000"/>
          <w:sz w:val="32"/>
          <w:szCs w:val="32"/>
        </w:rPr>
      </w:pPr>
    </w:p>
    <w:p>
      <w:pPr>
        <w:numPr>
          <w:ilvl w:val="0"/>
          <w:numId w:val="2"/>
        </w:numPr>
        <w:spacing w:line="580" w:lineRule="exact"/>
        <w:rPr>
          <w:rFonts w:ascii="仿宋" w:hAnsi="仿宋" w:eastAsia="仿宋" w:cs="仿宋_GB2312"/>
          <w:b/>
          <w:bCs/>
          <w:sz w:val="32"/>
          <w:szCs w:val="32"/>
        </w:rPr>
      </w:pPr>
      <w:r>
        <w:rPr>
          <w:rFonts w:ascii="仿宋" w:hAnsi="仿宋" w:eastAsia="仿宋" w:cs="仿宋_GB2312"/>
          <w:b/>
          <w:bCs/>
          <w:sz w:val="32"/>
          <w:szCs w:val="32"/>
        </w:rPr>
        <w:t>人员概况</w:t>
      </w:r>
    </w:p>
    <w:p>
      <w:pPr>
        <w:spacing w:line="580" w:lineRule="exact"/>
        <w:ind w:firstLine="320" w:firstLineChars="100"/>
        <w:rPr>
          <w:rFonts w:ascii="仿宋" w:hAnsi="仿宋" w:eastAsia="仿宋"/>
          <w:color w:val="000000"/>
          <w:sz w:val="32"/>
          <w:szCs w:val="32"/>
        </w:rPr>
      </w:pPr>
      <w:r>
        <w:rPr>
          <w:rFonts w:hint="eastAsia" w:ascii="仿宋" w:hAnsi="仿宋" w:eastAsia="仿宋" w:cs="仿宋_GB2312"/>
          <w:sz w:val="32"/>
          <w:szCs w:val="32"/>
        </w:rPr>
        <w:t xml:space="preserve"> </w:t>
      </w:r>
      <w:r>
        <w:rPr>
          <w:rFonts w:hint="eastAsia" w:ascii="仿宋" w:hAnsi="仿宋" w:eastAsia="仿宋"/>
          <w:color w:val="000000"/>
          <w:sz w:val="32"/>
          <w:szCs w:val="32"/>
        </w:rPr>
        <w:t>我单位共有编制91个，其中公务员编制10个，行政工勤编制1个，事业编制80个，在职82人，其中参公4人，行政工勤1人，公务员10人，事业编制67人。</w:t>
      </w:r>
    </w:p>
    <w:p>
      <w:pPr>
        <w:pStyle w:val="6"/>
        <w:adjustRightInd w:val="0"/>
        <w:snapToGrid w:val="0"/>
        <w:spacing w:before="93" w:line="600" w:lineRule="exact"/>
        <w:ind w:firstLine="672" w:firstLineChars="210"/>
        <w:rPr>
          <w:rFonts w:ascii="仿宋" w:hAnsi="仿宋" w:eastAsia="仿宋"/>
          <w:color w:val="000000"/>
          <w:sz w:val="32"/>
          <w:szCs w:val="32"/>
        </w:rPr>
      </w:pP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6"/>
          <w:rFonts w:ascii="黑体" w:hAnsi="黑体" w:eastAsia="黑体"/>
          <w:b w:val="0"/>
          <w:bCs w:val="0"/>
        </w:rPr>
      </w:pPr>
      <w:bookmarkStart w:id="23" w:name="_Toc15396602"/>
      <w:bookmarkStart w:id="24"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2018年度部门决算情况说明</w:t>
      </w:r>
      <w:bookmarkEnd w:id="23"/>
      <w:bookmarkEnd w:id="24"/>
    </w:p>
    <w:p/>
    <w:p>
      <w:pPr>
        <w:pStyle w:val="25"/>
        <w:numPr>
          <w:ilvl w:val="0"/>
          <w:numId w:val="3"/>
        </w:numPr>
        <w:spacing w:line="600" w:lineRule="exact"/>
        <w:ind w:firstLineChars="0"/>
        <w:outlineLvl w:val="1"/>
        <w:rPr>
          <w:rStyle w:val="27"/>
          <w:rFonts w:ascii="黑体" w:hAnsi="黑体" w:eastAsia="黑体"/>
          <w:b w:val="0"/>
        </w:rPr>
      </w:pPr>
      <w:bookmarkStart w:id="25" w:name="_Toc15377205"/>
      <w:bookmarkStart w:id="26"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5"/>
      <w:bookmarkEnd w:id="26"/>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w:t>
      </w:r>
      <w:r>
        <w:rPr>
          <w:rFonts w:hint="eastAsia" w:ascii="仿宋" w:hAnsi="仿宋" w:eastAsia="仿宋"/>
          <w:color w:val="000000" w:themeColor="text1"/>
          <w:sz w:val="32"/>
          <w:szCs w:val="32"/>
        </w:rPr>
        <w:t>收入8340.53万元、支出6579.65万元</w:t>
      </w:r>
      <w:r>
        <w:rPr>
          <w:rFonts w:hint="eastAsia" w:ascii="仿宋" w:hAnsi="仿宋" w:eastAsia="仿宋"/>
          <w:color w:val="000000"/>
          <w:sz w:val="32"/>
          <w:szCs w:val="32"/>
        </w:rPr>
        <w:t>。与2017年相比，收入增加1652.53万元，增长25%，支出增加1154.65万元，</w:t>
      </w:r>
      <w:r>
        <w:rPr>
          <w:rFonts w:hint="eastAsia" w:ascii="仿宋" w:hAnsi="仿宋" w:eastAsia="仿宋"/>
          <w:color w:val="000000" w:themeColor="text1"/>
          <w:sz w:val="32"/>
          <w:szCs w:val="32"/>
        </w:rPr>
        <w:t>增长21%。</w:t>
      </w:r>
      <w:r>
        <w:rPr>
          <w:rFonts w:hint="eastAsia" w:ascii="仿宋" w:hAnsi="仿宋" w:eastAsia="仿宋"/>
          <w:color w:val="000000"/>
          <w:sz w:val="32"/>
          <w:szCs w:val="32"/>
        </w:rPr>
        <w:t>主要变动原因是上调工资，项目资金增加。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drawing>
          <wp:inline distT="0" distB="0" distL="114300" distR="114300">
            <wp:extent cx="4590415" cy="2761615"/>
            <wp:effectExtent l="0" t="0" r="635" b="635"/>
            <wp:docPr id="18" name="图片 18"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6"/>
                    <pic:cNvPicPr>
                      <a:picLocks noChangeAspect="1"/>
                    </pic:cNvPicPr>
                  </pic:nvPicPr>
                  <pic:blipFill>
                    <a:blip r:embed="rId6"/>
                    <a:stretch>
                      <a:fillRect/>
                    </a:stretch>
                  </pic:blipFill>
                  <pic:spPr>
                    <a:xfrm>
                      <a:off x="0" y="0"/>
                      <a:ext cx="4590415" cy="2761615"/>
                    </a:xfrm>
                    <a:prstGeom prst="rect">
                      <a:avLst/>
                    </a:prstGeom>
                  </pic:spPr>
                </pic:pic>
              </a:graphicData>
            </a:graphic>
          </wp:inline>
        </w:drawing>
      </w:r>
    </w:p>
    <w:p>
      <w:pPr>
        <w:pStyle w:val="25"/>
        <w:numPr>
          <w:ilvl w:val="0"/>
          <w:numId w:val="3"/>
        </w:numPr>
        <w:spacing w:line="600" w:lineRule="exact"/>
        <w:ind w:firstLineChars="0"/>
        <w:outlineLvl w:val="1"/>
        <w:rPr>
          <w:rStyle w:val="27"/>
          <w:rFonts w:ascii="黑体" w:hAnsi="黑体" w:eastAsia="黑体"/>
          <w:b w:val="0"/>
        </w:rPr>
      </w:pPr>
      <w:bookmarkStart w:id="27" w:name="_Toc15377206"/>
      <w:bookmarkStart w:id="28"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27"/>
      <w:bookmarkEnd w:id="28"/>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8年本年收入合计8340.53万元，其中：一般公共预算财政拨款收入8340.45万元，占99.99</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；其他收入0.08万元，占0.01</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inline distT="0" distB="0" distL="114300" distR="114300">
            <wp:extent cx="4590415" cy="2761615"/>
            <wp:effectExtent l="0" t="0" r="635" b="635"/>
            <wp:docPr id="15" name="图片 15"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3"/>
                    <pic:cNvPicPr>
                      <a:picLocks noChangeAspect="1"/>
                    </pic:cNvPicPr>
                  </pic:nvPicPr>
                  <pic:blipFill>
                    <a:blip r:embed="rId7"/>
                    <a:stretch>
                      <a:fillRect/>
                    </a:stretch>
                  </pic:blipFill>
                  <pic:spPr>
                    <a:xfrm>
                      <a:off x="0" y="0"/>
                      <a:ext cx="4590415" cy="2761615"/>
                    </a:xfrm>
                    <a:prstGeom prst="rect">
                      <a:avLst/>
                    </a:prstGeom>
                  </pic:spPr>
                </pic:pic>
              </a:graphicData>
            </a:graphic>
          </wp:inline>
        </w:drawing>
      </w:r>
    </w:p>
    <w:p>
      <w:pPr>
        <w:spacing w:line="600" w:lineRule="exact"/>
        <w:ind w:firstLine="640" w:firstLineChars="200"/>
        <w:rPr>
          <w:rFonts w:ascii="仿宋_GB2312" w:eastAsia="仿宋_GB2312"/>
          <w:color w:val="FF0000"/>
          <w:sz w:val="32"/>
          <w:szCs w:val="32"/>
        </w:rPr>
      </w:pPr>
    </w:p>
    <w:p>
      <w:pPr>
        <w:pStyle w:val="25"/>
        <w:numPr>
          <w:ilvl w:val="0"/>
          <w:numId w:val="3"/>
        </w:numPr>
        <w:spacing w:line="600" w:lineRule="exact"/>
        <w:ind w:firstLineChars="0"/>
        <w:outlineLvl w:val="1"/>
        <w:rPr>
          <w:rStyle w:val="27"/>
          <w:rFonts w:ascii="黑体" w:hAnsi="黑体" w:eastAsia="黑体"/>
          <w:b w:val="0"/>
        </w:rPr>
      </w:pPr>
      <w:bookmarkStart w:id="29" w:name="_Toc15377207"/>
      <w:bookmarkStart w:id="30"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9"/>
      <w:bookmarkEnd w:id="30"/>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8年本年支出合计6579.65万元，其中：基本支出1622.10万元，占24.65</w:t>
      </w:r>
      <w:r>
        <w:rPr>
          <w:rFonts w:ascii="仿宋" w:hAnsi="仿宋" w:eastAsia="仿宋"/>
          <w:color w:val="000000"/>
          <w:sz w:val="32"/>
          <w:szCs w:val="32"/>
        </w:rPr>
        <w:t>%</w:t>
      </w:r>
      <w:r>
        <w:rPr>
          <w:rFonts w:hint="eastAsia" w:ascii="仿宋" w:hAnsi="仿宋" w:eastAsia="仿宋"/>
          <w:color w:val="000000"/>
          <w:sz w:val="32"/>
          <w:szCs w:val="32"/>
        </w:rPr>
        <w:t>；项目支出4957.55万元，占75.35</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inline distT="0" distB="0" distL="114300" distR="114300">
            <wp:extent cx="4590415" cy="2761615"/>
            <wp:effectExtent l="0" t="0" r="635" b="635"/>
            <wp:docPr id="16" name="图片 16"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4"/>
                    <pic:cNvPicPr>
                      <a:picLocks noChangeAspect="1"/>
                    </pic:cNvPicPr>
                  </pic:nvPicPr>
                  <pic:blipFill>
                    <a:blip r:embed="rId8"/>
                    <a:stretch>
                      <a:fillRect/>
                    </a:stretch>
                  </pic:blipFill>
                  <pic:spPr>
                    <a:xfrm>
                      <a:off x="0" y="0"/>
                      <a:ext cx="4590415" cy="2761615"/>
                    </a:xfrm>
                    <a:prstGeom prst="rect">
                      <a:avLst/>
                    </a:prstGeom>
                  </pic:spPr>
                </pic:pic>
              </a:graphicData>
            </a:graphic>
          </wp:inline>
        </w:drawing>
      </w:r>
    </w:p>
    <w:p>
      <w:pPr>
        <w:spacing w:line="600" w:lineRule="exact"/>
        <w:ind w:firstLine="640" w:firstLineChars="200"/>
        <w:outlineLvl w:val="1"/>
        <w:rPr>
          <w:rStyle w:val="27"/>
          <w:rFonts w:ascii="黑体" w:hAnsi="黑体" w:eastAsia="黑体"/>
          <w:b w:val="0"/>
        </w:rPr>
      </w:pPr>
      <w:bookmarkStart w:id="31" w:name="_Toc15396606"/>
      <w:bookmarkStart w:id="32"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1"/>
      <w:bookmarkEnd w:id="32"/>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w:t>
      </w:r>
      <w:r>
        <w:rPr>
          <w:rFonts w:hint="eastAsia" w:ascii="仿宋" w:hAnsi="仿宋" w:eastAsia="仿宋"/>
          <w:color w:val="000000" w:themeColor="text1"/>
          <w:sz w:val="32"/>
          <w:szCs w:val="32"/>
        </w:rPr>
        <w:t>收入8340.53万元、支出6579.65万元</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7年相比，财政拨款收入增加1652.53万元，增长25%，支出增加1154.65万元，</w:t>
      </w:r>
      <w:r>
        <w:rPr>
          <w:rFonts w:hint="eastAsia" w:ascii="仿宋" w:hAnsi="仿宋" w:eastAsia="仿宋"/>
          <w:color w:val="000000" w:themeColor="text1"/>
          <w:sz w:val="32"/>
          <w:szCs w:val="32"/>
        </w:rPr>
        <w:t>增长21%。</w:t>
      </w:r>
      <w:r>
        <w:rPr>
          <w:rFonts w:hint="eastAsia" w:ascii="仿宋" w:hAnsi="仿宋" w:eastAsia="仿宋"/>
          <w:color w:val="000000"/>
          <w:sz w:val="32"/>
          <w:szCs w:val="32"/>
        </w:rPr>
        <w:t>主要变动原因是上调工资，</w:t>
      </w:r>
      <w:r>
        <w:rPr>
          <w:rFonts w:hint="eastAsia" w:ascii="仿宋" w:hAnsi="仿宋" w:eastAsia="仿宋"/>
          <w:color w:val="000000" w:themeColor="text1"/>
          <w:sz w:val="32"/>
          <w:szCs w:val="32"/>
        </w:rPr>
        <w:t>项目资金增加</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inline distT="0" distB="0" distL="114300" distR="114300">
            <wp:extent cx="4590415" cy="2761615"/>
            <wp:effectExtent l="0" t="0" r="635" b="635"/>
            <wp:docPr id="19" name="图片 19"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7"/>
                    <pic:cNvPicPr>
                      <a:picLocks noChangeAspect="1"/>
                    </pic:cNvPicPr>
                  </pic:nvPicPr>
                  <pic:blipFill>
                    <a:blip r:embed="rId9"/>
                    <a:stretch>
                      <a:fillRect/>
                    </a:stretch>
                  </pic:blipFill>
                  <pic:spPr>
                    <a:xfrm>
                      <a:off x="0" y="0"/>
                      <a:ext cx="4590415" cy="2761615"/>
                    </a:xfrm>
                    <a:prstGeom prst="rect">
                      <a:avLst/>
                    </a:prstGeom>
                  </pic:spPr>
                </pic:pic>
              </a:graphicData>
            </a:graphic>
          </wp:inline>
        </w:drawing>
      </w:r>
    </w:p>
    <w:p>
      <w:pPr>
        <w:spacing w:line="600" w:lineRule="exact"/>
        <w:ind w:firstLine="640" w:firstLineChars="200"/>
        <w:outlineLvl w:val="1"/>
        <w:rPr>
          <w:rStyle w:val="27"/>
          <w:rFonts w:ascii="黑体" w:hAnsi="黑体" w:eastAsia="黑体"/>
          <w:b w:val="0"/>
        </w:rPr>
      </w:pPr>
      <w:bookmarkStart w:id="33" w:name="_Toc15396607"/>
      <w:bookmarkStart w:id="34"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3"/>
      <w:bookmarkEnd w:id="34"/>
    </w:p>
    <w:p>
      <w:pPr>
        <w:spacing w:line="600" w:lineRule="exact"/>
        <w:ind w:firstLine="643" w:firstLineChars="200"/>
        <w:outlineLvl w:val="2"/>
        <w:rPr>
          <w:rFonts w:ascii="仿宋" w:hAnsi="仿宋" w:eastAsia="仿宋"/>
          <w:b/>
          <w:color w:val="000000"/>
          <w:sz w:val="32"/>
          <w:szCs w:val="32"/>
        </w:rPr>
      </w:pPr>
      <w:bookmarkStart w:id="35" w:name="_Toc15377210"/>
      <w:r>
        <w:rPr>
          <w:rFonts w:hint="eastAsia" w:ascii="仿宋" w:hAnsi="仿宋" w:eastAsia="仿宋"/>
          <w:b/>
          <w:color w:val="000000"/>
          <w:sz w:val="32"/>
          <w:szCs w:val="32"/>
        </w:rPr>
        <w:t>（一）一般公共预算财政拨款支出决算总体情况</w:t>
      </w:r>
      <w:bookmarkEnd w:id="3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8年一般公共预算财政拨款支出6579.65万元，占本年支出合计的100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7年相比，一般公共预算财政拨款增加1154.65万元，增长21</w:t>
      </w:r>
      <w:r>
        <w:rPr>
          <w:rFonts w:ascii="仿宋" w:hAnsi="仿宋" w:eastAsia="仿宋"/>
          <w:color w:val="000000"/>
          <w:sz w:val="32"/>
          <w:szCs w:val="32"/>
        </w:rPr>
        <w:t>%</w:t>
      </w:r>
      <w:r>
        <w:rPr>
          <w:rFonts w:hint="eastAsia" w:ascii="仿宋" w:hAnsi="仿宋" w:eastAsia="仿宋"/>
          <w:color w:val="000000"/>
          <w:sz w:val="32"/>
          <w:szCs w:val="32"/>
        </w:rPr>
        <w:t>。主要变动原因是上调工资，</w:t>
      </w:r>
      <w:r>
        <w:rPr>
          <w:rFonts w:hint="eastAsia" w:ascii="仿宋" w:hAnsi="仿宋" w:eastAsia="仿宋"/>
          <w:color w:val="000000" w:themeColor="text1"/>
          <w:sz w:val="32"/>
          <w:szCs w:val="32"/>
        </w:rPr>
        <w:t>项目资金</w:t>
      </w:r>
      <w:r>
        <w:rPr>
          <w:rFonts w:hint="eastAsia" w:ascii="仿宋" w:hAnsi="仿宋" w:eastAsia="仿宋"/>
          <w:color w:val="000000"/>
          <w:sz w:val="32"/>
          <w:szCs w:val="32"/>
        </w:rPr>
        <w:t>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inline distT="0" distB="0" distL="114300" distR="114300">
            <wp:extent cx="4590415" cy="2761615"/>
            <wp:effectExtent l="0" t="0" r="635" b="635"/>
            <wp:docPr id="20" name="图片 20"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8"/>
                    <pic:cNvPicPr>
                      <a:picLocks noChangeAspect="1"/>
                    </pic:cNvPicPr>
                  </pic:nvPicPr>
                  <pic:blipFill>
                    <a:blip r:embed="rId10"/>
                    <a:stretch>
                      <a:fillRect/>
                    </a:stretch>
                  </pic:blipFill>
                  <pic:spPr>
                    <a:xfrm>
                      <a:off x="0" y="0"/>
                      <a:ext cx="4590415" cy="2761615"/>
                    </a:xfrm>
                    <a:prstGeom prst="rect">
                      <a:avLst/>
                    </a:prstGeom>
                  </pic:spPr>
                </pic:pic>
              </a:graphicData>
            </a:graphic>
          </wp:inline>
        </w:drawing>
      </w:r>
    </w:p>
    <w:p>
      <w:pPr>
        <w:spacing w:line="600" w:lineRule="exact"/>
        <w:ind w:firstLine="643" w:firstLineChars="200"/>
        <w:outlineLvl w:val="2"/>
        <w:rPr>
          <w:rFonts w:ascii="仿宋" w:hAnsi="仿宋" w:eastAsia="仿宋"/>
          <w:b/>
          <w:color w:val="000000"/>
          <w:sz w:val="32"/>
          <w:szCs w:val="32"/>
        </w:rPr>
      </w:pPr>
      <w:bookmarkStart w:id="36" w:name="_Toc15377211"/>
      <w:r>
        <w:rPr>
          <w:rFonts w:hint="eastAsia" w:ascii="仿宋" w:hAnsi="仿宋" w:eastAsia="仿宋"/>
          <w:b/>
          <w:color w:val="000000"/>
          <w:sz w:val="32"/>
          <w:szCs w:val="32"/>
        </w:rPr>
        <w:t>（二）一般公共预算财政拨款支出决算结构情况</w:t>
      </w:r>
      <w:bookmarkEnd w:id="36"/>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政拨款支出6579.65万元，主要用于以下方面</w:t>
      </w:r>
      <w:r>
        <w:rPr>
          <w:rFonts w:ascii="仿宋" w:hAnsi="仿宋" w:eastAsia="仿宋"/>
          <w:color w:val="000000" w:themeColor="text1"/>
          <w:sz w:val="32"/>
          <w:szCs w:val="32"/>
        </w:rPr>
        <w:t>:</w:t>
      </w:r>
      <w:r>
        <w:rPr>
          <w:rFonts w:hint="eastAsia" w:ascii="仿宋" w:hAnsi="仿宋" w:eastAsia="仿宋"/>
          <w:color w:val="000000" w:themeColor="text1"/>
          <w:sz w:val="32"/>
          <w:szCs w:val="32"/>
        </w:rPr>
        <w:t>1.</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支出231.48万元，占3.5</w:t>
      </w:r>
      <w:r>
        <w:rPr>
          <w:rFonts w:ascii="仿宋" w:hAnsi="仿宋" w:eastAsia="仿宋"/>
          <w:color w:val="000000" w:themeColor="text1"/>
          <w:sz w:val="32"/>
          <w:szCs w:val="32"/>
        </w:rPr>
        <w:t>%</w:t>
      </w:r>
      <w:r>
        <w:rPr>
          <w:rFonts w:hint="eastAsia" w:ascii="仿宋" w:hAnsi="仿宋" w:eastAsia="仿宋"/>
          <w:color w:val="000000" w:themeColor="text1"/>
          <w:sz w:val="32"/>
          <w:szCs w:val="32"/>
        </w:rPr>
        <w:t>；2.</w:t>
      </w:r>
      <w:r>
        <w:rPr>
          <w:rFonts w:hint="eastAsia" w:ascii="仿宋" w:hAnsi="仿宋" w:eastAsia="仿宋"/>
          <w:b/>
          <w:bCs/>
          <w:color w:val="000000" w:themeColor="text1"/>
          <w:sz w:val="32"/>
          <w:szCs w:val="32"/>
        </w:rPr>
        <w:t>医疗卫生（类）</w:t>
      </w:r>
      <w:r>
        <w:rPr>
          <w:rFonts w:hint="eastAsia" w:ascii="仿宋" w:hAnsi="仿宋" w:eastAsia="仿宋"/>
          <w:color w:val="000000" w:themeColor="text1"/>
          <w:sz w:val="32"/>
          <w:szCs w:val="32"/>
        </w:rPr>
        <w:t>支出66.22万元，占1.02</w:t>
      </w:r>
      <w:r>
        <w:rPr>
          <w:rFonts w:ascii="仿宋" w:hAnsi="仿宋" w:eastAsia="仿宋"/>
          <w:color w:val="000000" w:themeColor="text1"/>
          <w:sz w:val="32"/>
          <w:szCs w:val="32"/>
        </w:rPr>
        <w:t>%</w:t>
      </w:r>
      <w:r>
        <w:rPr>
          <w:rFonts w:hint="eastAsia" w:ascii="仿宋" w:hAnsi="仿宋" w:eastAsia="仿宋"/>
          <w:color w:val="000000" w:themeColor="text1"/>
          <w:sz w:val="32"/>
          <w:szCs w:val="32"/>
        </w:rPr>
        <w:t>；3.</w:t>
      </w:r>
      <w:r>
        <w:rPr>
          <w:rFonts w:hint="eastAsia" w:ascii="仿宋" w:hAnsi="仿宋" w:eastAsia="仿宋"/>
          <w:b/>
          <w:bCs/>
          <w:color w:val="000000" w:themeColor="text1"/>
          <w:sz w:val="32"/>
          <w:szCs w:val="32"/>
        </w:rPr>
        <w:t>住房保障（类）</w:t>
      </w:r>
      <w:r>
        <w:rPr>
          <w:rFonts w:hint="eastAsia" w:ascii="仿宋" w:hAnsi="仿宋" w:eastAsia="仿宋"/>
          <w:color w:val="000000" w:themeColor="text1"/>
          <w:sz w:val="32"/>
          <w:szCs w:val="32"/>
        </w:rPr>
        <w:t>支出103.78万元，占1.6</w:t>
      </w:r>
      <w:r>
        <w:rPr>
          <w:rFonts w:ascii="仿宋" w:hAnsi="仿宋" w:eastAsia="仿宋"/>
          <w:color w:val="000000" w:themeColor="text1"/>
          <w:sz w:val="32"/>
          <w:szCs w:val="32"/>
        </w:rPr>
        <w:t>%</w:t>
      </w:r>
      <w:r>
        <w:rPr>
          <w:rFonts w:hint="eastAsia" w:ascii="仿宋" w:hAnsi="仿宋" w:eastAsia="仿宋"/>
          <w:color w:val="000000" w:themeColor="text1"/>
          <w:sz w:val="32"/>
          <w:szCs w:val="32"/>
        </w:rPr>
        <w:t>，4.</w:t>
      </w:r>
      <w:r>
        <w:rPr>
          <w:rFonts w:hint="eastAsia" w:ascii="仿宋" w:hAnsi="仿宋" w:eastAsia="仿宋"/>
          <w:b/>
          <w:bCs/>
          <w:color w:val="000000" w:themeColor="text1"/>
          <w:sz w:val="32"/>
          <w:szCs w:val="32"/>
        </w:rPr>
        <w:t>节能环保（类）</w:t>
      </w:r>
      <w:r>
        <w:rPr>
          <w:rFonts w:hint="eastAsia" w:ascii="仿宋" w:hAnsi="仿宋" w:eastAsia="仿宋"/>
          <w:color w:val="000000" w:themeColor="text1"/>
          <w:sz w:val="32"/>
          <w:szCs w:val="32"/>
        </w:rPr>
        <w:t>支出2487.71万元，占37.8%，5.</w:t>
      </w:r>
      <w:r>
        <w:rPr>
          <w:rFonts w:hint="eastAsia" w:ascii="仿宋" w:hAnsi="仿宋" w:eastAsia="仿宋"/>
          <w:b/>
          <w:bCs/>
          <w:color w:val="000000" w:themeColor="text1"/>
          <w:sz w:val="32"/>
          <w:szCs w:val="32"/>
        </w:rPr>
        <w:t>农林水（类）</w:t>
      </w:r>
      <w:r>
        <w:rPr>
          <w:rFonts w:hint="eastAsia" w:ascii="仿宋" w:hAnsi="仿宋" w:eastAsia="仿宋"/>
          <w:color w:val="000000" w:themeColor="text1"/>
          <w:sz w:val="32"/>
          <w:szCs w:val="32"/>
        </w:rPr>
        <w:t>支出3683.39万元，占55.98%，6.</w:t>
      </w:r>
      <w:r>
        <w:rPr>
          <w:rFonts w:hint="eastAsia" w:ascii="仿宋" w:hAnsi="仿宋" w:eastAsia="仿宋"/>
          <w:b/>
          <w:bCs/>
          <w:color w:val="000000" w:themeColor="text1"/>
          <w:sz w:val="32"/>
          <w:szCs w:val="32"/>
        </w:rPr>
        <w:t>商品服务业等（类）</w:t>
      </w:r>
      <w:r>
        <w:rPr>
          <w:rFonts w:hint="eastAsia" w:ascii="仿宋" w:hAnsi="仿宋" w:eastAsia="仿宋"/>
          <w:color w:val="000000" w:themeColor="text1"/>
          <w:sz w:val="32"/>
          <w:szCs w:val="32"/>
        </w:rPr>
        <w:t>支出7.07万元，占0.1 %。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590415" cy="2761615"/>
            <wp:effectExtent l="0" t="0" r="635" b="635"/>
            <wp:docPr id="17" name="图片 17"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5"/>
                    <pic:cNvPicPr>
                      <a:picLocks noChangeAspect="1"/>
                    </pic:cNvPicPr>
                  </pic:nvPicPr>
                  <pic:blipFill>
                    <a:blip r:embed="rId11"/>
                    <a:stretch>
                      <a:fillRect/>
                    </a:stretch>
                  </pic:blipFill>
                  <pic:spPr>
                    <a:xfrm>
                      <a:off x="0" y="0"/>
                      <a:ext cx="4590415" cy="2761615"/>
                    </a:xfrm>
                    <a:prstGeom prst="rect">
                      <a:avLst/>
                    </a:prstGeom>
                  </pic:spPr>
                </pic:pic>
              </a:graphicData>
            </a:graphic>
          </wp:inline>
        </w:drawing>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7" w:name="_Toc15377212"/>
      <w:r>
        <w:rPr>
          <w:rFonts w:hint="eastAsia" w:ascii="仿宋" w:hAnsi="仿宋" w:eastAsia="仿宋"/>
          <w:b/>
          <w:color w:val="000000"/>
          <w:sz w:val="32"/>
          <w:szCs w:val="32"/>
        </w:rPr>
        <w:t>（三）一般公共预算财政拨款支出决算具体情况</w:t>
      </w:r>
      <w:bookmarkEnd w:id="37"/>
    </w:p>
    <w:p>
      <w:pPr>
        <w:spacing w:line="600" w:lineRule="exact"/>
        <w:ind w:firstLine="643" w:firstLineChars="200"/>
        <w:outlineLvl w:val="2"/>
        <w:rPr>
          <w:rFonts w:ascii="仿宋" w:hAnsi="仿宋" w:eastAsia="仿宋"/>
          <w:color w:val="FF0000"/>
          <w:sz w:val="32"/>
          <w:szCs w:val="32"/>
        </w:rPr>
      </w:pPr>
      <w:bookmarkStart w:id="38" w:name="_Toc15378460"/>
      <w:bookmarkStart w:id="39" w:name="_Toc15377444"/>
      <w:bookmarkStart w:id="40" w:name="_Toc15377213"/>
      <w:r>
        <w:rPr>
          <w:rFonts w:hint="eastAsia" w:ascii="仿宋" w:hAnsi="仿宋" w:eastAsia="仿宋"/>
          <w:b/>
          <w:color w:val="000000" w:themeColor="text1"/>
          <w:sz w:val="32"/>
          <w:szCs w:val="32"/>
        </w:rPr>
        <w:t>2018年般公共预算支出决算数为</w:t>
      </w:r>
      <w:r>
        <w:rPr>
          <w:rFonts w:hint="eastAsia" w:ascii="仿宋" w:hAnsi="仿宋" w:eastAsia="仿宋"/>
          <w:color w:val="000000" w:themeColor="text1"/>
          <w:sz w:val="32"/>
          <w:szCs w:val="32"/>
        </w:rPr>
        <w:t>6579.65万元，</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8"/>
      <w:bookmarkEnd w:id="39"/>
      <w:bookmarkEnd w:id="40"/>
    </w:p>
    <w:p>
      <w:pPr>
        <w:spacing w:line="600" w:lineRule="exact"/>
        <w:ind w:firstLine="643" w:firstLineChars="200"/>
        <w:rPr>
          <w:rFonts w:ascii="仿宋" w:hAnsi="仿宋" w:eastAsia="仿宋"/>
          <w:b/>
          <w:color w:val="0000FF"/>
          <w:sz w:val="32"/>
          <w:szCs w:val="32"/>
        </w:rPr>
      </w:pPr>
      <w:r>
        <w:rPr>
          <w:rStyle w:val="16"/>
          <w:rFonts w:hint="eastAsia" w:ascii="仿宋" w:hAnsi="仿宋" w:eastAsia="仿宋"/>
          <w:bCs/>
          <w:color w:val="000000"/>
          <w:sz w:val="32"/>
          <w:szCs w:val="32"/>
        </w:rPr>
        <w:t>1</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社会保障和就业208（类）</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rPr>
        <w:t>231.48</w:t>
      </w:r>
      <w:r>
        <w:rPr>
          <w:rStyle w:val="16"/>
          <w:rFonts w:hint="eastAsia" w:ascii="仿宋" w:hAnsi="仿宋" w:eastAsia="仿宋"/>
          <w:b w:val="0"/>
          <w:bCs/>
          <w:color w:val="000000"/>
          <w:sz w:val="32"/>
          <w:szCs w:val="32"/>
        </w:rPr>
        <w:t>万元，</w:t>
      </w:r>
      <w:r>
        <w:rPr>
          <w:rStyle w:val="16"/>
          <w:rFonts w:hint="eastAsia" w:ascii="仿宋" w:hAnsi="仿宋" w:eastAsia="仿宋"/>
          <w:b w:val="0"/>
          <w:bCs/>
          <w:color w:val="000000" w:themeColor="text1"/>
          <w:sz w:val="32"/>
          <w:szCs w:val="32"/>
        </w:rPr>
        <w:t>完成预算的100%，决算数等于预算数。</w:t>
      </w:r>
    </w:p>
    <w:p>
      <w:pPr>
        <w:spacing w:line="600" w:lineRule="exact"/>
        <w:rPr>
          <w:rStyle w:val="16"/>
          <w:rFonts w:ascii="仿宋" w:hAnsi="仿宋" w:eastAsia="仿宋"/>
          <w:b w:val="0"/>
          <w:bCs/>
          <w:color w:val="000000"/>
          <w:sz w:val="32"/>
          <w:szCs w:val="32"/>
        </w:rPr>
      </w:pPr>
      <w:r>
        <w:rPr>
          <w:rStyle w:val="16"/>
          <w:rFonts w:hint="eastAsia" w:ascii="仿宋" w:hAnsi="仿宋" w:eastAsia="仿宋"/>
          <w:b w:val="0"/>
          <w:bCs/>
          <w:color w:val="000000"/>
          <w:sz w:val="32"/>
          <w:szCs w:val="32"/>
        </w:rPr>
        <w:t>（其中包括2080505-机关事业单位基本养老保险缴费支出154.19万元，该支出主要用于支付职工机关事业单位基本养老保险缴费；2080506-机关事业单位职业年金缴费支出61.70万元，该支出主要用于支付职工机关事业单位职业年金；2080801-死亡抚恤支出15.59万元。）</w:t>
      </w:r>
    </w:p>
    <w:p>
      <w:pPr>
        <w:spacing w:line="600" w:lineRule="exact"/>
        <w:ind w:firstLine="643" w:firstLineChars="200"/>
        <w:rPr>
          <w:rFonts w:ascii="仿宋" w:hAnsi="仿宋" w:eastAsia="仿宋"/>
          <w:b/>
          <w:color w:val="000000" w:themeColor="text1"/>
          <w:sz w:val="32"/>
          <w:szCs w:val="32"/>
        </w:rPr>
      </w:pPr>
      <w:r>
        <w:rPr>
          <w:rStyle w:val="16"/>
          <w:rFonts w:hint="eastAsia" w:ascii="仿宋" w:hAnsi="仿宋" w:eastAsia="仿宋"/>
          <w:bCs/>
          <w:color w:val="000000"/>
          <w:sz w:val="32"/>
          <w:szCs w:val="32"/>
        </w:rPr>
        <w:t>2</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医疗卫生与计划生育210（类）11（款）01（项）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支出决算为66.22万元，该支出主要用于支付职工基本医疗保险，完成预算86</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，决算数小于预算数的主要原因单位</w:t>
      </w:r>
      <w:r>
        <w:rPr>
          <w:rStyle w:val="16"/>
          <w:rFonts w:hint="eastAsia" w:ascii="仿宋" w:hAnsi="仿宋" w:eastAsia="仿宋"/>
          <w:b w:val="0"/>
          <w:bCs/>
          <w:color w:val="000000" w:themeColor="text1"/>
          <w:sz w:val="32"/>
          <w:szCs w:val="32"/>
        </w:rPr>
        <w:t>调动四人。</w:t>
      </w:r>
    </w:p>
    <w:p>
      <w:pPr>
        <w:spacing w:line="600" w:lineRule="exact"/>
        <w:ind w:firstLine="640" w:firstLineChars="200"/>
        <w:rPr>
          <w:rFonts w:ascii="仿宋" w:hAnsi="仿宋" w:eastAsia="仿宋"/>
          <w:b/>
          <w:color w:val="000000" w:themeColor="text1"/>
          <w:sz w:val="32"/>
          <w:szCs w:val="32"/>
        </w:rPr>
      </w:pPr>
      <w:r>
        <w:rPr>
          <w:rFonts w:hint="eastAsia" w:ascii="仿宋" w:hAnsi="仿宋" w:eastAsia="仿宋"/>
          <w:color w:val="000000"/>
          <w:sz w:val="32"/>
          <w:szCs w:val="32"/>
        </w:rPr>
        <w:t xml:space="preserve">3. </w:t>
      </w:r>
      <w:r>
        <w:rPr>
          <w:rFonts w:hint="eastAsia" w:ascii="仿宋" w:hAnsi="仿宋" w:eastAsia="仿宋"/>
          <w:b/>
          <w:bCs/>
          <w:color w:val="000000" w:themeColor="text1"/>
          <w:sz w:val="32"/>
          <w:szCs w:val="32"/>
        </w:rPr>
        <w:t>住房保障221（类）：</w:t>
      </w:r>
      <w:r>
        <w:rPr>
          <w:rFonts w:hint="eastAsia" w:ascii="仿宋" w:hAnsi="仿宋" w:eastAsia="仿宋"/>
          <w:color w:val="000000" w:themeColor="text1"/>
          <w:sz w:val="32"/>
          <w:szCs w:val="32"/>
        </w:rPr>
        <w:t>支出决算数为103.78万元，完成预算100%。</w:t>
      </w:r>
    </w:p>
    <w:p>
      <w:pPr>
        <w:spacing w:line="600" w:lineRule="exact"/>
        <w:rPr>
          <w:rFonts w:ascii="仿宋" w:hAnsi="仿宋" w:eastAsia="仿宋"/>
          <w:color w:val="000000" w:themeColor="text1"/>
          <w:sz w:val="32"/>
          <w:szCs w:val="32"/>
        </w:rPr>
      </w:pPr>
      <w:r>
        <w:rPr>
          <w:rFonts w:hint="eastAsia" w:ascii="仿宋" w:hAnsi="仿宋" w:eastAsia="仿宋"/>
          <w:color w:val="000000" w:themeColor="text1"/>
          <w:sz w:val="32"/>
          <w:szCs w:val="32"/>
        </w:rPr>
        <w:t>（其中包括2210201-住房公积金支出103.78万元，该支出主要用于支付职工住房公积金）</w:t>
      </w:r>
    </w:p>
    <w:p>
      <w:pPr>
        <w:spacing w:line="600" w:lineRule="exact"/>
        <w:rPr>
          <w:rStyle w:val="16"/>
          <w:rFonts w:ascii="仿宋" w:hAnsi="仿宋" w:eastAsia="仿宋"/>
          <w:b w:val="0"/>
          <w:bCs/>
          <w:color w:val="000000"/>
          <w:sz w:val="32"/>
          <w:szCs w:val="32"/>
        </w:rPr>
      </w:pPr>
      <w:r>
        <w:rPr>
          <w:rFonts w:hint="eastAsia" w:ascii="仿宋" w:hAnsi="仿宋" w:eastAsia="仿宋"/>
          <w:color w:val="000000" w:themeColor="text1"/>
          <w:sz w:val="32"/>
          <w:szCs w:val="32"/>
        </w:rPr>
        <w:t>4.</w:t>
      </w:r>
      <w:r>
        <w:rPr>
          <w:rFonts w:hint="eastAsia" w:ascii="仿宋" w:hAnsi="仿宋" w:eastAsia="仿宋"/>
          <w:b/>
          <w:bCs/>
          <w:color w:val="000000" w:themeColor="text1"/>
          <w:sz w:val="32"/>
          <w:szCs w:val="32"/>
        </w:rPr>
        <w:t>节能环保211（类）：</w:t>
      </w:r>
      <w:r>
        <w:rPr>
          <w:rFonts w:hint="eastAsia" w:ascii="仿宋" w:hAnsi="仿宋" w:eastAsia="仿宋"/>
          <w:color w:val="000000" w:themeColor="text1"/>
          <w:sz w:val="32"/>
          <w:szCs w:val="32"/>
        </w:rPr>
        <w:t>支出决算数为2487.71万元，完成预算100%，</w:t>
      </w:r>
      <w:r>
        <w:rPr>
          <w:rStyle w:val="16"/>
          <w:rFonts w:hint="eastAsia" w:ascii="仿宋" w:hAnsi="仿宋" w:eastAsia="仿宋"/>
          <w:b w:val="0"/>
          <w:bCs/>
          <w:color w:val="000000"/>
          <w:sz w:val="32"/>
          <w:szCs w:val="32"/>
        </w:rPr>
        <w:t>决算数等于预算数。</w:t>
      </w:r>
    </w:p>
    <w:p>
      <w:pPr>
        <w:spacing w:line="600" w:lineRule="exact"/>
        <w:rPr>
          <w:rFonts w:ascii="仿宋" w:hAnsi="仿宋" w:eastAsia="仿宋"/>
          <w:color w:val="000000" w:themeColor="text1"/>
          <w:sz w:val="32"/>
          <w:szCs w:val="32"/>
        </w:rPr>
      </w:pPr>
      <w:r>
        <w:rPr>
          <w:rFonts w:hint="eastAsia" w:ascii="仿宋" w:hAnsi="仿宋" w:eastAsia="仿宋"/>
          <w:color w:val="000000" w:themeColor="text1"/>
          <w:sz w:val="32"/>
          <w:szCs w:val="32"/>
        </w:rPr>
        <w:t>（其中包括2110401-生态保护支出955.95万元，2110501-森林管护支出1531.76万元）</w:t>
      </w:r>
    </w:p>
    <w:p>
      <w:pPr>
        <w:numPr>
          <w:ilvl w:val="0"/>
          <w:numId w:val="4"/>
        </w:numPr>
        <w:spacing w:line="600" w:lineRule="exact"/>
        <w:rPr>
          <w:rStyle w:val="16"/>
          <w:rFonts w:ascii="仿宋" w:hAnsi="仿宋" w:eastAsia="仿宋"/>
          <w:b w:val="0"/>
          <w:bCs/>
          <w:color w:val="000000"/>
          <w:sz w:val="32"/>
          <w:szCs w:val="32"/>
        </w:rPr>
      </w:pPr>
      <w:r>
        <w:rPr>
          <w:rFonts w:hint="eastAsia" w:ascii="仿宋" w:hAnsi="仿宋" w:eastAsia="仿宋"/>
          <w:b/>
          <w:bCs/>
          <w:color w:val="000000" w:themeColor="text1"/>
          <w:sz w:val="32"/>
          <w:szCs w:val="32"/>
        </w:rPr>
        <w:t>商品服务业等216（类）：</w:t>
      </w:r>
      <w:r>
        <w:rPr>
          <w:rFonts w:hint="eastAsia" w:ascii="仿宋" w:hAnsi="仿宋" w:eastAsia="仿宋"/>
          <w:color w:val="000000" w:themeColor="text1"/>
          <w:sz w:val="32"/>
          <w:szCs w:val="32"/>
        </w:rPr>
        <w:t>支出决算数为7.07万元，完成预算100%，</w:t>
      </w:r>
      <w:r>
        <w:rPr>
          <w:rStyle w:val="16"/>
          <w:rFonts w:hint="eastAsia" w:ascii="仿宋" w:hAnsi="仿宋" w:eastAsia="仿宋"/>
          <w:b w:val="0"/>
          <w:bCs/>
          <w:color w:val="000000"/>
          <w:sz w:val="32"/>
          <w:szCs w:val="32"/>
        </w:rPr>
        <w:t>决算数等于预算数。</w:t>
      </w:r>
    </w:p>
    <w:p>
      <w:pPr>
        <w:spacing w:line="600" w:lineRule="exact"/>
        <w:rPr>
          <w:rFonts w:ascii="仿宋" w:hAnsi="仿宋" w:eastAsia="仿宋"/>
          <w:color w:val="000000" w:themeColor="text1"/>
          <w:sz w:val="32"/>
          <w:szCs w:val="32"/>
        </w:rPr>
      </w:pPr>
      <w:r>
        <w:rPr>
          <w:rFonts w:hint="eastAsia" w:ascii="仿宋" w:hAnsi="仿宋" w:eastAsia="仿宋"/>
          <w:color w:val="000000" w:themeColor="text1"/>
          <w:sz w:val="32"/>
          <w:szCs w:val="32"/>
        </w:rPr>
        <w:t>（其中包括2160599-其他旅游业管理与服务支出7.07万元）</w:t>
      </w:r>
    </w:p>
    <w:p>
      <w:pPr>
        <w:numPr>
          <w:ilvl w:val="0"/>
          <w:numId w:val="4"/>
        </w:numPr>
        <w:spacing w:line="600" w:lineRule="exact"/>
        <w:rPr>
          <w:rStyle w:val="16"/>
          <w:rFonts w:ascii="仿宋" w:hAnsi="仿宋" w:eastAsia="仿宋"/>
          <w:b w:val="0"/>
          <w:bCs/>
          <w:color w:val="000000"/>
          <w:sz w:val="32"/>
          <w:szCs w:val="32"/>
        </w:rPr>
      </w:pPr>
      <w:r>
        <w:rPr>
          <w:rStyle w:val="16"/>
          <w:rFonts w:hint="eastAsia" w:ascii="仿宋" w:hAnsi="仿宋" w:eastAsia="仿宋"/>
          <w:color w:val="000000"/>
          <w:sz w:val="32"/>
          <w:szCs w:val="32"/>
        </w:rPr>
        <w:t>农林水支出213(类)</w:t>
      </w:r>
      <w:r>
        <w:rPr>
          <w:rStyle w:val="16"/>
          <w:rFonts w:hint="eastAsia" w:ascii="仿宋" w:hAnsi="仿宋" w:eastAsia="仿宋"/>
          <w:b w:val="0"/>
          <w:bCs/>
          <w:color w:val="000000"/>
          <w:sz w:val="32"/>
          <w:szCs w:val="32"/>
        </w:rPr>
        <w:t>：支出决算数为3683.39万元，</w:t>
      </w:r>
      <w:r>
        <w:rPr>
          <w:rFonts w:hint="eastAsia" w:ascii="仿宋" w:hAnsi="仿宋" w:eastAsia="仿宋"/>
          <w:color w:val="000000" w:themeColor="text1"/>
          <w:sz w:val="32"/>
          <w:szCs w:val="32"/>
        </w:rPr>
        <w:t>完成预算100%，</w:t>
      </w:r>
      <w:r>
        <w:rPr>
          <w:rStyle w:val="16"/>
          <w:rFonts w:hint="eastAsia" w:ascii="仿宋" w:hAnsi="仿宋" w:eastAsia="仿宋"/>
          <w:b w:val="0"/>
          <w:bCs/>
          <w:color w:val="000000"/>
          <w:sz w:val="32"/>
          <w:szCs w:val="32"/>
        </w:rPr>
        <w:t>决算数等于预算数。</w:t>
      </w:r>
    </w:p>
    <w:p>
      <w:pPr>
        <w:spacing w:line="600" w:lineRule="exact"/>
        <w:rPr>
          <w:rStyle w:val="16"/>
          <w:rFonts w:ascii="仿宋" w:hAnsi="仿宋" w:eastAsia="仿宋"/>
          <w:b w:val="0"/>
          <w:bCs/>
          <w:color w:val="000000"/>
          <w:sz w:val="32"/>
          <w:szCs w:val="32"/>
        </w:rPr>
      </w:pPr>
      <w:r>
        <w:rPr>
          <w:rFonts w:hint="eastAsia" w:ascii="仿宋" w:hAnsi="仿宋" w:eastAsia="仿宋"/>
          <w:color w:val="000000" w:themeColor="text1"/>
          <w:sz w:val="32"/>
          <w:szCs w:val="32"/>
        </w:rPr>
        <w:t>（其中包括2130201-行政运行支出225.62万元，2130202-一般行政管理事务支出11.81万元，2130204-林业事业机构支出1010.59万元，2130205-森林培育支出14.32万元，2130207-森林资源管理支出138.06万元，2130209-森林生态效益支出78.28万元，2130211-动植物保护支出32.92万元，2130212-湿地保护支出1792.54万元，2130213-林业执法与监督支出2.76万元，2130217-防沙治沙支出84.39万元，2130234-林业防灾减灾支出15.88万元，2130299-其他林业支出133.52万元，2130599-其他扶贫支出60.00万元，2130803-农业保险保费补贴17.16万元，2139999-其他农林水支出65.54万元）</w:t>
      </w:r>
    </w:p>
    <w:p>
      <w:pPr>
        <w:tabs>
          <w:tab w:val="right" w:pos="8306"/>
        </w:tabs>
        <w:spacing w:line="600" w:lineRule="exact"/>
        <w:outlineLvl w:val="1"/>
        <w:rPr>
          <w:rStyle w:val="27"/>
        </w:rPr>
      </w:pPr>
      <w:bookmarkStart w:id="41" w:name="_Toc15377214"/>
      <w:bookmarkStart w:id="42"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1"/>
      <w:bookmarkEnd w:id="42"/>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8年一般公共预算财政拨款基本支出1622.10万元，其中：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sz w:val="32"/>
          <w:szCs w:val="32"/>
        </w:rPr>
        <w:t>1545.06</w:t>
      </w:r>
      <w:r>
        <w:rPr>
          <w:rFonts w:hint="eastAsia" w:ascii="仿宋" w:hAnsi="仿宋" w:eastAsia="仿宋"/>
          <w:color w:val="000000"/>
          <w:sz w:val="32"/>
          <w:szCs w:val="32"/>
        </w:rPr>
        <w:t>万元，主要包括：基本工资213万元、津贴补贴641.56万元、奖金187.12万元、绩效工资61.38万元、机关事业单位基本养老保险缴费154.19万元、职业年金缴费61.70万元、职工基本医疗保险缴费49.95万元、公务员医疗补助缴费3.37万元、其他社会保障缴费28万元、医疗费23.28万元、住房公积金103.78万元、生活补助17.72万元。</w:t>
      </w:r>
      <w:r>
        <w:rPr>
          <w:rFonts w:ascii="仿宋" w:hAnsi="仿宋" w:eastAsia="仿宋"/>
          <w:color w:val="000000"/>
          <w:sz w:val="32"/>
          <w:szCs w:val="32"/>
        </w:rPr>
        <w:br w:type="textWrapping"/>
      </w:r>
      <w:r>
        <w:rPr>
          <w:rFonts w:hint="eastAsia" w:ascii="仿宋" w:hAnsi="仿宋" w:eastAsia="仿宋"/>
          <w:color w:val="000000"/>
          <w:sz w:val="32"/>
          <w:szCs w:val="32"/>
        </w:rPr>
        <w:t>　　公用经费77.04万元，主要包括：办公费22.47万元、电费2.02万元、邮电费6.59万元、取暖费1.51万元、差旅费25.24万元、培训费0.51万元、公务接待费0.87万元、劳务费0.15万元、公务用车运行维护费17.67万元。</w:t>
      </w:r>
    </w:p>
    <w:p>
      <w:pPr>
        <w:spacing w:line="600" w:lineRule="exact"/>
        <w:outlineLvl w:val="1"/>
        <w:rPr>
          <w:rStyle w:val="27"/>
          <w:rFonts w:ascii="黑体" w:hAnsi="黑体" w:eastAsia="黑体"/>
          <w:b w:val="0"/>
        </w:rPr>
      </w:pPr>
      <w:bookmarkStart w:id="43" w:name="_Toc15377215"/>
      <w:bookmarkStart w:id="44"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3"/>
      <w:bookmarkEnd w:id="44"/>
    </w:p>
    <w:p>
      <w:pPr>
        <w:spacing w:line="600" w:lineRule="exact"/>
        <w:ind w:firstLine="640"/>
        <w:outlineLvl w:val="2"/>
        <w:rPr>
          <w:rFonts w:ascii="仿宋" w:hAnsi="仿宋" w:eastAsia="仿宋"/>
          <w:b/>
          <w:color w:val="000000"/>
          <w:sz w:val="32"/>
          <w:szCs w:val="32"/>
        </w:rPr>
      </w:pPr>
      <w:bookmarkStart w:id="45" w:name="_Toc15377216"/>
      <w:r>
        <w:rPr>
          <w:rFonts w:hint="eastAsia" w:ascii="仿宋" w:hAnsi="仿宋" w:eastAsia="仿宋"/>
          <w:b/>
          <w:color w:val="000000"/>
          <w:sz w:val="32"/>
          <w:szCs w:val="32"/>
        </w:rPr>
        <w:t>（一）“三公”经费财政拨款支出决算总体情况说明</w:t>
      </w:r>
      <w:bookmarkEnd w:id="45"/>
    </w:p>
    <w:p>
      <w:pPr>
        <w:spacing w:line="600" w:lineRule="exact"/>
        <w:ind w:firstLine="640"/>
        <w:rPr>
          <w:rFonts w:ascii="仿宋" w:hAnsi="仿宋" w:eastAsia="仿宋"/>
          <w:b/>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w:t>
      </w:r>
      <w:r>
        <w:rPr>
          <w:rFonts w:hint="eastAsia" w:ascii="仿宋" w:hAnsi="仿宋" w:eastAsia="仿宋"/>
          <w:color w:val="000000" w:themeColor="text1"/>
          <w:sz w:val="32"/>
          <w:szCs w:val="32"/>
        </w:rPr>
        <w:t>算为34.42万元，完成预算的100%，决算数等于预算数。</w:t>
      </w:r>
    </w:p>
    <w:p>
      <w:pPr>
        <w:spacing w:line="600" w:lineRule="exact"/>
        <w:ind w:firstLine="640"/>
        <w:outlineLvl w:val="2"/>
        <w:rPr>
          <w:rFonts w:ascii="仿宋" w:hAnsi="仿宋" w:eastAsia="仿宋"/>
          <w:b/>
          <w:color w:val="000000"/>
          <w:sz w:val="32"/>
          <w:szCs w:val="32"/>
        </w:rPr>
      </w:pPr>
      <w:bookmarkStart w:id="46" w:name="_Toc15377217"/>
      <w:r>
        <w:rPr>
          <w:rFonts w:hint="eastAsia" w:ascii="仿宋" w:hAnsi="仿宋" w:eastAsia="仿宋"/>
          <w:b/>
          <w:color w:val="000000"/>
          <w:sz w:val="32"/>
          <w:szCs w:val="32"/>
        </w:rPr>
        <w:t>（二）“三公”经费财政拨款支出决算具体情况说明</w:t>
      </w:r>
      <w:bookmarkEnd w:id="4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；公务用车购置及运行维护费支出决算33.55万元，占97</w:t>
      </w:r>
      <w:r>
        <w:rPr>
          <w:rFonts w:ascii="仿宋" w:hAnsi="仿宋" w:eastAsia="仿宋"/>
          <w:color w:val="000000"/>
          <w:sz w:val="32"/>
          <w:szCs w:val="32"/>
        </w:rPr>
        <w:t>%</w:t>
      </w:r>
      <w:r>
        <w:rPr>
          <w:rFonts w:hint="eastAsia" w:ascii="仿宋" w:hAnsi="仿宋" w:eastAsia="仿宋"/>
          <w:color w:val="000000"/>
          <w:sz w:val="32"/>
          <w:szCs w:val="32"/>
        </w:rPr>
        <w:t>；公务接待费支出决算0.87万元，占3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（图8：“三公”经费财政拨款支出结构）（饼状图）</w:t>
      </w:r>
    </w:p>
    <w:p>
      <w:pPr>
        <w:ind w:firstLine="64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590415" cy="2761615"/>
            <wp:effectExtent l="0" t="0" r="635" b="635"/>
            <wp:docPr id="13" name="图片 1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2"/>
                    <pic:cNvPicPr>
                      <a:picLocks noChangeAspect="1"/>
                    </pic:cNvPicPr>
                  </pic:nvPicPr>
                  <pic:blipFill>
                    <a:blip r:embed="rId12"/>
                    <a:stretch>
                      <a:fillRect/>
                    </a:stretch>
                  </pic:blipFill>
                  <pic:spPr>
                    <a:xfrm>
                      <a:off x="0" y="0"/>
                      <a:ext cx="4590415" cy="2761615"/>
                    </a:xfrm>
                    <a:prstGeom prst="rect">
                      <a:avLst/>
                    </a:prstGeom>
                  </pic:spPr>
                </pic:pic>
              </a:graphicData>
            </a:graphic>
          </wp:inline>
        </w:drawing>
      </w:r>
    </w:p>
    <w:p>
      <w:pPr>
        <w:spacing w:line="600" w:lineRule="exact"/>
        <w:ind w:firstLine="640"/>
        <w:rPr>
          <w:rFonts w:ascii="仿宋" w:hAnsi="仿宋" w:eastAsia="仿宋"/>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w:t>
      </w:r>
      <w:r>
        <w:rPr>
          <w:rFonts w:ascii="仿宋_GB2312" w:eastAsia="仿宋_GB2312"/>
          <w:color w:val="000000"/>
          <w:sz w:val="32"/>
          <w:szCs w:val="32"/>
        </w:rPr>
        <w:t>201</w:t>
      </w:r>
      <w:r>
        <w:rPr>
          <w:rFonts w:hint="eastAsia" w:ascii="仿宋_GB2312" w:eastAsia="仿宋_GB2312"/>
          <w:color w:val="000000"/>
          <w:sz w:val="32"/>
          <w:szCs w:val="32"/>
        </w:rPr>
        <w:t>7年持平，主要原因是单位出国人数为0人。</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开支内容包括：无（团组名称、出访地点、取得成效）等。</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公务用车购置及运行维护费支出33.55</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完成预算58</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7年增加16.28万元，增长49</w:t>
      </w:r>
      <w:r>
        <w:rPr>
          <w:rFonts w:ascii="仿宋_GB2312" w:eastAsia="仿宋_GB2312"/>
          <w:color w:val="000000"/>
          <w:sz w:val="32"/>
          <w:szCs w:val="32"/>
        </w:rPr>
        <w:t>%</w:t>
      </w:r>
      <w:r>
        <w:rPr>
          <w:rFonts w:hint="eastAsia" w:ascii="仿宋_GB2312" w:eastAsia="仿宋_GB2312"/>
          <w:color w:val="000000"/>
          <w:sz w:val="32"/>
          <w:szCs w:val="32"/>
        </w:rPr>
        <w:t>。主要原因是单位新购汽车一辆，价值为15.88万元。</w:t>
      </w:r>
    </w:p>
    <w:p>
      <w:pPr>
        <w:spacing w:line="520" w:lineRule="exact"/>
        <w:ind w:firstLine="64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公务用车购置支出15.88</w:t>
      </w:r>
      <w:r>
        <w:rPr>
          <w:rFonts w:hint="eastAsia" w:ascii="仿宋_GB2312" w:eastAsia="仿宋_GB2312"/>
          <w:color w:val="000000"/>
          <w:sz w:val="32"/>
          <w:szCs w:val="32"/>
        </w:rPr>
        <w:t>万元。全年按规定更新购置公务用车1辆，其中：轿车0辆、金额0万元，越野车1辆、金额15.88万元，载客汽车0辆、金额0万元，主要用出差、下乡。截至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月底，单位共有公务用车8辆，其中：轿车1辆、越野车6辆、载客汽车1辆；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公务用车运行维护费支出17.67</w:t>
      </w:r>
      <w:r>
        <w:rPr>
          <w:rFonts w:hint="eastAsia" w:ascii="仿宋_GB2312" w:eastAsia="仿宋_GB2312"/>
          <w:color w:val="000000"/>
          <w:sz w:val="32"/>
          <w:szCs w:val="32"/>
        </w:rPr>
        <w:t>万元。主要用于培训、差旅、防护巡山等所需的公务用车燃料费、维修费、过路过桥费、保险费等支出。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公务接待费支出0.87</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完成预算19</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7年增加0.37万元，增长43</w:t>
      </w:r>
      <w:r>
        <w:rPr>
          <w:rFonts w:ascii="仿宋_GB2312" w:eastAsia="仿宋_GB2312"/>
          <w:color w:val="000000"/>
          <w:sz w:val="32"/>
          <w:szCs w:val="32"/>
        </w:rPr>
        <w:t>%</w:t>
      </w:r>
      <w:r>
        <w:rPr>
          <w:rFonts w:hint="eastAsia" w:ascii="仿宋_GB2312" w:eastAsia="仿宋_GB2312"/>
          <w:color w:val="000000"/>
          <w:sz w:val="32"/>
          <w:szCs w:val="32"/>
        </w:rPr>
        <w:t>。主要原因是18年雅克音乐节接待国家林业局及州局、接待次数较上年增加。</w:t>
      </w:r>
    </w:p>
    <w:p>
      <w:pPr>
        <w:spacing w:line="600" w:lineRule="exact"/>
        <w:ind w:firstLine="640"/>
        <w:outlineLvl w:val="1"/>
        <w:rPr>
          <w:rFonts w:ascii="仿宋_GB2312" w:eastAsia="仿宋_GB2312"/>
          <w:color w:val="0000FF"/>
          <w:sz w:val="32"/>
          <w:szCs w:val="32"/>
        </w:rPr>
      </w:pPr>
      <w:r>
        <w:rPr>
          <w:rFonts w:hint="eastAsia" w:ascii="仿宋_GB2312" w:eastAsia="仿宋_GB2312"/>
          <w:color w:val="000000"/>
          <w:sz w:val="32"/>
          <w:szCs w:val="32"/>
        </w:rPr>
        <w:t>主要用于执行公务、开展业务活动开支的交通费、住宿费、用餐费等。国内公务接待9批次，15人次（雅克音乐节接待国家林业局及州局</w:t>
      </w:r>
      <w:r>
        <w:rPr>
          <w:rFonts w:hint="eastAsia" w:ascii="仿宋_GB2312" w:eastAsia="仿宋_GB2312"/>
          <w:sz w:val="32"/>
          <w:szCs w:val="32"/>
        </w:rPr>
        <w:t>）共计支出0.87万元</w:t>
      </w:r>
      <w:bookmarkStart w:id="47" w:name="_Toc15377218"/>
      <w:bookmarkStart w:id="48" w:name="_Toc15396610"/>
      <w:r>
        <w:rPr>
          <w:rFonts w:hint="eastAsia" w:ascii="仿宋_GB2312" w:eastAsia="仿宋_GB2312"/>
          <w:sz w:val="32"/>
          <w:szCs w:val="32"/>
        </w:rPr>
        <w:t>。</w:t>
      </w:r>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5"/>
        </w:numPr>
        <w:spacing w:line="600" w:lineRule="exact"/>
        <w:ind w:firstLine="640"/>
        <w:outlineLvl w:val="1"/>
        <w:rPr>
          <w:rStyle w:val="27"/>
          <w:rFonts w:ascii="黑体" w:hAnsi="黑体" w:eastAsia="黑体"/>
          <w:b w:val="0"/>
        </w:rPr>
      </w:pPr>
      <w:bookmarkStart w:id="49" w:name="_Toc15396611"/>
      <w:bookmarkStart w:id="50" w:name="_Toc15377219"/>
      <w:r>
        <w:rPr>
          <w:rStyle w:val="27"/>
          <w:rFonts w:hint="eastAsia" w:ascii="黑体" w:hAnsi="黑体" w:eastAsia="黑体"/>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5"/>
        <w:numPr>
          <w:ilvl w:val="0"/>
          <w:numId w:val="6"/>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7"/>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根据预算绩效管理要求，本单位在年初预算编制阶段，组织对11项目开展了预算事前绩效评估，对</w:t>
      </w:r>
      <w:r>
        <w:rPr>
          <w:rFonts w:hint="eastAsia" w:ascii="仿宋_GB2312" w:hAnsi="仿宋_GB2312" w:eastAsia="仿宋_GB2312" w:cs="仿宋_GB2312"/>
          <w:color w:val="000000" w:themeColor="text1"/>
          <w:sz w:val="32"/>
          <w:szCs w:val="32"/>
        </w:rPr>
        <w:t>11</w:t>
      </w:r>
      <w:r>
        <w:rPr>
          <w:rFonts w:hint="eastAsia" w:ascii="仿宋_GB2312" w:hAnsi="仿宋_GB2312" w:eastAsia="仿宋_GB2312" w:cs="仿宋_GB2312"/>
          <w:sz w:val="32"/>
          <w:szCs w:val="32"/>
        </w:rPr>
        <w:t>个项目编制了绩效目标，预算执行过程中，选取5个项目开展绩效监控，年终执行完毕后，对5个项目开展了绩效目标完成情况梳理填报。本部门按要求对2018年部门整体支出开展绩效自评，从评价情况来看1、</w:t>
      </w:r>
      <w:r>
        <w:rPr>
          <w:rFonts w:hint="eastAsia" w:ascii="仿宋_GB2312" w:hAnsi="仿宋" w:eastAsia="仿宋_GB2312" w:cs="仿宋"/>
          <w:sz w:val="32"/>
          <w:szCs w:val="32"/>
        </w:rPr>
        <w:t>预算编制情况，按照县级部门预算编制通知和相关要求，按时完成部门年初预算编制和报送工作，在财政部门批复后二十日内向社会进行了公开。在编制过程中，认真核实单位实际财政供养人数和单位实有编制情况，正确编制人员经费和公用经费等，做到尽量细化项目资金支出预算范围和科目。2、执行管理情况，严格按照财政有关规定，职工工资等人员经费按月发放，公务费按季申报。在支付方式上，工资和项目资金实行财政直接支付，公用经费申请实行授权支付并尽量采取公务卡支付和转账支付，减少现金支出。严格控制“三公”经费的规模和比例，把关“三公”经费支出的审核、审批，杜绝挪用和挤占其他预算资金行为；进一步细化“三公”经费的管理，合理压缩“三公”经费支出，接待费严格按照标准，没有超出文件规定。3、支出控制，2018年本单位财政资金支出6579.65万元（其中社会保障和就业支出231.48万元，医疗卫生与计划生育支出66.22万元，节能环保支出2487.71万元，商品服务业等支出7.07万元，农林水支出3683.39万元，住房保障支出103.78万元）4.综合管理情况，(1)资产管理：完善了固定资产档案，2017年对固定资产进行了了一次全面清查；(2)内部管理制度建设情况为规范财务管理，建立健全财务管理制度，制定了内部财务管理制度，管理制度依照相关国家的法律、法规而制定的，具有合法性、合规性、完整性；相关管理制度得到认真执行，制定了《机关工作人员差旅费管理办法及出差审批制度内部操作制定》等内部制度。5．财政监督情况，我单位财务管理制度健全，执行制度严格合规，会计核算符合相关规定，资金支付依据和开支标准合法合规，严格执行政府采购制度。资金管理做到专人管理，专款专用。</w:t>
      </w:r>
      <w:r>
        <w:rPr>
          <w:rFonts w:hint="eastAsia" w:ascii="仿宋_GB2312" w:eastAsia="仿宋_GB2312"/>
          <w:bCs/>
          <w:sz w:val="32"/>
          <w:szCs w:val="32"/>
        </w:rPr>
        <w:t>6、执行情况及完成情况，</w:t>
      </w:r>
      <w:r>
        <w:rPr>
          <w:rFonts w:hint="eastAsia" w:ascii="仿宋_GB2312" w:hAnsi="仿宋" w:eastAsia="仿宋_GB2312" w:cs="仿宋"/>
          <w:sz w:val="32"/>
          <w:szCs w:val="32"/>
        </w:rPr>
        <w:t>我单位今年根据财政资金的安排情况，严格控制经费管理，未存在超预算，不按规定追加预算现象。严格规范“三公”经费，严格控制公务接待经费、公务用车维护经费等公用经费支出。我单位今年进一步规范和修改财务管理制度，进一步防范贪污、挪用、截留等现象发生。</w:t>
      </w:r>
      <w:r>
        <w:rPr>
          <w:rFonts w:hint="eastAsia" w:ascii="仿宋_GB2312" w:hAnsi="仿宋_GB2312" w:eastAsia="仿宋_GB2312" w:cs="仿宋_GB2312"/>
          <w:sz w:val="32"/>
          <w:szCs w:val="32"/>
        </w:rPr>
        <w:t>本部门还自行组织了5个项目绩效评价，从评价情况来看项目整体绩效目标达到预定目标完成时效达成预期目标。</w:t>
      </w:r>
    </w:p>
    <w:p>
      <w:pPr>
        <w:numPr>
          <w:ilvl w:val="0"/>
          <w:numId w:val="7"/>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本部门在2018年度部门决算中反映“天然林资源保护工程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湿地生态效益补偿项目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“生态护林员”等5个项目绩效目标实际完成情况。</w:t>
      </w:r>
    </w:p>
    <w:p>
      <w:pPr>
        <w:adjustRightInd w:val="0"/>
        <w:snapToGrid w:val="0"/>
        <w:spacing w:line="560" w:lineRule="exact"/>
        <w:ind w:firstLine="720"/>
        <w:rPr>
          <w:rFonts w:ascii="仿宋_GB2312" w:hAnsi="仿宋_GB2312" w:eastAsia="仿宋_GB2312" w:cs="仿宋_GB2312"/>
          <w:sz w:val="32"/>
          <w:szCs w:val="32"/>
        </w:rPr>
      </w:pP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1.天然林资源保护工程财政专项项目项目绩效目标完成情况综述。项目全年预算数568.38万元，执行数为190.68万元，完成预算的34%</w:t>
      </w:r>
      <w:r>
        <w:rPr>
          <w:rFonts w:hint="eastAsia" w:ascii="仿宋_GB2312" w:eastAsia="仿宋_GB2312"/>
          <w:sz w:val="32"/>
          <w:szCs w:val="32"/>
        </w:rPr>
        <w:t>。2018年天然林资源保护工程财政专项项目的主要内容通过落实管护责任，依法对全县2241885亩森林资源实施常年有效管护。将工程区内分流到森林管护岗位的职工全部纳入社会养老、医疗、失业、工伤、生育保险范畴，并按期足额缴纳了年度各项费用，实现了“应保全保”，参保率100%，解决了广大林区职工的后顾之忧。</w:t>
      </w:r>
      <w:r>
        <w:rPr>
          <w:rFonts w:hint="eastAsia" w:ascii="仿宋_GB2312" w:hAnsi="仿宋_GB2312" w:eastAsia="仿宋_GB2312" w:cs="仿宋_GB2312"/>
          <w:sz w:val="32"/>
          <w:szCs w:val="32"/>
        </w:rPr>
        <w:t>发现的主要问题：由于我局天保人员身份未事业身份，天保工程资金存量过大，无法使用。下一步改进措施：建议州级政府部门能够出台县级国有林管理工作和管护经费的相关政策，并落实到县级财政预算中。</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2.湿地生态效益补偿项目绩效目标完成情况综述。项目全年预算数1439万元，执行数为1438.6万元，完成预算的99.97%。2018年</w:t>
      </w:r>
      <w:r>
        <w:rPr>
          <w:rFonts w:hint="eastAsia" w:ascii="仿宋_GB2312" w:hAnsi="仿宋_GB2312" w:eastAsia="仿宋_GB2312" w:cs="仿宋_GB2312"/>
          <w:sz w:val="32"/>
          <w:szCs w:val="32"/>
          <w:lang w:val="zh-CN"/>
        </w:rPr>
        <w:t>该项目</w:t>
      </w:r>
      <w:r>
        <w:rPr>
          <w:rFonts w:hint="eastAsia" w:ascii="仿宋_GB2312" w:hAnsi="仿宋_GB2312" w:eastAsia="仿宋_GB2312" w:cs="仿宋_GB2312"/>
          <w:sz w:val="32"/>
          <w:szCs w:val="32"/>
        </w:rPr>
        <w:t>实际</w:t>
      </w:r>
      <w:r>
        <w:rPr>
          <w:rFonts w:hint="eastAsia" w:ascii="仿宋_GB2312" w:hAnsi="仿宋_GB2312" w:eastAsia="仿宋_GB2312" w:cs="仿宋_GB2312"/>
          <w:sz w:val="32"/>
          <w:szCs w:val="32"/>
          <w:lang w:val="zh-CN"/>
        </w:rPr>
        <w:t>到位</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val="zh-CN"/>
        </w:rPr>
        <w:t>级财政资金</w:t>
      </w:r>
      <w:r>
        <w:rPr>
          <w:rFonts w:hint="eastAsia" w:ascii="仿宋_GB2312" w:hAnsi="仿宋_GB2312" w:eastAsia="仿宋_GB2312" w:cs="仿宋_GB2312"/>
          <w:sz w:val="32"/>
          <w:szCs w:val="32"/>
        </w:rPr>
        <w:t>1439</w:t>
      </w:r>
      <w:r>
        <w:rPr>
          <w:rFonts w:hint="eastAsia" w:ascii="仿宋_GB2312" w:hAnsi="仿宋_GB2312" w:eastAsia="仿宋_GB2312" w:cs="仿宋_GB2312"/>
          <w:sz w:val="32"/>
          <w:szCs w:val="32"/>
          <w:lang w:val="zh-CN"/>
        </w:rPr>
        <w:t>万，</w:t>
      </w:r>
      <w:r>
        <w:rPr>
          <w:rFonts w:hint="eastAsia" w:ascii="仿宋_GB2312" w:hAnsi="仿宋_GB2312" w:eastAsia="仿宋_GB2312" w:cs="仿宋_GB2312"/>
          <w:sz w:val="32"/>
          <w:szCs w:val="32"/>
        </w:rPr>
        <w:t>并于2018年9月随即组织各乡镇开展工作，2018年9月完成县乡、乡村级目标责任书的签订，10月审定生态补偿人员并进行公示。2018年11月将由县级验收小组对各乡镇湿地生态补偿工作开展情况及牧户管护情况进行验收，待验收合格后，由金融机构通过“一卡通”的形式兑现资金。发现的主要问题：1.省级湿地生态补偿各乡镇湿地面积存在争议，红原县湿地生态补偿面积是参照2012年湿地调查数据，且红原县湿地面积测量受本地气候限制，丰水期与枯水期湿地面积偏差较大。以红原县麦洼乡为例，麦洼乡湿地是日干乔湿地自然保护区的重要组成部分，但是根据湿地调查数据，麦洼乡只有湿地面积10245亩，与实际情况不符。红原县其他部分乡镇也存在着这种问题，麦洼乡的情况最为突出。2.省级湿地生态补偿补偿标准存在争议，据2013年草原监测报告显示，全州天然草原平均鲜草亩产326.9公斤，湿地草原平均鲜草产量为420公斤/亩，可食牧草比例达80%，按利用率90%计算，平均6亩草地养活1个羊单位的牲畜，按1头牦牛折算5个羊单位计算，饲养1头牦牛需要30亩草原。按牦牛5.5岁出栏、市值6000元/头计算，湿地草原养畜产值达40元/亩.年以上。下一步改进措施：1.建议补充经费重新核实红原县各乡镇湿地面积。2.建议对红原县一般湿地开展湿地管护补助和禁牧还湿补偿，其中湿地管护补助标准为每亩每年8元；禁牧还湿补偿标准为每亩每年160元.对重点湿地（日干乔湿地自然保护区和嘎曲国家湿地公园）开展季节性限牧还湿补偿和禁牧还湿补偿，并聘请季节性限牧还湿区生态管护员（每个联户各聘请一名），其中季节性限牧还湿补偿标准为每亩每年80元；禁牧还湿补偿禁牧补偿标准为每亩每年160元；季节性管护人员每月1380元，每年8个月。</w:t>
      </w:r>
    </w:p>
    <w:p>
      <w:pPr>
        <w:adjustRightInd w:val="0"/>
        <w:snapToGrid w:val="0"/>
        <w:spacing w:line="560" w:lineRule="exact"/>
        <w:ind w:firstLine="640" w:firstLineChars="200"/>
        <w:rPr>
          <w:rFonts w:ascii="仿宋_GB2312" w:hAnsi="仿宋_GB2312" w:eastAsia="仿宋_GB2312" w:cs="仿宋_GB2312"/>
          <w:sz w:val="32"/>
          <w:szCs w:val="32"/>
        </w:rPr>
      </w:pP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生态护林员项目绩效目标完成情况综述。项目全年预算数74万元，执行数为74万元，完成预算的100%。2018年，123名建档立卡贫困户生态护林员项目的主要内容是通过落实管护责任，人均管护面积不低于1000-3000亩森林资源实施常年有效管护。针对生态护林员在开展护林工作时期，如果出现人身意外情况，我县要求每名生态护林员必须购买人身意外保险，采取是通过对生态护林员购买100元的1年的人身意外保险。参保率100%，解决了巡山护林员后顾之忧。发现的主要问题：</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一是补偿护林员劳务补助标准偏低，补偿标准低于社会务工人员平均月工资；二是补偿标准始终没有根据价格指数变化调整，没有随着国民经济的发展和物价上涨对补偿标准进行动态调整。下一步改进措施：一是生态护林员由乡镇林业工作站统一管理，不跨越乡镇选用，原则上在村内进行管护活动。同时加强护林员管理政策方面的法律法规宣传工作，加强对森林资源管护的考核力度； 二是建议提高护林员劳务补助资金标准，实行分类补偿能否根据区域生态的重要性和脆弱性，并综合考虑森林质量、地位级差、管护难度等指标，逐步提高补偿标准。</w:t>
      </w:r>
    </w:p>
    <w:p>
      <w:pPr>
        <w:autoSpaceDE w:val="0"/>
        <w:spacing w:line="52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森林生态效益补偿项目绩效目标完成情况综述。项目全年预算数184.6万元，执行数为78.28万元，完成预算的42.4%。我县成立红原县森林生态效益补偿基金领导小组和管理办公室，办公室设在县环林局林政资源审批股，处理我县国家（省）级公益林森林生态效益补偿的日常事务。根据相关政策要求，我局对森林生态效益补偿补助资金实行专帐管理、单独核算、专款专用，集体和个人补偿资金实行“一卡通”兑付。2017年8月底，县环林局将组织专业人员对我县补偿国家级公益林林地管护落实情况进行检查验收，通过内业检查《红原县集体公益林管护合同》的签订情况和各村集体公益林生态效益补偿补助资金兑现方案等相关材料以及外业检查各集体公益林管护情况，在检查合格后，对集体（个人）公益林生态效益补偿补助资金的实行“一卡通”补偿到户（在林权所有者“一卡通”账户明细上注明“生态效益补偿资金”），并在乡镇张榜公示，公示期不少于7天。县林业局和县财政局、监察局等部门联合并对兑现补偿补助资金进行相关抽查检查。 发现的主要问题：一是补偿标准偏低，补偿标准低于木材经济利用价值；二是补偿标准始终没有根据价格指数变化调整，没有随着国民经济的发展和物价上涨对补偿标准进行动态调整；三是由于我县财政困难没有任何管理工作经费和管护经费纳入县财政预算，使其在监管集体公益林工作上存在监督困难等系列问题。下一步改进措施：一是县级林业部门配合各乡村定期集中开展对集体林管护人员的培训工作，以提高集体林管护人员的管护水平和填写管护日志，同时加强集体公益林的管理政策方面的法律法规宣传工作，加强对集体公益林管护的考核力度；二是建议州级政府部门能够出台县级集体公益林管理工作和管护经费的相关政策，并能落实到县级财政预算中；三是建议提高现行集体公益林中央财政补偿基金标准，实行分类补偿能否根据区域生态的重要性和脆弱性，并综合考虑森林质量、地位级差、管护难度等指标，对现有集体公益林进行分类补偿，再根据国家财力情况，逐步提高补偿标准；四是能否积极利用市场机制实现补偿森林生态效益的有效途径，建立公益林资源保护的受益者直接补偿体系，能否落实下游地区对上游地区的公益林给予政策性补偿；五是对于部分立地条件相对较好、生态区位不十分敏感的公益林，可以考虑在不会对生态带来影响的前提下，开展抚育、更新性质的采伐，充分利用生态公益林的景观资源、林下资源，加大开展公益林的非木质的经营利用，在提高公益林林分质量的同时，增加公益林所有者或经营者的经济收入。</w:t>
      </w:r>
    </w:p>
    <w:p>
      <w:pPr>
        <w:spacing w:line="56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5.防沙治沙（川藏规配套转新增沙化治理）项目目标完成情况综述。项目全年预算数71.42万元，执行数为71.42万元，完成预算的100%。采取生物措施的方式，治理沙化土地面积72.67 hm2，沙化程度为轻度沙地和中度沙地，并通过连续5年管护，使治理区沙化土地植被盖度平均提高25个百分点以上，项目区土地沙化趋势得到有效遏制，生态环境得到有效改善，农牧民生产生活条件得到改善，防沙治沙及生态保护意识显著增强。发现的主要问题：</w:t>
      </w:r>
      <w:r>
        <w:rPr>
          <w:rFonts w:hint="eastAsia" w:ascii="仿宋_GB2312" w:hAnsi="宋体" w:eastAsia="仿宋_GB2312"/>
          <w:bCs/>
          <w:sz w:val="32"/>
          <w:szCs w:val="32"/>
        </w:rPr>
        <w:t>治理区域面临着成果巩固的难题，从现有的情况看，主要存在没有形成长效的管护机制，群众要眼前利益，生态刚好转牧民就放牧，一旦停止后期管护，治理区域极有可能出现二次植被破坏、重新沙化的可能</w:t>
      </w:r>
      <w:r>
        <w:rPr>
          <w:rFonts w:hint="eastAsia" w:ascii="仿宋_GB2312" w:hAnsi="仿宋_GB2312" w:eastAsia="仿宋_GB2312" w:cs="仿宋_GB2312"/>
          <w:sz w:val="32"/>
          <w:szCs w:val="32"/>
        </w:rPr>
        <w:t>。下一步改进措施：</w:t>
      </w:r>
      <w:r>
        <w:rPr>
          <w:rFonts w:hint="eastAsia" w:ascii="仿宋_GB2312" w:eastAsia="仿宋_GB2312"/>
          <w:bCs/>
          <w:sz w:val="32"/>
          <w:szCs w:val="32"/>
        </w:rPr>
        <w:t>建立</w:t>
      </w:r>
      <w:r>
        <w:rPr>
          <w:rFonts w:hint="eastAsia" w:ascii="仿宋_GB2312" w:hAnsi="宋体" w:eastAsia="仿宋_GB2312"/>
          <w:bCs/>
          <w:sz w:val="32"/>
          <w:szCs w:val="32"/>
        </w:rPr>
        <w:t>长效的管护机制。</w:t>
      </w:r>
    </w:p>
    <w:p>
      <w:pPr>
        <w:spacing w:line="580" w:lineRule="exact"/>
        <w:rPr>
          <w:rFonts w:ascii="仿宋_GB2312" w:hAnsi="仿宋_GB2312" w:eastAsia="仿宋_GB2312" w:cs="仿宋_GB2312"/>
          <w:sz w:val="32"/>
          <w:szCs w:val="32"/>
        </w:rPr>
      </w:pPr>
    </w:p>
    <w:tbl>
      <w:tblPr>
        <w:tblStyle w:val="14"/>
        <w:tblW w:w="9525" w:type="dxa"/>
        <w:tblInd w:w="0" w:type="dxa"/>
        <w:tblLayout w:type="fixed"/>
        <w:tblCellMar>
          <w:top w:w="0" w:type="dxa"/>
          <w:left w:w="0" w:type="dxa"/>
          <w:bottom w:w="0" w:type="dxa"/>
          <w:right w:w="0" w:type="dxa"/>
        </w:tblCellMar>
      </w:tblPr>
      <w:tblGrid>
        <w:gridCol w:w="449"/>
        <w:gridCol w:w="834"/>
        <w:gridCol w:w="1042"/>
        <w:gridCol w:w="7"/>
        <w:gridCol w:w="739"/>
        <w:gridCol w:w="11"/>
        <w:gridCol w:w="1165"/>
        <w:gridCol w:w="19"/>
        <w:gridCol w:w="1723"/>
        <w:gridCol w:w="31"/>
        <w:gridCol w:w="1589"/>
        <w:gridCol w:w="45"/>
        <w:gridCol w:w="1871"/>
      </w:tblGrid>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76"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46"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76"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42"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2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916"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59264" behindDoc="0" locked="0" layoutInCell="1" allowOverlap="1">
                  <wp:simplePos x="0" y="0"/>
                  <wp:positionH relativeFrom="column">
                    <wp:posOffset>771525</wp:posOffset>
                  </wp:positionH>
                  <wp:positionV relativeFrom="paragraph">
                    <wp:posOffset>0</wp:posOffset>
                  </wp:positionV>
                  <wp:extent cx="635" cy="0"/>
                  <wp:effectExtent l="0" t="0" r="0" b="0"/>
                  <wp:wrapNone/>
                  <wp:docPr id="5" name="Line_1"/>
                  <wp:cNvGraphicFramePr/>
                  <a:graphic xmlns:a="http://schemas.openxmlformats.org/drawingml/2006/main">
                    <a:graphicData uri="http://schemas.openxmlformats.org/drawingml/2006/picture">
                      <pic:pic xmlns:pic="http://schemas.openxmlformats.org/drawingml/2006/picture">
                        <pic:nvPicPr>
                          <pic:cNvPr id="5"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0288" behindDoc="0" locked="0" layoutInCell="1" allowOverlap="1">
                  <wp:simplePos x="0" y="0"/>
                  <wp:positionH relativeFrom="column">
                    <wp:posOffset>771525</wp:posOffset>
                  </wp:positionH>
                  <wp:positionV relativeFrom="paragraph">
                    <wp:posOffset>0</wp:posOffset>
                  </wp:positionV>
                  <wp:extent cx="635" cy="0"/>
                  <wp:effectExtent l="0" t="0" r="0" b="0"/>
                  <wp:wrapNone/>
                  <wp:docPr id="10" name="Line_3"/>
                  <wp:cNvGraphicFramePr/>
                  <a:graphic xmlns:a="http://schemas.openxmlformats.org/drawingml/2006/main">
                    <a:graphicData uri="http://schemas.openxmlformats.org/drawingml/2006/picture">
                      <pic:pic xmlns:pic="http://schemas.openxmlformats.org/drawingml/2006/picture">
                        <pic:nvPicPr>
                          <pic:cNvPr id="10"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1312" behindDoc="0" locked="0" layoutInCell="1" allowOverlap="1">
                  <wp:simplePos x="0" y="0"/>
                  <wp:positionH relativeFrom="column">
                    <wp:posOffset>771525</wp:posOffset>
                  </wp:positionH>
                  <wp:positionV relativeFrom="paragraph">
                    <wp:posOffset>0</wp:posOffset>
                  </wp:positionV>
                  <wp:extent cx="635" cy="0"/>
                  <wp:effectExtent l="0" t="0" r="0" b="0"/>
                  <wp:wrapNone/>
                  <wp:docPr id="6" name="Line_2"/>
                  <wp:cNvGraphicFramePr/>
                  <a:graphic xmlns:a="http://schemas.openxmlformats.org/drawingml/2006/main">
                    <a:graphicData uri="http://schemas.openxmlformats.org/drawingml/2006/picture">
                      <pic:pic xmlns:pic="http://schemas.openxmlformats.org/drawingml/2006/picture">
                        <pic:nvPicPr>
                          <pic:cNvPr id="6"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2336" behindDoc="0" locked="0" layoutInCell="1" allowOverlap="1">
                  <wp:simplePos x="0" y="0"/>
                  <wp:positionH relativeFrom="column">
                    <wp:posOffset>771525</wp:posOffset>
                  </wp:positionH>
                  <wp:positionV relativeFrom="paragraph">
                    <wp:posOffset>0</wp:posOffset>
                  </wp:positionV>
                  <wp:extent cx="635" cy="0"/>
                  <wp:effectExtent l="0" t="0" r="0" b="0"/>
                  <wp:wrapNone/>
                  <wp:docPr id="11" name="Line_5"/>
                  <wp:cNvGraphicFramePr/>
                  <a:graphic xmlns:a="http://schemas.openxmlformats.org/drawingml/2006/main">
                    <a:graphicData uri="http://schemas.openxmlformats.org/drawingml/2006/picture">
                      <pic:pic xmlns:pic="http://schemas.openxmlformats.org/drawingml/2006/picture">
                        <pic:nvPicPr>
                          <pic:cNvPr id="11"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3360" behindDoc="0" locked="0" layoutInCell="1" allowOverlap="1">
                  <wp:simplePos x="0" y="0"/>
                  <wp:positionH relativeFrom="column">
                    <wp:posOffset>771525</wp:posOffset>
                  </wp:positionH>
                  <wp:positionV relativeFrom="paragraph">
                    <wp:posOffset>0</wp:posOffset>
                  </wp:positionV>
                  <wp:extent cx="28575" cy="0"/>
                  <wp:effectExtent l="0" t="0" r="0" b="0"/>
                  <wp:wrapNone/>
                  <wp:docPr id="8" name="Line_4"/>
                  <wp:cNvGraphicFramePr/>
                  <a:graphic xmlns:a="http://schemas.openxmlformats.org/drawingml/2006/main">
                    <a:graphicData uri="http://schemas.openxmlformats.org/drawingml/2006/picture">
                      <pic:pic xmlns:pic="http://schemas.openxmlformats.org/drawingml/2006/picture">
                        <pic:nvPicPr>
                          <pic:cNvPr id="8"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4384" behindDoc="0" locked="0" layoutInCell="1" allowOverlap="1">
                  <wp:simplePos x="0" y="0"/>
                  <wp:positionH relativeFrom="column">
                    <wp:posOffset>1438275</wp:posOffset>
                  </wp:positionH>
                  <wp:positionV relativeFrom="paragraph">
                    <wp:posOffset>0</wp:posOffset>
                  </wp:positionV>
                  <wp:extent cx="635" cy="0"/>
                  <wp:effectExtent l="0" t="0" r="0" b="0"/>
                  <wp:wrapNone/>
                  <wp:docPr id="1" name="Line_6"/>
                  <wp:cNvGraphicFramePr/>
                  <a:graphic xmlns:a="http://schemas.openxmlformats.org/drawingml/2006/main">
                    <a:graphicData uri="http://schemas.openxmlformats.org/drawingml/2006/picture">
                      <pic:pic xmlns:pic="http://schemas.openxmlformats.org/drawingml/2006/picture">
                        <pic:nvPicPr>
                          <pic:cNvPr id="1"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0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仿宋_GB2312" w:hAnsi="仿宋_GB2312" w:eastAsia="仿宋_GB2312" w:cs="仿宋_GB2312"/>
                <w:sz w:val="20"/>
                <w:szCs w:val="20"/>
              </w:rPr>
              <w:t>天然林资源保护工程财政专项项目</w:t>
            </w:r>
          </w:p>
        </w:tc>
      </w:tr>
      <w:tr>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0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b/>
                <w:color w:val="000000"/>
                <w:sz w:val="24"/>
              </w:rPr>
            </w:pPr>
            <w:r>
              <w:rPr>
                <w:rFonts w:hint="eastAsia" w:ascii="宋体" w:hAnsi="宋体" w:cs="宋体"/>
                <w:b/>
                <w:color w:val="000000"/>
                <w:sz w:val="24"/>
              </w:rPr>
              <w:t>红原县环境保护和林业局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568.38万元</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190.68万元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568.38万元</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190.68万元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0万元</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5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autoSpaceDE w:val="0"/>
              <w:spacing w:line="560" w:lineRule="exact"/>
              <w:ind w:firstLine="400" w:firstLineChars="200"/>
              <w:rPr>
                <w:rFonts w:ascii="仿宋_GB2312" w:hAnsi="仿宋_GB2312" w:eastAsia="仿宋_GB2312" w:cs="仿宋_GB2312"/>
                <w:sz w:val="20"/>
                <w:szCs w:val="20"/>
              </w:rPr>
            </w:pPr>
            <w:r>
              <w:rPr>
                <w:rFonts w:hint="eastAsia" w:ascii="仿宋_GB2312" w:hAnsi="仿宋_GB2312" w:eastAsia="仿宋_GB2312" w:cs="仿宋_GB2312"/>
                <w:sz w:val="20"/>
                <w:szCs w:val="20"/>
              </w:rPr>
              <w:t>2018年天然林资源保护工程财政专项项目的主要内容通过落实管护责任，依法对全县2241885亩森林资源实施常年有效管护。将工程区内分流到森林管护岗位的职工全部纳入社会养老、医疗、失业、工伤、生育保险范畴，并按期足额缴纳了年度各项费用，实现了“应保全保”，参保率100%，解决了广大林区职工的后顾之忧。</w:t>
            </w:r>
          </w:p>
          <w:p>
            <w:pPr>
              <w:jc w:val="center"/>
              <w:rPr>
                <w:rFonts w:ascii="宋体" w:hAnsi="宋体" w:cs="宋体"/>
                <w:b/>
                <w:color w:val="000000"/>
                <w:sz w:val="24"/>
              </w:rPr>
            </w:pPr>
          </w:p>
        </w:tc>
        <w:tc>
          <w:tcPr>
            <w:tcW w:w="645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autoSpaceDE w:val="0"/>
              <w:spacing w:line="560" w:lineRule="exact"/>
              <w:rPr>
                <w:rFonts w:ascii="仿宋_GB2312" w:eastAsia="仿宋_GB2312"/>
                <w:sz w:val="20"/>
                <w:szCs w:val="20"/>
              </w:rPr>
            </w:pPr>
            <w:r>
              <w:rPr>
                <w:rFonts w:hint="eastAsia" w:ascii="仿宋_GB2312" w:hAnsi="仿宋_GB2312" w:eastAsia="仿宋_GB2312" w:cs="仿宋_GB2312"/>
                <w:sz w:val="20"/>
                <w:szCs w:val="20"/>
              </w:rPr>
              <w:t>一是</w:t>
            </w:r>
            <w:r>
              <w:rPr>
                <w:rFonts w:hint="eastAsia" w:ascii="仿宋_GB2312" w:eastAsia="仿宋_GB2312"/>
                <w:sz w:val="20"/>
                <w:szCs w:val="20"/>
              </w:rPr>
              <w:t xml:space="preserve">项目完成任务量。我县公益林面积220.3381万亩，其中国有公益林面积215.4091万亩，集体公益林面积4.9290万亩,生态效益补偿面积覆盖率为 100%。 </w:t>
            </w:r>
          </w:p>
          <w:p>
            <w:pPr>
              <w:autoSpaceDE w:val="0"/>
              <w:spacing w:line="560" w:lineRule="exact"/>
              <w:ind w:firstLine="400" w:firstLineChars="200"/>
              <w:rPr>
                <w:rFonts w:ascii="仿宋_GB2312" w:hAnsi="仿宋_GB2312" w:eastAsia="仿宋_GB2312" w:cs="仿宋_GB2312"/>
                <w:b/>
                <w:bCs/>
                <w:sz w:val="20"/>
                <w:szCs w:val="20"/>
              </w:rPr>
            </w:pPr>
            <w:r>
              <w:rPr>
                <w:rFonts w:hint="eastAsia" w:ascii="仿宋_GB2312" w:eastAsia="仿宋_GB2312"/>
                <w:sz w:val="20"/>
                <w:szCs w:val="20"/>
              </w:rPr>
              <w:t>二是项目完成质量。2016年度我局通过层层落实了管护责任制，全县签订国有林管护合同49份，完成率达100%。加强监督与管理，</w:t>
            </w:r>
            <w:r>
              <w:rPr>
                <w:rFonts w:hint="eastAsia" w:ascii="仿宋_GB2312" w:hAnsi="仿宋_GB2312" w:eastAsia="仿宋_GB2312" w:cs="仿宋_GB2312"/>
                <w:sz w:val="20"/>
                <w:szCs w:val="20"/>
              </w:rPr>
              <w:t>杜绝滥砍乱伐、毁林开垦的现象发生，牲畜破坏国有林的情况也逐减少，国有林的管护取得了明显成绩，</w:t>
            </w:r>
            <w:r>
              <w:rPr>
                <w:rFonts w:hint="eastAsia" w:ascii="仿宋_GB2312" w:eastAsia="仿宋_GB2312"/>
                <w:sz w:val="20"/>
                <w:szCs w:val="20"/>
              </w:rPr>
              <w:t>行政案件逐年降低。</w:t>
            </w:r>
          </w:p>
          <w:p>
            <w:pPr>
              <w:adjustRightInd w:val="0"/>
              <w:snapToGrid w:val="0"/>
              <w:spacing w:line="560" w:lineRule="exact"/>
              <w:ind w:firstLine="720"/>
              <w:rPr>
                <w:rFonts w:ascii="仿宋_GB2312" w:hAnsi="仿宋_GB2312" w:eastAsia="仿宋_GB2312" w:cs="仿宋_GB2312"/>
                <w:sz w:val="20"/>
                <w:szCs w:val="20"/>
              </w:rPr>
            </w:pPr>
            <w:r>
              <w:rPr>
                <w:rFonts w:hint="eastAsia" w:ascii="仿宋_GB2312" w:hAnsi="仿宋_GB2312" w:eastAsia="仿宋_GB2312" w:cs="仿宋_GB2312"/>
                <w:sz w:val="20"/>
                <w:szCs w:val="20"/>
              </w:rPr>
              <w:t>项目完成进度。2018年度天然林资源保护工程财政专项项目管护率达到100%。</w:t>
            </w:r>
          </w:p>
          <w:p>
            <w:pPr>
              <w:jc w:val="center"/>
              <w:rPr>
                <w:rFonts w:ascii="宋体" w:hAnsi="宋体" w:cs="宋体"/>
                <w:b/>
                <w:color w:val="000000"/>
                <w:sz w:val="24"/>
              </w:rPr>
            </w:pP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6540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10"/>
                  <wp:cNvGraphicFramePr/>
                  <a:graphic xmlns:a="http://schemas.openxmlformats.org/drawingml/2006/main">
                    <a:graphicData uri="http://schemas.openxmlformats.org/drawingml/2006/picture">
                      <pic:pic xmlns:pic="http://schemas.openxmlformats.org/drawingml/2006/picture">
                        <pic:nvPicPr>
                          <pic:cNvPr id="9"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1558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9"/>
                  <wp:cNvGraphicFramePr/>
                  <a:graphic xmlns:a="http://schemas.openxmlformats.org/drawingml/2006/main">
                    <a:graphicData uri="http://schemas.openxmlformats.org/drawingml/2006/picture">
                      <pic:pic xmlns:pic="http://schemas.openxmlformats.org/drawingml/2006/picture">
                        <pic:nvPicPr>
                          <pic:cNvPr id="4"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1660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2" name="直接连接符_7"/>
                  <wp:cNvGraphicFramePr/>
                  <a:graphic xmlns:a="http://schemas.openxmlformats.org/drawingml/2006/main">
                    <a:graphicData uri="http://schemas.openxmlformats.org/drawingml/2006/picture">
                      <pic:pic xmlns:pic="http://schemas.openxmlformats.org/drawingml/2006/picture">
                        <pic:nvPicPr>
                          <pic:cNvPr id="12"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176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直接连接符_8"/>
                  <wp:cNvGraphicFramePr/>
                  <a:graphic xmlns:a="http://schemas.openxmlformats.org/drawingml/2006/main">
                    <a:graphicData uri="http://schemas.openxmlformats.org/drawingml/2006/picture">
                      <pic:pic xmlns:pic="http://schemas.openxmlformats.org/drawingml/2006/picture">
                        <pic:nvPicPr>
                          <pic:cNvPr id="2"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1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1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9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1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9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552"/>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502"/>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71865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3" name="直接连接符_6"/>
                  <wp:cNvGraphicFramePr/>
                  <a:graphic xmlns:a="http://schemas.openxmlformats.org/drawingml/2006/main">
                    <a:graphicData uri="http://schemas.openxmlformats.org/drawingml/2006/picture">
                      <pic:pic xmlns:pic="http://schemas.openxmlformats.org/drawingml/2006/picture">
                        <pic:nvPicPr>
                          <pic:cNvPr id="3"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71968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7" name="直接连接符_5"/>
                  <wp:cNvGraphicFramePr/>
                  <a:graphic xmlns:a="http://schemas.openxmlformats.org/drawingml/2006/main">
                    <a:graphicData uri="http://schemas.openxmlformats.org/drawingml/2006/picture">
                      <pic:pic xmlns:pic="http://schemas.openxmlformats.org/drawingml/2006/picture">
                        <pic:nvPicPr>
                          <pic:cNvPr id="7"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实施天然林保护工程任务以来我县当地农牧民从该项项目中得到经济收入稳步提高，2018年度通过天保工程项目，按照我县农牧民40621人数折算，从天保工程项目人均增收达到28.18元/人</w:t>
            </w: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天然林保护工程是我县重大民生工程，通过项目的实施，促进社会稳定，生态得到保护，农户增收，充分体现了党和国家对人民群众的关心。</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通过常年以来的管理与管护，基本杜绝了乱砍乱伐现象，资源保护明显加强。通过宣传使当地农民认识到了天然林保护的重要性，杜绝了乱砍乱伐现象，围绕停、减、管、造全面采取措施，天然林得到修养生息，天然林资源得到了有效的保护，森林蓄积量得到有效的增长，2018年度我县的森林覆盖率达到了8.39%。</w:t>
            </w: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 xml:space="preserve">天然林保护工程是我县重大民生工程，通过项目的实施，促进社会稳定，生态得到保护，农户增收，充分体现了党和国家对人民群众的关心，密切党群关系，提高党和政府在人民心目中的地位，是一项民心工程、德政工程。 </w:t>
            </w:r>
          </w:p>
          <w:p>
            <w:pPr>
              <w:jc w:val="center"/>
              <w:rPr>
                <w:rFonts w:ascii="宋体" w:hAnsi="宋体" w:cs="宋体"/>
                <w:color w:val="000000"/>
                <w:sz w:val="20"/>
                <w:szCs w:val="20"/>
              </w:rPr>
            </w:pPr>
            <w:r>
              <w:rPr>
                <w:rFonts w:hint="eastAsia" w:ascii="宋体" w:hAnsi="宋体" w:cs="宋体"/>
                <w:color w:val="000000"/>
                <w:kern w:val="0"/>
                <w:sz w:val="20"/>
                <w:szCs w:val="20"/>
              </w:rPr>
              <w:t>实施天然林保护工程任务以来我县当地农牧民从该项项目中得到经济收入稳步提高，2018年度通过天保工程项目，按照我县农牧民40621人数折算，从天保工程项目人均增收达到28.18元/人。</w:t>
            </w:r>
            <w:r>
              <w:rPr>
                <w:rFonts w:hint="eastAsia" w:ascii="宋体" w:hAnsi="宋体" w:cs="宋体"/>
                <w:color w:val="000000"/>
                <w:sz w:val="20"/>
                <w:szCs w:val="20"/>
              </w:rPr>
              <w:t xml:space="preserve">               </w:t>
            </w: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66432" behindDoc="0" locked="0" layoutInCell="1" allowOverlap="1">
                  <wp:simplePos x="0" y="0"/>
                  <wp:positionH relativeFrom="column">
                    <wp:posOffset>771525</wp:posOffset>
                  </wp:positionH>
                  <wp:positionV relativeFrom="paragraph">
                    <wp:posOffset>0</wp:posOffset>
                  </wp:positionV>
                  <wp:extent cx="635" cy="0"/>
                  <wp:effectExtent l="0" t="0" r="0" b="0"/>
                  <wp:wrapNone/>
                  <wp:docPr id="31" name="Line_1"/>
                  <wp:cNvGraphicFramePr/>
                  <a:graphic xmlns:a="http://schemas.openxmlformats.org/drawingml/2006/main">
                    <a:graphicData uri="http://schemas.openxmlformats.org/drawingml/2006/picture">
                      <pic:pic xmlns:pic="http://schemas.openxmlformats.org/drawingml/2006/picture">
                        <pic:nvPicPr>
                          <pic:cNvPr id="31"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7456" behindDoc="0" locked="0" layoutInCell="1" allowOverlap="1">
                  <wp:simplePos x="0" y="0"/>
                  <wp:positionH relativeFrom="column">
                    <wp:posOffset>771525</wp:posOffset>
                  </wp:positionH>
                  <wp:positionV relativeFrom="paragraph">
                    <wp:posOffset>0</wp:posOffset>
                  </wp:positionV>
                  <wp:extent cx="635" cy="0"/>
                  <wp:effectExtent l="0" t="0" r="0" b="0"/>
                  <wp:wrapNone/>
                  <wp:docPr id="28" name="Line_3"/>
                  <wp:cNvGraphicFramePr/>
                  <a:graphic xmlns:a="http://schemas.openxmlformats.org/drawingml/2006/main">
                    <a:graphicData uri="http://schemas.openxmlformats.org/drawingml/2006/picture">
                      <pic:pic xmlns:pic="http://schemas.openxmlformats.org/drawingml/2006/picture">
                        <pic:nvPicPr>
                          <pic:cNvPr id="28"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8480" behindDoc="0" locked="0" layoutInCell="1" allowOverlap="1">
                  <wp:simplePos x="0" y="0"/>
                  <wp:positionH relativeFrom="column">
                    <wp:posOffset>771525</wp:posOffset>
                  </wp:positionH>
                  <wp:positionV relativeFrom="paragraph">
                    <wp:posOffset>0</wp:posOffset>
                  </wp:positionV>
                  <wp:extent cx="635" cy="0"/>
                  <wp:effectExtent l="0" t="0" r="0" b="0"/>
                  <wp:wrapNone/>
                  <wp:docPr id="29" name="Line_2"/>
                  <wp:cNvGraphicFramePr/>
                  <a:graphic xmlns:a="http://schemas.openxmlformats.org/drawingml/2006/main">
                    <a:graphicData uri="http://schemas.openxmlformats.org/drawingml/2006/picture">
                      <pic:pic xmlns:pic="http://schemas.openxmlformats.org/drawingml/2006/picture">
                        <pic:nvPicPr>
                          <pic:cNvPr id="29"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9504" behindDoc="0" locked="0" layoutInCell="1" allowOverlap="1">
                  <wp:simplePos x="0" y="0"/>
                  <wp:positionH relativeFrom="column">
                    <wp:posOffset>771525</wp:posOffset>
                  </wp:positionH>
                  <wp:positionV relativeFrom="paragraph">
                    <wp:posOffset>0</wp:posOffset>
                  </wp:positionV>
                  <wp:extent cx="635" cy="0"/>
                  <wp:effectExtent l="0" t="0" r="0" b="0"/>
                  <wp:wrapNone/>
                  <wp:docPr id="30" name="Line_5"/>
                  <wp:cNvGraphicFramePr/>
                  <a:graphic xmlns:a="http://schemas.openxmlformats.org/drawingml/2006/main">
                    <a:graphicData uri="http://schemas.openxmlformats.org/drawingml/2006/picture">
                      <pic:pic xmlns:pic="http://schemas.openxmlformats.org/drawingml/2006/picture">
                        <pic:nvPicPr>
                          <pic:cNvPr id="30"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70528" behindDoc="0" locked="0" layoutInCell="1" allowOverlap="1">
                  <wp:simplePos x="0" y="0"/>
                  <wp:positionH relativeFrom="column">
                    <wp:posOffset>771525</wp:posOffset>
                  </wp:positionH>
                  <wp:positionV relativeFrom="paragraph">
                    <wp:posOffset>0</wp:posOffset>
                  </wp:positionV>
                  <wp:extent cx="28575" cy="0"/>
                  <wp:effectExtent l="0" t="0" r="0" b="0"/>
                  <wp:wrapNone/>
                  <wp:docPr id="26" name="Line_4"/>
                  <wp:cNvGraphicFramePr/>
                  <a:graphic xmlns:a="http://schemas.openxmlformats.org/drawingml/2006/main">
                    <a:graphicData uri="http://schemas.openxmlformats.org/drawingml/2006/picture">
                      <pic:pic xmlns:pic="http://schemas.openxmlformats.org/drawingml/2006/picture">
                        <pic:nvPicPr>
                          <pic:cNvPr id="26"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71552" behindDoc="0" locked="0" layoutInCell="1" allowOverlap="1">
                  <wp:simplePos x="0" y="0"/>
                  <wp:positionH relativeFrom="column">
                    <wp:posOffset>1438275</wp:posOffset>
                  </wp:positionH>
                  <wp:positionV relativeFrom="paragraph">
                    <wp:posOffset>0</wp:posOffset>
                  </wp:positionV>
                  <wp:extent cx="635" cy="0"/>
                  <wp:effectExtent l="0" t="0" r="0" b="0"/>
                  <wp:wrapNone/>
                  <wp:docPr id="22" name="Line_6"/>
                  <wp:cNvGraphicFramePr/>
                  <a:graphic xmlns:a="http://schemas.openxmlformats.org/drawingml/2006/main">
                    <a:graphicData uri="http://schemas.openxmlformats.org/drawingml/2006/picture">
                      <pic:pic xmlns:pic="http://schemas.openxmlformats.org/drawingml/2006/picture">
                        <pic:nvPicPr>
                          <pic:cNvPr id="22"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rPr>
              <w:t>湿地生态补偿项目</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rPr>
              <w:t>红原县环境保护和林业局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abs>
                <w:tab w:val="left" w:pos="243"/>
              </w:tabs>
              <w:jc w:val="left"/>
              <w:rPr>
                <w:rFonts w:ascii="宋体" w:hAnsi="宋体" w:cs="宋体"/>
                <w:b/>
                <w:color w:val="000000"/>
                <w:sz w:val="24"/>
              </w:rPr>
            </w:pPr>
            <w:r>
              <w:rPr>
                <w:rFonts w:hint="eastAsia" w:ascii="宋体" w:hAnsi="宋体" w:cs="宋体"/>
                <w:b/>
                <w:color w:val="000000"/>
                <w:sz w:val="24"/>
              </w:rPr>
              <w:tab/>
            </w:r>
            <w:r>
              <w:rPr>
                <w:rFonts w:hint="eastAsia" w:ascii="宋体" w:hAnsi="宋体" w:cs="宋体"/>
                <w:color w:val="000000"/>
                <w:kern w:val="0"/>
                <w:sz w:val="20"/>
                <w:szCs w:val="20"/>
              </w:rPr>
              <w:t>1439万元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1438.6万元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rPr>
              <w:t>1439万元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1438.6万元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0万元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其它资金:</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lang w:val="zh-CN"/>
              </w:rPr>
              <w:t>为有效推进省级湿地生态效益补偿政策的开展，根据红原县实际情况公共管护费用按每亩0.5元计算（湿地生态补偿总面积为3099780.3亩），总计约155万元，主要用于红原县环境保护和林业局、各乡镇资料档案管理费、湿地生态补偿宣传</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2018年</w:t>
            </w:r>
            <w:r>
              <w:rPr>
                <w:rFonts w:hint="eastAsia" w:ascii="宋体" w:hAnsi="宋体" w:cs="宋体"/>
                <w:color w:val="000000"/>
                <w:kern w:val="0"/>
                <w:sz w:val="20"/>
                <w:szCs w:val="20"/>
                <w:lang w:val="zh-CN"/>
              </w:rPr>
              <w:t>该项目</w:t>
            </w:r>
            <w:r>
              <w:rPr>
                <w:rFonts w:hint="eastAsia" w:ascii="宋体" w:hAnsi="宋体" w:cs="宋体"/>
                <w:color w:val="000000"/>
                <w:kern w:val="0"/>
                <w:sz w:val="20"/>
                <w:szCs w:val="20"/>
              </w:rPr>
              <w:t>实际</w:t>
            </w:r>
            <w:r>
              <w:rPr>
                <w:rFonts w:hint="eastAsia" w:ascii="宋体" w:hAnsi="宋体" w:cs="宋体"/>
                <w:color w:val="000000"/>
                <w:kern w:val="0"/>
                <w:sz w:val="20"/>
                <w:szCs w:val="20"/>
                <w:lang w:val="zh-CN"/>
              </w:rPr>
              <w:t>到位</w:t>
            </w:r>
            <w:r>
              <w:rPr>
                <w:rFonts w:hint="eastAsia" w:ascii="宋体" w:hAnsi="宋体" w:cs="宋体"/>
                <w:color w:val="000000"/>
                <w:kern w:val="0"/>
                <w:sz w:val="20"/>
                <w:szCs w:val="20"/>
              </w:rPr>
              <w:t>省</w:t>
            </w:r>
            <w:r>
              <w:rPr>
                <w:rFonts w:hint="eastAsia" w:ascii="宋体" w:hAnsi="宋体" w:cs="宋体"/>
                <w:color w:val="000000"/>
                <w:kern w:val="0"/>
                <w:sz w:val="20"/>
                <w:szCs w:val="20"/>
                <w:lang w:val="zh-CN"/>
              </w:rPr>
              <w:t>级财政资金</w:t>
            </w:r>
            <w:r>
              <w:rPr>
                <w:rFonts w:hint="eastAsia" w:ascii="宋体" w:hAnsi="宋体" w:cs="宋体"/>
                <w:color w:val="000000"/>
                <w:kern w:val="0"/>
                <w:sz w:val="20"/>
                <w:szCs w:val="20"/>
              </w:rPr>
              <w:t>1439</w:t>
            </w:r>
            <w:r>
              <w:rPr>
                <w:rFonts w:hint="eastAsia" w:ascii="宋体" w:hAnsi="宋体" w:cs="宋体"/>
                <w:color w:val="000000"/>
                <w:kern w:val="0"/>
                <w:sz w:val="20"/>
                <w:szCs w:val="20"/>
                <w:lang w:val="zh-CN"/>
              </w:rPr>
              <w:t>万，</w:t>
            </w:r>
            <w:r>
              <w:rPr>
                <w:rFonts w:hint="eastAsia" w:ascii="宋体" w:hAnsi="宋体" w:cs="宋体"/>
                <w:color w:val="000000"/>
                <w:kern w:val="0"/>
                <w:sz w:val="20"/>
                <w:szCs w:val="20"/>
              </w:rPr>
              <w:t>并于2018年9月随即组织各乡镇开展工作，2018年9月完成县乡、乡村级目标责任书的签订，10月审定生态补偿人员并进行公示。2018年11月将由县级验收小组对各乡镇湿地生态补偿工作开展情况及牧户管护情况进行验收，待验收合格后，由金融机构通过“一卡通”的形式兑现资金。</w:t>
            </w:r>
          </w:p>
          <w:p>
            <w:pPr>
              <w:jc w:val="center"/>
              <w:rPr>
                <w:rFonts w:ascii="宋体" w:hAnsi="宋体" w:cs="宋体"/>
                <w:b/>
                <w:color w:val="000000"/>
                <w:sz w:val="24"/>
              </w:rPr>
            </w:pP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725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5" name="直接连接符_10"/>
                  <wp:cNvGraphicFramePr/>
                  <a:graphic xmlns:a="http://schemas.openxmlformats.org/drawingml/2006/main">
                    <a:graphicData uri="http://schemas.openxmlformats.org/drawingml/2006/picture">
                      <pic:pic xmlns:pic="http://schemas.openxmlformats.org/drawingml/2006/picture">
                        <pic:nvPicPr>
                          <pic:cNvPr id="25"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3" name="直接连接符_9"/>
                  <wp:cNvGraphicFramePr/>
                  <a:graphic xmlns:a="http://schemas.openxmlformats.org/drawingml/2006/main">
                    <a:graphicData uri="http://schemas.openxmlformats.org/drawingml/2006/picture">
                      <pic:pic xmlns:pic="http://schemas.openxmlformats.org/drawingml/2006/picture">
                        <pic:nvPicPr>
                          <pic:cNvPr id="23"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7" name="直接连接符_7"/>
                  <wp:cNvGraphicFramePr/>
                  <a:graphic xmlns:a="http://schemas.openxmlformats.org/drawingml/2006/main">
                    <a:graphicData uri="http://schemas.openxmlformats.org/drawingml/2006/picture">
                      <pic:pic xmlns:pic="http://schemas.openxmlformats.org/drawingml/2006/picture">
                        <pic:nvPicPr>
                          <pic:cNvPr id="27"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7564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1" name="直接连接符_8"/>
                  <wp:cNvGraphicFramePr/>
                  <a:graphic xmlns:a="http://schemas.openxmlformats.org/drawingml/2006/main">
                    <a:graphicData uri="http://schemas.openxmlformats.org/drawingml/2006/picture">
                      <pic:pic xmlns:pic="http://schemas.openxmlformats.org/drawingml/2006/picture">
                        <pic:nvPicPr>
                          <pic:cNvPr id="21"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sz w:val="20"/>
                <w:szCs w:val="20"/>
              </w:rPr>
            </w:pPr>
            <w:r>
              <w:rPr>
                <w:rFonts w:hint="eastAsia" w:ascii="宋体" w:hAnsi="宋体" w:cs="宋体"/>
                <w:color w:val="000000"/>
                <w:sz w:val="20"/>
                <w:szCs w:val="20"/>
              </w:rPr>
              <w:t>已制定</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380"/>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388"/>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7667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4" name="直接连接符_6"/>
                  <wp:cNvGraphicFramePr/>
                  <a:graphic xmlns:a="http://schemas.openxmlformats.org/drawingml/2006/main">
                    <a:graphicData uri="http://schemas.openxmlformats.org/drawingml/2006/picture">
                      <pic:pic xmlns:pic="http://schemas.openxmlformats.org/drawingml/2006/picture">
                        <pic:nvPicPr>
                          <pic:cNvPr id="24"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7769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4" name="直接连接符_5"/>
                  <wp:cNvGraphicFramePr/>
                  <a:graphic xmlns:a="http://schemas.openxmlformats.org/drawingml/2006/main">
                    <a:graphicData uri="http://schemas.openxmlformats.org/drawingml/2006/picture">
                      <pic:pic xmlns:pic="http://schemas.openxmlformats.org/drawingml/2006/picture">
                        <pic:nvPicPr>
                          <pic:cNvPr id="14"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 </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湿地生态补偿工作结合精准扶贫，有效帮扶了一批贫困户，提高了牧户收入，此次补偿工作共计6281户，共兑现资金1438.6万元，平均每户每年增加收入2290.39元。其中贫困户696户，兑现资金约185.88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jc w:val="center"/>
              <w:rPr>
                <w:rFonts w:ascii="宋体" w:hAnsi="宋体" w:cs="宋体"/>
                <w:color w:val="000000"/>
                <w:kern w:val="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湿地生态补偿工作结合精准扶贫，有效帮扶了一批贫困户，提高了牧户收入，此次补偿工作共计6281户，共兑现资金1438.6万元，平均每户每年增加收入2290.39元。其中贫困户696户，兑现资金约185.88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78720" behindDoc="0" locked="0" layoutInCell="1" allowOverlap="1">
                  <wp:simplePos x="0" y="0"/>
                  <wp:positionH relativeFrom="column">
                    <wp:posOffset>771525</wp:posOffset>
                  </wp:positionH>
                  <wp:positionV relativeFrom="paragraph">
                    <wp:posOffset>0</wp:posOffset>
                  </wp:positionV>
                  <wp:extent cx="635" cy="0"/>
                  <wp:effectExtent l="0" t="0" r="0" b="0"/>
                  <wp:wrapNone/>
                  <wp:docPr id="37" name="Line_1"/>
                  <wp:cNvGraphicFramePr/>
                  <a:graphic xmlns:a="http://schemas.openxmlformats.org/drawingml/2006/main">
                    <a:graphicData uri="http://schemas.openxmlformats.org/drawingml/2006/picture">
                      <pic:pic xmlns:pic="http://schemas.openxmlformats.org/drawingml/2006/picture">
                        <pic:nvPicPr>
                          <pic:cNvPr id="37"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79744" behindDoc="0" locked="0" layoutInCell="1" allowOverlap="1">
                  <wp:simplePos x="0" y="0"/>
                  <wp:positionH relativeFrom="column">
                    <wp:posOffset>771525</wp:posOffset>
                  </wp:positionH>
                  <wp:positionV relativeFrom="paragraph">
                    <wp:posOffset>0</wp:posOffset>
                  </wp:positionV>
                  <wp:extent cx="635" cy="0"/>
                  <wp:effectExtent l="0" t="0" r="0" b="0"/>
                  <wp:wrapNone/>
                  <wp:docPr id="32" name="Line_3"/>
                  <wp:cNvGraphicFramePr/>
                  <a:graphic xmlns:a="http://schemas.openxmlformats.org/drawingml/2006/main">
                    <a:graphicData uri="http://schemas.openxmlformats.org/drawingml/2006/picture">
                      <pic:pic xmlns:pic="http://schemas.openxmlformats.org/drawingml/2006/picture">
                        <pic:nvPicPr>
                          <pic:cNvPr id="32"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0768" behindDoc="0" locked="0" layoutInCell="1" allowOverlap="1">
                  <wp:simplePos x="0" y="0"/>
                  <wp:positionH relativeFrom="column">
                    <wp:posOffset>771525</wp:posOffset>
                  </wp:positionH>
                  <wp:positionV relativeFrom="paragraph">
                    <wp:posOffset>0</wp:posOffset>
                  </wp:positionV>
                  <wp:extent cx="635" cy="0"/>
                  <wp:effectExtent l="0" t="0" r="0" b="0"/>
                  <wp:wrapNone/>
                  <wp:docPr id="39" name="Line_2"/>
                  <wp:cNvGraphicFramePr/>
                  <a:graphic xmlns:a="http://schemas.openxmlformats.org/drawingml/2006/main">
                    <a:graphicData uri="http://schemas.openxmlformats.org/drawingml/2006/picture">
                      <pic:pic xmlns:pic="http://schemas.openxmlformats.org/drawingml/2006/picture">
                        <pic:nvPicPr>
                          <pic:cNvPr id="39"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1792" behindDoc="0" locked="0" layoutInCell="1" allowOverlap="1">
                  <wp:simplePos x="0" y="0"/>
                  <wp:positionH relativeFrom="column">
                    <wp:posOffset>771525</wp:posOffset>
                  </wp:positionH>
                  <wp:positionV relativeFrom="paragraph">
                    <wp:posOffset>0</wp:posOffset>
                  </wp:positionV>
                  <wp:extent cx="635" cy="0"/>
                  <wp:effectExtent l="0" t="0" r="0" b="0"/>
                  <wp:wrapNone/>
                  <wp:docPr id="33" name="Line_5"/>
                  <wp:cNvGraphicFramePr/>
                  <a:graphic xmlns:a="http://schemas.openxmlformats.org/drawingml/2006/main">
                    <a:graphicData uri="http://schemas.openxmlformats.org/drawingml/2006/picture">
                      <pic:pic xmlns:pic="http://schemas.openxmlformats.org/drawingml/2006/picture">
                        <pic:nvPicPr>
                          <pic:cNvPr id="33"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2816" behindDoc="0" locked="0" layoutInCell="1" allowOverlap="1">
                  <wp:simplePos x="0" y="0"/>
                  <wp:positionH relativeFrom="column">
                    <wp:posOffset>771525</wp:posOffset>
                  </wp:positionH>
                  <wp:positionV relativeFrom="paragraph">
                    <wp:posOffset>0</wp:posOffset>
                  </wp:positionV>
                  <wp:extent cx="28575" cy="0"/>
                  <wp:effectExtent l="0" t="0" r="0" b="0"/>
                  <wp:wrapNone/>
                  <wp:docPr id="38" name="Line_4"/>
                  <wp:cNvGraphicFramePr/>
                  <a:graphic xmlns:a="http://schemas.openxmlformats.org/drawingml/2006/main">
                    <a:graphicData uri="http://schemas.openxmlformats.org/drawingml/2006/picture">
                      <pic:pic xmlns:pic="http://schemas.openxmlformats.org/drawingml/2006/picture">
                        <pic:nvPicPr>
                          <pic:cNvPr id="38"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3840" behindDoc="0" locked="0" layoutInCell="1" allowOverlap="1">
                  <wp:simplePos x="0" y="0"/>
                  <wp:positionH relativeFrom="column">
                    <wp:posOffset>1438275</wp:posOffset>
                  </wp:positionH>
                  <wp:positionV relativeFrom="paragraph">
                    <wp:posOffset>0</wp:posOffset>
                  </wp:positionV>
                  <wp:extent cx="635" cy="0"/>
                  <wp:effectExtent l="0" t="0" r="0" b="0"/>
                  <wp:wrapNone/>
                  <wp:docPr id="36" name="Line_6"/>
                  <wp:cNvGraphicFramePr/>
                  <a:graphic xmlns:a="http://schemas.openxmlformats.org/drawingml/2006/main">
                    <a:graphicData uri="http://schemas.openxmlformats.org/drawingml/2006/picture">
                      <pic:pic xmlns:pic="http://schemas.openxmlformats.org/drawingml/2006/picture">
                        <pic:nvPicPr>
                          <pic:cNvPr id="36"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生态护林员项目</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kern w:val="0"/>
                <w:sz w:val="20"/>
                <w:szCs w:val="20"/>
              </w:rPr>
            </w:pPr>
            <w:r>
              <w:rPr>
                <w:rFonts w:hint="eastAsia" w:ascii="宋体" w:hAnsi="宋体" w:cs="宋体"/>
                <w:color w:val="000000"/>
                <w:kern w:val="0"/>
                <w:sz w:val="20"/>
                <w:szCs w:val="20"/>
              </w:rPr>
              <w:t>红原县环境保护和林业局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74万元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74万元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74万元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74万元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0万元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建立健全红原县建档立卡贫困户生态护林员政策机制是一项重大创新，意义重大的工作，政策性强、涉及面广、工作量大、任务艰巨、情况复杂，必须采取最强有力的措施确保政策顺利落实。</w:t>
            </w:r>
          </w:p>
          <w:p>
            <w:pPr>
              <w:jc w:val="center"/>
              <w:rPr>
                <w:rFonts w:ascii="宋体" w:hAnsi="宋体" w:cs="宋体"/>
                <w:b/>
                <w:color w:val="000000"/>
                <w:sz w:val="24"/>
              </w:rPr>
            </w:pP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2018年，123名建档立卡贫困户生态护林员项目的主要内容是通过落实管护责任，人均管护面积不低于1000-3000亩森林资源实施常年有效管护。针对生态护林员在开展护林工作时期，如果出现人身意外情况，我县要求每名生态护林员必须购买人身意外保险，采取是通过对生态护林员购买100元的1年的人身意外保险。参保率100%，解决了巡山护林员后顾之忧。</w:t>
            </w: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848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5" name="直接连接符_10"/>
                  <wp:cNvGraphicFramePr/>
                  <a:graphic xmlns:a="http://schemas.openxmlformats.org/drawingml/2006/main">
                    <a:graphicData uri="http://schemas.openxmlformats.org/drawingml/2006/picture">
                      <pic:pic xmlns:pic="http://schemas.openxmlformats.org/drawingml/2006/picture">
                        <pic:nvPicPr>
                          <pic:cNvPr id="35"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858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4" name="直接连接符_9"/>
                  <wp:cNvGraphicFramePr/>
                  <a:graphic xmlns:a="http://schemas.openxmlformats.org/drawingml/2006/main">
                    <a:graphicData uri="http://schemas.openxmlformats.org/drawingml/2006/picture">
                      <pic:pic xmlns:pic="http://schemas.openxmlformats.org/drawingml/2006/picture">
                        <pic:nvPicPr>
                          <pic:cNvPr id="34"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869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0" name="直接连接符_7"/>
                  <wp:cNvGraphicFramePr/>
                  <a:graphic xmlns:a="http://schemas.openxmlformats.org/drawingml/2006/main">
                    <a:graphicData uri="http://schemas.openxmlformats.org/drawingml/2006/picture">
                      <pic:pic xmlns:pic="http://schemas.openxmlformats.org/drawingml/2006/picture">
                        <pic:nvPicPr>
                          <pic:cNvPr id="40"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879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2" name="直接连接符_8"/>
                  <wp:cNvGraphicFramePr/>
                  <a:graphic xmlns:a="http://schemas.openxmlformats.org/drawingml/2006/main">
                    <a:graphicData uri="http://schemas.openxmlformats.org/drawingml/2006/picture">
                      <pic:pic xmlns:pic="http://schemas.openxmlformats.org/drawingml/2006/picture">
                        <pic:nvPicPr>
                          <pic:cNvPr id="42"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指标评价内容</w:t>
            </w:r>
          </w:p>
        </w:tc>
        <w:tc>
          <w:tcPr>
            <w:tcW w:w="16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预期指标值(包含数字及文字描述)</w:t>
            </w: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8896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41" name="直接连接符_6"/>
                  <wp:cNvGraphicFramePr/>
                  <a:graphic xmlns:a="http://schemas.openxmlformats.org/drawingml/2006/main">
                    <a:graphicData uri="http://schemas.openxmlformats.org/drawingml/2006/picture">
                      <pic:pic xmlns:pic="http://schemas.openxmlformats.org/drawingml/2006/picture">
                        <pic:nvPicPr>
                          <pic:cNvPr id="41"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8998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43" name="直接连接符_5"/>
                  <wp:cNvGraphicFramePr/>
                  <a:graphic xmlns:a="http://schemas.openxmlformats.org/drawingml/2006/main">
                    <a:graphicData uri="http://schemas.openxmlformats.org/drawingml/2006/picture">
                      <pic:pic xmlns:pic="http://schemas.openxmlformats.org/drawingml/2006/picture">
                        <pic:nvPicPr>
                          <pic:cNvPr id="43"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选聘生态护林员以来我县当地农牧民从该项项目中得到经济收入稳步提高，建档立卡贫困户护林员平均年收入9600元。</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选聘建档立卡贫困户生态护林员作为脱贫攻坚重要内容，通过项目的实施，促进社会稳定，生态得到保护，农牧民达到增收，充分体现了党和国家对人民群众的关心，密切党群关系，提高党和政府在人民心目中的地位。</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通过选聘生态护林员实施森林管护，我县森林资源得到了有效的保护，森林蓄积量得到有效的增长。林分质量得到改善，通过茂密的林冠，纵横交错的根系来阻挡和减缓雨水对土壤的冲刷和侵蚀,减少土壤的流失；通过树冠、树干、枯枝落叶层以及根系的吸滞、存贮作用，发挥了涵养水源的作用。</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选聘建档立卡贫困户生态护林员作为脱贫攻坚重要内容，通过项目的实施，促进社会稳定，生态得到保护，农牧民达到增收，充分体现了党和国家对人民群众的关心，密切党群关系，提高党和政府在人民心目中的地位。</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91008" behindDoc="0" locked="0" layoutInCell="1" allowOverlap="1">
                  <wp:simplePos x="0" y="0"/>
                  <wp:positionH relativeFrom="column">
                    <wp:posOffset>771525</wp:posOffset>
                  </wp:positionH>
                  <wp:positionV relativeFrom="paragraph">
                    <wp:posOffset>0</wp:posOffset>
                  </wp:positionV>
                  <wp:extent cx="635" cy="0"/>
                  <wp:effectExtent l="0" t="0" r="0" b="0"/>
                  <wp:wrapNone/>
                  <wp:docPr id="53" name="Line_1"/>
                  <wp:cNvGraphicFramePr/>
                  <a:graphic xmlns:a="http://schemas.openxmlformats.org/drawingml/2006/main">
                    <a:graphicData uri="http://schemas.openxmlformats.org/drawingml/2006/picture">
                      <pic:pic xmlns:pic="http://schemas.openxmlformats.org/drawingml/2006/picture">
                        <pic:nvPicPr>
                          <pic:cNvPr id="53"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2032" behindDoc="0" locked="0" layoutInCell="1" allowOverlap="1">
                  <wp:simplePos x="0" y="0"/>
                  <wp:positionH relativeFrom="column">
                    <wp:posOffset>771525</wp:posOffset>
                  </wp:positionH>
                  <wp:positionV relativeFrom="paragraph">
                    <wp:posOffset>0</wp:posOffset>
                  </wp:positionV>
                  <wp:extent cx="635" cy="0"/>
                  <wp:effectExtent l="0" t="0" r="0" b="0"/>
                  <wp:wrapNone/>
                  <wp:docPr id="54" name="Line_3"/>
                  <wp:cNvGraphicFramePr/>
                  <a:graphic xmlns:a="http://schemas.openxmlformats.org/drawingml/2006/main">
                    <a:graphicData uri="http://schemas.openxmlformats.org/drawingml/2006/picture">
                      <pic:pic xmlns:pic="http://schemas.openxmlformats.org/drawingml/2006/picture">
                        <pic:nvPicPr>
                          <pic:cNvPr id="54"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3056" behindDoc="0" locked="0" layoutInCell="1" allowOverlap="1">
                  <wp:simplePos x="0" y="0"/>
                  <wp:positionH relativeFrom="column">
                    <wp:posOffset>771525</wp:posOffset>
                  </wp:positionH>
                  <wp:positionV relativeFrom="paragraph">
                    <wp:posOffset>0</wp:posOffset>
                  </wp:positionV>
                  <wp:extent cx="635" cy="0"/>
                  <wp:effectExtent l="0" t="0" r="0" b="0"/>
                  <wp:wrapNone/>
                  <wp:docPr id="55" name="Line_2"/>
                  <wp:cNvGraphicFramePr/>
                  <a:graphic xmlns:a="http://schemas.openxmlformats.org/drawingml/2006/main">
                    <a:graphicData uri="http://schemas.openxmlformats.org/drawingml/2006/picture">
                      <pic:pic xmlns:pic="http://schemas.openxmlformats.org/drawingml/2006/picture">
                        <pic:nvPicPr>
                          <pic:cNvPr id="55"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4080" behindDoc="0" locked="0" layoutInCell="1" allowOverlap="1">
                  <wp:simplePos x="0" y="0"/>
                  <wp:positionH relativeFrom="column">
                    <wp:posOffset>771525</wp:posOffset>
                  </wp:positionH>
                  <wp:positionV relativeFrom="paragraph">
                    <wp:posOffset>0</wp:posOffset>
                  </wp:positionV>
                  <wp:extent cx="635" cy="0"/>
                  <wp:effectExtent l="0" t="0" r="0" b="0"/>
                  <wp:wrapNone/>
                  <wp:docPr id="45" name="Line_5"/>
                  <wp:cNvGraphicFramePr/>
                  <a:graphic xmlns:a="http://schemas.openxmlformats.org/drawingml/2006/main">
                    <a:graphicData uri="http://schemas.openxmlformats.org/drawingml/2006/picture">
                      <pic:pic xmlns:pic="http://schemas.openxmlformats.org/drawingml/2006/picture">
                        <pic:nvPicPr>
                          <pic:cNvPr id="45"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5104" behindDoc="0" locked="0" layoutInCell="1" allowOverlap="1">
                  <wp:simplePos x="0" y="0"/>
                  <wp:positionH relativeFrom="column">
                    <wp:posOffset>771525</wp:posOffset>
                  </wp:positionH>
                  <wp:positionV relativeFrom="paragraph">
                    <wp:posOffset>0</wp:posOffset>
                  </wp:positionV>
                  <wp:extent cx="28575" cy="0"/>
                  <wp:effectExtent l="0" t="0" r="0" b="0"/>
                  <wp:wrapNone/>
                  <wp:docPr id="46" name="Line_4"/>
                  <wp:cNvGraphicFramePr/>
                  <a:graphic xmlns:a="http://schemas.openxmlformats.org/drawingml/2006/main">
                    <a:graphicData uri="http://schemas.openxmlformats.org/drawingml/2006/picture">
                      <pic:pic xmlns:pic="http://schemas.openxmlformats.org/drawingml/2006/picture">
                        <pic:nvPicPr>
                          <pic:cNvPr id="46"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6128" behindDoc="0" locked="0" layoutInCell="1" allowOverlap="1">
                  <wp:simplePos x="0" y="0"/>
                  <wp:positionH relativeFrom="column">
                    <wp:posOffset>1438275</wp:posOffset>
                  </wp:positionH>
                  <wp:positionV relativeFrom="paragraph">
                    <wp:posOffset>0</wp:posOffset>
                  </wp:positionV>
                  <wp:extent cx="635" cy="0"/>
                  <wp:effectExtent l="0" t="0" r="0" b="0"/>
                  <wp:wrapNone/>
                  <wp:docPr id="44" name="Line_6"/>
                  <wp:cNvGraphicFramePr/>
                  <a:graphic xmlns:a="http://schemas.openxmlformats.org/drawingml/2006/main">
                    <a:graphicData uri="http://schemas.openxmlformats.org/drawingml/2006/picture">
                      <pic:pic xmlns:pic="http://schemas.openxmlformats.org/drawingml/2006/picture">
                        <pic:nvPicPr>
                          <pic:cNvPr id="44"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rPr>
              <w:t>森林生态效益补偿项目</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rPr>
              <w:t>红原县环境保护和林业局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184.6万元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78.28万元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184.6万元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78.28万元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0万元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rPr>
              <w:t>为加强我县集体公益林管护力度，我局并于集体公益林权属所在的各乡镇人民政府、各村村委会签订红原县集体公益林管护合同40份。按照《四川省森林生态效益补偿资金管理办法》加强对我县集体公益林补偿补助资金的监管，使其我县的集体公益林资源得到安全有效的可持续发展利用</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rPr>
                <w:rFonts w:ascii="宋体" w:hAnsi="宋体" w:cs="宋体"/>
                <w:color w:val="000000"/>
                <w:kern w:val="0"/>
                <w:sz w:val="20"/>
                <w:szCs w:val="20"/>
              </w:rPr>
            </w:pPr>
            <w:r>
              <w:rPr>
                <w:rFonts w:hint="eastAsia" w:ascii="仿宋_GB2312" w:hAnsi="仿宋_GB2312" w:eastAsia="仿宋_GB2312" w:cs="仿宋_GB2312"/>
                <w:sz w:val="32"/>
                <w:szCs w:val="32"/>
              </w:rPr>
              <w:t xml:space="preserve"> </w:t>
            </w:r>
            <w:r>
              <w:rPr>
                <w:rFonts w:hint="eastAsia" w:ascii="宋体" w:hAnsi="宋体" w:cs="宋体"/>
                <w:color w:val="000000"/>
                <w:kern w:val="0"/>
                <w:sz w:val="20"/>
                <w:szCs w:val="20"/>
              </w:rPr>
              <w:t>我县成立红原县森林生态效益补偿基金领导小组和管理办公室，办公室设在县环林局林政资源审批股，处理我县国家（省）级公益林森林生态效益补偿的日常事务。根据相关政策要求，我局对森林生态效益补偿补助资金实行专帐管理、单独核算、专款专用，集体和个人补偿资金实行“一卡通”兑付。</w:t>
            </w:r>
          </w:p>
          <w:p>
            <w:pPr>
              <w:jc w:val="center"/>
              <w:rPr>
                <w:rFonts w:ascii="宋体" w:hAnsi="宋体" w:cs="宋体"/>
                <w:b/>
                <w:color w:val="000000"/>
                <w:sz w:val="24"/>
              </w:rPr>
            </w:pP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9715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8" name="直接连接符_10"/>
                  <wp:cNvGraphicFramePr/>
                  <a:graphic xmlns:a="http://schemas.openxmlformats.org/drawingml/2006/main">
                    <a:graphicData uri="http://schemas.openxmlformats.org/drawingml/2006/picture">
                      <pic:pic xmlns:pic="http://schemas.openxmlformats.org/drawingml/2006/picture">
                        <pic:nvPicPr>
                          <pic:cNvPr id="48"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981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9" name="直接连接符_9"/>
                  <wp:cNvGraphicFramePr/>
                  <a:graphic xmlns:a="http://schemas.openxmlformats.org/drawingml/2006/main">
                    <a:graphicData uri="http://schemas.openxmlformats.org/drawingml/2006/picture">
                      <pic:pic xmlns:pic="http://schemas.openxmlformats.org/drawingml/2006/picture">
                        <pic:nvPicPr>
                          <pic:cNvPr id="49"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992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7" name="直接连接符_7"/>
                  <wp:cNvGraphicFramePr/>
                  <a:graphic xmlns:a="http://schemas.openxmlformats.org/drawingml/2006/main">
                    <a:graphicData uri="http://schemas.openxmlformats.org/drawingml/2006/picture">
                      <pic:pic xmlns:pic="http://schemas.openxmlformats.org/drawingml/2006/picture">
                        <pic:nvPicPr>
                          <pic:cNvPr id="47"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002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0" name="直接连接符_8"/>
                  <wp:cNvGraphicFramePr/>
                  <a:graphic xmlns:a="http://schemas.openxmlformats.org/drawingml/2006/main">
                    <a:graphicData uri="http://schemas.openxmlformats.org/drawingml/2006/picture">
                      <pic:pic xmlns:pic="http://schemas.openxmlformats.org/drawingml/2006/picture">
                        <pic:nvPicPr>
                          <pic:cNvPr id="50"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 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70124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1" name="直接连接符_6"/>
                  <wp:cNvGraphicFramePr/>
                  <a:graphic xmlns:a="http://schemas.openxmlformats.org/drawingml/2006/main">
                    <a:graphicData uri="http://schemas.openxmlformats.org/drawingml/2006/picture">
                      <pic:pic xmlns:pic="http://schemas.openxmlformats.org/drawingml/2006/picture">
                        <pic:nvPicPr>
                          <pic:cNvPr id="51"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70227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52" name="直接连接符_5"/>
                  <wp:cNvGraphicFramePr/>
                  <a:graphic xmlns:a="http://schemas.openxmlformats.org/drawingml/2006/main">
                    <a:graphicData uri="http://schemas.openxmlformats.org/drawingml/2006/picture">
                      <pic:pic xmlns:pic="http://schemas.openxmlformats.org/drawingml/2006/picture">
                        <pic:nvPicPr>
                          <pic:cNvPr id="52"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2018年度通过森林生态补偿效益项目，按照我县农牧民40621人数折算，人均增收达到28.18元/人，增加了林农收入，林权所有者获得了补偿，村集体林业工作热情得到了显著提高， 形成了“集体林有人管、树有人看、责有人担”的良好局面，森林资源得到有效培育和保护，全县集体公益林区域内森林质量明显提高，集体林权属所有者生态补偿满意度极高。</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村集体林业工作热情得到了显著提高， 形成了“集体林有人管、树有人看、责有人担”的良好局面，森林资源得到有效培育和保护，全县集体公益林区域内森林质量明显提高，集体林权属所有者生态补偿满意度极高。</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实施公益林森林生态效益补偿机制以来， 进一步建立健全了我县公益林生态效益补偿补助项目各项管理规章制度，完善杜绝滥砍乱伐、毁林开垦的现象发生，牲畜破坏集体公益林的情况也逐减少，集体公益林的管护取得了明显成绩。</w:t>
            </w: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村集体林业工作热情得到了显著提高， 形成了“集体林有人管、树有人看、责有人担”的良好局面，森林资源得到有效培育和保护，全县集体公益林区域内森林质量明显提高，集体林权属所有者生态补偿满意度极高。</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703296" behindDoc="0" locked="0" layoutInCell="1" allowOverlap="1">
                  <wp:simplePos x="0" y="0"/>
                  <wp:positionH relativeFrom="column">
                    <wp:posOffset>771525</wp:posOffset>
                  </wp:positionH>
                  <wp:positionV relativeFrom="paragraph">
                    <wp:posOffset>0</wp:posOffset>
                  </wp:positionV>
                  <wp:extent cx="635" cy="0"/>
                  <wp:effectExtent l="0" t="0" r="0" b="0"/>
                  <wp:wrapNone/>
                  <wp:docPr id="66" name="Line_1"/>
                  <wp:cNvGraphicFramePr/>
                  <a:graphic xmlns:a="http://schemas.openxmlformats.org/drawingml/2006/main">
                    <a:graphicData uri="http://schemas.openxmlformats.org/drawingml/2006/picture">
                      <pic:pic xmlns:pic="http://schemas.openxmlformats.org/drawingml/2006/picture">
                        <pic:nvPicPr>
                          <pic:cNvPr id="66"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704320" behindDoc="0" locked="0" layoutInCell="1" allowOverlap="1">
                  <wp:simplePos x="0" y="0"/>
                  <wp:positionH relativeFrom="column">
                    <wp:posOffset>771525</wp:posOffset>
                  </wp:positionH>
                  <wp:positionV relativeFrom="paragraph">
                    <wp:posOffset>0</wp:posOffset>
                  </wp:positionV>
                  <wp:extent cx="635" cy="0"/>
                  <wp:effectExtent l="0" t="0" r="0" b="0"/>
                  <wp:wrapNone/>
                  <wp:docPr id="65" name="Line_3"/>
                  <wp:cNvGraphicFramePr/>
                  <a:graphic xmlns:a="http://schemas.openxmlformats.org/drawingml/2006/main">
                    <a:graphicData uri="http://schemas.openxmlformats.org/drawingml/2006/picture">
                      <pic:pic xmlns:pic="http://schemas.openxmlformats.org/drawingml/2006/picture">
                        <pic:nvPicPr>
                          <pic:cNvPr id="65"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705344" behindDoc="0" locked="0" layoutInCell="1" allowOverlap="1">
                  <wp:simplePos x="0" y="0"/>
                  <wp:positionH relativeFrom="column">
                    <wp:posOffset>771525</wp:posOffset>
                  </wp:positionH>
                  <wp:positionV relativeFrom="paragraph">
                    <wp:posOffset>0</wp:posOffset>
                  </wp:positionV>
                  <wp:extent cx="635" cy="0"/>
                  <wp:effectExtent l="0" t="0" r="0" b="0"/>
                  <wp:wrapNone/>
                  <wp:docPr id="67" name="Line_2"/>
                  <wp:cNvGraphicFramePr/>
                  <a:graphic xmlns:a="http://schemas.openxmlformats.org/drawingml/2006/main">
                    <a:graphicData uri="http://schemas.openxmlformats.org/drawingml/2006/picture">
                      <pic:pic xmlns:pic="http://schemas.openxmlformats.org/drawingml/2006/picture">
                        <pic:nvPicPr>
                          <pic:cNvPr id="67"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706368" behindDoc="0" locked="0" layoutInCell="1" allowOverlap="1">
                  <wp:simplePos x="0" y="0"/>
                  <wp:positionH relativeFrom="column">
                    <wp:posOffset>771525</wp:posOffset>
                  </wp:positionH>
                  <wp:positionV relativeFrom="paragraph">
                    <wp:posOffset>0</wp:posOffset>
                  </wp:positionV>
                  <wp:extent cx="635" cy="0"/>
                  <wp:effectExtent l="0" t="0" r="0" b="0"/>
                  <wp:wrapNone/>
                  <wp:docPr id="57" name="Line_5"/>
                  <wp:cNvGraphicFramePr/>
                  <a:graphic xmlns:a="http://schemas.openxmlformats.org/drawingml/2006/main">
                    <a:graphicData uri="http://schemas.openxmlformats.org/drawingml/2006/picture">
                      <pic:pic xmlns:pic="http://schemas.openxmlformats.org/drawingml/2006/picture">
                        <pic:nvPicPr>
                          <pic:cNvPr id="57"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707392" behindDoc="0" locked="0" layoutInCell="1" allowOverlap="1">
                  <wp:simplePos x="0" y="0"/>
                  <wp:positionH relativeFrom="column">
                    <wp:posOffset>771525</wp:posOffset>
                  </wp:positionH>
                  <wp:positionV relativeFrom="paragraph">
                    <wp:posOffset>0</wp:posOffset>
                  </wp:positionV>
                  <wp:extent cx="28575" cy="0"/>
                  <wp:effectExtent l="0" t="0" r="0" b="0"/>
                  <wp:wrapNone/>
                  <wp:docPr id="63" name="Line_4"/>
                  <wp:cNvGraphicFramePr/>
                  <a:graphic xmlns:a="http://schemas.openxmlformats.org/drawingml/2006/main">
                    <a:graphicData uri="http://schemas.openxmlformats.org/drawingml/2006/picture">
                      <pic:pic xmlns:pic="http://schemas.openxmlformats.org/drawingml/2006/picture">
                        <pic:nvPicPr>
                          <pic:cNvPr id="63"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708416" behindDoc="0" locked="0" layoutInCell="1" allowOverlap="1">
                  <wp:simplePos x="0" y="0"/>
                  <wp:positionH relativeFrom="column">
                    <wp:posOffset>1438275</wp:posOffset>
                  </wp:positionH>
                  <wp:positionV relativeFrom="paragraph">
                    <wp:posOffset>0</wp:posOffset>
                  </wp:positionV>
                  <wp:extent cx="635" cy="0"/>
                  <wp:effectExtent l="0" t="0" r="0" b="0"/>
                  <wp:wrapNone/>
                  <wp:docPr id="60" name="Line_6"/>
                  <wp:cNvGraphicFramePr/>
                  <a:graphic xmlns:a="http://schemas.openxmlformats.org/drawingml/2006/main">
                    <a:graphicData uri="http://schemas.openxmlformats.org/drawingml/2006/picture">
                      <pic:pic xmlns:pic="http://schemas.openxmlformats.org/drawingml/2006/picture">
                        <pic:nvPicPr>
                          <pic:cNvPr id="60"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rPr>
              <w:t>防沙治沙（川藏规配套转新增沙化治理）项目</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rPr>
              <w:t>红原县环境保护和林业局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71.42万元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71.42万元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71.42万元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71.42万元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0万元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ind w:firstLine="300" w:firstLineChars="150"/>
              <w:rPr>
                <w:rFonts w:ascii="宋体" w:hAnsi="宋体" w:cs="宋体"/>
                <w:color w:val="000000"/>
                <w:kern w:val="0"/>
                <w:sz w:val="20"/>
                <w:szCs w:val="20"/>
              </w:rPr>
            </w:pPr>
            <w:r>
              <w:rPr>
                <w:rFonts w:hint="eastAsia" w:ascii="宋体" w:hAnsi="宋体" w:cs="宋体"/>
                <w:color w:val="000000"/>
                <w:kern w:val="0"/>
                <w:sz w:val="20"/>
                <w:szCs w:val="20"/>
              </w:rPr>
              <w:t>采取生物措施的方式，治理沙化土地面积72.67 hm2，沙化程度为轻度沙地和中度沙地，并通过连续5年管护，使治理区沙化土地植被盖度平均提高25个百分点以上，项目区土地沙化趋势得到有效遏制，生态环境得到有效改善，农牧民生产生活条件得到改善，防沙治沙及生态保护意识显著增强。</w:t>
            </w:r>
          </w:p>
          <w:p>
            <w:pPr>
              <w:jc w:val="center"/>
              <w:rPr>
                <w:rFonts w:ascii="宋体" w:hAnsi="宋体" w:cs="宋体"/>
                <w:b/>
                <w:color w:val="000000"/>
                <w:sz w:val="24"/>
              </w:rPr>
            </w:pP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ind w:firstLine="300" w:firstLineChars="150"/>
              <w:rPr>
                <w:rFonts w:ascii="宋体" w:hAnsi="宋体" w:cs="宋体"/>
                <w:color w:val="000000"/>
                <w:kern w:val="0"/>
                <w:sz w:val="20"/>
                <w:szCs w:val="20"/>
              </w:rPr>
            </w:pPr>
            <w:r>
              <w:rPr>
                <w:rFonts w:hint="eastAsia" w:ascii="宋体" w:hAnsi="宋体" w:cs="宋体"/>
                <w:color w:val="000000"/>
                <w:kern w:val="0"/>
                <w:sz w:val="20"/>
                <w:szCs w:val="20"/>
              </w:rPr>
              <w:t>采取生物措施的方式，治理沙化土地面积72.67 hm2，沙化程度为轻度沙地和中度沙地，并通过连续5年管护，使治理区沙化土地植被盖度平均提高25个百分点以上，项目区土地沙化趋势得到有效遏制，生态环境得到有效改善，农牧民生产生活条件得到改善，防沙治沙及生态保护意识显著增强。</w:t>
            </w:r>
          </w:p>
          <w:p>
            <w:pPr>
              <w:jc w:val="center"/>
              <w:rPr>
                <w:rFonts w:ascii="宋体" w:hAnsi="宋体" w:cs="宋体"/>
                <w:b/>
                <w:color w:val="000000"/>
                <w:sz w:val="24"/>
              </w:rPr>
            </w:pP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7094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8" name="直接连接符_10"/>
                  <wp:cNvGraphicFramePr/>
                  <a:graphic xmlns:a="http://schemas.openxmlformats.org/drawingml/2006/main">
                    <a:graphicData uri="http://schemas.openxmlformats.org/drawingml/2006/picture">
                      <pic:pic xmlns:pic="http://schemas.openxmlformats.org/drawingml/2006/picture">
                        <pic:nvPicPr>
                          <pic:cNvPr id="58"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104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9" name="直接连接符_9"/>
                  <wp:cNvGraphicFramePr/>
                  <a:graphic xmlns:a="http://schemas.openxmlformats.org/drawingml/2006/main">
                    <a:graphicData uri="http://schemas.openxmlformats.org/drawingml/2006/picture">
                      <pic:pic xmlns:pic="http://schemas.openxmlformats.org/drawingml/2006/picture">
                        <pic:nvPicPr>
                          <pic:cNvPr id="59"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114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1" name="直接连接符_7"/>
                  <wp:cNvGraphicFramePr/>
                  <a:graphic xmlns:a="http://schemas.openxmlformats.org/drawingml/2006/main">
                    <a:graphicData uri="http://schemas.openxmlformats.org/drawingml/2006/picture">
                      <pic:pic xmlns:pic="http://schemas.openxmlformats.org/drawingml/2006/picture">
                        <pic:nvPicPr>
                          <pic:cNvPr id="61"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125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2" name="直接连接符_8"/>
                  <wp:cNvGraphicFramePr/>
                  <a:graphic xmlns:a="http://schemas.openxmlformats.org/drawingml/2006/main">
                    <a:graphicData uri="http://schemas.openxmlformats.org/drawingml/2006/picture">
                      <pic:pic xmlns:pic="http://schemas.openxmlformats.org/drawingml/2006/picture">
                        <pic:nvPicPr>
                          <pic:cNvPr id="62"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503"/>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是 </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 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 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 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 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71353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6" name="直接连接符_6"/>
                  <wp:cNvGraphicFramePr/>
                  <a:graphic xmlns:a="http://schemas.openxmlformats.org/drawingml/2006/main">
                    <a:graphicData uri="http://schemas.openxmlformats.org/drawingml/2006/picture">
                      <pic:pic xmlns:pic="http://schemas.openxmlformats.org/drawingml/2006/picture">
                        <pic:nvPicPr>
                          <pic:cNvPr id="56"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71456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64" name="直接连接符_5"/>
                  <wp:cNvGraphicFramePr/>
                  <a:graphic xmlns:a="http://schemas.openxmlformats.org/drawingml/2006/main">
                    <a:graphicData uri="http://schemas.openxmlformats.org/drawingml/2006/picture">
                      <pic:pic xmlns:pic="http://schemas.openxmlformats.org/drawingml/2006/picture">
                        <pic:nvPicPr>
                          <pic:cNvPr id="64"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通过沙化治理，引导和培育沙产业，在改善生态环境的同时也促进区域的经济发展，同时随着工程的开展，将会产生大量的劳务用工，增加治理区农牧民的劳务收入，产生一定直接经济效益。初步测算工程建设将会产生约1867个劳务用工，增加当地劳务收入约32.73万元。同时，有机肥是当地丰富的可再生资源，当地农牧民通过收集后卖给项目实施单位，也会为当地农牧民带来收入。工程实施后，治理区间接经济效益主要体现在林草植被本身具有的涵养水源、固土保肥、碳氧平衡，自然灾害减少，提高单位产草量，推动畜牧业良性发展等。</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项目建设将起到很好的示范带动作用，提高牧民保护草原的意识，引导牧民从靠天养畜、掠夺式经营向建设养畜、科学利用草地资源转变，并有效地将环境保护、畜牧业结构调整、地方经济发展等结合起来，提高畜牧业科技水平，提供社会就业机会，增加治理区村民的劳务收入，繁荣地方经济；另一方面还将对增进民族团结，保持藏区社会安定起到重要作用。</w:t>
            </w: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恢复草原植被、减轻水土流失：试点示范区内的沙地在治理后，地面植被将逐步恢复。由于草原植被能利用其茂密的茎叶和发达的根系，形成地表和土壤的保护层，具有良好的吸水、固土作用，减轻了土地表层冲刷和风蚀，从而有效地遏制水土流失，减少了流入江河的泥沙量。</w:t>
            </w:r>
          </w:p>
          <w:p>
            <w:pPr>
              <w:widowControl/>
              <w:jc w:val="left"/>
              <w:textAlignment w:val="bottom"/>
              <w:rPr>
                <w:rFonts w:ascii="宋体" w:hAnsi="宋体" w:cs="宋体"/>
                <w:color w:val="000000"/>
                <w:kern w:val="0"/>
                <w:sz w:val="20"/>
                <w:szCs w:val="20"/>
              </w:rPr>
            </w:pP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提高畜牧业科技水平，提供社会就业机会，增加治理区村民的劳务收入，繁荣地方经济；另一方面还将对增进民族团结，保持藏区社会安定起到重要作用。</w:t>
            </w:r>
          </w:p>
        </w:tc>
      </w:tr>
    </w:tbl>
    <w:p>
      <w:pPr>
        <w:tabs>
          <w:tab w:val="left" w:pos="312"/>
        </w:tabs>
        <w:spacing w:line="580" w:lineRule="exact"/>
        <w:rPr>
          <w:rFonts w:ascii="仿宋_GB2312" w:hAnsi="仿宋_GB2312" w:eastAsia="仿宋_GB2312" w:cs="仿宋_GB2312"/>
          <w:sz w:val="32"/>
          <w:szCs w:val="32"/>
        </w:rPr>
      </w:pPr>
    </w:p>
    <w:p>
      <w:pPr>
        <w:numPr>
          <w:ilvl w:val="0"/>
          <w:numId w:val="7"/>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本部门按要求对2018年部门整体支出绩效评价情况开展自评，《红原县环境保护和林业局部门2018年部门整体支出绩效评价报告》见附件。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天然林保护工程项目、湿地生态效益补偿项目等5个项目开展了绩效评价，《天然林保护工程项目2018年绩效评价报告》《生态护林员项目2018年绩效评价报告》《防沙治沙（川藏规配套转新增沙化治理）项目2018年绩效评价报告》《湿地生态效益补偿项目2018年绩效评价报告》《森林生态效益补偿项目2018年绩效评价报告》见附件。</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51" w:name="_Toc15396612"/>
      <w:bookmarkStart w:id="52" w:name="_Toc15377221"/>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51"/>
      <w:bookmarkEnd w:id="52"/>
    </w:p>
    <w:p>
      <w:pPr>
        <w:spacing w:line="600" w:lineRule="exact"/>
        <w:ind w:firstLine="643" w:firstLineChars="200"/>
        <w:outlineLvl w:val="2"/>
        <w:rPr>
          <w:rFonts w:ascii="仿宋" w:hAnsi="仿宋" w:eastAsia="仿宋"/>
          <w:color w:val="000000"/>
          <w:sz w:val="32"/>
          <w:szCs w:val="32"/>
        </w:rPr>
      </w:pPr>
      <w:bookmarkStart w:id="53" w:name="_Toc15377222"/>
      <w:r>
        <w:rPr>
          <w:rFonts w:hint="eastAsia" w:ascii="仿宋" w:hAnsi="仿宋" w:eastAsia="仿宋"/>
          <w:b/>
          <w:color w:val="000000"/>
          <w:sz w:val="32"/>
          <w:szCs w:val="32"/>
        </w:rPr>
        <w:t>（一）机关运行经费支出情况</w:t>
      </w:r>
      <w:bookmarkEnd w:id="53"/>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8年，红原县环境保护和林业局机关运行经费支出32.13万元，比</w:t>
      </w:r>
      <w:r>
        <w:rPr>
          <w:rFonts w:ascii="仿宋_GB2312" w:eastAsia="仿宋_GB2312"/>
          <w:color w:val="000000"/>
          <w:sz w:val="32"/>
          <w:szCs w:val="32"/>
        </w:rPr>
        <w:t>201</w:t>
      </w:r>
      <w:r>
        <w:rPr>
          <w:rFonts w:hint="eastAsia" w:ascii="仿宋_GB2312" w:eastAsia="仿宋_GB2312"/>
          <w:color w:val="000000"/>
          <w:sz w:val="32"/>
          <w:szCs w:val="32"/>
        </w:rPr>
        <w:t>7年减少50.26万元，下降61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主要原因是厉行节约，减少不必要的开支。</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3"/>
      <w:r>
        <w:rPr>
          <w:rFonts w:hint="eastAsia" w:ascii="仿宋" w:hAnsi="仿宋" w:eastAsia="仿宋"/>
          <w:b/>
          <w:color w:val="000000"/>
          <w:sz w:val="32"/>
          <w:szCs w:val="32"/>
        </w:rPr>
        <w:t>（二）政府采购支出情况</w:t>
      </w:r>
      <w:bookmarkEnd w:id="54"/>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红原县环境保护和林业局政府采购支出总额166.83万元，其中：政府采购货物支出166.83万元、政府采购工程支出0万元、政府采购服务支出0万元。主要用于办公设备购置150.95万元及公务用车购置15.88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5" w:name="_Toc15377224"/>
      <w:r>
        <w:rPr>
          <w:rFonts w:hint="eastAsia" w:ascii="仿宋" w:hAnsi="仿宋" w:eastAsia="仿宋"/>
          <w:b/>
          <w:color w:val="000000"/>
          <w:sz w:val="32"/>
          <w:szCs w:val="32"/>
        </w:rPr>
        <w:t>（三）国有资产占有使用情况</w:t>
      </w:r>
      <w:bookmarkEnd w:id="55"/>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日，红原县环境保护和林业局共有车辆8辆，其中：部级领导干部用0辆、一般公务用车7辆、一般执法执勤用车1辆、特种专业技术用车0辆、其他用车0辆，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8"/>
        </w:numPr>
        <w:spacing w:line="600" w:lineRule="exact"/>
        <w:ind w:firstLine="663" w:firstLineChars="150"/>
        <w:jc w:val="center"/>
        <w:outlineLvl w:val="0"/>
        <w:rPr>
          <w:rStyle w:val="26"/>
          <w:rFonts w:ascii="黑体" w:hAnsi="黑体" w:eastAsia="黑体"/>
          <w:b w:val="0"/>
        </w:rPr>
      </w:pPr>
      <w:bookmarkStart w:id="56" w:name="_Toc15396613"/>
      <w:bookmarkStart w:id="57" w:name="_Toc15377225"/>
      <w:r>
        <w:rPr>
          <w:rFonts w:hint="eastAsia" w:ascii="黑体" w:hAnsi="黑体" w:eastAsia="黑体"/>
          <w:b/>
          <w:color w:val="000000"/>
          <w:sz w:val="44"/>
          <w:szCs w:val="44"/>
        </w:rPr>
        <w:t>名</w:t>
      </w:r>
      <w:r>
        <w:rPr>
          <w:rStyle w:val="26"/>
          <w:rFonts w:hint="eastAsia" w:ascii="黑体" w:hAnsi="黑体" w:eastAsia="黑体"/>
          <w:b w:val="0"/>
        </w:rPr>
        <w:t>词解释</w:t>
      </w:r>
      <w:bookmarkEnd w:id="56"/>
      <w:bookmarkEnd w:id="57"/>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left="420" w:leftChars="200" w:firstLine="160" w:firstLineChars="50"/>
        <w:rPr>
          <w:rFonts w:ascii="仿宋_GB2312" w:eastAsia="仿宋_GB2312"/>
          <w:bCs/>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社会保障和就业208（类）：</w:t>
      </w:r>
      <w:r>
        <w:rPr>
          <w:rFonts w:hint="eastAsia" w:ascii="仿宋_GB2312" w:eastAsia="仿宋_GB2312"/>
          <w:bCs/>
          <w:color w:val="000000"/>
          <w:sz w:val="32"/>
          <w:szCs w:val="32"/>
        </w:rPr>
        <w:t>其中包括2080505-机关事业单位基本养老保险缴费支出，指用于支付职工机关事业单位基本养老保险缴费；2080506-机关事业单位职业年金缴费支出，指用于支付职工机关事业单位职业年金；2080801-死亡抚恤，指用于支付死亡职工配偶及未成年子女的生活费。</w:t>
      </w:r>
    </w:p>
    <w:p>
      <w:pPr>
        <w:ind w:left="639" w:leftChars="152" w:hanging="320" w:hangingChars="1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医疗卫生与计划生育210（类）11（款）01（项）：</w:t>
      </w:r>
    </w:p>
    <w:p>
      <w:pPr>
        <w:ind w:left="639" w:leftChars="152" w:hanging="320" w:hangingChars="100"/>
        <w:rPr>
          <w:rFonts w:ascii="仿宋_GB2312" w:eastAsia="仿宋_GB2312"/>
          <w:color w:val="000000"/>
          <w:sz w:val="32"/>
          <w:szCs w:val="32"/>
        </w:rPr>
      </w:pPr>
      <w:r>
        <w:rPr>
          <w:rFonts w:hint="eastAsia" w:ascii="仿宋_GB2312" w:eastAsia="仿宋_GB2312"/>
          <w:color w:val="000000"/>
          <w:sz w:val="32"/>
          <w:szCs w:val="32"/>
        </w:rPr>
        <w:t>指</w:t>
      </w:r>
      <w:r>
        <w:rPr>
          <w:rStyle w:val="16"/>
          <w:rFonts w:hint="eastAsia" w:ascii="仿宋" w:hAnsi="仿宋" w:eastAsia="仿宋"/>
          <w:b w:val="0"/>
          <w:bCs/>
          <w:color w:val="000000"/>
          <w:sz w:val="32"/>
          <w:szCs w:val="32"/>
        </w:rPr>
        <w:t>主要用于支付职工基本医疗保险，</w:t>
      </w:r>
      <w:r>
        <w:rPr>
          <w:rFonts w:hint="eastAsia" w:ascii="仿宋_GB2312" w:eastAsia="仿宋_GB2312"/>
          <w:color w:val="000000"/>
          <w:sz w:val="32"/>
          <w:szCs w:val="32"/>
        </w:rPr>
        <w:t>。</w:t>
      </w:r>
    </w:p>
    <w:p>
      <w:pPr>
        <w:ind w:left="315" w:leftChars="15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节能环保211（类）：其中包括2110401-生态保护支出，指该支出主要用于生态保护项目支出；2110501-森林管护支出，指</w:t>
      </w:r>
      <w:r>
        <w:rPr>
          <w:rFonts w:hint="eastAsia" w:ascii="宋体" w:hAnsi="宋体" w:cs="宋体"/>
          <w:color w:val="333333"/>
          <w:sz w:val="32"/>
          <w:szCs w:val="32"/>
          <w:shd w:val="clear" w:color="auto" w:fill="FFFFFF"/>
        </w:rPr>
        <w:t>主要用于天保管护支出。</w:t>
      </w:r>
    </w:p>
    <w:p>
      <w:pPr>
        <w:tabs>
          <w:tab w:val="left" w:pos="312"/>
        </w:tabs>
        <w:spacing w:line="600" w:lineRule="exact"/>
        <w:ind w:left="315" w:leftChars="150"/>
        <w:rPr>
          <w:rFonts w:ascii="仿宋_GB2312" w:eastAsia="仿宋_GB2312"/>
          <w:color w:val="000000"/>
          <w:sz w:val="32"/>
          <w:szCs w:val="32"/>
        </w:rPr>
      </w:pPr>
      <w:r>
        <w:rPr>
          <w:rFonts w:hint="eastAsia" w:ascii="仿宋_GB2312" w:eastAsia="仿宋_GB2312"/>
          <w:color w:val="000000"/>
          <w:sz w:val="32"/>
          <w:szCs w:val="32"/>
        </w:rPr>
        <w:t>12.商业服务业216（类）05（款）99（项）：指主要用于其他旅游业管理与服务支出。</w:t>
      </w:r>
    </w:p>
    <w:p>
      <w:pPr>
        <w:ind w:left="315" w:leftChars="15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住房保障221（类）02（款01（项）：该支出主要用于支付职工住房公积金。</w:t>
      </w:r>
    </w:p>
    <w:p>
      <w:pPr>
        <w:ind w:left="315" w:leftChars="150"/>
        <w:rPr>
          <w:rFonts w:ascii="仿宋_GB2312" w:eastAsia="仿宋_GB2312"/>
          <w:color w:val="000000"/>
          <w:sz w:val="32"/>
          <w:szCs w:val="32"/>
        </w:rPr>
      </w:pPr>
      <w:r>
        <w:rPr>
          <w:rFonts w:hint="eastAsia" w:ascii="仿宋_GB2312" w:eastAsia="仿宋_GB2312"/>
          <w:color w:val="000000"/>
          <w:sz w:val="32"/>
          <w:szCs w:val="32"/>
        </w:rPr>
        <w:t>14.</w:t>
      </w:r>
      <w:r>
        <w:rPr>
          <w:rFonts w:hint="eastAsia" w:ascii="仿宋" w:hAnsi="仿宋" w:eastAsia="仿宋"/>
          <w:color w:val="000000"/>
          <w:sz w:val="32"/>
          <w:szCs w:val="32"/>
        </w:rPr>
        <w:t xml:space="preserve"> </w:t>
      </w:r>
      <w:r>
        <w:rPr>
          <w:rFonts w:hint="eastAsia" w:ascii="仿宋_GB2312" w:eastAsia="仿宋_GB2312"/>
          <w:color w:val="000000"/>
          <w:sz w:val="32"/>
          <w:szCs w:val="32"/>
        </w:rPr>
        <w:t>农林水支出213(类)：其中包括2130201-行政运行支出，指主要用于职工一般公用经费；2130202-一般行政管理事务支出，指主要用于职工一般行政管理事务支出经费，2130204-林业事业机构支出，指主要用于林业事业机构支出经费，2130205-森林培育支出，指主要用于森林培育项目；2130207-森林资源管理支出，指主要用于森林资源管理；2130209-森林生态效益支出，指主要用于森林生态效益补偿兑现老百姓；2130211-动植物保护支出，指主要用于动植物保护；2130212-湿地保护支出，指主要用于湿地保护；2130213-林业执法与监督支出，指主要用于林业执法与监督；2130217-防沙治沙支出，指主要用于全县防沙治沙；2130234-林业防灾减灾支出，指主要用于森林防灾减灾；2130299-其他林业支出，指主要用于其他林业支出；2130599-其他扶贫支出，指主要用于其他扶贫支出；2130803-农业保险保费补贴，指主要用于农业保险保费补贴；2139999-其他农林水支出，指主要用于其他农林水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ascii="黑体" w:hAnsi="黑体" w:eastAsia="黑体"/>
          <w:b w:val="0"/>
        </w:rPr>
      </w:pPr>
      <w:bookmarkStart w:id="58" w:name="_Toc15377226"/>
      <w:r>
        <w:rPr>
          <w:rFonts w:ascii="宋体"/>
          <w:b/>
          <w:color w:val="000000"/>
          <w:sz w:val="44"/>
          <w:szCs w:val="44"/>
        </w:rPr>
        <w:br w:type="page"/>
      </w:r>
      <w:bookmarkStart w:id="59"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9"/>
    </w:p>
    <w:p>
      <w:pPr>
        <w:spacing w:line="600" w:lineRule="exact"/>
        <w:jc w:val="center"/>
        <w:outlineLvl w:val="0"/>
        <w:rPr>
          <w:rStyle w:val="26"/>
        </w:rPr>
      </w:pPr>
    </w:p>
    <w:p>
      <w:pPr>
        <w:pStyle w:val="3"/>
        <w:rPr>
          <w:rStyle w:val="26"/>
          <w:rFonts w:ascii="仿宋" w:hAnsi="仿宋" w:eastAsia="仿宋"/>
          <w:b w:val="0"/>
          <w:bCs w:val="0"/>
          <w:sz w:val="32"/>
          <w:szCs w:val="32"/>
        </w:rPr>
      </w:pPr>
      <w:bookmarkStart w:id="60" w:name="_Toc15396615"/>
      <w:r>
        <w:rPr>
          <w:rStyle w:val="26"/>
          <w:rFonts w:hint="eastAsia" w:ascii="仿宋" w:hAnsi="仿宋" w:eastAsia="仿宋"/>
          <w:b w:val="0"/>
          <w:bCs w:val="0"/>
          <w:sz w:val="32"/>
          <w:szCs w:val="32"/>
        </w:rPr>
        <w:t>附件1</w:t>
      </w:r>
      <w:bookmarkEnd w:id="60"/>
    </w:p>
    <w:p>
      <w:pPr>
        <w:spacing w:line="600" w:lineRule="exact"/>
        <w:jc w:val="center"/>
        <w:outlineLvl w:val="0"/>
        <w:rPr>
          <w:rFonts w:ascii="黑体" w:hAnsi="黑体" w:eastAsia="黑体" w:cs="方正小标宋简体"/>
          <w:sz w:val="36"/>
          <w:szCs w:val="36"/>
        </w:rPr>
      </w:pPr>
      <w:bookmarkStart w:id="61" w:name="_Toc15396616"/>
      <w:r>
        <w:rPr>
          <w:rFonts w:hint="eastAsia" w:ascii="黑体" w:hAnsi="黑体" w:eastAsia="黑体" w:cs="方正小标宋简体"/>
          <w:sz w:val="36"/>
          <w:szCs w:val="36"/>
        </w:rPr>
        <w:t>红原县环境保护和林业局部门2018年部门整体支出绩效评价报告</w:t>
      </w:r>
      <w:bookmarkEnd w:id="61"/>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spacing w:line="580" w:lineRule="exact"/>
        <w:ind w:firstLine="640" w:firstLineChars="200"/>
        <w:rPr>
          <w:rFonts w:ascii="仿宋" w:hAnsi="仿宋" w:eastAsia="仿宋" w:cs="仿宋_GB2312"/>
          <w:sz w:val="32"/>
          <w:szCs w:val="32"/>
        </w:rPr>
      </w:pPr>
    </w:p>
    <w:p>
      <w:pPr>
        <w:snapToGrid w:val="0"/>
        <w:spacing w:line="480" w:lineRule="exact"/>
        <w:ind w:firstLine="720"/>
        <w:rPr>
          <w:rFonts w:ascii="仿宋_GB2312" w:hAnsi="仿宋" w:eastAsia="仿宋_GB2312" w:cs="仿宋"/>
          <w:sz w:val="30"/>
          <w:szCs w:val="30"/>
        </w:rPr>
      </w:pPr>
      <w:r>
        <w:rPr>
          <w:rFonts w:hint="eastAsia" w:ascii="Calibri" w:hAnsi="Calibri" w:eastAsia="仿宋_GB2312"/>
          <w:sz w:val="30"/>
          <w:szCs w:val="30"/>
        </w:rPr>
        <w:t>我单位为行政单位，</w:t>
      </w:r>
      <w:r>
        <w:rPr>
          <w:rFonts w:ascii="Calibri" w:hAnsi="Calibri" w:eastAsia="仿宋_GB2312"/>
          <w:sz w:val="30"/>
          <w:szCs w:val="30"/>
        </w:rPr>
        <w:t xml:space="preserve"> </w:t>
      </w:r>
      <w:r>
        <w:rPr>
          <w:rFonts w:hint="eastAsia" w:ascii="仿宋_GB2312" w:hAnsi="仿宋" w:eastAsia="仿宋_GB2312"/>
          <w:sz w:val="32"/>
          <w:szCs w:val="32"/>
        </w:rPr>
        <w:t>2018年年末独立编制机构数2个</w:t>
      </w:r>
      <w:r>
        <w:rPr>
          <w:rFonts w:hint="eastAsia" w:ascii="仿宋_GB2312" w:eastAsia="仿宋_GB2312"/>
          <w:sz w:val="30"/>
          <w:szCs w:val="30"/>
        </w:rPr>
        <w:t>。</w:t>
      </w:r>
    </w:p>
    <w:p>
      <w:pPr>
        <w:spacing w:line="580" w:lineRule="exact"/>
        <w:ind w:firstLine="640" w:firstLineChars="200"/>
        <w:rPr>
          <w:rFonts w:ascii="仿宋" w:hAnsi="仿宋" w:eastAsia="仿宋" w:cs="仿宋_GB2312"/>
          <w:sz w:val="32"/>
          <w:szCs w:val="32"/>
        </w:rPr>
      </w:pPr>
    </w:p>
    <w:p>
      <w:pPr>
        <w:numPr>
          <w:ilvl w:val="0"/>
          <w:numId w:val="9"/>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机构职能。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（1）贯彻执行林业及生态建设的法律、法规、规章和方针政策；负责林业及其生态建设的监督管理;负责拟订林业发展战略、中长期规划；承担林业生态文明建设的有关工作。</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组织、协调、指导和监督造林绿化工作。组织实施植树造林、封山育林和以植树种草等生物措施防治水土流失工作，指导、监督全民义务植树、造林绿化工作；依法负责退耕还林工作；承担林业应对气候变化的相关工作；承担县绿化委员会的日常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承担森林资源保护发展监督管理的责任。依法编制、审核森林采伐限额并监督执行，监督管理林（竹）木的凭证采伐、运输和经营加工，负责组织、指导林地、林权管理，负责重点国有林区森林资源资产产权变动的审核，依法承担应由县政府批准的林地征收、征用、占用的初审工作；负责天然林保护工作。</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（4）组织、协调、指导和监督湿地保护工作。拟订湿地保护规划，组织实施湿地保护区、湿地公园等保护管理工作，监督湿地的合理利用。</w:t>
      </w:r>
    </w:p>
    <w:p>
      <w:pPr>
        <w:rPr>
          <w:rFonts w:ascii="仿宋_GB2312" w:hAnsi="仿宋" w:eastAsia="仿宋_GB2312"/>
          <w:sz w:val="32"/>
          <w:szCs w:val="32"/>
        </w:rPr>
      </w:pPr>
      <w:r>
        <w:rPr>
          <w:rFonts w:hint="eastAsia" w:ascii="仿宋_GB2312" w:hAnsi="仿宋_GB2312" w:eastAsia="仿宋_GB2312" w:cs="仿宋_GB2312"/>
          <w:sz w:val="32"/>
          <w:szCs w:val="32"/>
        </w:rPr>
        <w:t xml:space="preserve">   （5）组织、协调、指导和监督石漠化治理工作。组织拟订并实施石漠化治理保护区建设规划。</w:t>
      </w:r>
    </w:p>
    <w:p>
      <w:pPr>
        <w:spacing w:line="580" w:lineRule="exact"/>
        <w:rPr>
          <w:rFonts w:ascii="仿宋" w:hAnsi="仿宋" w:eastAsia="仿宋" w:cs="仿宋_GB2312"/>
          <w:sz w:val="32"/>
          <w:szCs w:val="32"/>
        </w:rPr>
      </w:pPr>
    </w:p>
    <w:p>
      <w:pPr>
        <w:numPr>
          <w:ilvl w:val="0"/>
          <w:numId w:val="9"/>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人员概况。</w:t>
      </w:r>
    </w:p>
    <w:p>
      <w:pPr>
        <w:snapToGrid w:val="0"/>
        <w:spacing w:line="480" w:lineRule="exact"/>
        <w:ind w:firstLine="720"/>
        <w:rPr>
          <w:rFonts w:ascii="仿宋_GB2312" w:hAnsi="仿宋" w:eastAsia="仿宋_GB2312" w:cs="仿宋"/>
          <w:sz w:val="32"/>
          <w:szCs w:val="32"/>
        </w:rPr>
      </w:pPr>
      <w:r>
        <w:rPr>
          <w:rFonts w:hint="eastAsia" w:ascii="仿宋" w:hAnsi="仿宋" w:eastAsia="仿宋" w:cs="仿宋_GB2312"/>
          <w:sz w:val="32"/>
          <w:szCs w:val="32"/>
        </w:rPr>
        <w:t xml:space="preserve"> </w:t>
      </w:r>
      <w:r>
        <w:rPr>
          <w:rFonts w:hint="eastAsia" w:ascii="仿宋_GB2312" w:hAnsi="仿宋" w:eastAsia="仿宋_GB2312" w:cs="仿宋"/>
          <w:sz w:val="32"/>
          <w:szCs w:val="32"/>
        </w:rPr>
        <w:t>我单位共有编制91个，其中公务员编制10个，行政工勤编制1个，事业编制80个，在职82人，其中参公4人，行政工勤1人，公务员10人，事业编制67人。</w:t>
      </w:r>
    </w:p>
    <w:p>
      <w:pPr>
        <w:spacing w:line="580" w:lineRule="exact"/>
        <w:ind w:left="420" w:leftChars="200"/>
        <w:rPr>
          <w:rFonts w:ascii="仿宋" w:hAnsi="仿宋" w:eastAsia="仿宋" w:cs="仿宋_GB2312"/>
          <w:sz w:val="32"/>
          <w:szCs w:val="32"/>
        </w:rPr>
      </w:pP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2018年本单位财政资金收入8340.53万元。</w:t>
      </w:r>
    </w:p>
    <w:p>
      <w:pPr>
        <w:widowControl/>
        <w:adjustRightInd w:val="0"/>
        <w:snapToGrid w:val="0"/>
        <w:spacing w:line="560" w:lineRule="exact"/>
        <w:jc w:val="left"/>
        <w:rPr>
          <w:rFonts w:ascii="仿宋_GB2312"/>
          <w:color w:val="000000"/>
          <w:sz w:val="32"/>
          <w:szCs w:val="32"/>
        </w:rPr>
      </w:pPr>
      <w:r>
        <w:rPr>
          <w:rFonts w:hint="eastAsia" w:ascii="仿宋_GB2312"/>
          <w:color w:val="000000"/>
          <w:sz w:val="32"/>
          <w:szCs w:val="32"/>
        </w:rPr>
        <w:t>（其中社会保障和就业支出231.48万元，医疗卫生与计划生育支出66.22万元，节能环保支出5676.52万元，农林水支出2262.53万元，住房保障支出103.78万元）</w:t>
      </w:r>
    </w:p>
    <w:p>
      <w:pPr>
        <w:spacing w:line="580" w:lineRule="exact"/>
        <w:ind w:firstLine="640" w:firstLineChars="200"/>
        <w:rPr>
          <w:rFonts w:ascii="仿宋" w:hAnsi="仿宋" w:eastAsia="仿宋" w:cs="仿宋_GB2312"/>
          <w:sz w:val="32"/>
          <w:szCs w:val="32"/>
        </w:rPr>
      </w:pPr>
    </w:p>
    <w:p>
      <w:pPr>
        <w:numPr>
          <w:ilvl w:val="0"/>
          <w:numId w:val="10"/>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2018年本单位财政资金支出6579.65万元。</w:t>
      </w:r>
    </w:p>
    <w:p>
      <w:pPr>
        <w:spacing w:line="580" w:lineRule="exact"/>
        <w:ind w:firstLine="640" w:firstLineChars="200"/>
        <w:rPr>
          <w:rFonts w:ascii="仿宋" w:hAnsi="仿宋" w:eastAsia="仿宋" w:cs="仿宋_GB2312"/>
          <w:sz w:val="32"/>
          <w:szCs w:val="32"/>
        </w:rPr>
      </w:pPr>
    </w:p>
    <w:p>
      <w:pPr>
        <w:widowControl/>
        <w:adjustRightInd w:val="0"/>
        <w:snapToGrid w:val="0"/>
        <w:spacing w:line="560" w:lineRule="exact"/>
        <w:jc w:val="left"/>
        <w:rPr>
          <w:rFonts w:ascii="仿宋_GB2312"/>
          <w:color w:val="000000"/>
          <w:sz w:val="32"/>
          <w:szCs w:val="32"/>
        </w:rPr>
      </w:pPr>
      <w:r>
        <w:rPr>
          <w:rFonts w:hint="eastAsia" w:ascii="仿宋_GB2312"/>
          <w:color w:val="000000"/>
          <w:sz w:val="32"/>
          <w:szCs w:val="32"/>
        </w:rPr>
        <w:t>（其中社会保障和就业支出231.48万元，医疗卫生与计划生育支出66.22万元，节能环保支出2487.71万元，商品服务业等支出7.07万元，农林水支出3683.39万元，住房保障支出103.78万元）</w:t>
      </w:r>
    </w:p>
    <w:p>
      <w:pPr>
        <w:spacing w:line="580" w:lineRule="exact"/>
        <w:ind w:firstLine="640" w:firstLineChars="200"/>
        <w:rPr>
          <w:rFonts w:ascii="仿宋" w:hAnsi="仿宋" w:eastAsia="仿宋" w:cs="仿宋_GB2312"/>
          <w:sz w:val="32"/>
          <w:szCs w:val="32"/>
        </w:rPr>
      </w:pPr>
    </w:p>
    <w:p>
      <w:pPr>
        <w:spacing w:line="580" w:lineRule="exact"/>
        <w:rPr>
          <w:rFonts w:ascii="仿宋" w:hAnsi="仿宋" w:eastAsia="仿宋" w:cs="仿宋_GB2312"/>
          <w:sz w:val="32"/>
          <w:szCs w:val="32"/>
        </w:rPr>
      </w:pP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包括部门绩效目标制定、目标完成、预算编制准确、支出控制、预算动态调整、执行进度、预算完成情况和违规记录等情况。</w:t>
      </w:r>
    </w:p>
    <w:p>
      <w:pPr>
        <w:snapToGrid w:val="0"/>
        <w:spacing w:after="160" w:line="360" w:lineRule="auto"/>
        <w:ind w:left="640"/>
        <w:rPr>
          <w:rFonts w:ascii="仿宋_GB2312" w:hAnsi="仿宋" w:eastAsia="仿宋_GB2312" w:cs="仿宋"/>
          <w:b/>
          <w:sz w:val="32"/>
          <w:szCs w:val="32"/>
        </w:rPr>
      </w:pPr>
      <w:r>
        <w:rPr>
          <w:rFonts w:hint="eastAsia" w:ascii="仿宋_GB2312" w:eastAsia="仿宋_GB2312" w:cs="仿宋_GB2312"/>
          <w:sz w:val="32"/>
          <w:szCs w:val="32"/>
        </w:rPr>
        <w:t>1.</w:t>
      </w:r>
      <w:r>
        <w:rPr>
          <w:rFonts w:hint="eastAsia" w:ascii="仿宋_GB2312" w:hAnsi="仿宋" w:eastAsia="仿宋_GB2312" w:cs="仿宋"/>
          <w:sz w:val="32"/>
          <w:szCs w:val="32"/>
        </w:rPr>
        <w:t>预算编制情况</w:t>
      </w:r>
    </w:p>
    <w:p>
      <w:pPr>
        <w:snapToGrid w:val="0"/>
        <w:spacing w:after="160" w:line="360" w:lineRule="auto"/>
        <w:ind w:left="561" w:leftChars="267" w:firstLine="640" w:firstLineChars="200"/>
        <w:rPr>
          <w:rFonts w:ascii="仿宋_GB2312" w:hAnsi="仿宋" w:eastAsia="仿宋_GB2312" w:cs="仿宋"/>
          <w:sz w:val="32"/>
          <w:szCs w:val="32"/>
        </w:rPr>
      </w:pPr>
      <w:r>
        <w:rPr>
          <w:rFonts w:hint="eastAsia" w:ascii="仿宋_GB2312" w:hAnsi="仿宋" w:eastAsia="仿宋_GB2312" w:cs="仿宋"/>
          <w:sz w:val="32"/>
          <w:szCs w:val="32"/>
        </w:rPr>
        <w:t>按照县级部门预算编制通知和相关要求，按时完成部门年初预算编制和报送工作，在财政部门批复后二十日内向社会进行了公开。在编制过程中，认真核实单位实际财政供养人数和单位实有编制情况，正确编制人员经费和公用经费等，做到尽量细化项目资金支出预算范围和科目。</w:t>
      </w:r>
    </w:p>
    <w:p>
      <w:pPr>
        <w:snapToGrid w:val="0"/>
        <w:spacing w:after="160" w:line="360" w:lineRule="auto"/>
        <w:ind w:firstLine="633" w:firstLineChars="198"/>
        <w:rPr>
          <w:rFonts w:ascii="仿宋_GB2312" w:hAnsi="仿宋" w:eastAsia="仿宋_GB2312" w:cs="仿宋"/>
          <w:sz w:val="32"/>
          <w:szCs w:val="32"/>
        </w:rPr>
      </w:pPr>
      <w:r>
        <w:rPr>
          <w:rFonts w:hint="eastAsia" w:ascii="仿宋_GB2312" w:hAnsi="仿宋" w:eastAsia="仿宋_GB2312" w:cs="仿宋"/>
          <w:sz w:val="32"/>
          <w:szCs w:val="32"/>
        </w:rPr>
        <w:t>执行管理情况。</w:t>
      </w:r>
      <w:r>
        <w:rPr>
          <w:rFonts w:hint="eastAsia" w:ascii="仿宋_GB2312" w:hAnsi="仿宋" w:eastAsia="仿宋_GB2312" w:cs="仿宋"/>
          <w:sz w:val="32"/>
          <w:szCs w:val="32"/>
        </w:rPr>
        <w:tab/>
      </w:r>
    </w:p>
    <w:p>
      <w:pPr>
        <w:snapToGrid w:val="0"/>
        <w:spacing w:after="160" w:line="360" w:lineRule="auto"/>
        <w:ind w:left="420" w:leftChars="200" w:firstLine="640" w:firstLineChars="200"/>
        <w:rPr>
          <w:rFonts w:ascii="仿宋_GB2312" w:hAnsi="仿宋" w:eastAsia="仿宋_GB2312" w:cs="仿宋"/>
          <w:sz w:val="32"/>
          <w:szCs w:val="32"/>
        </w:rPr>
      </w:pPr>
      <w:r>
        <w:rPr>
          <w:rFonts w:hint="eastAsia" w:ascii="仿宋_GB2312" w:hAnsi="仿宋" w:eastAsia="仿宋_GB2312" w:cs="仿宋"/>
          <w:sz w:val="32"/>
          <w:szCs w:val="32"/>
        </w:rPr>
        <w:t>严格按照财政有关规定，职工工资等人员经费按月发放，公务费按季申报。在支付方式上，工资和项目资金实行财政直接支付，公用经费申请实行授权支付并尽量采取公务卡支付和转账支付，减少现金支出。严格控制“三公”经费的规模和比例，把关“三公”经费支出的审核、审批，杜绝挪用和挤占其他预算资金行为；进一步细化“三公”经费的管理，合理压缩“三公”经费支出，接待费严格按照标准，没有超出文件规定。</w:t>
      </w:r>
    </w:p>
    <w:p>
      <w:pPr>
        <w:numPr>
          <w:ilvl w:val="0"/>
          <w:numId w:val="11"/>
        </w:numPr>
        <w:tabs>
          <w:tab w:val="left" w:pos="461"/>
        </w:tabs>
        <w:snapToGrid w:val="0"/>
        <w:spacing w:after="160" w:line="360" w:lineRule="auto"/>
        <w:rPr>
          <w:rFonts w:ascii="仿宋_GB2312" w:hAnsi="仿宋" w:eastAsia="仿宋_GB2312" w:cs="仿宋"/>
          <w:sz w:val="32"/>
          <w:szCs w:val="32"/>
        </w:rPr>
      </w:pPr>
      <w:r>
        <w:rPr>
          <w:rFonts w:hint="eastAsia" w:ascii="仿宋_GB2312" w:hAnsi="仿宋" w:eastAsia="仿宋_GB2312" w:cs="仿宋"/>
          <w:sz w:val="32"/>
          <w:szCs w:val="32"/>
        </w:rPr>
        <w:t>支出控制</w:t>
      </w:r>
    </w:p>
    <w:p>
      <w:pPr>
        <w:tabs>
          <w:tab w:val="left" w:pos="461"/>
        </w:tabs>
        <w:snapToGrid w:val="0"/>
        <w:spacing w:after="160" w:line="360" w:lineRule="auto"/>
        <w:ind w:left="672"/>
        <w:rPr>
          <w:rFonts w:ascii="仿宋_GB2312" w:hAnsi="仿宋" w:eastAsia="仿宋_GB2312" w:cs="仿宋"/>
          <w:sz w:val="32"/>
          <w:szCs w:val="32"/>
        </w:rPr>
      </w:pPr>
      <w:r>
        <w:rPr>
          <w:rFonts w:hint="eastAsia" w:ascii="仿宋_GB2312" w:hAnsi="仿宋" w:eastAsia="仿宋_GB2312" w:cs="仿宋"/>
          <w:sz w:val="32"/>
          <w:szCs w:val="32"/>
        </w:rPr>
        <w:t>2018年本单位财政资金支出6579.65万元。</w:t>
      </w:r>
    </w:p>
    <w:p>
      <w:pPr>
        <w:tabs>
          <w:tab w:val="left" w:pos="461"/>
        </w:tabs>
        <w:snapToGrid w:val="0"/>
        <w:spacing w:after="160" w:line="360" w:lineRule="auto"/>
        <w:rPr>
          <w:rFonts w:ascii="仿宋_GB2312" w:hAnsi="仿宋" w:eastAsia="仿宋_GB2312" w:cs="仿宋"/>
          <w:sz w:val="32"/>
          <w:szCs w:val="32"/>
        </w:rPr>
      </w:pPr>
      <w:r>
        <w:rPr>
          <w:rFonts w:hint="eastAsia" w:ascii="仿宋_GB2312" w:hAnsi="仿宋" w:eastAsia="仿宋_GB2312" w:cs="仿宋"/>
          <w:sz w:val="32"/>
          <w:szCs w:val="32"/>
        </w:rPr>
        <w:t>（其中社会保障和就业支出231.48万元，医疗卫生与计划生育支出66.22万元，节能环保支出2487.71万元，商品服务业等支出7.07万元，农林水支出3683.39万元，住房保障支出103.78万元）</w:t>
      </w:r>
    </w:p>
    <w:p>
      <w:pPr>
        <w:tabs>
          <w:tab w:val="left" w:pos="461"/>
        </w:tabs>
        <w:snapToGrid w:val="0"/>
        <w:spacing w:after="160" w:line="360" w:lineRule="auto"/>
        <w:ind w:left="672"/>
        <w:rPr>
          <w:rFonts w:ascii="仿宋_GB2312" w:hAnsi="仿宋" w:eastAsia="仿宋_GB2312" w:cs="仿宋"/>
          <w:sz w:val="32"/>
          <w:szCs w:val="32"/>
        </w:rPr>
      </w:pPr>
    </w:p>
    <w:p>
      <w:pPr>
        <w:snapToGrid w:val="0"/>
        <w:spacing w:after="160"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3.综合管理情况</w:t>
      </w:r>
    </w:p>
    <w:p>
      <w:pPr>
        <w:widowControl/>
        <w:snapToGrid w:val="0"/>
        <w:spacing w:after="160" w:line="360" w:lineRule="auto"/>
        <w:ind w:left="640"/>
        <w:rPr>
          <w:rFonts w:ascii="仿宋_GB2312" w:hAnsi="仿宋" w:eastAsia="仿宋_GB2312" w:cs="仿宋"/>
          <w:sz w:val="32"/>
          <w:szCs w:val="32"/>
        </w:rPr>
      </w:pPr>
      <w:r>
        <w:rPr>
          <w:rFonts w:hint="eastAsia" w:ascii="仿宋_GB2312" w:hAnsi="仿宋" w:eastAsia="仿宋_GB2312" w:cs="仿宋"/>
          <w:sz w:val="32"/>
          <w:szCs w:val="32"/>
        </w:rPr>
        <w:t>(1)资产管理：完善了固定资产档案，2017年对固定资产进行了了一次全面清查。</w:t>
      </w:r>
    </w:p>
    <w:p>
      <w:pPr>
        <w:widowControl/>
        <w:snapToGrid w:val="0"/>
        <w:spacing w:after="160" w:line="360" w:lineRule="auto"/>
        <w:ind w:left="640"/>
        <w:rPr>
          <w:rFonts w:ascii="仿宋_GB2312" w:hAnsi="仿宋" w:eastAsia="仿宋_GB2312" w:cs="仿宋"/>
          <w:sz w:val="32"/>
          <w:szCs w:val="32"/>
        </w:rPr>
      </w:pPr>
      <w:r>
        <w:rPr>
          <w:rFonts w:hint="eastAsia" w:ascii="仿宋_GB2312" w:hAnsi="仿宋" w:eastAsia="仿宋_GB2312" w:cs="仿宋"/>
          <w:sz w:val="32"/>
          <w:szCs w:val="32"/>
        </w:rPr>
        <w:t>(2)内部管理制度建设情况</w:t>
      </w:r>
    </w:p>
    <w:p>
      <w:pPr>
        <w:snapToGrid w:val="0"/>
        <w:spacing w:after="160" w:line="360" w:lineRule="auto"/>
        <w:ind w:left="657" w:leftChars="313"/>
        <w:rPr>
          <w:rFonts w:ascii="仿宋_GB2312" w:hAnsi="仿宋" w:eastAsia="仿宋_GB2312" w:cs="仿宋"/>
          <w:sz w:val="32"/>
          <w:szCs w:val="32"/>
        </w:rPr>
      </w:pPr>
      <w:r>
        <w:rPr>
          <w:rFonts w:hint="eastAsia" w:ascii="仿宋_GB2312" w:hAnsi="仿宋" w:eastAsia="仿宋_GB2312" w:cs="仿宋"/>
          <w:sz w:val="32"/>
          <w:szCs w:val="32"/>
        </w:rPr>
        <w:t>为规范财务管理，建立健全财务管理制度，制定了内部财务管理制度，管理制度依照相关国家的法律、法规而制定的，具有合法性、合规性、完整性；相关管理制度得到认真执行，制定了《机关工作人员差旅费管理办法及出差审批制度内部操作制定》等内部制度。</w:t>
      </w:r>
    </w:p>
    <w:p>
      <w:pPr>
        <w:snapToGrid w:val="0"/>
        <w:spacing w:after="160" w:line="360" w:lineRule="auto"/>
        <w:ind w:left="556" w:leftChars="265"/>
        <w:rPr>
          <w:rFonts w:ascii="仿宋_GB2312" w:hAnsi="仿宋" w:eastAsia="仿宋_GB2312" w:cs="仿宋"/>
          <w:sz w:val="32"/>
          <w:szCs w:val="32"/>
        </w:rPr>
      </w:pPr>
      <w:r>
        <w:rPr>
          <w:rFonts w:hint="eastAsia" w:ascii="仿宋_GB2312" w:hAnsi="仿宋" w:eastAsia="仿宋_GB2312" w:cs="仿宋"/>
          <w:sz w:val="32"/>
          <w:szCs w:val="32"/>
        </w:rPr>
        <w:t>4．财政监督情况</w:t>
      </w:r>
    </w:p>
    <w:p>
      <w:pPr>
        <w:snapToGrid w:val="0"/>
        <w:spacing w:after="160" w:line="360" w:lineRule="auto"/>
        <w:ind w:left="556" w:leftChars="265"/>
        <w:rPr>
          <w:rFonts w:ascii="仿宋_GB2312" w:hAnsi="仿宋" w:eastAsia="仿宋_GB2312" w:cs="仿宋"/>
          <w:sz w:val="32"/>
          <w:szCs w:val="32"/>
        </w:rPr>
      </w:pPr>
      <w:r>
        <w:rPr>
          <w:rFonts w:hint="eastAsia" w:ascii="仿宋_GB2312" w:hAnsi="仿宋" w:eastAsia="仿宋_GB2312" w:cs="仿宋"/>
          <w:sz w:val="32"/>
          <w:szCs w:val="32"/>
        </w:rPr>
        <w:t xml:space="preserve">  我单位财务管理制度健全，执行制度严格合规，会计核算符合相关规定，资金支付依据和开支标准合法合规，严格执行政府采购制度。资金管理做到专人管理，专款专用。</w:t>
      </w:r>
    </w:p>
    <w:p>
      <w:pPr>
        <w:snapToGrid w:val="0"/>
        <w:spacing w:after="160" w:line="360" w:lineRule="auto"/>
        <w:ind w:left="640"/>
        <w:rPr>
          <w:rFonts w:ascii="仿宋_GB2312" w:hAnsi="仿宋" w:eastAsia="仿宋_GB2312" w:cs="仿宋"/>
          <w:b/>
          <w:sz w:val="32"/>
          <w:szCs w:val="32"/>
        </w:rPr>
      </w:pPr>
    </w:p>
    <w:p>
      <w:pPr>
        <w:spacing w:line="560" w:lineRule="exact"/>
        <w:ind w:firstLine="640" w:firstLineChars="200"/>
        <w:rPr>
          <w:rFonts w:ascii="仿宋_GB2312" w:eastAsia="仿宋_GB2312"/>
          <w:bCs/>
          <w:sz w:val="32"/>
          <w:szCs w:val="32"/>
        </w:rPr>
      </w:pPr>
      <w:r>
        <w:rPr>
          <w:rFonts w:hint="eastAsia" w:ascii="仿宋_GB2312" w:eastAsia="仿宋_GB2312"/>
          <w:bCs/>
          <w:sz w:val="32"/>
          <w:szCs w:val="32"/>
        </w:rPr>
        <w:t>5、执行情况及完成情况</w:t>
      </w:r>
    </w:p>
    <w:p>
      <w:pPr>
        <w:ind w:firstLine="640" w:firstLineChars="200"/>
        <w:rPr>
          <w:rFonts w:ascii="仿宋" w:hAnsi="仿宋" w:eastAsia="仿宋"/>
          <w:sz w:val="32"/>
          <w:szCs w:val="32"/>
        </w:rPr>
      </w:pPr>
      <w:r>
        <w:rPr>
          <w:rFonts w:hint="eastAsia" w:ascii="仿宋" w:hAnsi="仿宋" w:eastAsia="仿宋"/>
          <w:sz w:val="32"/>
          <w:szCs w:val="32"/>
        </w:rPr>
        <w:t>我单位今年根据财政资金的安排情况，</w:t>
      </w:r>
      <w:r>
        <w:rPr>
          <w:rFonts w:hint="eastAsia" w:ascii="仿宋" w:hAnsi="仿宋" w:eastAsia="仿宋" w:cs="仿宋_GB2312"/>
          <w:sz w:val="32"/>
          <w:szCs w:val="32"/>
        </w:rPr>
        <w:t>严格控制经费管理，未存在超预算，不按规定追加预算现象。严格规范“三公”经费，严格控制公务接待经费、公务用车维护经费等公用经费支出。我单位今年进一步规范和修改财务管理制度，进一步防范贪污、挪用、截留等现象发生。</w:t>
      </w:r>
    </w:p>
    <w:p>
      <w:pPr>
        <w:spacing w:line="560" w:lineRule="exact"/>
        <w:ind w:firstLine="640" w:firstLineChars="200"/>
        <w:rPr>
          <w:rFonts w:ascii="仿宋_GB2312" w:eastAsia="仿宋_GB2312"/>
          <w:sz w:val="32"/>
          <w:szCs w:val="32"/>
        </w:rPr>
      </w:pPr>
    </w:p>
    <w:p>
      <w:pPr>
        <w:spacing w:line="560" w:lineRule="exact"/>
        <w:ind w:firstLine="480" w:firstLineChars="150"/>
        <w:rPr>
          <w:rFonts w:ascii="仿宋_GB2312" w:eastAsia="仿宋_GB2312"/>
          <w:bCs/>
          <w:sz w:val="32"/>
          <w:szCs w:val="32"/>
        </w:rPr>
      </w:pPr>
      <w:r>
        <w:rPr>
          <w:rFonts w:hint="eastAsia" w:ascii="仿宋_GB2312" w:eastAsia="仿宋_GB2312"/>
          <w:bCs/>
          <w:sz w:val="32"/>
          <w:szCs w:val="32"/>
        </w:rPr>
        <w:t>6、绩效目标及完成情况</w:t>
      </w:r>
    </w:p>
    <w:p>
      <w:pPr>
        <w:snapToGrid w:val="0"/>
        <w:spacing w:line="52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rPr>
        <w:t>沙化土地治理项目</w:t>
      </w:r>
      <w:r>
        <w:rPr>
          <w:rFonts w:hint="eastAsia" w:ascii="仿宋_GB2312" w:hAnsi="仿宋" w:eastAsia="仿宋_GB2312"/>
          <w:sz w:val="32"/>
          <w:szCs w:val="32"/>
          <w:lang w:val="zh-CN"/>
        </w:rPr>
        <w:t>绩效情况</w:t>
      </w:r>
      <w:r>
        <w:rPr>
          <w:rFonts w:hint="eastAsia" w:ascii="仿宋_GB2312" w:hAnsi="仿宋" w:eastAsia="仿宋_GB2312"/>
          <w:sz w:val="32"/>
          <w:szCs w:val="32"/>
          <w:lang w:val="zh-CN"/>
        </w:rPr>
        <w:tab/>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（一）目标质量完成情况</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项目计划目标，项目按国家基本建设程序实行工程管理。在项目的建设过程中，林业局统一调配相关部门的人员，定期对技术管理人员和现场施工人员进行技术培训，严格按照设计组织施工，协同工程监理等部门对项目建设进行管理，以确保工程建设进度、质量，并按有关规定进行项目验收制度，确保工程质量合格。</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按照实施方案项目进度计划，现已完成林草植被恢复点播灌木种子+种草面积1009.00hm2；配套设施建设封禁沙化面积855.02hm2，新建围栏23.40km；设置宣传碑牌1座。2017年8月底，通过了相关单位组成的验收小组的验收。</w:t>
      </w:r>
    </w:p>
    <w:p>
      <w:pPr>
        <w:snapToGrid w:val="0"/>
        <w:spacing w:line="52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w:t>
      </w:r>
      <w:r>
        <w:rPr>
          <w:rFonts w:hint="eastAsia" w:ascii="仿宋_GB2312" w:hAnsi="仿宋" w:eastAsia="仿宋_GB2312"/>
          <w:sz w:val="32"/>
          <w:szCs w:val="32"/>
        </w:rPr>
        <w:t>二</w:t>
      </w:r>
      <w:r>
        <w:rPr>
          <w:rFonts w:hint="eastAsia" w:ascii="仿宋_GB2312" w:hAnsi="仿宋" w:eastAsia="仿宋_GB2312"/>
          <w:sz w:val="32"/>
          <w:szCs w:val="32"/>
          <w:lang w:val="zh-CN"/>
        </w:rPr>
        <w:t>）项目效益情况</w:t>
      </w:r>
    </w:p>
    <w:p>
      <w:pPr>
        <w:snapToGrid w:val="0"/>
        <w:spacing w:line="52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rPr>
        <w:t>1.</w:t>
      </w:r>
      <w:r>
        <w:rPr>
          <w:rFonts w:hint="eastAsia" w:ascii="仿宋_GB2312" w:hAnsi="仿宋" w:eastAsia="仿宋_GB2312"/>
          <w:sz w:val="32"/>
          <w:szCs w:val="32"/>
          <w:lang w:val="zh-CN"/>
        </w:rPr>
        <w:t>生态效益</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本次涉及川西藏区生态保护与建设工程沙化土地治理面积1009.00hm2，通过项目的实施，实施川西藏区生态保护与建设工程沙化土地治理项目的建设，将有效恢复和修复沙化土地的生态功能，地面植被将逐步恢复，覆盖度得到提高，有效地拦截雨水，提高水源涵养能力，并促进生物多样性保护，实现生态系统良性循环，人与自然和谐共处。</w:t>
      </w:r>
    </w:p>
    <w:p>
      <w:pPr>
        <w:snapToGrid w:val="0"/>
        <w:spacing w:line="52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rPr>
        <w:t>2.</w:t>
      </w:r>
      <w:r>
        <w:rPr>
          <w:rFonts w:hint="eastAsia" w:ascii="仿宋_GB2312" w:hAnsi="仿宋" w:eastAsia="仿宋_GB2312"/>
          <w:sz w:val="32"/>
          <w:szCs w:val="32"/>
          <w:lang w:val="zh-CN"/>
        </w:rPr>
        <w:t>社会效益</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开展沙化土地治理项目，将促进农牧业产业结构调整、优化，引导牧民从靠天养畜、掠夺式经营向建设养畜、科学利用草地资源转变，并有效地将环境保护、畜牧业结构调整、地方经济发展等结合起来，提高畜牧业科技水平，提供社会就业机会，增加试点区村民的劳务收入，繁荣地方经济；同时，随着项目的实施，区域生态环境的改善，将促进旅游等二、三产业发展，带动地区经济的可持续发展，加快该地区小康建设步伐，实现各民族共同富裕，促进社会、经济、文化全面进步。</w:t>
      </w:r>
    </w:p>
    <w:p>
      <w:pPr>
        <w:snapToGrid w:val="0"/>
        <w:spacing w:line="52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rPr>
        <w:t>3.</w:t>
      </w:r>
      <w:r>
        <w:rPr>
          <w:rFonts w:hint="eastAsia" w:ascii="仿宋_GB2312" w:hAnsi="仿宋" w:eastAsia="仿宋_GB2312"/>
          <w:sz w:val="32"/>
          <w:szCs w:val="32"/>
          <w:lang w:val="zh-CN"/>
        </w:rPr>
        <w:t>经济效益</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通过沙化治理，引导和培育沙产业，在改善生态环境的同时也促进区域的经济发展，同时随着工程的开展，将会产生大量的劳务用工，增加治理区农牧民的劳务收入，产生一定直接经济效益。初步测算工程建设将会产生约1867个劳务用工，增加当地劳务收入约32.73万元。同时，有机肥是当地丰富的可再生资源，当地农牧民通过收集后卖给项目实施单位，也会为当地农牧民带来收入。工程实施后，治理区间接经济效益主要体现在林草植被本身具有的涵养水源、固土保肥、碳氧平衡，自然灾害减少，提高单位产草量，推动畜牧业良性发展等。</w:t>
      </w:r>
    </w:p>
    <w:p>
      <w:pPr>
        <w:snapToGrid w:val="0"/>
        <w:spacing w:line="52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rPr>
        <w:t>湿地补偿</w:t>
      </w:r>
      <w:r>
        <w:rPr>
          <w:rFonts w:hint="eastAsia" w:ascii="仿宋_GB2312" w:hAnsi="仿宋" w:eastAsia="仿宋_GB2312"/>
          <w:sz w:val="32"/>
          <w:szCs w:val="32"/>
          <w:lang w:val="zh-CN"/>
        </w:rPr>
        <w:t>项目绩效情况</w:t>
      </w:r>
      <w:r>
        <w:rPr>
          <w:rFonts w:hint="eastAsia" w:ascii="仿宋_GB2312" w:hAnsi="仿宋" w:eastAsia="仿宋_GB2312"/>
          <w:sz w:val="32"/>
          <w:szCs w:val="32"/>
          <w:lang w:val="zh-CN"/>
        </w:rPr>
        <w:tab/>
      </w:r>
    </w:p>
    <w:p>
      <w:pPr>
        <w:snapToGrid w:val="0"/>
        <w:spacing w:line="52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（一）项目完成情况。</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2016年12月，州财政局《下达2016年省级（阿州财农〔2016〕131号），组织相关人员编制完成《2016年年度四川省红原县省级湿地生态补偿实施方案》，并于2017年5月获得州林业局、州财政局的批复，随即组织各乡镇开展工作，2017年9月完成县乡、乡村级目标责任书的签订，10月审定生态补偿人员并进行公示。预计2017年11月将由县级验收小组对各乡镇湿地生态补偿工作开展情况及牧户管护情况进行验收，待验收合格后，由金融机构通过“一卡通”的形式兑现资金。</w:t>
      </w:r>
    </w:p>
    <w:p>
      <w:pPr>
        <w:snapToGrid w:val="0"/>
        <w:spacing w:line="520" w:lineRule="exact"/>
        <w:ind w:firstLine="640" w:firstLineChars="200"/>
        <w:rPr>
          <w:rFonts w:ascii="仿宋_GB2312" w:hAnsi="仿宋" w:eastAsia="仿宋_GB2312"/>
          <w:sz w:val="32"/>
          <w:szCs w:val="32"/>
          <w:lang w:val="zh-CN"/>
        </w:rPr>
      </w:pPr>
      <w:r>
        <w:rPr>
          <w:rFonts w:hint="eastAsia" w:ascii="仿宋_GB2312" w:hAnsi="仿宋" w:eastAsia="仿宋_GB2312"/>
          <w:sz w:val="32"/>
          <w:szCs w:val="32"/>
          <w:lang w:val="zh-CN"/>
        </w:rPr>
        <w:t>（二）项目效益情况。</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1．生态效益</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2.社会效益</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3.经济效益</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湿地生态补偿工作结合精准扶贫，有效帮扶了一批贫困户，提高了牧户收入，此次补偿工作共计6281户，共兑现资金1438.6万元，平均每户每年增加收入2290.39元。其中贫困户696户，兑现资金约185.88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numPr>
          <w:ilvl w:val="0"/>
          <w:numId w:val="12"/>
        </w:num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概述本单位整体支出绩效目标实现情况</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我单位严格按照国家的法律法规加强预算管理，大力提倡勤俭节约，坚持把有限的经费用在农牧业发展工作中，坚持财政预算管理制度务，坚持“以收定支”，做好预算支出及执行情况调度，对会计工作的事前、事中、事后的监督，确保了会计的延续性，做到每笔支出有据可查、有法可依，确保了 “三公”经费预算支出在严格控制在预算内，严格财经纪律，严格财务制度严格审批程序，确定支出都符合相关的要求，通过以上这些措施，较好地保证了财务管理工作和资金使用效率。</w:t>
      </w:r>
    </w:p>
    <w:p>
      <w:pPr>
        <w:pStyle w:val="25"/>
        <w:spacing w:line="580" w:lineRule="exact"/>
        <w:ind w:firstLine="0" w:firstLineChars="0"/>
        <w:rPr>
          <w:rFonts w:ascii="黑体" w:hAnsi="黑体" w:eastAsia="黑体" w:cs="黑体"/>
          <w:sz w:val="32"/>
          <w:szCs w:val="32"/>
        </w:rPr>
      </w:pPr>
    </w:p>
    <w:p>
      <w:pPr>
        <w:pStyle w:val="25"/>
        <w:spacing w:line="580" w:lineRule="exact"/>
        <w:ind w:firstLine="640"/>
        <w:rPr>
          <w:rFonts w:ascii="黑体" w:hAnsi="黑体" w:eastAsia="黑体" w:cs="黑体"/>
          <w:sz w:val="32"/>
          <w:szCs w:val="32"/>
        </w:rPr>
      </w:pPr>
      <w:r>
        <w:rPr>
          <w:rFonts w:hint="eastAsia" w:ascii="黑体" w:hAnsi="黑体" w:eastAsia="黑体" w:cs="黑体"/>
          <w:sz w:val="32"/>
          <w:szCs w:val="32"/>
        </w:rPr>
        <w:t>三、</w:t>
      </w:r>
      <w:r>
        <w:rPr>
          <w:rFonts w:ascii="黑体" w:hAnsi="黑体" w:eastAsia="黑体" w:cs="黑体"/>
          <w:sz w:val="32"/>
          <w:szCs w:val="32"/>
        </w:rPr>
        <w:t>评价结论及建议</w:t>
      </w:r>
    </w:p>
    <w:p>
      <w:pPr>
        <w:spacing w:line="56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w:t>
      </w:r>
      <w:r>
        <w:rPr>
          <w:rFonts w:hint="eastAsia" w:ascii="仿宋_GB2312" w:hAnsi="仿宋_GB2312" w:cs="仿宋_GB2312"/>
          <w:color w:val="000000"/>
          <w:sz w:val="32"/>
          <w:szCs w:val="32"/>
        </w:rPr>
        <w:t>一</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zh-CN"/>
        </w:rPr>
        <w:t>评价结论。</w:t>
      </w:r>
    </w:p>
    <w:p>
      <w:pPr>
        <w:pStyle w:val="13"/>
        <w:widowControl/>
        <w:spacing w:before="180" w:beforeAutospacing="0" w:after="18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cs="仿宋_GB2312"/>
          <w:sz w:val="32"/>
          <w:szCs w:val="32"/>
        </w:rPr>
        <w:t>根据《红原县部门支出绩效评价指标体系》自查的分95分，总体评价较好。</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b/>
          <w:bCs/>
          <w:color w:val="000000"/>
          <w:sz w:val="32"/>
          <w:szCs w:val="32"/>
        </w:rPr>
        <w:t xml:space="preserve"> </w:t>
      </w:r>
      <w:r>
        <w:rPr>
          <w:rFonts w:hint="eastAsia" w:ascii="仿宋_GB2312" w:hAnsi="仿宋_GB2312" w:eastAsia="仿宋_GB2312" w:cs="仿宋_GB2312"/>
          <w:color w:val="000000"/>
          <w:sz w:val="32"/>
          <w:szCs w:val="32"/>
        </w:rPr>
        <w:t>(二)存在问题</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1</w:t>
      </w:r>
      <w:r>
        <w:rPr>
          <w:rFonts w:hint="eastAsia" w:ascii="仿宋_GB2312" w:hAnsi="仿宋_GB2312" w:eastAsia="仿宋_GB2312" w:cs="仿宋_GB2312"/>
          <w:color w:val="000000"/>
          <w:kern w:val="2"/>
          <w:sz w:val="32"/>
          <w:szCs w:val="32"/>
        </w:rPr>
        <w:t>、对绩效评价工作的认识不够。通过绩效评价工作的逐步推进，各部门逐步树立了绩效理念，对预算计算评价工作的态度由“被动接受”变为“主动实施”，但了解还不够深入，对单位绩效不重视，认为绩效评价只是财务部门的事情，相关项目职责部门配合不够，往往只能提供有限的财经资料或简单的工作计划、工作总结，绩效评价工作资料非常有限，内容粗浅。大部分单位直接借用工作计划，工作总结等做为绩效自评报告的主要内容。</w:t>
      </w:r>
    </w:p>
    <w:p>
      <w:pPr>
        <w:pStyle w:val="13"/>
        <w:widowControl/>
        <w:spacing w:before="180" w:beforeAutospacing="0" w:after="180" w:afterAutospacing="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2、人员素质有待进一步提高。由于预算绩效管理工作开展时间短，涉及面广，专业性强，加上缺乏系统的培训，无论是预算单位还是财政部门相关人员，对预算绩效管理理解不充分，对预算绩效管理业务不精通，在一定程度上影响了绩效评价工作质量。</w:t>
      </w:r>
      <w:r>
        <w:rPr>
          <w:rFonts w:hint="eastAsia" w:ascii="仿宋_GB2312" w:hAnsi="仿宋_GB2312" w:eastAsia="仿宋_GB2312" w:cs="仿宋_GB2312"/>
          <w:color w:val="000000"/>
          <w:kern w:val="2"/>
          <w:sz w:val="32"/>
          <w:szCs w:val="32"/>
        </w:rPr>
        <w:br w:type="textWrapping"/>
      </w:r>
      <w:r>
        <w:rPr>
          <w:rFonts w:hint="eastAsia" w:ascii="仿宋_GB2312" w:hAnsi="仿宋_GB2312" w:eastAsia="仿宋_GB2312" w:cs="仿宋_GB2312"/>
          <w:color w:val="000000"/>
          <w:sz w:val="32"/>
          <w:szCs w:val="32"/>
        </w:rPr>
        <w:t xml:space="preserve">    (三)改进建议</w:t>
      </w:r>
    </w:p>
    <w:p>
      <w:pPr>
        <w:pStyle w:val="13"/>
        <w:widowControl/>
        <w:spacing w:before="180" w:beforeAutospacing="0" w:after="18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1、完善绩效评价工作制度。 一是逐步建立和完善财政支出绩效评价相关制度，包括绩效目标审查制度、项目绩效考核制度、绩效奖惩制度等；二是建议将预算绩效管理与政府绩效考评结合起来，将单位预算绩效考评工作纳入到政府对单位的绩效考核当中，前者主要是项目层面的管理，后者是部门层面的管理，二者应该是一种互相促动的关系，即构建一套符合公共需求的绩效目标体系，提高政府的公共服务水平。</w:t>
      </w:r>
    </w:p>
    <w:p>
      <w:pPr>
        <w:pStyle w:val="13"/>
        <w:widowControl/>
        <w:spacing w:before="180" w:beforeAutospacing="0" w:after="18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2、加强学习培训，提升业务能力。由于绩效评价工作要求高，工作量大，涉及项目业务、财务、效益待多方面的专业知识，对各预算部门、财政部门的机构能力和人员素质来说，无疑是一场严峻的考验，只有通过进行多方位多层次的学习培训，努力提高相关人员素质，才能真正将预算绩效管理工作落实到位。对内财政部门相关人员可以通过业务培训、考察交流和实地调研等形式开展，在实际工作中不断积累经验，加强理论研究；对外加强对部门单位的绩效管理知识培训，可以采取邀请专家讲课、财政部门辅导和案例剖析等方式，不断提升绩效人员业务能力。</w:t>
      </w:r>
    </w:p>
    <w:p>
      <w:pPr>
        <w:pStyle w:val="13"/>
        <w:widowControl/>
        <w:spacing w:before="180" w:beforeAutospacing="0" w:after="18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3、加大宣传力度，树立绩效管理理念。通过各种媒介、各种形式和渠道，加大绩效管理理念宣传，创造良好社会舆论氛围，不断提高部门（单位）的绩效意识，发挥各部门在预算绩效管理中的主体作用。</w:t>
      </w:r>
    </w:p>
    <w:p>
      <w:pPr>
        <w:pStyle w:val="13"/>
        <w:widowControl/>
        <w:spacing w:before="180" w:beforeAutospacing="0" w:after="180" w:afterAutospacing="0" w:line="560" w:lineRule="exact"/>
        <w:ind w:firstLine="640" w:firstLineChars="200"/>
        <w:rPr>
          <w:rFonts w:ascii="仿宋_GB2312" w:hAnsi="仿宋_GB2312" w:eastAsia="仿宋_GB2312" w:cs="仿宋_GB2312"/>
          <w:color w:val="000000"/>
          <w:kern w:val="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rPr>
          <w:rStyle w:val="26"/>
          <w:rFonts w:ascii="仿宋" w:hAnsi="仿宋" w:eastAsia="仿宋"/>
          <w:b w:val="0"/>
          <w:bCs w:val="0"/>
          <w:sz w:val="32"/>
          <w:szCs w:val="32"/>
        </w:rPr>
      </w:pPr>
      <w:bookmarkStart w:id="62" w:name="_Toc15396617"/>
      <w:r>
        <w:rPr>
          <w:rStyle w:val="26"/>
          <w:rFonts w:hint="eastAsia" w:ascii="仿宋" w:hAnsi="仿宋" w:eastAsia="仿宋"/>
          <w:b w:val="0"/>
          <w:bCs w:val="0"/>
          <w:sz w:val="32"/>
          <w:szCs w:val="32"/>
        </w:rPr>
        <w:t>附件2</w:t>
      </w:r>
      <w:bookmarkEnd w:id="62"/>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2018年天然林保护工程项目项目支出绩效评价报告</w:t>
      </w:r>
    </w:p>
    <w:p>
      <w:pPr>
        <w:spacing w:line="58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720"/>
        <w:rPr>
          <w:rFonts w:ascii="黑体" w:hAnsi="宋体" w:eastAsia="黑体" w:cs="黑体"/>
          <w:lang w:val="zh-CN"/>
        </w:rPr>
      </w:pPr>
      <w:bookmarkStart w:id="63" w:name="_Toc15396618"/>
      <w:r>
        <w:rPr>
          <w:rFonts w:hint="eastAsia" w:ascii="黑体" w:hAnsi="宋体" w:eastAsia="黑体" w:cs="黑体"/>
          <w:sz w:val="32"/>
        </w:rPr>
        <w:t>一、</w:t>
      </w:r>
      <w:r>
        <w:rPr>
          <w:rFonts w:hint="eastAsia" w:ascii="黑体" w:hAnsi="宋体" w:eastAsia="黑体" w:cs="黑体"/>
          <w:sz w:val="32"/>
          <w:lang w:val="zh-CN"/>
        </w:rPr>
        <w:t>项目概况</w:t>
      </w:r>
    </w:p>
    <w:p>
      <w:pPr>
        <w:spacing w:line="560" w:lineRule="exact"/>
        <w:ind w:firstLine="640" w:firstLineChars="200"/>
        <w:rPr>
          <w:rFonts w:ascii="仿宋_GB2312" w:hAnsi="宋体" w:eastAsia="仿宋_GB2312" w:cs="仿宋_GB2312"/>
          <w:lang w:val="zh-CN"/>
        </w:rPr>
      </w:pPr>
      <w:r>
        <w:rPr>
          <w:rFonts w:hint="eastAsia" w:ascii="仿宋_GB2312" w:hAnsi="仿宋_GB2312" w:eastAsia="仿宋_GB2312" w:cs="仿宋_GB2312"/>
          <w:sz w:val="32"/>
          <w:szCs w:val="32"/>
        </w:rPr>
        <w:t>天然林资源保护工程财政专项项目主要包括：继续停止天然林商品性采伐，管护森林面积2241885亩，其中，国有林2189722亩，集体林48857亩。加强森林资源培育，不断扩大森林资源面积；完善国有林业单位职工基本养老、基本医疗、失业、工伤、生育等五项社会保险和政策性社会性支出补助政策；落实管护责任制；加强落实全县国有（集体）公益林管理责任制和森林生态效益补偿资金兑现工作，进一步改善和提高林区生产生活环境，健全林业职工的社会保障体系；生态状况从逐步好转进一步向明显改善转变，生物多样性明显增加，森林生态功能明显增强；增加从事林业就业岗位，促进地方社会稳定。</w:t>
      </w:r>
      <w:r>
        <w:rPr>
          <w:rFonts w:hint="eastAsia" w:ascii="仿宋_GB2312" w:hAnsi="宋体" w:eastAsia="仿宋_GB2312" w:cs="仿宋_GB2312"/>
          <w:sz w:val="32"/>
          <w:lang w:val="zh-CN"/>
        </w:rPr>
        <w:t>，重点说明以下内容：</w:t>
      </w:r>
    </w:p>
    <w:p>
      <w:pPr>
        <w:autoSpaceDE w:val="0"/>
        <w:spacing w:line="560" w:lineRule="exact"/>
        <w:ind w:firstLine="643" w:firstLineChars="200"/>
        <w:rPr>
          <w:rFonts w:ascii="仿宋_GB2312" w:hAnsi="仿宋_GB2312" w:eastAsia="仿宋_GB2312" w:cs="仿宋_GB2312"/>
          <w:b/>
          <w:bCs/>
          <w:sz w:val="32"/>
          <w:szCs w:val="32"/>
        </w:rPr>
      </w:pPr>
      <w:r>
        <w:rPr>
          <w:rFonts w:hint="eastAsia" w:ascii="楷体_GB2312" w:hAnsi="宋体" w:eastAsia="楷体_GB2312" w:cs="楷体_GB2312"/>
          <w:b/>
          <w:sz w:val="32"/>
          <w:lang w:val="zh-CN"/>
        </w:rPr>
        <w:t>（一）项目资金申报及批复情况。</w:t>
      </w:r>
      <w:r>
        <w:rPr>
          <w:rFonts w:hint="eastAsia" w:ascii="仿宋_GB2312" w:hAnsi="仿宋_GB2312" w:eastAsia="仿宋_GB2312" w:cs="仿宋_GB2312"/>
          <w:sz w:val="32"/>
          <w:szCs w:val="32"/>
        </w:rPr>
        <w:t>红原县2018年天然林资源保护工程财政专项项目立项和资金申报的主要依据是根据《红原县天然林保护工程二期实施方案》进行项目资金的申报，经阿坝州人民政府同意实施。</w:t>
      </w:r>
    </w:p>
    <w:p>
      <w:pPr>
        <w:autoSpaceDE w:val="0"/>
        <w:spacing w:line="560" w:lineRule="exact"/>
        <w:ind w:firstLine="643" w:firstLineChars="200"/>
        <w:rPr>
          <w:rFonts w:ascii="仿宋_GB2312" w:hAnsi="仿宋_GB2312" w:eastAsia="仿宋_GB2312" w:cs="仿宋_GB2312"/>
          <w:sz w:val="32"/>
          <w:szCs w:val="32"/>
        </w:rPr>
      </w:pPr>
      <w:r>
        <w:rPr>
          <w:rFonts w:hint="eastAsia" w:ascii="楷体_GB2312" w:hAnsi="宋体" w:eastAsia="楷体_GB2312" w:cs="楷体_GB2312"/>
          <w:b/>
          <w:sz w:val="32"/>
          <w:lang w:val="zh-CN"/>
        </w:rPr>
        <w:t>（二）项目绩效目标。</w:t>
      </w:r>
      <w:r>
        <w:rPr>
          <w:rFonts w:hint="eastAsia" w:ascii="仿宋_GB2312" w:hAnsi="仿宋_GB2312" w:eastAsia="仿宋_GB2312" w:cs="仿宋_GB2312"/>
          <w:sz w:val="32"/>
          <w:szCs w:val="32"/>
        </w:rPr>
        <w:t>2018年天然林资源保护工程财政专项项目的主要内容通过落实管护责任，依法对全县2241885亩森林资源实施常年有效管护。将工程区内分流到森林管护岗位的职工全部纳入社会养老、医疗、失业、工伤、生育保险范畴，并按期足额缴纳了年度各项费用，实现了“应保全保”，参保率100%，解决了广大林区职工的后顾之忧。</w:t>
      </w:r>
    </w:p>
    <w:p>
      <w:pPr>
        <w:adjustRightInd w:val="0"/>
        <w:snapToGrid w:val="0"/>
        <w:spacing w:line="560" w:lineRule="exact"/>
        <w:ind w:firstLine="643" w:firstLineChars="200"/>
        <w:jc w:val="left"/>
        <w:rPr>
          <w:rFonts w:ascii="仿宋_GB2312" w:hAnsi="宋体" w:eastAsia="仿宋_GB2312" w:cs="仿宋_GB2312"/>
          <w:sz w:val="32"/>
          <w:szCs w:val="32"/>
          <w:lang w:val="zh-CN"/>
        </w:rPr>
      </w:pPr>
      <w:r>
        <w:rPr>
          <w:rFonts w:hint="eastAsia" w:ascii="楷体_GB2312" w:hAnsi="宋体" w:eastAsia="楷体_GB2312" w:cs="楷体_GB2312"/>
          <w:b/>
          <w:sz w:val="32"/>
          <w:lang w:val="zh-CN"/>
        </w:rPr>
        <w:t>（三）项目资金申报相符性。</w:t>
      </w:r>
      <w:r>
        <w:rPr>
          <w:rFonts w:hint="eastAsia" w:ascii="仿宋_GB2312" w:hAnsi="宋体" w:eastAsia="仿宋_GB2312" w:cs="仿宋_GB2312"/>
          <w:sz w:val="32"/>
          <w:szCs w:val="32"/>
        </w:rPr>
        <w:t>红原县天然林保护工程项目用于</w:t>
      </w:r>
      <w:r>
        <w:rPr>
          <w:rFonts w:hint="eastAsia" w:ascii="仿宋_GB2312" w:hAnsi="仿宋_GB2312" w:eastAsia="仿宋_GB2312" w:cs="仿宋_GB2312"/>
          <w:sz w:val="32"/>
          <w:szCs w:val="32"/>
        </w:rPr>
        <w:t>国有林管护资金和天保人员的社会保险补助资金的</w:t>
      </w:r>
      <w:r>
        <w:rPr>
          <w:rFonts w:hint="eastAsia" w:ascii="仿宋_GB2312" w:hAnsi="宋体" w:eastAsia="仿宋_GB2312" w:cs="仿宋_GB2312"/>
          <w:sz w:val="32"/>
          <w:szCs w:val="32"/>
          <w:lang w:val="zh-CN"/>
        </w:rPr>
        <w:t>申报内容与天然林保护工程实施方案内容相符，申报目标合理可行。</w:t>
      </w:r>
    </w:p>
    <w:p>
      <w:pPr>
        <w:adjustRightInd w:val="0"/>
        <w:snapToGrid w:val="0"/>
        <w:spacing w:line="560" w:lineRule="exact"/>
        <w:ind w:firstLine="720"/>
        <w:rPr>
          <w:rFonts w:ascii="黑体" w:hAnsi="宋体" w:eastAsia="黑体" w:cs="黑体"/>
        </w:rPr>
      </w:pPr>
      <w:r>
        <w:rPr>
          <w:rFonts w:hint="eastAsia" w:ascii="黑体" w:hAnsi="宋体" w:eastAsia="黑体" w:cs="黑体"/>
          <w:sz w:val="32"/>
        </w:rPr>
        <w:t>二、项目实施及管理情况</w:t>
      </w:r>
    </w:p>
    <w:p>
      <w:pPr>
        <w:adjustRightInd w:val="0"/>
        <w:snapToGrid w:val="0"/>
        <w:spacing w:line="56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（一）资金计划、到位及使用情况。</w:t>
      </w:r>
    </w:p>
    <w:p>
      <w:pPr>
        <w:autoSpaceDE w:val="0"/>
        <w:spacing w:line="560" w:lineRule="exact"/>
        <w:ind w:firstLine="640" w:firstLineChars="200"/>
        <w:rPr>
          <w:rFonts w:ascii="仿宋_GB2312" w:hAnsi="仿宋_GB2312" w:eastAsia="仿宋_GB2312" w:cs="仿宋_GB2312"/>
          <w:sz w:val="32"/>
          <w:szCs w:val="32"/>
        </w:rPr>
      </w:pPr>
      <w:r>
        <w:rPr>
          <w:rFonts w:hint="eastAsia" w:ascii="楷体_GB2312" w:hAnsi="宋体" w:eastAsia="楷体_GB2312" w:cs="楷体_GB2312"/>
          <w:sz w:val="32"/>
          <w:lang w:val="zh-CN"/>
        </w:rPr>
        <w:t>1．资金计划及到位。</w:t>
      </w:r>
      <w:r>
        <w:rPr>
          <w:rFonts w:hint="eastAsia" w:ascii="仿宋_GB2312" w:hAnsi="仿宋_GB2312" w:eastAsia="仿宋_GB2312" w:cs="仿宋_GB2312"/>
          <w:sz w:val="32"/>
          <w:szCs w:val="32"/>
        </w:rPr>
        <w:t>红原县2018年天然林资源保护工程财政专项项目资金计划为568.38万元。</w:t>
      </w:r>
    </w:p>
    <w:p>
      <w:pPr>
        <w:autoSpaceDE w:val="0"/>
        <w:spacing w:line="560" w:lineRule="exact"/>
        <w:ind w:firstLine="642"/>
        <w:rPr>
          <w:rFonts w:ascii="仿宋_GB2312" w:hAnsi="仿宋_GB2312" w:eastAsia="仿宋_GB2312" w:cs="仿宋_GB2312"/>
          <w:sz w:val="32"/>
          <w:szCs w:val="32"/>
        </w:rPr>
      </w:pPr>
      <w:r>
        <w:rPr>
          <w:rFonts w:hint="eastAsia" w:ascii="仿宋_GB2312" w:hAnsi="仿宋_GB2312" w:eastAsia="仿宋_GB2312" w:cs="仿宋_GB2312"/>
          <w:sz w:val="32"/>
          <w:szCs w:val="32"/>
        </w:rPr>
        <w:t>红原县2018年天然林资源保护工程财政专项项目资金实际到位情况为568.38万元，其中国有林管护资金568.38万元。</w:t>
      </w:r>
    </w:p>
    <w:p>
      <w:pPr>
        <w:autoSpaceDE w:val="0"/>
        <w:spacing w:line="560" w:lineRule="exact"/>
        <w:ind w:firstLine="640" w:firstLineChars="200"/>
        <w:rPr>
          <w:rFonts w:ascii="仿宋_GB2312" w:hAnsi="仿宋_GB2312" w:eastAsia="仿宋_GB2312" w:cs="仿宋_GB2312"/>
          <w:sz w:val="32"/>
          <w:szCs w:val="32"/>
        </w:rPr>
      </w:pPr>
      <w:r>
        <w:rPr>
          <w:rFonts w:hint="eastAsia" w:ascii="楷体_GB2312" w:hAnsi="宋体" w:eastAsia="楷体_GB2312" w:cs="楷体_GB2312"/>
          <w:sz w:val="32"/>
          <w:lang w:val="zh-CN"/>
        </w:rPr>
        <w:t>2．资金使用。</w:t>
      </w:r>
      <w:r>
        <w:rPr>
          <w:rFonts w:hint="eastAsia" w:ascii="仿宋_GB2312" w:hAnsi="仿宋_GB2312" w:eastAsia="仿宋_GB2312" w:cs="仿宋_GB2312"/>
          <w:sz w:val="32"/>
          <w:szCs w:val="32"/>
        </w:rPr>
        <w:t>红原县2018年天然林资源保护工程政专项项目资金实际使用情况：国有林管护使用资金为190.68万元（管护费支出130.68万元、生态扶贫整合60万）。</w:t>
      </w:r>
    </w:p>
    <w:p>
      <w:pPr>
        <w:adjustRightInd w:val="0"/>
        <w:snapToGrid w:val="0"/>
        <w:spacing w:line="56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utoSpaceDE w:val="0"/>
        <w:spacing w:line="560" w:lineRule="exact"/>
        <w:rPr>
          <w:rFonts w:ascii="仿宋_GB2312" w:hAnsi="仿宋_GB2312" w:eastAsia="仿宋_GB2312" w:cs="仿宋_GB2312"/>
          <w:b/>
          <w:bCs/>
          <w:sz w:val="32"/>
          <w:szCs w:val="32"/>
        </w:rPr>
      </w:pPr>
      <w:r>
        <w:rPr>
          <w:rFonts w:hint="eastAsia" w:ascii="仿宋_GB2312" w:hAnsi="仿宋_GB2312" w:eastAsia="仿宋_GB2312" w:cs="仿宋_GB2312"/>
          <w:sz w:val="32"/>
          <w:szCs w:val="32"/>
        </w:rPr>
        <w:t xml:space="preserve">我局对天然林资源保护工程财政专项资金实行专帐管理、单独核算、专款专用，对国有林管护资金实行专业账户进行兑付，在专项资金是使用管理中分别县环林局进行专项资金的使用申报，并由于分管林业的副县长签字审核后，经县财政局审核同意拨付使用。 </w:t>
      </w:r>
    </w:p>
    <w:p>
      <w:pPr>
        <w:adjustRightInd w:val="0"/>
        <w:snapToGrid w:val="0"/>
        <w:spacing w:line="56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adjustRightInd w:val="0"/>
        <w:snapToGrid w:val="0"/>
        <w:spacing w:line="560" w:lineRule="exact"/>
        <w:ind w:firstLine="720"/>
        <w:rPr>
          <w:rFonts w:ascii="仿宋_GB2312" w:hAnsi="宋体" w:eastAsia="仿宋_GB2312" w:cs="仿宋_GB2312"/>
        </w:rPr>
      </w:pPr>
      <w:r>
        <w:rPr>
          <w:rFonts w:hint="eastAsia" w:ascii="仿宋_GB2312" w:hAnsi="仿宋_GB2312" w:eastAsia="仿宋_GB2312" w:cs="仿宋_GB2312"/>
          <w:sz w:val="32"/>
          <w:szCs w:val="32"/>
        </w:rPr>
        <w:t xml:space="preserve"> 我县成立红原县天然林保护领导小组和管理办公室，办公室设在县环林局绿化造林股，处理我县天然林保护工程实施方案内容的日常事务，项目资金管理支出由局计财股具体实施。</w:t>
      </w:r>
      <w:r>
        <w:rPr>
          <w:rFonts w:hint="eastAsia" w:ascii="仿宋_GB2312" w:hAnsi="宋体" w:eastAsia="仿宋_GB2312" w:cs="仿宋_GB2312"/>
          <w:sz w:val="32"/>
        </w:rPr>
        <w:t xml:space="preserve"> </w:t>
      </w:r>
    </w:p>
    <w:p>
      <w:pPr>
        <w:adjustRightInd w:val="0"/>
        <w:snapToGrid w:val="0"/>
        <w:spacing w:line="560" w:lineRule="exact"/>
        <w:ind w:firstLine="720"/>
        <w:rPr>
          <w:rFonts w:ascii="仿宋_GB2312" w:hAnsi="宋体" w:eastAsia="仿宋_GB2312" w:cs="仿宋_GB2312"/>
          <w:lang w:val="zh-CN"/>
        </w:rPr>
      </w:pPr>
      <w:r>
        <w:rPr>
          <w:rFonts w:hint="eastAsia" w:ascii="黑体" w:hAnsi="宋体" w:eastAsia="黑体" w:cs="黑体"/>
          <w:sz w:val="32"/>
        </w:rPr>
        <w:t>三、项目绩效情况</w:t>
      </w:r>
      <w:r>
        <w:rPr>
          <w:rFonts w:hint="eastAsia" w:ascii="仿宋_GB2312" w:hAnsi="宋体" w:eastAsia="仿宋_GB2312" w:cs="仿宋_GB2312"/>
          <w:sz w:val="32"/>
          <w:lang w:val="zh-CN"/>
        </w:rPr>
        <w:tab/>
      </w:r>
    </w:p>
    <w:p>
      <w:pPr>
        <w:adjustRightInd w:val="0"/>
        <w:snapToGrid w:val="0"/>
        <w:spacing w:line="56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autoSpaceDE w:val="0"/>
        <w:spacing w:line="560" w:lineRule="exact"/>
        <w:rPr>
          <w:rFonts w:ascii="仿宋_GB2312" w:eastAsia="仿宋_GB2312"/>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一是</w:t>
      </w:r>
      <w:r>
        <w:rPr>
          <w:rFonts w:hint="eastAsia" w:ascii="仿宋_GB2312" w:eastAsia="仿宋_GB2312"/>
          <w:sz w:val="32"/>
          <w:szCs w:val="32"/>
        </w:rPr>
        <w:t xml:space="preserve">项目完成任务量。我县公益林面积220.3381万亩，其中国有公益林面积215.4091万亩，集体公益林面积4.9290万亩,生态效益补偿面积覆盖率为 100%。 </w:t>
      </w:r>
    </w:p>
    <w:p>
      <w:pPr>
        <w:autoSpaceDE w:val="0"/>
        <w:spacing w:line="560" w:lineRule="exact"/>
        <w:ind w:firstLine="640" w:firstLineChars="200"/>
        <w:rPr>
          <w:rFonts w:ascii="仿宋_GB2312" w:hAnsi="仿宋_GB2312" w:eastAsia="仿宋_GB2312" w:cs="仿宋_GB2312"/>
          <w:b/>
          <w:bCs/>
          <w:sz w:val="32"/>
          <w:szCs w:val="32"/>
        </w:rPr>
      </w:pPr>
      <w:r>
        <w:rPr>
          <w:rFonts w:hint="eastAsia" w:ascii="仿宋_GB2312" w:eastAsia="仿宋_GB2312"/>
          <w:sz w:val="32"/>
          <w:szCs w:val="32"/>
        </w:rPr>
        <w:t>二是项目完成质量。2016年度我局通过层层落实了管护责任制，全县签订国有林管护合同49份，完成率达100%。加强监督与管理，</w:t>
      </w:r>
      <w:r>
        <w:rPr>
          <w:rFonts w:hint="eastAsia" w:ascii="仿宋_GB2312" w:hAnsi="仿宋_GB2312" w:eastAsia="仿宋_GB2312" w:cs="仿宋_GB2312"/>
          <w:sz w:val="32"/>
          <w:szCs w:val="32"/>
        </w:rPr>
        <w:t>杜绝滥砍乱伐、毁林开垦的现象发生，牲畜破坏国有林的情况也逐减少，国有林的管护取得了明显成绩，</w:t>
      </w:r>
      <w:r>
        <w:rPr>
          <w:rFonts w:hint="eastAsia" w:ascii="仿宋_GB2312" w:eastAsia="仿宋_GB2312"/>
          <w:sz w:val="32"/>
          <w:szCs w:val="32"/>
        </w:rPr>
        <w:t>行政案件逐年降低。</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项目完成进度。2018年度天然林资源保护工程财政专项项目管护率达到100%。</w:t>
      </w:r>
    </w:p>
    <w:p>
      <w:pPr>
        <w:adjustRightInd w:val="0"/>
        <w:snapToGrid w:val="0"/>
        <w:spacing w:line="56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一是生态效益，通过常年以来的管理与管护，</w:t>
      </w:r>
      <w:r>
        <w:rPr>
          <w:rFonts w:hint="eastAsia" w:ascii="仿宋_GB2312" w:hAnsi="仿宋_GB2312" w:eastAsia="仿宋_GB2312" w:cs="仿宋_GB2312"/>
          <w:color w:val="000000"/>
          <w:spacing w:val="3"/>
          <w:sz w:val="32"/>
          <w:szCs w:val="32"/>
          <w:shd w:val="clear" w:color="auto" w:fill="FFFFFF"/>
        </w:rPr>
        <w:t>基本杜绝了乱砍乱伐现象，资源保护明显加强。通过宣传使当地农民认识到</w:t>
      </w:r>
      <w:r>
        <w:rPr>
          <w:rFonts w:hint="eastAsia" w:ascii="仿宋_GB2312" w:hAnsi="仿宋_GB2312" w:eastAsia="仿宋_GB2312" w:cs="仿宋_GB2312"/>
          <w:color w:val="000000"/>
          <w:spacing w:val="-29"/>
          <w:sz w:val="32"/>
          <w:szCs w:val="32"/>
          <w:shd w:val="clear" w:color="auto" w:fill="FFFFFF"/>
        </w:rPr>
        <w:t>了天然林保护的重要性，杜绝了乱砍乱伐现象，围绕停、减、管、造</w:t>
      </w:r>
      <w:r>
        <w:rPr>
          <w:rFonts w:hint="eastAsia" w:ascii="仿宋_GB2312" w:hAnsi="仿宋_GB2312" w:eastAsia="仿宋_GB2312" w:cs="仿宋_GB2312"/>
          <w:color w:val="000000"/>
          <w:spacing w:val="-40"/>
          <w:sz w:val="32"/>
          <w:szCs w:val="32"/>
          <w:shd w:val="clear" w:color="auto" w:fill="FFFFFF"/>
        </w:rPr>
        <w:t>全面采取</w:t>
      </w:r>
      <w:r>
        <w:rPr>
          <w:rFonts w:hint="eastAsia" w:ascii="仿宋_GB2312" w:hAnsi="仿宋_GB2312" w:eastAsia="仿宋_GB2312" w:cs="仿宋_GB2312"/>
          <w:color w:val="000000"/>
          <w:sz w:val="32"/>
          <w:szCs w:val="32"/>
          <w:shd w:val="clear" w:color="auto" w:fill="FFFFFF"/>
        </w:rPr>
        <w:t>措施，天然林得到修养生息，</w:t>
      </w:r>
      <w:r>
        <w:rPr>
          <w:rFonts w:hint="eastAsia" w:ascii="仿宋_GB2312" w:eastAsia="仿宋_GB2312"/>
          <w:sz w:val="32"/>
          <w:szCs w:val="32"/>
        </w:rPr>
        <w:t>天然林资源得到了有效的保护，</w:t>
      </w:r>
      <w:r>
        <w:rPr>
          <w:rFonts w:hint="eastAsia" w:ascii="仿宋_GB2312" w:hAnsi="仿宋_GB2312" w:eastAsia="仿宋_GB2312" w:cs="仿宋_GB2312"/>
          <w:color w:val="333333"/>
          <w:kern w:val="0"/>
          <w:sz w:val="32"/>
          <w:szCs w:val="32"/>
        </w:rPr>
        <w:t>森林蓄积量得到有效的增长，2018年度我县的森林覆盖率达到了8.39%。林分质量得到改善，</w:t>
      </w:r>
      <w:r>
        <w:rPr>
          <w:rFonts w:hint="eastAsia" w:ascii="仿宋_GB2312" w:eastAsia="仿宋_GB2312"/>
          <w:sz w:val="32"/>
          <w:szCs w:val="32"/>
        </w:rPr>
        <w:t>通过茂密的林冠，纵横交错的根系来阻挡和减缓雨水对土壤的冲刷和侵蚀,减少土壤的流失；通过树冠、树干、枯枝落叶层以及根系的吸滞、存贮作用，发挥了涵养水源的作用，</w:t>
      </w:r>
      <w:r>
        <w:rPr>
          <w:rFonts w:hint="eastAsia" w:ascii="仿宋_GB2312" w:hAnsi="仿宋_GB2312" w:eastAsia="仿宋_GB2312" w:cs="仿宋_GB2312"/>
          <w:color w:val="000000"/>
          <w:sz w:val="32"/>
          <w:szCs w:val="32"/>
          <w:shd w:val="clear" w:color="auto" w:fill="FFFFFF"/>
        </w:rPr>
        <w:t>生态环境得到了进一步的改善。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二是社会效益，天然林保护工程是我县重大民生工程，通过项目的实施，促进社会稳定，生态得到保护，农户增收，充分体现了党和国家对人民群众的关心，密切党群关系，提高党和政府在人民心目中的地位，是一项民心工程、德政工程。 </w:t>
      </w:r>
    </w:p>
    <w:p>
      <w:pPr>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三是经济效益，实施天然林保护工程任务以来我县当地农牧民从该项项目中得到经济收入稳步提高，2018年度通过天保工程项目，按照我县农牧民40621人数折算，从天保工程项目</w:t>
      </w:r>
      <w:r>
        <w:rPr>
          <w:rFonts w:hint="eastAsia" w:ascii="仿宋_GB2312" w:hAnsi="仿宋_GB2312" w:eastAsia="仿宋_GB2312" w:cs="仿宋_GB2312"/>
          <w:sz w:val="32"/>
          <w:szCs w:val="32"/>
        </w:rPr>
        <w:t>人均增收</w:t>
      </w:r>
      <w:r>
        <w:rPr>
          <w:rFonts w:hint="eastAsia" w:ascii="仿宋_GB2312" w:eastAsia="仿宋_GB2312"/>
          <w:sz w:val="32"/>
          <w:szCs w:val="32"/>
        </w:rPr>
        <w:t>达到</w:t>
      </w:r>
      <w:r>
        <w:rPr>
          <w:rFonts w:hint="eastAsia" w:ascii="仿宋_GB2312" w:hAnsi="仿宋_GB2312" w:eastAsia="仿宋_GB2312" w:cs="仿宋_GB2312"/>
          <w:sz w:val="32"/>
          <w:szCs w:val="32"/>
        </w:rPr>
        <w:t>28.18元/人。</w:t>
      </w:r>
    </w:p>
    <w:p>
      <w:pPr>
        <w:adjustRightInd w:val="0"/>
        <w:snapToGrid w:val="0"/>
        <w:spacing w:line="560" w:lineRule="exact"/>
        <w:ind w:firstLine="720"/>
        <w:rPr>
          <w:rFonts w:ascii="黑体" w:hAnsi="宋体" w:eastAsia="黑体" w:cs="黑体"/>
        </w:rPr>
      </w:pPr>
      <w:r>
        <w:rPr>
          <w:rFonts w:hint="eastAsia" w:ascii="黑体" w:hAnsi="宋体" w:eastAsia="黑体" w:cs="黑体"/>
          <w:sz w:val="32"/>
        </w:rPr>
        <w:t>四、问题及建议</w:t>
      </w:r>
    </w:p>
    <w:p>
      <w:pPr>
        <w:adjustRightInd w:val="0"/>
        <w:snapToGrid w:val="0"/>
        <w:spacing w:line="56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（一）存在的问题。</w:t>
      </w:r>
    </w:p>
    <w:p>
      <w:pPr>
        <w:adjustRightInd w:val="0"/>
        <w:snapToGrid w:val="0"/>
        <w:spacing w:line="560" w:lineRule="exact"/>
        <w:ind w:firstLine="720"/>
        <w:rPr>
          <w:rFonts w:ascii="楷体_GB2312" w:hAnsi="宋体" w:eastAsia="楷体_GB2312" w:cs="楷体_GB2312"/>
          <w:sz w:val="32"/>
          <w:lang w:val="zh-CN"/>
        </w:rPr>
      </w:pPr>
      <w:r>
        <w:rPr>
          <w:rFonts w:hint="eastAsia" w:ascii="仿宋_GB2312" w:hAnsi="仿宋_GB2312" w:eastAsia="仿宋_GB2312" w:cs="仿宋_GB2312"/>
          <w:sz w:val="32"/>
          <w:szCs w:val="32"/>
        </w:rPr>
        <w:t>由于我局天保人员身份变为事业身份天保工程资金存量过大，无法使用。</w:t>
      </w:r>
    </w:p>
    <w:p>
      <w:pPr>
        <w:autoSpaceDE w:val="0"/>
        <w:spacing w:line="560" w:lineRule="exact"/>
        <w:ind w:firstLine="643" w:firstLineChars="200"/>
        <w:rPr>
          <w:rFonts w:ascii="仿宋_GB2312" w:hAnsi="仿宋_GB2312" w:eastAsia="仿宋_GB2312" w:cs="仿宋_GB2312"/>
          <w:sz w:val="32"/>
          <w:szCs w:val="32"/>
        </w:rPr>
      </w:pPr>
      <w:r>
        <w:rPr>
          <w:rFonts w:hint="eastAsia" w:ascii="楷体_GB2312" w:hAnsi="宋体" w:eastAsia="楷体_GB2312" w:cs="楷体_GB2312"/>
          <w:b/>
          <w:sz w:val="32"/>
          <w:lang w:val="zh-CN"/>
        </w:rPr>
        <w:t>（二）相关建议。</w:t>
      </w:r>
      <w:r>
        <w:rPr>
          <w:rFonts w:hint="eastAsia" w:ascii="仿宋_GB2312" w:hAnsi="仿宋_GB2312" w:eastAsia="仿宋_GB2312" w:cs="仿宋_GB2312"/>
          <w:sz w:val="32"/>
          <w:szCs w:val="32"/>
        </w:rPr>
        <w:t>一是建议州级政府部门能够出台县级国有林管理工作和管护经费的相关政策，并能落实到县级财政预算中；</w:t>
      </w:r>
    </w:p>
    <w:p>
      <w:pPr>
        <w:autoSpaceDE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是建议提高现行国有林中央财政补偿基金标准，实行分类补偿能否根据区域生态的重要性和脆弱性，并综合考虑森林质量、地位级差、管护难度等指标，对现有国有林进行分类补偿，再根据国家财力情况，逐步提高补偿标准；</w:t>
      </w:r>
    </w:p>
    <w:p>
      <w:pPr>
        <w:autoSpaceDE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三是能否积极利用市场机制实现补偿森林生态效益的有效途径，建立国有林资源保护的受益者直接补偿体系，能否落实下游地区对上游地区的国有林给予政策性补偿；</w:t>
      </w:r>
    </w:p>
    <w:p>
      <w:pPr>
        <w:autoSpaceDE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是对于部分立地条件相对较好、生态区位不十分敏感的国有林，可以考虑在不会对生态带来影响的前提下，开展抚育、更新性质的采伐，充分利用国有林的景观资源、林下资源，加大开展国有林的非木质的经营利用，在提高国有林林分质量的同时增加当地农牧民的经济收入。</w:t>
      </w: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2018年湿地生态补偿项目项目支出绩效评价报告</w:t>
      </w: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djustRightInd w:val="0"/>
        <w:snapToGrid w:val="0"/>
        <w:spacing w:line="560" w:lineRule="exact"/>
        <w:ind w:firstLine="720"/>
        <w:rPr>
          <w:rFonts w:ascii="黑体" w:hAnsi="黑体" w:eastAsia="黑体" w:cs="仿宋_GB2312"/>
          <w:sz w:val="32"/>
          <w:szCs w:val="32"/>
          <w:lang w:val="zh-CN"/>
        </w:rPr>
      </w:pPr>
      <w:r>
        <w:rPr>
          <w:rFonts w:hint="eastAsia" w:ascii="黑体" w:hAnsi="黑体" w:eastAsia="黑体" w:cs="仿宋_GB2312"/>
          <w:sz w:val="32"/>
          <w:szCs w:val="32"/>
          <w:lang w:val="zh-CN"/>
        </w:rPr>
        <w:t>一、项目概况</w:t>
      </w:r>
    </w:p>
    <w:p>
      <w:p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b/>
          <w:sz w:val="32"/>
          <w:szCs w:val="32"/>
          <w:lang w:val="zh-CN"/>
        </w:rPr>
        <w:t>（一）项目资金申报及批复情况。</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2016年12月阿坝州财政局下达省级湿地生态效益补偿试点资金，红原县湿地补助资金1439万元，</w:t>
      </w:r>
      <w:r>
        <w:rPr>
          <w:rFonts w:ascii="仿宋" w:hAnsi="仿宋" w:eastAsia="仿宋" w:cs="仿宋_GB2312"/>
          <w:sz w:val="32"/>
          <w:szCs w:val="32"/>
          <w:lang w:val="zh-CN"/>
        </w:rPr>
        <w:t>按照省政府办公厅《关于支持贫困县开展统筹整合使用涉农资金试点的实施意见》（川府发〔2016〕44号）</w:t>
      </w:r>
      <w:r>
        <w:rPr>
          <w:rFonts w:hint="eastAsia" w:ascii="仿宋" w:hAnsi="仿宋" w:eastAsia="仿宋" w:cs="仿宋_GB2312"/>
          <w:sz w:val="32"/>
          <w:szCs w:val="32"/>
          <w:lang w:val="zh-CN"/>
        </w:rPr>
        <w:t>等文件规定，为有效推进省级湿地生态效益补偿政策的开展，根据红原县实际情况，公共管护费用按每亩0.5元计算（湿地生态补偿总面积为3099780.3亩），总计约155万元，主要用于红原县环境保护和林业局、各乡镇资料档案管理费、湿地生态补偿宣传、标识标牌制作及项目验收等。</w:t>
      </w:r>
    </w:p>
    <w:p>
      <w:pPr>
        <w:adjustRightInd w:val="0"/>
        <w:snapToGrid w:val="0"/>
        <w:spacing w:line="560" w:lineRule="exact"/>
        <w:ind w:firstLine="482" w:firstLineChars="150"/>
        <w:rPr>
          <w:rFonts w:ascii="仿宋" w:hAnsi="仿宋" w:eastAsia="仿宋" w:cs="仿宋_GB2312"/>
          <w:sz w:val="32"/>
          <w:szCs w:val="32"/>
          <w:lang w:val="zh-CN"/>
        </w:rPr>
      </w:pPr>
      <w:r>
        <w:rPr>
          <w:rFonts w:hint="eastAsia" w:ascii="楷体" w:hAnsi="楷体" w:eastAsia="楷体" w:cs="仿宋_GB2312"/>
          <w:b/>
          <w:sz w:val="32"/>
          <w:szCs w:val="32"/>
          <w:lang w:val="zh-CN"/>
        </w:rPr>
        <w:t>（二）项目绩效目标。</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为有效推进省级湿地生态效益补偿政策的开展，根据红原县实际情况公共管护费用按每亩0.5元计算（湿地生态补偿总面积为3099780.3亩），总计约155万元，主要用于红原县环境保护和林业局、各乡镇资料档案管理费、湿地生态补偿宣传、标识标牌制作及项目验收等。</w:t>
      </w:r>
    </w:p>
    <w:p>
      <w:pPr>
        <w:adjustRightInd w:val="0"/>
        <w:snapToGrid w:val="0"/>
        <w:spacing w:line="560" w:lineRule="exact"/>
        <w:ind w:firstLine="720"/>
        <w:rPr>
          <w:rFonts w:ascii="楷体" w:hAnsi="楷体" w:eastAsia="楷体" w:cs="仿宋_GB2312"/>
          <w:b/>
          <w:sz w:val="32"/>
          <w:szCs w:val="32"/>
          <w:lang w:val="zh-CN"/>
        </w:rPr>
      </w:pPr>
    </w:p>
    <w:p>
      <w:pPr>
        <w:adjustRightInd w:val="0"/>
        <w:snapToGrid w:val="0"/>
        <w:spacing w:line="560" w:lineRule="exact"/>
        <w:ind w:firstLine="720"/>
        <w:rPr>
          <w:rFonts w:ascii="仿宋" w:hAnsi="仿宋" w:eastAsia="仿宋" w:cs="仿宋_GB2312"/>
          <w:sz w:val="32"/>
          <w:szCs w:val="32"/>
          <w:lang w:val="zh-CN"/>
        </w:rPr>
      </w:pPr>
    </w:p>
    <w:p>
      <w:pPr>
        <w:adjustRightInd w:val="0"/>
        <w:snapToGrid w:val="0"/>
        <w:spacing w:line="560" w:lineRule="exact"/>
        <w:ind w:firstLine="720"/>
        <w:rPr>
          <w:rFonts w:ascii="仿宋" w:hAnsi="仿宋" w:eastAsia="仿宋" w:cs="仿宋_GB2312"/>
          <w:sz w:val="32"/>
          <w:szCs w:val="32"/>
          <w:lang w:val="zh-CN"/>
        </w:rPr>
      </w:pPr>
    </w:p>
    <w:p>
      <w:p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b/>
          <w:sz w:val="32"/>
          <w:szCs w:val="32"/>
          <w:lang w:val="zh-CN"/>
        </w:rPr>
        <w:t>（三）项目资金申报相符性。</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项目申报内容与具体实施内容完全相符，且申报目标合理可行。</w:t>
      </w:r>
    </w:p>
    <w:p>
      <w:pPr>
        <w:adjustRightInd w:val="0"/>
        <w:snapToGrid w:val="0"/>
        <w:spacing w:line="560" w:lineRule="exact"/>
        <w:ind w:firstLine="720"/>
        <w:rPr>
          <w:rFonts w:ascii="黑体" w:hAnsi="黑体" w:eastAsia="黑体" w:cs="仿宋_GB2312"/>
          <w:sz w:val="32"/>
          <w:szCs w:val="32"/>
          <w:lang w:val="zh-CN"/>
        </w:rPr>
      </w:pPr>
      <w:r>
        <w:rPr>
          <w:rFonts w:hint="eastAsia" w:ascii="黑体" w:hAnsi="黑体" w:eastAsia="黑体" w:cs="仿宋_GB2312"/>
          <w:sz w:val="32"/>
          <w:szCs w:val="32"/>
          <w:lang w:val="zh-CN"/>
        </w:rPr>
        <w:t>二、项目实施及管理情况</w:t>
      </w:r>
    </w:p>
    <w:p>
      <w:p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sz w:val="32"/>
          <w:szCs w:val="32"/>
          <w:lang w:val="zh-CN"/>
        </w:rPr>
        <w:tab/>
      </w:r>
      <w:r>
        <w:rPr>
          <w:rFonts w:hint="eastAsia" w:ascii="楷体" w:hAnsi="楷体" w:eastAsia="楷体" w:cs="仿宋_GB2312"/>
          <w:b/>
          <w:sz w:val="32"/>
          <w:szCs w:val="32"/>
          <w:lang w:val="zh-CN"/>
        </w:rPr>
        <w:t>（一）资金计划、到位及使用情况。</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1．资金计划及到位。</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rPr>
        <w:t>2018年</w:t>
      </w:r>
      <w:r>
        <w:rPr>
          <w:rFonts w:hint="eastAsia" w:ascii="仿宋" w:hAnsi="仿宋" w:eastAsia="仿宋" w:cs="仿宋_GB2312"/>
          <w:sz w:val="32"/>
          <w:szCs w:val="32"/>
          <w:lang w:val="zh-CN"/>
        </w:rPr>
        <w:t>该项目</w:t>
      </w:r>
      <w:r>
        <w:rPr>
          <w:rFonts w:hint="eastAsia" w:ascii="仿宋" w:hAnsi="仿宋" w:eastAsia="仿宋" w:cs="仿宋_GB2312"/>
          <w:sz w:val="32"/>
          <w:szCs w:val="32"/>
        </w:rPr>
        <w:t>实际</w:t>
      </w:r>
      <w:r>
        <w:rPr>
          <w:rFonts w:hint="eastAsia" w:ascii="仿宋" w:hAnsi="仿宋" w:eastAsia="仿宋" w:cs="仿宋_GB2312"/>
          <w:sz w:val="32"/>
          <w:szCs w:val="32"/>
          <w:lang w:val="zh-CN"/>
        </w:rPr>
        <w:t>到位</w:t>
      </w:r>
      <w:r>
        <w:rPr>
          <w:rFonts w:hint="eastAsia" w:ascii="仿宋" w:hAnsi="仿宋" w:eastAsia="仿宋" w:cs="仿宋_GB2312"/>
          <w:sz w:val="32"/>
          <w:szCs w:val="32"/>
        </w:rPr>
        <w:t>省</w:t>
      </w:r>
      <w:r>
        <w:rPr>
          <w:rFonts w:hint="eastAsia" w:ascii="仿宋" w:hAnsi="仿宋" w:eastAsia="仿宋" w:cs="仿宋_GB2312"/>
          <w:sz w:val="32"/>
          <w:szCs w:val="32"/>
          <w:lang w:val="zh-CN"/>
        </w:rPr>
        <w:t>级财政资金</w:t>
      </w:r>
      <w:r>
        <w:rPr>
          <w:rFonts w:hint="eastAsia" w:ascii="仿宋" w:hAnsi="仿宋" w:eastAsia="仿宋" w:cs="仿宋_GB2312"/>
          <w:sz w:val="32"/>
          <w:szCs w:val="32"/>
        </w:rPr>
        <w:t>1439</w:t>
      </w:r>
      <w:r>
        <w:rPr>
          <w:rFonts w:hint="eastAsia" w:ascii="仿宋" w:hAnsi="仿宋" w:eastAsia="仿宋" w:cs="仿宋_GB2312"/>
          <w:sz w:val="32"/>
          <w:szCs w:val="32"/>
          <w:lang w:val="zh-CN"/>
        </w:rPr>
        <w:t>万，资金到位率100％。</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2．资金使用。</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兑现201</w:t>
      </w:r>
      <w:r>
        <w:rPr>
          <w:rFonts w:hint="eastAsia" w:ascii="仿宋" w:hAnsi="仿宋" w:eastAsia="仿宋" w:cs="仿宋_GB2312"/>
          <w:sz w:val="32"/>
          <w:szCs w:val="32"/>
        </w:rPr>
        <w:t>8</w:t>
      </w:r>
      <w:r>
        <w:rPr>
          <w:rFonts w:hint="eastAsia" w:ascii="仿宋" w:hAnsi="仿宋" w:eastAsia="仿宋" w:cs="仿宋_GB2312"/>
          <w:sz w:val="32"/>
          <w:szCs w:val="32"/>
          <w:lang w:val="zh-CN"/>
        </w:rPr>
        <w:t>年度湿地生态补偿</w:t>
      </w:r>
      <w:r>
        <w:rPr>
          <w:rFonts w:hint="eastAsia" w:ascii="仿宋" w:hAnsi="仿宋" w:eastAsia="仿宋" w:cs="仿宋_GB2312"/>
          <w:sz w:val="32"/>
          <w:szCs w:val="32"/>
        </w:rPr>
        <w:t>1438.6万元</w:t>
      </w:r>
      <w:r>
        <w:rPr>
          <w:rFonts w:hint="eastAsia" w:ascii="仿宋" w:hAnsi="仿宋" w:eastAsia="仿宋" w:cs="仿宋_GB2312"/>
          <w:sz w:val="32"/>
          <w:szCs w:val="32"/>
          <w:lang w:val="zh-CN"/>
        </w:rPr>
        <w:t>。项目资金严格按照实施方案预算科目计划进行支出</w:t>
      </w:r>
    </w:p>
    <w:p>
      <w:pPr>
        <w:numPr>
          <w:ilvl w:val="0"/>
          <w:numId w:val="13"/>
        </w:num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b/>
          <w:sz w:val="32"/>
          <w:szCs w:val="32"/>
          <w:lang w:val="zh-CN"/>
        </w:rPr>
        <w:t>项目财务管理情况。</w:t>
      </w:r>
    </w:p>
    <w:p>
      <w:pPr>
        <w:tabs>
          <w:tab w:val="left" w:pos="1560"/>
        </w:tabs>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项目建设资金使用采取报账制。建设资金要按照项目会计制度进行管理,实行专户存储,专人管理,做到专款专用。项目资金要严格按照批复方案列支,要实行项目建设预算制和决算制,严禁挤占挪用。要加强对资金使用的检查和监督,建立健全项目建设的财务管理和审计制度,加强对建设项目的检察监督,充分发挥审计及投资和资金管理部门的监督作用,以确保项目的顺利进行及效益的正常发挥。项目实施过程中,要切实落实好配套资金,建设资金要及时、足额地拨付,不得以任何名义截留。</w:t>
      </w:r>
    </w:p>
    <w:p>
      <w:pPr>
        <w:adjustRightInd w:val="0"/>
        <w:snapToGrid w:val="0"/>
        <w:spacing w:line="560" w:lineRule="exact"/>
        <w:rPr>
          <w:rFonts w:ascii="楷体" w:hAnsi="楷体" w:eastAsia="楷体" w:cs="仿宋_GB2312"/>
          <w:b/>
          <w:sz w:val="32"/>
          <w:szCs w:val="32"/>
          <w:lang w:val="zh-CN"/>
        </w:rPr>
      </w:pPr>
    </w:p>
    <w:p>
      <w:p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b/>
          <w:sz w:val="32"/>
          <w:szCs w:val="32"/>
          <w:lang w:val="zh-CN"/>
        </w:rPr>
        <w:t>（三）项目组织实施情况。</w:t>
      </w:r>
    </w:p>
    <w:p>
      <w:pPr>
        <w:adjustRightInd w:val="0"/>
        <w:snapToGrid w:val="0"/>
        <w:spacing w:line="560" w:lineRule="exact"/>
        <w:ind w:firstLine="720"/>
        <w:rPr>
          <w:rFonts w:ascii="仿宋" w:hAnsi="仿宋" w:eastAsia="仿宋" w:cs="仿宋_GB2312"/>
          <w:sz w:val="32"/>
          <w:szCs w:val="32"/>
          <w:lang w:val="zh-CN"/>
        </w:rPr>
      </w:pPr>
      <w:r>
        <w:rPr>
          <w:rFonts w:hint="eastAsia" w:ascii="仿宋" w:hAnsi="仿宋" w:eastAsia="仿宋" w:cs="仿宋_GB2312"/>
          <w:sz w:val="32"/>
          <w:szCs w:val="32"/>
          <w:lang w:val="zh-CN"/>
        </w:rPr>
        <w:t>县委、县人民政府成立生态扶贫工作领导小组，全面统筹协调生态管护工作，研究解决工作推进中出现的问题，县环林局制定湿地管护员管理办法，指导各乡镇开展湿地管护员申请审核、公示汇总、协议签订、日志填报等事项，协助生态扶贫领导小组办公室开展上半年度检查验收，按照资金管理办法兑现补助资金。</w:t>
      </w:r>
    </w:p>
    <w:p>
      <w:pPr>
        <w:adjustRightInd w:val="0"/>
        <w:snapToGrid w:val="0"/>
        <w:spacing w:line="560" w:lineRule="exact"/>
        <w:ind w:firstLine="480" w:firstLineChars="150"/>
        <w:rPr>
          <w:rFonts w:ascii="黑体" w:hAnsi="黑体" w:eastAsia="黑体" w:cs="仿宋_GB2312"/>
          <w:sz w:val="32"/>
          <w:szCs w:val="32"/>
          <w:lang w:val="zh-CN"/>
        </w:rPr>
      </w:pPr>
      <w:r>
        <w:rPr>
          <w:rFonts w:hint="eastAsia" w:ascii="黑体" w:hAnsi="黑体" w:eastAsia="黑体" w:cs="仿宋_GB2312"/>
          <w:sz w:val="32"/>
          <w:szCs w:val="32"/>
          <w:lang w:val="zh-CN"/>
        </w:rPr>
        <w:t>四、项目绩效情况</w:t>
      </w:r>
      <w:r>
        <w:rPr>
          <w:rFonts w:hint="eastAsia" w:ascii="黑体" w:hAnsi="黑体" w:eastAsia="黑体" w:cs="仿宋_GB2312"/>
          <w:sz w:val="32"/>
          <w:szCs w:val="32"/>
          <w:lang w:val="zh-CN"/>
        </w:rPr>
        <w:tab/>
      </w:r>
    </w:p>
    <w:p>
      <w:pPr>
        <w:adjustRightInd w:val="0"/>
        <w:snapToGrid w:val="0"/>
        <w:spacing w:line="560" w:lineRule="exact"/>
        <w:ind w:firstLine="720"/>
        <w:rPr>
          <w:rFonts w:ascii="楷体" w:hAnsi="楷体" w:eastAsia="楷体" w:cs="仿宋_GB2312"/>
          <w:b/>
          <w:sz w:val="32"/>
          <w:szCs w:val="32"/>
          <w:lang w:val="zh-CN"/>
        </w:rPr>
      </w:pPr>
      <w:r>
        <w:rPr>
          <w:rFonts w:hint="eastAsia" w:ascii="楷体" w:hAnsi="楷体" w:eastAsia="楷体" w:cs="仿宋_GB2312"/>
          <w:b/>
          <w:sz w:val="32"/>
          <w:szCs w:val="32"/>
          <w:lang w:val="zh-CN"/>
        </w:rPr>
        <w:t>（一）项目完成情况。</w:t>
      </w:r>
    </w:p>
    <w:p>
      <w:pPr>
        <w:adjustRightInd w:val="0"/>
        <w:snapToGrid w:val="0"/>
        <w:spacing w:line="560" w:lineRule="exact"/>
        <w:ind w:firstLine="640" w:firstLineChars="200"/>
        <w:rPr>
          <w:rFonts w:ascii="仿宋" w:hAnsi="仿宋" w:eastAsia="仿宋" w:cs="仿宋"/>
          <w:snapToGrid w:val="0"/>
          <w:sz w:val="32"/>
          <w:szCs w:val="32"/>
        </w:rPr>
      </w:pPr>
      <w:r>
        <w:rPr>
          <w:rFonts w:hint="eastAsia" w:ascii="仿宋" w:hAnsi="仿宋" w:eastAsia="仿宋" w:cs="仿宋_GB2312"/>
          <w:sz w:val="32"/>
          <w:szCs w:val="32"/>
        </w:rPr>
        <w:t>2018年</w:t>
      </w:r>
      <w:r>
        <w:rPr>
          <w:rFonts w:hint="eastAsia" w:ascii="仿宋" w:hAnsi="仿宋" w:eastAsia="仿宋" w:cs="仿宋_GB2312"/>
          <w:sz w:val="32"/>
          <w:szCs w:val="32"/>
          <w:lang w:val="zh-CN"/>
        </w:rPr>
        <w:t>该项目</w:t>
      </w:r>
      <w:r>
        <w:rPr>
          <w:rFonts w:hint="eastAsia" w:ascii="仿宋" w:hAnsi="仿宋" w:eastAsia="仿宋" w:cs="仿宋_GB2312"/>
          <w:sz w:val="32"/>
          <w:szCs w:val="32"/>
        </w:rPr>
        <w:t>实际</w:t>
      </w:r>
      <w:r>
        <w:rPr>
          <w:rFonts w:hint="eastAsia" w:ascii="仿宋" w:hAnsi="仿宋" w:eastAsia="仿宋" w:cs="仿宋_GB2312"/>
          <w:sz w:val="32"/>
          <w:szCs w:val="32"/>
          <w:lang w:val="zh-CN"/>
        </w:rPr>
        <w:t>到位</w:t>
      </w:r>
      <w:r>
        <w:rPr>
          <w:rFonts w:hint="eastAsia" w:ascii="仿宋" w:hAnsi="仿宋" w:eastAsia="仿宋" w:cs="仿宋_GB2312"/>
          <w:sz w:val="32"/>
          <w:szCs w:val="32"/>
        </w:rPr>
        <w:t>省</w:t>
      </w:r>
      <w:r>
        <w:rPr>
          <w:rFonts w:hint="eastAsia" w:ascii="仿宋" w:hAnsi="仿宋" w:eastAsia="仿宋" w:cs="仿宋_GB2312"/>
          <w:sz w:val="32"/>
          <w:szCs w:val="32"/>
          <w:lang w:val="zh-CN"/>
        </w:rPr>
        <w:t>级财政资金</w:t>
      </w:r>
      <w:r>
        <w:rPr>
          <w:rFonts w:hint="eastAsia" w:ascii="仿宋" w:hAnsi="仿宋" w:eastAsia="仿宋" w:cs="仿宋_GB2312"/>
          <w:sz w:val="32"/>
          <w:szCs w:val="32"/>
        </w:rPr>
        <w:t>1439</w:t>
      </w:r>
      <w:r>
        <w:rPr>
          <w:rFonts w:hint="eastAsia" w:ascii="仿宋" w:hAnsi="仿宋" w:eastAsia="仿宋" w:cs="仿宋_GB2312"/>
          <w:sz w:val="32"/>
          <w:szCs w:val="32"/>
          <w:lang w:val="zh-CN"/>
        </w:rPr>
        <w:t>万，</w:t>
      </w:r>
      <w:r>
        <w:rPr>
          <w:rFonts w:hint="eastAsia" w:ascii="仿宋" w:hAnsi="仿宋" w:eastAsia="仿宋" w:cs="仿宋"/>
          <w:snapToGrid w:val="0"/>
          <w:sz w:val="32"/>
          <w:szCs w:val="32"/>
        </w:rPr>
        <w:t>并于2018年9月</w:t>
      </w:r>
      <w:r>
        <w:rPr>
          <w:rFonts w:hint="eastAsia" w:ascii="仿宋" w:hAnsi="仿宋" w:eastAsia="仿宋" w:cs="仿宋"/>
          <w:sz w:val="32"/>
          <w:szCs w:val="32"/>
        </w:rPr>
        <w:t>随即组织各乡镇开展工作，2018年9月完成县乡、乡村级目标责任书的签订，10月审定生态补偿人员并进行公示。2018年11月将由县级验收小组对各乡镇湿地生态补偿工作开展情况及牧户管护情况进行验收，待验收合格后，由金融机构通过“一卡通”的形式兑现资金。</w:t>
      </w:r>
    </w:p>
    <w:p>
      <w:pPr>
        <w:adjustRightInd w:val="0"/>
        <w:snapToGrid w:val="0"/>
        <w:spacing w:line="560" w:lineRule="exact"/>
        <w:ind w:firstLine="321" w:firstLineChars="100"/>
        <w:rPr>
          <w:rFonts w:ascii="楷体" w:hAnsi="楷体" w:eastAsia="楷体" w:cs="仿宋_GB2312"/>
          <w:b/>
          <w:sz w:val="32"/>
          <w:szCs w:val="32"/>
          <w:lang w:val="zh-CN"/>
        </w:rPr>
      </w:pPr>
      <w:r>
        <w:rPr>
          <w:rFonts w:hint="eastAsia" w:ascii="楷体" w:hAnsi="楷体" w:eastAsia="楷体" w:cs="仿宋_GB2312"/>
          <w:b/>
          <w:sz w:val="32"/>
          <w:szCs w:val="32"/>
          <w:lang w:val="zh-CN"/>
        </w:rPr>
        <w:t>（二）项目效益情况。</w:t>
      </w:r>
    </w:p>
    <w:p>
      <w:pPr>
        <w:pStyle w:val="5"/>
        <w:adjustRightInd w:val="0"/>
        <w:snapToGrid w:val="0"/>
        <w:spacing w:line="560" w:lineRule="exact"/>
        <w:ind w:firstLine="640"/>
        <w:rPr>
          <w:rStyle w:val="31"/>
          <w:rFonts w:ascii="仿宋" w:hAnsi="仿宋" w:eastAsia="仿宋" w:cs="仿宋"/>
          <w:sz w:val="32"/>
          <w:szCs w:val="32"/>
        </w:rPr>
      </w:pPr>
      <w:r>
        <w:rPr>
          <w:rStyle w:val="31"/>
          <w:rFonts w:hint="eastAsia" w:ascii="仿宋" w:hAnsi="仿宋" w:eastAsia="仿宋" w:cs="仿宋"/>
          <w:sz w:val="32"/>
          <w:szCs w:val="32"/>
        </w:rPr>
        <w:t>1．生态效益</w:t>
      </w:r>
    </w:p>
    <w:p>
      <w:pPr>
        <w:kinsoku w:val="0"/>
        <w:overflowPunct w:val="0"/>
        <w:autoSpaceDE w:val="0"/>
        <w:autoSpaceDN w:val="0"/>
        <w:adjustRightInd w:val="0"/>
        <w:snapToGrid w:val="0"/>
        <w:spacing w:line="560" w:lineRule="exact"/>
        <w:ind w:firstLine="640" w:firstLineChars="200"/>
        <w:rPr>
          <w:rFonts w:ascii="仿宋" w:hAnsi="仿宋" w:eastAsia="仿宋" w:cs="仿宋"/>
          <w:sz w:val="32"/>
          <w:szCs w:val="32"/>
          <w:lang w:bidi="bo-CN"/>
        </w:rPr>
      </w:pPr>
      <w:r>
        <w:rPr>
          <w:rFonts w:hint="eastAsia" w:ascii="仿宋" w:hAnsi="仿宋" w:eastAsia="仿宋" w:cs="仿宋"/>
          <w:sz w:val="32"/>
          <w:szCs w:val="32"/>
          <w:lang w:bidi="bo-CN"/>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p>
      <w:pPr>
        <w:pStyle w:val="5"/>
        <w:adjustRightInd w:val="0"/>
        <w:snapToGrid w:val="0"/>
        <w:spacing w:line="560" w:lineRule="exact"/>
        <w:ind w:firstLine="640"/>
        <w:rPr>
          <w:rFonts w:ascii="仿宋" w:hAnsi="仿宋" w:eastAsia="仿宋" w:cs="仿宋"/>
          <w:sz w:val="32"/>
          <w:szCs w:val="32"/>
        </w:rPr>
      </w:pPr>
      <w:r>
        <w:rPr>
          <w:rFonts w:hint="eastAsia" w:ascii="仿宋" w:hAnsi="仿宋" w:eastAsia="仿宋" w:cs="仿宋"/>
          <w:sz w:val="32"/>
          <w:szCs w:val="32"/>
        </w:rPr>
        <w:t>2.社会效益</w:t>
      </w:r>
    </w:p>
    <w:p>
      <w:pPr>
        <w:kinsoku w:val="0"/>
        <w:overflowPunct w:val="0"/>
        <w:autoSpaceDE w:val="0"/>
        <w:autoSpaceDN w:val="0"/>
        <w:adjustRightInd w:val="0"/>
        <w:snapToGrid w:val="0"/>
        <w:spacing w:line="560" w:lineRule="exact"/>
        <w:ind w:firstLine="640" w:firstLineChars="200"/>
        <w:rPr>
          <w:rFonts w:ascii="仿宋" w:hAnsi="仿宋" w:eastAsia="仿宋" w:cs="仿宋"/>
          <w:sz w:val="32"/>
          <w:szCs w:val="32"/>
          <w:lang w:bidi="bo-CN"/>
        </w:rPr>
      </w:pPr>
      <w:r>
        <w:rPr>
          <w:rFonts w:hint="eastAsia" w:ascii="仿宋" w:hAnsi="仿宋" w:eastAsia="仿宋" w:cs="仿宋"/>
          <w:sz w:val="32"/>
          <w:szCs w:val="32"/>
          <w:lang w:bidi="bo-CN"/>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pStyle w:val="5"/>
        <w:adjustRightInd w:val="0"/>
        <w:snapToGrid w:val="0"/>
        <w:spacing w:line="560" w:lineRule="exact"/>
        <w:ind w:firstLine="640"/>
        <w:rPr>
          <w:rFonts w:ascii="仿宋" w:hAnsi="仿宋" w:eastAsia="仿宋" w:cs="仿宋"/>
          <w:sz w:val="32"/>
          <w:szCs w:val="32"/>
        </w:rPr>
      </w:pPr>
      <w:r>
        <w:rPr>
          <w:rFonts w:hint="eastAsia" w:ascii="仿宋" w:hAnsi="仿宋" w:eastAsia="仿宋" w:cs="仿宋"/>
          <w:sz w:val="32"/>
          <w:szCs w:val="32"/>
        </w:rPr>
        <w:t>3.经济效益</w:t>
      </w:r>
    </w:p>
    <w:p>
      <w:pPr>
        <w:adjustRightInd w:val="0"/>
        <w:snapToGrid w:val="0"/>
        <w:spacing w:line="560" w:lineRule="exact"/>
        <w:ind w:firstLine="640"/>
        <w:rPr>
          <w:rFonts w:ascii="仿宋" w:hAnsi="仿宋" w:eastAsia="仿宋" w:cs="仿宋"/>
          <w:b/>
          <w:sz w:val="32"/>
          <w:szCs w:val="32"/>
        </w:rPr>
      </w:pPr>
      <w:r>
        <w:rPr>
          <w:rFonts w:hint="eastAsia" w:ascii="仿宋" w:hAnsi="仿宋" w:eastAsia="仿宋" w:cs="仿宋"/>
          <w:sz w:val="32"/>
          <w:szCs w:val="32"/>
          <w:lang w:bidi="bo-CN"/>
        </w:rPr>
        <w:t>湿地生态补偿工作结合精准扶贫，有效帮扶了一批贫困户，提高了牧户收入，此次补偿工作共计6281户，共兑现资金1438.6万元，平均每户每年增加收入2290.39元。其中贫困户696户，兑现资金约185.88万元，为稳定民生做出贡献。</w:t>
      </w:r>
      <w:r>
        <w:rPr>
          <w:rFonts w:hint="eastAsia" w:ascii="仿宋" w:hAnsi="仿宋" w:eastAsia="仿宋" w:cs="仿宋"/>
          <w:color w:val="000000"/>
          <w:sz w:val="32"/>
          <w:szCs w:val="32"/>
        </w:rPr>
        <w:t>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adjustRightInd w:val="0"/>
        <w:snapToGrid w:val="0"/>
        <w:spacing w:line="560" w:lineRule="exact"/>
        <w:ind w:firstLine="720"/>
        <w:rPr>
          <w:rFonts w:ascii="黑体" w:hAnsi="黑体" w:eastAsia="黑体" w:cs="仿宋_GB2312"/>
          <w:sz w:val="32"/>
          <w:szCs w:val="32"/>
          <w:lang w:val="zh-CN"/>
        </w:rPr>
      </w:pPr>
      <w:r>
        <w:rPr>
          <w:rFonts w:hint="eastAsia" w:ascii="黑体" w:hAnsi="黑体" w:eastAsia="黑体" w:cs="仿宋_GB2312"/>
          <w:sz w:val="32"/>
          <w:szCs w:val="32"/>
          <w:lang w:val="zh-CN"/>
        </w:rPr>
        <w:t>五、问题及建议</w:t>
      </w:r>
    </w:p>
    <w:p>
      <w:pPr>
        <w:pStyle w:val="25"/>
        <w:numPr>
          <w:ilvl w:val="0"/>
          <w:numId w:val="14"/>
        </w:numPr>
        <w:adjustRightInd w:val="0"/>
        <w:snapToGrid w:val="0"/>
        <w:spacing w:line="560" w:lineRule="exact"/>
        <w:ind w:firstLineChars="0"/>
        <w:rPr>
          <w:rFonts w:ascii="楷体" w:hAnsi="楷体" w:eastAsia="楷体" w:cs="仿宋_GB2312"/>
          <w:b/>
          <w:sz w:val="32"/>
          <w:szCs w:val="32"/>
          <w:lang w:val="zh-CN"/>
        </w:rPr>
      </w:pPr>
      <w:r>
        <w:rPr>
          <w:rFonts w:hint="eastAsia" w:ascii="楷体" w:hAnsi="楷体" w:eastAsia="楷体" w:cs="仿宋_GB2312"/>
          <w:b/>
          <w:sz w:val="32"/>
          <w:szCs w:val="32"/>
          <w:lang w:val="zh-CN"/>
        </w:rPr>
        <w:t>存在的问题。</w:t>
      </w:r>
    </w:p>
    <w:p>
      <w:pPr>
        <w:adjustRightInd w:val="0"/>
        <w:snapToGrid w:val="0"/>
        <w:spacing w:line="560" w:lineRule="exact"/>
        <w:ind w:firstLine="643" w:firstLineChars="200"/>
        <w:rPr>
          <w:rFonts w:ascii="仿宋" w:hAnsi="仿宋" w:eastAsia="仿宋" w:cs="仿宋"/>
          <w:sz w:val="32"/>
          <w:szCs w:val="32"/>
          <w:lang w:bidi="bo-CN"/>
        </w:rPr>
      </w:pPr>
      <w:r>
        <w:rPr>
          <w:rFonts w:hint="eastAsia" w:ascii="仿宋" w:hAnsi="仿宋" w:eastAsia="仿宋" w:cs="仿宋"/>
          <w:b/>
          <w:bCs/>
          <w:sz w:val="32"/>
          <w:szCs w:val="32"/>
        </w:rPr>
        <w:t>1.省级湿地生态补偿</w:t>
      </w:r>
      <w:r>
        <w:rPr>
          <w:rFonts w:hint="eastAsia" w:ascii="仿宋" w:hAnsi="仿宋" w:eastAsia="仿宋" w:cs="仿宋"/>
          <w:b/>
          <w:kern w:val="0"/>
          <w:sz w:val="32"/>
          <w:szCs w:val="32"/>
        </w:rPr>
        <w:t>各乡镇湿地面积存在争议</w:t>
      </w:r>
      <w:r>
        <w:rPr>
          <w:rFonts w:hint="eastAsia" w:ascii="仿宋" w:hAnsi="仿宋" w:eastAsia="仿宋" w:cs="仿宋"/>
          <w:sz w:val="32"/>
          <w:szCs w:val="32"/>
          <w:lang w:bidi="bo-CN"/>
        </w:rPr>
        <w:t xml:space="preserve"> </w:t>
      </w:r>
    </w:p>
    <w:p>
      <w:pPr>
        <w:adjustRightInd w:val="0"/>
        <w:snapToGrid w:val="0"/>
        <w:spacing w:line="560" w:lineRule="exact"/>
        <w:ind w:firstLine="640" w:firstLineChars="200"/>
        <w:jc w:val="left"/>
        <w:rPr>
          <w:rFonts w:ascii="仿宋" w:hAnsi="仿宋" w:eastAsia="仿宋" w:cs="仿宋"/>
          <w:color w:val="000000"/>
          <w:sz w:val="32"/>
          <w:szCs w:val="32"/>
        </w:rPr>
      </w:pPr>
      <w:r>
        <w:rPr>
          <w:rFonts w:hint="eastAsia" w:ascii="仿宋" w:hAnsi="仿宋" w:eastAsia="仿宋" w:cs="仿宋"/>
          <w:sz w:val="32"/>
          <w:szCs w:val="32"/>
        </w:rPr>
        <w:t>红</w:t>
      </w:r>
      <w:r>
        <w:rPr>
          <w:rFonts w:hint="eastAsia" w:ascii="仿宋" w:hAnsi="仿宋" w:eastAsia="仿宋" w:cs="仿宋"/>
          <w:color w:val="000000"/>
          <w:sz w:val="32"/>
          <w:szCs w:val="32"/>
        </w:rPr>
        <w:t>原县湿地生态补偿面积是参照2012年湿地调查数据，且红原县湿地面积测量受本地气候限制，丰水期与枯水期湿地面积偏差较大。以红原县麦洼乡为例，麦洼乡湿地是日干乔湿地自然保护区的重要组成部分，但是根据湿地调查数据，麦洼乡只有湿地面积10245亩，与实际情况不符。红原县其他部分乡镇也存在着这种问题，麦洼乡的情况最为突出。</w:t>
      </w:r>
    </w:p>
    <w:p>
      <w:pPr>
        <w:adjustRightInd w:val="0"/>
        <w:snapToGrid w:val="0"/>
        <w:spacing w:line="560" w:lineRule="exact"/>
        <w:ind w:firstLine="643" w:firstLineChars="200"/>
        <w:rPr>
          <w:rFonts w:ascii="仿宋" w:hAnsi="仿宋" w:eastAsia="仿宋" w:cs="仿宋"/>
          <w:sz w:val="32"/>
          <w:szCs w:val="32"/>
          <w:lang w:bidi="bo-CN"/>
        </w:rPr>
      </w:pPr>
      <w:r>
        <w:rPr>
          <w:rFonts w:hint="eastAsia" w:ascii="仿宋" w:hAnsi="仿宋" w:eastAsia="仿宋" w:cs="仿宋"/>
          <w:b/>
          <w:bCs/>
          <w:sz w:val="32"/>
          <w:szCs w:val="32"/>
        </w:rPr>
        <w:t>2.省级湿地生态补偿</w:t>
      </w:r>
      <w:r>
        <w:rPr>
          <w:rFonts w:hint="eastAsia" w:ascii="仿宋" w:hAnsi="仿宋" w:eastAsia="仿宋" w:cs="仿宋"/>
          <w:b/>
          <w:kern w:val="0"/>
          <w:sz w:val="32"/>
          <w:szCs w:val="32"/>
        </w:rPr>
        <w:t>补偿标准存在争议</w:t>
      </w:r>
    </w:p>
    <w:p>
      <w:pPr>
        <w:adjustRightInd w:val="0"/>
        <w:snapToGrid w:val="0"/>
        <w:spacing w:line="5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据2013年草原监测报告显示，全州天然草原平均鲜草亩产326.9公斤，湿地草原平均鲜草产量为420公斤/亩，可食牧草比例达80%，按利用率90%计算，平均6亩草地养活1个羊单位的牲畜，按1头牦牛折算5个羊单位计算，饲养1头牦牛需要30亩草原。按牦牛5.5岁出栏、市值6000元/头计算，湿地草原养畜产值达40元/亩.年以上。</w:t>
      </w:r>
    </w:p>
    <w:p>
      <w:pPr>
        <w:adjustRightInd w:val="0"/>
        <w:snapToGrid w:val="0"/>
        <w:spacing w:line="560" w:lineRule="exact"/>
        <w:ind w:firstLine="640" w:firstLineChars="200"/>
        <w:rPr>
          <w:rFonts w:ascii="仿宋" w:hAnsi="仿宋" w:eastAsia="仿宋" w:cs="仿宋"/>
          <w:b/>
          <w:sz w:val="32"/>
          <w:szCs w:val="32"/>
        </w:rPr>
      </w:pPr>
      <w:r>
        <w:rPr>
          <w:rFonts w:hint="eastAsia" w:ascii="仿宋" w:hAnsi="仿宋" w:eastAsia="仿宋" w:cs="仿宋"/>
          <w:color w:val="000000"/>
          <w:sz w:val="32"/>
          <w:szCs w:val="32"/>
        </w:rPr>
        <w:t>（一）</w:t>
      </w:r>
      <w:r>
        <w:rPr>
          <w:rFonts w:hint="eastAsia" w:ascii="仿宋" w:hAnsi="仿宋" w:eastAsia="仿宋" w:cs="仿宋"/>
          <w:b/>
          <w:sz w:val="32"/>
          <w:szCs w:val="32"/>
        </w:rPr>
        <w:t>建议</w:t>
      </w:r>
    </w:p>
    <w:p>
      <w:pPr>
        <w:adjustRightInd w:val="0"/>
        <w:snapToGrid w:val="0"/>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1.建议补充经费重新核实红原县各乡镇湿地面积。</w:t>
      </w:r>
    </w:p>
    <w:p>
      <w:pPr>
        <w:adjustRightInd w:val="0"/>
        <w:snapToGrid w:val="0"/>
        <w:spacing w:line="5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2.建议对红原县一般湿地开展湿地管护补助和禁牧还湿补偿，其中湿地管护补助标准为每亩每年8元；禁牧还湿补偿标准为每亩每年160元.对重点湿地（日干乔湿地自然保护区和嘎曲国家湿地公园）开展季节性限牧还湿补偿和禁牧还湿补偿，并聘请季节性限牧还湿区生态管护员（每个联户各聘请一名），其中季节性限牧还湿补偿标准为每亩每年80元；禁牧还湿补偿禁牧补偿标准为每亩每年160元；季节性管护人员每月1380元，每年8个月。</w:t>
      </w: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2018年生态护林员项目</w:t>
      </w: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支出绩效评价报告</w:t>
      </w:r>
    </w:p>
    <w:p>
      <w:pPr>
        <w:autoSpaceDE w:val="0"/>
        <w:spacing w:line="560" w:lineRule="exact"/>
        <w:ind w:firstLine="640"/>
        <w:rPr>
          <w:rFonts w:ascii="仿宋_GB2312" w:hAnsi="仿宋_GB2312" w:eastAsia="仿宋_GB2312" w:cs="仿宋_GB2312"/>
          <w:sz w:val="32"/>
          <w:szCs w:val="32"/>
        </w:rPr>
      </w:pPr>
    </w:p>
    <w:p>
      <w:pPr>
        <w:adjustRightInd w:val="0"/>
        <w:snapToGrid w:val="0"/>
        <w:spacing w:line="520" w:lineRule="exact"/>
        <w:rPr>
          <w:rFonts w:ascii="黑体" w:hAnsi="黑体" w:eastAsia="黑体" w:cs="黑体"/>
          <w:b/>
          <w:bCs/>
          <w:sz w:val="36"/>
          <w:szCs w:val="36"/>
          <w:lang w:val="zh-CN"/>
        </w:rPr>
      </w:pPr>
      <w:r>
        <w:rPr>
          <w:rFonts w:hint="eastAsia" w:ascii="黑体" w:hAnsi="黑体" w:eastAsia="黑体" w:cs="黑体"/>
          <w:b/>
          <w:bCs/>
          <w:sz w:val="36"/>
          <w:szCs w:val="36"/>
        </w:rPr>
        <w:t xml:space="preserve">一、 </w:t>
      </w:r>
      <w:r>
        <w:rPr>
          <w:rFonts w:hint="eastAsia" w:ascii="黑体" w:hAnsi="黑体" w:eastAsia="黑体" w:cs="黑体"/>
          <w:b/>
          <w:bCs/>
          <w:sz w:val="36"/>
          <w:szCs w:val="36"/>
          <w:lang w:val="zh-CN"/>
        </w:rPr>
        <w:t>项目概况</w:t>
      </w:r>
    </w:p>
    <w:p>
      <w:pPr>
        <w:spacing w:line="520" w:lineRule="exact"/>
        <w:ind w:firstLine="640" w:firstLineChars="200"/>
        <w:rPr>
          <w:rFonts w:ascii="黑体" w:hAnsi="宋体" w:eastAsia="黑体" w:cs="黑体"/>
          <w:sz w:val="32"/>
          <w:lang w:val="zh-CN"/>
        </w:rPr>
      </w:pPr>
      <w:r>
        <w:rPr>
          <w:rFonts w:hint="eastAsia" w:ascii="仿宋_GB2312" w:hAnsi="仿宋_GB2312" w:eastAsia="仿宋_GB2312" w:cs="仿宋_GB2312"/>
          <w:sz w:val="32"/>
          <w:szCs w:val="32"/>
        </w:rPr>
        <w:t>为切实贯彻习近平总书记在山西主持召开的深度贫困地区脱贫攻坚座谈会精神，按照四川省林业厅《关于做好在贫困人员中选聘生态护林员工作的通知》（川林发〔2016〕56号）、四川省林业厅生态护林员工作会等相关精神，结合红原县生态精准扶贫的总体要求，</w:t>
      </w:r>
      <w:r>
        <w:rPr>
          <w:rFonts w:hint="eastAsia" w:ascii="仿宋_GB2312" w:hAnsi="仿宋_GB2312" w:eastAsia="仿宋_GB2312" w:cs="仿宋_GB2312"/>
          <w:kern w:val="0"/>
          <w:sz w:val="32"/>
          <w:szCs w:val="32"/>
        </w:rPr>
        <w:t>深入贯彻县委、县人民政府制定的坚持生态优先、保护与建设并举的方针，利用生态补偿和生态保护工程资金使当地有劳动能力的部分贫困人口转为生态护林员，</w:t>
      </w:r>
      <w:r>
        <w:rPr>
          <w:rFonts w:hint="eastAsia" w:ascii="仿宋_GB2312" w:hAnsi="仿宋_GB2312" w:eastAsia="仿宋_GB2312" w:cs="仿宋_GB2312"/>
          <w:sz w:val="32"/>
          <w:szCs w:val="32"/>
        </w:rPr>
        <w:t>是打赢脱贫攻坚战的主要举措结，确保贫困群众增收和</w:t>
      </w:r>
      <w:r>
        <w:rPr>
          <w:rFonts w:hint="eastAsia" w:ascii="仿宋_GB2312" w:hAnsi="仿宋_GB2312" w:eastAsia="仿宋_GB2312" w:cs="仿宋_GB2312"/>
          <w:kern w:val="0"/>
          <w:sz w:val="32"/>
          <w:szCs w:val="32"/>
        </w:rPr>
        <w:t>全面建设小康社会</w:t>
      </w:r>
      <w:r>
        <w:rPr>
          <w:rFonts w:hint="eastAsia" w:ascii="仿宋_GB2312" w:hAnsi="仿宋_GB2312" w:eastAsia="仿宋_GB2312" w:cs="仿宋_GB2312"/>
          <w:sz w:val="32"/>
          <w:szCs w:val="32"/>
        </w:rPr>
        <w:t>，为</w:t>
      </w:r>
      <w:r>
        <w:rPr>
          <w:rFonts w:hint="eastAsia" w:ascii="仿宋_GB2312" w:hAnsi="仿宋_GB2312" w:eastAsia="仿宋_GB2312" w:cs="仿宋_GB2312"/>
          <w:kern w:val="0"/>
          <w:sz w:val="32"/>
          <w:szCs w:val="32"/>
        </w:rPr>
        <w:t>生态保护提供应有保障。</w:t>
      </w:r>
    </w:p>
    <w:p>
      <w:pPr>
        <w:numPr>
          <w:ilvl w:val="0"/>
          <w:numId w:val="15"/>
        </w:numPr>
        <w:autoSpaceDE w:val="0"/>
        <w:spacing w:line="520" w:lineRule="exact"/>
        <w:ind w:firstLine="640"/>
        <w:rPr>
          <w:rFonts w:ascii="楷体_GB2312" w:hAnsi="宋体" w:eastAsia="楷体_GB2312" w:cs="楷体_GB2312"/>
          <w:b/>
          <w:sz w:val="32"/>
          <w:lang w:val="zh-CN"/>
        </w:rPr>
      </w:pPr>
      <w:r>
        <w:rPr>
          <w:rFonts w:hint="eastAsia" w:ascii="楷体_GB2312" w:hAnsi="宋体" w:eastAsia="楷体_GB2312" w:cs="楷体_GB2312"/>
          <w:b/>
          <w:sz w:val="32"/>
          <w:lang w:val="zh-CN"/>
        </w:rPr>
        <w:t>项目资金申报及批复情况。</w:t>
      </w:r>
    </w:p>
    <w:p>
      <w:pPr>
        <w:autoSpaceDE w:val="0"/>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该项目是根据阿坝州林业局《关于做好2017年建档立卡贫困人员生态护林员选聘工作的通知》（阿州林发〔2017〕347号）文件要求，我县制定了《红原县2017年建档立卡贫困人口生态护林员选聘实施方案》经过红原县人民政府同意批复并实施。该项目向上申请补助资金于2016年9月5日《四川省财政厅关于下达2016年建档立卡贫困人口生态护林员补助资金的通知》（川财农〔2016〕155号）共下达补助资金51万元，该项目资金资源用于生态护林员劳务补助支出，专款专用。</w:t>
      </w:r>
    </w:p>
    <w:p>
      <w:pPr>
        <w:numPr>
          <w:ilvl w:val="0"/>
          <w:numId w:val="15"/>
        </w:numPr>
        <w:autoSpaceDE w:val="0"/>
        <w:spacing w:line="520" w:lineRule="exact"/>
        <w:ind w:firstLine="640"/>
        <w:rPr>
          <w:rFonts w:ascii="仿宋_GB2312" w:hAnsi="仿宋_GB2312" w:eastAsia="仿宋_GB2312" w:cs="仿宋_GB2312"/>
          <w:sz w:val="32"/>
          <w:szCs w:val="32"/>
        </w:rPr>
      </w:pPr>
      <w:r>
        <w:rPr>
          <w:rFonts w:hint="eastAsia" w:ascii="楷体_GB2312" w:hAnsi="宋体" w:eastAsia="楷体_GB2312" w:cs="楷体_GB2312"/>
          <w:b/>
          <w:sz w:val="32"/>
          <w:lang w:val="zh-CN"/>
        </w:rPr>
        <w:t>项目绩效目标。</w:t>
      </w:r>
      <w:r>
        <w:rPr>
          <w:rFonts w:hint="eastAsia" w:ascii="仿宋_GB2312" w:hAnsi="仿宋_GB2312" w:eastAsia="仿宋_GB2312" w:cs="仿宋_GB2312"/>
          <w:sz w:val="32"/>
          <w:szCs w:val="32"/>
        </w:rPr>
        <w:t xml:space="preserve"> </w:t>
      </w:r>
    </w:p>
    <w:p>
      <w:pPr>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201年，123名建档立卡贫困户生态护林员项目的主要内容是通过落实管护责任，人均管护面积不低于1000-3000亩森林资源实施常年有效管护。针对生态护林员在开展护林工作时期，如果出现人身意外情况，我县要求每名生态护林员必须购买人身意外保险，采取是通过对生态护林员购买100元的1年的人身意外保险。参保率100%，解决了巡山护林员后顾之忧。</w:t>
      </w:r>
    </w:p>
    <w:p>
      <w:pPr>
        <w:adjustRightInd w:val="0"/>
        <w:snapToGrid w:val="0"/>
        <w:spacing w:line="520" w:lineRule="exact"/>
        <w:ind w:firstLine="361" w:firstLineChars="100"/>
        <w:rPr>
          <w:rFonts w:ascii="黑体" w:hAnsi="宋体" w:eastAsia="黑体" w:cs="黑体"/>
          <w:b/>
          <w:bCs/>
          <w:sz w:val="36"/>
          <w:szCs w:val="36"/>
        </w:rPr>
      </w:pPr>
      <w:r>
        <w:rPr>
          <w:rFonts w:hint="eastAsia" w:ascii="黑体" w:hAnsi="宋体" w:eastAsia="黑体" w:cs="黑体"/>
          <w:b/>
          <w:bCs/>
          <w:sz w:val="36"/>
          <w:szCs w:val="36"/>
        </w:rPr>
        <w:t>二、项目实施及管理情况</w:t>
      </w:r>
    </w:p>
    <w:p>
      <w:pPr>
        <w:adjustRightInd w:val="0"/>
        <w:snapToGrid w:val="0"/>
        <w:spacing w:line="520" w:lineRule="exact"/>
        <w:ind w:firstLine="720"/>
        <w:rPr>
          <w:rFonts w:ascii="楷体_GB2312" w:hAnsi="宋体" w:eastAsia="楷体_GB2312" w:cs="楷体_GB2312"/>
          <w:b/>
          <w:lang w:val="zh-CN"/>
        </w:rPr>
      </w:pPr>
      <w:r>
        <w:rPr>
          <w:rFonts w:hint="eastAsia"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utoSpaceDE w:val="0"/>
        <w:spacing w:line="520" w:lineRule="exact"/>
        <w:ind w:firstLine="640" w:firstLineChars="200"/>
        <w:rPr>
          <w:rFonts w:ascii="仿宋_GB2312" w:hAnsi="宋体" w:eastAsia="仿宋_GB2312" w:cs="仿宋_GB2312"/>
        </w:rPr>
      </w:pPr>
      <w:r>
        <w:rPr>
          <w:rFonts w:hint="eastAsia" w:ascii="楷体_GB2312" w:hAnsi="宋体" w:eastAsia="楷体_GB2312" w:cs="楷体_GB2312"/>
          <w:sz w:val="32"/>
          <w:lang w:val="zh-CN"/>
        </w:rPr>
        <w:t>1．资金计划及到位</w:t>
      </w:r>
      <w:r>
        <w:rPr>
          <w:rFonts w:hint="eastAsia" w:ascii="楷体_GB2312" w:hAnsi="宋体" w:eastAsia="楷体_GB2312" w:cs="楷体_GB2312"/>
          <w:sz w:val="32"/>
        </w:rPr>
        <w:t>74</w:t>
      </w:r>
      <w:r>
        <w:rPr>
          <w:rFonts w:hint="eastAsia" w:ascii="仿宋_GB2312" w:hAnsi="仿宋_GB2312" w:eastAsia="仿宋_GB2312" w:cs="仿宋_GB2312"/>
          <w:sz w:val="32"/>
          <w:szCs w:val="32"/>
        </w:rPr>
        <w:t>万元，资金</w:t>
      </w:r>
      <w:r>
        <w:rPr>
          <w:rFonts w:hint="eastAsia" w:ascii="仿宋_GB2312" w:hAnsi="宋体" w:eastAsia="仿宋_GB2312" w:cs="仿宋_GB2312"/>
          <w:sz w:val="32"/>
          <w:lang w:val="zh-CN"/>
        </w:rPr>
        <w:t>到位及时。</w:t>
      </w:r>
    </w:p>
    <w:p>
      <w:pPr>
        <w:adjustRightInd w:val="0"/>
        <w:snapToGrid w:val="0"/>
        <w:spacing w:line="520" w:lineRule="exact"/>
        <w:ind w:firstLine="720"/>
        <w:rPr>
          <w:rFonts w:ascii="仿宋_GB2312" w:hAnsi="宋体" w:eastAsia="仿宋_GB2312" w:cs="仿宋_GB2312"/>
          <w:sz w:val="32"/>
        </w:rPr>
      </w:pPr>
      <w:r>
        <w:rPr>
          <w:rFonts w:hint="eastAsia" w:ascii="楷体_GB2312" w:hAnsi="宋体" w:eastAsia="楷体_GB2312" w:cs="楷体_GB2312"/>
          <w:sz w:val="32"/>
          <w:lang w:val="zh-CN"/>
        </w:rPr>
        <w:t>2．资金使用。</w:t>
      </w:r>
      <w:r>
        <w:rPr>
          <w:rFonts w:hint="eastAsia" w:ascii="仿宋_GB2312" w:hAnsi="仿宋_GB2312" w:eastAsia="仿宋_GB2312" w:cs="仿宋_GB2312"/>
          <w:sz w:val="32"/>
          <w:szCs w:val="32"/>
        </w:rPr>
        <w:t>对2018年选聘的生态护林员的劳务报酬按照每月每人800元给予护林报酬，通过采取“一卡通”形式给予</w:t>
      </w:r>
      <w:r>
        <w:rPr>
          <w:rFonts w:hint="eastAsia" w:ascii="仿宋_GB2312" w:hAnsi="宋体" w:eastAsia="仿宋_GB2312" w:cs="仿宋_GB2312"/>
          <w:sz w:val="32"/>
          <w:lang w:val="zh-CN"/>
        </w:rPr>
        <w:t>支付，合规合法，</w:t>
      </w:r>
      <w:r>
        <w:rPr>
          <w:rFonts w:hint="eastAsia" w:ascii="仿宋_GB2312" w:hAnsi="宋体" w:eastAsia="仿宋_GB2312" w:cs="仿宋_GB2312"/>
          <w:sz w:val="32"/>
        </w:rPr>
        <w:t>18年共支付护林员劳务补助资金74万元。</w:t>
      </w:r>
    </w:p>
    <w:p>
      <w:pPr>
        <w:adjustRightInd w:val="0"/>
        <w:snapToGrid w:val="0"/>
        <w:spacing w:line="52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djustRightInd w:val="0"/>
        <w:snapToGrid w:val="0"/>
        <w:spacing w:line="520" w:lineRule="exact"/>
        <w:ind w:firstLine="720"/>
        <w:rPr>
          <w:rFonts w:ascii="仿宋_GB2312" w:hAnsi="仿宋_GB2312" w:eastAsia="仿宋_GB2312" w:cs="仿宋_GB2312"/>
          <w:sz w:val="32"/>
          <w:szCs w:val="32"/>
        </w:rPr>
      </w:pPr>
      <w:r>
        <w:rPr>
          <w:rFonts w:hint="eastAsia" w:ascii="仿宋_GB2312" w:hAnsi="宋体" w:eastAsia="仿宋_GB2312" w:cs="仿宋_GB2312"/>
          <w:sz w:val="32"/>
          <w:lang w:val="zh-CN"/>
        </w:rPr>
        <w:t>对照项目资金管理办法，</w:t>
      </w:r>
      <w:r>
        <w:rPr>
          <w:rFonts w:hint="eastAsia" w:ascii="仿宋_GB2312" w:hAnsi="宋体" w:eastAsia="仿宋_GB2312" w:cs="仿宋_GB2312"/>
          <w:sz w:val="32"/>
        </w:rPr>
        <w:t>生态护林员劳务补助资金</w:t>
      </w:r>
      <w:r>
        <w:rPr>
          <w:rFonts w:hint="eastAsia" w:ascii="仿宋_GB2312" w:hAnsi="宋体" w:eastAsia="仿宋_GB2312" w:cs="仿宋_GB2312"/>
          <w:sz w:val="32"/>
          <w:lang w:val="zh-CN"/>
        </w:rPr>
        <w:t>严格执行财务管理制度，</w:t>
      </w:r>
      <w:r>
        <w:rPr>
          <w:rFonts w:hint="eastAsia" w:ascii="仿宋_GB2312" w:hAnsi="仿宋_GB2312" w:eastAsia="仿宋_GB2312" w:cs="仿宋_GB2312"/>
          <w:sz w:val="32"/>
          <w:szCs w:val="32"/>
        </w:rPr>
        <w:t>通过“一卡通”形式于每月的中旬或者月底兑现该补助资金。</w:t>
      </w:r>
    </w:p>
    <w:p>
      <w:pPr>
        <w:adjustRightInd w:val="0"/>
        <w:snapToGrid w:val="0"/>
        <w:spacing w:line="52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spacing w:line="520" w:lineRule="exact"/>
        <w:ind w:firstLine="640" w:firstLineChars="200"/>
        <w:rPr>
          <w:rFonts w:ascii="仿宋_GB2312" w:hAnsi="仿宋_GB2312" w:eastAsia="仿宋_GB2312" w:cs="仿宋_GB2312"/>
          <w:sz w:val="32"/>
          <w:szCs w:val="32"/>
        </w:rPr>
      </w:pPr>
      <w:r>
        <w:rPr>
          <w:rFonts w:hint="eastAsia" w:ascii="仿宋_GB2312" w:hAnsi="宋体" w:eastAsia="仿宋_GB2312" w:cs="仿宋_GB2312"/>
          <w:sz w:val="32"/>
        </w:rPr>
        <w:t xml:space="preserve"> </w:t>
      </w:r>
      <w:r>
        <w:rPr>
          <w:rFonts w:hint="eastAsia" w:ascii="仿宋_GB2312" w:hAnsi="仿宋_GB2312" w:eastAsia="仿宋_GB2312" w:cs="仿宋_GB2312"/>
          <w:sz w:val="32"/>
          <w:szCs w:val="32"/>
          <w:lang w:bidi="bo-CN"/>
        </w:rPr>
        <w:t>建立健全红原县建档立卡贫困户生态护林员政策机制是一项重大创新，意义重大的工作，政策性强、涉及面广、工作量大、任务艰巨、情况复杂，必须采取最强有力的措施确保政策顺利落实。</w:t>
      </w:r>
    </w:p>
    <w:p>
      <w:pPr>
        <w:pStyle w:val="2"/>
        <w:keepNext w:val="0"/>
        <w:keepLines w:val="0"/>
        <w:widowControl/>
        <w:shd w:val="clear" w:color="auto" w:fill="FFFFFF"/>
        <w:spacing w:before="0" w:after="0" w:line="520" w:lineRule="exact"/>
        <w:rPr>
          <w:rFonts w:ascii="仿宋_GB2312" w:hAnsi="仿宋_GB2312" w:eastAsia="仿宋_GB2312" w:cs="仿宋_GB2312"/>
          <w:sz w:val="32"/>
          <w:szCs w:val="32"/>
        </w:rPr>
      </w:pPr>
      <w:r>
        <w:rPr>
          <w:rFonts w:hint="eastAsia" w:ascii="仿宋_GB2312" w:hAnsi="仿宋_GB2312" w:eastAsia="仿宋_GB2312" w:cs="仿宋_GB2312"/>
          <w:b w:val="0"/>
          <w:sz w:val="32"/>
          <w:szCs w:val="32"/>
        </w:rPr>
        <w:t xml:space="preserve">    1.加强组织领导。成立领导小组，以县人民政府对生态护林员选聘负总责，各相关单位密切配合，按照“统筹安排、分工包干、明确责任、各司其职”的要求，加强沟通协作，上下联动，围绕生态建设扶贫工作，以抓铁</w:t>
      </w:r>
      <w:r>
        <w:rPr>
          <w:rFonts w:hint="eastAsia" w:ascii="仿宋_GB2312" w:hAnsi="仿宋_GB2312" w:eastAsia="仿宋_GB2312" w:cs="仿宋_GB2312"/>
          <w:b w:val="0"/>
          <w:color w:val="000000"/>
          <w:sz w:val="32"/>
          <w:szCs w:val="32"/>
          <w:shd w:val="clear" w:color="auto" w:fill="FFFFFF"/>
        </w:rPr>
        <w:t>有痕的工作态度</w:t>
      </w:r>
      <w:r>
        <w:rPr>
          <w:rFonts w:hint="eastAsia" w:ascii="仿宋_GB2312" w:hAnsi="仿宋_GB2312" w:eastAsia="仿宋_GB2312" w:cs="仿宋_GB2312"/>
          <w:sz w:val="32"/>
          <w:szCs w:val="32"/>
        </w:rPr>
        <w:t>，</w:t>
      </w:r>
      <w:r>
        <w:rPr>
          <w:rFonts w:hint="eastAsia" w:ascii="仿宋_GB2312" w:hAnsi="仿宋_GB2312" w:eastAsia="仿宋_GB2312" w:cs="仿宋_GB2312"/>
          <w:b w:val="0"/>
          <w:sz w:val="32"/>
          <w:szCs w:val="32"/>
        </w:rPr>
        <w:t>把工作抓实、抓出成效。</w:t>
      </w:r>
      <w:r>
        <w:rPr>
          <w:rFonts w:hint="eastAsia" w:ascii="仿宋_GB2312" w:hAnsi="仿宋_GB2312" w:eastAsia="仿宋_GB2312" w:cs="仿宋_GB2312"/>
          <w:sz w:val="32"/>
          <w:szCs w:val="32"/>
        </w:rPr>
        <w:t> </w:t>
      </w:r>
    </w:p>
    <w:p>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强化政策落实。一是认真全面贯彻落实中央和省关于落实做好在贫困人口中选聘生态护林员政策；二是实施该政策性扶贫项目资金专款专用，实现对贫困村贫困人员的全覆盖，确保项目资金精准投放到生态扶贫建设之中。 </w:t>
      </w:r>
    </w:p>
    <w:p>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严格考核评价。建立健全红原县生态护林员考核评价体系和激励机制，县委、县政府将该扶贫工作纳入各乡（镇）政府精准扶贫工作重点考核内容，建立健全调度、通报、考核制度，定期不定期对该扶贫工作进行专项督导检查，就项目实施进度、建设质量、建设成效等内容进行跟踪监测和综合评价考核</w:t>
      </w:r>
    </w:p>
    <w:p>
      <w:pPr>
        <w:adjustRightInd w:val="0"/>
        <w:snapToGrid w:val="0"/>
        <w:spacing w:line="520" w:lineRule="exact"/>
        <w:rPr>
          <w:rFonts w:ascii="仿宋_GB2312" w:hAnsi="宋体" w:eastAsia="仿宋_GB2312" w:cs="仿宋_GB2312"/>
          <w:b/>
          <w:bCs/>
          <w:sz w:val="36"/>
          <w:szCs w:val="36"/>
          <w:lang w:val="zh-CN"/>
        </w:rPr>
      </w:pPr>
      <w:r>
        <w:rPr>
          <w:rFonts w:hint="eastAsia" w:ascii="黑体" w:hAnsi="宋体" w:eastAsia="黑体" w:cs="黑体"/>
          <w:b/>
          <w:bCs/>
          <w:sz w:val="36"/>
          <w:szCs w:val="36"/>
        </w:rPr>
        <w:t>三、项目绩效情况</w:t>
      </w:r>
      <w:r>
        <w:rPr>
          <w:rFonts w:hint="eastAsia" w:ascii="仿宋_GB2312" w:hAnsi="宋体" w:eastAsia="仿宋_GB2312" w:cs="仿宋_GB2312"/>
          <w:b/>
          <w:bCs/>
          <w:sz w:val="36"/>
          <w:szCs w:val="36"/>
          <w:lang w:val="zh-CN"/>
        </w:rPr>
        <w:tab/>
      </w:r>
    </w:p>
    <w:p>
      <w:pPr>
        <w:adjustRightInd w:val="0"/>
        <w:snapToGrid w:val="0"/>
        <w:spacing w:line="52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（一）项目完成情况。</w:t>
      </w:r>
    </w:p>
    <w:p>
      <w:pPr>
        <w:adjustRightInd w:val="0"/>
        <w:snapToGrid w:val="0"/>
        <w:spacing w:line="52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通过我县森林资源、建档立卡贫困户及贫困人口综合考虑制定红原县生态护林员指标，2018年度红原县生态护林员选聘工作在全县11个乡镇内选聘，选聘建档立卡贫困户123人。</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红原县生态护林员实行“县建、乡聘、站管理、村用”和“目标、任务、资金、责任”到县的管理机制。</w:t>
      </w:r>
    </w:p>
    <w:p>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红原县生态护林员劳务合同的签订主要是以各乡镇人民政府与选聘的生态护林员共同签订，认真按照劳务合同内容进行实施开展护林工作。2018年无一起森林火灾、大面积森林病虫害发生事件。</w:t>
      </w:r>
    </w:p>
    <w:p>
      <w:pPr>
        <w:adjustRightInd w:val="0"/>
        <w:snapToGrid w:val="0"/>
        <w:spacing w:line="520" w:lineRule="exact"/>
        <w:ind w:firstLine="643" w:firstLineChars="20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spacing w:line="520" w:lineRule="exact"/>
        <w:ind w:firstLine="960" w:firstLineChars="300"/>
        <w:rPr>
          <w:rFonts w:ascii="仿宋_GB2312" w:eastAsia="仿宋_GB2312"/>
          <w:sz w:val="32"/>
          <w:szCs w:val="32"/>
        </w:rPr>
      </w:pPr>
      <w:r>
        <w:rPr>
          <w:rFonts w:hint="eastAsia" w:ascii="仿宋_GB2312" w:eastAsia="仿宋_GB2312"/>
          <w:sz w:val="32"/>
          <w:szCs w:val="32"/>
        </w:rPr>
        <w:t>一是生态效益，通过选聘生态护林员实施森林管护，我县森林资源得到了有效的保护，</w:t>
      </w:r>
      <w:r>
        <w:rPr>
          <w:rFonts w:hint="eastAsia" w:ascii="仿宋_GB2312" w:hAnsi="仿宋_GB2312" w:eastAsia="仿宋_GB2312" w:cs="仿宋_GB2312"/>
          <w:color w:val="333333"/>
          <w:kern w:val="0"/>
          <w:sz w:val="32"/>
          <w:szCs w:val="32"/>
        </w:rPr>
        <w:t>森林蓄积量得到有效的增长。林分质量得到改善，</w:t>
      </w:r>
      <w:r>
        <w:rPr>
          <w:rFonts w:hint="eastAsia" w:ascii="仿宋_GB2312" w:eastAsia="仿宋_GB2312"/>
          <w:sz w:val="32"/>
          <w:szCs w:val="32"/>
        </w:rPr>
        <w:t>通过茂密的林冠，纵横交错的根系来阻挡和减缓雨水对土壤的冲刷和侵蚀,减少土壤的流失；通过树冠、树干、枯枝落叶层以及根系的吸滞、存贮作用，发挥了涵养水源的作用。</w:t>
      </w:r>
    </w:p>
    <w:p>
      <w:pPr>
        <w:spacing w:line="520" w:lineRule="exact"/>
        <w:ind w:firstLine="800" w:firstLineChars="250"/>
        <w:rPr>
          <w:rFonts w:ascii="仿宋_GB2312" w:eastAsia="仿宋_GB2312"/>
          <w:sz w:val="32"/>
          <w:szCs w:val="32"/>
        </w:rPr>
      </w:pPr>
      <w:r>
        <w:rPr>
          <w:rFonts w:hint="eastAsia" w:ascii="仿宋_GB2312" w:hAnsi="仿宋_GB2312" w:eastAsia="仿宋_GB2312" w:cs="仿宋_GB2312"/>
          <w:color w:val="333333"/>
          <w:kern w:val="0"/>
          <w:sz w:val="32"/>
          <w:szCs w:val="32"/>
        </w:rPr>
        <w:t xml:space="preserve"> </w:t>
      </w:r>
      <w:r>
        <w:rPr>
          <w:rFonts w:hint="eastAsia" w:ascii="仿宋_GB2312" w:eastAsia="仿宋_GB2312"/>
          <w:sz w:val="32"/>
          <w:szCs w:val="32"/>
        </w:rPr>
        <w:t>二是社会效益，选聘建档立卡贫困户生态护林员作为脱贫攻坚重要内容，通过项目的实施，促进社会稳定，生态得到保护，农牧民达到增收，充分体现了党和国家对人民群众的关心，密切党群关系，提高党和政府在人民心目中的地位。</w:t>
      </w:r>
    </w:p>
    <w:p>
      <w:pPr>
        <w:spacing w:line="520" w:lineRule="exact"/>
        <w:ind w:firstLine="960" w:firstLineChars="300"/>
        <w:rPr>
          <w:rFonts w:ascii="仿宋_GB2312" w:eastAsia="仿宋_GB2312"/>
          <w:sz w:val="32"/>
          <w:szCs w:val="32"/>
        </w:rPr>
      </w:pPr>
      <w:r>
        <w:rPr>
          <w:rFonts w:hint="eastAsia" w:ascii="仿宋_GB2312" w:eastAsia="仿宋_GB2312"/>
          <w:sz w:val="32"/>
          <w:szCs w:val="32"/>
        </w:rPr>
        <w:t>三是经济效益，选聘生态护林员以来我县当地农牧民从该项项目中得到经济收入稳步提高，建档立卡贫困户护林员平均年收入9600元。</w:t>
      </w:r>
    </w:p>
    <w:p>
      <w:pPr>
        <w:adjustRightInd w:val="0"/>
        <w:snapToGrid w:val="0"/>
        <w:spacing w:line="520" w:lineRule="exact"/>
        <w:rPr>
          <w:rFonts w:ascii="黑体" w:hAnsi="宋体" w:eastAsia="黑体" w:cs="黑体"/>
          <w:b/>
          <w:bCs/>
          <w:sz w:val="36"/>
          <w:szCs w:val="36"/>
        </w:rPr>
      </w:pPr>
      <w:r>
        <w:rPr>
          <w:rFonts w:hint="eastAsia" w:ascii="黑体" w:hAnsi="宋体" w:eastAsia="黑体" w:cs="黑体"/>
          <w:b/>
          <w:bCs/>
          <w:sz w:val="36"/>
          <w:szCs w:val="36"/>
        </w:rPr>
        <w:t>四、问题及建议</w:t>
      </w:r>
    </w:p>
    <w:p>
      <w:pPr>
        <w:adjustRightInd w:val="0"/>
        <w:snapToGrid w:val="0"/>
        <w:spacing w:line="52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（一）存在的问题。</w:t>
      </w:r>
    </w:p>
    <w:p>
      <w:pPr>
        <w:autoSpaceDE w:val="0"/>
        <w:spacing w:line="520" w:lineRule="exact"/>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一是补偿护林员劳务补助标准偏低，补偿标准低于社会务工人员平均月工资；</w:t>
      </w:r>
    </w:p>
    <w:p>
      <w:pPr>
        <w:autoSpaceDE w:val="0"/>
        <w:spacing w:line="520" w:lineRule="exact"/>
        <w:rPr>
          <w:rFonts w:ascii="楷体_GB2312" w:hAnsi="宋体" w:eastAsia="仿宋_GB2312" w:cs="楷体_GB2312"/>
          <w:b/>
          <w:sz w:val="32"/>
        </w:rPr>
      </w:pPr>
      <w:r>
        <w:rPr>
          <w:rFonts w:hint="eastAsia" w:ascii="仿宋_GB2312" w:hAnsi="仿宋_GB2312" w:eastAsia="仿宋_GB2312" w:cs="仿宋_GB2312"/>
          <w:sz w:val="32"/>
          <w:szCs w:val="32"/>
        </w:rPr>
        <w:t xml:space="preserve">    二是补偿标准始终没有根据价格指数变化调整，没有随着国民经济的发展和物价上涨对补偿标准进行动态调整；</w:t>
      </w:r>
    </w:p>
    <w:p>
      <w:pPr>
        <w:numPr>
          <w:ilvl w:val="0"/>
          <w:numId w:val="16"/>
        </w:numPr>
        <w:autoSpaceDE w:val="0"/>
        <w:spacing w:line="520" w:lineRule="exact"/>
        <w:ind w:firstLine="640"/>
        <w:rPr>
          <w:rFonts w:ascii="楷体_GB2312" w:hAnsi="宋体" w:eastAsia="楷体_GB2312" w:cs="楷体_GB2312"/>
          <w:b/>
          <w:sz w:val="32"/>
          <w:lang w:val="zh-CN"/>
        </w:rPr>
      </w:pPr>
      <w:r>
        <w:rPr>
          <w:rFonts w:hint="eastAsia" w:ascii="楷体_GB2312" w:hAnsi="宋体" w:eastAsia="楷体_GB2312" w:cs="楷体_GB2312"/>
          <w:b/>
          <w:sz w:val="32"/>
          <w:lang w:val="zh-CN"/>
        </w:rPr>
        <w:t>相关建议。</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一是生态护林员由乡镇林业工作站统一管理，不跨越乡镇选用，原则上在村内进行管护活动。同时加强护林员管理政策方面的法律法规宣传工作，加强对森林资源管护的考核力度；</w:t>
      </w:r>
    </w:p>
    <w:p>
      <w:pPr>
        <w:autoSpaceDE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二是建议提高护林员劳务补助资金标准，实行分类补偿能否根据区域生态的重要性和脆弱性，并综合考虑森林质量、地位级差、管护难度等指标，逐步提高补偿标准；</w:t>
      </w: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spacing w:line="580" w:lineRule="exact"/>
        <w:ind w:firstLine="880" w:firstLineChars="200"/>
        <w:rPr>
          <w:rFonts w:ascii="黑体" w:hAnsi="黑体" w:eastAsia="黑体" w:cs="方正小标宋简体"/>
          <w:sz w:val="44"/>
          <w:szCs w:val="44"/>
        </w:rPr>
      </w:pPr>
      <w:r>
        <w:rPr>
          <w:rFonts w:hint="eastAsia" w:ascii="黑体" w:hAnsi="黑体" w:eastAsia="黑体" w:cs="方正小标宋简体"/>
          <w:sz w:val="44"/>
          <w:szCs w:val="44"/>
        </w:rPr>
        <w:t>2018年</w:t>
      </w:r>
      <w:r>
        <w:rPr>
          <w:rFonts w:hint="eastAsia" w:ascii="黑体" w:hAnsi="黑体" w:eastAsia="黑体" w:cs="方正小标宋简体"/>
          <w:sz w:val="44"/>
          <w:szCs w:val="44"/>
          <w:lang w:val="zh-CN"/>
        </w:rPr>
        <w:t>森林生态效益补偿</w:t>
      </w:r>
      <w:r>
        <w:rPr>
          <w:rFonts w:hint="eastAsia" w:ascii="黑体" w:hAnsi="黑体" w:eastAsia="黑体" w:cs="方正小标宋简体"/>
          <w:sz w:val="44"/>
          <w:szCs w:val="44"/>
        </w:rPr>
        <w:t>项目</w:t>
      </w:r>
    </w:p>
    <w:p>
      <w:pPr>
        <w:autoSpaceDE w:val="0"/>
        <w:spacing w:line="560" w:lineRule="exact"/>
        <w:ind w:firstLine="1760" w:firstLineChars="400"/>
        <w:rPr>
          <w:rFonts w:ascii="仿宋_GB2312" w:hAnsi="仿宋_GB2312" w:eastAsia="仿宋_GB2312" w:cs="仿宋_GB2312"/>
          <w:sz w:val="32"/>
          <w:szCs w:val="32"/>
        </w:rPr>
      </w:pPr>
      <w:r>
        <w:rPr>
          <w:rFonts w:hint="eastAsia" w:ascii="黑体" w:hAnsi="黑体" w:eastAsia="黑体" w:cs="方正小标宋简体"/>
          <w:sz w:val="44"/>
          <w:szCs w:val="44"/>
        </w:rPr>
        <w:t>支出绩效评价报告</w:t>
      </w:r>
    </w:p>
    <w:p>
      <w:pPr>
        <w:adjustRightInd w:val="0"/>
        <w:snapToGrid w:val="0"/>
        <w:spacing w:line="56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6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红原县201</w:t>
      </w:r>
      <w:r>
        <w:rPr>
          <w:rFonts w:hint="eastAsia" w:ascii="仿宋_GB2312" w:hAnsi="宋体" w:eastAsia="仿宋_GB2312" w:cs="仿宋_GB2312"/>
          <w:sz w:val="32"/>
        </w:rPr>
        <w:t>8</w:t>
      </w:r>
      <w:r>
        <w:rPr>
          <w:rFonts w:hint="eastAsia" w:ascii="仿宋_GB2312" w:hAnsi="宋体" w:eastAsia="仿宋_GB2312" w:cs="仿宋_GB2312"/>
          <w:sz w:val="32"/>
          <w:lang w:val="zh-CN"/>
        </w:rPr>
        <w:t>年度森林生态效益补偿项目，主要涉及我县国家级（省级）公益林15.629万亩，其中国有公益林10.7万亩、集体公益林4.929万亩，下达补偿资金</w:t>
      </w:r>
      <w:r>
        <w:rPr>
          <w:rFonts w:hint="eastAsia" w:ascii="仿宋_GB2312" w:hAnsi="仿宋_GB2312" w:eastAsia="仿宋_GB2312" w:cs="仿宋_GB2312"/>
          <w:sz w:val="32"/>
          <w:szCs w:val="32"/>
        </w:rPr>
        <w:t>184.6万元</w:t>
      </w:r>
      <w:r>
        <w:rPr>
          <w:rFonts w:hint="eastAsia" w:ascii="仿宋_GB2312" w:hAnsi="宋体" w:eastAsia="仿宋_GB2312" w:cs="仿宋_GB2312"/>
          <w:sz w:val="32"/>
          <w:lang w:val="zh-CN"/>
        </w:rPr>
        <w:t>，主要用于国有林管护国家级公益林的劳务补助等支出和集体和个人管护国家级和省级公益林的经济补偿及 管护情况检查验收。</w:t>
      </w:r>
    </w:p>
    <w:p>
      <w:pPr>
        <w:adjustRightInd w:val="0"/>
        <w:snapToGrid w:val="0"/>
        <w:spacing w:line="560" w:lineRule="exact"/>
        <w:ind w:firstLine="643" w:firstLineChars="200"/>
        <w:rPr>
          <w:rFonts w:ascii="仿宋_GB2312" w:hAnsi="宋体" w:eastAsia="仿宋_GB2312" w:cs="仿宋_GB2312"/>
          <w:lang w:val="zh-CN"/>
        </w:rPr>
      </w:pPr>
      <w:r>
        <w:rPr>
          <w:rFonts w:hint="eastAsia" w:ascii="楷体_GB2312" w:hAnsi="宋体" w:eastAsia="楷体_GB2312" w:cs="楷体_GB2312"/>
          <w:b/>
          <w:sz w:val="32"/>
          <w:lang w:val="zh-CN"/>
        </w:rPr>
        <w:t>（一）项目资金申报及批复情况。</w:t>
      </w:r>
      <w:r>
        <w:rPr>
          <w:rFonts w:hint="eastAsia" w:ascii="仿宋_GB2312" w:hAnsi="宋体" w:eastAsia="仿宋_GB2312" w:cs="仿宋_GB2312"/>
          <w:sz w:val="32"/>
        </w:rPr>
        <w:t>红</w:t>
      </w:r>
      <w:r>
        <w:rPr>
          <w:rFonts w:hint="eastAsia" w:ascii="仿宋_GB2312" w:hAnsi="宋体" w:eastAsia="仿宋_GB2312" w:cs="仿宋_GB2312"/>
          <w:sz w:val="32"/>
          <w:lang w:val="zh-CN"/>
        </w:rPr>
        <w:t>原县森林公益林生态效益补偿项目是根据红原县天然林保护工程二期实施方案进行生态效益补偿资金的申报，经阿坝州人民政府同意实施，分别于2016年12月31日获得阿坝州财政局和阿坝州林业局《关于下达2017年森林生态效益补偿补助资金的通知》（阿州财农〔2017〕15号）的批复。</w:t>
      </w:r>
    </w:p>
    <w:p>
      <w:pPr>
        <w:spacing w:line="560" w:lineRule="exact"/>
        <w:ind w:firstLine="643" w:firstLineChars="200"/>
        <w:rPr>
          <w:rFonts w:ascii="仿宋_GB2312" w:hAnsi="仿宋_GB2312" w:eastAsia="仿宋_GB2312" w:cs="仿宋_GB2312"/>
          <w:sz w:val="32"/>
          <w:szCs w:val="32"/>
        </w:rPr>
      </w:pPr>
      <w:r>
        <w:rPr>
          <w:rFonts w:hint="eastAsia" w:ascii="楷体_GB2312" w:hAnsi="宋体" w:eastAsia="楷体_GB2312" w:cs="楷体_GB2312"/>
          <w:b/>
          <w:sz w:val="32"/>
          <w:lang w:val="zh-CN"/>
        </w:rPr>
        <w:t>（二）项目绩效目标。</w:t>
      </w:r>
      <w:r>
        <w:rPr>
          <w:rFonts w:hint="eastAsia" w:ascii="仿宋_GB2312" w:hAnsi="仿宋_GB2312" w:eastAsia="仿宋_GB2312" w:cs="仿宋_GB2312"/>
          <w:sz w:val="32"/>
          <w:szCs w:val="32"/>
        </w:rPr>
        <w:t>为加强我县集体公益林管护力度，我局并于集体公益林权属所在的各乡镇人民政府、各村村委会签订红原县集体公益林管护合同40份。按照《四川省森林生态效益补偿资金管理办法》加强对我县集体公益林补偿补助资金的监管，使其我县的集体公益林资源得到安全有效的可持续发展利用，并把党和政府的利农惠民政策落到实处。</w:t>
      </w:r>
    </w:p>
    <w:p>
      <w:pPr>
        <w:spacing w:line="560" w:lineRule="exact"/>
        <w:rPr>
          <w:rFonts w:ascii="仿宋_GB2312" w:hAnsi="仿宋_GB2312" w:eastAsia="仿宋_GB2312" w:cs="仿宋_GB2312"/>
          <w:sz w:val="32"/>
          <w:szCs w:val="32"/>
        </w:rPr>
      </w:pPr>
      <w:r>
        <w:rPr>
          <w:rFonts w:hint="eastAsia" w:ascii="楷体_GB2312" w:hAnsi="宋体" w:eastAsia="楷体_GB2312" w:cs="楷体_GB2312"/>
          <w:b/>
          <w:sz w:val="32"/>
          <w:lang w:val="zh-CN"/>
        </w:rPr>
        <w:t>（三）项目资金申报相符性。</w:t>
      </w:r>
      <w:r>
        <w:rPr>
          <w:rFonts w:hint="eastAsia" w:ascii="仿宋_GB2312" w:hAnsi="仿宋_GB2312" w:eastAsia="仿宋_GB2312" w:cs="仿宋_GB2312"/>
          <w:sz w:val="32"/>
          <w:szCs w:val="32"/>
        </w:rPr>
        <w:t>红原县集体公益林生态效益补偿补助资金的申请，符合《中华人民共和国森林法》第八条第六款：建立林业基金制度。 国家设立森林生态效益补偿基金，用于提供生态效益的防护林和特种用途林的森林资源、林木的营造、抚育、保护和管理；《中华人民共和国森林法实施条例》第十五条第三款：防护林和特种用途林的经营者，有获得森林生态效益补偿的权利；《中央财政森林生态效益补偿基金管理办法》第四条的相关规定，符合当前党中央、国务院、四川省省委、省政府的关于林业政策发展部署，符合当前经济社会发展的需要。</w:t>
      </w:r>
    </w:p>
    <w:p>
      <w:pPr>
        <w:adjustRightInd w:val="0"/>
        <w:snapToGrid w:val="0"/>
        <w:spacing w:line="560" w:lineRule="exact"/>
        <w:ind w:firstLine="720"/>
        <w:rPr>
          <w:rFonts w:ascii="黑体" w:hAnsi="宋体" w:eastAsia="黑体" w:cs="黑体"/>
          <w:sz w:val="32"/>
        </w:rPr>
      </w:pPr>
      <w:r>
        <w:rPr>
          <w:rFonts w:hint="eastAsia" w:ascii="黑体" w:hAnsi="宋体" w:eastAsia="黑体" w:cs="黑体"/>
          <w:sz w:val="32"/>
        </w:rPr>
        <w:t>二、项目实施及管理情况</w:t>
      </w:r>
    </w:p>
    <w:p>
      <w:pPr>
        <w:adjustRightInd w:val="0"/>
        <w:snapToGrid w:val="0"/>
        <w:spacing w:line="56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（一）资金计划、到位及使用情况。</w:t>
      </w:r>
    </w:p>
    <w:p>
      <w:pPr>
        <w:spacing w:line="560" w:lineRule="exact"/>
        <w:ind w:firstLine="640" w:firstLineChars="200"/>
        <w:rPr>
          <w:rFonts w:ascii="仿宋_GB2312" w:hAnsi="仿宋_GB2312" w:eastAsia="仿宋_GB2312" w:cs="仿宋_GB2312"/>
          <w:sz w:val="32"/>
          <w:szCs w:val="32"/>
        </w:rPr>
      </w:pPr>
      <w:r>
        <w:rPr>
          <w:rFonts w:hint="eastAsia" w:ascii="楷体_GB2312" w:hAnsi="宋体" w:eastAsia="楷体_GB2312" w:cs="楷体_GB2312"/>
          <w:sz w:val="32"/>
          <w:lang w:val="zh-CN"/>
        </w:rPr>
        <w:t>1．资金计划及到位。</w:t>
      </w:r>
      <w:r>
        <w:rPr>
          <w:rFonts w:hint="eastAsia" w:ascii="仿宋_GB2312" w:hAnsi="仿宋_GB2312" w:eastAsia="仿宋_GB2312" w:cs="仿宋_GB2312"/>
          <w:sz w:val="32"/>
          <w:szCs w:val="32"/>
        </w:rPr>
        <w:t>2018年度生态效益补偿资金下达184.6万元。</w:t>
      </w:r>
      <w:r>
        <w:rPr>
          <w:rFonts w:hint="eastAsia" w:ascii="楷体_GB2312" w:hAnsi="宋体" w:eastAsia="楷体_GB2312" w:cs="楷体_GB2312"/>
          <w:sz w:val="32"/>
          <w:lang w:val="zh-CN"/>
        </w:rPr>
        <w:t>2．资金使用。</w:t>
      </w:r>
      <w:r>
        <w:rPr>
          <w:rFonts w:hint="eastAsia" w:ascii="仿宋_GB2312" w:hAnsi="仿宋_GB2312" w:eastAsia="仿宋_GB2312" w:cs="仿宋_GB2312"/>
          <w:sz w:val="32"/>
          <w:szCs w:val="32"/>
        </w:rPr>
        <w:t>为了加强生态效益补偿基金兑现工作 ，我县严格按照《中央财政森林生态效益补偿基金管理办法》（财农〔2009〕381号）下达给我县森林公益林森林生态效益补偿基金2018年度我县共兑现森林生态补偿补助资金78.28万元。</w:t>
      </w:r>
    </w:p>
    <w:p>
      <w:pPr>
        <w:adjustRightInd w:val="0"/>
        <w:snapToGrid w:val="0"/>
        <w:spacing w:line="56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我县森林生态补偿补助资金项目，严格按照《中央森林生态效效益基金使用管理办法》及相关财务制度程序执行，做到专款专用。 在使用森林生态效益补偿基金期间，无挤占、挪用、占用情况发生。 </w:t>
      </w:r>
    </w:p>
    <w:p>
      <w:pPr>
        <w:adjustRightInd w:val="0"/>
        <w:snapToGrid w:val="0"/>
        <w:spacing w:line="56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我县成立红原县森林生态效益补偿基金领导小组和管理办公室，办公室设在县环林局林政资源审批股，处理我县国家（省）级公益林森林生态效益补偿的日常事务。根据相关政策要求，我局对森林生态效益补偿补助资金实行专帐管理、单独核算、专款专用，集体和个人补偿资金实行“一卡通”兑付。</w:t>
      </w:r>
    </w:p>
    <w:p>
      <w:pPr>
        <w:adjustRightInd w:val="0"/>
        <w:snapToGrid w:val="0"/>
        <w:spacing w:line="560" w:lineRule="exact"/>
        <w:ind w:firstLine="720"/>
        <w:rPr>
          <w:rFonts w:ascii="仿宋_GB2312" w:hAnsi="宋体" w:eastAsia="仿宋_GB2312" w:cs="仿宋_GB2312"/>
          <w:lang w:val="zh-CN"/>
        </w:rPr>
      </w:pPr>
      <w:r>
        <w:rPr>
          <w:rFonts w:hint="eastAsia" w:ascii="黑体" w:hAnsi="宋体" w:eastAsia="黑体" w:cs="黑体"/>
          <w:sz w:val="32"/>
        </w:rPr>
        <w:t>三、项目绩效情况</w:t>
      </w:r>
      <w:r>
        <w:rPr>
          <w:rFonts w:hint="eastAsia" w:ascii="仿宋_GB2312" w:hAnsi="宋体" w:eastAsia="仿宋_GB2312" w:cs="仿宋_GB2312"/>
          <w:sz w:val="32"/>
          <w:lang w:val="zh-CN"/>
        </w:rPr>
        <w:tab/>
      </w:r>
    </w:p>
    <w:p>
      <w:pPr>
        <w:adjustRightInd w:val="0"/>
        <w:snapToGrid w:val="0"/>
        <w:spacing w:line="56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1、项目完成数量：我县公益林面积220.3381万亩，其中国有公益林面积215.4091万亩，集体公益林面积4.9290万亩,生态效益补偿面积覆盖率为 100%。我县集体公益林补偿资金兑现率是按照生态补偿兑现方案进行,在8月份通过管护验收合格后，按照《四川省森林生态效益补偿基金管理办法》及财务制度程序，我局集体公益林生态补偿资金是通过县信用社“一卡通”形式全额及时兑付给集体林权属所有者。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红原县集体公益林生态补偿项目完成质量，2018年度我局通过层层落实了管护责任制，全县签订集体林管护合同40份，其中县环林局与乡镇村签订管护合同责任书10份，村集体与村专（兼）职管护人员签订合同50份。全县经各村集体公益林股份管理董事会按程序选聘集体公益林护林员50人分别负责本村的集体公益林管护。我局加强对各集体公益林管护人员的培训，加强监督与管理，在2017年度8月份顺利通过县林业局管护检查验收。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2018年度集体公益林未发生任何森林火灾，无发生病虫害。我县的集体公益林未发生任何盗伐滥伐林木案件情况，通过加强管护我县的集体公益林管护质量比2014、2015年度提高，行政案件逐年降低。</w:t>
      </w:r>
    </w:p>
    <w:p>
      <w:pPr>
        <w:adjustRightInd w:val="0"/>
        <w:snapToGrid w:val="0"/>
        <w:spacing w:line="56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autoSpaceDE w:val="0"/>
        <w:spacing w:line="560" w:lineRule="exact"/>
        <w:ind w:left="16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实施公益林森林生态效益补偿机制以来， 进一步建立健全了我县公益林生态效益补偿补助项目各项管理规章制度，完善杜绝滥砍乱伐、毁林开垦的现象发生，牲畜破坏集体公益林的情况也逐减少，集体公益林的管护取得了明显成绩。</w:t>
      </w:r>
      <w:r>
        <w:rPr>
          <w:rFonts w:hint="eastAsia" w:ascii="仿宋_GB2312" w:eastAsia="仿宋_GB2312"/>
          <w:sz w:val="32"/>
          <w:szCs w:val="32"/>
        </w:rPr>
        <w:t>2017年度通过森林生态补偿效益项目，按照我县农牧民40621人数折算，</w:t>
      </w:r>
      <w:r>
        <w:rPr>
          <w:rFonts w:hint="eastAsia" w:ascii="仿宋_GB2312" w:hAnsi="仿宋_GB2312" w:eastAsia="仿宋_GB2312" w:cs="仿宋_GB2312"/>
          <w:sz w:val="32"/>
          <w:szCs w:val="32"/>
        </w:rPr>
        <w:t>人均增收</w:t>
      </w:r>
      <w:r>
        <w:rPr>
          <w:rFonts w:hint="eastAsia" w:ascii="仿宋_GB2312" w:eastAsia="仿宋_GB2312"/>
          <w:sz w:val="32"/>
          <w:szCs w:val="32"/>
        </w:rPr>
        <w:t>达到</w:t>
      </w:r>
      <w:r>
        <w:rPr>
          <w:rFonts w:hint="eastAsia" w:ascii="仿宋_GB2312" w:hAnsi="仿宋_GB2312" w:eastAsia="仿宋_GB2312" w:cs="仿宋_GB2312"/>
          <w:sz w:val="32"/>
          <w:szCs w:val="32"/>
        </w:rPr>
        <w:t>28.18元/人，增加了林农收入，林权所有者获得了补偿，村集体林业工作热情得到了显著提高， 形成了“集体林有人管、树有人看、责有人担”的良好局面，森林资源得到有效培育和保护，全县集体公益林区域内森林质量明显提高，集体林权属所有者生态补偿满意度极高。</w:t>
      </w:r>
    </w:p>
    <w:p>
      <w:pPr>
        <w:adjustRightInd w:val="0"/>
        <w:snapToGrid w:val="0"/>
        <w:spacing w:line="560" w:lineRule="exact"/>
        <w:ind w:firstLine="720"/>
        <w:rPr>
          <w:rFonts w:ascii="黑体" w:hAnsi="宋体" w:eastAsia="黑体" w:cs="黑体"/>
        </w:rPr>
      </w:pPr>
      <w:r>
        <w:rPr>
          <w:rFonts w:hint="eastAsia" w:ascii="黑体" w:hAnsi="宋体" w:eastAsia="黑体" w:cs="黑体"/>
          <w:sz w:val="32"/>
        </w:rPr>
        <w:t>四、问题及建议</w:t>
      </w:r>
    </w:p>
    <w:p>
      <w:pPr>
        <w:spacing w:line="560" w:lineRule="exact"/>
        <w:ind w:firstLine="643" w:firstLineChars="200"/>
        <w:rPr>
          <w:rFonts w:ascii="楷体_GB2312" w:hAnsi="宋体" w:eastAsia="楷体_GB2312" w:cs="楷体_GB2312"/>
          <w:b/>
          <w:sz w:val="32"/>
          <w:lang w:val="zh-CN"/>
        </w:rPr>
      </w:pPr>
      <w:r>
        <w:rPr>
          <w:rFonts w:hint="eastAsia" w:ascii="楷体_GB2312" w:hAnsi="宋体" w:eastAsia="楷体_GB2312" w:cs="楷体_GB2312"/>
          <w:b/>
          <w:sz w:val="32"/>
          <w:lang w:val="zh-CN"/>
        </w:rPr>
        <w:t>（一）存在的问题。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一是补偿标准偏低，补偿标准低于木材经济利用价值；二是补偿标准始终没有根据价格指数变化调整，没有随着国民经济的发展和物价上涨对补偿标准进行动态调整；三是由于我县财政困难没有任何管理工作经费和管护经费纳入县财政预算，使其在监管集体公益林工作上存在监督困难等系列问题。 </w:t>
      </w:r>
    </w:p>
    <w:p>
      <w:pPr>
        <w:adjustRightInd w:val="0"/>
        <w:snapToGrid w:val="0"/>
        <w:spacing w:line="560" w:lineRule="exact"/>
        <w:ind w:firstLine="720"/>
        <w:rPr>
          <w:rFonts w:ascii="楷体_GB2312" w:hAnsi="宋体" w:eastAsia="楷体_GB2312" w:cs="楷体_GB2312"/>
          <w:b/>
          <w:lang w:val="zh-CN"/>
        </w:rPr>
      </w:pPr>
    </w:p>
    <w:p>
      <w:pPr>
        <w:numPr>
          <w:ilvl w:val="0"/>
          <w:numId w:val="17"/>
        </w:numPr>
        <w:spacing w:line="560" w:lineRule="exact"/>
        <w:rPr>
          <w:rFonts w:ascii="楷体_GB2312" w:hAnsi="宋体" w:eastAsia="楷体_GB2312" w:cs="楷体_GB2312"/>
          <w:b/>
          <w:sz w:val="32"/>
          <w:lang w:val="zh-CN"/>
        </w:rPr>
      </w:pPr>
      <w:r>
        <w:rPr>
          <w:rFonts w:hint="eastAsia" w:ascii="楷体_GB2312" w:hAnsi="宋体" w:eastAsia="楷体_GB2312" w:cs="楷体_GB2312"/>
          <w:b/>
          <w:sz w:val="32"/>
          <w:lang w:val="zh-CN"/>
        </w:rPr>
        <w:t>相关建议。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县级林业部门配合各乡村定期集中开展对集体林管护人员的培训工作，以提高集体林管护人员的管护水平和填写管护日志，同时加强集体公益林的管理政策方面的法律法规宣传工作，加强对集体公益林管护的考核力度；二是建议州级政府部门能够出台县级集体公益林管理工作和管护经费的相关政策，并能落实到县级财政预算中；三是建议提高现行集体公益林中央财政补偿基金标准，实行分类补偿能否根据区域生态的重要性和脆弱性，并综合考虑森林质量、地位级差、管护难度等指标，对现有集体公益林进行分类补偿，再根据国家财力情况，逐步提高补偿标准；四是能否积极利用市场机制实现补偿森林生态效益的有效途径，建立公益林资源保护的受益者直接补偿体系，能否落实下游地区对上游地区的</w:t>
      </w:r>
      <w:bookmarkStart w:id="84" w:name="_GoBack"/>
      <w:bookmarkEnd w:id="84"/>
      <w:r>
        <w:rPr>
          <w:rFonts w:hint="eastAsia" w:ascii="仿宋_GB2312" w:hAnsi="仿宋_GB2312" w:eastAsia="仿宋_GB2312" w:cs="仿宋_GB2312"/>
          <w:sz w:val="32"/>
          <w:szCs w:val="32"/>
        </w:rPr>
        <w:t>公益林给予政策性补偿；五是对于部分立地条件相对较好、生态区位不十分敏感的公益林，可以考虑在不会对生态带来影响的前提下，开展抚育、更新性质的采伐，充分利用生态公益林的景观资源、林下资源，加大开展公益林的非木质的经营利用，在提高公益林林分质量的同时，增加公益林所有者或经营者的经济收入。</w:t>
      </w: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spacing w:line="580" w:lineRule="exact"/>
        <w:ind w:firstLine="1760" w:firstLineChars="400"/>
        <w:rPr>
          <w:rFonts w:ascii="黑体" w:hAnsi="黑体" w:eastAsia="黑体" w:cs="方正小标宋简体"/>
          <w:sz w:val="44"/>
          <w:szCs w:val="44"/>
        </w:rPr>
      </w:pPr>
    </w:p>
    <w:p>
      <w:pPr>
        <w:spacing w:line="580" w:lineRule="exact"/>
        <w:ind w:firstLine="1760" w:firstLineChars="400"/>
        <w:rPr>
          <w:rFonts w:ascii="黑体" w:hAnsi="黑体" w:eastAsia="黑体" w:cs="方正小标宋简体"/>
          <w:sz w:val="44"/>
          <w:szCs w:val="44"/>
        </w:rPr>
      </w:pPr>
    </w:p>
    <w:p>
      <w:pPr>
        <w:spacing w:line="580" w:lineRule="exact"/>
        <w:ind w:firstLine="1760" w:firstLineChars="400"/>
        <w:rPr>
          <w:rFonts w:ascii="黑体" w:hAnsi="黑体" w:eastAsia="黑体" w:cs="方正小标宋简体"/>
          <w:sz w:val="44"/>
          <w:szCs w:val="44"/>
        </w:rPr>
      </w:pPr>
    </w:p>
    <w:p>
      <w:pPr>
        <w:spacing w:line="580" w:lineRule="exact"/>
        <w:ind w:firstLine="1760" w:firstLineChars="400"/>
        <w:rPr>
          <w:rFonts w:ascii="黑体" w:hAnsi="黑体" w:eastAsia="黑体" w:cs="方正小标宋简体"/>
          <w:sz w:val="44"/>
          <w:szCs w:val="44"/>
        </w:rPr>
      </w:pPr>
    </w:p>
    <w:p>
      <w:pPr>
        <w:spacing w:line="580" w:lineRule="exact"/>
        <w:ind w:firstLine="1760" w:firstLineChars="400"/>
        <w:rPr>
          <w:rFonts w:ascii="黑体" w:hAnsi="黑体" w:eastAsia="黑体" w:cs="方正小标宋简体"/>
          <w:sz w:val="44"/>
          <w:szCs w:val="44"/>
        </w:rPr>
      </w:pPr>
      <w:r>
        <w:rPr>
          <w:rFonts w:hint="eastAsia" w:ascii="黑体" w:hAnsi="黑体" w:eastAsia="黑体" w:cs="方正小标宋简体"/>
          <w:sz w:val="44"/>
          <w:szCs w:val="44"/>
        </w:rPr>
        <w:t>2018年防沙治沙项目</w:t>
      </w:r>
    </w:p>
    <w:p>
      <w:pPr>
        <w:spacing w:line="580" w:lineRule="exact"/>
        <w:ind w:firstLine="1760" w:firstLineChars="400"/>
        <w:rPr>
          <w:rFonts w:ascii="黑体" w:hAnsi="黑体" w:eastAsia="黑体" w:cs="方正小标宋简体"/>
          <w:sz w:val="44"/>
          <w:szCs w:val="44"/>
        </w:rPr>
      </w:pPr>
      <w:r>
        <w:rPr>
          <w:rFonts w:hint="eastAsia" w:ascii="黑体" w:hAnsi="黑体" w:eastAsia="黑体" w:cs="方正小标宋简体"/>
          <w:sz w:val="44"/>
          <w:szCs w:val="44"/>
        </w:rPr>
        <w:t>支出绩效评价报告</w:t>
      </w:r>
    </w:p>
    <w:p>
      <w:pPr>
        <w:spacing w:line="580" w:lineRule="exact"/>
        <w:ind w:firstLine="1760" w:firstLineChars="400"/>
        <w:rPr>
          <w:rFonts w:ascii="黑体" w:hAnsi="黑体" w:eastAsia="黑体" w:cs="方正小标宋简体"/>
          <w:sz w:val="44"/>
          <w:szCs w:val="44"/>
        </w:rPr>
      </w:pPr>
    </w:p>
    <w:p>
      <w:pPr>
        <w:numPr>
          <w:ilvl w:val="0"/>
          <w:numId w:val="18"/>
        </w:numPr>
        <w:spacing w:line="560" w:lineRule="exact"/>
        <w:rPr>
          <w:rFonts w:ascii="黑体" w:hAnsi="宋体" w:eastAsia="黑体"/>
          <w:sz w:val="32"/>
          <w:szCs w:val="32"/>
        </w:rPr>
      </w:pPr>
      <w:r>
        <w:rPr>
          <w:rFonts w:hint="eastAsia" w:ascii="黑体" w:hAnsi="宋体" w:eastAsia="黑体"/>
          <w:sz w:val="32"/>
          <w:szCs w:val="32"/>
        </w:rPr>
        <w:t>项目概况</w:t>
      </w:r>
    </w:p>
    <w:p>
      <w:pPr>
        <w:spacing w:line="560" w:lineRule="exact"/>
        <w:ind w:firstLine="640" w:firstLineChars="200"/>
        <w:rPr>
          <w:rFonts w:ascii="仿宋_GB2312" w:eastAsia="仿宋_GB2312"/>
          <w:sz w:val="32"/>
          <w:szCs w:val="32"/>
        </w:rPr>
      </w:pPr>
      <w:r>
        <w:rPr>
          <w:rFonts w:hint="eastAsia" w:ascii="仿宋_GB2312" w:hAnsi="华文仿宋" w:eastAsia="仿宋_GB2312" w:cs="宋体"/>
          <w:color w:val="000000"/>
          <w:kern w:val="0"/>
          <w:sz w:val="32"/>
          <w:szCs w:val="32"/>
        </w:rPr>
        <w:t>该项目建设内容</w:t>
      </w:r>
      <w:r>
        <w:rPr>
          <w:rFonts w:ascii="仿宋_GB2312" w:hAnsi="华文仿宋" w:eastAsia="仿宋_GB2312" w:cs="宋体"/>
          <w:color w:val="000000"/>
          <w:kern w:val="0"/>
          <w:sz w:val="32"/>
          <w:szCs w:val="32"/>
        </w:rPr>
        <w:t>建设地点在瓦切镇色永村，主要设置种草、铺设生态毯、施肥等措施，共涉及</w:t>
      </w:r>
      <w:r>
        <w:rPr>
          <w:rFonts w:hint="eastAsia" w:ascii="仿宋_GB2312" w:hAnsi="华文仿宋" w:eastAsia="仿宋_GB2312" w:cs="宋体"/>
          <w:color w:val="000000"/>
          <w:kern w:val="0"/>
          <w:sz w:val="32"/>
          <w:szCs w:val="32"/>
        </w:rPr>
        <w:t>5</w:t>
      </w:r>
      <w:r>
        <w:rPr>
          <w:rFonts w:ascii="仿宋_GB2312" w:hAnsi="华文仿宋" w:eastAsia="仿宋_GB2312" w:cs="宋体"/>
          <w:color w:val="000000"/>
          <w:kern w:val="0"/>
          <w:sz w:val="32"/>
          <w:szCs w:val="32"/>
        </w:rPr>
        <w:t>个小班，治理面积为72.67 hm</w:t>
      </w:r>
      <w:r>
        <w:rPr>
          <w:rFonts w:ascii="仿宋_GB2312" w:hAnsi="华文仿宋" w:eastAsia="仿宋_GB2312" w:cs="宋体"/>
          <w:color w:val="000000"/>
          <w:kern w:val="0"/>
          <w:sz w:val="32"/>
          <w:szCs w:val="32"/>
          <w:vertAlign w:val="superscript"/>
        </w:rPr>
        <w:t>2</w:t>
      </w:r>
      <w:r>
        <w:rPr>
          <w:rFonts w:hint="eastAsia" w:ascii="仿宋_GB2312" w:hAnsi="华文仿宋" w:eastAsia="仿宋_GB2312" w:cs="宋体"/>
          <w:color w:val="000000"/>
          <w:kern w:val="0"/>
          <w:sz w:val="32"/>
          <w:szCs w:val="32"/>
        </w:rPr>
        <w:t>，</w:t>
      </w:r>
      <w:r>
        <w:rPr>
          <w:rFonts w:hint="eastAsia" w:ascii="仿宋_GB2312" w:eastAsia="仿宋_GB2312"/>
          <w:sz w:val="32"/>
          <w:szCs w:val="32"/>
        </w:rPr>
        <w:t xml:space="preserve">项目总投资为87万元。 </w:t>
      </w:r>
    </w:p>
    <w:p>
      <w:pPr>
        <w:spacing w:line="560" w:lineRule="exact"/>
        <w:ind w:firstLine="480" w:firstLineChars="150"/>
        <w:rPr>
          <w:rFonts w:ascii="黑体" w:hAnsi="仿宋_GB2312" w:eastAsia="黑体" w:cs="仿宋_GB2312"/>
          <w:kern w:val="3"/>
          <w:sz w:val="32"/>
          <w:szCs w:val="32"/>
        </w:rPr>
      </w:pPr>
      <w:r>
        <w:rPr>
          <w:rFonts w:hint="eastAsia" w:ascii="黑体" w:eastAsia="黑体"/>
          <w:sz w:val="32"/>
          <w:szCs w:val="32"/>
        </w:rPr>
        <w:t xml:space="preserve">（一）项目资金申报及批复情况 </w:t>
      </w:r>
    </w:p>
    <w:p>
      <w:pPr>
        <w:spacing w:line="560" w:lineRule="exact"/>
        <w:ind w:firstLine="645"/>
        <w:rPr>
          <w:rFonts w:ascii="仿宋_GB2312" w:eastAsia="仿宋_GB2312"/>
          <w:sz w:val="32"/>
          <w:szCs w:val="32"/>
        </w:rPr>
      </w:pPr>
      <w:r>
        <w:rPr>
          <w:rFonts w:ascii="仿宋_GB2312" w:eastAsia="仿宋_GB2312"/>
          <w:sz w:val="32"/>
          <w:szCs w:val="32"/>
        </w:rPr>
        <w:t>按照《四川省林业厅关于切实做好2016年省级财政林业防沙治沙项目实施工作的通知》（川林造函[2016]312号）、四川省财政厅关于提前下达2015年省级财政林业防沙治沙专项资金的通知（川财农[2014]327号）等文件</w:t>
      </w:r>
      <w:r>
        <w:rPr>
          <w:rFonts w:hint="eastAsia" w:ascii="仿宋_GB2312" w:eastAsia="仿宋_GB2312"/>
          <w:sz w:val="32"/>
          <w:szCs w:val="32"/>
        </w:rPr>
        <w:t>下达红原县2016年度省级财政林业防沙治沙（川藏规配套转新增沙化治理）</w:t>
      </w:r>
      <w:r>
        <w:rPr>
          <w:rFonts w:ascii="仿宋_GB2312" w:eastAsia="仿宋_GB2312"/>
          <w:sz w:val="32"/>
          <w:szCs w:val="32"/>
        </w:rPr>
        <w:t>项目</w:t>
      </w:r>
      <w:r>
        <w:rPr>
          <w:rFonts w:hint="eastAsia" w:ascii="仿宋_GB2312" w:eastAsia="仿宋_GB2312"/>
          <w:sz w:val="32"/>
          <w:szCs w:val="32"/>
        </w:rPr>
        <w:t>资金</w:t>
      </w:r>
      <w:r>
        <w:rPr>
          <w:rFonts w:ascii="仿宋_GB2312" w:eastAsia="仿宋_GB2312"/>
          <w:sz w:val="32"/>
          <w:szCs w:val="32"/>
        </w:rPr>
        <w:t>87万元。</w:t>
      </w:r>
      <w:r>
        <w:rPr>
          <w:rFonts w:hint="eastAsia" w:ascii="仿宋_GB2312" w:eastAsia="仿宋_GB2312"/>
          <w:sz w:val="32"/>
          <w:szCs w:val="32"/>
        </w:rPr>
        <w:t>资金下达后我局立即组织人员按照项目管理流程开展了项目的前期工作。</w:t>
      </w:r>
    </w:p>
    <w:p>
      <w:pPr>
        <w:ind w:firstLine="645"/>
        <w:rPr>
          <w:rFonts w:ascii="仿宋_GB2312" w:eastAsia="仿宋_GB2312"/>
          <w:sz w:val="32"/>
          <w:szCs w:val="32"/>
        </w:rPr>
      </w:pPr>
      <w:r>
        <w:rPr>
          <w:rFonts w:hint="eastAsia" w:ascii="仿宋_GB2312" w:eastAsia="仿宋_GB2312"/>
          <w:sz w:val="32"/>
          <w:szCs w:val="32"/>
        </w:rPr>
        <w:t>2016年5月根据红政采询[2016]29号询价程序，</w:t>
      </w:r>
      <w:r>
        <w:rPr>
          <w:rFonts w:ascii="仿宋_GB2312" w:eastAsia="仿宋_GB2312"/>
          <w:sz w:val="32"/>
          <w:szCs w:val="32"/>
        </w:rPr>
        <w:t>红原县环境保护和林业局委托四川省林业科技开发实业总公司</w:t>
      </w:r>
      <w:r>
        <w:rPr>
          <w:rFonts w:hint="eastAsia" w:ascii="仿宋_GB2312" w:eastAsia="仿宋_GB2312"/>
          <w:sz w:val="32"/>
          <w:szCs w:val="32"/>
        </w:rPr>
        <w:t>于</w:t>
      </w:r>
      <w:r>
        <w:rPr>
          <w:rFonts w:ascii="仿宋_GB2312" w:eastAsia="仿宋_GB2312"/>
          <w:sz w:val="32"/>
          <w:szCs w:val="32"/>
        </w:rPr>
        <w:t>2016年6月完成了</w:t>
      </w:r>
      <w:r>
        <w:rPr>
          <w:rFonts w:hint="eastAsia" w:ascii="仿宋_GB2312" w:eastAsia="仿宋_GB2312"/>
          <w:sz w:val="32"/>
          <w:szCs w:val="32"/>
        </w:rPr>
        <w:t>《</w:t>
      </w:r>
      <w:r>
        <w:rPr>
          <w:rFonts w:ascii="仿宋_GB2312" w:eastAsia="仿宋_GB2312"/>
          <w:sz w:val="32"/>
          <w:szCs w:val="32"/>
        </w:rPr>
        <w:t>红原县2016年度省级财政林业防沙治沙（川藏规配套转新增沙化治理）实施方案（代作业设计）</w:t>
      </w:r>
      <w:r>
        <w:rPr>
          <w:rFonts w:hint="eastAsia" w:ascii="仿宋_GB2312" w:eastAsia="仿宋_GB2312"/>
          <w:sz w:val="32"/>
          <w:szCs w:val="32"/>
        </w:rPr>
        <w:t>》</w:t>
      </w:r>
      <w:r>
        <w:rPr>
          <w:rFonts w:ascii="仿宋_GB2312" w:eastAsia="仿宋_GB2312"/>
          <w:sz w:val="32"/>
          <w:szCs w:val="32"/>
        </w:rPr>
        <w:t>编制工作</w:t>
      </w:r>
      <w:r>
        <w:rPr>
          <w:rFonts w:hint="eastAsia" w:ascii="仿宋_GB2312" w:eastAsia="仿宋_GB2312"/>
          <w:sz w:val="32"/>
          <w:szCs w:val="32"/>
        </w:rPr>
        <w:t>，经省林业厅在成都组织专家进行了评审并通过，2016年11月由州林业局以</w:t>
      </w:r>
      <w:r>
        <w:rPr>
          <w:rFonts w:ascii="仿宋_GB2312" w:eastAsia="仿宋_GB2312"/>
          <w:sz w:val="32"/>
          <w:szCs w:val="32"/>
        </w:rPr>
        <w:t>（</w:t>
      </w:r>
      <w:r>
        <w:rPr>
          <w:rFonts w:hint="eastAsia" w:ascii="仿宋_GB2312" w:eastAsia="仿宋_GB2312"/>
          <w:sz w:val="32"/>
          <w:szCs w:val="32"/>
        </w:rPr>
        <w:t>阿州林发</w:t>
      </w:r>
      <w:r>
        <w:rPr>
          <w:rFonts w:ascii="仿宋_GB2312" w:eastAsia="仿宋_GB2312"/>
          <w:sz w:val="32"/>
          <w:szCs w:val="32"/>
        </w:rPr>
        <w:t>[201</w:t>
      </w: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264</w:t>
      </w:r>
      <w:r>
        <w:rPr>
          <w:rFonts w:ascii="仿宋_GB2312" w:eastAsia="仿宋_GB2312"/>
          <w:sz w:val="32"/>
          <w:szCs w:val="32"/>
        </w:rPr>
        <w:t>号）</w:t>
      </w:r>
      <w:r>
        <w:rPr>
          <w:rFonts w:hint="eastAsia" w:ascii="仿宋_GB2312" w:eastAsia="仿宋_GB2312"/>
          <w:sz w:val="32"/>
          <w:szCs w:val="32"/>
        </w:rPr>
        <w:t>文转发省林业厅</w:t>
      </w:r>
      <w:r>
        <w:rPr>
          <w:rFonts w:ascii="仿宋_GB2312" w:eastAsia="仿宋_GB2312"/>
          <w:sz w:val="32"/>
          <w:szCs w:val="32"/>
        </w:rPr>
        <w:t>（</w:t>
      </w:r>
      <w:r>
        <w:rPr>
          <w:rFonts w:hint="eastAsia" w:ascii="仿宋_GB2312" w:eastAsia="仿宋_GB2312"/>
          <w:sz w:val="32"/>
          <w:szCs w:val="32"/>
        </w:rPr>
        <w:t>川林造函</w:t>
      </w:r>
      <w:r>
        <w:rPr>
          <w:rFonts w:ascii="仿宋_GB2312" w:eastAsia="仿宋_GB2312"/>
          <w:sz w:val="32"/>
          <w:szCs w:val="32"/>
        </w:rPr>
        <w:t>[201</w:t>
      </w: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858</w:t>
      </w:r>
      <w:r>
        <w:rPr>
          <w:rFonts w:ascii="仿宋_GB2312" w:eastAsia="仿宋_GB2312"/>
          <w:sz w:val="32"/>
          <w:szCs w:val="32"/>
        </w:rPr>
        <w:t>号）</w:t>
      </w:r>
      <w:r>
        <w:rPr>
          <w:rFonts w:hint="eastAsia" w:ascii="仿宋_GB2312" w:eastAsia="仿宋_GB2312"/>
          <w:sz w:val="32"/>
          <w:szCs w:val="32"/>
        </w:rPr>
        <w:t>对项目实施方案的批复，同意实施</w:t>
      </w:r>
      <w:r>
        <w:rPr>
          <w:rFonts w:ascii="仿宋_GB2312" w:eastAsia="仿宋_GB2312"/>
          <w:sz w:val="32"/>
          <w:szCs w:val="32"/>
        </w:rPr>
        <w:t>。</w:t>
      </w:r>
    </w:p>
    <w:p>
      <w:pPr>
        <w:spacing w:line="560" w:lineRule="exact"/>
        <w:ind w:firstLine="480" w:firstLineChars="150"/>
        <w:rPr>
          <w:rFonts w:ascii="黑体" w:eastAsia="黑体"/>
          <w:sz w:val="32"/>
          <w:szCs w:val="32"/>
        </w:rPr>
      </w:pPr>
      <w:r>
        <w:rPr>
          <w:rFonts w:hint="eastAsia" w:ascii="黑体" w:eastAsia="黑体"/>
          <w:sz w:val="32"/>
          <w:szCs w:val="32"/>
        </w:rPr>
        <w:t>（二）项目绩效目标</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采取生物措施的方式，治理沙化土地面积72.67 hm</w:t>
      </w:r>
      <w:r>
        <w:rPr>
          <w:rFonts w:hint="eastAsia" w:ascii="仿宋_GB2312" w:eastAsia="仿宋_GB2312"/>
          <w:sz w:val="32"/>
          <w:szCs w:val="32"/>
          <w:vertAlign w:val="superscript"/>
        </w:rPr>
        <w:t>2</w:t>
      </w:r>
      <w:r>
        <w:rPr>
          <w:rFonts w:hint="eastAsia" w:ascii="仿宋_GB2312" w:eastAsia="仿宋_GB2312"/>
          <w:sz w:val="32"/>
          <w:szCs w:val="32"/>
        </w:rPr>
        <w:t>，沙化程度为轻度沙地和中度沙地，并通过连续5年管护，使治理区沙化土地植被盖度平均提高25个百分点以上，项目区土地沙化趋势得到有效遏制，生态环境得到有效改善，农牧民生产生活条件得到改善，防沙治沙及生态保护意识显著增强。</w:t>
      </w:r>
    </w:p>
    <w:p>
      <w:pPr>
        <w:spacing w:line="560" w:lineRule="exact"/>
        <w:ind w:firstLine="480" w:firstLineChars="150"/>
        <w:rPr>
          <w:rFonts w:ascii="黑体" w:eastAsia="黑体"/>
          <w:sz w:val="32"/>
          <w:szCs w:val="32"/>
        </w:rPr>
      </w:pPr>
      <w:r>
        <w:rPr>
          <w:rFonts w:hint="eastAsia" w:ascii="黑体" w:eastAsia="黑体"/>
          <w:sz w:val="32"/>
          <w:szCs w:val="32"/>
        </w:rPr>
        <w:t>（三）项目资金申报相符性</w:t>
      </w:r>
    </w:p>
    <w:p>
      <w:pPr>
        <w:spacing w:line="560" w:lineRule="exact"/>
        <w:ind w:firstLine="480" w:firstLineChars="150"/>
        <w:rPr>
          <w:rFonts w:ascii="黑体" w:eastAsia="黑体"/>
          <w:sz w:val="32"/>
          <w:szCs w:val="32"/>
        </w:rPr>
      </w:pPr>
      <w:r>
        <w:rPr>
          <w:rFonts w:ascii="仿宋_GB2312" w:eastAsia="仿宋_GB2312"/>
          <w:sz w:val="32"/>
          <w:szCs w:val="32"/>
        </w:rPr>
        <w:t>按照《四川省林业厅关于切实做好2016年省级财政林业防沙治沙项目实施工作的通知》（川林造函[2016]312号）、四川省财政厅关于提前下达2015年省级财政林业防沙治沙专项资金的通知（川财农[2014]327号）等文件要求</w:t>
      </w:r>
      <w:r>
        <w:rPr>
          <w:rFonts w:hint="eastAsia" w:ascii="仿宋_GB2312" w:eastAsia="仿宋_GB2312"/>
          <w:sz w:val="32"/>
          <w:szCs w:val="32"/>
        </w:rPr>
        <w:t>。项目资金申报内容与具体实施的内容相符，通过项目实施申报的目标是合理可行的。</w:t>
      </w:r>
    </w:p>
    <w:p>
      <w:pPr>
        <w:spacing w:line="560" w:lineRule="exact"/>
        <w:ind w:firstLine="480" w:firstLineChars="150"/>
        <w:rPr>
          <w:rFonts w:ascii="黑体" w:hAnsi="宋体" w:eastAsia="黑体"/>
          <w:sz w:val="32"/>
          <w:szCs w:val="32"/>
        </w:rPr>
      </w:pPr>
      <w:r>
        <w:rPr>
          <w:rFonts w:hint="eastAsia" w:ascii="黑体" w:hAnsi="宋体" w:eastAsia="黑体"/>
          <w:sz w:val="32"/>
          <w:szCs w:val="32"/>
        </w:rPr>
        <w:t>（四）项目财务管理情况</w:t>
      </w:r>
    </w:p>
    <w:p>
      <w:pPr>
        <w:spacing w:line="560" w:lineRule="exact"/>
        <w:ind w:firstLine="480" w:firstLineChars="150"/>
        <w:rPr>
          <w:rFonts w:ascii="仿宋_GB2312" w:eastAsia="仿宋_GB2312"/>
          <w:sz w:val="32"/>
          <w:szCs w:val="32"/>
        </w:rPr>
      </w:pPr>
      <w:r>
        <w:rPr>
          <w:rFonts w:hint="eastAsia" w:ascii="仿宋_GB2312" w:hAnsi="宋体" w:eastAsia="仿宋_GB2312"/>
          <w:sz w:val="32"/>
          <w:szCs w:val="32"/>
        </w:rPr>
        <w:t>项目建设单位严格按照省级财政预算内资金及相关财务管理办法的规定和要求，加强项目资金的管理与使用，确保工程资金落实到位，使工程建设顺利进行。一是必须设立项目专门资金账户，实行专人管理、专款专用、建立资金明细账；二是严格按照业务主管部门初审、项目领导小组办公室审核、审签、财政拨付资金的“报账制”原则；三是项目资金必须按建设内容使用，由项目实施部门提出建设进度及投资计划，分期、分项拨款；四是项目领导小组严格监督和检查资金使用及落实情况，严禁挪用、挤占、截留项目资金；五是按照项目进展情况公开项目资金使用情况，接受审计监督和社会监督。</w:t>
      </w:r>
    </w:p>
    <w:p>
      <w:pPr>
        <w:spacing w:line="560" w:lineRule="exact"/>
        <w:ind w:firstLine="480" w:firstLineChars="150"/>
        <w:rPr>
          <w:rFonts w:ascii="黑体" w:hAnsi="宋体" w:eastAsia="黑体"/>
          <w:sz w:val="32"/>
          <w:szCs w:val="32"/>
        </w:rPr>
      </w:pPr>
      <w:r>
        <w:rPr>
          <w:rFonts w:hint="eastAsia" w:ascii="黑体" w:hAnsi="宋体" w:eastAsia="黑体"/>
          <w:sz w:val="32"/>
          <w:szCs w:val="32"/>
        </w:rPr>
        <w:t>（五）项目组织实施情况</w:t>
      </w:r>
    </w:p>
    <w:p>
      <w:pPr>
        <w:spacing w:line="560" w:lineRule="exact"/>
        <w:ind w:firstLine="645"/>
        <w:rPr>
          <w:rFonts w:ascii="仿宋_GB2312" w:eastAsia="仿宋_GB2312"/>
          <w:sz w:val="32"/>
          <w:szCs w:val="32"/>
        </w:rPr>
      </w:pPr>
      <w:r>
        <w:rPr>
          <w:rFonts w:hint="eastAsia" w:ascii="仿宋_GB2312" w:hAnsi="华文仿宋" w:eastAsia="仿宋_GB2312" w:cs="宋体"/>
          <w:color w:val="000000"/>
          <w:kern w:val="0"/>
          <w:sz w:val="32"/>
          <w:szCs w:val="32"/>
        </w:rPr>
        <w:t>根据</w:t>
      </w:r>
      <w:r>
        <w:rPr>
          <w:rFonts w:hint="eastAsia" w:ascii="仿宋_GB2312" w:eastAsia="仿宋_GB2312"/>
          <w:sz w:val="32"/>
          <w:szCs w:val="32"/>
        </w:rPr>
        <w:t>州林业局以</w:t>
      </w:r>
      <w:r>
        <w:rPr>
          <w:rFonts w:ascii="仿宋_GB2312" w:eastAsia="仿宋_GB2312"/>
          <w:sz w:val="32"/>
          <w:szCs w:val="32"/>
        </w:rPr>
        <w:t>（</w:t>
      </w:r>
      <w:r>
        <w:rPr>
          <w:rFonts w:hint="eastAsia" w:ascii="仿宋_GB2312" w:eastAsia="仿宋_GB2312"/>
          <w:sz w:val="32"/>
          <w:szCs w:val="32"/>
        </w:rPr>
        <w:t>阿州林发</w:t>
      </w:r>
      <w:r>
        <w:rPr>
          <w:rFonts w:ascii="仿宋_GB2312" w:eastAsia="仿宋_GB2312"/>
          <w:sz w:val="32"/>
          <w:szCs w:val="32"/>
        </w:rPr>
        <w:t>[201</w:t>
      </w: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264</w:t>
      </w:r>
      <w:r>
        <w:rPr>
          <w:rFonts w:ascii="仿宋_GB2312" w:eastAsia="仿宋_GB2312"/>
          <w:sz w:val="32"/>
          <w:szCs w:val="32"/>
        </w:rPr>
        <w:t>号）</w:t>
      </w:r>
      <w:r>
        <w:rPr>
          <w:rFonts w:hint="eastAsia" w:ascii="仿宋_GB2312" w:eastAsia="仿宋_GB2312"/>
          <w:sz w:val="32"/>
          <w:szCs w:val="32"/>
        </w:rPr>
        <w:t>文对项目实施方案批复后</w:t>
      </w:r>
      <w:r>
        <w:rPr>
          <w:rFonts w:ascii="仿宋_GB2312" w:eastAsia="仿宋_GB2312"/>
          <w:sz w:val="32"/>
          <w:szCs w:val="32"/>
        </w:rPr>
        <w:t>。</w:t>
      </w:r>
      <w:r>
        <w:rPr>
          <w:rFonts w:hint="eastAsia" w:ascii="仿宋_GB2312" w:hAnsi="华文仿宋" w:eastAsia="仿宋_GB2312" w:cs="宋体"/>
          <w:color w:val="000000"/>
          <w:kern w:val="0"/>
          <w:sz w:val="32"/>
          <w:szCs w:val="32"/>
        </w:rPr>
        <w:t>该项目于2016年12月在</w:t>
      </w:r>
      <w:r>
        <w:rPr>
          <w:rFonts w:hint="eastAsia" w:ascii="仿宋_GB2312" w:eastAsia="仿宋_GB2312"/>
          <w:sz w:val="32"/>
          <w:szCs w:val="32"/>
        </w:rPr>
        <w:t>州公共资源交易中心进行了网上公开招标</w:t>
      </w:r>
      <w:r>
        <w:rPr>
          <w:rFonts w:hint="eastAsia" w:ascii="仿宋_GB2312" w:hAnsi="华文仿宋" w:eastAsia="仿宋_GB2312" w:cs="宋体"/>
          <w:color w:val="000000"/>
          <w:kern w:val="0"/>
          <w:sz w:val="32"/>
          <w:szCs w:val="32"/>
        </w:rPr>
        <w:t>（招标编号为：阿州公资采招</w:t>
      </w:r>
      <w:r>
        <w:rPr>
          <w:rFonts w:hint="eastAsia" w:ascii="仿宋_GB2312" w:eastAsia="仿宋_GB2312"/>
          <w:sz w:val="32"/>
          <w:szCs w:val="32"/>
        </w:rPr>
        <w:t>〔</w:t>
      </w:r>
      <w:r>
        <w:rPr>
          <w:rFonts w:hint="eastAsia" w:ascii="仿宋_GB2312" w:hAnsi="华文仿宋" w:eastAsia="仿宋_GB2312" w:cs="宋体"/>
          <w:color w:val="000000"/>
          <w:kern w:val="0"/>
          <w:sz w:val="32"/>
          <w:szCs w:val="32"/>
        </w:rPr>
        <w:t>2016</w:t>
      </w:r>
      <w:r>
        <w:rPr>
          <w:rFonts w:hint="eastAsia" w:ascii="仿宋_GB2312" w:eastAsia="仿宋_GB2312"/>
          <w:sz w:val="32"/>
          <w:szCs w:val="32"/>
        </w:rPr>
        <w:t>〕</w:t>
      </w:r>
      <w:r>
        <w:rPr>
          <w:rFonts w:hint="eastAsia" w:ascii="仿宋_GB2312" w:hAnsi="华文仿宋" w:eastAsia="仿宋_GB2312" w:cs="宋体"/>
          <w:color w:val="000000"/>
          <w:kern w:val="0"/>
          <w:sz w:val="32"/>
          <w:szCs w:val="32"/>
        </w:rPr>
        <w:t>377号）</w:t>
      </w:r>
      <w:r>
        <w:rPr>
          <w:rFonts w:hint="eastAsia" w:ascii="仿宋_GB2312" w:eastAsia="仿宋_GB2312"/>
          <w:sz w:val="32"/>
          <w:szCs w:val="32"/>
        </w:rPr>
        <w:t>确定施工方，于2017年4月正式开工建设，2017年6月已完成全部工程量</w:t>
      </w:r>
      <w:r>
        <w:rPr>
          <w:rFonts w:hint="eastAsia" w:ascii="仿宋_GB2312" w:hAnsi="仿宋_GB2312" w:eastAsia="仿宋_GB2312" w:cs="仿宋_GB2312"/>
          <w:sz w:val="32"/>
          <w:szCs w:val="32"/>
        </w:rPr>
        <w:t>。</w:t>
      </w:r>
    </w:p>
    <w:p>
      <w:pPr>
        <w:spacing w:line="560" w:lineRule="exact"/>
        <w:ind w:firstLine="480" w:firstLineChars="150"/>
        <w:rPr>
          <w:rFonts w:ascii="黑体" w:hAnsi="华文仿宋" w:eastAsia="黑体" w:cs="宋体"/>
          <w:color w:val="000000"/>
          <w:kern w:val="0"/>
          <w:sz w:val="32"/>
          <w:szCs w:val="32"/>
        </w:rPr>
      </w:pPr>
      <w:r>
        <w:rPr>
          <w:rFonts w:hint="eastAsia" w:ascii="黑体" w:hAnsi="华文仿宋" w:eastAsia="黑体" w:cs="宋体"/>
          <w:color w:val="000000"/>
          <w:kern w:val="0"/>
          <w:sz w:val="32"/>
          <w:szCs w:val="32"/>
        </w:rPr>
        <w:t>（六）目标质量完成情况</w:t>
      </w:r>
    </w:p>
    <w:p>
      <w:pPr>
        <w:spacing w:line="560" w:lineRule="exact"/>
        <w:ind w:firstLine="480" w:firstLineChars="150"/>
        <w:rPr>
          <w:rFonts w:ascii="仿宋_GB2312" w:hAnsi="华文仿宋" w:eastAsia="仿宋_GB2312" w:cs="宋体"/>
          <w:color w:val="000000"/>
          <w:kern w:val="0"/>
          <w:sz w:val="32"/>
          <w:szCs w:val="32"/>
        </w:rPr>
      </w:pPr>
      <w:r>
        <w:rPr>
          <w:rFonts w:hint="eastAsia" w:ascii="仿宋_GB2312" w:hAnsi="华文仿宋" w:eastAsia="仿宋_GB2312" w:cs="宋体"/>
          <w:color w:val="000000"/>
          <w:kern w:val="0"/>
          <w:sz w:val="32"/>
          <w:szCs w:val="32"/>
        </w:rPr>
        <w:t>按照项目计划目标，</w:t>
      </w:r>
      <w:r>
        <w:rPr>
          <w:rFonts w:ascii="仿宋_GB2312" w:hAnsi="华文仿宋" w:eastAsia="仿宋_GB2312" w:cs="宋体"/>
          <w:color w:val="000000"/>
          <w:kern w:val="0"/>
          <w:sz w:val="32"/>
          <w:szCs w:val="32"/>
        </w:rPr>
        <w:t>项目按国家基本建设程序实行工程管理。在项目的建设过程中，林业局统一调配相关部门的人员，定期对技术管理人员和现场施工人员进行技术培训，严格按照设计组织施工，协同工程监理等部门对项目建设进行管理，以确保工程建设进度、质量</w:t>
      </w:r>
      <w:r>
        <w:rPr>
          <w:rFonts w:hint="eastAsia" w:ascii="仿宋_GB2312" w:hAnsi="华文仿宋" w:eastAsia="仿宋_GB2312" w:cs="宋体"/>
          <w:color w:val="000000"/>
          <w:kern w:val="0"/>
          <w:sz w:val="32"/>
          <w:szCs w:val="32"/>
        </w:rPr>
        <w:t>，</w:t>
      </w:r>
      <w:r>
        <w:rPr>
          <w:rFonts w:ascii="仿宋_GB2312" w:hAnsi="华文仿宋" w:eastAsia="仿宋_GB2312" w:cs="宋体"/>
          <w:color w:val="000000"/>
          <w:kern w:val="0"/>
          <w:sz w:val="32"/>
          <w:szCs w:val="32"/>
        </w:rPr>
        <w:t>并按有关规定进行项目验收制度，确保工程质量合格。</w:t>
      </w:r>
    </w:p>
    <w:p>
      <w:pPr>
        <w:spacing w:line="560" w:lineRule="exact"/>
        <w:ind w:firstLine="480" w:firstLineChars="150"/>
        <w:rPr>
          <w:rFonts w:ascii="黑体" w:hAnsi="华文仿宋" w:eastAsia="黑体" w:cs="宋体"/>
          <w:color w:val="000000"/>
          <w:kern w:val="0"/>
          <w:sz w:val="32"/>
          <w:szCs w:val="32"/>
        </w:rPr>
      </w:pPr>
      <w:r>
        <w:rPr>
          <w:rFonts w:hint="eastAsia" w:ascii="黑体" w:hAnsi="华文仿宋" w:eastAsia="黑体" w:cs="宋体"/>
          <w:color w:val="000000"/>
          <w:kern w:val="0"/>
          <w:sz w:val="32"/>
          <w:szCs w:val="32"/>
        </w:rPr>
        <w:t>（七）目标进度完成情况</w:t>
      </w:r>
    </w:p>
    <w:p>
      <w:pPr>
        <w:spacing w:line="360" w:lineRule="auto"/>
        <w:ind w:firstLine="640" w:firstLineChars="200"/>
        <w:rPr>
          <w:rFonts w:ascii="仿宋_GB2312" w:eastAsia="仿宋_GB2312"/>
          <w:sz w:val="32"/>
          <w:szCs w:val="32"/>
        </w:rPr>
      </w:pPr>
      <w:r>
        <w:rPr>
          <w:rFonts w:hint="eastAsia" w:ascii="仿宋_GB2312" w:hAnsi="华文仿宋" w:eastAsia="仿宋_GB2312" w:cs="宋体"/>
          <w:color w:val="000000"/>
          <w:kern w:val="0"/>
          <w:sz w:val="32"/>
          <w:szCs w:val="32"/>
        </w:rPr>
        <w:t>按照实施方案项目进度计划，现已完成</w:t>
      </w:r>
      <w:r>
        <w:rPr>
          <w:rFonts w:hint="eastAsia" w:ascii="仿宋_GB2312" w:eastAsia="仿宋_GB2312"/>
          <w:sz w:val="32"/>
          <w:szCs w:val="32"/>
        </w:rPr>
        <w:t>沙化治理面积72.67hm</w:t>
      </w:r>
      <w:r>
        <w:rPr>
          <w:rFonts w:hint="eastAsia" w:ascii="仿宋_GB2312" w:eastAsia="仿宋_GB2312"/>
          <w:sz w:val="32"/>
          <w:szCs w:val="32"/>
          <w:vertAlign w:val="superscript"/>
        </w:rPr>
        <w:t>2</w:t>
      </w:r>
      <w:r>
        <w:rPr>
          <w:rFonts w:hint="eastAsia" w:ascii="仿宋_GB2312" w:eastAsia="仿宋_GB2312"/>
          <w:sz w:val="32"/>
          <w:szCs w:val="32"/>
        </w:rPr>
        <w:t>（其中：种草+施肥+围栏面积72.15 hm</w:t>
      </w:r>
      <w:r>
        <w:rPr>
          <w:rFonts w:hint="eastAsia" w:ascii="仿宋_GB2312" w:eastAsia="仿宋_GB2312"/>
          <w:sz w:val="32"/>
          <w:szCs w:val="32"/>
          <w:vertAlign w:val="superscript"/>
        </w:rPr>
        <w:t>2</w:t>
      </w:r>
      <w:r>
        <w:rPr>
          <w:rFonts w:hint="eastAsia" w:ascii="仿宋_GB2312" w:eastAsia="仿宋_GB2312"/>
          <w:sz w:val="32"/>
          <w:szCs w:val="32"/>
        </w:rPr>
        <w:t>，生态毯+种草+施肥面积0.52 hm</w:t>
      </w:r>
      <w:r>
        <w:rPr>
          <w:rFonts w:hint="eastAsia" w:ascii="仿宋_GB2312" w:eastAsia="仿宋_GB2312"/>
          <w:sz w:val="32"/>
          <w:szCs w:val="32"/>
          <w:vertAlign w:val="superscript"/>
        </w:rPr>
        <w:t>2</w:t>
      </w:r>
      <w:r>
        <w:rPr>
          <w:rFonts w:hint="eastAsia" w:ascii="仿宋_GB2312" w:eastAsia="仿宋_GB2312"/>
          <w:sz w:val="32"/>
          <w:szCs w:val="32"/>
        </w:rPr>
        <w:t>，新建围栏3426m，</w:t>
      </w:r>
      <w:r>
        <w:rPr>
          <w:rFonts w:hint="eastAsia" w:ascii="仿宋_GB2312" w:hAnsi="仿宋_GB2312" w:eastAsia="仿宋_GB2312" w:cs="仿宋_GB2312"/>
          <w:sz w:val="32"/>
          <w:szCs w:val="32"/>
        </w:rPr>
        <w:t>标牌1座</w:t>
      </w:r>
      <w:r>
        <w:rPr>
          <w:rFonts w:hint="eastAsia" w:ascii="仿宋_GB2312" w:eastAsia="仿宋_GB2312"/>
          <w:sz w:val="32"/>
          <w:szCs w:val="32"/>
        </w:rPr>
        <w:t>）</w:t>
      </w:r>
      <w:r>
        <w:rPr>
          <w:rFonts w:hint="eastAsia" w:ascii="仿宋_GB2312" w:hAnsi="仿宋_GB2312" w:eastAsia="仿宋_GB2312" w:cs="仿宋_GB2312"/>
          <w:sz w:val="32"/>
          <w:szCs w:val="32"/>
        </w:rPr>
        <w:t>。</w:t>
      </w:r>
      <w:r>
        <w:rPr>
          <w:rFonts w:hint="eastAsia" w:ascii="仿宋_GB2312" w:eastAsia="仿宋_GB2312"/>
          <w:sz w:val="32"/>
          <w:szCs w:val="32"/>
        </w:rPr>
        <w:t>2017年8月底，</w:t>
      </w:r>
      <w:r>
        <w:rPr>
          <w:rFonts w:hint="eastAsia" w:ascii="仿宋_GB2312" w:hAnsi="仿宋_GB2312" w:eastAsia="仿宋_GB2312" w:cs="仿宋_GB2312"/>
          <w:sz w:val="32"/>
          <w:szCs w:val="32"/>
        </w:rPr>
        <w:t>通过了相关单位组成的验收小组的验收。</w:t>
      </w:r>
    </w:p>
    <w:p>
      <w:pPr>
        <w:autoSpaceDE w:val="0"/>
        <w:autoSpaceDN w:val="0"/>
        <w:spacing w:line="560" w:lineRule="exact"/>
        <w:ind w:firstLine="640" w:firstLineChars="200"/>
        <w:rPr>
          <w:rFonts w:ascii="黑体" w:hAnsi="黑体" w:eastAsia="黑体" w:cs="黑体"/>
          <w:kern w:val="0"/>
          <w:sz w:val="32"/>
          <w:lang w:val="zh-CN"/>
        </w:rPr>
      </w:pPr>
      <w:r>
        <w:rPr>
          <w:rFonts w:hint="eastAsia" w:ascii="黑体" w:hAnsi="黑体" w:eastAsia="黑体" w:cs="黑体"/>
          <w:kern w:val="0"/>
          <w:sz w:val="32"/>
          <w:lang w:val="zh-CN"/>
        </w:rPr>
        <w:t>四、项目效益情况</w:t>
      </w:r>
    </w:p>
    <w:p>
      <w:pPr>
        <w:autoSpaceDE w:val="0"/>
        <w:autoSpaceDN w:val="0"/>
        <w:spacing w:line="560" w:lineRule="exact"/>
        <w:ind w:firstLine="640" w:firstLineChars="200"/>
        <w:rPr>
          <w:rFonts w:ascii="黑体" w:eastAsia="黑体"/>
          <w:sz w:val="32"/>
          <w:lang w:val="zh-CN"/>
        </w:rPr>
      </w:pPr>
      <w:r>
        <w:rPr>
          <w:rFonts w:hint="eastAsia" w:ascii="黑体" w:eastAsia="黑体"/>
          <w:kern w:val="0"/>
          <w:sz w:val="32"/>
          <w:lang w:val="zh-CN"/>
        </w:rPr>
        <w:t>（一）</w:t>
      </w:r>
      <w:r>
        <w:rPr>
          <w:rFonts w:hint="eastAsia" w:ascii="黑体" w:eastAsia="黑体"/>
          <w:sz w:val="32"/>
          <w:lang w:val="zh-CN"/>
        </w:rPr>
        <w:t>生态效益</w:t>
      </w:r>
    </w:p>
    <w:p>
      <w:pPr>
        <w:autoSpaceDE w:val="0"/>
        <w:autoSpaceDN w:val="0"/>
        <w:spacing w:line="560" w:lineRule="exact"/>
        <w:ind w:firstLine="627" w:firstLineChars="196"/>
        <w:rPr>
          <w:rFonts w:ascii="仿宋_GB2312" w:eastAsia="仿宋_GB2312"/>
          <w:kern w:val="0"/>
          <w:sz w:val="32"/>
          <w:szCs w:val="32"/>
        </w:rPr>
      </w:pPr>
      <w:r>
        <w:rPr>
          <w:rFonts w:ascii="仿宋_GB2312" w:eastAsia="仿宋_GB2312"/>
          <w:kern w:val="0"/>
          <w:sz w:val="32"/>
          <w:szCs w:val="32"/>
        </w:rPr>
        <w:t>1.</w:t>
      </w:r>
      <w:r>
        <w:rPr>
          <w:rFonts w:hint="eastAsia" w:ascii="仿宋_GB2312" w:eastAsia="仿宋_GB2312"/>
          <w:kern w:val="0"/>
          <w:sz w:val="32"/>
          <w:szCs w:val="32"/>
        </w:rPr>
        <w:t xml:space="preserve"> </w:t>
      </w:r>
      <w:r>
        <w:rPr>
          <w:rFonts w:ascii="仿宋_GB2312" w:eastAsia="仿宋_GB2312"/>
          <w:kern w:val="0"/>
          <w:sz w:val="32"/>
          <w:szCs w:val="32"/>
        </w:rPr>
        <w:t>恢复草原植被、减轻水土流失：试点示范区内的沙地在治理后，地面植被将逐步恢复。由于草原植被能利用其茂密的茎叶和发达的根系，形成地表和土壤的保护层，具有良好的吸水、固土作用，减轻了土地表层冲刷和风蚀，从而有效地遏制水土流失，减少了流入江河的泥沙量。</w:t>
      </w:r>
    </w:p>
    <w:p>
      <w:pPr>
        <w:autoSpaceDE w:val="0"/>
        <w:autoSpaceDN w:val="0"/>
        <w:spacing w:line="560" w:lineRule="exact"/>
        <w:ind w:firstLine="627" w:firstLineChars="196"/>
        <w:rPr>
          <w:rFonts w:ascii="仿宋_GB2312" w:eastAsia="仿宋_GB2312"/>
          <w:kern w:val="0"/>
          <w:sz w:val="32"/>
          <w:szCs w:val="32"/>
        </w:rPr>
      </w:pPr>
      <w:bookmarkStart w:id="64" w:name="_Toc186274941"/>
      <w:bookmarkStart w:id="65" w:name="_Toc226822335"/>
      <w:bookmarkStart w:id="66" w:name="_Toc193189865"/>
      <w:bookmarkStart w:id="67" w:name="_Toc228530661"/>
      <w:r>
        <w:rPr>
          <w:rFonts w:ascii="仿宋_GB2312" w:eastAsia="仿宋_GB2312"/>
          <w:kern w:val="0"/>
          <w:sz w:val="32"/>
          <w:szCs w:val="32"/>
        </w:rPr>
        <w:t>2.</w:t>
      </w:r>
      <w:r>
        <w:rPr>
          <w:rFonts w:hint="eastAsia" w:ascii="仿宋_GB2312" w:eastAsia="仿宋_GB2312"/>
          <w:kern w:val="0"/>
          <w:sz w:val="32"/>
          <w:szCs w:val="32"/>
        </w:rPr>
        <w:t xml:space="preserve"> </w:t>
      </w:r>
      <w:r>
        <w:rPr>
          <w:rFonts w:ascii="仿宋_GB2312" w:eastAsia="仿宋_GB2312"/>
          <w:kern w:val="0"/>
          <w:sz w:val="32"/>
          <w:szCs w:val="32"/>
        </w:rPr>
        <w:t>提高水源涵养能力</w:t>
      </w:r>
      <w:bookmarkEnd w:id="64"/>
      <w:bookmarkEnd w:id="65"/>
      <w:bookmarkEnd w:id="66"/>
      <w:bookmarkEnd w:id="67"/>
      <w:r>
        <w:rPr>
          <w:rFonts w:ascii="仿宋_GB2312" w:eastAsia="仿宋_GB2312"/>
          <w:kern w:val="0"/>
          <w:sz w:val="32"/>
          <w:szCs w:val="32"/>
        </w:rPr>
        <w:t>：由于植被恢复、盖度提高，能有效地拦截雨水，并通过土壤孔隙渗透到地下形成地下水，逐渐补充给江河。与此同时，项目区内的湿地功能亦将逐步恢复，并充分发挥其调节气候、防洪抗旱、净化水质作用，提高水源涵养能力。</w:t>
      </w:r>
      <w:bookmarkStart w:id="68" w:name="_Toc226822336"/>
      <w:bookmarkStart w:id="69" w:name="_Toc228530662"/>
      <w:bookmarkStart w:id="70" w:name="_Toc193189866"/>
      <w:bookmarkStart w:id="71" w:name="_Toc186274942"/>
    </w:p>
    <w:p>
      <w:pPr>
        <w:autoSpaceDE w:val="0"/>
        <w:autoSpaceDN w:val="0"/>
        <w:spacing w:line="560" w:lineRule="exact"/>
        <w:ind w:firstLine="627" w:firstLineChars="196"/>
        <w:rPr>
          <w:rFonts w:ascii="仿宋_GB2312" w:eastAsia="仿宋_GB2312"/>
          <w:kern w:val="0"/>
          <w:sz w:val="32"/>
          <w:szCs w:val="32"/>
        </w:rPr>
      </w:pPr>
      <w:r>
        <w:rPr>
          <w:rFonts w:ascii="仿宋_GB2312" w:eastAsia="仿宋_GB2312"/>
          <w:kern w:val="0"/>
          <w:sz w:val="32"/>
          <w:szCs w:val="32"/>
        </w:rPr>
        <w:t>3.</w:t>
      </w:r>
      <w:r>
        <w:rPr>
          <w:rFonts w:hint="eastAsia" w:ascii="仿宋_GB2312" w:eastAsia="仿宋_GB2312"/>
          <w:kern w:val="0"/>
          <w:sz w:val="32"/>
          <w:szCs w:val="32"/>
        </w:rPr>
        <w:t xml:space="preserve"> </w:t>
      </w:r>
      <w:r>
        <w:rPr>
          <w:rFonts w:ascii="仿宋_GB2312" w:eastAsia="仿宋_GB2312"/>
          <w:kern w:val="0"/>
          <w:sz w:val="32"/>
          <w:szCs w:val="32"/>
        </w:rPr>
        <w:t>改善环境，促进生物多样性保护</w:t>
      </w:r>
      <w:bookmarkEnd w:id="68"/>
      <w:bookmarkEnd w:id="69"/>
      <w:bookmarkEnd w:id="70"/>
      <w:bookmarkEnd w:id="71"/>
      <w:r>
        <w:rPr>
          <w:rFonts w:ascii="仿宋_GB2312" w:eastAsia="仿宋_GB2312"/>
          <w:kern w:val="0"/>
          <w:sz w:val="32"/>
          <w:szCs w:val="32"/>
        </w:rPr>
        <w:t>：项目建成后，沙退化的草地植被得到了一定的恢复和保护，环境逐渐改善优化，促进生物多样性保护。</w:t>
      </w:r>
    </w:p>
    <w:p>
      <w:pPr>
        <w:autoSpaceDE w:val="0"/>
        <w:autoSpaceDN w:val="0"/>
        <w:spacing w:line="560" w:lineRule="exact"/>
        <w:ind w:firstLine="630" w:firstLineChars="196"/>
        <w:rPr>
          <w:rFonts w:ascii="黑体" w:eastAsia="黑体"/>
          <w:b/>
          <w:kern w:val="0"/>
          <w:sz w:val="32"/>
          <w:lang w:val="zh-CN"/>
        </w:rPr>
      </w:pPr>
      <w:r>
        <w:rPr>
          <w:rFonts w:hint="eastAsia" w:ascii="黑体" w:eastAsia="黑体"/>
          <w:b/>
          <w:kern w:val="0"/>
          <w:sz w:val="32"/>
          <w:lang w:val="zh-CN"/>
        </w:rPr>
        <w:t>（二）社会效益</w:t>
      </w:r>
    </w:p>
    <w:p>
      <w:pPr>
        <w:autoSpaceDE w:val="0"/>
        <w:autoSpaceDN w:val="0"/>
        <w:spacing w:line="560" w:lineRule="exact"/>
        <w:ind w:firstLine="640" w:firstLineChars="200"/>
        <w:rPr>
          <w:rFonts w:ascii="仿宋_GB2312" w:eastAsia="仿宋_GB2312"/>
          <w:kern w:val="0"/>
          <w:sz w:val="32"/>
        </w:rPr>
      </w:pPr>
      <w:r>
        <w:rPr>
          <w:rFonts w:ascii="仿宋_GB2312" w:eastAsia="仿宋_GB2312"/>
          <w:kern w:val="0"/>
          <w:sz w:val="32"/>
        </w:rPr>
        <w:t>项目建设将起到很好的示范带动作用，提高牧民保护草原的意识，引导牧民从靠天养畜、掠夺式经营向建设养畜、科学利用草地资源转变，并有效地将环境保护、畜牧业结构调整、地方经济发展等结合起来，提高畜牧业科技水平，提供社会就业机会，增加治理区村民的劳务收入，繁荣地方经济；另一方面还将对增进民族团结，保持藏区社会安定起到重要作用。</w:t>
      </w:r>
    </w:p>
    <w:p>
      <w:pPr>
        <w:autoSpaceDE w:val="0"/>
        <w:autoSpaceDN w:val="0"/>
        <w:spacing w:line="560" w:lineRule="exact"/>
        <w:ind w:firstLine="643" w:firstLineChars="200"/>
        <w:rPr>
          <w:rFonts w:ascii="黑体" w:eastAsia="黑体"/>
          <w:b/>
          <w:sz w:val="32"/>
          <w:lang w:val="zh-CN"/>
        </w:rPr>
      </w:pPr>
      <w:r>
        <w:rPr>
          <w:rFonts w:hint="eastAsia" w:ascii="黑体" w:eastAsia="黑体"/>
          <w:b/>
          <w:sz w:val="32"/>
          <w:lang w:val="zh-CN"/>
        </w:rPr>
        <w:t>（三）经济效益</w:t>
      </w:r>
    </w:p>
    <w:p>
      <w:pPr>
        <w:spacing w:line="560" w:lineRule="exact"/>
        <w:rPr>
          <w:rFonts w:ascii="仿宋_GB2312" w:hAnsi="宋体" w:eastAsia="仿宋_GB2312"/>
          <w:sz w:val="32"/>
          <w:szCs w:val="32"/>
        </w:rPr>
      </w:pPr>
      <w:r>
        <w:rPr>
          <w:rFonts w:ascii="仿宋_GB2312" w:hAnsi="宋体" w:eastAsia="仿宋_GB2312"/>
          <w:sz w:val="32"/>
          <w:szCs w:val="32"/>
        </w:rPr>
        <w:t>通过沙化治理，引导和培育沙产业，在改善生态环境的同时也促进区域的经济发展，同时随着工程的开展，将会产生大量的劳务用工，增加治理区农牧民的劳务收入，产生一定直接经济效益。初步测算工程建设将会产生约</w:t>
      </w:r>
      <w:r>
        <w:rPr>
          <w:rFonts w:hint="eastAsia" w:ascii="仿宋_GB2312" w:hAnsi="宋体" w:eastAsia="仿宋_GB2312"/>
          <w:sz w:val="32"/>
          <w:szCs w:val="32"/>
        </w:rPr>
        <w:t>1867</w:t>
      </w:r>
      <w:r>
        <w:rPr>
          <w:rFonts w:ascii="仿宋_GB2312" w:hAnsi="宋体" w:eastAsia="仿宋_GB2312"/>
          <w:sz w:val="32"/>
          <w:szCs w:val="32"/>
        </w:rPr>
        <w:t>个劳务用工，增加当地劳务收入约</w:t>
      </w:r>
      <w:r>
        <w:rPr>
          <w:rFonts w:hint="eastAsia" w:ascii="仿宋_GB2312" w:hAnsi="宋体" w:eastAsia="仿宋_GB2312"/>
          <w:sz w:val="32"/>
          <w:szCs w:val="32"/>
        </w:rPr>
        <w:t>32.73</w:t>
      </w:r>
      <w:r>
        <w:rPr>
          <w:rFonts w:ascii="仿宋_GB2312" w:hAnsi="宋体" w:eastAsia="仿宋_GB2312"/>
          <w:sz w:val="32"/>
          <w:szCs w:val="32"/>
        </w:rPr>
        <w:t>万元。同时，有机肥是当地丰富的可再生资源，当地农牧民通过收集后卖给项目实施单位，也会为当地农牧民带来收入。工程实施后，治理区间接经济效益主要体现在林草植被本身具有的涵养水源、固土保肥、碳氧平衡，自然灾害减少，提高单位产草量，推动畜牧业良性发展等。</w:t>
      </w:r>
    </w:p>
    <w:p>
      <w:pPr>
        <w:spacing w:line="560" w:lineRule="exact"/>
        <w:rPr>
          <w:rFonts w:ascii="仿宋_GB2312" w:eastAsia="仿宋_GB2312"/>
          <w:sz w:val="32"/>
          <w:szCs w:val="32"/>
        </w:rPr>
      </w:pPr>
      <w:r>
        <w:rPr>
          <w:rFonts w:hint="eastAsia" w:ascii="黑体" w:hAnsi="宋体" w:eastAsia="黑体"/>
          <w:sz w:val="32"/>
          <w:szCs w:val="32"/>
        </w:rPr>
        <w:t>六、问题及建议</w:t>
      </w:r>
    </w:p>
    <w:p>
      <w:pPr>
        <w:spacing w:line="560" w:lineRule="exact"/>
        <w:ind w:firstLine="640" w:firstLineChars="200"/>
        <w:rPr>
          <w:rFonts w:ascii="黑体" w:hAnsi="宋体" w:eastAsia="黑体"/>
          <w:sz w:val="32"/>
          <w:szCs w:val="32"/>
        </w:rPr>
      </w:pPr>
      <w:r>
        <w:rPr>
          <w:rFonts w:ascii="黑体" w:hAnsi="宋体" w:eastAsia="黑体"/>
          <w:sz w:val="32"/>
          <w:szCs w:val="32"/>
        </w:rPr>
        <w:tab/>
      </w:r>
      <w:r>
        <w:rPr>
          <w:rFonts w:hint="eastAsia" w:ascii="黑体" w:hAnsi="宋体" w:eastAsia="黑体"/>
          <w:sz w:val="32"/>
          <w:szCs w:val="32"/>
        </w:rPr>
        <w:t>（一）问题</w:t>
      </w:r>
    </w:p>
    <w:p>
      <w:pPr>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治理区域面临着成果巩固的难题，从现有的情况看，主要存在没有形成长效的管护机制，群众要眼前利益，生态刚好转牧民就放牧，一旦停止后期管护，治理区域极有可能出现二次植被破坏、重新沙化的可能。</w:t>
      </w:r>
    </w:p>
    <w:p>
      <w:pPr>
        <w:spacing w:line="560" w:lineRule="exact"/>
        <w:ind w:firstLine="640" w:firstLineChars="200"/>
        <w:rPr>
          <w:rFonts w:ascii="黑体" w:hAnsi="宋体" w:eastAsia="黑体"/>
          <w:bCs/>
          <w:sz w:val="32"/>
          <w:szCs w:val="32"/>
        </w:rPr>
      </w:pPr>
      <w:r>
        <w:rPr>
          <w:rFonts w:hint="eastAsia" w:ascii="黑体" w:hAnsi="宋体" w:eastAsia="黑体"/>
          <w:bCs/>
          <w:sz w:val="32"/>
          <w:szCs w:val="32"/>
        </w:rPr>
        <w:t>（二）建议</w:t>
      </w:r>
    </w:p>
    <w:p>
      <w:pPr>
        <w:spacing w:line="560" w:lineRule="exact"/>
        <w:ind w:firstLine="640" w:firstLineChars="200"/>
        <w:rPr>
          <w:rFonts w:ascii="仿宋_GB2312" w:eastAsia="仿宋_GB2312"/>
          <w:bCs/>
          <w:sz w:val="32"/>
          <w:szCs w:val="32"/>
        </w:rPr>
      </w:pPr>
      <w:r>
        <w:rPr>
          <w:rFonts w:hint="eastAsia" w:ascii="仿宋_GB2312" w:eastAsia="仿宋_GB2312"/>
          <w:bCs/>
          <w:sz w:val="32"/>
          <w:szCs w:val="32"/>
        </w:rPr>
        <w:t>建立</w:t>
      </w:r>
      <w:r>
        <w:rPr>
          <w:rFonts w:hint="eastAsia" w:ascii="仿宋_GB2312" w:hAnsi="宋体" w:eastAsia="仿宋_GB2312"/>
          <w:bCs/>
          <w:sz w:val="32"/>
          <w:szCs w:val="32"/>
        </w:rPr>
        <w:t>长效的管护机制。</w:t>
      </w:r>
    </w:p>
    <w:p>
      <w:pPr>
        <w:spacing w:line="580" w:lineRule="exact"/>
        <w:ind w:firstLine="1760" w:firstLineChars="400"/>
        <w:rPr>
          <w:rFonts w:ascii="黑体" w:hAnsi="黑体" w:eastAsia="黑体" w:cs="方正小标宋简体"/>
          <w:sz w:val="44"/>
          <w:szCs w:val="44"/>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autoSpaceDE w:val="0"/>
        <w:spacing w:line="560" w:lineRule="exact"/>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8"/>
      <w:bookmarkEnd w:id="63"/>
    </w:p>
    <w:p>
      <w:pPr>
        <w:spacing w:line="600" w:lineRule="exact"/>
        <w:jc w:val="center"/>
        <w:outlineLvl w:val="0"/>
        <w:rPr>
          <w:rStyle w:val="26"/>
          <w:rFonts w:ascii="黑体" w:hAnsi="黑体" w:eastAsia="黑体"/>
          <w:b w:val="0"/>
        </w:rPr>
      </w:pPr>
    </w:p>
    <w:p>
      <w:pPr>
        <w:spacing w:line="600" w:lineRule="exact"/>
        <w:jc w:val="center"/>
        <w:outlineLvl w:val="0"/>
        <w:rPr>
          <w:rFonts w:ascii="仿宋" w:hAnsi="仿宋" w:eastAsia="仿宋"/>
          <w:b/>
          <w:color w:val="000000"/>
          <w:sz w:val="44"/>
          <w:szCs w:val="44"/>
        </w:rPr>
      </w:pPr>
    </w:p>
    <w:p>
      <w:pPr>
        <w:pStyle w:val="3"/>
        <w:numPr>
          <w:ilvl w:val="0"/>
          <w:numId w:val="19"/>
        </w:numPr>
        <w:spacing w:line="560" w:lineRule="exact"/>
        <w:rPr>
          <w:rFonts w:ascii="仿宋" w:hAnsi="仿宋" w:eastAsia="仿宋"/>
          <w:b w:val="0"/>
          <w:color w:val="000000"/>
        </w:rPr>
      </w:pPr>
      <w:bookmarkStart w:id="72" w:name="_Toc15396620"/>
      <w:r>
        <w:rPr>
          <w:rFonts w:hint="eastAsia" w:ascii="仿宋" w:hAnsi="仿宋" w:eastAsia="仿宋"/>
          <w:b w:val="0"/>
          <w:color w:val="000000"/>
        </w:rPr>
        <w:t>收入支出决算总表</w:t>
      </w:r>
    </w:p>
    <w:p>
      <w:pPr>
        <w:pStyle w:val="3"/>
        <w:spacing w:line="560" w:lineRule="exact"/>
        <w:rPr>
          <w:rFonts w:ascii="仿宋" w:hAnsi="仿宋" w:eastAsia="仿宋"/>
          <w:color w:val="000000"/>
        </w:rPr>
      </w:pPr>
      <w:r>
        <w:rPr>
          <w:rFonts w:hint="eastAsia" w:ascii="仿宋" w:hAnsi="仿宋" w:eastAsia="仿宋"/>
          <w:b w:val="0"/>
          <w:color w:val="000000"/>
        </w:rPr>
        <w:t>二、收</w:t>
      </w:r>
      <w:r>
        <w:rPr>
          <w:rStyle w:val="27"/>
          <w:rFonts w:hint="eastAsia" w:ascii="仿宋" w:hAnsi="仿宋" w:eastAsia="仿宋"/>
          <w:b w:val="0"/>
          <w:bCs w:val="0"/>
        </w:rPr>
        <w:t>入总表</w:t>
      </w:r>
      <w:bookmarkEnd w:id="72"/>
    </w:p>
    <w:p>
      <w:pPr>
        <w:pStyle w:val="3"/>
        <w:spacing w:line="560" w:lineRule="exact"/>
        <w:rPr>
          <w:rFonts w:ascii="仿宋" w:hAnsi="仿宋" w:eastAsia="仿宋"/>
          <w:color w:val="000000"/>
        </w:rPr>
      </w:pPr>
      <w:bookmarkStart w:id="73"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73"/>
    </w:p>
    <w:p>
      <w:pPr>
        <w:pStyle w:val="3"/>
        <w:spacing w:line="560" w:lineRule="exact"/>
        <w:rPr>
          <w:rFonts w:ascii="仿宋" w:hAnsi="仿宋" w:eastAsia="仿宋"/>
          <w:b w:val="0"/>
          <w:color w:val="000000"/>
        </w:rPr>
      </w:pPr>
      <w:bookmarkStart w:id="74"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74"/>
    </w:p>
    <w:p>
      <w:pPr>
        <w:pStyle w:val="3"/>
        <w:spacing w:line="560" w:lineRule="exact"/>
        <w:rPr>
          <w:rFonts w:ascii="仿宋" w:hAnsi="仿宋" w:eastAsia="仿宋"/>
          <w:color w:val="000000"/>
        </w:rPr>
      </w:pPr>
      <w:bookmarkStart w:id="75"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75"/>
    </w:p>
    <w:p>
      <w:pPr>
        <w:pStyle w:val="3"/>
        <w:spacing w:line="560" w:lineRule="exact"/>
        <w:rPr>
          <w:rFonts w:ascii="仿宋" w:hAnsi="仿宋" w:eastAsia="仿宋"/>
          <w:color w:val="000000"/>
        </w:rPr>
      </w:pPr>
      <w:bookmarkStart w:id="76"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76"/>
    </w:p>
    <w:p>
      <w:pPr>
        <w:pStyle w:val="3"/>
        <w:spacing w:line="560" w:lineRule="exact"/>
        <w:rPr>
          <w:rFonts w:ascii="仿宋" w:hAnsi="仿宋" w:eastAsia="仿宋"/>
          <w:color w:val="000000"/>
        </w:rPr>
      </w:pPr>
      <w:bookmarkStart w:id="77"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77"/>
    </w:p>
    <w:p>
      <w:pPr>
        <w:pStyle w:val="3"/>
        <w:spacing w:line="560" w:lineRule="exact"/>
        <w:rPr>
          <w:rFonts w:ascii="仿宋" w:hAnsi="仿宋" w:eastAsia="仿宋"/>
          <w:color w:val="000000"/>
        </w:rPr>
      </w:pPr>
      <w:bookmarkStart w:id="78"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78"/>
    </w:p>
    <w:p>
      <w:pPr>
        <w:pStyle w:val="3"/>
        <w:spacing w:line="560" w:lineRule="exact"/>
        <w:rPr>
          <w:rFonts w:ascii="仿宋" w:hAnsi="仿宋" w:eastAsia="仿宋"/>
          <w:color w:val="000000"/>
        </w:rPr>
      </w:pPr>
      <w:bookmarkStart w:id="79"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79"/>
    </w:p>
    <w:p>
      <w:pPr>
        <w:pStyle w:val="3"/>
        <w:spacing w:line="560" w:lineRule="exact"/>
        <w:rPr>
          <w:rFonts w:ascii="仿宋" w:hAnsi="仿宋" w:eastAsia="仿宋"/>
          <w:color w:val="000000"/>
        </w:rPr>
      </w:pPr>
      <w:bookmarkStart w:id="80"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80"/>
    </w:p>
    <w:p>
      <w:pPr>
        <w:pStyle w:val="3"/>
        <w:spacing w:line="560" w:lineRule="exact"/>
        <w:rPr>
          <w:rFonts w:ascii="仿宋" w:hAnsi="仿宋" w:eastAsia="仿宋"/>
          <w:color w:val="000000"/>
        </w:rPr>
      </w:pPr>
      <w:bookmarkStart w:id="81"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81"/>
    </w:p>
    <w:p>
      <w:pPr>
        <w:pStyle w:val="3"/>
        <w:spacing w:line="560" w:lineRule="exact"/>
        <w:rPr>
          <w:rFonts w:ascii="仿宋" w:hAnsi="仿宋" w:eastAsia="仿宋"/>
          <w:color w:val="000000"/>
        </w:rPr>
      </w:pPr>
      <w:bookmarkStart w:id="82"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82"/>
    </w:p>
    <w:p>
      <w:pPr>
        <w:pStyle w:val="3"/>
        <w:spacing w:line="560" w:lineRule="exact"/>
        <w:rPr>
          <w:rStyle w:val="27"/>
          <w:rFonts w:ascii="仿宋" w:hAnsi="仿宋" w:eastAsia="仿宋"/>
          <w:b w:val="0"/>
          <w:bCs w:val="0"/>
        </w:rPr>
      </w:pPr>
      <w:bookmarkStart w:id="83"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83"/>
    </w:p>
    <w:p>
      <w:pPr>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十四、整体支出绩效评价打分表</w:t>
      </w:r>
    </w:p>
    <w:p>
      <w:pPr>
        <w:rPr>
          <w:rStyle w:val="27"/>
          <w:rFonts w:ascii="仿宋" w:hAnsi="仿宋" w:eastAsia="仿宋"/>
          <w:b w:val="0"/>
          <w:bCs w:val="0"/>
        </w:rPr>
      </w:pPr>
      <w:r>
        <w:rPr>
          <w:rStyle w:val="27"/>
          <w:rFonts w:hint="eastAsia" w:ascii="仿宋" w:hAnsi="仿宋" w:eastAsia="仿宋"/>
          <w:b w:val="0"/>
          <w:bCs w:val="0"/>
          <w:lang w:val="en-US" w:eastAsia="zh-CN"/>
        </w:rPr>
        <w:t>十五、项目支出绩效评价打分表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28</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BED323"/>
    <w:multiLevelType w:val="singleLevel"/>
    <w:tmpl w:val="C3BED323"/>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ED453BA5"/>
    <w:multiLevelType w:val="singleLevel"/>
    <w:tmpl w:val="ED453BA5"/>
    <w:lvl w:ilvl="0" w:tentative="0">
      <w:start w:val="2"/>
      <w:numFmt w:val="chineseCounting"/>
      <w:suff w:val="nothing"/>
      <w:lvlText w:val="（%1）"/>
      <w:lvlJc w:val="left"/>
      <w:rPr>
        <w:rFonts w:hint="eastAsia"/>
      </w:rPr>
    </w:lvl>
  </w:abstractNum>
  <w:abstractNum w:abstractNumId="5">
    <w:nsid w:val="0000000A"/>
    <w:multiLevelType w:val="multilevel"/>
    <w:tmpl w:val="0000000A"/>
    <w:lvl w:ilvl="0" w:tentative="0">
      <w:start w:val="1"/>
      <w:numFmt w:val="japaneseCounting"/>
      <w:lvlText w:val="%1、"/>
      <w:lvlJc w:val="left"/>
      <w:pPr>
        <w:tabs>
          <w:tab w:val="left" w:pos="1440"/>
        </w:tabs>
        <w:ind w:left="1440" w:hanging="720"/>
      </w:pPr>
      <w:rPr>
        <w:rFonts w:hint="default"/>
      </w:r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8">
    <w:nsid w:val="1F682B41"/>
    <w:multiLevelType w:val="singleLevel"/>
    <w:tmpl w:val="1F682B41"/>
    <w:lvl w:ilvl="0" w:tentative="0">
      <w:start w:val="5"/>
      <w:numFmt w:val="decimal"/>
      <w:lvlText w:val="%1."/>
      <w:lvlJc w:val="left"/>
      <w:pPr>
        <w:tabs>
          <w:tab w:val="left" w:pos="312"/>
        </w:tabs>
      </w:pPr>
    </w:lvl>
  </w:abstractNum>
  <w:abstractNum w:abstractNumId="9">
    <w:nsid w:val="3928FCDD"/>
    <w:multiLevelType w:val="singleLevel"/>
    <w:tmpl w:val="3928FCDD"/>
    <w:lvl w:ilvl="0" w:tentative="0">
      <w:start w:val="1"/>
      <w:numFmt w:val="chineseCounting"/>
      <w:suff w:val="nothing"/>
      <w:lvlText w:val="（%1）"/>
      <w:lvlJc w:val="left"/>
      <w:rPr>
        <w:rFonts w:hint="eastAsia"/>
      </w:rPr>
    </w:lvl>
  </w:abstractNum>
  <w:abstractNum w:abstractNumId="10">
    <w:nsid w:val="40F945BF"/>
    <w:multiLevelType w:val="singleLevel"/>
    <w:tmpl w:val="40F945BF"/>
    <w:lvl w:ilvl="0" w:tentative="0">
      <w:start w:val="2"/>
      <w:numFmt w:val="decimal"/>
      <w:suff w:val="nothing"/>
      <w:lvlText w:val="%1．"/>
      <w:lvlJc w:val="left"/>
    </w:lvl>
  </w:abstractNum>
  <w:abstractNum w:abstractNumId="11">
    <w:nsid w:val="566B0CF1"/>
    <w:multiLevelType w:val="multilevel"/>
    <w:tmpl w:val="566B0CF1"/>
    <w:lvl w:ilvl="0" w:tentative="0">
      <w:start w:val="1"/>
      <w:numFmt w:val="japaneseCounting"/>
      <w:lvlText w:val="（%1）"/>
      <w:lvlJc w:val="left"/>
      <w:pPr>
        <w:ind w:left="1800" w:hanging="108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2">
    <w:nsid w:val="5AF56765"/>
    <w:multiLevelType w:val="singleLevel"/>
    <w:tmpl w:val="5AF56765"/>
    <w:lvl w:ilvl="0" w:tentative="0">
      <w:start w:val="2"/>
      <w:numFmt w:val="chineseCounting"/>
      <w:suff w:val="nothing"/>
      <w:lvlText w:val="（%1）"/>
      <w:lvlJc w:val="left"/>
      <w:rPr>
        <w:rFonts w:hint="eastAsia"/>
      </w:rPr>
    </w:lvl>
  </w:abstractNum>
  <w:abstractNum w:abstractNumId="13">
    <w:nsid w:val="5D5382B5"/>
    <w:multiLevelType w:val="singleLevel"/>
    <w:tmpl w:val="5D5382B5"/>
    <w:lvl w:ilvl="0" w:tentative="0">
      <w:start w:val="1"/>
      <w:numFmt w:val="chineseCounting"/>
      <w:suff w:val="nothing"/>
      <w:lvlText w:val="%1、"/>
      <w:lvlJc w:val="left"/>
    </w:lvl>
  </w:abstractNum>
  <w:abstractNum w:abstractNumId="14">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15">
    <w:nsid w:val="6BE9CDA7"/>
    <w:multiLevelType w:val="singleLevel"/>
    <w:tmpl w:val="6BE9CDA7"/>
    <w:lvl w:ilvl="0" w:tentative="0">
      <w:start w:val="2"/>
      <w:numFmt w:val="chineseCounting"/>
      <w:suff w:val="nothing"/>
      <w:lvlText w:val="（%1）"/>
      <w:lvlJc w:val="left"/>
      <w:rPr>
        <w:rFonts w:hint="eastAsia"/>
      </w:rPr>
    </w:lvl>
  </w:abstractNum>
  <w:abstractNum w:abstractNumId="16">
    <w:nsid w:val="6CD93FED"/>
    <w:multiLevelType w:val="singleLevel"/>
    <w:tmpl w:val="6CD93FED"/>
    <w:lvl w:ilvl="0" w:tentative="0">
      <w:start w:val="3"/>
      <w:numFmt w:val="chineseCounting"/>
      <w:suff w:val="nothing"/>
      <w:lvlText w:val="%1、"/>
      <w:lvlJc w:val="left"/>
      <w:rPr>
        <w:rFonts w:hint="eastAsia"/>
      </w:rPr>
    </w:lvl>
  </w:abstractNum>
  <w:abstractNum w:abstractNumId="17">
    <w:nsid w:val="7A7988E0"/>
    <w:multiLevelType w:val="singleLevel"/>
    <w:tmpl w:val="7A7988E0"/>
    <w:lvl w:ilvl="0" w:tentative="0">
      <w:start w:val="2"/>
      <w:numFmt w:val="chineseCounting"/>
      <w:suff w:val="nothing"/>
      <w:lvlText w:val="（%1）"/>
      <w:lvlJc w:val="left"/>
      <w:rPr>
        <w:rFonts w:hint="eastAsia"/>
      </w:rPr>
    </w:lvl>
  </w:abstractNum>
  <w:abstractNum w:abstractNumId="18">
    <w:nsid w:val="7D6851BB"/>
    <w:multiLevelType w:val="singleLevel"/>
    <w:tmpl w:val="7D6851BB"/>
    <w:lvl w:ilvl="0" w:tentative="0">
      <w:start w:val="2"/>
      <w:numFmt w:val="chineseCounting"/>
      <w:suff w:val="nothing"/>
      <w:lvlText w:val="（%1）"/>
      <w:lvlJc w:val="left"/>
      <w:rPr>
        <w:rFonts w:hint="eastAsia"/>
      </w:rPr>
    </w:lvl>
  </w:abstractNum>
  <w:num w:numId="1">
    <w:abstractNumId w:val="0"/>
  </w:num>
  <w:num w:numId="2">
    <w:abstractNumId w:val="16"/>
  </w:num>
  <w:num w:numId="3">
    <w:abstractNumId w:val="6"/>
  </w:num>
  <w:num w:numId="4">
    <w:abstractNumId w:val="8"/>
  </w:num>
  <w:num w:numId="5">
    <w:abstractNumId w:val="1"/>
  </w:num>
  <w:num w:numId="6">
    <w:abstractNumId w:val="7"/>
  </w:num>
  <w:num w:numId="7">
    <w:abstractNumId w:val="3"/>
  </w:num>
  <w:num w:numId="8">
    <w:abstractNumId w:val="2"/>
  </w:num>
  <w:num w:numId="9">
    <w:abstractNumId w:val="15"/>
  </w:num>
  <w:num w:numId="10">
    <w:abstractNumId w:val="12"/>
  </w:num>
  <w:num w:numId="11">
    <w:abstractNumId w:val="14"/>
  </w:num>
  <w:num w:numId="12">
    <w:abstractNumId w:val="10"/>
  </w:num>
  <w:num w:numId="13">
    <w:abstractNumId w:val="18"/>
  </w:num>
  <w:num w:numId="14">
    <w:abstractNumId w:val="11"/>
  </w:num>
  <w:num w:numId="15">
    <w:abstractNumId w:val="9"/>
  </w:num>
  <w:num w:numId="16">
    <w:abstractNumId w:val="4"/>
  </w:num>
  <w:num w:numId="17">
    <w:abstractNumId w:val="17"/>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lNmU2NDRhOWE4MDM0MTFmNjg2M2JkZDAzMDAwZTYifQ=="/>
  </w:docVars>
  <w:rsids>
    <w:rsidRoot w:val="00F1361C"/>
    <w:rsid w:val="000222C6"/>
    <w:rsid w:val="0002549F"/>
    <w:rsid w:val="00052688"/>
    <w:rsid w:val="0006487A"/>
    <w:rsid w:val="000657B8"/>
    <w:rsid w:val="00065F8F"/>
    <w:rsid w:val="000768F2"/>
    <w:rsid w:val="00080CE4"/>
    <w:rsid w:val="0009184B"/>
    <w:rsid w:val="0009593C"/>
    <w:rsid w:val="000A27B5"/>
    <w:rsid w:val="000B047F"/>
    <w:rsid w:val="000B0719"/>
    <w:rsid w:val="000B5923"/>
    <w:rsid w:val="000B5A48"/>
    <w:rsid w:val="000B6FF3"/>
    <w:rsid w:val="000B7366"/>
    <w:rsid w:val="000C3467"/>
    <w:rsid w:val="000C3CA6"/>
    <w:rsid w:val="000D1267"/>
    <w:rsid w:val="000D1D50"/>
    <w:rsid w:val="000D4586"/>
    <w:rsid w:val="000D5782"/>
    <w:rsid w:val="000E6613"/>
    <w:rsid w:val="000E7119"/>
    <w:rsid w:val="000F5BD2"/>
    <w:rsid w:val="00100049"/>
    <w:rsid w:val="0011430A"/>
    <w:rsid w:val="00114E9B"/>
    <w:rsid w:val="001177E1"/>
    <w:rsid w:val="00135DBD"/>
    <w:rsid w:val="00143E06"/>
    <w:rsid w:val="00145772"/>
    <w:rsid w:val="0014729F"/>
    <w:rsid w:val="00157BAB"/>
    <w:rsid w:val="00164DF5"/>
    <w:rsid w:val="001654D1"/>
    <w:rsid w:val="0018106D"/>
    <w:rsid w:val="001877A7"/>
    <w:rsid w:val="00191536"/>
    <w:rsid w:val="001960BF"/>
    <w:rsid w:val="00196687"/>
    <w:rsid w:val="001A0A5E"/>
    <w:rsid w:val="001A6292"/>
    <w:rsid w:val="001C0962"/>
    <w:rsid w:val="001D6BB1"/>
    <w:rsid w:val="001D7531"/>
    <w:rsid w:val="001E737D"/>
    <w:rsid w:val="001F0592"/>
    <w:rsid w:val="001F7506"/>
    <w:rsid w:val="002006CD"/>
    <w:rsid w:val="00202B36"/>
    <w:rsid w:val="00204B7A"/>
    <w:rsid w:val="0021101A"/>
    <w:rsid w:val="00220536"/>
    <w:rsid w:val="0022233F"/>
    <w:rsid w:val="00235629"/>
    <w:rsid w:val="0024281C"/>
    <w:rsid w:val="00254D6F"/>
    <w:rsid w:val="00257BA2"/>
    <w:rsid w:val="00260C38"/>
    <w:rsid w:val="002616C0"/>
    <w:rsid w:val="002662AA"/>
    <w:rsid w:val="00280496"/>
    <w:rsid w:val="00294116"/>
    <w:rsid w:val="00295495"/>
    <w:rsid w:val="002A3A19"/>
    <w:rsid w:val="002B2613"/>
    <w:rsid w:val="002F1818"/>
    <w:rsid w:val="002F567B"/>
    <w:rsid w:val="003216A9"/>
    <w:rsid w:val="003249F3"/>
    <w:rsid w:val="003464DC"/>
    <w:rsid w:val="0035549B"/>
    <w:rsid w:val="00355AED"/>
    <w:rsid w:val="00355AF5"/>
    <w:rsid w:val="0037013F"/>
    <w:rsid w:val="00372CAE"/>
    <w:rsid w:val="00380C92"/>
    <w:rsid w:val="00381527"/>
    <w:rsid w:val="003A484F"/>
    <w:rsid w:val="003B0BE0"/>
    <w:rsid w:val="003B0C1B"/>
    <w:rsid w:val="003B688C"/>
    <w:rsid w:val="003C0291"/>
    <w:rsid w:val="003C39AE"/>
    <w:rsid w:val="003C7B60"/>
    <w:rsid w:val="003D1FB2"/>
    <w:rsid w:val="003D66DA"/>
    <w:rsid w:val="003E1310"/>
    <w:rsid w:val="003E14BC"/>
    <w:rsid w:val="003E1D4D"/>
    <w:rsid w:val="003E6F55"/>
    <w:rsid w:val="003E7F9F"/>
    <w:rsid w:val="0040295C"/>
    <w:rsid w:val="00406254"/>
    <w:rsid w:val="004074CC"/>
    <w:rsid w:val="004223DE"/>
    <w:rsid w:val="0042655F"/>
    <w:rsid w:val="00434489"/>
    <w:rsid w:val="00437085"/>
    <w:rsid w:val="00441C1A"/>
    <w:rsid w:val="00443880"/>
    <w:rsid w:val="004464F4"/>
    <w:rsid w:val="00451A65"/>
    <w:rsid w:val="00461048"/>
    <w:rsid w:val="00471401"/>
    <w:rsid w:val="00473F31"/>
    <w:rsid w:val="0048263A"/>
    <w:rsid w:val="00487E5D"/>
    <w:rsid w:val="00495EB2"/>
    <w:rsid w:val="00496FE3"/>
    <w:rsid w:val="004A5AC8"/>
    <w:rsid w:val="004A711F"/>
    <w:rsid w:val="004B199D"/>
    <w:rsid w:val="004B4690"/>
    <w:rsid w:val="004C2F82"/>
    <w:rsid w:val="004D236B"/>
    <w:rsid w:val="004D4AC7"/>
    <w:rsid w:val="004E0A2D"/>
    <w:rsid w:val="004E206B"/>
    <w:rsid w:val="004E6DF7"/>
    <w:rsid w:val="004F0FBD"/>
    <w:rsid w:val="004F3FB3"/>
    <w:rsid w:val="004F4FBA"/>
    <w:rsid w:val="004F53BD"/>
    <w:rsid w:val="00505A47"/>
    <w:rsid w:val="00512FDA"/>
    <w:rsid w:val="00520DA0"/>
    <w:rsid w:val="00524B98"/>
    <w:rsid w:val="00543897"/>
    <w:rsid w:val="005514A8"/>
    <w:rsid w:val="005664BB"/>
    <w:rsid w:val="0057402F"/>
    <w:rsid w:val="0057481D"/>
    <w:rsid w:val="005750C6"/>
    <w:rsid w:val="0058424E"/>
    <w:rsid w:val="0058486E"/>
    <w:rsid w:val="0058603E"/>
    <w:rsid w:val="00595BC2"/>
    <w:rsid w:val="005D0280"/>
    <w:rsid w:val="005D19D3"/>
    <w:rsid w:val="005D1C8B"/>
    <w:rsid w:val="005D5CED"/>
    <w:rsid w:val="005E4315"/>
    <w:rsid w:val="005F1A4C"/>
    <w:rsid w:val="00604DAB"/>
    <w:rsid w:val="00605688"/>
    <w:rsid w:val="006070AF"/>
    <w:rsid w:val="0060765D"/>
    <w:rsid w:val="00607E6C"/>
    <w:rsid w:val="006101B1"/>
    <w:rsid w:val="00614E44"/>
    <w:rsid w:val="00622830"/>
    <w:rsid w:val="00630AEF"/>
    <w:rsid w:val="006325F8"/>
    <w:rsid w:val="00634C9A"/>
    <w:rsid w:val="00642BFC"/>
    <w:rsid w:val="006440E4"/>
    <w:rsid w:val="00650ADC"/>
    <w:rsid w:val="0066343B"/>
    <w:rsid w:val="00664777"/>
    <w:rsid w:val="006702B3"/>
    <w:rsid w:val="006748A4"/>
    <w:rsid w:val="00683E73"/>
    <w:rsid w:val="006A3141"/>
    <w:rsid w:val="006A5E34"/>
    <w:rsid w:val="006B1806"/>
    <w:rsid w:val="006B2422"/>
    <w:rsid w:val="006B2B9A"/>
    <w:rsid w:val="006C1937"/>
    <w:rsid w:val="006F020C"/>
    <w:rsid w:val="007013EC"/>
    <w:rsid w:val="00702D68"/>
    <w:rsid w:val="007127B7"/>
    <w:rsid w:val="00724764"/>
    <w:rsid w:val="00734C8D"/>
    <w:rsid w:val="007416B6"/>
    <w:rsid w:val="00746F48"/>
    <w:rsid w:val="0075404D"/>
    <w:rsid w:val="0076182A"/>
    <w:rsid w:val="00767B7E"/>
    <w:rsid w:val="007770C3"/>
    <w:rsid w:val="00784921"/>
    <w:rsid w:val="00784D24"/>
    <w:rsid w:val="00785FBA"/>
    <w:rsid w:val="00786E4A"/>
    <w:rsid w:val="00787375"/>
    <w:rsid w:val="007875EB"/>
    <w:rsid w:val="0078767F"/>
    <w:rsid w:val="0079426B"/>
    <w:rsid w:val="007A6C47"/>
    <w:rsid w:val="007B2FC1"/>
    <w:rsid w:val="007D312A"/>
    <w:rsid w:val="007D3D29"/>
    <w:rsid w:val="007D3F19"/>
    <w:rsid w:val="007E23B0"/>
    <w:rsid w:val="007E58E8"/>
    <w:rsid w:val="007F1991"/>
    <w:rsid w:val="007F2C2F"/>
    <w:rsid w:val="007F55FC"/>
    <w:rsid w:val="007F5665"/>
    <w:rsid w:val="00800112"/>
    <w:rsid w:val="00823C8F"/>
    <w:rsid w:val="00823DBB"/>
    <w:rsid w:val="008253BB"/>
    <w:rsid w:val="00830AA0"/>
    <w:rsid w:val="0083706E"/>
    <w:rsid w:val="008423A5"/>
    <w:rsid w:val="00850625"/>
    <w:rsid w:val="00853718"/>
    <w:rsid w:val="00855221"/>
    <w:rsid w:val="00860645"/>
    <w:rsid w:val="00871F71"/>
    <w:rsid w:val="00873EBB"/>
    <w:rsid w:val="0088264C"/>
    <w:rsid w:val="00885AF4"/>
    <w:rsid w:val="00885C33"/>
    <w:rsid w:val="008939CD"/>
    <w:rsid w:val="008978F4"/>
    <w:rsid w:val="008A748C"/>
    <w:rsid w:val="008B768C"/>
    <w:rsid w:val="008C4DB1"/>
    <w:rsid w:val="008C4EAF"/>
    <w:rsid w:val="008C5176"/>
    <w:rsid w:val="008C7FD0"/>
    <w:rsid w:val="008E1DE7"/>
    <w:rsid w:val="008E3031"/>
    <w:rsid w:val="008E707C"/>
    <w:rsid w:val="00900B08"/>
    <w:rsid w:val="00902155"/>
    <w:rsid w:val="00902FA3"/>
    <w:rsid w:val="009070F0"/>
    <w:rsid w:val="00923564"/>
    <w:rsid w:val="0092392E"/>
    <w:rsid w:val="009315F9"/>
    <w:rsid w:val="00931FBD"/>
    <w:rsid w:val="00946945"/>
    <w:rsid w:val="00951248"/>
    <w:rsid w:val="0095152F"/>
    <w:rsid w:val="00951E90"/>
    <w:rsid w:val="00954C49"/>
    <w:rsid w:val="009629C1"/>
    <w:rsid w:val="00967F62"/>
    <w:rsid w:val="0097099F"/>
    <w:rsid w:val="00971997"/>
    <w:rsid w:val="00971FFC"/>
    <w:rsid w:val="0098660A"/>
    <w:rsid w:val="009931C3"/>
    <w:rsid w:val="009B067B"/>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361B7"/>
    <w:rsid w:val="00A40A00"/>
    <w:rsid w:val="00A4142F"/>
    <w:rsid w:val="00A56DF2"/>
    <w:rsid w:val="00A67AB5"/>
    <w:rsid w:val="00A87D13"/>
    <w:rsid w:val="00A91760"/>
    <w:rsid w:val="00A93B00"/>
    <w:rsid w:val="00A93C21"/>
    <w:rsid w:val="00AA461D"/>
    <w:rsid w:val="00AA5427"/>
    <w:rsid w:val="00AC3C6A"/>
    <w:rsid w:val="00AD5620"/>
    <w:rsid w:val="00AD61DD"/>
    <w:rsid w:val="00AD7C1B"/>
    <w:rsid w:val="00AE16BA"/>
    <w:rsid w:val="00AE1EBE"/>
    <w:rsid w:val="00AE266B"/>
    <w:rsid w:val="00B00F25"/>
    <w:rsid w:val="00B03C9D"/>
    <w:rsid w:val="00B060AE"/>
    <w:rsid w:val="00B10517"/>
    <w:rsid w:val="00B11E46"/>
    <w:rsid w:val="00B14E76"/>
    <w:rsid w:val="00B161B8"/>
    <w:rsid w:val="00B168FC"/>
    <w:rsid w:val="00B2048C"/>
    <w:rsid w:val="00B233D5"/>
    <w:rsid w:val="00B310B9"/>
    <w:rsid w:val="00B35486"/>
    <w:rsid w:val="00B35F3F"/>
    <w:rsid w:val="00B36CBB"/>
    <w:rsid w:val="00B425E0"/>
    <w:rsid w:val="00B43560"/>
    <w:rsid w:val="00B440AA"/>
    <w:rsid w:val="00B44B70"/>
    <w:rsid w:val="00B50D9A"/>
    <w:rsid w:val="00B53C56"/>
    <w:rsid w:val="00B7112B"/>
    <w:rsid w:val="00B7350B"/>
    <w:rsid w:val="00B77EA6"/>
    <w:rsid w:val="00B812F5"/>
    <w:rsid w:val="00B81598"/>
    <w:rsid w:val="00B841F1"/>
    <w:rsid w:val="00B944D6"/>
    <w:rsid w:val="00B94C42"/>
    <w:rsid w:val="00BB0BD2"/>
    <w:rsid w:val="00BB4DF0"/>
    <w:rsid w:val="00BC289F"/>
    <w:rsid w:val="00BC50D9"/>
    <w:rsid w:val="00BC5361"/>
    <w:rsid w:val="00BC5460"/>
    <w:rsid w:val="00BC6B50"/>
    <w:rsid w:val="00BD0E25"/>
    <w:rsid w:val="00BD3910"/>
    <w:rsid w:val="00BE4EA0"/>
    <w:rsid w:val="00BF5BD6"/>
    <w:rsid w:val="00C03E31"/>
    <w:rsid w:val="00C156E2"/>
    <w:rsid w:val="00C33E72"/>
    <w:rsid w:val="00C354B2"/>
    <w:rsid w:val="00C35554"/>
    <w:rsid w:val="00C42709"/>
    <w:rsid w:val="00C533CC"/>
    <w:rsid w:val="00C566C4"/>
    <w:rsid w:val="00C5751C"/>
    <w:rsid w:val="00C61BFC"/>
    <w:rsid w:val="00C62575"/>
    <w:rsid w:val="00C62B85"/>
    <w:rsid w:val="00C65438"/>
    <w:rsid w:val="00C77E58"/>
    <w:rsid w:val="00C8332E"/>
    <w:rsid w:val="00C8556D"/>
    <w:rsid w:val="00C91CBB"/>
    <w:rsid w:val="00CA54F9"/>
    <w:rsid w:val="00CC09B6"/>
    <w:rsid w:val="00CC54F4"/>
    <w:rsid w:val="00CC666F"/>
    <w:rsid w:val="00CD1E3F"/>
    <w:rsid w:val="00CD437C"/>
    <w:rsid w:val="00CE44F6"/>
    <w:rsid w:val="00CE49DA"/>
    <w:rsid w:val="00CE4EDC"/>
    <w:rsid w:val="00CE7B61"/>
    <w:rsid w:val="00D00095"/>
    <w:rsid w:val="00D03679"/>
    <w:rsid w:val="00D12D4B"/>
    <w:rsid w:val="00D20620"/>
    <w:rsid w:val="00D20E64"/>
    <w:rsid w:val="00D26091"/>
    <w:rsid w:val="00D32246"/>
    <w:rsid w:val="00D34E7C"/>
    <w:rsid w:val="00D35489"/>
    <w:rsid w:val="00D478DD"/>
    <w:rsid w:val="00D51276"/>
    <w:rsid w:val="00D562D2"/>
    <w:rsid w:val="00D642FB"/>
    <w:rsid w:val="00D7035F"/>
    <w:rsid w:val="00D77860"/>
    <w:rsid w:val="00D82BD7"/>
    <w:rsid w:val="00D950D5"/>
    <w:rsid w:val="00D95204"/>
    <w:rsid w:val="00D95F7A"/>
    <w:rsid w:val="00D95FC0"/>
    <w:rsid w:val="00DA65AC"/>
    <w:rsid w:val="00DB1913"/>
    <w:rsid w:val="00DC410D"/>
    <w:rsid w:val="00DC68CA"/>
    <w:rsid w:val="00DC7CBA"/>
    <w:rsid w:val="00DD73B7"/>
    <w:rsid w:val="00DE0FC2"/>
    <w:rsid w:val="00DF1811"/>
    <w:rsid w:val="00DF28BC"/>
    <w:rsid w:val="00DF34B9"/>
    <w:rsid w:val="00DF709C"/>
    <w:rsid w:val="00DF7FFC"/>
    <w:rsid w:val="00E01053"/>
    <w:rsid w:val="00E07ACF"/>
    <w:rsid w:val="00E07CC6"/>
    <w:rsid w:val="00E331A1"/>
    <w:rsid w:val="00E33202"/>
    <w:rsid w:val="00E336A9"/>
    <w:rsid w:val="00E50624"/>
    <w:rsid w:val="00E51FF1"/>
    <w:rsid w:val="00E568DF"/>
    <w:rsid w:val="00E64269"/>
    <w:rsid w:val="00E64FFF"/>
    <w:rsid w:val="00E7606B"/>
    <w:rsid w:val="00E82267"/>
    <w:rsid w:val="00E942A8"/>
    <w:rsid w:val="00E960DD"/>
    <w:rsid w:val="00EA010F"/>
    <w:rsid w:val="00EA1C5B"/>
    <w:rsid w:val="00ED1197"/>
    <w:rsid w:val="00ED1B63"/>
    <w:rsid w:val="00ED3C1F"/>
    <w:rsid w:val="00ED4085"/>
    <w:rsid w:val="00ED420E"/>
    <w:rsid w:val="00EE2F57"/>
    <w:rsid w:val="00EE4212"/>
    <w:rsid w:val="00EE6BE1"/>
    <w:rsid w:val="00EF4C34"/>
    <w:rsid w:val="00EF77C6"/>
    <w:rsid w:val="00F05438"/>
    <w:rsid w:val="00F1361C"/>
    <w:rsid w:val="00F160C7"/>
    <w:rsid w:val="00F35CA5"/>
    <w:rsid w:val="00F36D8F"/>
    <w:rsid w:val="00F417B1"/>
    <w:rsid w:val="00F54E81"/>
    <w:rsid w:val="00F602DF"/>
    <w:rsid w:val="00F62134"/>
    <w:rsid w:val="00F703E5"/>
    <w:rsid w:val="00F7119B"/>
    <w:rsid w:val="00F81FD9"/>
    <w:rsid w:val="00F841AA"/>
    <w:rsid w:val="00F90DED"/>
    <w:rsid w:val="00FA00DF"/>
    <w:rsid w:val="00FA23E8"/>
    <w:rsid w:val="00FB0113"/>
    <w:rsid w:val="00FB5CB1"/>
    <w:rsid w:val="00FB6EE5"/>
    <w:rsid w:val="00FC089B"/>
    <w:rsid w:val="00FD3CC1"/>
    <w:rsid w:val="00FD685B"/>
    <w:rsid w:val="00FE0CB2"/>
    <w:rsid w:val="00FE4844"/>
    <w:rsid w:val="00FF1E02"/>
    <w:rsid w:val="00FF30B4"/>
    <w:rsid w:val="010A60F1"/>
    <w:rsid w:val="01155F4F"/>
    <w:rsid w:val="013B7385"/>
    <w:rsid w:val="01492101"/>
    <w:rsid w:val="016C3330"/>
    <w:rsid w:val="02116489"/>
    <w:rsid w:val="027A498A"/>
    <w:rsid w:val="02835547"/>
    <w:rsid w:val="02925F81"/>
    <w:rsid w:val="029B294D"/>
    <w:rsid w:val="02E06245"/>
    <w:rsid w:val="03131EF7"/>
    <w:rsid w:val="03333233"/>
    <w:rsid w:val="03594982"/>
    <w:rsid w:val="035B12CD"/>
    <w:rsid w:val="036233C7"/>
    <w:rsid w:val="0379531E"/>
    <w:rsid w:val="03C11D39"/>
    <w:rsid w:val="040E2467"/>
    <w:rsid w:val="04712CA3"/>
    <w:rsid w:val="04C834B3"/>
    <w:rsid w:val="04E90405"/>
    <w:rsid w:val="04F96040"/>
    <w:rsid w:val="056A3D3C"/>
    <w:rsid w:val="059C0815"/>
    <w:rsid w:val="05C1355B"/>
    <w:rsid w:val="05EA5A0A"/>
    <w:rsid w:val="05F83411"/>
    <w:rsid w:val="05FE6336"/>
    <w:rsid w:val="0632178A"/>
    <w:rsid w:val="06795D79"/>
    <w:rsid w:val="069E2BA2"/>
    <w:rsid w:val="06AF4995"/>
    <w:rsid w:val="06CE3EBD"/>
    <w:rsid w:val="06DD0FBE"/>
    <w:rsid w:val="074426EB"/>
    <w:rsid w:val="077A31F9"/>
    <w:rsid w:val="07EB6714"/>
    <w:rsid w:val="07FD55B4"/>
    <w:rsid w:val="08052BEC"/>
    <w:rsid w:val="081159FF"/>
    <w:rsid w:val="08494253"/>
    <w:rsid w:val="084F3CCA"/>
    <w:rsid w:val="08741927"/>
    <w:rsid w:val="092651F0"/>
    <w:rsid w:val="09655C6D"/>
    <w:rsid w:val="09FB0802"/>
    <w:rsid w:val="0A030CB5"/>
    <w:rsid w:val="0A1F51CF"/>
    <w:rsid w:val="0A202AB6"/>
    <w:rsid w:val="0A475B69"/>
    <w:rsid w:val="0AA12F91"/>
    <w:rsid w:val="0AAE23E7"/>
    <w:rsid w:val="0AC21419"/>
    <w:rsid w:val="0B314DB6"/>
    <w:rsid w:val="0B5C607A"/>
    <w:rsid w:val="0B605D53"/>
    <w:rsid w:val="0C1E59E1"/>
    <w:rsid w:val="0CA3422D"/>
    <w:rsid w:val="0CB65B68"/>
    <w:rsid w:val="0D1738E2"/>
    <w:rsid w:val="0D270472"/>
    <w:rsid w:val="0D4E43B4"/>
    <w:rsid w:val="0D642FC9"/>
    <w:rsid w:val="0DA60A3B"/>
    <w:rsid w:val="0DAE52A4"/>
    <w:rsid w:val="0DC27263"/>
    <w:rsid w:val="0E1C7BB1"/>
    <w:rsid w:val="0E3F15AC"/>
    <w:rsid w:val="0E7C0D4C"/>
    <w:rsid w:val="0E8144FF"/>
    <w:rsid w:val="0E8A34E2"/>
    <w:rsid w:val="0ED93F3B"/>
    <w:rsid w:val="0F3D3DD3"/>
    <w:rsid w:val="0F477907"/>
    <w:rsid w:val="0F7C37BF"/>
    <w:rsid w:val="0F8C23C2"/>
    <w:rsid w:val="0FFB4B6F"/>
    <w:rsid w:val="1003510C"/>
    <w:rsid w:val="10517944"/>
    <w:rsid w:val="109536C0"/>
    <w:rsid w:val="10C055FF"/>
    <w:rsid w:val="10E155D4"/>
    <w:rsid w:val="113612CB"/>
    <w:rsid w:val="114C1802"/>
    <w:rsid w:val="11BC4F4C"/>
    <w:rsid w:val="11FC6BE7"/>
    <w:rsid w:val="11FC6F46"/>
    <w:rsid w:val="12075BB1"/>
    <w:rsid w:val="122B5CE6"/>
    <w:rsid w:val="12520CDE"/>
    <w:rsid w:val="12C6567E"/>
    <w:rsid w:val="12D45922"/>
    <w:rsid w:val="12DE4D8A"/>
    <w:rsid w:val="12FC5084"/>
    <w:rsid w:val="130375FA"/>
    <w:rsid w:val="1322036F"/>
    <w:rsid w:val="133B726D"/>
    <w:rsid w:val="13AA7BD0"/>
    <w:rsid w:val="147F4AB3"/>
    <w:rsid w:val="14D359BE"/>
    <w:rsid w:val="14D96F78"/>
    <w:rsid w:val="15060FD0"/>
    <w:rsid w:val="152C1A37"/>
    <w:rsid w:val="15426633"/>
    <w:rsid w:val="155D2D70"/>
    <w:rsid w:val="15B6614A"/>
    <w:rsid w:val="15D46C2E"/>
    <w:rsid w:val="15EE05F4"/>
    <w:rsid w:val="163C5B80"/>
    <w:rsid w:val="16B95C58"/>
    <w:rsid w:val="16BB723D"/>
    <w:rsid w:val="16FC58AD"/>
    <w:rsid w:val="1735153C"/>
    <w:rsid w:val="176E3C47"/>
    <w:rsid w:val="179E14AE"/>
    <w:rsid w:val="17A71E2D"/>
    <w:rsid w:val="17D1554B"/>
    <w:rsid w:val="17DC35C5"/>
    <w:rsid w:val="18D36E49"/>
    <w:rsid w:val="194436AF"/>
    <w:rsid w:val="19800A58"/>
    <w:rsid w:val="199C1E22"/>
    <w:rsid w:val="19CB4960"/>
    <w:rsid w:val="19E95290"/>
    <w:rsid w:val="1A1722E5"/>
    <w:rsid w:val="1A5B57A1"/>
    <w:rsid w:val="1AD9658B"/>
    <w:rsid w:val="1B213A79"/>
    <w:rsid w:val="1B3A0B41"/>
    <w:rsid w:val="1B3E25CC"/>
    <w:rsid w:val="1B4C6BC9"/>
    <w:rsid w:val="1B5774D0"/>
    <w:rsid w:val="1B962B37"/>
    <w:rsid w:val="1BE93CAE"/>
    <w:rsid w:val="1CA0311B"/>
    <w:rsid w:val="1CD340E3"/>
    <w:rsid w:val="1CEF2EC6"/>
    <w:rsid w:val="1D960617"/>
    <w:rsid w:val="1D981FF6"/>
    <w:rsid w:val="1DC23ACE"/>
    <w:rsid w:val="1DC940B8"/>
    <w:rsid w:val="1DCD3444"/>
    <w:rsid w:val="1DDD3BDE"/>
    <w:rsid w:val="1E326EAC"/>
    <w:rsid w:val="1E5F6870"/>
    <w:rsid w:val="1E746928"/>
    <w:rsid w:val="1EB26B1D"/>
    <w:rsid w:val="1ED15EB2"/>
    <w:rsid w:val="1ED5592E"/>
    <w:rsid w:val="1F011C1F"/>
    <w:rsid w:val="1F147AA8"/>
    <w:rsid w:val="1F5C7615"/>
    <w:rsid w:val="1F6B707F"/>
    <w:rsid w:val="2040447D"/>
    <w:rsid w:val="20671F68"/>
    <w:rsid w:val="20692CE9"/>
    <w:rsid w:val="208521A5"/>
    <w:rsid w:val="20B33D45"/>
    <w:rsid w:val="20CF7E1F"/>
    <w:rsid w:val="20FC669D"/>
    <w:rsid w:val="21105E02"/>
    <w:rsid w:val="211C1631"/>
    <w:rsid w:val="213621F2"/>
    <w:rsid w:val="21672586"/>
    <w:rsid w:val="22CB1252"/>
    <w:rsid w:val="234B514C"/>
    <w:rsid w:val="235C2672"/>
    <w:rsid w:val="23753C2E"/>
    <w:rsid w:val="237F4F57"/>
    <w:rsid w:val="23BC41A9"/>
    <w:rsid w:val="240371BF"/>
    <w:rsid w:val="24096DDE"/>
    <w:rsid w:val="24563609"/>
    <w:rsid w:val="24641E7E"/>
    <w:rsid w:val="248050B8"/>
    <w:rsid w:val="24C0558B"/>
    <w:rsid w:val="24CB6594"/>
    <w:rsid w:val="24D775E8"/>
    <w:rsid w:val="256C79B0"/>
    <w:rsid w:val="257778D6"/>
    <w:rsid w:val="25B46BBD"/>
    <w:rsid w:val="25BD7458"/>
    <w:rsid w:val="26135AD3"/>
    <w:rsid w:val="262F3FC6"/>
    <w:rsid w:val="26877D94"/>
    <w:rsid w:val="26906B5F"/>
    <w:rsid w:val="26AB49D1"/>
    <w:rsid w:val="26C81B78"/>
    <w:rsid w:val="26EB3E4E"/>
    <w:rsid w:val="26F302FA"/>
    <w:rsid w:val="2701344D"/>
    <w:rsid w:val="2737388C"/>
    <w:rsid w:val="27804D78"/>
    <w:rsid w:val="2786380B"/>
    <w:rsid w:val="27BB5471"/>
    <w:rsid w:val="27C856A8"/>
    <w:rsid w:val="27F9418E"/>
    <w:rsid w:val="28043EC1"/>
    <w:rsid w:val="280C4625"/>
    <w:rsid w:val="282F11C8"/>
    <w:rsid w:val="286474E4"/>
    <w:rsid w:val="289D7E88"/>
    <w:rsid w:val="28AA34C6"/>
    <w:rsid w:val="28C03E5F"/>
    <w:rsid w:val="28F510F6"/>
    <w:rsid w:val="28FB04E0"/>
    <w:rsid w:val="29496FEA"/>
    <w:rsid w:val="29944E83"/>
    <w:rsid w:val="299D5538"/>
    <w:rsid w:val="29C40CF0"/>
    <w:rsid w:val="29E05415"/>
    <w:rsid w:val="29FD04D3"/>
    <w:rsid w:val="2A0226E9"/>
    <w:rsid w:val="2A60167F"/>
    <w:rsid w:val="2A8B4D54"/>
    <w:rsid w:val="2AFA6ADF"/>
    <w:rsid w:val="2B150335"/>
    <w:rsid w:val="2B3D6AEE"/>
    <w:rsid w:val="2B4801D3"/>
    <w:rsid w:val="2B5865B3"/>
    <w:rsid w:val="2B76338E"/>
    <w:rsid w:val="2B9E317F"/>
    <w:rsid w:val="2BC35AF1"/>
    <w:rsid w:val="2C203A92"/>
    <w:rsid w:val="2C2753E1"/>
    <w:rsid w:val="2CCE35C9"/>
    <w:rsid w:val="2CDD25D8"/>
    <w:rsid w:val="2D433962"/>
    <w:rsid w:val="2D534E1D"/>
    <w:rsid w:val="2DA10504"/>
    <w:rsid w:val="2E231732"/>
    <w:rsid w:val="2E9D5288"/>
    <w:rsid w:val="2E9E2A1E"/>
    <w:rsid w:val="2ECE7485"/>
    <w:rsid w:val="2F0A5077"/>
    <w:rsid w:val="2F0F0598"/>
    <w:rsid w:val="2F3C77FA"/>
    <w:rsid w:val="2F624216"/>
    <w:rsid w:val="2F9E3FCD"/>
    <w:rsid w:val="3029047F"/>
    <w:rsid w:val="3047395D"/>
    <w:rsid w:val="30DE2FCE"/>
    <w:rsid w:val="31252521"/>
    <w:rsid w:val="31512665"/>
    <w:rsid w:val="319F7F4E"/>
    <w:rsid w:val="31B51AB0"/>
    <w:rsid w:val="31DB30B4"/>
    <w:rsid w:val="32BB1F26"/>
    <w:rsid w:val="32F00E14"/>
    <w:rsid w:val="32F064DB"/>
    <w:rsid w:val="33196A80"/>
    <w:rsid w:val="33694588"/>
    <w:rsid w:val="33D241E6"/>
    <w:rsid w:val="33F47B66"/>
    <w:rsid w:val="343D4C23"/>
    <w:rsid w:val="345758BE"/>
    <w:rsid w:val="346A26FD"/>
    <w:rsid w:val="34771395"/>
    <w:rsid w:val="34BB2C45"/>
    <w:rsid w:val="358F4FCF"/>
    <w:rsid w:val="35A80410"/>
    <w:rsid w:val="35E65378"/>
    <w:rsid w:val="35ED3061"/>
    <w:rsid w:val="362C3261"/>
    <w:rsid w:val="36C40B43"/>
    <w:rsid w:val="36F80606"/>
    <w:rsid w:val="37137076"/>
    <w:rsid w:val="375C3EF6"/>
    <w:rsid w:val="376A216A"/>
    <w:rsid w:val="37C16BFF"/>
    <w:rsid w:val="37D174EC"/>
    <w:rsid w:val="37E60E6A"/>
    <w:rsid w:val="382775BB"/>
    <w:rsid w:val="382F71DD"/>
    <w:rsid w:val="3866546A"/>
    <w:rsid w:val="38857AF2"/>
    <w:rsid w:val="3894618A"/>
    <w:rsid w:val="3919062F"/>
    <w:rsid w:val="394C4815"/>
    <w:rsid w:val="394E1C91"/>
    <w:rsid w:val="398C40A1"/>
    <w:rsid w:val="39C63641"/>
    <w:rsid w:val="3A461F69"/>
    <w:rsid w:val="3A724821"/>
    <w:rsid w:val="3AAF10FA"/>
    <w:rsid w:val="3AE44F71"/>
    <w:rsid w:val="3AF04814"/>
    <w:rsid w:val="3B0850E3"/>
    <w:rsid w:val="3B1A5E05"/>
    <w:rsid w:val="3B357325"/>
    <w:rsid w:val="3B3B4F24"/>
    <w:rsid w:val="3B9202C4"/>
    <w:rsid w:val="3BBD0380"/>
    <w:rsid w:val="3BC40B4A"/>
    <w:rsid w:val="3BF95873"/>
    <w:rsid w:val="3C147EDA"/>
    <w:rsid w:val="3C294B34"/>
    <w:rsid w:val="3C4354AE"/>
    <w:rsid w:val="3C5032C1"/>
    <w:rsid w:val="3C611C5D"/>
    <w:rsid w:val="3C6A3C4D"/>
    <w:rsid w:val="3C7A386B"/>
    <w:rsid w:val="3CBE3C8F"/>
    <w:rsid w:val="3CC23630"/>
    <w:rsid w:val="3CD26A09"/>
    <w:rsid w:val="3CE573F2"/>
    <w:rsid w:val="3D1A5BED"/>
    <w:rsid w:val="3D6801FA"/>
    <w:rsid w:val="3DE5108E"/>
    <w:rsid w:val="3E032DAA"/>
    <w:rsid w:val="3E433C1E"/>
    <w:rsid w:val="3F0A3804"/>
    <w:rsid w:val="3F0D64CF"/>
    <w:rsid w:val="3F4E3E77"/>
    <w:rsid w:val="3F6A0DEE"/>
    <w:rsid w:val="3FA37FAC"/>
    <w:rsid w:val="3FBF64BF"/>
    <w:rsid w:val="3FD768B7"/>
    <w:rsid w:val="40032A79"/>
    <w:rsid w:val="400A0093"/>
    <w:rsid w:val="4024505A"/>
    <w:rsid w:val="40344FE1"/>
    <w:rsid w:val="40466D60"/>
    <w:rsid w:val="40A36855"/>
    <w:rsid w:val="40B86530"/>
    <w:rsid w:val="40E27C6A"/>
    <w:rsid w:val="41174203"/>
    <w:rsid w:val="415E126D"/>
    <w:rsid w:val="4169024F"/>
    <w:rsid w:val="417D63DD"/>
    <w:rsid w:val="41A971CB"/>
    <w:rsid w:val="41CD5536"/>
    <w:rsid w:val="41D05904"/>
    <w:rsid w:val="420324C6"/>
    <w:rsid w:val="420A5691"/>
    <w:rsid w:val="42530A37"/>
    <w:rsid w:val="42634BDC"/>
    <w:rsid w:val="4293691E"/>
    <w:rsid w:val="42AE7402"/>
    <w:rsid w:val="42E5162A"/>
    <w:rsid w:val="43733229"/>
    <w:rsid w:val="43BB26DF"/>
    <w:rsid w:val="43C67BB9"/>
    <w:rsid w:val="43D72BE6"/>
    <w:rsid w:val="440520B6"/>
    <w:rsid w:val="445D6DBC"/>
    <w:rsid w:val="44AA1FDB"/>
    <w:rsid w:val="44BA7E33"/>
    <w:rsid w:val="44CB596D"/>
    <w:rsid w:val="44D06251"/>
    <w:rsid w:val="453734B0"/>
    <w:rsid w:val="453B5C30"/>
    <w:rsid w:val="45731933"/>
    <w:rsid w:val="457D0C37"/>
    <w:rsid w:val="45E05040"/>
    <w:rsid w:val="45F411B1"/>
    <w:rsid w:val="45F561AB"/>
    <w:rsid w:val="46195DB0"/>
    <w:rsid w:val="4623027D"/>
    <w:rsid w:val="46BA2F71"/>
    <w:rsid w:val="46BD4F4E"/>
    <w:rsid w:val="46F15F36"/>
    <w:rsid w:val="46FD79A4"/>
    <w:rsid w:val="47332095"/>
    <w:rsid w:val="476F2DFD"/>
    <w:rsid w:val="47F174E8"/>
    <w:rsid w:val="483535DF"/>
    <w:rsid w:val="486C3A06"/>
    <w:rsid w:val="48A87B43"/>
    <w:rsid w:val="48BB1C5B"/>
    <w:rsid w:val="490803C1"/>
    <w:rsid w:val="490C2331"/>
    <w:rsid w:val="4921087F"/>
    <w:rsid w:val="49870B66"/>
    <w:rsid w:val="49A010A7"/>
    <w:rsid w:val="49A04D96"/>
    <w:rsid w:val="49EF5F03"/>
    <w:rsid w:val="4A367E86"/>
    <w:rsid w:val="4ABB1C37"/>
    <w:rsid w:val="4AF05814"/>
    <w:rsid w:val="4B2048AF"/>
    <w:rsid w:val="4BA037B6"/>
    <w:rsid w:val="4BC75462"/>
    <w:rsid w:val="4C076BEF"/>
    <w:rsid w:val="4C342F73"/>
    <w:rsid w:val="4C5A6444"/>
    <w:rsid w:val="4C706C99"/>
    <w:rsid w:val="4CC44F6E"/>
    <w:rsid w:val="4CE12EF3"/>
    <w:rsid w:val="4CF95D22"/>
    <w:rsid w:val="4CFB0B07"/>
    <w:rsid w:val="4D3476C0"/>
    <w:rsid w:val="4D7656DF"/>
    <w:rsid w:val="4D863C09"/>
    <w:rsid w:val="4DB004D4"/>
    <w:rsid w:val="4DBA217E"/>
    <w:rsid w:val="4DE20647"/>
    <w:rsid w:val="4DE707E5"/>
    <w:rsid w:val="4E1045D6"/>
    <w:rsid w:val="4E2F797A"/>
    <w:rsid w:val="4E506D02"/>
    <w:rsid w:val="4E5B784D"/>
    <w:rsid w:val="4E826FDB"/>
    <w:rsid w:val="4ECE2CC2"/>
    <w:rsid w:val="50157C04"/>
    <w:rsid w:val="50266A97"/>
    <w:rsid w:val="508911E2"/>
    <w:rsid w:val="50A64EE0"/>
    <w:rsid w:val="50B40AC2"/>
    <w:rsid w:val="5133533D"/>
    <w:rsid w:val="51691769"/>
    <w:rsid w:val="517A7ACC"/>
    <w:rsid w:val="51A053A8"/>
    <w:rsid w:val="51D43AE2"/>
    <w:rsid w:val="528825D3"/>
    <w:rsid w:val="529A273C"/>
    <w:rsid w:val="52B671E1"/>
    <w:rsid w:val="52CB3DAF"/>
    <w:rsid w:val="52D55879"/>
    <w:rsid w:val="52FE371C"/>
    <w:rsid w:val="538D47D2"/>
    <w:rsid w:val="540C1CC3"/>
    <w:rsid w:val="541157BB"/>
    <w:rsid w:val="54347CB0"/>
    <w:rsid w:val="54B762F7"/>
    <w:rsid w:val="54DA778D"/>
    <w:rsid w:val="551E4A48"/>
    <w:rsid w:val="55231EBE"/>
    <w:rsid w:val="553359B5"/>
    <w:rsid w:val="557713BD"/>
    <w:rsid w:val="55AC5F88"/>
    <w:rsid w:val="55C6631E"/>
    <w:rsid w:val="55CD62CF"/>
    <w:rsid w:val="56A11ADE"/>
    <w:rsid w:val="56B61FDB"/>
    <w:rsid w:val="56F133F6"/>
    <w:rsid w:val="57113178"/>
    <w:rsid w:val="5741618E"/>
    <w:rsid w:val="57666E3A"/>
    <w:rsid w:val="57930653"/>
    <w:rsid w:val="57E37A6A"/>
    <w:rsid w:val="57FC466F"/>
    <w:rsid w:val="58707882"/>
    <w:rsid w:val="58B770AE"/>
    <w:rsid w:val="58C15EA5"/>
    <w:rsid w:val="59C22359"/>
    <w:rsid w:val="59EC5D25"/>
    <w:rsid w:val="5A2639AA"/>
    <w:rsid w:val="5A87062C"/>
    <w:rsid w:val="5AAF1D5C"/>
    <w:rsid w:val="5AFE310C"/>
    <w:rsid w:val="5B1847D4"/>
    <w:rsid w:val="5B1E3415"/>
    <w:rsid w:val="5B283D2E"/>
    <w:rsid w:val="5B6C6618"/>
    <w:rsid w:val="5BB510D0"/>
    <w:rsid w:val="5C093880"/>
    <w:rsid w:val="5C503A12"/>
    <w:rsid w:val="5C562212"/>
    <w:rsid w:val="5C7E69B5"/>
    <w:rsid w:val="5CA45C47"/>
    <w:rsid w:val="5CDC7FA7"/>
    <w:rsid w:val="5CF05758"/>
    <w:rsid w:val="5CF45D48"/>
    <w:rsid w:val="5D1971F8"/>
    <w:rsid w:val="5D6C6D38"/>
    <w:rsid w:val="5D703CCB"/>
    <w:rsid w:val="5D937134"/>
    <w:rsid w:val="5DA5417C"/>
    <w:rsid w:val="5DAF3C09"/>
    <w:rsid w:val="5DF31FF5"/>
    <w:rsid w:val="5E171B5E"/>
    <w:rsid w:val="5E4A452E"/>
    <w:rsid w:val="5E50307C"/>
    <w:rsid w:val="5E8F3D8D"/>
    <w:rsid w:val="5EC8583A"/>
    <w:rsid w:val="5EDD69E0"/>
    <w:rsid w:val="5F0A5524"/>
    <w:rsid w:val="5F761553"/>
    <w:rsid w:val="5F7D7C70"/>
    <w:rsid w:val="5F847815"/>
    <w:rsid w:val="5FB77477"/>
    <w:rsid w:val="600A0B9C"/>
    <w:rsid w:val="6020793A"/>
    <w:rsid w:val="60305A0E"/>
    <w:rsid w:val="60605CED"/>
    <w:rsid w:val="60754C9E"/>
    <w:rsid w:val="608528C8"/>
    <w:rsid w:val="608D610F"/>
    <w:rsid w:val="60D81527"/>
    <w:rsid w:val="60F721FC"/>
    <w:rsid w:val="619E3F0F"/>
    <w:rsid w:val="61C94551"/>
    <w:rsid w:val="61FB231F"/>
    <w:rsid w:val="62564B30"/>
    <w:rsid w:val="6279279B"/>
    <w:rsid w:val="62800296"/>
    <w:rsid w:val="628145E2"/>
    <w:rsid w:val="628512D2"/>
    <w:rsid w:val="63704432"/>
    <w:rsid w:val="63803536"/>
    <w:rsid w:val="64037C64"/>
    <w:rsid w:val="640B1C7C"/>
    <w:rsid w:val="643801E4"/>
    <w:rsid w:val="64533E0B"/>
    <w:rsid w:val="646158E5"/>
    <w:rsid w:val="64691543"/>
    <w:rsid w:val="646B1FB1"/>
    <w:rsid w:val="648252B6"/>
    <w:rsid w:val="64C30044"/>
    <w:rsid w:val="64E43185"/>
    <w:rsid w:val="655A4D42"/>
    <w:rsid w:val="656C3293"/>
    <w:rsid w:val="66313AB3"/>
    <w:rsid w:val="66855163"/>
    <w:rsid w:val="67295CFE"/>
    <w:rsid w:val="673F5978"/>
    <w:rsid w:val="674E4661"/>
    <w:rsid w:val="675F326D"/>
    <w:rsid w:val="6760172C"/>
    <w:rsid w:val="67B446F0"/>
    <w:rsid w:val="68027A56"/>
    <w:rsid w:val="68155339"/>
    <w:rsid w:val="68475CD5"/>
    <w:rsid w:val="68874D93"/>
    <w:rsid w:val="68953EC9"/>
    <w:rsid w:val="68D04128"/>
    <w:rsid w:val="68D7606E"/>
    <w:rsid w:val="68D85EE4"/>
    <w:rsid w:val="68ED111A"/>
    <w:rsid w:val="68FE7027"/>
    <w:rsid w:val="69490817"/>
    <w:rsid w:val="696E5B90"/>
    <w:rsid w:val="69770A65"/>
    <w:rsid w:val="6A7856E8"/>
    <w:rsid w:val="6A7B1C80"/>
    <w:rsid w:val="6A9E64CA"/>
    <w:rsid w:val="6B2B6138"/>
    <w:rsid w:val="6B2F1ED0"/>
    <w:rsid w:val="6B686204"/>
    <w:rsid w:val="6B747069"/>
    <w:rsid w:val="6B7717B9"/>
    <w:rsid w:val="6B7E06C1"/>
    <w:rsid w:val="6BC75BDE"/>
    <w:rsid w:val="6BDA6C42"/>
    <w:rsid w:val="6C120CE9"/>
    <w:rsid w:val="6C2C524A"/>
    <w:rsid w:val="6C731109"/>
    <w:rsid w:val="6C7F2420"/>
    <w:rsid w:val="6C836537"/>
    <w:rsid w:val="6C953098"/>
    <w:rsid w:val="6CE93D37"/>
    <w:rsid w:val="6D334C9F"/>
    <w:rsid w:val="6D63766E"/>
    <w:rsid w:val="6D8D6920"/>
    <w:rsid w:val="6DA747FA"/>
    <w:rsid w:val="6DBB3B3B"/>
    <w:rsid w:val="6DCA10A1"/>
    <w:rsid w:val="6DD71DA7"/>
    <w:rsid w:val="6DDC61EF"/>
    <w:rsid w:val="6DF31B2B"/>
    <w:rsid w:val="6DFA1BF7"/>
    <w:rsid w:val="6E0746CF"/>
    <w:rsid w:val="6EA15BB8"/>
    <w:rsid w:val="6EB44A9A"/>
    <w:rsid w:val="6EC041F5"/>
    <w:rsid w:val="6EE9546E"/>
    <w:rsid w:val="6F281FC0"/>
    <w:rsid w:val="6F3D4FD8"/>
    <w:rsid w:val="6F714CD6"/>
    <w:rsid w:val="6F9B74A8"/>
    <w:rsid w:val="6FFA4CA2"/>
    <w:rsid w:val="703B2443"/>
    <w:rsid w:val="70461CCB"/>
    <w:rsid w:val="709D4566"/>
    <w:rsid w:val="70CB6B0F"/>
    <w:rsid w:val="712610CE"/>
    <w:rsid w:val="7156139A"/>
    <w:rsid w:val="718B2C79"/>
    <w:rsid w:val="71A01AD7"/>
    <w:rsid w:val="71CE07AD"/>
    <w:rsid w:val="723013DD"/>
    <w:rsid w:val="72F55F83"/>
    <w:rsid w:val="733E4831"/>
    <w:rsid w:val="735E4A0A"/>
    <w:rsid w:val="738316B3"/>
    <w:rsid w:val="739C5F64"/>
    <w:rsid w:val="7423766A"/>
    <w:rsid w:val="744212DD"/>
    <w:rsid w:val="744F37D0"/>
    <w:rsid w:val="746155A7"/>
    <w:rsid w:val="74872AFF"/>
    <w:rsid w:val="74C82553"/>
    <w:rsid w:val="74FA1A8C"/>
    <w:rsid w:val="75044C1D"/>
    <w:rsid w:val="7568709C"/>
    <w:rsid w:val="757B43AD"/>
    <w:rsid w:val="757E388B"/>
    <w:rsid w:val="75C56B00"/>
    <w:rsid w:val="75DB152B"/>
    <w:rsid w:val="76132CAE"/>
    <w:rsid w:val="76793597"/>
    <w:rsid w:val="76C03B96"/>
    <w:rsid w:val="76F04E6E"/>
    <w:rsid w:val="77054A3D"/>
    <w:rsid w:val="772E5B3F"/>
    <w:rsid w:val="778C23D0"/>
    <w:rsid w:val="77B2669A"/>
    <w:rsid w:val="77BF36F5"/>
    <w:rsid w:val="77DA07E0"/>
    <w:rsid w:val="781255C9"/>
    <w:rsid w:val="78194A3B"/>
    <w:rsid w:val="78240108"/>
    <w:rsid w:val="78346A9B"/>
    <w:rsid w:val="788357DA"/>
    <w:rsid w:val="78C17332"/>
    <w:rsid w:val="78DD3A50"/>
    <w:rsid w:val="78FC1418"/>
    <w:rsid w:val="79387B1F"/>
    <w:rsid w:val="796278D9"/>
    <w:rsid w:val="796C0A72"/>
    <w:rsid w:val="7978067C"/>
    <w:rsid w:val="798E2ADC"/>
    <w:rsid w:val="79A1213C"/>
    <w:rsid w:val="79A129D2"/>
    <w:rsid w:val="79B3571F"/>
    <w:rsid w:val="79C233AB"/>
    <w:rsid w:val="79CF1326"/>
    <w:rsid w:val="7A042A64"/>
    <w:rsid w:val="7A2D3534"/>
    <w:rsid w:val="7AFC47F6"/>
    <w:rsid w:val="7B242608"/>
    <w:rsid w:val="7B4B1E74"/>
    <w:rsid w:val="7B4E1E33"/>
    <w:rsid w:val="7B76001D"/>
    <w:rsid w:val="7C7D0BBE"/>
    <w:rsid w:val="7CBC4C89"/>
    <w:rsid w:val="7D195182"/>
    <w:rsid w:val="7D481758"/>
    <w:rsid w:val="7D4F168E"/>
    <w:rsid w:val="7D6D1A90"/>
    <w:rsid w:val="7D7A5A78"/>
    <w:rsid w:val="7D864A19"/>
    <w:rsid w:val="7DFA098B"/>
    <w:rsid w:val="7E122E9F"/>
    <w:rsid w:val="7E2A53B9"/>
    <w:rsid w:val="7EA57876"/>
    <w:rsid w:val="7EC172C4"/>
    <w:rsid w:val="7EE0075A"/>
    <w:rsid w:val="7EF16507"/>
    <w:rsid w:val="7EF35F44"/>
    <w:rsid w:val="7F08384C"/>
    <w:rsid w:val="7F49729E"/>
    <w:rsid w:val="7F616328"/>
    <w:rsid w:val="7F772F19"/>
    <w:rsid w:val="7F8C41A8"/>
    <w:rsid w:val="7FE3694A"/>
    <w:rsid w:val="7FEB693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character" w:customStyle="1" w:styleId="31">
    <w:name w:val="正文首行缩进 Char"/>
    <w:basedOn w:val="15"/>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BF061-6353-45AF-8C97-FB8A594948D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86</Pages>
  <Words>36731</Words>
  <Characters>39386</Characters>
  <Lines>50</Lines>
  <Paragraphs>85</Paragraphs>
  <TotalTime>2</TotalTime>
  <ScaleCrop>false</ScaleCrop>
  <LinksUpToDate>false</LinksUpToDate>
  <CharactersWithSpaces>39582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39845</cp:lastModifiedBy>
  <cp:lastPrinted>2019-08-01T00:48:00Z</cp:lastPrinted>
  <dcterms:modified xsi:type="dcterms:W3CDTF">2023-07-19T02:32:10Z</dcterms:modified>
  <dc:title>四川省***</dc:title>
  <cp:revision>242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7D4318E06B7F4A45958FB3BAC13A231D_13</vt:lpwstr>
  </property>
</Properties>
</file>