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napToGrid/>
        <w:spacing w:line="560" w:lineRule="exact"/>
        <w:jc w:val="center"/>
        <w:textAlignment w:val="auto"/>
        <w:outlineLvl w:val="0"/>
        <w:rPr>
          <w:rFonts w:ascii="方正小标宋简体" w:hAnsi="宋体" w:eastAsia="方正小标宋简体"/>
          <w:color w:val="auto"/>
          <w:sz w:val="72"/>
          <w:szCs w:val="72"/>
        </w:rPr>
      </w:pPr>
      <w:bookmarkStart w:id="0" w:name="_Toc15306267"/>
    </w:p>
    <w:p>
      <w:pPr>
        <w:pageBreakBefore w:val="0"/>
        <w:kinsoku/>
        <w:wordWrap/>
        <w:overflowPunct/>
        <w:topLinePunct w:val="0"/>
        <w:bidi w:val="0"/>
        <w:snapToGrid/>
        <w:spacing w:line="560" w:lineRule="exact"/>
        <w:jc w:val="center"/>
        <w:textAlignment w:val="auto"/>
        <w:outlineLvl w:val="0"/>
        <w:rPr>
          <w:rFonts w:ascii="方正小标宋简体" w:hAnsi="宋体" w:eastAsia="方正小标宋简体"/>
          <w:color w:val="auto"/>
          <w:sz w:val="72"/>
          <w:szCs w:val="72"/>
        </w:rPr>
      </w:pPr>
    </w:p>
    <w:p>
      <w:pPr>
        <w:pageBreakBefore w:val="0"/>
        <w:kinsoku/>
        <w:wordWrap/>
        <w:overflowPunct/>
        <w:topLinePunct w:val="0"/>
        <w:bidi w:val="0"/>
        <w:snapToGrid/>
        <w:spacing w:line="560" w:lineRule="exact"/>
        <w:jc w:val="center"/>
        <w:textAlignment w:val="auto"/>
        <w:outlineLvl w:val="0"/>
        <w:rPr>
          <w:rFonts w:ascii="方正小标宋简体" w:hAnsi="宋体" w:eastAsia="方正小标宋简体"/>
          <w:color w:val="auto"/>
          <w:sz w:val="72"/>
          <w:szCs w:val="72"/>
        </w:rPr>
      </w:pPr>
    </w:p>
    <w:p>
      <w:pPr>
        <w:pageBreakBefore w:val="0"/>
        <w:kinsoku/>
        <w:wordWrap/>
        <w:overflowPunct/>
        <w:topLinePunct w:val="0"/>
        <w:bidi w:val="0"/>
        <w:snapToGrid/>
        <w:spacing w:line="560" w:lineRule="exact"/>
        <w:jc w:val="center"/>
        <w:textAlignment w:val="auto"/>
        <w:outlineLvl w:val="0"/>
        <w:rPr>
          <w:rFonts w:ascii="方正小标宋简体" w:hAnsi="宋体" w:eastAsia="方正小标宋简体"/>
          <w:color w:val="auto"/>
          <w:sz w:val="72"/>
          <w:szCs w:val="72"/>
        </w:rPr>
      </w:pPr>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0"/>
        <w:rPr>
          <w:rFonts w:ascii="方正小标宋简体" w:hAnsi="宋体" w:eastAsia="方正小标宋简体"/>
          <w:color w:val="auto"/>
          <w:sz w:val="72"/>
          <w:szCs w:val="72"/>
        </w:rPr>
      </w:pPr>
      <w:bookmarkStart w:id="1" w:name="_Toc15377193"/>
      <w:bookmarkStart w:id="2" w:name="_Toc15396597"/>
      <w:bookmarkStart w:id="3" w:name="_Toc25354"/>
      <w:bookmarkStart w:id="4" w:name="_Toc21669"/>
      <w:bookmarkStart w:id="5" w:name="_Toc15377425"/>
      <w:bookmarkStart w:id="6" w:name="_Toc15396475"/>
      <w:bookmarkStart w:id="7" w:name="_Toc15378441"/>
      <w:r>
        <w:rPr>
          <w:rFonts w:ascii="黑体" w:hAnsi="黑体" w:eastAsia="黑体"/>
          <w:color w:val="auto"/>
          <w:sz w:val="72"/>
          <w:szCs w:val="72"/>
        </w:rPr>
        <w:t>201</w:t>
      </w:r>
      <w:r>
        <w:rPr>
          <w:rFonts w:hint="eastAsia" w:ascii="黑体" w:hAnsi="黑体" w:eastAsia="黑体"/>
          <w:color w:val="auto"/>
          <w:sz w:val="72"/>
          <w:szCs w:val="72"/>
        </w:rPr>
        <w:t>9</w:t>
      </w:r>
      <w:r>
        <w:rPr>
          <w:rFonts w:hint="eastAsia" w:ascii="方正小标宋简体" w:hAnsi="宋体" w:eastAsia="方正小标宋简体"/>
          <w:color w:val="auto"/>
          <w:sz w:val="72"/>
          <w:szCs w:val="72"/>
        </w:rPr>
        <w:t>年度</w:t>
      </w:r>
      <w:bookmarkEnd w:id="1"/>
      <w:bookmarkEnd w:id="2"/>
      <w:bookmarkEnd w:id="3"/>
      <w:bookmarkEnd w:id="4"/>
      <w:bookmarkEnd w:id="5"/>
      <w:bookmarkEnd w:id="6"/>
      <w:bookmarkEnd w:id="7"/>
    </w:p>
    <w:p>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0"/>
        <w:rPr>
          <w:rFonts w:ascii="方正小标宋简体" w:hAnsi="宋体" w:eastAsia="方正小标宋简体"/>
          <w:color w:val="auto"/>
          <w:sz w:val="72"/>
          <w:szCs w:val="72"/>
        </w:rPr>
      </w:pPr>
      <w:bookmarkStart w:id="8" w:name="_Toc6531"/>
      <w:bookmarkStart w:id="9" w:name="_Toc15396476"/>
      <w:bookmarkStart w:id="10" w:name="_Toc15377426"/>
      <w:bookmarkStart w:id="11" w:name="_Toc15377194"/>
      <w:bookmarkStart w:id="12" w:name="_Toc13384"/>
      <w:bookmarkStart w:id="13" w:name="_Toc15378442"/>
      <w:bookmarkStart w:id="14" w:name="_Toc15396598"/>
      <w:r>
        <w:rPr>
          <w:rFonts w:hint="eastAsia" w:ascii="方正小标宋简体" w:hAnsi="宋体" w:eastAsia="方正小标宋简体"/>
          <w:color w:val="auto"/>
          <w:sz w:val="72"/>
          <w:szCs w:val="72"/>
        </w:rPr>
        <w:t>四川省阿坝州</w:t>
      </w:r>
      <w:r>
        <w:rPr>
          <w:rFonts w:hint="eastAsia" w:ascii="方正小标宋简体" w:hAnsi="宋体" w:eastAsia="方正小标宋简体"/>
          <w:color w:val="auto"/>
          <w:sz w:val="72"/>
          <w:szCs w:val="72"/>
          <w:lang w:eastAsia="zh-CN"/>
        </w:rPr>
        <w:t>红原县</w:t>
      </w:r>
      <w:bookmarkEnd w:id="0"/>
      <w:bookmarkStart w:id="15" w:name="_Toc15306268"/>
      <w:r>
        <w:rPr>
          <w:rFonts w:hint="eastAsia" w:ascii="方正小标宋简体" w:hAnsi="宋体" w:eastAsia="方正小标宋简体"/>
          <w:color w:val="auto"/>
          <w:sz w:val="72"/>
          <w:szCs w:val="72"/>
          <w:lang w:eastAsia="zh-CN"/>
        </w:rPr>
        <w:t>水务局</w:t>
      </w:r>
      <w:r>
        <w:rPr>
          <w:rFonts w:hint="eastAsia" w:ascii="方正小标宋简体" w:hAnsi="宋体" w:eastAsia="方正小标宋简体"/>
          <w:color w:val="auto"/>
          <w:sz w:val="72"/>
          <w:szCs w:val="72"/>
        </w:rPr>
        <w:t>部门决算</w:t>
      </w:r>
      <w:bookmarkEnd w:id="8"/>
      <w:bookmarkEnd w:id="9"/>
      <w:bookmarkEnd w:id="10"/>
      <w:bookmarkEnd w:id="11"/>
      <w:bookmarkEnd w:id="12"/>
      <w:bookmarkEnd w:id="13"/>
      <w:bookmarkEnd w:id="14"/>
      <w:bookmarkEnd w:id="15"/>
    </w:p>
    <w:p>
      <w:pPr>
        <w:pageBreakBefore w:val="0"/>
        <w:widowControl/>
        <w:kinsoku/>
        <w:wordWrap/>
        <w:overflowPunct/>
        <w:topLinePunct w:val="0"/>
        <w:bidi w:val="0"/>
        <w:snapToGrid/>
        <w:spacing w:line="560" w:lineRule="exact"/>
        <w:jc w:val="both"/>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kinsoku/>
        <w:wordWrap/>
        <w:overflowPunct/>
        <w:topLinePunct w:val="0"/>
        <w:bidi w:val="0"/>
        <w:snapToGrid/>
        <w:spacing w:line="560" w:lineRule="exact"/>
        <w:textAlignment w:val="auto"/>
        <w:rPr>
          <w:rFonts w:ascii="方正小标宋简体" w:hAnsi="宋体" w:eastAsia="方正小标宋简体"/>
          <w:color w:val="auto"/>
          <w:sz w:val="36"/>
          <w:szCs w:val="36"/>
        </w:rPr>
      </w:pPr>
    </w:p>
    <w:p>
      <w:pPr>
        <w:pageBreakBefore w:val="0"/>
        <w:widowControl/>
        <w:kinsoku/>
        <w:wordWrap/>
        <w:overflowPunct/>
        <w:topLinePunct w:val="0"/>
        <w:bidi w:val="0"/>
        <w:snapToGrid/>
        <w:spacing w:line="560" w:lineRule="exact"/>
        <w:jc w:val="center"/>
        <w:textAlignment w:val="auto"/>
        <w:rPr>
          <w:rFonts w:ascii="方正小标宋简体" w:hAnsi="宋体" w:eastAsia="方正小标宋简体"/>
          <w:color w:val="auto"/>
          <w:sz w:val="36"/>
          <w:szCs w:val="36"/>
        </w:rPr>
      </w:pPr>
    </w:p>
    <w:p>
      <w:pPr>
        <w:pageBreakBefore w:val="0"/>
        <w:widowControl/>
        <w:kinsoku/>
        <w:wordWrap/>
        <w:overflowPunct/>
        <w:topLinePunct w:val="0"/>
        <w:bidi w:val="0"/>
        <w:snapToGrid/>
        <w:spacing w:line="560" w:lineRule="exact"/>
        <w:jc w:val="center"/>
        <w:textAlignment w:val="auto"/>
        <w:rPr>
          <w:rFonts w:hint="eastAsia" w:ascii="黑体" w:hAnsi="黑体" w:eastAsia="黑体"/>
          <w:color w:val="auto"/>
          <w:sz w:val="48"/>
          <w:szCs w:val="48"/>
        </w:rPr>
      </w:pPr>
      <w:r>
        <w:rPr>
          <w:rFonts w:ascii="方正小标宋简体" w:hAnsi="宋体" w:eastAsia="方正小标宋简体"/>
          <w:color w:val="auto"/>
          <w:sz w:val="36"/>
          <w:szCs w:val="36"/>
        </w:rPr>
        <w:br w:type="page"/>
      </w:r>
      <w:r>
        <w:rPr>
          <w:rFonts w:hint="eastAsia" w:ascii="黑体" w:hAnsi="黑体" w:eastAsia="黑体"/>
          <w:color w:val="auto"/>
          <w:sz w:val="48"/>
          <w:szCs w:val="48"/>
        </w:rPr>
        <w:t>目录</w:t>
      </w:r>
    </w:p>
    <w:p>
      <w:pPr>
        <w:pageBreakBefore w:val="0"/>
        <w:widowControl/>
        <w:kinsoku/>
        <w:wordWrap/>
        <w:overflowPunct/>
        <w:topLinePunct w:val="0"/>
        <w:bidi w:val="0"/>
        <w:snapToGrid/>
        <w:spacing w:line="560" w:lineRule="exact"/>
        <w:jc w:val="both"/>
        <w:textAlignment w:val="auto"/>
        <w:rPr>
          <w:rFonts w:hint="eastAsia" w:ascii="黑体" w:hAnsi="黑体" w:eastAsia="黑体"/>
          <w:color w:val="auto"/>
          <w:sz w:val="48"/>
          <w:szCs w:val="48"/>
        </w:rPr>
      </w:pPr>
    </w:p>
    <w:p>
      <w:pPr>
        <w:pStyle w:val="10"/>
        <w:pageBreakBefore w:val="0"/>
        <w:kinsoku/>
        <w:wordWrap/>
        <w:overflowPunct/>
        <w:topLinePunct w:val="0"/>
        <w:bidi w:val="0"/>
        <w:snapToGrid/>
        <w:spacing w:line="560" w:lineRule="exact"/>
        <w:textAlignment w:val="auto"/>
      </w:pPr>
      <w:bookmarkStart w:id="171" w:name="_GoBack"/>
      <w:bookmarkEnd w:id="171"/>
      <w:r>
        <w:fldChar w:fldCharType="begin"/>
      </w:r>
      <w:r>
        <w:instrText xml:space="preserve">TOC \o "1-3" \h \u </w:instrText>
      </w:r>
      <w:r>
        <w:fldChar w:fldCharType="separate"/>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_Toc1137 </w:instrText>
      </w:r>
      <w:r>
        <w:fldChar w:fldCharType="separate"/>
      </w:r>
      <w:r>
        <w:rPr>
          <w:rFonts w:hint="eastAsia" w:ascii="黑体" w:hAnsi="黑体" w:eastAsia="黑体" w:cs="黑体"/>
          <w:bCs w:val="0"/>
        </w:rPr>
        <w:t>第一部分 部门概况</w:t>
      </w:r>
      <w:r>
        <w:tab/>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PAGEREF _Toc1137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- 4 -</w:t>
      </w:r>
      <w:r>
        <w:rPr>
          <w:rFonts w:ascii="Times New Roman" w:hAnsi="Times New Roman" w:eastAsia="宋体" w:cs="Times New Roman"/>
          <w:kern w:val="2"/>
          <w:sz w:val="21"/>
          <w:szCs w:val="24"/>
          <w:lang w:val="en-US" w:eastAsia="zh-CN" w:bidi="ar-SA"/>
        </w:rP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_Toc19823 </w:instrText>
      </w:r>
      <w:r>
        <w:fldChar w:fldCharType="separate"/>
      </w:r>
      <w:r>
        <w:rPr>
          <w:rFonts w:hint="eastAsia" w:ascii="黑体" w:hAnsi="黑体" w:eastAsia="黑体" w:cs="黑体"/>
          <w:bCs w:val="0"/>
          <w:szCs w:val="32"/>
        </w:rPr>
        <w:t>一、基本职能及主要工作</w:t>
      </w:r>
      <w:r>
        <w:tab/>
      </w:r>
      <w:r>
        <w:fldChar w:fldCharType="begin"/>
      </w:r>
      <w:r>
        <w:instrText xml:space="preserve"> PAGEREF _Toc19823 </w:instrText>
      </w:r>
      <w:r>
        <w:fldChar w:fldCharType="separate"/>
      </w:r>
      <w:r>
        <w:t>- 4 -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_Toc29173 </w:instrText>
      </w:r>
      <w:r>
        <w:fldChar w:fldCharType="separate"/>
      </w:r>
      <w:r>
        <w:rPr>
          <w:rFonts w:hint="eastAsia" w:ascii="楷体" w:hAnsi="楷体" w:eastAsia="楷体" w:cs="楷体"/>
        </w:rPr>
        <w:t>（一）主要职能</w:t>
      </w:r>
      <w:r>
        <w:tab/>
      </w:r>
      <w:r>
        <w:fldChar w:fldCharType="begin"/>
      </w:r>
      <w:r>
        <w:instrText xml:space="preserve"> PAGEREF _Toc29173 </w:instrText>
      </w:r>
      <w:r>
        <w:fldChar w:fldCharType="separate"/>
      </w:r>
      <w:r>
        <w:t>- 4 -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_Toc16912 </w:instrText>
      </w:r>
      <w:r>
        <w:fldChar w:fldCharType="separate"/>
      </w:r>
      <w:r>
        <w:rPr>
          <w:rFonts w:hint="eastAsia" w:ascii="楷体" w:hAnsi="楷体" w:eastAsia="楷体" w:cs="楷体"/>
        </w:rPr>
        <w:t>（二）2019年重点工作完成情况</w:t>
      </w:r>
      <w:r>
        <w:tab/>
      </w:r>
      <w:r>
        <w:fldChar w:fldCharType="begin"/>
      </w:r>
      <w:r>
        <w:instrText xml:space="preserve"> PAGEREF _Toc16912 </w:instrText>
      </w:r>
      <w:r>
        <w:fldChar w:fldCharType="separate"/>
      </w:r>
      <w:r>
        <w:t>- 4 -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_Toc9260 </w:instrText>
      </w:r>
      <w:r>
        <w:fldChar w:fldCharType="separate"/>
      </w:r>
      <w:r>
        <w:rPr>
          <w:rFonts w:hint="eastAsia" w:ascii="黑体" w:hAnsi="黑体" w:eastAsia="黑体" w:cs="黑体"/>
          <w:bCs w:val="0"/>
        </w:rPr>
        <w:t>二、机构设置</w:t>
      </w:r>
      <w:r>
        <w:tab/>
      </w:r>
      <w:r>
        <w:fldChar w:fldCharType="begin"/>
      </w:r>
      <w:r>
        <w:instrText xml:space="preserve"> PAGEREF _Toc9260 </w:instrText>
      </w:r>
      <w:r>
        <w:fldChar w:fldCharType="separate"/>
      </w:r>
      <w:r>
        <w:t>- 5 -</w:t>
      </w:r>
      <w:r>
        <w:fldChar w:fldCharType="end"/>
      </w:r>
      <w: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_Toc9284 </w:instrText>
      </w:r>
      <w:r>
        <w:fldChar w:fldCharType="separate"/>
      </w:r>
      <w:r>
        <w:rPr>
          <w:rFonts w:hint="eastAsia" w:ascii="黑体" w:hAnsi="黑体" w:eastAsia="黑体" w:cs="黑体"/>
          <w:bCs w:val="0"/>
        </w:rPr>
        <w:t>第二部分 2019年度部门决算情况说明</w:t>
      </w:r>
      <w:r>
        <w:tab/>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PAGEREF _Toc9284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- 6 -</w:t>
      </w:r>
      <w:r>
        <w:rPr>
          <w:rFonts w:ascii="Times New Roman" w:hAnsi="Times New Roman" w:eastAsia="宋体" w:cs="Times New Roman"/>
          <w:kern w:val="2"/>
          <w:sz w:val="21"/>
          <w:szCs w:val="24"/>
          <w:lang w:val="en-US" w:eastAsia="zh-CN" w:bidi="ar-SA"/>
        </w:rP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_Toc6053 </w:instrText>
      </w:r>
      <w:r>
        <w:fldChar w:fldCharType="separate"/>
      </w:r>
      <w:r>
        <w:rPr>
          <w:rFonts w:hint="eastAsia" w:ascii="黑体" w:hAnsi="黑体" w:eastAsia="黑体" w:cs="黑体"/>
          <w:bCs w:val="0"/>
          <w:lang w:val="en-US" w:eastAsia="zh-CN"/>
        </w:rPr>
        <w:t>一、</w:t>
      </w:r>
      <w:r>
        <w:rPr>
          <w:rFonts w:hint="eastAsia" w:ascii="黑体" w:hAnsi="黑体" w:eastAsia="黑体" w:cs="黑体"/>
          <w:bCs w:val="0"/>
        </w:rPr>
        <w:t>收入支出决算总体情况说明</w:t>
      </w:r>
      <w:r>
        <w:tab/>
      </w:r>
      <w:r>
        <w:fldChar w:fldCharType="begin"/>
      </w:r>
      <w:r>
        <w:instrText xml:space="preserve"> PAGEREF _Toc6053 </w:instrText>
      </w:r>
      <w:r>
        <w:fldChar w:fldCharType="separate"/>
      </w:r>
      <w:r>
        <w:t>- 6 -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_Toc28086 </w:instrText>
      </w:r>
      <w:r>
        <w:fldChar w:fldCharType="separate"/>
      </w:r>
      <w:r>
        <w:rPr>
          <w:rFonts w:hint="eastAsia" w:ascii="黑体" w:hAnsi="黑体" w:eastAsia="黑体" w:cs="黑体"/>
          <w:bCs w:val="0"/>
          <w:lang w:val="en-US" w:eastAsia="zh-CN"/>
        </w:rPr>
        <w:t>二、</w:t>
      </w:r>
      <w:r>
        <w:rPr>
          <w:rFonts w:hint="eastAsia" w:ascii="黑体" w:hAnsi="黑体" w:eastAsia="黑体" w:cs="黑体"/>
          <w:bCs w:val="0"/>
        </w:rPr>
        <w:t>收入决算情况说明</w:t>
      </w:r>
      <w:r>
        <w:tab/>
      </w:r>
      <w:r>
        <w:fldChar w:fldCharType="begin"/>
      </w:r>
      <w:r>
        <w:instrText xml:space="preserve"> PAGEREF _Toc28086 </w:instrText>
      </w:r>
      <w:r>
        <w:fldChar w:fldCharType="separate"/>
      </w:r>
      <w:r>
        <w:t>- 6 -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_Toc4530 </w:instrText>
      </w:r>
      <w:r>
        <w:fldChar w:fldCharType="separate"/>
      </w:r>
      <w:r>
        <w:rPr>
          <w:rFonts w:hint="eastAsia" w:ascii="黑体" w:hAnsi="黑体" w:eastAsia="黑体" w:cs="黑体"/>
          <w:bCs w:val="0"/>
          <w:lang w:val="en-US" w:eastAsia="zh-CN"/>
        </w:rPr>
        <w:t>三、</w:t>
      </w:r>
      <w:r>
        <w:rPr>
          <w:rFonts w:hint="eastAsia" w:ascii="黑体" w:hAnsi="黑体" w:eastAsia="黑体" w:cs="黑体"/>
          <w:bCs w:val="0"/>
        </w:rPr>
        <w:t>支出决算情况说明</w:t>
      </w:r>
      <w:r>
        <w:tab/>
      </w:r>
      <w:r>
        <w:fldChar w:fldCharType="begin"/>
      </w:r>
      <w:r>
        <w:instrText xml:space="preserve"> PAGEREF _Toc4530 </w:instrText>
      </w:r>
      <w:r>
        <w:fldChar w:fldCharType="separate"/>
      </w:r>
      <w:r>
        <w:t>- 7 -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_Toc17878 </w:instrText>
      </w:r>
      <w:r>
        <w:fldChar w:fldCharType="separate"/>
      </w:r>
      <w:r>
        <w:rPr>
          <w:rFonts w:hint="eastAsia" w:ascii="黑体" w:hAnsi="黑体" w:eastAsia="黑体" w:cs="黑体"/>
          <w:bCs w:val="0"/>
        </w:rPr>
        <w:t>四、财政拨款收入支出决算总体情况说明</w:t>
      </w:r>
      <w:r>
        <w:tab/>
      </w:r>
      <w:r>
        <w:fldChar w:fldCharType="begin"/>
      </w:r>
      <w:r>
        <w:instrText xml:space="preserve"> PAGEREF _Toc17878 </w:instrText>
      </w:r>
      <w:r>
        <w:fldChar w:fldCharType="separate"/>
      </w:r>
      <w:r>
        <w:t>- 8 -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_Toc26976 </w:instrText>
      </w:r>
      <w:r>
        <w:fldChar w:fldCharType="separate"/>
      </w:r>
      <w:r>
        <w:rPr>
          <w:rFonts w:hint="eastAsia" w:ascii="黑体" w:hAnsi="黑体" w:eastAsia="黑体" w:cs="黑体"/>
          <w:bCs w:val="0"/>
          <w:lang w:val="en-US" w:eastAsia="zh-CN"/>
        </w:rPr>
        <w:t>五、</w:t>
      </w:r>
      <w:r>
        <w:rPr>
          <w:rFonts w:hint="eastAsia" w:ascii="黑体" w:hAnsi="黑体" w:eastAsia="黑体" w:cs="黑体"/>
          <w:bCs w:val="0"/>
        </w:rPr>
        <w:t>一般公共预算财政拨款支出决算情况说明</w:t>
      </w:r>
      <w:r>
        <w:tab/>
      </w:r>
      <w:r>
        <w:fldChar w:fldCharType="begin"/>
      </w:r>
      <w:r>
        <w:instrText xml:space="preserve"> PAGEREF _Toc26976 </w:instrText>
      </w:r>
      <w:r>
        <w:fldChar w:fldCharType="separate"/>
      </w:r>
      <w:r>
        <w:t>- 8 -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_Toc2091 </w:instrText>
      </w:r>
      <w:r>
        <w:fldChar w:fldCharType="separate"/>
      </w:r>
      <w:r>
        <w:rPr>
          <w:rFonts w:hint="eastAsia" w:ascii="楷体" w:hAnsi="楷体" w:eastAsia="楷体" w:cs="楷体"/>
        </w:rPr>
        <w:t>（一）一般公共预算财政拨款支出决算总体情况</w:t>
      </w:r>
      <w:r>
        <w:tab/>
      </w:r>
      <w:r>
        <w:fldChar w:fldCharType="begin"/>
      </w:r>
      <w:r>
        <w:instrText xml:space="preserve"> PAGEREF _Toc2091 </w:instrText>
      </w:r>
      <w:r>
        <w:fldChar w:fldCharType="separate"/>
      </w:r>
      <w:r>
        <w:t>- 8 -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_Toc23770 </w:instrText>
      </w:r>
      <w:r>
        <w:fldChar w:fldCharType="separate"/>
      </w:r>
      <w:r>
        <w:rPr>
          <w:rFonts w:hint="eastAsia" w:ascii="楷体" w:hAnsi="楷体" w:eastAsia="楷体" w:cs="楷体"/>
        </w:rPr>
        <w:t>（二）一般公共预算财政拨款支出决算结构情况</w:t>
      </w:r>
      <w:r>
        <w:tab/>
      </w:r>
      <w:r>
        <w:fldChar w:fldCharType="begin"/>
      </w:r>
      <w:r>
        <w:instrText xml:space="preserve"> PAGEREF _Toc23770 </w:instrText>
      </w:r>
      <w:r>
        <w:fldChar w:fldCharType="separate"/>
      </w:r>
      <w:r>
        <w:t>- 9 -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_Toc24735 </w:instrText>
      </w:r>
      <w:r>
        <w:fldChar w:fldCharType="separate"/>
      </w:r>
      <w:r>
        <w:rPr>
          <w:rFonts w:hint="eastAsia" w:ascii="楷体" w:hAnsi="楷体" w:eastAsia="楷体" w:cs="楷体"/>
        </w:rPr>
        <w:t>（三）一般公共预算财政拨款支出决算具体情况</w:t>
      </w:r>
      <w:r>
        <w:tab/>
      </w:r>
      <w:r>
        <w:fldChar w:fldCharType="begin"/>
      </w:r>
      <w:r>
        <w:instrText xml:space="preserve"> PAGEREF _Toc24735 </w:instrText>
      </w:r>
      <w:r>
        <w:fldChar w:fldCharType="separate"/>
      </w:r>
      <w:r>
        <w:t>- 10 -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_Toc7590 </w:instrText>
      </w:r>
      <w:r>
        <w:fldChar w:fldCharType="separate"/>
      </w:r>
      <w:r>
        <w:rPr>
          <w:rFonts w:hint="eastAsia" w:ascii="黑体" w:hAnsi="黑体" w:eastAsia="黑体" w:cs="黑体"/>
          <w:bCs w:val="0"/>
        </w:rPr>
        <w:t>六、一般公共预算财政拨款基本支出决算情况说明</w:t>
      </w:r>
      <w:r>
        <w:tab/>
      </w:r>
      <w:r>
        <w:fldChar w:fldCharType="begin"/>
      </w:r>
      <w:r>
        <w:instrText xml:space="preserve"> PAGEREF _Toc7590 </w:instrText>
      </w:r>
      <w:r>
        <w:fldChar w:fldCharType="separate"/>
      </w:r>
      <w:r>
        <w:t>- 11 -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_Toc1919 </w:instrText>
      </w:r>
      <w:r>
        <w:fldChar w:fldCharType="separate"/>
      </w:r>
      <w:r>
        <w:rPr>
          <w:rFonts w:hint="eastAsia" w:ascii="黑体" w:hAnsi="黑体" w:eastAsia="黑体" w:cs="黑体"/>
          <w:bCs w:val="0"/>
        </w:rPr>
        <w:t>七、“三公”经费财政拨款支出决算情况说明</w:t>
      </w:r>
      <w:r>
        <w:tab/>
      </w:r>
      <w:r>
        <w:fldChar w:fldCharType="begin"/>
      </w:r>
      <w:r>
        <w:instrText xml:space="preserve"> PAGEREF _Toc1919 </w:instrText>
      </w:r>
      <w:r>
        <w:fldChar w:fldCharType="separate"/>
      </w:r>
      <w:r>
        <w:t>- 11 -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_Toc7973 </w:instrText>
      </w:r>
      <w:r>
        <w:fldChar w:fldCharType="separate"/>
      </w:r>
      <w:r>
        <w:rPr>
          <w:rFonts w:hint="eastAsia" w:ascii="楷体" w:hAnsi="楷体" w:eastAsia="楷体" w:cs="楷体"/>
        </w:rPr>
        <w:t>（一）“三公”经费财政拨款支出决算总体情况说明</w:t>
      </w:r>
      <w:r>
        <w:tab/>
      </w:r>
      <w:r>
        <w:fldChar w:fldCharType="begin"/>
      </w:r>
      <w:r>
        <w:instrText xml:space="preserve"> PAGEREF _Toc7973 </w:instrText>
      </w:r>
      <w:r>
        <w:fldChar w:fldCharType="separate"/>
      </w:r>
      <w:r>
        <w:t>- 11 -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_Toc8978 </w:instrText>
      </w:r>
      <w:r>
        <w:fldChar w:fldCharType="separate"/>
      </w:r>
      <w:r>
        <w:rPr>
          <w:rFonts w:hint="eastAsia" w:ascii="楷体" w:hAnsi="楷体" w:eastAsia="楷体" w:cs="楷体"/>
        </w:rPr>
        <w:t>（二）“三公”经费财政拨款支出决算具体情况说明</w:t>
      </w:r>
      <w:r>
        <w:tab/>
      </w:r>
      <w:r>
        <w:fldChar w:fldCharType="begin"/>
      </w:r>
      <w:r>
        <w:instrText xml:space="preserve"> PAGEREF _Toc8978 </w:instrText>
      </w:r>
      <w:r>
        <w:fldChar w:fldCharType="separate"/>
      </w:r>
      <w:r>
        <w:t>- 12 -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_Toc22598 </w:instrText>
      </w:r>
      <w:r>
        <w:fldChar w:fldCharType="separate"/>
      </w:r>
      <w:r>
        <w:rPr>
          <w:rFonts w:hint="eastAsia" w:ascii="黑体" w:hAnsi="黑体" w:eastAsia="黑体" w:cs="黑体"/>
          <w:bCs w:val="0"/>
        </w:rPr>
        <w:t>八、政府性基金预算支出决算情况说明</w:t>
      </w:r>
      <w:r>
        <w:tab/>
      </w:r>
      <w:r>
        <w:fldChar w:fldCharType="begin"/>
      </w:r>
      <w:r>
        <w:instrText xml:space="preserve"> PAGEREF _Toc22598 </w:instrText>
      </w:r>
      <w:r>
        <w:fldChar w:fldCharType="separate"/>
      </w:r>
      <w:r>
        <w:t>- 13 -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_Toc8808 </w:instrText>
      </w:r>
      <w:r>
        <w:fldChar w:fldCharType="separate"/>
      </w:r>
      <w:r>
        <w:rPr>
          <w:rFonts w:hint="eastAsia" w:ascii="黑体" w:hAnsi="黑体" w:eastAsia="黑体" w:cs="黑体"/>
          <w:bCs w:val="0"/>
          <w:lang w:val="en-US" w:eastAsia="zh-CN"/>
        </w:rPr>
        <w:t>九、</w:t>
      </w:r>
      <w:r>
        <w:rPr>
          <w:rFonts w:hint="eastAsia" w:ascii="黑体" w:hAnsi="黑体" w:eastAsia="黑体" w:cs="黑体"/>
          <w:bCs w:val="0"/>
        </w:rPr>
        <w:t>国有资本经营预算支出决算情况说明</w:t>
      </w:r>
      <w:r>
        <w:tab/>
      </w:r>
      <w:r>
        <w:fldChar w:fldCharType="begin"/>
      </w:r>
      <w:r>
        <w:instrText xml:space="preserve"> PAGEREF _Toc8808 </w:instrText>
      </w:r>
      <w:r>
        <w:fldChar w:fldCharType="separate"/>
      </w:r>
      <w:r>
        <w:t>- 13 -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_Toc10947 </w:instrText>
      </w:r>
      <w:r>
        <w:fldChar w:fldCharType="separate"/>
      </w:r>
      <w:r>
        <w:rPr>
          <w:rFonts w:hint="eastAsia" w:ascii="黑体" w:hAnsi="黑体" w:eastAsia="黑体" w:cs="黑体"/>
          <w:bCs w:val="0"/>
          <w:lang w:val="en-US" w:eastAsia="zh-CN"/>
        </w:rPr>
        <w:t>十、其他重要事项的情况说明</w:t>
      </w:r>
      <w:r>
        <w:tab/>
      </w:r>
      <w:r>
        <w:fldChar w:fldCharType="begin"/>
      </w:r>
      <w:r>
        <w:instrText xml:space="preserve"> PAGEREF _Toc10947 </w:instrText>
      </w:r>
      <w:r>
        <w:fldChar w:fldCharType="separate"/>
      </w:r>
      <w:r>
        <w:t>- 13 -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_Toc29981 </w:instrText>
      </w:r>
      <w:r>
        <w:fldChar w:fldCharType="separate"/>
      </w:r>
      <w:r>
        <w:rPr>
          <w:rFonts w:hint="eastAsia" w:ascii="楷体" w:hAnsi="楷体" w:eastAsia="楷体" w:cs="楷体"/>
        </w:rPr>
        <w:t>（一）机关运行经费支出情况</w:t>
      </w:r>
      <w:r>
        <w:tab/>
      </w:r>
      <w:r>
        <w:fldChar w:fldCharType="begin"/>
      </w:r>
      <w:r>
        <w:instrText xml:space="preserve"> PAGEREF _Toc29981 </w:instrText>
      </w:r>
      <w:r>
        <w:fldChar w:fldCharType="separate"/>
      </w:r>
      <w:r>
        <w:t>- 13 -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_Toc25794 </w:instrText>
      </w:r>
      <w:r>
        <w:fldChar w:fldCharType="separate"/>
      </w:r>
      <w:r>
        <w:rPr>
          <w:rFonts w:hint="eastAsia" w:ascii="楷体" w:hAnsi="楷体" w:eastAsia="楷体" w:cs="楷体"/>
        </w:rPr>
        <w:t>（二）政府采购支出情况</w:t>
      </w:r>
      <w:r>
        <w:tab/>
      </w:r>
      <w:r>
        <w:fldChar w:fldCharType="begin"/>
      </w:r>
      <w:r>
        <w:instrText xml:space="preserve"> PAGEREF _Toc25794 </w:instrText>
      </w:r>
      <w:r>
        <w:fldChar w:fldCharType="separate"/>
      </w:r>
      <w:r>
        <w:t>- 13 -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_Toc32488 </w:instrText>
      </w:r>
      <w:r>
        <w:fldChar w:fldCharType="separate"/>
      </w:r>
      <w:r>
        <w:rPr>
          <w:rFonts w:hint="eastAsia" w:ascii="楷体" w:hAnsi="楷体" w:eastAsia="楷体" w:cs="楷体"/>
        </w:rPr>
        <w:t>（三）国有资产占有使用情况</w:t>
      </w:r>
      <w:r>
        <w:tab/>
      </w:r>
      <w:r>
        <w:fldChar w:fldCharType="begin"/>
      </w:r>
      <w:r>
        <w:instrText xml:space="preserve"> PAGEREF _Toc32488 </w:instrText>
      </w:r>
      <w:r>
        <w:fldChar w:fldCharType="separate"/>
      </w:r>
      <w:r>
        <w:t>- 14 -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_Toc13734 </w:instrText>
      </w:r>
      <w:r>
        <w:fldChar w:fldCharType="separate"/>
      </w:r>
      <w:r>
        <w:rPr>
          <w:rFonts w:hint="eastAsia" w:ascii="楷体" w:hAnsi="楷体" w:eastAsia="楷体" w:cs="楷体"/>
        </w:rPr>
        <w:t>（四）预算绩效管理情况</w:t>
      </w:r>
      <w:r>
        <w:tab/>
      </w:r>
      <w:r>
        <w:fldChar w:fldCharType="begin"/>
      </w:r>
      <w:r>
        <w:instrText xml:space="preserve"> PAGEREF _Toc13734 </w:instrText>
      </w:r>
      <w:r>
        <w:fldChar w:fldCharType="separate"/>
      </w:r>
      <w:r>
        <w:t>- 14 -</w:t>
      </w:r>
      <w:r>
        <w:fldChar w:fldCharType="end"/>
      </w:r>
      <w: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_Toc10901 </w:instrText>
      </w:r>
      <w:r>
        <w:fldChar w:fldCharType="separate"/>
      </w:r>
      <w:r>
        <w:rPr>
          <w:rFonts w:hint="eastAsia" w:ascii="黑体" w:hAnsi="黑体" w:eastAsia="黑体" w:cs="黑体"/>
          <w:bCs w:val="0"/>
          <w:lang w:val="en-US" w:eastAsia="zh-CN"/>
        </w:rPr>
        <w:t xml:space="preserve">第三部分 </w:t>
      </w:r>
      <w:r>
        <w:rPr>
          <w:rFonts w:hint="eastAsia" w:ascii="黑体" w:hAnsi="黑体" w:eastAsia="黑体" w:cs="黑体"/>
          <w:bCs w:val="0"/>
        </w:rPr>
        <w:t>名词解释</w:t>
      </w:r>
      <w:r>
        <w:tab/>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PAGEREF _Toc10901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- 19 -</w:t>
      </w:r>
      <w:r>
        <w:rPr>
          <w:rFonts w:ascii="Times New Roman" w:hAnsi="Times New Roman" w:eastAsia="宋体" w:cs="Times New Roman"/>
          <w:kern w:val="2"/>
          <w:sz w:val="21"/>
          <w:szCs w:val="24"/>
          <w:lang w:val="en-US" w:eastAsia="zh-CN" w:bidi="ar-SA"/>
        </w:rPr>
        <w:fldChar w:fldCharType="end"/>
      </w:r>
      <w: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_Toc23213 </w:instrText>
      </w:r>
      <w:r>
        <w:fldChar w:fldCharType="separate"/>
      </w:r>
      <w:r>
        <w:rPr>
          <w:rFonts w:hint="eastAsia" w:ascii="黑体" w:hAnsi="黑体" w:eastAsia="黑体" w:cs="黑体"/>
          <w:bCs w:val="0"/>
        </w:rPr>
        <w:t>第四部分 附件</w:t>
      </w:r>
      <w:r>
        <w:tab/>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PAGEREF _Toc23213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- 22 -</w:t>
      </w:r>
      <w:r>
        <w:rPr>
          <w:rFonts w:ascii="Times New Roman" w:hAnsi="Times New Roman" w:eastAsia="宋体" w:cs="Times New Roman"/>
          <w:kern w:val="2"/>
          <w:sz w:val="21"/>
          <w:szCs w:val="24"/>
          <w:lang w:val="en-US" w:eastAsia="zh-CN" w:bidi="ar-SA"/>
        </w:rP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_Toc17145 </w:instrText>
      </w:r>
      <w:r>
        <w:fldChar w:fldCharType="separate"/>
      </w:r>
      <w:r>
        <w:rPr>
          <w:rFonts w:hint="eastAsia" w:ascii="黑体" w:hAnsi="黑体" w:eastAsia="黑体" w:cs="黑体"/>
          <w:bCs w:val="0"/>
          <w:lang w:val="en-US" w:eastAsia="zh-CN"/>
        </w:rPr>
        <w:t>一、</w:t>
      </w:r>
      <w:r>
        <w:rPr>
          <w:rFonts w:hint="eastAsia" w:ascii="黑体" w:hAnsi="黑体" w:eastAsia="黑体" w:cs="黑体"/>
          <w:bCs w:val="0"/>
          <w:lang w:val="zh-CN" w:eastAsia="zh-CN"/>
        </w:rPr>
        <w:t>部门（单位）概况</w:t>
      </w:r>
      <w:r>
        <w:tab/>
      </w:r>
      <w:r>
        <w:fldChar w:fldCharType="begin"/>
      </w:r>
      <w:r>
        <w:instrText xml:space="preserve"> PAGEREF _Toc17145 </w:instrText>
      </w:r>
      <w:r>
        <w:fldChar w:fldCharType="separate"/>
      </w:r>
      <w:r>
        <w:t>- 22 -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_Toc31538 </w:instrText>
      </w:r>
      <w:r>
        <w:fldChar w:fldCharType="separate"/>
      </w:r>
      <w:r>
        <w:rPr>
          <w:rFonts w:hint="eastAsia" w:ascii="楷体" w:hAnsi="楷体" w:eastAsia="楷体" w:cs="楷体"/>
          <w:lang w:val="zh-CN" w:eastAsia="zh-CN"/>
        </w:rPr>
        <w:t>（一）机构组成</w:t>
      </w:r>
      <w:r>
        <w:tab/>
      </w:r>
      <w:r>
        <w:fldChar w:fldCharType="begin"/>
      </w:r>
      <w:r>
        <w:instrText xml:space="preserve"> PAGEREF _Toc31538 </w:instrText>
      </w:r>
      <w:r>
        <w:fldChar w:fldCharType="separate"/>
      </w:r>
      <w:r>
        <w:t>- 22 -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_Toc16680 </w:instrText>
      </w:r>
      <w:r>
        <w:fldChar w:fldCharType="separate"/>
      </w:r>
      <w:r>
        <w:rPr>
          <w:rFonts w:hint="eastAsia" w:ascii="楷体" w:hAnsi="楷体" w:eastAsia="楷体" w:cs="楷体"/>
          <w:lang w:val="zh-CN" w:eastAsia="zh-CN"/>
        </w:rPr>
        <w:t>（二）机构职能</w:t>
      </w:r>
      <w:r>
        <w:tab/>
      </w:r>
      <w:r>
        <w:fldChar w:fldCharType="begin"/>
      </w:r>
      <w:r>
        <w:instrText xml:space="preserve"> PAGEREF _Toc16680 </w:instrText>
      </w:r>
      <w:r>
        <w:fldChar w:fldCharType="separate"/>
      </w:r>
      <w:r>
        <w:t>- 22 -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_Toc19794 </w:instrText>
      </w:r>
      <w:r>
        <w:fldChar w:fldCharType="separate"/>
      </w:r>
      <w:r>
        <w:rPr>
          <w:rFonts w:hint="eastAsia" w:ascii="楷体" w:hAnsi="楷体" w:eastAsia="楷体" w:cs="楷体"/>
          <w:lang w:val="zh-CN" w:eastAsia="zh-CN"/>
        </w:rPr>
        <w:t>（三）人员概况</w:t>
      </w:r>
      <w:r>
        <w:tab/>
      </w:r>
      <w:r>
        <w:fldChar w:fldCharType="begin"/>
      </w:r>
      <w:r>
        <w:instrText xml:space="preserve"> PAGEREF _Toc19794 </w:instrText>
      </w:r>
      <w:r>
        <w:fldChar w:fldCharType="separate"/>
      </w:r>
      <w:r>
        <w:t>- 22 -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_Toc20707 </w:instrText>
      </w:r>
      <w:r>
        <w:fldChar w:fldCharType="separate"/>
      </w:r>
      <w:r>
        <w:rPr>
          <w:rFonts w:hint="eastAsia" w:ascii="黑体" w:hAnsi="黑体" w:eastAsia="黑体" w:cs="黑体"/>
          <w:bCs w:val="0"/>
          <w:lang w:val="en-US" w:eastAsia="zh-CN"/>
        </w:rPr>
        <w:t>二、部门财政资金收支情况</w:t>
      </w:r>
      <w:r>
        <w:tab/>
      </w:r>
      <w:r>
        <w:fldChar w:fldCharType="begin"/>
      </w:r>
      <w:r>
        <w:instrText xml:space="preserve"> PAGEREF _Toc20707 </w:instrText>
      </w:r>
      <w:r>
        <w:fldChar w:fldCharType="separate"/>
      </w:r>
      <w:r>
        <w:t>- 23 -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ind w:firstLine="420" w:firstLineChars="200"/>
        <w:textAlignment w:val="auto"/>
      </w:pPr>
      <w:r>
        <w:fldChar w:fldCharType="begin"/>
      </w:r>
      <w:r>
        <w:instrText xml:space="preserve"> HYPERLINK \l _Toc18289 </w:instrText>
      </w:r>
      <w:r>
        <w:fldChar w:fldCharType="separate"/>
      </w:r>
      <w:r>
        <w:rPr>
          <w:rFonts w:hint="eastAsia" w:ascii="楷体" w:hAnsi="楷体" w:eastAsia="楷体" w:cs="楷体"/>
          <w:lang w:val="zh-CN" w:eastAsia="zh-CN"/>
        </w:rPr>
        <w:t>（一）部门财政资金收入情况</w:t>
      </w:r>
      <w:r>
        <w:tab/>
      </w:r>
      <w:r>
        <w:fldChar w:fldCharType="begin"/>
      </w:r>
      <w:r>
        <w:instrText xml:space="preserve"> PAGEREF _Toc18289 </w:instrText>
      </w:r>
      <w:r>
        <w:fldChar w:fldCharType="separate"/>
      </w:r>
      <w:r>
        <w:t>- 23 -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_Toc13236 </w:instrText>
      </w:r>
      <w:r>
        <w:fldChar w:fldCharType="separate"/>
      </w:r>
      <w:r>
        <w:rPr>
          <w:rFonts w:hint="eastAsia" w:ascii="楷体" w:hAnsi="楷体" w:eastAsia="楷体" w:cs="楷体"/>
          <w:lang w:val="zh-CN" w:eastAsia="zh-CN"/>
        </w:rPr>
        <w:t>（二）部门财政资金支出情况</w:t>
      </w:r>
      <w:r>
        <w:tab/>
      </w:r>
      <w:r>
        <w:fldChar w:fldCharType="begin"/>
      </w:r>
      <w:r>
        <w:instrText xml:space="preserve"> PAGEREF _Toc13236 </w:instrText>
      </w:r>
      <w:r>
        <w:fldChar w:fldCharType="separate"/>
      </w:r>
      <w:r>
        <w:t>- 23 -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_Toc17429 </w:instrText>
      </w:r>
      <w:r>
        <w:fldChar w:fldCharType="separate"/>
      </w:r>
      <w:r>
        <w:rPr>
          <w:rFonts w:hint="eastAsia" w:ascii="黑体" w:hAnsi="黑体" w:eastAsia="黑体" w:cs="黑体"/>
          <w:bCs w:val="0"/>
          <w:lang w:val="en-US" w:eastAsia="zh-CN"/>
        </w:rPr>
        <w:t>三、部门整体预算绩效管理情况</w:t>
      </w:r>
      <w:r>
        <w:tab/>
      </w:r>
      <w:r>
        <w:fldChar w:fldCharType="begin"/>
      </w:r>
      <w:r>
        <w:instrText xml:space="preserve"> PAGEREF _Toc17429 </w:instrText>
      </w:r>
      <w:r>
        <w:fldChar w:fldCharType="separate"/>
      </w:r>
      <w:r>
        <w:t>- 23 -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_Toc1187 </w:instrText>
      </w:r>
      <w:r>
        <w:fldChar w:fldCharType="separate"/>
      </w:r>
      <w:r>
        <w:rPr>
          <w:rFonts w:hint="eastAsia" w:ascii="楷体" w:hAnsi="楷体" w:eastAsia="楷体" w:cs="楷体"/>
          <w:lang w:val="zh-CN" w:eastAsia="zh-CN"/>
        </w:rPr>
        <w:t>（一）部门预算管理</w:t>
      </w:r>
      <w:r>
        <w:tab/>
      </w:r>
      <w:r>
        <w:fldChar w:fldCharType="begin"/>
      </w:r>
      <w:r>
        <w:instrText xml:space="preserve"> PAGEREF _Toc1187 </w:instrText>
      </w:r>
      <w:r>
        <w:fldChar w:fldCharType="separate"/>
      </w:r>
      <w:r>
        <w:t>- 23 -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_Toc23127 </w:instrText>
      </w:r>
      <w:r>
        <w:fldChar w:fldCharType="separate"/>
      </w:r>
      <w:r>
        <w:rPr>
          <w:rFonts w:hint="eastAsia" w:ascii="楷体" w:hAnsi="楷体" w:eastAsia="楷体" w:cs="楷体"/>
          <w:lang w:val="zh-CN" w:eastAsia="zh-CN"/>
        </w:rPr>
        <w:t>（</w:t>
      </w:r>
      <w:r>
        <w:rPr>
          <w:rFonts w:hint="eastAsia" w:ascii="楷体" w:hAnsi="楷体" w:eastAsia="楷体" w:cs="楷体"/>
          <w:lang w:val="en-US" w:eastAsia="zh-CN"/>
        </w:rPr>
        <w:t>二</w:t>
      </w:r>
      <w:r>
        <w:rPr>
          <w:rFonts w:hint="eastAsia" w:ascii="楷体" w:hAnsi="楷体" w:eastAsia="楷体" w:cs="楷体"/>
          <w:lang w:val="zh-CN" w:eastAsia="zh-CN"/>
        </w:rPr>
        <w:t>）结果应用情况</w:t>
      </w:r>
      <w:r>
        <w:tab/>
      </w:r>
      <w:r>
        <w:fldChar w:fldCharType="begin"/>
      </w:r>
      <w:r>
        <w:instrText xml:space="preserve"> PAGEREF _Toc23127 </w:instrText>
      </w:r>
      <w:r>
        <w:fldChar w:fldCharType="separate"/>
      </w:r>
      <w:r>
        <w:t>- 23 -</w:t>
      </w:r>
      <w:r>
        <w:fldChar w:fldCharType="end"/>
      </w:r>
      <w: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_Toc3536 </w:instrText>
      </w:r>
      <w:r>
        <w:fldChar w:fldCharType="separate"/>
      </w:r>
      <w:r>
        <w:rPr>
          <w:rFonts w:hint="eastAsia" w:ascii="黑体" w:hAnsi="黑体" w:eastAsia="黑体" w:cs="黑体"/>
          <w:bCs w:val="0"/>
          <w:lang w:val="en-US" w:eastAsia="zh-CN"/>
        </w:rPr>
        <w:t>四、评价结论及建议</w:t>
      </w:r>
      <w:r>
        <w:tab/>
      </w:r>
      <w:r>
        <w:fldChar w:fldCharType="begin"/>
      </w:r>
      <w:r>
        <w:instrText xml:space="preserve"> PAGEREF _Toc3536 </w:instrText>
      </w:r>
      <w:r>
        <w:fldChar w:fldCharType="separate"/>
      </w:r>
      <w:r>
        <w:t>- 23 -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_Toc9626 </w:instrText>
      </w:r>
      <w:r>
        <w:fldChar w:fldCharType="separate"/>
      </w:r>
      <w:r>
        <w:rPr>
          <w:rFonts w:hint="eastAsia" w:ascii="楷体" w:hAnsi="楷体" w:eastAsia="楷体" w:cs="楷体"/>
          <w:lang w:val="zh-CN" w:eastAsia="zh-CN"/>
        </w:rPr>
        <w:t>（一）评价结论</w:t>
      </w:r>
      <w:r>
        <w:tab/>
      </w:r>
      <w:r>
        <w:fldChar w:fldCharType="begin"/>
      </w:r>
      <w:r>
        <w:instrText xml:space="preserve"> PAGEREF _Toc9626 </w:instrText>
      </w:r>
      <w:r>
        <w:fldChar w:fldCharType="separate"/>
      </w:r>
      <w:r>
        <w:t>- 23 -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_Toc6091 </w:instrText>
      </w:r>
      <w:r>
        <w:fldChar w:fldCharType="separate"/>
      </w:r>
      <w:r>
        <w:rPr>
          <w:rFonts w:hint="eastAsia" w:ascii="楷体" w:hAnsi="楷体" w:eastAsia="楷体" w:cs="楷体"/>
          <w:lang w:val="zh-CN" w:eastAsia="zh-CN"/>
        </w:rPr>
        <w:t>（二）存在问题</w:t>
      </w:r>
      <w:r>
        <w:tab/>
      </w:r>
      <w:r>
        <w:fldChar w:fldCharType="begin"/>
      </w:r>
      <w:r>
        <w:instrText xml:space="preserve"> PAGEREF _Toc6091 </w:instrText>
      </w:r>
      <w:r>
        <w:fldChar w:fldCharType="separate"/>
      </w:r>
      <w:r>
        <w:t>- 23 -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_Toc25601 </w:instrText>
      </w:r>
      <w:r>
        <w:fldChar w:fldCharType="separate"/>
      </w:r>
      <w:r>
        <w:rPr>
          <w:rFonts w:hint="eastAsia" w:ascii="楷体" w:hAnsi="楷体" w:eastAsia="楷体" w:cs="楷体"/>
          <w:lang w:val="zh-CN" w:eastAsia="zh-CN"/>
        </w:rPr>
        <w:t>（三）改进建议</w:t>
      </w:r>
      <w:r>
        <w:tab/>
      </w:r>
      <w:r>
        <w:fldChar w:fldCharType="begin"/>
      </w:r>
      <w:r>
        <w:instrText xml:space="preserve"> PAGEREF _Toc25601 </w:instrText>
      </w:r>
      <w:r>
        <w:fldChar w:fldCharType="separate"/>
      </w:r>
      <w:r>
        <w:t>- 24 -</w:t>
      </w:r>
      <w:r>
        <w:fldChar w:fldCharType="end"/>
      </w:r>
      <w: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_Toc26805 </w:instrText>
      </w:r>
      <w:r>
        <w:fldChar w:fldCharType="separate"/>
      </w:r>
      <w:r>
        <w:rPr>
          <w:rFonts w:hint="eastAsia" w:ascii="黑体" w:hAnsi="黑体" w:eastAsia="黑体" w:cs="黑体"/>
          <w:bCs w:val="0"/>
        </w:rPr>
        <w:t>第五部分 附表</w:t>
      </w:r>
      <w:r>
        <w:tab/>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PAGEREF _Toc26805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- 25 -</w:t>
      </w:r>
      <w:r>
        <w:rPr>
          <w:rFonts w:ascii="Times New Roman" w:hAnsi="Times New Roman" w:eastAsia="宋体" w:cs="Times New Roman"/>
          <w:kern w:val="2"/>
          <w:sz w:val="21"/>
          <w:szCs w:val="24"/>
          <w:lang w:val="en-US" w:eastAsia="zh-CN" w:bidi="ar-SA"/>
        </w:rP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_Toc27015 </w:instrText>
      </w:r>
      <w:r>
        <w:fldChar w:fldCharType="separate"/>
      </w:r>
      <w:r>
        <w:rPr>
          <w:rFonts w:hint="eastAsia" w:ascii="仿宋_GB2312" w:hAnsi="仿宋_GB2312" w:eastAsia="仿宋_GB2312" w:cs="仿宋_GB2312"/>
          <w:bCs w:val="0"/>
        </w:rPr>
        <w:t>一、收入支出决算总表</w:t>
      </w:r>
      <w:r>
        <w:tab/>
      </w:r>
      <w:r>
        <w:fldChar w:fldCharType="begin"/>
      </w:r>
      <w:r>
        <w:instrText xml:space="preserve"> PAGEREF _Toc27015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_Toc6518 </w:instrText>
      </w:r>
      <w:r>
        <w:fldChar w:fldCharType="separate"/>
      </w:r>
      <w:r>
        <w:rPr>
          <w:rFonts w:hint="eastAsia" w:ascii="仿宋_GB2312" w:hAnsi="仿宋_GB2312" w:eastAsia="仿宋_GB2312" w:cs="仿宋_GB2312"/>
          <w:bCs w:val="0"/>
        </w:rPr>
        <w:t>二、收入决算表</w:t>
      </w:r>
      <w:r>
        <w:tab/>
      </w:r>
      <w:r>
        <w:fldChar w:fldCharType="begin"/>
      </w:r>
      <w:r>
        <w:instrText xml:space="preserve"> PAGEREF _Toc6518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_Toc5351 </w:instrText>
      </w:r>
      <w:r>
        <w:fldChar w:fldCharType="separate"/>
      </w:r>
      <w:r>
        <w:rPr>
          <w:rFonts w:hint="eastAsia" w:ascii="仿宋_GB2312" w:hAnsi="仿宋_GB2312" w:eastAsia="仿宋_GB2312" w:cs="仿宋_GB2312"/>
          <w:bCs w:val="0"/>
        </w:rPr>
        <w:t>三、支出决算表</w:t>
      </w:r>
      <w:r>
        <w:tab/>
      </w:r>
      <w:r>
        <w:fldChar w:fldCharType="begin"/>
      </w:r>
      <w:r>
        <w:instrText xml:space="preserve"> PAGEREF _Toc5351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_Toc22920 </w:instrText>
      </w:r>
      <w:r>
        <w:fldChar w:fldCharType="separate"/>
      </w:r>
      <w:r>
        <w:rPr>
          <w:rFonts w:hint="eastAsia" w:ascii="仿宋_GB2312" w:hAnsi="仿宋_GB2312" w:eastAsia="仿宋_GB2312" w:cs="仿宋_GB2312"/>
          <w:bCs w:val="0"/>
        </w:rPr>
        <w:t>四、财政拨款收入支出决算总表</w:t>
      </w:r>
      <w:r>
        <w:tab/>
      </w:r>
      <w:r>
        <w:fldChar w:fldCharType="begin"/>
      </w:r>
      <w:r>
        <w:instrText xml:space="preserve"> PAGEREF _Toc22920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_Toc7352 </w:instrText>
      </w:r>
      <w:r>
        <w:fldChar w:fldCharType="separate"/>
      </w:r>
      <w:r>
        <w:rPr>
          <w:rFonts w:hint="eastAsia" w:ascii="仿宋_GB2312" w:hAnsi="仿宋_GB2312" w:eastAsia="仿宋_GB2312" w:cs="仿宋_GB2312"/>
          <w:bCs w:val="0"/>
        </w:rPr>
        <w:t>五、财政拨款支出决算明细表</w:t>
      </w:r>
      <w:r>
        <w:tab/>
      </w:r>
      <w:r>
        <w:fldChar w:fldCharType="begin"/>
      </w:r>
      <w:r>
        <w:instrText xml:space="preserve"> PAGEREF _Toc7352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_Toc15907 </w:instrText>
      </w:r>
      <w:r>
        <w:fldChar w:fldCharType="separate"/>
      </w:r>
      <w:r>
        <w:rPr>
          <w:rFonts w:hint="eastAsia" w:ascii="仿宋_GB2312" w:hAnsi="仿宋_GB2312" w:eastAsia="仿宋_GB2312" w:cs="仿宋_GB2312"/>
          <w:bCs w:val="0"/>
        </w:rPr>
        <w:t>六、一般公共预算财政拨款支出决算表</w:t>
      </w:r>
      <w:r>
        <w:tab/>
      </w:r>
      <w:r>
        <w:fldChar w:fldCharType="begin"/>
      </w:r>
      <w:r>
        <w:instrText xml:space="preserve"> PAGEREF _Toc15907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_Toc32354 </w:instrText>
      </w:r>
      <w:r>
        <w:fldChar w:fldCharType="separate"/>
      </w:r>
      <w:r>
        <w:rPr>
          <w:rFonts w:hint="eastAsia" w:ascii="仿宋_GB2312" w:hAnsi="仿宋_GB2312" w:eastAsia="仿宋_GB2312" w:cs="仿宋_GB2312"/>
          <w:bCs w:val="0"/>
        </w:rPr>
        <w:t>七、一般公共预算财政拨款支出决算明细表</w:t>
      </w:r>
      <w:r>
        <w:tab/>
      </w:r>
      <w:r>
        <w:fldChar w:fldCharType="begin"/>
      </w:r>
      <w:r>
        <w:instrText xml:space="preserve"> PAGEREF _Toc32354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_Toc24531 </w:instrText>
      </w:r>
      <w:r>
        <w:fldChar w:fldCharType="separate"/>
      </w:r>
      <w:r>
        <w:rPr>
          <w:rFonts w:hint="eastAsia" w:ascii="仿宋_GB2312" w:hAnsi="仿宋_GB2312" w:eastAsia="仿宋_GB2312" w:cs="仿宋_GB2312"/>
          <w:bCs w:val="0"/>
        </w:rPr>
        <w:t>八、一般公共预算财政拨款基本支出决算表</w:t>
      </w:r>
      <w:r>
        <w:tab/>
      </w:r>
      <w:r>
        <w:fldChar w:fldCharType="begin"/>
      </w:r>
      <w:r>
        <w:instrText xml:space="preserve"> PAGEREF _Toc24531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_Toc26081 </w:instrText>
      </w:r>
      <w:r>
        <w:fldChar w:fldCharType="separate"/>
      </w:r>
      <w:r>
        <w:rPr>
          <w:rFonts w:hint="eastAsia" w:ascii="仿宋_GB2312" w:hAnsi="仿宋_GB2312" w:eastAsia="仿宋_GB2312" w:cs="仿宋_GB2312"/>
          <w:bCs w:val="0"/>
        </w:rPr>
        <w:t>九、一般公共预算财政拨款项目支出决算表</w:t>
      </w:r>
      <w:r>
        <w:tab/>
      </w:r>
      <w:r>
        <w:fldChar w:fldCharType="begin"/>
      </w:r>
      <w:r>
        <w:instrText xml:space="preserve"> PAGEREF _Toc26081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_Toc25027 </w:instrText>
      </w:r>
      <w:r>
        <w:fldChar w:fldCharType="separate"/>
      </w:r>
      <w:r>
        <w:rPr>
          <w:rFonts w:hint="eastAsia" w:ascii="仿宋_GB2312" w:hAnsi="仿宋_GB2312" w:eastAsia="仿宋_GB2312" w:cs="仿宋_GB2312"/>
          <w:bCs w:val="0"/>
        </w:rPr>
        <w:t>十、一般公共预算财政拨款“三公”经费支出决算表</w:t>
      </w:r>
      <w:r>
        <w:tab/>
      </w:r>
      <w:r>
        <w:fldChar w:fldCharType="begin"/>
      </w:r>
      <w:r>
        <w:instrText xml:space="preserve"> PAGEREF _Toc25027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_Toc23660 </w:instrText>
      </w:r>
      <w:r>
        <w:fldChar w:fldCharType="separate"/>
      </w:r>
      <w:r>
        <w:rPr>
          <w:rFonts w:hint="eastAsia" w:ascii="仿宋_GB2312" w:hAnsi="仿宋_GB2312" w:eastAsia="仿宋_GB2312" w:cs="仿宋_GB2312"/>
          <w:bCs w:val="0"/>
        </w:rPr>
        <w:t>十一、政府性基金预算财政拨款收入支出决算表</w:t>
      </w:r>
      <w:r>
        <w:tab/>
      </w:r>
      <w:r>
        <w:fldChar w:fldCharType="begin"/>
      </w:r>
      <w:r>
        <w:instrText xml:space="preserve"> PAGEREF _Toc23660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_Toc6198 </w:instrText>
      </w:r>
      <w:r>
        <w:fldChar w:fldCharType="separate"/>
      </w:r>
      <w:r>
        <w:rPr>
          <w:rFonts w:hint="eastAsia" w:ascii="仿宋_GB2312" w:hAnsi="仿宋_GB2312" w:eastAsia="仿宋_GB2312" w:cs="仿宋_GB2312"/>
          <w:bCs w:val="0"/>
        </w:rPr>
        <w:t>十二、政府性基金预算财政拨款“三公”经费支出决算表</w:t>
      </w:r>
      <w:r>
        <w:tab/>
      </w:r>
      <w:r>
        <w:fldChar w:fldCharType="begin"/>
      </w:r>
      <w:r>
        <w:instrText xml:space="preserve"> PAGEREF _Toc6198 </w:instrText>
      </w:r>
      <w:r>
        <w:fldChar w:fldCharType="separate"/>
      </w:r>
      <w:r>
        <w:t>- 32 -</w:t>
      </w:r>
      <w:r>
        <w:fldChar w:fldCharType="end"/>
      </w:r>
      <w: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textAlignment w:val="auto"/>
      </w:pPr>
      <w:r>
        <w:fldChar w:fldCharType="begin"/>
      </w:r>
      <w:r>
        <w:instrText xml:space="preserve"> HYPERLINK \l _Toc15733 </w:instrText>
      </w:r>
      <w:r>
        <w:fldChar w:fldCharType="separate"/>
      </w:r>
      <w:r>
        <w:rPr>
          <w:rFonts w:hint="eastAsia" w:ascii="仿宋_GB2312" w:hAnsi="仿宋_GB2312" w:eastAsia="仿宋_GB2312" w:cs="仿宋_GB2312"/>
          <w:bCs w:val="0"/>
        </w:rPr>
        <w:t>十三、国有资本经营预算支出决算表</w:t>
      </w:r>
      <w:r>
        <w:tab/>
      </w:r>
      <w:r>
        <w:fldChar w:fldCharType="begin"/>
      </w:r>
      <w:r>
        <w:instrText xml:space="preserve"> PAGEREF _Toc15733 </w:instrText>
      </w:r>
      <w:r>
        <w:fldChar w:fldCharType="separate"/>
      </w:r>
      <w:r>
        <w:t>- 32 -</w:t>
      </w:r>
      <w:r>
        <w:fldChar w:fldCharType="end"/>
      </w:r>
      <w:r>
        <w:fldChar w:fldCharType="end"/>
      </w:r>
    </w:p>
    <w:p>
      <w:r>
        <w:fldChar w:fldCharType="end"/>
      </w:r>
    </w:p>
    <w:p>
      <w:pPr>
        <w:rPr>
          <w:rFonts w:hint="eastAsia" w:ascii="黑体" w:hAnsi="黑体" w:eastAsia="黑体"/>
          <w:b w:val="0"/>
          <w:color w:val="auto"/>
        </w:rPr>
      </w:pPr>
      <w:bookmarkStart w:id="16" w:name="_Toc15377196"/>
      <w:bookmarkStart w:id="17" w:name="_Toc15396599"/>
    </w:p>
    <w:p>
      <w:pPr>
        <w:pStyle w:val="2"/>
        <w:pageBreakBefore w:val="0"/>
        <w:kinsoku/>
        <w:wordWrap/>
        <w:overflowPunct/>
        <w:topLinePunct w:val="0"/>
        <w:bidi w:val="0"/>
        <w:snapToGrid/>
        <w:spacing w:line="560" w:lineRule="exact"/>
        <w:jc w:val="center"/>
        <w:textAlignment w:val="auto"/>
        <w:rPr>
          <w:rFonts w:hint="eastAsia" w:ascii="黑体" w:hAnsi="黑体" w:eastAsia="黑体"/>
          <w:b w:val="0"/>
          <w:color w:val="auto"/>
        </w:rPr>
      </w:pPr>
    </w:p>
    <w:p>
      <w:pPr>
        <w:rPr>
          <w:rFonts w:hint="eastAsia"/>
          <w:color w:val="auto"/>
        </w:rPr>
      </w:pPr>
    </w:p>
    <w:p>
      <w:pPr>
        <w:pStyle w:val="10"/>
        <w:bidi w:val="0"/>
        <w:rPr>
          <w:rFonts w:hint="eastAsia" w:ascii="方正小标宋简体" w:hAnsi="方正小标宋简体" w:eastAsia="方正小标宋简体" w:cs="方正小标宋简体"/>
          <w:color w:val="auto"/>
          <w:sz w:val="44"/>
          <w:szCs w:val="44"/>
        </w:rPr>
      </w:pPr>
    </w:p>
    <w:p>
      <w:pPr>
        <w:rPr>
          <w:rFonts w:hint="eastAsia" w:ascii="方正小标宋简体" w:hAnsi="方正小标宋简体" w:eastAsia="方正小标宋简体" w:cs="方正小标宋简体"/>
          <w:color w:val="auto"/>
          <w:sz w:val="44"/>
          <w:szCs w:val="44"/>
        </w:rPr>
      </w:pPr>
    </w:p>
    <w:p>
      <w:pPr>
        <w:rPr>
          <w:rFonts w:hint="eastAsia" w:ascii="方正小标宋简体" w:hAnsi="方正小标宋简体" w:eastAsia="方正小标宋简体" w:cs="方正小标宋简体"/>
          <w:color w:val="auto"/>
          <w:sz w:val="44"/>
          <w:szCs w:val="44"/>
        </w:rPr>
      </w:pPr>
    </w:p>
    <w:p>
      <w:pPr>
        <w:rPr>
          <w:rFonts w:hint="eastAsia" w:ascii="方正小标宋简体" w:hAnsi="方正小标宋简体" w:eastAsia="方正小标宋简体" w:cs="方正小标宋简体"/>
          <w:color w:val="auto"/>
          <w:sz w:val="44"/>
          <w:szCs w:val="44"/>
        </w:rPr>
      </w:pPr>
    </w:p>
    <w:p>
      <w:pPr>
        <w:pStyle w:val="10"/>
        <w:bidi w:val="0"/>
        <w:rPr>
          <w:rFonts w:hint="eastAsia" w:ascii="方正小标宋简体" w:hAnsi="方正小标宋简体" w:eastAsia="方正小标宋简体" w:cs="方正小标宋简体"/>
          <w:color w:val="auto"/>
          <w:sz w:val="44"/>
          <w:szCs w:val="44"/>
        </w:rPr>
      </w:pPr>
    </w:p>
    <w:p>
      <w:pPr>
        <w:pStyle w:val="2"/>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bookmarkStart w:id="18" w:name="_Toc1137"/>
      <w:r>
        <w:rPr>
          <w:rFonts w:hint="eastAsia" w:ascii="黑体" w:hAnsi="黑体" w:eastAsia="黑体" w:cs="黑体"/>
          <w:b w:val="0"/>
          <w:bCs w:val="0"/>
        </w:rPr>
        <w:t>第一部分 部门概况</w:t>
      </w:r>
      <w:bookmarkEnd w:id="16"/>
      <w:bookmarkEnd w:id="17"/>
      <w:bookmarkEnd w:id="18"/>
      <w:bookmarkStart w:id="19" w:name="_Toc15396600"/>
      <w:bookmarkStart w:id="20" w:name="_Toc15377197"/>
    </w:p>
    <w:p>
      <w:pPr>
        <w:pStyle w:val="3"/>
        <w:pageBreakBefore w:val="0"/>
        <w:widowControl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bookmarkStart w:id="21" w:name="_Toc19823"/>
      <w:r>
        <w:rPr>
          <w:rFonts w:hint="eastAsia" w:ascii="黑体" w:hAnsi="黑体" w:eastAsia="黑体" w:cs="黑体"/>
          <w:b w:val="0"/>
          <w:bCs w:val="0"/>
          <w:sz w:val="32"/>
          <w:szCs w:val="32"/>
        </w:rPr>
        <w:t>一、基本职能及主要工作</w:t>
      </w:r>
      <w:bookmarkEnd w:id="19"/>
      <w:bookmarkEnd w:id="20"/>
      <w:bookmarkEnd w:id="21"/>
    </w:p>
    <w:p>
      <w:pPr>
        <w:pStyle w:val="5"/>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75" w:firstLineChars="210"/>
        <w:textAlignment w:val="auto"/>
        <w:rPr>
          <w:rFonts w:hint="eastAsia"/>
          <w:sz w:val="32"/>
          <w:szCs w:val="32"/>
          <w:lang w:val="en-US" w:eastAsia="zh-CN"/>
        </w:rPr>
      </w:pPr>
      <w:bookmarkStart w:id="22" w:name="_Toc15377198"/>
      <w:bookmarkStart w:id="23" w:name="_Toc15378445"/>
      <w:bookmarkStart w:id="24" w:name="_Toc29173"/>
      <w:r>
        <w:rPr>
          <w:rStyle w:val="28"/>
          <w:rFonts w:hint="eastAsia" w:ascii="楷体" w:hAnsi="楷体" w:eastAsia="楷体" w:cs="楷体"/>
        </w:rPr>
        <w:t>（一）主要职能</w:t>
      </w:r>
      <w:bookmarkEnd w:id="22"/>
      <w:bookmarkEnd w:id="23"/>
      <w:bookmarkStart w:id="25" w:name="_Toc15378446"/>
      <w:bookmarkStart w:id="26" w:name="_Toc15377199"/>
      <w:r>
        <w:rPr>
          <w:rStyle w:val="28"/>
          <w:rFonts w:hint="eastAsia" w:ascii="楷体" w:hAnsi="楷体" w:eastAsia="楷体" w:cs="楷体"/>
          <w:lang w:val="en-US" w:eastAsia="zh-CN"/>
        </w:rPr>
        <w:t>。</w:t>
      </w:r>
      <w:bookmarkEnd w:id="24"/>
      <w:r>
        <w:rPr>
          <w:rFonts w:hint="eastAsia"/>
          <w:sz w:val="32"/>
          <w:szCs w:val="32"/>
          <w:lang w:val="en-US" w:eastAsia="zh-CN"/>
        </w:rPr>
        <w:t>主要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政、渔政监察和水务行政执法工作；拟定渔业资源保护规划，实施渔业环境保护；负责全县水产资源和水生野生动植物的保护工作；协调并裁决水事、渔事纠纷，查处水事、渔事案件；负责有关行政复议受理和行政诉讼应诉工作。组织实施地方农村电力管理工作。</w:t>
      </w:r>
    </w:p>
    <w:p>
      <w:pPr>
        <w:pStyle w:val="6"/>
        <w:pageBreakBefore w:val="0"/>
        <w:widowControl w:val="0"/>
        <w:kinsoku/>
        <w:wordWrap/>
        <w:overflowPunct/>
        <w:topLinePunct w:val="0"/>
        <w:autoSpaceDE/>
        <w:autoSpaceDN/>
        <w:bidi w:val="0"/>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bookmarkStart w:id="27" w:name="_Toc16912"/>
      <w:r>
        <w:rPr>
          <w:rStyle w:val="28"/>
          <w:rFonts w:hint="eastAsia" w:ascii="楷体" w:hAnsi="楷体" w:eastAsia="楷体" w:cs="楷体"/>
        </w:rPr>
        <w:t>（二）2019年重点工作完成情况。</w:t>
      </w:r>
      <w:bookmarkEnd w:id="25"/>
      <w:bookmarkEnd w:id="26"/>
      <w:bookmarkEnd w:id="27"/>
      <w:r>
        <w:rPr>
          <w:rFonts w:hint="eastAsia" w:ascii="仿宋_GB2312" w:hAnsi="仿宋_GB2312" w:eastAsia="仿宋_GB2312" w:cs="仿宋_GB2312"/>
          <w:sz w:val="32"/>
          <w:szCs w:val="32"/>
          <w:lang w:val="en-US" w:eastAsia="zh-CN"/>
        </w:rPr>
        <w:t>一是投入各类资金约2209.09万元，主要实施了乡镇农村饮水安全巩固提升、中小河流保护治理、河道整治、山洪灾害系统运行维护等项目。二是在水旱灾害防御方面提前谋划，严格汛前排查、汛期值班值守制度，确保了今年汛期无重大险情发生，安全度汛。三重点项目工作：</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.2019乡镇</w:t>
      </w:r>
      <w:r>
        <w:rPr>
          <w:rFonts w:hint="eastAsia" w:ascii="仿宋_GB2312" w:hAnsi="仿宋_GB2312" w:eastAsia="仿宋_GB2312" w:cs="仿宋_GB2312"/>
          <w:sz w:val="32"/>
          <w:szCs w:val="32"/>
        </w:rPr>
        <w:t>农村安全饮水巩固提升：</w:t>
      </w:r>
      <w:r>
        <w:rPr>
          <w:rFonts w:hint="eastAsia" w:ascii="仿宋_GB2312" w:hAnsi="仿宋_GB2312" w:eastAsia="仿宋_GB2312" w:cs="仿宋_GB2312"/>
          <w:sz w:val="32"/>
          <w:szCs w:val="32"/>
          <w:lang w:val="en-US" w:eastAsia="zh-CN"/>
        </w:rPr>
        <w:t>计划投资1500万元，实际到位资金1500万元。对全县范围对农村安全饮水管道维修维护、取水枢纽提升改造，截止目前已完成工程量的100％。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红原县邛溪镇才部柯河小流域治理工程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计划投资500万元，实际到位资金500万元。截止目前完成工程量100％。3.</w:t>
      </w:r>
      <w:r>
        <w:rPr>
          <w:rFonts w:hint="eastAsia" w:ascii="仿宋_GB2312" w:hAnsi="仿宋_GB2312" w:eastAsia="仿宋_GB2312" w:cs="仿宋_GB2312"/>
          <w:sz w:val="32"/>
          <w:szCs w:val="32"/>
        </w:rPr>
        <w:t>红原县201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山洪灾害治理非工程措施项目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项目总投资117万元。对全县山洪灾害设施运行维护，新增部分设备，目前已经全部完成建设任务。4.生态公益性岗位（河道管护员聘用）：投资92.09万元，在全县聘用114名河道管护员进行河道日常管护。</w:t>
      </w:r>
      <w:bookmarkStart w:id="28" w:name="_Toc15396601"/>
      <w:bookmarkStart w:id="29" w:name="_Toc15377200"/>
    </w:p>
    <w:p>
      <w:pPr>
        <w:pStyle w:val="3"/>
        <w:pageBreakBefore w:val="0"/>
        <w:widowControl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rPr>
      </w:pPr>
      <w:bookmarkStart w:id="30" w:name="_Toc9260"/>
      <w:r>
        <w:rPr>
          <w:rFonts w:hint="eastAsia" w:ascii="黑体" w:hAnsi="黑体" w:eastAsia="黑体" w:cs="黑体"/>
          <w:b w:val="0"/>
          <w:bCs w:val="0"/>
        </w:rPr>
        <w:t>二、机构设置</w:t>
      </w:r>
      <w:bookmarkEnd w:id="28"/>
      <w:bookmarkEnd w:id="29"/>
      <w:bookmarkEnd w:id="30"/>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是独立核算的机构，是独立编报预算的单位。</w:t>
      </w:r>
    </w:p>
    <w:p>
      <w:pPr>
        <w:pStyle w:val="10"/>
        <w:bidi w:val="0"/>
        <w:rPr>
          <w:rFonts w:hint="eastAsia" w:ascii="方正小标宋简体" w:hAnsi="方正小标宋简体" w:eastAsia="方正小标宋简体" w:cs="方正小标宋简体"/>
          <w:color w:val="auto"/>
          <w:sz w:val="44"/>
          <w:szCs w:val="44"/>
        </w:rPr>
      </w:pPr>
      <w:bookmarkStart w:id="31" w:name="_Toc15396602"/>
      <w:bookmarkStart w:id="32" w:name="_Toc15377204"/>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pStyle w:val="10"/>
        <w:bidi w:val="0"/>
        <w:rPr>
          <w:rFonts w:hint="eastAsia" w:ascii="黑体" w:hAnsi="黑体" w:eastAsia="黑体" w:cs="黑体"/>
          <w:color w:val="auto"/>
          <w:sz w:val="44"/>
          <w:szCs w:val="44"/>
        </w:rPr>
      </w:pPr>
    </w:p>
    <w:p>
      <w:pPr>
        <w:rPr>
          <w:rFonts w:hint="eastAsia" w:ascii="黑体" w:hAnsi="黑体" w:eastAsia="黑体" w:cs="黑体"/>
          <w:color w:val="auto"/>
          <w:sz w:val="44"/>
          <w:szCs w:val="44"/>
        </w:rPr>
      </w:pPr>
    </w:p>
    <w:p>
      <w:pPr>
        <w:pStyle w:val="2"/>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rPr>
      </w:pPr>
      <w:bookmarkStart w:id="33" w:name="_Toc9284"/>
      <w:r>
        <w:rPr>
          <w:rFonts w:hint="eastAsia" w:ascii="黑体" w:hAnsi="黑体" w:eastAsia="黑体" w:cs="黑体"/>
          <w:b w:val="0"/>
          <w:bCs w:val="0"/>
        </w:rPr>
        <w:t>第二部分 2019年度部门决算情况说明</w:t>
      </w:r>
      <w:bookmarkEnd w:id="31"/>
      <w:bookmarkEnd w:id="32"/>
      <w:bookmarkEnd w:id="33"/>
    </w:p>
    <w:p>
      <w:pPr>
        <w:pStyle w:val="3"/>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rPr>
      </w:pPr>
      <w:bookmarkStart w:id="34" w:name="_Toc15377205"/>
      <w:bookmarkStart w:id="35" w:name="_Toc15396603"/>
      <w:bookmarkStart w:id="36" w:name="_Toc6053"/>
      <w:r>
        <w:rPr>
          <w:rFonts w:hint="eastAsia" w:ascii="黑体" w:hAnsi="黑体" w:eastAsia="黑体" w:cs="黑体"/>
          <w:b w:val="0"/>
          <w:bCs w:val="0"/>
          <w:lang w:val="en-US" w:eastAsia="zh-CN"/>
        </w:rPr>
        <w:t>一、</w:t>
      </w:r>
      <w:r>
        <w:rPr>
          <w:rFonts w:hint="eastAsia" w:ascii="黑体" w:hAnsi="黑体" w:eastAsia="黑体" w:cs="黑体"/>
          <w:b w:val="0"/>
          <w:bCs w:val="0"/>
        </w:rPr>
        <w:t>收入支出决算总体情况说明</w:t>
      </w:r>
      <w:bookmarkEnd w:id="34"/>
      <w:bookmarkEnd w:id="35"/>
      <w:bookmarkEnd w:id="36"/>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2019年度收</w:t>
      </w:r>
      <w:r>
        <w:rPr>
          <w:rFonts w:hint="eastAsia" w:ascii="仿宋_GB2312" w:hAnsi="仿宋_GB2312" w:eastAsia="仿宋_GB2312" w:cs="仿宋_GB2312"/>
          <w:color w:val="auto"/>
          <w:sz w:val="32"/>
          <w:szCs w:val="32"/>
          <w:lang w:eastAsia="zh-CN"/>
        </w:rPr>
        <w:t>入</w:t>
      </w:r>
      <w:r>
        <w:rPr>
          <w:rFonts w:hint="eastAsia" w:ascii="仿宋_GB2312" w:hAnsi="仿宋_GB2312" w:eastAsia="仿宋_GB2312" w:cs="仿宋_GB2312"/>
          <w:color w:val="auto"/>
          <w:sz w:val="32"/>
          <w:szCs w:val="32"/>
        </w:rPr>
        <w:t>总计</w:t>
      </w:r>
      <w:r>
        <w:rPr>
          <w:rFonts w:hint="eastAsia" w:ascii="仿宋_GB2312" w:hAnsi="仿宋_GB2312" w:eastAsia="仿宋_GB2312" w:cs="仿宋_GB2312"/>
          <w:bCs/>
          <w:color w:val="auto"/>
          <w:kern w:val="0"/>
          <w:sz w:val="32"/>
          <w:szCs w:val="32"/>
          <w:lang w:val="en-US" w:eastAsia="zh-CN" w:bidi="ar-SA"/>
        </w:rPr>
        <w:t>1722.59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，支出总计</w:t>
      </w:r>
      <w:r>
        <w:rPr>
          <w:rFonts w:hint="eastAsia" w:ascii="仿宋_GB2312" w:hAnsi="仿宋_GB2312" w:eastAsia="仿宋_GB2312" w:cs="仿宋_GB2312"/>
          <w:color w:val="auto"/>
          <w:sz w:val="32"/>
          <w:szCs w:val="32"/>
          <w:lang w:val="en-US" w:eastAsia="zh-CN"/>
        </w:rPr>
        <w:t>4555.73万元</w:t>
      </w:r>
      <w:r>
        <w:rPr>
          <w:rFonts w:hint="eastAsia" w:ascii="仿宋_GB2312" w:hAnsi="仿宋_GB2312" w:eastAsia="仿宋_GB2312" w:cs="仿宋_GB2312"/>
          <w:color w:val="auto"/>
          <w:sz w:val="32"/>
          <w:szCs w:val="32"/>
        </w:rPr>
        <w:t>。与2018年相比，收</w:t>
      </w:r>
      <w:r>
        <w:rPr>
          <w:rFonts w:hint="eastAsia" w:ascii="仿宋_GB2312" w:hAnsi="仿宋_GB2312" w:eastAsia="仿宋_GB2312" w:cs="仿宋_GB2312"/>
          <w:color w:val="auto"/>
          <w:sz w:val="32"/>
          <w:szCs w:val="32"/>
          <w:lang w:eastAsia="zh-CN"/>
        </w:rPr>
        <w:t>入</w:t>
      </w:r>
      <w:r>
        <w:rPr>
          <w:rFonts w:hint="eastAsia" w:ascii="仿宋_GB2312" w:hAnsi="仿宋_GB2312" w:eastAsia="仿宋_GB2312" w:cs="仿宋_GB2312"/>
          <w:color w:val="auto"/>
          <w:sz w:val="32"/>
          <w:szCs w:val="32"/>
        </w:rPr>
        <w:t>总计减少</w:t>
      </w:r>
      <w:r>
        <w:rPr>
          <w:rFonts w:hint="eastAsia" w:ascii="仿宋_GB2312" w:hAnsi="仿宋_GB2312" w:eastAsia="仿宋_GB2312" w:cs="仿宋_GB2312"/>
          <w:color w:val="auto"/>
          <w:sz w:val="32"/>
          <w:szCs w:val="32"/>
          <w:lang w:val="en-US" w:eastAsia="zh-CN"/>
        </w:rPr>
        <w:t>2382.55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支出总计减少</w:t>
      </w:r>
      <w:r>
        <w:rPr>
          <w:rFonts w:hint="eastAsia" w:ascii="仿宋_GB2312" w:hAnsi="仿宋_GB2312" w:eastAsia="仿宋_GB2312" w:cs="仿宋_GB2312"/>
          <w:color w:val="auto"/>
          <w:sz w:val="32"/>
          <w:szCs w:val="32"/>
          <w:lang w:val="en-US" w:eastAsia="zh-CN"/>
        </w:rPr>
        <w:t>3439.84万元，分别</w:t>
      </w:r>
      <w:r>
        <w:rPr>
          <w:rFonts w:hint="eastAsia" w:ascii="仿宋_GB2312" w:hAnsi="仿宋_GB2312" w:eastAsia="仿宋_GB2312" w:cs="仿宋_GB2312"/>
          <w:color w:val="auto"/>
          <w:sz w:val="32"/>
          <w:szCs w:val="32"/>
        </w:rPr>
        <w:t>下降</w:t>
      </w:r>
      <w:r>
        <w:rPr>
          <w:rFonts w:hint="eastAsia" w:ascii="仿宋_GB2312" w:hAnsi="仿宋_GB2312" w:eastAsia="仿宋_GB2312" w:cs="仿宋_GB2312"/>
          <w:color w:val="auto"/>
          <w:sz w:val="32"/>
          <w:szCs w:val="32"/>
          <w:lang w:val="en-US" w:eastAsia="zh-CN"/>
        </w:rPr>
        <w:t>58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lang w:val="en-US" w:eastAsia="zh-CN"/>
        </w:rPr>
        <w:t>43</w:t>
      </w:r>
      <w:r>
        <w:rPr>
          <w:rFonts w:hint="eastAsia" w:ascii="仿宋_GB2312" w:hAnsi="仿宋_GB2312" w:eastAsia="仿宋_GB2312" w:cs="仿宋_GB2312"/>
          <w:color w:val="auto"/>
          <w:sz w:val="32"/>
          <w:szCs w:val="32"/>
        </w:rPr>
        <w:t>%。主要变动原因是</w:t>
      </w:r>
      <w:r>
        <w:rPr>
          <w:rFonts w:hint="eastAsia" w:ascii="仿宋_GB2312" w:hAnsi="仿宋_GB2312" w:eastAsia="仿宋_GB2312" w:cs="仿宋_GB2312"/>
          <w:bCs/>
          <w:color w:val="auto"/>
          <w:kern w:val="0"/>
          <w:sz w:val="32"/>
          <w:szCs w:val="32"/>
          <w:lang w:val="en-US" w:eastAsia="zh-CN" w:bidi="ar-SA"/>
        </w:rPr>
        <w:t>项目建设资金减少</w:t>
      </w:r>
      <w:r>
        <w:rPr>
          <w:rFonts w:hint="eastAsia" w:ascii="仿宋_GB2312" w:hAnsi="仿宋_GB2312" w:eastAsia="仿宋_GB2312" w:cs="仿宋_GB2312"/>
          <w:color w:val="auto"/>
          <w:sz w:val="32"/>
          <w:szCs w:val="32"/>
          <w:lang w:eastAsia="zh-CN"/>
        </w:rPr>
        <w:t>。</w:t>
      </w:r>
    </w:p>
    <w:p>
      <w:pPr>
        <w:pageBreakBefore w:val="0"/>
        <w:kinsoku/>
        <w:wordWrap/>
        <w:overflowPunct/>
        <w:topLinePunct w:val="0"/>
        <w:bidi w:val="0"/>
        <w:snapToGrid/>
        <w:spacing w:line="560" w:lineRule="exact"/>
        <w:jc w:val="center"/>
        <w:textAlignment w:val="auto"/>
        <w:rPr>
          <w:rFonts w:ascii="仿宋_GB2312" w:eastAsia="仿宋_GB2312"/>
          <w:b w:val="0"/>
          <w:bCs w:val="0"/>
          <w:color w:val="auto"/>
          <w:sz w:val="32"/>
          <w:szCs w:val="32"/>
        </w:rPr>
      </w:pPr>
      <w:r>
        <w:rPr>
          <w:rFonts w:hint="eastAsia" w:asciiTheme="minorEastAsia" w:hAnsiTheme="minorEastAsia" w:eastAsiaTheme="minorEastAsia" w:cstheme="minorEastAsia"/>
          <w:b w:val="0"/>
          <w:bCs w:val="0"/>
          <w:color w:val="auto"/>
          <w:sz w:val="24"/>
          <w:szCs w:val="24"/>
          <w:lang w:eastAsia="zh-CN"/>
        </w:rPr>
        <w:drawing>
          <wp:anchor distT="0" distB="0" distL="114935" distR="114935" simplePos="0" relativeHeight="251658240" behindDoc="0" locked="0" layoutInCell="1" allowOverlap="1">
            <wp:simplePos x="0" y="0"/>
            <wp:positionH relativeFrom="page">
              <wp:posOffset>1422400</wp:posOffset>
            </wp:positionH>
            <wp:positionV relativeFrom="paragraph">
              <wp:posOffset>92075</wp:posOffset>
            </wp:positionV>
            <wp:extent cx="4742180" cy="3486150"/>
            <wp:effectExtent l="4445" t="4445" r="6350" b="508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heme="minorEastAsia" w:hAnsiTheme="minorEastAsia" w:eastAsiaTheme="minorEastAsia" w:cstheme="minorEastAsia"/>
          <w:b w:val="0"/>
          <w:bCs w:val="0"/>
          <w:color w:val="auto"/>
          <w:sz w:val="24"/>
          <w:szCs w:val="24"/>
        </w:rPr>
        <w:t>图1：收、支决算总计变动情况图</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rPr>
      </w:pPr>
      <w:bookmarkStart w:id="37" w:name="_Toc15377206"/>
      <w:bookmarkStart w:id="38" w:name="_Toc15396604"/>
      <w:bookmarkStart w:id="39" w:name="_Toc28086"/>
      <w:r>
        <w:rPr>
          <w:rFonts w:hint="eastAsia" w:ascii="黑体" w:hAnsi="黑体" w:eastAsia="黑体" w:cs="黑体"/>
          <w:b w:val="0"/>
          <w:bCs w:val="0"/>
          <w:lang w:val="en-US" w:eastAsia="zh-CN"/>
        </w:rPr>
        <w:t>二、</w:t>
      </w:r>
      <w:r>
        <w:rPr>
          <w:rFonts w:hint="eastAsia" w:ascii="黑体" w:hAnsi="黑体" w:eastAsia="黑体" w:cs="黑体"/>
          <w:b w:val="0"/>
          <w:bCs w:val="0"/>
        </w:rPr>
        <w:t>收入决算情况说明</w:t>
      </w:r>
      <w:bookmarkEnd w:id="37"/>
      <w:bookmarkEnd w:id="38"/>
      <w:bookmarkEnd w:id="39"/>
    </w:p>
    <w:p>
      <w:pPr>
        <w:pageBreakBefore w:val="0"/>
        <w:widowControl w:val="0"/>
        <w:kinsoku/>
        <w:wordWrap/>
        <w:overflowPunct/>
        <w:topLinePunct w:val="0"/>
        <w:autoSpaceDE/>
        <w:autoSpaceDN/>
        <w:bidi w:val="0"/>
        <w:adjustRightInd/>
        <w:snapToGrid/>
        <w:spacing w:line="520" w:lineRule="exact"/>
        <w:ind w:firstLine="640" w:firstLineChars="200"/>
        <w:textAlignment w:val="auto"/>
        <w:outlineLvl w:val="1"/>
        <w:rPr>
          <w:rFonts w:hint="eastAsia" w:ascii="仿宋_GB2312" w:hAnsi="仿宋_GB2312" w:eastAsia="仿宋_GB2312" w:cs="仿宋_GB2312"/>
          <w:color w:val="auto"/>
          <w:sz w:val="32"/>
          <w:szCs w:val="32"/>
        </w:rPr>
      </w:pPr>
      <w:bookmarkStart w:id="40" w:name="_Toc9309"/>
      <w:bookmarkStart w:id="41" w:name="_Toc31062"/>
      <w:r>
        <w:rPr>
          <w:rFonts w:hint="eastAsia" w:ascii="仿宋_GB2312" w:hAnsi="仿宋_GB2312" w:eastAsia="仿宋_GB2312" w:cs="仿宋_GB2312"/>
          <w:color w:val="auto"/>
          <w:sz w:val="32"/>
          <w:szCs w:val="32"/>
        </w:rPr>
        <w:t>2019年本年收入合计</w:t>
      </w:r>
      <w:r>
        <w:rPr>
          <w:rFonts w:hint="eastAsia" w:ascii="仿宋_GB2312" w:hAnsi="仿宋_GB2312" w:eastAsia="仿宋_GB2312" w:cs="仿宋_GB2312"/>
          <w:bCs/>
          <w:color w:val="auto"/>
          <w:kern w:val="0"/>
          <w:sz w:val="32"/>
          <w:szCs w:val="32"/>
          <w:lang w:val="en-US" w:eastAsia="zh-CN" w:bidi="ar-SA"/>
        </w:rPr>
        <w:t>1722.59</w:t>
      </w:r>
      <w:r>
        <w:rPr>
          <w:rFonts w:hint="eastAsia" w:ascii="仿宋_GB2312" w:hAnsi="仿宋_GB2312" w:eastAsia="仿宋_GB2312" w:cs="仿宋_GB2312"/>
          <w:color w:val="auto"/>
          <w:sz w:val="32"/>
          <w:szCs w:val="32"/>
        </w:rPr>
        <w:t>万元，其中：一般公共预算财政拨款收入</w:t>
      </w:r>
      <w:r>
        <w:rPr>
          <w:rFonts w:hint="eastAsia" w:ascii="仿宋_GB2312" w:hAnsi="仿宋_GB2312" w:eastAsia="仿宋_GB2312" w:cs="仿宋_GB2312"/>
          <w:color w:val="auto"/>
          <w:sz w:val="32"/>
          <w:szCs w:val="32"/>
          <w:lang w:val="en-US" w:eastAsia="zh-CN"/>
        </w:rPr>
        <w:t>1718.50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99.76</w:t>
      </w:r>
      <w:r>
        <w:rPr>
          <w:rFonts w:hint="eastAsia" w:ascii="仿宋_GB2312" w:hAnsi="仿宋_GB2312" w:eastAsia="仿宋_GB2312" w:cs="仿宋_GB2312"/>
          <w:color w:val="auto"/>
          <w:sz w:val="32"/>
          <w:szCs w:val="32"/>
        </w:rPr>
        <w:t>%；政府性基金预算财政拨款收入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%；上级补助收入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%；经营收入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%；附属单位上缴收入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lang w:val="en-US" w:eastAsia="zh-CN"/>
        </w:rPr>
        <w:t>4.09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0.24</w:t>
      </w:r>
      <w:r>
        <w:rPr>
          <w:rFonts w:hint="eastAsia" w:ascii="仿宋_GB2312" w:hAnsi="仿宋_GB2312" w:eastAsia="仿宋_GB2312" w:cs="仿宋_GB2312"/>
          <w:color w:val="auto"/>
          <w:sz w:val="32"/>
          <w:szCs w:val="32"/>
        </w:rPr>
        <w:t>%。</w:t>
      </w:r>
      <w:bookmarkEnd w:id="40"/>
      <w:bookmarkEnd w:id="41"/>
    </w:p>
    <w:p>
      <w:pPr>
        <w:pageBreakBefore w:val="0"/>
        <w:kinsoku/>
        <w:wordWrap/>
        <w:overflowPunct/>
        <w:topLinePunct w:val="0"/>
        <w:bidi w:val="0"/>
        <w:snapToGrid/>
        <w:spacing w:line="560" w:lineRule="exact"/>
        <w:jc w:val="center"/>
        <w:textAlignment w:val="auto"/>
        <w:rPr>
          <w:rFonts w:ascii="仿宋_GB2312" w:eastAsia="仿宋_GB2312"/>
          <w:color w:val="auto"/>
          <w:sz w:val="32"/>
          <w:szCs w:val="32"/>
        </w:rPr>
      </w:pPr>
      <w:r>
        <w:rPr>
          <w:rFonts w:hint="eastAsia" w:asciiTheme="minorEastAsia" w:hAnsiTheme="minorEastAsia" w:eastAsiaTheme="minorEastAsia" w:cstheme="minorEastAsia"/>
          <w:b w:val="0"/>
          <w:bCs w:val="0"/>
          <w:color w:val="auto"/>
          <w:sz w:val="24"/>
          <w:szCs w:val="24"/>
        </w:rPr>
        <w:drawing>
          <wp:anchor distT="0" distB="0" distL="114300" distR="114300" simplePos="0" relativeHeight="251659264" behindDoc="0" locked="0" layoutInCell="1" allowOverlap="1">
            <wp:simplePos x="0" y="0"/>
            <wp:positionH relativeFrom="page">
              <wp:align>center</wp:align>
            </wp:positionH>
            <wp:positionV relativeFrom="paragraph">
              <wp:posOffset>28575</wp:posOffset>
            </wp:positionV>
            <wp:extent cx="4046855" cy="2995930"/>
            <wp:effectExtent l="4445" t="4445" r="6350" b="95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Theme="minorEastAsia" w:hAnsiTheme="minorEastAsia" w:eastAsiaTheme="minorEastAsia" w:cstheme="minorEastAsia"/>
          <w:b w:val="0"/>
          <w:bCs w:val="0"/>
          <w:color w:val="auto"/>
          <w:sz w:val="24"/>
          <w:szCs w:val="24"/>
        </w:rPr>
        <w:t>图2：收入决算结构图</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rPr>
      </w:pPr>
      <w:bookmarkStart w:id="42" w:name="_Toc4530"/>
      <w:bookmarkStart w:id="43" w:name="_Toc15396605"/>
      <w:bookmarkStart w:id="44" w:name="_Toc15377207"/>
      <w:r>
        <w:rPr>
          <w:rFonts w:hint="eastAsia" w:ascii="黑体" w:hAnsi="黑体" w:eastAsia="黑体" w:cs="黑体"/>
          <w:b w:val="0"/>
          <w:bCs w:val="0"/>
          <w:lang w:val="en-US" w:eastAsia="zh-CN"/>
        </w:rPr>
        <w:t>三、</w:t>
      </w:r>
      <w:r>
        <w:rPr>
          <w:rFonts w:hint="eastAsia" w:ascii="黑体" w:hAnsi="黑体" w:eastAsia="黑体" w:cs="黑体"/>
          <w:b w:val="0"/>
          <w:bCs w:val="0"/>
        </w:rPr>
        <w:t>支出决算情况说明</w:t>
      </w:r>
      <w:bookmarkEnd w:id="42"/>
      <w:bookmarkEnd w:id="43"/>
      <w:bookmarkEnd w:id="44"/>
    </w:p>
    <w:p>
      <w:pPr>
        <w:pageBreakBefore w:val="0"/>
        <w:widowControl w:val="0"/>
        <w:kinsoku/>
        <w:wordWrap/>
        <w:overflowPunct/>
        <w:topLinePunct w:val="0"/>
        <w:autoSpaceDE/>
        <w:autoSpaceDN/>
        <w:bidi w:val="0"/>
        <w:adjustRightInd/>
        <w:snapToGrid/>
        <w:spacing w:line="520" w:lineRule="exact"/>
        <w:ind w:firstLine="640" w:firstLineChars="200"/>
        <w:textAlignment w:val="auto"/>
        <w:outlineLvl w:val="1"/>
        <w:rPr>
          <w:rFonts w:hint="eastAsia" w:ascii="仿宋_GB2312" w:hAnsi="仿宋_GB2312" w:eastAsia="仿宋_GB2312" w:cs="仿宋_GB2312"/>
          <w:color w:val="auto"/>
          <w:sz w:val="32"/>
          <w:szCs w:val="32"/>
        </w:rPr>
      </w:pPr>
      <w:bookmarkStart w:id="45" w:name="_Toc10457"/>
      <w:bookmarkStart w:id="46" w:name="_Toc31788"/>
      <w:r>
        <w:rPr>
          <w:rFonts w:hint="eastAsia" w:ascii="仿宋_GB2312" w:hAnsi="仿宋_GB2312" w:eastAsia="仿宋_GB2312" w:cs="仿宋_GB2312"/>
          <w:color w:val="auto"/>
          <w:sz w:val="32"/>
          <w:szCs w:val="32"/>
        </w:rPr>
        <w:t>2019年本年支出合计</w:t>
      </w:r>
      <w:r>
        <w:rPr>
          <w:rFonts w:hint="eastAsia" w:ascii="仿宋_GB2312" w:hAnsi="仿宋_GB2312" w:eastAsia="仿宋_GB2312" w:cs="仿宋_GB2312"/>
          <w:color w:val="auto"/>
          <w:sz w:val="32"/>
          <w:szCs w:val="32"/>
          <w:lang w:val="en-US" w:eastAsia="zh-CN"/>
        </w:rPr>
        <w:t>4555.73</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384.84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8.45</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4170.89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91.55</w:t>
      </w:r>
      <w:r>
        <w:rPr>
          <w:rFonts w:hint="eastAsia" w:ascii="仿宋_GB2312" w:hAnsi="仿宋_GB2312" w:eastAsia="仿宋_GB2312" w:cs="仿宋_GB2312"/>
          <w:color w:val="auto"/>
          <w:sz w:val="32"/>
          <w:szCs w:val="32"/>
        </w:rPr>
        <w:t>%；上缴上级支出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%；经营支出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%；对附属单位补助支出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bookmarkEnd w:id="45"/>
      <w:bookmarkEnd w:id="46"/>
    </w:p>
    <w:p>
      <w:pPr>
        <w:pageBreakBefore w:val="0"/>
        <w:kinsoku/>
        <w:wordWrap/>
        <w:overflowPunct/>
        <w:topLinePunct w:val="0"/>
        <w:bidi w:val="0"/>
        <w:snapToGrid/>
        <w:spacing w:line="560" w:lineRule="exact"/>
        <w:jc w:val="center"/>
        <w:textAlignment w:val="auto"/>
        <w:outlineLvl w:val="1"/>
        <w:rPr>
          <w:rFonts w:hint="eastAsia" w:asciiTheme="minorEastAsia" w:hAnsiTheme="minorEastAsia" w:eastAsiaTheme="minorEastAsia" w:cstheme="minorEastAsia"/>
          <w:b w:val="0"/>
          <w:bCs w:val="0"/>
          <w:color w:val="auto"/>
          <w:sz w:val="24"/>
          <w:szCs w:val="24"/>
        </w:rPr>
      </w:pPr>
      <w:bookmarkStart w:id="47" w:name="_Toc19677"/>
      <w:bookmarkStart w:id="48" w:name="_Toc16926"/>
      <w:r>
        <w:rPr>
          <w:rFonts w:hint="eastAsia" w:asciiTheme="minorEastAsia" w:hAnsiTheme="minorEastAsia" w:eastAsiaTheme="minorEastAsia" w:cstheme="minorEastAsia"/>
          <w:b w:val="0"/>
          <w:bCs w:val="0"/>
          <w:color w:val="auto"/>
          <w:sz w:val="24"/>
          <w:szCs w:val="24"/>
        </w:rPr>
        <w:drawing>
          <wp:anchor distT="0" distB="0" distL="114300" distR="114300" simplePos="0" relativeHeight="251661312" behindDoc="0" locked="0" layoutInCell="1" allowOverlap="1">
            <wp:simplePos x="0" y="0"/>
            <wp:positionH relativeFrom="page">
              <wp:align>center</wp:align>
            </wp:positionH>
            <wp:positionV relativeFrom="paragraph">
              <wp:posOffset>122555</wp:posOffset>
            </wp:positionV>
            <wp:extent cx="3933190" cy="2915285"/>
            <wp:effectExtent l="4445" t="4445" r="571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heme="minorEastAsia" w:hAnsiTheme="minorEastAsia" w:eastAsiaTheme="minorEastAsia" w:cstheme="minorEastAsia"/>
          <w:b w:val="0"/>
          <w:bCs w:val="0"/>
          <w:color w:val="auto"/>
          <w:sz w:val="24"/>
          <w:szCs w:val="24"/>
        </w:rPr>
        <w:t>图3：支出决算结构图</w:t>
      </w:r>
      <w:bookmarkEnd w:id="47"/>
      <w:bookmarkEnd w:id="48"/>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rPr>
      </w:pPr>
      <w:bookmarkStart w:id="49" w:name="_Toc15396606"/>
      <w:bookmarkStart w:id="50" w:name="_Toc17878"/>
      <w:bookmarkStart w:id="51" w:name="_Toc15377208"/>
      <w:r>
        <w:rPr>
          <w:rFonts w:hint="eastAsia" w:ascii="黑体" w:hAnsi="黑体" w:eastAsia="黑体" w:cs="黑体"/>
          <w:b w:val="0"/>
          <w:bCs w:val="0"/>
        </w:rPr>
        <w:t>四、财政拨款收入支出决算总体情况说明</w:t>
      </w:r>
      <w:bookmarkEnd w:id="49"/>
      <w:bookmarkEnd w:id="50"/>
      <w:bookmarkEnd w:id="51"/>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2019年财政拨款收</w:t>
      </w:r>
      <w:r>
        <w:rPr>
          <w:rFonts w:hint="eastAsia" w:ascii="仿宋_GB2312" w:hAnsi="仿宋_GB2312" w:eastAsia="仿宋_GB2312" w:cs="仿宋_GB2312"/>
          <w:color w:val="auto"/>
          <w:sz w:val="32"/>
          <w:szCs w:val="32"/>
          <w:lang w:eastAsia="zh-CN"/>
        </w:rPr>
        <w:t>入</w:t>
      </w:r>
      <w:r>
        <w:rPr>
          <w:rFonts w:hint="eastAsia" w:ascii="仿宋_GB2312" w:hAnsi="仿宋_GB2312" w:eastAsia="仿宋_GB2312" w:cs="仿宋_GB2312"/>
          <w:color w:val="auto"/>
          <w:sz w:val="32"/>
          <w:szCs w:val="32"/>
        </w:rPr>
        <w:t>总计</w:t>
      </w:r>
      <w:r>
        <w:rPr>
          <w:rFonts w:hint="eastAsia" w:ascii="仿宋_GB2312" w:hAnsi="仿宋_GB2312" w:eastAsia="仿宋_GB2312" w:cs="仿宋_GB2312"/>
          <w:color w:val="auto"/>
          <w:sz w:val="32"/>
          <w:szCs w:val="32"/>
          <w:lang w:val="en-US" w:eastAsia="zh-CN"/>
        </w:rPr>
        <w:t>1718.50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，财政拨款支出总计</w:t>
      </w:r>
      <w:r>
        <w:rPr>
          <w:rFonts w:hint="eastAsia" w:ascii="仿宋_GB2312" w:hAnsi="仿宋_GB2312" w:eastAsia="仿宋_GB2312" w:cs="仿宋_GB2312"/>
          <w:color w:val="auto"/>
          <w:sz w:val="32"/>
          <w:szCs w:val="32"/>
          <w:lang w:val="en-US" w:eastAsia="zh-CN"/>
        </w:rPr>
        <w:t>4555.73</w:t>
      </w:r>
      <w:r>
        <w:rPr>
          <w:rFonts w:hint="eastAsia" w:ascii="仿宋_GB2312" w:hAnsi="仿宋_GB2312" w:eastAsia="仿宋_GB2312" w:cs="仿宋_GB2312"/>
          <w:color w:val="auto"/>
          <w:sz w:val="32"/>
          <w:szCs w:val="32"/>
        </w:rPr>
        <w:t>万元。与2018年相比，收</w:t>
      </w:r>
      <w:r>
        <w:rPr>
          <w:rFonts w:hint="eastAsia" w:ascii="仿宋_GB2312" w:hAnsi="仿宋_GB2312" w:eastAsia="仿宋_GB2312" w:cs="仿宋_GB2312"/>
          <w:color w:val="auto"/>
          <w:sz w:val="32"/>
          <w:szCs w:val="32"/>
          <w:lang w:eastAsia="zh-CN"/>
        </w:rPr>
        <w:t>入</w:t>
      </w:r>
      <w:r>
        <w:rPr>
          <w:rFonts w:hint="eastAsia" w:ascii="仿宋_GB2312" w:hAnsi="仿宋_GB2312" w:eastAsia="仿宋_GB2312" w:cs="仿宋_GB2312"/>
          <w:color w:val="auto"/>
          <w:sz w:val="32"/>
          <w:szCs w:val="32"/>
        </w:rPr>
        <w:t>总计减少</w:t>
      </w:r>
      <w:r>
        <w:rPr>
          <w:rFonts w:hint="eastAsia" w:ascii="仿宋_GB2312" w:hAnsi="仿宋_GB2312" w:eastAsia="仿宋_GB2312" w:cs="仿宋_GB2312"/>
          <w:color w:val="auto"/>
          <w:sz w:val="32"/>
          <w:szCs w:val="32"/>
          <w:lang w:val="en-US" w:eastAsia="zh-CN"/>
        </w:rPr>
        <w:t>2372.48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支出总计减少</w:t>
      </w:r>
      <w:r>
        <w:rPr>
          <w:rFonts w:hint="eastAsia" w:ascii="仿宋_GB2312" w:hAnsi="仿宋_GB2312" w:eastAsia="仿宋_GB2312" w:cs="仿宋_GB2312"/>
          <w:color w:val="auto"/>
          <w:sz w:val="32"/>
          <w:szCs w:val="32"/>
          <w:lang w:val="en-US" w:eastAsia="zh-CN"/>
        </w:rPr>
        <w:t>3439.84万元，分别</w:t>
      </w:r>
      <w:r>
        <w:rPr>
          <w:rFonts w:hint="eastAsia" w:ascii="仿宋_GB2312" w:hAnsi="仿宋_GB2312" w:eastAsia="仿宋_GB2312" w:cs="仿宋_GB2312"/>
          <w:color w:val="auto"/>
          <w:sz w:val="32"/>
          <w:szCs w:val="32"/>
        </w:rPr>
        <w:t>下降</w:t>
      </w:r>
      <w:r>
        <w:rPr>
          <w:rFonts w:hint="eastAsia" w:ascii="仿宋_GB2312" w:hAnsi="仿宋_GB2312" w:eastAsia="仿宋_GB2312" w:cs="仿宋_GB2312"/>
          <w:color w:val="auto"/>
          <w:sz w:val="32"/>
          <w:szCs w:val="32"/>
          <w:lang w:val="en-US" w:eastAsia="zh-CN"/>
        </w:rPr>
        <w:t>58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lang w:val="en-US" w:eastAsia="zh-CN"/>
        </w:rPr>
        <w:t>43</w:t>
      </w:r>
      <w:r>
        <w:rPr>
          <w:rFonts w:hint="eastAsia" w:ascii="仿宋_GB2312" w:hAnsi="仿宋_GB2312" w:eastAsia="仿宋_GB2312" w:cs="仿宋_GB2312"/>
          <w:color w:val="auto"/>
          <w:sz w:val="32"/>
          <w:szCs w:val="32"/>
        </w:rPr>
        <w:t>%。主要变动原因是</w:t>
      </w:r>
      <w:r>
        <w:rPr>
          <w:rFonts w:hint="eastAsia" w:ascii="仿宋_GB2312" w:hAnsi="仿宋_GB2312" w:eastAsia="仿宋_GB2312" w:cs="仿宋_GB2312"/>
          <w:bCs/>
          <w:color w:val="auto"/>
          <w:kern w:val="0"/>
          <w:sz w:val="32"/>
          <w:szCs w:val="32"/>
          <w:lang w:val="en-US" w:eastAsia="zh-CN" w:bidi="ar-SA"/>
        </w:rPr>
        <w:t>项目建设资金减少</w:t>
      </w:r>
      <w:r>
        <w:rPr>
          <w:rFonts w:hint="eastAsia" w:ascii="仿宋_GB2312" w:hAnsi="仿宋_GB2312" w:eastAsia="仿宋_GB2312" w:cs="仿宋_GB2312"/>
          <w:color w:val="auto"/>
          <w:sz w:val="32"/>
          <w:szCs w:val="32"/>
          <w:lang w:eastAsia="zh-CN"/>
        </w:rPr>
        <w:t>。</w:t>
      </w:r>
    </w:p>
    <w:p>
      <w:pPr>
        <w:pageBreakBefore w:val="0"/>
        <w:kinsoku/>
        <w:wordWrap/>
        <w:overflowPunct/>
        <w:topLinePunct w:val="0"/>
        <w:bidi w:val="0"/>
        <w:snapToGrid/>
        <w:spacing w:line="560" w:lineRule="exact"/>
        <w:jc w:val="center"/>
        <w:textAlignment w:val="auto"/>
        <w:outlineLvl w:val="1"/>
        <w:rPr>
          <w:rFonts w:hint="eastAsia" w:ascii="仿宋" w:hAnsi="仿宋" w:eastAsiaTheme="minorEastAsia"/>
          <w:b/>
          <w:color w:val="auto"/>
          <w:sz w:val="32"/>
          <w:szCs w:val="32"/>
          <w:lang w:val="en-US" w:eastAsia="zh-CN"/>
        </w:rPr>
      </w:pPr>
      <w:bookmarkStart w:id="52" w:name="_Toc9433"/>
      <w:bookmarkStart w:id="53" w:name="_Toc1936"/>
      <w:r>
        <w:rPr>
          <w:rFonts w:hint="eastAsia" w:asciiTheme="minorEastAsia" w:hAnsiTheme="minorEastAsia" w:eastAsiaTheme="minorEastAsia" w:cstheme="minorEastAsia"/>
          <w:b w:val="0"/>
          <w:bCs w:val="0"/>
          <w:color w:val="auto"/>
          <w:sz w:val="24"/>
          <w:szCs w:val="24"/>
          <w:lang w:eastAsia="zh-CN"/>
        </w:rPr>
        <w:drawing>
          <wp:anchor distT="0" distB="0" distL="114935" distR="114935" simplePos="0" relativeHeight="251662336" behindDoc="0" locked="0" layoutInCell="1" allowOverlap="1">
            <wp:simplePos x="0" y="0"/>
            <wp:positionH relativeFrom="page">
              <wp:align>center</wp:align>
            </wp:positionH>
            <wp:positionV relativeFrom="paragraph">
              <wp:posOffset>129540</wp:posOffset>
            </wp:positionV>
            <wp:extent cx="4742180" cy="3486150"/>
            <wp:effectExtent l="4445" t="4445" r="6350" b="508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heme="minorEastAsia" w:hAnsiTheme="minorEastAsia" w:eastAsiaTheme="minorEastAsia" w:cstheme="minorEastAsia"/>
          <w:b w:val="0"/>
          <w:bCs w:val="0"/>
          <w:color w:val="auto"/>
          <w:sz w:val="24"/>
          <w:szCs w:val="24"/>
        </w:rPr>
        <w:t>图4：财政拨款收、支决算总计变动情况</w:t>
      </w:r>
      <w:r>
        <w:rPr>
          <w:rFonts w:hint="eastAsia" w:asciiTheme="minorEastAsia" w:hAnsiTheme="minorEastAsia" w:eastAsiaTheme="minorEastAsia" w:cstheme="minorEastAsia"/>
          <w:b w:val="0"/>
          <w:bCs w:val="0"/>
          <w:color w:val="auto"/>
          <w:sz w:val="24"/>
          <w:szCs w:val="24"/>
          <w:lang w:val="en-US" w:eastAsia="zh-CN"/>
        </w:rPr>
        <w:t>图</w:t>
      </w:r>
      <w:bookmarkEnd w:id="52"/>
      <w:bookmarkEnd w:id="53"/>
    </w:p>
    <w:p>
      <w:pPr>
        <w:pStyle w:val="3"/>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rPr>
      </w:pPr>
      <w:bookmarkStart w:id="54" w:name="_Toc26976"/>
      <w:bookmarkStart w:id="55" w:name="_Toc15377209"/>
      <w:bookmarkStart w:id="56" w:name="_Toc15396607"/>
      <w:r>
        <w:rPr>
          <w:rFonts w:hint="eastAsia" w:ascii="黑体" w:hAnsi="黑体" w:eastAsia="黑体" w:cs="黑体"/>
          <w:b w:val="0"/>
          <w:bCs w:val="0"/>
          <w:lang w:val="en-US" w:eastAsia="zh-CN"/>
        </w:rPr>
        <w:t>五、</w:t>
      </w:r>
      <w:r>
        <w:rPr>
          <w:rFonts w:hint="eastAsia" w:ascii="黑体" w:hAnsi="黑体" w:eastAsia="黑体" w:cs="黑体"/>
          <w:b w:val="0"/>
          <w:bCs w:val="0"/>
        </w:rPr>
        <w:t>一般公共预算财政拨款支出决算情况说明</w:t>
      </w:r>
      <w:bookmarkEnd w:id="54"/>
      <w:bookmarkEnd w:id="55"/>
      <w:bookmarkEnd w:id="56"/>
      <w:bookmarkStart w:id="57" w:name="_Toc15377210"/>
    </w:p>
    <w:p>
      <w:pPr>
        <w:pStyle w:val="4"/>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lang w:eastAsia="zh-CN"/>
        </w:rPr>
      </w:pPr>
      <w:bookmarkStart w:id="58" w:name="_Toc2091"/>
      <w:r>
        <w:rPr>
          <w:rFonts w:hint="eastAsia" w:ascii="楷体" w:hAnsi="楷体" w:eastAsia="楷体" w:cs="楷体"/>
        </w:rPr>
        <w:t>（一）一般公共预算财政拨款支出决算总体情况</w:t>
      </w:r>
      <w:bookmarkEnd w:id="57"/>
      <w:r>
        <w:rPr>
          <w:rFonts w:hint="eastAsia" w:ascii="楷体" w:hAnsi="楷体" w:eastAsia="楷体" w:cs="楷体"/>
          <w:lang w:eastAsia="zh-CN"/>
        </w:rPr>
        <w:t>。</w:t>
      </w:r>
      <w:bookmarkEnd w:id="58"/>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color w:val="auto"/>
          <w:sz w:val="32"/>
          <w:szCs w:val="32"/>
        </w:rPr>
        <w:t>2019年一般公共预算财政拨款支出</w:t>
      </w:r>
      <w:r>
        <w:rPr>
          <w:rFonts w:hint="eastAsia" w:ascii="仿宋_GB2312" w:hAnsi="仿宋_GB2312" w:eastAsia="仿宋_GB2312" w:cs="仿宋_GB2312"/>
          <w:color w:val="auto"/>
          <w:sz w:val="32"/>
          <w:szCs w:val="32"/>
          <w:lang w:val="en-US" w:eastAsia="zh-CN"/>
        </w:rPr>
        <w:t>4555.73</w:t>
      </w:r>
      <w:r>
        <w:rPr>
          <w:rFonts w:hint="eastAsia" w:ascii="仿宋_GB2312" w:hAnsi="仿宋_GB2312" w:eastAsia="仿宋_GB2312" w:cs="仿宋_GB2312"/>
          <w:color w:val="auto"/>
          <w:sz w:val="32"/>
          <w:szCs w:val="32"/>
        </w:rPr>
        <w:t>万元，占本年支出合计的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%。与2018年相比，一般公共预算财政拨款减少</w:t>
      </w:r>
      <w:r>
        <w:rPr>
          <w:rFonts w:hint="eastAsia" w:ascii="仿宋_GB2312" w:hAnsi="仿宋_GB2312" w:eastAsia="仿宋_GB2312" w:cs="仿宋_GB2312"/>
          <w:color w:val="auto"/>
          <w:sz w:val="32"/>
          <w:szCs w:val="32"/>
          <w:lang w:val="en-US" w:eastAsia="zh-CN"/>
        </w:rPr>
        <w:t>3439.84</w:t>
      </w:r>
      <w:r>
        <w:rPr>
          <w:rFonts w:hint="eastAsia" w:ascii="仿宋_GB2312" w:hAnsi="仿宋_GB2312" w:eastAsia="仿宋_GB2312" w:cs="仿宋_GB2312"/>
          <w:color w:val="auto"/>
          <w:sz w:val="32"/>
          <w:szCs w:val="32"/>
        </w:rPr>
        <w:t>万元，下降</w:t>
      </w:r>
      <w:r>
        <w:rPr>
          <w:rFonts w:hint="eastAsia" w:ascii="仿宋_GB2312" w:hAnsi="仿宋_GB2312" w:eastAsia="仿宋_GB2312" w:cs="仿宋_GB2312"/>
          <w:color w:val="auto"/>
          <w:sz w:val="32"/>
          <w:szCs w:val="32"/>
          <w:lang w:val="en-US" w:eastAsia="zh-CN"/>
        </w:rPr>
        <w:t>43</w:t>
      </w:r>
      <w:r>
        <w:rPr>
          <w:rFonts w:hint="eastAsia" w:ascii="仿宋_GB2312" w:hAnsi="仿宋_GB2312" w:eastAsia="仿宋_GB2312" w:cs="仿宋_GB2312"/>
          <w:color w:val="auto"/>
          <w:sz w:val="32"/>
          <w:szCs w:val="32"/>
        </w:rPr>
        <w:t>%。主要变动原因是是</w:t>
      </w:r>
      <w:r>
        <w:rPr>
          <w:rFonts w:hint="eastAsia" w:ascii="仿宋_GB2312" w:hAnsi="仿宋_GB2312" w:eastAsia="仿宋_GB2312" w:cs="仿宋_GB2312"/>
          <w:bCs/>
          <w:color w:val="auto"/>
          <w:kern w:val="0"/>
          <w:sz w:val="32"/>
          <w:szCs w:val="32"/>
          <w:lang w:val="en-US" w:eastAsia="zh-CN" w:bidi="ar-SA"/>
        </w:rPr>
        <w:t>项目建设资金减少。</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bCs/>
          <w:color w:val="auto"/>
          <w:kern w:val="0"/>
          <w:sz w:val="32"/>
          <w:szCs w:val="32"/>
          <w:lang w:val="en-US" w:eastAsia="zh-CN" w:bidi="ar-SA"/>
        </w:rPr>
      </w:pPr>
    </w:p>
    <w:p>
      <w:pPr>
        <w:pageBreakBefore w:val="0"/>
        <w:kinsoku/>
        <w:wordWrap/>
        <w:overflowPunct/>
        <w:topLinePunct w:val="0"/>
        <w:bidi w:val="0"/>
        <w:snapToGrid/>
        <w:spacing w:line="560" w:lineRule="exact"/>
        <w:jc w:val="center"/>
        <w:textAlignment w:val="auto"/>
        <w:outlineLvl w:val="1"/>
        <w:rPr>
          <w:rFonts w:hint="eastAsia" w:asciiTheme="minorEastAsia" w:hAnsiTheme="minorEastAsia" w:eastAsiaTheme="minorEastAsia" w:cstheme="minorEastAsia"/>
          <w:b w:val="0"/>
          <w:bCs w:val="0"/>
          <w:color w:val="auto"/>
          <w:sz w:val="24"/>
          <w:szCs w:val="24"/>
          <w:lang w:val="en-US" w:eastAsia="zh-CN"/>
        </w:rPr>
      </w:pPr>
      <w:bookmarkStart w:id="59" w:name="_Toc29578"/>
      <w:bookmarkStart w:id="60" w:name="_Toc18658"/>
      <w:r>
        <w:rPr>
          <w:rFonts w:hint="eastAsia" w:asciiTheme="minorEastAsia" w:hAnsiTheme="minorEastAsia" w:eastAsiaTheme="minorEastAsia" w:cstheme="minorEastAsia"/>
          <w:b w:val="0"/>
          <w:bCs w:val="0"/>
          <w:color w:val="auto"/>
          <w:sz w:val="24"/>
          <w:szCs w:val="24"/>
          <w:lang w:eastAsia="zh-CN"/>
        </w:rPr>
        <w:drawing>
          <wp:anchor distT="0" distB="0" distL="114935" distR="114935" simplePos="0" relativeHeight="251667456" behindDoc="0" locked="0" layoutInCell="1" allowOverlap="1">
            <wp:simplePos x="0" y="0"/>
            <wp:positionH relativeFrom="page">
              <wp:align>center</wp:align>
            </wp:positionH>
            <wp:positionV relativeFrom="paragraph">
              <wp:posOffset>114935</wp:posOffset>
            </wp:positionV>
            <wp:extent cx="4692650" cy="3952240"/>
            <wp:effectExtent l="4445" t="4445" r="8255" b="571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heme="minorEastAsia" w:hAnsiTheme="minorEastAsia" w:eastAsiaTheme="minorEastAsia" w:cstheme="minorEastAsia"/>
          <w:b w:val="0"/>
          <w:bCs w:val="0"/>
          <w:color w:val="auto"/>
          <w:sz w:val="24"/>
          <w:szCs w:val="24"/>
        </w:rPr>
        <w:t>图5：一般公共预算财政拨款支出决算变动情况</w:t>
      </w:r>
      <w:r>
        <w:rPr>
          <w:rFonts w:hint="eastAsia" w:asciiTheme="minorEastAsia" w:hAnsiTheme="minorEastAsia" w:eastAsiaTheme="minorEastAsia" w:cstheme="minorEastAsia"/>
          <w:b w:val="0"/>
          <w:bCs w:val="0"/>
          <w:color w:val="auto"/>
          <w:sz w:val="24"/>
          <w:szCs w:val="24"/>
          <w:lang w:val="en-US" w:eastAsia="zh-CN"/>
        </w:rPr>
        <w:t>图</w:t>
      </w:r>
      <w:bookmarkEnd w:id="59"/>
      <w:bookmarkEnd w:id="60"/>
    </w:p>
    <w:p>
      <w:pPr>
        <w:pStyle w:val="4"/>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lang w:eastAsia="zh-CN"/>
        </w:rPr>
      </w:pPr>
      <w:bookmarkStart w:id="61" w:name="_Toc15377211"/>
      <w:bookmarkStart w:id="62" w:name="_Toc23770"/>
      <w:r>
        <w:rPr>
          <w:rFonts w:hint="eastAsia" w:ascii="楷体" w:hAnsi="楷体" w:eastAsia="楷体" w:cs="楷体"/>
        </w:rPr>
        <w:t>（二）一般公共预算财政拨款支出决算结构情况</w:t>
      </w:r>
      <w:bookmarkEnd w:id="61"/>
      <w:r>
        <w:rPr>
          <w:rFonts w:hint="eastAsia" w:ascii="楷体" w:hAnsi="楷体" w:eastAsia="楷体" w:cs="楷体"/>
          <w:lang w:eastAsia="zh-CN"/>
        </w:rPr>
        <w:t>。</w:t>
      </w:r>
      <w:bookmarkEnd w:id="62"/>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2019年一般公共预算财政拨款支出</w:t>
      </w:r>
      <w:r>
        <w:rPr>
          <w:rFonts w:hint="eastAsia" w:ascii="仿宋_GB2312" w:hAnsi="仿宋_GB2312" w:eastAsia="仿宋_GB2312" w:cs="仿宋_GB2312"/>
          <w:color w:val="auto"/>
          <w:sz w:val="32"/>
          <w:szCs w:val="32"/>
          <w:lang w:val="en-US" w:eastAsia="zh-CN"/>
        </w:rPr>
        <w:t>4555.73</w:t>
      </w:r>
      <w:r>
        <w:rPr>
          <w:rFonts w:hint="eastAsia" w:ascii="仿宋_GB2312" w:hAnsi="仿宋_GB2312" w:eastAsia="仿宋_GB2312" w:cs="仿宋_GB2312"/>
          <w:color w:val="auto"/>
          <w:sz w:val="32"/>
          <w:szCs w:val="32"/>
        </w:rPr>
        <w:t>万元，主要用于以下方面:</w:t>
      </w:r>
      <w:r>
        <w:rPr>
          <w:rFonts w:hint="eastAsia" w:ascii="仿宋_GB2312" w:hAnsi="仿宋_GB2312" w:eastAsia="仿宋_GB2312" w:cs="仿宋_GB2312"/>
          <w:b/>
          <w:color w:val="auto"/>
          <w:sz w:val="32"/>
          <w:szCs w:val="32"/>
        </w:rPr>
        <w:t>社会保障和就业（类）</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val="en-US" w:eastAsia="zh-CN"/>
        </w:rPr>
        <w:t>47.38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卫生健康支出</w:t>
      </w:r>
      <w:r>
        <w:rPr>
          <w:rFonts w:hint="eastAsia" w:ascii="仿宋_GB2312" w:hAnsi="仿宋_GB2312" w:eastAsia="仿宋_GB2312" w:cs="仿宋_GB2312"/>
          <w:color w:val="auto"/>
          <w:sz w:val="32"/>
          <w:szCs w:val="32"/>
          <w:lang w:val="en-US" w:eastAsia="zh-CN"/>
        </w:rPr>
        <w:t>22.12</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0.49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color w:val="auto"/>
          <w:sz w:val="32"/>
          <w:szCs w:val="32"/>
          <w:lang w:eastAsia="zh-CN"/>
        </w:rPr>
        <w:t>节能环保支出</w:t>
      </w:r>
      <w:r>
        <w:rPr>
          <w:rFonts w:hint="eastAsia" w:ascii="仿宋_GB2312" w:hAnsi="仿宋_GB2312" w:eastAsia="仿宋_GB2312" w:cs="仿宋_GB2312"/>
          <w:color w:val="auto"/>
          <w:sz w:val="32"/>
          <w:szCs w:val="32"/>
          <w:lang w:val="en-US" w:eastAsia="zh-CN"/>
        </w:rPr>
        <w:t>108.91万元</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2.39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color w:val="auto"/>
          <w:sz w:val="32"/>
          <w:szCs w:val="32"/>
          <w:lang w:eastAsia="zh-CN"/>
        </w:rPr>
        <w:t>城乡社区支出</w:t>
      </w:r>
      <w:r>
        <w:rPr>
          <w:rFonts w:hint="eastAsia" w:ascii="仿宋_GB2312" w:hAnsi="仿宋_GB2312" w:eastAsia="仿宋_GB2312" w:cs="仿宋_GB2312"/>
          <w:color w:val="auto"/>
          <w:sz w:val="32"/>
          <w:szCs w:val="32"/>
          <w:lang w:eastAsia="zh-CN"/>
        </w:rPr>
        <w:t>576.95</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12.66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color w:val="auto"/>
          <w:sz w:val="32"/>
          <w:szCs w:val="32"/>
          <w:lang w:eastAsia="zh-CN"/>
        </w:rPr>
        <w:t>农林水支出</w:t>
      </w:r>
      <w:r>
        <w:rPr>
          <w:rFonts w:hint="eastAsia" w:ascii="仿宋_GB2312" w:hAnsi="仿宋_GB2312" w:eastAsia="仿宋_GB2312" w:cs="仿宋_GB2312"/>
          <w:color w:val="auto"/>
          <w:sz w:val="32"/>
          <w:szCs w:val="32"/>
        </w:rPr>
        <w:t>3772.2</w:t>
      </w:r>
      <w:r>
        <w:rPr>
          <w:rFonts w:hint="eastAsia" w:ascii="仿宋_GB2312" w:hAnsi="仿宋_GB2312" w:eastAsia="仿宋_GB2312" w:cs="仿宋_GB2312"/>
          <w:color w:val="auto"/>
          <w:sz w:val="32"/>
          <w:szCs w:val="32"/>
          <w:lang w:val="en-US" w:eastAsia="zh-CN"/>
        </w:rPr>
        <w:t>2万元</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82.8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color w:val="auto"/>
          <w:sz w:val="32"/>
          <w:szCs w:val="32"/>
          <w:lang w:eastAsia="zh-CN"/>
        </w:rPr>
        <w:t>住房保障支出</w:t>
      </w:r>
      <w:r>
        <w:rPr>
          <w:rFonts w:hint="eastAsia" w:ascii="仿宋_GB2312" w:hAnsi="仿宋_GB2312" w:eastAsia="仿宋_GB2312" w:cs="仿宋_GB2312"/>
          <w:color w:val="auto"/>
          <w:sz w:val="32"/>
          <w:szCs w:val="32"/>
        </w:rPr>
        <w:t>28.13万元，占</w:t>
      </w:r>
      <w:r>
        <w:rPr>
          <w:rFonts w:hint="eastAsia" w:ascii="仿宋_GB2312" w:hAnsi="仿宋_GB2312" w:eastAsia="仿宋_GB2312" w:cs="仿宋_GB2312"/>
          <w:color w:val="auto"/>
          <w:sz w:val="32"/>
          <w:szCs w:val="32"/>
          <w:lang w:val="en-US" w:eastAsia="zh-CN"/>
        </w:rPr>
        <w:t>0.62</w:t>
      </w:r>
      <w:r>
        <w:rPr>
          <w:rFonts w:hint="eastAsia" w:ascii="仿宋_GB2312" w:hAnsi="仿宋_GB2312" w:eastAsia="仿宋_GB2312" w:cs="仿宋_GB2312"/>
          <w:color w:val="auto"/>
          <w:sz w:val="32"/>
          <w:szCs w:val="32"/>
        </w:rPr>
        <w:t>%；</w:t>
      </w:r>
    </w:p>
    <w:p>
      <w:pPr>
        <w:pageBreakBefore w:val="0"/>
        <w:kinsoku/>
        <w:wordWrap/>
        <w:overflowPunct/>
        <w:topLinePunct w:val="0"/>
        <w:bidi w:val="0"/>
        <w:snapToGrid/>
        <w:spacing w:line="560" w:lineRule="exact"/>
        <w:jc w:val="center"/>
        <w:textAlignment w:val="auto"/>
        <w:outlineLvl w:val="1"/>
        <w:rPr>
          <w:rFonts w:hint="eastAsia" w:asciiTheme="minorEastAsia" w:hAnsiTheme="minorEastAsia" w:eastAsiaTheme="minorEastAsia" w:cstheme="minorEastAsia"/>
          <w:b w:val="0"/>
          <w:bCs w:val="0"/>
          <w:color w:val="auto"/>
          <w:sz w:val="24"/>
          <w:szCs w:val="24"/>
          <w:lang w:val="en-US" w:eastAsia="zh-CN"/>
        </w:rPr>
      </w:pPr>
      <w:bookmarkStart w:id="63" w:name="_Toc31303"/>
      <w:bookmarkStart w:id="64" w:name="_Toc22163"/>
      <w:r>
        <w:rPr>
          <w:rFonts w:hint="eastAsia" w:ascii="仿宋_GB2312" w:hAnsi="仿宋_GB2312" w:eastAsia="仿宋_GB2312" w:cs="仿宋_GB2312"/>
          <w:color w:val="auto"/>
          <w:sz w:val="32"/>
          <w:szCs w:val="32"/>
          <w:lang w:eastAsia="zh-CN"/>
        </w:rPr>
        <w:drawing>
          <wp:anchor distT="0" distB="0" distL="114300" distR="114300" simplePos="0" relativeHeight="251668480" behindDoc="0" locked="0" layoutInCell="1" allowOverlap="1">
            <wp:simplePos x="0" y="0"/>
            <wp:positionH relativeFrom="page">
              <wp:align>center</wp:align>
            </wp:positionH>
            <wp:positionV relativeFrom="paragraph">
              <wp:posOffset>32385</wp:posOffset>
            </wp:positionV>
            <wp:extent cx="5138420" cy="4437380"/>
            <wp:effectExtent l="5080" t="4445" r="9525" b="635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heme="minorEastAsia" w:hAnsiTheme="minorEastAsia" w:eastAsiaTheme="minorEastAsia" w:cstheme="minorEastAsia"/>
          <w:b w:val="0"/>
          <w:bCs w:val="0"/>
          <w:color w:val="auto"/>
          <w:sz w:val="24"/>
          <w:szCs w:val="24"/>
        </w:rPr>
        <w:t>图6：一般公共预算财政拨款支出决算结构</w:t>
      </w:r>
      <w:r>
        <w:rPr>
          <w:rFonts w:hint="eastAsia" w:asciiTheme="minorEastAsia" w:hAnsiTheme="minorEastAsia" w:eastAsiaTheme="minorEastAsia" w:cstheme="minorEastAsia"/>
          <w:b w:val="0"/>
          <w:bCs w:val="0"/>
          <w:color w:val="auto"/>
          <w:sz w:val="24"/>
          <w:szCs w:val="24"/>
          <w:lang w:val="en-US" w:eastAsia="zh-CN"/>
        </w:rPr>
        <w:t>图</w:t>
      </w:r>
      <w:bookmarkEnd w:id="63"/>
      <w:bookmarkEnd w:id="64"/>
    </w:p>
    <w:p>
      <w:pPr>
        <w:pStyle w:val="4"/>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lang w:eastAsia="zh-CN"/>
        </w:rPr>
      </w:pPr>
      <w:bookmarkStart w:id="65" w:name="_Toc15377212"/>
      <w:bookmarkStart w:id="66" w:name="_Toc24735"/>
      <w:r>
        <w:rPr>
          <w:rFonts w:hint="eastAsia" w:ascii="楷体" w:hAnsi="楷体" w:eastAsia="楷体" w:cs="楷体"/>
        </w:rPr>
        <w:t>（三）一般公共预算财政拨款支出决算具体情况</w:t>
      </w:r>
      <w:bookmarkEnd w:id="65"/>
      <w:r>
        <w:rPr>
          <w:rFonts w:hint="eastAsia" w:ascii="楷体" w:hAnsi="楷体" w:eastAsia="楷体" w:cs="楷体"/>
          <w:lang w:eastAsia="zh-CN"/>
        </w:rPr>
        <w:t>。</w:t>
      </w:r>
      <w:bookmarkEnd w:id="66"/>
    </w:p>
    <w:p>
      <w:pPr>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仿宋_GB2312" w:hAnsi="仿宋_GB2312" w:eastAsia="仿宋_GB2312" w:cs="仿宋_GB2312"/>
          <w:color w:val="auto"/>
          <w:sz w:val="32"/>
          <w:szCs w:val="32"/>
        </w:rPr>
      </w:pPr>
      <w:bookmarkStart w:id="67" w:name="_Toc15377213"/>
      <w:bookmarkStart w:id="68" w:name="_Toc15378460"/>
      <w:bookmarkStart w:id="69" w:name="_Toc21572"/>
      <w:bookmarkStart w:id="70" w:name="_Toc18185"/>
      <w:bookmarkStart w:id="71" w:name="_Toc15377444"/>
      <w:r>
        <w:rPr>
          <w:rFonts w:hint="eastAsia" w:ascii="仿宋_GB2312" w:hAnsi="仿宋_GB2312" w:eastAsia="仿宋_GB2312" w:cs="仿宋_GB2312"/>
          <w:b/>
          <w:color w:val="auto"/>
          <w:sz w:val="32"/>
          <w:szCs w:val="32"/>
        </w:rPr>
        <w:t>2019年</w:t>
      </w:r>
      <w:r>
        <w:rPr>
          <w:rFonts w:hint="eastAsia" w:ascii="仿宋_GB2312" w:hAnsi="仿宋_GB2312" w:eastAsia="仿宋_GB2312" w:cs="仿宋_GB2312"/>
          <w:b/>
          <w:color w:val="auto"/>
          <w:sz w:val="32"/>
          <w:szCs w:val="32"/>
          <w:lang w:eastAsia="zh-CN"/>
        </w:rPr>
        <w:t>一</w:t>
      </w:r>
      <w:r>
        <w:rPr>
          <w:rFonts w:hint="eastAsia" w:ascii="仿宋_GB2312" w:hAnsi="仿宋_GB2312" w:eastAsia="仿宋_GB2312" w:cs="仿宋_GB2312"/>
          <w:b/>
          <w:color w:val="auto"/>
          <w:sz w:val="32"/>
          <w:szCs w:val="32"/>
        </w:rPr>
        <w:t>般公共预算支出决算数为</w:t>
      </w:r>
      <w:r>
        <w:rPr>
          <w:rFonts w:hint="eastAsia" w:ascii="仿宋_GB2312" w:hAnsi="仿宋_GB2312" w:eastAsia="仿宋_GB2312" w:cs="仿宋_GB2312"/>
          <w:b/>
          <w:color w:val="auto"/>
          <w:sz w:val="32"/>
          <w:szCs w:val="32"/>
          <w:lang w:val="en-US" w:eastAsia="zh-CN"/>
        </w:rPr>
        <w:t>4555.72</w:t>
      </w:r>
      <w:r>
        <w:rPr>
          <w:rFonts w:hint="eastAsia" w:ascii="仿宋_GB2312" w:hAnsi="仿宋_GB2312" w:eastAsia="仿宋_GB2312" w:cs="仿宋_GB2312"/>
          <w:color w:val="auto"/>
          <w:sz w:val="32"/>
          <w:szCs w:val="32"/>
        </w:rPr>
        <w:t>，</w:t>
      </w:r>
      <w:r>
        <w:rPr>
          <w:rStyle w:val="14"/>
          <w:rFonts w:hint="eastAsia" w:ascii="仿宋_GB2312" w:hAnsi="仿宋_GB2312" w:eastAsia="仿宋_GB2312" w:cs="仿宋_GB2312"/>
          <w:bCs/>
          <w:color w:val="auto"/>
          <w:sz w:val="32"/>
          <w:szCs w:val="32"/>
        </w:rPr>
        <w:t>完成预算</w:t>
      </w:r>
      <w:r>
        <w:rPr>
          <w:rStyle w:val="14"/>
          <w:rFonts w:hint="eastAsia" w:ascii="仿宋_GB2312" w:hAnsi="仿宋_GB2312" w:eastAsia="仿宋_GB2312" w:cs="仿宋_GB2312"/>
          <w:bCs/>
          <w:color w:val="auto"/>
          <w:sz w:val="32"/>
          <w:szCs w:val="32"/>
          <w:lang w:val="en-US" w:eastAsia="zh-CN"/>
        </w:rPr>
        <w:t>100</w:t>
      </w:r>
      <w:r>
        <w:rPr>
          <w:rStyle w:val="14"/>
          <w:rFonts w:hint="eastAsia" w:ascii="仿宋_GB2312" w:hAnsi="仿宋_GB2312" w:eastAsia="仿宋_GB2312" w:cs="仿宋_GB2312"/>
          <w:bCs/>
          <w:color w:val="auto"/>
          <w:sz w:val="32"/>
          <w:szCs w:val="32"/>
        </w:rPr>
        <w:t>%。其中：</w:t>
      </w:r>
      <w:bookmarkEnd w:id="67"/>
      <w:bookmarkEnd w:id="68"/>
      <w:bookmarkEnd w:id="69"/>
      <w:bookmarkEnd w:id="70"/>
      <w:bookmarkEnd w:id="71"/>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color w:val="auto"/>
          <w:sz w:val="32"/>
          <w:szCs w:val="32"/>
        </w:rPr>
      </w:pPr>
      <w:r>
        <w:rPr>
          <w:rStyle w:val="14"/>
          <w:rFonts w:hint="eastAsia" w:ascii="仿宋_GB2312" w:hAnsi="仿宋_GB2312" w:eastAsia="仿宋_GB2312" w:cs="仿宋_GB2312"/>
          <w:bCs/>
          <w:color w:val="auto"/>
          <w:sz w:val="32"/>
          <w:szCs w:val="32"/>
        </w:rPr>
        <w:t>1.</w:t>
      </w:r>
      <w:r>
        <w:rPr>
          <w:rFonts w:hint="eastAsia" w:ascii="仿宋_GB2312" w:hAnsi="仿宋_GB2312" w:eastAsia="仿宋_GB2312" w:cs="仿宋_GB2312"/>
          <w:b/>
          <w:color w:val="auto"/>
          <w:sz w:val="32"/>
          <w:szCs w:val="32"/>
        </w:rPr>
        <w:t>社会保障和就业（类）</w:t>
      </w:r>
      <w:r>
        <w:rPr>
          <w:rStyle w:val="14"/>
          <w:rFonts w:hint="eastAsia" w:ascii="仿宋_GB2312" w:hAnsi="仿宋_GB2312" w:eastAsia="仿宋_GB2312" w:cs="仿宋_GB2312"/>
          <w:bCs/>
          <w:color w:val="auto"/>
          <w:sz w:val="32"/>
          <w:szCs w:val="32"/>
        </w:rPr>
        <w:t>:</w:t>
      </w:r>
      <w:r>
        <w:rPr>
          <w:rStyle w:val="14"/>
          <w:rFonts w:hint="eastAsia" w:ascii="仿宋_GB2312" w:hAnsi="仿宋_GB2312" w:eastAsia="仿宋_GB2312" w:cs="仿宋_GB2312"/>
          <w:b w:val="0"/>
          <w:bCs/>
          <w:color w:val="auto"/>
          <w:sz w:val="32"/>
          <w:szCs w:val="32"/>
        </w:rPr>
        <w:t xml:space="preserve"> 支出决算为</w:t>
      </w:r>
      <w:r>
        <w:rPr>
          <w:rFonts w:hint="eastAsia" w:ascii="仿宋_GB2312" w:hAnsi="仿宋_GB2312" w:eastAsia="仿宋_GB2312" w:cs="仿宋_GB2312"/>
          <w:color w:val="auto"/>
          <w:sz w:val="32"/>
          <w:szCs w:val="32"/>
          <w:lang w:val="en-US" w:eastAsia="zh-CN"/>
        </w:rPr>
        <w:t>47.38</w:t>
      </w:r>
      <w:r>
        <w:rPr>
          <w:rStyle w:val="14"/>
          <w:rFonts w:hint="eastAsia" w:ascii="仿宋_GB2312" w:hAnsi="仿宋_GB2312" w:eastAsia="仿宋_GB2312" w:cs="仿宋_GB2312"/>
          <w:b w:val="0"/>
          <w:bCs/>
          <w:color w:val="auto"/>
          <w:sz w:val="32"/>
          <w:szCs w:val="32"/>
        </w:rPr>
        <w:t>万元，完成预算</w:t>
      </w:r>
      <w:r>
        <w:rPr>
          <w:rStyle w:val="14"/>
          <w:rFonts w:hint="eastAsia" w:ascii="仿宋_GB2312" w:hAnsi="仿宋_GB2312" w:eastAsia="仿宋_GB2312" w:cs="仿宋_GB2312"/>
          <w:b w:val="0"/>
          <w:bCs/>
          <w:color w:val="auto"/>
          <w:sz w:val="32"/>
          <w:szCs w:val="32"/>
          <w:lang w:val="en-US" w:eastAsia="zh-CN"/>
        </w:rPr>
        <w:t>100</w:t>
      </w:r>
      <w:r>
        <w:rPr>
          <w:rStyle w:val="14"/>
          <w:rFonts w:hint="eastAsia" w:ascii="仿宋_GB2312" w:hAnsi="仿宋_GB2312" w:eastAsia="仿宋_GB2312" w:cs="仿宋_GB2312"/>
          <w:b w:val="0"/>
          <w:bCs/>
          <w:color w:val="auto"/>
          <w:sz w:val="32"/>
          <w:szCs w:val="32"/>
        </w:rPr>
        <w:t>%。</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color w:val="auto"/>
          <w:sz w:val="32"/>
          <w:szCs w:val="32"/>
        </w:rPr>
      </w:pPr>
      <w:r>
        <w:rPr>
          <w:rStyle w:val="14"/>
          <w:rFonts w:hint="eastAsia" w:ascii="仿宋_GB2312" w:hAnsi="仿宋_GB2312" w:eastAsia="仿宋_GB2312" w:cs="仿宋_GB2312"/>
          <w:bCs/>
          <w:color w:val="auto"/>
          <w:sz w:val="32"/>
          <w:szCs w:val="32"/>
        </w:rPr>
        <w:t>2.</w:t>
      </w:r>
      <w:r>
        <w:rPr>
          <w:rFonts w:hint="eastAsia" w:ascii="仿宋_GB2312" w:hAnsi="仿宋_GB2312" w:eastAsia="仿宋_GB2312" w:cs="仿宋_GB2312"/>
          <w:b/>
          <w:bCs/>
          <w:color w:val="auto"/>
          <w:sz w:val="32"/>
          <w:szCs w:val="32"/>
        </w:rPr>
        <w:t>卫生健康支出</w:t>
      </w:r>
      <w:r>
        <w:rPr>
          <w:rStyle w:val="14"/>
          <w:rFonts w:hint="eastAsia" w:ascii="仿宋_GB2312" w:hAnsi="仿宋_GB2312" w:eastAsia="仿宋_GB2312" w:cs="仿宋_GB2312"/>
          <w:bCs/>
          <w:color w:val="auto"/>
          <w:sz w:val="32"/>
          <w:szCs w:val="32"/>
        </w:rPr>
        <w:t>:</w:t>
      </w:r>
      <w:r>
        <w:rPr>
          <w:rStyle w:val="14"/>
          <w:rFonts w:hint="eastAsia" w:ascii="仿宋_GB2312" w:hAnsi="仿宋_GB2312" w:eastAsia="仿宋_GB2312" w:cs="仿宋_GB2312"/>
          <w:b w:val="0"/>
          <w:bCs/>
          <w:color w:val="auto"/>
          <w:sz w:val="32"/>
          <w:szCs w:val="32"/>
        </w:rPr>
        <w:t xml:space="preserve"> 支出决算为</w:t>
      </w:r>
      <w:r>
        <w:rPr>
          <w:rStyle w:val="14"/>
          <w:rFonts w:hint="eastAsia" w:ascii="仿宋_GB2312" w:hAnsi="仿宋_GB2312" w:eastAsia="仿宋_GB2312" w:cs="仿宋_GB2312"/>
          <w:b w:val="0"/>
          <w:bCs/>
          <w:color w:val="auto"/>
          <w:sz w:val="32"/>
          <w:szCs w:val="32"/>
          <w:lang w:val="en-US" w:eastAsia="zh-CN"/>
        </w:rPr>
        <w:t>22.12</w:t>
      </w:r>
      <w:r>
        <w:rPr>
          <w:rStyle w:val="14"/>
          <w:rFonts w:hint="eastAsia" w:ascii="仿宋_GB2312" w:hAnsi="仿宋_GB2312" w:eastAsia="仿宋_GB2312" w:cs="仿宋_GB2312"/>
          <w:b w:val="0"/>
          <w:bCs/>
          <w:color w:val="auto"/>
          <w:sz w:val="32"/>
          <w:szCs w:val="32"/>
        </w:rPr>
        <w:t>万元，完成预算</w:t>
      </w:r>
      <w:r>
        <w:rPr>
          <w:rStyle w:val="14"/>
          <w:rFonts w:hint="eastAsia" w:ascii="仿宋_GB2312" w:hAnsi="仿宋_GB2312" w:eastAsia="仿宋_GB2312" w:cs="仿宋_GB2312"/>
          <w:b w:val="0"/>
          <w:bCs/>
          <w:color w:val="auto"/>
          <w:sz w:val="32"/>
          <w:szCs w:val="32"/>
          <w:lang w:val="en-US" w:eastAsia="zh-CN"/>
        </w:rPr>
        <w:t>100</w:t>
      </w:r>
      <w:r>
        <w:rPr>
          <w:rStyle w:val="14"/>
          <w:rFonts w:hint="eastAsia" w:ascii="仿宋_GB2312" w:hAnsi="仿宋_GB2312" w:eastAsia="仿宋_GB2312" w:cs="仿宋_GB2312"/>
          <w:b w:val="0"/>
          <w:bCs/>
          <w:color w:val="auto"/>
          <w:sz w:val="32"/>
          <w:szCs w:val="32"/>
        </w:rPr>
        <w:t>%。</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color w:val="auto"/>
          <w:sz w:val="32"/>
          <w:szCs w:val="32"/>
        </w:rPr>
      </w:pPr>
      <w:r>
        <w:rPr>
          <w:rStyle w:val="14"/>
          <w:rFonts w:hint="eastAsia" w:ascii="仿宋_GB2312" w:hAnsi="仿宋_GB2312" w:eastAsia="仿宋_GB2312" w:cs="仿宋_GB2312"/>
          <w:bCs/>
          <w:color w:val="auto"/>
          <w:sz w:val="32"/>
          <w:szCs w:val="32"/>
        </w:rPr>
        <w:t>3.</w:t>
      </w:r>
      <w:r>
        <w:rPr>
          <w:rFonts w:hint="eastAsia" w:ascii="仿宋_GB2312" w:hAnsi="仿宋_GB2312" w:eastAsia="仿宋_GB2312" w:cs="仿宋_GB2312"/>
          <w:b/>
          <w:color w:val="auto"/>
          <w:sz w:val="32"/>
          <w:szCs w:val="32"/>
          <w:lang w:eastAsia="zh-CN"/>
        </w:rPr>
        <w:t>节能环保支出</w:t>
      </w:r>
      <w:r>
        <w:rPr>
          <w:rStyle w:val="14"/>
          <w:rFonts w:hint="eastAsia" w:ascii="仿宋_GB2312" w:hAnsi="仿宋_GB2312" w:eastAsia="仿宋_GB2312" w:cs="仿宋_GB2312"/>
          <w:bCs/>
          <w:color w:val="auto"/>
          <w:sz w:val="32"/>
          <w:szCs w:val="32"/>
        </w:rPr>
        <w:t>:</w:t>
      </w:r>
      <w:r>
        <w:rPr>
          <w:rStyle w:val="14"/>
          <w:rFonts w:hint="eastAsia" w:ascii="仿宋_GB2312" w:hAnsi="仿宋_GB2312" w:eastAsia="仿宋_GB2312" w:cs="仿宋_GB2312"/>
          <w:b w:val="0"/>
          <w:bCs/>
          <w:color w:val="auto"/>
          <w:sz w:val="32"/>
          <w:szCs w:val="32"/>
        </w:rPr>
        <w:t xml:space="preserve"> 支出决算为</w:t>
      </w:r>
      <w:r>
        <w:rPr>
          <w:rFonts w:hint="eastAsia" w:ascii="仿宋_GB2312" w:hAnsi="仿宋_GB2312" w:eastAsia="仿宋_GB2312" w:cs="仿宋_GB2312"/>
          <w:color w:val="auto"/>
          <w:sz w:val="32"/>
          <w:szCs w:val="32"/>
          <w:lang w:val="en-US" w:eastAsia="zh-CN"/>
        </w:rPr>
        <w:t>108.91</w:t>
      </w:r>
      <w:r>
        <w:rPr>
          <w:rStyle w:val="14"/>
          <w:rFonts w:hint="eastAsia" w:ascii="仿宋_GB2312" w:hAnsi="仿宋_GB2312" w:eastAsia="仿宋_GB2312" w:cs="仿宋_GB2312"/>
          <w:b w:val="0"/>
          <w:bCs/>
          <w:color w:val="auto"/>
          <w:sz w:val="32"/>
          <w:szCs w:val="32"/>
        </w:rPr>
        <w:t>万元，完成预算</w:t>
      </w:r>
      <w:r>
        <w:rPr>
          <w:rStyle w:val="14"/>
          <w:rFonts w:hint="eastAsia" w:ascii="仿宋_GB2312" w:hAnsi="仿宋_GB2312" w:eastAsia="仿宋_GB2312" w:cs="仿宋_GB2312"/>
          <w:b w:val="0"/>
          <w:bCs/>
          <w:color w:val="auto"/>
          <w:sz w:val="32"/>
          <w:szCs w:val="32"/>
          <w:lang w:val="en-US" w:eastAsia="zh-CN"/>
        </w:rPr>
        <w:t>100</w:t>
      </w:r>
      <w:r>
        <w:rPr>
          <w:rStyle w:val="14"/>
          <w:rFonts w:hint="eastAsia" w:ascii="仿宋_GB2312" w:hAnsi="仿宋_GB2312" w:eastAsia="仿宋_GB2312" w:cs="仿宋_GB2312"/>
          <w:b w:val="0"/>
          <w:bCs/>
          <w:color w:val="auto"/>
          <w:sz w:val="32"/>
          <w:szCs w:val="32"/>
        </w:rPr>
        <w:t>%。</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color w:val="auto"/>
          <w:sz w:val="32"/>
          <w:szCs w:val="32"/>
        </w:rPr>
      </w:pPr>
      <w:r>
        <w:rPr>
          <w:rStyle w:val="14"/>
          <w:rFonts w:hint="eastAsia" w:ascii="仿宋_GB2312" w:hAnsi="仿宋_GB2312" w:eastAsia="仿宋_GB2312" w:cs="仿宋_GB2312"/>
          <w:bCs/>
          <w:color w:val="auto"/>
          <w:sz w:val="32"/>
          <w:szCs w:val="32"/>
        </w:rPr>
        <w:t>4.</w:t>
      </w:r>
      <w:r>
        <w:rPr>
          <w:rFonts w:hint="eastAsia" w:ascii="仿宋_GB2312" w:hAnsi="仿宋_GB2312" w:eastAsia="仿宋_GB2312" w:cs="仿宋_GB2312"/>
          <w:b/>
          <w:color w:val="auto"/>
          <w:sz w:val="32"/>
          <w:szCs w:val="32"/>
          <w:lang w:eastAsia="zh-CN"/>
        </w:rPr>
        <w:t>城乡社区支出</w:t>
      </w:r>
      <w:r>
        <w:rPr>
          <w:rStyle w:val="14"/>
          <w:rFonts w:hint="eastAsia" w:ascii="仿宋_GB2312" w:hAnsi="仿宋_GB2312" w:eastAsia="仿宋_GB2312" w:cs="仿宋_GB2312"/>
          <w:bCs/>
          <w:color w:val="auto"/>
          <w:sz w:val="32"/>
          <w:szCs w:val="32"/>
        </w:rPr>
        <w:t>:</w:t>
      </w:r>
      <w:r>
        <w:rPr>
          <w:rStyle w:val="14"/>
          <w:rFonts w:hint="eastAsia" w:ascii="仿宋_GB2312" w:hAnsi="仿宋_GB2312" w:eastAsia="仿宋_GB2312" w:cs="仿宋_GB2312"/>
          <w:b w:val="0"/>
          <w:bCs/>
          <w:color w:val="auto"/>
          <w:sz w:val="32"/>
          <w:szCs w:val="32"/>
        </w:rPr>
        <w:t xml:space="preserve"> 支出决算为</w:t>
      </w:r>
      <w:r>
        <w:rPr>
          <w:rFonts w:hint="eastAsia" w:ascii="仿宋_GB2312" w:hAnsi="仿宋_GB2312" w:eastAsia="仿宋_GB2312" w:cs="仿宋_GB2312"/>
          <w:color w:val="auto"/>
          <w:sz w:val="32"/>
          <w:szCs w:val="32"/>
          <w:lang w:eastAsia="zh-CN"/>
        </w:rPr>
        <w:t>576.95</w:t>
      </w:r>
      <w:r>
        <w:rPr>
          <w:rStyle w:val="14"/>
          <w:rFonts w:hint="eastAsia" w:ascii="仿宋_GB2312" w:hAnsi="仿宋_GB2312" w:eastAsia="仿宋_GB2312" w:cs="仿宋_GB2312"/>
          <w:b w:val="0"/>
          <w:bCs/>
          <w:color w:val="auto"/>
          <w:sz w:val="32"/>
          <w:szCs w:val="32"/>
        </w:rPr>
        <w:t>万元，完成预算</w:t>
      </w:r>
      <w:r>
        <w:rPr>
          <w:rStyle w:val="14"/>
          <w:rFonts w:hint="eastAsia" w:ascii="仿宋_GB2312" w:hAnsi="仿宋_GB2312" w:eastAsia="仿宋_GB2312" w:cs="仿宋_GB2312"/>
          <w:b w:val="0"/>
          <w:bCs/>
          <w:color w:val="auto"/>
          <w:sz w:val="32"/>
          <w:szCs w:val="32"/>
          <w:lang w:val="en-US" w:eastAsia="zh-CN"/>
        </w:rPr>
        <w:t>100</w:t>
      </w:r>
      <w:r>
        <w:rPr>
          <w:rStyle w:val="14"/>
          <w:rFonts w:hint="eastAsia" w:ascii="仿宋_GB2312" w:hAnsi="仿宋_GB2312" w:eastAsia="仿宋_GB2312" w:cs="仿宋_GB2312"/>
          <w:b w:val="0"/>
          <w:bCs/>
          <w:color w:val="auto"/>
          <w:sz w:val="32"/>
          <w:szCs w:val="32"/>
        </w:rPr>
        <w:t>%。</w:t>
      </w:r>
    </w:p>
    <w:p>
      <w:pPr>
        <w:pageBreakBefore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auto"/>
          <w:sz w:val="32"/>
          <w:szCs w:val="32"/>
          <w:lang w:eastAsia="zh-CN"/>
        </w:rPr>
      </w:pPr>
      <w:r>
        <w:rPr>
          <w:rStyle w:val="14"/>
          <w:rFonts w:hint="eastAsia" w:ascii="仿宋_GB2312" w:hAnsi="仿宋_GB2312" w:eastAsia="仿宋_GB2312" w:cs="仿宋_GB2312"/>
          <w:bCs/>
          <w:color w:val="auto"/>
          <w:sz w:val="32"/>
          <w:szCs w:val="32"/>
        </w:rPr>
        <w:t>5.社会保障和就业</w:t>
      </w:r>
      <w:r>
        <w:rPr>
          <w:rStyle w:val="14"/>
          <w:rFonts w:hint="eastAsia" w:ascii="仿宋_GB2312" w:hAnsi="仿宋_GB2312" w:eastAsia="仿宋_GB2312" w:cs="仿宋_GB2312"/>
          <w:bCs/>
          <w:color w:val="auto"/>
          <w:sz w:val="32"/>
          <w:szCs w:val="32"/>
          <w:lang w:eastAsia="zh-CN"/>
        </w:rPr>
        <w:t>支出</w:t>
      </w:r>
      <w:r>
        <w:rPr>
          <w:rStyle w:val="14"/>
          <w:rFonts w:hint="eastAsia" w:ascii="仿宋_GB2312" w:hAnsi="仿宋_GB2312" w:eastAsia="仿宋_GB2312" w:cs="仿宋_GB2312"/>
          <w:bCs/>
          <w:color w:val="auto"/>
          <w:sz w:val="32"/>
          <w:szCs w:val="32"/>
        </w:rPr>
        <w:t>:</w:t>
      </w:r>
      <w:r>
        <w:rPr>
          <w:rStyle w:val="14"/>
          <w:rFonts w:hint="eastAsia" w:ascii="仿宋_GB2312" w:hAnsi="仿宋_GB2312" w:eastAsia="仿宋_GB2312" w:cs="仿宋_GB2312"/>
          <w:b w:val="0"/>
          <w:bCs/>
          <w:color w:val="auto"/>
          <w:sz w:val="32"/>
          <w:szCs w:val="32"/>
        </w:rPr>
        <w:t xml:space="preserve"> 支出决算为</w:t>
      </w:r>
      <w:r>
        <w:rPr>
          <w:rFonts w:hint="eastAsia" w:ascii="仿宋_GB2312" w:hAnsi="仿宋_GB2312" w:eastAsia="仿宋_GB2312" w:cs="仿宋_GB2312"/>
          <w:color w:val="auto"/>
          <w:sz w:val="32"/>
          <w:szCs w:val="32"/>
        </w:rPr>
        <w:t>28.13</w:t>
      </w:r>
      <w:r>
        <w:rPr>
          <w:rStyle w:val="14"/>
          <w:rFonts w:hint="eastAsia" w:ascii="仿宋_GB2312" w:hAnsi="仿宋_GB2312" w:eastAsia="仿宋_GB2312" w:cs="仿宋_GB2312"/>
          <w:b w:val="0"/>
          <w:bCs/>
          <w:color w:val="auto"/>
          <w:sz w:val="32"/>
          <w:szCs w:val="32"/>
        </w:rPr>
        <w:t>万元，完成预算</w:t>
      </w:r>
      <w:r>
        <w:rPr>
          <w:rStyle w:val="14"/>
          <w:rFonts w:hint="eastAsia" w:ascii="仿宋_GB2312" w:hAnsi="仿宋_GB2312" w:eastAsia="仿宋_GB2312" w:cs="仿宋_GB2312"/>
          <w:b w:val="0"/>
          <w:bCs/>
          <w:color w:val="auto"/>
          <w:sz w:val="32"/>
          <w:szCs w:val="32"/>
          <w:lang w:val="en-US" w:eastAsia="zh-CN"/>
        </w:rPr>
        <w:t>96.7</w:t>
      </w:r>
      <w:r>
        <w:rPr>
          <w:rStyle w:val="14"/>
          <w:rFonts w:hint="eastAsia" w:ascii="仿宋_GB2312" w:hAnsi="仿宋_GB2312" w:eastAsia="仿宋_GB2312" w:cs="仿宋_GB2312"/>
          <w:b w:val="0"/>
          <w:bCs/>
          <w:color w:val="auto"/>
          <w:sz w:val="32"/>
          <w:szCs w:val="32"/>
        </w:rPr>
        <w:t>%，决算数小于预算数的主要原因是</w:t>
      </w:r>
      <w:r>
        <w:rPr>
          <w:rStyle w:val="14"/>
          <w:rFonts w:hint="eastAsia" w:ascii="仿宋_GB2312" w:hAnsi="仿宋_GB2312" w:eastAsia="仿宋_GB2312" w:cs="仿宋_GB2312"/>
          <w:b w:val="0"/>
          <w:bCs/>
          <w:color w:val="auto"/>
          <w:sz w:val="32"/>
          <w:szCs w:val="32"/>
          <w:lang w:eastAsia="zh-CN"/>
        </w:rPr>
        <w:t>有人员调动。</w:t>
      </w:r>
    </w:p>
    <w:p>
      <w:pPr>
        <w:pageBreakBefore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auto"/>
          <w:sz w:val="32"/>
          <w:szCs w:val="32"/>
        </w:rPr>
      </w:pPr>
      <w:r>
        <w:rPr>
          <w:rStyle w:val="14"/>
          <w:rFonts w:hint="eastAsia" w:ascii="仿宋_GB2312" w:hAnsi="仿宋_GB2312" w:eastAsia="仿宋_GB2312" w:cs="仿宋_GB2312"/>
          <w:bCs/>
          <w:color w:val="auto"/>
          <w:sz w:val="32"/>
          <w:szCs w:val="32"/>
        </w:rPr>
        <w:t>6.</w:t>
      </w:r>
      <w:r>
        <w:rPr>
          <w:rFonts w:hint="eastAsia" w:ascii="仿宋_GB2312" w:hAnsi="仿宋_GB2312" w:eastAsia="仿宋_GB2312" w:cs="仿宋_GB2312"/>
          <w:b/>
          <w:color w:val="auto"/>
          <w:sz w:val="32"/>
          <w:szCs w:val="32"/>
          <w:lang w:eastAsia="zh-CN"/>
        </w:rPr>
        <w:t>农林水支出</w:t>
      </w:r>
      <w:r>
        <w:rPr>
          <w:rStyle w:val="14"/>
          <w:rFonts w:hint="eastAsia" w:ascii="仿宋_GB2312" w:hAnsi="仿宋_GB2312" w:eastAsia="仿宋_GB2312" w:cs="仿宋_GB2312"/>
          <w:bCs/>
          <w:color w:val="auto"/>
          <w:sz w:val="32"/>
          <w:szCs w:val="32"/>
        </w:rPr>
        <w:t>:</w:t>
      </w:r>
      <w:r>
        <w:rPr>
          <w:rStyle w:val="14"/>
          <w:rFonts w:hint="eastAsia" w:ascii="仿宋_GB2312" w:hAnsi="仿宋_GB2312" w:eastAsia="仿宋_GB2312" w:cs="仿宋_GB2312"/>
          <w:b w:val="0"/>
          <w:bCs/>
          <w:color w:val="auto"/>
          <w:sz w:val="32"/>
          <w:szCs w:val="32"/>
        </w:rPr>
        <w:t>支出决算为</w:t>
      </w:r>
      <w:r>
        <w:rPr>
          <w:rFonts w:hint="eastAsia" w:ascii="仿宋_GB2312" w:hAnsi="仿宋_GB2312" w:eastAsia="仿宋_GB2312" w:cs="仿宋_GB2312"/>
          <w:color w:val="auto"/>
          <w:sz w:val="32"/>
          <w:szCs w:val="32"/>
        </w:rPr>
        <w:t>3772.2</w:t>
      </w:r>
      <w:r>
        <w:rPr>
          <w:rFonts w:hint="eastAsia" w:ascii="仿宋_GB2312" w:hAnsi="仿宋_GB2312" w:eastAsia="仿宋_GB2312" w:cs="仿宋_GB2312"/>
          <w:color w:val="auto"/>
          <w:sz w:val="32"/>
          <w:szCs w:val="32"/>
          <w:lang w:val="en-US" w:eastAsia="zh-CN"/>
        </w:rPr>
        <w:t>2</w:t>
      </w:r>
      <w:r>
        <w:rPr>
          <w:rStyle w:val="14"/>
          <w:rFonts w:hint="eastAsia" w:ascii="仿宋_GB2312" w:hAnsi="仿宋_GB2312" w:eastAsia="仿宋_GB2312" w:cs="仿宋_GB2312"/>
          <w:b w:val="0"/>
          <w:bCs/>
          <w:color w:val="auto"/>
          <w:sz w:val="32"/>
          <w:szCs w:val="32"/>
        </w:rPr>
        <w:t>万元，完成预算</w:t>
      </w:r>
      <w:r>
        <w:rPr>
          <w:rStyle w:val="14"/>
          <w:rFonts w:hint="eastAsia" w:ascii="仿宋_GB2312" w:hAnsi="仿宋_GB2312" w:eastAsia="仿宋_GB2312" w:cs="仿宋_GB2312"/>
          <w:b w:val="0"/>
          <w:bCs/>
          <w:color w:val="auto"/>
          <w:sz w:val="32"/>
          <w:szCs w:val="32"/>
          <w:lang w:val="en-US" w:eastAsia="zh-CN"/>
        </w:rPr>
        <w:t>100</w:t>
      </w:r>
      <w:r>
        <w:rPr>
          <w:rStyle w:val="14"/>
          <w:rFonts w:hint="eastAsia" w:ascii="仿宋_GB2312" w:hAnsi="仿宋_GB2312" w:eastAsia="仿宋_GB2312" w:cs="仿宋_GB2312"/>
          <w:b w:val="0"/>
          <w:bCs/>
          <w:color w:val="auto"/>
          <w:sz w:val="32"/>
          <w:szCs w:val="32"/>
        </w:rPr>
        <w:t>%</w:t>
      </w:r>
      <w:r>
        <w:rPr>
          <w:rStyle w:val="14"/>
          <w:rFonts w:hint="eastAsia" w:ascii="仿宋_GB2312" w:hAnsi="仿宋_GB2312" w:eastAsia="仿宋_GB2312" w:cs="仿宋_GB2312"/>
          <w:b w:val="0"/>
          <w:bCs/>
          <w:color w:val="auto"/>
          <w:sz w:val="32"/>
          <w:szCs w:val="32"/>
          <w:lang w:eastAsia="zh-CN"/>
        </w:rPr>
        <w:t>。</w:t>
      </w:r>
    </w:p>
    <w:p>
      <w:pPr>
        <w:pStyle w:val="3"/>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rPr>
      </w:pPr>
      <w:bookmarkStart w:id="72" w:name="_Toc15377214"/>
      <w:bookmarkStart w:id="73" w:name="_Toc7590"/>
      <w:bookmarkStart w:id="74" w:name="_Toc15396608"/>
      <w:r>
        <w:rPr>
          <w:rFonts w:hint="eastAsia" w:ascii="黑体" w:hAnsi="黑体" w:eastAsia="黑体" w:cs="黑体"/>
          <w:b w:val="0"/>
          <w:bCs w:val="0"/>
        </w:rPr>
        <w:t>六、一般公共预算财政拨款基本支出决算情况说明</w:t>
      </w:r>
      <w:bookmarkEnd w:id="72"/>
      <w:bookmarkEnd w:id="73"/>
      <w:bookmarkEnd w:id="74"/>
    </w:p>
    <w:p>
      <w:pPr>
        <w:pageBreakBefore w:val="0"/>
        <w:kinsoku/>
        <w:wordWrap/>
        <w:overflowPunct/>
        <w:topLinePunct w:val="0"/>
        <w:bidi w:val="0"/>
        <w:snapToGrid/>
        <w:spacing w:line="560" w:lineRule="exact"/>
        <w:ind w:firstLine="640" w:firstLineChars="200"/>
        <w:textAlignment w:val="auto"/>
        <w:rPr>
          <w:rStyle w:val="14"/>
          <w:rFonts w:hint="eastAsia" w:ascii="仿宋_GB2312" w:hAnsi="仿宋_GB2312" w:eastAsia="仿宋_GB2312" w:cs="仿宋_GB2312"/>
          <w:b w:val="0"/>
          <w:bCs/>
          <w:color w:val="auto"/>
          <w:sz w:val="32"/>
          <w:szCs w:val="32"/>
        </w:rPr>
      </w:pPr>
      <w:r>
        <w:rPr>
          <w:rStyle w:val="14"/>
          <w:rFonts w:hint="eastAsia" w:ascii="仿宋_GB2312" w:hAnsi="仿宋_GB2312" w:eastAsia="仿宋_GB2312" w:cs="仿宋_GB2312"/>
          <w:b w:val="0"/>
          <w:bCs/>
          <w:color w:val="auto"/>
          <w:sz w:val="32"/>
          <w:szCs w:val="32"/>
        </w:rPr>
        <w:t>2019年一般公共预算财政拨款基本支出</w:t>
      </w:r>
      <w:r>
        <w:rPr>
          <w:rStyle w:val="14"/>
          <w:rFonts w:hint="eastAsia" w:ascii="仿宋_GB2312" w:hAnsi="仿宋_GB2312" w:eastAsia="仿宋_GB2312" w:cs="仿宋_GB2312"/>
          <w:b w:val="0"/>
          <w:bCs/>
          <w:color w:val="auto"/>
          <w:sz w:val="32"/>
          <w:szCs w:val="32"/>
          <w:lang w:val="en-US" w:eastAsia="zh-CN"/>
        </w:rPr>
        <w:t>384.84</w:t>
      </w:r>
      <w:r>
        <w:rPr>
          <w:rStyle w:val="14"/>
          <w:rFonts w:hint="eastAsia" w:ascii="仿宋_GB2312" w:hAnsi="仿宋_GB2312" w:eastAsia="仿宋_GB2312" w:cs="仿宋_GB2312"/>
          <w:b w:val="0"/>
          <w:bCs/>
          <w:color w:val="auto"/>
          <w:sz w:val="32"/>
          <w:szCs w:val="32"/>
        </w:rPr>
        <w:t>万元，其中：</w:t>
      </w:r>
    </w:p>
    <w:p>
      <w:pPr>
        <w:pageBreakBefore w:val="0"/>
        <w:kinsoku/>
        <w:wordWrap/>
        <w:overflowPunct/>
        <w:topLinePunct w:val="0"/>
        <w:bidi w:val="0"/>
        <w:snapToGrid/>
        <w:spacing w:line="560" w:lineRule="exact"/>
        <w:ind w:firstLine="640" w:firstLineChars="200"/>
        <w:textAlignment w:val="auto"/>
        <w:rPr>
          <w:rStyle w:val="14"/>
          <w:rFonts w:hint="eastAsia" w:ascii="仿宋_GB2312" w:hAnsi="仿宋_GB2312" w:eastAsia="仿宋_GB2312" w:cs="仿宋_GB2312"/>
          <w:b w:val="0"/>
          <w:bCs/>
          <w:color w:val="auto"/>
          <w:sz w:val="32"/>
          <w:szCs w:val="32"/>
        </w:rPr>
      </w:pPr>
      <w:r>
        <w:rPr>
          <w:rStyle w:val="14"/>
          <w:rFonts w:hint="eastAsia" w:ascii="仿宋_GB2312" w:hAnsi="仿宋_GB2312" w:eastAsia="仿宋_GB2312" w:cs="仿宋_GB2312"/>
          <w:b w:val="0"/>
          <w:bCs/>
          <w:color w:val="auto"/>
          <w:sz w:val="32"/>
          <w:szCs w:val="32"/>
        </w:rPr>
        <w:t>人员经费</w:t>
      </w:r>
      <w:r>
        <w:rPr>
          <w:rStyle w:val="14"/>
          <w:rFonts w:hint="eastAsia" w:ascii="仿宋_GB2312" w:hAnsi="仿宋_GB2312" w:eastAsia="仿宋_GB2312" w:cs="仿宋_GB2312"/>
          <w:b w:val="0"/>
          <w:bCs/>
          <w:color w:val="auto"/>
          <w:sz w:val="32"/>
          <w:szCs w:val="32"/>
          <w:lang w:val="en-US" w:eastAsia="zh-CN"/>
        </w:rPr>
        <w:t>354.79</w:t>
      </w:r>
      <w:r>
        <w:rPr>
          <w:rStyle w:val="14"/>
          <w:rFonts w:hint="eastAsia" w:ascii="仿宋_GB2312" w:hAnsi="仿宋_GB2312" w:eastAsia="仿宋_GB2312" w:cs="仿宋_GB2312"/>
          <w:b w:val="0"/>
          <w:bCs/>
          <w:color w:val="auto"/>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Style w:val="14"/>
          <w:rFonts w:hint="eastAsia" w:ascii="仿宋_GB2312" w:hAnsi="仿宋_GB2312" w:eastAsia="仿宋_GB2312" w:cs="仿宋_GB2312"/>
          <w:b w:val="0"/>
          <w:bCs/>
          <w:color w:val="auto"/>
          <w:sz w:val="32"/>
          <w:szCs w:val="32"/>
        </w:rPr>
        <w:br w:type="textWrapping"/>
      </w:r>
      <w:r>
        <w:rPr>
          <w:rStyle w:val="14"/>
          <w:rFonts w:hint="eastAsia" w:ascii="仿宋_GB2312" w:hAnsi="仿宋_GB2312" w:eastAsia="仿宋_GB2312" w:cs="仿宋_GB2312"/>
          <w:b w:val="0"/>
          <w:bCs/>
          <w:color w:val="auto"/>
          <w:sz w:val="32"/>
          <w:szCs w:val="32"/>
        </w:rPr>
        <w:t>　　日常公用经费</w:t>
      </w:r>
      <w:r>
        <w:rPr>
          <w:rStyle w:val="14"/>
          <w:rFonts w:hint="eastAsia" w:ascii="仿宋_GB2312" w:hAnsi="仿宋_GB2312" w:eastAsia="仿宋_GB2312" w:cs="仿宋_GB2312"/>
          <w:b w:val="0"/>
          <w:bCs/>
          <w:color w:val="auto"/>
          <w:sz w:val="32"/>
          <w:szCs w:val="32"/>
          <w:lang w:val="en-US" w:eastAsia="zh-CN"/>
        </w:rPr>
        <w:t>30.05</w:t>
      </w:r>
      <w:r>
        <w:rPr>
          <w:rStyle w:val="14"/>
          <w:rFonts w:hint="eastAsia" w:ascii="仿宋_GB2312" w:hAnsi="仿宋_GB2312" w:eastAsia="仿宋_GB2312" w:cs="仿宋_GB2312"/>
          <w:b w:val="0"/>
          <w:bCs/>
          <w:color w:val="auto"/>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rPr>
      </w:pPr>
      <w:bookmarkStart w:id="75" w:name="_Toc1919"/>
      <w:bookmarkStart w:id="76" w:name="_Toc15377215"/>
      <w:bookmarkStart w:id="77" w:name="_Toc15396609"/>
      <w:r>
        <w:rPr>
          <w:rFonts w:hint="eastAsia" w:ascii="黑体" w:hAnsi="黑体" w:eastAsia="黑体" w:cs="黑体"/>
          <w:b w:val="0"/>
          <w:bCs w:val="0"/>
        </w:rPr>
        <w:t>七、“三公”经费财政拨款支出决算情况说明</w:t>
      </w:r>
      <w:bookmarkEnd w:id="75"/>
      <w:bookmarkEnd w:id="76"/>
      <w:bookmarkEnd w:id="77"/>
    </w:p>
    <w:p>
      <w:pPr>
        <w:pStyle w:val="4"/>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楷体" w:hAnsi="楷体" w:eastAsia="楷体" w:cs="楷体"/>
          <w:lang w:val="en-US" w:eastAsia="zh-CN"/>
        </w:rPr>
      </w:pPr>
      <w:bookmarkStart w:id="78" w:name="_Toc15377216"/>
      <w:bookmarkStart w:id="79" w:name="_Toc7973"/>
      <w:r>
        <w:rPr>
          <w:rFonts w:hint="eastAsia" w:ascii="楷体" w:hAnsi="楷体" w:eastAsia="楷体" w:cs="楷体"/>
        </w:rPr>
        <w:t>（一）“三公”经费财政拨款支出决算总体情况说明</w:t>
      </w:r>
      <w:bookmarkEnd w:id="78"/>
      <w:r>
        <w:rPr>
          <w:rFonts w:hint="eastAsia" w:ascii="楷体" w:hAnsi="楷体" w:eastAsia="楷体" w:cs="楷体"/>
          <w:lang w:eastAsia="zh-CN"/>
        </w:rPr>
        <w:t>。</w:t>
      </w:r>
      <w:bookmarkEnd w:id="79"/>
    </w:p>
    <w:p>
      <w:pPr>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2019年“三公”经费财政拨款支出决算为</w:t>
      </w:r>
      <w:r>
        <w:rPr>
          <w:rFonts w:hint="eastAsia" w:ascii="仿宋_GB2312" w:hAnsi="仿宋_GB2312" w:eastAsia="仿宋_GB2312" w:cs="仿宋_GB2312"/>
          <w:color w:val="auto"/>
          <w:sz w:val="32"/>
          <w:szCs w:val="32"/>
          <w:lang w:val="en-US" w:eastAsia="zh-CN"/>
        </w:rPr>
        <w:t>12.60</w:t>
      </w:r>
      <w:r>
        <w:rPr>
          <w:rFonts w:hint="eastAsia" w:ascii="仿宋_GB2312" w:hAnsi="仿宋_GB2312" w:eastAsia="仿宋_GB2312" w:cs="仿宋_GB2312"/>
          <w:color w:val="auto"/>
          <w:sz w:val="32"/>
          <w:szCs w:val="32"/>
        </w:rPr>
        <w:t>万元，完成预算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4"/>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楷体" w:hAnsi="楷体" w:eastAsia="楷体" w:cs="楷体"/>
          <w:lang w:eastAsia="zh-CN"/>
        </w:rPr>
      </w:pPr>
      <w:bookmarkStart w:id="80" w:name="_Toc15377217"/>
      <w:bookmarkStart w:id="81" w:name="_Toc8978"/>
      <w:r>
        <w:rPr>
          <w:rFonts w:hint="eastAsia" w:ascii="楷体" w:hAnsi="楷体" w:eastAsia="楷体" w:cs="楷体"/>
        </w:rPr>
        <w:t>（二）“三公”经费财政拨款支出决算具体情况说明</w:t>
      </w:r>
      <w:bookmarkEnd w:id="80"/>
      <w:r>
        <w:rPr>
          <w:rFonts w:hint="eastAsia" w:ascii="楷体" w:hAnsi="楷体" w:eastAsia="楷体" w:cs="楷体"/>
          <w:lang w:eastAsia="zh-CN"/>
        </w:rPr>
        <w:t>。</w:t>
      </w:r>
      <w:bookmarkEnd w:id="81"/>
    </w:p>
    <w:p>
      <w:pPr>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2019年“三公”经费财政拨款支出决算中，因公出国（境）费支出决算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%；公务用车购置及运行维护费支出决算</w:t>
      </w:r>
      <w:r>
        <w:rPr>
          <w:rFonts w:hint="eastAsia" w:ascii="仿宋_GB2312" w:hAnsi="仿宋_GB2312" w:eastAsia="仿宋_GB2312" w:cs="仿宋_GB2312"/>
          <w:color w:val="auto"/>
          <w:sz w:val="32"/>
          <w:szCs w:val="32"/>
          <w:lang w:val="en-US" w:eastAsia="zh-CN"/>
        </w:rPr>
        <w:t>12.6</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%；公务接待费支出决算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%。具体情况如下：</w:t>
      </w:r>
    </w:p>
    <w:p>
      <w:pPr>
        <w:pageBreakBefore w:val="0"/>
        <w:kinsoku/>
        <w:wordWrap/>
        <w:overflowPunct/>
        <w:topLinePunct w:val="0"/>
        <w:bidi w:val="0"/>
        <w:snapToGrid/>
        <w:spacing w:line="560" w:lineRule="exact"/>
        <w:jc w:val="center"/>
        <w:textAlignment w:val="auto"/>
        <w:outlineLvl w:val="1"/>
        <w:rPr>
          <w:rFonts w:hint="eastAsia" w:asciiTheme="minorEastAsia" w:hAnsiTheme="minorEastAsia" w:eastAsiaTheme="minorEastAsia" w:cstheme="minorEastAsia"/>
          <w:b w:val="0"/>
          <w:bCs w:val="0"/>
          <w:color w:val="auto"/>
          <w:sz w:val="24"/>
          <w:szCs w:val="24"/>
          <w:lang w:val="en-US" w:eastAsia="zh-CN"/>
        </w:rPr>
      </w:pPr>
      <w:bookmarkStart w:id="82" w:name="_Toc20897"/>
      <w:bookmarkStart w:id="83" w:name="_Toc5978"/>
      <w:r>
        <w:rPr>
          <w:rFonts w:hint="eastAsia" w:ascii="仿宋" w:hAnsi="仿宋" w:eastAsia="仿宋"/>
          <w:color w:val="auto"/>
          <w:sz w:val="32"/>
          <w:szCs w:val="32"/>
          <w:lang w:eastAsia="zh-CN"/>
        </w:rPr>
        <w:drawing>
          <wp:anchor distT="0" distB="0" distL="114300" distR="114300" simplePos="0" relativeHeight="251669504" behindDoc="0" locked="0" layoutInCell="1" allowOverlap="1">
            <wp:simplePos x="0" y="0"/>
            <wp:positionH relativeFrom="page">
              <wp:posOffset>1231900</wp:posOffset>
            </wp:positionH>
            <wp:positionV relativeFrom="paragraph">
              <wp:posOffset>86995</wp:posOffset>
            </wp:positionV>
            <wp:extent cx="5080000" cy="3810000"/>
            <wp:effectExtent l="4445" t="4445" r="11430" b="508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heme="minorEastAsia" w:hAnsiTheme="minorEastAsia" w:eastAsiaTheme="minorEastAsia" w:cstheme="minorEastAsia"/>
          <w:b w:val="0"/>
          <w:bCs w:val="0"/>
          <w:color w:val="auto"/>
          <w:sz w:val="24"/>
          <w:szCs w:val="24"/>
        </w:rPr>
        <w:t>图7：“三公”经费财政拨款支出结构</w:t>
      </w:r>
      <w:r>
        <w:rPr>
          <w:rFonts w:hint="eastAsia" w:asciiTheme="minorEastAsia" w:hAnsiTheme="minorEastAsia" w:eastAsiaTheme="minorEastAsia" w:cstheme="minorEastAsia"/>
          <w:b w:val="0"/>
          <w:bCs w:val="0"/>
          <w:color w:val="auto"/>
          <w:sz w:val="24"/>
          <w:szCs w:val="24"/>
          <w:lang w:val="en-US" w:eastAsia="zh-CN"/>
        </w:rPr>
        <w:t>图</w:t>
      </w:r>
      <w:bookmarkEnd w:id="82"/>
      <w:bookmarkEnd w:id="83"/>
    </w:p>
    <w:p>
      <w:pPr>
        <w:pageBreakBefore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1.因公出国（境）经费支出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Style w:val="14"/>
          <w:rFonts w:hint="eastAsia" w:ascii="仿宋_GB2312" w:hAnsi="仿宋_GB2312" w:eastAsia="仿宋_GB2312" w:cs="仿宋_GB2312"/>
          <w:b w:val="0"/>
          <w:bCs/>
          <w:color w:val="auto"/>
          <w:sz w:val="32"/>
          <w:szCs w:val="32"/>
        </w:rPr>
        <w:t>完成预算</w:t>
      </w:r>
      <w:r>
        <w:rPr>
          <w:rStyle w:val="14"/>
          <w:rFonts w:hint="eastAsia" w:ascii="仿宋_GB2312" w:hAnsi="仿宋_GB2312" w:eastAsia="仿宋_GB2312" w:cs="仿宋_GB2312"/>
          <w:b w:val="0"/>
          <w:bCs/>
          <w:color w:val="auto"/>
          <w:sz w:val="32"/>
          <w:szCs w:val="32"/>
          <w:lang w:val="en-US" w:eastAsia="zh-CN"/>
        </w:rPr>
        <w:t>0</w:t>
      </w:r>
      <w:r>
        <w:rPr>
          <w:rStyle w:val="14"/>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color w:val="auto"/>
          <w:sz w:val="32"/>
          <w:szCs w:val="32"/>
        </w:rPr>
        <w:t>全年安排因公出国（境）团组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次，出国（境）</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人。因公出国（境）支出决算</w:t>
      </w:r>
      <w:r>
        <w:rPr>
          <w:rFonts w:hint="eastAsia" w:ascii="仿宋_GB2312" w:hAnsi="仿宋_GB2312" w:eastAsia="仿宋_GB2312" w:cs="仿宋_GB2312"/>
          <w:color w:val="auto"/>
          <w:sz w:val="32"/>
          <w:szCs w:val="32"/>
          <w:lang w:eastAsia="zh-CN"/>
        </w:rPr>
        <w:t>与</w:t>
      </w:r>
      <w:r>
        <w:rPr>
          <w:rFonts w:hint="eastAsia" w:ascii="仿宋_GB2312" w:hAnsi="仿宋_GB2312" w:eastAsia="仿宋_GB2312" w:cs="仿宋_GB2312"/>
          <w:color w:val="auto"/>
          <w:sz w:val="32"/>
          <w:szCs w:val="32"/>
        </w:rPr>
        <w:t>2018年</w:t>
      </w:r>
      <w:r>
        <w:rPr>
          <w:rFonts w:hint="eastAsia" w:ascii="仿宋_GB2312" w:hAnsi="仿宋_GB2312" w:eastAsia="仿宋_GB2312" w:cs="仿宋_GB2312"/>
          <w:color w:val="auto"/>
          <w:sz w:val="32"/>
          <w:szCs w:val="32"/>
          <w:lang w:eastAsia="zh-CN"/>
        </w:rPr>
        <w:t>持平。</w:t>
      </w:r>
    </w:p>
    <w:p>
      <w:pPr>
        <w:pageBreakBefore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rPr>
        <w:t>2.公务用车购置及运行维护费支出</w:t>
      </w:r>
      <w:r>
        <w:rPr>
          <w:rFonts w:hint="eastAsia" w:ascii="仿宋_GB2312" w:hAnsi="仿宋_GB2312" w:eastAsia="仿宋_GB2312" w:cs="仿宋_GB2312"/>
          <w:color w:val="auto"/>
          <w:sz w:val="32"/>
          <w:szCs w:val="32"/>
          <w:lang w:val="en-US" w:eastAsia="zh-CN"/>
        </w:rPr>
        <w:t>12.6</w:t>
      </w:r>
      <w:r>
        <w:rPr>
          <w:rFonts w:hint="eastAsia" w:ascii="仿宋_GB2312" w:hAnsi="仿宋_GB2312" w:eastAsia="仿宋_GB2312" w:cs="仿宋_GB2312"/>
          <w:color w:val="auto"/>
          <w:sz w:val="32"/>
          <w:szCs w:val="32"/>
        </w:rPr>
        <w:t>万元,</w:t>
      </w:r>
      <w:r>
        <w:rPr>
          <w:rStyle w:val="14"/>
          <w:rFonts w:hint="eastAsia" w:ascii="仿宋_GB2312" w:hAnsi="仿宋_GB2312" w:eastAsia="仿宋_GB2312" w:cs="仿宋_GB2312"/>
          <w:b w:val="0"/>
          <w:bCs/>
          <w:color w:val="auto"/>
          <w:sz w:val="32"/>
          <w:szCs w:val="32"/>
        </w:rPr>
        <w:t>完成预算</w:t>
      </w:r>
      <w:r>
        <w:rPr>
          <w:rStyle w:val="14"/>
          <w:rFonts w:hint="eastAsia" w:ascii="仿宋_GB2312" w:hAnsi="仿宋_GB2312" w:eastAsia="仿宋_GB2312" w:cs="仿宋_GB2312"/>
          <w:b w:val="0"/>
          <w:bCs/>
          <w:color w:val="auto"/>
          <w:sz w:val="32"/>
          <w:szCs w:val="32"/>
          <w:lang w:val="en-US" w:eastAsia="zh-CN"/>
        </w:rPr>
        <w:t>100</w:t>
      </w:r>
      <w:r>
        <w:rPr>
          <w:rStyle w:val="14"/>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color w:val="auto"/>
          <w:sz w:val="32"/>
          <w:szCs w:val="32"/>
        </w:rPr>
        <w:t>公务用车购置及运行维护费支出决算比2018年增加</w:t>
      </w:r>
      <w:r>
        <w:rPr>
          <w:rFonts w:hint="eastAsia" w:ascii="仿宋_GB2312" w:hAnsi="仿宋_GB2312" w:eastAsia="仿宋_GB2312" w:cs="仿宋_GB2312"/>
          <w:color w:val="auto"/>
          <w:sz w:val="32"/>
          <w:szCs w:val="32"/>
          <w:lang w:val="en-US" w:eastAsia="zh-CN"/>
        </w:rPr>
        <w:t>4.26</w:t>
      </w:r>
      <w:r>
        <w:rPr>
          <w:rFonts w:hint="eastAsia" w:ascii="仿宋_GB2312" w:hAnsi="仿宋_GB2312" w:eastAsia="仿宋_GB2312" w:cs="仿宋_GB2312"/>
          <w:color w:val="auto"/>
          <w:sz w:val="32"/>
          <w:szCs w:val="32"/>
        </w:rPr>
        <w:t>万元，增长</w:t>
      </w:r>
      <w:r>
        <w:rPr>
          <w:rFonts w:hint="eastAsia" w:ascii="仿宋_GB2312" w:hAnsi="仿宋_GB2312" w:eastAsia="仿宋_GB2312" w:cs="仿宋_GB2312"/>
          <w:color w:val="auto"/>
          <w:sz w:val="32"/>
          <w:szCs w:val="32"/>
          <w:lang w:val="en-US" w:eastAsia="zh-CN"/>
        </w:rPr>
        <w:t>51</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公务车</w:t>
      </w:r>
      <w:r>
        <w:rPr>
          <w:rFonts w:hint="eastAsia" w:ascii="仿宋_GB2312" w:hAnsi="仿宋_GB2312" w:eastAsia="仿宋_GB2312" w:cs="仿宋_GB2312"/>
          <w:color w:val="auto"/>
          <w:sz w:val="32"/>
          <w:szCs w:val="32"/>
          <w:lang w:val="en-US" w:eastAsia="zh-CN"/>
        </w:rPr>
        <w:t>2019年经过一次大修，修理费用增加。</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b/>
          <w:color w:val="auto"/>
          <w:sz w:val="32"/>
          <w:szCs w:val="32"/>
        </w:rPr>
        <w:t>公务用车购置支出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万元。全年按规定更新购置公务用车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辆，金额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元。截至2019年12月底，单位共有公务用车</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辆，其中：应急保障用车</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zCs w:val="32"/>
          <w:lang w:eastAsia="zh-CN"/>
        </w:rPr>
        <w:t>。</w:t>
      </w:r>
    </w:p>
    <w:p>
      <w:pPr>
        <w:pageBreakBefore w:val="0"/>
        <w:kinsoku/>
        <w:wordWrap/>
        <w:overflowPunct/>
        <w:topLinePunct w:val="0"/>
        <w:bidi w:val="0"/>
        <w:snapToGrid/>
        <w:spacing w:line="56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公务用车运行维护费支出</w:t>
      </w:r>
      <w:r>
        <w:rPr>
          <w:rFonts w:hint="eastAsia" w:ascii="仿宋_GB2312" w:hAnsi="仿宋_GB2312" w:eastAsia="仿宋_GB2312" w:cs="仿宋_GB2312"/>
          <w:color w:val="auto"/>
          <w:sz w:val="32"/>
          <w:szCs w:val="32"/>
          <w:lang w:val="en-US" w:eastAsia="zh-CN"/>
        </w:rPr>
        <w:t>12.6</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lang w:eastAsia="zh-CN"/>
        </w:rPr>
        <w:t>水资源、渔政、沙石、扶贫下乡</w:t>
      </w:r>
      <w:r>
        <w:rPr>
          <w:rFonts w:hint="eastAsia" w:ascii="仿宋_GB2312" w:hAnsi="仿宋_GB2312" w:eastAsia="仿宋_GB2312" w:cs="仿宋_GB2312"/>
          <w:color w:val="auto"/>
          <w:sz w:val="32"/>
          <w:szCs w:val="32"/>
        </w:rPr>
        <w:t>（具体工作）等所需的公务用车燃料费、维修费、过路过桥费、保险费等支出。</w:t>
      </w:r>
    </w:p>
    <w:p>
      <w:pPr>
        <w:pageBreakBefore w:val="0"/>
        <w:kinsoku/>
        <w:wordWrap/>
        <w:overflowPunct/>
        <w:topLinePunct w:val="0"/>
        <w:bidi w:val="0"/>
        <w:snapToGrid/>
        <w:spacing w:line="560" w:lineRule="exact"/>
        <w:ind w:firstLine="640"/>
        <w:textAlignment w:val="auto"/>
        <w:rPr>
          <w:rFonts w:ascii="黑体" w:eastAsia="黑体"/>
          <w:color w:val="auto"/>
          <w:sz w:val="32"/>
          <w:szCs w:val="32"/>
        </w:rPr>
      </w:pPr>
      <w:r>
        <w:rPr>
          <w:rFonts w:hint="eastAsia" w:ascii="仿宋_GB2312" w:hAnsi="仿宋_GB2312" w:eastAsia="仿宋_GB2312" w:cs="仿宋_GB2312"/>
          <w:b/>
          <w:color w:val="auto"/>
          <w:sz w:val="32"/>
          <w:szCs w:val="32"/>
        </w:rPr>
        <w:t>3.公务接待费支出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Style w:val="14"/>
          <w:rFonts w:hint="eastAsia" w:ascii="仿宋_GB2312" w:hAnsi="仿宋_GB2312" w:eastAsia="仿宋_GB2312" w:cs="仿宋_GB2312"/>
          <w:b w:val="0"/>
          <w:bCs/>
          <w:color w:val="auto"/>
          <w:sz w:val="32"/>
          <w:szCs w:val="32"/>
        </w:rPr>
        <w:t>完成预算</w:t>
      </w:r>
      <w:r>
        <w:rPr>
          <w:rStyle w:val="14"/>
          <w:rFonts w:hint="eastAsia" w:ascii="仿宋_GB2312" w:hAnsi="仿宋_GB2312" w:eastAsia="仿宋_GB2312" w:cs="仿宋_GB2312"/>
          <w:b w:val="0"/>
          <w:bCs/>
          <w:color w:val="auto"/>
          <w:sz w:val="32"/>
          <w:szCs w:val="32"/>
          <w:lang w:val="en-US" w:eastAsia="zh-CN"/>
        </w:rPr>
        <w:t>0</w:t>
      </w:r>
      <w:r>
        <w:rPr>
          <w:rStyle w:val="14"/>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color w:val="auto"/>
          <w:sz w:val="32"/>
          <w:szCs w:val="32"/>
        </w:rPr>
        <w:t>公务接待费支出决算比2018年减少</w:t>
      </w:r>
      <w:r>
        <w:rPr>
          <w:rFonts w:hint="eastAsia" w:ascii="仿宋_GB2312" w:hAnsi="仿宋_GB2312" w:eastAsia="仿宋_GB2312" w:cs="仿宋_GB2312"/>
          <w:color w:val="auto"/>
          <w:sz w:val="32"/>
          <w:szCs w:val="32"/>
          <w:lang w:val="en-US" w:eastAsia="zh-CN"/>
        </w:rPr>
        <w:t>0.3</w:t>
      </w:r>
      <w:r>
        <w:rPr>
          <w:rFonts w:hint="eastAsia" w:ascii="仿宋_GB2312" w:hAnsi="仿宋_GB2312" w:eastAsia="仿宋_GB2312" w:cs="仿宋_GB2312"/>
          <w:color w:val="auto"/>
          <w:sz w:val="32"/>
          <w:szCs w:val="32"/>
        </w:rPr>
        <w:t>万元。主要原因</w:t>
      </w:r>
      <w:r>
        <w:rPr>
          <w:rFonts w:hint="eastAsia" w:ascii="仿宋_GB2312" w:hAnsi="仿宋_GB2312" w:eastAsia="仿宋_GB2312" w:cs="仿宋_GB2312"/>
          <w:color w:val="auto"/>
          <w:sz w:val="32"/>
          <w:szCs w:val="32"/>
          <w:lang w:eastAsia="zh-CN"/>
        </w:rPr>
        <w:t>是厉行节约</w:t>
      </w:r>
      <w:r>
        <w:rPr>
          <w:rFonts w:hint="eastAsia" w:ascii="仿宋_GB2312" w:hAnsi="仿宋_GB2312" w:eastAsia="仿宋_GB2312" w:cs="仿宋_GB2312"/>
          <w:color w:val="auto"/>
          <w:sz w:val="32"/>
          <w:szCs w:val="32"/>
          <w:lang w:val="en-US" w:eastAsia="zh-CN"/>
        </w:rPr>
        <w:t>。</w:t>
      </w:r>
      <w:bookmarkStart w:id="84" w:name="_Toc15377218"/>
      <w:bookmarkStart w:id="85" w:name="_Toc15396610"/>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rPr>
      </w:pPr>
      <w:bookmarkStart w:id="86" w:name="_Toc22598"/>
      <w:r>
        <w:rPr>
          <w:rFonts w:hint="eastAsia" w:ascii="黑体" w:hAnsi="黑体" w:eastAsia="黑体" w:cs="黑体"/>
          <w:b w:val="0"/>
          <w:bCs w:val="0"/>
        </w:rPr>
        <w:t>八、政府性基金预算支出决算情况说明</w:t>
      </w:r>
      <w:bookmarkEnd w:id="84"/>
      <w:bookmarkEnd w:id="85"/>
      <w:bookmarkEnd w:id="86"/>
    </w:p>
    <w:p>
      <w:pPr>
        <w:pageBreakBefore w:val="0"/>
        <w:kinsoku/>
        <w:wordWrap/>
        <w:overflowPunct/>
        <w:topLinePunct w:val="0"/>
        <w:bidi w:val="0"/>
        <w:snapToGrid/>
        <w:spacing w:line="560" w:lineRule="exact"/>
        <w:ind w:firstLine="640"/>
        <w:textAlignment w:val="auto"/>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9年政府性基金预算拨款支出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rPr>
      </w:pPr>
      <w:bookmarkStart w:id="87" w:name="_Toc15377219"/>
      <w:bookmarkStart w:id="88" w:name="_Toc15396611"/>
      <w:bookmarkStart w:id="89" w:name="_Toc8808"/>
      <w:r>
        <w:rPr>
          <w:rFonts w:hint="eastAsia" w:ascii="黑体" w:hAnsi="黑体" w:eastAsia="黑体" w:cs="黑体"/>
          <w:b w:val="0"/>
          <w:bCs w:val="0"/>
          <w:lang w:val="en-US" w:eastAsia="zh-CN"/>
        </w:rPr>
        <w:t>九、</w:t>
      </w:r>
      <w:r>
        <w:rPr>
          <w:rFonts w:hint="eastAsia" w:ascii="黑体" w:hAnsi="黑体" w:eastAsia="黑体" w:cs="黑体"/>
          <w:b w:val="0"/>
          <w:bCs w:val="0"/>
        </w:rPr>
        <w:t>国有资本经营预算支出决算情况说明</w:t>
      </w:r>
      <w:bookmarkEnd w:id="87"/>
      <w:bookmarkEnd w:id="88"/>
      <w:bookmarkEnd w:id="89"/>
    </w:p>
    <w:p>
      <w:pPr>
        <w:pageBreakBefore w:val="0"/>
        <w:kinsoku/>
        <w:wordWrap/>
        <w:overflowPunct/>
        <w:topLinePunct w:val="0"/>
        <w:bidi w:val="0"/>
        <w:snapToGrid/>
        <w:spacing w:line="560" w:lineRule="exact"/>
        <w:ind w:firstLine="640"/>
        <w:textAlignment w:val="auto"/>
        <w:rPr>
          <w:rFonts w:ascii="方正小标宋简体" w:hAnsi="方正小标宋简体" w:eastAsia="方正小标宋简体" w:cs="方正小标宋简体"/>
          <w:color w:val="auto"/>
          <w:sz w:val="44"/>
          <w:szCs w:val="44"/>
        </w:rPr>
      </w:pPr>
      <w:r>
        <w:rPr>
          <w:rFonts w:ascii="仿宋_GB2312" w:eastAsia="仿宋_GB2312"/>
          <w:color w:val="auto"/>
          <w:sz w:val="32"/>
          <w:szCs w:val="32"/>
        </w:rPr>
        <w:t>201</w:t>
      </w:r>
      <w:r>
        <w:rPr>
          <w:rFonts w:hint="eastAsia" w:ascii="仿宋_GB2312" w:eastAsia="仿宋_GB2312"/>
          <w:color w:val="auto"/>
          <w:sz w:val="32"/>
          <w:szCs w:val="32"/>
        </w:rPr>
        <w:t>9年国有资本经营预算拨款支出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en-US" w:eastAsia="zh-CN"/>
        </w:rPr>
      </w:pPr>
      <w:bookmarkStart w:id="90" w:name="_Toc15396612"/>
      <w:bookmarkStart w:id="91" w:name="_Toc10947"/>
      <w:bookmarkStart w:id="92" w:name="_Toc15377221"/>
      <w:r>
        <w:rPr>
          <w:rFonts w:hint="eastAsia" w:ascii="黑体" w:hAnsi="黑体" w:eastAsia="黑体" w:cs="黑体"/>
          <w:b w:val="0"/>
          <w:bCs w:val="0"/>
          <w:lang w:val="en-US" w:eastAsia="zh-CN"/>
        </w:rPr>
        <w:t>十、其他重要事项的情况说明</w:t>
      </w:r>
      <w:bookmarkEnd w:id="90"/>
      <w:bookmarkEnd w:id="91"/>
      <w:bookmarkEnd w:id="92"/>
    </w:p>
    <w:p>
      <w:pPr>
        <w:pStyle w:val="4"/>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楷体" w:hAnsi="楷体" w:eastAsia="楷体" w:cs="楷体"/>
          <w:lang w:eastAsia="zh-CN"/>
        </w:rPr>
      </w:pPr>
      <w:bookmarkStart w:id="93" w:name="_Toc15377222"/>
      <w:bookmarkStart w:id="94" w:name="_Toc29981"/>
      <w:r>
        <w:rPr>
          <w:rFonts w:hint="eastAsia" w:ascii="楷体" w:hAnsi="楷体" w:eastAsia="楷体" w:cs="楷体"/>
        </w:rPr>
        <w:t>（一）机关运行经费支出情况</w:t>
      </w:r>
      <w:bookmarkEnd w:id="93"/>
      <w:r>
        <w:rPr>
          <w:rFonts w:hint="eastAsia" w:ascii="楷体" w:hAnsi="楷体" w:eastAsia="楷体" w:cs="楷体"/>
          <w:lang w:eastAsia="zh-CN"/>
        </w:rPr>
        <w:t>。</w:t>
      </w:r>
      <w:bookmarkEnd w:id="94"/>
    </w:p>
    <w:p>
      <w:pPr>
        <w:pageBreakBefore w:val="0"/>
        <w:kinsoku/>
        <w:wordWrap/>
        <w:overflowPunct/>
        <w:topLinePunct w:val="0"/>
        <w:bidi w:val="0"/>
        <w:snapToGrid/>
        <w:spacing w:line="560" w:lineRule="exact"/>
        <w:ind w:firstLine="640" w:firstLineChars="200"/>
        <w:textAlignment w:val="auto"/>
        <w:rPr>
          <w:rFonts w:hint="eastAsia" w:ascii="仿宋_GB2312" w:eastAsia="仿宋_GB2312"/>
          <w:color w:val="auto"/>
          <w:sz w:val="32"/>
          <w:szCs w:val="32"/>
          <w:lang w:eastAsia="zh-CN"/>
        </w:rPr>
      </w:pPr>
      <w:r>
        <w:rPr>
          <w:rFonts w:ascii="仿宋_GB2312" w:eastAsia="仿宋_GB2312"/>
          <w:color w:val="auto"/>
          <w:sz w:val="32"/>
          <w:szCs w:val="32"/>
        </w:rPr>
        <w:t>201</w:t>
      </w:r>
      <w:r>
        <w:rPr>
          <w:rFonts w:hint="eastAsia" w:ascii="仿宋_GB2312" w:eastAsia="仿宋_GB2312"/>
          <w:color w:val="auto"/>
          <w:sz w:val="32"/>
          <w:szCs w:val="32"/>
        </w:rPr>
        <w:t>9年，</w:t>
      </w:r>
      <w:r>
        <w:rPr>
          <w:rFonts w:hint="eastAsia" w:ascii="仿宋_GB2312" w:eastAsia="仿宋_GB2312"/>
          <w:color w:val="auto"/>
          <w:sz w:val="32"/>
          <w:szCs w:val="32"/>
          <w:lang w:eastAsia="zh-CN"/>
        </w:rPr>
        <w:t>红原县水务局</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30.04</w:t>
      </w:r>
      <w:r>
        <w:rPr>
          <w:rFonts w:hint="eastAsia" w:ascii="仿宋_GB2312" w:eastAsia="仿宋_GB2312"/>
          <w:color w:val="auto"/>
          <w:sz w:val="32"/>
          <w:szCs w:val="32"/>
        </w:rPr>
        <w:t>万元，比</w:t>
      </w:r>
      <w:r>
        <w:rPr>
          <w:rFonts w:ascii="仿宋_GB2312" w:eastAsia="仿宋_GB2312"/>
          <w:color w:val="auto"/>
          <w:sz w:val="32"/>
          <w:szCs w:val="32"/>
        </w:rPr>
        <w:t>201</w:t>
      </w:r>
      <w:r>
        <w:rPr>
          <w:rFonts w:hint="eastAsia" w:ascii="仿宋_GB2312" w:eastAsia="仿宋_GB2312"/>
          <w:color w:val="auto"/>
          <w:sz w:val="32"/>
          <w:szCs w:val="32"/>
        </w:rPr>
        <w:t>8年减少</w:t>
      </w:r>
      <w:r>
        <w:rPr>
          <w:rFonts w:hint="eastAsia" w:ascii="仿宋_GB2312" w:eastAsia="仿宋_GB2312"/>
          <w:color w:val="auto"/>
          <w:sz w:val="32"/>
          <w:szCs w:val="32"/>
          <w:lang w:val="en-US" w:eastAsia="zh-CN"/>
        </w:rPr>
        <w:t>2.15</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6.7</w:t>
      </w:r>
      <w:r>
        <w:rPr>
          <w:rFonts w:ascii="仿宋_GB2312" w:eastAsia="仿宋_GB2312"/>
          <w:color w:val="auto"/>
          <w:sz w:val="32"/>
          <w:szCs w:val="32"/>
        </w:rPr>
        <w:t>%</w:t>
      </w:r>
      <w:r>
        <w:rPr>
          <w:rFonts w:hint="eastAsia" w:ascii="仿宋_GB2312" w:eastAsia="仿宋_GB2312"/>
          <w:color w:val="auto"/>
          <w:sz w:val="32"/>
          <w:szCs w:val="32"/>
        </w:rPr>
        <w:t>（或与</w:t>
      </w:r>
      <w:r>
        <w:rPr>
          <w:rFonts w:ascii="仿宋_GB2312" w:eastAsia="仿宋_GB2312"/>
          <w:color w:val="auto"/>
          <w:sz w:val="32"/>
          <w:szCs w:val="32"/>
        </w:rPr>
        <w:t>201</w:t>
      </w:r>
      <w:r>
        <w:rPr>
          <w:rFonts w:hint="eastAsia" w:ascii="仿宋_GB2312" w:eastAsia="仿宋_GB2312"/>
          <w:color w:val="auto"/>
          <w:sz w:val="32"/>
          <w:szCs w:val="32"/>
        </w:rPr>
        <w:t>8年决算数持平）。主要原因是</w:t>
      </w:r>
      <w:r>
        <w:rPr>
          <w:rFonts w:hint="eastAsia" w:ascii="仿宋_GB2312" w:eastAsia="仿宋_GB2312"/>
          <w:color w:val="auto"/>
          <w:sz w:val="32"/>
          <w:szCs w:val="32"/>
          <w:lang w:eastAsia="zh-CN"/>
        </w:rPr>
        <w:t>人员变动。</w:t>
      </w:r>
    </w:p>
    <w:p>
      <w:pPr>
        <w:pStyle w:val="4"/>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楷体" w:hAnsi="楷体" w:eastAsia="楷体" w:cs="楷体"/>
          <w:lang w:eastAsia="zh-CN"/>
        </w:rPr>
      </w:pPr>
      <w:bookmarkStart w:id="95" w:name="_Toc15377223"/>
      <w:bookmarkStart w:id="96" w:name="_Toc25794"/>
      <w:r>
        <w:rPr>
          <w:rFonts w:hint="eastAsia" w:ascii="楷体" w:hAnsi="楷体" w:eastAsia="楷体" w:cs="楷体"/>
        </w:rPr>
        <w:t>（二）政府采购支出情况</w:t>
      </w:r>
      <w:bookmarkEnd w:id="95"/>
      <w:r>
        <w:rPr>
          <w:rFonts w:hint="eastAsia" w:ascii="楷体" w:hAnsi="楷体" w:eastAsia="楷体" w:cs="楷体"/>
          <w:lang w:eastAsia="zh-CN"/>
        </w:rPr>
        <w:t>。</w:t>
      </w:r>
      <w:bookmarkEnd w:id="96"/>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2019年，</w:t>
      </w:r>
      <w:r>
        <w:rPr>
          <w:rFonts w:hint="eastAsia" w:ascii="仿宋_GB2312" w:hAnsi="仿宋_GB2312" w:eastAsia="仿宋_GB2312" w:cs="仿宋_GB2312"/>
          <w:color w:val="auto"/>
          <w:sz w:val="32"/>
          <w:szCs w:val="32"/>
          <w:lang w:eastAsia="zh-CN"/>
        </w:rPr>
        <w:t>红原县水务局</w:t>
      </w:r>
      <w:r>
        <w:rPr>
          <w:rFonts w:hint="eastAsia" w:ascii="仿宋_GB2312" w:hAnsi="仿宋_GB2312" w:eastAsia="仿宋_GB2312" w:cs="仿宋_GB2312"/>
          <w:color w:val="auto"/>
          <w:sz w:val="32"/>
          <w:szCs w:val="32"/>
        </w:rPr>
        <w:t>政府采购支出总额</w:t>
      </w:r>
      <w:r>
        <w:rPr>
          <w:rFonts w:hint="eastAsia" w:ascii="仿宋_GB2312" w:hAnsi="仿宋_GB2312" w:eastAsia="仿宋_GB2312" w:cs="仿宋_GB2312"/>
          <w:color w:val="auto"/>
          <w:sz w:val="32"/>
          <w:szCs w:val="32"/>
          <w:lang w:val="en-US" w:eastAsia="zh-CN"/>
        </w:rPr>
        <w:t>167.7</w:t>
      </w:r>
      <w:r>
        <w:rPr>
          <w:rFonts w:hint="eastAsia" w:ascii="仿宋_GB2312" w:hAnsi="仿宋_GB2312" w:eastAsia="仿宋_GB2312" w:cs="仿宋_GB2312"/>
          <w:color w:val="auto"/>
          <w:sz w:val="32"/>
          <w:szCs w:val="32"/>
        </w:rPr>
        <w:t>万元，其中：政府采购货物支出</w:t>
      </w:r>
      <w:r>
        <w:rPr>
          <w:rFonts w:hint="eastAsia" w:ascii="仿宋_GB2312" w:hAnsi="仿宋_GB2312" w:eastAsia="仿宋_GB2312" w:cs="仿宋_GB2312"/>
          <w:color w:val="auto"/>
          <w:sz w:val="32"/>
          <w:szCs w:val="32"/>
          <w:lang w:val="en-US" w:eastAsia="zh-CN"/>
        </w:rPr>
        <w:t>79.2</w:t>
      </w:r>
      <w:r>
        <w:rPr>
          <w:rFonts w:hint="eastAsia" w:ascii="仿宋_GB2312" w:hAnsi="仿宋_GB2312" w:eastAsia="仿宋_GB2312" w:cs="仿宋_GB2312"/>
          <w:color w:val="auto"/>
          <w:sz w:val="32"/>
          <w:szCs w:val="32"/>
        </w:rPr>
        <w:t>万元、政府采购工程支出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万元、政府采购服务支出</w:t>
      </w:r>
      <w:r>
        <w:rPr>
          <w:rFonts w:hint="eastAsia" w:ascii="仿宋_GB2312" w:hAnsi="仿宋_GB2312" w:eastAsia="仿宋_GB2312" w:cs="仿宋_GB2312"/>
          <w:color w:val="auto"/>
          <w:sz w:val="32"/>
          <w:szCs w:val="32"/>
          <w:lang w:val="en-US" w:eastAsia="zh-CN"/>
        </w:rPr>
        <w:t>88.5</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lang w:eastAsia="zh-CN"/>
        </w:rPr>
        <w:t>查尔玛饮水工程等两个项目、勘察、设计、货物采购等。</w:t>
      </w:r>
    </w:p>
    <w:p>
      <w:pPr>
        <w:pStyle w:val="4"/>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楷体" w:hAnsi="楷体" w:eastAsia="楷体" w:cs="楷体"/>
          <w:lang w:eastAsia="zh-CN"/>
        </w:rPr>
      </w:pPr>
      <w:bookmarkStart w:id="97" w:name="_Toc15377224"/>
      <w:bookmarkStart w:id="98" w:name="_Toc32488"/>
      <w:r>
        <w:rPr>
          <w:rFonts w:hint="eastAsia" w:ascii="楷体" w:hAnsi="楷体" w:eastAsia="楷体" w:cs="楷体"/>
        </w:rPr>
        <w:t>（三）国有资产占有使用情况</w:t>
      </w:r>
      <w:bookmarkEnd w:id="97"/>
      <w:r>
        <w:rPr>
          <w:rFonts w:hint="eastAsia" w:ascii="楷体" w:hAnsi="楷体" w:eastAsia="楷体" w:cs="楷体"/>
          <w:lang w:eastAsia="zh-CN"/>
        </w:rPr>
        <w:t>。</w:t>
      </w:r>
      <w:bookmarkEnd w:id="98"/>
    </w:p>
    <w:p>
      <w:pPr>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ascii="仿宋" w:hAnsi="仿宋" w:eastAsia="仿宋"/>
          <w:b/>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9年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红原县水务局</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辆，其中：应急保障用车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p>
    <w:p>
      <w:pPr>
        <w:pStyle w:val="4"/>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楷体" w:hAnsi="楷体" w:eastAsia="楷体" w:cs="楷体"/>
        </w:rPr>
      </w:pPr>
      <w:bookmarkStart w:id="99" w:name="_Toc13734"/>
      <w:r>
        <w:rPr>
          <w:rFonts w:hint="eastAsia" w:ascii="楷体" w:hAnsi="楷体" w:eastAsia="楷体" w:cs="楷体"/>
        </w:rPr>
        <w:t>（四）预算绩效管理情况。</w:t>
      </w:r>
      <w:bookmarkEnd w:id="99"/>
    </w:p>
    <w:p>
      <w:pPr>
        <w:pageBreakBefore w:val="0"/>
        <w:kinsoku/>
        <w:wordWrap/>
        <w:overflowPunct/>
        <w:topLinePunct w:val="0"/>
        <w:bidi w:val="0"/>
        <w:snapToGrid/>
        <w:spacing w:line="560" w:lineRule="exact"/>
        <w:ind w:firstLine="640" w:firstLineChars="200"/>
        <w:textAlignment w:val="auto"/>
        <w:outlineLvl w:val="1"/>
        <w:rPr>
          <w:rFonts w:hint="eastAsia" w:ascii="仿宋_GB2312" w:hAnsi="仿宋_GB2312" w:eastAsia="仿宋_GB2312" w:cs="仿宋_GB2312"/>
          <w:color w:val="auto"/>
          <w:sz w:val="32"/>
          <w:szCs w:val="32"/>
          <w:lang w:eastAsia="zh-CN"/>
        </w:rPr>
      </w:pPr>
      <w:bookmarkStart w:id="100" w:name="_Toc139"/>
      <w:bookmarkStart w:id="101" w:name="_Toc25649"/>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本部门按要求对2019年部门整体支出开展绩效自评</w:t>
      </w:r>
      <w:r>
        <w:rPr>
          <w:rFonts w:hint="eastAsia" w:ascii="仿宋_GB2312" w:hAnsi="仿宋_GB2312" w:eastAsia="仿宋_GB2312" w:cs="仿宋_GB2312"/>
          <w:color w:val="auto"/>
          <w:sz w:val="32"/>
          <w:szCs w:val="32"/>
          <w:lang w:eastAsia="zh-CN"/>
        </w:rPr>
        <w:t>。</w:t>
      </w:r>
      <w:bookmarkEnd w:id="100"/>
      <w:bookmarkEnd w:id="101"/>
    </w:p>
    <w:p>
      <w:pPr>
        <w:pageBreakBefore w:val="0"/>
        <w:kinsoku/>
        <w:wordWrap/>
        <w:overflowPunct/>
        <w:topLinePunct w:val="0"/>
        <w:bidi w:val="0"/>
        <w:snapToGrid/>
        <w:spacing w:line="560" w:lineRule="exact"/>
        <w:ind w:firstLine="640" w:firstLineChars="200"/>
        <w:textAlignment w:val="auto"/>
        <w:rPr>
          <w:rStyle w:val="14"/>
          <w:rFonts w:hint="eastAsia" w:ascii="仿宋_GB2312" w:hAnsi="仿宋_GB2312" w:eastAsia="仿宋_GB2312" w:cs="仿宋_GB2312"/>
          <w:b w:val="0"/>
          <w:bCs/>
          <w:color w:val="auto"/>
          <w:sz w:val="32"/>
          <w:szCs w:val="32"/>
          <w:lang w:eastAsia="zh-CN"/>
        </w:rPr>
      </w:pPr>
      <w:bookmarkStart w:id="102" w:name="_Toc18082"/>
      <w:bookmarkStart w:id="103" w:name="_Toc5740"/>
      <w:r>
        <w:rPr>
          <w:rStyle w:val="14"/>
          <w:rFonts w:hint="eastAsia" w:ascii="仿宋_GB2312" w:hAnsi="仿宋_GB2312" w:eastAsia="仿宋_GB2312" w:cs="仿宋_GB2312"/>
          <w:b w:val="0"/>
          <w:bCs/>
          <w:color w:val="auto"/>
          <w:sz w:val="32"/>
          <w:szCs w:val="32"/>
          <w:lang w:val="zh-CN"/>
        </w:rPr>
        <w:t>（</w:t>
      </w:r>
      <w:r>
        <w:rPr>
          <w:rStyle w:val="14"/>
          <w:rFonts w:hint="eastAsia" w:ascii="仿宋_GB2312" w:hAnsi="仿宋_GB2312" w:eastAsia="仿宋_GB2312" w:cs="仿宋_GB2312"/>
          <w:b w:val="0"/>
          <w:bCs/>
          <w:color w:val="auto"/>
          <w:sz w:val="32"/>
          <w:szCs w:val="32"/>
          <w:lang w:val="en-US" w:eastAsia="zh-CN"/>
        </w:rPr>
        <w:t>1</w:t>
      </w:r>
      <w:r>
        <w:rPr>
          <w:rStyle w:val="14"/>
          <w:rFonts w:hint="eastAsia" w:ascii="仿宋_GB2312" w:hAnsi="仿宋_GB2312" w:eastAsia="仿宋_GB2312" w:cs="仿宋_GB2312"/>
          <w:b w:val="0"/>
          <w:bCs/>
          <w:color w:val="auto"/>
          <w:sz w:val="32"/>
          <w:szCs w:val="32"/>
          <w:lang w:val="zh-CN"/>
        </w:rPr>
        <w:t>）</w:t>
      </w:r>
      <w:r>
        <w:rPr>
          <w:rStyle w:val="14"/>
          <w:rFonts w:hint="eastAsia" w:ascii="仿宋_GB2312" w:hAnsi="仿宋_GB2312" w:eastAsia="仿宋_GB2312" w:cs="仿宋_GB2312"/>
          <w:b w:val="0"/>
          <w:bCs/>
          <w:color w:val="auto"/>
          <w:sz w:val="32"/>
          <w:szCs w:val="32"/>
          <w:lang w:val="en-US" w:eastAsia="zh-CN"/>
        </w:rPr>
        <w:t>部门收支情况：</w:t>
      </w:r>
      <w:r>
        <w:rPr>
          <w:rStyle w:val="14"/>
          <w:rFonts w:hint="eastAsia" w:ascii="仿宋_GB2312" w:hAnsi="仿宋_GB2312" w:eastAsia="仿宋_GB2312" w:cs="仿宋_GB2312"/>
          <w:b w:val="0"/>
          <w:bCs/>
          <w:color w:val="auto"/>
          <w:sz w:val="32"/>
          <w:szCs w:val="32"/>
          <w:lang w:val="zh-CN"/>
        </w:rPr>
        <w:t>部门财政资金收入情况。</w:t>
      </w:r>
      <w:r>
        <w:rPr>
          <w:rStyle w:val="14"/>
          <w:rFonts w:hint="eastAsia" w:ascii="仿宋_GB2312" w:hAnsi="仿宋_GB2312" w:eastAsia="仿宋_GB2312" w:cs="仿宋_GB2312"/>
          <w:b w:val="0"/>
          <w:bCs/>
          <w:color w:val="auto"/>
          <w:sz w:val="32"/>
          <w:szCs w:val="32"/>
        </w:rPr>
        <w:t>2019年本年收入合计</w:t>
      </w:r>
      <w:r>
        <w:rPr>
          <w:rStyle w:val="14"/>
          <w:rFonts w:hint="eastAsia" w:ascii="仿宋_GB2312" w:hAnsi="仿宋_GB2312" w:eastAsia="仿宋_GB2312" w:cs="仿宋_GB2312"/>
          <w:b w:val="0"/>
          <w:bCs/>
          <w:color w:val="auto"/>
          <w:sz w:val="32"/>
          <w:szCs w:val="32"/>
          <w:lang w:val="en-US" w:eastAsia="zh-CN"/>
        </w:rPr>
        <w:t>1722.59</w:t>
      </w:r>
      <w:r>
        <w:rPr>
          <w:rStyle w:val="14"/>
          <w:rFonts w:hint="eastAsia" w:ascii="仿宋_GB2312" w:hAnsi="仿宋_GB2312" w:eastAsia="仿宋_GB2312" w:cs="仿宋_GB2312"/>
          <w:b w:val="0"/>
          <w:bCs/>
          <w:color w:val="auto"/>
          <w:sz w:val="32"/>
          <w:szCs w:val="32"/>
        </w:rPr>
        <w:t>万元，其中：一般公共预算财政拨款收入</w:t>
      </w:r>
      <w:r>
        <w:rPr>
          <w:rStyle w:val="14"/>
          <w:rFonts w:hint="eastAsia" w:ascii="仿宋_GB2312" w:hAnsi="仿宋_GB2312" w:eastAsia="仿宋_GB2312" w:cs="仿宋_GB2312"/>
          <w:b w:val="0"/>
          <w:bCs/>
          <w:color w:val="auto"/>
          <w:sz w:val="32"/>
          <w:szCs w:val="32"/>
          <w:lang w:val="en-US" w:eastAsia="zh-CN"/>
        </w:rPr>
        <w:t>1718.50</w:t>
      </w:r>
      <w:r>
        <w:rPr>
          <w:rStyle w:val="14"/>
          <w:rFonts w:hint="eastAsia" w:ascii="仿宋_GB2312" w:hAnsi="仿宋_GB2312" w:eastAsia="仿宋_GB2312" w:cs="仿宋_GB2312"/>
          <w:b w:val="0"/>
          <w:bCs/>
          <w:color w:val="auto"/>
          <w:sz w:val="32"/>
          <w:szCs w:val="32"/>
        </w:rPr>
        <w:t>万元，占</w:t>
      </w:r>
      <w:r>
        <w:rPr>
          <w:rStyle w:val="14"/>
          <w:rFonts w:hint="eastAsia" w:ascii="仿宋_GB2312" w:hAnsi="仿宋_GB2312" w:eastAsia="仿宋_GB2312" w:cs="仿宋_GB2312"/>
          <w:b w:val="0"/>
          <w:bCs/>
          <w:color w:val="auto"/>
          <w:sz w:val="32"/>
          <w:szCs w:val="32"/>
          <w:lang w:val="en-US" w:eastAsia="zh-CN"/>
        </w:rPr>
        <w:t>99</w:t>
      </w:r>
      <w:r>
        <w:rPr>
          <w:rStyle w:val="14"/>
          <w:rFonts w:hint="eastAsia" w:ascii="仿宋_GB2312" w:hAnsi="仿宋_GB2312" w:eastAsia="仿宋_GB2312" w:cs="仿宋_GB2312"/>
          <w:b w:val="0"/>
          <w:bCs/>
          <w:color w:val="auto"/>
          <w:sz w:val="32"/>
          <w:szCs w:val="32"/>
        </w:rPr>
        <w:t>%；其他收入</w:t>
      </w:r>
      <w:r>
        <w:rPr>
          <w:rStyle w:val="14"/>
          <w:rFonts w:hint="eastAsia" w:ascii="仿宋_GB2312" w:hAnsi="仿宋_GB2312" w:eastAsia="仿宋_GB2312" w:cs="仿宋_GB2312"/>
          <w:b w:val="0"/>
          <w:bCs/>
          <w:color w:val="auto"/>
          <w:sz w:val="32"/>
          <w:szCs w:val="32"/>
          <w:lang w:val="en-US" w:eastAsia="zh-CN"/>
        </w:rPr>
        <w:t>4.09</w:t>
      </w:r>
      <w:r>
        <w:rPr>
          <w:rStyle w:val="14"/>
          <w:rFonts w:hint="eastAsia" w:ascii="仿宋_GB2312" w:hAnsi="仿宋_GB2312" w:eastAsia="仿宋_GB2312" w:cs="仿宋_GB2312"/>
          <w:b w:val="0"/>
          <w:bCs/>
          <w:color w:val="auto"/>
          <w:sz w:val="32"/>
          <w:szCs w:val="32"/>
        </w:rPr>
        <w:t>万元，占</w:t>
      </w:r>
      <w:r>
        <w:rPr>
          <w:rStyle w:val="14"/>
          <w:rFonts w:hint="eastAsia" w:ascii="仿宋_GB2312" w:hAnsi="仿宋_GB2312" w:eastAsia="仿宋_GB2312" w:cs="仿宋_GB2312"/>
          <w:b w:val="0"/>
          <w:bCs/>
          <w:color w:val="auto"/>
          <w:sz w:val="32"/>
          <w:szCs w:val="32"/>
          <w:lang w:val="en-US" w:eastAsia="zh-CN"/>
        </w:rPr>
        <w:t>0.24</w:t>
      </w:r>
      <w:r>
        <w:rPr>
          <w:rStyle w:val="14"/>
          <w:rFonts w:hint="eastAsia" w:ascii="仿宋_GB2312" w:hAnsi="仿宋_GB2312" w:eastAsia="仿宋_GB2312" w:cs="仿宋_GB2312"/>
          <w:b w:val="0"/>
          <w:bCs/>
          <w:color w:val="auto"/>
          <w:sz w:val="32"/>
          <w:szCs w:val="32"/>
        </w:rPr>
        <w:t>%</w:t>
      </w:r>
      <w:r>
        <w:rPr>
          <w:rStyle w:val="14"/>
          <w:rFonts w:hint="eastAsia" w:ascii="仿宋_GB2312" w:hAnsi="仿宋_GB2312" w:eastAsia="仿宋_GB2312" w:cs="仿宋_GB2312"/>
          <w:b w:val="0"/>
          <w:bCs/>
          <w:color w:val="auto"/>
          <w:sz w:val="32"/>
          <w:szCs w:val="32"/>
          <w:lang w:eastAsia="zh-CN"/>
        </w:rPr>
        <w:t>：</w:t>
      </w:r>
      <w:r>
        <w:rPr>
          <w:rStyle w:val="14"/>
          <w:rFonts w:hint="eastAsia" w:ascii="仿宋_GB2312" w:hAnsi="仿宋_GB2312" w:eastAsia="仿宋_GB2312" w:cs="仿宋_GB2312"/>
          <w:b w:val="0"/>
          <w:bCs/>
          <w:color w:val="auto"/>
          <w:sz w:val="32"/>
          <w:szCs w:val="32"/>
          <w:lang w:val="zh-CN"/>
        </w:rPr>
        <w:t>部门财政资金支出情况。</w:t>
      </w:r>
      <w:r>
        <w:rPr>
          <w:rStyle w:val="14"/>
          <w:rFonts w:hint="eastAsia" w:ascii="仿宋_GB2312" w:hAnsi="仿宋_GB2312" w:eastAsia="仿宋_GB2312" w:cs="仿宋_GB2312"/>
          <w:b w:val="0"/>
          <w:bCs/>
          <w:color w:val="auto"/>
          <w:sz w:val="32"/>
          <w:szCs w:val="32"/>
        </w:rPr>
        <w:t>2019年本年支出合计</w:t>
      </w:r>
      <w:r>
        <w:rPr>
          <w:rStyle w:val="14"/>
          <w:rFonts w:hint="eastAsia" w:ascii="仿宋_GB2312" w:hAnsi="仿宋_GB2312" w:eastAsia="仿宋_GB2312" w:cs="仿宋_GB2312"/>
          <w:b w:val="0"/>
          <w:bCs/>
          <w:color w:val="auto"/>
          <w:sz w:val="32"/>
          <w:szCs w:val="32"/>
          <w:lang w:val="en-US" w:eastAsia="zh-CN"/>
        </w:rPr>
        <w:t>4555.72</w:t>
      </w:r>
      <w:r>
        <w:rPr>
          <w:rStyle w:val="14"/>
          <w:rFonts w:hint="eastAsia" w:ascii="仿宋_GB2312" w:hAnsi="仿宋_GB2312" w:eastAsia="仿宋_GB2312" w:cs="仿宋_GB2312"/>
          <w:b w:val="0"/>
          <w:bCs/>
          <w:color w:val="auto"/>
          <w:sz w:val="32"/>
          <w:szCs w:val="32"/>
        </w:rPr>
        <w:t>万元，其中：基本支出</w:t>
      </w:r>
      <w:r>
        <w:rPr>
          <w:rStyle w:val="14"/>
          <w:rFonts w:hint="eastAsia" w:ascii="仿宋_GB2312" w:hAnsi="仿宋_GB2312" w:eastAsia="仿宋_GB2312" w:cs="仿宋_GB2312"/>
          <w:b w:val="0"/>
          <w:bCs/>
          <w:color w:val="auto"/>
          <w:sz w:val="32"/>
          <w:szCs w:val="32"/>
          <w:lang w:val="en-US" w:eastAsia="zh-CN"/>
        </w:rPr>
        <w:t>384.84</w:t>
      </w:r>
      <w:r>
        <w:rPr>
          <w:rStyle w:val="14"/>
          <w:rFonts w:hint="eastAsia" w:ascii="仿宋_GB2312" w:hAnsi="仿宋_GB2312" w:eastAsia="仿宋_GB2312" w:cs="仿宋_GB2312"/>
          <w:b w:val="0"/>
          <w:bCs/>
          <w:color w:val="auto"/>
          <w:sz w:val="32"/>
          <w:szCs w:val="32"/>
        </w:rPr>
        <w:t>万元，占</w:t>
      </w:r>
      <w:r>
        <w:rPr>
          <w:rStyle w:val="14"/>
          <w:rFonts w:hint="eastAsia" w:ascii="仿宋_GB2312" w:hAnsi="仿宋_GB2312" w:eastAsia="仿宋_GB2312" w:cs="仿宋_GB2312"/>
          <w:b w:val="0"/>
          <w:bCs/>
          <w:color w:val="auto"/>
          <w:sz w:val="32"/>
          <w:szCs w:val="32"/>
          <w:lang w:val="en-US" w:eastAsia="zh-CN"/>
        </w:rPr>
        <w:t>8.45</w:t>
      </w:r>
      <w:r>
        <w:rPr>
          <w:rStyle w:val="14"/>
          <w:rFonts w:hint="eastAsia" w:ascii="仿宋_GB2312" w:hAnsi="仿宋_GB2312" w:eastAsia="仿宋_GB2312" w:cs="仿宋_GB2312"/>
          <w:b w:val="0"/>
          <w:bCs/>
          <w:color w:val="auto"/>
          <w:sz w:val="32"/>
          <w:szCs w:val="32"/>
        </w:rPr>
        <w:t>%；项目支出</w:t>
      </w:r>
      <w:r>
        <w:rPr>
          <w:rStyle w:val="14"/>
          <w:rFonts w:hint="eastAsia" w:ascii="仿宋_GB2312" w:hAnsi="仿宋_GB2312" w:eastAsia="仿宋_GB2312" w:cs="仿宋_GB2312"/>
          <w:b w:val="0"/>
          <w:bCs/>
          <w:color w:val="auto"/>
          <w:sz w:val="32"/>
          <w:szCs w:val="32"/>
          <w:lang w:val="en-US" w:eastAsia="zh-CN"/>
        </w:rPr>
        <w:t>4170.89</w:t>
      </w:r>
      <w:r>
        <w:rPr>
          <w:rStyle w:val="14"/>
          <w:rFonts w:hint="eastAsia" w:ascii="仿宋_GB2312" w:hAnsi="仿宋_GB2312" w:eastAsia="仿宋_GB2312" w:cs="仿宋_GB2312"/>
          <w:b w:val="0"/>
          <w:bCs/>
          <w:color w:val="auto"/>
          <w:sz w:val="32"/>
          <w:szCs w:val="32"/>
        </w:rPr>
        <w:t>万元，占</w:t>
      </w:r>
      <w:r>
        <w:rPr>
          <w:rStyle w:val="14"/>
          <w:rFonts w:hint="eastAsia" w:ascii="仿宋_GB2312" w:hAnsi="仿宋_GB2312" w:eastAsia="仿宋_GB2312" w:cs="仿宋_GB2312"/>
          <w:b w:val="0"/>
          <w:bCs/>
          <w:color w:val="auto"/>
          <w:sz w:val="32"/>
          <w:szCs w:val="32"/>
          <w:lang w:val="en-US" w:eastAsia="zh-CN"/>
        </w:rPr>
        <w:t>91.55</w:t>
      </w:r>
      <w:r>
        <w:rPr>
          <w:rStyle w:val="14"/>
          <w:rFonts w:hint="eastAsia" w:ascii="仿宋_GB2312" w:hAnsi="仿宋_GB2312" w:eastAsia="仿宋_GB2312" w:cs="仿宋_GB2312"/>
          <w:b w:val="0"/>
          <w:bCs/>
          <w:color w:val="auto"/>
          <w:sz w:val="32"/>
          <w:szCs w:val="32"/>
        </w:rPr>
        <w:t>%</w:t>
      </w:r>
      <w:r>
        <w:rPr>
          <w:rStyle w:val="14"/>
          <w:rFonts w:hint="eastAsia" w:ascii="仿宋_GB2312" w:hAnsi="仿宋_GB2312" w:eastAsia="仿宋_GB2312" w:cs="仿宋_GB2312"/>
          <w:b w:val="0"/>
          <w:bCs/>
          <w:color w:val="auto"/>
          <w:sz w:val="32"/>
          <w:szCs w:val="32"/>
          <w:lang w:eastAsia="zh-CN"/>
        </w:rPr>
        <w:t>。</w:t>
      </w:r>
      <w:bookmarkEnd w:id="102"/>
      <w:bookmarkEnd w:id="103"/>
    </w:p>
    <w:p>
      <w:pPr>
        <w:pageBreakBefore w:val="0"/>
        <w:kinsoku/>
        <w:wordWrap/>
        <w:overflowPunct/>
        <w:topLinePunct w:val="0"/>
        <w:bidi w:val="0"/>
        <w:snapToGrid/>
        <w:spacing w:line="560" w:lineRule="exact"/>
        <w:ind w:firstLine="640" w:firstLineChars="200"/>
        <w:textAlignment w:val="auto"/>
        <w:rPr>
          <w:rStyle w:val="14"/>
          <w:rFonts w:hint="eastAsia" w:ascii="仿宋_GB2312" w:hAnsi="仿宋_GB2312" w:eastAsia="仿宋_GB2312" w:cs="仿宋_GB2312"/>
          <w:b w:val="0"/>
          <w:bCs/>
          <w:color w:val="auto"/>
          <w:sz w:val="32"/>
          <w:szCs w:val="32"/>
        </w:rPr>
      </w:pPr>
      <w:bookmarkStart w:id="104" w:name="_Toc25932"/>
      <w:bookmarkStart w:id="105" w:name="_Toc32095"/>
      <w:r>
        <w:rPr>
          <w:rStyle w:val="14"/>
          <w:rFonts w:hint="eastAsia" w:ascii="仿宋_GB2312" w:hAnsi="仿宋_GB2312" w:eastAsia="仿宋_GB2312" w:cs="仿宋_GB2312"/>
          <w:b w:val="0"/>
          <w:bCs/>
          <w:color w:val="auto"/>
          <w:sz w:val="32"/>
          <w:szCs w:val="32"/>
          <w:lang w:eastAsia="zh-CN"/>
        </w:rPr>
        <w:t>（</w:t>
      </w:r>
      <w:r>
        <w:rPr>
          <w:rStyle w:val="14"/>
          <w:rFonts w:hint="eastAsia" w:ascii="仿宋_GB2312" w:hAnsi="仿宋_GB2312" w:eastAsia="仿宋_GB2312" w:cs="仿宋_GB2312"/>
          <w:b w:val="0"/>
          <w:bCs/>
          <w:color w:val="auto"/>
          <w:sz w:val="32"/>
          <w:szCs w:val="32"/>
          <w:lang w:val="en-US" w:eastAsia="zh-CN"/>
        </w:rPr>
        <w:t>2</w:t>
      </w:r>
      <w:r>
        <w:rPr>
          <w:rStyle w:val="14"/>
          <w:rFonts w:hint="eastAsia" w:ascii="仿宋_GB2312" w:hAnsi="仿宋_GB2312" w:eastAsia="仿宋_GB2312" w:cs="仿宋_GB2312"/>
          <w:b w:val="0"/>
          <w:bCs/>
          <w:color w:val="auto"/>
          <w:sz w:val="32"/>
          <w:szCs w:val="32"/>
          <w:lang w:eastAsia="zh-CN"/>
        </w:rPr>
        <w:t>）整体评价：</w:t>
      </w:r>
      <w:r>
        <w:rPr>
          <w:rStyle w:val="14"/>
          <w:rFonts w:hint="eastAsia" w:ascii="仿宋_GB2312" w:hAnsi="仿宋_GB2312" w:eastAsia="仿宋_GB2312" w:cs="仿宋_GB2312"/>
          <w:b w:val="0"/>
          <w:bCs/>
          <w:color w:val="auto"/>
          <w:sz w:val="32"/>
          <w:szCs w:val="32"/>
          <w:lang w:val="zh-CN"/>
        </w:rPr>
        <w:t>通过对本部门预算的编制，公开，开展项目绩效评价等工作，确保部门所有收入和支出都反映在预算中。</w:t>
      </w:r>
      <w:bookmarkEnd w:id="104"/>
      <w:bookmarkEnd w:id="105"/>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2.部门绩效评价结果。</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Style w:val="14"/>
          <w:rFonts w:hint="eastAsia" w:ascii="仿宋_GB2312" w:hAnsi="仿宋_GB2312" w:eastAsia="仿宋_GB2312" w:cs="仿宋_GB2312"/>
          <w:b w:val="0"/>
          <w:bCs/>
          <w:color w:val="auto"/>
          <w:sz w:val="32"/>
          <w:szCs w:val="32"/>
        </w:rPr>
        <w:t>本部门按要求对2019年部门整体支出绩效评价情况开展自评，《</w:t>
      </w:r>
      <w:r>
        <w:rPr>
          <w:rStyle w:val="14"/>
          <w:rFonts w:hint="eastAsia" w:ascii="仿宋_GB2312" w:hAnsi="仿宋_GB2312" w:eastAsia="仿宋_GB2312" w:cs="仿宋_GB2312"/>
          <w:b w:val="0"/>
          <w:bCs/>
          <w:color w:val="auto"/>
          <w:sz w:val="32"/>
          <w:szCs w:val="32"/>
          <w:lang w:eastAsia="zh-CN"/>
        </w:rPr>
        <w:t>红原县水务局</w:t>
      </w:r>
      <w:r>
        <w:rPr>
          <w:rStyle w:val="14"/>
          <w:rFonts w:hint="eastAsia" w:ascii="仿宋_GB2312" w:hAnsi="仿宋_GB2312" w:eastAsia="仿宋_GB2312" w:cs="仿宋_GB2312"/>
          <w:b w:val="0"/>
          <w:bCs/>
          <w:color w:val="auto"/>
          <w:sz w:val="32"/>
          <w:szCs w:val="32"/>
        </w:rPr>
        <w:t>2019年部门整体支出绩效评价报告》见附件（附件1）</w:t>
      </w:r>
      <w:r>
        <w:rPr>
          <w:rStyle w:val="14"/>
          <w:rFonts w:hint="eastAsia" w:ascii="仿宋_GB2312" w:hAnsi="仿宋_GB2312" w:eastAsia="仿宋_GB2312" w:cs="仿宋_GB2312"/>
          <w:b w:val="0"/>
          <w:bCs/>
          <w:color w:val="auto"/>
          <w:sz w:val="32"/>
          <w:szCs w:val="32"/>
          <w:lang w:eastAsia="zh-CN"/>
        </w:rPr>
        <w:t>《红原县水源地保护项目2019年绩效评价报告》见附件（附件</w:t>
      </w:r>
      <w:r>
        <w:rPr>
          <w:rStyle w:val="14"/>
          <w:rFonts w:hint="eastAsia" w:ascii="仿宋_GB2312" w:hAnsi="仿宋_GB2312" w:eastAsia="仿宋_GB2312" w:cs="仿宋_GB2312"/>
          <w:b w:val="0"/>
          <w:bCs/>
          <w:color w:val="auto"/>
          <w:sz w:val="32"/>
          <w:szCs w:val="32"/>
          <w:lang w:val="en-US" w:eastAsia="zh-CN"/>
        </w:rPr>
        <w:t>2</w:t>
      </w:r>
      <w:r>
        <w:rPr>
          <w:rStyle w:val="14"/>
          <w:rFonts w:hint="eastAsia" w:ascii="仿宋_GB2312" w:hAnsi="仿宋_GB2312" w:eastAsia="仿宋_GB2312" w:cs="仿宋_GB2312"/>
          <w:b w:val="0"/>
          <w:bCs/>
          <w:color w:val="auto"/>
          <w:sz w:val="32"/>
          <w:szCs w:val="32"/>
          <w:lang w:eastAsia="zh-CN"/>
        </w:rPr>
        <w:t>）《邛溪镇达格龙村、玛萨村村内排水沟建设项</w:t>
      </w:r>
      <w:r>
        <w:rPr>
          <w:rStyle w:val="14"/>
          <w:rFonts w:hint="eastAsia" w:ascii="仿宋_GB2312" w:hAnsi="仿宋_GB2312" w:eastAsia="仿宋_GB2312" w:cs="仿宋_GB2312"/>
          <w:b w:val="0"/>
          <w:bCs/>
          <w:color w:val="auto"/>
          <w:sz w:val="32"/>
          <w:szCs w:val="32"/>
        </w:rPr>
        <w:t>目</w:t>
      </w:r>
      <w:r>
        <w:rPr>
          <w:rStyle w:val="14"/>
          <w:rFonts w:hint="eastAsia" w:ascii="仿宋_GB2312" w:hAnsi="仿宋_GB2312" w:eastAsia="仿宋_GB2312" w:cs="仿宋_GB2312"/>
          <w:b w:val="0"/>
          <w:bCs/>
          <w:color w:val="auto"/>
          <w:sz w:val="32"/>
          <w:szCs w:val="32"/>
          <w:lang w:eastAsia="zh-CN"/>
        </w:rPr>
        <w:t>2019年绩效评价报告》见附件（附件</w:t>
      </w:r>
      <w:r>
        <w:rPr>
          <w:rStyle w:val="14"/>
          <w:rFonts w:hint="eastAsia" w:ascii="仿宋_GB2312" w:hAnsi="仿宋_GB2312" w:eastAsia="仿宋_GB2312" w:cs="仿宋_GB2312"/>
          <w:b w:val="0"/>
          <w:bCs/>
          <w:color w:val="auto"/>
          <w:sz w:val="32"/>
          <w:szCs w:val="32"/>
          <w:lang w:val="en-US" w:eastAsia="zh-CN"/>
        </w:rPr>
        <w:t>3</w:t>
      </w:r>
      <w:r>
        <w:rPr>
          <w:rStyle w:val="14"/>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color w:val="auto"/>
          <w:sz w:val="32"/>
          <w:szCs w:val="32"/>
          <w:lang w:eastAsia="zh-CN"/>
        </w:rPr>
        <w:t>。</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红原县水源地保护</w:t>
            </w:r>
            <w:r>
              <w:rPr>
                <w:rFonts w:hint="eastAsia" w:ascii="宋体" w:hAnsi="宋体" w:cs="宋体"/>
                <w:color w:val="000000"/>
                <w:kern w:val="0"/>
                <w:sz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红原县水务局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lang w:val="en-US" w:eastAsia="zh-CN"/>
              </w:rPr>
              <w:t>1300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lang w:val="en-US" w:eastAsia="zh-CN"/>
              </w:rPr>
              <w:t>1300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zh-CN"/>
              </w:rPr>
              <w:t>项目建成后将对该片区的水源提供强有力的保护，巩固乡镇集中式饮用水水源地环境问题清理整治成果，提高饮用水水源地水质安全保障，加快解决饮用水水源地突出环境问题，消除环境风险隐患，提升水质，消除环境风险隐患。</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zh-CN"/>
              </w:rPr>
              <w:t>项目建成后将对该片区的水源提供强有力的保护，巩固乡镇集中式饮用水水源地环境问题清理整治成果，提高饮用水水源地水质安全保障，加快解决饮用水水源地突出环境问题，消除环境风险隐患，提升水质，消除环境风险隐患。</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阿木乡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防护围栏2292米，界桩16个，宣传牌2座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防护围栏2292米，界桩16个，宣传牌2座</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麦洼乡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防护围栏1736米，界桩12个，宣传牌2座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防护围栏1736米，界桩12个，宣传牌2座</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瓦切镇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防护围栏2850米，界桩19个，宣传牌3座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防护围栏2850米，界桩19个，宣传牌3座</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kern w:val="0"/>
                <w:sz w:val="24"/>
                <w:lang w:val="zh-CN"/>
              </w:rPr>
              <w:t>解决饮用水水源地突出环境问题，消除环境风险隐患，提升水质，消除环境风险隐患，社会效益达</w:t>
            </w:r>
            <w:r>
              <w:rPr>
                <w:rFonts w:hint="eastAsia" w:ascii="宋体" w:hAnsi="宋体" w:cs="宋体"/>
                <w:color w:val="000000"/>
                <w:kern w:val="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zh-CN"/>
              </w:rPr>
              <w:t>解决饮用水水源地突出环境问题，消除环境风险隐患，提升水质，消除环境风险隐患，社会效益达</w:t>
            </w:r>
            <w:r>
              <w:rPr>
                <w:rFonts w:hint="eastAsia" w:ascii="宋体" w:hAnsi="宋体" w:cs="宋体"/>
                <w:color w:val="000000"/>
                <w:kern w:val="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90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满意度达</w:t>
            </w:r>
            <w:r>
              <w:rPr>
                <w:rFonts w:hint="eastAsia" w:ascii="宋体" w:hAnsi="宋体" w:cs="宋体"/>
                <w:color w:val="000000"/>
                <w:sz w:val="24"/>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满意度达</w:t>
            </w:r>
            <w:r>
              <w:rPr>
                <w:rFonts w:hint="eastAsia" w:ascii="宋体" w:hAnsi="宋体" w:cs="宋体"/>
                <w:color w:val="000000"/>
                <w:sz w:val="24"/>
                <w:lang w:val="en-US" w:eastAsia="zh-CN"/>
              </w:rPr>
              <w:t>90%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b w:val="0"/>
                <w:bCs/>
                <w:color w:val="auto"/>
                <w:sz w:val="32"/>
                <w:szCs w:val="32"/>
                <w:u w:val="none"/>
                <w:lang w:eastAsia="zh-CN"/>
              </w:rPr>
              <w:t>邛溪镇达格龙村、玛萨村村内排水沟建设项</w:t>
            </w:r>
            <w:r>
              <w:rPr>
                <w:rFonts w:hint="eastAsia" w:ascii="仿宋_GB2312" w:hAnsi="仿宋_GB2312" w:eastAsia="仿宋_GB2312" w:cs="仿宋_GB2312"/>
                <w:b w:val="0"/>
                <w:bCs/>
                <w:color w:val="auto"/>
                <w:sz w:val="32"/>
                <w:szCs w:val="32"/>
                <w:u w:val="none"/>
              </w:rPr>
              <w:t>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红原县水务局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themeColor="text1"/>
                <w:sz w:val="32"/>
                <w:lang w:val="en-US" w:eastAsia="zh-CN" w:bidi="ar"/>
              </w:rPr>
              <w:t>238.44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themeColor="text1"/>
                <w:sz w:val="32"/>
                <w:lang w:val="en-US" w:eastAsia="zh-CN" w:bidi="ar"/>
              </w:rPr>
              <w:t>187.25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项目建成后</w:t>
            </w:r>
            <w:r>
              <w:rPr>
                <w:rFonts w:hint="eastAsia" w:ascii="宋体" w:hAnsi="宋体" w:cs="宋体"/>
                <w:color w:val="000000"/>
                <w:kern w:val="0"/>
                <w:sz w:val="24"/>
                <w:lang w:val="zh-CN"/>
              </w:rPr>
              <w:t>主要保护对象为邛溪镇</w:t>
            </w:r>
            <w:r>
              <w:rPr>
                <w:rFonts w:hint="eastAsia" w:ascii="宋体" w:hAnsi="宋体" w:cs="宋体"/>
                <w:color w:val="000000"/>
                <w:kern w:val="0"/>
                <w:sz w:val="24"/>
                <w:lang w:eastAsia="zh-CN"/>
              </w:rPr>
              <w:t>格龙村、玛萨村</w:t>
            </w:r>
            <w:r>
              <w:rPr>
                <w:rFonts w:hint="eastAsia" w:ascii="宋体" w:hAnsi="宋体" w:cs="宋体"/>
                <w:color w:val="000000"/>
                <w:kern w:val="0"/>
                <w:sz w:val="24"/>
                <w:lang w:val="zh-CN"/>
              </w:rPr>
              <w:t>农牧民定居点人口及</w:t>
            </w:r>
            <w:r>
              <w:rPr>
                <w:rFonts w:hint="eastAsia" w:ascii="宋体" w:hAnsi="宋体" w:cs="宋体"/>
                <w:color w:val="000000"/>
                <w:kern w:val="0"/>
                <w:sz w:val="24"/>
                <w:lang w:val="en-US" w:eastAsia="zh-CN"/>
              </w:rPr>
              <w:t>草地。</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项目建成后</w:t>
            </w:r>
            <w:r>
              <w:rPr>
                <w:rFonts w:hint="eastAsia" w:ascii="宋体" w:hAnsi="宋体" w:cs="宋体"/>
                <w:color w:val="000000"/>
                <w:kern w:val="0"/>
                <w:sz w:val="24"/>
                <w:lang w:val="zh-CN"/>
              </w:rPr>
              <w:t>主要保护对象为邛溪镇</w:t>
            </w:r>
            <w:r>
              <w:rPr>
                <w:rFonts w:hint="eastAsia" w:ascii="宋体" w:hAnsi="宋体" w:cs="宋体"/>
                <w:color w:val="000000"/>
                <w:kern w:val="0"/>
                <w:sz w:val="24"/>
                <w:lang w:eastAsia="zh-CN"/>
              </w:rPr>
              <w:t>格龙村、玛萨村</w:t>
            </w:r>
            <w:r>
              <w:rPr>
                <w:rFonts w:hint="eastAsia" w:ascii="宋体" w:hAnsi="宋体" w:cs="宋体"/>
                <w:color w:val="000000"/>
                <w:kern w:val="0"/>
                <w:sz w:val="24"/>
                <w:lang w:val="zh-CN"/>
              </w:rPr>
              <w:t>农牧民定居点人口及</w:t>
            </w:r>
            <w:r>
              <w:rPr>
                <w:rFonts w:hint="eastAsia" w:ascii="宋体" w:hAnsi="宋体" w:cs="宋体"/>
                <w:color w:val="000000"/>
                <w:kern w:val="0"/>
                <w:sz w:val="24"/>
                <w:lang w:val="en-US" w:eastAsia="zh-CN"/>
              </w:rPr>
              <w:t>草地。</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zh-CN"/>
              </w:rPr>
              <w:t>通过该项目建设，保障了邛溪镇</w:t>
            </w:r>
            <w:r>
              <w:rPr>
                <w:rFonts w:hint="eastAsia" w:ascii="宋体" w:hAnsi="宋体" w:cs="宋体"/>
                <w:color w:val="000000"/>
                <w:kern w:val="0"/>
                <w:sz w:val="24"/>
                <w:lang w:eastAsia="zh-CN"/>
              </w:rPr>
              <w:t>格龙村、玛萨村</w:t>
            </w:r>
            <w:r>
              <w:rPr>
                <w:rFonts w:hint="eastAsia" w:ascii="宋体" w:hAnsi="宋体" w:cs="宋体"/>
                <w:color w:val="000000"/>
                <w:kern w:val="0"/>
                <w:sz w:val="24"/>
                <w:lang w:val="zh-CN"/>
              </w:rPr>
              <w:t>农牧民定居点人口及草地。最大程度的减少了因草场被淹没给老百姓带来的损失，完成率达</w:t>
            </w:r>
            <w:r>
              <w:rPr>
                <w:rFonts w:hint="eastAsia" w:ascii="宋体" w:hAnsi="宋体" w:cs="宋体"/>
                <w:color w:val="000000"/>
                <w:kern w:val="0"/>
                <w:sz w:val="24"/>
                <w:lang w:val="en-US" w:eastAsia="zh-CN"/>
              </w:rPr>
              <w:t>100%。</w:t>
            </w:r>
          </w:p>
          <w:p>
            <w:pPr>
              <w:widowControl/>
              <w:jc w:val="center"/>
              <w:textAlignment w:val="center"/>
              <w:rPr>
                <w:rFonts w:hint="eastAsia" w:ascii="宋体" w:hAnsi="宋体" w:cs="宋体"/>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zh-CN"/>
              </w:rPr>
            </w:pPr>
            <w:r>
              <w:rPr>
                <w:rFonts w:hint="eastAsia" w:ascii="宋体" w:hAnsi="宋体" w:cs="宋体"/>
                <w:color w:val="000000"/>
                <w:kern w:val="0"/>
                <w:sz w:val="24"/>
                <w:lang w:val="zh-CN"/>
              </w:rPr>
              <w:t>通过该项目建设，保障了邛溪镇</w:t>
            </w:r>
            <w:r>
              <w:rPr>
                <w:rFonts w:hint="eastAsia" w:ascii="宋体" w:hAnsi="宋体" w:cs="宋体"/>
                <w:color w:val="000000"/>
                <w:kern w:val="0"/>
                <w:sz w:val="24"/>
                <w:lang w:eastAsia="zh-CN"/>
              </w:rPr>
              <w:t>格龙村、玛萨村</w:t>
            </w:r>
            <w:r>
              <w:rPr>
                <w:rFonts w:hint="eastAsia" w:ascii="宋体" w:hAnsi="宋体" w:cs="宋体"/>
                <w:color w:val="000000"/>
                <w:kern w:val="0"/>
                <w:sz w:val="24"/>
                <w:lang w:val="zh-CN"/>
              </w:rPr>
              <w:t>农牧民定居点人口及草地。最大程度的减少了因草场被淹没给老百姓带来的损失，成率达</w:t>
            </w:r>
            <w:r>
              <w:rPr>
                <w:rFonts w:hint="eastAsia" w:ascii="宋体" w:hAnsi="宋体" w:cs="宋体"/>
                <w:color w:val="000000"/>
                <w:kern w:val="0"/>
                <w:sz w:val="24"/>
                <w:lang w:val="en-US" w:eastAsia="zh-CN"/>
              </w:rPr>
              <w:t>100%。</w:t>
            </w:r>
          </w:p>
          <w:p>
            <w:pPr>
              <w:widowControl/>
              <w:jc w:val="center"/>
              <w:textAlignment w:val="center"/>
              <w:rPr>
                <w:rFonts w:hint="eastAsia" w:ascii="宋体" w:hAnsi="宋体" w:cs="宋体"/>
                <w:color w:val="000000"/>
                <w:kern w:val="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zh-CN"/>
              </w:rPr>
              <w:t>施工单位投入大量机械设备及人力，目前该项目已进行了完工验收，质量合格，社会效益达</w:t>
            </w:r>
            <w:r>
              <w:rPr>
                <w:rFonts w:hint="eastAsia" w:ascii="宋体" w:hAnsi="宋体" w:cs="宋体"/>
                <w:color w:val="000000"/>
                <w:kern w:val="0"/>
                <w:sz w:val="24"/>
                <w:lang w:val="en-US" w:eastAsia="zh-CN"/>
              </w:rPr>
              <w:t>100%。</w:t>
            </w:r>
          </w:p>
          <w:p>
            <w:pPr>
              <w:widowControl/>
              <w:jc w:val="center"/>
              <w:textAlignment w:val="center"/>
              <w:rPr>
                <w:rFonts w:hint="eastAsia" w:ascii="宋体" w:hAnsi="宋体" w:cs="宋体"/>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zh-CN"/>
              </w:rPr>
            </w:pPr>
            <w:r>
              <w:rPr>
                <w:rFonts w:hint="eastAsia" w:ascii="宋体" w:hAnsi="宋体" w:cs="宋体"/>
                <w:color w:val="000000"/>
                <w:kern w:val="0"/>
                <w:sz w:val="24"/>
                <w:lang w:val="zh-CN"/>
              </w:rPr>
              <w:t>施工单位投入大量机械设备及人力，目前该项目已进行了完工验收，质量合格，社会效益达</w:t>
            </w:r>
            <w:r>
              <w:rPr>
                <w:rFonts w:hint="eastAsia" w:ascii="宋体" w:hAnsi="宋体" w:cs="宋体"/>
                <w:color w:val="000000"/>
                <w:kern w:val="0"/>
                <w:sz w:val="24"/>
                <w:lang w:val="en-US" w:eastAsia="zh-CN"/>
              </w:rPr>
              <w:t>100%。</w:t>
            </w:r>
          </w:p>
          <w:p>
            <w:pPr>
              <w:widowControl/>
              <w:jc w:val="center"/>
              <w:textAlignment w:val="center"/>
              <w:rPr>
                <w:rFonts w:hint="eastAsia" w:ascii="宋体" w:hAnsi="宋体" w:cs="宋体"/>
                <w:color w:val="000000"/>
                <w:kern w:val="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满意度达</w:t>
            </w: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满意度达</w:t>
            </w:r>
            <w:r>
              <w:rPr>
                <w:rFonts w:hint="eastAsia" w:ascii="宋体" w:hAnsi="宋体" w:cs="宋体"/>
                <w:color w:val="000000"/>
                <w:sz w:val="24"/>
                <w:lang w:val="en-US" w:eastAsia="zh-CN"/>
              </w:rPr>
              <w:t>95%</w:t>
            </w:r>
          </w:p>
        </w:tc>
      </w:tr>
    </w:tbl>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p>
    <w:p>
      <w:pPr>
        <w:pageBreakBefore w:val="0"/>
        <w:widowControl/>
        <w:kinsoku/>
        <w:wordWrap/>
        <w:overflowPunct/>
        <w:topLinePunct w:val="0"/>
        <w:bidi w:val="0"/>
        <w:snapToGrid/>
        <w:spacing w:line="560" w:lineRule="exact"/>
        <w:jc w:val="left"/>
        <w:textAlignment w:val="auto"/>
        <w:rPr>
          <w:rFonts w:ascii="仿宋_GB2312" w:eastAsia="仿宋_GB2312"/>
          <w:b/>
          <w:color w:val="auto"/>
          <w:sz w:val="32"/>
          <w:szCs w:val="32"/>
        </w:rPr>
      </w:pPr>
      <w:r>
        <w:rPr>
          <w:rFonts w:ascii="仿宋_GB2312" w:eastAsia="仿宋_GB2312"/>
          <w:b/>
          <w:color w:val="auto"/>
          <w:sz w:val="32"/>
          <w:szCs w:val="32"/>
        </w:rPr>
        <w:br w:type="page"/>
      </w:r>
    </w:p>
    <w:p>
      <w:pPr>
        <w:pStyle w:val="2"/>
        <w:bidi w:val="0"/>
        <w:jc w:val="center"/>
        <w:rPr>
          <w:rFonts w:ascii="宋体"/>
          <w:b/>
          <w:color w:val="auto"/>
          <w:sz w:val="44"/>
          <w:szCs w:val="44"/>
        </w:rPr>
      </w:pPr>
      <w:bookmarkStart w:id="106" w:name="_Toc15377225"/>
      <w:bookmarkStart w:id="107" w:name="_Toc10901"/>
      <w:bookmarkStart w:id="108" w:name="_Toc15396613"/>
      <w:r>
        <w:rPr>
          <w:rFonts w:hint="eastAsia" w:ascii="黑体" w:hAnsi="黑体" w:eastAsia="黑体" w:cs="黑体"/>
          <w:b w:val="0"/>
          <w:bCs w:val="0"/>
          <w:lang w:val="en-US" w:eastAsia="zh-CN"/>
        </w:rPr>
        <w:t xml:space="preserve">第三部分 </w:t>
      </w:r>
      <w:r>
        <w:rPr>
          <w:rFonts w:hint="eastAsia" w:ascii="黑体" w:hAnsi="黑体" w:eastAsia="黑体" w:cs="黑体"/>
          <w:b w:val="0"/>
          <w:bCs w:val="0"/>
        </w:rPr>
        <w:t>名词解释</w:t>
      </w:r>
      <w:bookmarkEnd w:id="106"/>
      <w:bookmarkEnd w:id="107"/>
      <w:bookmarkEnd w:id="108"/>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1.财政拨款收入：指单位从同级财政部门取得的财政预算资金。</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2.事业收入：指事业单位开展专业业务活动及辅助活动取得的收入。如…（二级预算单位事业收入情况）等。</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3.经营收入：指事业单位在专业业务活动及其辅助活动之外开展非独立核算经营活动取得的收入。如…（二级预算单位经营收入情况）等。</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4.其他收入：指单位取得的除上述收入以外的各项收入。主要是…（收入类型）等。 </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6.年初结转和结余：指以前年度尚未完成、结转到本年按有关规定继续使用的资金。 </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7.结余分配：指事业单位按照事业单位会计制度的规定从非财政补助结余中分配的事业基金和职工福利基金等。</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8、年末结转和结余：指单位按有关规定结转到下年或以后年度继续使用的资金。</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9.一般公共服务（类）…（款）…（项）：指……。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10.外交（类）…（款）…（项）：指……。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11.公共安全（类）…（款）…（项）：指……。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12.教育（类）…（款）…（项）：指……。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13.科学技术（类）…（款）…（项）：指……。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14.文化体育与传媒（类）…（款）…（项）：指……。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15.社会保障和就业（类）…（款）…（项）：指……。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16.医疗卫生与计划生育（类）…（款）…（项）：指……。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17.节能环保（类）…（款）…（项）：指……。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18.城乡社区（类）…（款）…（项）：指……。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19.农林水（类）…（款）…（项）：指……。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20.交通运输（类）…（款）…（项）：指……。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21.资源勘探信息等（类）…（款）…（项）：指……。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22.商业服务业（类）…（款）…（项）：指……。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23.金融（类）…（款）…（项）：指……。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24.国土海洋气象等（类）…（款）…（项）：指……。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25.住房保障（类）…（款）…（项）：指……。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26.粮油物资储备（类）…（款）…（项）：指……。</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p>
    <w:p>
      <w:pPr>
        <w:pageBreakBefore w:val="0"/>
        <w:kinsoku/>
        <w:wordWrap/>
        <w:overflowPunct/>
        <w:topLinePunct w:val="0"/>
        <w:bidi w:val="0"/>
        <w:snapToGrid/>
        <w:spacing w:line="560" w:lineRule="exact"/>
        <w:ind w:firstLine="64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（解释本部门决算报表中全部功能分类科目至项级，请参照《2019年政府收支分类科目》增减内容。）</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27.基本支出：指为保障机构正常运转、完成日常工作任务而发生的人员支出和公用支出。</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28.项目支出：指在基本支出之外为完成特定行政任务和事业发展目标所发生的支出。 </w:t>
      </w:r>
    </w:p>
    <w:p>
      <w:pPr>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29.经营支出：指事业单位在专业业务活动及其辅助活动之外开展非独立核算经营活动发生的支出。</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w:t>
      </w:r>
    </w:p>
    <w:p>
      <w:pPr>
        <w:pStyle w:val="22"/>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rPr>
      </w:pPr>
    </w:p>
    <w:p>
      <w:pPr>
        <w:pageBreakBefore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（名词解释部分请根据各部门实际列支情况罗列，并根据本部门职责职能增减名词解释内容。）</w:t>
      </w:r>
    </w:p>
    <w:p>
      <w:pPr>
        <w:pageBreakBefore w:val="0"/>
        <w:kinsoku/>
        <w:wordWrap/>
        <w:overflowPunct/>
        <w:topLinePunct w:val="0"/>
        <w:bidi w:val="0"/>
        <w:snapToGrid/>
        <w:spacing w:line="560" w:lineRule="exact"/>
        <w:jc w:val="center"/>
        <w:textAlignment w:val="auto"/>
        <w:outlineLvl w:val="0"/>
        <w:rPr>
          <w:rStyle w:val="24"/>
          <w:rFonts w:hint="eastAsia" w:ascii="黑体" w:hAnsi="黑体" w:eastAsia="黑体" w:cs="黑体"/>
          <w:b w:val="0"/>
          <w:bCs w:val="0"/>
        </w:rPr>
      </w:pPr>
      <w:bookmarkStart w:id="109" w:name="_Toc15377226"/>
      <w:r>
        <w:rPr>
          <w:rFonts w:ascii="宋体"/>
          <w:b/>
          <w:color w:val="auto"/>
          <w:sz w:val="44"/>
          <w:szCs w:val="44"/>
        </w:rPr>
        <w:br w:type="page"/>
      </w:r>
      <w:bookmarkStart w:id="110" w:name="_Toc15396614"/>
      <w:bookmarkStart w:id="111" w:name="_Toc31146"/>
      <w:bookmarkStart w:id="112" w:name="_Toc23213"/>
      <w:r>
        <w:rPr>
          <w:rStyle w:val="24"/>
          <w:rFonts w:hint="eastAsia" w:ascii="黑体" w:hAnsi="黑体" w:eastAsia="黑体" w:cs="黑体"/>
          <w:b w:val="0"/>
          <w:bCs w:val="0"/>
        </w:rPr>
        <w:t>第四部分 附件</w:t>
      </w:r>
      <w:bookmarkEnd w:id="110"/>
      <w:bookmarkEnd w:id="111"/>
      <w:bookmarkEnd w:id="112"/>
    </w:p>
    <w:p>
      <w:pPr>
        <w:pageBreakBefore w:val="0"/>
        <w:kinsoku/>
        <w:wordWrap/>
        <w:overflowPunct/>
        <w:topLinePunct w:val="0"/>
        <w:bidi w:val="0"/>
        <w:snapToGrid/>
        <w:spacing w:line="560" w:lineRule="exact"/>
        <w:jc w:val="left"/>
        <w:textAlignment w:val="auto"/>
        <w:outlineLvl w:val="0"/>
        <w:rPr>
          <w:rFonts w:ascii="方正小标宋简体" w:hAnsi="方正小标宋简体" w:eastAsia="方正小标宋简体" w:cs="方正小标宋简体"/>
          <w:color w:val="auto"/>
          <w:sz w:val="32"/>
          <w:szCs w:val="32"/>
        </w:rPr>
      </w:pPr>
      <w:bookmarkStart w:id="113" w:name="_Toc18812"/>
      <w:bookmarkStart w:id="114" w:name="_Toc13104"/>
      <w:r>
        <w:rPr>
          <w:rFonts w:hint="eastAsia" w:ascii="黑体" w:hAnsi="黑体" w:eastAsia="黑体" w:cs="黑体"/>
          <w:color w:val="auto"/>
          <w:sz w:val="32"/>
          <w:szCs w:val="32"/>
        </w:rPr>
        <w:t>附件1</w:t>
      </w:r>
      <w:bookmarkEnd w:id="113"/>
      <w:bookmarkEnd w:id="114"/>
    </w:p>
    <w:p>
      <w:pPr>
        <w:pageBreakBefore w:val="0"/>
        <w:kinsoku/>
        <w:wordWrap/>
        <w:overflowPunct/>
        <w:topLinePunct w:val="0"/>
        <w:bidi w:val="0"/>
        <w:snapToGrid/>
        <w:spacing w:line="560" w:lineRule="exact"/>
        <w:jc w:val="center"/>
        <w:textAlignment w:val="auto"/>
        <w:rPr>
          <w:rFonts w:ascii="方正小标宋简体" w:hAnsi="方正小标宋简体" w:eastAsia="方正小标宋简体" w:cs="方正小标宋简体"/>
          <w:color w:val="auto"/>
          <w:sz w:val="44"/>
          <w:szCs w:val="44"/>
        </w:rPr>
      </w:pPr>
    </w:p>
    <w:p>
      <w:pPr>
        <w:pageBreakBefore w:val="0"/>
        <w:kinsoku/>
        <w:wordWrap/>
        <w:overflowPunct/>
        <w:topLinePunct w:val="0"/>
        <w:bidi w:val="0"/>
        <w:snapToGrid/>
        <w:spacing w:line="560" w:lineRule="exact"/>
        <w:jc w:val="center"/>
        <w:textAlignment w:val="auto"/>
        <w:rPr>
          <w:rFonts w:hint="eastAsia" w:ascii="方正小标宋简体" w:hAnsi="宋体" w:eastAsia="方正小标宋简体"/>
          <w:color w:val="auto"/>
          <w:kern w:val="0"/>
          <w:sz w:val="44"/>
          <w:szCs w:val="44"/>
          <w:lang w:val="zh-CN"/>
        </w:rPr>
      </w:pPr>
      <w:r>
        <w:rPr>
          <w:rFonts w:hint="eastAsia" w:ascii="方正小标宋简体" w:hAnsi="宋体" w:eastAsia="方正小标宋简体"/>
          <w:color w:val="auto"/>
          <w:kern w:val="0"/>
          <w:sz w:val="44"/>
          <w:szCs w:val="44"/>
          <w:lang w:eastAsia="zh-CN"/>
        </w:rPr>
        <w:t>红原县水务局</w:t>
      </w:r>
      <w:r>
        <w:rPr>
          <w:rFonts w:ascii="方正小标宋简体" w:hAnsi="宋体" w:eastAsia="方正小标宋简体"/>
          <w:color w:val="auto"/>
          <w:kern w:val="0"/>
          <w:sz w:val="44"/>
          <w:szCs w:val="44"/>
        </w:rPr>
        <w:t>2019年部门</w:t>
      </w:r>
      <w:r>
        <w:rPr>
          <w:rFonts w:hint="eastAsia" w:ascii="方正小标宋简体" w:hAnsi="宋体" w:eastAsia="方正小标宋简体"/>
          <w:color w:val="auto"/>
          <w:kern w:val="0"/>
          <w:sz w:val="44"/>
          <w:szCs w:val="44"/>
          <w:lang w:val="zh-CN"/>
        </w:rPr>
        <w:t>整体支出绩效</w:t>
      </w:r>
    </w:p>
    <w:p>
      <w:pPr>
        <w:pageBreakBefore w:val="0"/>
        <w:kinsoku/>
        <w:wordWrap/>
        <w:overflowPunct/>
        <w:topLinePunct w:val="0"/>
        <w:bidi w:val="0"/>
        <w:snapToGrid/>
        <w:spacing w:line="560" w:lineRule="exact"/>
        <w:jc w:val="center"/>
        <w:textAlignment w:val="auto"/>
        <w:rPr>
          <w:rFonts w:ascii="方正小标宋简体" w:hAnsi="宋体" w:eastAsia="方正小标宋简体"/>
          <w:color w:val="auto"/>
          <w:kern w:val="0"/>
          <w:sz w:val="44"/>
          <w:szCs w:val="44"/>
          <w:lang w:val="zh-CN"/>
        </w:rPr>
      </w:pPr>
      <w:r>
        <w:rPr>
          <w:rFonts w:hint="eastAsia" w:ascii="方正小标宋简体" w:hAnsi="宋体" w:eastAsia="方正小标宋简体"/>
          <w:color w:val="auto"/>
          <w:kern w:val="0"/>
          <w:sz w:val="44"/>
          <w:szCs w:val="44"/>
          <w:lang w:val="zh-CN"/>
        </w:rPr>
        <w:t>评价报告</w:t>
      </w:r>
    </w:p>
    <w:p>
      <w:pPr>
        <w:pageBreakBefore w:val="0"/>
        <w:widowControl/>
        <w:kinsoku/>
        <w:wordWrap/>
        <w:overflowPunct/>
        <w:topLinePunct w:val="0"/>
        <w:bidi w:val="0"/>
        <w:adjustRightInd w:val="0"/>
        <w:snapToGrid/>
        <w:spacing w:line="560" w:lineRule="exact"/>
        <w:ind w:firstLine="480" w:firstLineChars="200"/>
        <w:contextualSpacing/>
        <w:jc w:val="left"/>
        <w:textAlignment w:val="auto"/>
        <w:rPr>
          <w:rFonts w:ascii="黑体" w:hAnsi="宋体" w:eastAsia="黑体" w:cs="宋体"/>
          <w:color w:val="auto"/>
          <w:kern w:val="0"/>
          <w:sz w:val="24"/>
          <w:szCs w:val="32"/>
          <w:shd w:val="clear" w:color="auto" w:fill="FFFFFF"/>
        </w:rPr>
      </w:pP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zh-CN" w:eastAsia="zh-CN"/>
        </w:rPr>
      </w:pPr>
      <w:bookmarkStart w:id="115" w:name="_Toc17145"/>
      <w:r>
        <w:rPr>
          <w:rFonts w:hint="eastAsia" w:ascii="黑体" w:hAnsi="黑体" w:eastAsia="黑体" w:cs="黑体"/>
          <w:b w:val="0"/>
          <w:bCs w:val="0"/>
          <w:lang w:val="en-US" w:eastAsia="zh-CN"/>
        </w:rPr>
        <w:t>一、</w:t>
      </w:r>
      <w:r>
        <w:rPr>
          <w:rFonts w:hint="eastAsia" w:ascii="黑体" w:hAnsi="黑体" w:eastAsia="黑体" w:cs="黑体"/>
          <w:b w:val="0"/>
          <w:bCs w:val="0"/>
          <w:lang w:val="zh-CN" w:eastAsia="zh-CN"/>
        </w:rPr>
        <w:t>部门（单位）概况</w:t>
      </w:r>
      <w:bookmarkEnd w:id="115"/>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Fonts w:hint="eastAsia" w:ascii="仿宋_GB2312" w:hAnsi="仿宋_GB2312" w:eastAsia="仿宋_GB2312" w:cs="仿宋_GB2312"/>
          <w:sz w:val="32"/>
          <w:szCs w:val="32"/>
          <w:lang w:val="zh-CN"/>
        </w:rPr>
      </w:pPr>
      <w:bookmarkStart w:id="116" w:name="_Toc31538"/>
      <w:r>
        <w:rPr>
          <w:rStyle w:val="28"/>
          <w:rFonts w:hint="eastAsia" w:ascii="楷体" w:hAnsi="楷体" w:eastAsia="楷体" w:cs="楷体"/>
          <w:lang w:val="zh-CN" w:eastAsia="zh-CN"/>
        </w:rPr>
        <w:t>（一）机构组成</w:t>
      </w:r>
      <w:bookmarkEnd w:id="116"/>
      <w:r>
        <w:rPr>
          <w:rFonts w:hint="eastAsia" w:ascii="楷体" w:hAnsi="楷体" w:eastAsia="楷体" w:cs="楷体"/>
          <w:b/>
          <w:bCs/>
          <w:sz w:val="32"/>
          <w:szCs w:val="32"/>
          <w:lang w:val="zh-CN" w:eastAsia="zh-CN"/>
        </w:rPr>
        <w:t>：</w:t>
      </w:r>
      <w:r>
        <w:rPr>
          <w:rFonts w:hint="eastAsia" w:ascii="仿宋_GB2312" w:hAnsi="仿宋_GB2312" w:eastAsia="仿宋_GB2312" w:cs="仿宋_GB2312"/>
          <w:sz w:val="32"/>
          <w:szCs w:val="32"/>
          <w:lang w:val="en-US" w:eastAsia="zh-CN"/>
        </w:rPr>
        <w:t>是独立核算的机构，是独立编报预算的单位。</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Fonts w:hint="eastAsia" w:ascii="仿宋_GB2312" w:hAnsi="仿宋_GB2312" w:eastAsia="仿宋_GB2312" w:cs="仿宋_GB2312"/>
          <w:color w:val="auto"/>
          <w:kern w:val="0"/>
          <w:sz w:val="32"/>
          <w:szCs w:val="32"/>
          <w:shd w:val="clear" w:color="auto" w:fill="FFFFFF"/>
          <w:lang w:val="zh-CN"/>
        </w:rPr>
      </w:pPr>
      <w:bookmarkStart w:id="117" w:name="_Toc16680"/>
      <w:r>
        <w:rPr>
          <w:rStyle w:val="28"/>
          <w:rFonts w:hint="eastAsia" w:ascii="楷体" w:hAnsi="楷体" w:eastAsia="楷体" w:cs="楷体"/>
          <w:lang w:val="zh-CN" w:eastAsia="zh-CN"/>
        </w:rPr>
        <w:t>（二）机构职能</w:t>
      </w:r>
      <w:bookmarkEnd w:id="117"/>
      <w:r>
        <w:rPr>
          <w:rFonts w:hint="eastAsia" w:ascii="楷体" w:hAnsi="楷体" w:eastAsia="楷体" w:cs="楷体"/>
          <w:b/>
          <w:bCs/>
          <w:sz w:val="32"/>
          <w:szCs w:val="32"/>
          <w:lang w:val="zh-CN" w:eastAsia="zh-CN"/>
        </w:rPr>
        <w:t>：</w:t>
      </w:r>
      <w:r>
        <w:rPr>
          <w:rFonts w:hint="eastAsia" w:ascii="仿宋_GB2312" w:hAnsi="仿宋_GB2312" w:eastAsia="仿宋_GB2312" w:cs="仿宋_GB2312"/>
          <w:sz w:val="32"/>
          <w:szCs w:val="32"/>
          <w:lang w:val="en-US" w:eastAsia="zh-CN"/>
        </w:rPr>
        <w:t>主要负责管理全县水资源（含地表水、地下水）开发、利用、</w:t>
      </w:r>
      <w:r>
        <w:rPr>
          <w:rFonts w:hint="eastAsia" w:ascii="仿宋_GB2312" w:hAnsi="仿宋_GB2312" w:eastAsia="仿宋_GB2312" w:cs="仿宋_GB2312"/>
          <w:bCs/>
          <w:color w:val="auto"/>
          <w:kern w:val="0"/>
          <w:sz w:val="32"/>
          <w:szCs w:val="32"/>
          <w:lang w:val="en-US" w:eastAsia="zh-CN" w:bidi="ar-SA"/>
        </w:rPr>
        <w:t>保护工作。负责全县水利基本建设项目工作。组织制定全县水资源总体规划、流域规划和专业规划；拟定全县中长期和年度供水计划、水量分配方案和旱情紧急情况下水量调度预案；负责全县水政、渔政监察和水务行政执法工作；拟定渔业资源保护规划，实施渔业环境保护；负责全县水产资源和水生野生动植物的保护工作；协调并裁决水事、渔事纠纷，查处水事、渔事案件；负责有关行政复议受理和行政诉讼应诉工作。组织实施地方农村电力管理工作。</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Fonts w:hint="eastAsia" w:ascii="仿宋_GB2312" w:hAnsi="仿宋_GB2312" w:eastAsia="仿宋_GB2312" w:cs="仿宋_GB2312"/>
          <w:color w:val="auto"/>
          <w:kern w:val="0"/>
          <w:sz w:val="32"/>
          <w:szCs w:val="32"/>
          <w:shd w:val="clear" w:color="auto" w:fill="FFFFFF"/>
          <w:lang w:val="en-US" w:eastAsia="zh-CN"/>
        </w:rPr>
      </w:pPr>
      <w:bookmarkStart w:id="118" w:name="_Toc19794"/>
      <w:r>
        <w:rPr>
          <w:rStyle w:val="28"/>
          <w:rFonts w:hint="eastAsia" w:ascii="楷体" w:hAnsi="楷体" w:eastAsia="楷体" w:cs="楷体"/>
          <w:lang w:val="zh-CN" w:eastAsia="zh-CN"/>
        </w:rPr>
        <w:t>（三）人员概况</w:t>
      </w:r>
      <w:bookmarkEnd w:id="118"/>
      <w:r>
        <w:rPr>
          <w:rFonts w:hint="eastAsia" w:ascii="楷体" w:hAnsi="楷体" w:eastAsia="楷体" w:cs="楷体"/>
          <w:b/>
          <w:bCs/>
          <w:color w:val="auto"/>
          <w:kern w:val="0"/>
          <w:sz w:val="32"/>
          <w:szCs w:val="32"/>
          <w:shd w:val="clear" w:color="auto" w:fill="FFFFFF"/>
          <w:lang w:val="en-US" w:eastAsia="zh-CN"/>
        </w:rPr>
        <w:t>:</w:t>
      </w:r>
      <w:r>
        <w:rPr>
          <w:rFonts w:hint="eastAsia" w:ascii="仿宋_GB2312" w:hAnsi="仿宋_GB2312" w:eastAsia="仿宋_GB2312" w:cs="仿宋_GB2312"/>
          <w:bCs/>
          <w:color w:val="auto"/>
          <w:sz w:val="32"/>
          <w:szCs w:val="32"/>
          <w:lang w:eastAsia="zh-CN"/>
        </w:rPr>
        <w:t>今</w:t>
      </w:r>
      <w:r>
        <w:rPr>
          <w:rFonts w:hint="eastAsia" w:ascii="仿宋_GB2312" w:hAnsi="仿宋_GB2312" w:eastAsia="仿宋_GB2312" w:cs="仿宋_GB2312"/>
          <w:bCs/>
          <w:color w:val="auto"/>
          <w:kern w:val="0"/>
          <w:sz w:val="32"/>
          <w:szCs w:val="32"/>
          <w:lang w:val="en-US" w:eastAsia="zh-CN" w:bidi="ar-SA"/>
        </w:rPr>
        <w:t>年我单位机构改革，成立了红原县水务局，原来的水务服务中心职能职责划归县水务局，我单位现共有编制21名（其中：行政编制4个，参公编制17个），目前在职20人，今年我单位年末退休人数22人。</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en-US" w:eastAsia="zh-CN"/>
        </w:rPr>
      </w:pPr>
      <w:bookmarkStart w:id="119" w:name="_Toc20707"/>
      <w:r>
        <w:rPr>
          <w:rFonts w:hint="eastAsia" w:ascii="黑体" w:hAnsi="黑体" w:eastAsia="黑体" w:cs="黑体"/>
          <w:b w:val="0"/>
          <w:bCs w:val="0"/>
          <w:lang w:val="en-US" w:eastAsia="zh-CN"/>
        </w:rPr>
        <w:t>二、部门财政资金收支情况</w:t>
      </w:r>
      <w:bookmarkEnd w:id="119"/>
    </w:p>
    <w:p>
      <w:pPr>
        <w:pageBreakBefore w:val="0"/>
        <w:kinsoku/>
        <w:wordWrap/>
        <w:overflowPunct/>
        <w:topLinePunct w:val="0"/>
        <w:bidi w:val="0"/>
        <w:snapToGrid/>
        <w:spacing w:line="560" w:lineRule="exact"/>
        <w:ind w:firstLine="643" w:firstLineChars="200"/>
        <w:textAlignment w:val="auto"/>
        <w:outlineLvl w:val="1"/>
        <w:rPr>
          <w:rFonts w:ascii="仿宋_GB2312" w:hAnsi="宋体" w:eastAsia="仿宋_GB2312" w:cs="宋体"/>
          <w:color w:val="auto"/>
          <w:kern w:val="0"/>
          <w:sz w:val="32"/>
          <w:szCs w:val="32"/>
          <w:shd w:val="clear" w:color="auto" w:fill="FFFFFF"/>
          <w:lang w:val="zh-CN"/>
        </w:rPr>
      </w:pPr>
      <w:bookmarkStart w:id="120" w:name="_Toc2972"/>
      <w:bookmarkStart w:id="121" w:name="_Toc18289"/>
      <w:r>
        <w:rPr>
          <w:rStyle w:val="28"/>
          <w:rFonts w:hint="eastAsia" w:ascii="楷体" w:hAnsi="楷体" w:eastAsia="楷体" w:cs="楷体"/>
          <w:lang w:val="zh-CN" w:eastAsia="zh-CN"/>
        </w:rPr>
        <w:t>（一）部门财政资金收入情况</w:t>
      </w:r>
      <w:r>
        <w:rPr>
          <w:rFonts w:hint="eastAsia" w:ascii="楷体" w:hAnsi="楷体" w:eastAsia="楷体" w:cs="楷体"/>
          <w:b/>
          <w:bCs/>
          <w:color w:val="auto"/>
          <w:kern w:val="0"/>
          <w:sz w:val="32"/>
          <w:szCs w:val="32"/>
          <w:shd w:val="clear" w:color="auto" w:fill="FFFFFF"/>
          <w:lang w:val="zh-CN"/>
        </w:rPr>
        <w:t>。</w:t>
      </w:r>
      <w:r>
        <w:rPr>
          <w:rFonts w:hint="eastAsia" w:ascii="仿宋_GB2312" w:hAnsi="仿宋_GB2312" w:eastAsia="仿宋_GB2312" w:cs="仿宋_GB2312"/>
          <w:color w:val="auto"/>
          <w:sz w:val="32"/>
          <w:szCs w:val="32"/>
        </w:rPr>
        <w:t>2019年本年收入合计</w:t>
      </w:r>
      <w:r>
        <w:rPr>
          <w:rFonts w:hint="eastAsia" w:ascii="仿宋_GB2312" w:hAnsi="仿宋_GB2312" w:eastAsia="仿宋_GB2312" w:cs="仿宋_GB2312"/>
          <w:bCs/>
          <w:color w:val="auto"/>
          <w:kern w:val="0"/>
          <w:sz w:val="32"/>
          <w:szCs w:val="32"/>
          <w:lang w:val="en-US" w:eastAsia="zh-CN" w:bidi="ar-SA"/>
        </w:rPr>
        <w:t>1722.59</w:t>
      </w:r>
      <w:r>
        <w:rPr>
          <w:rFonts w:hint="eastAsia" w:ascii="仿宋_GB2312" w:hAnsi="仿宋_GB2312" w:eastAsia="仿宋_GB2312" w:cs="仿宋_GB2312"/>
          <w:color w:val="auto"/>
          <w:sz w:val="32"/>
          <w:szCs w:val="32"/>
        </w:rPr>
        <w:t>万元，其中：一般公共预算财政拨款收入</w:t>
      </w:r>
      <w:r>
        <w:rPr>
          <w:rFonts w:hint="eastAsia" w:ascii="仿宋_GB2312" w:hAnsi="仿宋_GB2312" w:eastAsia="仿宋_GB2312" w:cs="仿宋_GB2312"/>
          <w:color w:val="auto"/>
          <w:sz w:val="32"/>
          <w:szCs w:val="32"/>
          <w:lang w:val="en-US" w:eastAsia="zh-CN"/>
        </w:rPr>
        <w:t>1718.50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lang w:val="en-US" w:eastAsia="zh-CN"/>
        </w:rPr>
        <w:t>4.09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0.24</w:t>
      </w:r>
      <w:r>
        <w:rPr>
          <w:rFonts w:hint="eastAsia" w:ascii="仿宋_GB2312" w:hAnsi="仿宋_GB2312" w:eastAsia="仿宋_GB2312" w:cs="仿宋_GB2312"/>
          <w:color w:val="auto"/>
          <w:sz w:val="32"/>
          <w:szCs w:val="32"/>
        </w:rPr>
        <w:t>%。</w:t>
      </w:r>
      <w:bookmarkEnd w:id="120"/>
      <w:bookmarkEnd w:id="121"/>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Fonts w:hint="eastAsia" w:ascii="仿宋_GB2312" w:hAnsi="仿宋_GB2312" w:eastAsia="仿宋_GB2312" w:cs="仿宋_GB2312"/>
          <w:color w:val="auto"/>
          <w:kern w:val="0"/>
          <w:sz w:val="32"/>
          <w:szCs w:val="32"/>
          <w:shd w:val="clear" w:color="auto" w:fill="FFFFFF"/>
          <w:lang w:val="en-US" w:eastAsia="zh-CN"/>
        </w:rPr>
      </w:pPr>
      <w:bookmarkStart w:id="122" w:name="_Toc13236"/>
      <w:r>
        <w:rPr>
          <w:rStyle w:val="28"/>
          <w:rFonts w:hint="eastAsia" w:ascii="楷体" w:hAnsi="楷体" w:eastAsia="楷体" w:cs="楷体"/>
          <w:lang w:val="zh-CN" w:eastAsia="zh-CN"/>
        </w:rPr>
        <w:t>（二）部门财政资金支出情况</w:t>
      </w:r>
      <w:bookmarkEnd w:id="122"/>
      <w:r>
        <w:rPr>
          <w:rFonts w:hint="eastAsia" w:ascii="楷体" w:hAnsi="楷体" w:eastAsia="楷体" w:cs="楷体"/>
          <w:b/>
          <w:bCs/>
          <w:color w:val="auto"/>
          <w:kern w:val="0"/>
          <w:sz w:val="32"/>
          <w:szCs w:val="32"/>
          <w:shd w:val="clear" w:color="auto" w:fill="FFFFFF"/>
          <w:lang w:val="zh-CN"/>
        </w:rPr>
        <w:t>。</w:t>
      </w:r>
      <w:r>
        <w:rPr>
          <w:rFonts w:hint="eastAsia" w:ascii="仿宋_GB2312" w:hAnsi="仿宋_GB2312" w:eastAsia="仿宋_GB2312" w:cs="仿宋_GB2312"/>
          <w:color w:val="auto"/>
          <w:sz w:val="32"/>
          <w:szCs w:val="32"/>
        </w:rPr>
        <w:t>2019年本年支出合计</w:t>
      </w:r>
      <w:r>
        <w:rPr>
          <w:rFonts w:hint="eastAsia" w:ascii="仿宋_GB2312" w:hAnsi="仿宋_GB2312" w:eastAsia="仿宋_GB2312" w:cs="仿宋_GB2312"/>
          <w:color w:val="auto"/>
          <w:sz w:val="32"/>
          <w:szCs w:val="32"/>
          <w:lang w:val="en-US" w:eastAsia="zh-CN"/>
        </w:rPr>
        <w:t>4555.72</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384.84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8.45</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4170.89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91.55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en-US" w:eastAsia="zh-CN"/>
        </w:rPr>
      </w:pPr>
      <w:bookmarkStart w:id="123" w:name="_Toc17429"/>
      <w:r>
        <w:rPr>
          <w:rFonts w:hint="eastAsia" w:ascii="黑体" w:hAnsi="黑体" w:eastAsia="黑体" w:cs="黑体"/>
          <w:b w:val="0"/>
          <w:bCs w:val="0"/>
          <w:lang w:val="en-US" w:eastAsia="zh-CN"/>
        </w:rPr>
        <w:t>三、部门整体预算绩效管理情况</w:t>
      </w:r>
      <w:bookmarkEnd w:id="123"/>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bookmarkStart w:id="124" w:name="_Toc1187"/>
      <w:r>
        <w:rPr>
          <w:rStyle w:val="28"/>
          <w:rFonts w:hint="eastAsia" w:ascii="楷体" w:hAnsi="楷体" w:eastAsia="楷体" w:cs="楷体"/>
          <w:lang w:val="zh-CN" w:eastAsia="zh-CN"/>
        </w:rPr>
        <w:t>（一）部门预算管理。</w:t>
      </w:r>
    </w:p>
    <w:bookmarkEnd w:id="124"/>
    <w:p>
      <w:pPr>
        <w:pStyle w:val="5"/>
        <w:keepNext w:val="0"/>
        <w:keepLines w:val="0"/>
        <w:pageBreakBefore w:val="0"/>
        <w:kinsoku/>
        <w:wordWrap/>
        <w:overflowPunct/>
        <w:topLinePunct w:val="0"/>
        <w:autoSpaceDE/>
        <w:autoSpaceDN/>
        <w:bidi w:val="0"/>
        <w:adjustRightInd w:val="0"/>
        <w:snapToGrid/>
        <w:spacing w:line="560" w:lineRule="exact"/>
        <w:ind w:left="0" w:leftChars="0" w:right="0" w:rightChars="0" w:firstLine="640"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按照预算管理有关规定，目前部门预算的编制实行综合预算制度，即全部收入和支出都反映在预算中。</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bookmarkStart w:id="125" w:name="_Toc23127"/>
      <w:r>
        <w:rPr>
          <w:rStyle w:val="28"/>
          <w:rFonts w:hint="eastAsia" w:ascii="楷体" w:hAnsi="楷体" w:eastAsia="楷体" w:cs="楷体"/>
          <w:lang w:val="zh-CN" w:eastAsia="zh-CN"/>
        </w:rPr>
        <w:t>（</w:t>
      </w:r>
      <w:r>
        <w:rPr>
          <w:rStyle w:val="28"/>
          <w:rFonts w:hint="eastAsia" w:ascii="楷体" w:hAnsi="楷体" w:eastAsia="楷体" w:cs="楷体"/>
          <w:lang w:val="en-US" w:eastAsia="zh-CN"/>
        </w:rPr>
        <w:t>二</w:t>
      </w:r>
      <w:r>
        <w:rPr>
          <w:rStyle w:val="28"/>
          <w:rFonts w:hint="eastAsia" w:ascii="楷体" w:hAnsi="楷体" w:eastAsia="楷体" w:cs="楷体"/>
          <w:lang w:val="zh-CN" w:eastAsia="zh-CN"/>
        </w:rPr>
        <w:t>）结果应用情况。</w:t>
      </w:r>
    </w:p>
    <w:bookmarkEnd w:id="125"/>
    <w:p>
      <w:pPr>
        <w:pageBreakBefore w:val="0"/>
        <w:widowControl/>
        <w:numPr>
          <w:ilvl w:val="0"/>
          <w:numId w:val="0"/>
        </w:numPr>
        <w:kinsoku/>
        <w:wordWrap/>
        <w:overflowPunct/>
        <w:topLinePunct w:val="0"/>
        <w:bidi w:val="0"/>
        <w:adjustRightInd w:val="0"/>
        <w:snapToGrid/>
        <w:spacing w:line="560" w:lineRule="exact"/>
        <w:ind w:firstLine="640" w:firstLineChars="200"/>
        <w:contextualSpacing/>
        <w:jc w:val="left"/>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zh-CN" w:eastAsia="zh-CN"/>
        </w:rPr>
        <w:t>通过对本部门整体预算绩效管理，更加准确的了解部门情况，本部门重点工作</w:t>
      </w:r>
      <w:r>
        <w:rPr>
          <w:rFonts w:hint="eastAsia" w:ascii="仿宋_GB2312" w:hAnsi="仿宋_GB2312" w:eastAsia="仿宋_GB2312" w:cs="仿宋_GB2312"/>
          <w:color w:val="auto"/>
          <w:kern w:val="0"/>
          <w:sz w:val="32"/>
          <w:szCs w:val="32"/>
          <w:shd w:val="clear" w:color="auto" w:fill="FFFFFF"/>
          <w:lang w:val="en-US" w:eastAsia="zh-CN"/>
        </w:rPr>
        <w:tab/>
      </w:r>
      <w:r>
        <w:rPr>
          <w:rFonts w:hint="eastAsia" w:ascii="仿宋_GB2312" w:hAnsi="仿宋_GB2312" w:eastAsia="仿宋_GB2312" w:cs="仿宋_GB2312"/>
          <w:color w:val="auto"/>
          <w:kern w:val="0"/>
          <w:sz w:val="32"/>
          <w:szCs w:val="32"/>
          <w:shd w:val="clear" w:color="auto" w:fill="FFFFFF"/>
          <w:lang w:val="en-US" w:eastAsia="zh-CN"/>
        </w:rPr>
        <w:t>情况，合理分配资金，</w:t>
      </w:r>
      <w:r>
        <w:rPr>
          <w:rFonts w:hint="eastAsia" w:ascii="仿宋_GB2312" w:hAnsi="仿宋_GB2312" w:eastAsia="仿宋_GB2312" w:cs="仿宋_GB2312"/>
          <w:color w:val="auto"/>
          <w:kern w:val="0"/>
          <w:sz w:val="32"/>
          <w:szCs w:val="32"/>
          <w:shd w:val="clear" w:color="auto" w:fill="FFFFFF"/>
          <w:lang w:val="zh-CN"/>
        </w:rPr>
        <w:t>确保部门所有收入和支出都反映在预算中。</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en-US" w:eastAsia="zh-CN"/>
        </w:rPr>
      </w:pPr>
      <w:bookmarkStart w:id="126" w:name="_Toc3536"/>
      <w:r>
        <w:rPr>
          <w:rFonts w:hint="eastAsia" w:ascii="黑体" w:hAnsi="黑体" w:eastAsia="黑体" w:cs="黑体"/>
          <w:b w:val="0"/>
          <w:bCs w:val="0"/>
          <w:lang w:val="en-US" w:eastAsia="zh-CN"/>
        </w:rPr>
        <w:t>四、评价结论及建议</w:t>
      </w:r>
      <w:bookmarkEnd w:id="126"/>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Fonts w:ascii="仿宋_GB2312" w:hAnsi="宋体" w:eastAsia="仿宋_GB2312" w:cs="宋体"/>
          <w:color w:val="auto"/>
          <w:kern w:val="0"/>
          <w:sz w:val="32"/>
          <w:szCs w:val="32"/>
          <w:shd w:val="clear" w:color="auto" w:fill="FFFFFF"/>
          <w:lang w:val="zh-CN"/>
        </w:rPr>
      </w:pPr>
      <w:bookmarkStart w:id="127" w:name="_Toc9626"/>
      <w:r>
        <w:rPr>
          <w:rStyle w:val="28"/>
          <w:rFonts w:hint="eastAsia" w:ascii="楷体" w:hAnsi="楷体" w:eastAsia="楷体" w:cs="楷体"/>
          <w:lang w:val="zh-CN" w:eastAsia="zh-CN"/>
        </w:rPr>
        <w:t>（一）评价结论。</w:t>
      </w:r>
      <w:bookmarkEnd w:id="127"/>
      <w:r>
        <w:rPr>
          <w:rFonts w:hint="eastAsia" w:ascii="仿宋_GB2312" w:hAnsi="宋体" w:eastAsia="仿宋_GB2312" w:cs="宋体"/>
          <w:color w:val="auto"/>
          <w:kern w:val="0"/>
          <w:sz w:val="32"/>
          <w:szCs w:val="32"/>
          <w:shd w:val="clear" w:color="auto" w:fill="FFFFFF"/>
          <w:lang w:val="zh-CN"/>
        </w:rPr>
        <w:t>通过对本部门预算的编制，公开，开展项目绩效评价等工作，确保部门所有收入和支出都反映在预算中。</w:t>
      </w:r>
    </w:p>
    <w:p>
      <w:pPr>
        <w:keepNext w:val="0"/>
        <w:keepLines w:val="0"/>
        <w:pageBreakBefore w:val="0"/>
        <w:widowControl w:val="0"/>
        <w:numPr>
          <w:ilvl w:val="0"/>
          <w:numId w:val="0"/>
        </w:numPr>
        <w:kinsoku/>
        <w:wordWrap/>
        <w:overflowPunct/>
        <w:topLinePunct w:val="0"/>
        <w:autoSpaceDE/>
        <w:autoSpaceDN/>
        <w:bidi w:val="0"/>
        <w:adjustRightInd w:val="0"/>
        <w:snapToGrid/>
        <w:spacing w:after="0" w:afterLines="0" w:line="560" w:lineRule="exact"/>
        <w:ind w:right="0" w:rightChars="0" w:firstLine="643" w:firstLineChars="200"/>
        <w:jc w:val="both"/>
        <w:textAlignment w:val="auto"/>
        <w:outlineLvl w:val="9"/>
        <w:rPr>
          <w:rFonts w:hint="eastAsia" w:ascii="仿宋_GB2312" w:hAnsi="仿宋_GB2312" w:eastAsia="仿宋_GB2312" w:cs="仿宋_GB2312"/>
          <w:bCs/>
          <w:color w:val="auto"/>
          <w:spacing w:val="0"/>
          <w:kern w:val="0"/>
          <w:sz w:val="32"/>
          <w:szCs w:val="32"/>
          <w:lang w:val="en-US" w:eastAsia="zh-CN" w:bidi="ar-SA"/>
        </w:rPr>
      </w:pPr>
      <w:bookmarkStart w:id="128" w:name="_Toc6091"/>
      <w:r>
        <w:rPr>
          <w:rStyle w:val="28"/>
          <w:rFonts w:hint="eastAsia" w:ascii="楷体" w:hAnsi="楷体" w:eastAsia="楷体" w:cs="楷体"/>
          <w:lang w:val="zh-CN" w:eastAsia="zh-CN"/>
        </w:rPr>
        <w:t>（二）存在问题。</w:t>
      </w:r>
      <w:bookmarkEnd w:id="128"/>
      <w:r>
        <w:rPr>
          <w:rFonts w:hint="eastAsia" w:ascii="仿宋_GB2312" w:hAnsi="仿宋_GB2312" w:eastAsia="仿宋_GB2312" w:cs="仿宋_GB2312"/>
          <w:b/>
          <w:bCs/>
          <w:color w:val="auto"/>
          <w:sz w:val="32"/>
          <w:szCs w:val="32"/>
        </w:rPr>
        <w:t>一</w:t>
      </w:r>
      <w:r>
        <w:rPr>
          <w:rFonts w:hint="eastAsia" w:ascii="仿宋_GB2312" w:hAnsi="仿宋_GB2312" w:eastAsia="仿宋_GB2312" w:cs="仿宋_GB2312"/>
          <w:bCs/>
          <w:color w:val="auto"/>
          <w:spacing w:val="0"/>
          <w:kern w:val="0"/>
          <w:sz w:val="32"/>
          <w:szCs w:val="32"/>
          <w:lang w:val="en-US" w:eastAsia="zh-CN" w:bidi="ar-SA"/>
        </w:rPr>
        <w:t>是政治理论学习不够深入；二是思想解放不够，开拓精神不强、创新工作不够大胆；三是为适应新形势的变化和发展，还需要与时俱进，不断改变工作方式方法，努力提高领导班子的水平。</w:t>
      </w:r>
    </w:p>
    <w:p>
      <w:pPr>
        <w:keepNext w:val="0"/>
        <w:keepLines w:val="0"/>
        <w:pageBreakBefore w:val="0"/>
        <w:widowControl w:val="0"/>
        <w:numPr>
          <w:ilvl w:val="0"/>
          <w:numId w:val="0"/>
        </w:numPr>
        <w:kinsoku/>
        <w:wordWrap/>
        <w:overflowPunct/>
        <w:topLinePunct w:val="0"/>
        <w:autoSpaceDE/>
        <w:autoSpaceDN/>
        <w:bidi w:val="0"/>
        <w:adjustRightInd w:val="0"/>
        <w:snapToGrid/>
        <w:spacing w:after="0" w:afterLines="0" w:line="560" w:lineRule="exact"/>
        <w:ind w:right="0" w:rightChars="0" w:firstLine="643" w:firstLineChars="200"/>
        <w:jc w:val="both"/>
        <w:textAlignment w:val="auto"/>
        <w:outlineLvl w:val="9"/>
        <w:rPr>
          <w:rFonts w:hint="eastAsia" w:ascii="仿宋_GB2312" w:hAnsi="仿宋_GB2312" w:eastAsia="仿宋_GB2312" w:cs="仿宋_GB2312"/>
          <w:bCs/>
          <w:color w:val="auto"/>
          <w:spacing w:val="0"/>
          <w:kern w:val="0"/>
          <w:sz w:val="32"/>
          <w:szCs w:val="32"/>
          <w:lang w:val="en-US" w:eastAsia="zh-CN" w:bidi="ar-SA"/>
        </w:rPr>
      </w:pPr>
      <w:bookmarkStart w:id="129" w:name="_Toc25601"/>
      <w:r>
        <w:rPr>
          <w:rStyle w:val="28"/>
          <w:rFonts w:hint="eastAsia" w:ascii="楷体" w:hAnsi="楷体" w:eastAsia="楷体" w:cs="楷体"/>
          <w:lang w:val="zh-CN" w:eastAsia="zh-CN"/>
        </w:rPr>
        <w:t>（三）改进建议。</w:t>
      </w:r>
      <w:bookmarkEnd w:id="129"/>
      <w:r>
        <w:rPr>
          <w:rFonts w:hint="eastAsia" w:ascii="仿宋_GB2312" w:hAnsi="仿宋_GB2312" w:eastAsia="仿宋_GB2312" w:cs="仿宋_GB2312"/>
          <w:bCs/>
          <w:color w:val="auto"/>
          <w:spacing w:val="0"/>
          <w:kern w:val="0"/>
          <w:sz w:val="32"/>
          <w:szCs w:val="32"/>
          <w:lang w:val="en-US" w:eastAsia="zh-CN" w:bidi="ar-SA"/>
        </w:rPr>
        <w:t>一是不断加强政治理论学习。按照科学发展观和构建和谐社会的要求，坚持不懈地深入学习“三个代表”重要思想和党的理论、路线、方针、政策，不断更新知识结构、拓宽知识面，在学习中不断改造自己的主观世界，增强贯彻“三个代表”重要思想的自觉性和坚定性。二是大力弘扬理论联系实际的学习，带动全局广大党员干部特别是领导干部紧密联系自己的思想实际和工作实际，做到学以立德、学以增智。三是借鉴和参考发达地区的先进经验，紧密联系本地、本局实际，做到学以致用。四是继续巩固“两学一做”活动成果，积极开展批评和自我批评，深刻剖析、认真整改，切实解决思想作风、学风、工作作风、领导作风等方面存在的问题，以优良的党风促进政风和社会风气的好转。五是密切党群关系，加强党的作风建设，真正做到情为民所系、权为民所用、利为民所谋。</w:t>
      </w:r>
    </w:p>
    <w:p>
      <w:pPr>
        <w:keepNext w:val="0"/>
        <w:keepLines w:val="0"/>
        <w:pageBreakBefore w:val="0"/>
        <w:widowControl w:val="0"/>
        <w:numPr>
          <w:ilvl w:val="0"/>
          <w:numId w:val="0"/>
        </w:numPr>
        <w:kinsoku/>
        <w:wordWrap/>
        <w:overflowPunct/>
        <w:topLinePunct w:val="0"/>
        <w:autoSpaceDE/>
        <w:autoSpaceDN/>
        <w:bidi w:val="0"/>
        <w:adjustRightInd w:val="0"/>
        <w:snapToGrid/>
        <w:spacing w:after="0" w:afterLines="0" w:line="560" w:lineRule="exact"/>
        <w:ind w:right="0" w:rightChars="0" w:firstLine="640" w:firstLineChars="200"/>
        <w:jc w:val="both"/>
        <w:textAlignment w:val="auto"/>
        <w:outlineLvl w:val="9"/>
        <w:rPr>
          <w:rFonts w:hint="eastAsia" w:ascii="仿宋_GB2312" w:hAnsi="仿宋_GB2312" w:eastAsia="仿宋_GB2312" w:cs="仿宋_GB2312"/>
          <w:bCs/>
          <w:color w:val="auto"/>
          <w:spacing w:val="0"/>
          <w:kern w:val="0"/>
          <w:sz w:val="32"/>
          <w:szCs w:val="32"/>
          <w:lang w:val="en-US" w:eastAsia="zh-CN" w:bidi="ar-SA"/>
        </w:rPr>
      </w:pPr>
      <w:r>
        <w:rPr>
          <w:rFonts w:hint="eastAsia" w:ascii="仿宋_GB2312" w:hAnsi="仿宋_GB2312" w:eastAsia="仿宋_GB2312" w:cs="仿宋_GB2312"/>
          <w:bCs/>
          <w:color w:val="auto"/>
          <w:spacing w:val="0"/>
          <w:kern w:val="0"/>
          <w:sz w:val="32"/>
          <w:szCs w:val="32"/>
          <w:lang w:val="en-US" w:eastAsia="zh-CN" w:bidi="ar-SA"/>
        </w:rPr>
        <w:t>在今后的工作中，领导班子将进一步依靠集体的智慧和力量，充分发挥班子每位成员的作用，不断克服前进道路上的困难，做到胸怀全局，勤政务实，作风民主，知人善任，清正廉洁，与同志们一道，开拓进取，扎实工作，为全县的水利事业发展贡献力量。</w:t>
      </w:r>
    </w:p>
    <w:p>
      <w:pPr>
        <w:pageBreakBefore w:val="0"/>
        <w:widowControl/>
        <w:kinsoku/>
        <w:wordWrap/>
        <w:overflowPunct/>
        <w:topLinePunct w:val="0"/>
        <w:bidi w:val="0"/>
        <w:adjustRightInd w:val="0"/>
        <w:snapToGrid/>
        <w:spacing w:line="560" w:lineRule="exact"/>
        <w:ind w:firstLine="640" w:firstLineChars="200"/>
        <w:contextualSpacing/>
        <w:jc w:val="left"/>
        <w:textAlignment w:val="auto"/>
        <w:rPr>
          <w:rFonts w:ascii="仿宋_GB2312" w:hAnsi="宋体" w:eastAsia="仿宋_GB2312" w:cs="宋体"/>
          <w:color w:val="auto"/>
          <w:kern w:val="0"/>
          <w:sz w:val="32"/>
          <w:szCs w:val="32"/>
          <w:shd w:val="clear" w:color="auto" w:fill="FFFFFF"/>
          <w:lang w:val="zh-CN"/>
        </w:rPr>
      </w:pPr>
    </w:p>
    <w:p>
      <w:pPr>
        <w:pageBreakBefore w:val="0"/>
        <w:kinsoku/>
        <w:wordWrap/>
        <w:overflowPunct/>
        <w:topLinePunct w:val="0"/>
        <w:bidi w:val="0"/>
        <w:snapToGrid/>
        <w:spacing w:line="560" w:lineRule="exact"/>
        <w:ind w:firstLine="640" w:firstLineChars="200"/>
        <w:textAlignment w:val="auto"/>
        <w:rPr>
          <w:rFonts w:ascii="仿宋_GB2312" w:hAnsi="仿宋_GB2312" w:eastAsia="仿宋_GB2312" w:cs="仿宋_GB2312"/>
          <w:color w:val="auto"/>
          <w:sz w:val="32"/>
          <w:szCs w:val="32"/>
        </w:rPr>
      </w:pPr>
    </w:p>
    <w:p>
      <w:pPr>
        <w:pageBreakBefore w:val="0"/>
        <w:kinsoku/>
        <w:wordWrap/>
        <w:overflowPunct/>
        <w:topLinePunct w:val="0"/>
        <w:bidi w:val="0"/>
        <w:snapToGrid/>
        <w:spacing w:line="560" w:lineRule="exact"/>
        <w:ind w:firstLine="640" w:firstLineChars="200"/>
        <w:textAlignment w:val="auto"/>
        <w:rPr>
          <w:rFonts w:ascii="仿宋_GB2312" w:hAnsi="仿宋_GB2312" w:eastAsia="仿宋_GB2312" w:cs="仿宋_GB2312"/>
          <w:color w:val="auto"/>
          <w:sz w:val="32"/>
          <w:szCs w:val="32"/>
        </w:rPr>
      </w:pPr>
    </w:p>
    <w:p>
      <w:pPr>
        <w:pageBreakBefore w:val="0"/>
        <w:widowControl/>
        <w:kinsoku/>
        <w:wordWrap/>
        <w:overflowPunct/>
        <w:topLinePunct w:val="0"/>
        <w:bidi w:val="0"/>
        <w:snapToGrid/>
        <w:spacing w:line="560" w:lineRule="exact"/>
        <w:ind w:firstLine="2640" w:firstLineChars="600"/>
        <w:jc w:val="left"/>
        <w:textAlignment w:val="auto"/>
        <w:rPr>
          <w:rFonts w:hint="eastAsia" w:ascii="黑体" w:hAnsi="黑体" w:eastAsia="黑体"/>
          <w:color w:val="auto"/>
          <w:sz w:val="44"/>
          <w:szCs w:val="44"/>
        </w:rPr>
      </w:pPr>
      <w:bookmarkStart w:id="130" w:name="_Toc15396618"/>
    </w:p>
    <w:p>
      <w:pPr>
        <w:pageBreakBefore w:val="0"/>
        <w:kinsoku/>
        <w:wordWrap/>
        <w:overflowPunct/>
        <w:topLinePunct w:val="0"/>
        <w:bidi w:val="0"/>
        <w:snapToGrid/>
        <w:spacing w:line="560" w:lineRule="exact"/>
        <w:jc w:val="both"/>
        <w:textAlignment w:val="auto"/>
        <w:rPr>
          <w:rFonts w:hint="eastAsia" w:ascii="黑体" w:hAnsi="黑体" w:eastAsia="黑体" w:cs="黑体"/>
          <w:color w:val="auto"/>
          <w:sz w:val="32"/>
          <w:szCs w:val="32"/>
          <w:lang w:val="en-US" w:eastAsia="zh-CN"/>
        </w:rPr>
      </w:pPr>
      <w:bookmarkStart w:id="131" w:name="_Toc26805"/>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 xml:space="preserve">2        </w:t>
      </w:r>
    </w:p>
    <w:p>
      <w:pPr>
        <w:pageBreakBefore w:val="0"/>
        <w:kinsoku/>
        <w:wordWrap/>
        <w:overflowPunct/>
        <w:topLinePunct w:val="0"/>
        <w:bidi w:val="0"/>
        <w:snapToGrid/>
        <w:spacing w:line="560" w:lineRule="exact"/>
        <w:jc w:val="center"/>
        <w:textAlignment w:val="auto"/>
        <w:rPr>
          <w:rFonts w:hint="eastAsia" w:ascii="方正小标宋简体" w:hAnsi="宋体" w:eastAsia="方正小标宋简体" w:cs="Times New Roman"/>
          <w:color w:val="auto"/>
          <w:kern w:val="0"/>
          <w:sz w:val="44"/>
          <w:szCs w:val="44"/>
          <w:lang w:eastAsia="zh-CN"/>
        </w:rPr>
      </w:pPr>
      <w:r>
        <w:rPr>
          <w:rFonts w:hint="eastAsia" w:ascii="方正小标宋简体" w:hAnsi="宋体" w:eastAsia="方正小标宋简体" w:cs="Times New Roman"/>
          <w:color w:val="auto"/>
          <w:kern w:val="0"/>
          <w:sz w:val="44"/>
          <w:szCs w:val="44"/>
          <w:lang w:eastAsia="zh-CN"/>
        </w:rPr>
        <w:t>项目支出绩效自评报告</w:t>
      </w:r>
    </w:p>
    <w:p>
      <w:pPr>
        <w:pageBreakBefore w:val="0"/>
        <w:kinsoku/>
        <w:wordWrap/>
        <w:overflowPunct/>
        <w:topLinePunct w:val="0"/>
        <w:bidi w:val="0"/>
        <w:snapToGrid/>
        <w:spacing w:line="560" w:lineRule="exact"/>
        <w:jc w:val="center"/>
        <w:textAlignment w:val="auto"/>
        <w:rPr>
          <w:rFonts w:hint="eastAsia" w:ascii="方正小标宋简体" w:hAnsi="宋体" w:eastAsia="方正小标宋简体" w:cs="Times New Roman"/>
          <w:color w:val="auto"/>
          <w:kern w:val="0"/>
          <w:sz w:val="44"/>
          <w:szCs w:val="44"/>
          <w:lang w:eastAsia="zh-CN"/>
        </w:rPr>
      </w:pPr>
      <w:r>
        <w:rPr>
          <w:rFonts w:hint="eastAsia" w:ascii="方正小标宋简体" w:hAnsi="宋体" w:eastAsia="方正小标宋简体" w:cs="Times New Roman"/>
          <w:color w:val="auto"/>
          <w:kern w:val="0"/>
          <w:sz w:val="44"/>
          <w:szCs w:val="44"/>
          <w:lang w:eastAsia="zh-CN"/>
        </w:rPr>
        <w:t>（红原县水源地保护项目）</w:t>
      </w:r>
    </w:p>
    <w:p>
      <w:pPr>
        <w:pageBreakBefore w:val="0"/>
        <w:kinsoku/>
        <w:wordWrap/>
        <w:overflowPunct/>
        <w:topLinePunct w:val="0"/>
        <w:bidi w:val="0"/>
        <w:snapToGrid/>
        <w:spacing w:line="560" w:lineRule="exact"/>
        <w:jc w:val="center"/>
        <w:textAlignment w:val="auto"/>
        <w:rPr>
          <w:rFonts w:hint="eastAsia" w:ascii="方正小标宋简体" w:hAnsi="宋体" w:eastAsia="方正小标宋简体" w:cs="Times New Roman"/>
          <w:color w:val="auto"/>
          <w:kern w:val="0"/>
          <w:sz w:val="44"/>
          <w:szCs w:val="44"/>
          <w:lang w:eastAsia="zh-CN"/>
        </w:rPr>
      </w:pPr>
    </w:p>
    <w:p>
      <w:pPr>
        <w:adjustRightInd w:val="0"/>
        <w:snapToGrid w:val="0"/>
        <w:spacing w:line="600" w:lineRule="exact"/>
        <w:ind w:firstLine="720"/>
        <w:rPr>
          <w:rFonts w:hint="eastAsia" w:ascii="黑体" w:hAnsi="黑体" w:eastAsia="黑体" w:cs="黑体"/>
          <w:b w:val="0"/>
          <w:bCs w:val="0"/>
          <w:kern w:val="2"/>
          <w:sz w:val="32"/>
          <w:szCs w:val="32"/>
          <w:lang w:val="zh-CN" w:eastAsia="zh-CN" w:bidi="ar-SA"/>
        </w:rPr>
      </w:pPr>
      <w:r>
        <w:rPr>
          <w:rFonts w:hint="eastAsia" w:ascii="黑体" w:hAnsi="黑体" w:eastAsia="黑体" w:cs="黑体"/>
          <w:b w:val="0"/>
          <w:bCs w:val="0"/>
          <w:kern w:val="2"/>
          <w:sz w:val="32"/>
          <w:szCs w:val="32"/>
          <w:lang w:val="zh-CN" w:eastAsia="zh-CN" w:bidi="ar-SA"/>
        </w:rPr>
        <w:t>一、项目概况</w:t>
      </w:r>
    </w:p>
    <w:p>
      <w:pPr>
        <w:adjustRightInd w:val="0"/>
        <w:snapToGrid w:val="0"/>
        <w:spacing w:line="600" w:lineRule="exact"/>
        <w:ind w:firstLine="720"/>
        <w:rPr>
          <w:rFonts w:hint="default" w:ascii="仿宋_GB2312" w:hAnsi="仿宋_GB2312" w:eastAsia="仿宋_GB2312" w:cs="仿宋_GB2312"/>
          <w:sz w:val="32"/>
          <w:szCs w:val="32"/>
          <w:lang w:val="en-US" w:eastAsia="zh-CN"/>
        </w:rPr>
      </w:pPr>
      <w:r>
        <w:rPr>
          <w:rStyle w:val="28"/>
          <w:rFonts w:hint="eastAsia" w:ascii="楷体" w:hAnsi="楷体" w:eastAsia="楷体" w:cs="楷体"/>
          <w:lang w:val="zh-CN" w:eastAsia="zh-CN"/>
        </w:rPr>
        <w:t>（一）项目资金申报及批复情况。</w:t>
      </w:r>
      <w:r>
        <w:rPr>
          <w:rFonts w:hint="eastAsia" w:ascii="仿宋_GB2312" w:hAnsi="仿宋_GB2312" w:eastAsia="仿宋_GB2312" w:cs="仿宋_GB2312"/>
          <w:sz w:val="32"/>
          <w:szCs w:val="32"/>
          <w:lang w:val="zh-CN" w:eastAsia="zh-CN"/>
        </w:rPr>
        <w:t>红原县水源地保护项目经红原县发展和改革局红发改行审〔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81号文件批准建设，项目业主为红原县水务局，资金来源为2019年省级财政脱贫攻坚资金（支持藏区内生动力提升第二批资金），总投资1300万元。</w:t>
      </w:r>
    </w:p>
    <w:p>
      <w:pPr>
        <w:adjustRightInd w:val="0"/>
        <w:snapToGrid w:val="0"/>
        <w:spacing w:line="600" w:lineRule="exact"/>
        <w:ind w:firstLine="720"/>
        <w:rPr>
          <w:rStyle w:val="28"/>
          <w:rFonts w:hint="eastAsia" w:ascii="楷体" w:hAnsi="楷体" w:eastAsia="楷体" w:cs="楷体"/>
          <w:lang w:val="zh-CN" w:eastAsia="zh-CN"/>
        </w:rPr>
      </w:pPr>
      <w:r>
        <w:rPr>
          <w:rStyle w:val="28"/>
          <w:rFonts w:hint="eastAsia" w:ascii="楷体" w:hAnsi="楷体" w:eastAsia="楷体" w:cs="楷体"/>
          <w:lang w:val="zh-CN" w:eastAsia="zh-CN"/>
        </w:rPr>
        <w:t>（二）项目绩效目标。</w:t>
      </w:r>
    </w:p>
    <w:p>
      <w:pPr>
        <w:adjustRightInd w:val="0"/>
        <w:snapToGrid w:val="0"/>
        <w:spacing w:line="600" w:lineRule="exact"/>
        <w:ind w:firstLine="72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1.项目建设内容</w:t>
      </w:r>
      <w:r>
        <w:rPr>
          <w:rFonts w:hint="eastAsia" w:ascii="仿宋_GB2312" w:hAnsi="仿宋_GB2312" w:eastAsia="仿宋_GB2312" w:cs="仿宋_GB2312"/>
          <w:sz w:val="32"/>
          <w:szCs w:val="32"/>
          <w:lang w:val="en-US" w:eastAsia="zh-CN"/>
        </w:rPr>
        <w:t>:阿木乡水源地保护区设立一级保护区防护围栏2292米，界桩16个，宣传牌2座，二级保护区界碑42个，一级保护区林草补植面积210亩，二级保护区撒播草种面积356亩，新建护坡308米，配套林草补植，监控系统；麦洼乡水源保护区设立一级保护区防护围栏1736米，界桩12个，宣传牌2座，二级保护区界碑40个，一级保护区林草补植面积244亩，二级保护区撒播草种面积356亩，新建护坡353米，配套林草补植，监控系统；色地镇水源保护区设立一级保护区防护围栏2492米，界桩20个，宣传牌2座，二级保护区界碑38个，一级保护区林草补植面积192亩，二级保护区撒播草种面积320亩，配套林草补植，监控系统；瓦切镇水源保护区设立一级保护区防护围栏2850米，界桩19个，宣传牌3座，二级保护区界碑36个，一级保护区林草补植面积294亩，二级保护区撒播草种320亩，配套林草补植，监控系统。</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2.预计目标</w:t>
      </w:r>
      <w:r>
        <w:rPr>
          <w:rFonts w:hint="eastAsia" w:ascii="仿宋_GB2312" w:hAnsi="仿宋_GB2312" w:eastAsia="仿宋_GB2312" w:cs="仿宋_GB2312"/>
          <w:b/>
          <w:bCs/>
          <w:sz w:val="32"/>
          <w:szCs w:val="32"/>
          <w:lang w:val="zh-CN" w:eastAsia="zh-CN"/>
        </w:rPr>
        <w:t>项：</w:t>
      </w:r>
      <w:r>
        <w:rPr>
          <w:rFonts w:hint="eastAsia" w:ascii="仿宋_GB2312" w:hAnsi="仿宋_GB2312" w:eastAsia="仿宋_GB2312" w:cs="仿宋_GB2312"/>
          <w:sz w:val="32"/>
          <w:szCs w:val="32"/>
          <w:lang w:val="zh-CN" w:eastAsia="zh-CN"/>
        </w:rPr>
        <w:t>目建成后将对该片区的水源提供强有力的保护，巩固乡镇集中式饮用水水源地环境问题清理整治成果，提高饮用水水源地水质安全保障，加快解决饮用水水源地突出环境问题，消除环境风险隐患，提升水质，消除环境风险隐患。</w:t>
      </w:r>
    </w:p>
    <w:p>
      <w:pPr>
        <w:adjustRightInd w:val="0"/>
        <w:snapToGrid w:val="0"/>
        <w:spacing w:line="600" w:lineRule="exact"/>
        <w:ind w:firstLine="72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3.项目实施进度计划：</w:t>
      </w:r>
      <w:r>
        <w:rPr>
          <w:rFonts w:hint="eastAsia" w:ascii="仿宋_GB2312" w:hAnsi="仿宋_GB2312" w:eastAsia="仿宋_GB2312" w:cs="仿宋_GB2312"/>
          <w:sz w:val="32"/>
          <w:szCs w:val="32"/>
          <w:lang w:val="en-US" w:eastAsia="zh-CN"/>
        </w:rPr>
        <w:t>项目计划工期6个月，计划开工日期为2020年6月8日，计划竣工日期为2020年12月7日。</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321" w:firstLineChars="100"/>
        <w:textAlignment w:val="auto"/>
        <w:rPr>
          <w:rFonts w:hint="eastAsia" w:ascii="楷体_GB2312" w:hAnsi="宋体" w:eastAsia="楷体_GB2312"/>
          <w:b/>
          <w:lang w:val="zh-CN"/>
        </w:rPr>
      </w:pPr>
      <w:r>
        <w:rPr>
          <w:rStyle w:val="28"/>
          <w:rFonts w:hint="eastAsia" w:ascii="楷体" w:hAnsi="楷体" w:eastAsia="楷体" w:cs="楷体"/>
          <w:lang w:val="zh-CN" w:eastAsia="zh-CN"/>
        </w:rPr>
        <w:t>（三）项目资金申报相符性</w:t>
      </w:r>
      <w:r>
        <w:rPr>
          <w:rFonts w:hint="eastAsia" w:ascii="楷体_GB2312" w:hAnsi="宋体" w:eastAsia="楷体_GB2312"/>
          <w:b/>
          <w:lang w:val="zh-CN"/>
        </w:rPr>
        <w:t>。</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该项目申报内容与具体实施内容相符、申报目标合理可行。</w:t>
      </w:r>
    </w:p>
    <w:p>
      <w:pPr>
        <w:adjustRightInd w:val="0"/>
        <w:snapToGrid w:val="0"/>
        <w:spacing w:line="600" w:lineRule="exact"/>
        <w:ind w:firstLine="720"/>
        <w:rPr>
          <w:rFonts w:hint="eastAsia" w:ascii="黑体" w:hAnsi="黑体" w:eastAsia="黑体" w:cs="黑体"/>
          <w:b w:val="0"/>
          <w:bCs w:val="0"/>
          <w:kern w:val="2"/>
          <w:sz w:val="32"/>
          <w:szCs w:val="32"/>
          <w:lang w:val="zh-CN" w:eastAsia="zh-CN" w:bidi="ar-SA"/>
        </w:rPr>
      </w:pPr>
      <w:r>
        <w:rPr>
          <w:rFonts w:hint="eastAsia" w:ascii="黑体" w:hAnsi="黑体" w:eastAsia="黑体" w:cs="黑体"/>
          <w:b w:val="0"/>
          <w:bCs w:val="0"/>
          <w:kern w:val="2"/>
          <w:sz w:val="32"/>
          <w:szCs w:val="32"/>
          <w:lang w:val="zh-CN" w:eastAsia="zh-CN" w:bidi="ar-SA"/>
        </w:rPr>
        <w:t>二、项目实施及管理情况</w:t>
      </w:r>
    </w:p>
    <w:p>
      <w:pPr>
        <w:adjustRightInd w:val="0"/>
        <w:snapToGrid w:val="0"/>
        <w:spacing w:line="600" w:lineRule="exact"/>
        <w:ind w:firstLine="720"/>
        <w:rPr>
          <w:rStyle w:val="28"/>
          <w:rFonts w:hint="eastAsia" w:ascii="楷体" w:hAnsi="楷体" w:eastAsia="楷体" w:cs="楷体"/>
          <w:lang w:val="zh-CN" w:eastAsia="zh-CN"/>
        </w:rPr>
      </w:pPr>
      <w:r>
        <w:rPr>
          <w:rStyle w:val="28"/>
          <w:rFonts w:hint="eastAsia" w:ascii="楷体" w:hAnsi="楷体" w:eastAsia="楷体" w:cs="楷体"/>
          <w:lang w:val="zh-CN" w:eastAsia="zh-CN"/>
        </w:rPr>
        <w:tab/>
      </w:r>
      <w:r>
        <w:rPr>
          <w:rStyle w:val="28"/>
          <w:rFonts w:hint="eastAsia" w:ascii="楷体" w:hAnsi="楷体" w:eastAsia="楷体" w:cs="楷体"/>
          <w:lang w:val="zh-CN" w:eastAsia="zh-CN"/>
        </w:rPr>
        <w:t>（一）资金计划、到位及使用情况。</w:t>
      </w:r>
    </w:p>
    <w:p>
      <w:pPr>
        <w:adjustRightInd w:val="0"/>
        <w:snapToGrid w:val="0"/>
        <w:spacing w:line="600" w:lineRule="exact"/>
        <w:ind w:firstLine="720"/>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1．资金计划及到位。</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该项目计划总投资</w:t>
      </w:r>
      <w:r>
        <w:rPr>
          <w:rFonts w:hint="eastAsia" w:ascii="仿宋_GB2312" w:hAnsi="仿宋_GB2312" w:eastAsia="仿宋_GB2312" w:cs="仿宋_GB2312"/>
          <w:sz w:val="32"/>
          <w:szCs w:val="32"/>
          <w:lang w:val="en-US" w:eastAsia="zh-CN"/>
        </w:rPr>
        <w:t>1300万元，实际到位资金1300万元</w:t>
      </w:r>
      <w:r>
        <w:rPr>
          <w:rFonts w:hint="eastAsia" w:ascii="仿宋_GB2312" w:hAnsi="仿宋_GB2312" w:eastAsia="仿宋_GB2312" w:cs="仿宋_GB2312"/>
          <w:sz w:val="32"/>
          <w:szCs w:val="32"/>
          <w:lang w:val="zh-CN" w:eastAsia="zh-CN"/>
        </w:rPr>
        <w:t>。</w:t>
      </w:r>
    </w:p>
    <w:p>
      <w:pPr>
        <w:adjustRightInd w:val="0"/>
        <w:snapToGrid w:val="0"/>
        <w:spacing w:line="600" w:lineRule="exact"/>
        <w:ind w:firstLine="720"/>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zh-CN" w:eastAsia="zh-CN"/>
        </w:rPr>
        <w:t>资金使用。</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项目中标价为</w:t>
      </w:r>
      <w:r>
        <w:rPr>
          <w:rFonts w:hint="eastAsia" w:ascii="仿宋_GB2312" w:hAnsi="仿宋_GB2312" w:eastAsia="仿宋_GB2312" w:cs="仿宋_GB2312"/>
          <w:sz w:val="32"/>
          <w:szCs w:val="32"/>
          <w:lang w:val="en-US" w:eastAsia="zh-CN"/>
        </w:rPr>
        <w:t>1030.45692万元（其中暂列金525743.3万元）</w:t>
      </w:r>
      <w:r>
        <w:rPr>
          <w:rFonts w:hint="eastAsia" w:ascii="仿宋_GB2312" w:hAnsi="仿宋_GB2312" w:eastAsia="仿宋_GB2312" w:cs="仿宋_GB2312"/>
          <w:sz w:val="32"/>
          <w:szCs w:val="32"/>
          <w:lang w:val="zh-CN" w:eastAsia="zh-CN"/>
        </w:rPr>
        <w:t>，根据项目实际完成工程量，按照合同约定已支付给项目施工单位</w:t>
      </w:r>
      <w:r>
        <w:rPr>
          <w:rFonts w:hint="eastAsia" w:ascii="仿宋_GB2312" w:hAnsi="仿宋_GB2312" w:eastAsia="仿宋_GB2312" w:cs="仿宋_GB2312"/>
          <w:sz w:val="32"/>
          <w:szCs w:val="32"/>
          <w:lang w:val="en-US" w:eastAsia="zh-CN"/>
        </w:rPr>
        <w:t>681.15万</w:t>
      </w:r>
      <w:r>
        <w:rPr>
          <w:rFonts w:hint="eastAsia" w:ascii="仿宋_GB2312" w:hAnsi="仿宋_GB2312" w:eastAsia="仿宋_GB2312" w:cs="仿宋_GB2312"/>
          <w:sz w:val="32"/>
          <w:szCs w:val="32"/>
          <w:lang w:val="zh-CN" w:eastAsia="zh-CN"/>
        </w:rPr>
        <w:t>元，我单位严格按照相关财务规定及财政相关要求，严格按照合同约定进行支付进度款，资金支付与预算基本相符。</w:t>
      </w:r>
    </w:p>
    <w:p>
      <w:pPr>
        <w:adjustRightInd w:val="0"/>
        <w:snapToGrid w:val="0"/>
        <w:spacing w:line="600" w:lineRule="exact"/>
        <w:ind w:firstLine="720"/>
        <w:rPr>
          <w:rStyle w:val="28"/>
          <w:rFonts w:hint="eastAsia" w:ascii="楷体" w:hAnsi="楷体" w:eastAsia="楷体" w:cs="楷体"/>
          <w:lang w:val="zh-CN" w:eastAsia="zh-CN"/>
        </w:rPr>
      </w:pPr>
      <w:r>
        <w:rPr>
          <w:rStyle w:val="28"/>
          <w:rFonts w:hint="eastAsia" w:ascii="楷体" w:hAnsi="楷体" w:eastAsia="楷体" w:cs="楷体"/>
          <w:lang w:val="zh-CN" w:eastAsia="zh-CN"/>
        </w:rPr>
        <w:t>（二）项目财务管理情况。</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严格按照相应的业务管理制度，规范各项经费的开支。资金使用规范，符合国家财经法规和财务管理以及有关专项资金管理办法的规定；资金的拨付有完整的审批程序和手续；不存在截留、挤占、挪用、虚列支出等情况。该项目会计核算及账务处理等严格执行财务管理制度，资金拨付严格按照合同约定及时拨付项目进度款，财务处理及时、会计核算合规，保障会计核算准确、财务资料完整。</w:t>
      </w:r>
    </w:p>
    <w:p>
      <w:pPr>
        <w:adjustRightInd w:val="0"/>
        <w:snapToGrid w:val="0"/>
        <w:spacing w:line="600" w:lineRule="exact"/>
        <w:ind w:firstLine="720"/>
        <w:rPr>
          <w:rStyle w:val="28"/>
          <w:rFonts w:hint="eastAsia" w:ascii="楷体" w:hAnsi="楷体" w:eastAsia="楷体" w:cs="楷体"/>
          <w:lang w:val="zh-CN" w:eastAsia="zh-CN"/>
        </w:rPr>
      </w:pPr>
      <w:r>
        <w:rPr>
          <w:rStyle w:val="28"/>
          <w:rFonts w:hint="eastAsia" w:ascii="楷体" w:hAnsi="楷体" w:eastAsia="楷体" w:cs="楷体"/>
          <w:lang w:val="zh-CN" w:eastAsia="zh-CN"/>
        </w:rPr>
        <w:t>（三）项目组织实施情况。</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该项目经红原县发展和改革局红发改行审〔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81号文件批准建设</w:t>
      </w:r>
      <w:r>
        <w:rPr>
          <w:rFonts w:hint="eastAsia" w:ascii="仿宋_GB2312" w:hAnsi="仿宋_GB2312" w:eastAsia="仿宋_GB2312" w:cs="仿宋_GB2312"/>
          <w:sz w:val="32"/>
          <w:szCs w:val="32"/>
          <w:lang w:val="zh-CN" w:eastAsia="zh-CN"/>
        </w:rPr>
        <w:t>，项目业主为红原县水务局，招标方式为公开招标，招标组织形式为委托招标，经在阿坝州公共资源交易中心网站通过报名随机抽取的方式确定了招标代理公司，中选公司为四川中城景业建设工程有限公司；该项目于</w:t>
      </w:r>
      <w:r>
        <w:rPr>
          <w:rFonts w:hint="eastAsia" w:ascii="仿宋_GB2312" w:hAnsi="仿宋_GB2312" w:eastAsia="仿宋_GB2312" w:cs="仿宋_GB2312"/>
          <w:sz w:val="32"/>
          <w:szCs w:val="32"/>
          <w:lang w:val="en-US" w:eastAsia="zh-CN"/>
        </w:rPr>
        <w:t>2020年5月22日开标，中标单位为</w:t>
      </w:r>
      <w:r>
        <w:rPr>
          <w:rFonts w:hint="eastAsia" w:ascii="仿宋_GB2312" w:hAnsi="仿宋_GB2312" w:eastAsia="仿宋_GB2312" w:cs="仿宋_GB2312"/>
          <w:sz w:val="32"/>
          <w:szCs w:val="32"/>
          <w:lang w:val="zh-CN" w:eastAsia="zh-CN"/>
        </w:rPr>
        <w:t>四川鸿吉建设工程有限公司。严格按照招投标相关规定进行备案并公示。施工单位按照招标文件要求进行了两金一险(履约保证金、民工工资保证金、工伤保险)的缴纳并签订合同及备案。</w:t>
      </w:r>
    </w:p>
    <w:p>
      <w:pPr>
        <w:adjustRightInd w:val="0"/>
        <w:snapToGrid w:val="0"/>
        <w:spacing w:line="600" w:lineRule="exact"/>
        <w:ind w:firstLine="720"/>
        <w:rPr>
          <w:rFonts w:hint="eastAsia" w:ascii="黑体" w:hAnsi="黑体" w:eastAsia="黑体" w:cs="黑体"/>
          <w:b w:val="0"/>
          <w:bCs w:val="0"/>
          <w:kern w:val="2"/>
          <w:sz w:val="32"/>
          <w:szCs w:val="32"/>
          <w:lang w:val="zh-CN" w:eastAsia="zh-CN" w:bidi="ar-SA"/>
        </w:rPr>
      </w:pPr>
      <w:r>
        <w:rPr>
          <w:rFonts w:hint="eastAsia" w:ascii="黑体" w:hAnsi="黑体" w:eastAsia="黑体" w:cs="黑体"/>
          <w:b w:val="0"/>
          <w:bCs w:val="0"/>
          <w:kern w:val="2"/>
          <w:sz w:val="32"/>
          <w:szCs w:val="32"/>
          <w:lang w:val="zh-CN" w:eastAsia="zh-CN" w:bidi="ar-SA"/>
        </w:rPr>
        <w:t>三、项目绩效情况</w:t>
      </w:r>
      <w:r>
        <w:rPr>
          <w:rFonts w:hint="eastAsia" w:ascii="黑体" w:hAnsi="黑体" w:eastAsia="黑体" w:cs="黑体"/>
          <w:b w:val="0"/>
          <w:bCs w:val="0"/>
          <w:kern w:val="2"/>
          <w:sz w:val="32"/>
          <w:szCs w:val="32"/>
          <w:lang w:val="zh-CN" w:eastAsia="zh-CN" w:bidi="ar-SA"/>
        </w:rPr>
        <w:tab/>
      </w:r>
    </w:p>
    <w:p>
      <w:pPr>
        <w:adjustRightInd w:val="0"/>
        <w:snapToGrid w:val="0"/>
        <w:spacing w:line="600" w:lineRule="exact"/>
        <w:ind w:firstLine="720"/>
        <w:rPr>
          <w:rStyle w:val="28"/>
          <w:rFonts w:hint="eastAsia" w:ascii="楷体" w:hAnsi="楷体" w:eastAsia="楷体" w:cs="楷体"/>
          <w:lang w:val="zh-CN" w:eastAsia="zh-CN"/>
        </w:rPr>
      </w:pPr>
      <w:r>
        <w:rPr>
          <w:rStyle w:val="28"/>
          <w:rFonts w:hint="eastAsia" w:ascii="楷体" w:hAnsi="楷体" w:eastAsia="楷体" w:cs="楷体"/>
          <w:lang w:val="zh-CN" w:eastAsia="zh-CN"/>
        </w:rPr>
        <w:t>（一）项目完成情况。</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截止目前，该项目已经完成色地镇、瓦切镇、麦洼镇的全部建设任务，阿木乡已完成林草种植任务，正在建设挡土墙和安装围栏。</w:t>
      </w:r>
    </w:p>
    <w:p>
      <w:pPr>
        <w:adjustRightInd w:val="0"/>
        <w:snapToGrid w:val="0"/>
        <w:spacing w:line="600" w:lineRule="exact"/>
        <w:ind w:firstLine="720"/>
        <w:rPr>
          <w:rStyle w:val="28"/>
          <w:rFonts w:hint="eastAsia" w:ascii="楷体" w:hAnsi="楷体" w:eastAsia="楷体" w:cs="楷体"/>
          <w:lang w:val="zh-CN" w:eastAsia="zh-CN"/>
        </w:rPr>
      </w:pPr>
      <w:r>
        <w:rPr>
          <w:rStyle w:val="28"/>
          <w:rFonts w:hint="eastAsia" w:ascii="楷体" w:hAnsi="楷体" w:eastAsia="楷体" w:cs="楷体"/>
          <w:lang w:val="zh-CN" w:eastAsia="zh-CN"/>
        </w:rPr>
        <w:t>（二）项目效益情况。</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建成后将对该片区的水源提供强有力的保护，巩固乡镇集中式饮用水水源地环境问题清理整治成果，提高饮用水水源地水质安全保障，加快解决饮用水水源地突出环境问题，消除环境风险隐患，提升水质，消除环境风险隐患。</w:t>
      </w:r>
    </w:p>
    <w:p>
      <w:pPr>
        <w:adjustRightInd w:val="0"/>
        <w:snapToGrid w:val="0"/>
        <w:spacing w:line="600" w:lineRule="exact"/>
        <w:ind w:firstLine="720"/>
        <w:rPr>
          <w:rFonts w:hint="eastAsia" w:ascii="黑体" w:hAnsi="黑体" w:eastAsia="黑体" w:cs="黑体"/>
          <w:b w:val="0"/>
          <w:bCs w:val="0"/>
          <w:kern w:val="2"/>
          <w:sz w:val="32"/>
          <w:szCs w:val="32"/>
          <w:lang w:val="zh-CN" w:eastAsia="zh-CN" w:bidi="ar-SA"/>
        </w:rPr>
      </w:pPr>
      <w:r>
        <w:rPr>
          <w:rFonts w:hint="eastAsia" w:ascii="黑体" w:hAnsi="黑体" w:eastAsia="黑体" w:cs="黑体"/>
          <w:b w:val="0"/>
          <w:bCs w:val="0"/>
          <w:kern w:val="2"/>
          <w:sz w:val="32"/>
          <w:szCs w:val="32"/>
          <w:lang w:val="zh-CN" w:eastAsia="zh-CN" w:bidi="ar-SA"/>
        </w:rPr>
        <w:t>四、问题及建议</w:t>
      </w:r>
    </w:p>
    <w:p>
      <w:pPr>
        <w:adjustRightInd w:val="0"/>
        <w:snapToGrid w:val="0"/>
        <w:spacing w:line="600" w:lineRule="exact"/>
        <w:ind w:firstLine="720"/>
        <w:rPr>
          <w:rStyle w:val="28"/>
          <w:rFonts w:hint="eastAsia" w:ascii="楷体" w:hAnsi="楷体" w:eastAsia="楷体" w:cs="楷体"/>
          <w:sz w:val="30"/>
          <w:szCs w:val="30"/>
          <w:lang w:val="zh-CN" w:eastAsia="zh-CN"/>
        </w:rPr>
      </w:pPr>
      <w:r>
        <w:rPr>
          <w:rStyle w:val="28"/>
          <w:rFonts w:hint="eastAsia" w:ascii="楷体" w:hAnsi="楷体" w:eastAsia="楷体" w:cs="楷体"/>
          <w:sz w:val="30"/>
          <w:szCs w:val="30"/>
          <w:lang w:val="zh-CN" w:eastAsia="zh-CN"/>
        </w:rPr>
        <w:t>（一）存在的问题。</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一是项目的实施需临时征占部分当地群众的草场，在施工前期的协调工作相对繁杂，对项目施工的进展情况产生的一定的影响；二是项目启动时间错过了高山柳种植季节，以致存活率较低。</w:t>
      </w:r>
    </w:p>
    <w:p>
      <w:pPr>
        <w:adjustRightInd w:val="0"/>
        <w:snapToGrid w:val="0"/>
        <w:spacing w:line="600" w:lineRule="exact"/>
        <w:ind w:firstLine="720"/>
        <w:rPr>
          <w:rStyle w:val="28"/>
          <w:rFonts w:hint="eastAsia" w:ascii="楷体" w:hAnsi="楷体" w:eastAsia="楷体" w:cs="楷体"/>
          <w:sz w:val="30"/>
          <w:szCs w:val="30"/>
          <w:lang w:val="zh-CN" w:eastAsia="zh-CN"/>
        </w:rPr>
      </w:pPr>
      <w:r>
        <w:rPr>
          <w:rStyle w:val="28"/>
          <w:rFonts w:hint="eastAsia" w:ascii="楷体" w:hAnsi="楷体" w:eastAsia="楷体" w:cs="楷体"/>
          <w:sz w:val="30"/>
          <w:szCs w:val="30"/>
          <w:lang w:val="zh-CN" w:eastAsia="zh-CN"/>
        </w:rPr>
        <w:t>（二）相关建议。</w:t>
      </w:r>
    </w:p>
    <w:p>
      <w:pPr>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一是责成施工方在来年</w:t>
      </w:r>
      <w:r>
        <w:rPr>
          <w:rFonts w:hint="eastAsia" w:ascii="仿宋_GB2312" w:hAnsi="仿宋_GB2312" w:eastAsia="仿宋_GB2312" w:cs="仿宋_GB2312"/>
          <w:sz w:val="32"/>
          <w:szCs w:val="32"/>
          <w:lang w:val="en-US" w:eastAsia="zh-CN"/>
        </w:rPr>
        <w:t>4月之前完成高山柳的补植，达到项目设计效果；二是</w:t>
      </w:r>
      <w:r>
        <w:rPr>
          <w:rFonts w:hint="eastAsia" w:ascii="仿宋_GB2312" w:hAnsi="仿宋_GB2312" w:eastAsia="仿宋_GB2312" w:cs="仿宋_GB2312"/>
          <w:sz w:val="32"/>
          <w:szCs w:val="32"/>
          <w:lang w:val="zh-CN" w:eastAsia="zh-CN"/>
        </w:rPr>
        <w:t>项目建成后，明确各方的义务和管理责任，加强项目建设后管理，发挥项目预计最大效益。</w:t>
      </w:r>
    </w:p>
    <w:p>
      <w:pPr>
        <w:adjustRightInd w:val="0"/>
        <w:snapToGrid w:val="0"/>
        <w:spacing w:line="600" w:lineRule="exact"/>
        <w:ind w:firstLine="720"/>
        <w:rPr>
          <w:rFonts w:hint="eastAsia" w:ascii="仿宋_GB2312" w:hAnsi="仿宋_GB2312" w:eastAsia="仿宋_GB2312" w:cs="仿宋_GB2312"/>
          <w:sz w:val="32"/>
          <w:szCs w:val="32"/>
          <w:lang w:val="en-US" w:eastAsia="zh-CN"/>
        </w:rPr>
      </w:pPr>
    </w:p>
    <w:p>
      <w:pPr>
        <w:adjustRightInd w:val="0"/>
        <w:snapToGrid w:val="0"/>
        <w:spacing w:line="600" w:lineRule="exact"/>
        <w:ind w:firstLine="720"/>
        <w:rPr>
          <w:rFonts w:hint="eastAsia" w:ascii="仿宋_GB2312" w:hAnsi="仿宋_GB2312" w:eastAsia="仿宋_GB2312" w:cs="仿宋_GB2312"/>
          <w:sz w:val="32"/>
          <w:szCs w:val="32"/>
          <w:lang w:val="zh-CN" w:eastAsia="zh-CN"/>
        </w:rPr>
      </w:pPr>
    </w:p>
    <w:p>
      <w:pPr>
        <w:rPr>
          <w:rFonts w:hint="eastAsia"/>
          <w:lang w:val="en-US" w:eastAsia="zh-CN"/>
        </w:rPr>
      </w:pPr>
    </w:p>
    <w:p>
      <w:pPr>
        <w:pStyle w:val="2"/>
        <w:bidi w:val="0"/>
        <w:jc w:val="both"/>
        <w:rPr>
          <w:rFonts w:hint="eastAsia" w:ascii="黑体" w:hAnsi="黑体" w:eastAsia="黑体" w:cs="黑体"/>
          <w:color w:val="auto"/>
          <w:sz w:val="32"/>
          <w:szCs w:val="32"/>
        </w:rPr>
      </w:pPr>
    </w:p>
    <w:p>
      <w:pPr>
        <w:pageBreakBefore w:val="0"/>
        <w:kinsoku/>
        <w:wordWrap/>
        <w:overflowPunct/>
        <w:topLinePunct w:val="0"/>
        <w:bidi w:val="0"/>
        <w:snapToGrid/>
        <w:spacing w:line="560" w:lineRule="exact"/>
        <w:jc w:val="center"/>
        <w:textAlignment w:val="auto"/>
        <w:rPr>
          <w:rFonts w:hint="eastAsia" w:ascii="黑体" w:hAnsi="黑体" w:eastAsia="黑体" w:cs="黑体"/>
          <w:color w:val="auto"/>
          <w:sz w:val="32"/>
          <w:szCs w:val="32"/>
        </w:rPr>
      </w:pPr>
    </w:p>
    <w:p>
      <w:pPr>
        <w:pageBreakBefore w:val="0"/>
        <w:kinsoku/>
        <w:wordWrap/>
        <w:overflowPunct/>
        <w:topLinePunct w:val="0"/>
        <w:bidi w:val="0"/>
        <w:snapToGrid/>
        <w:spacing w:line="5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3</w:t>
      </w:r>
    </w:p>
    <w:p>
      <w:pPr>
        <w:pageBreakBefore w:val="0"/>
        <w:kinsoku/>
        <w:wordWrap/>
        <w:overflowPunct/>
        <w:topLinePunct w:val="0"/>
        <w:bidi w:val="0"/>
        <w:snapToGrid/>
        <w:spacing w:line="560" w:lineRule="exact"/>
        <w:jc w:val="center"/>
        <w:textAlignment w:val="auto"/>
        <w:rPr>
          <w:rFonts w:hint="eastAsia" w:ascii="方正小标宋简体" w:hAnsi="宋体" w:eastAsia="方正小标宋简体" w:cs="Times New Roman"/>
          <w:color w:val="auto"/>
          <w:kern w:val="0"/>
          <w:sz w:val="44"/>
          <w:szCs w:val="44"/>
          <w:lang w:eastAsia="zh-CN"/>
        </w:rPr>
      </w:pPr>
      <w:r>
        <w:rPr>
          <w:rFonts w:hint="eastAsia" w:ascii="方正小标宋简体" w:hAnsi="宋体" w:eastAsia="方正小标宋简体" w:cs="Times New Roman"/>
          <w:color w:val="auto"/>
          <w:kern w:val="0"/>
          <w:sz w:val="44"/>
          <w:szCs w:val="44"/>
          <w:lang w:eastAsia="zh-CN"/>
        </w:rPr>
        <w:t>项目支出绩效自评报告</w:t>
      </w:r>
    </w:p>
    <w:p>
      <w:pPr>
        <w:pageBreakBefore w:val="0"/>
        <w:kinsoku/>
        <w:wordWrap/>
        <w:overflowPunct/>
        <w:topLinePunct w:val="0"/>
        <w:bidi w:val="0"/>
        <w:snapToGrid/>
        <w:spacing w:line="560" w:lineRule="exact"/>
        <w:jc w:val="center"/>
        <w:textAlignment w:val="auto"/>
        <w:rPr>
          <w:rFonts w:hint="eastAsia" w:ascii="方正小标宋简体" w:hAnsi="宋体" w:eastAsia="方正小标宋简体" w:cs="Times New Roman"/>
          <w:color w:val="auto"/>
          <w:kern w:val="0"/>
          <w:sz w:val="44"/>
          <w:szCs w:val="44"/>
          <w:lang w:eastAsia="zh-CN"/>
        </w:rPr>
      </w:pPr>
      <w:r>
        <w:rPr>
          <w:rFonts w:hint="eastAsia" w:ascii="方正小标宋简体" w:hAnsi="宋体" w:eastAsia="方正小标宋简体" w:cs="Times New Roman"/>
          <w:color w:val="auto"/>
          <w:kern w:val="0"/>
          <w:sz w:val="44"/>
          <w:szCs w:val="44"/>
          <w:lang w:eastAsia="zh-CN"/>
        </w:rPr>
        <w:t>（邛溪镇达格龙村、玛萨村</w:t>
      </w:r>
    </w:p>
    <w:p>
      <w:pPr>
        <w:pageBreakBefore w:val="0"/>
        <w:kinsoku/>
        <w:wordWrap/>
        <w:overflowPunct/>
        <w:topLinePunct w:val="0"/>
        <w:bidi w:val="0"/>
        <w:snapToGrid/>
        <w:spacing w:line="560" w:lineRule="exact"/>
        <w:jc w:val="center"/>
        <w:textAlignment w:val="auto"/>
        <w:rPr>
          <w:rFonts w:hint="eastAsia" w:ascii="方正小标宋简体" w:hAnsi="宋体" w:eastAsia="方正小标宋简体" w:cs="Times New Roman"/>
          <w:color w:val="auto"/>
          <w:kern w:val="0"/>
          <w:sz w:val="44"/>
          <w:szCs w:val="44"/>
          <w:lang w:eastAsia="zh-CN"/>
        </w:rPr>
      </w:pPr>
      <w:r>
        <w:rPr>
          <w:rFonts w:hint="eastAsia" w:ascii="方正小标宋简体" w:hAnsi="宋体" w:eastAsia="方正小标宋简体" w:cs="Times New Roman"/>
          <w:color w:val="auto"/>
          <w:kern w:val="0"/>
          <w:sz w:val="44"/>
          <w:szCs w:val="44"/>
          <w:lang w:val="en-US" w:eastAsia="zh-CN"/>
        </w:rPr>
        <w:t xml:space="preserve"> </w:t>
      </w:r>
      <w:r>
        <w:rPr>
          <w:rFonts w:hint="eastAsia" w:ascii="方正小标宋简体" w:hAnsi="宋体" w:eastAsia="方正小标宋简体" w:cs="Times New Roman"/>
          <w:color w:val="auto"/>
          <w:kern w:val="0"/>
          <w:sz w:val="44"/>
          <w:szCs w:val="44"/>
          <w:lang w:eastAsia="zh-CN"/>
        </w:rPr>
        <w:t>村内排水沟建设项目）</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zh-CN" w:eastAsia="zh-CN"/>
        </w:rPr>
      </w:pPr>
      <w:r>
        <w:rPr>
          <w:rFonts w:hint="eastAsia" w:ascii="黑体" w:hAnsi="黑体" w:eastAsia="黑体" w:cs="黑体"/>
          <w:b w:val="0"/>
          <w:bCs w:val="0"/>
          <w:lang w:val="en-US" w:eastAsia="zh-CN"/>
        </w:rPr>
        <w:t>一、</w:t>
      </w:r>
      <w:r>
        <w:rPr>
          <w:rFonts w:hint="eastAsia" w:ascii="黑体" w:hAnsi="黑体" w:eastAsia="黑体" w:cs="黑体"/>
          <w:b w:val="0"/>
          <w:bCs w:val="0"/>
          <w:lang w:val="zh-CN" w:eastAsia="zh-CN"/>
        </w:rPr>
        <w:t>项目概况</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（一）项目资金申报及批复情况。</w:t>
      </w:r>
    </w:p>
    <w:p>
      <w:pPr>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邛溪镇达格龙村、玛萨村村内排水沟建设项目由红原县发展改革和经济商务信息化局以红发改经信行审[2019]64号批准建设，项目业主为红原县水务局，资金来源：第二批涉农整合资金。</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（二）项目绩效目标。</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1.项目建设内容：</w:t>
      </w:r>
      <w:r>
        <w:rPr>
          <w:rFonts w:hint="eastAsia" w:ascii="仿宋_GB2312" w:hAnsi="仿宋_GB2312" w:eastAsia="仿宋_GB2312" w:cs="仿宋_GB2312"/>
          <w:sz w:val="32"/>
          <w:szCs w:val="32"/>
          <w:lang w:val="en-US" w:eastAsia="zh-CN"/>
        </w:rPr>
        <w:t>新建c20（F150）混凝土排水渠八段共计2647m；新建c20（F150）混凝土重力式挡墙2处共计147m；新建c20（F150）混凝土集水池1处，净空尺寸300cm*300cm*300cm；新建穿路涵洞14处。</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2.预计目标</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项目建成后</w:t>
      </w:r>
      <w:r>
        <w:rPr>
          <w:rFonts w:hint="eastAsia" w:ascii="仿宋_GB2312" w:hAnsi="仿宋_GB2312" w:eastAsia="仿宋_GB2312" w:cs="仿宋_GB2312"/>
          <w:sz w:val="32"/>
          <w:szCs w:val="32"/>
          <w:lang w:val="zh-CN" w:eastAsia="zh-CN"/>
        </w:rPr>
        <w:t>主要保护对象为邛溪镇</w:t>
      </w:r>
      <w:r>
        <w:rPr>
          <w:rFonts w:hint="eastAsia" w:ascii="仿宋_GB2312" w:hAnsi="仿宋_GB2312" w:eastAsia="仿宋_GB2312" w:cs="仿宋_GB2312"/>
          <w:sz w:val="32"/>
          <w:szCs w:val="32"/>
          <w:lang w:val="en-US" w:eastAsia="zh-CN"/>
        </w:rPr>
        <w:t>格龙村、玛萨村</w:t>
      </w:r>
      <w:r>
        <w:rPr>
          <w:rFonts w:hint="eastAsia" w:ascii="仿宋_GB2312" w:hAnsi="仿宋_GB2312" w:eastAsia="仿宋_GB2312" w:cs="仿宋_GB2312"/>
          <w:sz w:val="32"/>
          <w:szCs w:val="32"/>
          <w:lang w:val="zh-CN" w:eastAsia="zh-CN"/>
        </w:rPr>
        <w:t>农牧民定居点人口及</w:t>
      </w:r>
      <w:r>
        <w:rPr>
          <w:rFonts w:hint="eastAsia" w:ascii="仿宋_GB2312" w:hAnsi="仿宋_GB2312" w:eastAsia="仿宋_GB2312" w:cs="仿宋_GB2312"/>
          <w:sz w:val="32"/>
          <w:szCs w:val="32"/>
          <w:lang w:val="en-US" w:eastAsia="zh-CN"/>
        </w:rPr>
        <w:t>草地。</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color w:val="auto"/>
          <w:sz w:val="32"/>
          <w:szCs w:val="32"/>
          <w:lang w:val="en-US" w:eastAsia="zh-CN"/>
        </w:rPr>
        <w:t>3.项目建设进度安排</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zh-CN" w:eastAsia="zh-CN"/>
        </w:rPr>
        <w:t>项目工期为</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lang w:val="zh-CN" w:eastAsia="zh-CN"/>
        </w:rPr>
        <w:t>日历天，计划</w:t>
      </w:r>
      <w:r>
        <w:rPr>
          <w:rFonts w:hint="eastAsia" w:ascii="仿宋_GB2312" w:hAnsi="仿宋_GB2312" w:eastAsia="仿宋_GB2312" w:cs="仿宋_GB2312"/>
          <w:sz w:val="32"/>
          <w:szCs w:val="32"/>
          <w:lang w:val="en-US" w:eastAsia="zh-CN"/>
        </w:rPr>
        <w:t>开工日期为2019年7月10日;计划完工日期为2019年8月30日。</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（三）项目资金申报相符性。</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该项目申报内容与具体实施内容相符、申报目标合理可行。</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二、项目实施及管理情况</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（一）资金计划、到位及使用情况。</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lang w:val="zh-CN" w:bidi="ar"/>
        </w:rPr>
        <w:t>1．资金计划及到位</w:t>
      </w:r>
      <w:r>
        <w:rPr>
          <w:rFonts w:hint="eastAsia" w:ascii="仿宋_GB2312" w:hAnsi="仿宋_GB2312" w:eastAsia="仿宋_GB2312" w:cs="仿宋_GB2312"/>
          <w:sz w:val="32"/>
          <w:lang w:val="zh-CN" w:bidi="ar"/>
        </w:rPr>
        <w:t>。</w:t>
      </w:r>
      <w:r>
        <w:rPr>
          <w:rFonts w:hint="eastAsia" w:ascii="仿宋_GB2312" w:hAnsi="仿宋_GB2312" w:eastAsia="仿宋_GB2312" w:cs="仿宋_GB2312"/>
          <w:sz w:val="32"/>
          <w:szCs w:val="32"/>
          <w:lang w:val="zh-CN" w:eastAsia="zh-CN"/>
        </w:rPr>
        <w:t>项目计划投入</w:t>
      </w:r>
      <w:r>
        <w:rPr>
          <w:rFonts w:hint="eastAsia" w:ascii="仿宋_GB2312" w:hAnsi="仿宋_GB2312" w:eastAsia="仿宋_GB2312" w:cs="仿宋_GB2312"/>
          <w:sz w:val="32"/>
          <w:szCs w:val="32"/>
          <w:lang w:val="en-US" w:eastAsia="zh-CN"/>
        </w:rPr>
        <w:t>238.44万元，实际</w:t>
      </w:r>
      <w:r>
        <w:rPr>
          <w:rFonts w:hint="eastAsia" w:ascii="仿宋_GB2312" w:hAnsi="仿宋_GB2312" w:eastAsia="仿宋_GB2312" w:cs="仿宋_GB2312"/>
          <w:sz w:val="32"/>
          <w:szCs w:val="32"/>
          <w:lang w:val="zh-CN" w:eastAsia="zh-CN"/>
        </w:rPr>
        <w:t>到位资金</w:t>
      </w:r>
      <w:r>
        <w:rPr>
          <w:rFonts w:hint="eastAsia" w:ascii="仿宋_GB2312" w:hAnsi="仿宋_GB2312" w:eastAsia="仿宋_GB2312" w:cs="仿宋_GB2312"/>
          <w:sz w:val="32"/>
          <w:szCs w:val="32"/>
          <w:lang w:val="en-US" w:eastAsia="zh-CN"/>
        </w:rPr>
        <w:t>187.25万元。</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lang w:val="zh-CN" w:bidi="ar"/>
        </w:rPr>
        <w:t>2．资金使用。</w:t>
      </w:r>
      <w:r>
        <w:rPr>
          <w:rFonts w:hint="eastAsia" w:ascii="仿宋_GB2312" w:hAnsi="仿宋_GB2312" w:eastAsia="仿宋_GB2312" w:cs="仿宋_GB2312"/>
          <w:sz w:val="32"/>
          <w:szCs w:val="32"/>
          <w:lang w:val="zh-CN" w:eastAsia="zh-CN"/>
        </w:rPr>
        <w:t>项目施工中标价为</w:t>
      </w:r>
      <w:r>
        <w:rPr>
          <w:rFonts w:hint="eastAsia" w:ascii="仿宋_GB2312" w:hAnsi="仿宋_GB2312" w:eastAsia="仿宋_GB2312" w:cs="仿宋_GB2312"/>
          <w:sz w:val="32"/>
          <w:szCs w:val="32"/>
          <w:lang w:val="en-US" w:eastAsia="zh-CN"/>
        </w:rPr>
        <w:t>187.25万元</w:t>
      </w:r>
      <w:r>
        <w:rPr>
          <w:rFonts w:hint="eastAsia" w:ascii="仿宋_GB2312" w:hAnsi="仿宋_GB2312" w:eastAsia="仿宋_GB2312" w:cs="仿宋_GB2312"/>
          <w:sz w:val="32"/>
          <w:szCs w:val="32"/>
          <w:lang w:val="zh-CN" w:eastAsia="zh-CN"/>
        </w:rPr>
        <w:t>，按照合同约定已支付给项目施工单位</w:t>
      </w:r>
      <w:r>
        <w:rPr>
          <w:rFonts w:hint="eastAsia" w:ascii="仿宋_GB2312" w:hAnsi="仿宋_GB2312" w:eastAsia="仿宋_GB2312" w:cs="仿宋_GB2312"/>
          <w:sz w:val="32"/>
          <w:szCs w:val="32"/>
          <w:lang w:val="en-US" w:eastAsia="zh-CN"/>
        </w:rPr>
        <w:t>155.231095万</w:t>
      </w:r>
      <w:r>
        <w:rPr>
          <w:rFonts w:hint="eastAsia" w:ascii="仿宋_GB2312" w:hAnsi="仿宋_GB2312" w:eastAsia="仿宋_GB2312" w:cs="仿宋_GB2312"/>
          <w:sz w:val="32"/>
          <w:szCs w:val="32"/>
          <w:lang w:val="zh-CN" w:eastAsia="zh-CN"/>
        </w:rPr>
        <w:t>元，支付比例为</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lang w:val="zh-CN" w:eastAsia="zh-CN"/>
        </w:rPr>
        <w:t>%，目前已完成项目审计结算，该工程竣工结算价为</w:t>
      </w:r>
      <w:r>
        <w:rPr>
          <w:rFonts w:hint="eastAsia" w:ascii="仿宋_GB2312" w:hAnsi="仿宋_GB2312" w:eastAsia="仿宋_GB2312" w:cs="仿宋_GB2312"/>
          <w:sz w:val="32"/>
          <w:szCs w:val="32"/>
          <w:lang w:val="en-US" w:eastAsia="zh-CN"/>
        </w:rPr>
        <w:t>195.94385万元，审减金额8.639996万元，</w:t>
      </w:r>
      <w:r>
        <w:rPr>
          <w:rFonts w:hint="eastAsia" w:ascii="仿宋_GB2312" w:hAnsi="仿宋_GB2312" w:eastAsia="仿宋_GB2312" w:cs="仿宋_GB2312"/>
          <w:sz w:val="32"/>
          <w:szCs w:val="32"/>
          <w:lang w:val="zh-CN" w:eastAsia="zh-CN"/>
        </w:rPr>
        <w:t>审减率</w:t>
      </w:r>
      <w:r>
        <w:rPr>
          <w:rFonts w:hint="eastAsia" w:ascii="仿宋_GB2312" w:hAnsi="仿宋_GB2312" w:eastAsia="仿宋_GB2312" w:cs="仿宋_GB2312"/>
          <w:sz w:val="32"/>
          <w:szCs w:val="32"/>
          <w:lang w:val="en-US" w:eastAsia="zh-CN"/>
        </w:rPr>
        <w:t>4.22%</w:t>
      </w:r>
      <w:r>
        <w:rPr>
          <w:rFonts w:hint="eastAsia" w:ascii="仿宋_GB2312" w:hAnsi="仿宋_GB2312" w:eastAsia="仿宋_GB2312" w:cs="仿宋_GB2312"/>
          <w:sz w:val="32"/>
          <w:szCs w:val="32"/>
          <w:lang w:val="zh-CN" w:eastAsia="zh-CN"/>
        </w:rPr>
        <w:t>，资金支付与预算基本相符。</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（二）项目财务管理情况。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该项目会计核算及账务处理等严格执行财务管理制度，资金拨付严格按照合同约定及时拨付项目进度款，财务处理及时、会计核算合规。</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zh-CN" w:eastAsia="zh-CN"/>
        </w:rPr>
      </w:pPr>
      <w:r>
        <w:rPr>
          <w:rFonts w:hint="eastAsia" w:ascii="黑体" w:hAnsi="黑体" w:eastAsia="黑体" w:cs="黑体"/>
          <w:b w:val="0"/>
          <w:bCs w:val="0"/>
          <w:lang w:val="zh-CN" w:eastAsia="zh-CN"/>
        </w:rPr>
        <w:t>三、项目组织实施情况。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该项目经红原县发展和改革局红发改行审[201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64号文件批准建设</w:t>
      </w:r>
      <w:r>
        <w:rPr>
          <w:rFonts w:hint="eastAsia" w:ascii="仿宋_GB2312" w:hAnsi="仿宋_GB2312" w:eastAsia="仿宋_GB2312" w:cs="仿宋_GB2312"/>
          <w:sz w:val="32"/>
          <w:szCs w:val="32"/>
          <w:lang w:val="zh-CN" w:eastAsia="zh-CN"/>
        </w:rPr>
        <w:t>，项目业主为红原县水务局，招标方式为公开招标，招标组织形式为比选招标，经在红原县公共资源交易中心三楼开标室公开举行丛四川日报招标比选网随机抽取确定中选人，中标公司为四川龙恒腾建设工程有限公司，中标价为</w:t>
      </w:r>
      <w:r>
        <w:rPr>
          <w:rFonts w:hint="eastAsia" w:ascii="仿宋_GB2312" w:hAnsi="仿宋_GB2312" w:eastAsia="仿宋_GB2312" w:cs="仿宋_GB2312"/>
          <w:sz w:val="32"/>
          <w:szCs w:val="32"/>
          <w:lang w:val="en-US" w:eastAsia="zh-CN"/>
        </w:rPr>
        <w:t>187.25万元</w:t>
      </w:r>
      <w:r>
        <w:rPr>
          <w:rFonts w:hint="eastAsia" w:ascii="仿宋_GB2312" w:hAnsi="仿宋_GB2312" w:eastAsia="仿宋_GB2312" w:cs="仿宋_GB2312"/>
          <w:sz w:val="32"/>
          <w:szCs w:val="32"/>
          <w:lang w:val="zh-CN" w:eastAsia="zh-CN"/>
        </w:rPr>
        <w:t>；严格按照招投标相关规定进行备案并公示。施工单位按照招标文件要求进行了两金一险(履约保证金、民工工资保证金、工伤保险)的缴纳并签订合同及备案。</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zh-CN" w:eastAsia="zh-CN"/>
        </w:rPr>
      </w:pPr>
      <w:r>
        <w:rPr>
          <w:rFonts w:hint="eastAsia" w:ascii="黑体" w:hAnsi="黑体" w:eastAsia="黑体" w:cs="黑体"/>
          <w:b w:val="0"/>
          <w:bCs w:val="0"/>
          <w:lang w:val="zh-CN" w:eastAsia="zh-CN"/>
        </w:rPr>
        <w:t>四、项目绩效情况</w:t>
      </w:r>
      <w:r>
        <w:rPr>
          <w:rFonts w:hint="eastAsia" w:ascii="黑体" w:hAnsi="黑体" w:eastAsia="黑体" w:cs="黑体"/>
          <w:b w:val="0"/>
          <w:bCs w:val="0"/>
          <w:lang w:val="zh-CN" w:eastAsia="zh-CN"/>
        </w:rPr>
        <w:tab/>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（一）项目完成情况。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该项目在开工后，施工单位投入大量机械设备及人力，目前该项目已进行了完工验收，质量合格。</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（二）项目效益情况。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通过该项目建设，保障了邛溪镇格龙村、玛萨村农牧民定居点人口及草地。最大程度的减少了因草场被淹没给老百姓带来的损失。</w:t>
      </w:r>
    </w:p>
    <w:p>
      <w:pPr>
        <w:pStyle w:val="3"/>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lang w:val="zh-CN" w:eastAsia="zh-CN"/>
        </w:rPr>
      </w:pPr>
      <w:r>
        <w:rPr>
          <w:rFonts w:hint="eastAsia" w:ascii="黑体" w:hAnsi="黑体" w:eastAsia="黑体" w:cs="黑体"/>
          <w:b w:val="0"/>
          <w:bCs w:val="0"/>
          <w:lang w:val="zh-CN" w:eastAsia="zh-CN"/>
        </w:rPr>
        <w:t>五、问题及建议</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（一）存在的问题。</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一是在施工过程中，受汛期影响，项目收尾较为缓慢，二是项目建成后，受今年汛期影响，部分排水沟损毁严重，目前已经完成了维修重建。</w:t>
      </w:r>
    </w:p>
    <w:p>
      <w:pPr>
        <w:pageBreakBefore w:val="0"/>
        <w:widowControl/>
        <w:kinsoku/>
        <w:wordWrap/>
        <w:overflowPunct/>
        <w:topLinePunct w:val="0"/>
        <w:bidi w:val="0"/>
        <w:adjustRightInd w:val="0"/>
        <w:snapToGrid/>
        <w:spacing w:line="560" w:lineRule="exact"/>
        <w:ind w:firstLine="643" w:firstLineChars="200"/>
        <w:contextualSpacing/>
        <w:jc w:val="left"/>
        <w:textAlignment w:val="auto"/>
        <w:rPr>
          <w:rStyle w:val="28"/>
          <w:rFonts w:hint="eastAsia" w:ascii="楷体" w:hAnsi="楷体" w:eastAsia="楷体" w:cs="楷体"/>
          <w:lang w:val="zh-CN" w:eastAsia="zh-CN"/>
        </w:rPr>
      </w:pPr>
      <w:r>
        <w:rPr>
          <w:rStyle w:val="28"/>
          <w:rFonts w:hint="eastAsia" w:ascii="楷体" w:hAnsi="楷体" w:eastAsia="楷体" w:cs="楷体"/>
          <w:lang w:val="zh-CN" w:eastAsia="zh-CN"/>
        </w:rPr>
        <w:t>（二）相关建议。</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lang w:val="en-US" w:eastAsia="zh-CN" w:bidi="ar"/>
        </w:rPr>
        <w:t xml:space="preserve">  </w:t>
      </w:r>
      <w:r>
        <w:rPr>
          <w:rFonts w:hint="eastAsia" w:ascii="仿宋_GB2312" w:hAnsi="仿宋_GB2312" w:eastAsia="仿宋_GB2312" w:cs="仿宋_GB2312"/>
          <w:sz w:val="32"/>
          <w:szCs w:val="32"/>
          <w:lang w:val="en-US" w:eastAsia="zh-CN"/>
        </w:rPr>
        <w:t xml:space="preserve"> 加强项目的建后管理。</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p>
    <w:p>
      <w:pPr>
        <w:pStyle w:val="2"/>
        <w:bidi w:val="0"/>
        <w:jc w:val="both"/>
        <w:rPr>
          <w:rFonts w:hint="eastAsia" w:ascii="黑体" w:hAnsi="黑体" w:eastAsia="黑体" w:cs="黑体"/>
          <w:color w:val="auto"/>
          <w:sz w:val="32"/>
          <w:szCs w:val="32"/>
          <w:lang w:val="en-US" w:eastAsia="zh-CN"/>
        </w:rPr>
      </w:pPr>
    </w:p>
    <w:p>
      <w:pPr>
        <w:rPr>
          <w:rFonts w:hint="eastAsia"/>
          <w:lang w:val="en-US" w:eastAsia="zh-CN"/>
        </w:rPr>
      </w:pPr>
    </w:p>
    <w:p>
      <w:pPr>
        <w:pStyle w:val="2"/>
        <w:jc w:val="center"/>
      </w:pPr>
      <w:r>
        <w:rPr>
          <w:rFonts w:hint="eastAsia"/>
        </w:rPr>
        <w:t>第五部分 附表</w:t>
      </w:r>
      <w:bookmarkEnd w:id="109"/>
      <w:bookmarkEnd w:id="130"/>
      <w:bookmarkEnd w:id="131"/>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32" w:name="_Toc15396619"/>
      <w:bookmarkStart w:id="133" w:name="_Toc27015"/>
      <w:bookmarkStart w:id="134" w:name="_Toc719"/>
      <w:r>
        <w:rPr>
          <w:rFonts w:hint="eastAsia" w:ascii="仿宋_GB2312" w:hAnsi="仿宋_GB2312" w:eastAsia="仿宋_GB2312" w:cs="仿宋_GB2312"/>
          <w:b w:val="0"/>
          <w:bCs w:val="0"/>
        </w:rPr>
        <w:t>一、收入支出决算总表</w:t>
      </w:r>
      <w:bookmarkEnd w:id="132"/>
      <w:bookmarkEnd w:id="133"/>
      <w:bookmarkEnd w:id="134"/>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35" w:name="_Toc15396620"/>
      <w:bookmarkStart w:id="136" w:name="_Toc6518"/>
      <w:bookmarkStart w:id="137" w:name="_Toc11644"/>
      <w:r>
        <w:rPr>
          <w:rFonts w:hint="eastAsia" w:ascii="仿宋_GB2312" w:hAnsi="仿宋_GB2312" w:eastAsia="仿宋_GB2312" w:cs="仿宋_GB2312"/>
          <w:b w:val="0"/>
          <w:bCs w:val="0"/>
        </w:rPr>
        <w:t>二、收入决算表</w:t>
      </w:r>
      <w:bookmarkEnd w:id="135"/>
      <w:bookmarkEnd w:id="136"/>
      <w:bookmarkEnd w:id="137"/>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38" w:name="_Toc5351"/>
      <w:bookmarkStart w:id="139" w:name="_Toc15396621"/>
      <w:bookmarkStart w:id="140" w:name="_Toc1939"/>
      <w:r>
        <w:rPr>
          <w:rFonts w:hint="eastAsia" w:ascii="仿宋_GB2312" w:hAnsi="仿宋_GB2312" w:eastAsia="仿宋_GB2312" w:cs="仿宋_GB2312"/>
          <w:b w:val="0"/>
          <w:bCs w:val="0"/>
        </w:rPr>
        <w:t>三、支出决算表</w:t>
      </w:r>
      <w:bookmarkEnd w:id="138"/>
      <w:bookmarkEnd w:id="139"/>
      <w:bookmarkEnd w:id="140"/>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41" w:name="_Toc15396622"/>
      <w:bookmarkStart w:id="142" w:name="_Toc2596"/>
      <w:bookmarkStart w:id="143" w:name="_Toc22920"/>
      <w:r>
        <w:rPr>
          <w:rFonts w:hint="eastAsia" w:ascii="仿宋_GB2312" w:hAnsi="仿宋_GB2312" w:eastAsia="仿宋_GB2312" w:cs="仿宋_GB2312"/>
          <w:b w:val="0"/>
          <w:bCs w:val="0"/>
        </w:rPr>
        <w:t>四、财政拨款收入支出决算总表</w:t>
      </w:r>
      <w:bookmarkEnd w:id="141"/>
      <w:bookmarkEnd w:id="142"/>
      <w:bookmarkEnd w:id="143"/>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44" w:name="_Toc15396623"/>
      <w:bookmarkStart w:id="145" w:name="_Toc7352"/>
      <w:bookmarkStart w:id="146" w:name="_Toc12897"/>
      <w:r>
        <w:rPr>
          <w:rFonts w:hint="eastAsia" w:ascii="仿宋_GB2312" w:hAnsi="仿宋_GB2312" w:eastAsia="仿宋_GB2312" w:cs="仿宋_GB2312"/>
          <w:b w:val="0"/>
          <w:bCs w:val="0"/>
        </w:rPr>
        <w:t>五、财政拨款支出决算明细表</w:t>
      </w:r>
      <w:bookmarkEnd w:id="144"/>
      <w:bookmarkEnd w:id="145"/>
      <w:bookmarkEnd w:id="146"/>
      <w:bookmarkStart w:id="147" w:name="_Toc15396624"/>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48" w:name="_Toc15907"/>
      <w:bookmarkStart w:id="149" w:name="_Toc17038"/>
      <w:r>
        <w:rPr>
          <w:rFonts w:hint="eastAsia" w:ascii="仿宋_GB2312" w:hAnsi="仿宋_GB2312" w:eastAsia="仿宋_GB2312" w:cs="仿宋_GB2312"/>
          <w:b w:val="0"/>
          <w:bCs w:val="0"/>
        </w:rPr>
        <w:t>六、一般公共预算财政拨款支出决算表</w:t>
      </w:r>
      <w:bookmarkEnd w:id="147"/>
      <w:bookmarkEnd w:id="148"/>
      <w:bookmarkEnd w:id="149"/>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50" w:name="_Toc27976"/>
      <w:bookmarkStart w:id="151" w:name="_Toc15396625"/>
      <w:bookmarkStart w:id="152" w:name="_Toc32354"/>
      <w:r>
        <w:rPr>
          <w:rFonts w:hint="eastAsia" w:ascii="仿宋_GB2312" w:hAnsi="仿宋_GB2312" w:eastAsia="仿宋_GB2312" w:cs="仿宋_GB2312"/>
          <w:b w:val="0"/>
          <w:bCs w:val="0"/>
        </w:rPr>
        <w:t>七、一般公共预算财政拨款支出决算明细表</w:t>
      </w:r>
      <w:bookmarkEnd w:id="150"/>
      <w:bookmarkEnd w:id="151"/>
      <w:bookmarkEnd w:id="152"/>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53" w:name="_Toc24531"/>
      <w:bookmarkStart w:id="154" w:name="_Toc15396626"/>
      <w:bookmarkStart w:id="155" w:name="_Toc14726"/>
      <w:r>
        <w:rPr>
          <w:rFonts w:hint="eastAsia" w:ascii="仿宋_GB2312" w:hAnsi="仿宋_GB2312" w:eastAsia="仿宋_GB2312" w:cs="仿宋_GB2312"/>
          <w:b w:val="0"/>
          <w:bCs w:val="0"/>
        </w:rPr>
        <w:t>八、一般公共预算财政拨款基本支出决算表</w:t>
      </w:r>
      <w:bookmarkEnd w:id="153"/>
      <w:bookmarkEnd w:id="154"/>
      <w:bookmarkEnd w:id="155"/>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56" w:name="_Toc5372"/>
      <w:bookmarkStart w:id="157" w:name="_Toc26081"/>
      <w:bookmarkStart w:id="158" w:name="_Toc15396627"/>
      <w:r>
        <w:rPr>
          <w:rFonts w:hint="eastAsia" w:ascii="仿宋_GB2312" w:hAnsi="仿宋_GB2312" w:eastAsia="仿宋_GB2312" w:cs="仿宋_GB2312"/>
          <w:b w:val="0"/>
          <w:bCs w:val="0"/>
        </w:rPr>
        <w:t>九、一般公共预算财政拨款项目支出决算表</w:t>
      </w:r>
      <w:bookmarkEnd w:id="156"/>
      <w:bookmarkEnd w:id="157"/>
      <w:bookmarkEnd w:id="158"/>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59" w:name="_Toc25027"/>
      <w:bookmarkStart w:id="160" w:name="_Toc4538"/>
      <w:bookmarkStart w:id="161" w:name="_Toc15396628"/>
      <w:r>
        <w:rPr>
          <w:rFonts w:hint="eastAsia" w:ascii="仿宋_GB2312" w:hAnsi="仿宋_GB2312" w:eastAsia="仿宋_GB2312" w:cs="仿宋_GB2312"/>
          <w:b w:val="0"/>
          <w:bCs w:val="0"/>
        </w:rPr>
        <w:t>十、一般公共预算财政拨款“三公”经费支出决算表</w:t>
      </w:r>
      <w:bookmarkEnd w:id="159"/>
      <w:bookmarkEnd w:id="160"/>
      <w:bookmarkEnd w:id="161"/>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62" w:name="_Toc16146"/>
      <w:bookmarkStart w:id="163" w:name="_Toc15396629"/>
      <w:bookmarkStart w:id="164" w:name="_Toc23660"/>
      <w:r>
        <w:rPr>
          <w:rFonts w:hint="eastAsia" w:ascii="仿宋_GB2312" w:hAnsi="仿宋_GB2312" w:eastAsia="仿宋_GB2312" w:cs="仿宋_GB2312"/>
          <w:b w:val="0"/>
          <w:bCs w:val="0"/>
        </w:rPr>
        <w:t>十一、政府性基金预算财政拨款收入支出决算表</w:t>
      </w:r>
      <w:bookmarkEnd w:id="162"/>
      <w:bookmarkEnd w:id="163"/>
      <w:bookmarkEnd w:id="164"/>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65" w:name="_Toc6198"/>
      <w:bookmarkStart w:id="166" w:name="_Toc6532"/>
      <w:bookmarkStart w:id="167" w:name="_Toc15396630"/>
      <w:r>
        <w:rPr>
          <w:rFonts w:hint="eastAsia" w:ascii="仿宋_GB2312" w:hAnsi="仿宋_GB2312" w:eastAsia="仿宋_GB2312" w:cs="仿宋_GB2312"/>
          <w:b w:val="0"/>
          <w:bCs w:val="0"/>
        </w:rPr>
        <w:t>十二、政府性基金预算财政拨款“三公”经费支出决算表</w:t>
      </w:r>
      <w:bookmarkEnd w:id="165"/>
      <w:bookmarkEnd w:id="166"/>
      <w:bookmarkEnd w:id="167"/>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rPr>
      </w:pPr>
      <w:bookmarkStart w:id="168" w:name="_Toc15733"/>
      <w:bookmarkStart w:id="169" w:name="_Toc15396631"/>
      <w:bookmarkStart w:id="170" w:name="_Toc15147"/>
      <w:r>
        <w:rPr>
          <w:rFonts w:hint="eastAsia" w:ascii="仿宋_GB2312" w:hAnsi="仿宋_GB2312" w:eastAsia="仿宋_GB2312" w:cs="仿宋_GB2312"/>
          <w:b w:val="0"/>
          <w:bCs w:val="0"/>
        </w:rPr>
        <w:t>十三、国有资本经营预算支出决算表</w:t>
      </w:r>
      <w:bookmarkEnd w:id="168"/>
      <w:bookmarkEnd w:id="169"/>
      <w:bookmarkEnd w:id="170"/>
    </w:p>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4099" o:spid="_x0000_s409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1994781956"/>
                </w:sdtPr>
                <w:sdtEndPr>
                  <w:rPr>
                    <w:rFonts w:hint="eastAsia" w:asciiTheme="minorEastAsia" w:hAnsiTheme="minorEastAsia" w:eastAsiaTheme="minorEastAsia" w:cstheme="minorEastAsia"/>
                    <w:sz w:val="24"/>
                    <w:szCs w:val="24"/>
                  </w:rPr>
                </w:sdtEndPr>
                <w:sdtContent>
                  <w:p>
                    <w:pPr>
                      <w:pStyle w:val="8"/>
                      <w:jc w:val="cente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PAGE   \* MERGEFORMAT</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lang w:val="zh-CN"/>
                      </w:rPr>
                      <w:t>2</w:t>
                    </w:r>
                    <w:r>
                      <w:rPr>
                        <w:rFonts w:hint="eastAsia" w:asciiTheme="minorEastAsia" w:hAnsiTheme="minorEastAsia" w:eastAsiaTheme="minorEastAsia" w:cstheme="minorEastAsia"/>
                        <w:color w:val="auto"/>
                        <w:sz w:val="24"/>
                        <w:szCs w:val="24"/>
                      </w:rPr>
                      <w:fldChar w:fldCharType="end"/>
                    </w:r>
                  </w:p>
                </w:sdtContent>
              </w:sdt>
              <w:p/>
            </w:txbxContent>
          </v:textbox>
        </v:shape>
      </w:pic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34415"/>
    <w:rsid w:val="005664BB"/>
    <w:rsid w:val="00566FFA"/>
    <w:rsid w:val="0057481D"/>
    <w:rsid w:val="00575F0B"/>
    <w:rsid w:val="0058486E"/>
    <w:rsid w:val="00585B33"/>
    <w:rsid w:val="0059014D"/>
    <w:rsid w:val="005B5C64"/>
    <w:rsid w:val="005C6BD0"/>
    <w:rsid w:val="005C6C4C"/>
    <w:rsid w:val="005D1C8B"/>
    <w:rsid w:val="005D468D"/>
    <w:rsid w:val="005D5CED"/>
    <w:rsid w:val="005F1A4C"/>
    <w:rsid w:val="005F53D2"/>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EC5"/>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09BC"/>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06FE"/>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45DE0"/>
    <w:rsid w:val="00D51276"/>
    <w:rsid w:val="00D7035F"/>
    <w:rsid w:val="00DA634F"/>
    <w:rsid w:val="00DA65AC"/>
    <w:rsid w:val="00DB1913"/>
    <w:rsid w:val="00DB7FE2"/>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B77C8"/>
    <w:rsid w:val="01182D8D"/>
    <w:rsid w:val="02325566"/>
    <w:rsid w:val="024F3399"/>
    <w:rsid w:val="025866B3"/>
    <w:rsid w:val="02A02036"/>
    <w:rsid w:val="02B228EA"/>
    <w:rsid w:val="0340073C"/>
    <w:rsid w:val="034F0FE8"/>
    <w:rsid w:val="036B3293"/>
    <w:rsid w:val="037A4BAD"/>
    <w:rsid w:val="03837BAB"/>
    <w:rsid w:val="03C20621"/>
    <w:rsid w:val="03C45D59"/>
    <w:rsid w:val="03E15D5C"/>
    <w:rsid w:val="03E22AD8"/>
    <w:rsid w:val="03ED530B"/>
    <w:rsid w:val="03F362C2"/>
    <w:rsid w:val="03F92034"/>
    <w:rsid w:val="041C477F"/>
    <w:rsid w:val="04712137"/>
    <w:rsid w:val="047C30E8"/>
    <w:rsid w:val="04A103C2"/>
    <w:rsid w:val="04E91AE5"/>
    <w:rsid w:val="04F163AE"/>
    <w:rsid w:val="05075150"/>
    <w:rsid w:val="05280FB7"/>
    <w:rsid w:val="057D75B2"/>
    <w:rsid w:val="06B81C42"/>
    <w:rsid w:val="06EE77C9"/>
    <w:rsid w:val="06FF4DA3"/>
    <w:rsid w:val="070A6F10"/>
    <w:rsid w:val="070B2CD5"/>
    <w:rsid w:val="070C7D7D"/>
    <w:rsid w:val="078164A8"/>
    <w:rsid w:val="079129B4"/>
    <w:rsid w:val="07930896"/>
    <w:rsid w:val="079C6DD7"/>
    <w:rsid w:val="07EB24B6"/>
    <w:rsid w:val="08036140"/>
    <w:rsid w:val="084A65CC"/>
    <w:rsid w:val="08633E1E"/>
    <w:rsid w:val="08A10950"/>
    <w:rsid w:val="08E55B51"/>
    <w:rsid w:val="097616E7"/>
    <w:rsid w:val="098161F2"/>
    <w:rsid w:val="098F5568"/>
    <w:rsid w:val="099B7994"/>
    <w:rsid w:val="09BB0AB9"/>
    <w:rsid w:val="09E276D2"/>
    <w:rsid w:val="09F679EE"/>
    <w:rsid w:val="0A1D3EAA"/>
    <w:rsid w:val="0A1F64DE"/>
    <w:rsid w:val="0A661EA7"/>
    <w:rsid w:val="0A887114"/>
    <w:rsid w:val="0A933A41"/>
    <w:rsid w:val="0AFF7E45"/>
    <w:rsid w:val="0B093C14"/>
    <w:rsid w:val="0B1A0187"/>
    <w:rsid w:val="0B4F1700"/>
    <w:rsid w:val="0B6F7549"/>
    <w:rsid w:val="0C226A4B"/>
    <w:rsid w:val="0C324EB4"/>
    <w:rsid w:val="0C33659B"/>
    <w:rsid w:val="0C365542"/>
    <w:rsid w:val="0C47607A"/>
    <w:rsid w:val="0C8D710F"/>
    <w:rsid w:val="0C9E1C8E"/>
    <w:rsid w:val="0CE314E4"/>
    <w:rsid w:val="0D0D7068"/>
    <w:rsid w:val="0D1C0BCE"/>
    <w:rsid w:val="0D2537EE"/>
    <w:rsid w:val="0D3E11B3"/>
    <w:rsid w:val="0D493BC3"/>
    <w:rsid w:val="0D59635F"/>
    <w:rsid w:val="0D873291"/>
    <w:rsid w:val="0DA23C32"/>
    <w:rsid w:val="0DBB2480"/>
    <w:rsid w:val="0E040591"/>
    <w:rsid w:val="0E0A1C9A"/>
    <w:rsid w:val="0E1F086A"/>
    <w:rsid w:val="0E42011C"/>
    <w:rsid w:val="0E5F4611"/>
    <w:rsid w:val="0E6A58F8"/>
    <w:rsid w:val="0E7574F4"/>
    <w:rsid w:val="0E8A4D64"/>
    <w:rsid w:val="0ECE771A"/>
    <w:rsid w:val="0EE125CD"/>
    <w:rsid w:val="0EEF63D7"/>
    <w:rsid w:val="0F2E01ED"/>
    <w:rsid w:val="0F3F48CA"/>
    <w:rsid w:val="0F4D69BC"/>
    <w:rsid w:val="0F535D52"/>
    <w:rsid w:val="0F832760"/>
    <w:rsid w:val="0F8C3649"/>
    <w:rsid w:val="0FE94BD4"/>
    <w:rsid w:val="100821A5"/>
    <w:rsid w:val="10140D49"/>
    <w:rsid w:val="103116B2"/>
    <w:rsid w:val="10791507"/>
    <w:rsid w:val="10C055FF"/>
    <w:rsid w:val="10C10585"/>
    <w:rsid w:val="10F12ACD"/>
    <w:rsid w:val="11171DFE"/>
    <w:rsid w:val="11241F76"/>
    <w:rsid w:val="11562749"/>
    <w:rsid w:val="11824C07"/>
    <w:rsid w:val="11B35ED8"/>
    <w:rsid w:val="11FE02FC"/>
    <w:rsid w:val="12545CE4"/>
    <w:rsid w:val="12AD2E7E"/>
    <w:rsid w:val="12C612B5"/>
    <w:rsid w:val="13637A2D"/>
    <w:rsid w:val="1392539B"/>
    <w:rsid w:val="1397512A"/>
    <w:rsid w:val="13A1261B"/>
    <w:rsid w:val="13BA25D5"/>
    <w:rsid w:val="13F261C8"/>
    <w:rsid w:val="14287BF0"/>
    <w:rsid w:val="142C5D5B"/>
    <w:rsid w:val="148A19A6"/>
    <w:rsid w:val="149F3207"/>
    <w:rsid w:val="14DB4942"/>
    <w:rsid w:val="14E15892"/>
    <w:rsid w:val="15032116"/>
    <w:rsid w:val="15176EFF"/>
    <w:rsid w:val="151D2C9F"/>
    <w:rsid w:val="154B06D6"/>
    <w:rsid w:val="155A75F9"/>
    <w:rsid w:val="157667DC"/>
    <w:rsid w:val="159954CA"/>
    <w:rsid w:val="15AB3F6E"/>
    <w:rsid w:val="15B86D82"/>
    <w:rsid w:val="1604744B"/>
    <w:rsid w:val="169F5EB8"/>
    <w:rsid w:val="16BB723D"/>
    <w:rsid w:val="16C259FF"/>
    <w:rsid w:val="16DC1A1F"/>
    <w:rsid w:val="17725328"/>
    <w:rsid w:val="17CB1332"/>
    <w:rsid w:val="18196394"/>
    <w:rsid w:val="186B508F"/>
    <w:rsid w:val="18703063"/>
    <w:rsid w:val="187733E2"/>
    <w:rsid w:val="187804DF"/>
    <w:rsid w:val="188B2F50"/>
    <w:rsid w:val="18AA4BDB"/>
    <w:rsid w:val="18B20734"/>
    <w:rsid w:val="18C15C38"/>
    <w:rsid w:val="191D1A33"/>
    <w:rsid w:val="19270F4B"/>
    <w:rsid w:val="195277F5"/>
    <w:rsid w:val="196D5422"/>
    <w:rsid w:val="1973375B"/>
    <w:rsid w:val="198C1C7F"/>
    <w:rsid w:val="198D0CE5"/>
    <w:rsid w:val="19A97142"/>
    <w:rsid w:val="1A0F1734"/>
    <w:rsid w:val="1A622B5E"/>
    <w:rsid w:val="1AA05C39"/>
    <w:rsid w:val="1AF92A5A"/>
    <w:rsid w:val="1B2345D6"/>
    <w:rsid w:val="1B2D50A5"/>
    <w:rsid w:val="1B930572"/>
    <w:rsid w:val="1BD73CAE"/>
    <w:rsid w:val="1BE6227E"/>
    <w:rsid w:val="1C066308"/>
    <w:rsid w:val="1C531D0F"/>
    <w:rsid w:val="1C8D7E31"/>
    <w:rsid w:val="1D4013AC"/>
    <w:rsid w:val="1DFC37EE"/>
    <w:rsid w:val="1E60050D"/>
    <w:rsid w:val="1E8A6D5C"/>
    <w:rsid w:val="1F2A0E06"/>
    <w:rsid w:val="1F3A4F9E"/>
    <w:rsid w:val="1F4217DD"/>
    <w:rsid w:val="1FCF7887"/>
    <w:rsid w:val="20367E90"/>
    <w:rsid w:val="20570CF3"/>
    <w:rsid w:val="20A2068C"/>
    <w:rsid w:val="20AE7EE9"/>
    <w:rsid w:val="20F6615E"/>
    <w:rsid w:val="212062CA"/>
    <w:rsid w:val="21347235"/>
    <w:rsid w:val="21352613"/>
    <w:rsid w:val="21614B19"/>
    <w:rsid w:val="217D00CA"/>
    <w:rsid w:val="219E5197"/>
    <w:rsid w:val="22447312"/>
    <w:rsid w:val="2256286C"/>
    <w:rsid w:val="229415A1"/>
    <w:rsid w:val="22BA7FC3"/>
    <w:rsid w:val="22F645D7"/>
    <w:rsid w:val="22FF0FB0"/>
    <w:rsid w:val="235C3B3A"/>
    <w:rsid w:val="240371BF"/>
    <w:rsid w:val="240629FE"/>
    <w:rsid w:val="24213C1F"/>
    <w:rsid w:val="246B7FBD"/>
    <w:rsid w:val="24A7451D"/>
    <w:rsid w:val="24CD7CD6"/>
    <w:rsid w:val="25006861"/>
    <w:rsid w:val="255669E5"/>
    <w:rsid w:val="25623348"/>
    <w:rsid w:val="2576765D"/>
    <w:rsid w:val="25E26497"/>
    <w:rsid w:val="26002E2A"/>
    <w:rsid w:val="2619685C"/>
    <w:rsid w:val="261B60E2"/>
    <w:rsid w:val="26645238"/>
    <w:rsid w:val="268B45EE"/>
    <w:rsid w:val="269A3AD2"/>
    <w:rsid w:val="26D73827"/>
    <w:rsid w:val="2735321B"/>
    <w:rsid w:val="27434AE3"/>
    <w:rsid w:val="274D015F"/>
    <w:rsid w:val="2750636A"/>
    <w:rsid w:val="277C6DB0"/>
    <w:rsid w:val="279D2CEE"/>
    <w:rsid w:val="27AC538B"/>
    <w:rsid w:val="27C2052A"/>
    <w:rsid w:val="27C9583F"/>
    <w:rsid w:val="280574A4"/>
    <w:rsid w:val="28351E2C"/>
    <w:rsid w:val="28401B47"/>
    <w:rsid w:val="284853BF"/>
    <w:rsid w:val="286B3044"/>
    <w:rsid w:val="2892659C"/>
    <w:rsid w:val="28A3260A"/>
    <w:rsid w:val="28D255C7"/>
    <w:rsid w:val="28DC3406"/>
    <w:rsid w:val="292875B9"/>
    <w:rsid w:val="29914915"/>
    <w:rsid w:val="29A70E5C"/>
    <w:rsid w:val="29B53A81"/>
    <w:rsid w:val="29C258A9"/>
    <w:rsid w:val="29CD28B3"/>
    <w:rsid w:val="29D75B4E"/>
    <w:rsid w:val="29FB094B"/>
    <w:rsid w:val="29FD04D3"/>
    <w:rsid w:val="2A375CE2"/>
    <w:rsid w:val="2A377ADE"/>
    <w:rsid w:val="2A5C09BD"/>
    <w:rsid w:val="2A5F0152"/>
    <w:rsid w:val="2A934F10"/>
    <w:rsid w:val="2AA612A7"/>
    <w:rsid w:val="2AA90E4F"/>
    <w:rsid w:val="2AAA41C2"/>
    <w:rsid w:val="2B1301E7"/>
    <w:rsid w:val="2BCF10A8"/>
    <w:rsid w:val="2C176917"/>
    <w:rsid w:val="2C1D49CD"/>
    <w:rsid w:val="2C696193"/>
    <w:rsid w:val="2C7908CE"/>
    <w:rsid w:val="2C87067C"/>
    <w:rsid w:val="2C9E34F0"/>
    <w:rsid w:val="2D292357"/>
    <w:rsid w:val="2D2A066D"/>
    <w:rsid w:val="2D7E55F0"/>
    <w:rsid w:val="2DF37450"/>
    <w:rsid w:val="2DF82D46"/>
    <w:rsid w:val="2E02495E"/>
    <w:rsid w:val="2E0534BF"/>
    <w:rsid w:val="2E1B5DD6"/>
    <w:rsid w:val="2E5E3E58"/>
    <w:rsid w:val="2E8E6B44"/>
    <w:rsid w:val="2F0D3CA4"/>
    <w:rsid w:val="2F4516BF"/>
    <w:rsid w:val="301A7E56"/>
    <w:rsid w:val="306B66A8"/>
    <w:rsid w:val="308A3F76"/>
    <w:rsid w:val="308E0540"/>
    <w:rsid w:val="30BE4F38"/>
    <w:rsid w:val="30CD1849"/>
    <w:rsid w:val="30D4445E"/>
    <w:rsid w:val="30E72CE0"/>
    <w:rsid w:val="30F1583F"/>
    <w:rsid w:val="310242DF"/>
    <w:rsid w:val="31286BEE"/>
    <w:rsid w:val="316844BE"/>
    <w:rsid w:val="319F7F4E"/>
    <w:rsid w:val="31DD3ED0"/>
    <w:rsid w:val="32A62391"/>
    <w:rsid w:val="32FB4064"/>
    <w:rsid w:val="330C3309"/>
    <w:rsid w:val="33404714"/>
    <w:rsid w:val="335353EF"/>
    <w:rsid w:val="33810ACC"/>
    <w:rsid w:val="33D03E55"/>
    <w:rsid w:val="33D658B0"/>
    <w:rsid w:val="33E33022"/>
    <w:rsid w:val="34650B2E"/>
    <w:rsid w:val="3519612E"/>
    <w:rsid w:val="351E73FF"/>
    <w:rsid w:val="358A59F6"/>
    <w:rsid w:val="35DF3CE1"/>
    <w:rsid w:val="3646799A"/>
    <w:rsid w:val="366462F7"/>
    <w:rsid w:val="368900B8"/>
    <w:rsid w:val="369F348D"/>
    <w:rsid w:val="36AD2B0A"/>
    <w:rsid w:val="36B134F0"/>
    <w:rsid w:val="36E054BD"/>
    <w:rsid w:val="37284A76"/>
    <w:rsid w:val="374D27BC"/>
    <w:rsid w:val="376042A9"/>
    <w:rsid w:val="379B2698"/>
    <w:rsid w:val="37B71E01"/>
    <w:rsid w:val="37E5146C"/>
    <w:rsid w:val="383D1201"/>
    <w:rsid w:val="38547FFA"/>
    <w:rsid w:val="38CF78F0"/>
    <w:rsid w:val="3993260A"/>
    <w:rsid w:val="39FB717E"/>
    <w:rsid w:val="3A4009FF"/>
    <w:rsid w:val="3A6E037A"/>
    <w:rsid w:val="3A816B6A"/>
    <w:rsid w:val="3AEB29CF"/>
    <w:rsid w:val="3AFF46BB"/>
    <w:rsid w:val="3B2966AA"/>
    <w:rsid w:val="3B4146FD"/>
    <w:rsid w:val="3B4550D7"/>
    <w:rsid w:val="3B8554F5"/>
    <w:rsid w:val="3B915757"/>
    <w:rsid w:val="3B9D3AE7"/>
    <w:rsid w:val="3BB172E8"/>
    <w:rsid w:val="3BB541CF"/>
    <w:rsid w:val="3BEA4801"/>
    <w:rsid w:val="3BF62928"/>
    <w:rsid w:val="3BFC0EBB"/>
    <w:rsid w:val="3C1F57A3"/>
    <w:rsid w:val="3C832B4A"/>
    <w:rsid w:val="3C8C31AE"/>
    <w:rsid w:val="3CB77AD4"/>
    <w:rsid w:val="3D9B1F53"/>
    <w:rsid w:val="3D9D42F2"/>
    <w:rsid w:val="3E1F00F6"/>
    <w:rsid w:val="3E3368F4"/>
    <w:rsid w:val="3E4966E3"/>
    <w:rsid w:val="3EB103AD"/>
    <w:rsid w:val="3EBC1B99"/>
    <w:rsid w:val="3ED54CF2"/>
    <w:rsid w:val="3F1A4928"/>
    <w:rsid w:val="3FBE5D31"/>
    <w:rsid w:val="3FF92425"/>
    <w:rsid w:val="401622DC"/>
    <w:rsid w:val="408C466D"/>
    <w:rsid w:val="40FE5619"/>
    <w:rsid w:val="41795724"/>
    <w:rsid w:val="41D93671"/>
    <w:rsid w:val="42217478"/>
    <w:rsid w:val="422D74A8"/>
    <w:rsid w:val="4272575C"/>
    <w:rsid w:val="42761E6E"/>
    <w:rsid w:val="42904980"/>
    <w:rsid w:val="42931DAA"/>
    <w:rsid w:val="42EE4E33"/>
    <w:rsid w:val="42F95277"/>
    <w:rsid w:val="43866AC2"/>
    <w:rsid w:val="43EB415C"/>
    <w:rsid w:val="43FE0342"/>
    <w:rsid w:val="4445406F"/>
    <w:rsid w:val="44510921"/>
    <w:rsid w:val="4466027A"/>
    <w:rsid w:val="44CF6522"/>
    <w:rsid w:val="45320C68"/>
    <w:rsid w:val="460C1B7D"/>
    <w:rsid w:val="46E845BC"/>
    <w:rsid w:val="470B7C77"/>
    <w:rsid w:val="47131106"/>
    <w:rsid w:val="472716AA"/>
    <w:rsid w:val="4768535F"/>
    <w:rsid w:val="48657C8B"/>
    <w:rsid w:val="4936075C"/>
    <w:rsid w:val="496852E5"/>
    <w:rsid w:val="49725517"/>
    <w:rsid w:val="49964578"/>
    <w:rsid w:val="499E2F50"/>
    <w:rsid w:val="49DE0283"/>
    <w:rsid w:val="49FA386F"/>
    <w:rsid w:val="4A0C0437"/>
    <w:rsid w:val="4A0F2D49"/>
    <w:rsid w:val="4A17160E"/>
    <w:rsid w:val="4A751B07"/>
    <w:rsid w:val="4A8F3863"/>
    <w:rsid w:val="4AE93910"/>
    <w:rsid w:val="4B1931D8"/>
    <w:rsid w:val="4B3C4315"/>
    <w:rsid w:val="4B3D0796"/>
    <w:rsid w:val="4CD16C91"/>
    <w:rsid w:val="4CEE1E4D"/>
    <w:rsid w:val="4D1471C9"/>
    <w:rsid w:val="4D1C116B"/>
    <w:rsid w:val="4D2B0635"/>
    <w:rsid w:val="4D313D53"/>
    <w:rsid w:val="4D5C1CA4"/>
    <w:rsid w:val="4D605B01"/>
    <w:rsid w:val="4DE171ED"/>
    <w:rsid w:val="4E476673"/>
    <w:rsid w:val="4E4810BB"/>
    <w:rsid w:val="4E527C97"/>
    <w:rsid w:val="4E7D10E3"/>
    <w:rsid w:val="4E8F4774"/>
    <w:rsid w:val="4E9710B8"/>
    <w:rsid w:val="4EB846D3"/>
    <w:rsid w:val="4ECE2238"/>
    <w:rsid w:val="4ED30B7E"/>
    <w:rsid w:val="4F8A2826"/>
    <w:rsid w:val="4F9B3946"/>
    <w:rsid w:val="4FDC4F11"/>
    <w:rsid w:val="5038002C"/>
    <w:rsid w:val="50530419"/>
    <w:rsid w:val="50C04343"/>
    <w:rsid w:val="510668B8"/>
    <w:rsid w:val="51602B54"/>
    <w:rsid w:val="517F735C"/>
    <w:rsid w:val="5194748B"/>
    <w:rsid w:val="52327600"/>
    <w:rsid w:val="524068FB"/>
    <w:rsid w:val="52B01B24"/>
    <w:rsid w:val="52F852EB"/>
    <w:rsid w:val="53383952"/>
    <w:rsid w:val="53483C02"/>
    <w:rsid w:val="535956A7"/>
    <w:rsid w:val="53B70788"/>
    <w:rsid w:val="53C84585"/>
    <w:rsid w:val="54AC04FA"/>
    <w:rsid w:val="54B95C1D"/>
    <w:rsid w:val="553745EB"/>
    <w:rsid w:val="554414F2"/>
    <w:rsid w:val="554513D3"/>
    <w:rsid w:val="55525D8F"/>
    <w:rsid w:val="558D0B25"/>
    <w:rsid w:val="560B6AF2"/>
    <w:rsid w:val="561E56D6"/>
    <w:rsid w:val="564D6B46"/>
    <w:rsid w:val="56DE5711"/>
    <w:rsid w:val="57105102"/>
    <w:rsid w:val="579837BE"/>
    <w:rsid w:val="57A70DE1"/>
    <w:rsid w:val="57B7574E"/>
    <w:rsid w:val="57BA5527"/>
    <w:rsid w:val="57D57A96"/>
    <w:rsid w:val="57E4711C"/>
    <w:rsid w:val="580673A0"/>
    <w:rsid w:val="583259C2"/>
    <w:rsid w:val="58AC7BE8"/>
    <w:rsid w:val="58D82E94"/>
    <w:rsid w:val="58E11972"/>
    <w:rsid w:val="59455528"/>
    <w:rsid w:val="59552A9A"/>
    <w:rsid w:val="597113CA"/>
    <w:rsid w:val="5999006E"/>
    <w:rsid w:val="599D7838"/>
    <w:rsid w:val="59B20FD8"/>
    <w:rsid w:val="59FD5BBC"/>
    <w:rsid w:val="5A0874C5"/>
    <w:rsid w:val="5A9B6742"/>
    <w:rsid w:val="5AAE2D53"/>
    <w:rsid w:val="5AC158F5"/>
    <w:rsid w:val="5AD81737"/>
    <w:rsid w:val="5ADD4A94"/>
    <w:rsid w:val="5AFF343D"/>
    <w:rsid w:val="5B29179B"/>
    <w:rsid w:val="5B774C0B"/>
    <w:rsid w:val="5BA22A02"/>
    <w:rsid w:val="5BCD16B1"/>
    <w:rsid w:val="5BD234B4"/>
    <w:rsid w:val="5C3A7B5F"/>
    <w:rsid w:val="5C5C0A87"/>
    <w:rsid w:val="5C6A7234"/>
    <w:rsid w:val="5C9F1E88"/>
    <w:rsid w:val="5CBB1AF2"/>
    <w:rsid w:val="5CBE06F8"/>
    <w:rsid w:val="5CDA0CC2"/>
    <w:rsid w:val="5CE536CC"/>
    <w:rsid w:val="5CF46B37"/>
    <w:rsid w:val="5D1E19FF"/>
    <w:rsid w:val="5D332250"/>
    <w:rsid w:val="5D720034"/>
    <w:rsid w:val="5D7315FE"/>
    <w:rsid w:val="5D790643"/>
    <w:rsid w:val="5DB91BA7"/>
    <w:rsid w:val="5DDF6EEE"/>
    <w:rsid w:val="5E195585"/>
    <w:rsid w:val="5E815D11"/>
    <w:rsid w:val="5E8B50E2"/>
    <w:rsid w:val="5EB649BB"/>
    <w:rsid w:val="5F175540"/>
    <w:rsid w:val="5F286285"/>
    <w:rsid w:val="5F3A2743"/>
    <w:rsid w:val="5F6F2D2A"/>
    <w:rsid w:val="5F7C33DB"/>
    <w:rsid w:val="5F7F5347"/>
    <w:rsid w:val="5F88697B"/>
    <w:rsid w:val="5F8C6869"/>
    <w:rsid w:val="5FAD4DFA"/>
    <w:rsid w:val="5FE66572"/>
    <w:rsid w:val="5FFA4961"/>
    <w:rsid w:val="60332C40"/>
    <w:rsid w:val="604728EC"/>
    <w:rsid w:val="60476311"/>
    <w:rsid w:val="607E473F"/>
    <w:rsid w:val="60D07B1E"/>
    <w:rsid w:val="60F235AD"/>
    <w:rsid w:val="6144151A"/>
    <w:rsid w:val="61540E42"/>
    <w:rsid w:val="61600FA4"/>
    <w:rsid w:val="61A46E34"/>
    <w:rsid w:val="61CC0148"/>
    <w:rsid w:val="621C1A87"/>
    <w:rsid w:val="623F18C0"/>
    <w:rsid w:val="624A6E2A"/>
    <w:rsid w:val="626977B3"/>
    <w:rsid w:val="627174E6"/>
    <w:rsid w:val="62B41ABE"/>
    <w:rsid w:val="633A5F3E"/>
    <w:rsid w:val="633E0C8A"/>
    <w:rsid w:val="635E230E"/>
    <w:rsid w:val="63806744"/>
    <w:rsid w:val="63AC27AB"/>
    <w:rsid w:val="63B37269"/>
    <w:rsid w:val="63C45446"/>
    <w:rsid w:val="63E10E3C"/>
    <w:rsid w:val="64222B12"/>
    <w:rsid w:val="644025FD"/>
    <w:rsid w:val="647D0D7A"/>
    <w:rsid w:val="6482448E"/>
    <w:rsid w:val="64900F59"/>
    <w:rsid w:val="64AA0CAA"/>
    <w:rsid w:val="655B69F9"/>
    <w:rsid w:val="657A41D4"/>
    <w:rsid w:val="65AA5305"/>
    <w:rsid w:val="65AD7A0A"/>
    <w:rsid w:val="65C83969"/>
    <w:rsid w:val="66827736"/>
    <w:rsid w:val="66BA62CC"/>
    <w:rsid w:val="66FF24C5"/>
    <w:rsid w:val="67285401"/>
    <w:rsid w:val="67915698"/>
    <w:rsid w:val="67A31416"/>
    <w:rsid w:val="67CA2F6D"/>
    <w:rsid w:val="67E3233F"/>
    <w:rsid w:val="67E962C5"/>
    <w:rsid w:val="67EC0304"/>
    <w:rsid w:val="67FA7F25"/>
    <w:rsid w:val="68097CD1"/>
    <w:rsid w:val="681767A6"/>
    <w:rsid w:val="68376C7A"/>
    <w:rsid w:val="683820A9"/>
    <w:rsid w:val="68A23011"/>
    <w:rsid w:val="68E24C3E"/>
    <w:rsid w:val="68FF1964"/>
    <w:rsid w:val="693F2B36"/>
    <w:rsid w:val="69434D9A"/>
    <w:rsid w:val="6A095CDD"/>
    <w:rsid w:val="6A357860"/>
    <w:rsid w:val="6A452151"/>
    <w:rsid w:val="6A4F25E6"/>
    <w:rsid w:val="6A692F90"/>
    <w:rsid w:val="6A6D0941"/>
    <w:rsid w:val="6A793C08"/>
    <w:rsid w:val="6A7B5CBB"/>
    <w:rsid w:val="6B007D00"/>
    <w:rsid w:val="6B2C34D0"/>
    <w:rsid w:val="6B754946"/>
    <w:rsid w:val="6B7E102D"/>
    <w:rsid w:val="6BF81D45"/>
    <w:rsid w:val="6C275DC7"/>
    <w:rsid w:val="6CA33D1D"/>
    <w:rsid w:val="6CFE1F98"/>
    <w:rsid w:val="6CFF55BD"/>
    <w:rsid w:val="6D5257E7"/>
    <w:rsid w:val="6D5A435C"/>
    <w:rsid w:val="6D6F2143"/>
    <w:rsid w:val="6DC77899"/>
    <w:rsid w:val="6DFB2E0B"/>
    <w:rsid w:val="6E0D0A8B"/>
    <w:rsid w:val="6E2D6E6B"/>
    <w:rsid w:val="6E3A338D"/>
    <w:rsid w:val="6E807826"/>
    <w:rsid w:val="6E9928A7"/>
    <w:rsid w:val="6ED710D3"/>
    <w:rsid w:val="6F1E5986"/>
    <w:rsid w:val="6FD14BAD"/>
    <w:rsid w:val="6FF54B2E"/>
    <w:rsid w:val="7066776E"/>
    <w:rsid w:val="709B02B2"/>
    <w:rsid w:val="70BC068A"/>
    <w:rsid w:val="70E60EE8"/>
    <w:rsid w:val="71C50EB6"/>
    <w:rsid w:val="71D508E9"/>
    <w:rsid w:val="71E51E03"/>
    <w:rsid w:val="71F16093"/>
    <w:rsid w:val="71F364AA"/>
    <w:rsid w:val="72282D3C"/>
    <w:rsid w:val="7259674A"/>
    <w:rsid w:val="726547B0"/>
    <w:rsid w:val="72734D90"/>
    <w:rsid w:val="72D57C7A"/>
    <w:rsid w:val="72E7467D"/>
    <w:rsid w:val="73067445"/>
    <w:rsid w:val="732B6CFE"/>
    <w:rsid w:val="732C65FE"/>
    <w:rsid w:val="73433BD6"/>
    <w:rsid w:val="7348351F"/>
    <w:rsid w:val="73723C02"/>
    <w:rsid w:val="73844EFC"/>
    <w:rsid w:val="73C87FE0"/>
    <w:rsid w:val="73DA5D76"/>
    <w:rsid w:val="742F6F75"/>
    <w:rsid w:val="742F7E78"/>
    <w:rsid w:val="74A2724D"/>
    <w:rsid w:val="74AF6F37"/>
    <w:rsid w:val="750A17DA"/>
    <w:rsid w:val="7514256B"/>
    <w:rsid w:val="753960CA"/>
    <w:rsid w:val="754342FD"/>
    <w:rsid w:val="757E4888"/>
    <w:rsid w:val="758C0816"/>
    <w:rsid w:val="75D82C10"/>
    <w:rsid w:val="75DF23CB"/>
    <w:rsid w:val="761531AC"/>
    <w:rsid w:val="7623073A"/>
    <w:rsid w:val="7624717D"/>
    <w:rsid w:val="76467FD7"/>
    <w:rsid w:val="76DE5356"/>
    <w:rsid w:val="777C6C0F"/>
    <w:rsid w:val="778A5DCD"/>
    <w:rsid w:val="77A15977"/>
    <w:rsid w:val="77B6665A"/>
    <w:rsid w:val="78184BA8"/>
    <w:rsid w:val="783660E8"/>
    <w:rsid w:val="786556DF"/>
    <w:rsid w:val="7892019C"/>
    <w:rsid w:val="78B56AAC"/>
    <w:rsid w:val="78D64754"/>
    <w:rsid w:val="78E45B0E"/>
    <w:rsid w:val="78E94EE3"/>
    <w:rsid w:val="78FC67F1"/>
    <w:rsid w:val="79053F5D"/>
    <w:rsid w:val="796D3277"/>
    <w:rsid w:val="7A3E642D"/>
    <w:rsid w:val="7A4E52A5"/>
    <w:rsid w:val="7A896EAE"/>
    <w:rsid w:val="7A9B12A6"/>
    <w:rsid w:val="7AE721E1"/>
    <w:rsid w:val="7B0873DB"/>
    <w:rsid w:val="7B642BE3"/>
    <w:rsid w:val="7B664343"/>
    <w:rsid w:val="7B737CD3"/>
    <w:rsid w:val="7BE1323A"/>
    <w:rsid w:val="7C0A0D11"/>
    <w:rsid w:val="7CC1263B"/>
    <w:rsid w:val="7CED63A3"/>
    <w:rsid w:val="7D1E549D"/>
    <w:rsid w:val="7D283B73"/>
    <w:rsid w:val="7D64712F"/>
    <w:rsid w:val="7DB67040"/>
    <w:rsid w:val="7DD34CF9"/>
    <w:rsid w:val="7DDE3809"/>
    <w:rsid w:val="7DE36C2F"/>
    <w:rsid w:val="7E22235B"/>
    <w:rsid w:val="7E7E51DC"/>
    <w:rsid w:val="7ED10B20"/>
    <w:rsid w:val="7F0A0B52"/>
    <w:rsid w:val="7F2727C5"/>
    <w:rsid w:val="7F377C54"/>
    <w:rsid w:val="7F8E56E3"/>
    <w:rsid w:val="7FC915C8"/>
    <w:rsid w:val="7FCE1315"/>
    <w:rsid w:val="7FDF38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link w:val="32"/>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link w:val="33"/>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link w:val="3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rPr>
  </w:style>
  <w:style w:type="character" w:customStyle="1" w:styleId="31">
    <w:name w:val="目录 2 Char"/>
    <w:link w:val="11"/>
    <w:qFormat/>
    <w:uiPriority w:val="39"/>
  </w:style>
  <w:style w:type="character" w:customStyle="1" w:styleId="32">
    <w:name w:val="目录 3 Char"/>
    <w:link w:val="6"/>
    <w:qFormat/>
    <w:uiPriority w:val="39"/>
  </w:style>
  <w:style w:type="character" w:customStyle="1" w:styleId="33">
    <w:name w:val="目录 1 Char"/>
    <w:link w:val="10"/>
    <w:qFormat/>
    <w:uiPriority w:val="39"/>
    <w:rPr>
      <w:rFonts w:ascii="仿宋" w:hAnsi="仿宋" w:eastAsia="仿宋"/>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t>收、支决算总计变动情况图</a:t>
            </a:r>
            <a:endParaRPr sz="1200"/>
          </a:p>
          <a:p>
            <a:pPr defTabSz="914400">
              <a:defRPr lang="zh-CN" sz="1400" b="0" i="0" u="none" strike="noStrike" kern="1200" spc="0" baseline="0">
                <a:solidFill>
                  <a:schemeClr val="tx1">
                    <a:lumMod val="65000"/>
                    <a:lumOff val="35000"/>
                  </a:schemeClr>
                </a:solidFill>
                <a:latin typeface="+mn-lt"/>
                <a:ea typeface="+mn-ea"/>
                <a:cs typeface="+mn-cs"/>
              </a:defRPr>
            </a:pPr>
            <a:r>
              <a:rPr sz="1200"/>
              <a:t>（万元）</a:t>
            </a:r>
            <a:endParaRPr sz="1200"/>
          </a:p>
        </c:rich>
      </c:tx>
      <c:layout/>
      <c:overlay val="0"/>
      <c:spPr>
        <a:noFill/>
        <a:ln>
          <a:noFill/>
        </a:ln>
        <a:effectLst/>
      </c:spPr>
    </c:title>
    <c:autoTitleDeleted val="0"/>
    <c:plotArea>
      <c:layout>
        <c:manualLayout>
          <c:layoutTarget val="inner"/>
          <c:xMode val="edge"/>
          <c:yMode val="edge"/>
          <c:x val="0.1613"/>
          <c:y val="0.130833333333333"/>
          <c:w val="0.8112"/>
          <c:h val="0.5753"/>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收入总计</c:v>
                </c:pt>
                <c:pt idx="1">
                  <c:v>支出总计</c:v>
                </c:pt>
              </c:strCache>
            </c:strRef>
          </c:cat>
          <c:val>
            <c:numRef>
              <c:f>Sheet1!$B$2:$B$3</c:f>
              <c:numCache>
                <c:formatCode>General</c:formatCode>
                <c:ptCount val="2"/>
                <c:pt idx="0">
                  <c:v>4105.14</c:v>
                </c:pt>
                <c:pt idx="1">
                  <c:v>7995.57</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收入总计</c:v>
                </c:pt>
                <c:pt idx="1">
                  <c:v>支出总计</c:v>
                </c:pt>
              </c:strCache>
            </c:strRef>
          </c:cat>
          <c:val>
            <c:numRef>
              <c:f>Sheet1!$C$2:$C$3</c:f>
              <c:numCache>
                <c:formatCode>General</c:formatCode>
                <c:ptCount val="2"/>
                <c:pt idx="0">
                  <c:v>1722.59</c:v>
                </c:pt>
                <c:pt idx="1">
                  <c:v>4555.73</c:v>
                </c:pt>
              </c:numCache>
            </c:numRef>
          </c:val>
        </c:ser>
        <c:dLbls>
          <c:showLegendKey val="0"/>
          <c:showVal val="1"/>
          <c:showCatName val="0"/>
          <c:showSerName val="0"/>
          <c:showPercent val="0"/>
          <c:showBubbleSize val="0"/>
        </c:dLbls>
        <c:gapWidth val="219"/>
        <c:overlap val="-27"/>
        <c:axId val="320977922"/>
        <c:axId val="967172163"/>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收入总计</c:v>
                      </c:pt>
                      <c:pt idx="1">
                        <c:v>支出总计</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320977922"/>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7172163"/>
        <c:crosses val="autoZero"/>
        <c:auto val="1"/>
        <c:lblAlgn val="ctr"/>
        <c:lblOffset val="100"/>
        <c:noMultiLvlLbl val="0"/>
      </c:catAx>
      <c:valAx>
        <c:axId val="9671721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097792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7"/>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accent2"/>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1718.5, </a:t>
                    </a:r>
                    <a:r>
                      <a:rPr lang="en-US" altLang="zh-CN"/>
                      <a:t>99.76</a:t>
                    </a:r>
                    <a:r>
                      <a:t>%</a:t>
                    </a:r>
                  </a:p>
                </c:rich>
              </c:tx>
              <c:dLblPos val="outEnd"/>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4.09, </a:t>
                    </a:r>
                    <a:r>
                      <a:rPr lang="en-US" altLang="zh-CN"/>
                      <a:t>0.24</a:t>
                    </a:r>
                    <a:r>
                      <a:t>%</a:t>
                    </a:r>
                  </a:p>
                </c:rich>
              </c:tx>
              <c:dLblPos val="outEnd"/>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1718.5</c:v>
                </c:pt>
                <c:pt idx="1">
                  <c:v>4.09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7"/>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accent2"/>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384.84</a:t>
                    </a:r>
                    <a:r>
                      <a:t>, </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8.45</a:t>
                    </a:r>
                    <a:r>
                      <a:t>%</a:t>
                    </a:r>
                  </a:p>
                </c:rich>
              </c:tx>
              <c:dLblPos val="outEnd"/>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4170.89</a:t>
                    </a:r>
                    <a:r>
                      <a:t>, </a:t>
                    </a:r>
                    <a:r>
                      <a:rPr lang="en-US" altLang="zh-CN"/>
                      <a:t>91.55</a:t>
                    </a:r>
                    <a:r>
                      <a:t>%</a:t>
                    </a:r>
                  </a:p>
                </c:rich>
              </c:tx>
              <c:dLblPos val="outEnd"/>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384.84</c:v>
                </c:pt>
                <c:pt idx="1">
                  <c:v>4170.89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t>财政拨款收、支决算总计变动情况图</a:t>
            </a:r>
            <a:endParaRPr sz="1200"/>
          </a:p>
          <a:p>
            <a:pPr defTabSz="914400">
              <a:defRPr lang="zh-CN" sz="1400" b="0" i="0" u="none" strike="noStrike" kern="1200" spc="0" baseline="0">
                <a:solidFill>
                  <a:schemeClr val="tx1">
                    <a:lumMod val="65000"/>
                    <a:lumOff val="35000"/>
                  </a:schemeClr>
                </a:solidFill>
                <a:latin typeface="+mn-lt"/>
                <a:ea typeface="+mn-ea"/>
                <a:cs typeface="+mn-cs"/>
              </a:defRPr>
            </a:pPr>
            <a:r>
              <a:rPr sz="1200"/>
              <a:t>（万元）</a:t>
            </a:r>
            <a:endParaRPr sz="1200"/>
          </a:p>
        </c:rich>
      </c:tx>
      <c:layout/>
      <c:overlay val="0"/>
      <c:spPr>
        <a:noFill/>
        <a:ln>
          <a:noFill/>
        </a:ln>
        <a:effectLst/>
      </c:spPr>
    </c:title>
    <c:autoTitleDeleted val="0"/>
    <c:plotArea>
      <c:layout>
        <c:manualLayout>
          <c:layoutTarget val="inner"/>
          <c:xMode val="edge"/>
          <c:yMode val="edge"/>
          <c:x val="0.1613"/>
          <c:y val="0.130833333333333"/>
          <c:w val="0.8112"/>
          <c:h val="0.5753"/>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收入总计</c:v>
                </c:pt>
                <c:pt idx="1">
                  <c:v>支出总计</c:v>
                </c:pt>
              </c:strCache>
            </c:strRef>
          </c:cat>
          <c:val>
            <c:numRef>
              <c:f>Sheet1!$B$2:$B$3</c:f>
              <c:numCache>
                <c:formatCode>General</c:formatCode>
                <c:ptCount val="2"/>
                <c:pt idx="0">
                  <c:v>4090.98</c:v>
                </c:pt>
                <c:pt idx="1">
                  <c:v>7995.57</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收入总计</c:v>
                </c:pt>
                <c:pt idx="1">
                  <c:v>支出总计</c:v>
                </c:pt>
              </c:strCache>
            </c:strRef>
          </c:cat>
          <c:val>
            <c:numRef>
              <c:f>Sheet1!$C$2:$C$3</c:f>
              <c:numCache>
                <c:formatCode>0.00_ </c:formatCode>
                <c:ptCount val="2"/>
                <c:pt idx="0">
                  <c:v>1718.5</c:v>
                </c:pt>
                <c:pt idx="1" c:formatCode="General">
                  <c:v>4555.73</c:v>
                </c:pt>
              </c:numCache>
            </c:numRef>
          </c:val>
        </c:ser>
        <c:dLbls>
          <c:showLegendKey val="0"/>
          <c:showVal val="1"/>
          <c:showCatName val="0"/>
          <c:showSerName val="0"/>
          <c:showPercent val="0"/>
          <c:showBubbleSize val="0"/>
        </c:dLbls>
        <c:gapWidth val="219"/>
        <c:overlap val="-27"/>
        <c:axId val="320977922"/>
        <c:axId val="967172163"/>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收入总计</c:v>
                      </c:pt>
                      <c:pt idx="1">
                        <c:v>支出总计</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320977922"/>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7172163"/>
        <c:crosses val="autoZero"/>
        <c:auto val="1"/>
        <c:lblAlgn val="ctr"/>
        <c:lblOffset val="100"/>
        <c:noMultiLvlLbl val="0"/>
      </c:catAx>
      <c:valAx>
        <c:axId val="9671721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097792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a:p>
            <a:pPr defTabSz="914400">
              <a:defRPr lang="zh-CN" sz="1400" b="0" i="0" u="none" strike="noStrike" kern="1200" spc="0" baseline="0">
                <a:solidFill>
                  <a:schemeClr val="tx1">
                    <a:lumMod val="65000"/>
                    <a:lumOff val="35000"/>
                  </a:schemeClr>
                </a:solidFill>
                <a:latin typeface="+mn-lt"/>
                <a:ea typeface="+mn-ea"/>
                <a:cs typeface="+mn-cs"/>
              </a:defRPr>
            </a:pPr>
            <a:r>
              <a:t>（万元）</a:t>
            </a:r>
          </a:p>
        </c:rich>
      </c:tx>
      <c:layout/>
      <c:overlay val="0"/>
      <c:spPr>
        <a:noFill/>
        <a:ln>
          <a:noFill/>
        </a:ln>
        <a:effectLst/>
      </c:spPr>
    </c:title>
    <c:autoTitleDeleted val="0"/>
    <c:plotArea>
      <c:layout>
        <c:manualLayout>
          <c:layoutTarget val="inner"/>
          <c:xMode val="edge"/>
          <c:yMode val="edge"/>
          <c:x val="0.1613"/>
          <c:y val="0.130833333333333"/>
          <c:w val="0.8112"/>
          <c:h val="0.5753"/>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7995.57</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0.00_ </c:formatCode>
                <c:ptCount val="1"/>
                <c:pt idx="0">
                  <c:v>4555.73</c:v>
                </c:pt>
              </c:numCache>
            </c:numRef>
          </c:val>
        </c:ser>
        <c:dLbls>
          <c:showLegendKey val="0"/>
          <c:showVal val="1"/>
          <c:showCatName val="0"/>
          <c:showSerName val="0"/>
          <c:showPercent val="0"/>
          <c:showBubbleSize val="0"/>
        </c:dLbls>
        <c:gapWidth val="219"/>
        <c:overlap val="-27"/>
        <c:axId val="320977922"/>
        <c:axId val="967172163"/>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c15:sqref>
                        </c15:formulaRef>
                      </c:ext>
                    </c:extLst>
                    <c:strCache>
                      <c:ptCount val="1"/>
                      <c:pt idx="0">
                        <c:v>一般公共预算财政拨款支出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320977922"/>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7172163"/>
        <c:crosses val="autoZero"/>
        <c:auto val="1"/>
        <c:lblAlgn val="ctr"/>
        <c:lblOffset val="100"/>
        <c:noMultiLvlLbl val="0"/>
      </c:catAx>
      <c:valAx>
        <c:axId val="9671721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097792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t>一般公共预算财政拨款支出结构图</a:t>
            </a:r>
            <a:endParaRPr sz="1200"/>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一般公共预算财政拨款支出结构图</c:v>
                </c:pt>
              </c:strCache>
            </c:strRef>
          </c:tx>
          <c:spPr/>
          <c:explosion val="3"/>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0313323058223133"/>
                  <c:y val="-0.022701000597157"/>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1"/>
              <c:layout>
                <c:manualLayout>
                  <c:x val="0.0950284819948537"/>
                  <c:y val="-0.0093808413440993"/>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2"/>
              <c:layout>
                <c:manualLayout>
                  <c:x val="0.145145068336252"/>
                  <c:y val="0.0212094561159089"/>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3"/>
              <c:layout>
                <c:manualLayout>
                  <c:x val="-0.111274784792591"/>
                  <c:y val="0.150604292296045"/>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4"/>
              <c:layout>
                <c:manualLayout>
                  <c:x val="0.137210228168365"/>
                  <c:y val="-0.230448667940995"/>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5"/>
              <c:layout>
                <c:manualLayout>
                  <c:x val="-0.138700432413479"/>
                  <c:y val="0.0149354880685634"/>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1"/>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社会保障和就业</c:v>
                </c:pt>
                <c:pt idx="1">
                  <c:v>卫生健康支出</c:v>
                </c:pt>
                <c:pt idx="2">
                  <c:v>节能环保支出</c:v>
                </c:pt>
                <c:pt idx="3">
                  <c:v>城乡社区支出</c:v>
                </c:pt>
                <c:pt idx="4">
                  <c:v>农林水支出</c:v>
                </c:pt>
                <c:pt idx="5">
                  <c:v>住房保障支出</c:v>
                </c:pt>
              </c:strCache>
            </c:strRef>
          </c:cat>
          <c:val>
            <c:numRef>
              <c:f>Sheet1!$B$2:$B$7</c:f>
              <c:numCache>
                <c:formatCode>General</c:formatCode>
                <c:ptCount val="6"/>
                <c:pt idx="0">
                  <c:v>47.38</c:v>
                </c:pt>
                <c:pt idx="1">
                  <c:v>22.12</c:v>
                </c:pt>
                <c:pt idx="2">
                  <c:v>108.91</c:v>
                </c:pt>
                <c:pt idx="3">
                  <c:v>576.95</c:v>
                </c:pt>
                <c:pt idx="4">
                  <c:v>3772.22</c:v>
                </c:pt>
                <c:pt idx="5">
                  <c:v>28.13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4225"/>
                  <c:y val="-0.0125"/>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1"/>
              <c:layout>
                <c:manualLayout>
                  <c:x val="-0.00462597194305152"/>
                  <c:y val="-0.179578520083537"/>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dLbl>
              <c:idx val="2"/>
              <c:layout>
                <c:manualLayout>
                  <c:x val="0.075"/>
                  <c:y val="0.00866666666666667"/>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1"/>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12.6</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18</TotalTime>
  <ScaleCrop>false</ScaleCrop>
  <LinksUpToDate>false</LinksUpToDate>
  <CharactersWithSpaces>8587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2020-11-10T07:41:38Z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