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3FB08">
      <w:pPr>
        <w:spacing w:line="600" w:lineRule="exact"/>
        <w:jc w:val="center"/>
        <w:outlineLvl w:val="9"/>
        <w:rPr>
          <w:rFonts w:ascii="方正小标宋简体" w:hAnsi="宋体" w:eastAsia="方正小标宋简体"/>
          <w:color w:val="000000"/>
          <w:sz w:val="72"/>
          <w:szCs w:val="72"/>
        </w:rPr>
      </w:pPr>
      <w:bookmarkStart w:id="0" w:name="_Toc15306267"/>
      <w:bookmarkStart w:id="104" w:name="_GoBack"/>
      <w:bookmarkEnd w:id="104"/>
    </w:p>
    <w:p w14:paraId="46626460">
      <w:pPr>
        <w:spacing w:line="600" w:lineRule="exact"/>
        <w:jc w:val="center"/>
        <w:outlineLvl w:val="9"/>
        <w:rPr>
          <w:rFonts w:ascii="方正小标宋简体" w:hAnsi="宋体" w:eastAsia="方正小标宋简体"/>
          <w:color w:val="000000"/>
          <w:sz w:val="72"/>
          <w:szCs w:val="72"/>
        </w:rPr>
      </w:pPr>
    </w:p>
    <w:p w14:paraId="01DB8B3A">
      <w:pPr>
        <w:spacing w:line="600" w:lineRule="exact"/>
        <w:jc w:val="center"/>
        <w:outlineLvl w:val="9"/>
        <w:rPr>
          <w:rFonts w:ascii="方正小标宋简体" w:hAnsi="宋体" w:eastAsia="方正小标宋简体"/>
          <w:color w:val="000000"/>
          <w:sz w:val="72"/>
          <w:szCs w:val="72"/>
        </w:rPr>
      </w:pPr>
    </w:p>
    <w:p w14:paraId="40D9BA6A">
      <w:pPr>
        <w:spacing w:line="600" w:lineRule="exact"/>
        <w:jc w:val="center"/>
        <w:outlineLvl w:val="9"/>
        <w:rPr>
          <w:rFonts w:ascii="方正小标宋简体" w:hAnsi="宋体" w:eastAsia="方正小标宋简体"/>
          <w:color w:val="000000"/>
          <w:sz w:val="72"/>
          <w:szCs w:val="72"/>
        </w:rPr>
      </w:pPr>
    </w:p>
    <w:p w14:paraId="30A3A9C6">
      <w:pPr>
        <w:adjustRightInd w:val="0"/>
        <w:snapToGrid w:val="0"/>
        <w:spacing w:line="360" w:lineRule="auto"/>
        <w:jc w:val="center"/>
        <w:outlineLvl w:val="0"/>
        <w:rPr>
          <w:rFonts w:ascii="方正小标宋简体" w:hAnsi="宋体" w:eastAsia="方正小标宋简体"/>
          <w:color w:val="000000"/>
          <w:sz w:val="72"/>
          <w:szCs w:val="72"/>
        </w:rPr>
      </w:pPr>
      <w:bookmarkStart w:id="1" w:name="_Toc26514"/>
      <w:bookmarkStart w:id="2" w:name="_Toc15396597"/>
      <w:bookmarkStart w:id="3" w:name="_Toc8329"/>
      <w:bookmarkStart w:id="4" w:name="_Toc15378441"/>
      <w:bookmarkStart w:id="5" w:name="_Toc15396475"/>
      <w:bookmarkStart w:id="6" w:name="_Toc15377193"/>
      <w:bookmarkStart w:id="7" w:name="_Toc15377425"/>
      <w:r>
        <w:rPr>
          <w:rFonts w:ascii="黑体" w:hAnsi="黑体" w:eastAsia="黑体"/>
          <w:color w:val="000000"/>
          <w:sz w:val="72"/>
          <w:szCs w:val="72"/>
        </w:rPr>
        <w:t>20</w:t>
      </w:r>
      <w:r>
        <w:rPr>
          <w:rFonts w:hint="eastAsia" w:ascii="黑体" w:hAnsi="黑体" w:eastAsia="黑体"/>
          <w:color w:val="000000"/>
          <w:sz w:val="72"/>
          <w:szCs w:val="72"/>
          <w:lang w:val="en-US" w:eastAsia="zh-CN"/>
        </w:rPr>
        <w:t>24</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14:paraId="203AAEF1">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476"/>
      <w:bookmarkStart w:id="9" w:name="_Toc15377426"/>
      <w:bookmarkStart w:id="10" w:name="_Toc9431"/>
      <w:bookmarkStart w:id="11" w:name="_Toc15396598"/>
      <w:bookmarkStart w:id="12" w:name="_Toc26985"/>
      <w:bookmarkStart w:id="13" w:name="_Toc15377194"/>
      <w:bookmarkStart w:id="14" w:name="_Toc15378442"/>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5" w:name="_Toc15306268"/>
      <w:r>
        <w:rPr>
          <w:rFonts w:hint="eastAsia" w:ascii="方正小标宋简体" w:hAnsi="宋体" w:eastAsia="方正小标宋简体"/>
          <w:color w:val="000000"/>
          <w:sz w:val="72"/>
          <w:szCs w:val="72"/>
          <w:lang w:eastAsia="zh-CN"/>
        </w:rPr>
        <w:t>粮食和物资储备中心</w:t>
      </w:r>
      <w:r>
        <w:rPr>
          <w:rFonts w:hint="eastAsia" w:ascii="方正小标宋简体" w:hAnsi="宋体" w:eastAsia="方正小标宋简体"/>
          <w:color w:val="000000"/>
          <w:sz w:val="72"/>
          <w:szCs w:val="72"/>
        </w:rPr>
        <w:t>决算</w:t>
      </w:r>
      <w:bookmarkEnd w:id="8"/>
      <w:bookmarkEnd w:id="9"/>
      <w:bookmarkEnd w:id="10"/>
      <w:bookmarkEnd w:id="11"/>
      <w:bookmarkEnd w:id="12"/>
      <w:bookmarkEnd w:id="13"/>
      <w:bookmarkEnd w:id="14"/>
      <w:bookmarkEnd w:id="15"/>
    </w:p>
    <w:p w14:paraId="5C997BB6">
      <w:pPr>
        <w:widowControl/>
        <w:jc w:val="center"/>
        <w:rPr>
          <w:rFonts w:ascii="方正小标宋简体" w:hAnsi="宋体" w:eastAsia="方正小标宋简体"/>
          <w:color w:val="000000"/>
          <w:sz w:val="36"/>
          <w:szCs w:val="36"/>
        </w:rPr>
      </w:pPr>
    </w:p>
    <w:p w14:paraId="4426EF5F">
      <w:pPr>
        <w:rPr>
          <w:rFonts w:ascii="方正小标宋简体" w:hAnsi="宋体" w:eastAsia="方正小标宋简体"/>
          <w:sz w:val="36"/>
          <w:szCs w:val="36"/>
        </w:rPr>
      </w:pPr>
    </w:p>
    <w:p w14:paraId="6716664A">
      <w:pPr>
        <w:rPr>
          <w:rFonts w:ascii="方正小标宋简体" w:hAnsi="宋体" w:eastAsia="方正小标宋简体"/>
          <w:sz w:val="36"/>
          <w:szCs w:val="36"/>
        </w:rPr>
      </w:pPr>
    </w:p>
    <w:p w14:paraId="32F5A0E8">
      <w:pPr>
        <w:rPr>
          <w:rFonts w:ascii="方正小标宋简体" w:hAnsi="宋体" w:eastAsia="方正小标宋简体"/>
          <w:sz w:val="36"/>
          <w:szCs w:val="36"/>
        </w:rPr>
      </w:pPr>
    </w:p>
    <w:p w14:paraId="551AAEA8">
      <w:pPr>
        <w:rPr>
          <w:rFonts w:ascii="方正小标宋简体" w:hAnsi="宋体" w:eastAsia="方正小标宋简体"/>
          <w:sz w:val="36"/>
          <w:szCs w:val="36"/>
        </w:rPr>
      </w:pPr>
    </w:p>
    <w:p w14:paraId="6482354B">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3C3F0F16">
      <w:pPr>
        <w:widowControl/>
        <w:jc w:val="center"/>
        <w:rPr>
          <w:rFonts w:hint="eastAsia" w:ascii="仿宋_GB2312" w:hAnsi="Calibri" w:eastAsia="仿宋_GB2312" w:cs="仿宋_GB2312"/>
          <w:sz w:val="32"/>
          <w:szCs w:val="32"/>
        </w:rPr>
        <w:sectPr>
          <w:pgSz w:w="11906" w:h="16838"/>
          <w:pgMar w:top="1440" w:right="1800" w:bottom="1440" w:left="1800" w:header="851" w:footer="992" w:gutter="0"/>
          <w:pgNumType w:fmt="decimal" w:start="1"/>
          <w:cols w:space="425" w:num="1"/>
          <w:titlePg/>
          <w:docGrid w:type="lines" w:linePitch="312" w:charSpace="0"/>
        </w:sect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19D86717">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4251F3FC">
      <w:pPr>
        <w:widowControl/>
        <w:jc w:val="center"/>
        <w:rPr>
          <w:rFonts w:ascii="黑体" w:hAnsi="黑体" w:eastAsia="黑体" w:cstheme="minorBidi"/>
          <w:sz w:val="28"/>
          <w:szCs w:val="28"/>
        </w:rPr>
      </w:pPr>
    </w:p>
    <w:p w14:paraId="77909410">
      <w:pPr>
        <w:pStyle w:val="10"/>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月</w:t>
      </w:r>
      <w:r>
        <w:rPr>
          <w:rFonts w:hint="eastAsia"/>
          <w:lang w:val="en-US" w:eastAsia="zh-CN"/>
        </w:rPr>
        <w:t>22</w:t>
      </w:r>
      <w:r>
        <w:rPr>
          <w:rFonts w:hint="eastAsia"/>
        </w:rPr>
        <w:t>日</w:t>
      </w:r>
    </w:p>
    <w:p w14:paraId="06DCD021">
      <w:pPr>
        <w:pStyle w:val="10"/>
        <w:tabs>
          <w:tab w:val="right" w:leader="dot" w:pos="8306"/>
          <w:tab w:val="clear" w:pos="8296"/>
        </w:tabs>
        <w:rPr>
          <w:rFonts w:hint="eastAsia" w:ascii="仿宋_GB2312" w:hAnsi="仿宋_GB2312" w:eastAsia="仿宋_GB2312" w:cs="仿宋_GB2312"/>
          <w:b w:val="0"/>
          <w:bCs w:val="0"/>
          <w:sz w:val="32"/>
          <w:szCs w:val="32"/>
        </w:rPr>
      </w:pPr>
    </w:p>
    <w:p w14:paraId="0F0451A5">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第一部分 部门概况</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color w:val="000000"/>
          <w:sz w:val="32"/>
          <w:szCs w:val="32"/>
        </w:rPr>
        <w:fldChar w:fldCharType="end"/>
      </w:r>
    </w:p>
    <w:p w14:paraId="6F52B81A">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_Toc18784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一、基本职能及主要工作</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color w:val="000000"/>
          <w:sz w:val="32"/>
          <w:szCs w:val="32"/>
        </w:rPr>
        <w:fldChar w:fldCharType="end"/>
      </w:r>
    </w:p>
    <w:p w14:paraId="4D11EDD2">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_Toc12652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机构设置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color w:val="000000"/>
          <w:sz w:val="32"/>
          <w:szCs w:val="32"/>
        </w:rPr>
        <w:fldChar w:fldCharType="end"/>
      </w:r>
    </w:p>
    <w:p w14:paraId="07CC5FBD">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_Toc18632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第二部分 20</w:t>
      </w:r>
      <w:r>
        <w:rPr>
          <w:rFonts w:hint="eastAsia" w:ascii="仿宋_GB2312" w:hAnsi="仿宋_GB2312" w:eastAsia="仿宋_GB2312" w:cs="仿宋_GB2312"/>
          <w:b w:val="0"/>
          <w:bCs w:val="0"/>
          <w:sz w:val="32"/>
          <w:szCs w:val="32"/>
          <w:lang w:val="en-US" w:eastAsia="zh-CN"/>
        </w:rPr>
        <w:t>24</w:t>
      </w:r>
      <w:r>
        <w:rPr>
          <w:rFonts w:hint="eastAsia" w:ascii="仿宋_GB2312" w:hAnsi="仿宋_GB2312" w:eastAsia="仿宋_GB2312" w:cs="仿宋_GB2312"/>
          <w:b w:val="0"/>
          <w:bCs w:val="0"/>
          <w:sz w:val="32"/>
          <w:szCs w:val="32"/>
        </w:rPr>
        <w:t>年度部门决算情况说明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color w:val="000000"/>
          <w:sz w:val="32"/>
          <w:szCs w:val="32"/>
        </w:rPr>
        <w:fldChar w:fldCharType="end"/>
      </w:r>
    </w:p>
    <w:p w14:paraId="5B0B10E1">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_Toc5142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color w:val="000000"/>
          <w:sz w:val="32"/>
          <w:szCs w:val="32"/>
        </w:rPr>
        <w:fldChar w:fldCharType="end"/>
      </w:r>
    </w:p>
    <w:p w14:paraId="00511B7D">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_Toc14236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收入决算情况说明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color w:val="000000"/>
          <w:sz w:val="32"/>
          <w:szCs w:val="32"/>
        </w:rPr>
        <w:fldChar w:fldCharType="end"/>
      </w:r>
    </w:p>
    <w:p w14:paraId="3DD31626">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_Toc20672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 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color w:val="000000"/>
          <w:sz w:val="32"/>
          <w:szCs w:val="32"/>
        </w:rPr>
        <w:fldChar w:fldCharType="end"/>
      </w:r>
    </w:p>
    <w:p w14:paraId="66BA737D">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_Toc9383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color w:val="000000"/>
          <w:sz w:val="32"/>
          <w:szCs w:val="32"/>
        </w:rPr>
        <w:fldChar w:fldCharType="end"/>
      </w:r>
    </w:p>
    <w:p w14:paraId="4B4AF177">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_Toc19127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五、一般公共预算财政拨款支出决算情况说明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color w:val="000000"/>
          <w:sz w:val="32"/>
          <w:szCs w:val="32"/>
        </w:rPr>
        <w:fldChar w:fldCharType="end"/>
      </w:r>
    </w:p>
    <w:p w14:paraId="2161ADAE">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六、一般公共预算财政拨款基本支出决算情况说明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75E1F3E8">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七、“三公”经费财政拨款支出决算情况说明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4E0F11F3">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八、政府性基金预算支出决算情况说明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082AAB04">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 国有资本经营预算支出决算情况说明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14</w:t>
      </w:r>
      <w:r>
        <w:rPr>
          <w:rFonts w:hint="eastAsia" w:ascii="仿宋_GB2312" w:hAnsi="仿宋_GB2312" w:eastAsia="仿宋_GB2312" w:cs="仿宋_GB2312"/>
          <w:b w:val="0"/>
          <w:bCs w:val="0"/>
          <w:color w:val="000000"/>
          <w:sz w:val="32"/>
          <w:szCs w:val="32"/>
        </w:rPr>
        <w:fldChar w:fldCharType="end"/>
      </w:r>
    </w:p>
    <w:p w14:paraId="2EBA5F18">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十、其他重要事项的情况说明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14</w:t>
      </w:r>
      <w:r>
        <w:rPr>
          <w:rFonts w:hint="eastAsia" w:ascii="仿宋_GB2312" w:hAnsi="仿宋_GB2312" w:eastAsia="仿宋_GB2312" w:cs="仿宋_GB2312"/>
          <w:b w:val="0"/>
          <w:bCs w:val="0"/>
          <w:color w:val="000000"/>
          <w:sz w:val="32"/>
          <w:szCs w:val="32"/>
        </w:rPr>
        <w:fldChar w:fldCharType="end"/>
      </w:r>
    </w:p>
    <w:p w14:paraId="0BC85B16">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_Toc9171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第三部分 名词解释</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19</w:t>
      </w:r>
      <w:r>
        <w:rPr>
          <w:rFonts w:hint="eastAsia" w:ascii="仿宋_GB2312" w:hAnsi="仿宋_GB2312" w:eastAsia="仿宋_GB2312" w:cs="仿宋_GB2312"/>
          <w:b w:val="0"/>
          <w:bCs w:val="0"/>
          <w:color w:val="000000"/>
          <w:sz w:val="32"/>
          <w:szCs w:val="32"/>
        </w:rPr>
        <w:fldChar w:fldCharType="end"/>
      </w:r>
    </w:p>
    <w:p w14:paraId="71E5CB3B">
      <w:pPr>
        <w:pStyle w:val="10"/>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_Toc15964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第四部分 附件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2</w:t>
      </w:r>
    </w:p>
    <w:p w14:paraId="34FD4F52">
      <w:pPr>
        <w:pStyle w:val="11"/>
        <w:tabs>
          <w:tab w:val="right" w:leader="dot" w:pos="8306"/>
          <w:tab w:val="clear" w:pos="8296"/>
        </w:tabs>
        <w:rPr>
          <w:rFonts w:hint="eastAsia" w:ascii="仿宋_GB2312" w:hAnsi="仿宋_GB2312" w:eastAsia="仿宋_GB2312" w:cs="仿宋_GB2312"/>
          <w:b w:val="0"/>
          <w:bCs w:val="0"/>
          <w:sz w:val="32"/>
          <w:szCs w:val="32"/>
        </w:rPr>
      </w:pPr>
    </w:p>
    <w:p w14:paraId="6B629F1E">
      <w:pPr>
        <w:pStyle w:val="10"/>
        <w:tabs>
          <w:tab w:val="right" w:leader="dot" w:pos="8306"/>
          <w:tab w:val="clear" w:pos="8296"/>
        </w:tabs>
        <w:rPr>
          <w:rFonts w:hint="eastAsia" w:ascii="仿宋_GB2312" w:hAnsi="仿宋_GB2312" w:eastAsia="仿宋_GB2312" w:cs="仿宋_GB2312"/>
          <w:b w:val="0"/>
          <w:bCs w:val="0"/>
          <w:color w:val="000000"/>
          <w:sz w:val="32"/>
          <w:szCs w:val="32"/>
        </w:rPr>
        <w:sectPr>
          <w:footerReference r:id="rId4" w:type="first"/>
          <w:footerReference r:id="rId3" w:type="default"/>
          <w:pgSz w:w="11906" w:h="16838"/>
          <w:pgMar w:top="1440" w:right="1800" w:bottom="1440" w:left="1800" w:header="851" w:footer="992" w:gutter="0"/>
          <w:pgNumType w:fmt="decimal" w:start="1"/>
          <w:cols w:space="425" w:num="1"/>
          <w:docGrid w:type="lines" w:linePitch="312" w:charSpace="0"/>
        </w:sectPr>
      </w:pPr>
    </w:p>
    <w:p w14:paraId="7293A2DC">
      <w:pPr>
        <w:pStyle w:val="10"/>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_Toc13406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第五部分 附表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8</w:t>
      </w:r>
    </w:p>
    <w:p w14:paraId="36822E1A">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0EA64882">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二、收入总表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7612C3DB">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三、支出总表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75A4B81D">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6F9407F7">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五、财政拨款支出决算明细表（政府经济分类科目）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472AEC3E">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4DACA1C3">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七、一般公共预算财政拨款支出决算明细表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276F9A57">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八、一般公共预算财政拨款基本支出决算表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43A99A82">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九、一般公共预算财政拨款项目支出决算表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20A7C3C3">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十、一般公共预算财政拨款“三公”经费支出决算表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2226080F">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十一、政府性基金预算财政拨款收入支出决算表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41E9AF2F">
      <w:pPr>
        <w:pStyle w:val="11"/>
        <w:tabs>
          <w:tab w:val="right" w:leader="dot" w:pos="8306"/>
          <w:tab w:val="clear" w:pos="8296"/>
        </w:tabs>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十二、政府性基金预算财政拨款“三公”经费支出决算表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751D049D">
      <w:pPr>
        <w:pStyle w:val="10"/>
        <w:bidi w:val="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十三、国有资本经营预算支出决算表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14:paraId="3C6A8973">
      <w:pPr>
        <w:pStyle w:val="2"/>
        <w:jc w:val="center"/>
        <w:rPr>
          <w:rFonts w:hint="eastAsia" w:ascii="黑体" w:hAnsi="黑体" w:eastAsia="黑体"/>
          <w:b w:val="0"/>
        </w:rPr>
        <w:sectPr>
          <w:footerReference r:id="rId5" w:type="default"/>
          <w:pgSz w:w="11906" w:h="16838"/>
          <w:pgMar w:top="1440" w:right="1800" w:bottom="1440" w:left="1800" w:header="851" w:footer="992" w:gutter="0"/>
          <w:pgNumType w:fmt="decimal" w:start="1"/>
          <w:cols w:space="425" w:num="1"/>
          <w:docGrid w:type="lines" w:linePitch="312" w:charSpace="0"/>
        </w:sectPr>
      </w:pPr>
      <w:bookmarkStart w:id="16" w:name="_Toc523"/>
    </w:p>
    <w:p w14:paraId="3006B409">
      <w:pPr>
        <w:pStyle w:val="2"/>
        <w:jc w:val="both"/>
        <w:rPr>
          <w:rFonts w:hint="eastAsia" w:ascii="黑体" w:hAnsi="黑体" w:eastAsia="黑体"/>
          <w:b w:val="0"/>
        </w:rPr>
      </w:pPr>
    </w:p>
    <w:p w14:paraId="6FA4BB68">
      <w:pPr>
        <w:pStyle w:val="2"/>
        <w:jc w:val="center"/>
        <w:rPr>
          <w:rStyle w:val="33"/>
          <w:rFonts w:ascii="黑体" w:hAnsi="黑体" w:eastAsia="黑体"/>
          <w:b/>
          <w:bCs w:val="0"/>
        </w:rPr>
      </w:pPr>
      <w:r>
        <w:rPr>
          <w:rFonts w:hint="eastAsia" w:ascii="黑体" w:hAnsi="黑体" w:eastAsia="黑体"/>
          <w:b w:val="0"/>
        </w:rPr>
        <w:t xml:space="preserve">第一部分 </w:t>
      </w:r>
      <w:r>
        <w:rPr>
          <w:rStyle w:val="33"/>
          <w:rFonts w:hint="eastAsia" w:ascii="黑体" w:hAnsi="黑体" w:eastAsia="黑体"/>
          <w:b w:val="0"/>
          <w:bCs w:val="0"/>
        </w:rPr>
        <w:t>部门概况</w:t>
      </w:r>
      <w:bookmarkEnd w:id="16"/>
    </w:p>
    <w:p w14:paraId="5CE31DA3">
      <w:pPr>
        <w:pStyle w:val="3"/>
        <w:outlineLvl w:val="0"/>
        <w:rPr>
          <w:rStyle w:val="31"/>
          <w:rFonts w:ascii="仿宋" w:hAnsi="仿宋" w:eastAsia="仿宋"/>
          <w:b w:val="0"/>
          <w:bCs w:val="0"/>
        </w:rPr>
      </w:pPr>
      <w:bookmarkStart w:id="17" w:name="_Toc15377197"/>
      <w:bookmarkStart w:id="18" w:name="_Toc15396600"/>
      <w:bookmarkStart w:id="19" w:name="_Toc18784"/>
      <w:r>
        <w:rPr>
          <w:rFonts w:hint="eastAsia" w:ascii="黑体" w:hAnsi="黑体" w:eastAsia="黑体"/>
          <w:b w:val="0"/>
          <w:color w:val="000000"/>
        </w:rPr>
        <w:t>一、基</w:t>
      </w:r>
      <w:r>
        <w:rPr>
          <w:rStyle w:val="31"/>
          <w:rFonts w:hint="eastAsia" w:ascii="黑体" w:hAnsi="黑体" w:eastAsia="黑体"/>
          <w:b w:val="0"/>
          <w:bCs w:val="0"/>
        </w:rPr>
        <w:t>本职能及主要工作</w:t>
      </w:r>
      <w:bookmarkEnd w:id="17"/>
      <w:bookmarkEnd w:id="18"/>
      <w:bookmarkEnd w:id="19"/>
    </w:p>
    <w:p w14:paraId="0BBE7EC1">
      <w:pPr>
        <w:pStyle w:val="5"/>
        <w:adjustRightInd w:val="0"/>
        <w:snapToGrid w:val="0"/>
        <w:spacing w:before="93" w:line="600" w:lineRule="exact"/>
        <w:ind w:firstLine="672" w:firstLineChars="210"/>
        <w:outlineLvl w:val="1"/>
        <w:rPr>
          <w:rFonts w:hint="eastAsia" w:ascii="仿宋" w:hAnsi="仿宋" w:eastAsia="仿宋"/>
          <w:bCs/>
          <w:color w:val="000000"/>
          <w:sz w:val="32"/>
          <w:szCs w:val="32"/>
        </w:rPr>
      </w:pPr>
      <w:bookmarkStart w:id="20" w:name="_Toc15521"/>
      <w:bookmarkStart w:id="21" w:name="_Toc15378445"/>
      <w:bookmarkStart w:id="22" w:name="_Toc15377198"/>
      <w:bookmarkStart w:id="23" w:name="_Toc15554"/>
      <w:r>
        <w:rPr>
          <w:rFonts w:hint="eastAsia" w:ascii="仿宋" w:hAnsi="仿宋" w:eastAsia="仿宋"/>
          <w:bCs/>
          <w:color w:val="000000"/>
          <w:sz w:val="32"/>
          <w:szCs w:val="32"/>
        </w:rPr>
        <w:t>（一）主要职能。</w:t>
      </w:r>
      <w:bookmarkEnd w:id="20"/>
      <w:bookmarkEnd w:id="21"/>
      <w:bookmarkEnd w:id="22"/>
      <w:bookmarkEnd w:id="23"/>
      <w:bookmarkStart w:id="24" w:name="_Toc15377199"/>
      <w:bookmarkStart w:id="25" w:name="_Toc15378446"/>
    </w:p>
    <w:p w14:paraId="6A35E219">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14:paraId="7A99E736">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w:t>
      </w:r>
      <w:r>
        <w:rPr>
          <w:rFonts w:hint="eastAsia" w:ascii="仿宋" w:hAnsi="仿宋" w:eastAsia="仿宋" w:cs="仿宋"/>
          <w:sz w:val="32"/>
          <w:szCs w:val="32"/>
          <w:lang w:eastAsia="zh-CN"/>
        </w:rPr>
        <w:t>产品</w:t>
      </w:r>
      <w:r>
        <w:rPr>
          <w:rFonts w:hint="eastAsia" w:ascii="仿宋" w:hAnsi="仿宋" w:eastAsia="仿宋" w:cs="仿宋"/>
          <w:sz w:val="32"/>
          <w:szCs w:val="32"/>
        </w:rPr>
        <w:t>结构、合理安排布局的措施；配合有关部门抓好商品粮油品种结构调整。</w:t>
      </w:r>
    </w:p>
    <w:p w14:paraId="2C42F050">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县级和州级储备粮油的管理工作。</w:t>
      </w:r>
    </w:p>
    <w:p w14:paraId="1A539B23">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14:paraId="236B286B">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14:paraId="14073AE8">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14:paraId="1F8BDF60">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w:t>
      </w:r>
      <w:r>
        <w:rPr>
          <w:rFonts w:hint="eastAsia" w:ascii="仿宋" w:hAnsi="仿宋" w:eastAsia="仿宋" w:cs="仿宋"/>
          <w:sz w:val="32"/>
          <w:szCs w:val="32"/>
          <w:lang w:eastAsia="zh-CN"/>
        </w:rPr>
        <w:t>流通</w:t>
      </w:r>
      <w:r>
        <w:rPr>
          <w:rFonts w:hint="eastAsia" w:ascii="仿宋" w:hAnsi="仿宋" w:eastAsia="仿宋" w:cs="仿宋"/>
          <w:sz w:val="32"/>
          <w:szCs w:val="32"/>
        </w:rPr>
        <w:t>市场的行业管理、县级粮油批</w:t>
      </w:r>
      <w:r>
        <w:rPr>
          <w:rFonts w:hint="eastAsia" w:ascii="仿宋" w:hAnsi="仿宋" w:eastAsia="仿宋" w:cs="仿宋"/>
          <w:sz w:val="32"/>
          <w:szCs w:val="32"/>
          <w:lang w:eastAsia="zh-CN"/>
        </w:rPr>
        <w:t>发</w:t>
      </w:r>
      <w:r>
        <w:rPr>
          <w:rFonts w:hint="eastAsia" w:ascii="仿宋" w:hAnsi="仿宋" w:eastAsia="仿宋" w:cs="仿宋"/>
          <w:sz w:val="32"/>
          <w:szCs w:val="32"/>
        </w:rPr>
        <w:t>市场体系建设、国有粮食企业的改革；指导并推动行业的技术改造、新技术推广运用、安全生产工作；承担行业统计工作；会同有关部门加强粮食市场监督管理。</w:t>
      </w:r>
    </w:p>
    <w:p w14:paraId="27FFFA72">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14:paraId="16C26970">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14:paraId="3898B43F">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14:paraId="4E658F6A">
      <w:pPr>
        <w:spacing w:line="600" w:lineRule="exact"/>
        <w:rPr>
          <w:rFonts w:hint="default" w:ascii="仿宋" w:hAnsi="仿宋" w:eastAsia="仿宋"/>
          <w:sz w:val="32"/>
          <w:szCs w:val="32"/>
        </w:rPr>
      </w:pPr>
      <w:r>
        <w:rPr>
          <w:rFonts w:hint="eastAsia" w:ascii="仿宋" w:hAnsi="仿宋" w:eastAsia="仿宋" w:cs="仿宋"/>
          <w:sz w:val="32"/>
          <w:szCs w:val="32"/>
        </w:rPr>
        <w:t xml:space="preserve">    （11）承办县政府交办的其它事项。</w:t>
      </w:r>
    </w:p>
    <w:p w14:paraId="6DD9429C">
      <w:pPr>
        <w:pStyle w:val="5"/>
        <w:adjustRightInd w:val="0"/>
        <w:snapToGrid w:val="0"/>
        <w:spacing w:before="93" w:line="600" w:lineRule="exact"/>
        <w:ind w:firstLine="640" w:firstLineChars="200"/>
        <w:outlineLvl w:val="1"/>
        <w:rPr>
          <w:rFonts w:hint="eastAsia" w:ascii="仿宋" w:hAnsi="仿宋" w:eastAsia="仿宋"/>
          <w:bCs/>
          <w:color w:val="000000"/>
          <w:sz w:val="32"/>
          <w:szCs w:val="32"/>
        </w:rPr>
      </w:pPr>
      <w:bookmarkStart w:id="26" w:name="_Toc26326"/>
      <w:bookmarkStart w:id="27" w:name="_Toc20558"/>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24</w:t>
      </w:r>
      <w:r>
        <w:rPr>
          <w:rFonts w:hint="eastAsia" w:ascii="仿宋" w:hAnsi="仿宋" w:eastAsia="仿宋"/>
          <w:bCs/>
          <w:color w:val="000000"/>
          <w:sz w:val="32"/>
          <w:szCs w:val="32"/>
        </w:rPr>
        <w:t>年重点工作完成情况。</w:t>
      </w:r>
      <w:bookmarkEnd w:id="24"/>
      <w:bookmarkEnd w:id="25"/>
      <w:bookmarkEnd w:id="26"/>
      <w:bookmarkEnd w:id="27"/>
    </w:p>
    <w:p w14:paraId="599A665F">
      <w:pPr>
        <w:snapToGrid w:val="0"/>
        <w:spacing w:line="520" w:lineRule="exact"/>
        <w:ind w:firstLine="640" w:firstLineChars="200"/>
        <w:rPr>
          <w:rFonts w:hint="eastAsia" w:ascii="仿宋_GB2312" w:eastAsia="仿宋_GB2312" w:cs="宋体"/>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年，粮食工作在县委、县政府的坚强领导和州发改委的有力指导下,紧紧围绕县委、县政府及目标管理考核领导小组下达的20</w:t>
      </w:r>
      <w:r>
        <w:rPr>
          <w:rFonts w:hint="eastAsia" w:ascii="仿宋_GB2312" w:eastAsia="仿宋_GB2312"/>
          <w:sz w:val="32"/>
          <w:szCs w:val="32"/>
          <w:lang w:val="en-US" w:eastAsia="zh-CN"/>
        </w:rPr>
        <w:t>24</w:t>
      </w:r>
      <w:r>
        <w:rPr>
          <w:rFonts w:hint="eastAsia" w:ascii="仿宋_GB2312" w:eastAsia="仿宋_GB2312"/>
          <w:sz w:val="32"/>
          <w:szCs w:val="32"/>
        </w:rPr>
        <w:t>年度目标绩效考核工作任务，以“守住管好天下粮仓”，认真做好“广积粮、积好粮、好积粮”三篇文章为己任，严格执行《阿坝州贯彻落实</w:t>
      </w:r>
      <w:r>
        <w:rPr>
          <w:rFonts w:hint="eastAsia" w:ascii="仿宋_GB2312" w:eastAsia="仿宋_GB2312"/>
          <w:sz w:val="32"/>
          <w:szCs w:val="32"/>
          <w:lang w:eastAsia="zh-CN"/>
        </w:rPr>
        <w:t>耕地保护和</w:t>
      </w:r>
      <w:r>
        <w:rPr>
          <w:rFonts w:hint="eastAsia" w:ascii="仿宋_GB2312" w:eastAsia="仿宋_GB2312"/>
          <w:sz w:val="32"/>
          <w:szCs w:val="32"/>
        </w:rPr>
        <w:t>粮食安全</w:t>
      </w:r>
      <w:r>
        <w:rPr>
          <w:rFonts w:hint="eastAsia" w:ascii="仿宋_GB2312" w:eastAsia="仿宋_GB2312"/>
          <w:sz w:val="32"/>
          <w:szCs w:val="32"/>
          <w:lang w:eastAsia="zh-CN"/>
        </w:rPr>
        <w:t>党政同责</w:t>
      </w:r>
      <w:r>
        <w:rPr>
          <w:rFonts w:hint="eastAsia" w:ascii="仿宋_GB2312" w:eastAsia="仿宋_GB2312"/>
          <w:sz w:val="32"/>
          <w:szCs w:val="32"/>
        </w:rPr>
        <w:t>任制考核办法》、《红原县贯彻落实</w:t>
      </w:r>
      <w:r>
        <w:rPr>
          <w:rFonts w:hint="eastAsia" w:ascii="仿宋_GB2312" w:eastAsia="仿宋_GB2312"/>
          <w:sz w:val="32"/>
          <w:szCs w:val="32"/>
          <w:lang w:eastAsia="zh-CN"/>
        </w:rPr>
        <w:t>耕地保护</w:t>
      </w:r>
      <w:r>
        <w:rPr>
          <w:rFonts w:hint="eastAsia" w:ascii="仿宋_GB2312" w:eastAsia="仿宋_GB2312"/>
          <w:sz w:val="32"/>
          <w:szCs w:val="32"/>
        </w:rPr>
        <w:t>粮食安全</w:t>
      </w:r>
      <w:r>
        <w:rPr>
          <w:rFonts w:hint="eastAsia" w:ascii="仿宋_GB2312" w:eastAsia="仿宋_GB2312"/>
          <w:sz w:val="32"/>
          <w:szCs w:val="32"/>
          <w:lang w:eastAsia="zh-CN"/>
        </w:rPr>
        <w:t>党政同责</w:t>
      </w:r>
      <w:r>
        <w:rPr>
          <w:rFonts w:hint="eastAsia" w:ascii="仿宋_GB2312" w:eastAsia="仿宋_GB2312"/>
          <w:sz w:val="32"/>
          <w:szCs w:val="32"/>
        </w:rPr>
        <w:t>任制考核办法》，履职尽责，创新工作，切实做好军需民食供应、粮食库存检查、科学管粮、依法治粮、维护社会稳定等方面工作并取得较大进展</w:t>
      </w:r>
      <w:r>
        <w:rPr>
          <w:rFonts w:hint="eastAsia" w:ascii="仿宋_GB2312" w:eastAsia="仿宋_GB2312" w:cs="宋体"/>
          <w:sz w:val="32"/>
          <w:szCs w:val="32"/>
        </w:rPr>
        <w:t>。为促进粮食流通事业科学发展，</w:t>
      </w:r>
      <w:r>
        <w:rPr>
          <w:rFonts w:hint="eastAsia" w:ascii="仿宋_GB2312" w:eastAsia="仿宋_GB2312"/>
          <w:sz w:val="32"/>
          <w:szCs w:val="32"/>
        </w:rPr>
        <w:t>推进粮食工作健康发展</w:t>
      </w:r>
      <w:r>
        <w:rPr>
          <w:rFonts w:hint="eastAsia" w:ascii="仿宋_GB2312" w:eastAsia="仿宋_GB2312" w:cs="宋体"/>
          <w:sz w:val="32"/>
          <w:szCs w:val="32"/>
        </w:rPr>
        <w:t>做出新的贡献。</w:t>
      </w:r>
    </w:p>
    <w:p w14:paraId="0B7C0577">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b w:val="0"/>
          <w:bCs w:val="0"/>
          <w:color w:val="333333"/>
          <w:sz w:val="32"/>
          <w:szCs w:val="32"/>
          <w:lang w:val="en-US" w:eastAsia="zh-CN"/>
        </w:rPr>
      </w:pPr>
      <w:r>
        <w:rPr>
          <w:rFonts w:hint="eastAsia" w:ascii="仿宋_GB2312" w:eastAsia="仿宋_GB2312"/>
          <w:sz w:val="32"/>
          <w:szCs w:val="32"/>
        </w:rPr>
        <w:t>1.</w:t>
      </w:r>
      <w:r>
        <w:rPr>
          <w:rFonts w:hint="eastAsia" w:ascii="仿宋_GB2312" w:hAnsi="仿宋_GB2312" w:eastAsia="仿宋_GB2312" w:cs="仿宋_GB2312"/>
          <w:b w:val="0"/>
          <w:bCs w:val="0"/>
          <w:sz w:val="32"/>
          <w:szCs w:val="32"/>
        </w:rPr>
        <w:t>认真做好</w:t>
      </w:r>
      <w:r>
        <w:rPr>
          <w:rFonts w:hint="eastAsia" w:ascii="仿宋_GB2312" w:hAnsi="仿宋_GB2312" w:eastAsia="仿宋_GB2312" w:cs="仿宋_GB2312"/>
          <w:b w:val="0"/>
          <w:bCs w:val="0"/>
          <w:sz w:val="32"/>
          <w:szCs w:val="32"/>
          <w:lang w:eastAsia="zh-CN"/>
        </w:rPr>
        <w:t>粮食和物资</w:t>
      </w:r>
      <w:r>
        <w:rPr>
          <w:rFonts w:hint="eastAsia" w:ascii="仿宋_GB2312" w:hAnsi="仿宋_GB2312" w:eastAsia="仿宋_GB2312" w:cs="仿宋_GB2312"/>
          <w:b w:val="0"/>
          <w:bCs w:val="0"/>
          <w:sz w:val="32"/>
          <w:szCs w:val="32"/>
        </w:rPr>
        <w:t>应急</w:t>
      </w:r>
      <w:r>
        <w:rPr>
          <w:rFonts w:hint="eastAsia" w:ascii="仿宋_GB2312" w:hAnsi="仿宋_GB2312" w:eastAsia="仿宋_GB2312" w:cs="仿宋_GB2312"/>
          <w:b w:val="0"/>
          <w:bCs w:val="0"/>
          <w:color w:val="333333"/>
          <w:sz w:val="32"/>
          <w:szCs w:val="32"/>
        </w:rPr>
        <w:t>储备工作</w:t>
      </w:r>
      <w:r>
        <w:rPr>
          <w:rFonts w:hint="eastAsia" w:ascii="仿宋_GB2312" w:hAnsi="仿宋_GB2312" w:eastAsia="仿宋_GB2312" w:cs="仿宋_GB2312"/>
          <w:b w:val="0"/>
          <w:bCs w:val="0"/>
          <w:color w:val="333333"/>
          <w:sz w:val="32"/>
          <w:szCs w:val="32"/>
          <w:lang w:eastAsia="zh-CN"/>
        </w:rPr>
        <w:t>。</w:t>
      </w:r>
    </w:p>
    <w:p w14:paraId="54B7438E">
      <w:pPr>
        <w:pStyle w:val="32"/>
        <w:spacing w:before="0" w:beforeAutospacing="0" w:after="0" w:afterAutospacing="0" w:line="600" w:lineRule="exact"/>
        <w:ind w:firstLine="600"/>
        <w:jc w:val="both"/>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2</w:t>
      </w:r>
      <w:r>
        <w:rPr>
          <w:rFonts w:hint="eastAsia" w:ascii="仿宋" w:hAnsi="仿宋" w:eastAsia="仿宋" w:cs="仿宋"/>
          <w:sz w:val="32"/>
          <w:szCs w:val="32"/>
        </w:rPr>
        <w:t>.增强粮食仓储规范化管理水平。</w:t>
      </w:r>
      <w:r>
        <w:rPr>
          <w:rFonts w:hint="eastAsia" w:ascii="仿宋_GB2312" w:eastAsia="仿宋_GB2312"/>
          <w:sz w:val="32"/>
          <w:szCs w:val="32"/>
        </w:rPr>
        <w:t>严格按照《粮食仓储管理办法》等规定，完善制度，层层签订责任书，逐级逐人落实目标管理责任，严明政策纪律，狠抓落实；想方设法筹措资金，不断改善粮食仓储条件。</w:t>
      </w:r>
    </w:p>
    <w:p w14:paraId="28388A84">
      <w:pPr>
        <w:numPr>
          <w:ilvl w:val="0"/>
          <w:numId w:val="0"/>
        </w:num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营造良好的粮食流通环境。</w:t>
      </w:r>
    </w:p>
    <w:p w14:paraId="48D813A1">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4</w:t>
      </w:r>
      <w:r>
        <w:rPr>
          <w:rFonts w:hint="eastAsia" w:ascii="仿宋" w:hAnsi="仿宋" w:eastAsia="仿宋" w:cs="仿宋"/>
          <w:sz w:val="32"/>
          <w:szCs w:val="32"/>
        </w:rPr>
        <w:t>.做好安全生产工作，安全保粮，杜绝事故隐患。</w:t>
      </w:r>
    </w:p>
    <w:p w14:paraId="615921CD">
      <w:pPr>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5</w:t>
      </w:r>
      <w:r>
        <w:rPr>
          <w:rFonts w:hint="eastAsia" w:ascii="仿宋" w:hAnsi="仿宋" w:eastAsia="仿宋" w:cs="仿宋"/>
          <w:sz w:val="32"/>
          <w:szCs w:val="32"/>
        </w:rPr>
        <w:t>.切实做好我县</w:t>
      </w:r>
      <w:r>
        <w:rPr>
          <w:rFonts w:hint="eastAsia" w:ascii="仿宋" w:hAnsi="仿宋" w:eastAsia="仿宋" w:cs="仿宋"/>
          <w:sz w:val="32"/>
          <w:szCs w:val="32"/>
          <w:lang w:eastAsia="zh-CN"/>
        </w:rPr>
        <w:t>耕地保护和</w:t>
      </w:r>
      <w:r>
        <w:rPr>
          <w:rFonts w:hint="eastAsia" w:ascii="仿宋" w:hAnsi="仿宋" w:eastAsia="仿宋" w:cs="仿宋"/>
          <w:sz w:val="32"/>
          <w:szCs w:val="32"/>
        </w:rPr>
        <w:t>粮食</w:t>
      </w:r>
      <w:r>
        <w:rPr>
          <w:rFonts w:hint="eastAsia" w:ascii="仿宋" w:hAnsi="仿宋" w:eastAsia="仿宋" w:cs="仿宋"/>
          <w:sz w:val="32"/>
          <w:szCs w:val="32"/>
          <w:lang w:eastAsia="zh-CN"/>
        </w:rPr>
        <w:t>安全党政同责</w:t>
      </w:r>
      <w:r>
        <w:rPr>
          <w:rFonts w:hint="eastAsia" w:ascii="仿宋" w:hAnsi="仿宋" w:eastAsia="仿宋" w:cs="仿宋"/>
          <w:sz w:val="32"/>
          <w:szCs w:val="32"/>
        </w:rPr>
        <w:t>工作。</w:t>
      </w:r>
    </w:p>
    <w:p w14:paraId="1D6A01D8">
      <w:pPr>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6</w:t>
      </w:r>
      <w:r>
        <w:rPr>
          <w:rFonts w:hint="eastAsia" w:ascii="仿宋" w:hAnsi="仿宋" w:eastAsia="仿宋" w:cs="仿宋"/>
          <w:sz w:val="32"/>
          <w:szCs w:val="32"/>
        </w:rPr>
        <w:t>.周密部署，全面完成我县粮食库存检查工作。</w:t>
      </w:r>
    </w:p>
    <w:p w14:paraId="0B36D6FA">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.以队伍建设保障，增强机关凝聚力。 </w:t>
      </w:r>
      <w:r>
        <w:rPr>
          <w:rFonts w:hint="eastAsia" w:ascii="楷体" w:hAnsi="楷体" w:eastAsia="楷体" w:cs="楷体"/>
          <w:b/>
          <w:bCs/>
          <w:sz w:val="32"/>
          <w:szCs w:val="32"/>
        </w:rPr>
        <w:t>  </w:t>
      </w:r>
    </w:p>
    <w:p w14:paraId="1EEB6CE4">
      <w:pPr>
        <w:spacing w:line="540" w:lineRule="exact"/>
        <w:rPr>
          <w:rFonts w:hint="eastAsia" w:ascii="仿宋" w:hAnsi="仿宋" w:eastAsia="仿宋"/>
          <w:bCs/>
          <w:color w:val="000000"/>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8</w:t>
      </w:r>
      <w:r>
        <w:rPr>
          <w:rFonts w:hint="eastAsia" w:ascii="仿宋" w:hAnsi="仿宋" w:eastAsia="仿宋" w:cs="仿宋"/>
          <w:sz w:val="32"/>
          <w:szCs w:val="32"/>
        </w:rPr>
        <w:t>.严格要求，认真做好其他各项工作。</w:t>
      </w:r>
    </w:p>
    <w:p w14:paraId="4CE1031F">
      <w:pPr>
        <w:pStyle w:val="3"/>
        <w:numPr>
          <w:ilvl w:val="0"/>
          <w:numId w:val="1"/>
        </w:numPr>
        <w:outlineLvl w:val="0"/>
        <w:rPr>
          <w:rStyle w:val="31"/>
          <w:rFonts w:hint="eastAsia" w:ascii="黑体" w:hAnsi="黑体" w:eastAsia="黑体"/>
          <w:b w:val="0"/>
          <w:bCs w:val="0"/>
        </w:rPr>
      </w:pPr>
      <w:bookmarkStart w:id="28" w:name="_Toc15377200"/>
      <w:bookmarkStart w:id="29" w:name="_Toc12652"/>
      <w:bookmarkStart w:id="30" w:name="_Toc15396601"/>
      <w:r>
        <w:rPr>
          <w:rFonts w:hint="eastAsia" w:ascii="黑体" w:hAnsi="黑体" w:eastAsia="黑体"/>
          <w:b w:val="0"/>
          <w:color w:val="000000"/>
        </w:rPr>
        <w:t>机</w:t>
      </w:r>
      <w:r>
        <w:rPr>
          <w:rStyle w:val="31"/>
          <w:rFonts w:hint="eastAsia" w:ascii="黑体" w:hAnsi="黑体" w:eastAsia="黑体"/>
          <w:b w:val="0"/>
          <w:bCs w:val="0"/>
        </w:rPr>
        <w:t>构设置</w:t>
      </w:r>
      <w:bookmarkEnd w:id="28"/>
      <w:bookmarkEnd w:id="29"/>
      <w:bookmarkEnd w:id="30"/>
    </w:p>
    <w:p w14:paraId="1FB3C100">
      <w:pPr>
        <w:pStyle w:val="3"/>
        <w:numPr>
          <w:ilvl w:val="0"/>
          <w:numId w:val="0"/>
        </w:numPr>
        <w:ind w:firstLine="640" w:firstLineChars="200"/>
        <w:rPr>
          <w:rFonts w:ascii="仿宋" w:hAnsi="仿宋" w:eastAsia="仿宋"/>
          <w:color w:val="000000"/>
          <w:sz w:val="32"/>
          <w:szCs w:val="32"/>
        </w:rPr>
      </w:pPr>
      <w:bookmarkStart w:id="31" w:name="_Toc19540"/>
      <w:bookmarkStart w:id="32" w:name="_Toc18604"/>
      <w:r>
        <w:rPr>
          <w:rFonts w:hint="eastAsia" w:ascii="仿宋" w:hAnsi="仿宋" w:eastAsia="仿宋" w:cs="仿宋_GB2312"/>
          <w:b w:val="0"/>
          <w:bCs w:val="0"/>
          <w:sz w:val="32"/>
          <w:szCs w:val="32"/>
        </w:rPr>
        <w:t>我单位为独立核算全额拨款参公单位。机构1个。设有4个股室（办公室、综合</w:t>
      </w:r>
      <w:r>
        <w:rPr>
          <w:rFonts w:hint="eastAsia" w:ascii="仿宋" w:hAnsi="仿宋" w:eastAsia="仿宋" w:cs="仿宋_GB2312"/>
          <w:b w:val="0"/>
          <w:bCs w:val="0"/>
          <w:sz w:val="32"/>
          <w:szCs w:val="32"/>
          <w:lang w:eastAsia="zh-CN"/>
        </w:rPr>
        <w:t>调控</w:t>
      </w:r>
      <w:r>
        <w:rPr>
          <w:rFonts w:hint="eastAsia" w:ascii="仿宋" w:hAnsi="仿宋" w:eastAsia="仿宋" w:cs="仿宋_GB2312"/>
          <w:b w:val="0"/>
          <w:bCs w:val="0"/>
          <w:sz w:val="32"/>
          <w:szCs w:val="32"/>
        </w:rPr>
        <w:t>股、监督检查股、</w:t>
      </w:r>
      <w:r>
        <w:rPr>
          <w:rFonts w:hint="eastAsia" w:ascii="仿宋" w:hAnsi="仿宋" w:eastAsia="仿宋" w:cs="仿宋_GB2312"/>
          <w:b w:val="0"/>
          <w:bCs w:val="0"/>
          <w:sz w:val="32"/>
          <w:szCs w:val="32"/>
          <w:lang w:eastAsia="zh-CN"/>
        </w:rPr>
        <w:t>仓储安全</w:t>
      </w:r>
      <w:r>
        <w:rPr>
          <w:rFonts w:hint="eastAsia" w:ascii="仿宋" w:hAnsi="仿宋" w:eastAsia="仿宋" w:cs="仿宋_GB2312"/>
          <w:b w:val="0"/>
          <w:bCs w:val="0"/>
          <w:sz w:val="32"/>
          <w:szCs w:val="32"/>
        </w:rPr>
        <w:t>股）。截止20</w:t>
      </w:r>
      <w:r>
        <w:rPr>
          <w:rFonts w:hint="eastAsia" w:ascii="仿宋" w:hAnsi="仿宋" w:eastAsia="仿宋" w:cs="仿宋_GB2312"/>
          <w:b w:val="0"/>
          <w:bCs w:val="0"/>
          <w:sz w:val="32"/>
          <w:szCs w:val="32"/>
          <w:lang w:val="en-US" w:eastAsia="zh-CN"/>
        </w:rPr>
        <w:t>23</w:t>
      </w:r>
      <w:r>
        <w:rPr>
          <w:rFonts w:hint="eastAsia" w:ascii="仿宋" w:hAnsi="仿宋" w:eastAsia="仿宋" w:cs="仿宋_GB2312"/>
          <w:b w:val="0"/>
          <w:bCs w:val="0"/>
          <w:sz w:val="32"/>
          <w:szCs w:val="32"/>
        </w:rPr>
        <w:t>年底我单位共有编制</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个，其中参公</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人。实有人数</w:t>
      </w:r>
      <w:r>
        <w:rPr>
          <w:rFonts w:hint="eastAsia" w:ascii="仿宋" w:hAnsi="仿宋" w:eastAsia="仿宋" w:cs="仿宋_GB2312"/>
          <w:b w:val="0"/>
          <w:bCs w:val="0"/>
          <w:sz w:val="32"/>
          <w:szCs w:val="32"/>
          <w:lang w:val="en-US" w:eastAsia="zh-CN"/>
        </w:rPr>
        <w:t>7</w:t>
      </w:r>
      <w:r>
        <w:rPr>
          <w:rFonts w:hint="eastAsia" w:ascii="仿宋" w:hAnsi="仿宋" w:eastAsia="仿宋" w:cs="仿宋_GB2312"/>
          <w:b w:val="0"/>
          <w:bCs w:val="0"/>
          <w:sz w:val="32"/>
          <w:szCs w:val="32"/>
        </w:rPr>
        <w:t>人，离休1人。</w:t>
      </w:r>
      <w:bookmarkEnd w:id="31"/>
      <w:bookmarkEnd w:id="32"/>
    </w:p>
    <w:p w14:paraId="3EE061B6">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260726A0">
      <w:pPr>
        <w:pStyle w:val="2"/>
        <w:ind w:right="440"/>
        <w:jc w:val="right"/>
        <w:rPr>
          <w:rStyle w:val="25"/>
          <w:rFonts w:ascii="黑体" w:hAnsi="黑体" w:eastAsia="黑体"/>
          <w:b w:val="0"/>
          <w:bCs w:val="0"/>
        </w:rPr>
      </w:pPr>
      <w:bookmarkStart w:id="33" w:name="_Toc15377204"/>
      <w:bookmarkStart w:id="34" w:name="_Toc18632"/>
      <w:bookmarkStart w:id="35"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w:t>
      </w:r>
      <w:r>
        <w:rPr>
          <w:rStyle w:val="25"/>
          <w:rFonts w:hint="eastAsia" w:ascii="黑体" w:hAnsi="黑体" w:eastAsia="黑体"/>
          <w:b w:val="0"/>
          <w:bCs w:val="0"/>
          <w:lang w:val="en-US" w:eastAsia="zh-CN"/>
        </w:rPr>
        <w:t>24</w:t>
      </w:r>
      <w:r>
        <w:rPr>
          <w:rStyle w:val="25"/>
          <w:rFonts w:hint="eastAsia" w:ascii="黑体" w:hAnsi="黑体" w:eastAsia="黑体"/>
          <w:b w:val="0"/>
          <w:bCs w:val="0"/>
        </w:rPr>
        <w:t>年度部门决算情况说明</w:t>
      </w:r>
      <w:bookmarkEnd w:id="33"/>
      <w:bookmarkEnd w:id="34"/>
      <w:bookmarkEnd w:id="35"/>
    </w:p>
    <w:p w14:paraId="2832DA42"/>
    <w:p w14:paraId="35427F07">
      <w:pPr>
        <w:pStyle w:val="24"/>
        <w:numPr>
          <w:ilvl w:val="0"/>
          <w:numId w:val="2"/>
        </w:numPr>
        <w:spacing w:line="600" w:lineRule="exact"/>
        <w:ind w:firstLineChars="0"/>
        <w:outlineLvl w:val="1"/>
        <w:rPr>
          <w:rStyle w:val="31"/>
          <w:rFonts w:ascii="黑体" w:hAnsi="黑体" w:eastAsia="黑体"/>
          <w:b w:val="0"/>
        </w:rPr>
      </w:pPr>
      <w:bookmarkStart w:id="36" w:name="_Toc15377205"/>
      <w:bookmarkStart w:id="37" w:name="_Toc15396603"/>
      <w:bookmarkStart w:id="38" w:name="_Toc5142"/>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36"/>
      <w:bookmarkEnd w:id="37"/>
      <w:bookmarkEnd w:id="38"/>
    </w:p>
    <w:p w14:paraId="7E9F36E2">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入总计326.25万元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326.25</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入总计增加31.12万元，增加10.54%。</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2024年项目增加。</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31.12万元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增加10.54%。</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2024年项目增加。</w:t>
      </w:r>
    </w:p>
    <w:p w14:paraId="1BD51C23">
      <w:pPr>
        <w:spacing w:line="240" w:lineRule="auto"/>
        <w:ind w:firstLine="42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eastAsiaTheme="minorEastAsia"/>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8C8251">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14:paraId="06139B94">
      <w:pPr>
        <w:spacing w:line="600" w:lineRule="exact"/>
        <w:ind w:firstLine="640" w:firstLineChars="200"/>
        <w:jc w:val="left"/>
        <w:rPr>
          <w:rFonts w:ascii="仿宋_GB2312" w:eastAsia="仿宋_GB2312"/>
          <w:color w:val="000000"/>
          <w:sz w:val="32"/>
          <w:szCs w:val="32"/>
        </w:rPr>
      </w:pPr>
    </w:p>
    <w:p w14:paraId="642BEE73">
      <w:pPr>
        <w:spacing w:line="600" w:lineRule="exact"/>
        <w:ind w:firstLine="640" w:firstLineChars="200"/>
        <w:jc w:val="left"/>
        <w:rPr>
          <w:rFonts w:ascii="仿宋_GB2312" w:eastAsia="仿宋_GB2312"/>
          <w:color w:val="000000"/>
          <w:sz w:val="32"/>
          <w:szCs w:val="32"/>
        </w:rPr>
      </w:pPr>
    </w:p>
    <w:p w14:paraId="45F96584">
      <w:pPr>
        <w:spacing w:line="600" w:lineRule="exact"/>
        <w:ind w:firstLine="640" w:firstLineChars="200"/>
        <w:jc w:val="left"/>
        <w:rPr>
          <w:rFonts w:ascii="仿宋_GB2312" w:eastAsia="仿宋_GB2312"/>
          <w:color w:val="000000"/>
          <w:sz w:val="32"/>
          <w:szCs w:val="32"/>
        </w:rPr>
      </w:pPr>
    </w:p>
    <w:p w14:paraId="3464C448">
      <w:pPr>
        <w:spacing w:line="600" w:lineRule="exact"/>
        <w:ind w:firstLine="640" w:firstLineChars="200"/>
        <w:jc w:val="left"/>
        <w:rPr>
          <w:rFonts w:ascii="仿宋_GB2312" w:eastAsia="仿宋_GB2312"/>
          <w:color w:val="000000"/>
          <w:sz w:val="32"/>
          <w:szCs w:val="32"/>
        </w:rPr>
      </w:pPr>
    </w:p>
    <w:p w14:paraId="1BAE21D0">
      <w:pPr>
        <w:pStyle w:val="24"/>
        <w:numPr>
          <w:ilvl w:val="0"/>
          <w:numId w:val="2"/>
        </w:numPr>
        <w:spacing w:line="600" w:lineRule="exact"/>
        <w:ind w:firstLineChars="0"/>
        <w:outlineLvl w:val="1"/>
        <w:rPr>
          <w:rStyle w:val="31"/>
          <w:rFonts w:ascii="黑体" w:hAnsi="黑体" w:eastAsia="黑体"/>
          <w:b w:val="0"/>
        </w:rPr>
      </w:pPr>
      <w:bookmarkStart w:id="39" w:name="_Toc15396604"/>
      <w:bookmarkStart w:id="40" w:name="_Toc14236"/>
      <w:bookmarkStart w:id="41" w:name="_Toc15377206"/>
      <w:r>
        <w:rPr>
          <w:rFonts w:hint="eastAsia" w:ascii="黑体" w:hAnsi="黑体" w:eastAsia="黑体"/>
          <w:color w:val="000000"/>
          <w:sz w:val="32"/>
          <w:szCs w:val="32"/>
        </w:rPr>
        <w:t>收</w:t>
      </w:r>
      <w:r>
        <w:rPr>
          <w:rStyle w:val="31"/>
          <w:rFonts w:hint="eastAsia" w:ascii="黑体" w:hAnsi="黑体" w:eastAsia="黑体"/>
          <w:b w:val="0"/>
        </w:rPr>
        <w:t>入决算情况说明</w:t>
      </w:r>
      <w:bookmarkEnd w:id="39"/>
      <w:bookmarkEnd w:id="40"/>
      <w:bookmarkEnd w:id="41"/>
    </w:p>
    <w:p w14:paraId="0DA46BBB">
      <w:pPr>
        <w:spacing w:line="600" w:lineRule="exact"/>
        <w:ind w:firstLine="640" w:firstLineChars="200"/>
        <w:outlineLvl w:val="1"/>
        <w:rPr>
          <w:rFonts w:hint="eastAsia" w:ascii="仿宋" w:hAnsi="仿宋" w:eastAsia="仿宋"/>
          <w:color w:val="000000"/>
          <w:sz w:val="32"/>
          <w:szCs w:val="32"/>
        </w:rPr>
      </w:pPr>
      <w:bookmarkStart w:id="42" w:name="_Toc23224"/>
      <w:bookmarkStart w:id="43" w:name="_Toc9836"/>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326.25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326.25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2"/>
      <w:bookmarkEnd w:id="43"/>
    </w:p>
    <w:p w14:paraId="4055BCFF">
      <w:pPr>
        <w:spacing w:line="600" w:lineRule="exact"/>
        <w:ind w:firstLine="640" w:firstLineChars="200"/>
        <w:outlineLvl w:val="9"/>
        <w:rPr>
          <w:rFonts w:hint="eastAsia" w:ascii="仿宋" w:hAnsi="仿宋" w:eastAsia="仿宋"/>
          <w:color w:val="000000"/>
          <w:sz w:val="32"/>
          <w:szCs w:val="32"/>
        </w:rPr>
      </w:pPr>
    </w:p>
    <w:p w14:paraId="41FE595E">
      <w:pPr>
        <w:spacing w:line="240" w:lineRule="auto"/>
        <w:ind w:firstLine="420" w:firstLineChars="200"/>
        <w:outlineLvl w:val="9"/>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70A9B1">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14:paraId="28594F03">
      <w:pPr>
        <w:spacing w:line="600" w:lineRule="exact"/>
        <w:ind w:firstLine="640" w:firstLineChars="200"/>
        <w:rPr>
          <w:rFonts w:ascii="仿宋_GB2312" w:eastAsia="仿宋_GB2312"/>
          <w:color w:val="FF0000"/>
          <w:sz w:val="32"/>
          <w:szCs w:val="32"/>
        </w:rPr>
      </w:pPr>
    </w:p>
    <w:p w14:paraId="605AFE34">
      <w:pPr>
        <w:spacing w:line="600" w:lineRule="exact"/>
        <w:ind w:firstLine="640" w:firstLineChars="200"/>
        <w:rPr>
          <w:rFonts w:ascii="仿宋_GB2312" w:eastAsia="仿宋_GB2312"/>
          <w:color w:val="FF0000"/>
          <w:sz w:val="32"/>
          <w:szCs w:val="32"/>
        </w:rPr>
      </w:pPr>
    </w:p>
    <w:p w14:paraId="51C7D374">
      <w:pPr>
        <w:spacing w:line="600" w:lineRule="exact"/>
        <w:ind w:firstLine="640" w:firstLineChars="200"/>
        <w:rPr>
          <w:rFonts w:ascii="仿宋_GB2312" w:eastAsia="仿宋_GB2312"/>
          <w:color w:val="FF0000"/>
          <w:sz w:val="32"/>
          <w:szCs w:val="32"/>
        </w:rPr>
      </w:pPr>
    </w:p>
    <w:p w14:paraId="5D47CC2D">
      <w:pPr>
        <w:pStyle w:val="24"/>
        <w:numPr>
          <w:ilvl w:val="0"/>
          <w:numId w:val="2"/>
        </w:numPr>
        <w:spacing w:line="600" w:lineRule="exact"/>
        <w:ind w:firstLineChars="0"/>
        <w:outlineLvl w:val="1"/>
        <w:rPr>
          <w:rStyle w:val="26"/>
          <w:rFonts w:ascii="黑体" w:hAnsi="黑体" w:eastAsia="黑体"/>
          <w:b w:val="0"/>
        </w:rPr>
      </w:pPr>
      <w:bookmarkStart w:id="44" w:name="_Toc20672"/>
      <w:bookmarkStart w:id="45" w:name="_Toc15396605"/>
      <w:bookmarkStart w:id="46"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p>
    <w:p w14:paraId="4B4673CD">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326.25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226.11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69.4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100.14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30.6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41E6984C">
      <w:pPr>
        <w:spacing w:line="240" w:lineRule="auto"/>
        <w:ind w:firstLine="640"/>
        <w:rPr>
          <w:rFonts w:hint="eastAsia" w:ascii="仿宋" w:hAnsi="仿宋" w:eastAsia="仿宋"/>
          <w:color w:val="000000"/>
          <w:sz w:val="32"/>
          <w:szCs w:val="32"/>
        </w:rPr>
      </w:pPr>
      <w:r>
        <w:rPr>
          <w:rFonts w:hint="eastAsia" w:eastAsiaTheme="minorEastAsia"/>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95F9D3">
      <w:pPr>
        <w:spacing w:line="600" w:lineRule="exact"/>
        <w:ind w:firstLine="1600" w:firstLineChars="5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14:paraId="234D1700">
      <w:pPr>
        <w:spacing w:line="600" w:lineRule="exact"/>
        <w:ind w:firstLine="640" w:firstLineChars="200"/>
        <w:rPr>
          <w:rFonts w:ascii="仿宋_GB2312" w:eastAsia="仿宋_GB2312"/>
          <w:color w:val="FF0000"/>
          <w:sz w:val="32"/>
          <w:szCs w:val="32"/>
        </w:rPr>
      </w:pPr>
    </w:p>
    <w:p w14:paraId="33D86D19">
      <w:pPr>
        <w:spacing w:line="600" w:lineRule="exact"/>
        <w:ind w:firstLine="640" w:firstLineChars="200"/>
        <w:rPr>
          <w:rFonts w:ascii="仿宋_GB2312" w:eastAsia="仿宋_GB2312"/>
          <w:color w:val="FF0000"/>
          <w:sz w:val="32"/>
          <w:szCs w:val="32"/>
        </w:rPr>
      </w:pPr>
    </w:p>
    <w:p w14:paraId="57B0E727">
      <w:pPr>
        <w:spacing w:line="600" w:lineRule="exact"/>
        <w:ind w:firstLine="640" w:firstLineChars="200"/>
        <w:rPr>
          <w:rFonts w:ascii="仿宋_GB2312" w:eastAsia="仿宋_GB2312"/>
          <w:color w:val="FF0000"/>
          <w:sz w:val="32"/>
          <w:szCs w:val="32"/>
        </w:rPr>
      </w:pPr>
    </w:p>
    <w:p w14:paraId="41DA064A">
      <w:pPr>
        <w:spacing w:line="600" w:lineRule="exact"/>
        <w:ind w:firstLine="640" w:firstLineChars="200"/>
        <w:rPr>
          <w:rFonts w:ascii="仿宋_GB2312" w:eastAsia="仿宋_GB2312"/>
          <w:color w:val="FF0000"/>
          <w:sz w:val="32"/>
          <w:szCs w:val="32"/>
        </w:rPr>
      </w:pPr>
    </w:p>
    <w:p w14:paraId="2454715F">
      <w:pPr>
        <w:spacing w:line="600" w:lineRule="exact"/>
        <w:ind w:firstLine="640" w:firstLineChars="200"/>
        <w:rPr>
          <w:rFonts w:ascii="仿宋_GB2312" w:eastAsia="仿宋_GB2312"/>
          <w:color w:val="FF0000"/>
          <w:sz w:val="32"/>
          <w:szCs w:val="32"/>
        </w:rPr>
      </w:pPr>
    </w:p>
    <w:p w14:paraId="04A2285E">
      <w:pPr>
        <w:spacing w:line="600" w:lineRule="exact"/>
        <w:ind w:firstLine="640" w:firstLineChars="200"/>
        <w:rPr>
          <w:rFonts w:ascii="仿宋_GB2312" w:eastAsia="仿宋_GB2312"/>
          <w:color w:val="FF0000"/>
          <w:sz w:val="32"/>
          <w:szCs w:val="32"/>
        </w:rPr>
      </w:pPr>
    </w:p>
    <w:p w14:paraId="7E553668">
      <w:pPr>
        <w:spacing w:line="600" w:lineRule="exact"/>
        <w:ind w:firstLine="640" w:firstLineChars="200"/>
        <w:outlineLvl w:val="1"/>
        <w:rPr>
          <w:rStyle w:val="26"/>
          <w:rFonts w:ascii="黑体" w:hAnsi="黑体" w:eastAsia="黑体"/>
          <w:b w:val="0"/>
        </w:rPr>
      </w:pPr>
      <w:bookmarkStart w:id="47" w:name="_Toc15377208"/>
      <w:bookmarkStart w:id="48" w:name="_Toc15396606"/>
      <w:bookmarkStart w:id="49" w:name="_Toc938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7"/>
      <w:bookmarkEnd w:id="48"/>
      <w:bookmarkEnd w:id="49"/>
    </w:p>
    <w:p w14:paraId="4E0E029B">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326.25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326.25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6740F686">
      <w:pPr>
        <w:spacing w:line="600" w:lineRule="exact"/>
        <w:ind w:firstLine="640" w:firstLineChars="200"/>
        <w:rPr>
          <w:rFonts w:hint="eastAsia" w:ascii="仿宋" w:hAnsi="仿宋" w:eastAsia="仿宋"/>
          <w:color w:val="000000"/>
          <w:sz w:val="32"/>
          <w:szCs w:val="32"/>
          <w:lang w:val="en-US" w:eastAsia="zh-CN"/>
        </w:rPr>
      </w:pPr>
    </w:p>
    <w:p w14:paraId="2986F68F">
      <w:pPr>
        <w:spacing w:line="240" w:lineRule="auto"/>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05DF4F">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14:paraId="52E1DDA5">
      <w:pPr>
        <w:spacing w:line="600" w:lineRule="exact"/>
        <w:ind w:firstLine="640"/>
        <w:rPr>
          <w:rFonts w:ascii="仿宋" w:hAnsi="仿宋" w:eastAsia="仿宋"/>
          <w:b/>
          <w:color w:val="00B050"/>
          <w:sz w:val="32"/>
          <w:szCs w:val="32"/>
        </w:rPr>
      </w:pPr>
    </w:p>
    <w:p w14:paraId="0737B950">
      <w:pPr>
        <w:spacing w:line="600" w:lineRule="exact"/>
        <w:ind w:firstLine="640"/>
        <w:rPr>
          <w:rFonts w:ascii="仿宋" w:hAnsi="仿宋" w:eastAsia="仿宋"/>
          <w:b/>
          <w:color w:val="00B050"/>
          <w:sz w:val="32"/>
          <w:szCs w:val="32"/>
        </w:rPr>
      </w:pPr>
    </w:p>
    <w:p w14:paraId="5AE0DB95">
      <w:pPr>
        <w:spacing w:line="600" w:lineRule="exact"/>
        <w:ind w:firstLine="640"/>
        <w:rPr>
          <w:rFonts w:ascii="仿宋" w:hAnsi="仿宋" w:eastAsia="仿宋"/>
          <w:b/>
          <w:color w:val="00B050"/>
          <w:sz w:val="32"/>
          <w:szCs w:val="32"/>
        </w:rPr>
      </w:pPr>
    </w:p>
    <w:p w14:paraId="15B594D3">
      <w:pPr>
        <w:spacing w:line="600" w:lineRule="exact"/>
        <w:ind w:firstLine="640" w:firstLineChars="200"/>
        <w:outlineLvl w:val="1"/>
        <w:rPr>
          <w:rStyle w:val="26"/>
          <w:rFonts w:ascii="黑体" w:hAnsi="黑体" w:eastAsia="黑体"/>
          <w:b w:val="0"/>
        </w:rPr>
      </w:pPr>
      <w:bookmarkStart w:id="50" w:name="_Toc15396607"/>
      <w:bookmarkStart w:id="51" w:name="_Toc19127"/>
      <w:bookmarkStart w:id="52"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0"/>
      <w:bookmarkEnd w:id="51"/>
      <w:bookmarkEnd w:id="52"/>
    </w:p>
    <w:p w14:paraId="3BC9B2E6">
      <w:pPr>
        <w:spacing w:line="600" w:lineRule="exact"/>
        <w:ind w:firstLine="643" w:firstLineChars="200"/>
        <w:outlineLvl w:val="2"/>
        <w:rPr>
          <w:rFonts w:ascii="仿宋" w:hAnsi="仿宋" w:eastAsia="仿宋"/>
          <w:b/>
          <w:color w:val="000000"/>
          <w:sz w:val="32"/>
          <w:szCs w:val="32"/>
        </w:rPr>
      </w:pPr>
      <w:bookmarkStart w:id="53" w:name="_Toc15377210"/>
      <w:r>
        <w:rPr>
          <w:rFonts w:hint="eastAsia" w:ascii="仿宋" w:hAnsi="仿宋" w:eastAsia="仿宋"/>
          <w:b/>
          <w:color w:val="000000"/>
          <w:sz w:val="32"/>
          <w:szCs w:val="32"/>
        </w:rPr>
        <w:t>（一）一般公共预算财政拨款支出决算总体情况</w:t>
      </w:r>
      <w:bookmarkEnd w:id="53"/>
    </w:p>
    <w:p w14:paraId="7FE80D0F">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326.25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年相比，一般公共预算财政拨款支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31.12万元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增加10.54%。</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2024年项目增加。</w:t>
      </w:r>
    </w:p>
    <w:p w14:paraId="31880F9E">
      <w:pPr>
        <w:spacing w:line="600" w:lineRule="exact"/>
        <w:ind w:firstLine="640" w:firstLineChars="200"/>
        <w:rPr>
          <w:rFonts w:hint="eastAsia" w:ascii="仿宋_GB2312" w:hAnsi="仿宋_GB2312" w:eastAsia="仿宋_GB2312" w:cs="仿宋_GB2312"/>
          <w:color w:val="000000"/>
          <w:sz w:val="32"/>
          <w:szCs w:val="32"/>
          <w:lang w:val="en-US" w:eastAsia="zh-CN"/>
        </w:rPr>
      </w:pPr>
    </w:p>
    <w:p w14:paraId="027F8082">
      <w:pPr>
        <w:spacing w:line="240" w:lineRule="auto"/>
        <w:ind w:firstLine="420" w:firstLineChars="200"/>
        <w:rPr>
          <w:rFonts w:hint="eastAsia" w:ascii="仿宋_GB2312" w:hAnsi="仿宋_GB2312" w:eastAsia="仿宋_GB2312" w:cs="仿宋_GB2312"/>
          <w:color w:val="000000"/>
          <w:sz w:val="32"/>
          <w:szCs w:val="32"/>
          <w:lang w:val="en-US" w:eastAsia="zh-CN"/>
        </w:rPr>
      </w:pPr>
      <w:r>
        <w:rPr>
          <w:rFonts w:hint="eastAsia" w:eastAsiaTheme="minorEastAsia"/>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390213A">
      <w:pPr>
        <w:spacing w:line="600" w:lineRule="exact"/>
        <w:ind w:firstLine="640" w:firstLineChars="200"/>
        <w:rPr>
          <w:rFonts w:hint="eastAsia" w:ascii="仿宋_GB2312" w:hAnsi="仿宋_GB2312" w:eastAsia="仿宋_GB2312" w:cs="仿宋_GB2312"/>
          <w:color w:val="000000"/>
          <w:sz w:val="32"/>
          <w:szCs w:val="32"/>
          <w:lang w:val="en-US" w:eastAsia="zh-CN"/>
        </w:rPr>
      </w:pPr>
    </w:p>
    <w:p w14:paraId="642B8B42">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14:paraId="03D37BBA">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4909C2CB">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50D3A827">
      <w:pPr>
        <w:spacing w:line="600" w:lineRule="exact"/>
        <w:ind w:firstLine="643" w:firstLineChars="200"/>
        <w:outlineLvl w:val="2"/>
        <w:rPr>
          <w:rFonts w:ascii="仿宋" w:hAnsi="仿宋" w:eastAsia="仿宋"/>
          <w:b/>
          <w:color w:val="000000"/>
          <w:sz w:val="32"/>
          <w:szCs w:val="32"/>
        </w:rPr>
      </w:pPr>
      <w:bookmarkStart w:id="54" w:name="_Toc15377211"/>
      <w:r>
        <w:rPr>
          <w:rFonts w:hint="eastAsia" w:ascii="仿宋" w:hAnsi="仿宋" w:eastAsia="仿宋"/>
          <w:b/>
          <w:color w:val="000000"/>
          <w:sz w:val="32"/>
          <w:szCs w:val="32"/>
        </w:rPr>
        <w:t>（二）一般公共预算财政拨款支出决算结构情况</w:t>
      </w:r>
      <w:bookmarkEnd w:id="54"/>
    </w:p>
    <w:p w14:paraId="5E6DBAC0">
      <w:pPr>
        <w:spacing w:line="600" w:lineRule="exact"/>
        <w:ind w:firstLine="640" w:firstLineChars="200"/>
        <w:jc w:val="left"/>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326.25</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；教育支出（类）</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；科学技术（类）支出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；社会保障和就业（类）支出</w:t>
      </w:r>
      <w:r>
        <w:rPr>
          <w:rFonts w:hint="eastAsia" w:ascii="仿宋" w:hAnsi="仿宋" w:eastAsia="仿宋"/>
          <w:b w:val="0"/>
          <w:bCs/>
          <w:color w:val="000000" w:themeColor="text1"/>
          <w:sz w:val="32"/>
          <w:szCs w:val="32"/>
          <w:lang w:val="en-US" w:eastAsia="zh-CN"/>
          <w14:textFill>
            <w14:solidFill>
              <w14:schemeClr w14:val="tx1"/>
            </w14:solidFill>
          </w14:textFill>
        </w:rPr>
        <w:t>26.21</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8</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；卫</w:t>
      </w:r>
      <w:r>
        <w:rPr>
          <w:rFonts w:hint="eastAsia" w:ascii="仿宋" w:hAnsi="仿宋" w:eastAsia="仿宋"/>
          <w:color w:val="000000" w:themeColor="text1"/>
          <w:sz w:val="32"/>
          <w:szCs w:val="32"/>
          <w14:textFill>
            <w14:solidFill>
              <w14:schemeClr w14:val="tx1"/>
            </w14:solidFill>
          </w14:textFill>
        </w:rPr>
        <w:t>生</w:t>
      </w:r>
      <w:r>
        <w:rPr>
          <w:rFonts w:hint="eastAsia" w:ascii="仿宋" w:hAnsi="仿宋" w:eastAsia="仿宋"/>
          <w:color w:val="000000" w:themeColor="text1"/>
          <w:sz w:val="32"/>
          <w:szCs w:val="32"/>
          <w:lang w:eastAsia="zh-CN"/>
          <w14:textFill>
            <w14:solidFill>
              <w14:schemeClr w14:val="tx1"/>
            </w14:solidFill>
          </w14:textFill>
        </w:rPr>
        <w:t>健康</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12.09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0万元，占0%；</w:t>
      </w:r>
      <w:r>
        <w:rPr>
          <w:rFonts w:hint="eastAsia" w:ascii="仿宋" w:hAnsi="仿宋" w:eastAsia="仿宋"/>
          <w:color w:val="000000" w:themeColor="text1"/>
          <w:sz w:val="32"/>
          <w:szCs w:val="32"/>
          <w14:textFill>
            <w14:solidFill>
              <w14:schemeClr w14:val="tx1"/>
            </w14:solidFill>
          </w14:textFill>
        </w:rPr>
        <w:t>住房</w:t>
      </w:r>
      <w:r>
        <w:rPr>
          <w:rFonts w:hint="eastAsia" w:ascii="仿宋" w:hAnsi="仿宋" w:eastAsia="仿宋"/>
          <w:color w:val="000000" w:themeColor="text1"/>
          <w:sz w:val="32"/>
          <w:szCs w:val="32"/>
          <w:lang w:eastAsia="zh-CN"/>
          <w14:textFill>
            <w14:solidFill>
              <w14:schemeClr w14:val="tx1"/>
            </w14:solidFill>
          </w14:textFill>
        </w:rPr>
        <w:t>保</w:t>
      </w:r>
      <w:r>
        <w:rPr>
          <w:rFonts w:hint="eastAsia" w:ascii="仿宋" w:hAnsi="仿宋" w:eastAsia="仿宋"/>
          <w:color w:val="000000" w:themeColor="text1"/>
          <w:sz w:val="32"/>
          <w:szCs w:val="32"/>
          <w14:textFill>
            <w14:solidFill>
              <w14:schemeClr w14:val="tx1"/>
            </w14:solidFill>
          </w14:textFill>
        </w:rPr>
        <w:t>障支出</w:t>
      </w:r>
      <w:r>
        <w:rPr>
          <w:rFonts w:hint="eastAsia" w:ascii="仿宋" w:hAnsi="仿宋" w:eastAsia="仿宋"/>
          <w:color w:val="000000" w:themeColor="text1"/>
          <w:sz w:val="32"/>
          <w:szCs w:val="32"/>
          <w:lang w:val="en-US" w:eastAsia="zh-CN"/>
          <w14:textFill>
            <w14:solidFill>
              <w14:schemeClr w14:val="tx1"/>
            </w14:solidFill>
          </w14:textFill>
        </w:rPr>
        <w:t>14.04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粮油物资储备支出273.91万元，占84%；</w:t>
      </w:r>
    </w:p>
    <w:p w14:paraId="1B8928E9">
      <w:pPr>
        <w:spacing w:line="600" w:lineRule="exact"/>
        <w:jc w:val="left"/>
        <w:rPr>
          <w:rFonts w:hint="eastAsia" w:ascii="仿宋" w:hAnsi="仿宋" w:eastAsia="仿宋"/>
          <w:color w:val="000000" w:themeColor="text1"/>
          <w:sz w:val="32"/>
          <w:szCs w:val="32"/>
          <w:lang w:val="en-US" w:eastAsia="zh-CN"/>
          <w14:textFill>
            <w14:solidFill>
              <w14:schemeClr w14:val="tx1"/>
            </w14:solidFill>
          </w14:textFill>
        </w:rPr>
      </w:pPr>
    </w:p>
    <w:p w14:paraId="06665896">
      <w:pPr>
        <w:spacing w:line="240" w:lineRule="auto"/>
        <w:jc w:val="both"/>
        <w:rPr>
          <w:rFonts w:hint="eastAsia" w:ascii="仿宋" w:hAnsi="仿宋" w:eastAsia="仿宋"/>
          <w:b/>
          <w:bCs/>
          <w:color w:val="000000"/>
          <w:sz w:val="32"/>
          <w:szCs w:val="32"/>
          <w:lang w:eastAsia="zh-CN"/>
        </w:rPr>
      </w:pPr>
    </w:p>
    <w:p w14:paraId="047CF0E7">
      <w:pPr>
        <w:spacing w:line="240" w:lineRule="auto"/>
        <w:jc w:val="both"/>
        <w:rPr>
          <w:rFonts w:hint="eastAsia"/>
          <w:lang w:val="en-US" w:eastAsia="zh-CN"/>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r>
        <w:rPr>
          <w:rFonts w:hint="eastAsia" w:eastAsiaTheme="minorEastAsia"/>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1588BB">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32647F3E">
      <w:pPr>
        <w:spacing w:line="600" w:lineRule="exact"/>
        <w:ind w:firstLine="640" w:firstLineChars="200"/>
        <w:rPr>
          <w:rFonts w:ascii="仿宋" w:hAnsi="仿宋" w:eastAsia="仿宋"/>
          <w:color w:val="000000"/>
          <w:sz w:val="32"/>
          <w:szCs w:val="32"/>
        </w:rPr>
      </w:pPr>
    </w:p>
    <w:p w14:paraId="42B4EDC0">
      <w:pPr>
        <w:spacing w:line="600" w:lineRule="exact"/>
        <w:ind w:firstLine="643" w:firstLineChars="200"/>
        <w:outlineLvl w:val="2"/>
        <w:rPr>
          <w:rFonts w:ascii="仿宋" w:hAnsi="仿宋" w:eastAsia="仿宋"/>
          <w:b/>
          <w:color w:val="000000"/>
          <w:sz w:val="32"/>
          <w:szCs w:val="32"/>
        </w:rPr>
      </w:pPr>
      <w:bookmarkStart w:id="55" w:name="_Toc15377212"/>
      <w:r>
        <w:rPr>
          <w:rFonts w:hint="eastAsia" w:ascii="仿宋" w:hAnsi="仿宋" w:eastAsia="仿宋"/>
          <w:b/>
          <w:color w:val="000000"/>
          <w:sz w:val="32"/>
          <w:szCs w:val="32"/>
        </w:rPr>
        <w:t>（三）一般公共预算财政拨款支出决算具体情况</w:t>
      </w:r>
      <w:bookmarkEnd w:id="55"/>
    </w:p>
    <w:p w14:paraId="682F9C14">
      <w:pPr>
        <w:spacing w:line="600" w:lineRule="exact"/>
        <w:ind w:firstLine="643" w:firstLineChars="200"/>
        <w:outlineLvl w:val="2"/>
        <w:rPr>
          <w:rFonts w:ascii="仿宋" w:hAnsi="仿宋" w:eastAsia="仿宋"/>
          <w:color w:val="FF0000"/>
          <w:sz w:val="32"/>
          <w:szCs w:val="32"/>
        </w:rPr>
      </w:pPr>
      <w:bookmarkStart w:id="56" w:name="_Toc15377213"/>
      <w:bookmarkStart w:id="57" w:name="_Toc15377444"/>
      <w:bookmarkStart w:id="58" w:name="_Toc15378460"/>
      <w:r>
        <w:rPr>
          <w:rFonts w:hint="eastAsia" w:ascii="仿宋" w:hAnsi="仿宋" w:eastAsia="仿宋"/>
          <w:b/>
          <w:color w:val="000000" w:themeColor="text1"/>
          <w:sz w:val="32"/>
          <w:szCs w:val="32"/>
          <w14:textFill>
            <w14:solidFill>
              <w14:schemeClr w14:val="tx1"/>
            </w14:solidFill>
          </w14:textFill>
        </w:rPr>
        <w:t>2</w:t>
      </w:r>
      <w:bookmarkEnd w:id="56"/>
      <w:bookmarkEnd w:id="57"/>
      <w:bookmarkEnd w:id="58"/>
      <w:r>
        <w:rPr>
          <w:rFonts w:hint="eastAsia"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lang w:val="en-US" w:eastAsia="zh-CN"/>
          <w14:textFill>
            <w14:solidFill>
              <w14:schemeClr w14:val="tx1"/>
            </w14:solidFill>
          </w14:textFill>
        </w:rPr>
        <w:t>24</w:t>
      </w:r>
      <w:r>
        <w:rPr>
          <w:rFonts w:hint="eastAsia" w:ascii="仿宋" w:hAnsi="仿宋" w:eastAsia="仿宋"/>
          <w:b/>
          <w:color w:val="000000" w:themeColor="text1"/>
          <w:sz w:val="32"/>
          <w:szCs w:val="32"/>
          <w14:textFill>
            <w14:solidFill>
              <w14:schemeClr w14:val="tx1"/>
            </w14:solidFill>
          </w14:textFill>
        </w:rPr>
        <w:t>年度一般公共预算财政拨款支出年初预算为</w:t>
      </w:r>
      <w:r>
        <w:rPr>
          <w:rFonts w:hint="eastAsia" w:ascii="仿宋" w:hAnsi="仿宋" w:eastAsia="仿宋"/>
          <w:b/>
          <w:color w:val="000000" w:themeColor="text1"/>
          <w:sz w:val="32"/>
          <w:szCs w:val="32"/>
          <w:lang w:val="en-US" w:eastAsia="zh-CN"/>
          <w14:textFill>
            <w14:solidFill>
              <w14:schemeClr w14:val="tx1"/>
            </w14:solidFill>
          </w14:textFill>
        </w:rPr>
        <w:t>239.3</w:t>
      </w:r>
      <w:r>
        <w:rPr>
          <w:rFonts w:hint="eastAsia" w:ascii="仿宋" w:hAnsi="仿宋" w:eastAsia="仿宋"/>
          <w:b/>
          <w:color w:val="000000" w:themeColor="text1"/>
          <w:sz w:val="32"/>
          <w:szCs w:val="32"/>
          <w14:textFill>
            <w14:solidFill>
              <w14:schemeClr w14:val="tx1"/>
            </w14:solidFill>
          </w14:textFill>
        </w:rPr>
        <w:t>万元，支出决算为</w:t>
      </w:r>
      <w:r>
        <w:rPr>
          <w:rFonts w:hint="eastAsia" w:ascii="仿宋" w:hAnsi="仿宋" w:eastAsia="仿宋"/>
          <w:b/>
          <w:color w:val="000000" w:themeColor="text1"/>
          <w:sz w:val="32"/>
          <w:szCs w:val="32"/>
          <w:lang w:val="en-US" w:eastAsia="zh-CN"/>
          <w14:textFill>
            <w14:solidFill>
              <w14:schemeClr w14:val="tx1"/>
            </w14:solidFill>
          </w14:textFill>
        </w:rPr>
        <w:t>326.25</w:t>
      </w:r>
      <w:r>
        <w:rPr>
          <w:rFonts w:hint="eastAsia" w:ascii="仿宋" w:hAnsi="仿宋" w:eastAsia="仿宋"/>
          <w:b/>
          <w:color w:val="000000" w:themeColor="text1"/>
          <w:sz w:val="32"/>
          <w:szCs w:val="32"/>
          <w14:textFill>
            <w14:solidFill>
              <w14:schemeClr w14:val="tx1"/>
            </w14:solidFill>
          </w14:textFill>
        </w:rPr>
        <w:t>万元，完成年初预算的</w:t>
      </w:r>
      <w:r>
        <w:rPr>
          <w:rFonts w:hint="eastAsia" w:ascii="仿宋" w:hAnsi="仿宋" w:eastAsia="仿宋"/>
          <w:b/>
          <w:color w:val="000000" w:themeColor="text1"/>
          <w:sz w:val="32"/>
          <w:szCs w:val="32"/>
          <w:lang w:val="en-US" w:eastAsia="zh-CN"/>
          <w14:textFill>
            <w14:solidFill>
              <w14:schemeClr w14:val="tx1"/>
            </w14:solidFill>
          </w14:textFill>
        </w:rPr>
        <w:t>136%，</w:t>
      </w:r>
      <w:r>
        <w:rPr>
          <w:rStyle w:val="15"/>
          <w:rFonts w:hint="eastAsia" w:ascii="仿宋" w:hAnsi="仿宋" w:eastAsia="仿宋"/>
          <w:bCs/>
          <w:color w:val="000000"/>
          <w:sz w:val="32"/>
          <w:szCs w:val="32"/>
        </w:rPr>
        <w:t>其中：</w:t>
      </w:r>
    </w:p>
    <w:p w14:paraId="63D4262E">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val="en-US" w:eastAsia="zh-CN"/>
        </w:rPr>
        <w:t>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06</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26.21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98</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205CEFEE">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卫生健康支出</w:t>
      </w:r>
      <w:r>
        <w:rPr>
          <w:rStyle w:val="15"/>
          <w:rFonts w:hint="eastAsia" w:ascii="仿宋" w:hAnsi="仿宋" w:eastAsia="仿宋"/>
          <w:bCs/>
          <w:color w:val="000000"/>
          <w:sz w:val="32"/>
          <w:szCs w:val="32"/>
          <w:lang w:val="en-US" w:eastAsia="zh-CN"/>
        </w:rPr>
        <w:t>210</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03</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12.09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105</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2B109B87">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4.住房保障支出221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02</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14.04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104</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14:paraId="70DD9479">
      <w:pPr>
        <w:spacing w:line="600" w:lineRule="exact"/>
        <w:ind w:firstLine="643" w:firstLineChars="200"/>
        <w:rPr>
          <w:rStyle w:val="26"/>
        </w:rPr>
      </w:pPr>
      <w:r>
        <w:rPr>
          <w:rStyle w:val="15"/>
          <w:rFonts w:hint="eastAsia" w:ascii="仿宋" w:hAnsi="仿宋" w:eastAsia="仿宋"/>
          <w:bCs/>
          <w:color w:val="000000"/>
          <w:sz w:val="32"/>
          <w:szCs w:val="32"/>
          <w:lang w:val="en-US" w:eastAsia="zh-CN"/>
        </w:rPr>
        <w:t>5.粮油物资储备支出222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99</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273.91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147</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26"/>
          <w:rFonts w:ascii="黑体" w:hAnsi="黑体" w:eastAsia="黑体"/>
          <w:b w:val="0"/>
        </w:rPr>
        <w:tab/>
      </w:r>
    </w:p>
    <w:p w14:paraId="71C6B4E3">
      <w:pPr>
        <w:tabs>
          <w:tab w:val="right" w:pos="8306"/>
        </w:tabs>
        <w:spacing w:line="600" w:lineRule="exact"/>
        <w:ind w:firstLine="640"/>
        <w:outlineLvl w:val="1"/>
        <w:rPr>
          <w:rStyle w:val="31"/>
        </w:rPr>
      </w:pPr>
      <w:bookmarkStart w:id="59" w:name="_Toc25579"/>
      <w:bookmarkStart w:id="60" w:name="_Toc15377215"/>
      <w:bookmarkStart w:id="61" w:name="_Toc1539660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9"/>
      <w:r>
        <w:rPr>
          <w:rStyle w:val="31"/>
          <w:rFonts w:ascii="黑体" w:hAnsi="黑体" w:eastAsia="黑体"/>
          <w:b w:val="0"/>
        </w:rPr>
        <w:tab/>
      </w:r>
    </w:p>
    <w:p w14:paraId="00A84624">
      <w:pPr>
        <w:spacing w:line="600" w:lineRule="exact"/>
        <w:ind w:firstLine="645"/>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226.11</w:t>
      </w:r>
      <w:r>
        <w:rPr>
          <w:rFonts w:hint="eastAsia" w:ascii="仿宋" w:hAnsi="仿宋" w:eastAsia="仿宋"/>
          <w:color w:val="000000"/>
          <w:sz w:val="32"/>
          <w:szCs w:val="32"/>
        </w:rPr>
        <w:t>万元，</w:t>
      </w:r>
    </w:p>
    <w:p w14:paraId="0C691BFB">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其中：人员经费</w:t>
      </w:r>
      <w:r>
        <w:rPr>
          <w:rFonts w:hint="eastAsia" w:ascii="仿宋" w:hAnsi="仿宋" w:eastAsia="仿宋"/>
          <w:color w:val="000000"/>
          <w:sz w:val="32"/>
          <w:szCs w:val="32"/>
          <w:lang w:val="en-US" w:eastAsia="zh-CN"/>
        </w:rPr>
        <w:t>215.03</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31.81万元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56.27万元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39.66万元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17.47万元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8.74万元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基本医疗保险缴费</w:t>
      </w:r>
      <w:r>
        <w:rPr>
          <w:rFonts w:hint="eastAsia" w:ascii="仿宋" w:hAnsi="仿宋" w:eastAsia="仿宋"/>
          <w:color w:val="000000"/>
          <w:sz w:val="32"/>
          <w:szCs w:val="32"/>
          <w:lang w:val="en-US" w:eastAsia="zh-CN"/>
        </w:rPr>
        <w:t>8.35万元、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1.75万元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18.57万元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11.98万元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3.74万元、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0.95万元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医疗费补助</w:t>
      </w:r>
      <w:r>
        <w:rPr>
          <w:rFonts w:hint="eastAsia" w:ascii="仿宋" w:hAnsi="仿宋" w:eastAsia="仿宋"/>
          <w:color w:val="000000"/>
          <w:sz w:val="32"/>
          <w:szCs w:val="32"/>
          <w:lang w:val="en-US" w:eastAsia="zh-CN"/>
        </w:rPr>
        <w:t>1.69万元、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14.04万元</w:t>
      </w:r>
      <w:r>
        <w:rPr>
          <w:rFonts w:hint="eastAsia" w:ascii="仿宋" w:hAnsi="仿宋" w:eastAsia="仿宋"/>
          <w:color w:val="000000"/>
          <w:sz w:val="32"/>
          <w:szCs w:val="32"/>
        </w:rPr>
        <w:t>、提租</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补贴、购房补贴</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14:paraId="2F7D822A">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27.9</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4.14万元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0.5万元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4.3万元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0.25万元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1.98万元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10.29万元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2.5万元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1.34万元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2.6万元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14:paraId="56CA2787">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100.14万元。</w:t>
      </w:r>
    </w:p>
    <w:p w14:paraId="7F982BDA">
      <w:pPr>
        <w:spacing w:line="600" w:lineRule="exact"/>
        <w:ind w:firstLine="640"/>
        <w:outlineLvl w:val="1"/>
        <w:rPr>
          <w:rStyle w:val="26"/>
          <w:rFonts w:ascii="黑体" w:hAnsi="黑体" w:eastAsia="黑体"/>
          <w:b w:val="0"/>
        </w:rPr>
      </w:pPr>
      <w:bookmarkStart w:id="62" w:name="_Toc25623"/>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0"/>
      <w:bookmarkEnd w:id="61"/>
      <w:bookmarkEnd w:id="62"/>
    </w:p>
    <w:p w14:paraId="4266FB59">
      <w:pPr>
        <w:spacing w:line="600" w:lineRule="exact"/>
        <w:ind w:firstLine="640"/>
        <w:outlineLvl w:val="2"/>
        <w:rPr>
          <w:rFonts w:ascii="仿宋" w:hAnsi="仿宋" w:eastAsia="仿宋"/>
          <w:b/>
          <w:color w:val="000000"/>
          <w:sz w:val="32"/>
          <w:szCs w:val="32"/>
        </w:rPr>
      </w:pPr>
      <w:bookmarkStart w:id="63" w:name="_Toc15377216"/>
      <w:r>
        <w:rPr>
          <w:rFonts w:hint="eastAsia" w:ascii="仿宋" w:hAnsi="仿宋" w:eastAsia="仿宋"/>
          <w:b/>
          <w:color w:val="000000"/>
          <w:sz w:val="32"/>
          <w:szCs w:val="32"/>
        </w:rPr>
        <w:t>（一）“三公”经费财政拨款支出决算总体情况说明</w:t>
      </w:r>
      <w:bookmarkEnd w:id="63"/>
    </w:p>
    <w:p w14:paraId="1D91CB85">
      <w:pPr>
        <w:snapToGrid w:val="0"/>
        <w:spacing w:line="52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56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主要变动原因是厉行节约。</w:t>
      </w:r>
    </w:p>
    <w:p w14:paraId="15CB33AC">
      <w:pPr>
        <w:spacing w:line="600" w:lineRule="exact"/>
        <w:ind w:firstLine="640"/>
        <w:outlineLvl w:val="2"/>
        <w:rPr>
          <w:rFonts w:ascii="仿宋" w:hAnsi="仿宋" w:eastAsia="仿宋"/>
          <w:b/>
          <w:color w:val="000000"/>
          <w:sz w:val="32"/>
          <w:szCs w:val="32"/>
        </w:rPr>
      </w:pPr>
      <w:bookmarkStart w:id="64" w:name="_Toc15377217"/>
      <w:r>
        <w:rPr>
          <w:rFonts w:hint="eastAsia" w:ascii="仿宋" w:hAnsi="仿宋" w:eastAsia="仿宋"/>
          <w:b/>
          <w:color w:val="000000"/>
          <w:sz w:val="32"/>
          <w:szCs w:val="32"/>
        </w:rPr>
        <w:t>（二）“三公”经费财政拨款支出决算具体情况说明</w:t>
      </w:r>
      <w:bookmarkEnd w:id="64"/>
    </w:p>
    <w:p w14:paraId="054C0F13">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D1CE96D">
      <w:pPr>
        <w:spacing w:line="240" w:lineRule="auto"/>
        <w:ind w:firstLine="640"/>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A5B634">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393BA37C">
      <w:pPr>
        <w:numPr>
          <w:ilvl w:val="0"/>
          <w:numId w:val="3"/>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14:paraId="7209E905">
      <w:pPr>
        <w:numPr>
          <w:ilvl w:val="0"/>
          <w:numId w:val="0"/>
        </w:numPr>
        <w:spacing w:line="600" w:lineRule="exact"/>
        <w:rPr>
          <w:rFonts w:hint="eastAsia" w:ascii="仿宋_GB2312" w:eastAsia="仿宋_GB2312"/>
          <w:b/>
          <w:color w:val="000000"/>
          <w:sz w:val="32"/>
          <w:szCs w:val="32"/>
          <w:lang w:eastAsia="zh-CN"/>
        </w:rPr>
      </w:pPr>
      <w:r>
        <w:rPr>
          <w:rFonts w:hint="eastAsia" w:ascii="仿宋_GB2312" w:eastAsia="仿宋_GB2312"/>
          <w:color w:val="000000"/>
          <w:sz w:val="32"/>
          <w:szCs w:val="32"/>
          <w:lang w:val="en-US" w:eastAsia="zh-CN"/>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57</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3DF9A2AD">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。其中：其他用车</w:t>
      </w:r>
      <w:r>
        <w:rPr>
          <w:rFonts w:hint="eastAsia" w:ascii="仿宋_GB2312" w:eastAsia="仿宋_GB2312"/>
          <w:color w:val="000000"/>
          <w:sz w:val="32"/>
          <w:szCs w:val="32"/>
          <w:lang w:val="en-US" w:eastAsia="zh-CN"/>
        </w:rPr>
        <w:t>1辆。</w:t>
      </w:r>
    </w:p>
    <w:p w14:paraId="79331A92">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出差</w:t>
      </w:r>
      <w:r>
        <w:rPr>
          <w:rFonts w:hint="eastAsia" w:ascii="仿宋_GB2312" w:eastAsia="仿宋_GB2312"/>
          <w:color w:val="000000"/>
          <w:sz w:val="32"/>
          <w:szCs w:val="32"/>
        </w:rPr>
        <w:t>等所需的公务用车燃料费、维修费、过路过桥费、保险费等支出。</w:t>
      </w:r>
    </w:p>
    <w:p w14:paraId="3362545F">
      <w:pPr>
        <w:numPr>
          <w:ilvl w:val="0"/>
          <w:numId w:val="0"/>
        </w:numPr>
        <w:spacing w:line="600" w:lineRule="exact"/>
        <w:ind w:firstLine="643" w:firstLineChars="200"/>
        <w:rPr>
          <w:rStyle w:val="15"/>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p>
    <w:p w14:paraId="1C2AED9B">
      <w:pPr>
        <w:numPr>
          <w:ilvl w:val="0"/>
          <w:numId w:val="0"/>
        </w:numPr>
        <w:spacing w:line="600" w:lineRule="exact"/>
        <w:ind w:left="640" w:leftChars="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14:paraId="4502A129">
      <w:pPr>
        <w:spacing w:line="600" w:lineRule="exact"/>
        <w:ind w:firstLine="643" w:firstLineChars="200"/>
        <w:rPr>
          <w:rFonts w:hint="eastAsia" w:ascii="黑体" w:eastAsia="黑体"/>
          <w:color w:val="000000"/>
          <w:sz w:val="32"/>
          <w:szCs w:val="32"/>
          <w:lang w:val="en-US"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65" w:name="_Toc15396610"/>
      <w:bookmarkStart w:id="66" w:name="_Toc15377218"/>
    </w:p>
    <w:p w14:paraId="1DE67DB5">
      <w:pPr>
        <w:spacing w:line="600" w:lineRule="exact"/>
        <w:ind w:firstLine="640"/>
        <w:outlineLvl w:val="1"/>
        <w:rPr>
          <w:rStyle w:val="26"/>
          <w:rFonts w:ascii="黑体" w:hAnsi="黑体" w:eastAsia="黑体"/>
        </w:rPr>
      </w:pPr>
      <w:bookmarkStart w:id="67" w:name="_Toc30315"/>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65"/>
      <w:bookmarkEnd w:id="66"/>
      <w:bookmarkEnd w:id="67"/>
    </w:p>
    <w:p w14:paraId="69CFD53C">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E73E73E">
      <w:pPr>
        <w:numPr>
          <w:ilvl w:val="0"/>
          <w:numId w:val="4"/>
        </w:numPr>
        <w:spacing w:line="600" w:lineRule="exact"/>
        <w:ind w:firstLine="640"/>
        <w:outlineLvl w:val="1"/>
        <w:rPr>
          <w:rStyle w:val="26"/>
          <w:rFonts w:ascii="黑体" w:hAnsi="黑体" w:eastAsia="黑体"/>
          <w:b w:val="0"/>
        </w:rPr>
      </w:pPr>
      <w:bookmarkStart w:id="68" w:name="_Toc15396611"/>
      <w:bookmarkStart w:id="69" w:name="_Toc15377219"/>
      <w:bookmarkStart w:id="70" w:name="_Toc25686"/>
      <w:r>
        <w:rPr>
          <w:rStyle w:val="26"/>
          <w:rFonts w:hint="eastAsia" w:ascii="黑体" w:hAnsi="黑体" w:eastAsia="黑体"/>
          <w:b w:val="0"/>
        </w:rPr>
        <w:t>国有资本经营预算支出决算情况说明</w:t>
      </w:r>
      <w:bookmarkEnd w:id="68"/>
      <w:bookmarkEnd w:id="69"/>
      <w:bookmarkEnd w:id="70"/>
    </w:p>
    <w:p w14:paraId="131EC3A3">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6B703FF">
      <w:pPr>
        <w:spacing w:line="600" w:lineRule="exact"/>
        <w:ind w:firstLine="800" w:firstLineChars="250"/>
        <w:outlineLvl w:val="1"/>
        <w:rPr>
          <w:rStyle w:val="26"/>
          <w:rFonts w:ascii="黑体" w:hAnsi="黑体" w:eastAsia="黑体"/>
        </w:rPr>
      </w:pPr>
      <w:bookmarkStart w:id="71" w:name="_Toc15377221"/>
      <w:bookmarkStart w:id="72" w:name="_Toc15396612"/>
      <w:bookmarkStart w:id="73" w:name="_Toc21395"/>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71"/>
      <w:bookmarkEnd w:id="72"/>
      <w:bookmarkEnd w:id="73"/>
    </w:p>
    <w:p w14:paraId="37D20E69">
      <w:pPr>
        <w:spacing w:line="600" w:lineRule="exact"/>
        <w:ind w:firstLine="643" w:firstLineChars="200"/>
        <w:outlineLvl w:val="2"/>
        <w:rPr>
          <w:rFonts w:ascii="仿宋" w:hAnsi="仿宋" w:eastAsia="仿宋"/>
          <w:color w:val="000000"/>
          <w:sz w:val="32"/>
          <w:szCs w:val="32"/>
        </w:rPr>
      </w:pPr>
      <w:bookmarkStart w:id="74" w:name="_Toc15377222"/>
      <w:r>
        <w:rPr>
          <w:rFonts w:hint="eastAsia" w:ascii="仿宋" w:hAnsi="仿宋" w:eastAsia="仿宋"/>
          <w:b/>
          <w:color w:val="000000"/>
          <w:sz w:val="32"/>
          <w:szCs w:val="32"/>
        </w:rPr>
        <w:t>（一）机关运行经费支出情况</w:t>
      </w:r>
      <w:bookmarkEnd w:id="74"/>
    </w:p>
    <w:p w14:paraId="702C2ADB">
      <w:pPr>
        <w:numPr>
          <w:ilvl w:val="0"/>
          <w:numId w:val="0"/>
        </w:num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14.04</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万元。</w:t>
      </w:r>
    </w:p>
    <w:p w14:paraId="26ECC07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3"/>
      <w:r>
        <w:rPr>
          <w:rFonts w:hint="eastAsia" w:ascii="仿宋" w:hAnsi="仿宋" w:eastAsia="仿宋"/>
          <w:b/>
          <w:color w:val="000000"/>
          <w:sz w:val="32"/>
          <w:szCs w:val="32"/>
        </w:rPr>
        <w:t>（二）政府采购支出情况</w:t>
      </w:r>
      <w:bookmarkEnd w:id="75"/>
    </w:p>
    <w:p w14:paraId="78F68AEF">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5015A6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15377224"/>
      <w:r>
        <w:rPr>
          <w:rFonts w:hint="eastAsia" w:ascii="仿宋" w:hAnsi="仿宋" w:eastAsia="仿宋"/>
          <w:b/>
          <w:color w:val="000000"/>
          <w:sz w:val="32"/>
          <w:szCs w:val="32"/>
        </w:rPr>
        <w:t>（三）国有资产占有使用情况</w:t>
      </w:r>
      <w:bookmarkEnd w:id="76"/>
    </w:p>
    <w:p w14:paraId="0C3281E7">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粮油运输。</w:t>
      </w:r>
    </w:p>
    <w:p w14:paraId="29EF8C6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30F7E715">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67156B4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由于只编制了基本公用及人员经费，故未</w:t>
      </w:r>
      <w:r>
        <w:rPr>
          <w:rFonts w:hint="eastAsia" w:ascii="仿宋_GB2312" w:hAnsi="仿宋_GB2312" w:eastAsia="仿宋_GB2312" w:cs="仿宋_GB2312"/>
          <w:sz w:val="32"/>
          <w:szCs w:val="32"/>
        </w:rPr>
        <w:t>组织项目预算事前绩效评估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预算执行过程中，执行完毕后</w:t>
      </w:r>
      <w:r>
        <w:rPr>
          <w:rFonts w:hint="eastAsia" w:ascii="仿宋_GB2312" w:hAnsi="仿宋_GB2312" w:eastAsia="仿宋_GB2312" w:cs="仿宋_GB2312"/>
          <w:sz w:val="32"/>
          <w:szCs w:val="32"/>
          <w:lang w:eastAsia="zh-CN"/>
        </w:rPr>
        <w:t>，开展了整体支出绩效评价</w:t>
      </w:r>
      <w:r>
        <w:rPr>
          <w:rFonts w:hint="eastAsia" w:ascii="仿宋_GB2312" w:hAnsi="仿宋_GB2312" w:eastAsia="仿宋_GB2312" w:cs="仿宋_GB2312"/>
          <w:sz w:val="32"/>
          <w:szCs w:val="32"/>
        </w:rPr>
        <w:t>。</w:t>
      </w:r>
    </w:p>
    <w:p w14:paraId="61DF2777">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sz w:val="32"/>
          <w:szCs w:val="32"/>
        </w:rPr>
        <w:t>按照预算绩效管理要求，本部门对</w:t>
      </w:r>
      <w:r>
        <w:rPr>
          <w:rFonts w:hint="eastAsia" w:ascii="仿宋_GB2312" w:hAnsi="仿宋_GB2312" w:eastAsia="仿宋_GB2312" w:cs="仿宋_GB2312"/>
          <w:color w:val="000000"/>
          <w:sz w:val="32"/>
          <w:szCs w:val="32"/>
          <w:lang w:eastAsia="zh-CN"/>
        </w:rPr>
        <w:t>20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年整体支出开展绩效自评，自评得分</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评价情况</w:t>
      </w:r>
      <w:r>
        <w:rPr>
          <w:rFonts w:hint="eastAsia" w:ascii="仿宋_GB2312" w:hAnsi="仿宋_GB2312" w:eastAsia="仿宋_GB2312" w:cs="仿宋_GB2312"/>
          <w:i w:val="0"/>
          <w:caps w:val="0"/>
          <w:color w:val="333333"/>
          <w:spacing w:val="0"/>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存在的问题：</w:t>
      </w:r>
      <w:r>
        <w:rPr>
          <w:rFonts w:hint="eastAsia" w:ascii="仿宋_GB2312" w:hAnsi="仿宋_GB2312" w:eastAsia="仿宋_GB2312" w:cs="仿宋_GB2312"/>
          <w:color w:val="000000"/>
          <w:sz w:val="32"/>
          <w:szCs w:val="32"/>
          <w:lang w:val="en-US" w:eastAsia="zh-CN"/>
        </w:rPr>
        <w:t>一是</w:t>
      </w:r>
      <w:r>
        <w:rPr>
          <w:rFonts w:hint="eastAsia" w:ascii="仿宋_GB2312" w:hAnsi="仿宋_GB2312" w:eastAsia="仿宋_GB2312" w:cs="仿宋_GB2312"/>
          <w:i w:val="0"/>
          <w:caps w:val="0"/>
          <w:color w:val="333333"/>
          <w:spacing w:val="0"/>
          <w:sz w:val="32"/>
          <w:szCs w:val="32"/>
          <w:shd w:val="clear" w:color="auto" w:fill="FFFFFF"/>
        </w:rPr>
        <w:t>部门特性目标待完善，</w:t>
      </w:r>
      <w:r>
        <w:rPr>
          <w:rFonts w:hint="eastAsia" w:ascii="仿宋_GB2312" w:hAnsi="仿宋_GB2312" w:eastAsia="仿宋_GB2312" w:cs="仿宋_GB2312"/>
          <w:i w:val="0"/>
          <w:caps w:val="0"/>
          <w:color w:val="333333"/>
          <w:spacing w:val="0"/>
          <w:sz w:val="32"/>
          <w:szCs w:val="32"/>
          <w:shd w:val="clear" w:color="auto" w:fill="FFFFFF"/>
          <w:lang w:val="en-US" w:eastAsia="zh-CN"/>
        </w:rPr>
        <w:t>二是</w:t>
      </w:r>
      <w:r>
        <w:rPr>
          <w:rFonts w:hint="eastAsia" w:ascii="仿宋_GB2312" w:hAnsi="仿宋_GB2312" w:eastAsia="仿宋_GB2312" w:cs="仿宋_GB2312"/>
          <w:i w:val="0"/>
          <w:caps w:val="0"/>
          <w:color w:val="333333"/>
          <w:spacing w:val="0"/>
          <w:sz w:val="32"/>
          <w:szCs w:val="32"/>
          <w:shd w:val="clear" w:color="auto" w:fill="FFFFFF"/>
        </w:rPr>
        <w:t>是机制待完善。下一步改进措施：一是加强学习进一步规范，二是完善各项目</w:t>
      </w:r>
      <w:r>
        <w:rPr>
          <w:rFonts w:hint="eastAsia" w:ascii="仿宋_GB2312" w:hAnsi="仿宋_GB2312" w:eastAsia="仿宋_GB2312" w:cs="仿宋_GB2312"/>
          <w:i w:val="0"/>
          <w:caps w:val="0"/>
          <w:color w:val="333333"/>
          <w:spacing w:val="0"/>
          <w:sz w:val="32"/>
          <w:szCs w:val="32"/>
          <w:shd w:val="clear" w:color="auto" w:fill="FFFFFF"/>
          <w:lang w:val="en-US" w:eastAsia="zh-CN"/>
        </w:rPr>
        <w:t>机制</w:t>
      </w:r>
      <w:r>
        <w:rPr>
          <w:rFonts w:hint="eastAsia" w:ascii="仿宋_GB2312" w:hAnsi="仿宋_GB2312" w:eastAsia="仿宋_GB2312" w:cs="仿宋_GB2312"/>
          <w:color w:val="000000"/>
          <w:sz w:val="32"/>
          <w:szCs w:val="32"/>
        </w:rPr>
        <w:t>。</w:t>
      </w:r>
    </w:p>
    <w:p w14:paraId="2C8BBA11">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14:paraId="156E6DD6">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2220403-储备粮油（库）建设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个项目绩效目标实际完成情况。</w:t>
      </w:r>
    </w:p>
    <w:p w14:paraId="210A514F">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2220403-储备粮油（库）建设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459.71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446.76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了日常工作的开展。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14:paraId="2E9B607D">
      <w:pPr>
        <w:numPr>
          <w:ilvl w:val="0"/>
          <w:numId w:val="0"/>
        </w:numPr>
        <w:spacing w:line="580" w:lineRule="exact"/>
        <w:rPr>
          <w:rFonts w:ascii="仿宋_GB2312" w:hAnsi="仿宋_GB2312" w:eastAsia="仿宋_GB2312" w:cs="仿宋_GB2312"/>
          <w:sz w:val="32"/>
          <w:szCs w:val="32"/>
        </w:rPr>
      </w:pPr>
    </w:p>
    <w:p w14:paraId="11ABA73F">
      <w:pPr>
        <w:numPr>
          <w:ilvl w:val="0"/>
          <w:numId w:val="0"/>
        </w:numPr>
        <w:spacing w:line="580" w:lineRule="exact"/>
        <w:rPr>
          <w:rFonts w:ascii="仿宋_GB2312" w:hAnsi="仿宋_GB2312" w:eastAsia="仿宋_GB2312" w:cs="仿宋_GB2312"/>
          <w:sz w:val="32"/>
          <w:szCs w:val="32"/>
        </w:rPr>
      </w:pPr>
    </w:p>
    <w:p w14:paraId="1B6CBEEE">
      <w:pPr>
        <w:spacing w:line="580" w:lineRule="exact"/>
        <w:ind w:firstLine="640" w:firstLineChars="200"/>
        <w:rPr>
          <w:rFonts w:ascii="仿宋_GB2312" w:hAnsi="仿宋_GB2312" w:eastAsia="仿宋_GB2312" w:cs="仿宋_GB2312"/>
          <w:sz w:val="32"/>
          <w:szCs w:val="32"/>
        </w:rPr>
      </w:pPr>
    </w:p>
    <w:p w14:paraId="55B9328C">
      <w:pPr>
        <w:spacing w:line="580" w:lineRule="exact"/>
        <w:ind w:firstLine="640" w:firstLineChars="200"/>
        <w:rPr>
          <w:rFonts w:ascii="仿宋_GB2312" w:hAnsi="仿宋_GB2312" w:eastAsia="仿宋_GB2312" w:cs="仿宋_GB2312"/>
          <w:sz w:val="32"/>
          <w:szCs w:val="32"/>
        </w:rPr>
      </w:pPr>
    </w:p>
    <w:tbl>
      <w:tblPr>
        <w:tblStyle w:val="13"/>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14:paraId="37168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522" w:type="dxa"/>
            <w:gridSpan w:val="8"/>
            <w:shd w:val="clear" w:color="auto" w:fill="auto"/>
            <w:vAlign w:val="center"/>
          </w:tcPr>
          <w:p w14:paraId="67FE149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14:paraId="4C72C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70E3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D3B33D">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2020年物资储备库建设项目</w:t>
            </w:r>
          </w:p>
        </w:tc>
      </w:tr>
      <w:tr w14:paraId="05B3F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63CC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19C5CB">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红原县粮食和物资储备中心</w:t>
            </w:r>
          </w:p>
        </w:tc>
      </w:tr>
      <w:tr w14:paraId="56985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B75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6EEA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BDA3F">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459.71</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632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57539">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446.76</w:t>
            </w:r>
          </w:p>
        </w:tc>
      </w:tr>
      <w:tr w14:paraId="3C60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3527A">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FC98A">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6A9D4">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459.71</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E0942">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73F18">
            <w:pPr>
              <w:jc w:val="center"/>
              <w:rPr>
                <w:rFonts w:hint="default" w:ascii="宋体" w:hAnsi="宋体" w:eastAsia="宋体" w:cs="宋体"/>
                <w:b/>
                <w:i w:val="0"/>
                <w:color w:val="000000"/>
                <w:sz w:val="24"/>
                <w:szCs w:val="24"/>
                <w:u w:val="none"/>
                <w:lang w:val="en-US" w:eastAsia="zh-CN"/>
              </w:rPr>
            </w:pPr>
          </w:p>
        </w:tc>
      </w:tr>
      <w:tr w14:paraId="5EF49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FD348">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3EAB2">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8CB53">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6421">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6B0E6">
            <w:pPr>
              <w:jc w:val="center"/>
              <w:rPr>
                <w:rFonts w:hint="eastAsia" w:ascii="宋体" w:hAnsi="宋体" w:eastAsia="宋体" w:cs="宋体"/>
                <w:b/>
                <w:i w:val="0"/>
                <w:color w:val="000000"/>
                <w:sz w:val="24"/>
                <w:szCs w:val="24"/>
                <w:u w:val="none"/>
              </w:rPr>
            </w:pPr>
          </w:p>
        </w:tc>
      </w:tr>
      <w:tr w14:paraId="1971F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98A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84E4AD">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2E18E5">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14:paraId="34BD5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BCBFD">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D58B4E">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100%</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E8CDE2">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97%</w:t>
            </w:r>
          </w:p>
        </w:tc>
      </w:tr>
      <w:tr w14:paraId="78CE1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CBD09">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3EEEF40B">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03410809">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4C0FE6B8">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634B89E5">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6F2AD8FA">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3AC863B5">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14:paraId="1C58F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9BF11">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2DA082C">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116D117">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0CDB96F">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25AA7CF">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007D8DE">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4AE4E57">
            <w:pPr>
              <w:jc w:val="center"/>
              <w:rPr>
                <w:rFonts w:hint="eastAsia" w:ascii="宋体" w:hAnsi="宋体" w:eastAsia="宋体" w:cs="宋体"/>
                <w:b/>
                <w:i w:val="0"/>
                <w:color w:val="000000"/>
                <w:sz w:val="20"/>
                <w:szCs w:val="20"/>
                <w:u w:val="none"/>
              </w:rPr>
            </w:pPr>
          </w:p>
        </w:tc>
      </w:tr>
      <w:tr w14:paraId="6D31A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668B5">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EA676D7">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88581C9">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A120EFE">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431F58D">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6E0FD8F">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F185078">
            <w:pPr>
              <w:jc w:val="center"/>
              <w:rPr>
                <w:rFonts w:hint="eastAsia" w:ascii="宋体" w:hAnsi="宋体" w:eastAsia="宋体" w:cs="宋体"/>
                <w:b/>
                <w:i w:val="0"/>
                <w:color w:val="000000"/>
                <w:sz w:val="20"/>
                <w:szCs w:val="20"/>
                <w:u w:val="none"/>
              </w:rPr>
            </w:pPr>
          </w:p>
        </w:tc>
      </w:tr>
      <w:tr w14:paraId="5BCC6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7B3A4">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36F427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79D0DA0A">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5E61D3">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26C237E">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B3FB41">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7EDA10">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42942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CCEAB">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C1BF1F9">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63DCD80B">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F2795E">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92D2B7F">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612B6B">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997E67">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689D5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7E558">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782B456">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07DBB0AB">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6CB246">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588BFCB">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807342">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6AA065">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7373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0936C">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55C5159">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6F54F941">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180DA1">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2EB9849">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233D40">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007EC4">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1DF2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761F8">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23BB96">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65A7C411">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6B87E9CA">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8EC9577">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171C64">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62983C">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4879A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D03EC">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4020F5E">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545AFA27">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3FCFA70">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4542419">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40DD55">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650C91">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42D86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2F873">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8A1CBF4">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4854A86E">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27A764FC">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A19C4C2">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491A82">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BA292B">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06F00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CBBE0">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930AF8">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3EBF63E3">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2BC9721">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723CDD1">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08FAC3">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722753">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5D346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5809F">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43805D2">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3731E4AC">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ABA05A">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40B8BB6">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56D474">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0A9051">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71A29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DB39D">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B1F9F10">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230AA42C">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E993C1">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3B5604C">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EEC3A7">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8E4A49">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7D5B7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BEB49">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660D69">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3FC2A516">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79FC70">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22FFF87">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02075E">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851C53">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50A45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0B92F">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FFF5CA7">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41B8AFE1">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6BBC61">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D1DCF0">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0CBB0B">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EABDFC">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3D3317">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45A79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0B6FF">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FC2D71A">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218F0EB4">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623C56">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F66A73">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375379">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B3FE7E">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3BCFD8">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5BFD5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D0AC2">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FFB22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2868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5B3C7D">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7D3A0E4">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B8F221">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01DAB4">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199C5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AD8AB">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F1002A2">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F9A9C19">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4DF438">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C3BF259">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3A381F">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008AF4">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7E7E1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3AEED">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ADCB75B">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FD0C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D8CA33">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06C510F">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31A9BF">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657B79">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0B0DA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02313">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E33AA89">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85ABB55">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4B1BA2">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F66780C">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5A2BE8">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CB23ED">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406F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BCCA9">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6CF441C">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495605C">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78C4D5">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C41DA08">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71AD0B">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8A2E9D">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05A5B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C74B0">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29D8AF7">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6DB09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47A0DE">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27329AD">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DE5DAA">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698127">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6966C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7275D">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6D7F619">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257434C">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4D0D0A">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A313C2C">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4D4846">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2E1714">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4AD52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47C5E">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5FFB6D7">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1778DD72">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4970C6">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7CB754C">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593CF4">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CD88B4">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3F9B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500BA">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6E07BE0">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6E0A930C">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3596A1">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881AE22">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4A4F98">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A1FE92">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388A1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A386C">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434C4CA">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2133904E">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1E6ABE">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BE87C10">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2FD291">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6748E2">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685DA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B7EE9">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71EB41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4A52FA36">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6B1F9A">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3DE202E">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1EE55E">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0BB170">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2FBD0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0410D">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9511D0">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2766BC86">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57D54D">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92B406">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426495">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D58A9A">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22A62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47D48">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247A2E1">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573FC2C4">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D00B54">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BB26D88">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A0C39D">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3FC8F9">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1169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BB01D">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C294284">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38E98383">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4F6642">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658C4DA">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7EBAD6">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884270">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3D544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BBE07">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87B8599">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71399EBD">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EC1126">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8C07F7B">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305CF1">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A15750">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4EAFC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42942">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DC8A157">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4FA60846">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0A0DB1">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4BB4832">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0A9DD4">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E9396A">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33050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1807E">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79F026">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3E8A803B">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A2FE10">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45A9C3F">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D01F33">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5BAA61">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14:paraId="28A52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5BCCE">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CC551A3">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14:paraId="20CB8FEC">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23BF80">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4D9CF69">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ED8032">
            <w:pPr>
              <w:ind w:firstLine="482" w:firstLineChars="200"/>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068EBC">
            <w:pPr>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 xml:space="preserve">      100%</w:t>
            </w:r>
          </w:p>
        </w:tc>
      </w:tr>
      <w:tr w14:paraId="66761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0CC8B">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2DF3311">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81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7F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75DF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08926B">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558967">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bl>
    <w:p w14:paraId="466168A3">
      <w:pPr>
        <w:spacing w:line="580" w:lineRule="exact"/>
        <w:rPr>
          <w:rFonts w:ascii="仿宋_GB2312" w:hAnsi="仿宋_GB2312" w:eastAsia="仿宋_GB2312" w:cs="仿宋_GB2312"/>
          <w:sz w:val="32"/>
          <w:szCs w:val="32"/>
        </w:rPr>
      </w:pPr>
    </w:p>
    <w:p w14:paraId="5D9F0890">
      <w:pPr>
        <w:spacing w:line="580" w:lineRule="exact"/>
        <w:ind w:left="630"/>
        <w:rPr>
          <w:rFonts w:ascii="仿宋_GB2312" w:hAnsi="仿宋_GB2312" w:eastAsia="仿宋_GB2312" w:cs="仿宋_GB2312"/>
          <w:sz w:val="32"/>
          <w:szCs w:val="32"/>
        </w:rPr>
      </w:pPr>
    </w:p>
    <w:p w14:paraId="01A6F3DD">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5FB4114B">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红原县粮食</w:t>
      </w:r>
      <w:r>
        <w:rPr>
          <w:rFonts w:hint="eastAsia" w:ascii="仿宋_GB2312" w:hAnsi="仿宋_GB2312" w:eastAsia="仿宋_GB2312" w:cs="仿宋_GB2312"/>
          <w:sz w:val="32"/>
          <w:szCs w:val="32"/>
        </w:rPr>
        <w:t>部门20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年部门整体支出绩效评价报告》见附件。</w:t>
      </w:r>
    </w:p>
    <w:p w14:paraId="1E25FF01">
      <w:pPr>
        <w:spacing w:line="580" w:lineRule="exact"/>
        <w:ind w:firstLine="640" w:firstLineChars="200"/>
        <w:rPr>
          <w:rFonts w:hint="eastAsia" w:ascii="仿宋_GB2312" w:hAnsi="仿宋_GB2312" w:eastAsia="仿宋_GB2312" w:cs="仿宋_GB2312"/>
          <w:sz w:val="32"/>
          <w:szCs w:val="32"/>
        </w:rPr>
      </w:pPr>
    </w:p>
    <w:p w14:paraId="0328E361">
      <w:pPr>
        <w:spacing w:line="580" w:lineRule="exact"/>
        <w:ind w:firstLine="640" w:firstLineChars="200"/>
        <w:rPr>
          <w:rFonts w:hint="eastAsia" w:ascii="仿宋_GB2312" w:hAnsi="仿宋_GB2312" w:eastAsia="仿宋_GB2312" w:cs="仿宋_GB2312"/>
          <w:sz w:val="32"/>
          <w:szCs w:val="32"/>
        </w:rPr>
      </w:pPr>
    </w:p>
    <w:p w14:paraId="4917ABC5">
      <w:pPr>
        <w:spacing w:line="580" w:lineRule="exact"/>
        <w:ind w:firstLine="640" w:firstLineChars="200"/>
        <w:rPr>
          <w:rFonts w:hint="eastAsia" w:ascii="仿宋_GB2312" w:hAnsi="仿宋_GB2312" w:eastAsia="仿宋_GB2312" w:cs="仿宋_GB2312"/>
          <w:sz w:val="32"/>
          <w:szCs w:val="32"/>
        </w:rPr>
      </w:pPr>
    </w:p>
    <w:p w14:paraId="36834363">
      <w:pPr>
        <w:spacing w:line="580" w:lineRule="exact"/>
        <w:ind w:firstLine="640" w:firstLineChars="200"/>
        <w:rPr>
          <w:rFonts w:hint="eastAsia" w:ascii="仿宋_GB2312" w:hAnsi="仿宋_GB2312" w:eastAsia="仿宋_GB2312" w:cs="仿宋_GB2312"/>
          <w:sz w:val="32"/>
          <w:szCs w:val="32"/>
        </w:rPr>
      </w:pPr>
    </w:p>
    <w:p w14:paraId="482D6BD0">
      <w:pPr>
        <w:spacing w:line="580" w:lineRule="exact"/>
        <w:ind w:firstLine="640" w:firstLineChars="200"/>
        <w:rPr>
          <w:rFonts w:hint="eastAsia" w:ascii="仿宋_GB2312" w:hAnsi="仿宋_GB2312" w:eastAsia="仿宋_GB2312" w:cs="仿宋_GB2312"/>
          <w:sz w:val="32"/>
          <w:szCs w:val="32"/>
        </w:rPr>
      </w:pPr>
    </w:p>
    <w:p w14:paraId="4EEEAE4E">
      <w:pPr>
        <w:spacing w:line="580" w:lineRule="exact"/>
        <w:ind w:firstLine="640" w:firstLineChars="200"/>
        <w:rPr>
          <w:rFonts w:hint="eastAsia" w:ascii="仿宋_GB2312" w:hAnsi="仿宋_GB2312" w:eastAsia="仿宋_GB2312" w:cs="仿宋_GB2312"/>
          <w:sz w:val="32"/>
          <w:szCs w:val="32"/>
        </w:rPr>
      </w:pPr>
    </w:p>
    <w:p w14:paraId="6E6EFA82">
      <w:pPr>
        <w:numPr>
          <w:ilvl w:val="0"/>
          <w:numId w:val="7"/>
        </w:numPr>
        <w:spacing w:line="600" w:lineRule="exact"/>
        <w:ind w:firstLine="660" w:firstLineChars="150"/>
        <w:jc w:val="center"/>
        <w:outlineLvl w:val="0"/>
        <w:rPr>
          <w:rStyle w:val="25"/>
          <w:rFonts w:ascii="黑体" w:hAnsi="黑体" w:eastAsia="黑体"/>
          <w:b w:val="0"/>
        </w:rPr>
      </w:pPr>
      <w:bookmarkStart w:id="77" w:name="_Toc15377225"/>
      <w:bookmarkStart w:id="78" w:name="_Toc15396613"/>
      <w:bookmarkStart w:id="79" w:name="_Toc9171"/>
      <w:r>
        <w:rPr>
          <w:rFonts w:hint="eastAsia" w:ascii="黑体" w:hAnsi="黑体" w:eastAsia="黑体"/>
          <w:color w:val="000000"/>
          <w:sz w:val="44"/>
          <w:szCs w:val="44"/>
        </w:rPr>
        <w:t>名</w:t>
      </w:r>
      <w:r>
        <w:rPr>
          <w:rStyle w:val="25"/>
          <w:rFonts w:hint="eastAsia" w:ascii="黑体" w:hAnsi="黑体" w:eastAsia="黑体"/>
          <w:b w:val="0"/>
        </w:rPr>
        <w:t>词解释</w:t>
      </w:r>
      <w:bookmarkEnd w:id="77"/>
      <w:bookmarkEnd w:id="78"/>
      <w:bookmarkEnd w:id="79"/>
    </w:p>
    <w:p w14:paraId="65F27E7F">
      <w:pPr>
        <w:spacing w:line="600" w:lineRule="exact"/>
        <w:jc w:val="left"/>
        <w:rPr>
          <w:rFonts w:ascii="宋体"/>
          <w:b/>
          <w:color w:val="000000"/>
          <w:sz w:val="44"/>
          <w:szCs w:val="44"/>
        </w:rPr>
      </w:pPr>
    </w:p>
    <w:p w14:paraId="244306F7">
      <w:pPr>
        <w:pStyle w:val="23"/>
        <w:spacing w:line="560" w:lineRule="exact"/>
        <w:ind w:firstLine="640" w:firstLineChars="200"/>
        <w:rPr>
          <w:rFonts w:ascii="仿宋_GB2312" w:eastAsia="仿宋_GB2312"/>
          <w:sz w:val="32"/>
          <w:szCs w:val="32"/>
        </w:rPr>
      </w:pPr>
      <w:bookmarkStart w:id="80" w:name="_Toc15396614"/>
      <w:bookmarkStart w:id="8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ACC0FF8">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71C47766">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09B4CC75">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14:paraId="77DEBF21">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02FB0F15">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3A45C5A">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624CA8BB">
      <w:pPr>
        <w:pStyle w:val="23"/>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17CEAA4B">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14:paraId="3EAD2A9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14:paraId="76D962D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14:paraId="4457CA27">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14:paraId="7892407B">
      <w:pPr>
        <w:ind w:firstLine="640" w:firstLineChars="200"/>
        <w:rPr>
          <w:rFonts w:ascii="仿宋" w:hAnsi="仿宋" w:eastAsia="仿宋"/>
          <w:b/>
          <w:color w:val="000000"/>
          <w:sz w:val="32"/>
          <w:szCs w:val="32"/>
        </w:rPr>
      </w:pPr>
      <w:r>
        <w:rPr>
          <w:rFonts w:hint="eastAsia" w:ascii="仿宋_GB2312" w:hAnsi="仿宋_GB2312" w:eastAsia="仿宋_GB2312" w:cs="仿宋_GB2312"/>
          <w:color w:val="000000"/>
          <w:kern w:val="2"/>
          <w:sz w:val="32"/>
          <w:szCs w:val="32"/>
          <w:lang w:val="en-US" w:eastAsia="zh-CN" w:bidi="ar-SA"/>
        </w:rPr>
        <w:t>13.其他支出2299901-其他支出，该支出主要用于购置办公设备。</w:t>
      </w:r>
    </w:p>
    <w:p w14:paraId="79D12618">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761A1172">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6BD9D95">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3E57C41D">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019AD55">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2C8CFEB">
      <w:pPr>
        <w:pStyle w:val="23"/>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19.粮油物资储备支出：2220101，该支出用于粮油物资储备方面的支出，包括：粮油事务、物资事务、能源储备等。</w:t>
      </w:r>
    </w:p>
    <w:p w14:paraId="34786DA0">
      <w:pPr>
        <w:pStyle w:val="23"/>
        <w:spacing w:line="560" w:lineRule="exact"/>
        <w:ind w:firstLine="640" w:firstLineChars="200"/>
        <w:rPr>
          <w:rFonts w:hint="default" w:ascii="仿宋_GB2312" w:eastAsia="仿宋_GB2312"/>
          <w:sz w:val="32"/>
          <w:szCs w:val="32"/>
          <w:lang w:val="en-US" w:eastAsia="zh-CN"/>
        </w:rPr>
      </w:pPr>
    </w:p>
    <w:p w14:paraId="61EBF2B3">
      <w:pPr>
        <w:pStyle w:val="23"/>
        <w:spacing w:line="560" w:lineRule="exact"/>
        <w:ind w:firstLine="640" w:firstLineChars="200"/>
        <w:rPr>
          <w:rFonts w:ascii="仿宋_GB2312" w:eastAsia="仿宋_GB2312" w:cs="黑体"/>
          <w:sz w:val="32"/>
          <w:szCs w:val="32"/>
        </w:rPr>
      </w:pPr>
    </w:p>
    <w:bookmarkEnd w:id="80"/>
    <w:p w14:paraId="62575926">
      <w:pPr>
        <w:spacing w:line="600" w:lineRule="exact"/>
        <w:jc w:val="center"/>
        <w:outlineLvl w:val="0"/>
        <w:rPr>
          <w:rFonts w:hint="eastAsia" w:ascii="黑体" w:hAnsi="黑体" w:eastAsia="黑体"/>
          <w:color w:val="000000"/>
          <w:sz w:val="44"/>
          <w:szCs w:val="44"/>
        </w:rPr>
      </w:pPr>
    </w:p>
    <w:p w14:paraId="14D35F81">
      <w:pPr>
        <w:spacing w:line="600" w:lineRule="exact"/>
        <w:jc w:val="center"/>
        <w:outlineLvl w:val="0"/>
        <w:rPr>
          <w:rFonts w:hint="eastAsia" w:ascii="黑体" w:hAnsi="黑体" w:eastAsia="黑体"/>
          <w:color w:val="000000"/>
          <w:sz w:val="44"/>
          <w:szCs w:val="44"/>
        </w:rPr>
      </w:pPr>
    </w:p>
    <w:p w14:paraId="7458DD14">
      <w:pPr>
        <w:spacing w:line="600" w:lineRule="exact"/>
        <w:jc w:val="center"/>
        <w:outlineLvl w:val="0"/>
        <w:rPr>
          <w:rFonts w:hint="eastAsia" w:ascii="黑体" w:hAnsi="黑体" w:eastAsia="黑体"/>
          <w:color w:val="000000"/>
          <w:sz w:val="44"/>
          <w:szCs w:val="44"/>
        </w:rPr>
      </w:pPr>
    </w:p>
    <w:p w14:paraId="79CAD1BD">
      <w:pPr>
        <w:spacing w:line="600" w:lineRule="exact"/>
        <w:jc w:val="center"/>
        <w:outlineLvl w:val="0"/>
        <w:rPr>
          <w:rFonts w:hint="eastAsia" w:ascii="黑体" w:hAnsi="黑体" w:eastAsia="黑体"/>
          <w:color w:val="000000"/>
          <w:sz w:val="44"/>
          <w:szCs w:val="44"/>
        </w:rPr>
      </w:pPr>
    </w:p>
    <w:p w14:paraId="64F3D5BC">
      <w:pPr>
        <w:spacing w:line="600" w:lineRule="exact"/>
        <w:jc w:val="center"/>
        <w:outlineLvl w:val="0"/>
        <w:rPr>
          <w:rFonts w:hint="eastAsia" w:ascii="黑体" w:hAnsi="黑体" w:eastAsia="黑体"/>
          <w:color w:val="000000"/>
          <w:sz w:val="44"/>
          <w:szCs w:val="44"/>
        </w:rPr>
      </w:pPr>
    </w:p>
    <w:p w14:paraId="3757A2A7">
      <w:pPr>
        <w:spacing w:line="600" w:lineRule="exact"/>
        <w:jc w:val="center"/>
        <w:outlineLvl w:val="0"/>
        <w:rPr>
          <w:rFonts w:hint="eastAsia" w:ascii="黑体" w:hAnsi="黑体" w:eastAsia="黑体"/>
          <w:color w:val="000000"/>
          <w:sz w:val="44"/>
          <w:szCs w:val="44"/>
        </w:rPr>
      </w:pPr>
    </w:p>
    <w:p w14:paraId="4640022A">
      <w:pPr>
        <w:spacing w:line="600" w:lineRule="exact"/>
        <w:jc w:val="center"/>
        <w:outlineLvl w:val="0"/>
        <w:rPr>
          <w:rFonts w:hint="eastAsia" w:ascii="黑体" w:hAnsi="黑体" w:eastAsia="黑体"/>
          <w:color w:val="000000"/>
          <w:sz w:val="44"/>
          <w:szCs w:val="44"/>
        </w:rPr>
      </w:pPr>
    </w:p>
    <w:p w14:paraId="236F2A80">
      <w:pPr>
        <w:spacing w:line="600" w:lineRule="exact"/>
        <w:jc w:val="center"/>
        <w:outlineLvl w:val="0"/>
        <w:rPr>
          <w:rFonts w:hint="eastAsia" w:ascii="黑体" w:hAnsi="黑体" w:eastAsia="黑体"/>
          <w:color w:val="000000"/>
          <w:sz w:val="44"/>
          <w:szCs w:val="44"/>
        </w:rPr>
      </w:pPr>
    </w:p>
    <w:p w14:paraId="1A182CF2">
      <w:pPr>
        <w:spacing w:line="600" w:lineRule="exact"/>
        <w:jc w:val="center"/>
        <w:outlineLvl w:val="0"/>
        <w:rPr>
          <w:rFonts w:hint="eastAsia" w:ascii="黑体" w:hAnsi="黑体" w:eastAsia="黑体"/>
          <w:color w:val="000000"/>
          <w:sz w:val="44"/>
          <w:szCs w:val="44"/>
        </w:rPr>
      </w:pPr>
    </w:p>
    <w:p w14:paraId="0546E5F8">
      <w:pPr>
        <w:spacing w:line="600" w:lineRule="exact"/>
        <w:jc w:val="center"/>
        <w:outlineLvl w:val="0"/>
        <w:rPr>
          <w:rFonts w:hint="eastAsia" w:ascii="黑体" w:hAnsi="黑体" w:eastAsia="黑体"/>
          <w:color w:val="000000"/>
          <w:sz w:val="44"/>
          <w:szCs w:val="44"/>
        </w:rPr>
      </w:pPr>
    </w:p>
    <w:p w14:paraId="1C91E82D">
      <w:pPr>
        <w:spacing w:line="600" w:lineRule="exact"/>
        <w:jc w:val="center"/>
        <w:outlineLvl w:val="0"/>
        <w:rPr>
          <w:rFonts w:hint="eastAsia" w:ascii="黑体" w:hAnsi="黑体" w:eastAsia="黑体"/>
          <w:color w:val="000000"/>
          <w:sz w:val="44"/>
          <w:szCs w:val="44"/>
        </w:rPr>
      </w:pPr>
    </w:p>
    <w:p w14:paraId="292FB412">
      <w:pPr>
        <w:spacing w:line="600" w:lineRule="exact"/>
        <w:jc w:val="center"/>
        <w:outlineLvl w:val="0"/>
        <w:rPr>
          <w:rFonts w:hint="eastAsia" w:ascii="黑体" w:hAnsi="黑体" w:eastAsia="黑体"/>
          <w:color w:val="000000"/>
          <w:sz w:val="44"/>
          <w:szCs w:val="44"/>
        </w:rPr>
      </w:pPr>
    </w:p>
    <w:p w14:paraId="7B067AE6">
      <w:pPr>
        <w:spacing w:line="600" w:lineRule="exact"/>
        <w:jc w:val="center"/>
        <w:outlineLvl w:val="0"/>
        <w:rPr>
          <w:rFonts w:hint="eastAsia" w:ascii="黑体" w:hAnsi="黑体" w:eastAsia="黑体"/>
          <w:color w:val="000000"/>
          <w:sz w:val="44"/>
          <w:szCs w:val="44"/>
        </w:rPr>
      </w:pPr>
    </w:p>
    <w:p w14:paraId="0D3EC002">
      <w:pPr>
        <w:spacing w:line="600" w:lineRule="exact"/>
        <w:jc w:val="center"/>
        <w:outlineLvl w:val="0"/>
        <w:rPr>
          <w:rFonts w:hint="eastAsia" w:ascii="黑体" w:hAnsi="黑体" w:eastAsia="黑体"/>
          <w:color w:val="000000"/>
          <w:sz w:val="44"/>
          <w:szCs w:val="44"/>
        </w:rPr>
      </w:pPr>
    </w:p>
    <w:p w14:paraId="5166F311">
      <w:pPr>
        <w:spacing w:line="600" w:lineRule="exact"/>
        <w:jc w:val="center"/>
        <w:outlineLvl w:val="0"/>
        <w:rPr>
          <w:rFonts w:hint="eastAsia" w:ascii="黑体" w:hAnsi="黑体" w:eastAsia="黑体"/>
          <w:color w:val="000000"/>
          <w:sz w:val="44"/>
          <w:szCs w:val="44"/>
        </w:rPr>
      </w:pPr>
    </w:p>
    <w:p w14:paraId="03571B43">
      <w:pPr>
        <w:spacing w:line="600" w:lineRule="exact"/>
        <w:jc w:val="center"/>
        <w:outlineLvl w:val="0"/>
        <w:rPr>
          <w:rStyle w:val="33"/>
          <w:rFonts w:ascii="黑体" w:hAnsi="黑体" w:eastAsia="黑体"/>
          <w:b w:val="0"/>
        </w:rPr>
      </w:pPr>
      <w:bookmarkStart w:id="82" w:name="_Toc15964"/>
      <w:r>
        <w:rPr>
          <w:rFonts w:hint="eastAsia" w:ascii="黑体" w:hAnsi="黑体" w:eastAsia="黑体"/>
          <w:color w:val="000000"/>
          <w:sz w:val="44"/>
          <w:szCs w:val="44"/>
        </w:rPr>
        <w:t>第</w:t>
      </w:r>
      <w:r>
        <w:rPr>
          <w:rStyle w:val="33"/>
          <w:rFonts w:hint="eastAsia" w:ascii="黑体" w:hAnsi="黑体" w:eastAsia="黑体"/>
          <w:b w:val="0"/>
        </w:rPr>
        <w:t>四部分 附件</w:t>
      </w:r>
      <w:bookmarkEnd w:id="82"/>
    </w:p>
    <w:p w14:paraId="6D3D0C84">
      <w:pPr>
        <w:spacing w:line="600" w:lineRule="exact"/>
        <w:jc w:val="center"/>
        <w:outlineLvl w:val="9"/>
        <w:rPr>
          <w:rStyle w:val="33"/>
        </w:rPr>
      </w:pPr>
    </w:p>
    <w:p w14:paraId="7CD2B491">
      <w:pPr>
        <w:pStyle w:val="3"/>
        <w:rPr>
          <w:rStyle w:val="33"/>
          <w:rFonts w:ascii="仿宋" w:hAnsi="仿宋" w:eastAsia="仿宋"/>
          <w:b w:val="0"/>
          <w:bCs w:val="0"/>
          <w:sz w:val="32"/>
          <w:szCs w:val="32"/>
        </w:rPr>
      </w:pPr>
      <w:bookmarkStart w:id="83" w:name="_Toc15396615"/>
      <w:bookmarkStart w:id="84" w:name="_Toc23893"/>
      <w:r>
        <w:rPr>
          <w:rStyle w:val="33"/>
          <w:rFonts w:hint="eastAsia" w:ascii="仿宋" w:hAnsi="仿宋" w:eastAsia="仿宋"/>
          <w:b w:val="0"/>
          <w:bCs w:val="0"/>
          <w:sz w:val="32"/>
          <w:szCs w:val="32"/>
        </w:rPr>
        <w:t>附件1</w:t>
      </w:r>
      <w:bookmarkEnd w:id="83"/>
      <w:bookmarkEnd w:id="84"/>
    </w:p>
    <w:p w14:paraId="60F0521B">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85" w:name="_Toc15396617"/>
      <w:r>
        <w:rPr>
          <w:rFonts w:hint="eastAsia" w:ascii="方正小标宋简体" w:hAnsi="宋体" w:eastAsia="方正小标宋简体" w:cs="方正小标宋简体"/>
          <w:kern w:val="2"/>
          <w:sz w:val="44"/>
          <w:szCs w:val="44"/>
          <w:lang w:val="en-US" w:eastAsia="zh-CN" w:bidi="ar"/>
        </w:rPr>
        <w:t>部门整体支出绩效报告范本</w:t>
      </w:r>
    </w:p>
    <w:p w14:paraId="40FB028A">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14:paraId="70509CFC">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14:paraId="546DA581">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14:paraId="1C0FBB41">
      <w:pPr>
        <w:widowControl/>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p>
    <w:p w14:paraId="666487EE">
      <w:pPr>
        <w:keepNext w:val="0"/>
        <w:keepLines w:val="0"/>
        <w:widowControl/>
        <w:numPr>
          <w:ilvl w:val="0"/>
          <w:numId w:val="8"/>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14:paraId="54884CC3">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14:paraId="667B92A3">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14:paraId="6B32CCE0">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14:paraId="61DAC852">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14:paraId="3ED17412">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14:paraId="440CBD92">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14:paraId="6343790E">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14:paraId="01C7C51D">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14:paraId="30FF794C">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14:paraId="3BD4AEDB">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14:paraId="396DA30F">
      <w:pPr>
        <w:spacing w:line="600" w:lineRule="exact"/>
        <w:rPr>
          <w:rFonts w:hint="eastAsia" w:ascii="仿宋_GB2312" w:hAnsi="宋体" w:eastAsia="仿宋_GB2312" w:cs="宋体"/>
          <w:color w:val="000000"/>
          <w:kern w:val="0"/>
          <w:sz w:val="32"/>
          <w:szCs w:val="24"/>
          <w:lang w:val="zh-CN" w:eastAsia="zh-CN" w:bidi="ar"/>
        </w:rPr>
      </w:pPr>
      <w:r>
        <w:rPr>
          <w:rFonts w:hint="eastAsia" w:ascii="仿宋" w:hAnsi="仿宋" w:eastAsia="仿宋" w:cs="仿宋"/>
          <w:sz w:val="32"/>
          <w:szCs w:val="32"/>
        </w:rPr>
        <w:t xml:space="preserve">    （11）承办县政府交办的其它事项。</w:t>
      </w:r>
    </w:p>
    <w:p w14:paraId="4F2E91A6">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（三）人员概况。</w:t>
      </w:r>
    </w:p>
    <w:p w14:paraId="60192EFF">
      <w:pPr>
        <w:pStyle w:val="3"/>
        <w:numPr>
          <w:ilvl w:val="0"/>
          <w:numId w:val="0"/>
        </w:numPr>
        <w:ind w:firstLine="640" w:firstLineChars="200"/>
        <w:rPr>
          <w:rFonts w:hint="eastAsia" w:ascii="仿宋_GB2312" w:hAnsi="宋体" w:eastAsia="仿宋_GB2312" w:cs="宋体"/>
          <w:color w:val="000000"/>
          <w:kern w:val="0"/>
          <w:sz w:val="32"/>
          <w:szCs w:val="24"/>
          <w:lang w:val="zh-CN" w:eastAsia="zh-CN" w:bidi="ar"/>
        </w:rPr>
      </w:pPr>
      <w:bookmarkStart w:id="86" w:name="_Toc12704"/>
      <w:bookmarkStart w:id="87" w:name="_Toc17245"/>
      <w:r>
        <w:rPr>
          <w:rFonts w:hint="eastAsia" w:ascii="仿宋" w:hAnsi="仿宋" w:eastAsia="仿宋" w:cs="仿宋_GB2312"/>
          <w:b w:val="0"/>
          <w:bCs w:val="0"/>
          <w:sz w:val="32"/>
          <w:szCs w:val="32"/>
        </w:rPr>
        <w:t>截止20</w:t>
      </w:r>
      <w:r>
        <w:rPr>
          <w:rFonts w:hint="eastAsia" w:ascii="仿宋" w:hAnsi="仿宋" w:eastAsia="仿宋" w:cs="仿宋_GB2312"/>
          <w:b w:val="0"/>
          <w:bCs w:val="0"/>
          <w:sz w:val="32"/>
          <w:szCs w:val="32"/>
          <w:lang w:val="en-US" w:eastAsia="zh-CN"/>
        </w:rPr>
        <w:t>24</w:t>
      </w:r>
      <w:r>
        <w:rPr>
          <w:rFonts w:hint="eastAsia" w:ascii="仿宋" w:hAnsi="仿宋" w:eastAsia="仿宋" w:cs="仿宋_GB2312"/>
          <w:b w:val="0"/>
          <w:bCs w:val="0"/>
          <w:sz w:val="32"/>
          <w:szCs w:val="32"/>
        </w:rPr>
        <w:t>年底我单位共有编制</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个，其中参公</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人。实有人数</w:t>
      </w:r>
      <w:r>
        <w:rPr>
          <w:rFonts w:hint="eastAsia" w:ascii="仿宋" w:hAnsi="仿宋" w:eastAsia="仿宋" w:cs="仿宋_GB2312"/>
          <w:b w:val="0"/>
          <w:bCs w:val="0"/>
          <w:sz w:val="32"/>
          <w:szCs w:val="32"/>
          <w:lang w:val="en-US" w:eastAsia="zh-CN"/>
        </w:rPr>
        <w:t>7</w:t>
      </w:r>
      <w:r>
        <w:rPr>
          <w:rFonts w:hint="eastAsia" w:ascii="仿宋" w:hAnsi="仿宋" w:eastAsia="仿宋" w:cs="仿宋_GB2312"/>
          <w:b w:val="0"/>
          <w:bCs w:val="0"/>
          <w:sz w:val="32"/>
          <w:szCs w:val="32"/>
        </w:rPr>
        <w:t>人，离休1人</w:t>
      </w:r>
      <w:r>
        <w:rPr>
          <w:rFonts w:hint="eastAsia" w:ascii="仿宋" w:hAnsi="仿宋" w:eastAsia="仿宋" w:cs="仿宋_GB2312"/>
          <w:b w:val="0"/>
          <w:bCs w:val="0"/>
          <w:sz w:val="32"/>
          <w:szCs w:val="32"/>
          <w:lang w:eastAsia="zh-CN"/>
        </w:rPr>
        <w:t>。</w:t>
      </w:r>
      <w:bookmarkEnd w:id="86"/>
      <w:bookmarkEnd w:id="87"/>
    </w:p>
    <w:p w14:paraId="57FDF476">
      <w:pPr>
        <w:keepNext w:val="0"/>
        <w:keepLines w:val="0"/>
        <w:widowControl/>
        <w:numPr>
          <w:ilvl w:val="0"/>
          <w:numId w:val="0"/>
        </w:numPr>
        <w:suppressLineNumbers w:val="0"/>
        <w:adjustRightInd w:val="0"/>
        <w:snapToGrid w:val="0"/>
        <w:spacing w:before="0" w:beforeAutospacing="0" w:after="0" w:afterAutospacing="0" w:line="480" w:lineRule="exact"/>
        <w:ind w:leftChars="0" w:right="0" w:rightChars="0" w:firstLine="640" w:firstLineChars="200"/>
        <w:jc w:val="left"/>
        <w:outlineLvl w:val="0"/>
        <w:rPr>
          <w:rFonts w:hint="eastAsia" w:ascii="黑体" w:hAnsi="宋体" w:eastAsia="黑体" w:cs="宋体"/>
          <w:color w:val="000000"/>
          <w:kern w:val="0"/>
          <w:sz w:val="32"/>
          <w:szCs w:val="24"/>
          <w:lang w:val="en-US" w:eastAsia="zh-CN" w:bidi="ar"/>
        </w:rPr>
      </w:pPr>
      <w:bookmarkStart w:id="88" w:name="_Toc23640"/>
      <w:bookmarkStart w:id="89" w:name="_Toc8603"/>
      <w:r>
        <w:rPr>
          <w:rFonts w:hint="eastAsia" w:ascii="黑体" w:hAnsi="宋体" w:eastAsia="黑体" w:cs="宋体"/>
          <w:color w:val="000000"/>
          <w:kern w:val="0"/>
          <w:sz w:val="32"/>
          <w:szCs w:val="24"/>
          <w:lang w:val="en-US" w:eastAsia="zh-CN" w:bidi="ar"/>
        </w:rPr>
        <w:t>二、部门财政资金收支情况</w:t>
      </w:r>
      <w:bookmarkEnd w:id="88"/>
      <w:bookmarkEnd w:id="89"/>
    </w:p>
    <w:p w14:paraId="112F0AA9">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（一）部门财政资金收入情况。</w:t>
      </w:r>
    </w:p>
    <w:p w14:paraId="60995221">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红原县</w:t>
      </w:r>
      <w:r>
        <w:rPr>
          <w:rFonts w:hint="eastAsia" w:ascii="仿宋_GB2312" w:hAnsi="仿宋_GB2312" w:eastAsia="仿宋_GB2312" w:cs="仿宋_GB2312"/>
          <w:color w:val="000000"/>
          <w:sz w:val="32"/>
          <w:szCs w:val="32"/>
          <w:lang w:val="en-US" w:eastAsia="zh-CN"/>
        </w:rPr>
        <w:t>粮食和物资储备中心</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326.25万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326.25万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226.11万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100.14万元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14:paraId="6F650F17">
      <w:pPr>
        <w:keepNext w:val="0"/>
        <w:keepLines w:val="0"/>
        <w:widowControl/>
        <w:numPr>
          <w:ilvl w:val="0"/>
          <w:numId w:val="9"/>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14:paraId="265EB7AE">
      <w:pPr>
        <w:wordWrap/>
        <w:spacing w:line="560" w:lineRule="exact"/>
        <w:ind w:left="0" w:leftChars="0" w:right="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w:t>
      </w:r>
      <w:r>
        <w:rPr>
          <w:rFonts w:hint="eastAsia" w:ascii="仿宋_GB2312" w:hAnsi="仿宋_GB2312" w:eastAsia="仿宋_GB2312" w:cs="仿宋_GB2312"/>
          <w:color w:val="000000"/>
          <w:sz w:val="32"/>
          <w:szCs w:val="32"/>
          <w:lang w:val="en-US" w:eastAsia="zh-CN"/>
        </w:rPr>
        <w:t>县粮食和物资储备中心</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326.25万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sz w:val="32"/>
          <w:szCs w:val="32"/>
          <w:lang w:val="en-US" w:eastAsia="zh-CN"/>
        </w:rPr>
        <w:t>226.11万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100.14万元</w:t>
      </w:r>
      <w:r>
        <w:rPr>
          <w:rFonts w:hint="eastAsia" w:ascii="仿宋_GB2312" w:hAnsi="仿宋_GB2312" w:eastAsia="仿宋_GB2312" w:cs="仿宋_GB2312"/>
          <w:sz w:val="32"/>
          <w:szCs w:val="32"/>
        </w:rPr>
        <w:t>。</w:t>
      </w:r>
    </w:p>
    <w:p w14:paraId="3A00447A">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14:paraId="0238260D">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14:paraId="7ED9B002">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0"/>
          <w:szCs w:val="30"/>
          <w:lang w:val="zh-CN" w:eastAsia="zh-CN"/>
        </w:rPr>
      </w:pPr>
      <w:r>
        <w:rPr>
          <w:rFonts w:hint="eastAsia" w:ascii="仿宋_GB2312" w:hAnsi="仿宋_GB2312" w:eastAsia="仿宋_GB2312" w:cs="仿宋_GB2312"/>
          <w:color w:val="000000"/>
          <w:sz w:val="30"/>
          <w:szCs w:val="30"/>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14:paraId="1D95E554">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14:paraId="0D4B5F45">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en-US" w:eastAsia="zh-CN" w:bidi="ar"/>
        </w:rPr>
        <w:t>1、</w:t>
      </w:r>
      <w:r>
        <w:rPr>
          <w:rFonts w:hint="eastAsia" w:ascii="仿宋_GB2312" w:hAnsi="宋体" w:cs="宋体"/>
          <w:color w:val="000000"/>
          <w:kern w:val="0"/>
          <w:sz w:val="32"/>
          <w:szCs w:val="24"/>
          <w:lang w:val="zh-CN" w:eastAsia="zh-CN" w:bidi="ar"/>
        </w:rPr>
        <w:t>县</w:t>
      </w:r>
      <w:r>
        <w:rPr>
          <w:rFonts w:hint="eastAsia" w:ascii="仿宋_GB2312" w:hAnsi="宋体" w:eastAsia="仿宋_GB2312" w:cs="宋体"/>
          <w:color w:val="000000"/>
          <w:kern w:val="0"/>
          <w:sz w:val="32"/>
          <w:szCs w:val="24"/>
          <w:lang w:val="zh-CN" w:eastAsia="zh-CN" w:bidi="ar"/>
        </w:rPr>
        <w:t>级财力专项预算分配时限、中央专款分配合规率</w:t>
      </w:r>
    </w:p>
    <w:p w14:paraId="58FBEE5A">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我单位4年无县级财力专项预算和中央专款。</w:t>
      </w:r>
    </w:p>
    <w:p w14:paraId="06D5A629">
      <w:pPr>
        <w:keepNext w:val="0"/>
        <w:keepLines w:val="0"/>
        <w:widowControl/>
        <w:numPr>
          <w:ilvl w:val="0"/>
          <w:numId w:val="10"/>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部门预算执行进度情况</w:t>
      </w:r>
    </w:p>
    <w:p w14:paraId="5D5E9442">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2023年我单位财政预算实际到位数为326.25万元。</w:t>
      </w:r>
    </w:p>
    <w:p w14:paraId="562E0581">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3、</w:t>
      </w:r>
      <w:r>
        <w:rPr>
          <w:rFonts w:hint="eastAsia" w:ascii="仿宋_GB2312" w:hAnsi="宋体" w:eastAsia="仿宋_GB2312" w:cs="宋体"/>
          <w:color w:val="000000"/>
          <w:kern w:val="0"/>
          <w:sz w:val="32"/>
          <w:szCs w:val="24"/>
          <w:lang w:val="zh-CN" w:eastAsia="zh-CN" w:bidi="ar"/>
        </w:rPr>
        <w:t>中期评估工作</w:t>
      </w:r>
    </w:p>
    <w:p w14:paraId="4BEE16D4">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按照要求，对纳入部门预算进行了中期评估论证。</w:t>
      </w:r>
    </w:p>
    <w:p w14:paraId="7F8A8631">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4、</w:t>
      </w:r>
      <w:r>
        <w:rPr>
          <w:rFonts w:hint="eastAsia" w:ascii="仿宋_GB2312" w:hAnsi="宋体" w:eastAsia="仿宋_GB2312" w:cs="宋体"/>
          <w:color w:val="000000"/>
          <w:kern w:val="0"/>
          <w:sz w:val="32"/>
          <w:szCs w:val="24"/>
          <w:lang w:val="zh-CN" w:eastAsia="zh-CN" w:bidi="ar"/>
        </w:rPr>
        <w:t>机关节能降耗</w:t>
      </w:r>
    </w:p>
    <w:p w14:paraId="5F7B43A3">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建立节约型社会是党中央、国务院做出的一项重要部署。建设节约型机关，是建设节约型社会的重要组成部分，</w:t>
      </w:r>
      <w:r>
        <w:rPr>
          <w:rFonts w:hint="eastAsia" w:ascii="仿宋_GB2312" w:hAnsi="宋体" w:eastAsia="仿宋_GB2312" w:cs="宋体"/>
          <w:color w:val="000000"/>
          <w:kern w:val="0"/>
          <w:sz w:val="32"/>
          <w:szCs w:val="24"/>
          <w:lang w:val="en-US" w:eastAsia="zh-CN" w:bidi="ar"/>
        </w:rPr>
        <w:t>县粮食局</w:t>
      </w:r>
      <w:r>
        <w:rPr>
          <w:rFonts w:hint="eastAsia" w:ascii="仿宋_GB2312" w:hAnsi="宋体" w:eastAsia="仿宋_GB2312" w:cs="宋体"/>
          <w:color w:val="000000"/>
          <w:kern w:val="0"/>
          <w:sz w:val="32"/>
          <w:szCs w:val="24"/>
          <w:lang w:val="zh-CN" w:eastAsia="zh-CN" w:bidi="ar"/>
        </w:rPr>
        <w:t>着力降低行政运行成本，节约用水用电、精简会议、完善采购制度节约办公消耗品。</w:t>
      </w:r>
    </w:p>
    <w:p w14:paraId="172911B4">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5、</w:t>
      </w:r>
      <w:r>
        <w:rPr>
          <w:rFonts w:hint="eastAsia" w:ascii="仿宋_GB2312" w:hAnsi="宋体" w:eastAsia="仿宋_GB2312" w:cs="宋体"/>
          <w:color w:val="000000"/>
          <w:kern w:val="0"/>
          <w:sz w:val="32"/>
          <w:szCs w:val="24"/>
          <w:lang w:val="zh-CN" w:eastAsia="zh-CN" w:bidi="ar"/>
        </w:rPr>
        <w:t>“三公”经费预算执行情况</w:t>
      </w:r>
    </w:p>
    <w:p w14:paraId="5950B5BD">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lang w:val="en-US" w:eastAsia="zh-CN"/>
        </w:rPr>
      </w:pPr>
      <w:r>
        <w:rPr>
          <w:rFonts w:hint="eastAsia" w:ascii="仿宋_GB2312" w:hAnsi="宋体" w:eastAsia="仿宋_GB2312" w:cs="宋体"/>
          <w:color w:val="000000"/>
          <w:kern w:val="0"/>
          <w:sz w:val="32"/>
          <w:szCs w:val="24"/>
          <w:lang w:val="zh-CN" w:eastAsia="zh-CN" w:bidi="ar"/>
        </w:rPr>
        <w:t>严格落实中央八项规定和省委省政府十项规定，厉行节约管理“三公”经费，全年压缩了公车预算，国外接待人数减少。</w:t>
      </w:r>
      <w:r>
        <w:rPr>
          <w:rFonts w:hint="eastAsia" w:ascii="仿宋_GB2312" w:hAnsi="宋体" w:eastAsia="仿宋_GB2312" w:cs="宋体"/>
          <w:color w:val="000000"/>
          <w:kern w:val="0"/>
          <w:sz w:val="32"/>
          <w:szCs w:val="24"/>
          <w:lang w:val="en-US" w:eastAsia="zh-CN" w:bidi="ar"/>
        </w:rPr>
        <w:t>2024年“三公经费2.6万元，2023年“三公”经费2.62万元。</w:t>
      </w:r>
    </w:p>
    <w:p w14:paraId="07BC9FC4">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14:paraId="0601A8E0">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政府债务情况</w:t>
      </w:r>
    </w:p>
    <w:p w14:paraId="2F37C5E6">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24</w:t>
      </w:r>
      <w:r>
        <w:rPr>
          <w:rFonts w:hint="eastAsia" w:ascii="仿宋_GB2312" w:hAnsi="仿宋_GB2312" w:eastAsia="仿宋_GB2312" w:cs="仿宋_GB2312"/>
          <w:color w:val="000000"/>
          <w:kern w:val="2"/>
          <w:sz w:val="32"/>
          <w:szCs w:val="32"/>
          <w:lang w:val="zh-CN" w:eastAsia="zh-CN" w:bidi="ar-SA"/>
        </w:rPr>
        <w:t>年无政府性债务。</w:t>
      </w:r>
    </w:p>
    <w:p w14:paraId="5710E8A5">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非税收入情况</w:t>
      </w:r>
    </w:p>
    <w:p w14:paraId="57E368EF">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24</w:t>
      </w:r>
      <w:r>
        <w:rPr>
          <w:rFonts w:hint="eastAsia" w:ascii="仿宋_GB2312" w:hAnsi="仿宋_GB2312" w:eastAsia="仿宋_GB2312" w:cs="仿宋_GB2312"/>
          <w:color w:val="000000"/>
          <w:kern w:val="2"/>
          <w:sz w:val="32"/>
          <w:szCs w:val="32"/>
          <w:lang w:val="zh-CN" w:eastAsia="zh-CN" w:bidi="ar-SA"/>
        </w:rPr>
        <w:t>年无</w:t>
      </w:r>
      <w:r>
        <w:rPr>
          <w:rFonts w:hint="eastAsia" w:ascii="仿宋_GB2312" w:hAnsi="仿宋_GB2312" w:eastAsia="仿宋_GB2312" w:cs="仿宋_GB2312"/>
          <w:color w:val="000000"/>
          <w:kern w:val="2"/>
          <w:sz w:val="32"/>
          <w:szCs w:val="32"/>
          <w:lang w:val="en-US" w:eastAsia="zh-CN" w:bidi="ar-SA"/>
        </w:rPr>
        <w:t>非税收情况。</w:t>
      </w:r>
    </w:p>
    <w:p w14:paraId="47EC64B5">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资产管理情况</w:t>
      </w:r>
    </w:p>
    <w:p w14:paraId="5CAA3C92">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按照财政局资产管理要求，设置专人管理固定资产信息系统和更新数据，按规定组织资产清查和报送国有资产报表。</w:t>
      </w:r>
    </w:p>
    <w:p w14:paraId="7CC5B7BB">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内控制度管理情况</w:t>
      </w:r>
    </w:p>
    <w:p w14:paraId="72535493">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制定有预算管理制度、收入管理制度、政府采购业务管理制度、资产管理制度和合同管理办法等方面的内部控制制度。</w:t>
      </w:r>
    </w:p>
    <w:p w14:paraId="73192B0D">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信息公开情况</w:t>
      </w:r>
    </w:p>
    <w:p w14:paraId="35708D5D">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按照县财政局相关要求，在县政府统一的公开网站对20</w:t>
      </w:r>
      <w:r>
        <w:rPr>
          <w:rFonts w:hint="eastAsia" w:ascii="仿宋_GB2312" w:hAnsi="仿宋_GB2312" w:eastAsia="仿宋_GB2312" w:cs="仿宋_GB2312"/>
          <w:color w:val="000000"/>
          <w:kern w:val="2"/>
          <w:sz w:val="32"/>
          <w:szCs w:val="32"/>
          <w:lang w:val="en-US" w:eastAsia="zh-CN" w:bidi="ar-SA"/>
        </w:rPr>
        <w:t>24</w:t>
      </w:r>
      <w:r>
        <w:rPr>
          <w:rFonts w:hint="eastAsia" w:ascii="仿宋_GB2312" w:hAnsi="仿宋_GB2312" w:eastAsia="仿宋_GB2312" w:cs="仿宋_GB2312"/>
          <w:color w:val="000000"/>
          <w:kern w:val="2"/>
          <w:sz w:val="32"/>
          <w:szCs w:val="32"/>
          <w:lang w:val="zh-CN" w:eastAsia="zh-CN" w:bidi="ar-SA"/>
        </w:rPr>
        <w:t>年预算、决算进行了公开。</w:t>
      </w:r>
    </w:p>
    <w:p w14:paraId="1ED973C2">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14:paraId="2A7346BA">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包括部门职责履行结果、重点项目绩效评价结果和服务对象满意度等。</w:t>
      </w:r>
    </w:p>
    <w:p w14:paraId="4E0599D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部门职责履行</w:t>
      </w:r>
      <w:r>
        <w:rPr>
          <w:rFonts w:hint="eastAsia" w:ascii="仿宋_GB2312" w:hAnsi="仿宋_GB2312" w:eastAsia="仿宋_GB2312" w:cs="仿宋_GB2312"/>
          <w:color w:val="000000"/>
          <w:kern w:val="0"/>
          <w:sz w:val="32"/>
          <w:szCs w:val="32"/>
          <w:lang w:val="en-US" w:eastAsia="zh-CN" w:bidi="ar-SA"/>
        </w:rPr>
        <w:t>结果：</w:t>
      </w:r>
    </w:p>
    <w:p w14:paraId="5150C9A5">
      <w:pPr>
        <w:spacing w:line="600" w:lineRule="exact"/>
        <w:rPr>
          <w:rFonts w:hint="default" w:ascii="仿宋" w:hAnsi="仿宋" w:eastAsia="仿宋" w:cs="仿宋"/>
          <w:sz w:val="32"/>
          <w:szCs w:val="32"/>
        </w:rPr>
      </w:pPr>
      <w:r>
        <w:rPr>
          <w:rFonts w:hint="eastAsia" w:ascii="仿宋_GB2312" w:hAnsi="仿宋_GB2312" w:eastAsia="仿宋_GB2312" w:cs="仿宋_GB2312"/>
          <w:i w:val="0"/>
          <w:caps w:val="0"/>
          <w:color w:val="000000"/>
          <w:spacing w:val="0"/>
          <w:sz w:val="32"/>
          <w:szCs w:val="32"/>
          <w:shd w:val="clear" w:fill="FFFFFF"/>
        </w:rPr>
        <w:t>今年以来，</w:t>
      </w:r>
      <w:r>
        <w:rPr>
          <w:rFonts w:hint="eastAsia" w:ascii="仿宋_GB2312" w:hAnsi="仿宋_GB2312" w:eastAsia="仿宋_GB2312" w:cs="仿宋_GB2312"/>
          <w:i w:val="0"/>
          <w:caps w:val="0"/>
          <w:color w:val="000000"/>
          <w:spacing w:val="0"/>
          <w:sz w:val="32"/>
          <w:szCs w:val="32"/>
          <w:shd w:val="clear" w:fill="FFFFFF"/>
          <w:lang w:eastAsia="zh-CN"/>
        </w:rPr>
        <w:t>我中心</w:t>
      </w:r>
      <w:r>
        <w:rPr>
          <w:rFonts w:hint="eastAsia" w:ascii="仿宋" w:hAnsi="仿宋" w:eastAsia="仿宋" w:cs="仿宋"/>
          <w:sz w:val="32"/>
          <w:szCs w:val="32"/>
        </w:rPr>
        <w:t>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14:paraId="29E3BC2F">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14:paraId="0E9F6B1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14:paraId="7328B98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14:paraId="19256E9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14:paraId="6BBF995F">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14:paraId="644BFA7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14:paraId="51AC514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在接下来的工作里，我们竭尽所能将人员配齐，严格按照内部控制规范制度行事。</w:t>
      </w:r>
    </w:p>
    <w:p w14:paraId="4B011A84">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zh-CN" w:eastAsia="zh-CN" w:bidi="ar-SA"/>
        </w:rPr>
        <w:t>（三）改进建议</w:t>
      </w:r>
    </w:p>
    <w:p w14:paraId="307E4AD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财政部门定期对各机关单位进行各类财务培训，加大培训力度，促进各单位事业的健康、可持续发展。</w:t>
      </w:r>
    </w:p>
    <w:bookmarkEnd w:id="85"/>
    <w:p w14:paraId="0D88BC45">
      <w:pPr>
        <w:spacing w:line="600" w:lineRule="exact"/>
        <w:jc w:val="both"/>
        <w:outlineLvl w:val="9"/>
        <w:rPr>
          <w:rFonts w:hint="eastAsia" w:ascii="黑体" w:hAnsi="黑体" w:eastAsia="黑体"/>
          <w:color w:val="000000"/>
          <w:sz w:val="44"/>
          <w:szCs w:val="44"/>
        </w:rPr>
      </w:pPr>
    </w:p>
    <w:p w14:paraId="7712D70A">
      <w:pPr>
        <w:spacing w:line="600" w:lineRule="exact"/>
        <w:jc w:val="both"/>
        <w:outlineLvl w:val="9"/>
        <w:rPr>
          <w:rFonts w:hint="eastAsia" w:ascii="黑体" w:hAnsi="黑体" w:eastAsia="黑体"/>
          <w:color w:val="000000"/>
          <w:sz w:val="44"/>
          <w:szCs w:val="44"/>
        </w:rPr>
      </w:pPr>
    </w:p>
    <w:p w14:paraId="6F311844">
      <w:pPr>
        <w:spacing w:line="600" w:lineRule="exact"/>
        <w:jc w:val="both"/>
        <w:outlineLvl w:val="9"/>
        <w:rPr>
          <w:rFonts w:hint="eastAsia" w:ascii="黑体" w:hAnsi="黑体" w:eastAsia="黑体"/>
          <w:color w:val="000000"/>
          <w:sz w:val="44"/>
          <w:szCs w:val="44"/>
        </w:rPr>
      </w:pPr>
    </w:p>
    <w:p w14:paraId="0E3A0122">
      <w:pPr>
        <w:spacing w:line="600" w:lineRule="exact"/>
        <w:jc w:val="both"/>
        <w:outlineLvl w:val="9"/>
        <w:rPr>
          <w:rFonts w:hint="eastAsia" w:ascii="黑体" w:hAnsi="黑体" w:eastAsia="黑体"/>
          <w:color w:val="000000"/>
          <w:sz w:val="44"/>
          <w:szCs w:val="44"/>
        </w:rPr>
      </w:pPr>
    </w:p>
    <w:p w14:paraId="1AD13E4A">
      <w:pPr>
        <w:spacing w:line="600" w:lineRule="exact"/>
        <w:jc w:val="both"/>
        <w:outlineLvl w:val="9"/>
        <w:rPr>
          <w:rFonts w:hint="eastAsia" w:ascii="黑体" w:hAnsi="黑体" w:eastAsia="黑体"/>
          <w:color w:val="000000"/>
          <w:sz w:val="44"/>
          <w:szCs w:val="44"/>
        </w:rPr>
      </w:pPr>
    </w:p>
    <w:p w14:paraId="619D902C">
      <w:pPr>
        <w:spacing w:line="600" w:lineRule="exact"/>
        <w:jc w:val="both"/>
        <w:outlineLvl w:val="9"/>
        <w:rPr>
          <w:rFonts w:hint="eastAsia" w:ascii="黑体" w:hAnsi="黑体" w:eastAsia="黑体"/>
          <w:color w:val="000000"/>
          <w:sz w:val="44"/>
          <w:szCs w:val="44"/>
        </w:rPr>
      </w:pPr>
    </w:p>
    <w:p w14:paraId="4DE5D131">
      <w:pPr>
        <w:spacing w:line="600" w:lineRule="exact"/>
        <w:jc w:val="both"/>
        <w:outlineLvl w:val="9"/>
        <w:rPr>
          <w:rFonts w:hint="eastAsia" w:ascii="黑体" w:hAnsi="黑体" w:eastAsia="黑体"/>
          <w:color w:val="000000"/>
          <w:sz w:val="44"/>
          <w:szCs w:val="44"/>
        </w:rPr>
      </w:pPr>
    </w:p>
    <w:p w14:paraId="12CB850C">
      <w:pPr>
        <w:spacing w:line="600" w:lineRule="exact"/>
        <w:jc w:val="both"/>
        <w:outlineLvl w:val="9"/>
        <w:rPr>
          <w:rFonts w:hint="eastAsia" w:ascii="黑体" w:hAnsi="黑体" w:eastAsia="黑体"/>
          <w:color w:val="000000"/>
          <w:sz w:val="44"/>
          <w:szCs w:val="44"/>
        </w:rPr>
      </w:pPr>
    </w:p>
    <w:p w14:paraId="1CBAC434">
      <w:pPr>
        <w:spacing w:line="600" w:lineRule="exact"/>
        <w:jc w:val="both"/>
        <w:outlineLvl w:val="9"/>
        <w:rPr>
          <w:rFonts w:hint="eastAsia" w:ascii="黑体" w:hAnsi="黑体" w:eastAsia="黑体"/>
          <w:color w:val="000000"/>
          <w:sz w:val="44"/>
          <w:szCs w:val="44"/>
        </w:rPr>
      </w:pPr>
    </w:p>
    <w:p w14:paraId="0B05EED7">
      <w:pPr>
        <w:spacing w:line="600" w:lineRule="exact"/>
        <w:jc w:val="both"/>
        <w:outlineLvl w:val="9"/>
        <w:rPr>
          <w:rFonts w:hint="eastAsia" w:ascii="黑体" w:hAnsi="黑体" w:eastAsia="黑体"/>
          <w:color w:val="000000"/>
          <w:sz w:val="44"/>
          <w:szCs w:val="44"/>
        </w:rPr>
      </w:pPr>
    </w:p>
    <w:p w14:paraId="18523290">
      <w:pPr>
        <w:spacing w:line="600" w:lineRule="exact"/>
        <w:jc w:val="both"/>
        <w:outlineLvl w:val="9"/>
        <w:rPr>
          <w:rFonts w:hint="eastAsia" w:ascii="黑体" w:hAnsi="黑体" w:eastAsia="黑体"/>
          <w:color w:val="000000"/>
          <w:sz w:val="44"/>
          <w:szCs w:val="44"/>
        </w:rPr>
      </w:pPr>
    </w:p>
    <w:p w14:paraId="0CD1CF90">
      <w:pPr>
        <w:spacing w:line="600" w:lineRule="exact"/>
        <w:jc w:val="both"/>
        <w:outlineLvl w:val="9"/>
        <w:rPr>
          <w:rFonts w:hint="eastAsia" w:ascii="黑体" w:hAnsi="黑体" w:eastAsia="黑体"/>
          <w:color w:val="000000"/>
          <w:sz w:val="44"/>
          <w:szCs w:val="44"/>
        </w:rPr>
      </w:pPr>
    </w:p>
    <w:p w14:paraId="5446B7E5">
      <w:pPr>
        <w:spacing w:line="600" w:lineRule="exact"/>
        <w:jc w:val="both"/>
        <w:outlineLvl w:val="9"/>
        <w:rPr>
          <w:rFonts w:hint="eastAsia" w:ascii="黑体" w:hAnsi="黑体" w:eastAsia="黑体"/>
          <w:color w:val="000000"/>
          <w:sz w:val="44"/>
          <w:szCs w:val="44"/>
        </w:rPr>
      </w:pPr>
    </w:p>
    <w:p w14:paraId="41897755">
      <w:pPr>
        <w:spacing w:line="600" w:lineRule="exact"/>
        <w:jc w:val="both"/>
        <w:outlineLvl w:val="9"/>
        <w:rPr>
          <w:rFonts w:hint="eastAsia" w:ascii="黑体" w:hAnsi="黑体" w:eastAsia="黑体"/>
          <w:color w:val="000000"/>
          <w:sz w:val="44"/>
          <w:szCs w:val="44"/>
        </w:rPr>
      </w:pPr>
    </w:p>
    <w:p w14:paraId="12AA699D">
      <w:pPr>
        <w:spacing w:line="600" w:lineRule="exact"/>
        <w:jc w:val="both"/>
        <w:outlineLvl w:val="9"/>
        <w:rPr>
          <w:rFonts w:hint="eastAsia" w:ascii="黑体" w:hAnsi="黑体" w:eastAsia="黑体"/>
          <w:color w:val="000000"/>
          <w:sz w:val="44"/>
          <w:szCs w:val="44"/>
        </w:rPr>
      </w:pPr>
    </w:p>
    <w:p w14:paraId="39A391AC">
      <w:pPr>
        <w:spacing w:line="600" w:lineRule="exact"/>
        <w:jc w:val="both"/>
        <w:outlineLvl w:val="9"/>
        <w:rPr>
          <w:rFonts w:hint="eastAsia" w:ascii="黑体" w:hAnsi="黑体" w:eastAsia="黑体"/>
          <w:color w:val="000000"/>
          <w:sz w:val="44"/>
          <w:szCs w:val="44"/>
        </w:rPr>
      </w:pPr>
    </w:p>
    <w:p w14:paraId="6B8AD064">
      <w:pPr>
        <w:spacing w:line="600" w:lineRule="exact"/>
        <w:jc w:val="both"/>
        <w:outlineLvl w:val="9"/>
        <w:rPr>
          <w:rFonts w:hint="eastAsia" w:ascii="黑体" w:hAnsi="黑体" w:eastAsia="黑体"/>
          <w:color w:val="000000"/>
          <w:sz w:val="44"/>
          <w:szCs w:val="44"/>
        </w:rPr>
      </w:pPr>
    </w:p>
    <w:p w14:paraId="32A441C0">
      <w:pPr>
        <w:spacing w:line="600" w:lineRule="exact"/>
        <w:jc w:val="both"/>
        <w:outlineLvl w:val="9"/>
        <w:rPr>
          <w:rFonts w:hint="eastAsia" w:ascii="黑体" w:hAnsi="黑体" w:eastAsia="黑体"/>
          <w:color w:val="000000"/>
          <w:sz w:val="44"/>
          <w:szCs w:val="44"/>
        </w:rPr>
      </w:pPr>
    </w:p>
    <w:p w14:paraId="5828EE9E">
      <w:pPr>
        <w:spacing w:line="600" w:lineRule="exact"/>
        <w:jc w:val="both"/>
        <w:outlineLvl w:val="9"/>
        <w:rPr>
          <w:rFonts w:hint="eastAsia" w:ascii="黑体" w:hAnsi="黑体" w:eastAsia="黑体"/>
          <w:color w:val="000000"/>
          <w:sz w:val="44"/>
          <w:szCs w:val="44"/>
        </w:rPr>
      </w:pPr>
    </w:p>
    <w:p w14:paraId="47E1ED1A">
      <w:pPr>
        <w:spacing w:line="600" w:lineRule="exact"/>
        <w:jc w:val="both"/>
        <w:outlineLvl w:val="9"/>
        <w:rPr>
          <w:rFonts w:hint="eastAsia" w:ascii="黑体" w:hAnsi="黑体" w:eastAsia="黑体"/>
          <w:color w:val="000000"/>
          <w:sz w:val="44"/>
          <w:szCs w:val="44"/>
        </w:rPr>
      </w:pPr>
    </w:p>
    <w:p w14:paraId="1689A704">
      <w:pPr>
        <w:spacing w:line="600" w:lineRule="exact"/>
        <w:jc w:val="both"/>
        <w:outlineLvl w:val="9"/>
        <w:rPr>
          <w:rFonts w:hint="eastAsia" w:ascii="黑体" w:hAnsi="黑体" w:eastAsia="黑体"/>
          <w:color w:val="000000"/>
          <w:sz w:val="44"/>
          <w:szCs w:val="44"/>
        </w:rPr>
      </w:pPr>
    </w:p>
    <w:p w14:paraId="5C3F4137">
      <w:pPr>
        <w:spacing w:line="600" w:lineRule="exact"/>
        <w:jc w:val="center"/>
        <w:outlineLvl w:val="0"/>
        <w:rPr>
          <w:rStyle w:val="33"/>
          <w:rFonts w:ascii="黑体" w:hAnsi="黑体" w:eastAsia="黑体"/>
          <w:b w:val="0"/>
        </w:rPr>
      </w:pPr>
      <w:bookmarkStart w:id="90" w:name="_Toc13406"/>
      <w:r>
        <w:rPr>
          <w:rFonts w:hint="eastAsia" w:ascii="黑体" w:hAnsi="黑体" w:eastAsia="黑体"/>
          <w:color w:val="000000"/>
          <w:sz w:val="44"/>
          <w:szCs w:val="44"/>
        </w:rPr>
        <w:t>第</w:t>
      </w:r>
      <w:r>
        <w:rPr>
          <w:rStyle w:val="33"/>
          <w:rFonts w:hint="eastAsia" w:ascii="黑体" w:hAnsi="黑体" w:eastAsia="黑体"/>
          <w:b w:val="0"/>
        </w:rPr>
        <w:t>五部分 附表</w:t>
      </w:r>
      <w:bookmarkEnd w:id="90"/>
    </w:p>
    <w:p w14:paraId="78255251">
      <w:pPr>
        <w:pStyle w:val="3"/>
        <w:numPr>
          <w:ilvl w:val="0"/>
          <w:numId w:val="12"/>
        </w:numPr>
        <w:rPr>
          <w:rFonts w:hint="eastAsia" w:ascii="仿宋" w:hAnsi="仿宋" w:eastAsia="仿宋"/>
          <w:b w:val="0"/>
          <w:color w:val="000000"/>
        </w:rPr>
      </w:pPr>
      <w:bookmarkStart w:id="91" w:name="_Toc30426"/>
      <w:r>
        <w:rPr>
          <w:rFonts w:hint="eastAsia" w:ascii="仿宋" w:hAnsi="仿宋" w:eastAsia="仿宋"/>
          <w:b w:val="0"/>
          <w:color w:val="000000"/>
        </w:rPr>
        <w:t>收入支出决算总表</w:t>
      </w:r>
      <w:bookmarkEnd w:id="91"/>
    </w:p>
    <w:p w14:paraId="55561CCB">
      <w:pPr>
        <w:pStyle w:val="3"/>
        <w:numPr>
          <w:ilvl w:val="0"/>
          <w:numId w:val="0"/>
        </w:numPr>
        <w:rPr>
          <w:rFonts w:ascii="仿宋" w:hAnsi="仿宋" w:eastAsia="仿宋"/>
          <w:color w:val="000000"/>
        </w:rPr>
      </w:pPr>
      <w:bookmarkStart w:id="92" w:name="_Toc30062"/>
      <w:r>
        <w:rPr>
          <w:rFonts w:hint="eastAsia" w:ascii="仿宋" w:hAnsi="仿宋" w:eastAsia="仿宋"/>
          <w:b w:val="0"/>
          <w:color w:val="000000"/>
        </w:rPr>
        <w:t>二、收</w:t>
      </w:r>
      <w:r>
        <w:rPr>
          <w:rStyle w:val="31"/>
          <w:rFonts w:hint="eastAsia" w:ascii="仿宋" w:hAnsi="仿宋" w:eastAsia="仿宋"/>
          <w:b w:val="0"/>
          <w:bCs w:val="0"/>
        </w:rPr>
        <w:t>入总表</w:t>
      </w:r>
      <w:bookmarkEnd w:id="92"/>
    </w:p>
    <w:p w14:paraId="596F1243">
      <w:pPr>
        <w:pStyle w:val="3"/>
        <w:rPr>
          <w:rFonts w:ascii="仿宋" w:hAnsi="仿宋" w:eastAsia="仿宋"/>
          <w:color w:val="000000"/>
        </w:rPr>
      </w:pPr>
      <w:bookmarkStart w:id="93" w:name="_Toc30348"/>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出总表</w:t>
      </w:r>
      <w:bookmarkEnd w:id="93"/>
    </w:p>
    <w:p w14:paraId="7DA872C4">
      <w:pPr>
        <w:pStyle w:val="3"/>
        <w:rPr>
          <w:rFonts w:ascii="仿宋" w:hAnsi="仿宋" w:eastAsia="仿宋"/>
          <w:b w:val="0"/>
          <w:color w:val="000000"/>
        </w:rPr>
      </w:pPr>
      <w:bookmarkStart w:id="94" w:name="_Toc20434"/>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94"/>
    </w:p>
    <w:p w14:paraId="7F09A549">
      <w:pPr>
        <w:pStyle w:val="3"/>
        <w:rPr>
          <w:rFonts w:ascii="仿宋" w:hAnsi="仿宋" w:eastAsia="仿宋"/>
          <w:color w:val="000000"/>
        </w:rPr>
      </w:pPr>
      <w:bookmarkStart w:id="95" w:name="_Toc29842"/>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政拨款支出决算明细表（政府经济分类科目）</w:t>
      </w:r>
      <w:bookmarkEnd w:id="95"/>
    </w:p>
    <w:p w14:paraId="372CE11F">
      <w:pPr>
        <w:pStyle w:val="3"/>
        <w:rPr>
          <w:rFonts w:ascii="仿宋" w:hAnsi="仿宋" w:eastAsia="仿宋"/>
          <w:color w:val="000000"/>
        </w:rPr>
      </w:pPr>
      <w:bookmarkStart w:id="96" w:name="_Toc24903"/>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96"/>
    </w:p>
    <w:p w14:paraId="77E3CC4D">
      <w:pPr>
        <w:pStyle w:val="3"/>
        <w:rPr>
          <w:rFonts w:ascii="仿宋" w:hAnsi="仿宋" w:eastAsia="仿宋"/>
          <w:color w:val="000000"/>
        </w:rPr>
      </w:pPr>
      <w:bookmarkStart w:id="97" w:name="_Toc1080"/>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97"/>
    </w:p>
    <w:p w14:paraId="19ADC1E9">
      <w:pPr>
        <w:pStyle w:val="3"/>
        <w:rPr>
          <w:rFonts w:ascii="仿宋" w:hAnsi="仿宋" w:eastAsia="仿宋"/>
          <w:color w:val="000000"/>
        </w:rPr>
      </w:pPr>
      <w:bookmarkStart w:id="98" w:name="_Toc12904"/>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98"/>
    </w:p>
    <w:p w14:paraId="0E286435">
      <w:pPr>
        <w:pStyle w:val="3"/>
        <w:rPr>
          <w:rFonts w:ascii="仿宋" w:hAnsi="仿宋" w:eastAsia="仿宋"/>
          <w:color w:val="000000"/>
        </w:rPr>
      </w:pPr>
      <w:bookmarkStart w:id="99" w:name="_Toc11326"/>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99"/>
    </w:p>
    <w:p w14:paraId="2150F50B">
      <w:pPr>
        <w:pStyle w:val="3"/>
        <w:rPr>
          <w:rFonts w:ascii="仿宋" w:hAnsi="仿宋" w:eastAsia="仿宋"/>
          <w:color w:val="000000"/>
        </w:rPr>
      </w:pPr>
      <w:bookmarkStart w:id="100" w:name="_Toc5436"/>
      <w:r>
        <w:rPr>
          <w:rStyle w:val="31"/>
          <w:rFonts w:hint="eastAsia" w:ascii="仿宋" w:hAnsi="仿宋" w:eastAsia="仿宋"/>
          <w:b w:val="0"/>
          <w:bCs w:val="0"/>
        </w:rPr>
        <w:t>十、</w:t>
      </w:r>
      <w:r>
        <w:rPr>
          <w:rFonts w:hint="eastAsia" w:ascii="仿宋" w:hAnsi="仿宋" w:eastAsia="仿宋"/>
          <w:b w:val="0"/>
          <w:color w:val="000000"/>
        </w:rPr>
        <w:t>一</w:t>
      </w:r>
      <w:r>
        <w:rPr>
          <w:rStyle w:val="31"/>
          <w:rFonts w:hint="eastAsia" w:ascii="仿宋" w:hAnsi="仿宋" w:eastAsia="仿宋"/>
          <w:b w:val="0"/>
          <w:bCs w:val="0"/>
        </w:rPr>
        <w:t>般公共预算财政拨款“三公”经费支出决算表</w:t>
      </w:r>
      <w:bookmarkEnd w:id="100"/>
    </w:p>
    <w:p w14:paraId="42E5E57D">
      <w:pPr>
        <w:pStyle w:val="3"/>
        <w:rPr>
          <w:rFonts w:ascii="仿宋" w:hAnsi="仿宋" w:eastAsia="仿宋"/>
          <w:color w:val="000000"/>
        </w:rPr>
      </w:pPr>
      <w:bookmarkStart w:id="101" w:name="_Toc27570"/>
      <w:r>
        <w:rPr>
          <w:rStyle w:val="31"/>
          <w:rFonts w:hint="eastAsia" w:ascii="仿宋" w:hAnsi="仿宋" w:eastAsia="仿宋"/>
          <w:b w:val="0"/>
          <w:bCs w:val="0"/>
        </w:rPr>
        <w:t>十一、</w:t>
      </w:r>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101"/>
    </w:p>
    <w:p w14:paraId="123936FB">
      <w:pPr>
        <w:pStyle w:val="3"/>
        <w:rPr>
          <w:rFonts w:ascii="仿宋" w:hAnsi="仿宋" w:eastAsia="仿宋"/>
          <w:color w:val="000000"/>
        </w:rPr>
      </w:pPr>
      <w:bookmarkStart w:id="102" w:name="_Toc13620"/>
      <w:r>
        <w:rPr>
          <w:rStyle w:val="31"/>
          <w:rFonts w:hint="eastAsia" w:ascii="仿宋" w:hAnsi="仿宋" w:eastAsia="仿宋"/>
          <w:b w:val="0"/>
          <w:bCs w:val="0"/>
        </w:rPr>
        <w:t>十二、</w:t>
      </w:r>
      <w:r>
        <w:rPr>
          <w:rFonts w:hint="eastAsia" w:ascii="仿宋" w:hAnsi="仿宋" w:eastAsia="仿宋"/>
          <w:b w:val="0"/>
          <w:color w:val="000000"/>
        </w:rPr>
        <w:t>政</w:t>
      </w:r>
      <w:r>
        <w:rPr>
          <w:rStyle w:val="31"/>
          <w:rFonts w:hint="eastAsia" w:ascii="仿宋" w:hAnsi="仿宋" w:eastAsia="仿宋"/>
          <w:b w:val="0"/>
          <w:bCs w:val="0"/>
        </w:rPr>
        <w:t>府性基金预算财政拨款“三公”经费支出决算表</w:t>
      </w:r>
      <w:bookmarkEnd w:id="102"/>
    </w:p>
    <w:p w14:paraId="56094856">
      <w:pPr>
        <w:pStyle w:val="3"/>
        <w:rPr>
          <w:rFonts w:ascii="仿宋" w:hAnsi="仿宋" w:eastAsia="仿宋"/>
          <w:color w:val="000000" w:themeColor="text1"/>
          <w14:textFill>
            <w14:solidFill>
              <w14:schemeClr w14:val="tx1"/>
            </w14:solidFill>
          </w14:textFill>
        </w:rPr>
      </w:pPr>
      <w:bookmarkStart w:id="103" w:name="_Toc11887"/>
      <w:r>
        <w:rPr>
          <w:rStyle w:val="31"/>
          <w:rFonts w:hint="eastAsia" w:ascii="仿宋" w:hAnsi="仿宋" w:eastAsia="仿宋"/>
          <w:b w:val="0"/>
          <w:bCs w:val="0"/>
        </w:rPr>
        <w:t>十三、</w:t>
      </w:r>
      <w:r>
        <w:rPr>
          <w:rFonts w:hint="eastAsia" w:ascii="仿宋" w:hAnsi="仿宋" w:eastAsia="仿宋"/>
          <w:b w:val="0"/>
          <w:color w:val="000000"/>
        </w:rPr>
        <w:t>国</w:t>
      </w:r>
      <w:r>
        <w:rPr>
          <w:rStyle w:val="31"/>
          <w:rFonts w:hint="eastAsia" w:ascii="仿宋" w:hAnsi="仿宋" w:eastAsia="仿宋"/>
          <w:b w:val="0"/>
          <w:bCs w:val="0"/>
        </w:rPr>
        <w:t>有资本经营预算支出决算表</w:t>
      </w:r>
      <w:bookmarkEnd w:id="103"/>
    </w:p>
    <w:p w14:paraId="17D41CA9">
      <w:pPr>
        <w:spacing w:line="600" w:lineRule="exact"/>
        <w:jc w:val="center"/>
        <w:outlineLvl w:val="9"/>
        <w:rPr>
          <w:rFonts w:ascii="仿宋" w:hAnsi="仿宋" w:eastAsia="仿宋"/>
          <w:b/>
          <w:color w:val="000000"/>
          <w:sz w:val="44"/>
          <w:szCs w:val="44"/>
        </w:rPr>
      </w:pPr>
    </w:p>
    <w:bookmarkEnd w:id="81"/>
    <w:p w14:paraId="554C5EE9">
      <w:pPr>
        <w:pStyle w:val="3"/>
        <w:outlineLvl w:val="9"/>
        <w:rPr>
          <w:rFonts w:ascii="仿宋" w:hAnsi="仿宋" w:eastAsia="仿宋"/>
          <w:color w:val="000000" w:themeColor="text1"/>
          <w14:textFill>
            <w14:solidFill>
              <w14:schemeClr w14:val="tx1"/>
            </w14:solidFill>
          </w14:textFill>
        </w:rPr>
      </w:pPr>
    </w:p>
    <w:sectPr>
      <w:footerReference r:id="rId10" w:type="first"/>
      <w:headerReference r:id="rId8" w:type="default"/>
      <w:footerReference r:id="rId9" w:type="default"/>
      <w:pgSz w:w="11906" w:h="16838"/>
      <w:pgMar w:top="1440" w:right="1800" w:bottom="1440" w:left="1800" w:header="851" w:footer="992" w:gutter="0"/>
      <w:pgNumType w:fmt="decimal" w:start="1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E94957-B52B-43A3-A611-64AE69E0AFB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F75D07C-41B8-4B33-A061-7AD8EC087818}"/>
  </w:font>
  <w:font w:name="Cambria">
    <w:panose1 w:val="02040503050406030204"/>
    <w:charset w:val="00"/>
    <w:family w:val="roman"/>
    <w:pitch w:val="default"/>
    <w:sig w:usb0="E00002FF" w:usb1="400004FF" w:usb2="00000000" w:usb3="00000000" w:csb0="2000019F" w:csb1="00000000"/>
    <w:embedRegular r:id="rId3" w:fontKey="{C2B2E513-CF58-41BD-A2BE-12EBBD664EEC}"/>
  </w:font>
  <w:font w:name="仿宋_GB2312">
    <w:panose1 w:val="02010609030101010101"/>
    <w:charset w:val="86"/>
    <w:family w:val="modern"/>
    <w:pitch w:val="default"/>
    <w:sig w:usb0="00000001" w:usb1="080E0000" w:usb2="00000000" w:usb3="00000000" w:csb0="00040000" w:csb1="00000000"/>
    <w:embedRegular r:id="rId4" w:fontKey="{6B040203-4E5B-4172-B757-FDAEC6BB1DF7}"/>
  </w:font>
  <w:font w:name="仿宋">
    <w:panose1 w:val="02010609060101010101"/>
    <w:charset w:val="86"/>
    <w:family w:val="modern"/>
    <w:pitch w:val="default"/>
    <w:sig w:usb0="800002BF" w:usb1="38CF7CFA" w:usb2="00000016" w:usb3="00000000" w:csb0="00040001" w:csb1="00000000"/>
    <w:embedRegular r:id="rId5" w:fontKey="{BA463917-84C9-423A-BCCC-E934AB9B4C1D}"/>
  </w:font>
  <w:font w:name="方正小标宋简体">
    <w:panose1 w:val="03000509000000000000"/>
    <w:charset w:val="86"/>
    <w:family w:val="script"/>
    <w:pitch w:val="default"/>
    <w:sig w:usb0="00000001" w:usb1="080E0000" w:usb2="00000000" w:usb3="00000000" w:csb0="00040000" w:csb1="00000000"/>
    <w:embedRegular r:id="rId6" w:fontKey="{8A79ED5A-CD6E-4069-AE23-346D8137A4FE}"/>
  </w:font>
  <w:font w:name="楷体">
    <w:panose1 w:val="02010609060101010101"/>
    <w:charset w:val="86"/>
    <w:family w:val="auto"/>
    <w:pitch w:val="default"/>
    <w:sig w:usb0="800002BF" w:usb1="38CF7CFA" w:usb2="00000016" w:usb3="00000000" w:csb0="00040001" w:csb1="00000000"/>
    <w:embedRegular r:id="rId7" w:fontKey="{576E493C-0A40-4DE6-85A3-67ED9D4C1A11}"/>
  </w:font>
  <w:font w:name="楷体_GB2312">
    <w:panose1 w:val="02010609030101010101"/>
    <w:charset w:val="86"/>
    <w:family w:val="modern"/>
    <w:pitch w:val="default"/>
    <w:sig w:usb0="00000001" w:usb1="080E0000" w:usb2="00000000" w:usb3="00000000" w:csb0="00040000" w:csb1="00000000"/>
    <w:embedRegular r:id="rId8" w:fontKey="{4186B961-A13B-4FE6-AB69-F9271C28BE6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A492E">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C2D75">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2DD3C">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582DD3C">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2156C">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709D">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9157A">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F19157A">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F46D2">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82FDF">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D682FDF">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4C35A">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14:paraId="1DF7B3E5">
                              <w:pPr>
                                <w:pStyle w:val="8"/>
                                <w:jc w:val="center"/>
                              </w:pPr>
                              <w:r>
                                <w:fldChar w:fldCharType="begin"/>
                              </w:r>
                              <w:r>
                                <w:instrText xml:space="preserve">PAGE   \* MERGEFORMAT</w:instrText>
                              </w:r>
                              <w:r>
                                <w:fldChar w:fldCharType="separate"/>
                              </w:r>
                              <w:r>
                                <w:rPr>
                                  <w:lang w:val="zh-CN"/>
                                </w:rPr>
                                <w:t>2</w:t>
                              </w:r>
                              <w:r>
                                <w:fldChar w:fldCharType="end"/>
                              </w:r>
                            </w:p>
                          </w:sdtContent>
                        </w:sdt>
                        <w:p w14:paraId="5154B13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14:paraId="1DF7B3E5">
                        <w:pPr>
                          <w:pStyle w:val="8"/>
                          <w:jc w:val="center"/>
                        </w:pPr>
                        <w:r>
                          <w:fldChar w:fldCharType="begin"/>
                        </w:r>
                        <w:r>
                          <w:instrText xml:space="preserve">PAGE   \* MERGEFORMAT</w:instrText>
                        </w:r>
                        <w:r>
                          <w:fldChar w:fldCharType="separate"/>
                        </w:r>
                        <w:r>
                          <w:rPr>
                            <w:lang w:val="zh-CN"/>
                          </w:rPr>
                          <w:t>2</w:t>
                        </w:r>
                        <w:r>
                          <w:fldChar w:fldCharType="end"/>
                        </w:r>
                      </w:p>
                    </w:sdtContent>
                  </w:sdt>
                  <w:p w14:paraId="5154B130"/>
                </w:txbxContent>
              </v:textbox>
            </v:shape>
          </w:pict>
        </mc:Fallback>
      </mc:AlternateContent>
    </w:r>
  </w:p>
  <w:p w14:paraId="2CF9A297">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7CB32">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5011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AD5011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01404">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6F83B"/>
    <w:multiLevelType w:val="singleLevel"/>
    <w:tmpl w:val="99A6F83B"/>
    <w:lvl w:ilvl="0" w:tentative="0">
      <w:start w:val="1"/>
      <w:numFmt w:val="decimal"/>
      <w:suff w:val="nothing"/>
      <w:lvlText w:val="%1、"/>
      <w:lvlJc w:val="left"/>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09FC8B8"/>
    <w:multiLevelType w:val="singleLevel"/>
    <w:tmpl w:val="E09FC8B8"/>
    <w:lvl w:ilvl="0" w:tentative="0">
      <w:start w:val="2"/>
      <w:numFmt w:val="decimal"/>
      <w:suff w:val="nothing"/>
      <w:lvlText w:val="%1、"/>
      <w:lvlJc w:val="left"/>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841C79E"/>
    <w:multiLevelType w:val="singleLevel"/>
    <w:tmpl w:val="E841C79E"/>
    <w:lvl w:ilvl="0" w:tentative="0">
      <w:start w:val="1"/>
      <w:numFmt w:val="decimal"/>
      <w:lvlText w:val="%1."/>
      <w:lvlJc w:val="left"/>
      <w:pPr>
        <w:tabs>
          <w:tab w:val="left" w:pos="312"/>
        </w:tabs>
      </w:pPr>
    </w:lvl>
  </w:abstractNum>
  <w:abstractNum w:abstractNumId="6">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62A9803"/>
    <w:multiLevelType w:val="singleLevel"/>
    <w:tmpl w:val="162A9803"/>
    <w:lvl w:ilvl="0" w:tentative="0">
      <w:start w:val="2"/>
      <w:numFmt w:val="chineseCounting"/>
      <w:suff w:val="nothing"/>
      <w:lvlText w:val="（%1）"/>
      <w:lvlJc w:val="left"/>
      <w:rPr>
        <w:rFonts w:hint="eastAsia"/>
      </w:rPr>
    </w:lvl>
  </w:abstractNum>
  <w:abstractNum w:abstractNumId="9">
    <w:nsid w:val="1BC8B668"/>
    <w:multiLevelType w:val="singleLevel"/>
    <w:tmpl w:val="1BC8B668"/>
    <w:lvl w:ilvl="0" w:tentative="0">
      <w:start w:val="2"/>
      <w:numFmt w:val="chineseCounting"/>
      <w:suff w:val="nothing"/>
      <w:lvlText w:val="%1、"/>
      <w:lvlJc w:val="left"/>
      <w:rPr>
        <w:rFonts w:hint="eastAsia"/>
      </w:rPr>
    </w:lvl>
  </w:abstractNum>
  <w:abstractNum w:abstractNumId="10">
    <w:nsid w:val="567B2A2F"/>
    <w:multiLevelType w:val="singleLevel"/>
    <w:tmpl w:val="567B2A2F"/>
    <w:lvl w:ilvl="0" w:tentative="0">
      <w:start w:val="2"/>
      <w:numFmt w:val="chineseCounting"/>
      <w:suff w:val="nothing"/>
      <w:lvlText w:val="（%1）"/>
      <w:lvlJc w:val="left"/>
      <w:rPr>
        <w:rFonts w:hint="eastAsia"/>
      </w:rPr>
    </w:lvl>
  </w:abstractNum>
  <w:abstractNum w:abstractNumId="11">
    <w:nsid w:val="5D5382B5"/>
    <w:multiLevelType w:val="singleLevel"/>
    <w:tmpl w:val="5D5382B5"/>
    <w:lvl w:ilvl="0" w:tentative="0">
      <w:start w:val="1"/>
      <w:numFmt w:val="chineseCounting"/>
      <w:suff w:val="nothing"/>
      <w:lvlText w:val="%1、"/>
      <w:lvlJc w:val="left"/>
    </w:lvl>
  </w:abstractNum>
  <w:num w:numId="1">
    <w:abstractNumId w:val="9"/>
  </w:num>
  <w:num w:numId="2">
    <w:abstractNumId w:val="7"/>
  </w:num>
  <w:num w:numId="3">
    <w:abstractNumId w:val="5"/>
  </w:num>
  <w:num w:numId="4">
    <w:abstractNumId w:val="2"/>
  </w:num>
  <w:num w:numId="5">
    <w:abstractNumId w:val="6"/>
  </w:num>
  <w:num w:numId="6">
    <w:abstractNumId w:val="1"/>
  </w:num>
  <w:num w:numId="7">
    <w:abstractNumId w:val="4"/>
  </w:num>
  <w:num w:numId="8">
    <w:abstractNumId w:val="10"/>
  </w:num>
  <w:num w:numId="9">
    <w:abstractNumId w:val="8"/>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xMDFhMjMzN2JlMDU0ODlhZjBlNjVlN2NiOGM3OW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F0A03"/>
    <w:rsid w:val="03710905"/>
    <w:rsid w:val="06777817"/>
    <w:rsid w:val="068A0F69"/>
    <w:rsid w:val="0851651B"/>
    <w:rsid w:val="0A2C271E"/>
    <w:rsid w:val="0AFA70FC"/>
    <w:rsid w:val="0B2903C7"/>
    <w:rsid w:val="0DA834E3"/>
    <w:rsid w:val="0FDB3687"/>
    <w:rsid w:val="102A1420"/>
    <w:rsid w:val="10730F12"/>
    <w:rsid w:val="10C055FF"/>
    <w:rsid w:val="11455594"/>
    <w:rsid w:val="159E2CD7"/>
    <w:rsid w:val="16BB723D"/>
    <w:rsid w:val="18B0542D"/>
    <w:rsid w:val="19827D42"/>
    <w:rsid w:val="1A591B06"/>
    <w:rsid w:val="1C232A2C"/>
    <w:rsid w:val="1C702F60"/>
    <w:rsid w:val="1D401601"/>
    <w:rsid w:val="224E366E"/>
    <w:rsid w:val="234F0893"/>
    <w:rsid w:val="240371BF"/>
    <w:rsid w:val="24943691"/>
    <w:rsid w:val="24B245CB"/>
    <w:rsid w:val="25D339BC"/>
    <w:rsid w:val="269676FB"/>
    <w:rsid w:val="27E603D8"/>
    <w:rsid w:val="288E7BE6"/>
    <w:rsid w:val="290001F8"/>
    <w:rsid w:val="29CD1F5E"/>
    <w:rsid w:val="29FD04D3"/>
    <w:rsid w:val="2A3A138D"/>
    <w:rsid w:val="2D4C307B"/>
    <w:rsid w:val="319F7F4E"/>
    <w:rsid w:val="35986925"/>
    <w:rsid w:val="37310543"/>
    <w:rsid w:val="37436641"/>
    <w:rsid w:val="380044EB"/>
    <w:rsid w:val="39B973B6"/>
    <w:rsid w:val="3AD55465"/>
    <w:rsid w:val="3B0F4CEB"/>
    <w:rsid w:val="3DA95D59"/>
    <w:rsid w:val="3E460826"/>
    <w:rsid w:val="3E7F73DF"/>
    <w:rsid w:val="3F844718"/>
    <w:rsid w:val="4B1931D8"/>
    <w:rsid w:val="4B52572D"/>
    <w:rsid w:val="4C2F5626"/>
    <w:rsid w:val="4E574386"/>
    <w:rsid w:val="4ECE2238"/>
    <w:rsid w:val="4FFE7C6B"/>
    <w:rsid w:val="508A7621"/>
    <w:rsid w:val="50B8751F"/>
    <w:rsid w:val="53106BF4"/>
    <w:rsid w:val="55487D0C"/>
    <w:rsid w:val="55EE2EA8"/>
    <w:rsid w:val="57A70DE1"/>
    <w:rsid w:val="582A52A9"/>
    <w:rsid w:val="591A1A31"/>
    <w:rsid w:val="5ADA488F"/>
    <w:rsid w:val="5D85631B"/>
    <w:rsid w:val="5E7B0F03"/>
    <w:rsid w:val="60C2740B"/>
    <w:rsid w:val="62382388"/>
    <w:rsid w:val="65E10333"/>
    <w:rsid w:val="663C1BFC"/>
    <w:rsid w:val="69CF085E"/>
    <w:rsid w:val="6AA768B7"/>
    <w:rsid w:val="6AC30496"/>
    <w:rsid w:val="6BA27F27"/>
    <w:rsid w:val="6BCA03CC"/>
    <w:rsid w:val="6C8776AC"/>
    <w:rsid w:val="6CF016CE"/>
    <w:rsid w:val="70171DD9"/>
    <w:rsid w:val="71E36E7E"/>
    <w:rsid w:val="7266265E"/>
    <w:rsid w:val="72734D90"/>
    <w:rsid w:val="7336237F"/>
    <w:rsid w:val="74166B1E"/>
    <w:rsid w:val="74CF38F3"/>
    <w:rsid w:val="77D65B67"/>
    <w:rsid w:val="797E6468"/>
    <w:rsid w:val="7A757BA3"/>
    <w:rsid w:val="7C2760C6"/>
    <w:rsid w:val="7CB60F22"/>
    <w:rsid w:val="7DA35E71"/>
    <w:rsid w:val="7E805ACC"/>
    <w:rsid w:val="7F5B2A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32">
    <w:name w:val="p0"/>
    <w:basedOn w:val="1"/>
    <w:qFormat/>
    <w:uiPriority w:val="0"/>
    <w:pPr>
      <w:widowControl/>
      <w:spacing w:before="100" w:beforeAutospacing="1" w:after="100" w:afterAutospacing="1"/>
      <w:jc w:val="left"/>
    </w:pPr>
    <w:rPr>
      <w:rFonts w:ascii="宋体" w:cs="宋体"/>
      <w:kern w:val="0"/>
      <w:sz w:val="24"/>
      <w:szCs w:val="24"/>
      <w:lang w:bidi="ar-SA"/>
    </w:rPr>
  </w:style>
  <w:style w:type="character" w:customStyle="1" w:styleId="33">
    <w:name w:val="标题 1 Char"/>
    <w:basedOn w:val="14"/>
    <w:link w:val="2"/>
    <w:qFormat/>
    <w:uiPriority w:val="9"/>
    <w:rPr>
      <w:rFonts w:ascii="Times New Roman" w:hAnsi="Times New Roman"/>
      <w:b/>
      <w:bCs/>
      <w:kern w:val="44"/>
      <w:sz w:val="44"/>
      <w:szCs w:val="44"/>
    </w:rPr>
  </w:style>
  <w:style w:type="paragraph" w:customStyle="1" w:styleId="34">
    <w:name w:val="WPSOffice手动目录 1"/>
    <w:qFormat/>
    <w:uiPriority w:val="0"/>
    <w:pPr>
      <w:ind w:leftChars="0"/>
    </w:pPr>
    <w:rPr>
      <w:rFonts w:ascii="Calibri" w:hAnsi="Calibri" w:eastAsia="宋体" w:cs="Times New Roman"/>
      <w:sz w:val="20"/>
      <w:szCs w:val="20"/>
    </w:rPr>
  </w:style>
  <w:style w:type="paragraph" w:customStyle="1" w:styleId="35">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25"/>
          <c:y val="0.0231666666666667"/>
          <c:w val="0.905175"/>
          <c:h val="0.86773333333333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2024年度</c:v>
                </c:pt>
                <c:pt idx="1">
                  <c:v>2023年度</c:v>
                </c:pt>
              </c:strCache>
            </c:strRef>
          </c:cat>
          <c:val>
            <c:numRef>
              <c:f>Sheet1!$B$2:$B$5</c:f>
              <c:numCache>
                <c:formatCode>General</c:formatCode>
                <c:ptCount val="4"/>
                <c:pt idx="0">
                  <c:v>326.25</c:v>
                </c:pt>
                <c:pt idx="1">
                  <c:v>295.13</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2024年度</c:v>
                </c:pt>
                <c:pt idx="1">
                  <c:v>2023年度</c:v>
                </c:pt>
              </c:strCache>
            </c:strRef>
          </c:cat>
          <c:val>
            <c:numRef>
              <c:f>Sheet1!$C$2:$C$5</c:f>
              <c:numCache>
                <c:formatCode>General</c:formatCode>
                <c:ptCount val="4"/>
                <c:pt idx="0">
                  <c:v>326.25</c:v>
                </c:pt>
                <c:pt idx="1">
                  <c:v>295.13</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2024年度</c:v>
                </c:pt>
                <c:pt idx="1">
                  <c:v>2023年度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9016371-51cf-4f63-a4f0-816d5de84a9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2024年总收入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326.25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0125"/>
          <c:y val="0.756666666666667"/>
          <c:w val="0.696125"/>
          <c:h val="0.236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509629b-2cab-42c1-9c8c-ecb92c8f895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2023</a:t>
            </a:r>
            <a:r>
              <a:rPr altLang="en-US"/>
              <a:t>总支出</a:t>
            </a:r>
            <a:endParaRPr altLang="en-US"/>
          </a:p>
        </c:rich>
      </c:tx>
      <c:layout/>
      <c:overlay val="0"/>
      <c:spPr>
        <a:noFill/>
        <a:ln>
          <a:noFill/>
        </a:ln>
        <a:effectLst/>
      </c:spPr>
    </c:title>
    <c:autoTitleDeleted val="0"/>
    <c:plotArea>
      <c:layout/>
      <c:pieChart>
        <c:varyColors val="1"/>
        <c:ser>
          <c:idx val="0"/>
          <c:order val="0"/>
          <c:tx>
            <c:strRef>
              <c:f>Sheet1!$B$1</c:f>
              <c:strCache>
                <c:ptCount val="1"/>
                <c:pt idx="0">
                  <c:v>2024总支出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经营支出</c:v>
                </c:pt>
                <c:pt idx="3">
                  <c:v>上缴上级支出</c:v>
                </c:pt>
                <c:pt idx="4">
                  <c:v>对附属单位补助支出</c:v>
                </c:pt>
              </c:strCache>
            </c:strRef>
          </c:cat>
          <c:val>
            <c:numRef>
              <c:f>Sheet1!$B$2:$B$6</c:f>
              <c:numCache>
                <c:formatCode>General</c:formatCode>
                <c:ptCount val="5"/>
                <c:pt idx="0">
                  <c:v>226.11</c:v>
                </c:pt>
                <c:pt idx="1">
                  <c:v>100.14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1"/>
          <c:y val="0.9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f6f55ed-6bbf-482e-9eeb-dd53c3b5a0b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25"/>
          <c:y val="0.0231666666666667"/>
          <c:w val="0.905175"/>
          <c:h val="0.86773333333333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2024年度</c:v>
                </c:pt>
              </c:strCache>
            </c:strRef>
          </c:cat>
          <c:val>
            <c:numRef>
              <c:f>Sheet1!$B$2:$B$5</c:f>
              <c:numCache>
                <c:formatCode>General</c:formatCode>
                <c:ptCount val="4"/>
                <c:pt idx="0">
                  <c:v>295.13</c:v>
                </c:pt>
                <c:pt idx="1">
                  <c:v>326.25</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2024年度</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2023年度</c:v>
                </c:pt>
                <c:pt idx="1">
                  <c:v>2024年度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5f9ada1-5abe-450a-9818-eb0b0f401f0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295.13</c:v>
                </c:pt>
                <c:pt idx="1">
                  <c:v>326.25</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874489996"/>
        <c:axId val="251342259"/>
      </c:barChart>
      <c:catAx>
        <c:axId val="8744899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342259"/>
        <c:crosses val="autoZero"/>
        <c:auto val="1"/>
        <c:lblAlgn val="ctr"/>
        <c:lblOffset val="100"/>
        <c:noMultiLvlLbl val="0"/>
      </c:catAx>
      <c:valAx>
        <c:axId val="2513422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4489996"/>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39a6f03-406a-4d4f-a501-16b8ab07783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4</a:t>
            </a:r>
            <a:r>
              <a:t>财政拨款支出</a:t>
            </a:r>
          </a:p>
        </c:rich>
      </c:tx>
      <c:layout>
        <c:manualLayout>
          <c:xMode val="edge"/>
          <c:yMode val="edge"/>
          <c:x val="0.3525"/>
          <c:y val="0.0223333333333333"/>
        </c:manualLayout>
      </c:layout>
      <c:overlay val="0"/>
      <c:spPr>
        <a:noFill/>
        <a:ln>
          <a:noFill/>
        </a:ln>
        <a:effectLst/>
      </c:spPr>
    </c:title>
    <c:autoTitleDeleted val="0"/>
    <c:plotArea>
      <c:layout/>
      <c:pieChart>
        <c:varyColors val="1"/>
        <c:ser>
          <c:idx val="0"/>
          <c:order val="0"/>
          <c:tx>
            <c:strRef>
              <c:f>Sheet1!$B$1</c:f>
              <c:strCache>
                <c:ptCount val="1"/>
                <c:pt idx="0">
                  <c:v>2024支出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住房保障支出</c:v>
                </c:pt>
                <c:pt idx="1">
                  <c:v>卫生健康支出</c:v>
                </c:pt>
                <c:pt idx="2">
                  <c:v>粮油物资储备支出</c:v>
                </c:pt>
                <c:pt idx="3">
                  <c:v>社会保障和就业类支出</c:v>
                </c:pt>
              </c:strCache>
            </c:strRef>
          </c:cat>
          <c:val>
            <c:numRef>
              <c:f>Sheet1!$B$2:$B$5</c:f>
              <c:numCache>
                <c:formatCode>General</c:formatCode>
                <c:ptCount val="4"/>
                <c:pt idx="0">
                  <c:v>14.04</c:v>
                </c:pt>
                <c:pt idx="1">
                  <c:v>12.09</c:v>
                </c:pt>
                <c:pt idx="2">
                  <c:v>273.91</c:v>
                </c:pt>
                <c:pt idx="3">
                  <c:v>26.21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1125"/>
          <c:y val="0.921666666666667"/>
          <c:w val="0.925125"/>
          <c:h val="0.0683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35a90d0-69eb-420d-a535-575a591ed1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strCache>
            </c:strRef>
          </c:cat>
          <c:val>
            <c:numRef>
              <c:f>Sheet1!$B$2:$B$5</c:f>
              <c:numCache>
                <c:formatCode>General</c:formatCode>
                <c:ptCount val="4"/>
                <c:pt idx="0">
                  <c:v>2.6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34422b8-957d-488c-97e9-668c8d81c24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9463</Words>
  <Characters>10354</Characters>
  <Lines>61</Lines>
  <Paragraphs>17</Paragraphs>
  <TotalTime>68</TotalTime>
  <ScaleCrop>false</ScaleCrop>
  <LinksUpToDate>false</LinksUpToDate>
  <CharactersWithSpaces>10522</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XIE。</cp:lastModifiedBy>
  <cp:lastPrinted>2025-09-19T09:34:01Z</cp:lastPrinted>
  <dcterms:modified xsi:type="dcterms:W3CDTF">2025-09-19T09:36:04Z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6733E7F5F8E54EF7AC49D3E7DA52316C_13</vt:lpwstr>
  </property>
  <property fmtid="{D5CDD505-2E9C-101B-9397-08002B2CF9AE}" pid="4" name="KSOTemplateDocerSaveRecord">
    <vt:lpwstr>eyJoZGlkIjoiMDI1OTk5NjI5NGZkM2EwNjBlNjcyOTVlMWZlY2NkYmQiLCJ1c2VySWQiOiIyNzYxNzMxOTgifQ==</vt:lpwstr>
  </property>
</Properties>
</file>