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A3EDD">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红原县粮食和物资储备中心</w:t>
      </w:r>
    </w:p>
    <w:p w14:paraId="5B0D4849">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14:paraId="301E299E">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5D2AAE9A">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661CE0D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64C98668">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76AA0E35">
      <w:pPr>
        <w:spacing w:line="600" w:lineRule="exact"/>
        <w:ind w:firstLine="960" w:firstLineChars="3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贯彻执行国家粮食流通和储备粮管理的方针、政策和法律、法规，拟定全县粮食流通和储备管理的有关法规草案、规章制度和有关政策，组织执行；拟定全县粮食流通体制改革方案，并组织实施。</w:t>
      </w:r>
    </w:p>
    <w:p w14:paraId="48BFAC96">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2.</w:t>
      </w:r>
      <w:r>
        <w:rPr>
          <w:rFonts w:hint="eastAsia" w:ascii="仿宋" w:hAnsi="仿宋" w:eastAsia="仿宋" w:cs="仿宋"/>
          <w:sz w:val="32"/>
          <w:szCs w:val="32"/>
        </w:rPr>
        <w:t>研究提出全县粮食宏观调控、总量平衡以及粮食流通的中长期规划；研究提出收储、动用县级储备粮的建议，并组织实施；研究制定粮食流通产业政策和优化产</w:t>
      </w:r>
      <w:r>
        <w:rPr>
          <w:rFonts w:hint="eastAsia" w:ascii="仿宋" w:hAnsi="仿宋" w:eastAsia="仿宋" w:cs="仿宋"/>
          <w:sz w:val="32"/>
          <w:szCs w:val="32"/>
          <w:lang w:eastAsia="zh-CN"/>
        </w:rPr>
        <w:t>业</w:t>
      </w:r>
      <w:r>
        <w:rPr>
          <w:rFonts w:hint="eastAsia" w:ascii="仿宋" w:hAnsi="仿宋" w:eastAsia="仿宋" w:cs="仿宋"/>
          <w:sz w:val="32"/>
          <w:szCs w:val="32"/>
        </w:rPr>
        <w:t>结构、合理安排布局的措施；配合有关部门抓好商品粮油品种结构调整。</w:t>
      </w:r>
    </w:p>
    <w:p w14:paraId="0A4CC541">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3.</w:t>
      </w:r>
      <w:r>
        <w:rPr>
          <w:rFonts w:hint="eastAsia" w:ascii="仿宋" w:hAnsi="仿宋" w:eastAsia="仿宋" w:cs="仿宋"/>
          <w:sz w:val="32"/>
          <w:szCs w:val="32"/>
        </w:rPr>
        <w:t>负责县级储备粮管理，指导全县粮食储备体系建设；制定</w:t>
      </w:r>
      <w:r>
        <w:rPr>
          <w:rFonts w:hint="eastAsia" w:ascii="仿宋" w:hAnsi="仿宋" w:eastAsia="仿宋" w:cs="仿宋"/>
          <w:sz w:val="32"/>
          <w:szCs w:val="32"/>
          <w:lang w:eastAsia="zh-CN"/>
        </w:rPr>
        <w:t>全</w:t>
      </w:r>
      <w:r>
        <w:rPr>
          <w:rFonts w:hint="eastAsia" w:ascii="仿宋" w:hAnsi="仿宋" w:eastAsia="仿宋" w:cs="仿宋"/>
          <w:sz w:val="32"/>
          <w:szCs w:val="32"/>
        </w:rPr>
        <w:t>县储备粮管理的技术规范并监督执行；监督检查</w:t>
      </w:r>
      <w:r>
        <w:rPr>
          <w:rFonts w:hint="eastAsia" w:ascii="仿宋" w:hAnsi="仿宋" w:eastAsia="仿宋" w:cs="仿宋"/>
          <w:sz w:val="32"/>
          <w:szCs w:val="32"/>
          <w:lang w:eastAsia="zh-CN"/>
        </w:rPr>
        <w:t>全</w:t>
      </w:r>
      <w:r>
        <w:rPr>
          <w:rFonts w:hint="eastAsia" w:ascii="仿宋" w:hAnsi="仿宋" w:eastAsia="仿宋" w:cs="仿宋"/>
          <w:sz w:val="32"/>
          <w:szCs w:val="32"/>
        </w:rPr>
        <w:t>县储备粮库存数量、质量和安全；研究提出县级储备</w:t>
      </w:r>
      <w:r>
        <w:rPr>
          <w:rFonts w:hint="eastAsia" w:ascii="仿宋" w:hAnsi="仿宋" w:eastAsia="仿宋" w:cs="仿宋"/>
          <w:sz w:val="32"/>
          <w:szCs w:val="32"/>
          <w:lang w:eastAsia="zh-CN"/>
        </w:rPr>
        <w:t>粮</w:t>
      </w:r>
      <w:r>
        <w:rPr>
          <w:rFonts w:hint="eastAsia" w:ascii="仿宋" w:hAnsi="仿宋" w:eastAsia="仿宋" w:cs="仿宋"/>
          <w:sz w:val="32"/>
          <w:szCs w:val="32"/>
        </w:rPr>
        <w:t>的收购、转换、抛售计划，并组织实施；受理县级和州级储备粮油的管理工作。</w:t>
      </w:r>
    </w:p>
    <w:p w14:paraId="157178E5">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4.</w:t>
      </w:r>
      <w:r>
        <w:rPr>
          <w:rFonts w:hint="eastAsia" w:ascii="仿宋" w:hAnsi="仿宋" w:eastAsia="仿宋" w:cs="仿宋"/>
          <w:sz w:val="32"/>
          <w:szCs w:val="32"/>
        </w:rPr>
        <w:t>负责国家粮食收购任务的落实；提出全县粮食收购价格、保护价和销售限价的实施方案，并监督执行。</w:t>
      </w:r>
    </w:p>
    <w:p w14:paraId="5A1FD5C1">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5.</w:t>
      </w:r>
      <w:r>
        <w:rPr>
          <w:rFonts w:hint="eastAsia" w:ascii="仿宋" w:hAnsi="仿宋" w:eastAsia="仿宋" w:cs="仿宋"/>
          <w:sz w:val="32"/>
          <w:szCs w:val="32"/>
        </w:rPr>
        <w:t>管理社会粮食流通，保障军队（含武警）、灾区、缺粮贫困地区和国家重点建设项目的粮食调拨和供应。</w:t>
      </w:r>
    </w:p>
    <w:p w14:paraId="5A602315">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6.</w:t>
      </w:r>
      <w:r>
        <w:rPr>
          <w:rFonts w:hint="eastAsia" w:ascii="仿宋" w:hAnsi="仿宋" w:eastAsia="仿宋" w:cs="仿宋"/>
          <w:sz w:val="32"/>
          <w:szCs w:val="32"/>
        </w:rPr>
        <w:t>指导和协调全县粮食流通基础设施，编制全县粮油仓储、加工设施建设计划</w:t>
      </w:r>
      <w:r>
        <w:rPr>
          <w:rFonts w:hint="eastAsia" w:ascii="仿宋" w:hAnsi="仿宋" w:eastAsia="仿宋" w:cs="仿宋"/>
          <w:sz w:val="32"/>
          <w:szCs w:val="32"/>
          <w:lang w:eastAsia="zh-CN"/>
        </w:rPr>
        <w:t>并</w:t>
      </w:r>
      <w:r>
        <w:rPr>
          <w:rFonts w:hint="eastAsia" w:ascii="仿宋" w:hAnsi="仿宋" w:eastAsia="仿宋" w:cs="仿宋"/>
          <w:sz w:val="32"/>
          <w:szCs w:val="32"/>
        </w:rPr>
        <w:t>组织实施；负责全县粮油仓储、加工设施的报废、占用、拆迁的审核上报工作。</w:t>
      </w:r>
    </w:p>
    <w:p w14:paraId="7292EEAE">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7.</w:t>
      </w:r>
      <w:r>
        <w:rPr>
          <w:rFonts w:hint="eastAsia" w:ascii="仿宋" w:hAnsi="仿宋" w:eastAsia="仿宋" w:cs="仿宋"/>
          <w:sz w:val="32"/>
          <w:szCs w:val="32"/>
        </w:rPr>
        <w:t>指导全县粮食流</w:t>
      </w:r>
      <w:r>
        <w:rPr>
          <w:rFonts w:hint="eastAsia" w:ascii="仿宋" w:hAnsi="仿宋" w:eastAsia="仿宋" w:cs="仿宋"/>
          <w:sz w:val="32"/>
          <w:szCs w:val="32"/>
          <w:lang w:eastAsia="zh-CN"/>
        </w:rPr>
        <w:t>通</w:t>
      </w:r>
      <w:r>
        <w:rPr>
          <w:rFonts w:hint="eastAsia" w:ascii="仿宋" w:hAnsi="仿宋" w:eastAsia="仿宋" w:cs="仿宋"/>
          <w:sz w:val="32"/>
          <w:szCs w:val="32"/>
        </w:rPr>
        <w:t>市场的行业管理、县级粮油批</w:t>
      </w:r>
      <w:r>
        <w:rPr>
          <w:rFonts w:hint="eastAsia" w:ascii="仿宋" w:hAnsi="仿宋" w:eastAsia="仿宋" w:cs="仿宋"/>
          <w:sz w:val="32"/>
          <w:szCs w:val="32"/>
          <w:lang w:eastAsia="zh-CN"/>
        </w:rPr>
        <w:t>发</w:t>
      </w:r>
      <w:r>
        <w:rPr>
          <w:rFonts w:hint="eastAsia" w:ascii="仿宋" w:hAnsi="仿宋" w:eastAsia="仿宋" w:cs="仿宋"/>
          <w:sz w:val="32"/>
          <w:szCs w:val="32"/>
        </w:rPr>
        <w:t>市场体系建设、国有粮食企业的改革；指导并推动行业的技术改造、新技术推广运用、安全生产工作；承担行业统计工作；会同有关部门加强粮食市场监督管理。</w:t>
      </w:r>
    </w:p>
    <w:p w14:paraId="2E1B3A78">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8.</w:t>
      </w:r>
      <w:r>
        <w:rPr>
          <w:rFonts w:hint="eastAsia" w:ascii="仿宋" w:hAnsi="仿宋" w:eastAsia="仿宋" w:cs="仿宋"/>
          <w:sz w:val="32"/>
          <w:szCs w:val="32"/>
        </w:rPr>
        <w:t>监督、检查全县粮食财务管理工作。指导直属企业管理好国有资产。组织、实施粮食财务、会计制度，编报全县财务报表，组织编制年度决算。</w:t>
      </w:r>
    </w:p>
    <w:p w14:paraId="7C8CA8E7">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9.</w:t>
      </w:r>
      <w:r>
        <w:rPr>
          <w:rFonts w:hint="eastAsia" w:ascii="仿宋" w:hAnsi="仿宋" w:eastAsia="仿宋" w:cs="仿宋"/>
          <w:sz w:val="32"/>
          <w:szCs w:val="32"/>
        </w:rPr>
        <w:t>负责对外经济技术合作与交流。</w:t>
      </w:r>
    </w:p>
    <w:p w14:paraId="448DBE24">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10.</w:t>
      </w:r>
      <w:r>
        <w:rPr>
          <w:rFonts w:hint="eastAsia" w:ascii="仿宋" w:hAnsi="仿宋" w:eastAsia="仿宋" w:cs="仿宋"/>
          <w:sz w:val="32"/>
          <w:szCs w:val="32"/>
        </w:rPr>
        <w:t>协同质量技术监督部门做好粮食质量标准的管理工作；制定粮食储存、运输和技术规范，并监督执行。</w:t>
      </w:r>
    </w:p>
    <w:p w14:paraId="58934412">
      <w:pPr>
        <w:spacing w:line="600" w:lineRule="exact"/>
        <w:rPr>
          <w:rFonts w:hint="eastAsia" w:ascii="仿宋" w:hAnsi="仿宋" w:eastAsia="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11.</w:t>
      </w:r>
      <w:r>
        <w:rPr>
          <w:rFonts w:hint="eastAsia" w:ascii="仿宋" w:hAnsi="仿宋" w:eastAsia="仿宋" w:cs="仿宋"/>
          <w:sz w:val="32"/>
          <w:szCs w:val="32"/>
        </w:rPr>
        <w:t>承办县政府交办的其</w:t>
      </w:r>
      <w:r>
        <w:rPr>
          <w:rFonts w:hint="eastAsia" w:ascii="仿宋" w:hAnsi="仿宋" w:eastAsia="仿宋" w:cs="仿宋"/>
          <w:sz w:val="32"/>
          <w:szCs w:val="32"/>
          <w:lang w:eastAsia="zh-CN"/>
        </w:rPr>
        <w:t>他</w:t>
      </w:r>
      <w:r>
        <w:rPr>
          <w:rFonts w:hint="eastAsia" w:ascii="仿宋" w:hAnsi="仿宋" w:eastAsia="仿宋" w:cs="仿宋"/>
          <w:sz w:val="32"/>
          <w:szCs w:val="32"/>
        </w:rPr>
        <w:t>事项。</w:t>
      </w:r>
    </w:p>
    <w:p w14:paraId="659BED95">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14:paraId="4199DA47">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 xml:space="preserve">   1</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继续强化储备粮管理工作。严格按照州、县有关地方储备粮食管理实施办法和仓储管理“一符、三专、四落实”及“四无粮仓”管理要求，指导和督促企业抓好相关制度的贯彻落实，确保粮食质量安全、数量真实，实现安全环保储粮，扎实做好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年县级储备粮和州级储备粮的轮换工作。</w:t>
      </w:r>
    </w:p>
    <w:p w14:paraId="35D07408">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继续</w:t>
      </w:r>
      <w:r>
        <w:rPr>
          <w:rFonts w:hint="eastAsia" w:ascii="仿宋_GB2312" w:hAnsi="仿宋_GB2312" w:eastAsia="仿宋_GB2312" w:cs="仿宋_GB2312"/>
          <w:sz w:val="32"/>
          <w:szCs w:val="32"/>
        </w:rPr>
        <w:t>认真做好监督检查工作。定期不定期的对粮油市场的粮油进行抽样检测，确保质量安全，保障市场供给，努力营造一个好的粮食流通环境。</w:t>
      </w:r>
    </w:p>
    <w:p w14:paraId="0332FBA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.继续认真做好社会粮食供需平衡调查工作，进一步提高科学储粮水平和政府宏观调控能力。</w:t>
      </w:r>
    </w:p>
    <w:p w14:paraId="71C3CD35">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.继续严格粮食供应工作。按照四川省</w:t>
      </w:r>
      <w:bookmarkStart w:id="0" w:name="_GoBack"/>
      <w:bookmarkEnd w:id="0"/>
      <w:r>
        <w:rPr>
          <w:rFonts w:hint="eastAsia" w:ascii="仿宋_GB2312" w:hAnsi="仿宋_GB2312" w:eastAsia="仿宋_GB2312" w:cs="仿宋_GB2312"/>
          <w:sz w:val="32"/>
          <w:szCs w:val="32"/>
        </w:rPr>
        <w:t>军粮供应的要求，严格军粮质量标准，做好下半年</w:t>
      </w:r>
      <w:r>
        <w:rPr>
          <w:rFonts w:hint="eastAsia" w:ascii="仿宋_GB2312" w:hAnsi="仿宋_GB2312" w:eastAsia="仿宋_GB2312" w:cs="仿宋_GB2312"/>
          <w:sz w:val="32"/>
          <w:szCs w:val="32"/>
          <w:lang w:eastAsia="zh-CN"/>
        </w:rPr>
        <w:t>全</w:t>
      </w:r>
      <w:r>
        <w:rPr>
          <w:rFonts w:hint="eastAsia" w:ascii="仿宋_GB2312" w:hAnsi="仿宋_GB2312" w:eastAsia="仿宋_GB2312" w:cs="仿宋_GB2312"/>
          <w:sz w:val="32"/>
          <w:szCs w:val="32"/>
        </w:rPr>
        <w:t>县武警等部队军粮供应工作</w:t>
      </w:r>
      <w:r>
        <w:rPr>
          <w:rFonts w:hint="eastAsia" w:ascii="仿宋_GB2312" w:hAnsi="仿宋_GB2312" w:eastAsia="仿宋_GB2312" w:cs="仿宋_GB2312"/>
          <w:sz w:val="32"/>
          <w:szCs w:val="32"/>
          <w:lang w:eastAsia="zh-CN"/>
        </w:rPr>
        <w:t>。</w:t>
      </w:r>
    </w:p>
    <w:p w14:paraId="7FB4172C">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.继续认真贯彻落实国家、省、州关于开展粮食库存检查工作有关通知精神，按照“有仓必到、有粮必查、有</w:t>
      </w:r>
      <w:r>
        <w:rPr>
          <w:rFonts w:hint="eastAsia" w:ascii="仿宋_GB2312" w:hAnsi="仿宋_GB2312" w:eastAsia="仿宋_GB2312" w:cs="仿宋_GB2312"/>
          <w:sz w:val="32"/>
          <w:szCs w:val="32"/>
          <w:lang w:eastAsia="zh-CN"/>
        </w:rPr>
        <w:t>账</w:t>
      </w:r>
      <w:r>
        <w:rPr>
          <w:rFonts w:hint="eastAsia" w:ascii="仿宋_GB2312" w:hAnsi="仿宋_GB2312" w:eastAsia="仿宋_GB2312" w:cs="仿宋_GB2312"/>
          <w:sz w:val="32"/>
          <w:szCs w:val="32"/>
        </w:rPr>
        <w:t>必核、查必彻底”的原则，做好20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年度清仓查库工作。</w:t>
      </w:r>
    </w:p>
    <w:p w14:paraId="53B0FB8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.继续以市场为导向，保障市场供应，认真抓好粮食购销管理工作，</w:t>
      </w:r>
      <w:r>
        <w:rPr>
          <w:rFonts w:hint="eastAsia" w:ascii="仿宋_GB2312" w:hAnsi="仿宋_GB2312" w:eastAsia="仿宋_GB2312" w:cs="仿宋_GB2312"/>
          <w:sz w:val="32"/>
          <w:szCs w:val="28"/>
        </w:rPr>
        <w:t>维护粮食市场的正常流通秩序，促进粮食市场的健康发展。</w:t>
      </w:r>
    </w:p>
    <w:p w14:paraId="4C49A7A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.继续推进粮食行政执法工作。完善粮食流通执法工作体系，加强粮食市场监管，维护和规范市场秩序。支持各类粮食企业开展平等竞争，活跃粮食市场，促进全行业和谐发展。</w:t>
      </w:r>
    </w:p>
    <w:p w14:paraId="1797FAF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.认真做好其他各项工作。</w:t>
      </w:r>
    </w:p>
    <w:p w14:paraId="1551F74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6764463C">
      <w:pPr>
        <w:spacing w:line="600" w:lineRule="exact"/>
        <w:ind w:firstLine="640" w:firstLineChars="200"/>
        <w:jc w:val="left"/>
        <w:rPr>
          <w:rFonts w:hint="eastAsia" w:ascii="仿宋" w:hAnsi="仿宋" w:eastAsia="仿宋" w:cs="仿宋_GB2312"/>
          <w:bCs/>
          <w:sz w:val="32"/>
          <w:szCs w:val="32"/>
        </w:rPr>
      </w:pPr>
      <w:r>
        <w:rPr>
          <w:rFonts w:hint="eastAsia" w:ascii="仿宋" w:hAnsi="仿宋" w:eastAsia="仿宋" w:cs="仿宋_GB2312"/>
          <w:bCs/>
          <w:sz w:val="32"/>
          <w:szCs w:val="32"/>
        </w:rPr>
        <w:t>我单位为独立核算全额拨款参公单位。机构1个。截止20</w:t>
      </w:r>
      <w:r>
        <w:rPr>
          <w:rFonts w:hint="eastAsia" w:ascii="仿宋" w:hAnsi="仿宋" w:eastAsia="仿宋" w:cs="仿宋_GB2312"/>
          <w:bCs/>
          <w:sz w:val="32"/>
          <w:szCs w:val="32"/>
          <w:lang w:val="en-US" w:eastAsia="zh-CN"/>
        </w:rPr>
        <w:t>24</w:t>
      </w:r>
      <w:r>
        <w:rPr>
          <w:rFonts w:hint="eastAsia" w:ascii="仿宋" w:hAnsi="仿宋" w:eastAsia="仿宋" w:cs="仿宋_GB2312"/>
          <w:bCs/>
          <w:sz w:val="32"/>
          <w:szCs w:val="32"/>
        </w:rPr>
        <w:t>年底我单位共有编制</w:t>
      </w:r>
      <w:r>
        <w:rPr>
          <w:rFonts w:hint="eastAsia" w:ascii="仿宋" w:hAnsi="仿宋" w:eastAsia="仿宋" w:cs="仿宋_GB2312"/>
          <w:bCs/>
          <w:sz w:val="32"/>
          <w:szCs w:val="32"/>
          <w:lang w:val="en-US" w:eastAsia="zh-CN"/>
        </w:rPr>
        <w:t>9</w:t>
      </w:r>
      <w:r>
        <w:rPr>
          <w:rFonts w:hint="eastAsia" w:ascii="仿宋" w:hAnsi="仿宋" w:eastAsia="仿宋" w:cs="仿宋_GB2312"/>
          <w:bCs/>
          <w:sz w:val="32"/>
          <w:szCs w:val="32"/>
        </w:rPr>
        <w:t>个，其中参公</w:t>
      </w:r>
      <w:r>
        <w:rPr>
          <w:rFonts w:hint="eastAsia" w:ascii="仿宋" w:hAnsi="仿宋" w:eastAsia="仿宋" w:cs="仿宋_GB2312"/>
          <w:bCs/>
          <w:sz w:val="32"/>
          <w:szCs w:val="32"/>
          <w:lang w:val="en-US" w:eastAsia="zh-CN"/>
        </w:rPr>
        <w:t>9</w:t>
      </w:r>
      <w:r>
        <w:rPr>
          <w:rFonts w:hint="eastAsia" w:ascii="仿宋" w:hAnsi="仿宋" w:eastAsia="仿宋" w:cs="仿宋_GB2312"/>
          <w:bCs/>
          <w:sz w:val="32"/>
          <w:szCs w:val="32"/>
        </w:rPr>
        <w:t>人。实有人数</w:t>
      </w:r>
      <w:r>
        <w:rPr>
          <w:rFonts w:hint="eastAsia" w:ascii="仿宋" w:hAnsi="仿宋" w:eastAsia="仿宋" w:cs="仿宋_GB2312"/>
          <w:bCs/>
          <w:sz w:val="32"/>
          <w:szCs w:val="32"/>
          <w:lang w:val="en-US" w:eastAsia="zh-CN"/>
        </w:rPr>
        <w:t>7</w:t>
      </w:r>
      <w:r>
        <w:rPr>
          <w:rFonts w:hint="eastAsia" w:ascii="仿宋" w:hAnsi="仿宋" w:eastAsia="仿宋" w:cs="仿宋_GB2312"/>
          <w:bCs/>
          <w:sz w:val="32"/>
          <w:szCs w:val="32"/>
        </w:rPr>
        <w:t>人</w:t>
      </w:r>
      <w:r>
        <w:rPr>
          <w:rFonts w:hint="eastAsia" w:ascii="仿宋" w:hAnsi="仿宋" w:eastAsia="仿宋" w:cs="仿宋_GB2312"/>
          <w:bCs/>
          <w:sz w:val="32"/>
          <w:szCs w:val="32"/>
          <w:lang w:val="en-US" w:eastAsia="zh-CN"/>
        </w:rPr>
        <w:t>,</w:t>
      </w:r>
      <w:r>
        <w:rPr>
          <w:rFonts w:hint="eastAsia" w:ascii="仿宋" w:hAnsi="仿宋" w:eastAsia="仿宋" w:cs="仿宋_GB2312"/>
          <w:bCs/>
          <w:sz w:val="32"/>
          <w:szCs w:val="32"/>
        </w:rPr>
        <w:t>离休1人。</w:t>
      </w:r>
    </w:p>
    <w:p w14:paraId="0B57670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20BD462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年粮食和物资储备中心</w:t>
      </w:r>
      <w:r>
        <w:rPr>
          <w:rFonts w:hint="eastAsia" w:ascii="仿宋_GB2312" w:eastAsia="仿宋_GB2312"/>
          <w:sz w:val="32"/>
          <w:szCs w:val="32"/>
        </w:rPr>
        <w:t>收入预算总额为</w:t>
      </w:r>
      <w:r>
        <w:rPr>
          <w:rFonts w:hint="eastAsia" w:ascii="仿宋_GB2312" w:eastAsia="仿宋_GB2312"/>
          <w:sz w:val="32"/>
          <w:szCs w:val="32"/>
          <w:lang w:val="en-US" w:eastAsia="zh-CN"/>
        </w:rPr>
        <w:t>246.34</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246.34</w:t>
      </w:r>
      <w:r>
        <w:rPr>
          <w:rFonts w:hint="eastAsia" w:ascii="仿宋_GB2312" w:eastAsia="仿宋_GB2312"/>
          <w:sz w:val="32"/>
          <w:szCs w:val="32"/>
        </w:rPr>
        <w:t>万元。相应安排支出预算</w:t>
      </w:r>
      <w:r>
        <w:rPr>
          <w:rFonts w:hint="eastAsia" w:ascii="仿宋_GB2312" w:eastAsia="仿宋_GB2312"/>
          <w:sz w:val="32"/>
          <w:szCs w:val="32"/>
          <w:lang w:val="en-US" w:eastAsia="zh-CN"/>
        </w:rPr>
        <w:t>246.34</w:t>
      </w:r>
      <w:r>
        <w:rPr>
          <w:rFonts w:hint="eastAsia" w:ascii="仿宋_GB2312" w:eastAsia="仿宋_GB2312"/>
          <w:sz w:val="32"/>
          <w:szCs w:val="32"/>
        </w:rPr>
        <w:t>万元，其中：一般公共服务</w:t>
      </w:r>
      <w:r>
        <w:rPr>
          <w:rFonts w:hint="eastAsia" w:ascii="仿宋_GB2312" w:eastAsia="仿宋_GB2312"/>
          <w:sz w:val="32"/>
          <w:szCs w:val="32"/>
          <w:lang w:eastAsia="zh-CN"/>
        </w:rPr>
        <w:t>支出</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27.19</w:t>
      </w:r>
      <w:r>
        <w:rPr>
          <w:rFonts w:hint="eastAsia" w:ascii="仿宋_GB2312" w:eastAsia="仿宋_GB2312"/>
          <w:sz w:val="32"/>
          <w:szCs w:val="32"/>
        </w:rPr>
        <w:t>万元，医疗卫生</w:t>
      </w:r>
      <w:r>
        <w:rPr>
          <w:rFonts w:hint="eastAsia" w:ascii="仿宋_GB2312" w:eastAsia="仿宋_GB2312"/>
          <w:sz w:val="32"/>
          <w:szCs w:val="32"/>
          <w:lang w:val="en-US" w:eastAsia="zh-CN"/>
        </w:rPr>
        <w:t>11.69</w:t>
      </w:r>
      <w:r>
        <w:rPr>
          <w:rFonts w:hint="eastAsia" w:ascii="仿宋_GB2312" w:eastAsia="仿宋_GB2312"/>
          <w:sz w:val="32"/>
          <w:szCs w:val="32"/>
        </w:rPr>
        <w:t>万元，住房保障支出</w:t>
      </w:r>
      <w:r>
        <w:rPr>
          <w:rFonts w:hint="eastAsia" w:ascii="仿宋_GB2312" w:eastAsia="仿宋_GB2312"/>
          <w:sz w:val="32"/>
          <w:szCs w:val="32"/>
          <w:lang w:val="en-US" w:eastAsia="zh-CN"/>
        </w:rPr>
        <w:t>14.8</w:t>
      </w:r>
      <w:r>
        <w:rPr>
          <w:rFonts w:hint="eastAsia" w:ascii="仿宋_GB2312" w:eastAsia="仿宋_GB2312"/>
          <w:sz w:val="32"/>
          <w:szCs w:val="32"/>
        </w:rPr>
        <w:t>万元</w:t>
      </w:r>
      <w:r>
        <w:rPr>
          <w:rFonts w:hint="eastAsia" w:ascii="仿宋_GB2312" w:eastAsia="仿宋_GB2312"/>
          <w:sz w:val="32"/>
          <w:szCs w:val="32"/>
          <w:lang w:eastAsia="zh-CN"/>
        </w:rPr>
        <w:t>，粮油物资储备支出</w:t>
      </w:r>
      <w:r>
        <w:rPr>
          <w:rFonts w:hint="eastAsia" w:ascii="仿宋_GB2312" w:eastAsia="仿宋_GB2312"/>
          <w:sz w:val="32"/>
          <w:szCs w:val="32"/>
          <w:lang w:val="en-US" w:eastAsia="zh-CN"/>
        </w:rPr>
        <w:t>192.65万元</w:t>
      </w:r>
      <w:r>
        <w:rPr>
          <w:rFonts w:hint="eastAsia" w:ascii="仿宋_GB2312" w:eastAsia="仿宋_GB2312"/>
          <w:sz w:val="32"/>
          <w:szCs w:val="32"/>
        </w:rPr>
        <w:t>。</w:t>
      </w:r>
    </w:p>
    <w:p w14:paraId="7672F552">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4CE00BAC">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我中心</w:t>
      </w:r>
      <w:r>
        <w:rPr>
          <w:rFonts w:hint="eastAsia" w:ascii="仿宋_GB2312" w:eastAsia="仿宋_GB2312"/>
          <w:sz w:val="32"/>
          <w:szCs w:val="32"/>
        </w:rPr>
        <w:t xml:space="preserve">预算安排支出主要用于保障该部门机构正常运转、完成日常工作任务相关工作。  </w:t>
      </w:r>
    </w:p>
    <w:p w14:paraId="4A937E68">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232.34</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213.11万元，机关运行经费19.23万元，其中：办公费4.13万元，差旅费2万元，工会经费1.36万元，公务用车运行维护费4.6万元</w:t>
      </w:r>
      <w:r>
        <w:rPr>
          <w:rFonts w:hint="eastAsia" w:ascii="仿宋_GB2312" w:eastAsia="仿宋_GB2312"/>
          <w:sz w:val="32"/>
          <w:szCs w:val="32"/>
          <w:lang w:eastAsia="zh-CN"/>
        </w:rPr>
        <w:t>，电费</w:t>
      </w:r>
      <w:r>
        <w:rPr>
          <w:rFonts w:hint="eastAsia" w:ascii="仿宋_GB2312" w:eastAsia="仿宋_GB2312"/>
          <w:sz w:val="32"/>
          <w:szCs w:val="32"/>
          <w:lang w:val="en-US" w:eastAsia="zh-CN"/>
        </w:rPr>
        <w:t>2万元，福利费3.32万元，其他商品和服务支出1.81万元。</w:t>
      </w:r>
    </w:p>
    <w:p w14:paraId="1B1F5A5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739E52D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41A34BB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27.19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5885BF8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11.69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78BD8FA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14.8</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454498D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w:t>
      </w:r>
      <w:r>
        <w:rPr>
          <w:rFonts w:hint="eastAsia" w:ascii="仿宋_GB2312" w:eastAsia="仿宋_GB2312"/>
          <w:sz w:val="32"/>
          <w:szCs w:val="32"/>
          <w:lang w:eastAsia="zh-CN"/>
        </w:rPr>
        <w:t>粮油物资储备支出</w:t>
      </w:r>
      <w:r>
        <w:rPr>
          <w:rFonts w:hint="eastAsia" w:ascii="仿宋_GB2312" w:eastAsia="仿宋_GB2312"/>
          <w:sz w:val="32"/>
          <w:szCs w:val="32"/>
          <w:lang w:val="en-US" w:eastAsia="zh-CN"/>
        </w:rPr>
        <w:t>192.65万元</w:t>
      </w:r>
      <w:r>
        <w:rPr>
          <w:rFonts w:hint="eastAsia" w:ascii="仿宋_GB2312" w:eastAsia="仿宋_GB2312"/>
          <w:sz w:val="32"/>
          <w:szCs w:val="32"/>
        </w:rPr>
        <w:t>。主要用于日常运转以及为完成特定行政工作任务和事业发展目标而安排的年度项目支出</w:t>
      </w:r>
      <w:r>
        <w:rPr>
          <w:rFonts w:hint="eastAsia" w:ascii="仿宋_GB2312" w:eastAsia="仿宋_GB2312"/>
          <w:sz w:val="32"/>
          <w:szCs w:val="32"/>
          <w:lang w:eastAsia="zh-CN"/>
        </w:rPr>
        <w:t>。</w:t>
      </w:r>
    </w:p>
    <w:p w14:paraId="1ADACB0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4DF299B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246.34万元较上年度预算7.04万元增加了2%，其中基本行政运行经费预算232.34万元，占全部总预算的94%，较上年225.3万元增加了7.04%，原因为人员压缩各项开支，减少基本支出；专项业务工作经费预算14万元，占总预算的6%，较上年无变化。</w:t>
      </w:r>
    </w:p>
    <w:p w14:paraId="4E0EE30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2E853BD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本年度三公经费预算安排支出为4.6万元，其中：出国费0万元，与上年持平，主要原因为未安排因公出国；公车购置费0元，与上年持平；公务用车维护费支出4.6万元，较上年度预算4.6万元持平。</w:t>
      </w:r>
    </w:p>
    <w:p w14:paraId="475CCD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12E808D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14:paraId="54849A7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02C61D6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14:paraId="507FE0C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291EEA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1791B81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14:paraId="3B5011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757EC35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截止2024年底，实际共有固定资产价值189.5</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12.5</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163</w:t>
      </w:r>
      <w:r>
        <w:rPr>
          <w:rFonts w:hint="eastAsia" w:ascii="仿宋_GB2312" w:eastAsia="仿宋_GB2312"/>
          <w:sz w:val="32"/>
          <w:szCs w:val="32"/>
          <w:lang w:eastAsia="zh-CN"/>
        </w:rPr>
        <w:t>万元，办公用房</w:t>
      </w:r>
      <w:r>
        <w:rPr>
          <w:rFonts w:hint="eastAsia" w:ascii="仿宋_GB2312" w:eastAsia="仿宋_GB2312"/>
          <w:sz w:val="32"/>
          <w:szCs w:val="32"/>
          <w:lang w:val="en-US" w:eastAsia="zh-CN"/>
        </w:rPr>
        <w:t>7.6万元，其他固定资产6.4万元。</w:t>
      </w:r>
    </w:p>
    <w:p w14:paraId="028139F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0CFA79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14:paraId="621A3DAA">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3112446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C871CD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1AD04E3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21943BC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5AE4D14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2EE81B3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2A003A7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2084C97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5625912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01D5D67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41FE67B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58E4D51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4372DA2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78A3B22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33373DD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49285">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14:paraId="09C99D79">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0C9F9">
    <w:pPr>
      <w:pStyle w:val="3"/>
      <w:framePr w:wrap="around" w:vAnchor="text" w:hAnchor="margin" w:xAlign="center" w:y="1"/>
      <w:rPr>
        <w:rStyle w:val="8"/>
      </w:rPr>
    </w:pPr>
    <w:r>
      <w:fldChar w:fldCharType="begin"/>
    </w:r>
    <w:r>
      <w:rPr>
        <w:rStyle w:val="8"/>
      </w:rPr>
      <w:instrText xml:space="preserve">PAGE  </w:instrText>
    </w:r>
    <w:r>
      <w:fldChar w:fldCharType="end"/>
    </w:r>
  </w:p>
  <w:p w14:paraId="63E26C07">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1OTk5NjI5NGZkM2EwNjBlNjcyOTVlMWZlY2NkYmQifQ=="/>
  </w:docVars>
  <w:rsids>
    <w:rsidRoot w:val="00172A27"/>
    <w:rsid w:val="0A6E1F7B"/>
    <w:rsid w:val="0CEE610B"/>
    <w:rsid w:val="0DF76B88"/>
    <w:rsid w:val="10B92046"/>
    <w:rsid w:val="18870CA9"/>
    <w:rsid w:val="18DE7327"/>
    <w:rsid w:val="25736E70"/>
    <w:rsid w:val="28CA79FA"/>
    <w:rsid w:val="2D241839"/>
    <w:rsid w:val="32B9061F"/>
    <w:rsid w:val="38FA5D4B"/>
    <w:rsid w:val="41C14C68"/>
    <w:rsid w:val="4A7D7DE9"/>
    <w:rsid w:val="546703A6"/>
    <w:rsid w:val="550D5715"/>
    <w:rsid w:val="555E53B0"/>
    <w:rsid w:val="56F015BA"/>
    <w:rsid w:val="58063D6C"/>
    <w:rsid w:val="589E5BC9"/>
    <w:rsid w:val="636966A0"/>
    <w:rsid w:val="65CF619D"/>
    <w:rsid w:val="670175BB"/>
    <w:rsid w:val="69772B35"/>
    <w:rsid w:val="6A4B17E0"/>
    <w:rsid w:val="6A68071E"/>
    <w:rsid w:val="6A7F4532"/>
    <w:rsid w:val="6E711791"/>
    <w:rsid w:val="6FBF4B32"/>
    <w:rsid w:val="70F00356"/>
    <w:rsid w:val="7B312348"/>
    <w:rsid w:val="BF7E44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w:basedOn w:val="1"/>
    <w:unhideWhenUsed/>
    <w:qFormat/>
    <w:uiPriority w:val="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jc w:val="both"/>
      <w:textAlignment w:val="auto"/>
      <w:outlineLvl w:val="9"/>
    </w:pPr>
    <w:rPr>
      <w:rFonts w:ascii="Times New Roman" w:hAnsi="Times New Roman" w:eastAsia="宋体"/>
      <w:snapToGrid/>
      <w:color w:val="auto"/>
      <w:spacing w:val="0"/>
      <w:w w:val="100"/>
      <w:kern w:val="2"/>
      <w:position w:val="0"/>
      <w:sz w:val="24"/>
      <w:szCs w:val="28"/>
      <w:u w:val="none" w:color="auto"/>
      <w:vertAlign w:val="baseline"/>
      <w:lang w:val="en-US" w:eastAsia="zh-CN" w:bidi="ar-SA"/>
    </w:rPr>
  </w:style>
  <w:style w:type="character" w:styleId="8">
    <w:name w:val="page number"/>
    <w:basedOn w:val="7"/>
    <w:qFormat/>
    <w:uiPriority w:val="0"/>
  </w:style>
  <w:style w:type="character" w:styleId="9">
    <w:name w:val="line number"/>
    <w:basedOn w:val="7"/>
    <w:qFormat/>
    <w:uiPriority w:val="0"/>
    <w:rPr>
      <w:rFonts w:hint="default"/>
      <w:sz w:val="22"/>
    </w:rPr>
  </w:style>
  <w:style w:type="character" w:styleId="10">
    <w:name w:val="Hyperlink"/>
    <w:qFormat/>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2802</Words>
  <Characters>3001</Characters>
  <Lines>0</Lines>
  <Paragraphs>0</Paragraphs>
  <TotalTime>59</TotalTime>
  <ScaleCrop>false</ScaleCrop>
  <LinksUpToDate>false</LinksUpToDate>
  <CharactersWithSpaces>3088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2018-01-31T15:35:00Z</dcterms:created>
  <dc:creator>Administrator</dc:creator>
  <cp:lastModifiedBy>XIE。</cp:lastModifiedBy>
  <dcterms:modified xsi:type="dcterms:W3CDTF">2025-06-05T01:44:46Z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19589AA8DFD342ECB0A7DC65DC8DFB16_13</vt:lpwstr>
  </property>
  <property fmtid="{D5CDD505-2E9C-101B-9397-08002B2CF9AE}" pid="4" name="KSOTemplateDocerSaveRecord">
    <vt:lpwstr>eyJoZGlkIjoiMDI1OTk5NjI5NGZkM2EwNjBlNjcyOTVlMWZlY2NkYmQiLCJ1c2VySWQiOiIyNzYxNzMxOTgifQ==</vt:lpwstr>
  </property>
</Properties>
</file>