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193"/>
      <w:bookmarkStart w:id="3" w:name="_Toc15377425"/>
      <w:bookmarkStart w:id="4" w:name="_Toc15378441"/>
      <w:bookmarkStart w:id="5" w:name="_Toc15396475"/>
      <w:bookmarkStart w:id="6" w:name="_Toc8329"/>
      <w:bookmarkStart w:id="7" w:name="_Toc26514"/>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78442"/>
      <w:bookmarkStart w:id="9" w:name="_Toc9431"/>
      <w:bookmarkStart w:id="10" w:name="_Toc15396476"/>
      <w:bookmarkStart w:id="11" w:name="_Toc15377194"/>
      <w:bookmarkStart w:id="12" w:name="_Toc15396598"/>
      <w:bookmarkStart w:id="13" w:name="_Toc15377426"/>
      <w:bookmarkStart w:id="14" w:name="_Toc26985"/>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5" w:name="_Toc15306268"/>
      <w:r>
        <w:rPr>
          <w:rFonts w:hint="eastAsia" w:ascii="方正小标宋简体" w:hAnsi="宋体" w:eastAsia="方正小标宋简体"/>
          <w:color w:val="000000"/>
          <w:sz w:val="72"/>
          <w:szCs w:val="72"/>
          <w:lang w:eastAsia="zh-CN"/>
        </w:rPr>
        <w:t>粮食和物资储备中心</w:t>
      </w:r>
      <w:r>
        <w:rPr>
          <w:rFonts w:hint="eastAsia" w:ascii="方正小标宋简体" w:hAnsi="宋体" w:eastAsia="方正小标宋简体"/>
          <w:color w:val="000000"/>
          <w:sz w:val="72"/>
          <w:szCs w:val="72"/>
        </w:rPr>
        <w:t>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widowControl/>
        <w:jc w:val="center"/>
        <w:rPr>
          <w:rFonts w:ascii="黑体" w:hAnsi="黑体" w:eastAsia="黑体"/>
          <w:color w:val="000000"/>
          <w:sz w:val="48"/>
          <w:szCs w:val="48"/>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w:t>
      </w:r>
      <w:r>
        <w:rPr>
          <w:rFonts w:hint="eastAsia"/>
          <w:lang w:val="en-US" w:eastAsia="zh-CN"/>
        </w:rPr>
        <w:t>1</w:t>
      </w:r>
      <w:r>
        <w:rPr>
          <w:rFonts w:hint="eastAsia"/>
        </w:rPr>
        <w:t>年</w:t>
      </w:r>
      <w:r>
        <w:rPr>
          <w:rFonts w:hint="eastAsia"/>
          <w:lang w:val="en-US" w:eastAsia="zh-CN"/>
        </w:rPr>
        <w:t>12</w:t>
      </w:r>
      <w:r>
        <w:rPr>
          <w:rFonts w:hint="eastAsia"/>
        </w:rPr>
        <w:t>月</w:t>
      </w:r>
      <w:r>
        <w:rPr>
          <w:rFonts w:hint="eastAsia"/>
          <w:lang w:val="en-US" w:eastAsia="zh-CN"/>
        </w:rPr>
        <w:t>1</w:t>
      </w:r>
      <w:r>
        <w:rPr>
          <w:rFonts w:hint="eastAsia"/>
        </w:rPr>
        <w:t>日</w:t>
      </w:r>
    </w:p>
    <w:p>
      <w:pPr>
        <w:pStyle w:val="10"/>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第一部分 部门概况</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_Toc18784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一、基本职能及主要工作</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_Toc18784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_Toc12652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机构设置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_Toc12652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_Toc18632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第二部分 20</w:t>
      </w:r>
      <w:r>
        <w:rPr>
          <w:rFonts w:hint="eastAsia" w:ascii="仿宋_GB2312" w:hAnsi="仿宋_GB2312" w:eastAsia="仿宋_GB2312" w:cs="仿宋_GB2312"/>
          <w:b w:val="0"/>
          <w:bCs w:val="0"/>
          <w:sz w:val="32"/>
          <w:szCs w:val="32"/>
          <w:lang w:val="en-US" w:eastAsia="zh-CN"/>
        </w:rPr>
        <w:t>20</w:t>
      </w:r>
      <w:bookmarkStart w:id="104" w:name="_GoBack"/>
      <w:bookmarkEnd w:id="104"/>
      <w:r>
        <w:rPr>
          <w:rFonts w:hint="eastAsia" w:ascii="仿宋_GB2312" w:hAnsi="仿宋_GB2312" w:eastAsia="仿宋_GB2312" w:cs="仿宋_GB2312"/>
          <w:b w:val="0"/>
          <w:bCs w:val="0"/>
          <w:sz w:val="32"/>
          <w:szCs w:val="32"/>
        </w:rPr>
        <w:t>年度部门决算情况说明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_Toc18632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_Toc5142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_Toc5142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_Toc14236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收入决算情况说明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_Toc14236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8</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_Toc20672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 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_Toc20672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_Toc9383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_Toc9383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10</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_Toc19127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五、一般公共预算财政拨款支出决算情况说明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_Toc19127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六、一般公共预算财政拨款基本支出决算情况说明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七、“三公”经费财政拨款支出决算情况说明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八、政府性基金预算支出决算情况说明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 国有资本经营预算支出决算情况说明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十、其他重要事项的情况说明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_Toc9171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第三部分 名词解释</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_Toc9171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9</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_Toc15964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第四部分 附件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_Toc15964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_Toc13406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第五部分 附表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_Toc13406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二、收入总表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三、支出总表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五、财政拨款支出决算明细表（政府经济分类科目）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七、一般公共预算财政拨款支出决算明细表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八、一般公共预算财政拨款基本支出决算表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九、一般公共预算财政拨款项目支出决算表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十、一般公共预算财政拨款“三公”经费支出决算表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十一、政府性基金预算财政拨款收入支出决算表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十二、政府性基金预算财政拨款“三公”经费支出决算表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十三、国有资本经营预算支出决算表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2"/>
        <w:jc w:val="center"/>
        <w:rPr>
          <w:rFonts w:hint="eastAsia" w:ascii="黑体" w:hAnsi="黑体" w:eastAsia="黑体"/>
          <w:b w:val="0"/>
        </w:rPr>
      </w:pPr>
      <w:bookmarkStart w:id="16" w:name="_Toc523"/>
    </w:p>
    <w:p>
      <w:pPr>
        <w:pStyle w:val="2"/>
        <w:jc w:val="center"/>
        <w:rPr>
          <w:rFonts w:hint="eastAsia" w:ascii="黑体" w:hAnsi="黑体" w:eastAsia="黑体"/>
          <w:b w:val="0"/>
        </w:rPr>
      </w:pPr>
    </w:p>
    <w:p>
      <w:pPr>
        <w:pStyle w:val="2"/>
        <w:jc w:val="center"/>
        <w:rPr>
          <w:rStyle w:val="33"/>
          <w:rFonts w:ascii="黑体" w:hAnsi="黑体" w:eastAsia="黑体"/>
          <w:b/>
          <w:bCs w:val="0"/>
        </w:rPr>
      </w:pPr>
      <w:r>
        <w:rPr>
          <w:rFonts w:hint="eastAsia" w:ascii="黑体" w:hAnsi="黑体" w:eastAsia="黑体"/>
          <w:b w:val="0"/>
        </w:rPr>
        <w:t xml:space="preserve">第一部分 </w:t>
      </w:r>
      <w:r>
        <w:rPr>
          <w:rStyle w:val="33"/>
          <w:rFonts w:hint="eastAsia" w:ascii="黑体" w:hAnsi="黑体" w:eastAsia="黑体"/>
          <w:b w:val="0"/>
          <w:bCs w:val="0"/>
        </w:rPr>
        <w:t>部门概况</w:t>
      </w:r>
      <w:bookmarkEnd w:id="16"/>
    </w:p>
    <w:p>
      <w:pPr>
        <w:pStyle w:val="3"/>
        <w:outlineLvl w:val="0"/>
        <w:rPr>
          <w:rStyle w:val="31"/>
          <w:rFonts w:ascii="仿宋" w:hAnsi="仿宋" w:eastAsia="仿宋"/>
          <w:b w:val="0"/>
          <w:bCs w:val="0"/>
        </w:rPr>
      </w:pPr>
      <w:bookmarkStart w:id="17" w:name="_Toc15377197"/>
      <w:bookmarkStart w:id="18" w:name="_Toc18784"/>
      <w:bookmarkStart w:id="19" w:name="_Toc15396600"/>
      <w:r>
        <w:rPr>
          <w:rFonts w:hint="eastAsia" w:ascii="黑体" w:hAnsi="黑体" w:eastAsia="黑体"/>
          <w:b w:val="0"/>
          <w:color w:val="000000"/>
        </w:rPr>
        <w:t>一、基</w:t>
      </w:r>
      <w:r>
        <w:rPr>
          <w:rStyle w:val="31"/>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1"/>
        <w:rPr>
          <w:rFonts w:hint="eastAsia" w:ascii="仿宋" w:hAnsi="仿宋" w:eastAsia="仿宋"/>
          <w:bCs/>
          <w:color w:val="000000"/>
          <w:sz w:val="32"/>
          <w:szCs w:val="32"/>
        </w:rPr>
      </w:pPr>
      <w:bookmarkStart w:id="20" w:name="_Toc15554"/>
      <w:bookmarkStart w:id="21" w:name="_Toc15521"/>
      <w:bookmarkStart w:id="22" w:name="_Toc15377198"/>
      <w:bookmarkStart w:id="23" w:name="_Toc15378445"/>
      <w:r>
        <w:rPr>
          <w:rFonts w:hint="eastAsia" w:ascii="仿宋" w:hAnsi="仿宋" w:eastAsia="仿宋"/>
          <w:bCs/>
          <w:color w:val="000000"/>
          <w:sz w:val="32"/>
          <w:szCs w:val="32"/>
        </w:rPr>
        <w:t>（一）主要职能。</w:t>
      </w:r>
      <w:bookmarkEnd w:id="20"/>
      <w:bookmarkEnd w:id="21"/>
      <w:bookmarkEnd w:id="22"/>
      <w:bookmarkEnd w:id="23"/>
      <w:bookmarkStart w:id="24" w:name="_Toc15377199"/>
      <w:bookmarkStart w:id="25" w:name="_Toc15378446"/>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default" w:ascii="仿宋" w:hAnsi="仿宋" w:eastAsia="仿宋"/>
          <w:sz w:val="32"/>
          <w:szCs w:val="32"/>
        </w:rPr>
      </w:pPr>
      <w:r>
        <w:rPr>
          <w:rFonts w:hint="eastAsia" w:ascii="仿宋" w:hAnsi="仿宋" w:eastAsia="仿宋" w:cs="仿宋"/>
          <w:sz w:val="32"/>
          <w:szCs w:val="32"/>
        </w:rPr>
        <w:t xml:space="preserve">    （11）承办县政府交办的其它事项。</w:t>
      </w:r>
    </w:p>
    <w:p>
      <w:pPr>
        <w:pStyle w:val="5"/>
        <w:adjustRightInd w:val="0"/>
        <w:snapToGrid w:val="0"/>
        <w:spacing w:before="93" w:line="600" w:lineRule="exact"/>
        <w:ind w:firstLine="640" w:firstLineChars="200"/>
        <w:outlineLvl w:val="1"/>
        <w:rPr>
          <w:rFonts w:hint="eastAsia" w:ascii="仿宋" w:hAnsi="仿宋" w:eastAsia="仿宋"/>
          <w:bCs/>
          <w:color w:val="000000"/>
          <w:sz w:val="32"/>
          <w:szCs w:val="32"/>
        </w:rPr>
      </w:pPr>
      <w:bookmarkStart w:id="26" w:name="_Toc26326"/>
      <w:bookmarkStart w:id="27" w:name="_Toc20558"/>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20</w:t>
      </w:r>
      <w:r>
        <w:rPr>
          <w:rFonts w:hint="eastAsia" w:ascii="仿宋" w:hAnsi="仿宋" w:eastAsia="仿宋"/>
          <w:bCs/>
          <w:color w:val="000000"/>
          <w:sz w:val="32"/>
          <w:szCs w:val="32"/>
        </w:rPr>
        <w:t>年重点工作完成情况。</w:t>
      </w:r>
      <w:bookmarkEnd w:id="24"/>
      <w:bookmarkEnd w:id="25"/>
      <w:bookmarkEnd w:id="26"/>
      <w:bookmarkEnd w:id="27"/>
    </w:p>
    <w:p>
      <w:pPr>
        <w:snapToGrid w:val="0"/>
        <w:spacing w:line="520" w:lineRule="exact"/>
        <w:ind w:firstLine="640" w:firstLineChars="200"/>
        <w:rPr>
          <w:rFonts w:hint="eastAsia" w:ascii="仿宋_GB2312" w:eastAsia="仿宋_GB2312" w:cs="宋体"/>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年，粮食工作在县委、县政府的坚强领导和州发改委的有力指导下,紧紧围绕县委、县政府及目标管理考核领导小组下达的20</w:t>
      </w:r>
      <w:r>
        <w:rPr>
          <w:rFonts w:hint="eastAsia" w:ascii="仿宋_GB2312" w:eastAsia="仿宋_GB2312"/>
          <w:sz w:val="32"/>
          <w:szCs w:val="32"/>
          <w:lang w:val="en-US" w:eastAsia="zh-CN"/>
        </w:rPr>
        <w:t>20</w:t>
      </w:r>
      <w:r>
        <w:rPr>
          <w:rFonts w:hint="eastAsia" w:ascii="仿宋_GB2312" w:eastAsia="仿宋_GB2312"/>
          <w:sz w:val="32"/>
          <w:szCs w:val="32"/>
        </w:rPr>
        <w:t>年度目标绩效考核工作任务，以“守住管好天下粮仓”，认真做好“广积粮、积好粮、好积粮”三篇文章为己任，严格执行《阿坝州贯彻落实粮食安全首长责任制考核办法》、《红原县贯彻落实粮食安全首长责任制考核办法》，履职尽责，创新工作，切实做好军需民食供应、粮食库存检查、科学管粮、依法治粮、维护社会稳定等方面工作并取得较大进展</w:t>
      </w:r>
      <w:r>
        <w:rPr>
          <w:rFonts w:hint="eastAsia" w:ascii="仿宋_GB2312" w:eastAsia="仿宋_GB2312" w:cs="宋体"/>
          <w:sz w:val="32"/>
          <w:szCs w:val="32"/>
        </w:rPr>
        <w:t>。为促进粮食流通事业科学发展，</w:t>
      </w:r>
      <w:r>
        <w:rPr>
          <w:rFonts w:hint="eastAsia" w:ascii="仿宋_GB2312" w:eastAsia="仿宋_GB2312"/>
          <w:sz w:val="32"/>
          <w:szCs w:val="32"/>
        </w:rPr>
        <w:t>推进粮食工作健康发展</w:t>
      </w:r>
      <w:r>
        <w:rPr>
          <w:rFonts w:hint="eastAsia" w:ascii="仿宋_GB2312" w:eastAsia="仿宋_GB2312" w:cs="宋体"/>
          <w:sz w:val="32"/>
          <w:szCs w:val="32"/>
        </w:rPr>
        <w:t>做出新的贡献。</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eastAsia="仿宋" w:cs="仿宋_GB2312"/>
          <w:bCs/>
          <w:sz w:val="32"/>
          <w:szCs w:val="32"/>
          <w:lang w:val="en-US" w:eastAsia="zh-CN"/>
        </w:rPr>
      </w:pPr>
      <w:r>
        <w:rPr>
          <w:rFonts w:hint="eastAsia" w:ascii="仿宋_GB2312" w:eastAsia="仿宋_GB2312"/>
          <w:sz w:val="32"/>
          <w:szCs w:val="32"/>
        </w:rPr>
        <w:t>1.</w:t>
      </w:r>
      <w:r>
        <w:rPr>
          <w:rFonts w:hint="eastAsia" w:ascii="仿宋_GB2312" w:hAnsi="仿宋_GB2312" w:eastAsia="仿宋_GB2312" w:cs="仿宋_GB2312"/>
          <w:b w:val="0"/>
          <w:bCs w:val="0"/>
          <w:sz w:val="32"/>
          <w:szCs w:val="32"/>
        </w:rPr>
        <w:t>认真做好</w:t>
      </w:r>
      <w:r>
        <w:rPr>
          <w:rFonts w:hint="eastAsia" w:ascii="仿宋_GB2312" w:hAnsi="仿宋_GB2312" w:eastAsia="仿宋_GB2312" w:cs="仿宋_GB2312"/>
          <w:b w:val="0"/>
          <w:bCs w:val="0"/>
          <w:sz w:val="32"/>
          <w:szCs w:val="32"/>
          <w:lang w:eastAsia="zh-CN"/>
        </w:rPr>
        <w:t>粮食和物资</w:t>
      </w:r>
      <w:r>
        <w:rPr>
          <w:rFonts w:hint="eastAsia" w:ascii="仿宋_GB2312" w:hAnsi="仿宋_GB2312" w:eastAsia="仿宋_GB2312" w:cs="仿宋_GB2312"/>
          <w:b w:val="0"/>
          <w:bCs w:val="0"/>
          <w:sz w:val="32"/>
          <w:szCs w:val="32"/>
        </w:rPr>
        <w:t>应急</w:t>
      </w:r>
      <w:r>
        <w:rPr>
          <w:rFonts w:hint="eastAsia" w:ascii="仿宋_GB2312" w:hAnsi="仿宋_GB2312" w:eastAsia="仿宋_GB2312" w:cs="仿宋_GB2312"/>
          <w:b w:val="0"/>
          <w:bCs w:val="0"/>
          <w:color w:val="333333"/>
          <w:sz w:val="32"/>
          <w:szCs w:val="32"/>
        </w:rPr>
        <w:t>储备工作</w:t>
      </w:r>
      <w:r>
        <w:rPr>
          <w:rFonts w:hint="eastAsia" w:ascii="仿宋_GB2312" w:hAnsi="仿宋_GB2312" w:eastAsia="仿宋_GB2312" w:cs="仿宋_GB2312"/>
          <w:b w:val="0"/>
          <w:bCs w:val="0"/>
          <w:color w:val="333333"/>
          <w:sz w:val="32"/>
          <w:szCs w:val="32"/>
          <w:lang w:eastAsia="zh-CN"/>
        </w:rPr>
        <w:t>。</w:t>
      </w:r>
      <w:r>
        <w:rPr>
          <w:rFonts w:hint="eastAsia" w:ascii="仿宋_GB2312" w:hAnsi="仿宋_GB2312" w:eastAsia="仿宋_GB2312" w:cs="仿宋_GB2312"/>
          <w:b w:val="0"/>
          <w:bCs w:val="0"/>
          <w:sz w:val="32"/>
          <w:szCs w:val="32"/>
          <w:lang w:val="en-US" w:eastAsia="zh-CN"/>
        </w:rPr>
        <w:t>自2019年2月</w:t>
      </w:r>
      <w:r>
        <w:rPr>
          <w:rFonts w:hint="eastAsia" w:ascii="仿宋_GB2312" w:hAnsi="仿宋_GB2312" w:eastAsia="仿宋_GB2312" w:cs="仿宋_GB2312"/>
          <w:b w:val="0"/>
          <w:bCs w:val="0"/>
          <w:sz w:val="32"/>
          <w:szCs w:val="32"/>
          <w:lang w:eastAsia="zh-CN"/>
        </w:rPr>
        <w:t>机改后，</w:t>
      </w:r>
      <w:r>
        <w:rPr>
          <w:rFonts w:hint="eastAsia" w:ascii="仿宋_GB2312" w:hAnsi="仿宋_GB2312" w:eastAsia="仿宋_GB2312" w:cs="仿宋_GB2312"/>
          <w:b w:val="0"/>
          <w:bCs w:val="0"/>
          <w:sz w:val="32"/>
          <w:szCs w:val="32"/>
        </w:rPr>
        <w:t>根据《中共阿坝州委机构编制委员会办公室关于调整红原县部分事业单位机构编制事项的批复》，我单位原县粮食局更名为县粮食和物资储备中心。</w:t>
      </w:r>
      <w:r>
        <w:rPr>
          <w:rFonts w:hint="eastAsia" w:ascii="仿宋_GB2312" w:hAnsi="仿宋_GB2312" w:eastAsia="仿宋_GB2312" w:cs="仿宋_GB2312"/>
          <w:b w:val="0"/>
          <w:bCs w:val="0"/>
          <w:sz w:val="32"/>
          <w:szCs w:val="32"/>
          <w:lang w:eastAsia="zh-CN"/>
        </w:rPr>
        <w:t>目前，</w:t>
      </w:r>
      <w:r>
        <w:rPr>
          <w:rFonts w:hint="eastAsia" w:ascii="仿宋_GB2312" w:hAnsi="仿宋_GB2312" w:eastAsia="仿宋_GB2312" w:cs="仿宋_GB2312"/>
          <w:b w:val="0"/>
          <w:bCs w:val="0"/>
          <w:color w:val="333333"/>
          <w:sz w:val="32"/>
          <w:szCs w:val="32"/>
          <w:lang w:eastAsia="zh-CN"/>
        </w:rPr>
        <w:t>粮食和物资储备应急管理工作开展有序。</w:t>
      </w:r>
      <w:r>
        <w:rPr>
          <w:rFonts w:hint="eastAsia" w:ascii="仿宋_GB2312" w:hAnsi="仿宋_GB2312" w:eastAsia="仿宋_GB2312" w:cs="仿宋_GB2312"/>
          <w:b w:val="0"/>
          <w:bCs w:val="0"/>
          <w:color w:val="333333"/>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2.根据《阿坝州20</w:t>
      </w:r>
      <w:r>
        <w:rPr>
          <w:rFonts w:hint="eastAsia" w:ascii="仿宋" w:hAnsi="仿宋" w:eastAsia="仿宋" w:cs="仿宋"/>
          <w:sz w:val="32"/>
          <w:szCs w:val="32"/>
          <w:lang w:val="en-US" w:eastAsia="zh-CN"/>
        </w:rPr>
        <w:t>20</w:t>
      </w:r>
      <w:r>
        <w:rPr>
          <w:rFonts w:hint="eastAsia" w:ascii="仿宋" w:hAnsi="仿宋" w:eastAsia="仿宋" w:cs="仿宋"/>
          <w:sz w:val="32"/>
          <w:szCs w:val="32"/>
        </w:rPr>
        <w:t>年州级财政</w:t>
      </w:r>
      <w:r>
        <w:rPr>
          <w:rFonts w:hint="eastAsia" w:ascii="仿宋" w:hAnsi="仿宋" w:eastAsia="仿宋" w:cs="仿宋"/>
          <w:sz w:val="32"/>
          <w:szCs w:val="32"/>
          <w:lang w:eastAsia="zh-CN"/>
        </w:rPr>
        <w:t>专项</w:t>
      </w:r>
      <w:r>
        <w:rPr>
          <w:rFonts w:hint="eastAsia" w:ascii="仿宋" w:hAnsi="仿宋" w:eastAsia="仿宋" w:cs="仿宋"/>
          <w:sz w:val="32"/>
          <w:szCs w:val="32"/>
        </w:rPr>
        <w:t>扶贫资金分配</w:t>
      </w:r>
      <w:r>
        <w:rPr>
          <w:rFonts w:hint="eastAsia" w:ascii="仿宋" w:hAnsi="仿宋" w:eastAsia="仿宋" w:cs="仿宋"/>
          <w:sz w:val="32"/>
          <w:szCs w:val="32"/>
          <w:lang w:eastAsia="zh-CN"/>
        </w:rPr>
        <w:t>表</w:t>
      </w:r>
      <w:r>
        <w:rPr>
          <w:rFonts w:hint="eastAsia" w:ascii="仿宋" w:hAnsi="仿宋" w:eastAsia="仿宋" w:cs="仿宋"/>
          <w:sz w:val="32"/>
          <w:szCs w:val="32"/>
        </w:rPr>
        <w:t>》</w:t>
      </w:r>
      <w:r>
        <w:rPr>
          <w:rFonts w:hint="eastAsia" w:ascii="仿宋" w:hAnsi="仿宋" w:eastAsia="仿宋" w:cs="仿宋"/>
          <w:sz w:val="32"/>
          <w:szCs w:val="32"/>
          <w:lang w:eastAsia="zh-CN"/>
        </w:rPr>
        <w:t>和《红原县扶贫开发和综合防治大骨节病工作</w:t>
      </w:r>
      <w:r>
        <w:rPr>
          <w:rFonts w:hint="eastAsia" w:ascii="仿宋" w:hAnsi="仿宋" w:eastAsia="仿宋" w:cs="仿宋"/>
          <w:sz w:val="32"/>
          <w:szCs w:val="32"/>
          <w:lang w:val="en-US" w:eastAsia="zh-CN"/>
        </w:rPr>
        <w:t>2020年度更换粮食项目实施方案</w:t>
      </w:r>
      <w:r>
        <w:rPr>
          <w:rFonts w:hint="eastAsia" w:ascii="仿宋" w:hAnsi="仿宋" w:eastAsia="仿宋" w:cs="仿宋"/>
          <w:sz w:val="32"/>
          <w:szCs w:val="32"/>
          <w:lang w:eastAsia="zh-CN"/>
        </w:rPr>
        <w:t>》，</w:t>
      </w:r>
      <w:r>
        <w:rPr>
          <w:rFonts w:hint="eastAsia" w:ascii="仿宋" w:hAnsi="仿宋" w:eastAsia="仿宋" w:cs="仿宋"/>
          <w:sz w:val="32"/>
          <w:szCs w:val="32"/>
        </w:rPr>
        <w:t>我县</w:t>
      </w:r>
      <w:r>
        <w:rPr>
          <w:rFonts w:hint="eastAsia" w:ascii="仿宋" w:hAnsi="仿宋" w:eastAsia="仿宋" w:cs="仿宋"/>
          <w:sz w:val="32"/>
          <w:szCs w:val="32"/>
          <w:lang w:eastAsia="zh-CN"/>
        </w:rPr>
        <w:t>实际建档立卡</w:t>
      </w:r>
      <w:r>
        <w:rPr>
          <w:rFonts w:hint="eastAsia" w:ascii="仿宋" w:hAnsi="仿宋" w:eastAsia="仿宋" w:cs="仿宋"/>
          <w:sz w:val="32"/>
          <w:szCs w:val="32"/>
        </w:rPr>
        <w:t>病区群众换粮人数19</w:t>
      </w:r>
      <w:r>
        <w:rPr>
          <w:rFonts w:hint="eastAsia" w:ascii="仿宋" w:hAnsi="仿宋" w:eastAsia="仿宋" w:cs="仿宋"/>
          <w:sz w:val="32"/>
          <w:szCs w:val="32"/>
          <w:lang w:val="en-US" w:eastAsia="zh-CN"/>
        </w:rPr>
        <w:t>418</w:t>
      </w:r>
      <w:r>
        <w:rPr>
          <w:rFonts w:hint="eastAsia" w:ascii="仿宋" w:hAnsi="仿宋" w:eastAsia="仿宋" w:cs="仿宋"/>
          <w:sz w:val="32"/>
          <w:szCs w:val="32"/>
        </w:rPr>
        <w:t>人，易地育人学生换粮人数</w:t>
      </w:r>
      <w:r>
        <w:rPr>
          <w:rFonts w:hint="eastAsia" w:ascii="仿宋" w:hAnsi="仿宋" w:eastAsia="仿宋" w:cs="仿宋"/>
          <w:sz w:val="32"/>
          <w:szCs w:val="32"/>
          <w:lang w:val="en-US" w:eastAsia="zh-CN"/>
        </w:rPr>
        <w:t>6424</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 w:hAnsi="仿宋" w:eastAsia="仿宋" w:cs="仿宋"/>
          <w:sz w:val="32"/>
          <w:szCs w:val="32"/>
        </w:rPr>
        <w:t>全年</w:t>
      </w:r>
      <w:r>
        <w:rPr>
          <w:rFonts w:hint="eastAsia" w:ascii="仿宋" w:hAnsi="仿宋" w:eastAsia="仿宋" w:cs="仿宋"/>
          <w:sz w:val="32"/>
          <w:szCs w:val="32"/>
          <w:lang w:eastAsia="zh-CN"/>
        </w:rPr>
        <w:t>共为</w:t>
      </w:r>
      <w:r>
        <w:rPr>
          <w:rFonts w:hint="eastAsia" w:ascii="仿宋" w:hAnsi="仿宋" w:eastAsia="仿宋" w:cs="仿宋"/>
          <w:sz w:val="32"/>
          <w:szCs w:val="32"/>
          <w:lang w:val="en-US" w:eastAsia="zh-CN"/>
        </w:rPr>
        <w:t>25842人</w:t>
      </w:r>
      <w:r>
        <w:rPr>
          <w:rFonts w:hint="eastAsia" w:ascii="仿宋" w:hAnsi="仿宋" w:eastAsia="仿宋" w:cs="仿宋"/>
          <w:sz w:val="32"/>
          <w:szCs w:val="32"/>
        </w:rPr>
        <w:t>换粮</w:t>
      </w:r>
      <w:r>
        <w:rPr>
          <w:rFonts w:hint="eastAsia" w:ascii="仿宋" w:hAnsi="仿宋" w:eastAsia="仿宋" w:cs="仿宋"/>
          <w:color w:val="000000"/>
          <w:sz w:val="32"/>
          <w:szCs w:val="32"/>
        </w:rPr>
        <w:t>17</w:t>
      </w:r>
      <w:r>
        <w:rPr>
          <w:rFonts w:hint="eastAsia" w:ascii="仿宋" w:hAnsi="仿宋" w:eastAsia="仿宋" w:cs="仿宋"/>
          <w:color w:val="000000"/>
          <w:sz w:val="32"/>
          <w:szCs w:val="32"/>
          <w:lang w:val="en-US" w:eastAsia="zh-CN"/>
        </w:rPr>
        <w:t>34.52</w:t>
      </w:r>
      <w:r>
        <w:rPr>
          <w:rFonts w:hint="eastAsia" w:ascii="仿宋" w:hAnsi="仿宋" w:eastAsia="仿宋" w:cs="仿宋"/>
          <w:sz w:val="32"/>
          <w:szCs w:val="32"/>
          <w:lang w:eastAsia="zh-CN"/>
        </w:rPr>
        <w:t>吨</w:t>
      </w:r>
      <w:r>
        <w:rPr>
          <w:rFonts w:hint="eastAsia" w:ascii="仿宋" w:hAnsi="仿宋" w:eastAsia="仿宋" w:cs="仿宋"/>
          <w:sz w:val="32"/>
          <w:szCs w:val="32"/>
        </w:rPr>
        <w:t>。</w:t>
      </w:r>
      <w:r>
        <w:rPr>
          <w:rFonts w:hint="eastAsia" w:ascii="仿宋" w:hAnsi="仿宋" w:eastAsia="仿宋" w:cs="仿宋"/>
          <w:sz w:val="32"/>
          <w:szCs w:val="32"/>
          <w:lang w:eastAsia="zh-CN"/>
        </w:rPr>
        <w:t>该项目启动时间</w:t>
      </w:r>
      <w:r>
        <w:rPr>
          <w:rFonts w:hint="eastAsia" w:ascii="仿宋" w:hAnsi="仿宋" w:eastAsia="仿宋" w:cs="仿宋"/>
          <w:sz w:val="32"/>
          <w:szCs w:val="32"/>
        </w:rPr>
        <w:t>2020年9月15日</w:t>
      </w:r>
      <w:r>
        <w:rPr>
          <w:rFonts w:hint="eastAsia" w:ascii="仿宋" w:hAnsi="仿宋" w:eastAsia="仿宋" w:cs="仿宋"/>
          <w:sz w:val="32"/>
          <w:szCs w:val="32"/>
          <w:lang w:eastAsia="zh-CN"/>
        </w:rPr>
        <w:t>，更换粮食发放第一站在</w:t>
      </w:r>
      <w:r>
        <w:rPr>
          <w:rFonts w:hint="eastAsia" w:ascii="仿宋" w:hAnsi="仿宋" w:eastAsia="仿宋" w:cs="仿宋"/>
          <w:sz w:val="32"/>
          <w:szCs w:val="32"/>
        </w:rPr>
        <w:t>色地镇。</w:t>
      </w:r>
      <w:r>
        <w:rPr>
          <w:rFonts w:hint="eastAsia" w:ascii="仿宋" w:hAnsi="仿宋" w:eastAsia="仿宋" w:cs="仿宋"/>
          <w:sz w:val="32"/>
          <w:szCs w:val="32"/>
          <w:lang w:eastAsia="zh-CN"/>
        </w:rPr>
        <w:t>截止目前，已</w:t>
      </w:r>
      <w:r>
        <w:rPr>
          <w:rFonts w:hint="eastAsia" w:ascii="仿宋" w:hAnsi="仿宋" w:eastAsia="仿宋" w:cs="仿宋"/>
          <w:sz w:val="32"/>
          <w:szCs w:val="32"/>
        </w:rPr>
        <w:t>完成</w:t>
      </w:r>
      <w:r>
        <w:rPr>
          <w:rFonts w:hint="eastAsia" w:ascii="仿宋" w:hAnsi="仿宋" w:eastAsia="仿宋" w:cs="仿宋"/>
          <w:sz w:val="32"/>
          <w:szCs w:val="32"/>
          <w:lang w:eastAsia="zh-CN"/>
        </w:rPr>
        <w:t>七个乡镇</w:t>
      </w:r>
      <w:r>
        <w:rPr>
          <w:rFonts w:hint="eastAsia" w:ascii="仿宋" w:hAnsi="仿宋" w:eastAsia="仿宋" w:cs="仿宋"/>
          <w:sz w:val="32"/>
          <w:szCs w:val="32"/>
          <w:lang w:val="en-US" w:eastAsia="zh-CN"/>
        </w:rPr>
        <w:t>1007.2吨</w:t>
      </w:r>
      <w:r>
        <w:rPr>
          <w:rFonts w:hint="eastAsia" w:ascii="仿宋" w:hAnsi="仿宋" w:eastAsia="仿宋" w:cs="仿宋"/>
          <w:sz w:val="32"/>
          <w:szCs w:val="32"/>
        </w:rPr>
        <w:t>更换粮食的发放工作</w:t>
      </w:r>
      <w:r>
        <w:rPr>
          <w:rFonts w:hint="eastAsia" w:ascii="仿宋" w:hAnsi="仿宋" w:eastAsia="仿宋" w:cs="仿宋"/>
          <w:sz w:val="32"/>
          <w:szCs w:val="32"/>
          <w:lang w:eastAsia="zh-CN"/>
        </w:rPr>
        <w:t>，完成率</w:t>
      </w:r>
      <w:r>
        <w:rPr>
          <w:rFonts w:hint="eastAsia" w:ascii="仿宋" w:hAnsi="仿宋" w:eastAsia="仿宋" w:cs="仿宋"/>
          <w:sz w:val="32"/>
          <w:szCs w:val="32"/>
          <w:lang w:val="en-US" w:eastAsia="zh-CN"/>
        </w:rPr>
        <w:t>58%。预计11月初全面完成更换粮食的发放任务</w:t>
      </w:r>
      <w:r>
        <w:rPr>
          <w:rFonts w:hint="eastAsia" w:ascii="仿宋" w:hAnsi="仿宋" w:eastAsia="仿宋" w:cs="仿宋"/>
          <w:sz w:val="32"/>
          <w:szCs w:val="32"/>
        </w:rPr>
        <w:t>。</w:t>
      </w:r>
      <w:r>
        <w:rPr>
          <w:rFonts w:hint="eastAsia" w:ascii="仿宋_GB2312" w:eastAsia="仿宋_GB2312"/>
          <w:bCs/>
          <w:sz w:val="32"/>
          <w:szCs w:val="32"/>
        </w:rPr>
        <w:t xml:space="preserve"> </w:t>
      </w:r>
    </w:p>
    <w:p>
      <w:pPr>
        <w:pStyle w:val="32"/>
        <w:spacing w:before="0" w:beforeAutospacing="0" w:after="0" w:afterAutospacing="0" w:line="600" w:lineRule="exact"/>
        <w:ind w:firstLine="600"/>
        <w:jc w:val="both"/>
        <w:rPr>
          <w:rFonts w:hint="eastAsia" w:ascii="仿宋" w:hAnsi="仿宋" w:eastAsia="仿宋" w:cs="仿宋"/>
          <w:sz w:val="32"/>
          <w:szCs w:val="32"/>
        </w:rPr>
      </w:pPr>
      <w:r>
        <w:rPr>
          <w:rFonts w:hint="eastAsia" w:ascii="仿宋" w:hAnsi="仿宋" w:eastAsia="仿宋" w:cs="仿宋"/>
          <w:sz w:val="32"/>
          <w:szCs w:val="32"/>
        </w:rPr>
        <w:t xml:space="preserve"> 3.增强粮食仓储规范化管理水平。</w:t>
      </w:r>
      <w:r>
        <w:rPr>
          <w:rFonts w:hint="eastAsia" w:ascii="仿宋_GB2312" w:eastAsia="仿宋_GB2312"/>
          <w:sz w:val="32"/>
          <w:szCs w:val="32"/>
        </w:rPr>
        <w:t>严格按照《粮食仓储管理办法》等规定，完善制度，层层签订责任书，逐级逐人落实目标管理责任，严明政策纪律，狠抓落实；想方设法筹措资金，不断改善粮食仓储条件。</w:t>
      </w:r>
    </w:p>
    <w:p>
      <w:pPr>
        <w:numPr>
          <w:ilvl w:val="0"/>
          <w:numId w:val="1"/>
        </w:num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营造良好的粮食流通环境。</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5.做好安全生产工作，安全保粮，杜绝事故隐患。</w:t>
      </w:r>
    </w:p>
    <w:p>
      <w:pPr>
        <w:jc w:val="left"/>
        <w:rPr>
          <w:rFonts w:hint="eastAsia" w:ascii="仿宋" w:hAnsi="仿宋" w:eastAsia="仿宋" w:cs="仿宋"/>
          <w:sz w:val="32"/>
          <w:szCs w:val="32"/>
        </w:rPr>
      </w:pPr>
      <w:r>
        <w:rPr>
          <w:rFonts w:hint="eastAsia" w:ascii="仿宋" w:hAnsi="仿宋" w:eastAsia="仿宋" w:cs="仿宋"/>
          <w:sz w:val="32"/>
          <w:szCs w:val="32"/>
        </w:rPr>
        <w:t xml:space="preserve">    6.切实做好我县粮食安全首长责任制工作。</w:t>
      </w:r>
    </w:p>
    <w:p>
      <w:pPr>
        <w:jc w:val="left"/>
        <w:rPr>
          <w:rFonts w:hint="eastAsia" w:ascii="仿宋" w:hAnsi="仿宋" w:eastAsia="仿宋" w:cs="仿宋"/>
          <w:sz w:val="32"/>
          <w:szCs w:val="32"/>
        </w:rPr>
      </w:pPr>
      <w:r>
        <w:rPr>
          <w:rFonts w:hint="eastAsia" w:ascii="仿宋" w:hAnsi="仿宋" w:eastAsia="仿宋" w:cs="仿宋"/>
          <w:sz w:val="32"/>
          <w:szCs w:val="32"/>
        </w:rPr>
        <w:t xml:space="preserve">    7.周密部署，全面完成我县粮食库存检查工作。</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8.以队伍建设保障，增强机关凝聚力。 </w:t>
      </w:r>
      <w:r>
        <w:rPr>
          <w:rFonts w:hint="eastAsia" w:ascii="楷体" w:hAnsi="楷体" w:eastAsia="楷体" w:cs="楷体"/>
          <w:b/>
          <w:bCs/>
          <w:sz w:val="32"/>
          <w:szCs w:val="32"/>
        </w:rPr>
        <w:t>  </w:t>
      </w:r>
    </w:p>
    <w:p>
      <w:pPr>
        <w:numPr>
          <w:ilvl w:val="0"/>
          <w:numId w:val="2"/>
        </w:num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认真做好党建工作。</w:t>
      </w:r>
    </w:p>
    <w:p>
      <w:pPr>
        <w:spacing w:line="540" w:lineRule="exact"/>
        <w:rPr>
          <w:rFonts w:hint="eastAsia" w:ascii="仿宋_GB2312" w:eastAsia="仿宋_GB2312"/>
          <w:sz w:val="32"/>
          <w:szCs w:val="32"/>
        </w:rPr>
      </w:pPr>
      <w:r>
        <w:rPr>
          <w:rFonts w:hint="eastAsia" w:ascii="仿宋_GB2312" w:eastAsia="仿宋_GB2312"/>
          <w:sz w:val="32"/>
          <w:szCs w:val="32"/>
        </w:rPr>
        <w:t xml:space="preserve">    10.认真做好党风廉政工作。</w:t>
      </w:r>
    </w:p>
    <w:p>
      <w:pPr>
        <w:spacing w:line="540" w:lineRule="exact"/>
        <w:rPr>
          <w:rFonts w:hint="eastAsia"/>
          <w:bCs/>
          <w:color w:val="000000"/>
          <w:sz w:val="32"/>
          <w:szCs w:val="32"/>
        </w:rPr>
      </w:pPr>
      <w:r>
        <w:rPr>
          <w:rFonts w:hint="eastAsia" w:ascii="仿宋" w:hAnsi="仿宋" w:eastAsia="仿宋" w:cs="仿宋"/>
          <w:sz w:val="32"/>
          <w:szCs w:val="32"/>
        </w:rPr>
        <w:t xml:space="preserve">    11.严格要求，认真做好其他各项工作。</w:t>
      </w:r>
    </w:p>
    <w:p>
      <w:pPr>
        <w:pStyle w:val="5"/>
        <w:adjustRightInd w:val="0"/>
        <w:snapToGrid w:val="0"/>
        <w:spacing w:before="93" w:line="600" w:lineRule="exact"/>
        <w:ind w:firstLine="640" w:firstLineChars="200"/>
        <w:outlineLvl w:val="9"/>
        <w:rPr>
          <w:rFonts w:hint="eastAsia" w:ascii="仿宋" w:hAnsi="仿宋" w:eastAsia="仿宋"/>
          <w:bCs/>
          <w:color w:val="000000"/>
          <w:sz w:val="32"/>
          <w:szCs w:val="32"/>
        </w:rPr>
      </w:pPr>
    </w:p>
    <w:p>
      <w:pPr>
        <w:pStyle w:val="3"/>
        <w:numPr>
          <w:ilvl w:val="0"/>
          <w:numId w:val="3"/>
        </w:numPr>
        <w:outlineLvl w:val="0"/>
        <w:rPr>
          <w:rStyle w:val="31"/>
          <w:rFonts w:hint="eastAsia" w:ascii="黑体" w:hAnsi="黑体" w:eastAsia="黑体"/>
          <w:b w:val="0"/>
          <w:bCs w:val="0"/>
        </w:rPr>
      </w:pPr>
      <w:bookmarkStart w:id="28" w:name="_Toc15396601"/>
      <w:bookmarkStart w:id="29" w:name="_Toc12652"/>
      <w:bookmarkStart w:id="30" w:name="_Toc15377200"/>
      <w:r>
        <w:rPr>
          <w:rFonts w:hint="eastAsia" w:ascii="黑体" w:hAnsi="黑体" w:eastAsia="黑体"/>
          <w:b w:val="0"/>
          <w:color w:val="000000"/>
        </w:rPr>
        <w:t>机</w:t>
      </w:r>
      <w:r>
        <w:rPr>
          <w:rStyle w:val="31"/>
          <w:rFonts w:hint="eastAsia" w:ascii="黑体" w:hAnsi="黑体" w:eastAsia="黑体"/>
          <w:b w:val="0"/>
          <w:bCs w:val="0"/>
        </w:rPr>
        <w:t>构设置</w:t>
      </w:r>
      <w:bookmarkEnd w:id="28"/>
      <w:bookmarkEnd w:id="29"/>
      <w:bookmarkEnd w:id="30"/>
    </w:p>
    <w:p>
      <w:pPr>
        <w:pStyle w:val="3"/>
        <w:numPr>
          <w:ilvl w:val="0"/>
          <w:numId w:val="0"/>
        </w:numPr>
        <w:ind w:firstLine="640" w:firstLineChars="200"/>
        <w:rPr>
          <w:rFonts w:ascii="仿宋" w:hAnsi="仿宋" w:eastAsia="仿宋"/>
          <w:color w:val="000000"/>
          <w:sz w:val="32"/>
          <w:szCs w:val="32"/>
        </w:rPr>
      </w:pPr>
      <w:bookmarkStart w:id="31" w:name="_Toc19540"/>
      <w:bookmarkStart w:id="32" w:name="_Toc18604"/>
      <w:r>
        <w:rPr>
          <w:rFonts w:hint="eastAsia" w:ascii="仿宋" w:hAnsi="仿宋" w:eastAsia="仿宋" w:cs="仿宋_GB2312"/>
          <w:b w:val="0"/>
          <w:bCs w:val="0"/>
          <w:sz w:val="32"/>
          <w:szCs w:val="32"/>
        </w:rPr>
        <w:t>我单位为独立核算全额拨款参公单位。机构1个。设有4个股室（办公室、综合股、监督检查股、行政审批股）。截止20</w:t>
      </w:r>
      <w:r>
        <w:rPr>
          <w:rFonts w:hint="eastAsia" w:ascii="仿宋" w:hAnsi="仿宋" w:eastAsia="仿宋" w:cs="仿宋_GB2312"/>
          <w:b w:val="0"/>
          <w:bCs w:val="0"/>
          <w:sz w:val="32"/>
          <w:szCs w:val="32"/>
          <w:lang w:val="en-US" w:eastAsia="zh-CN"/>
        </w:rPr>
        <w:t>20</w:t>
      </w:r>
      <w:r>
        <w:rPr>
          <w:rFonts w:hint="eastAsia" w:ascii="仿宋" w:hAnsi="仿宋" w:eastAsia="仿宋" w:cs="仿宋_GB2312"/>
          <w:b w:val="0"/>
          <w:bCs w:val="0"/>
          <w:sz w:val="32"/>
          <w:szCs w:val="32"/>
        </w:rPr>
        <w:t>年底我单位共有编制8个，其中参公8人。实有人数8人，离休1人。</w:t>
      </w:r>
      <w:bookmarkEnd w:id="31"/>
      <w:bookmarkEnd w:id="32"/>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33" w:name="_Toc15396602"/>
      <w:bookmarkStart w:id="34" w:name="_Toc18632"/>
      <w:bookmarkStart w:id="35"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w:t>
      </w:r>
      <w:r>
        <w:rPr>
          <w:rStyle w:val="25"/>
          <w:rFonts w:hint="eastAsia" w:ascii="黑体" w:hAnsi="黑体" w:eastAsia="黑体"/>
          <w:b w:val="0"/>
          <w:bCs w:val="0"/>
          <w:lang w:val="en-US" w:eastAsia="zh-CN"/>
        </w:rPr>
        <w:t>20</w:t>
      </w:r>
      <w:r>
        <w:rPr>
          <w:rStyle w:val="25"/>
          <w:rFonts w:hint="eastAsia" w:ascii="黑体" w:hAnsi="黑体" w:eastAsia="黑体"/>
          <w:b w:val="0"/>
          <w:bCs w:val="0"/>
        </w:rPr>
        <w:t>年度部门决算情况说明</w:t>
      </w:r>
      <w:bookmarkEnd w:id="33"/>
      <w:bookmarkEnd w:id="34"/>
      <w:bookmarkEnd w:id="35"/>
    </w:p>
    <w:p/>
    <w:p>
      <w:pPr>
        <w:pStyle w:val="24"/>
        <w:numPr>
          <w:ilvl w:val="0"/>
          <w:numId w:val="4"/>
        </w:numPr>
        <w:spacing w:line="600" w:lineRule="exact"/>
        <w:ind w:firstLineChars="0"/>
        <w:outlineLvl w:val="1"/>
        <w:rPr>
          <w:rStyle w:val="31"/>
          <w:rFonts w:ascii="黑体" w:hAnsi="黑体" w:eastAsia="黑体"/>
          <w:b w:val="0"/>
        </w:rPr>
      </w:pPr>
      <w:bookmarkStart w:id="36" w:name="_Toc15377205"/>
      <w:bookmarkStart w:id="37" w:name="_Toc5142"/>
      <w:bookmarkStart w:id="38" w:name="_Toc15396603"/>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6"/>
      <w:bookmarkEnd w:id="37"/>
      <w:bookmarkEnd w:id="38"/>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入总计554万元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204</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入总计增加336万元，增加178%。</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2020增加物资储备库建设项目。</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增加8%。</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2020年新增物资储备库项目。</w:t>
      </w:r>
    </w:p>
    <w:p>
      <w:pPr>
        <w:spacing w:line="240" w:lineRule="auto"/>
        <w:ind w:firstLine="42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eastAsiaTheme="minorEastAsia"/>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4"/>
        <w:numPr>
          <w:ilvl w:val="0"/>
          <w:numId w:val="4"/>
        </w:numPr>
        <w:spacing w:line="600" w:lineRule="exact"/>
        <w:ind w:firstLineChars="0"/>
        <w:outlineLvl w:val="1"/>
        <w:rPr>
          <w:rStyle w:val="31"/>
          <w:rFonts w:ascii="黑体" w:hAnsi="黑体" w:eastAsia="黑体"/>
          <w:b w:val="0"/>
        </w:rPr>
      </w:pPr>
      <w:bookmarkStart w:id="39" w:name="_Toc15377206"/>
      <w:bookmarkStart w:id="40" w:name="_Toc14236"/>
      <w:bookmarkStart w:id="41" w:name="_Toc15396604"/>
      <w:r>
        <w:rPr>
          <w:rFonts w:hint="eastAsia" w:ascii="黑体" w:hAnsi="黑体" w:eastAsia="黑体"/>
          <w:color w:val="000000"/>
          <w:sz w:val="32"/>
          <w:szCs w:val="32"/>
        </w:rPr>
        <w:t>收</w:t>
      </w:r>
      <w:r>
        <w:rPr>
          <w:rStyle w:val="31"/>
          <w:rFonts w:hint="eastAsia" w:ascii="黑体" w:hAnsi="黑体" w:eastAsia="黑体"/>
          <w:b w:val="0"/>
        </w:rPr>
        <w:t>入决算情况说明</w:t>
      </w:r>
      <w:bookmarkEnd w:id="39"/>
      <w:bookmarkEnd w:id="40"/>
      <w:bookmarkEnd w:id="41"/>
    </w:p>
    <w:p>
      <w:pPr>
        <w:spacing w:line="600" w:lineRule="exact"/>
        <w:ind w:firstLine="640" w:firstLineChars="200"/>
        <w:outlineLvl w:val="1"/>
        <w:rPr>
          <w:rFonts w:hint="eastAsia" w:ascii="仿宋" w:hAnsi="仿宋" w:eastAsia="仿宋"/>
          <w:color w:val="000000"/>
          <w:sz w:val="32"/>
          <w:szCs w:val="32"/>
        </w:rPr>
      </w:pPr>
      <w:bookmarkStart w:id="42" w:name="_Toc23224"/>
      <w:bookmarkStart w:id="43" w:name="_Toc9836"/>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554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2"/>
      <w:bookmarkEnd w:id="43"/>
    </w:p>
    <w:p>
      <w:pPr>
        <w:spacing w:line="600" w:lineRule="exact"/>
        <w:ind w:firstLine="640" w:firstLineChars="200"/>
        <w:outlineLvl w:val="9"/>
        <w:rPr>
          <w:rFonts w:hint="eastAsia" w:ascii="仿宋" w:hAnsi="仿宋" w:eastAsia="仿宋"/>
          <w:color w:val="000000"/>
          <w:sz w:val="32"/>
          <w:szCs w:val="32"/>
        </w:rPr>
      </w:pPr>
    </w:p>
    <w:p>
      <w:pPr>
        <w:spacing w:line="240" w:lineRule="auto"/>
        <w:ind w:firstLine="420" w:firstLineChars="200"/>
        <w:outlineLvl w:val="9"/>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pStyle w:val="24"/>
        <w:numPr>
          <w:ilvl w:val="0"/>
          <w:numId w:val="4"/>
        </w:numPr>
        <w:spacing w:line="600" w:lineRule="exact"/>
        <w:ind w:firstLineChars="0"/>
        <w:outlineLvl w:val="1"/>
        <w:rPr>
          <w:rStyle w:val="26"/>
          <w:rFonts w:ascii="黑体" w:hAnsi="黑体" w:eastAsia="黑体"/>
          <w:b w:val="0"/>
        </w:rPr>
      </w:pPr>
      <w:bookmarkStart w:id="44" w:name="_Toc15377207"/>
      <w:bookmarkStart w:id="45" w:name="_Toc15396605"/>
      <w:bookmarkStart w:id="46" w:name="_Toc20672"/>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204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15</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640"/>
        <w:rPr>
          <w:rFonts w:hint="eastAsia" w:ascii="仿宋" w:hAnsi="仿宋" w:eastAsia="仿宋"/>
          <w:color w:val="000000"/>
          <w:sz w:val="32"/>
          <w:szCs w:val="32"/>
        </w:rPr>
      </w:pPr>
      <w:r>
        <w:rPr>
          <w:rFonts w:hint="eastAsia" w:eastAsiaTheme="minorEastAsia"/>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1600" w:firstLineChars="5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47" w:name="_Toc15396606"/>
      <w:bookmarkStart w:id="48" w:name="_Toc15377208"/>
      <w:bookmarkStart w:id="49" w:name="_Toc938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7"/>
      <w:bookmarkEnd w:id="48"/>
      <w:bookmarkEnd w:id="49"/>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554</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554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50" w:name="_Toc15377209"/>
      <w:bookmarkStart w:id="51" w:name="_Toc15396607"/>
      <w:bookmarkStart w:id="52" w:name="_Toc1912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0"/>
      <w:bookmarkEnd w:id="51"/>
      <w:bookmarkEnd w:id="52"/>
    </w:p>
    <w:p>
      <w:pPr>
        <w:spacing w:line="600" w:lineRule="exact"/>
        <w:ind w:firstLine="643" w:firstLineChars="200"/>
        <w:outlineLvl w:val="2"/>
        <w:rPr>
          <w:rFonts w:ascii="仿宋" w:hAnsi="仿宋" w:eastAsia="仿宋"/>
          <w:b/>
          <w:color w:val="000000"/>
          <w:sz w:val="32"/>
          <w:szCs w:val="32"/>
        </w:rPr>
      </w:pPr>
      <w:bookmarkStart w:id="53" w:name="_Toc15377210"/>
      <w:r>
        <w:rPr>
          <w:rFonts w:hint="eastAsia" w:ascii="仿宋" w:hAnsi="仿宋" w:eastAsia="仿宋"/>
          <w:b/>
          <w:color w:val="000000"/>
          <w:sz w:val="32"/>
          <w:szCs w:val="32"/>
        </w:rPr>
        <w:t>（一）一般公共预算财政拨款支出决算总体情况</w:t>
      </w:r>
      <w:bookmarkEnd w:id="53"/>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204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年相比，一般公共预算财政拨款支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增加8%。</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2020年新增物资储备库项目。</w:t>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240" w:lineRule="auto"/>
        <w:ind w:firstLine="420" w:firstLineChars="200"/>
        <w:rPr>
          <w:rFonts w:hint="eastAsia" w:ascii="仿宋_GB2312" w:hAnsi="仿宋_GB2312" w:eastAsia="仿宋_GB2312" w:cs="仿宋_GB2312"/>
          <w:color w:val="000000"/>
          <w:sz w:val="32"/>
          <w:szCs w:val="32"/>
          <w:lang w:val="en-US" w:eastAsia="zh-CN"/>
        </w:rPr>
      </w:pPr>
      <w:r>
        <w:rPr>
          <w:rFonts w:hint="eastAsia" w:eastAsiaTheme="minorEastAsia"/>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54" w:name="_Toc15377211"/>
      <w:r>
        <w:rPr>
          <w:rFonts w:hint="eastAsia" w:ascii="仿宋" w:hAnsi="仿宋" w:eastAsia="仿宋"/>
          <w:b/>
          <w:color w:val="000000"/>
          <w:sz w:val="32"/>
          <w:szCs w:val="32"/>
        </w:rPr>
        <w:t>（二）一般公共预算财政拨款支出决算结构情况</w:t>
      </w:r>
      <w:bookmarkEnd w:id="54"/>
    </w:p>
    <w:p>
      <w:pPr>
        <w:spacing w:line="600" w:lineRule="exact"/>
        <w:ind w:firstLine="640" w:firstLineChars="200"/>
        <w:jc w:val="left"/>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204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；教育支出（类）</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；科学技术（类）支出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；社会保障和就业（类）支出</w:t>
      </w:r>
      <w:r>
        <w:rPr>
          <w:rFonts w:hint="eastAsia" w:ascii="仿宋" w:hAnsi="仿宋" w:eastAsia="仿宋"/>
          <w:b w:val="0"/>
          <w:bCs/>
          <w:color w:val="000000" w:themeColor="text1"/>
          <w:sz w:val="32"/>
          <w:szCs w:val="32"/>
          <w:lang w:val="en-US" w:eastAsia="zh-CN"/>
          <w14:textFill>
            <w14:solidFill>
              <w14:schemeClr w14:val="tx1"/>
            </w14:solidFill>
          </w14:textFill>
        </w:rPr>
        <w:t>19.19</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9.4</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；医疗卫</w:t>
      </w:r>
      <w:r>
        <w:rPr>
          <w:rFonts w:hint="eastAsia" w:ascii="仿宋" w:hAnsi="仿宋" w:eastAsia="仿宋"/>
          <w:color w:val="000000" w:themeColor="text1"/>
          <w:sz w:val="32"/>
          <w:szCs w:val="32"/>
          <w14:textFill>
            <w14:solidFill>
              <w14:schemeClr w14:val="tx1"/>
            </w14:solidFill>
          </w14:textFill>
        </w:rPr>
        <w:t>生支出</w:t>
      </w:r>
      <w:r>
        <w:rPr>
          <w:rFonts w:hint="eastAsia" w:ascii="仿宋" w:hAnsi="仿宋" w:eastAsia="仿宋"/>
          <w:color w:val="000000" w:themeColor="text1"/>
          <w:sz w:val="32"/>
          <w:szCs w:val="32"/>
          <w:lang w:val="en-US" w:eastAsia="zh-CN"/>
          <w14:textFill>
            <w14:solidFill>
              <w14:schemeClr w14:val="tx1"/>
            </w14:solidFill>
          </w14:textFill>
        </w:rPr>
        <w:t>10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0万元，占0%；</w:t>
      </w:r>
      <w:r>
        <w:rPr>
          <w:rFonts w:hint="eastAsia" w:ascii="仿宋" w:hAnsi="仿宋" w:eastAsia="仿宋"/>
          <w:color w:val="000000" w:themeColor="text1"/>
          <w:sz w:val="32"/>
          <w:szCs w:val="32"/>
          <w14:textFill>
            <w14:solidFill>
              <w14:schemeClr w14:val="tx1"/>
            </w14:solidFill>
          </w14:textFill>
        </w:rPr>
        <w:t>住房</w:t>
      </w:r>
      <w:r>
        <w:rPr>
          <w:rFonts w:hint="eastAsia" w:ascii="仿宋" w:hAnsi="仿宋" w:eastAsia="仿宋"/>
          <w:color w:val="000000" w:themeColor="text1"/>
          <w:sz w:val="32"/>
          <w:szCs w:val="32"/>
          <w:lang w:eastAsia="zh-CN"/>
          <w14:textFill>
            <w14:solidFill>
              <w14:schemeClr w14:val="tx1"/>
            </w14:solidFill>
          </w14:textFill>
        </w:rPr>
        <w:t>保</w:t>
      </w:r>
      <w:r>
        <w:rPr>
          <w:rFonts w:hint="eastAsia" w:ascii="仿宋" w:hAnsi="仿宋" w:eastAsia="仿宋"/>
          <w:color w:val="000000" w:themeColor="text1"/>
          <w:sz w:val="32"/>
          <w:szCs w:val="32"/>
          <w14:textFill>
            <w14:solidFill>
              <w14:schemeClr w14:val="tx1"/>
            </w14:solidFill>
          </w14:textFill>
        </w:rPr>
        <w:t>障支出</w:t>
      </w:r>
      <w:r>
        <w:rPr>
          <w:rFonts w:hint="eastAsia" w:ascii="仿宋" w:hAnsi="仿宋" w:eastAsia="仿宋"/>
          <w:color w:val="000000" w:themeColor="text1"/>
          <w:sz w:val="32"/>
          <w:szCs w:val="32"/>
          <w:lang w:val="en-US" w:eastAsia="zh-CN"/>
          <w14:textFill>
            <w14:solidFill>
              <w14:schemeClr w14:val="tx1"/>
            </w14:solidFill>
          </w14:textFill>
        </w:rPr>
        <w:t>11.84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粮油物资储备支出163.93万元，占80%；</w:t>
      </w:r>
    </w:p>
    <w:p>
      <w:pPr>
        <w:spacing w:line="600" w:lineRule="exact"/>
        <w:jc w:val="left"/>
        <w:rPr>
          <w:rFonts w:hint="eastAsia" w:ascii="仿宋" w:hAnsi="仿宋" w:eastAsia="仿宋"/>
          <w:color w:val="000000" w:themeColor="text1"/>
          <w:sz w:val="32"/>
          <w:szCs w:val="32"/>
          <w:lang w:val="en-US" w:eastAsia="zh-CN"/>
          <w14:textFill>
            <w14:solidFill>
              <w14:schemeClr w14:val="tx1"/>
            </w14:solidFill>
          </w14:textFill>
        </w:rPr>
      </w:pPr>
    </w:p>
    <w:p>
      <w:pPr>
        <w:spacing w:line="240" w:lineRule="auto"/>
        <w:jc w:val="both"/>
        <w:rPr>
          <w:rFonts w:hint="eastAsia" w:ascii="仿宋" w:hAnsi="仿宋" w:eastAsia="仿宋"/>
          <w:b/>
          <w:bCs/>
          <w:color w:val="000000"/>
          <w:sz w:val="32"/>
          <w:szCs w:val="32"/>
          <w:lang w:eastAsia="zh-CN"/>
        </w:rPr>
      </w:pPr>
    </w:p>
    <w:p>
      <w:pPr>
        <w:spacing w:line="240" w:lineRule="auto"/>
        <w:jc w:val="both"/>
        <w:rPr>
          <w:rFonts w:hint="eastAsia"/>
          <w:lang w:val="en-US" w:eastAsia="zh-CN"/>
        </w:rPr>
        <w:sectPr>
          <w:footerReference r:id="rId4" w:type="first"/>
          <w:footerReference r:id="rId3" w:type="default"/>
          <w:pgSz w:w="11906" w:h="16838"/>
          <w:pgMar w:top="1440" w:right="1800" w:bottom="1440" w:left="1800" w:header="851" w:footer="992" w:gutter="0"/>
          <w:pgNumType w:start="1"/>
          <w:cols w:space="425" w:num="1"/>
          <w:titlePg/>
          <w:docGrid w:type="lines" w:linePitch="312" w:charSpace="0"/>
        </w:sectPr>
      </w:pPr>
      <w:r>
        <w:rPr>
          <w:rFonts w:hint="eastAsia" w:eastAsiaTheme="minorEastAsia"/>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5" w:name="_Toc15377212"/>
      <w:r>
        <w:rPr>
          <w:rFonts w:hint="eastAsia" w:ascii="仿宋" w:hAnsi="仿宋" w:eastAsia="仿宋"/>
          <w:b/>
          <w:color w:val="000000"/>
          <w:sz w:val="32"/>
          <w:szCs w:val="32"/>
        </w:rPr>
        <w:t>（三）一般公共预算财政拨款支出决算具体情况</w:t>
      </w:r>
      <w:bookmarkEnd w:id="55"/>
    </w:p>
    <w:p>
      <w:pPr>
        <w:spacing w:line="600" w:lineRule="exact"/>
        <w:ind w:firstLine="643" w:firstLineChars="200"/>
        <w:outlineLvl w:val="2"/>
        <w:rPr>
          <w:rFonts w:ascii="仿宋" w:hAnsi="仿宋" w:eastAsia="仿宋"/>
          <w:color w:val="FF0000"/>
          <w:sz w:val="32"/>
          <w:szCs w:val="32"/>
        </w:rPr>
      </w:pPr>
      <w:bookmarkStart w:id="56" w:name="_Toc15377213"/>
      <w:bookmarkStart w:id="57" w:name="_Toc15377444"/>
      <w:bookmarkStart w:id="58" w:name="_Toc15378460"/>
      <w:r>
        <w:rPr>
          <w:rFonts w:hint="eastAsia" w:ascii="仿宋" w:hAnsi="仿宋" w:eastAsia="仿宋"/>
          <w:b/>
          <w:color w:val="000000" w:themeColor="text1"/>
          <w:sz w:val="32"/>
          <w:szCs w:val="32"/>
          <w14:textFill>
            <w14:solidFill>
              <w14:schemeClr w14:val="tx1"/>
            </w14:solidFill>
          </w14:textFill>
        </w:rPr>
        <w:t>2</w:t>
      </w:r>
      <w:bookmarkEnd w:id="56"/>
      <w:bookmarkEnd w:id="57"/>
      <w:bookmarkEnd w:id="58"/>
      <w:r>
        <w:rPr>
          <w:rFonts w:hint="eastAsia"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lang w:val="en-US" w:eastAsia="zh-CN"/>
          <w14:textFill>
            <w14:solidFill>
              <w14:schemeClr w14:val="tx1"/>
            </w14:solidFill>
          </w14:textFill>
        </w:rPr>
        <w:t>20</w:t>
      </w:r>
      <w:r>
        <w:rPr>
          <w:rFonts w:hint="eastAsia" w:ascii="仿宋" w:hAnsi="仿宋" w:eastAsia="仿宋"/>
          <w:b/>
          <w:color w:val="000000" w:themeColor="text1"/>
          <w:sz w:val="32"/>
          <w:szCs w:val="32"/>
          <w14:textFill>
            <w14:solidFill>
              <w14:schemeClr w14:val="tx1"/>
            </w14:solidFill>
          </w14:textFill>
        </w:rPr>
        <w:t>年度一般公共预算财政拨款支出年初预算为</w:t>
      </w:r>
      <w:r>
        <w:rPr>
          <w:rFonts w:hint="eastAsia" w:ascii="仿宋" w:hAnsi="仿宋" w:eastAsia="仿宋"/>
          <w:b/>
          <w:color w:val="000000" w:themeColor="text1"/>
          <w:sz w:val="32"/>
          <w:szCs w:val="32"/>
          <w:lang w:val="en-US" w:eastAsia="zh-CN"/>
          <w14:textFill>
            <w14:solidFill>
              <w14:schemeClr w14:val="tx1"/>
            </w14:solidFill>
          </w14:textFill>
        </w:rPr>
        <w:t>160</w:t>
      </w:r>
      <w:r>
        <w:rPr>
          <w:rFonts w:hint="eastAsia" w:ascii="仿宋" w:hAnsi="仿宋" w:eastAsia="仿宋"/>
          <w:b/>
          <w:color w:val="000000" w:themeColor="text1"/>
          <w:sz w:val="32"/>
          <w:szCs w:val="32"/>
          <w14:textFill>
            <w14:solidFill>
              <w14:schemeClr w14:val="tx1"/>
            </w14:solidFill>
          </w14:textFill>
        </w:rPr>
        <w:t>万元，支出决算为</w:t>
      </w:r>
      <w:r>
        <w:rPr>
          <w:rFonts w:hint="eastAsia" w:ascii="仿宋" w:hAnsi="仿宋" w:eastAsia="仿宋"/>
          <w:b/>
          <w:color w:val="000000" w:themeColor="text1"/>
          <w:sz w:val="32"/>
          <w:szCs w:val="32"/>
          <w:lang w:val="en-US" w:eastAsia="zh-CN"/>
          <w14:textFill>
            <w14:solidFill>
              <w14:schemeClr w14:val="tx1"/>
            </w14:solidFill>
          </w14:textFill>
        </w:rPr>
        <w:t>204</w:t>
      </w:r>
      <w:r>
        <w:rPr>
          <w:rFonts w:hint="eastAsia" w:ascii="仿宋" w:hAnsi="仿宋" w:eastAsia="仿宋"/>
          <w:b/>
          <w:color w:val="000000" w:themeColor="text1"/>
          <w:sz w:val="32"/>
          <w:szCs w:val="32"/>
          <w14:textFill>
            <w14:solidFill>
              <w14:schemeClr w14:val="tx1"/>
            </w14:solidFill>
          </w14:textFill>
        </w:rPr>
        <w:t>万元，完成年初预算的</w:t>
      </w:r>
      <w:r>
        <w:rPr>
          <w:rFonts w:hint="eastAsia" w:ascii="仿宋" w:hAnsi="仿宋" w:eastAsia="仿宋"/>
          <w:b/>
          <w:color w:val="000000" w:themeColor="text1"/>
          <w:sz w:val="32"/>
          <w:szCs w:val="32"/>
          <w:lang w:val="en-US" w:eastAsia="zh-CN"/>
          <w14:textFill>
            <w14:solidFill>
              <w14:schemeClr w14:val="tx1"/>
            </w14:solidFill>
          </w14:textFill>
        </w:rPr>
        <w:t>127%，</w:t>
      </w:r>
      <w:r>
        <w:rPr>
          <w:rStyle w:val="15"/>
          <w:rFonts w:hint="eastAsia" w:ascii="仿宋" w:hAnsi="仿宋" w:eastAsia="仿宋"/>
          <w:bCs/>
          <w:color w:val="000000"/>
          <w:sz w:val="32"/>
          <w:szCs w:val="32"/>
        </w:rPr>
        <w:t>其中：</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val="en-US" w:eastAsia="zh-CN"/>
        </w:rPr>
        <w:t>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06</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19.19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卫生健康支出</w:t>
      </w:r>
      <w:r>
        <w:rPr>
          <w:rStyle w:val="15"/>
          <w:rFonts w:hint="eastAsia" w:ascii="仿宋" w:hAnsi="仿宋" w:eastAsia="仿宋"/>
          <w:bCs/>
          <w:color w:val="000000"/>
          <w:sz w:val="32"/>
          <w:szCs w:val="32"/>
          <w:lang w:val="en-US" w:eastAsia="zh-CN"/>
        </w:rPr>
        <w:t>210</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03</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10</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4.住房保障支出221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02</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11.84</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26"/>
        </w:rPr>
      </w:pPr>
      <w:r>
        <w:rPr>
          <w:rStyle w:val="15"/>
          <w:rFonts w:hint="eastAsia" w:ascii="仿宋" w:hAnsi="仿宋" w:eastAsia="仿宋"/>
          <w:bCs/>
          <w:color w:val="000000"/>
          <w:sz w:val="32"/>
          <w:szCs w:val="32"/>
          <w:lang w:val="en-US" w:eastAsia="zh-CN"/>
        </w:rPr>
        <w:t>5.粮油物资储备支出222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99</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163.93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r>
        <w:rPr>
          <w:rStyle w:val="26"/>
          <w:rFonts w:ascii="黑体" w:hAnsi="黑体" w:eastAsia="黑体"/>
          <w:b w:val="0"/>
        </w:rPr>
        <w:tab/>
      </w:r>
    </w:p>
    <w:p>
      <w:pPr>
        <w:tabs>
          <w:tab w:val="right" w:pos="8306"/>
        </w:tabs>
        <w:spacing w:line="600" w:lineRule="exact"/>
        <w:ind w:firstLine="640"/>
        <w:outlineLvl w:val="1"/>
        <w:rPr>
          <w:rStyle w:val="31"/>
        </w:rPr>
      </w:pPr>
      <w:bookmarkStart w:id="59" w:name="_Toc25579"/>
      <w:bookmarkStart w:id="60" w:name="_Toc15377215"/>
      <w:bookmarkStart w:id="61" w:name="_Toc1539660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9"/>
      <w:r>
        <w:rPr>
          <w:rStyle w:val="31"/>
          <w:rFonts w:ascii="黑体" w:hAnsi="黑体" w:eastAsia="黑体"/>
          <w:b w:val="0"/>
        </w:rPr>
        <w:tab/>
      </w:r>
    </w:p>
    <w:p>
      <w:pPr>
        <w:spacing w:line="600" w:lineRule="exact"/>
        <w:ind w:firstLine="645"/>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204</w:t>
      </w:r>
      <w:r>
        <w:rPr>
          <w:rFonts w:hint="eastAsia" w:ascii="仿宋" w:hAnsi="仿宋" w:eastAsia="仿宋"/>
          <w:color w:val="000000"/>
          <w:sz w:val="32"/>
          <w:szCs w:val="32"/>
        </w:rPr>
        <w:t>万元，</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其中：人员经费</w:t>
      </w:r>
      <w:r>
        <w:rPr>
          <w:rFonts w:hint="eastAsia" w:ascii="仿宋" w:hAnsi="仿宋" w:eastAsia="仿宋"/>
          <w:color w:val="000000"/>
          <w:sz w:val="32"/>
          <w:szCs w:val="32"/>
          <w:lang w:val="en-US" w:eastAsia="zh-CN"/>
        </w:rPr>
        <w:t>165.55</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30.23万元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66.35万元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2.55万元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12.79万元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6.4万元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基本医疗保险缴费</w:t>
      </w:r>
      <w:r>
        <w:rPr>
          <w:rFonts w:hint="eastAsia" w:ascii="仿宋" w:hAnsi="仿宋" w:eastAsia="仿宋"/>
          <w:color w:val="000000"/>
          <w:sz w:val="32"/>
          <w:szCs w:val="32"/>
          <w:lang w:val="en-US" w:eastAsia="zh-CN"/>
        </w:rPr>
        <w:t>6.94万元、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1.56万元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14.9万元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7万元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2.64万元、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0.76万元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医疗费补助</w:t>
      </w:r>
      <w:r>
        <w:rPr>
          <w:rFonts w:hint="eastAsia" w:ascii="仿宋" w:hAnsi="仿宋" w:eastAsia="仿宋"/>
          <w:color w:val="000000"/>
          <w:sz w:val="32"/>
          <w:szCs w:val="32"/>
          <w:lang w:val="en-US" w:eastAsia="zh-CN"/>
        </w:rPr>
        <w:t>0.98万元、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0.0072万元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11.84万元</w:t>
      </w:r>
      <w:r>
        <w:rPr>
          <w:rFonts w:hint="eastAsia" w:ascii="仿宋" w:hAnsi="仿宋" w:eastAsia="仿宋"/>
          <w:color w:val="000000"/>
          <w:sz w:val="32"/>
          <w:szCs w:val="32"/>
        </w:rPr>
        <w:t>、提租</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补贴、购房补贴</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10.41</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6万元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1.6万元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2.1万元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0.0525万元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0.14万元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2.55万元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29万元。</w:t>
      </w:r>
    </w:p>
    <w:p>
      <w:pPr>
        <w:spacing w:line="600" w:lineRule="exact"/>
        <w:ind w:firstLine="640"/>
        <w:outlineLvl w:val="1"/>
        <w:rPr>
          <w:rStyle w:val="26"/>
          <w:rFonts w:ascii="黑体" w:hAnsi="黑体" w:eastAsia="黑体"/>
          <w:b w:val="0"/>
        </w:rPr>
      </w:pPr>
      <w:bookmarkStart w:id="62" w:name="_Toc25623"/>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0"/>
      <w:bookmarkEnd w:id="61"/>
      <w:bookmarkEnd w:id="62"/>
    </w:p>
    <w:p>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pPr>
        <w:snapToGrid w:val="0"/>
        <w:spacing w:line="52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2.69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w:t>
      </w:r>
      <w:r>
        <w:rPr>
          <w:rFonts w:hint="eastAsia" w:ascii="仿宋" w:hAnsi="仿宋" w:eastAsia="仿宋"/>
          <w:color w:val="000000"/>
          <w:sz w:val="32"/>
          <w:szCs w:val="32"/>
        </w:rPr>
        <w:t>于预算数</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2.55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95</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240" w:lineRule="auto"/>
        <w:ind w:firstLine="640"/>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5"/>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rPr>
          <w:rFonts w:ascii="仿宋_GB2312" w:eastAsia="仿宋_GB2312"/>
          <w:b/>
          <w:color w:val="000000"/>
          <w:sz w:val="32"/>
          <w:szCs w:val="32"/>
        </w:rPr>
      </w:pPr>
      <w:r>
        <w:rPr>
          <w:rFonts w:hint="eastAsia" w:ascii="仿宋_GB2312" w:eastAsia="仿宋_GB2312"/>
          <w:color w:val="000000"/>
          <w:sz w:val="32"/>
          <w:szCs w:val="32"/>
          <w:lang w:val="en-US" w:eastAsia="zh-CN"/>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2.55</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0.92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 w:hAnsi="仿宋" w:eastAsia="仿宋"/>
          <w:sz w:val="32"/>
          <w:szCs w:val="32"/>
        </w:rPr>
        <w:t>严格执行厉行节约的要求。</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。其中：其他用车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2.55</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w:t>
      </w:r>
      <w:r>
        <w:rPr>
          <w:rFonts w:hint="eastAsia" w:ascii="仿宋_GB2312" w:eastAsia="仿宋_GB2312"/>
          <w:color w:val="000000"/>
          <w:sz w:val="32"/>
          <w:szCs w:val="32"/>
        </w:rPr>
        <w:t>等所需的公务用车燃料费、维修费、过路过桥费、保险费等支出。</w:t>
      </w:r>
    </w:p>
    <w:p>
      <w:pPr>
        <w:numPr>
          <w:ilvl w:val="0"/>
          <w:numId w:val="0"/>
        </w:numPr>
        <w:spacing w:line="600" w:lineRule="exact"/>
        <w:ind w:firstLine="643" w:firstLineChars="200"/>
        <w:rPr>
          <w:rStyle w:val="15"/>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0.14</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numPr>
          <w:ilvl w:val="0"/>
          <w:numId w:val="0"/>
        </w:numPr>
        <w:spacing w:line="600" w:lineRule="exact"/>
        <w:ind w:left="640" w:leftChars="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9"/>
        <w:rPr>
          <w:rFonts w:ascii="黑体" w:eastAsia="黑体"/>
          <w:color w:val="000000"/>
          <w:sz w:val="32"/>
          <w:szCs w:val="32"/>
        </w:rPr>
      </w:pPr>
      <w:bookmarkStart w:id="65" w:name="_Toc15396610"/>
      <w:bookmarkStart w:id="66" w:name="_Toc15377218"/>
    </w:p>
    <w:p>
      <w:pPr>
        <w:spacing w:line="600" w:lineRule="exact"/>
        <w:ind w:firstLine="640"/>
        <w:outlineLvl w:val="1"/>
        <w:rPr>
          <w:rStyle w:val="26"/>
          <w:rFonts w:ascii="黑体" w:hAnsi="黑体" w:eastAsia="黑体"/>
        </w:rPr>
      </w:pPr>
      <w:bookmarkStart w:id="67" w:name="_Toc30315"/>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6"/>
        </w:numPr>
        <w:spacing w:line="600" w:lineRule="exact"/>
        <w:ind w:firstLine="640"/>
        <w:outlineLvl w:val="1"/>
        <w:rPr>
          <w:rStyle w:val="26"/>
          <w:rFonts w:ascii="黑体" w:hAnsi="黑体" w:eastAsia="黑体"/>
          <w:b w:val="0"/>
        </w:rPr>
      </w:pPr>
      <w:bookmarkStart w:id="68" w:name="_Toc15396611"/>
      <w:bookmarkStart w:id="69" w:name="_Toc15377219"/>
      <w:bookmarkStart w:id="70" w:name="_Toc25686"/>
      <w:r>
        <w:rPr>
          <w:rStyle w:val="26"/>
          <w:rFonts w:hint="eastAsia" w:ascii="黑体" w:hAnsi="黑体" w:eastAsia="黑体"/>
          <w:b w:val="0"/>
        </w:rPr>
        <w:t>国有资本经营预算支出决算情况说明</w:t>
      </w:r>
      <w:bookmarkEnd w:id="68"/>
      <w:bookmarkEnd w:id="69"/>
      <w:bookmarkEnd w:id="7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71" w:name="_Toc15377221"/>
      <w:bookmarkStart w:id="72" w:name="_Toc15396612"/>
      <w:bookmarkStart w:id="73" w:name="_Toc21395"/>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71"/>
      <w:bookmarkEnd w:id="72"/>
      <w:bookmarkEnd w:id="73"/>
    </w:p>
    <w:p>
      <w:pPr>
        <w:spacing w:line="600" w:lineRule="exact"/>
        <w:ind w:firstLine="643" w:firstLineChars="200"/>
        <w:outlineLvl w:val="2"/>
        <w:rPr>
          <w:rFonts w:ascii="仿宋" w:hAnsi="仿宋" w:eastAsia="仿宋"/>
          <w:color w:val="000000"/>
          <w:sz w:val="32"/>
          <w:szCs w:val="32"/>
        </w:rPr>
      </w:pPr>
      <w:bookmarkStart w:id="74" w:name="_Toc15377222"/>
      <w:r>
        <w:rPr>
          <w:rFonts w:hint="eastAsia" w:ascii="仿宋" w:hAnsi="仿宋" w:eastAsia="仿宋"/>
          <w:b/>
          <w:color w:val="000000"/>
          <w:sz w:val="32"/>
          <w:szCs w:val="32"/>
        </w:rPr>
        <w:t>（一）机关运行经费支出情况</w:t>
      </w:r>
      <w:bookmarkEnd w:id="74"/>
    </w:p>
    <w:p>
      <w:pPr>
        <w:numPr>
          <w:ilvl w:val="0"/>
          <w:numId w:val="0"/>
        </w:numPr>
        <w:spacing w:line="600" w:lineRule="exact"/>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10.41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1.34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11</w:t>
      </w:r>
      <w:r>
        <w:rPr>
          <w:rFonts w:hint="eastAsia" w:ascii="宋体" w:hAnsi="宋体" w:eastAsia="宋体" w:cs="宋体"/>
          <w:color w:val="000000"/>
          <w:sz w:val="32"/>
          <w:szCs w:val="32"/>
          <w:lang w:val="en-US" w:eastAsia="zh-CN"/>
        </w:rPr>
        <w:t>％</w:t>
      </w:r>
      <w:r>
        <w:rPr>
          <w:rFonts w:hint="eastAsia" w:ascii="仿宋_GB2312" w:eastAsia="仿宋_GB2312"/>
          <w:color w:val="000000"/>
          <w:sz w:val="32"/>
          <w:szCs w:val="32"/>
        </w:rPr>
        <w:t>。主要原因是</w:t>
      </w:r>
      <w:r>
        <w:rPr>
          <w:rFonts w:hint="eastAsia" w:ascii="仿宋" w:hAnsi="仿宋" w:eastAsia="仿宋"/>
          <w:sz w:val="32"/>
          <w:szCs w:val="32"/>
        </w:rPr>
        <w:t>严格执行厉行节约的要求。</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3"/>
      <w:r>
        <w:rPr>
          <w:rFonts w:hint="eastAsia" w:ascii="仿宋" w:hAnsi="仿宋" w:eastAsia="仿宋"/>
          <w:b/>
          <w:color w:val="000000"/>
          <w:sz w:val="32"/>
          <w:szCs w:val="32"/>
        </w:rPr>
        <w:t>（二）政府采购支出情况</w:t>
      </w:r>
      <w:bookmarkEnd w:id="7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377224"/>
      <w:r>
        <w:rPr>
          <w:rFonts w:hint="eastAsia" w:ascii="仿宋" w:hAnsi="仿宋" w:eastAsia="仿宋"/>
          <w:b/>
          <w:color w:val="000000"/>
          <w:sz w:val="32"/>
          <w:szCs w:val="32"/>
        </w:rPr>
        <w:t>（三）国有资产占有使用情况</w:t>
      </w:r>
      <w:bookmarkEnd w:id="76"/>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粮油运输。</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由于只编制了基本公用及人员经费，故未</w:t>
      </w:r>
      <w:r>
        <w:rPr>
          <w:rFonts w:hint="eastAsia" w:ascii="仿宋_GB2312" w:hAnsi="仿宋_GB2312" w:eastAsia="仿宋_GB2312" w:cs="仿宋_GB2312"/>
          <w:sz w:val="32"/>
          <w:szCs w:val="32"/>
        </w:rPr>
        <w:t>组织项目预算事前绩效评估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预算执行过程中，执行完毕后</w:t>
      </w:r>
      <w:r>
        <w:rPr>
          <w:rFonts w:hint="eastAsia" w:ascii="仿宋_GB2312" w:hAnsi="仿宋_GB2312" w:eastAsia="仿宋_GB2312" w:cs="仿宋_GB2312"/>
          <w:sz w:val="32"/>
          <w:szCs w:val="32"/>
          <w:lang w:eastAsia="zh-CN"/>
        </w:rPr>
        <w:t>，开展了整体支出绩效评价</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eastAsia="zh-CN"/>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年整体支出开展绩效自评，自评得分</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评价情况</w:t>
      </w:r>
      <w:r>
        <w:rPr>
          <w:rFonts w:hint="eastAsia" w:ascii="仿宋_GB2312" w:hAnsi="仿宋_GB2312" w:eastAsia="仿宋_GB2312" w:cs="仿宋_GB2312"/>
          <w:i w:val="0"/>
          <w:caps w:val="0"/>
          <w:color w:val="333333"/>
          <w:spacing w:val="0"/>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val="en-US" w:eastAsia="zh-CN"/>
        </w:rPr>
        <w:t>一是</w:t>
      </w:r>
      <w:r>
        <w:rPr>
          <w:rFonts w:hint="eastAsia" w:ascii="仿宋_GB2312" w:hAnsi="仿宋_GB2312" w:eastAsia="仿宋_GB2312" w:cs="仿宋_GB2312"/>
          <w:i w:val="0"/>
          <w:caps w:val="0"/>
          <w:color w:val="333333"/>
          <w:spacing w:val="0"/>
          <w:sz w:val="32"/>
          <w:szCs w:val="32"/>
          <w:shd w:val="clear" w:color="auto" w:fill="FFFFFF"/>
        </w:rPr>
        <w:t>部门特性目标待完善，</w:t>
      </w:r>
      <w:r>
        <w:rPr>
          <w:rFonts w:hint="eastAsia" w:ascii="仿宋_GB2312" w:hAnsi="仿宋_GB2312" w:eastAsia="仿宋_GB2312" w:cs="仿宋_GB2312"/>
          <w:i w:val="0"/>
          <w:caps w:val="0"/>
          <w:color w:val="333333"/>
          <w:spacing w:val="0"/>
          <w:sz w:val="32"/>
          <w:szCs w:val="32"/>
          <w:shd w:val="clear" w:color="auto" w:fill="FFFFFF"/>
          <w:lang w:val="en-US" w:eastAsia="zh-CN"/>
        </w:rPr>
        <w:t>二是</w:t>
      </w:r>
      <w:r>
        <w:rPr>
          <w:rFonts w:hint="eastAsia" w:ascii="仿宋_GB2312" w:hAnsi="仿宋_GB2312" w:eastAsia="仿宋_GB2312" w:cs="仿宋_GB2312"/>
          <w:i w:val="0"/>
          <w:caps w:val="0"/>
          <w:color w:val="333333"/>
          <w:spacing w:val="0"/>
          <w:sz w:val="32"/>
          <w:szCs w:val="32"/>
          <w:shd w:val="clear" w:color="auto" w:fill="FFFFFF"/>
        </w:rPr>
        <w:t>是机制待完善。下一步改进措施：一是加强学习进一步规范，二是完善各项目</w:t>
      </w:r>
      <w:r>
        <w:rPr>
          <w:rFonts w:hint="eastAsia" w:ascii="仿宋_GB2312" w:hAnsi="仿宋_GB2312" w:eastAsia="仿宋_GB2312" w:cs="仿宋_GB2312"/>
          <w:i w:val="0"/>
          <w:caps w:val="0"/>
          <w:color w:val="333333"/>
          <w:spacing w:val="0"/>
          <w:sz w:val="32"/>
          <w:szCs w:val="32"/>
          <w:shd w:val="clear" w:color="auto" w:fill="FFFFFF"/>
          <w:lang w:val="en-US" w:eastAsia="zh-CN"/>
        </w:rPr>
        <w:t>机制</w:t>
      </w:r>
      <w:r>
        <w:rPr>
          <w:rFonts w:hint="eastAsia" w:ascii="仿宋_GB2312" w:hAnsi="仿宋_GB2312" w:eastAsia="仿宋_GB2312" w:cs="仿宋_GB2312"/>
          <w:color w:val="000000"/>
          <w:sz w:val="32"/>
          <w:szCs w:val="32"/>
        </w:rPr>
        <w:t>。</w:t>
      </w:r>
    </w:p>
    <w:p>
      <w:pPr>
        <w:numPr>
          <w:ilvl w:val="0"/>
          <w:numId w:val="7"/>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本部门在20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2220211-仓库建设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个项目绩效目标实际完成情况。</w:t>
      </w:r>
    </w:p>
    <w:p>
      <w:pPr>
        <w:numPr>
          <w:ilvl w:val="0"/>
          <w:numId w:val="8"/>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2220211-仓库建设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376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17.29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了日常工作的开展。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numPr>
          <w:ilvl w:val="0"/>
          <w:numId w:val="0"/>
        </w:num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2020年物资储备库建设项目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红原县粮食和物资储备中心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376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17.29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376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71.09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82" w:firstLineChars="200"/>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 xml:space="preserve">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红原县粮食</w:t>
      </w:r>
      <w:r>
        <w:rPr>
          <w:rFonts w:hint="eastAsia" w:ascii="仿宋_GB2312" w:hAnsi="仿宋_GB2312" w:eastAsia="仿宋_GB2312" w:cs="仿宋_GB2312"/>
          <w:sz w:val="32"/>
          <w:szCs w:val="32"/>
        </w:rPr>
        <w:t>部门20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numPr>
          <w:ilvl w:val="0"/>
          <w:numId w:val="9"/>
        </w:numPr>
        <w:spacing w:line="600" w:lineRule="exact"/>
        <w:ind w:firstLine="660" w:firstLineChars="150"/>
        <w:jc w:val="center"/>
        <w:outlineLvl w:val="0"/>
        <w:rPr>
          <w:rStyle w:val="25"/>
          <w:rFonts w:ascii="黑体" w:hAnsi="黑体" w:eastAsia="黑体"/>
          <w:b w:val="0"/>
        </w:rPr>
      </w:pPr>
      <w:bookmarkStart w:id="77" w:name="_Toc9171"/>
      <w:bookmarkStart w:id="78" w:name="_Toc15396613"/>
      <w:bookmarkStart w:id="79" w:name="_Toc15377225"/>
      <w:r>
        <w:rPr>
          <w:rFonts w:hint="eastAsia" w:ascii="黑体" w:hAnsi="黑体" w:eastAsia="黑体"/>
          <w:color w:val="000000"/>
          <w:sz w:val="44"/>
          <w:szCs w:val="44"/>
        </w:rPr>
        <w:t>名</w:t>
      </w:r>
      <w:r>
        <w:rPr>
          <w:rStyle w:val="25"/>
          <w:rFonts w:hint="eastAsia" w:ascii="黑体" w:hAnsi="黑体" w:eastAsia="黑体"/>
          <w:b w:val="0"/>
        </w:rPr>
        <w:t>词解释</w:t>
      </w:r>
      <w:bookmarkEnd w:id="77"/>
      <w:bookmarkEnd w:id="78"/>
      <w:bookmarkEnd w:id="79"/>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bookmarkStart w:id="80" w:name="_Toc15396614"/>
      <w:bookmarkStart w:id="8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ind w:firstLine="640" w:firstLineChars="200"/>
        <w:rPr>
          <w:rFonts w:ascii="仿宋" w:hAnsi="仿宋" w:eastAsia="仿宋"/>
          <w:b/>
          <w:color w:val="000000"/>
          <w:sz w:val="32"/>
          <w:szCs w:val="32"/>
        </w:rPr>
      </w:pPr>
      <w:r>
        <w:rPr>
          <w:rFonts w:hint="eastAsia" w:ascii="仿宋_GB2312" w:hAnsi="仿宋_GB2312" w:eastAsia="仿宋_GB2312" w:cs="仿宋_GB2312"/>
          <w:color w:val="000000"/>
          <w:kern w:val="2"/>
          <w:sz w:val="32"/>
          <w:szCs w:val="32"/>
          <w:lang w:val="en-US" w:eastAsia="zh-CN" w:bidi="ar-SA"/>
        </w:rPr>
        <w:t>13.其他支出2299901-其他支出，该支出主要用于购置办公设备。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19.粮油物资储备支出：2220101，该支出用于粮油物资储备方面的支出，包括：粮油事务、物资事务、能源储备等。</w:t>
      </w:r>
    </w:p>
    <w:p>
      <w:pPr>
        <w:pStyle w:val="23"/>
        <w:spacing w:line="560" w:lineRule="exact"/>
        <w:ind w:firstLine="640" w:firstLineChars="200"/>
        <w:rPr>
          <w:rFonts w:hint="default" w:ascii="仿宋_GB2312" w:eastAsia="仿宋_GB2312"/>
          <w:sz w:val="32"/>
          <w:szCs w:val="32"/>
          <w:lang w:val="en-US" w:eastAsia="zh-CN"/>
        </w:rPr>
      </w:pPr>
    </w:p>
    <w:p>
      <w:pPr>
        <w:pStyle w:val="23"/>
        <w:spacing w:line="560" w:lineRule="exact"/>
        <w:ind w:firstLine="640" w:firstLineChars="200"/>
        <w:rPr>
          <w:rFonts w:ascii="仿宋_GB2312" w:eastAsia="仿宋_GB2312" w:cs="黑体"/>
          <w:sz w:val="32"/>
          <w:szCs w:val="32"/>
        </w:rPr>
      </w:pPr>
    </w:p>
    <w:bookmarkEnd w:id="80"/>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82" w:name="_Toc15964"/>
      <w:r>
        <w:rPr>
          <w:rFonts w:hint="eastAsia" w:ascii="黑体" w:hAnsi="黑体" w:eastAsia="黑体"/>
          <w:color w:val="000000"/>
          <w:sz w:val="44"/>
          <w:szCs w:val="44"/>
        </w:rPr>
        <w:t>第</w:t>
      </w:r>
      <w:r>
        <w:rPr>
          <w:rStyle w:val="33"/>
          <w:rFonts w:hint="eastAsia" w:ascii="黑体" w:hAnsi="黑体" w:eastAsia="黑体"/>
          <w:b w:val="0"/>
        </w:rPr>
        <w:t>四部分 附件</w:t>
      </w:r>
      <w:bookmarkEnd w:id="82"/>
    </w:p>
    <w:p>
      <w:pPr>
        <w:spacing w:line="600" w:lineRule="exact"/>
        <w:jc w:val="center"/>
        <w:outlineLvl w:val="9"/>
        <w:rPr>
          <w:rStyle w:val="33"/>
        </w:rPr>
      </w:pPr>
    </w:p>
    <w:p>
      <w:pPr>
        <w:pStyle w:val="3"/>
        <w:rPr>
          <w:rStyle w:val="33"/>
          <w:rFonts w:ascii="仿宋" w:hAnsi="仿宋" w:eastAsia="仿宋"/>
          <w:b w:val="0"/>
          <w:bCs w:val="0"/>
          <w:sz w:val="32"/>
          <w:szCs w:val="32"/>
        </w:rPr>
      </w:pPr>
      <w:bookmarkStart w:id="83" w:name="_Toc15396615"/>
      <w:bookmarkStart w:id="84" w:name="_Toc23893"/>
      <w:r>
        <w:rPr>
          <w:rStyle w:val="33"/>
          <w:rFonts w:hint="eastAsia" w:ascii="仿宋" w:hAnsi="仿宋" w:eastAsia="仿宋"/>
          <w:b w:val="0"/>
          <w:bCs w:val="0"/>
          <w:sz w:val="32"/>
          <w:szCs w:val="32"/>
        </w:rPr>
        <w:t>附件1</w:t>
      </w:r>
      <w:bookmarkEnd w:id="83"/>
      <w:bookmarkEnd w:id="84"/>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85"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widowControl/>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p>
    <w:p>
      <w:pPr>
        <w:keepNext w:val="0"/>
        <w:keepLines w:val="0"/>
        <w:widowControl/>
        <w:numPr>
          <w:ilvl w:val="0"/>
          <w:numId w:val="10"/>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eastAsia" w:ascii="仿宋_GB2312" w:hAnsi="宋体" w:eastAsia="仿宋_GB2312" w:cs="宋体"/>
          <w:color w:val="000000"/>
          <w:kern w:val="0"/>
          <w:sz w:val="32"/>
          <w:szCs w:val="24"/>
          <w:lang w:val="zh-CN" w:eastAsia="zh-CN" w:bidi="ar"/>
        </w:rPr>
      </w:pPr>
      <w:r>
        <w:rPr>
          <w:rFonts w:hint="eastAsia" w:ascii="仿宋" w:hAnsi="仿宋" w:eastAsia="仿宋" w:cs="仿宋"/>
          <w:sz w:val="32"/>
          <w:szCs w:val="32"/>
        </w:rPr>
        <w:t xml:space="preserve">    （11）承办县政府交办的其它事项。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（三）人员概况。</w:t>
      </w:r>
    </w:p>
    <w:p>
      <w:pPr>
        <w:pStyle w:val="3"/>
        <w:numPr>
          <w:ilvl w:val="0"/>
          <w:numId w:val="0"/>
        </w:numPr>
        <w:ind w:firstLine="640" w:firstLineChars="200"/>
        <w:rPr>
          <w:rFonts w:hint="eastAsia" w:ascii="仿宋_GB2312" w:hAnsi="宋体" w:eastAsia="仿宋_GB2312" w:cs="宋体"/>
          <w:color w:val="000000"/>
          <w:kern w:val="0"/>
          <w:sz w:val="32"/>
          <w:szCs w:val="24"/>
          <w:lang w:val="zh-CN" w:eastAsia="zh-CN" w:bidi="ar"/>
        </w:rPr>
      </w:pPr>
      <w:bookmarkStart w:id="86" w:name="_Toc12704"/>
      <w:bookmarkStart w:id="87" w:name="_Toc17245"/>
      <w:r>
        <w:rPr>
          <w:rFonts w:hint="eastAsia" w:ascii="仿宋" w:hAnsi="仿宋" w:eastAsia="仿宋" w:cs="仿宋_GB2312"/>
          <w:b w:val="0"/>
          <w:bCs w:val="0"/>
          <w:sz w:val="32"/>
          <w:szCs w:val="32"/>
        </w:rPr>
        <w:t>截止20</w:t>
      </w:r>
      <w:r>
        <w:rPr>
          <w:rFonts w:hint="eastAsia" w:ascii="仿宋" w:hAnsi="仿宋" w:eastAsia="仿宋" w:cs="仿宋_GB2312"/>
          <w:b w:val="0"/>
          <w:bCs w:val="0"/>
          <w:sz w:val="32"/>
          <w:szCs w:val="32"/>
          <w:lang w:val="en-US" w:eastAsia="zh-CN"/>
        </w:rPr>
        <w:t>20</w:t>
      </w:r>
      <w:r>
        <w:rPr>
          <w:rFonts w:hint="eastAsia" w:ascii="仿宋" w:hAnsi="仿宋" w:eastAsia="仿宋" w:cs="仿宋_GB2312"/>
          <w:b w:val="0"/>
          <w:bCs w:val="0"/>
          <w:sz w:val="32"/>
          <w:szCs w:val="32"/>
        </w:rPr>
        <w:t>年底我单位共有编制8个，其中参公8人。实有人数8人，离休1人</w:t>
      </w:r>
      <w:r>
        <w:rPr>
          <w:rFonts w:hint="eastAsia" w:ascii="仿宋" w:hAnsi="仿宋" w:eastAsia="仿宋" w:cs="仿宋_GB2312"/>
          <w:b w:val="0"/>
          <w:bCs w:val="0"/>
          <w:sz w:val="32"/>
          <w:szCs w:val="32"/>
          <w:lang w:eastAsia="zh-CN"/>
        </w:rPr>
        <w:t>。</w:t>
      </w:r>
      <w:bookmarkEnd w:id="86"/>
      <w:bookmarkEnd w:id="87"/>
    </w:p>
    <w:p>
      <w:pPr>
        <w:keepNext w:val="0"/>
        <w:keepLines w:val="0"/>
        <w:widowControl/>
        <w:numPr>
          <w:ilvl w:val="0"/>
          <w:numId w:val="0"/>
        </w:numPr>
        <w:suppressLineNumbers w:val="0"/>
        <w:adjustRightInd w:val="0"/>
        <w:snapToGrid w:val="0"/>
        <w:spacing w:before="0" w:beforeAutospacing="0" w:after="0" w:afterAutospacing="0" w:line="480" w:lineRule="exact"/>
        <w:ind w:leftChars="0" w:right="0" w:rightChars="0" w:firstLine="640" w:firstLineChars="200"/>
        <w:jc w:val="left"/>
        <w:outlineLvl w:val="0"/>
        <w:rPr>
          <w:rFonts w:hint="eastAsia" w:ascii="黑体" w:hAnsi="宋体" w:eastAsia="黑体" w:cs="宋体"/>
          <w:color w:val="000000"/>
          <w:kern w:val="0"/>
          <w:sz w:val="32"/>
          <w:szCs w:val="24"/>
          <w:lang w:val="en-US" w:eastAsia="zh-CN" w:bidi="ar"/>
        </w:rPr>
      </w:pPr>
      <w:bookmarkStart w:id="88" w:name="_Toc8603"/>
      <w:bookmarkStart w:id="89" w:name="_Toc23640"/>
      <w:r>
        <w:rPr>
          <w:rFonts w:hint="eastAsia" w:ascii="黑体" w:hAnsi="宋体" w:eastAsia="黑体" w:cs="宋体"/>
          <w:color w:val="000000"/>
          <w:kern w:val="0"/>
          <w:sz w:val="32"/>
          <w:szCs w:val="24"/>
          <w:lang w:val="en-US" w:eastAsia="zh-CN" w:bidi="ar"/>
        </w:rPr>
        <w:t>二、部门财政资金收支情况</w:t>
      </w:r>
      <w:bookmarkEnd w:id="88"/>
      <w:bookmarkEnd w:id="89"/>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（一）部门财政资金收入情况。</w:t>
      </w:r>
    </w:p>
    <w:p>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lang w:val="en-US" w:eastAsia="zh-CN"/>
        </w:rPr>
        <w:t>粮食和物资储备中心</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554万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554万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175.96万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29元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widowControl/>
        <w:numPr>
          <w:ilvl w:val="0"/>
          <w:numId w:val="11"/>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wordWrap/>
        <w:spacing w:line="560" w:lineRule="exact"/>
        <w:ind w:left="0" w:leftChars="0" w:right="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w:t>
      </w:r>
      <w:r>
        <w:rPr>
          <w:rFonts w:hint="eastAsia" w:ascii="仿宋_GB2312" w:hAnsi="仿宋_GB2312" w:eastAsia="仿宋_GB2312" w:cs="仿宋_GB2312"/>
          <w:color w:val="000000"/>
          <w:sz w:val="32"/>
          <w:szCs w:val="32"/>
          <w:lang w:val="en-US" w:eastAsia="zh-CN"/>
        </w:rPr>
        <w:t>县粮食和物资储备中心</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204万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sz w:val="32"/>
          <w:szCs w:val="32"/>
          <w:lang w:val="en-US" w:eastAsia="zh-CN"/>
        </w:rPr>
        <w:t>175.96万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29元</w:t>
      </w:r>
      <w:r>
        <w:rPr>
          <w:rFonts w:hint="eastAsia" w:ascii="仿宋_GB2312" w:hAnsi="仿宋_GB2312" w:eastAsia="仿宋_GB2312" w:cs="仿宋_GB2312"/>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0"/>
          <w:szCs w:val="30"/>
          <w:lang w:val="zh-CN" w:eastAsia="zh-CN"/>
        </w:rPr>
      </w:pPr>
      <w:r>
        <w:rPr>
          <w:rFonts w:hint="eastAsia" w:ascii="仿宋_GB2312" w:hAnsi="仿宋_GB2312" w:eastAsia="仿宋_GB2312" w:cs="仿宋_GB2312"/>
          <w:color w:val="000000"/>
          <w:sz w:val="30"/>
          <w:szCs w:val="30"/>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1、</w:t>
      </w:r>
      <w:r>
        <w:rPr>
          <w:rFonts w:hint="eastAsia" w:ascii="仿宋_GB2312" w:hAnsi="宋体" w:cs="宋体"/>
          <w:color w:val="000000"/>
          <w:kern w:val="0"/>
          <w:sz w:val="32"/>
          <w:szCs w:val="24"/>
          <w:lang w:val="zh-CN" w:eastAsia="zh-CN" w:bidi="ar"/>
        </w:rPr>
        <w:t>县</w:t>
      </w:r>
      <w:r>
        <w:rPr>
          <w:rFonts w:hint="eastAsia" w:ascii="仿宋_GB2312" w:hAnsi="宋体" w:eastAsia="仿宋_GB2312" w:cs="宋体"/>
          <w:color w:val="000000"/>
          <w:kern w:val="0"/>
          <w:sz w:val="32"/>
          <w:szCs w:val="24"/>
          <w:lang w:val="zh-CN" w:eastAsia="zh-CN" w:bidi="ar"/>
        </w:rPr>
        <w:t>级财力专项预算分配时限、中央专款分配合规率</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我单位2020年无县级财力专项预算和中央专款。</w:t>
      </w:r>
    </w:p>
    <w:p>
      <w:pPr>
        <w:keepNext w:val="0"/>
        <w:keepLines w:val="0"/>
        <w:widowControl/>
        <w:numPr>
          <w:ilvl w:val="0"/>
          <w:numId w:val="12"/>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部门预算执行进度情况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2020年我单位财政预算实际到位数为160万元，年中财政调整预算554万元。</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3、</w:t>
      </w:r>
      <w:r>
        <w:rPr>
          <w:rFonts w:hint="eastAsia" w:ascii="仿宋_GB2312" w:hAnsi="宋体" w:eastAsia="仿宋_GB2312" w:cs="宋体"/>
          <w:color w:val="000000"/>
          <w:kern w:val="0"/>
          <w:sz w:val="32"/>
          <w:szCs w:val="24"/>
          <w:lang w:val="zh-CN" w:eastAsia="zh-CN" w:bidi="ar"/>
        </w:rPr>
        <w:t>中期评估工作</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按照要求，对纳入部门预算进行了中期评估论证。</w:t>
      </w: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4、</w:t>
      </w:r>
      <w:r>
        <w:rPr>
          <w:rFonts w:hint="eastAsia" w:ascii="仿宋_GB2312" w:hAnsi="宋体" w:eastAsia="仿宋_GB2312" w:cs="宋体"/>
          <w:color w:val="000000"/>
          <w:kern w:val="0"/>
          <w:sz w:val="32"/>
          <w:szCs w:val="24"/>
          <w:lang w:val="zh-CN" w:eastAsia="zh-CN" w:bidi="ar"/>
        </w:rPr>
        <w:t>机关节能降耗</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建立节约型社会是党中央、国务院做出的一项重要部署。建设节约型机关，是建设节约型社会的重要组成部分，</w:t>
      </w:r>
      <w:r>
        <w:rPr>
          <w:rFonts w:hint="eastAsia" w:ascii="仿宋_GB2312" w:hAnsi="宋体" w:eastAsia="仿宋_GB2312" w:cs="宋体"/>
          <w:color w:val="000000"/>
          <w:kern w:val="0"/>
          <w:sz w:val="32"/>
          <w:szCs w:val="24"/>
          <w:lang w:val="en-US" w:eastAsia="zh-CN" w:bidi="ar"/>
        </w:rPr>
        <w:t>县粮食局</w:t>
      </w:r>
      <w:r>
        <w:rPr>
          <w:rFonts w:hint="eastAsia" w:ascii="仿宋_GB2312" w:hAnsi="宋体" w:eastAsia="仿宋_GB2312" w:cs="宋体"/>
          <w:color w:val="000000"/>
          <w:kern w:val="0"/>
          <w:sz w:val="32"/>
          <w:szCs w:val="24"/>
          <w:lang w:val="zh-CN" w:eastAsia="zh-CN" w:bidi="ar"/>
        </w:rPr>
        <w:t>着力降低行政运行成本，节约用水用电、精简会议、完善采购制度节约办公消耗品。</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5、</w:t>
      </w:r>
      <w:r>
        <w:rPr>
          <w:rFonts w:hint="eastAsia" w:ascii="仿宋_GB2312" w:hAnsi="宋体" w:eastAsia="仿宋_GB2312" w:cs="宋体"/>
          <w:color w:val="000000"/>
          <w:kern w:val="0"/>
          <w:sz w:val="32"/>
          <w:szCs w:val="24"/>
          <w:lang w:val="zh-CN" w:eastAsia="zh-CN" w:bidi="ar"/>
        </w:rPr>
        <w:t>“三公”经费预算执行情况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lang w:val="en-US" w:eastAsia="zh-CN"/>
        </w:rPr>
      </w:pPr>
      <w:r>
        <w:rPr>
          <w:rFonts w:hint="eastAsia" w:ascii="仿宋_GB2312" w:hAnsi="宋体" w:eastAsia="仿宋_GB2312" w:cs="宋体"/>
          <w:color w:val="000000"/>
          <w:kern w:val="0"/>
          <w:sz w:val="32"/>
          <w:szCs w:val="24"/>
          <w:lang w:val="zh-CN" w:eastAsia="zh-CN" w:bidi="ar"/>
        </w:rPr>
        <w:t>严格落实中央八项规定和省委省政府十项规定，厉行节约管理“三公”经费，全年压缩了公车预算，国外接待人数减少。</w:t>
      </w:r>
      <w:r>
        <w:rPr>
          <w:rFonts w:hint="eastAsia" w:ascii="仿宋_GB2312" w:hAnsi="宋体" w:eastAsia="仿宋_GB2312" w:cs="宋体"/>
          <w:color w:val="000000"/>
          <w:kern w:val="0"/>
          <w:sz w:val="32"/>
          <w:szCs w:val="24"/>
          <w:lang w:val="en-US" w:eastAsia="zh-CN" w:bidi="ar"/>
        </w:rPr>
        <w:t>2020年“三公经费2.55万元，2019年“三公”经费3.47万元，减少0.92万元，下降26%。</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政府债务情况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20</w:t>
      </w:r>
      <w:r>
        <w:rPr>
          <w:rFonts w:hint="eastAsia" w:ascii="仿宋_GB2312" w:hAnsi="仿宋_GB2312" w:eastAsia="仿宋_GB2312" w:cs="仿宋_GB2312"/>
          <w:color w:val="000000"/>
          <w:kern w:val="2"/>
          <w:sz w:val="32"/>
          <w:szCs w:val="32"/>
          <w:lang w:val="zh-CN" w:eastAsia="zh-CN" w:bidi="ar-SA"/>
        </w:rPr>
        <w:t>年无政府性债务。</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非税收入情况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20</w:t>
      </w:r>
      <w:r>
        <w:rPr>
          <w:rFonts w:hint="eastAsia" w:ascii="仿宋_GB2312" w:hAnsi="仿宋_GB2312" w:eastAsia="仿宋_GB2312" w:cs="仿宋_GB2312"/>
          <w:color w:val="000000"/>
          <w:kern w:val="2"/>
          <w:sz w:val="32"/>
          <w:szCs w:val="32"/>
          <w:lang w:val="zh-CN" w:eastAsia="zh-CN" w:bidi="ar-SA"/>
        </w:rPr>
        <w:t>年无</w:t>
      </w:r>
      <w:r>
        <w:rPr>
          <w:rFonts w:hint="eastAsia" w:ascii="仿宋_GB2312" w:hAnsi="仿宋_GB2312" w:eastAsia="仿宋_GB2312" w:cs="仿宋_GB2312"/>
          <w:color w:val="000000"/>
          <w:kern w:val="2"/>
          <w:sz w:val="32"/>
          <w:szCs w:val="32"/>
          <w:lang w:val="en-US" w:eastAsia="zh-CN" w:bidi="ar-SA"/>
        </w:rPr>
        <w:t>非税收情况。</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资产管理情况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按照财政局资产管理要求，设置专人管理固定资产信息系统和更新数据，按规定组织资产清查和报送国有资产报表。</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内控制度管理情况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制定有预算管理制度、收入管理制度、政府采购业务管理制度、资产管理制度和合同管理办法等方面的内部控制制度。</w:t>
      </w:r>
    </w:p>
    <w:p>
      <w:pPr>
        <w:keepNext w:val="0"/>
        <w:keepLines w:val="0"/>
        <w:widowControl/>
        <w:numPr>
          <w:ilvl w:val="0"/>
          <w:numId w:val="13"/>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信息公开情况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按照县财政局相关要求，在县政府统一的公开网站对20</w:t>
      </w:r>
      <w:r>
        <w:rPr>
          <w:rFonts w:hint="eastAsia" w:ascii="仿宋_GB2312" w:hAnsi="仿宋_GB2312" w:eastAsia="仿宋_GB2312" w:cs="仿宋_GB2312"/>
          <w:color w:val="000000"/>
          <w:kern w:val="2"/>
          <w:sz w:val="32"/>
          <w:szCs w:val="32"/>
          <w:lang w:val="en-US" w:eastAsia="zh-CN" w:bidi="ar-SA"/>
        </w:rPr>
        <w:t>20</w:t>
      </w:r>
      <w:r>
        <w:rPr>
          <w:rFonts w:hint="eastAsia" w:ascii="仿宋_GB2312" w:hAnsi="仿宋_GB2312" w:eastAsia="仿宋_GB2312" w:cs="仿宋_GB2312"/>
          <w:color w:val="000000"/>
          <w:kern w:val="2"/>
          <w:sz w:val="32"/>
          <w:szCs w:val="32"/>
          <w:lang w:val="zh-CN" w:eastAsia="zh-CN" w:bidi="ar-SA"/>
        </w:rPr>
        <w:t>年预算、决算进行了公开。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包括部门职责履行结果、重点项目绩效评价结果和服务对象满意度等。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部门职责履行</w:t>
      </w:r>
      <w:r>
        <w:rPr>
          <w:rFonts w:hint="eastAsia" w:ascii="仿宋_GB2312" w:hAnsi="仿宋_GB2312" w:eastAsia="仿宋_GB2312" w:cs="仿宋_GB2312"/>
          <w:color w:val="000000"/>
          <w:kern w:val="0"/>
          <w:sz w:val="32"/>
          <w:szCs w:val="32"/>
          <w:lang w:val="en-US" w:eastAsia="zh-CN" w:bidi="ar-SA"/>
        </w:rPr>
        <w:t>结果：</w:t>
      </w:r>
    </w:p>
    <w:p>
      <w:pPr>
        <w:spacing w:line="600" w:lineRule="exact"/>
        <w:rPr>
          <w:rFonts w:hint="default" w:ascii="仿宋" w:hAnsi="仿宋" w:eastAsia="仿宋" w:cs="仿宋"/>
          <w:sz w:val="32"/>
          <w:szCs w:val="32"/>
        </w:rPr>
      </w:pPr>
      <w:r>
        <w:rPr>
          <w:rFonts w:hint="eastAsia" w:ascii="仿宋_GB2312" w:hAnsi="仿宋_GB2312" w:eastAsia="仿宋_GB2312" w:cs="仿宋_GB2312"/>
          <w:i w:val="0"/>
          <w:caps w:val="0"/>
          <w:color w:val="000000"/>
          <w:spacing w:val="0"/>
          <w:sz w:val="32"/>
          <w:szCs w:val="32"/>
          <w:shd w:val="clear" w:fill="FFFFFF"/>
        </w:rPr>
        <w:t>今年以来，</w:t>
      </w:r>
      <w:r>
        <w:rPr>
          <w:rFonts w:hint="eastAsia" w:ascii="仿宋_GB2312" w:hAnsi="仿宋_GB2312" w:eastAsia="仿宋_GB2312" w:cs="仿宋_GB2312"/>
          <w:i w:val="0"/>
          <w:caps w:val="0"/>
          <w:color w:val="000000"/>
          <w:spacing w:val="0"/>
          <w:sz w:val="32"/>
          <w:szCs w:val="32"/>
          <w:shd w:val="clear" w:fill="FFFFFF"/>
          <w:lang w:eastAsia="zh-CN"/>
        </w:rPr>
        <w:t>我中心</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在接下来的工作里，我们竭尽所能将人员配齐，严格按照内部控制规范制度行事。</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（三）改进建议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财政部门定期对各机关单位进行各类财务培训，加大培训力度，促进各单位事业的健康、可持续发展。</w:t>
      </w:r>
    </w:p>
    <w:bookmarkEnd w:id="85"/>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90" w:name="_Toc13406"/>
      <w:r>
        <w:rPr>
          <w:rFonts w:hint="eastAsia" w:ascii="黑体" w:hAnsi="黑体" w:eastAsia="黑体"/>
          <w:color w:val="000000"/>
          <w:sz w:val="44"/>
          <w:szCs w:val="44"/>
        </w:rPr>
        <w:t>第</w:t>
      </w:r>
      <w:r>
        <w:rPr>
          <w:rStyle w:val="33"/>
          <w:rFonts w:hint="eastAsia" w:ascii="黑体" w:hAnsi="黑体" w:eastAsia="黑体"/>
          <w:b w:val="0"/>
        </w:rPr>
        <w:t>五部分 附表</w:t>
      </w:r>
      <w:bookmarkEnd w:id="90"/>
    </w:p>
    <w:p>
      <w:pPr>
        <w:pStyle w:val="3"/>
        <w:numPr>
          <w:ilvl w:val="0"/>
          <w:numId w:val="14"/>
        </w:numPr>
        <w:rPr>
          <w:rFonts w:hint="eastAsia" w:ascii="仿宋" w:hAnsi="仿宋" w:eastAsia="仿宋"/>
          <w:b w:val="0"/>
          <w:color w:val="000000"/>
        </w:rPr>
      </w:pPr>
      <w:bookmarkStart w:id="91" w:name="_Toc30426"/>
      <w:r>
        <w:rPr>
          <w:rFonts w:hint="eastAsia" w:ascii="仿宋" w:hAnsi="仿宋" w:eastAsia="仿宋"/>
          <w:b w:val="0"/>
          <w:color w:val="000000"/>
        </w:rPr>
        <w:t>收入支出决算总表</w:t>
      </w:r>
      <w:bookmarkEnd w:id="91"/>
    </w:p>
    <w:p>
      <w:pPr>
        <w:pStyle w:val="3"/>
        <w:numPr>
          <w:ilvl w:val="0"/>
          <w:numId w:val="0"/>
        </w:numPr>
        <w:rPr>
          <w:rFonts w:ascii="仿宋" w:hAnsi="仿宋" w:eastAsia="仿宋"/>
          <w:color w:val="000000"/>
        </w:rPr>
      </w:pPr>
      <w:bookmarkStart w:id="92" w:name="_Toc30062"/>
      <w:r>
        <w:rPr>
          <w:rFonts w:hint="eastAsia" w:ascii="仿宋" w:hAnsi="仿宋" w:eastAsia="仿宋"/>
          <w:b w:val="0"/>
          <w:color w:val="000000"/>
        </w:rPr>
        <w:t>二、收</w:t>
      </w:r>
      <w:r>
        <w:rPr>
          <w:rStyle w:val="31"/>
          <w:rFonts w:hint="eastAsia" w:ascii="仿宋" w:hAnsi="仿宋" w:eastAsia="仿宋"/>
          <w:b w:val="0"/>
          <w:bCs w:val="0"/>
        </w:rPr>
        <w:t>入总表</w:t>
      </w:r>
      <w:bookmarkEnd w:id="92"/>
    </w:p>
    <w:p>
      <w:pPr>
        <w:pStyle w:val="3"/>
        <w:rPr>
          <w:rFonts w:ascii="仿宋" w:hAnsi="仿宋" w:eastAsia="仿宋"/>
          <w:color w:val="000000"/>
        </w:rPr>
      </w:pPr>
      <w:bookmarkStart w:id="93" w:name="_Toc30348"/>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出总表</w:t>
      </w:r>
      <w:bookmarkEnd w:id="93"/>
    </w:p>
    <w:p>
      <w:pPr>
        <w:pStyle w:val="3"/>
        <w:rPr>
          <w:rFonts w:ascii="仿宋" w:hAnsi="仿宋" w:eastAsia="仿宋"/>
          <w:b w:val="0"/>
          <w:color w:val="000000"/>
        </w:rPr>
      </w:pPr>
      <w:bookmarkStart w:id="94" w:name="_Toc20434"/>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94"/>
    </w:p>
    <w:p>
      <w:pPr>
        <w:pStyle w:val="3"/>
        <w:rPr>
          <w:rFonts w:ascii="仿宋" w:hAnsi="仿宋" w:eastAsia="仿宋"/>
          <w:color w:val="000000"/>
        </w:rPr>
      </w:pPr>
      <w:bookmarkStart w:id="95" w:name="_Toc29842"/>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政拨款支出决算明细表（政府经济分类科目）</w:t>
      </w:r>
      <w:bookmarkEnd w:id="95"/>
    </w:p>
    <w:p>
      <w:pPr>
        <w:pStyle w:val="3"/>
        <w:rPr>
          <w:rFonts w:ascii="仿宋" w:hAnsi="仿宋" w:eastAsia="仿宋"/>
          <w:color w:val="000000"/>
        </w:rPr>
      </w:pPr>
      <w:bookmarkStart w:id="96" w:name="_Toc24903"/>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96"/>
    </w:p>
    <w:p>
      <w:pPr>
        <w:pStyle w:val="3"/>
        <w:rPr>
          <w:rFonts w:ascii="仿宋" w:hAnsi="仿宋" w:eastAsia="仿宋"/>
          <w:color w:val="000000"/>
        </w:rPr>
      </w:pPr>
      <w:bookmarkStart w:id="97" w:name="_Toc1080"/>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97"/>
    </w:p>
    <w:p>
      <w:pPr>
        <w:pStyle w:val="3"/>
        <w:rPr>
          <w:rFonts w:ascii="仿宋" w:hAnsi="仿宋" w:eastAsia="仿宋"/>
          <w:color w:val="000000"/>
        </w:rPr>
      </w:pPr>
      <w:bookmarkStart w:id="98" w:name="_Toc12904"/>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98"/>
    </w:p>
    <w:p>
      <w:pPr>
        <w:pStyle w:val="3"/>
        <w:rPr>
          <w:rFonts w:ascii="仿宋" w:hAnsi="仿宋" w:eastAsia="仿宋"/>
          <w:color w:val="000000"/>
        </w:rPr>
      </w:pPr>
      <w:bookmarkStart w:id="99" w:name="_Toc11326"/>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99"/>
    </w:p>
    <w:p>
      <w:pPr>
        <w:pStyle w:val="3"/>
        <w:rPr>
          <w:rFonts w:ascii="仿宋" w:hAnsi="仿宋" w:eastAsia="仿宋"/>
          <w:color w:val="000000"/>
        </w:rPr>
      </w:pPr>
      <w:bookmarkStart w:id="100" w:name="_Toc5436"/>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100"/>
    </w:p>
    <w:p>
      <w:pPr>
        <w:pStyle w:val="3"/>
        <w:rPr>
          <w:rFonts w:ascii="仿宋" w:hAnsi="仿宋" w:eastAsia="仿宋"/>
          <w:color w:val="000000"/>
        </w:rPr>
      </w:pPr>
      <w:bookmarkStart w:id="101" w:name="_Toc27570"/>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101"/>
    </w:p>
    <w:p>
      <w:pPr>
        <w:pStyle w:val="3"/>
        <w:rPr>
          <w:rFonts w:ascii="仿宋" w:hAnsi="仿宋" w:eastAsia="仿宋"/>
          <w:color w:val="000000"/>
        </w:rPr>
      </w:pPr>
      <w:bookmarkStart w:id="102" w:name="_Toc13620"/>
      <w:r>
        <w:rPr>
          <w:rStyle w:val="31"/>
          <w:rFonts w:hint="eastAsia" w:ascii="仿宋" w:hAnsi="仿宋" w:eastAsia="仿宋"/>
          <w:b w:val="0"/>
          <w:bCs w:val="0"/>
        </w:rPr>
        <w:t>十二、</w:t>
      </w:r>
      <w:r>
        <w:rPr>
          <w:rFonts w:hint="eastAsia" w:ascii="仿宋" w:hAnsi="仿宋" w:eastAsia="仿宋"/>
          <w:b w:val="0"/>
          <w:color w:val="000000"/>
        </w:rPr>
        <w:t>政</w:t>
      </w:r>
      <w:r>
        <w:rPr>
          <w:rStyle w:val="31"/>
          <w:rFonts w:hint="eastAsia" w:ascii="仿宋" w:hAnsi="仿宋" w:eastAsia="仿宋"/>
          <w:b w:val="0"/>
          <w:bCs w:val="0"/>
        </w:rPr>
        <w:t>府性基金预算财政拨款“三公”经费支出决算表</w:t>
      </w:r>
      <w:bookmarkEnd w:id="102"/>
    </w:p>
    <w:p>
      <w:pPr>
        <w:pStyle w:val="3"/>
        <w:rPr>
          <w:rFonts w:ascii="仿宋" w:hAnsi="仿宋" w:eastAsia="仿宋"/>
          <w:color w:val="000000" w:themeColor="text1"/>
          <w14:textFill>
            <w14:solidFill>
              <w14:schemeClr w14:val="tx1"/>
            </w14:solidFill>
          </w14:textFill>
        </w:rPr>
      </w:pPr>
      <w:bookmarkStart w:id="103" w:name="_Toc11887"/>
      <w:r>
        <w:rPr>
          <w:rStyle w:val="31"/>
          <w:rFonts w:hint="eastAsia" w:ascii="仿宋" w:hAnsi="仿宋" w:eastAsia="仿宋"/>
          <w:b w:val="0"/>
          <w:bCs w:val="0"/>
        </w:rPr>
        <w:t>十三、</w:t>
      </w:r>
      <w:r>
        <w:rPr>
          <w:rFonts w:hint="eastAsia" w:ascii="仿宋" w:hAnsi="仿宋" w:eastAsia="仿宋"/>
          <w:b w:val="0"/>
          <w:color w:val="000000"/>
        </w:rPr>
        <w:t>国</w:t>
      </w:r>
      <w:r>
        <w:rPr>
          <w:rStyle w:val="31"/>
          <w:rFonts w:hint="eastAsia" w:ascii="仿宋" w:hAnsi="仿宋" w:eastAsia="仿宋"/>
          <w:b w:val="0"/>
          <w:bCs w:val="0"/>
        </w:rPr>
        <w:t>有资本经营预算支出决算表</w:t>
      </w:r>
      <w:bookmarkEnd w:id="103"/>
    </w:p>
    <w:p>
      <w:pPr>
        <w:spacing w:line="600" w:lineRule="exact"/>
        <w:jc w:val="center"/>
        <w:outlineLvl w:val="9"/>
        <w:rPr>
          <w:rFonts w:ascii="仿宋" w:hAnsi="仿宋" w:eastAsia="仿宋"/>
          <w:b/>
          <w:color w:val="000000"/>
          <w:sz w:val="44"/>
          <w:szCs w:val="44"/>
        </w:rPr>
      </w:pPr>
    </w:p>
    <w:bookmarkEnd w:id="81"/>
    <w:p>
      <w:pPr>
        <w:spacing w:line="600" w:lineRule="exact"/>
        <w:jc w:val="center"/>
        <w:outlineLvl w:val="9"/>
        <w:rPr>
          <w:rFonts w:ascii="仿宋" w:hAnsi="仿宋" w:eastAsia="仿宋"/>
          <w:b/>
          <w:color w:val="000000"/>
          <w:sz w:val="44"/>
          <w:szCs w:val="44"/>
        </w:rPr>
      </w:pPr>
    </w:p>
    <w:p>
      <w:pPr>
        <w:pStyle w:val="3"/>
        <w:outlineLvl w:val="9"/>
        <w:rPr>
          <w:rFonts w:ascii="仿宋" w:hAnsi="仿宋" w:eastAsia="仿宋"/>
          <w:color w:val="000000" w:themeColor="text1"/>
          <w14:textFill>
            <w14:solidFill>
              <w14:schemeClr w14:val="tx1"/>
            </w14:solidFill>
          </w14:textFill>
        </w:rPr>
      </w:pPr>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CC020F-C6EF-4A24-8736-0F06274354A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4A8B882D-73D0-4BA2-B74C-66BECC414E6A}"/>
  </w:font>
  <w:font w:name="Cambria">
    <w:panose1 w:val="02040503050406030204"/>
    <w:charset w:val="00"/>
    <w:family w:val="roman"/>
    <w:pitch w:val="default"/>
    <w:sig w:usb0="E00002FF" w:usb1="400004FF" w:usb2="00000000" w:usb3="00000000" w:csb0="2000019F" w:csb1="00000000"/>
    <w:embedRegular r:id="rId3" w:fontKey="{80E159C6-E22D-4F6F-95C8-DB6ABA539F1B}"/>
  </w:font>
  <w:font w:name="仿宋_GB2312">
    <w:panose1 w:val="02010609030101010101"/>
    <w:charset w:val="86"/>
    <w:family w:val="modern"/>
    <w:pitch w:val="default"/>
    <w:sig w:usb0="00000001" w:usb1="080E0000" w:usb2="00000000" w:usb3="00000000" w:csb0="00040000" w:csb1="00000000"/>
    <w:embedRegular r:id="rId4" w:fontKey="{DBCBB73C-B55F-4971-8CF9-87660AB58964}"/>
  </w:font>
  <w:font w:name="仿宋">
    <w:panose1 w:val="02010609060101010101"/>
    <w:charset w:val="86"/>
    <w:family w:val="modern"/>
    <w:pitch w:val="default"/>
    <w:sig w:usb0="800002BF" w:usb1="38CF7CFA" w:usb2="00000016" w:usb3="00000000" w:csb0="00040001" w:csb1="00000000"/>
    <w:embedRegular r:id="rId5" w:fontKey="{0FD52DBB-98F2-4E62-B589-D171DA99E9E3}"/>
  </w:font>
  <w:font w:name="方正小标宋简体">
    <w:panose1 w:val="02000000000000000000"/>
    <w:charset w:val="86"/>
    <w:family w:val="script"/>
    <w:pitch w:val="default"/>
    <w:sig w:usb0="00000001" w:usb1="08000000" w:usb2="00000000" w:usb3="00000000" w:csb0="00040000" w:csb1="00000000"/>
    <w:embedRegular r:id="rId6" w:fontKey="{27278289-5F59-4726-B5F8-AB38677F1856}"/>
  </w:font>
  <w:font w:name="楷体">
    <w:panose1 w:val="02010609060101010101"/>
    <w:charset w:val="86"/>
    <w:family w:val="auto"/>
    <w:pitch w:val="default"/>
    <w:sig w:usb0="800002BF" w:usb1="38CF7CFA" w:usb2="00000016" w:usb3="00000000" w:csb0="00040001" w:csb1="00000000"/>
    <w:embedRegular r:id="rId7" w:fontKey="{9B0669BD-1F0D-4370-8CF2-9956EF539399}"/>
  </w:font>
  <w:font w:name="楷体_GB2312">
    <w:altName w:val="楷体"/>
    <w:panose1 w:val="02010609030101010101"/>
    <w:charset w:val="86"/>
    <w:family w:val="modern"/>
    <w:pitch w:val="default"/>
    <w:sig w:usb0="00000000" w:usb1="00000000" w:usb2="00000000" w:usb3="00000000" w:csb0="00040000" w:csb1="00000000"/>
    <w:embedRegular r:id="rId8" w:fontKey="{706B16D9-6B33-4107-BDFD-56BDDDA9BD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6F83B"/>
    <w:multiLevelType w:val="singleLevel"/>
    <w:tmpl w:val="99A6F83B"/>
    <w:lvl w:ilvl="0" w:tentative="0">
      <w:start w:val="1"/>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09FC8B8"/>
    <w:multiLevelType w:val="singleLevel"/>
    <w:tmpl w:val="E09FC8B8"/>
    <w:lvl w:ilvl="0" w:tentative="0">
      <w:start w:val="2"/>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841C79E"/>
    <w:multiLevelType w:val="singleLevel"/>
    <w:tmpl w:val="E841C79E"/>
    <w:lvl w:ilvl="0" w:tentative="0">
      <w:start w:val="1"/>
      <w:numFmt w:val="decimal"/>
      <w:lvlText w:val="%1."/>
      <w:lvlJc w:val="left"/>
      <w:pPr>
        <w:tabs>
          <w:tab w:val="left" w:pos="312"/>
        </w:tabs>
      </w:pPr>
    </w:lvl>
  </w:abstractNum>
  <w:abstractNum w:abstractNumId="6">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62A9803"/>
    <w:multiLevelType w:val="singleLevel"/>
    <w:tmpl w:val="162A9803"/>
    <w:lvl w:ilvl="0" w:tentative="0">
      <w:start w:val="2"/>
      <w:numFmt w:val="chineseCounting"/>
      <w:suff w:val="nothing"/>
      <w:lvlText w:val="（%1）"/>
      <w:lvlJc w:val="left"/>
      <w:rPr>
        <w:rFonts w:hint="eastAsia"/>
      </w:rPr>
    </w:lvl>
  </w:abstractNum>
  <w:abstractNum w:abstractNumId="9">
    <w:nsid w:val="1BC8B668"/>
    <w:multiLevelType w:val="singleLevel"/>
    <w:tmpl w:val="1BC8B668"/>
    <w:lvl w:ilvl="0" w:tentative="0">
      <w:start w:val="2"/>
      <w:numFmt w:val="chineseCounting"/>
      <w:suff w:val="nothing"/>
      <w:lvlText w:val="%1、"/>
      <w:lvlJc w:val="left"/>
      <w:rPr>
        <w:rFonts w:hint="eastAsia"/>
      </w:rPr>
    </w:lvl>
  </w:abstractNum>
  <w:abstractNum w:abstractNumId="10">
    <w:nsid w:val="567B2A2F"/>
    <w:multiLevelType w:val="singleLevel"/>
    <w:tmpl w:val="567B2A2F"/>
    <w:lvl w:ilvl="0" w:tentative="0">
      <w:start w:val="2"/>
      <w:numFmt w:val="chineseCounting"/>
      <w:suff w:val="nothing"/>
      <w:lvlText w:val="（%1）"/>
      <w:lvlJc w:val="left"/>
      <w:rPr>
        <w:rFonts w:hint="eastAsia"/>
      </w:rPr>
    </w:lvl>
  </w:abstractNum>
  <w:abstractNum w:abstractNumId="11">
    <w:nsid w:val="5A549600"/>
    <w:multiLevelType w:val="singleLevel"/>
    <w:tmpl w:val="5A549600"/>
    <w:lvl w:ilvl="0" w:tentative="0">
      <w:start w:val="4"/>
      <w:numFmt w:val="decimal"/>
      <w:suff w:val="nothing"/>
      <w:lvlText w:val="%1."/>
      <w:lvlJc w:val="left"/>
    </w:lvl>
  </w:abstractNum>
  <w:abstractNum w:abstractNumId="12">
    <w:nsid w:val="5A54971E"/>
    <w:multiLevelType w:val="singleLevel"/>
    <w:tmpl w:val="5A54971E"/>
    <w:lvl w:ilvl="0" w:tentative="0">
      <w:start w:val="9"/>
      <w:numFmt w:val="decimal"/>
      <w:suff w:val="nothing"/>
      <w:lvlText w:val="%1."/>
      <w:lvlJc w:val="left"/>
    </w:lvl>
  </w:abstractNum>
  <w:abstractNum w:abstractNumId="13">
    <w:nsid w:val="5D5382B5"/>
    <w:multiLevelType w:val="singleLevel"/>
    <w:tmpl w:val="5D5382B5"/>
    <w:lvl w:ilvl="0" w:tentative="0">
      <w:start w:val="1"/>
      <w:numFmt w:val="chineseCounting"/>
      <w:suff w:val="nothing"/>
      <w:lvlText w:val="%1、"/>
      <w:lvlJc w:val="left"/>
    </w:lvl>
  </w:abstractNum>
  <w:num w:numId="1">
    <w:abstractNumId w:val="11"/>
  </w:num>
  <w:num w:numId="2">
    <w:abstractNumId w:val="12"/>
  </w:num>
  <w:num w:numId="3">
    <w:abstractNumId w:val="9"/>
  </w:num>
  <w:num w:numId="4">
    <w:abstractNumId w:val="7"/>
  </w:num>
  <w:num w:numId="5">
    <w:abstractNumId w:val="5"/>
  </w:num>
  <w:num w:numId="6">
    <w:abstractNumId w:val="2"/>
  </w:num>
  <w:num w:numId="7">
    <w:abstractNumId w:val="6"/>
  </w:num>
  <w:num w:numId="8">
    <w:abstractNumId w:val="1"/>
  </w:num>
  <w:num w:numId="9">
    <w:abstractNumId w:val="4"/>
  </w:num>
  <w:num w:numId="10">
    <w:abstractNumId w:val="10"/>
  </w:num>
  <w:num w:numId="11">
    <w:abstractNumId w:val="8"/>
  </w:num>
  <w:num w:numId="12">
    <w:abstractNumId w:val="3"/>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F0A03"/>
    <w:rsid w:val="03710905"/>
    <w:rsid w:val="068A0F69"/>
    <w:rsid w:val="0851651B"/>
    <w:rsid w:val="0A2C271E"/>
    <w:rsid w:val="0B2903C7"/>
    <w:rsid w:val="0DA834E3"/>
    <w:rsid w:val="0FDB3687"/>
    <w:rsid w:val="102A1420"/>
    <w:rsid w:val="10730F12"/>
    <w:rsid w:val="10C055FF"/>
    <w:rsid w:val="11455594"/>
    <w:rsid w:val="159E2CD7"/>
    <w:rsid w:val="16BB723D"/>
    <w:rsid w:val="18B0542D"/>
    <w:rsid w:val="19827D42"/>
    <w:rsid w:val="1A591B06"/>
    <w:rsid w:val="1C232A2C"/>
    <w:rsid w:val="1C702F60"/>
    <w:rsid w:val="1D401601"/>
    <w:rsid w:val="224E366E"/>
    <w:rsid w:val="234F0893"/>
    <w:rsid w:val="240371BF"/>
    <w:rsid w:val="24943691"/>
    <w:rsid w:val="24B245CB"/>
    <w:rsid w:val="25D339BC"/>
    <w:rsid w:val="269676FB"/>
    <w:rsid w:val="27E603D8"/>
    <w:rsid w:val="288E7BE6"/>
    <w:rsid w:val="290001F8"/>
    <w:rsid w:val="29CD1F5E"/>
    <w:rsid w:val="29FD04D3"/>
    <w:rsid w:val="2D4C307B"/>
    <w:rsid w:val="319F7F4E"/>
    <w:rsid w:val="35986925"/>
    <w:rsid w:val="37310543"/>
    <w:rsid w:val="37436641"/>
    <w:rsid w:val="380044EB"/>
    <w:rsid w:val="39B973B6"/>
    <w:rsid w:val="3AD55465"/>
    <w:rsid w:val="3B0F4CEB"/>
    <w:rsid w:val="3DA95D59"/>
    <w:rsid w:val="3E460826"/>
    <w:rsid w:val="3E7F73DF"/>
    <w:rsid w:val="3F844718"/>
    <w:rsid w:val="4B1931D8"/>
    <w:rsid w:val="4B52572D"/>
    <w:rsid w:val="4C2F5626"/>
    <w:rsid w:val="4E574386"/>
    <w:rsid w:val="4ECE2238"/>
    <w:rsid w:val="4FFE7C6B"/>
    <w:rsid w:val="508A7621"/>
    <w:rsid w:val="50B8751F"/>
    <w:rsid w:val="53106BF4"/>
    <w:rsid w:val="57A70DE1"/>
    <w:rsid w:val="582A52A9"/>
    <w:rsid w:val="591A1A31"/>
    <w:rsid w:val="5ADA488F"/>
    <w:rsid w:val="5D85631B"/>
    <w:rsid w:val="5E7B0F03"/>
    <w:rsid w:val="62382388"/>
    <w:rsid w:val="663C1BFC"/>
    <w:rsid w:val="69CF085E"/>
    <w:rsid w:val="6AC30496"/>
    <w:rsid w:val="6BA27F27"/>
    <w:rsid w:val="6BCA03CC"/>
    <w:rsid w:val="6CF016CE"/>
    <w:rsid w:val="71E36E7E"/>
    <w:rsid w:val="7266265E"/>
    <w:rsid w:val="72734D90"/>
    <w:rsid w:val="7336237F"/>
    <w:rsid w:val="74166B1E"/>
    <w:rsid w:val="74CF38F3"/>
    <w:rsid w:val="797E6468"/>
    <w:rsid w:val="7C2760C6"/>
    <w:rsid w:val="7CB60F22"/>
    <w:rsid w:val="7DA35E71"/>
    <w:rsid w:val="7E805A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2">
    <w:name w:val="p0"/>
    <w:basedOn w:val="1"/>
    <w:qFormat/>
    <w:uiPriority w:val="0"/>
    <w:pPr>
      <w:widowControl/>
      <w:spacing w:before="100" w:beforeAutospacing="1" w:after="100" w:afterAutospacing="1"/>
      <w:jc w:val="left"/>
    </w:pPr>
    <w:rPr>
      <w:rFonts w:ascii="宋体" w:cs="宋体"/>
      <w:kern w:val="0"/>
      <w:sz w:val="24"/>
      <w:szCs w:val="24"/>
      <w:lang w:bidi="ar-SA"/>
    </w:rPr>
  </w:style>
  <w:style w:type="character" w:customStyle="1" w:styleId="33">
    <w:name w:val="标题 1 Char"/>
    <w:basedOn w:val="14"/>
    <w:link w:val="2"/>
    <w:qFormat/>
    <w:uiPriority w:val="9"/>
    <w:rPr>
      <w:rFonts w:ascii="Times New Roman" w:hAnsi="Times New Roman"/>
      <w:b/>
      <w:bCs/>
      <w:kern w:val="44"/>
      <w:sz w:val="44"/>
      <w:szCs w:val="44"/>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2019年度</c:v>
                </c:pt>
                <c:pt idx="1">
                  <c:v>2020年度</c:v>
                </c:pt>
              </c:strCache>
            </c:strRef>
          </c:cat>
          <c:val>
            <c:numRef>
              <c:f>Sheet1!$B$2:$B$5</c:f>
              <c:numCache>
                <c:formatCode>General</c:formatCode>
                <c:ptCount val="4"/>
                <c:pt idx="0">
                  <c:v>188</c:v>
                </c:pt>
                <c:pt idx="1">
                  <c:v>188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2019年度</c:v>
                </c:pt>
                <c:pt idx="1">
                  <c:v>2020年度</c:v>
                </c:pt>
              </c:strCache>
            </c:strRef>
          </c:cat>
          <c:val>
            <c:numRef>
              <c:f>Sheet1!$C$2:$C$5</c:f>
              <c:numCache>
                <c:formatCode>General</c:formatCode>
                <c:ptCount val="4"/>
                <c:pt idx="0">
                  <c:v>554</c:v>
                </c:pt>
                <c:pt idx="1">
                  <c:v>204</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2019年度</c:v>
                </c:pt>
                <c:pt idx="1">
                  <c:v>2020年度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2020年总收入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554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0125"/>
          <c:y val="0.756666666666667"/>
          <c:w val="0.696125"/>
          <c:h val="0.236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总支出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2020总支出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经营支出</c:v>
                </c:pt>
                <c:pt idx="3">
                  <c:v>上缴上级支出</c:v>
                </c:pt>
                <c:pt idx="4">
                  <c:v>对附属单位补助支出</c:v>
                </c:pt>
              </c:strCache>
            </c:strRef>
          </c:cat>
          <c:val>
            <c:numRef>
              <c:f>Sheet1!$B$2:$B$6</c:f>
              <c:numCache>
                <c:formatCode>General</c:formatCode>
                <c:ptCount val="5"/>
                <c:pt idx="0">
                  <c:v>175</c:v>
                </c:pt>
                <c:pt idx="1">
                  <c:v>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1"/>
          <c:y val="0.9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2019年度</c:v>
                </c:pt>
                <c:pt idx="1">
                  <c:v>2020年度</c:v>
                </c:pt>
              </c:strCache>
            </c:strRef>
          </c:cat>
          <c:val>
            <c:numRef>
              <c:f>Sheet1!$B$2:$B$5</c:f>
              <c:numCache>
                <c:formatCode>General</c:formatCode>
                <c:ptCount val="4"/>
                <c:pt idx="0">
                  <c:v>188</c:v>
                </c:pt>
                <c:pt idx="1">
                  <c:v>188</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2019年度</c:v>
                </c:pt>
                <c:pt idx="1">
                  <c:v>2020年度</c:v>
                </c:pt>
              </c:strCache>
            </c:strRef>
          </c:cat>
          <c:val>
            <c:numRef>
              <c:f>Sheet1!$C$2:$C$5</c:f>
              <c:numCache>
                <c:formatCode>General</c:formatCode>
                <c:ptCount val="4"/>
                <c:pt idx="0">
                  <c:v>554</c:v>
                </c:pt>
                <c:pt idx="1">
                  <c:v>204</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2019年度</c:v>
                </c:pt>
                <c:pt idx="1">
                  <c:v>2020年度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Sheet1!$B$2:$B$5</c:f>
              <c:numCache>
                <c:formatCode>General</c:formatCode>
                <c:ptCount val="4"/>
                <c:pt idx="0">
                  <c:v>188</c:v>
                </c:pt>
                <c:pt idx="1">
                  <c:v>204</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2019年</c:v>
                </c:pt>
                <c:pt idx="1">
                  <c:v>2020年</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874489996"/>
        <c:axId val="251342259"/>
      </c:barChart>
      <c:catAx>
        <c:axId val="8744899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342259"/>
        <c:crosses val="autoZero"/>
        <c:auto val="1"/>
        <c:lblAlgn val="ctr"/>
        <c:lblOffset val="100"/>
        <c:noMultiLvlLbl val="0"/>
      </c:catAx>
      <c:valAx>
        <c:axId val="2513422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4489996"/>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2020财政拨款支出</a:t>
            </a:r>
          </a:p>
        </c:rich>
      </c:tx>
      <c:layout/>
      <c:overlay val="0"/>
      <c:spPr>
        <a:noFill/>
        <a:ln>
          <a:noFill/>
        </a:ln>
        <a:effectLst/>
      </c:spPr>
    </c:title>
    <c:autoTitleDeleted val="0"/>
    <c:plotArea>
      <c:layout/>
      <c:pieChart>
        <c:varyColors val="1"/>
        <c:ser>
          <c:idx val="0"/>
          <c:order val="0"/>
          <c:tx>
            <c:strRef>
              <c:f>Sheet1!$B$1</c:f>
              <c:strCache>
                <c:ptCount val="1"/>
                <c:pt idx="0">
                  <c:v>2020支出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住房保障支出</c:v>
                </c:pt>
                <c:pt idx="1">
                  <c:v>医疗卫生类支出</c:v>
                </c:pt>
                <c:pt idx="2">
                  <c:v>粮油物资储备支出</c:v>
                </c:pt>
                <c:pt idx="3">
                  <c:v>社会保障和就业类支出</c:v>
                </c:pt>
              </c:strCache>
            </c:strRef>
          </c:cat>
          <c:val>
            <c:numRef>
              <c:f>Sheet1!$B$2:$B$5</c:f>
              <c:numCache>
                <c:formatCode>General</c:formatCode>
                <c:ptCount val="4"/>
                <c:pt idx="0">
                  <c:v>11.84</c:v>
                </c:pt>
                <c:pt idx="1">
                  <c:v>10</c:v>
                </c:pt>
                <c:pt idx="2">
                  <c:v>163.93</c:v>
                </c:pt>
                <c:pt idx="3">
                  <c:v>19.19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1125"/>
          <c:y val="0.921666666666667"/>
          <c:w val="0.925125"/>
          <c:h val="0.0683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pt idx="1">
                  <c:v>公务接待费</c:v>
                </c:pt>
              </c:strCache>
            </c:strRef>
          </c:cat>
          <c:val>
            <c:numRef>
              <c:f>Sheet1!$B$2:$B$5</c:f>
              <c:numCache>
                <c:formatCode>General</c:formatCode>
                <c:ptCount val="4"/>
                <c:pt idx="0">
                  <c:v>2.55</c:v>
                </c:pt>
                <c:pt idx="1">
                  <c:v>0.14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10</TotalTime>
  <ScaleCrop>false</ScaleCrop>
  <LinksUpToDate>false</LinksUpToDate>
  <CharactersWithSpaces>8587</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2021-12-01T08:06:53Z</cp:lastPrinted>
  <dcterms:modified xsi:type="dcterms:W3CDTF">2021-12-01T08:08:31Z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6CA1842C605B4BE082B4196794F8F8A9</vt:lpwstr>
  </property>
</Properties>
</file>