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597"/>
      <w:bookmarkStart w:id="2" w:name="_Toc15396475"/>
      <w:bookmarkStart w:id="3" w:name="_Toc15377193"/>
      <w:bookmarkStart w:id="4" w:name="_Toc15378441"/>
      <w:bookmarkStart w:id="5" w:name="_Toc15377425"/>
      <w:r>
        <w:rPr>
          <w:rFonts w:ascii="黑体" w:hAnsi="黑体" w:eastAsia="黑体"/>
          <w:color w:val="000000"/>
          <w:sz w:val="72"/>
          <w:szCs w:val="72"/>
        </w:rPr>
        <w:t>201</w:t>
      </w:r>
      <w:r>
        <w:rPr>
          <w:rFonts w:hint="eastAsia" w:ascii="黑体" w:hAnsi="黑体" w:eastAsia="黑体"/>
          <w:color w:val="000000"/>
          <w:sz w:val="72"/>
          <w:szCs w:val="72"/>
        </w:rPr>
        <w:t>8</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96598"/>
      <w:bookmarkStart w:id="7" w:name="_Toc15378442"/>
      <w:bookmarkStart w:id="8" w:name="_Toc15377194"/>
      <w:bookmarkStart w:id="9" w:name="_Toc15396476"/>
      <w:bookmarkStart w:id="10" w:name="_Toc15377426"/>
      <w:r>
        <w:rPr>
          <w:rFonts w:hint="eastAsia" w:ascii="方正小标宋简体" w:hAnsi="宋体" w:eastAsia="方正小标宋简体"/>
          <w:color w:val="000000"/>
          <w:sz w:val="72"/>
          <w:szCs w:val="72"/>
        </w:rPr>
        <w:t>四川省</w:t>
      </w:r>
      <w:bookmarkEnd w:id="0"/>
      <w:bookmarkStart w:id="11" w:name="_Toc15306268"/>
      <w:r>
        <w:rPr>
          <w:rFonts w:hint="eastAsia" w:ascii="方正小标宋简体" w:hAnsi="宋体" w:eastAsia="方正小标宋简体"/>
          <w:color w:val="000000"/>
          <w:sz w:val="72"/>
          <w:szCs w:val="72"/>
          <w:lang w:eastAsia="zh-CN"/>
        </w:rPr>
        <w:t>阿坝州红原县粮食局</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
      <w:pPr>
        <w:pStyle w:val="10"/>
        <w:rPr>
          <w:rFonts w:cstheme="minorBidi"/>
        </w:rPr>
      </w:pPr>
      <w:r>
        <w:fldChar w:fldCharType="begin"/>
      </w:r>
      <w:r>
        <w:instrText xml:space="preserve"> HYPERLINK \l "_Toc15396599" </w:instrText>
      </w:r>
      <w:r>
        <w:fldChar w:fldCharType="separate"/>
      </w:r>
      <w:r>
        <w:rPr>
          <w:rStyle w:val="15"/>
          <w:rFonts w:hint="eastAsia"/>
        </w:rPr>
        <w:t>第一部分</w:t>
      </w:r>
      <w:r>
        <w:rPr>
          <w:rStyle w:val="15"/>
        </w:rPr>
        <w:t xml:space="preserve"> </w:t>
      </w:r>
      <w:r>
        <w:rPr>
          <w:rStyle w:val="15"/>
          <w:rFonts w:hint="eastAsia"/>
        </w:rPr>
        <w:t>部门概况</w:t>
      </w:r>
      <w:r>
        <w:rPr>
          <w:rFonts w:hint="eastAsia"/>
        </w:rPr>
        <w:fldChar w:fldCharType="end"/>
      </w:r>
    </w:p>
    <w:p>
      <w:pPr>
        <w:pStyle w:val="11"/>
        <w:rPr>
          <w:rFonts w:ascii="仿宋" w:hAnsi="仿宋" w:eastAsia="仿宋" w:cstheme="minorBidi"/>
          <w:sz w:val="28"/>
          <w:szCs w:val="28"/>
        </w:rPr>
      </w:pPr>
      <w:r>
        <w:fldChar w:fldCharType="begin"/>
      </w:r>
      <w:r>
        <w:instrText xml:space="preserve"> HYPERLINK \l "_Toc15396600" </w:instrText>
      </w:r>
      <w:r>
        <w:fldChar w:fldCharType="separate"/>
      </w:r>
      <w:r>
        <w:rPr>
          <w:rStyle w:val="15"/>
          <w:rFonts w:hint="eastAsia" w:ascii="仿宋" w:hAnsi="仿宋" w:eastAsia="仿宋"/>
          <w:sz w:val="28"/>
          <w:szCs w:val="28"/>
        </w:rPr>
        <w:t>一、基本职能及主要工作</w:t>
      </w:r>
      <w:r>
        <w:rPr>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"_Toc15396601" </w:instrText>
      </w:r>
      <w:r>
        <w:fldChar w:fldCharType="separate"/>
      </w:r>
      <w:r>
        <w:rPr>
          <w:rStyle w:val="15"/>
          <w:rFonts w:hint="eastAsia" w:ascii="仿宋" w:hAnsi="仿宋" w:eastAsia="仿宋"/>
          <w:sz w:val="28"/>
          <w:szCs w:val="28"/>
        </w:rPr>
        <w:t>二、机构设置</w:t>
      </w:r>
      <w:r>
        <w:rPr>
          <w:rFonts w:ascii="仿宋" w:hAnsi="仿宋" w:eastAsia="仿宋"/>
          <w:sz w:val="28"/>
          <w:szCs w:val="28"/>
        </w:rPr>
        <w:fldChar w:fldCharType="end"/>
      </w:r>
    </w:p>
    <w:p>
      <w:pPr>
        <w:pStyle w:val="10"/>
      </w:pPr>
      <w:r>
        <w:fldChar w:fldCharType="begin"/>
      </w:r>
      <w:r>
        <w:instrText xml:space="preserve"> HYPERLINK \l "_Toc15396602" </w:instrText>
      </w:r>
      <w:r>
        <w:fldChar w:fldCharType="separate"/>
      </w:r>
      <w:r>
        <w:rPr>
          <w:rStyle w:val="15"/>
          <w:rFonts w:hint="eastAsia"/>
        </w:rPr>
        <w:t>第二部分</w:t>
      </w:r>
      <w:r>
        <w:rPr>
          <w:rStyle w:val="15"/>
        </w:rPr>
        <w:t xml:space="preserve"> 2018</w:t>
      </w:r>
      <w:r>
        <w:rPr>
          <w:rStyle w:val="15"/>
          <w:rFonts w:hint="eastAsia"/>
        </w:rPr>
        <w:t>年度部门决算情况说明</w:t>
      </w:r>
      <w:r>
        <w:fldChar w:fldCharType="end"/>
      </w:r>
    </w:p>
    <w:p>
      <w:pPr>
        <w:pStyle w:val="11"/>
        <w:rPr>
          <w:rFonts w:ascii="仿宋" w:hAnsi="仿宋" w:eastAsia="仿宋" w:cstheme="minorBidi"/>
          <w:sz w:val="28"/>
          <w:szCs w:val="28"/>
        </w:rPr>
      </w:pPr>
      <w:r>
        <w:fldChar w:fldCharType="begin"/>
      </w:r>
      <w:r>
        <w:instrText xml:space="preserve"> HYPERLINK \l "_Toc15396603" </w:instrText>
      </w:r>
      <w:r>
        <w:fldChar w:fldCharType="separate"/>
      </w:r>
      <w:r>
        <w:rPr>
          <w:rStyle w:val="15"/>
          <w:rFonts w:hint="eastAsia" w:ascii="仿宋" w:hAnsi="仿宋" w:eastAsia="仿宋" w:cstheme="majorBidi"/>
          <w:bCs/>
          <w:sz w:val="28"/>
          <w:szCs w:val="28"/>
        </w:rPr>
        <w:t>一、</w:t>
      </w:r>
      <w:r>
        <w:rPr>
          <w:rStyle w:val="15"/>
          <w:rFonts w:hint="eastAsia" w:ascii="仿宋" w:hAnsi="仿宋" w:eastAsia="仿宋"/>
          <w:sz w:val="28"/>
          <w:szCs w:val="28"/>
        </w:rPr>
        <w:t>收</w:t>
      </w:r>
      <w:r>
        <w:rPr>
          <w:rStyle w:val="15"/>
          <w:rFonts w:hint="eastAsia" w:ascii="仿宋" w:hAnsi="仿宋" w:eastAsia="仿宋" w:cstheme="majorBidi"/>
          <w:bCs/>
          <w:sz w:val="28"/>
          <w:szCs w:val="28"/>
        </w:rPr>
        <w:t>入支出决算总体情况说明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"_Toc15396604" </w:instrText>
      </w:r>
      <w:r>
        <w:fldChar w:fldCharType="separate"/>
      </w:r>
      <w:r>
        <w:rPr>
          <w:rStyle w:val="15"/>
          <w:rFonts w:hint="eastAsia" w:ascii="仿宋" w:hAnsi="仿宋" w:eastAsia="仿宋" w:cstheme="majorBidi"/>
          <w:bCs/>
          <w:sz w:val="28"/>
          <w:szCs w:val="28"/>
        </w:rPr>
        <w:t>二、</w:t>
      </w:r>
      <w:r>
        <w:rPr>
          <w:rStyle w:val="15"/>
          <w:rFonts w:hint="eastAsia" w:ascii="仿宋" w:hAnsi="仿宋" w:eastAsia="仿宋"/>
          <w:sz w:val="28"/>
          <w:szCs w:val="28"/>
        </w:rPr>
        <w:t>收</w:t>
      </w:r>
      <w:r>
        <w:rPr>
          <w:rStyle w:val="15"/>
          <w:rFonts w:hint="eastAsia" w:ascii="仿宋" w:hAnsi="仿宋" w:eastAsia="仿宋" w:cstheme="majorBidi"/>
          <w:bCs/>
          <w:sz w:val="28"/>
          <w:szCs w:val="28"/>
        </w:rPr>
        <w:t>入决算情况说明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"_Toc15396605" </w:instrText>
      </w:r>
      <w:r>
        <w:fldChar w:fldCharType="separate"/>
      </w:r>
      <w:r>
        <w:rPr>
          <w:rStyle w:val="15"/>
          <w:rFonts w:hint="eastAsia" w:ascii="仿宋" w:hAnsi="仿宋" w:eastAsia="仿宋" w:cstheme="majorBidi"/>
          <w:bCs/>
          <w:sz w:val="28"/>
          <w:szCs w:val="28"/>
        </w:rPr>
        <w:t>三、</w:t>
      </w:r>
      <w:r>
        <w:rPr>
          <w:rStyle w:val="15"/>
          <w:rFonts w:hint="eastAsia" w:ascii="仿宋" w:hAnsi="仿宋" w:eastAsia="仿宋"/>
          <w:sz w:val="28"/>
          <w:szCs w:val="28"/>
        </w:rPr>
        <w:t>支</w:t>
      </w:r>
      <w:r>
        <w:rPr>
          <w:rStyle w:val="15"/>
          <w:rFonts w:hint="eastAsia" w:ascii="仿宋" w:hAnsi="仿宋" w:eastAsia="仿宋" w:cstheme="majorBidi"/>
          <w:bCs/>
          <w:sz w:val="28"/>
          <w:szCs w:val="28"/>
        </w:rPr>
        <w:t>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"_Toc15396606" </w:instrText>
      </w:r>
      <w:r>
        <w:fldChar w:fldCharType="separate"/>
      </w:r>
      <w:r>
        <w:rPr>
          <w:rStyle w:val="15"/>
          <w:rFonts w:hint="eastAsia" w:ascii="仿宋" w:hAnsi="仿宋" w:eastAsia="仿宋"/>
          <w:sz w:val="28"/>
          <w:szCs w:val="28"/>
        </w:rPr>
        <w:t>四、财</w:t>
      </w:r>
      <w:r>
        <w:rPr>
          <w:rStyle w:val="15"/>
          <w:rFonts w:hint="eastAsia" w:ascii="仿宋" w:hAnsi="仿宋" w:eastAsia="仿宋" w:cstheme="majorBidi"/>
          <w:bCs/>
          <w:sz w:val="28"/>
          <w:szCs w:val="28"/>
        </w:rPr>
        <w:t>政拨款收入支出决算总体情况说明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"_Toc15396607" </w:instrText>
      </w:r>
      <w:r>
        <w:fldChar w:fldCharType="separate"/>
      </w:r>
      <w:r>
        <w:rPr>
          <w:rStyle w:val="15"/>
          <w:rFonts w:hint="eastAsia" w:ascii="仿宋" w:hAnsi="仿宋" w:eastAsia="仿宋"/>
          <w:sz w:val="28"/>
          <w:szCs w:val="28"/>
        </w:rPr>
        <w:t>五、一</w:t>
      </w:r>
      <w:r>
        <w:rPr>
          <w:rStyle w:val="15"/>
          <w:rFonts w:hint="eastAsia" w:ascii="仿宋" w:hAnsi="仿宋" w:eastAsia="仿宋" w:cstheme="majorBidi"/>
          <w:bCs/>
          <w:sz w:val="28"/>
          <w:szCs w:val="28"/>
        </w:rPr>
        <w:t>般公共预算财政拨款支出决算情况说明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"_Toc15396608" </w:instrText>
      </w:r>
      <w:r>
        <w:fldChar w:fldCharType="separate"/>
      </w:r>
      <w:r>
        <w:rPr>
          <w:rStyle w:val="15"/>
          <w:rFonts w:hint="eastAsia" w:ascii="仿宋" w:hAnsi="仿宋" w:eastAsia="仿宋"/>
          <w:sz w:val="28"/>
          <w:szCs w:val="28"/>
        </w:rPr>
        <w:t>六、一</w:t>
      </w:r>
      <w:r>
        <w:rPr>
          <w:rStyle w:val="15"/>
          <w:rFonts w:hint="eastAsia" w:ascii="仿宋" w:hAnsi="仿宋" w:eastAsia="仿宋" w:cstheme="majorBidi"/>
          <w:bCs/>
          <w:sz w:val="28"/>
          <w:szCs w:val="28"/>
        </w:rPr>
        <w:t>般公共预算财政拨款基本支出决算情况说明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"_Toc15396609" </w:instrText>
      </w:r>
      <w:r>
        <w:fldChar w:fldCharType="separate"/>
      </w:r>
      <w:r>
        <w:rPr>
          <w:rStyle w:val="15"/>
          <w:rFonts w:hint="eastAsia" w:ascii="仿宋" w:hAnsi="仿宋" w:eastAsia="仿宋"/>
          <w:sz w:val="28"/>
          <w:szCs w:val="28"/>
        </w:rPr>
        <w:t>七、</w:t>
      </w:r>
      <w:r>
        <w:rPr>
          <w:rStyle w:val="15"/>
          <w:rFonts w:ascii="仿宋" w:hAnsi="仿宋" w:eastAsia="仿宋"/>
          <w:sz w:val="28"/>
          <w:szCs w:val="28"/>
        </w:rPr>
        <w:t>“</w:t>
      </w:r>
      <w:r>
        <w:rPr>
          <w:rStyle w:val="15"/>
          <w:rFonts w:hint="eastAsia" w:ascii="仿宋" w:hAnsi="仿宋" w:eastAsia="仿宋" w:cstheme="majorBidi"/>
          <w:bCs/>
          <w:sz w:val="28"/>
          <w:szCs w:val="28"/>
        </w:rPr>
        <w:t>三公”经费财政拨款支出决算情况说明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"_Toc15396610" </w:instrText>
      </w:r>
      <w:r>
        <w:fldChar w:fldCharType="separate"/>
      </w:r>
      <w:r>
        <w:rPr>
          <w:rStyle w:val="15"/>
          <w:rFonts w:hint="eastAsia" w:ascii="仿宋" w:hAnsi="仿宋" w:eastAsia="仿宋"/>
          <w:sz w:val="28"/>
          <w:szCs w:val="28"/>
        </w:rPr>
        <w:t>八、</w:t>
      </w:r>
      <w:r>
        <w:rPr>
          <w:rStyle w:val="15"/>
          <w:rFonts w:hint="eastAsia" w:ascii="仿宋" w:hAnsi="仿宋" w:eastAsia="仿宋" w:cstheme="majorBidi"/>
          <w:bCs/>
          <w:sz w:val="28"/>
          <w:szCs w:val="28"/>
        </w:rPr>
        <w:t>政府性基金预算支出决算情况说明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"_Toc15396611" </w:instrText>
      </w:r>
      <w:r>
        <w:fldChar w:fldCharType="separate"/>
      </w:r>
      <w:r>
        <w:rPr>
          <w:rStyle w:val="15"/>
          <w:rFonts w:hint="eastAsia" w:ascii="仿宋" w:hAnsi="仿宋" w:eastAsia="仿宋" w:cstheme="majorBidi"/>
          <w:bCs/>
          <w:sz w:val="28"/>
          <w:szCs w:val="28"/>
        </w:rPr>
        <w:t>九、</w:t>
      </w:r>
      <w:r>
        <w:rPr>
          <w:rStyle w:val="15"/>
          <w:rFonts w:hint="eastAsia" w:ascii="仿宋" w:hAnsi="仿宋" w:eastAsia="仿宋"/>
          <w:sz w:val="28"/>
          <w:szCs w:val="28"/>
        </w:rPr>
        <w:t xml:space="preserve"> 国</w:t>
      </w:r>
      <w:r>
        <w:rPr>
          <w:rStyle w:val="15"/>
          <w:rFonts w:hint="eastAsia" w:ascii="仿宋" w:hAnsi="仿宋" w:eastAsia="仿宋" w:cstheme="majorBidi"/>
          <w:bCs/>
          <w:sz w:val="28"/>
          <w:szCs w:val="28"/>
        </w:rPr>
        <w:t>有资本经营预算支出决算情况说明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"_Toc15396612" </w:instrText>
      </w:r>
      <w:r>
        <w:fldChar w:fldCharType="separate"/>
      </w:r>
      <w:r>
        <w:rPr>
          <w:rStyle w:val="15"/>
          <w:rFonts w:hint="eastAsia" w:ascii="仿宋" w:hAnsi="仿宋" w:eastAsia="仿宋"/>
          <w:sz w:val="28"/>
          <w:szCs w:val="28"/>
        </w:rPr>
        <w:t>十</w:t>
      </w:r>
      <w:r>
        <w:rPr>
          <w:rStyle w:val="15"/>
          <w:rFonts w:hint="eastAsia" w:ascii="仿宋" w:hAnsi="仿宋" w:eastAsia="仿宋" w:cstheme="majorBidi"/>
          <w:bCs/>
          <w:sz w:val="28"/>
          <w:szCs w:val="28"/>
        </w:rPr>
        <w:t>一、其他重要事项的情况说明</w:t>
      </w:r>
      <w:r>
        <w:rPr>
          <w:rFonts w:ascii="仿宋" w:hAnsi="仿宋" w:eastAsia="仿宋"/>
          <w:sz w:val="28"/>
          <w:szCs w:val="28"/>
        </w:rPr>
        <w:fldChar w:fldCharType="end"/>
      </w:r>
    </w:p>
    <w:p>
      <w:pPr>
        <w:pStyle w:val="10"/>
        <w:rPr>
          <w:rFonts w:cstheme="minorBidi"/>
        </w:rPr>
      </w:pPr>
      <w:r>
        <w:fldChar w:fldCharType="begin"/>
      </w:r>
      <w:r>
        <w:instrText xml:space="preserve"> HYPERLINK \l "_Toc15396613" </w:instrText>
      </w:r>
      <w:r>
        <w:fldChar w:fldCharType="separate"/>
      </w:r>
      <w:r>
        <w:rPr>
          <w:rStyle w:val="15"/>
          <w:rFonts w:hint="eastAsia"/>
          <w:bCs/>
          <w:kern w:val="44"/>
        </w:rPr>
        <w:t>第三部分</w:t>
      </w:r>
      <w:r>
        <w:rPr>
          <w:rStyle w:val="15"/>
          <w:rFonts w:hint="eastAsia"/>
        </w:rPr>
        <w:t xml:space="preserve"> 名</w:t>
      </w:r>
      <w:r>
        <w:rPr>
          <w:rStyle w:val="15"/>
          <w:rFonts w:hint="eastAsia"/>
          <w:bCs/>
          <w:kern w:val="44"/>
        </w:rPr>
        <w:t>词解释</w:t>
      </w:r>
      <w:r>
        <w:fldChar w:fldCharType="end"/>
      </w:r>
    </w:p>
    <w:p>
      <w:pPr>
        <w:pStyle w:val="10"/>
        <w:rPr>
          <w:rFonts w:cstheme="minorBidi"/>
        </w:rPr>
      </w:pPr>
      <w:r>
        <w:fldChar w:fldCharType="begin"/>
      </w:r>
      <w:r>
        <w:instrText xml:space="preserve"> HYPERLINK \l "_Toc15396614" </w:instrText>
      </w:r>
      <w:r>
        <w:fldChar w:fldCharType="separate"/>
      </w:r>
      <w:r>
        <w:rPr>
          <w:rStyle w:val="15"/>
          <w:rFonts w:hint="eastAsia"/>
        </w:rPr>
        <w:t>第</w:t>
      </w:r>
      <w:r>
        <w:rPr>
          <w:rStyle w:val="15"/>
          <w:rFonts w:hint="eastAsia"/>
          <w:bCs/>
          <w:kern w:val="44"/>
        </w:rPr>
        <w:t>四部分</w:t>
      </w:r>
      <w:r>
        <w:rPr>
          <w:rStyle w:val="15"/>
          <w:bCs/>
          <w:kern w:val="44"/>
        </w:rPr>
        <w:t xml:space="preserve"> </w:t>
      </w:r>
      <w:r>
        <w:rPr>
          <w:rStyle w:val="15"/>
          <w:rFonts w:hint="eastAsia"/>
          <w:bCs/>
          <w:kern w:val="44"/>
        </w:rPr>
        <w:t>附件</w:t>
      </w:r>
      <w:r>
        <w:fldChar w:fldCharType="end"/>
      </w:r>
    </w:p>
    <w:p>
      <w:pPr>
        <w:pStyle w:val="11"/>
        <w:rPr>
          <w:rFonts w:ascii="仿宋" w:hAnsi="仿宋" w:eastAsia="仿宋" w:cstheme="minorBidi"/>
          <w:sz w:val="28"/>
          <w:szCs w:val="28"/>
        </w:rPr>
      </w:pPr>
      <w:r>
        <w:fldChar w:fldCharType="begin"/>
      </w:r>
      <w:r>
        <w:instrText xml:space="preserve"> HYPERLINK \l "_Toc15396615" </w:instrText>
      </w:r>
      <w:r>
        <w:fldChar w:fldCharType="separate"/>
      </w:r>
      <w:r>
        <w:rPr>
          <w:rStyle w:val="15"/>
          <w:rFonts w:hint="eastAsia" w:ascii="仿宋" w:hAnsi="仿宋" w:eastAsia="仿宋"/>
          <w:kern w:val="44"/>
          <w:sz w:val="28"/>
          <w:szCs w:val="28"/>
        </w:rPr>
        <w:t>附件</w:t>
      </w:r>
      <w:r>
        <w:rPr>
          <w:rStyle w:val="15"/>
          <w:rFonts w:ascii="仿宋" w:hAnsi="仿宋" w:eastAsia="仿宋"/>
          <w:kern w:val="44"/>
          <w:sz w:val="28"/>
          <w:szCs w:val="28"/>
        </w:rPr>
        <w:t>1</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"_Toc15396617" </w:instrText>
      </w:r>
      <w:r>
        <w:fldChar w:fldCharType="separate"/>
      </w:r>
      <w:r>
        <w:rPr>
          <w:rStyle w:val="15"/>
          <w:rFonts w:hint="eastAsia" w:ascii="仿宋" w:hAnsi="仿宋" w:eastAsia="仿宋"/>
          <w:kern w:val="44"/>
          <w:sz w:val="28"/>
          <w:szCs w:val="28"/>
        </w:rPr>
        <w:t>附件</w:t>
      </w:r>
      <w:r>
        <w:rPr>
          <w:rStyle w:val="15"/>
          <w:rFonts w:ascii="仿宋" w:hAnsi="仿宋" w:eastAsia="仿宋"/>
          <w:kern w:val="44"/>
          <w:sz w:val="28"/>
          <w:szCs w:val="28"/>
        </w:rPr>
        <w:t>2</w:t>
      </w:r>
      <w:r>
        <w:rPr>
          <w:rFonts w:ascii="仿宋" w:hAnsi="仿宋" w:eastAsia="仿宋"/>
          <w:sz w:val="28"/>
          <w:szCs w:val="28"/>
        </w:rPr>
        <w:fldChar w:fldCharType="end"/>
      </w:r>
    </w:p>
    <w:p>
      <w:pPr>
        <w:pStyle w:val="10"/>
        <w:rPr>
          <w:rFonts w:cstheme="minorBidi"/>
        </w:rPr>
      </w:pPr>
      <w:r>
        <w:fldChar w:fldCharType="begin"/>
      </w:r>
      <w:r>
        <w:instrText xml:space="preserve"> HYPERLINK \l "_Toc15396618" </w:instrText>
      </w:r>
      <w:r>
        <w:fldChar w:fldCharType="separate"/>
      </w:r>
      <w:r>
        <w:rPr>
          <w:rStyle w:val="15"/>
          <w:rFonts w:hint="eastAsia"/>
        </w:rPr>
        <w:t>第</w:t>
      </w:r>
      <w:r>
        <w:rPr>
          <w:rStyle w:val="15"/>
          <w:rFonts w:hint="eastAsia"/>
          <w:bCs/>
          <w:kern w:val="44"/>
        </w:rPr>
        <w:t>五部分</w:t>
      </w:r>
      <w:r>
        <w:rPr>
          <w:rStyle w:val="15"/>
          <w:bCs/>
          <w:kern w:val="44"/>
        </w:rPr>
        <w:t xml:space="preserve"> </w:t>
      </w:r>
      <w:r>
        <w:rPr>
          <w:rStyle w:val="15"/>
          <w:rFonts w:hint="eastAsia"/>
          <w:bCs/>
          <w:kern w:val="44"/>
        </w:rPr>
        <w:t>附表</w:t>
      </w:r>
      <w:r>
        <w:fldChar w:fldCharType="end"/>
      </w:r>
    </w:p>
    <w:p>
      <w:pPr>
        <w:pStyle w:val="11"/>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5"/>
          <w:rFonts w:hint="eastAsia" w:ascii="仿宋" w:hAnsi="仿宋" w:eastAsia="仿宋"/>
          <w:sz w:val="28"/>
          <w:szCs w:val="28"/>
        </w:rPr>
        <w:t>收入支出决算总表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5"/>
          <w:rFonts w:hint="eastAsia" w:ascii="仿宋" w:hAnsi="仿宋" w:eastAsia="仿宋"/>
          <w:sz w:val="28"/>
          <w:szCs w:val="28"/>
        </w:rPr>
        <w:t>收入总表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5"/>
          <w:rFonts w:hint="eastAsia" w:ascii="仿宋" w:hAnsi="仿宋" w:eastAsia="仿宋"/>
          <w:sz w:val="28"/>
          <w:szCs w:val="28"/>
        </w:rPr>
        <w:t>支出总表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5"/>
          <w:rFonts w:hint="eastAsia" w:ascii="仿宋" w:hAnsi="仿宋" w:eastAsia="仿宋"/>
          <w:sz w:val="28"/>
          <w:szCs w:val="28"/>
        </w:rPr>
        <w:t>财政拨款收入支出决算总表</w:t>
      </w:r>
      <w:r>
        <w:rPr>
          <w:rFonts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5"/>
          <w:rFonts w:hint="eastAsia" w:ascii="仿宋" w:hAnsi="仿宋" w:eastAsia="仿宋"/>
          <w:sz w:val="28"/>
          <w:szCs w:val="28"/>
        </w:rPr>
        <w:t>一般公共预算财政拨款支出决算表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5"/>
          <w:rFonts w:hint="eastAsia" w:ascii="仿宋" w:hAnsi="仿宋" w:eastAsia="仿宋"/>
          <w:sz w:val="28"/>
          <w:szCs w:val="28"/>
        </w:rPr>
        <w:t>一般公共预算财政拨款支出决算明细表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5"/>
          <w:rFonts w:hint="eastAsia" w:ascii="仿宋" w:hAnsi="仿宋" w:eastAsia="仿宋"/>
          <w:sz w:val="28"/>
          <w:szCs w:val="28"/>
        </w:rPr>
        <w:t>一般公共预算财政拨款基本支出决算表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5"/>
          <w:rFonts w:hint="eastAsia" w:ascii="仿宋" w:hAnsi="仿宋" w:eastAsia="仿宋"/>
          <w:sz w:val="28"/>
          <w:szCs w:val="28"/>
        </w:rPr>
        <w:t>一般公共预算财政拨款项目支出决算表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5"/>
          <w:rFonts w:hint="eastAsia" w:ascii="仿宋" w:hAnsi="仿宋" w:eastAsia="仿宋"/>
          <w:sz w:val="28"/>
          <w:szCs w:val="28"/>
        </w:rPr>
        <w:t>一般公共预算财政拨款“三公”经费支出决算表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5"/>
          <w:rFonts w:hint="eastAsia" w:ascii="仿宋" w:hAnsi="仿宋" w:eastAsia="仿宋"/>
          <w:sz w:val="28"/>
          <w:szCs w:val="28"/>
        </w:rPr>
        <w:t>政府性基金预算财政拨款收入支出决算表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5"/>
          <w:rFonts w:hint="eastAsia" w:ascii="仿宋" w:hAnsi="仿宋" w:eastAsia="仿宋"/>
          <w:sz w:val="28"/>
          <w:szCs w:val="28"/>
        </w:rPr>
        <w:t>政府性基金预算财政拨款“三公”经费支出决算表</w:t>
      </w:r>
      <w:r>
        <w:rPr>
          <w:rFonts w:ascii="仿宋" w:hAnsi="仿宋" w:eastAsia="仿宋"/>
          <w:sz w:val="28"/>
          <w:szCs w:val="28"/>
        </w:rPr>
        <w:fldChar w:fldCharType="end"/>
      </w:r>
    </w:p>
    <w:p>
      <w:pPr>
        <w:pStyle w:val="11"/>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5"/>
          <w:rFonts w:hint="eastAsia" w:ascii="仿宋" w:hAnsi="仿宋" w:eastAsia="仿宋"/>
          <w:sz w:val="28"/>
          <w:szCs w:val="28"/>
        </w:rPr>
        <w:t>国有资本经营预算支出决算表</w:t>
      </w:r>
      <w:r>
        <w:rPr>
          <w:rFonts w:ascii="仿宋" w:hAnsi="仿宋" w:eastAsia="仿宋"/>
          <w:sz w:val="28"/>
          <w:szCs w:val="28"/>
        </w:rPr>
        <w:fldChar w:fldCharType="end"/>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77196"/>
      <w:bookmarkStart w:id="13" w:name="_Toc15396599"/>
      <w:r>
        <w:rPr>
          <w:rFonts w:ascii="黑体" w:hAnsi="黑体" w:eastAsia="黑体"/>
          <w:b/>
        </w:rPr>
        <w:br w:type="page"/>
      </w:r>
    </w:p>
    <w:p>
      <w:pPr>
        <w:pStyle w:val="2"/>
        <w:jc w:val="center"/>
        <w:rPr>
          <w:rStyle w:val="25"/>
          <w:rFonts w:ascii="黑体" w:hAnsi="黑体" w:eastAsia="黑体"/>
          <w:b/>
          <w:bCs w:val="0"/>
        </w:rPr>
      </w:pPr>
      <w:r>
        <w:rPr>
          <w:rFonts w:hint="eastAsia" w:ascii="黑体" w:hAnsi="黑体" w:eastAsia="黑体"/>
          <w:b w:val="0"/>
        </w:rPr>
        <w:t xml:space="preserve">第一部分 </w:t>
      </w:r>
      <w:r>
        <w:rPr>
          <w:rStyle w:val="25"/>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3"/>
        <w:rPr>
          <w:rStyle w:val="26"/>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4"/>
      <w:bookmarkEnd w:id="15"/>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16" w:name="_Toc15377198"/>
      <w:bookmarkStart w:id="17" w:name="_Toc15378445"/>
      <w:r>
        <w:rPr>
          <w:rFonts w:hint="eastAsia" w:ascii="仿宋" w:hAnsi="仿宋" w:eastAsia="仿宋"/>
          <w:bCs/>
          <w:color w:val="000000"/>
          <w:sz w:val="32"/>
          <w:szCs w:val="32"/>
        </w:rPr>
        <w:t>（一）主要职能。</w:t>
      </w:r>
      <w:bookmarkEnd w:id="16"/>
      <w:bookmarkEnd w:id="17"/>
      <w:bookmarkStart w:id="18" w:name="_Toc15377199"/>
      <w:bookmarkStart w:id="19" w:name="_Toc15378446"/>
    </w:p>
    <w:p>
      <w:pPr>
        <w:spacing w:line="600" w:lineRule="exact"/>
        <w:ind w:firstLine="640" w:firstLineChars="200"/>
        <w:rPr>
          <w:rFonts w:hint="default" w:ascii="仿宋" w:hAnsi="仿宋" w:eastAsia="仿宋" w:cs="仿宋"/>
          <w:sz w:val="32"/>
          <w:szCs w:val="32"/>
        </w:rPr>
      </w:pPr>
      <w:r>
        <w:rPr>
          <w:rFonts w:hint="eastAsia" w:ascii="仿宋" w:hAnsi="仿宋" w:eastAsia="仿宋" w:cs="仿宋"/>
          <w:sz w:val="32"/>
          <w:szCs w:val="32"/>
        </w:rPr>
        <w:t>（1）贯彻执行国家粮食流通和储备粮管理的方针、政策和法律、法规，拟定全县粮食流通和县储备管理的有关法规草案、规章制度和有关政策，组织执行；拟定全县粮食流通体制改革方案，并组织实施。</w:t>
      </w:r>
    </w:p>
    <w:p>
      <w:pPr>
        <w:spacing w:line="600" w:lineRule="exact"/>
        <w:ind w:firstLine="630"/>
        <w:rPr>
          <w:rFonts w:hint="default" w:ascii="仿宋" w:hAnsi="仿宋" w:eastAsia="仿宋" w:cs="仿宋"/>
          <w:sz w:val="32"/>
          <w:szCs w:val="32"/>
        </w:rPr>
      </w:pPr>
      <w:r>
        <w:rPr>
          <w:rFonts w:hint="eastAsia" w:ascii="仿宋" w:hAnsi="仿宋" w:eastAsia="仿宋" w:cs="仿宋"/>
          <w:sz w:val="32"/>
          <w:szCs w:val="32"/>
        </w:rPr>
        <w:t>（2）研究提出全县粮食宏观调控、总量平衡以及粮食流通的中长期规划；研究提出收储、动用县级储备粮的建议，并组织实施；研究制定粮食流通产业政策和优化产来结构、合理安排布局的措施；配合有关部门抓好商品粮油品种结构调整。</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3）负责县级储备粮管理，指导全县粮食储备体系建设；制定县储备粮管理的技术规范并监督执行；监督检查县储备粮库存数量、质量和安全；研究提出县级储备的收购、转换、抛售计划，并组织实施；受理在县省级和州级储备粮油的管理工作。</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（4）负责国家粮食收购任务的落实；提出全县粮食收购价格、保护价和销售限价的实施方案，并监督执行。</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（5）管理社会粮食流通，保障军队（含武警）、灾区、缺粮贫困地区和国家重点建设项目的粮食调拨和供应。</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（6）指导和协调全县粮食流通基础设施，编制全县粮油仓储、加工设施建设计划组织实施；负责全县粮油仓储、加工设施的报废、占用、拆迁的审核上报工作。</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7）指导全县粮食流能市场的行业管理、县级粮油批民市场体系建设、国有粮食企业的改革；指导并推动行业的技术改造、新技术推广运用、安全生产工作；承担行业统计工作；会同有关部门加强粮食市场监督管理。</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（8）监督、检查全县粮食财务管理工作。指导直属企业管理好国有资产。组织、实施粮食财务、会计制度，编报全县财务报表，组织编制年度决算。</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（9）负责对外经济技术合作与交流。</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（10）协同质量技术监督部门做好粮食质量标准的管理工作；制定粮食储存、运输和技术规范，并监督执行。</w:t>
      </w:r>
    </w:p>
    <w:p>
      <w:pPr>
        <w:spacing w:line="600" w:lineRule="exact"/>
        <w:rPr>
          <w:rFonts w:hint="default" w:ascii="仿宋" w:hAnsi="仿宋" w:eastAsia="仿宋"/>
          <w:sz w:val="32"/>
          <w:szCs w:val="32"/>
        </w:rPr>
      </w:pPr>
      <w:r>
        <w:rPr>
          <w:rFonts w:hint="eastAsia" w:ascii="仿宋" w:hAnsi="仿宋" w:eastAsia="仿宋" w:cs="仿宋"/>
          <w:sz w:val="32"/>
          <w:szCs w:val="32"/>
        </w:rPr>
        <w:t xml:space="preserve">    （11）承办县政府交办的其它事项。</w:t>
      </w:r>
    </w:p>
    <w:p>
      <w:pPr>
        <w:pStyle w:val="5"/>
        <w:adjustRightInd w:val="0"/>
        <w:snapToGrid w:val="0"/>
        <w:spacing w:before="93" w:line="600" w:lineRule="exact"/>
        <w:ind w:firstLine="640" w:firstLineChars="200"/>
        <w:outlineLvl w:val="2"/>
        <w:rPr>
          <w:rFonts w:hint="eastAsia"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8年重点工作完成情况。</w:t>
      </w:r>
      <w:bookmarkEnd w:id="18"/>
      <w:bookmarkEnd w:id="19"/>
    </w:p>
    <w:p>
      <w:pPr>
        <w:snapToGrid w:val="0"/>
        <w:spacing w:line="520" w:lineRule="exact"/>
        <w:ind w:firstLine="640" w:firstLineChars="200"/>
        <w:rPr>
          <w:rFonts w:hint="eastAsia" w:ascii="仿宋_GB2312" w:eastAsia="仿宋_GB2312" w:cs="宋体"/>
          <w:sz w:val="32"/>
          <w:szCs w:val="32"/>
        </w:rPr>
      </w:pPr>
      <w:r>
        <w:rPr>
          <w:rFonts w:hint="eastAsia" w:ascii="仿宋_GB2312" w:eastAsia="仿宋_GB2312"/>
          <w:sz w:val="32"/>
          <w:szCs w:val="32"/>
        </w:rPr>
        <w:t>201</w:t>
      </w:r>
      <w:r>
        <w:rPr>
          <w:rFonts w:hint="default" w:ascii="仿宋_GB2312" w:eastAsia="仿宋_GB2312"/>
          <w:sz w:val="32"/>
          <w:szCs w:val="32"/>
          <w:lang w:val="en-US"/>
        </w:rPr>
        <w:t>8</w:t>
      </w:r>
      <w:r>
        <w:rPr>
          <w:rFonts w:hint="eastAsia" w:ascii="仿宋_GB2312" w:eastAsia="仿宋_GB2312"/>
          <w:sz w:val="32"/>
          <w:szCs w:val="32"/>
        </w:rPr>
        <w:t>年，粮食工作在县委、县政府的坚强领导和州发改委的有力指导下,紧紧围绕县委、县政府及目标管理考核领导小组下达的201</w:t>
      </w:r>
      <w:r>
        <w:rPr>
          <w:rFonts w:hint="default" w:ascii="仿宋_GB2312" w:eastAsia="仿宋_GB2312"/>
          <w:sz w:val="32"/>
          <w:szCs w:val="32"/>
          <w:lang w:val="en-US"/>
        </w:rPr>
        <w:t>8</w:t>
      </w:r>
      <w:r>
        <w:rPr>
          <w:rFonts w:hint="eastAsia" w:ascii="仿宋_GB2312" w:eastAsia="仿宋_GB2312"/>
          <w:sz w:val="32"/>
          <w:szCs w:val="32"/>
        </w:rPr>
        <w:t>年度目标绩效考核工作任务，以“守住管好天下粮仓”，认真做好“广积粮、积好粮、好积粮”三篇文章为己任，严格执行《阿坝州贯彻落实粮食安全首长责任制考核办法》、《红原县贯彻落实粮食安全首长责任制考核办法》，履职尽责，创新工作，切实做好军需民食供应、粮食库存检查、科学管粮、依法治粮、维护社会稳定等方面工作并取得较大进展</w:t>
      </w:r>
      <w:r>
        <w:rPr>
          <w:rFonts w:hint="eastAsia" w:ascii="仿宋_GB2312" w:eastAsia="仿宋_GB2312" w:cs="宋体"/>
          <w:sz w:val="32"/>
          <w:szCs w:val="32"/>
        </w:rPr>
        <w:t>。为促进粮食流通事业科学发展，</w:t>
      </w:r>
      <w:r>
        <w:rPr>
          <w:rFonts w:hint="eastAsia" w:ascii="仿宋_GB2312" w:eastAsia="仿宋_GB2312"/>
          <w:sz w:val="32"/>
          <w:szCs w:val="32"/>
        </w:rPr>
        <w:t>推进粮食工作健康发展</w:t>
      </w:r>
      <w:r>
        <w:rPr>
          <w:rFonts w:hint="eastAsia" w:ascii="仿宋_GB2312" w:eastAsia="仿宋_GB2312" w:cs="宋体"/>
          <w:sz w:val="32"/>
          <w:szCs w:val="32"/>
        </w:rPr>
        <w:t>做出新的贡献。</w:t>
      </w:r>
    </w:p>
    <w:p>
      <w:pPr>
        <w:spacing w:line="580" w:lineRule="exact"/>
        <w:rPr>
          <w:rFonts w:hint="eastAsia" w:ascii="仿宋_GB2312" w:eastAsia="仿宋" w:cs="仿宋_GB2312"/>
          <w:bCs/>
          <w:sz w:val="32"/>
          <w:szCs w:val="32"/>
          <w:lang w:val="en-US" w:eastAsia="zh-CN"/>
        </w:rPr>
      </w:pPr>
      <w:r>
        <w:rPr>
          <w:rFonts w:hint="eastAsia" w:ascii="仿宋_GB2312" w:eastAsia="仿宋_GB2312"/>
          <w:sz w:val="32"/>
          <w:szCs w:val="32"/>
        </w:rPr>
        <w:t xml:space="preserve">    1.切实做好</w:t>
      </w:r>
      <w:r>
        <w:rPr>
          <w:rFonts w:hint="eastAsia" w:ascii="仿宋_GB2312" w:eastAsia="仿宋_GB2312" w:cs="仿宋_GB2312"/>
          <w:bCs/>
          <w:sz w:val="32"/>
          <w:szCs w:val="32"/>
        </w:rPr>
        <w:t>红原县扶贫开发和综合防治大骨节病试点工作201</w:t>
      </w:r>
      <w:r>
        <w:rPr>
          <w:rFonts w:hint="default" w:ascii="仿宋_GB2312" w:eastAsia="仿宋_GB2312" w:cs="仿宋_GB2312"/>
          <w:bCs/>
          <w:sz w:val="32"/>
          <w:szCs w:val="32"/>
          <w:lang w:val="en-US"/>
        </w:rPr>
        <w:t>8</w:t>
      </w:r>
      <w:r>
        <w:rPr>
          <w:rFonts w:hint="eastAsia" w:ascii="仿宋_GB2312" w:eastAsia="仿宋_GB2312" w:cs="仿宋_GB2312"/>
          <w:bCs/>
          <w:sz w:val="32"/>
          <w:szCs w:val="32"/>
        </w:rPr>
        <w:t>年度更换粮食项目。</w:t>
      </w:r>
      <w:r>
        <w:rPr>
          <w:rFonts w:hint="eastAsia" w:ascii="仿宋" w:hAnsi="仿宋" w:eastAsia="仿宋" w:cs="仿宋"/>
          <w:sz w:val="32"/>
          <w:szCs w:val="32"/>
        </w:rPr>
        <w:t>于201</w:t>
      </w:r>
      <w:r>
        <w:rPr>
          <w:rFonts w:hint="default" w:ascii="仿宋" w:hAnsi="仿宋" w:eastAsia="仿宋" w:cs="仿宋"/>
          <w:sz w:val="32"/>
          <w:szCs w:val="32"/>
          <w:lang w:val="en-US"/>
        </w:rPr>
        <w:t>8</w:t>
      </w:r>
      <w:r>
        <w:rPr>
          <w:rFonts w:hint="eastAsia" w:ascii="仿宋" w:hAnsi="仿宋" w:eastAsia="仿宋" w:cs="仿宋"/>
          <w:sz w:val="32"/>
          <w:szCs w:val="32"/>
        </w:rPr>
        <w:t>年9月25日，全面完成201</w:t>
      </w:r>
      <w:r>
        <w:rPr>
          <w:rFonts w:hint="default" w:ascii="仿宋" w:hAnsi="仿宋" w:eastAsia="仿宋" w:cs="仿宋"/>
          <w:sz w:val="32"/>
          <w:szCs w:val="32"/>
          <w:lang w:val="en-US"/>
        </w:rPr>
        <w:t>8</w:t>
      </w:r>
      <w:r>
        <w:rPr>
          <w:rFonts w:hint="eastAsia" w:ascii="仿宋" w:hAnsi="仿宋" w:eastAsia="仿宋" w:cs="仿宋"/>
          <w:sz w:val="32"/>
          <w:szCs w:val="32"/>
        </w:rPr>
        <w:t>年度红原县扶贫开发和综合防治大骨节病试点工作更换粮食项目的发放工作</w:t>
      </w:r>
      <w:r>
        <w:rPr>
          <w:rFonts w:hint="eastAsia" w:ascii="仿宋" w:hAnsi="仿宋" w:eastAsia="仿宋" w:cs="仿宋"/>
          <w:sz w:val="32"/>
          <w:szCs w:val="32"/>
          <w:lang w:eastAsia="zh-CN"/>
        </w:rPr>
        <w:t>。</w:t>
      </w:r>
    </w:p>
    <w:p>
      <w:pPr>
        <w:spacing w:line="54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2.扎实做好各项政策性粮食供应和商品粮销售工作。</w:t>
      </w:r>
      <w:r>
        <w:rPr>
          <w:rFonts w:hint="eastAsia" w:ascii="仿宋_GB2312" w:eastAsia="仿宋_GB2312"/>
          <w:bCs/>
          <w:sz w:val="32"/>
          <w:szCs w:val="32"/>
        </w:rPr>
        <w:t xml:space="preserve"> </w:t>
      </w:r>
    </w:p>
    <w:p>
      <w:pPr>
        <w:pStyle w:val="30"/>
        <w:spacing w:before="0" w:beforeAutospacing="0" w:after="0" w:afterAutospacing="0" w:line="600" w:lineRule="exact"/>
        <w:ind w:firstLine="600"/>
        <w:jc w:val="both"/>
        <w:rPr>
          <w:rFonts w:hint="eastAsia" w:ascii="仿宋" w:hAnsi="仿宋" w:eastAsia="仿宋" w:cs="仿宋"/>
          <w:sz w:val="32"/>
          <w:szCs w:val="32"/>
        </w:rPr>
      </w:pPr>
      <w:r>
        <w:rPr>
          <w:rFonts w:hint="eastAsia" w:ascii="仿宋" w:hAnsi="仿宋" w:eastAsia="仿宋" w:cs="仿宋"/>
          <w:sz w:val="32"/>
          <w:szCs w:val="32"/>
        </w:rPr>
        <w:t xml:space="preserve"> 3.增强粮食仓储规范化管理水平。</w:t>
      </w:r>
      <w:r>
        <w:rPr>
          <w:rFonts w:hint="eastAsia" w:ascii="仿宋_GB2312" w:eastAsia="仿宋_GB2312"/>
          <w:sz w:val="32"/>
          <w:szCs w:val="32"/>
        </w:rPr>
        <w:t>严格按照《粮食仓储管理办法》等规定，完善制度，层层签订责任书，逐级逐人落实目标管理责任，严明政策纪律，狠抓落实；想方设法筹措资金，不断改善粮食仓储条件。</w:t>
      </w:r>
      <w:r>
        <w:rPr>
          <w:rFonts w:hint="eastAsia" w:ascii="仿宋_GB2312" w:hAnsi="仿宋" w:eastAsia="仿宋_GB2312"/>
          <w:sz w:val="32"/>
          <w:szCs w:val="32"/>
        </w:rPr>
        <w:t>201</w:t>
      </w:r>
      <w:r>
        <w:rPr>
          <w:rFonts w:hint="eastAsia" w:ascii="仿宋_GB2312" w:hAnsi="仿宋" w:eastAsia="仿宋_GB2312"/>
          <w:sz w:val="32"/>
          <w:szCs w:val="32"/>
          <w:lang w:val="en-US" w:eastAsia="zh-CN"/>
        </w:rPr>
        <w:t>8</w:t>
      </w:r>
      <w:r>
        <w:rPr>
          <w:rFonts w:hint="eastAsia" w:ascii="仿宋_GB2312" w:eastAsia="仿宋_GB2312"/>
          <w:sz w:val="32"/>
          <w:szCs w:val="32"/>
        </w:rPr>
        <w:t>年对453吨县级储备粮（原粮）（其中：青稞200吨、面粉72吨&lt;折合小麦110吨&gt;、大米100吨&lt;折合稻谷143吨&gt;）和993吨州级储备粮（原粮）（其中：青稞300吨、大米454&lt;折合稻谷668吨&gt;、清油25吨）进行了轮换，确保储备粮的推陈出新。</w:t>
      </w:r>
    </w:p>
    <w:p>
      <w:pPr>
        <w:numPr>
          <w:ilvl w:val="0"/>
          <w:numId w:val="1"/>
        </w:numPr>
        <w:spacing w:line="54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营造良好的粮食流通环境。</w:t>
      </w:r>
    </w:p>
    <w:p>
      <w:pPr>
        <w:spacing w:line="540" w:lineRule="exact"/>
        <w:rPr>
          <w:rFonts w:hint="eastAsia" w:ascii="仿宋" w:hAnsi="仿宋" w:eastAsia="仿宋" w:cs="仿宋"/>
          <w:sz w:val="32"/>
          <w:szCs w:val="32"/>
        </w:rPr>
      </w:pPr>
      <w:r>
        <w:rPr>
          <w:rFonts w:hint="eastAsia" w:ascii="仿宋" w:hAnsi="仿宋" w:eastAsia="仿宋" w:cs="仿宋"/>
          <w:sz w:val="32"/>
          <w:szCs w:val="32"/>
        </w:rPr>
        <w:t xml:space="preserve">    5.做好安全生产工作，安全保粮，杜绝事故隐患。</w:t>
      </w:r>
    </w:p>
    <w:p>
      <w:pPr>
        <w:jc w:val="left"/>
        <w:rPr>
          <w:rFonts w:hint="eastAsia" w:ascii="仿宋" w:hAnsi="仿宋" w:eastAsia="仿宋" w:cs="仿宋"/>
          <w:sz w:val="32"/>
          <w:szCs w:val="32"/>
        </w:rPr>
      </w:pPr>
      <w:r>
        <w:rPr>
          <w:rFonts w:hint="eastAsia" w:ascii="仿宋" w:hAnsi="仿宋" w:eastAsia="仿宋" w:cs="仿宋"/>
          <w:sz w:val="32"/>
          <w:szCs w:val="32"/>
        </w:rPr>
        <w:t xml:space="preserve">    6.切实做好我县粮食安全首长责任制工作。</w:t>
      </w:r>
    </w:p>
    <w:p>
      <w:pPr>
        <w:jc w:val="left"/>
        <w:rPr>
          <w:rFonts w:hint="eastAsia" w:ascii="仿宋" w:hAnsi="仿宋" w:eastAsia="仿宋" w:cs="仿宋"/>
          <w:sz w:val="32"/>
          <w:szCs w:val="32"/>
        </w:rPr>
      </w:pPr>
      <w:r>
        <w:rPr>
          <w:rFonts w:hint="eastAsia" w:ascii="仿宋" w:hAnsi="仿宋" w:eastAsia="仿宋" w:cs="仿宋"/>
          <w:sz w:val="32"/>
          <w:szCs w:val="32"/>
        </w:rPr>
        <w:t xml:space="preserve">    7.周密部署，全面完成我县粮食库存检查工作。</w:t>
      </w:r>
    </w:p>
    <w:p>
      <w:pPr>
        <w:spacing w:line="540" w:lineRule="exact"/>
        <w:rPr>
          <w:rFonts w:hint="eastAsia" w:ascii="仿宋" w:hAnsi="仿宋" w:eastAsia="仿宋" w:cs="仿宋"/>
          <w:sz w:val="32"/>
          <w:szCs w:val="32"/>
        </w:rPr>
      </w:pPr>
      <w:r>
        <w:rPr>
          <w:rFonts w:hint="eastAsia" w:ascii="仿宋" w:hAnsi="仿宋" w:eastAsia="仿宋" w:cs="仿宋"/>
          <w:sz w:val="32"/>
          <w:szCs w:val="32"/>
        </w:rPr>
        <w:t xml:space="preserve">    8.以队伍建设保障，增强机关凝聚力。 </w:t>
      </w:r>
      <w:r>
        <w:rPr>
          <w:rFonts w:hint="eastAsia" w:ascii="楷体" w:hAnsi="楷体" w:eastAsia="楷体" w:cs="楷体"/>
          <w:b/>
          <w:bCs/>
          <w:sz w:val="32"/>
          <w:szCs w:val="32"/>
        </w:rPr>
        <w:t>  </w:t>
      </w:r>
    </w:p>
    <w:p>
      <w:pPr>
        <w:numPr>
          <w:ilvl w:val="0"/>
          <w:numId w:val="2"/>
        </w:num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认真做好党建工作。</w:t>
      </w:r>
    </w:p>
    <w:p>
      <w:pPr>
        <w:spacing w:line="540" w:lineRule="exact"/>
        <w:rPr>
          <w:rFonts w:hint="eastAsia" w:ascii="仿宋_GB2312" w:eastAsia="仿宋_GB2312"/>
          <w:sz w:val="32"/>
          <w:szCs w:val="32"/>
        </w:rPr>
      </w:pPr>
      <w:r>
        <w:rPr>
          <w:rFonts w:hint="eastAsia" w:ascii="仿宋_GB2312" w:eastAsia="仿宋_GB2312"/>
          <w:sz w:val="32"/>
          <w:szCs w:val="32"/>
        </w:rPr>
        <w:t xml:space="preserve">    10.认真做好党风廉政工作。</w:t>
      </w:r>
    </w:p>
    <w:p>
      <w:pPr>
        <w:spacing w:line="540" w:lineRule="exact"/>
        <w:rPr>
          <w:rFonts w:hint="eastAsia"/>
          <w:bCs/>
          <w:color w:val="000000"/>
          <w:sz w:val="32"/>
          <w:szCs w:val="32"/>
        </w:rPr>
      </w:pPr>
      <w:r>
        <w:rPr>
          <w:rFonts w:hint="eastAsia" w:ascii="仿宋" w:hAnsi="仿宋" w:eastAsia="仿宋" w:cs="仿宋"/>
          <w:sz w:val="32"/>
          <w:szCs w:val="32"/>
        </w:rPr>
        <w:t xml:space="preserve">    11.严格要求，认真做好其他各项工作。</w:t>
      </w:r>
    </w:p>
    <w:p>
      <w:pPr>
        <w:pStyle w:val="5"/>
        <w:adjustRightInd w:val="0"/>
        <w:snapToGrid w:val="0"/>
        <w:spacing w:before="93" w:line="600" w:lineRule="exact"/>
        <w:ind w:firstLine="640" w:firstLineChars="200"/>
        <w:outlineLvl w:val="2"/>
        <w:rPr>
          <w:rFonts w:hint="eastAsia" w:ascii="仿宋" w:hAnsi="仿宋" w:eastAsia="仿宋"/>
          <w:bCs/>
          <w:color w:val="000000"/>
          <w:sz w:val="32"/>
          <w:szCs w:val="32"/>
        </w:rPr>
      </w:pPr>
    </w:p>
    <w:p>
      <w:pPr>
        <w:pStyle w:val="3"/>
        <w:numPr>
          <w:ilvl w:val="0"/>
          <w:numId w:val="3"/>
        </w:numPr>
        <w:rPr>
          <w:rStyle w:val="26"/>
          <w:rFonts w:hint="eastAsia" w:ascii="黑体" w:hAnsi="黑体" w:eastAsia="黑体"/>
          <w:b w:val="0"/>
          <w:bCs w:val="0"/>
        </w:rPr>
      </w:pPr>
      <w:bookmarkStart w:id="20" w:name="_Toc15377200"/>
      <w:bookmarkStart w:id="21" w:name="_Toc15396601"/>
      <w:r>
        <w:rPr>
          <w:rFonts w:hint="eastAsia" w:ascii="黑体" w:hAnsi="黑体" w:eastAsia="黑体"/>
          <w:b w:val="0"/>
          <w:color w:val="000000"/>
        </w:rPr>
        <w:t>机</w:t>
      </w:r>
      <w:r>
        <w:rPr>
          <w:rStyle w:val="26"/>
          <w:rFonts w:hint="eastAsia" w:ascii="黑体" w:hAnsi="黑体" w:eastAsia="黑体"/>
          <w:b w:val="0"/>
          <w:bCs w:val="0"/>
        </w:rPr>
        <w:t>构设置</w:t>
      </w:r>
      <w:bookmarkEnd w:id="20"/>
      <w:bookmarkEnd w:id="21"/>
    </w:p>
    <w:p>
      <w:pPr>
        <w:pStyle w:val="3"/>
        <w:numPr>
          <w:ilvl w:val="0"/>
          <w:numId w:val="0"/>
        </w:numPr>
        <w:ind w:firstLine="640" w:firstLineChars="200"/>
        <w:rPr>
          <w:rFonts w:hint="default" w:ascii="仿宋" w:hAnsi="仿宋" w:eastAsia="仿宋" w:cs="仿宋_GB2312"/>
          <w:b w:val="0"/>
          <w:bCs w:val="0"/>
          <w:sz w:val="32"/>
          <w:szCs w:val="32"/>
        </w:rPr>
      </w:pPr>
      <w:r>
        <w:rPr>
          <w:rFonts w:hint="eastAsia" w:ascii="仿宋" w:hAnsi="仿宋" w:eastAsia="仿宋" w:cs="仿宋_GB2312"/>
          <w:b w:val="0"/>
          <w:bCs w:val="0"/>
          <w:sz w:val="32"/>
          <w:szCs w:val="32"/>
        </w:rPr>
        <w:t>我单位为独立核算全额拨款参公单位。机构1个。设有4个股室（办公室、综合股、监督检查股、行政审批股）。截止2018年底我单位共有编制8个，其中参公8人。实有人数8人，离休1人。</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jc w:val="right"/>
        <w:rPr>
          <w:rStyle w:val="25"/>
          <w:rFonts w:ascii="黑体" w:hAnsi="黑体" w:eastAsia="黑体"/>
          <w:b w:val="0"/>
          <w:bCs w:val="0"/>
        </w:rPr>
      </w:pPr>
      <w:bookmarkStart w:id="22" w:name="_Toc15377204"/>
      <w:bookmarkStart w:id="23"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5"/>
          <w:rFonts w:hint="eastAsia" w:ascii="黑体" w:hAnsi="黑体" w:eastAsia="黑体"/>
          <w:b w:val="0"/>
          <w:bCs w:val="0"/>
        </w:rPr>
        <w:t>2018年度部门决算情况说明</w:t>
      </w:r>
      <w:bookmarkEnd w:id="22"/>
      <w:bookmarkEnd w:id="23"/>
    </w:p>
    <w:p/>
    <w:p>
      <w:pPr>
        <w:pStyle w:val="24"/>
        <w:numPr>
          <w:ilvl w:val="0"/>
          <w:numId w:val="4"/>
        </w:numPr>
        <w:spacing w:line="600" w:lineRule="exact"/>
        <w:ind w:firstLineChars="0"/>
        <w:outlineLvl w:val="1"/>
        <w:rPr>
          <w:rStyle w:val="26"/>
          <w:rFonts w:ascii="黑体" w:hAnsi="黑体" w:eastAsia="黑体"/>
          <w:b w:val="0"/>
        </w:rPr>
      </w:pPr>
      <w:bookmarkStart w:id="24" w:name="_Toc15396603"/>
      <w:bookmarkStart w:id="25" w:name="_Toc15377205"/>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24"/>
      <w:bookmarkEnd w:id="25"/>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rPr>
        <w:t>2018年度收</w:t>
      </w:r>
      <w:r>
        <w:rPr>
          <w:rFonts w:hint="eastAsia" w:ascii="仿宋" w:hAnsi="仿宋" w:eastAsia="仿宋"/>
          <w:color w:val="000000"/>
          <w:sz w:val="32"/>
          <w:szCs w:val="32"/>
          <w:lang w:val="en-US" w:eastAsia="zh-CN"/>
        </w:rPr>
        <w:t>入总计231.72万元</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231.72</w:t>
      </w:r>
      <w:r>
        <w:rPr>
          <w:rFonts w:hint="eastAsia" w:ascii="仿宋" w:hAnsi="仿宋" w:eastAsia="仿宋"/>
          <w:color w:val="000000"/>
          <w:sz w:val="32"/>
          <w:szCs w:val="32"/>
        </w:rPr>
        <w:t>万元。与2017年相比，收</w:t>
      </w:r>
      <w:r>
        <w:rPr>
          <w:rFonts w:hint="eastAsia" w:ascii="仿宋" w:hAnsi="仿宋" w:eastAsia="仿宋"/>
          <w:color w:val="000000"/>
          <w:sz w:val="32"/>
          <w:szCs w:val="32"/>
          <w:lang w:val="en-US" w:eastAsia="zh-CN"/>
        </w:rPr>
        <w:t>入总计增加71.86万元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增长45%。</w:t>
      </w:r>
      <w:r>
        <w:rPr>
          <w:rFonts w:hint="eastAsia" w:ascii="仿宋" w:hAnsi="仿宋" w:eastAsia="仿宋"/>
          <w:color w:val="000000"/>
          <w:sz w:val="32"/>
          <w:szCs w:val="32"/>
        </w:rPr>
        <w:t>主要变动原因</w:t>
      </w:r>
      <w:r>
        <w:rPr>
          <w:rFonts w:hint="eastAsia" w:ascii="仿宋" w:hAnsi="仿宋" w:eastAsia="仿宋"/>
          <w:color w:val="000000"/>
          <w:sz w:val="32"/>
          <w:szCs w:val="32"/>
          <w:lang w:val="en-US" w:eastAsia="zh-CN"/>
        </w:rPr>
        <w:t>人员增加</w:t>
      </w:r>
      <w:r>
        <w:rPr>
          <w:rFonts w:hint="eastAsia" w:ascii="仿宋_GB2312" w:hAnsi="仿宋_GB2312" w:eastAsia="仿宋_GB2312" w:cs="仿宋_GB2312"/>
          <w:color w:val="000000"/>
          <w:sz w:val="32"/>
          <w:szCs w:val="32"/>
          <w:lang w:val="en-US" w:eastAsia="zh-CN"/>
        </w:rPr>
        <w:t>及2018年粮库智能化升级建设项目专项资金。</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增加71.86万元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增长44</w:t>
      </w:r>
      <w:r>
        <w:rPr>
          <w:rFonts w:ascii="仿宋" w:hAnsi="仿宋" w:eastAsia="仿宋"/>
          <w:color w:val="000000"/>
          <w:sz w:val="32"/>
          <w:szCs w:val="32"/>
        </w:rPr>
        <w:t>%</w:t>
      </w:r>
      <w:r>
        <w:rPr>
          <w:rFonts w:hint="eastAsia" w:ascii="仿宋" w:hAnsi="仿宋" w:eastAsia="仿宋"/>
          <w:color w:val="000000"/>
          <w:sz w:val="32"/>
          <w:szCs w:val="32"/>
        </w:rPr>
        <w:t>。主要变动原因</w:t>
      </w:r>
      <w:r>
        <w:rPr>
          <w:rFonts w:hint="eastAsia" w:ascii="仿宋" w:hAnsi="仿宋" w:eastAsia="仿宋"/>
          <w:color w:val="000000"/>
          <w:sz w:val="32"/>
          <w:szCs w:val="32"/>
          <w:lang w:val="en-US" w:eastAsia="zh-CN"/>
        </w:rPr>
        <w:t>人员增加及</w:t>
      </w:r>
      <w:r>
        <w:rPr>
          <w:rFonts w:hint="eastAsia" w:ascii="仿宋_GB2312" w:hAnsi="仿宋_GB2312" w:eastAsia="仿宋_GB2312" w:cs="仿宋_GB2312"/>
          <w:color w:val="000000"/>
          <w:sz w:val="32"/>
          <w:szCs w:val="32"/>
          <w:lang w:val="en-US" w:eastAsia="zh-CN"/>
        </w:rPr>
        <w:t>2018年粮库智能化升级建设项目专项资金</w:t>
      </w:r>
      <w:r>
        <w:rPr>
          <w:rFonts w:hint="eastAsia" w:ascii="仿宋" w:hAnsi="仿宋" w:eastAsia="仿宋"/>
          <w:color w:val="000000"/>
          <w:sz w:val="32"/>
          <w:szCs w:val="32"/>
          <w:lang w:val="en-US" w:eastAsia="zh-CN"/>
        </w:rPr>
        <w:t>。</w:t>
      </w:r>
    </w:p>
    <w:p>
      <w:pPr>
        <w:spacing w:line="600" w:lineRule="exact"/>
        <w:ind w:firstLine="640" w:firstLineChars="200"/>
        <w:rPr>
          <w:rFonts w:hint="eastAsia" w:ascii="仿宋" w:hAnsi="仿宋" w:eastAsia="仿宋"/>
          <w:color w:val="000000"/>
          <w:sz w:val="32"/>
          <w:szCs w:val="32"/>
          <w:lang w:val="en-US" w:eastAsia="zh-CN"/>
        </w:rPr>
      </w:pPr>
    </w:p>
    <w:p>
      <w:pPr>
        <w:spacing w:line="240" w:lineRule="auto"/>
        <w:ind w:firstLine="640" w:firstLineChars="200"/>
        <w:rPr>
          <w:rFonts w:hint="eastAsia"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color w:val="000000" w:themeColor="text1"/>
          <w:sz w:val="32"/>
          <w:szCs w:val="32"/>
          <w:lang w:val="en-US" w:eastAsia="zh-CN"/>
          <w14:textFill>
            <w14:solidFill>
              <w14:schemeClr w14:val="tx1"/>
            </w14:solidFill>
          </w14:textFill>
        </w:rPr>
        <w:drawing>
          <wp:inline distT="0" distB="0" distL="114300" distR="114300">
            <wp:extent cx="4199890" cy="2409825"/>
            <wp:effectExtent l="0" t="0" r="10160" b="9525"/>
            <wp:docPr id="5" name="图片 5" descr="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5"/>
                    <pic:cNvPicPr>
                      <a:picLocks noChangeAspect="1"/>
                    </pic:cNvPicPr>
                  </pic:nvPicPr>
                  <pic:blipFill>
                    <a:blip r:embed="rId10"/>
                    <a:stretch>
                      <a:fillRect/>
                    </a:stretch>
                  </pic:blipFill>
                  <pic:spPr>
                    <a:xfrm>
                      <a:off x="0" y="0"/>
                      <a:ext cx="4199890" cy="2409825"/>
                    </a:xfrm>
                    <a:prstGeom prst="rect">
                      <a:avLst/>
                    </a:prstGeom>
                  </pic:spPr>
                </pic:pic>
              </a:graphicData>
            </a:graphic>
          </wp:inline>
        </w:drawing>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pPr>
        <w:spacing w:line="600" w:lineRule="exact"/>
        <w:ind w:firstLine="640" w:firstLineChars="200"/>
        <w:jc w:val="left"/>
        <w:rPr>
          <w:rFonts w:ascii="仿宋_GB2312" w:eastAsia="仿宋_GB2312"/>
          <w:color w:val="000000"/>
          <w:sz w:val="32"/>
          <w:szCs w:val="32"/>
        </w:rPr>
      </w:pPr>
    </w:p>
    <w:p>
      <w:pPr>
        <w:pStyle w:val="24"/>
        <w:numPr>
          <w:ilvl w:val="0"/>
          <w:numId w:val="4"/>
        </w:numPr>
        <w:spacing w:line="600" w:lineRule="exact"/>
        <w:ind w:firstLineChars="0"/>
        <w:outlineLvl w:val="1"/>
        <w:rPr>
          <w:rStyle w:val="26"/>
          <w:rFonts w:ascii="黑体" w:hAnsi="黑体" w:eastAsia="黑体"/>
          <w:b w:val="0"/>
        </w:rPr>
      </w:pPr>
      <w:bookmarkStart w:id="26" w:name="_Toc15396604"/>
      <w:bookmarkStart w:id="27" w:name="_Toc15377206"/>
      <w:r>
        <w:rPr>
          <w:rFonts w:hint="eastAsia" w:ascii="黑体" w:hAnsi="黑体" w:eastAsia="黑体"/>
          <w:color w:val="000000"/>
          <w:sz w:val="32"/>
          <w:szCs w:val="32"/>
        </w:rPr>
        <w:t>收</w:t>
      </w:r>
      <w:r>
        <w:rPr>
          <w:rStyle w:val="26"/>
          <w:rFonts w:hint="eastAsia" w:ascii="黑体" w:hAnsi="黑体" w:eastAsia="黑体"/>
          <w:b w:val="0"/>
        </w:rPr>
        <w:t>入决算情况说明</w:t>
      </w:r>
      <w:bookmarkEnd w:id="26"/>
      <w:bookmarkEnd w:id="27"/>
    </w:p>
    <w:p>
      <w:pPr>
        <w:spacing w:line="600" w:lineRule="exact"/>
        <w:ind w:firstLine="640" w:firstLineChars="200"/>
        <w:outlineLvl w:val="1"/>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8年本年收入合计</w:t>
      </w:r>
      <w:r>
        <w:rPr>
          <w:rFonts w:hint="eastAsia" w:ascii="仿宋" w:hAnsi="仿宋" w:eastAsia="仿宋"/>
          <w:color w:val="000000"/>
          <w:sz w:val="32"/>
          <w:szCs w:val="32"/>
          <w:lang w:val="en-US" w:eastAsia="zh-CN"/>
        </w:rPr>
        <w:t>164.21</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164.17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99.98</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0.034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0.02</w:t>
      </w:r>
      <w:r>
        <w:rPr>
          <w:rFonts w:ascii="仿宋" w:hAnsi="仿宋" w:eastAsia="仿宋"/>
          <w:color w:val="000000"/>
          <w:sz w:val="32"/>
          <w:szCs w:val="32"/>
        </w:rPr>
        <w:t>%</w:t>
      </w:r>
      <w:r>
        <w:rPr>
          <w:rFonts w:hint="eastAsia" w:ascii="仿宋" w:hAnsi="仿宋" w:eastAsia="仿宋"/>
          <w:color w:val="000000"/>
          <w:sz w:val="32"/>
          <w:szCs w:val="32"/>
        </w:rPr>
        <w:t>。</w:t>
      </w:r>
    </w:p>
    <w:p>
      <w:pPr>
        <w:spacing w:line="240" w:lineRule="auto"/>
        <w:ind w:firstLine="640" w:firstLineChars="200"/>
        <w:outlineLvl w:val="1"/>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inline distT="0" distB="0" distL="114300" distR="114300">
            <wp:extent cx="5028565" cy="3771265"/>
            <wp:effectExtent l="0" t="0" r="635" b="635"/>
            <wp:docPr id="3" name="图片 3"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3"/>
                    <pic:cNvPicPr>
                      <a:picLocks noChangeAspect="1"/>
                    </pic:cNvPicPr>
                  </pic:nvPicPr>
                  <pic:blipFill>
                    <a:blip r:embed="rId11"/>
                    <a:stretch>
                      <a:fillRect/>
                    </a:stretch>
                  </pic:blipFill>
                  <pic:spPr>
                    <a:xfrm>
                      <a:off x="0" y="0"/>
                      <a:ext cx="5028565" cy="3771265"/>
                    </a:xfrm>
                    <a:prstGeom prst="rect">
                      <a:avLst/>
                    </a:prstGeom>
                  </pic:spPr>
                </pic:pic>
              </a:graphicData>
            </a:graphic>
          </wp:inline>
        </w:drawing>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pPr>
        <w:spacing w:line="600" w:lineRule="exact"/>
        <w:ind w:firstLine="640" w:firstLineChars="200"/>
        <w:rPr>
          <w:rFonts w:ascii="仿宋_GB2312" w:eastAsia="仿宋_GB2312"/>
          <w:color w:val="FF0000"/>
          <w:sz w:val="32"/>
          <w:szCs w:val="32"/>
        </w:rPr>
      </w:pPr>
    </w:p>
    <w:p>
      <w:pPr>
        <w:pStyle w:val="24"/>
        <w:numPr>
          <w:ilvl w:val="0"/>
          <w:numId w:val="4"/>
        </w:numPr>
        <w:spacing w:line="600" w:lineRule="exact"/>
        <w:ind w:firstLineChars="0"/>
        <w:outlineLvl w:val="1"/>
        <w:rPr>
          <w:rStyle w:val="26"/>
          <w:rFonts w:ascii="黑体" w:hAnsi="黑体" w:eastAsia="黑体"/>
          <w:b w:val="0"/>
        </w:rPr>
      </w:pPr>
      <w:bookmarkStart w:id="28" w:name="_Toc15396605"/>
      <w:bookmarkStart w:id="29" w:name="_Toc15377207"/>
      <w:r>
        <w:rPr>
          <w:rFonts w:hint="eastAsia" w:ascii="黑体" w:hAnsi="黑体" w:eastAsia="黑体"/>
          <w:color w:val="000000"/>
          <w:sz w:val="32"/>
          <w:szCs w:val="32"/>
        </w:rPr>
        <w:t>支</w:t>
      </w:r>
      <w:r>
        <w:rPr>
          <w:rStyle w:val="26"/>
          <w:rFonts w:hint="eastAsia" w:ascii="黑体" w:hAnsi="黑体" w:eastAsia="黑体"/>
          <w:b w:val="0"/>
        </w:rPr>
        <w:t>出决算情况说明</w:t>
      </w:r>
      <w:bookmarkEnd w:id="28"/>
      <w:bookmarkEnd w:id="29"/>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8年本年支出合计</w:t>
      </w:r>
      <w:r>
        <w:rPr>
          <w:rFonts w:hint="eastAsia" w:ascii="仿宋" w:hAnsi="仿宋" w:eastAsia="仿宋"/>
          <w:color w:val="000000"/>
          <w:sz w:val="32"/>
          <w:szCs w:val="32"/>
          <w:lang w:val="en-US" w:eastAsia="zh-CN"/>
        </w:rPr>
        <w:t>231.72</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164.21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70.86</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67.51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29.14</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240" w:lineRule="auto"/>
        <w:ind w:firstLine="64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inline distT="0" distB="0" distL="114300" distR="114300">
            <wp:extent cx="5104765" cy="3818890"/>
            <wp:effectExtent l="0" t="0" r="635" b="10160"/>
            <wp:docPr id="4" name="图片 4"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4"/>
                    <pic:cNvPicPr>
                      <a:picLocks noChangeAspect="1"/>
                    </pic:cNvPicPr>
                  </pic:nvPicPr>
                  <pic:blipFill>
                    <a:blip r:embed="rId12"/>
                    <a:stretch>
                      <a:fillRect/>
                    </a:stretch>
                  </pic:blipFill>
                  <pic:spPr>
                    <a:xfrm>
                      <a:off x="0" y="0"/>
                      <a:ext cx="5104765" cy="3818890"/>
                    </a:xfrm>
                    <a:prstGeom prst="rect">
                      <a:avLst/>
                    </a:prstGeom>
                  </pic:spPr>
                </pic:pic>
              </a:graphicData>
            </a:graphic>
          </wp:inline>
        </w:drawing>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6"/>
          <w:rFonts w:ascii="黑体" w:hAnsi="黑体" w:eastAsia="黑体"/>
          <w:b w:val="0"/>
        </w:rPr>
      </w:pPr>
      <w:bookmarkStart w:id="30" w:name="_Toc15377208"/>
      <w:bookmarkStart w:id="31" w:name="_Toc15396606"/>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30"/>
      <w:bookmarkEnd w:id="31"/>
    </w:p>
    <w:p>
      <w:pPr>
        <w:spacing w:line="600" w:lineRule="exact"/>
        <w:ind w:firstLine="640" w:firstLineChars="200"/>
        <w:rPr>
          <w:rFonts w:hint="eastAsia" w:ascii="仿宋" w:hAnsi="仿宋" w:eastAsia="仿宋"/>
          <w:color w:val="00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rPr>
        <w:t>8年财政拨款收</w:t>
      </w:r>
      <w:r>
        <w:rPr>
          <w:rFonts w:hint="eastAsia" w:ascii="仿宋" w:hAnsi="仿宋" w:eastAsia="仿宋"/>
          <w:color w:val="000000"/>
          <w:sz w:val="32"/>
          <w:szCs w:val="32"/>
          <w:lang w:val="en-US" w:eastAsia="zh-CN"/>
        </w:rPr>
        <w:t>入总计231.69万元</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231.69</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rPr>
        <w:t>7年相比，财政拨款收</w:t>
      </w:r>
      <w:r>
        <w:rPr>
          <w:rFonts w:hint="eastAsia" w:ascii="仿宋" w:hAnsi="仿宋" w:eastAsia="仿宋"/>
          <w:color w:val="000000"/>
          <w:sz w:val="32"/>
          <w:szCs w:val="32"/>
          <w:lang w:val="en-US" w:eastAsia="zh-CN"/>
        </w:rPr>
        <w:t>入总计增加71.83万元，增长45%，</w:t>
      </w:r>
      <w:r>
        <w:rPr>
          <w:rFonts w:hint="eastAsia" w:ascii="仿宋" w:hAnsi="仿宋" w:eastAsia="仿宋"/>
          <w:color w:val="000000"/>
          <w:sz w:val="32"/>
          <w:szCs w:val="32"/>
        </w:rPr>
        <w:t>主要变动原因</w:t>
      </w:r>
      <w:r>
        <w:rPr>
          <w:rFonts w:hint="eastAsia" w:ascii="仿宋_GB2312" w:hAnsi="仿宋_GB2312" w:eastAsia="仿宋_GB2312" w:cs="仿宋_GB2312"/>
          <w:color w:val="000000"/>
          <w:sz w:val="32"/>
          <w:szCs w:val="32"/>
          <w:lang w:val="en-US" w:eastAsia="zh-CN"/>
        </w:rPr>
        <w:t>人员增加及2018年粮库智能化升级建设项目专项资金；</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增加71.83万元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增长45</w:t>
      </w:r>
      <w:r>
        <w:rPr>
          <w:rFonts w:ascii="仿宋" w:hAnsi="仿宋" w:eastAsia="仿宋"/>
          <w:color w:val="000000"/>
          <w:sz w:val="32"/>
          <w:szCs w:val="32"/>
        </w:rPr>
        <w:t>%</w:t>
      </w:r>
      <w:r>
        <w:rPr>
          <w:rFonts w:hint="eastAsia" w:ascii="仿宋" w:hAnsi="仿宋" w:eastAsia="仿宋"/>
          <w:color w:val="000000"/>
          <w:sz w:val="32"/>
          <w:szCs w:val="32"/>
        </w:rPr>
        <w:t>。主要变动原因</w:t>
      </w:r>
      <w:r>
        <w:rPr>
          <w:rFonts w:hint="eastAsia" w:ascii="仿宋" w:hAnsi="仿宋" w:eastAsia="仿宋"/>
          <w:color w:val="000000"/>
          <w:sz w:val="32"/>
          <w:szCs w:val="32"/>
          <w:lang w:val="en-US" w:eastAsia="zh-CN"/>
        </w:rPr>
        <w:t>人员增加</w:t>
      </w:r>
      <w:r>
        <w:rPr>
          <w:rFonts w:hint="eastAsia" w:ascii="仿宋_GB2312" w:hAnsi="仿宋_GB2312" w:eastAsia="仿宋_GB2312" w:cs="仿宋_GB2312"/>
          <w:color w:val="000000"/>
          <w:sz w:val="32"/>
          <w:szCs w:val="32"/>
          <w:lang w:val="en-US" w:eastAsia="zh-CN"/>
        </w:rPr>
        <w:t>及2018年粮库智能化升级建设项目专项资金</w:t>
      </w:r>
      <w:r>
        <w:rPr>
          <w:rFonts w:hint="eastAsia" w:ascii="仿宋" w:hAnsi="仿宋" w:eastAsia="仿宋"/>
          <w:color w:val="000000"/>
          <w:sz w:val="32"/>
          <w:szCs w:val="32"/>
          <w:lang w:val="en-US" w:eastAsia="zh-CN"/>
        </w:rPr>
        <w:t>。</w:t>
      </w:r>
    </w:p>
    <w:p>
      <w:pPr>
        <w:spacing w:line="600" w:lineRule="exact"/>
        <w:ind w:firstLine="640" w:firstLineChars="200"/>
        <w:rPr>
          <w:rFonts w:hint="eastAsia" w:ascii="仿宋" w:hAnsi="仿宋" w:eastAsia="仿宋"/>
          <w:color w:val="000000"/>
          <w:sz w:val="32"/>
          <w:szCs w:val="32"/>
          <w:lang w:val="en-US" w:eastAsia="zh-CN"/>
        </w:rPr>
      </w:pPr>
    </w:p>
    <w:p>
      <w:pPr>
        <w:spacing w:line="240" w:lineRule="auto"/>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drawing>
          <wp:inline distT="0" distB="0" distL="114300" distR="114300">
            <wp:extent cx="4199890" cy="2409825"/>
            <wp:effectExtent l="0" t="0" r="10160" b="9525"/>
            <wp:docPr id="7" name="图片 7" descr="图片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7"/>
                    <pic:cNvPicPr>
                      <a:picLocks noChangeAspect="1"/>
                    </pic:cNvPicPr>
                  </pic:nvPicPr>
                  <pic:blipFill>
                    <a:blip r:embed="rId13"/>
                    <a:stretch>
                      <a:fillRect/>
                    </a:stretch>
                  </pic:blipFill>
                  <pic:spPr>
                    <a:xfrm>
                      <a:off x="0" y="0"/>
                      <a:ext cx="4199890" cy="2409825"/>
                    </a:xfrm>
                    <a:prstGeom prst="rect">
                      <a:avLst/>
                    </a:prstGeom>
                  </pic:spPr>
                </pic:pic>
              </a:graphicData>
            </a:graphic>
          </wp:inline>
        </w:drawing>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spacing w:line="600" w:lineRule="exact"/>
        <w:ind w:firstLine="640"/>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（除国有资本经营预算外，数据来源于财决</w:t>
      </w:r>
      <w:r>
        <w:rPr>
          <w:rFonts w:ascii="仿宋" w:hAnsi="仿宋" w:eastAsia="仿宋"/>
          <w:b/>
          <w:color w:val="000000" w:themeColor="text1"/>
          <w:sz w:val="32"/>
          <w:szCs w:val="32"/>
          <w14:textFill>
            <w14:solidFill>
              <w14:schemeClr w14:val="tx1"/>
            </w14:solidFill>
          </w14:textFill>
        </w:rPr>
        <w:t>Z01-1</w:t>
      </w:r>
      <w:r>
        <w:rPr>
          <w:rFonts w:hint="eastAsia" w:ascii="仿宋" w:hAnsi="仿宋" w:eastAsia="仿宋"/>
          <w:b/>
          <w:color w:val="000000" w:themeColor="text1"/>
          <w:sz w:val="32"/>
          <w:szCs w:val="32"/>
          <w14:textFill>
            <w14:solidFill>
              <w14:schemeClr w14:val="tx1"/>
            </w14:solidFill>
          </w14:textFill>
        </w:rPr>
        <w:t>表，口径为“总计”数+国有资本经营预算。）</w:t>
      </w: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Style w:val="26"/>
          <w:rFonts w:ascii="黑体" w:hAnsi="黑体" w:eastAsia="黑体"/>
          <w:b w:val="0"/>
        </w:rPr>
      </w:pPr>
      <w:bookmarkStart w:id="32" w:name="_Toc15396607"/>
      <w:bookmarkStart w:id="33"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0" w:firstLineChars="200"/>
        <w:rPr>
          <w:rFonts w:hint="eastAsia" w:ascii="仿宋" w:hAnsi="仿宋" w:eastAsia="仿宋"/>
          <w:color w:val="00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8年一般公共预算财政拨款支出</w:t>
      </w:r>
      <w:r>
        <w:rPr>
          <w:rFonts w:hint="eastAsia" w:ascii="仿宋" w:hAnsi="仿宋" w:eastAsia="仿宋"/>
          <w:color w:val="000000"/>
          <w:sz w:val="32"/>
          <w:szCs w:val="32"/>
          <w:lang w:val="en-US" w:eastAsia="zh-CN"/>
        </w:rPr>
        <w:t>231.69</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7年相比，一般公共预算财政拨款增加</w:t>
      </w:r>
      <w:r>
        <w:rPr>
          <w:rFonts w:hint="eastAsia" w:ascii="仿宋" w:hAnsi="仿宋" w:eastAsia="仿宋"/>
          <w:color w:val="000000"/>
          <w:sz w:val="32"/>
          <w:szCs w:val="32"/>
          <w:lang w:val="en-US" w:eastAsia="zh-CN"/>
        </w:rPr>
        <w:t>71.83</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45</w:t>
      </w:r>
      <w:r>
        <w:rPr>
          <w:rFonts w:ascii="仿宋" w:hAnsi="仿宋" w:eastAsia="仿宋"/>
          <w:color w:val="000000"/>
          <w:sz w:val="32"/>
          <w:szCs w:val="32"/>
        </w:rPr>
        <w:t>%</w:t>
      </w:r>
      <w:r>
        <w:rPr>
          <w:rFonts w:hint="eastAsia" w:ascii="仿宋" w:hAnsi="仿宋" w:eastAsia="仿宋"/>
          <w:color w:val="000000"/>
          <w:sz w:val="32"/>
          <w:szCs w:val="32"/>
        </w:rPr>
        <w:t>。主要变动原因</w:t>
      </w:r>
      <w:r>
        <w:rPr>
          <w:rFonts w:hint="eastAsia" w:ascii="仿宋" w:hAnsi="仿宋" w:eastAsia="仿宋"/>
          <w:color w:val="000000"/>
          <w:sz w:val="32"/>
          <w:szCs w:val="32"/>
          <w:lang w:val="en-US" w:eastAsia="zh-CN"/>
        </w:rPr>
        <w:t>人员增加</w:t>
      </w:r>
      <w:r>
        <w:rPr>
          <w:rFonts w:hint="eastAsia" w:ascii="仿宋_GB2312" w:hAnsi="仿宋_GB2312" w:eastAsia="仿宋_GB2312" w:cs="仿宋_GB2312"/>
          <w:color w:val="000000"/>
          <w:sz w:val="32"/>
          <w:szCs w:val="32"/>
          <w:lang w:val="en-US" w:eastAsia="zh-CN"/>
        </w:rPr>
        <w:t>及2018年粮库智能化升级建设项目专项资金</w:t>
      </w:r>
      <w:r>
        <w:rPr>
          <w:rFonts w:hint="eastAsia" w:ascii="仿宋" w:hAnsi="仿宋" w:eastAsia="仿宋"/>
          <w:color w:val="000000"/>
          <w:sz w:val="32"/>
          <w:szCs w:val="32"/>
          <w:lang w:val="en-US" w:eastAsia="zh-CN"/>
        </w:rPr>
        <w:t>。</w:t>
      </w:r>
    </w:p>
    <w:p>
      <w:pPr>
        <w:spacing w:line="240" w:lineRule="auto"/>
        <w:ind w:firstLine="640" w:firstLineChars="200"/>
        <w:rPr>
          <w:rFonts w:hint="eastAsia" w:ascii="仿宋" w:hAnsi="仿宋" w:eastAsia="仿宋"/>
          <w:color w:val="000000"/>
          <w:sz w:val="32"/>
          <w:szCs w:val="32"/>
          <w:lang w:val="en-US" w:eastAsia="zh-CN"/>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p>
    <w:p>
      <w:pPr>
        <w:spacing w:line="240" w:lineRule="auto"/>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drawing>
          <wp:inline distT="0" distB="0" distL="114300" distR="114300">
            <wp:extent cx="4199890" cy="2409825"/>
            <wp:effectExtent l="0" t="0" r="10160" b="9525"/>
            <wp:docPr id="8" name="图片 8" descr="图片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片8"/>
                    <pic:cNvPicPr>
                      <a:picLocks noChangeAspect="1"/>
                    </pic:cNvPicPr>
                  </pic:nvPicPr>
                  <pic:blipFill>
                    <a:blip r:embed="rId14"/>
                    <a:stretch>
                      <a:fillRect/>
                    </a:stretch>
                  </pic:blipFill>
                  <pic:spPr>
                    <a:xfrm>
                      <a:off x="0" y="0"/>
                      <a:ext cx="4199890" cy="2409825"/>
                    </a:xfrm>
                    <a:prstGeom prst="rect">
                      <a:avLst/>
                    </a:prstGeom>
                  </pic:spPr>
                </pic:pic>
              </a:graphicData>
            </a:graphic>
          </wp:inline>
        </w:drawing>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pPr>
        <w:spacing w:line="600" w:lineRule="exact"/>
        <w:jc w:val="left"/>
        <w:rPr>
          <w:rFonts w:hint="eastAsia" w:ascii="仿宋" w:hAnsi="仿宋" w:eastAsia="仿宋"/>
          <w:b/>
          <w:bCs/>
          <w:color w:val="000000"/>
          <w:sz w:val="32"/>
          <w:szCs w:val="32"/>
          <w:lang w:val="en-US"/>
        </w:rPr>
      </w:pPr>
      <w:r>
        <w:rPr>
          <w:rFonts w:ascii="仿宋" w:hAnsi="仿宋" w:eastAsia="仿宋"/>
          <w:color w:val="000000"/>
          <w:sz w:val="32"/>
          <w:szCs w:val="32"/>
        </w:rPr>
        <w:t>201</w:t>
      </w:r>
      <w:r>
        <w:rPr>
          <w:rFonts w:hint="eastAsia" w:ascii="仿宋" w:hAnsi="仿宋" w:eastAsia="仿宋"/>
          <w:color w:val="000000"/>
          <w:sz w:val="32"/>
          <w:szCs w:val="32"/>
        </w:rPr>
        <w:t>8年一般公共预算财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231.69</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val="0"/>
          <w:bCs/>
          <w:color w:val="000000" w:themeColor="text1"/>
          <w:sz w:val="32"/>
          <w:szCs w:val="32"/>
          <w14:textFill>
            <w14:solidFill>
              <w14:schemeClr w14:val="tx1"/>
            </w14:solidFill>
          </w14:textFill>
        </w:rPr>
        <w:t>一般公共服务（类）支出</w:t>
      </w:r>
      <w:r>
        <w:rPr>
          <w:rFonts w:hint="eastAsia" w:ascii="仿宋" w:hAnsi="仿宋" w:eastAsia="仿宋"/>
          <w:b w:val="0"/>
          <w:bCs/>
          <w:color w:val="000000" w:themeColor="text1"/>
          <w:sz w:val="32"/>
          <w:szCs w:val="32"/>
          <w:lang w:val="en-US" w:eastAsia="zh-CN"/>
          <w14:textFill>
            <w14:solidFill>
              <w14:schemeClr w14:val="tx1"/>
            </w14:solidFill>
          </w14:textFill>
        </w:rPr>
        <w:t>0</w:t>
      </w:r>
      <w:r>
        <w:rPr>
          <w:rFonts w:hint="eastAsia" w:ascii="仿宋" w:hAnsi="仿宋" w:eastAsia="仿宋"/>
          <w:b w:val="0"/>
          <w:bCs/>
          <w:color w:val="000000" w:themeColor="text1"/>
          <w:sz w:val="32"/>
          <w:szCs w:val="32"/>
          <w14:textFill>
            <w14:solidFill>
              <w14:schemeClr w14:val="tx1"/>
            </w14:solidFill>
          </w14:textFill>
        </w:rPr>
        <w:t>万元，占</w:t>
      </w:r>
      <w:r>
        <w:rPr>
          <w:rFonts w:hint="eastAsia" w:ascii="仿宋" w:hAnsi="仿宋" w:eastAsia="仿宋"/>
          <w:b w:val="0"/>
          <w:bCs/>
          <w:color w:val="000000" w:themeColor="text1"/>
          <w:sz w:val="32"/>
          <w:szCs w:val="32"/>
          <w:lang w:val="en-US" w:eastAsia="zh-CN"/>
          <w14:textFill>
            <w14:solidFill>
              <w14:schemeClr w14:val="tx1"/>
            </w14:solidFill>
          </w14:textFill>
        </w:rPr>
        <w:t>0</w:t>
      </w:r>
      <w:r>
        <w:rPr>
          <w:rFonts w:ascii="仿宋" w:hAnsi="仿宋" w:eastAsia="仿宋"/>
          <w:b w:val="0"/>
          <w:bCs/>
          <w:color w:val="000000" w:themeColor="text1"/>
          <w:sz w:val="32"/>
          <w:szCs w:val="32"/>
          <w14:textFill>
            <w14:solidFill>
              <w14:schemeClr w14:val="tx1"/>
            </w14:solidFill>
          </w14:textFill>
        </w:rPr>
        <w:t>%</w:t>
      </w:r>
      <w:r>
        <w:rPr>
          <w:rFonts w:hint="eastAsia" w:ascii="仿宋" w:hAnsi="仿宋" w:eastAsia="仿宋"/>
          <w:b w:val="0"/>
          <w:bCs/>
          <w:color w:val="000000" w:themeColor="text1"/>
          <w:sz w:val="32"/>
          <w:szCs w:val="32"/>
          <w14:textFill>
            <w14:solidFill>
              <w14:schemeClr w14:val="tx1"/>
            </w14:solidFill>
          </w14:textFill>
        </w:rPr>
        <w:t>；教育支出（类）</w:t>
      </w:r>
      <w:r>
        <w:rPr>
          <w:rFonts w:hint="eastAsia" w:ascii="仿宋" w:hAnsi="仿宋" w:eastAsia="仿宋"/>
          <w:b w:val="0"/>
          <w:bCs/>
          <w:color w:val="000000" w:themeColor="text1"/>
          <w:sz w:val="32"/>
          <w:szCs w:val="32"/>
          <w:lang w:val="en-US" w:eastAsia="zh-CN"/>
          <w14:textFill>
            <w14:solidFill>
              <w14:schemeClr w14:val="tx1"/>
            </w14:solidFill>
          </w14:textFill>
        </w:rPr>
        <w:t>0</w:t>
      </w:r>
      <w:r>
        <w:rPr>
          <w:rFonts w:hint="eastAsia" w:ascii="仿宋" w:hAnsi="仿宋" w:eastAsia="仿宋"/>
          <w:b w:val="0"/>
          <w:bCs/>
          <w:color w:val="000000" w:themeColor="text1"/>
          <w:sz w:val="32"/>
          <w:szCs w:val="32"/>
          <w14:textFill>
            <w14:solidFill>
              <w14:schemeClr w14:val="tx1"/>
            </w14:solidFill>
          </w14:textFill>
        </w:rPr>
        <w:t>万元，占</w:t>
      </w:r>
      <w:r>
        <w:rPr>
          <w:rFonts w:hint="eastAsia" w:ascii="仿宋" w:hAnsi="仿宋" w:eastAsia="仿宋"/>
          <w:b w:val="0"/>
          <w:bCs/>
          <w:color w:val="000000" w:themeColor="text1"/>
          <w:sz w:val="32"/>
          <w:szCs w:val="32"/>
          <w:lang w:val="en-US" w:eastAsia="zh-CN"/>
          <w14:textFill>
            <w14:solidFill>
              <w14:schemeClr w14:val="tx1"/>
            </w14:solidFill>
          </w14:textFill>
        </w:rPr>
        <w:t>0</w:t>
      </w:r>
      <w:r>
        <w:rPr>
          <w:rFonts w:ascii="仿宋" w:hAnsi="仿宋" w:eastAsia="仿宋"/>
          <w:b w:val="0"/>
          <w:bCs/>
          <w:color w:val="000000" w:themeColor="text1"/>
          <w:sz w:val="32"/>
          <w:szCs w:val="32"/>
          <w14:textFill>
            <w14:solidFill>
              <w14:schemeClr w14:val="tx1"/>
            </w14:solidFill>
          </w14:textFill>
        </w:rPr>
        <w:t>%</w:t>
      </w:r>
      <w:r>
        <w:rPr>
          <w:rFonts w:hint="eastAsia" w:ascii="仿宋" w:hAnsi="仿宋" w:eastAsia="仿宋"/>
          <w:b w:val="0"/>
          <w:bCs/>
          <w:color w:val="000000" w:themeColor="text1"/>
          <w:sz w:val="32"/>
          <w:szCs w:val="32"/>
          <w14:textFill>
            <w14:solidFill>
              <w14:schemeClr w14:val="tx1"/>
            </w14:solidFill>
          </w14:textFill>
        </w:rPr>
        <w:t>；科学技术（类）支出</w:t>
      </w:r>
      <w:r>
        <w:rPr>
          <w:rFonts w:hint="eastAsia" w:ascii="仿宋" w:hAnsi="仿宋" w:eastAsia="仿宋"/>
          <w:b w:val="0"/>
          <w:bCs/>
          <w:color w:val="000000" w:themeColor="text1"/>
          <w:sz w:val="32"/>
          <w:szCs w:val="32"/>
          <w:lang w:val="en-US" w:eastAsia="zh-CN"/>
          <w14:textFill>
            <w14:solidFill>
              <w14:schemeClr w14:val="tx1"/>
            </w14:solidFill>
          </w14:textFill>
        </w:rPr>
        <w:t>0</w:t>
      </w:r>
      <w:r>
        <w:rPr>
          <w:rFonts w:hint="eastAsia" w:ascii="仿宋" w:hAnsi="仿宋" w:eastAsia="仿宋"/>
          <w:b w:val="0"/>
          <w:bCs/>
          <w:color w:val="000000" w:themeColor="text1"/>
          <w:sz w:val="32"/>
          <w:szCs w:val="32"/>
          <w14:textFill>
            <w14:solidFill>
              <w14:schemeClr w14:val="tx1"/>
            </w14:solidFill>
          </w14:textFill>
        </w:rPr>
        <w:t>万元，占</w:t>
      </w:r>
      <w:r>
        <w:rPr>
          <w:rFonts w:hint="eastAsia" w:ascii="仿宋" w:hAnsi="仿宋" w:eastAsia="仿宋"/>
          <w:b w:val="0"/>
          <w:bCs/>
          <w:color w:val="000000" w:themeColor="text1"/>
          <w:sz w:val="32"/>
          <w:szCs w:val="32"/>
          <w:lang w:val="en-US" w:eastAsia="zh-CN"/>
          <w14:textFill>
            <w14:solidFill>
              <w14:schemeClr w14:val="tx1"/>
            </w14:solidFill>
          </w14:textFill>
        </w:rPr>
        <w:t>0</w:t>
      </w:r>
      <w:r>
        <w:rPr>
          <w:rFonts w:ascii="仿宋" w:hAnsi="仿宋" w:eastAsia="仿宋"/>
          <w:b w:val="0"/>
          <w:bCs/>
          <w:color w:val="000000" w:themeColor="text1"/>
          <w:sz w:val="32"/>
          <w:szCs w:val="32"/>
          <w14:textFill>
            <w14:solidFill>
              <w14:schemeClr w14:val="tx1"/>
            </w14:solidFill>
          </w14:textFill>
        </w:rPr>
        <w:t>%</w:t>
      </w:r>
      <w:r>
        <w:rPr>
          <w:rFonts w:hint="eastAsia" w:ascii="仿宋" w:hAnsi="仿宋" w:eastAsia="仿宋"/>
          <w:b w:val="0"/>
          <w:bCs/>
          <w:color w:val="000000" w:themeColor="text1"/>
          <w:sz w:val="32"/>
          <w:szCs w:val="32"/>
          <w14:textFill>
            <w14:solidFill>
              <w14:schemeClr w14:val="tx1"/>
            </w14:solidFill>
          </w14:textFill>
        </w:rPr>
        <w:t>；社会保障和就业（类）支出</w:t>
      </w:r>
      <w:r>
        <w:rPr>
          <w:rFonts w:hint="eastAsia" w:ascii="仿宋" w:hAnsi="仿宋" w:eastAsia="仿宋"/>
          <w:b w:val="0"/>
          <w:bCs/>
          <w:color w:val="000000" w:themeColor="text1"/>
          <w:sz w:val="32"/>
          <w:szCs w:val="32"/>
          <w:lang w:val="en-US" w:eastAsia="zh-CN"/>
          <w14:textFill>
            <w14:solidFill>
              <w14:schemeClr w14:val="tx1"/>
            </w14:solidFill>
          </w14:textFill>
        </w:rPr>
        <w:t>20.18</w:t>
      </w:r>
      <w:r>
        <w:rPr>
          <w:rFonts w:hint="eastAsia" w:ascii="仿宋" w:hAnsi="仿宋" w:eastAsia="仿宋"/>
          <w:b w:val="0"/>
          <w:bCs/>
          <w:color w:val="000000" w:themeColor="text1"/>
          <w:sz w:val="32"/>
          <w:szCs w:val="32"/>
          <w14:textFill>
            <w14:solidFill>
              <w14:schemeClr w14:val="tx1"/>
            </w14:solidFill>
          </w14:textFill>
        </w:rPr>
        <w:t>万元，占</w:t>
      </w:r>
      <w:r>
        <w:rPr>
          <w:rFonts w:hint="eastAsia" w:ascii="仿宋" w:hAnsi="仿宋" w:eastAsia="仿宋"/>
          <w:b w:val="0"/>
          <w:bCs/>
          <w:color w:val="000000" w:themeColor="text1"/>
          <w:sz w:val="32"/>
          <w:szCs w:val="32"/>
          <w:lang w:val="en-US" w:eastAsia="zh-CN"/>
          <w14:textFill>
            <w14:solidFill>
              <w14:schemeClr w14:val="tx1"/>
            </w14:solidFill>
          </w14:textFill>
        </w:rPr>
        <w:t>9</w:t>
      </w:r>
      <w:r>
        <w:rPr>
          <w:rFonts w:ascii="仿宋" w:hAnsi="仿宋" w:eastAsia="仿宋"/>
          <w:b w:val="0"/>
          <w:bCs/>
          <w:color w:val="000000" w:themeColor="text1"/>
          <w:sz w:val="32"/>
          <w:szCs w:val="32"/>
          <w14:textFill>
            <w14:solidFill>
              <w14:schemeClr w14:val="tx1"/>
            </w14:solidFill>
          </w14:textFill>
        </w:rPr>
        <w:t>%</w:t>
      </w:r>
      <w:r>
        <w:rPr>
          <w:rFonts w:hint="eastAsia" w:ascii="仿宋" w:hAnsi="仿宋" w:eastAsia="仿宋"/>
          <w:b w:val="0"/>
          <w:bCs/>
          <w:color w:val="000000" w:themeColor="text1"/>
          <w:sz w:val="32"/>
          <w:szCs w:val="32"/>
          <w14:textFill>
            <w14:solidFill>
              <w14:schemeClr w14:val="tx1"/>
            </w14:solidFill>
          </w14:textFill>
        </w:rPr>
        <w:t>；医疗卫</w:t>
      </w:r>
      <w:r>
        <w:rPr>
          <w:rFonts w:hint="eastAsia" w:ascii="仿宋" w:hAnsi="仿宋" w:eastAsia="仿宋"/>
          <w:color w:val="000000" w:themeColor="text1"/>
          <w:sz w:val="32"/>
          <w:szCs w:val="32"/>
          <w14:textFill>
            <w14:solidFill>
              <w14:schemeClr w14:val="tx1"/>
            </w14:solidFill>
          </w14:textFill>
        </w:rPr>
        <w:t>生支出</w:t>
      </w:r>
      <w:r>
        <w:rPr>
          <w:rFonts w:hint="eastAsia" w:ascii="仿宋" w:hAnsi="仿宋" w:eastAsia="仿宋"/>
          <w:color w:val="000000" w:themeColor="text1"/>
          <w:sz w:val="32"/>
          <w:szCs w:val="32"/>
          <w:lang w:val="en-US" w:eastAsia="zh-CN"/>
          <w14:textFill>
            <w14:solidFill>
              <w14:schemeClr w14:val="tx1"/>
            </w14:solidFill>
          </w14:textFill>
        </w:rPr>
        <w:t>7.21</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农林水支出</w:t>
      </w:r>
      <w:r>
        <w:rPr>
          <w:rFonts w:hint="eastAsia" w:ascii="仿宋" w:hAnsi="仿宋" w:eastAsia="仿宋"/>
          <w:color w:val="000000" w:themeColor="text1"/>
          <w:sz w:val="32"/>
          <w:szCs w:val="32"/>
          <w:lang w:val="en-US" w:eastAsia="zh-CN"/>
          <w14:textFill>
            <w14:solidFill>
              <w14:schemeClr w14:val="tx1"/>
            </w14:solidFill>
          </w14:textFill>
        </w:rPr>
        <w:t>3万元，占1%；</w:t>
      </w:r>
      <w:r>
        <w:rPr>
          <w:rFonts w:hint="eastAsia" w:ascii="仿宋" w:hAnsi="仿宋" w:eastAsia="仿宋"/>
          <w:color w:val="000000" w:themeColor="text1"/>
          <w:sz w:val="32"/>
          <w:szCs w:val="32"/>
          <w14:textFill>
            <w14:solidFill>
              <w14:schemeClr w14:val="tx1"/>
            </w14:solidFill>
          </w14:textFill>
        </w:rPr>
        <w:t>住房</w:t>
      </w:r>
      <w:r>
        <w:rPr>
          <w:rFonts w:hint="eastAsia" w:ascii="仿宋" w:hAnsi="仿宋" w:eastAsia="仿宋"/>
          <w:color w:val="000000" w:themeColor="text1"/>
          <w:sz w:val="32"/>
          <w:szCs w:val="32"/>
          <w:lang w:eastAsia="zh-CN"/>
          <w14:textFill>
            <w14:solidFill>
              <w14:schemeClr w14:val="tx1"/>
            </w14:solidFill>
          </w14:textFill>
        </w:rPr>
        <w:t>保</w:t>
      </w:r>
      <w:r>
        <w:rPr>
          <w:rFonts w:hint="eastAsia" w:ascii="仿宋" w:hAnsi="仿宋" w:eastAsia="仿宋"/>
          <w:color w:val="000000" w:themeColor="text1"/>
          <w:sz w:val="32"/>
          <w:szCs w:val="32"/>
          <w14:textFill>
            <w14:solidFill>
              <w14:schemeClr w14:val="tx1"/>
            </w14:solidFill>
          </w14:textFill>
        </w:rPr>
        <w:t>障支出</w:t>
      </w:r>
      <w:r>
        <w:rPr>
          <w:rFonts w:hint="eastAsia" w:ascii="仿宋" w:hAnsi="仿宋" w:eastAsia="仿宋"/>
          <w:color w:val="000000" w:themeColor="text1"/>
          <w:sz w:val="32"/>
          <w:szCs w:val="32"/>
          <w:lang w:val="en-US" w:eastAsia="zh-CN"/>
          <w14:textFill>
            <w14:solidFill>
              <w14:schemeClr w14:val="tx1"/>
            </w14:solidFill>
          </w14:textFill>
        </w:rPr>
        <w:t>9.41</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4</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粮油物资储备支出181.87万元，占83%；</w:t>
      </w:r>
    </w:p>
    <w:p>
      <w:pPr>
        <w:spacing w:line="240" w:lineRule="auto"/>
        <w:jc w:val="both"/>
        <w:rPr>
          <w:rFonts w:hint="eastAsia" w:ascii="仿宋" w:hAnsi="仿宋" w:eastAsia="仿宋"/>
          <w:b/>
          <w:bCs/>
          <w:color w:val="000000"/>
          <w:sz w:val="32"/>
          <w:szCs w:val="32"/>
          <w:lang w:eastAsia="zh-CN"/>
        </w:rPr>
        <w:sectPr>
          <w:footerReference r:id="rId6" w:type="first"/>
          <w:footerReference r:id="rId5" w:type="default"/>
          <w:pgSz w:w="11906" w:h="16838"/>
          <w:pgMar w:top="1440" w:right="1800" w:bottom="1440" w:left="1800" w:header="851" w:footer="992" w:gutter="0"/>
          <w:pgNumType w:start="1"/>
          <w:cols w:space="425" w:num="1"/>
          <w:titlePg/>
          <w:docGrid w:type="lines" w:linePitch="312" w:charSpace="0"/>
        </w:sectPr>
      </w:pPr>
    </w:p>
    <w:p>
      <w:pPr>
        <w:spacing w:line="240" w:lineRule="auto"/>
        <w:jc w:val="both"/>
        <w:rPr>
          <w:rFonts w:hint="eastAsia" w:ascii="仿宋" w:hAnsi="仿宋" w:eastAsia="仿宋"/>
          <w:b/>
          <w:bCs/>
          <w:color w:val="000000"/>
          <w:sz w:val="32"/>
          <w:szCs w:val="32"/>
          <w:lang w:eastAsia="zh-CN"/>
        </w:rPr>
      </w:pPr>
      <w:r>
        <w:rPr>
          <w:rFonts w:hint="eastAsia" w:ascii="仿宋" w:hAnsi="仿宋" w:eastAsia="仿宋"/>
          <w:b/>
          <w:bCs/>
          <w:color w:val="000000"/>
          <w:sz w:val="32"/>
          <w:szCs w:val="32"/>
          <w:lang w:eastAsia="zh-CN"/>
        </w:rPr>
        <w:drawing>
          <wp:inline distT="0" distB="0" distL="114300" distR="114300">
            <wp:extent cx="5085715" cy="3818890"/>
            <wp:effectExtent l="0" t="0" r="635" b="10160"/>
            <wp:docPr id="10" name="图片 10" descr="图片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片10"/>
                    <pic:cNvPicPr>
                      <a:picLocks noChangeAspect="1"/>
                    </pic:cNvPicPr>
                  </pic:nvPicPr>
                  <pic:blipFill>
                    <a:blip r:embed="rId15"/>
                    <a:stretch>
                      <a:fillRect/>
                    </a:stretch>
                  </pic:blipFill>
                  <pic:spPr>
                    <a:xfrm>
                      <a:off x="0" y="0"/>
                      <a:ext cx="5085715" cy="3818890"/>
                    </a:xfrm>
                    <a:prstGeom prst="rect">
                      <a:avLst/>
                    </a:prstGeom>
                  </pic:spPr>
                </pic:pic>
              </a:graphicData>
            </a:graphic>
          </wp:inline>
        </w:drawing>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pPr>
        <w:spacing w:line="600" w:lineRule="exact"/>
        <w:ind w:firstLine="643" w:firstLineChars="200"/>
        <w:outlineLvl w:val="2"/>
        <w:rPr>
          <w:rFonts w:ascii="仿宋" w:hAnsi="仿宋" w:eastAsia="仿宋"/>
          <w:color w:val="FF0000"/>
          <w:sz w:val="32"/>
          <w:szCs w:val="32"/>
        </w:rPr>
      </w:pPr>
      <w:bookmarkStart w:id="37" w:name="_Toc15378460"/>
      <w:bookmarkStart w:id="38" w:name="_Toc15377213"/>
      <w:bookmarkStart w:id="39" w:name="_Toc15377444"/>
      <w:r>
        <w:rPr>
          <w:rFonts w:hint="eastAsia" w:ascii="仿宋" w:hAnsi="仿宋" w:eastAsia="仿宋"/>
          <w:b/>
          <w:color w:val="000000" w:themeColor="text1"/>
          <w:sz w:val="32"/>
          <w:szCs w:val="32"/>
          <w14:textFill>
            <w14:solidFill>
              <w14:schemeClr w14:val="tx1"/>
            </w14:solidFill>
          </w14:textFill>
        </w:rPr>
        <w:t>2</w:t>
      </w:r>
      <w:bookmarkEnd w:id="37"/>
      <w:bookmarkEnd w:id="38"/>
      <w:bookmarkEnd w:id="39"/>
      <w:r>
        <w:rPr>
          <w:rFonts w:hint="eastAsia" w:ascii="仿宋" w:hAnsi="仿宋" w:eastAsia="仿宋"/>
          <w:b/>
          <w:color w:val="000000" w:themeColor="text1"/>
          <w:sz w:val="32"/>
          <w:szCs w:val="32"/>
          <w14:textFill>
            <w14:solidFill>
              <w14:schemeClr w14:val="tx1"/>
            </w14:solidFill>
          </w14:textFill>
        </w:rPr>
        <w:t>018年度一般公共预算财政拨款支出年初预算为</w:t>
      </w:r>
      <w:r>
        <w:rPr>
          <w:rFonts w:hint="eastAsia" w:ascii="仿宋" w:hAnsi="仿宋" w:eastAsia="仿宋"/>
          <w:b/>
          <w:color w:val="000000" w:themeColor="text1"/>
          <w:sz w:val="32"/>
          <w:szCs w:val="32"/>
          <w:lang w:val="en-US" w:eastAsia="zh-CN"/>
          <w14:textFill>
            <w14:solidFill>
              <w14:schemeClr w14:val="tx1"/>
            </w14:solidFill>
          </w14:textFill>
        </w:rPr>
        <w:t>98.2</w:t>
      </w:r>
      <w:r>
        <w:rPr>
          <w:rFonts w:hint="eastAsia" w:ascii="仿宋" w:hAnsi="仿宋" w:eastAsia="仿宋"/>
          <w:b/>
          <w:color w:val="000000" w:themeColor="text1"/>
          <w:sz w:val="32"/>
          <w:szCs w:val="32"/>
          <w14:textFill>
            <w14:solidFill>
              <w14:schemeClr w14:val="tx1"/>
            </w14:solidFill>
          </w14:textFill>
        </w:rPr>
        <w:t>万元，支出决算为</w:t>
      </w:r>
      <w:r>
        <w:rPr>
          <w:rFonts w:hint="eastAsia" w:ascii="仿宋" w:hAnsi="仿宋" w:eastAsia="仿宋"/>
          <w:b/>
          <w:color w:val="000000" w:themeColor="text1"/>
          <w:sz w:val="32"/>
          <w:szCs w:val="32"/>
          <w:lang w:val="en-US" w:eastAsia="zh-CN"/>
          <w14:textFill>
            <w14:solidFill>
              <w14:schemeClr w14:val="tx1"/>
            </w14:solidFill>
          </w14:textFill>
        </w:rPr>
        <w:t>231.69</w:t>
      </w:r>
      <w:r>
        <w:rPr>
          <w:rFonts w:hint="eastAsia" w:ascii="仿宋" w:hAnsi="仿宋" w:eastAsia="仿宋"/>
          <w:b/>
          <w:color w:val="000000" w:themeColor="text1"/>
          <w:sz w:val="32"/>
          <w:szCs w:val="32"/>
          <w14:textFill>
            <w14:solidFill>
              <w14:schemeClr w14:val="tx1"/>
            </w14:solidFill>
          </w14:textFill>
        </w:rPr>
        <w:t>万元，完成年初预算的</w:t>
      </w:r>
      <w:r>
        <w:rPr>
          <w:rFonts w:hint="eastAsia" w:ascii="仿宋" w:hAnsi="仿宋" w:eastAsia="仿宋"/>
          <w:b/>
          <w:color w:val="000000" w:themeColor="text1"/>
          <w:sz w:val="32"/>
          <w:szCs w:val="32"/>
          <w:lang w:val="en-US" w:eastAsia="zh-CN"/>
          <w14:textFill>
            <w14:solidFill>
              <w14:schemeClr w14:val="tx1"/>
            </w14:solidFill>
          </w14:textFill>
        </w:rPr>
        <w:t>235%，</w:t>
      </w:r>
      <w:r>
        <w:rPr>
          <w:rStyle w:val="14"/>
          <w:rFonts w:hint="eastAsia" w:ascii="仿宋" w:hAnsi="仿宋" w:eastAsia="仿宋"/>
          <w:bCs/>
          <w:color w:val="000000"/>
          <w:sz w:val="32"/>
          <w:szCs w:val="32"/>
        </w:rPr>
        <w:t>其中：</w:t>
      </w:r>
    </w:p>
    <w:p>
      <w:pPr>
        <w:spacing w:line="600" w:lineRule="exact"/>
        <w:ind w:firstLine="643" w:firstLineChars="200"/>
        <w:rPr>
          <w:rFonts w:ascii="仿宋" w:hAnsi="仿宋" w:eastAsia="仿宋"/>
          <w:b/>
          <w:color w:val="000000"/>
          <w:sz w:val="32"/>
          <w:szCs w:val="32"/>
        </w:rPr>
      </w:pPr>
      <w:r>
        <w:rPr>
          <w:rStyle w:val="14"/>
          <w:rFonts w:hint="eastAsia" w:ascii="仿宋" w:hAnsi="仿宋" w:eastAsia="仿宋"/>
          <w:bCs/>
          <w:color w:val="000000"/>
          <w:sz w:val="32"/>
          <w:szCs w:val="32"/>
          <w:lang w:val="en-US" w:eastAsia="zh-CN"/>
        </w:rPr>
        <w:t>1</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社会保障和就业</w:t>
      </w:r>
      <w:r>
        <w:rPr>
          <w:rStyle w:val="14"/>
          <w:rFonts w:hint="eastAsia" w:ascii="仿宋" w:hAnsi="仿宋" w:eastAsia="仿宋"/>
          <w:bCs/>
          <w:color w:val="000000"/>
          <w:sz w:val="32"/>
          <w:szCs w:val="32"/>
          <w:lang w:val="en-US" w:eastAsia="zh-CN"/>
        </w:rPr>
        <w:t>208</w:t>
      </w:r>
      <w:r>
        <w:rPr>
          <w:rStyle w:val="14"/>
          <w:rFonts w:hint="eastAsia" w:ascii="仿宋" w:hAnsi="仿宋" w:eastAsia="仿宋"/>
          <w:bCs/>
          <w:color w:val="000000"/>
          <w:sz w:val="32"/>
          <w:szCs w:val="32"/>
        </w:rPr>
        <w:t>（类）</w:t>
      </w:r>
      <w:r>
        <w:rPr>
          <w:rStyle w:val="14"/>
          <w:rFonts w:hint="eastAsia" w:ascii="仿宋" w:hAnsi="仿宋" w:eastAsia="仿宋"/>
          <w:bCs/>
          <w:color w:val="000000"/>
          <w:sz w:val="32"/>
          <w:szCs w:val="32"/>
          <w:lang w:val="en-US" w:eastAsia="zh-CN"/>
        </w:rPr>
        <w:t>05</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val="en-US" w:eastAsia="zh-CN"/>
        </w:rPr>
        <w:t>05</w:t>
      </w:r>
      <w:r>
        <w:rPr>
          <w:rStyle w:val="14"/>
          <w:rFonts w:hint="eastAsia" w:ascii="仿宋" w:hAnsi="仿宋" w:eastAsia="仿宋"/>
          <w:bCs/>
          <w:color w:val="000000"/>
          <w:sz w:val="32"/>
          <w:szCs w:val="32"/>
        </w:rPr>
        <w:t>（项）</w:t>
      </w:r>
      <w:r>
        <w:rPr>
          <w:rStyle w:val="14"/>
          <w:rFonts w:hint="eastAsia" w:ascii="仿宋" w:hAnsi="仿宋" w:eastAsia="仿宋"/>
          <w:bCs/>
          <w:color w:val="000000"/>
          <w:sz w:val="32"/>
          <w:szCs w:val="32"/>
          <w:lang w:val="en-US" w:eastAsia="zh-CN"/>
        </w:rPr>
        <w:t>和208</w:t>
      </w:r>
      <w:r>
        <w:rPr>
          <w:rStyle w:val="14"/>
          <w:rFonts w:hint="eastAsia" w:ascii="仿宋" w:hAnsi="仿宋" w:eastAsia="仿宋"/>
          <w:bCs/>
          <w:color w:val="000000"/>
          <w:sz w:val="32"/>
          <w:szCs w:val="32"/>
        </w:rPr>
        <w:t>（类）</w:t>
      </w:r>
      <w:r>
        <w:rPr>
          <w:rStyle w:val="14"/>
          <w:rFonts w:hint="eastAsia" w:ascii="仿宋" w:hAnsi="仿宋" w:eastAsia="仿宋"/>
          <w:bCs/>
          <w:color w:val="000000"/>
          <w:sz w:val="32"/>
          <w:szCs w:val="32"/>
          <w:lang w:val="en-US" w:eastAsia="zh-CN"/>
        </w:rPr>
        <w:t>05</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val="en-US" w:eastAsia="zh-CN"/>
        </w:rPr>
        <w:t>06</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20.18</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600" w:lineRule="exact"/>
        <w:ind w:firstLine="643" w:firstLineChars="200"/>
        <w:rPr>
          <w:rStyle w:val="14"/>
          <w:rFonts w:hint="eastAsia" w:ascii="仿宋" w:hAnsi="仿宋" w:eastAsia="仿宋"/>
          <w:b w:val="0"/>
          <w:bCs/>
          <w:color w:val="000000"/>
          <w:sz w:val="32"/>
          <w:szCs w:val="32"/>
        </w:rPr>
      </w:pPr>
      <w:r>
        <w:rPr>
          <w:rStyle w:val="14"/>
          <w:rFonts w:hint="eastAsia" w:ascii="仿宋" w:hAnsi="仿宋" w:eastAsia="仿宋"/>
          <w:bCs/>
          <w:color w:val="000000"/>
          <w:sz w:val="32"/>
          <w:szCs w:val="32"/>
          <w:lang w:val="en-US" w:eastAsia="zh-CN"/>
        </w:rPr>
        <w:t>2</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医疗卫生与计划生育</w:t>
      </w:r>
      <w:r>
        <w:rPr>
          <w:rStyle w:val="14"/>
          <w:rFonts w:hint="eastAsia" w:ascii="仿宋" w:hAnsi="仿宋" w:eastAsia="仿宋"/>
          <w:bCs/>
          <w:color w:val="000000"/>
          <w:sz w:val="32"/>
          <w:szCs w:val="32"/>
          <w:lang w:val="en-US" w:eastAsia="zh-CN"/>
        </w:rPr>
        <w:t>210</w:t>
      </w:r>
      <w:r>
        <w:rPr>
          <w:rStyle w:val="14"/>
          <w:rFonts w:hint="eastAsia" w:ascii="仿宋" w:hAnsi="仿宋" w:eastAsia="仿宋"/>
          <w:bCs/>
          <w:color w:val="000000"/>
          <w:sz w:val="32"/>
          <w:szCs w:val="32"/>
        </w:rPr>
        <w:t>（类）</w:t>
      </w:r>
      <w:r>
        <w:rPr>
          <w:rStyle w:val="14"/>
          <w:rFonts w:hint="eastAsia" w:ascii="仿宋" w:hAnsi="仿宋" w:eastAsia="仿宋"/>
          <w:bCs/>
          <w:color w:val="000000"/>
          <w:sz w:val="32"/>
          <w:szCs w:val="32"/>
          <w:lang w:val="en-US" w:eastAsia="zh-CN"/>
        </w:rPr>
        <w:t>04</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val="en-US" w:eastAsia="zh-CN"/>
        </w:rPr>
        <w:t>09</w:t>
      </w:r>
      <w:r>
        <w:rPr>
          <w:rStyle w:val="14"/>
          <w:rFonts w:hint="eastAsia" w:ascii="仿宋" w:hAnsi="仿宋" w:eastAsia="仿宋"/>
          <w:bCs/>
          <w:color w:val="000000"/>
          <w:sz w:val="32"/>
          <w:szCs w:val="32"/>
        </w:rPr>
        <w:t>（项）</w:t>
      </w:r>
      <w:r>
        <w:rPr>
          <w:rStyle w:val="14"/>
          <w:rFonts w:hint="eastAsia" w:ascii="仿宋" w:hAnsi="仿宋" w:eastAsia="仿宋"/>
          <w:bCs/>
          <w:color w:val="000000"/>
          <w:sz w:val="32"/>
          <w:szCs w:val="32"/>
          <w:lang w:val="en-US" w:eastAsia="zh-CN"/>
        </w:rPr>
        <w:t>和201</w:t>
      </w:r>
      <w:r>
        <w:rPr>
          <w:rStyle w:val="14"/>
          <w:rFonts w:hint="eastAsia" w:ascii="仿宋" w:hAnsi="仿宋" w:eastAsia="仿宋"/>
          <w:bCs/>
          <w:color w:val="000000"/>
          <w:sz w:val="32"/>
          <w:szCs w:val="32"/>
        </w:rPr>
        <w:t>（类）</w:t>
      </w:r>
      <w:r>
        <w:rPr>
          <w:rStyle w:val="14"/>
          <w:rFonts w:hint="eastAsia" w:ascii="仿宋" w:hAnsi="仿宋" w:eastAsia="仿宋"/>
          <w:bCs/>
          <w:color w:val="000000"/>
          <w:sz w:val="32"/>
          <w:szCs w:val="32"/>
          <w:lang w:val="en-US" w:eastAsia="zh-CN"/>
        </w:rPr>
        <w:t>01</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val="en-US" w:eastAsia="zh-CN"/>
        </w:rPr>
        <w:t>01</w:t>
      </w:r>
      <w:r>
        <w:rPr>
          <w:rStyle w:val="14"/>
          <w:rFonts w:hint="eastAsia" w:ascii="仿宋" w:hAnsi="仿宋" w:eastAsia="仿宋"/>
          <w:bCs/>
          <w:color w:val="000000"/>
          <w:sz w:val="32"/>
          <w:szCs w:val="32"/>
        </w:rPr>
        <w:t>（项）</w:t>
      </w:r>
      <w:r>
        <w:rPr>
          <w:rStyle w:val="14"/>
          <w:rFonts w:hint="eastAsia" w:ascii="仿宋" w:hAnsi="仿宋" w:eastAsia="仿宋"/>
          <w:bCs/>
          <w:color w:val="000000"/>
          <w:sz w:val="32"/>
          <w:szCs w:val="32"/>
          <w:lang w:val="en-US" w:eastAsia="zh-CN"/>
        </w:rPr>
        <w:t>和201</w:t>
      </w:r>
      <w:r>
        <w:rPr>
          <w:rStyle w:val="14"/>
          <w:rFonts w:hint="eastAsia" w:ascii="仿宋" w:hAnsi="仿宋" w:eastAsia="仿宋"/>
          <w:bCs/>
          <w:color w:val="000000"/>
          <w:sz w:val="32"/>
          <w:szCs w:val="32"/>
        </w:rPr>
        <w:t>（类）</w:t>
      </w:r>
      <w:r>
        <w:rPr>
          <w:rStyle w:val="14"/>
          <w:rFonts w:hint="eastAsia" w:ascii="仿宋" w:hAnsi="仿宋" w:eastAsia="仿宋"/>
          <w:bCs/>
          <w:color w:val="000000"/>
          <w:sz w:val="32"/>
          <w:szCs w:val="32"/>
          <w:lang w:val="en-US" w:eastAsia="zh-CN"/>
        </w:rPr>
        <w:t>11</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val="en-US" w:eastAsia="zh-CN"/>
        </w:rPr>
        <w:t>03</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7.21</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600" w:lineRule="exact"/>
        <w:ind w:firstLine="643" w:firstLineChars="200"/>
        <w:rPr>
          <w:rStyle w:val="14"/>
          <w:rFonts w:hint="eastAsia" w:ascii="仿宋" w:hAnsi="仿宋" w:eastAsia="仿宋"/>
          <w:b w:val="0"/>
          <w:bCs/>
          <w:color w:val="000000"/>
          <w:sz w:val="32"/>
          <w:szCs w:val="32"/>
          <w:lang w:val="en-US" w:eastAsia="zh-CN"/>
        </w:rPr>
      </w:pPr>
      <w:r>
        <w:rPr>
          <w:rStyle w:val="14"/>
          <w:rFonts w:hint="eastAsia" w:ascii="仿宋" w:hAnsi="仿宋" w:eastAsia="仿宋"/>
          <w:b/>
          <w:bCs w:val="0"/>
          <w:color w:val="000000"/>
          <w:sz w:val="32"/>
          <w:szCs w:val="32"/>
          <w:lang w:val="en-US" w:eastAsia="zh-CN"/>
        </w:rPr>
        <w:t>3.其他扶贫支出213（类）05（款）99（项）：</w:t>
      </w:r>
      <w:r>
        <w:rPr>
          <w:rStyle w:val="14"/>
          <w:rFonts w:hint="eastAsia" w:ascii="仿宋" w:hAnsi="仿宋" w:eastAsia="仿宋"/>
          <w:b w:val="0"/>
          <w:bCs/>
          <w:color w:val="000000"/>
          <w:sz w:val="32"/>
          <w:szCs w:val="32"/>
          <w:lang w:val="en-US" w:eastAsia="zh-CN"/>
        </w:rPr>
        <w:t>支出就算数为3万元，完成预算数100%，决算数等于预算数。</w:t>
      </w:r>
    </w:p>
    <w:p>
      <w:pPr>
        <w:spacing w:line="600" w:lineRule="exact"/>
        <w:ind w:firstLine="643" w:firstLineChars="200"/>
        <w:rPr>
          <w:rStyle w:val="14"/>
          <w:rFonts w:hint="eastAsia" w:ascii="仿宋" w:hAnsi="仿宋" w:eastAsia="仿宋"/>
          <w:bCs/>
          <w:color w:val="000000"/>
          <w:sz w:val="32"/>
          <w:szCs w:val="32"/>
          <w:lang w:val="en-US" w:eastAsia="zh-CN"/>
        </w:rPr>
      </w:pPr>
      <w:r>
        <w:rPr>
          <w:rStyle w:val="14"/>
          <w:rFonts w:hint="eastAsia" w:ascii="仿宋" w:hAnsi="仿宋" w:eastAsia="仿宋"/>
          <w:bCs/>
          <w:color w:val="000000"/>
          <w:sz w:val="32"/>
          <w:szCs w:val="32"/>
          <w:lang w:val="en-US" w:eastAsia="zh-CN"/>
        </w:rPr>
        <w:t>4.住房保障支出221</w:t>
      </w:r>
      <w:r>
        <w:rPr>
          <w:rStyle w:val="14"/>
          <w:rFonts w:hint="eastAsia" w:ascii="仿宋" w:hAnsi="仿宋" w:eastAsia="仿宋"/>
          <w:bCs/>
          <w:color w:val="000000"/>
          <w:sz w:val="32"/>
          <w:szCs w:val="32"/>
        </w:rPr>
        <w:t>（类）</w:t>
      </w:r>
      <w:r>
        <w:rPr>
          <w:rStyle w:val="14"/>
          <w:rFonts w:hint="eastAsia" w:ascii="仿宋" w:hAnsi="仿宋" w:eastAsia="仿宋"/>
          <w:bCs/>
          <w:color w:val="000000"/>
          <w:sz w:val="32"/>
          <w:szCs w:val="32"/>
          <w:lang w:val="en-US" w:eastAsia="zh-CN"/>
        </w:rPr>
        <w:t>02</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val="en-US" w:eastAsia="zh-CN"/>
        </w:rPr>
        <w:t>01</w:t>
      </w:r>
      <w:r>
        <w:rPr>
          <w:rStyle w:val="14"/>
          <w:rFonts w:hint="eastAsia" w:ascii="仿宋" w:hAnsi="仿宋" w:eastAsia="仿宋"/>
          <w:bCs/>
          <w:color w:val="000000"/>
          <w:sz w:val="32"/>
          <w:szCs w:val="32"/>
        </w:rPr>
        <w:t>（项）</w:t>
      </w:r>
      <w:r>
        <w:rPr>
          <w:rStyle w:val="14"/>
          <w:rFonts w:hint="eastAsia" w:ascii="仿宋" w:hAnsi="仿宋" w:eastAsia="仿宋"/>
          <w:bCs/>
          <w:color w:val="000000"/>
          <w:sz w:val="32"/>
          <w:szCs w:val="32"/>
          <w:lang w:eastAsia="zh-CN"/>
        </w:rPr>
        <w:t>：</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9.41</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r>
        <w:rPr>
          <w:rStyle w:val="14"/>
          <w:rFonts w:hint="eastAsia" w:ascii="仿宋" w:hAnsi="仿宋" w:eastAsia="仿宋"/>
          <w:b w:val="0"/>
          <w:bCs/>
          <w:color w:val="000000"/>
          <w:sz w:val="32"/>
          <w:szCs w:val="32"/>
          <w:lang w:eastAsia="zh-CN"/>
        </w:rPr>
        <w:t>。</w:t>
      </w:r>
    </w:p>
    <w:p>
      <w:pPr>
        <w:spacing w:line="600" w:lineRule="exact"/>
        <w:ind w:firstLine="643" w:firstLineChars="200"/>
        <w:rPr>
          <w:rFonts w:ascii="仿宋" w:hAnsi="仿宋" w:eastAsia="仿宋"/>
          <w:color w:val="000000"/>
          <w:sz w:val="32"/>
          <w:szCs w:val="32"/>
        </w:rPr>
      </w:pPr>
      <w:r>
        <w:rPr>
          <w:rStyle w:val="14"/>
          <w:rFonts w:hint="eastAsia" w:ascii="仿宋" w:hAnsi="仿宋" w:eastAsia="仿宋"/>
          <w:bCs/>
          <w:color w:val="000000"/>
          <w:sz w:val="32"/>
          <w:szCs w:val="32"/>
          <w:lang w:val="en-US" w:eastAsia="zh-CN"/>
        </w:rPr>
        <w:t>5.粮油物资储备支出222</w:t>
      </w:r>
      <w:r>
        <w:rPr>
          <w:rStyle w:val="14"/>
          <w:rFonts w:hint="eastAsia" w:ascii="仿宋" w:hAnsi="仿宋" w:eastAsia="仿宋"/>
          <w:bCs/>
          <w:color w:val="000000"/>
          <w:sz w:val="32"/>
          <w:szCs w:val="32"/>
        </w:rPr>
        <w:t>（类）</w:t>
      </w:r>
      <w:r>
        <w:rPr>
          <w:rStyle w:val="14"/>
          <w:rFonts w:hint="eastAsia" w:ascii="仿宋" w:hAnsi="仿宋" w:eastAsia="仿宋"/>
          <w:bCs/>
          <w:color w:val="000000"/>
          <w:sz w:val="32"/>
          <w:szCs w:val="32"/>
          <w:lang w:val="en-US" w:eastAsia="zh-CN"/>
        </w:rPr>
        <w:t>04</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val="en-US" w:eastAsia="zh-CN"/>
        </w:rPr>
        <w:t>03</w:t>
      </w:r>
      <w:r>
        <w:rPr>
          <w:rStyle w:val="14"/>
          <w:rFonts w:hint="eastAsia" w:ascii="仿宋" w:hAnsi="仿宋" w:eastAsia="仿宋"/>
          <w:bCs/>
          <w:color w:val="000000"/>
          <w:sz w:val="32"/>
          <w:szCs w:val="32"/>
        </w:rPr>
        <w:t>（项）</w:t>
      </w:r>
      <w:r>
        <w:rPr>
          <w:rStyle w:val="14"/>
          <w:rFonts w:hint="eastAsia" w:ascii="仿宋" w:hAnsi="仿宋" w:eastAsia="仿宋"/>
          <w:bCs/>
          <w:color w:val="000000"/>
          <w:sz w:val="32"/>
          <w:szCs w:val="32"/>
          <w:lang w:eastAsia="zh-CN"/>
        </w:rPr>
        <w:t>：</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191.9</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w:t>
      </w:r>
      <w:r>
        <w:rPr>
          <w:rStyle w:val="14"/>
          <w:rFonts w:hint="eastAsia" w:ascii="仿宋" w:hAnsi="仿宋" w:eastAsia="仿宋"/>
          <w:b w:val="0"/>
          <w:bCs/>
          <w:color w:val="000000"/>
          <w:sz w:val="32"/>
          <w:szCs w:val="32"/>
          <w:lang w:val="en-US" w:eastAsia="zh-CN"/>
        </w:rPr>
        <w:t>等于预算数。</w:t>
      </w:r>
    </w:p>
    <w:p>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（数据来源财决</w:t>
      </w:r>
      <w:r>
        <w:rPr>
          <w:rFonts w:ascii="仿宋" w:hAnsi="仿宋" w:eastAsia="仿宋"/>
          <w:b/>
          <w:color w:val="000000"/>
          <w:sz w:val="32"/>
          <w:szCs w:val="32"/>
        </w:rPr>
        <w:t>08</w:t>
      </w:r>
      <w:r>
        <w:rPr>
          <w:rFonts w:hint="eastAsia" w:ascii="仿宋" w:hAnsi="仿宋" w:eastAsia="仿宋"/>
          <w:b/>
          <w:color w:val="000000"/>
          <w:sz w:val="32"/>
          <w:szCs w:val="32"/>
        </w:rPr>
        <w:t>表，罗列全部功能分类科目至项级。上述“预算”口径为调整预算数。增减变动原因为决算数</w:t>
      </w:r>
      <w:r>
        <w:rPr>
          <w:rFonts w:ascii="仿宋" w:hAnsi="仿宋" w:eastAsia="仿宋"/>
          <w:b/>
          <w:color w:val="000000"/>
          <w:sz w:val="32"/>
          <w:szCs w:val="32"/>
        </w:rPr>
        <w:t>&lt;</w:t>
      </w:r>
      <w:r>
        <w:rPr>
          <w:rFonts w:hint="eastAsia" w:ascii="仿宋" w:hAnsi="仿宋" w:eastAsia="仿宋"/>
          <w:b/>
          <w:color w:val="000000"/>
          <w:sz w:val="32"/>
          <w:szCs w:val="32"/>
        </w:rPr>
        <w:t>项级</w:t>
      </w:r>
      <w:r>
        <w:rPr>
          <w:rFonts w:ascii="仿宋" w:hAnsi="仿宋" w:eastAsia="仿宋"/>
          <w:b/>
          <w:color w:val="000000"/>
          <w:sz w:val="32"/>
          <w:szCs w:val="32"/>
        </w:rPr>
        <w:t>&gt;</w:t>
      </w:r>
      <w:r>
        <w:rPr>
          <w:rFonts w:hint="eastAsia" w:ascii="仿宋" w:hAnsi="仿宋" w:eastAsia="仿宋"/>
          <w:b/>
          <w:color w:val="000000"/>
          <w:sz w:val="32"/>
          <w:szCs w:val="32"/>
        </w:rPr>
        <w:t>和调整预算数</w:t>
      </w:r>
      <w:r>
        <w:rPr>
          <w:rFonts w:ascii="仿宋" w:hAnsi="仿宋" w:eastAsia="仿宋"/>
          <w:b/>
          <w:color w:val="000000"/>
          <w:sz w:val="32"/>
          <w:szCs w:val="32"/>
        </w:rPr>
        <w:t>&lt;</w:t>
      </w:r>
      <w:r>
        <w:rPr>
          <w:rFonts w:hint="eastAsia" w:ascii="仿宋" w:hAnsi="仿宋" w:eastAsia="仿宋"/>
          <w:b/>
          <w:color w:val="000000"/>
          <w:sz w:val="32"/>
          <w:szCs w:val="32"/>
        </w:rPr>
        <w:t>项级</w:t>
      </w:r>
      <w:r>
        <w:rPr>
          <w:rFonts w:ascii="仿宋" w:hAnsi="仿宋" w:eastAsia="仿宋"/>
          <w:b/>
          <w:color w:val="000000"/>
          <w:sz w:val="32"/>
          <w:szCs w:val="32"/>
        </w:rPr>
        <w:t>&gt;</w:t>
      </w:r>
      <w:r>
        <w:rPr>
          <w:rFonts w:hint="eastAsia" w:ascii="仿宋" w:hAnsi="仿宋" w:eastAsia="仿宋"/>
          <w:b/>
          <w:color w:val="000000"/>
          <w:sz w:val="32"/>
          <w:szCs w:val="32"/>
        </w:rPr>
        <w:t>比较，与预算数持平可以不写原因。）</w:t>
      </w:r>
    </w:p>
    <w:p>
      <w:pPr>
        <w:spacing w:line="600" w:lineRule="exact"/>
        <w:ind w:firstLine="640"/>
        <w:rPr>
          <w:rFonts w:ascii="仿宋" w:hAnsi="仿宋" w:eastAsia="仿宋"/>
          <w:b/>
          <w:color w:val="000000"/>
          <w:sz w:val="32"/>
          <w:szCs w:val="32"/>
        </w:rPr>
      </w:pPr>
    </w:p>
    <w:p>
      <w:pPr>
        <w:tabs>
          <w:tab w:val="right" w:pos="8306"/>
        </w:tabs>
        <w:spacing w:line="600" w:lineRule="exact"/>
        <w:ind w:firstLine="640"/>
        <w:outlineLvl w:val="1"/>
        <w:rPr>
          <w:rStyle w:val="26"/>
        </w:rPr>
      </w:pPr>
      <w:bookmarkStart w:id="40" w:name="_Toc15377214"/>
      <w:bookmarkStart w:id="4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40"/>
      <w:bookmarkEnd w:id="41"/>
      <w:r>
        <w:rPr>
          <w:rStyle w:val="26"/>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w:t>
      </w:r>
      <w:r>
        <w:rPr>
          <w:rFonts w:hint="eastAsia" w:ascii="仿宋" w:hAnsi="仿宋" w:eastAsia="仿宋"/>
          <w:color w:val="000000"/>
          <w:sz w:val="32"/>
          <w:szCs w:val="32"/>
          <w:lang w:val="en-US" w:eastAsia="zh-CN"/>
        </w:rPr>
        <w:t>231.69</w:t>
      </w:r>
      <w:r>
        <w:rPr>
          <w:rFonts w:hint="eastAsia" w:ascii="仿宋" w:hAnsi="仿宋" w:eastAsia="仿宋"/>
          <w:color w:val="000000"/>
          <w:sz w:val="32"/>
          <w:szCs w:val="32"/>
        </w:rPr>
        <w:t>万元，其中：</w:t>
      </w:r>
    </w:p>
    <w:p>
      <w:pPr>
        <w:spacing w:line="600" w:lineRule="exact"/>
        <w:ind w:firstLine="645"/>
        <w:rPr>
          <w:rFonts w:hint="eastAsia"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154.68</w:t>
      </w:r>
      <w:r>
        <w:rPr>
          <w:rFonts w:hint="eastAsia" w:ascii="仿宋" w:hAnsi="仿宋" w:eastAsia="仿宋"/>
          <w:color w:val="000000"/>
          <w:sz w:val="32"/>
          <w:szCs w:val="32"/>
        </w:rPr>
        <w:t>万元，主要包括：基本工资</w:t>
      </w:r>
      <w:r>
        <w:rPr>
          <w:rFonts w:hint="eastAsia" w:ascii="仿宋" w:hAnsi="仿宋" w:eastAsia="仿宋"/>
          <w:color w:val="000000"/>
          <w:sz w:val="32"/>
          <w:szCs w:val="32"/>
          <w:lang w:val="en-US" w:eastAsia="zh-CN"/>
        </w:rPr>
        <w:t>26.37万元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51.78万元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18.89万元</w:t>
      </w:r>
      <w:r>
        <w:rPr>
          <w:rFonts w:hint="eastAsia" w:ascii="仿宋" w:hAnsi="仿宋" w:eastAsia="仿宋"/>
          <w:color w:val="000000"/>
          <w:sz w:val="32"/>
          <w:szCs w:val="32"/>
        </w:rPr>
        <w:t>、伙食补助费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、绩效工资</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14.21万元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5.76万元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1.7万元</w:t>
      </w:r>
      <w:r>
        <w:rPr>
          <w:rFonts w:hint="eastAsia" w:ascii="仿宋" w:hAnsi="仿宋" w:eastAsia="仿宋"/>
          <w:color w:val="000000"/>
          <w:sz w:val="32"/>
          <w:szCs w:val="32"/>
        </w:rPr>
        <w:t>、其他工资福利支出</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、离休费</w:t>
      </w:r>
      <w:r>
        <w:rPr>
          <w:rFonts w:hint="eastAsia" w:ascii="仿宋" w:hAnsi="仿宋" w:eastAsia="仿宋"/>
          <w:color w:val="000000"/>
          <w:sz w:val="32"/>
          <w:szCs w:val="32"/>
          <w:lang w:val="en-US" w:eastAsia="zh-CN"/>
        </w:rPr>
        <w:t>15.84万元</w:t>
      </w:r>
      <w:r>
        <w:rPr>
          <w:rFonts w:hint="eastAsia" w:ascii="仿宋" w:hAnsi="仿宋" w:eastAsia="仿宋"/>
          <w:color w:val="000000"/>
          <w:sz w:val="32"/>
          <w:szCs w:val="32"/>
        </w:rPr>
        <w:t>、退休费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、抚恤金</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、生活补助</w:t>
      </w:r>
      <w:r>
        <w:rPr>
          <w:rFonts w:hint="eastAsia" w:ascii="仿宋" w:hAnsi="仿宋" w:eastAsia="仿宋"/>
          <w:color w:val="000000"/>
          <w:sz w:val="32"/>
          <w:szCs w:val="32"/>
          <w:lang w:val="en-US" w:eastAsia="zh-CN"/>
        </w:rPr>
        <w:t>1.82万元</w:t>
      </w:r>
      <w:r>
        <w:rPr>
          <w:rFonts w:hint="eastAsia" w:ascii="仿宋" w:hAnsi="仿宋" w:eastAsia="仿宋"/>
          <w:color w:val="000000"/>
          <w:sz w:val="32"/>
          <w:szCs w:val="32"/>
        </w:rPr>
        <w:t>、医疗费</w:t>
      </w:r>
      <w:r>
        <w:rPr>
          <w:rFonts w:hint="eastAsia" w:ascii="仿宋" w:hAnsi="仿宋" w:eastAsia="仿宋"/>
          <w:color w:val="000000"/>
          <w:sz w:val="32"/>
          <w:szCs w:val="32"/>
          <w:lang w:val="en-US" w:eastAsia="zh-CN"/>
        </w:rPr>
        <w:t>1.44万元</w:t>
      </w:r>
      <w:r>
        <w:rPr>
          <w:rFonts w:hint="eastAsia" w:ascii="仿宋" w:hAnsi="仿宋" w:eastAsia="仿宋"/>
          <w:color w:val="000000"/>
          <w:sz w:val="32"/>
          <w:szCs w:val="32"/>
        </w:rPr>
        <w:t>、奖励金</w:t>
      </w:r>
      <w:r>
        <w:rPr>
          <w:rFonts w:hint="eastAsia" w:ascii="仿宋" w:hAnsi="仿宋" w:eastAsia="仿宋"/>
          <w:color w:val="000000"/>
          <w:sz w:val="32"/>
          <w:szCs w:val="32"/>
          <w:lang w:val="en-US" w:eastAsia="zh-CN"/>
        </w:rPr>
        <w:t>0.0072万元</w:t>
      </w:r>
      <w:r>
        <w:rPr>
          <w:rFonts w:hint="eastAsia" w:ascii="仿宋" w:hAnsi="仿宋" w:eastAsia="仿宋"/>
          <w:color w:val="000000"/>
          <w:sz w:val="32"/>
          <w:szCs w:val="32"/>
        </w:rPr>
        <w:t>、住房公积金</w:t>
      </w:r>
      <w:r>
        <w:rPr>
          <w:rFonts w:hint="eastAsia" w:ascii="仿宋" w:hAnsi="仿宋" w:eastAsia="仿宋"/>
          <w:color w:val="000000"/>
          <w:sz w:val="32"/>
          <w:szCs w:val="32"/>
          <w:lang w:val="en-US" w:eastAsia="zh-CN"/>
        </w:rPr>
        <w:t>9.41万元</w:t>
      </w:r>
      <w:r>
        <w:rPr>
          <w:rFonts w:hint="eastAsia" w:ascii="仿宋" w:hAnsi="仿宋" w:eastAsia="仿宋"/>
          <w:color w:val="000000"/>
          <w:sz w:val="32"/>
          <w:szCs w:val="32"/>
        </w:rPr>
        <w:t>、提租</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补贴、购房补贴</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、其他对个人和家庭的补助支出</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等。</w:t>
      </w:r>
      <w:r>
        <w:rPr>
          <w:rFonts w:ascii="仿宋" w:hAnsi="仿宋" w:eastAsia="仿宋"/>
          <w:color w:val="000000"/>
          <w:sz w:val="32"/>
          <w:szCs w:val="32"/>
        </w:rPr>
        <w:br w:type="textWrapping"/>
      </w:r>
      <w:r>
        <w:rPr>
          <w:rFonts w:hint="eastAsia" w:ascii="仿宋" w:hAnsi="仿宋" w:eastAsia="仿宋"/>
          <w:color w:val="000000"/>
          <w:sz w:val="32"/>
          <w:szCs w:val="32"/>
        </w:rPr>
        <w:t>　　公用经费</w:t>
      </w:r>
      <w:r>
        <w:rPr>
          <w:rFonts w:hint="eastAsia" w:ascii="仿宋" w:hAnsi="仿宋" w:eastAsia="仿宋"/>
          <w:color w:val="000000"/>
          <w:sz w:val="32"/>
          <w:szCs w:val="32"/>
          <w:lang w:val="en-US" w:eastAsia="zh-CN"/>
        </w:rPr>
        <w:t>9.49</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2.38万元</w:t>
      </w:r>
      <w:r>
        <w:rPr>
          <w:rFonts w:hint="eastAsia" w:ascii="仿宋" w:hAnsi="仿宋" w:eastAsia="仿宋"/>
          <w:color w:val="000000"/>
          <w:sz w:val="32"/>
          <w:szCs w:val="32"/>
        </w:rPr>
        <w:t>、印刷费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、咨询费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、手续费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、水费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、电费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1.09万元</w:t>
      </w:r>
      <w:r>
        <w:rPr>
          <w:rFonts w:hint="eastAsia" w:ascii="仿宋" w:hAnsi="仿宋" w:eastAsia="仿宋"/>
          <w:color w:val="000000"/>
          <w:sz w:val="32"/>
          <w:szCs w:val="32"/>
        </w:rPr>
        <w:t>、取暖费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、物业管理费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、差旅费</w:t>
      </w:r>
      <w:r>
        <w:rPr>
          <w:rFonts w:hint="eastAsia" w:ascii="仿宋" w:hAnsi="仿宋" w:eastAsia="仿宋"/>
          <w:color w:val="000000"/>
          <w:sz w:val="32"/>
          <w:szCs w:val="32"/>
          <w:lang w:val="en-US" w:eastAsia="zh-CN"/>
        </w:rPr>
        <w:t>1.4万元</w:t>
      </w:r>
      <w:r>
        <w:rPr>
          <w:rFonts w:hint="eastAsia" w:ascii="仿宋" w:hAnsi="仿宋" w:eastAsia="仿宋"/>
          <w:color w:val="000000"/>
          <w:sz w:val="32"/>
          <w:szCs w:val="32"/>
        </w:rPr>
        <w:t>、因公出国（境）费用</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、维修（护）费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、租赁费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、会议费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、培训费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、公务接待费</w:t>
      </w:r>
      <w:r>
        <w:rPr>
          <w:rFonts w:hint="eastAsia" w:ascii="仿宋" w:hAnsi="仿宋" w:eastAsia="仿宋"/>
          <w:color w:val="000000"/>
          <w:sz w:val="32"/>
          <w:szCs w:val="32"/>
          <w:lang w:val="en-US" w:eastAsia="zh-CN"/>
        </w:rPr>
        <w:t>0.072万元</w:t>
      </w:r>
      <w:r>
        <w:rPr>
          <w:rFonts w:hint="eastAsia" w:ascii="仿宋" w:hAnsi="仿宋" w:eastAsia="仿宋"/>
          <w:color w:val="000000"/>
          <w:sz w:val="32"/>
          <w:szCs w:val="32"/>
        </w:rPr>
        <w:t>、劳务费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、委托业务费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、工会经费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、福利费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val="en-US" w:eastAsia="zh-CN"/>
        </w:rPr>
        <w:t>4.54万元</w:t>
      </w:r>
      <w:r>
        <w:rPr>
          <w:rFonts w:hint="eastAsia" w:ascii="仿宋" w:hAnsi="仿宋" w:eastAsia="仿宋"/>
          <w:color w:val="000000"/>
          <w:sz w:val="32"/>
          <w:szCs w:val="32"/>
        </w:rPr>
        <w:t>、其他交通费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、税金及附加费用</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、其他商品和服务支出</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、办公设备购置</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、专用设备购置</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、信息网络及软件购置更新</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、其他资本性支出</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等。</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lang w:eastAsia="zh-CN"/>
        </w:rPr>
        <w:t>项目支出</w:t>
      </w:r>
      <w:r>
        <w:rPr>
          <w:rFonts w:hint="eastAsia" w:ascii="仿宋" w:hAnsi="仿宋" w:eastAsia="仿宋"/>
          <w:color w:val="000000"/>
          <w:sz w:val="32"/>
          <w:szCs w:val="32"/>
          <w:lang w:val="en-US" w:eastAsia="zh-CN"/>
        </w:rPr>
        <w:t>67.51万元。</w:t>
      </w:r>
    </w:p>
    <w:p>
      <w:pPr>
        <w:spacing w:line="600" w:lineRule="exact"/>
        <w:ind w:firstLine="640"/>
        <w:outlineLvl w:val="1"/>
        <w:rPr>
          <w:rStyle w:val="26"/>
          <w:rFonts w:ascii="黑体" w:hAnsi="黑体" w:eastAsia="黑体"/>
          <w:b w:val="0"/>
        </w:rPr>
      </w:pPr>
      <w:bookmarkStart w:id="42" w:name="_Toc15396609"/>
      <w:bookmarkStart w:id="43" w:name="_Toc15377215"/>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napToGrid w:val="0"/>
        <w:spacing w:line="52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w:t>
      </w:r>
      <w:r>
        <w:rPr>
          <w:rFonts w:hint="default" w:ascii="仿宋" w:hAnsi="仿宋" w:eastAsia="仿宋"/>
          <w:color w:val="000000"/>
          <w:sz w:val="32"/>
          <w:szCs w:val="32"/>
          <w:lang w:val="en-US"/>
        </w:rPr>
        <w:t>4.61</w:t>
      </w:r>
      <w:r>
        <w:rPr>
          <w:rFonts w:hint="eastAsia" w:ascii="仿宋" w:hAnsi="仿宋" w:eastAsia="仿宋"/>
          <w:color w:val="000000"/>
          <w:sz w:val="32"/>
          <w:szCs w:val="32"/>
        </w:rPr>
        <w:t>万元，完成预算</w:t>
      </w:r>
      <w:r>
        <w:rPr>
          <w:rFonts w:ascii="仿宋" w:hAnsi="仿宋" w:eastAsia="仿宋"/>
          <w:color w:val="000000"/>
          <w:sz w:val="32"/>
          <w:szCs w:val="32"/>
          <w:lang w:val="en-US"/>
        </w:rPr>
        <w:t>98</w:t>
      </w:r>
      <w:r>
        <w:rPr>
          <w:rFonts w:ascii="仿宋" w:hAnsi="仿宋" w:eastAsia="仿宋"/>
          <w:color w:val="000000"/>
          <w:sz w:val="32"/>
          <w:szCs w:val="32"/>
        </w:rPr>
        <w:t>%</w:t>
      </w:r>
      <w:r>
        <w:rPr>
          <w:rFonts w:hint="eastAsia" w:ascii="仿宋" w:hAnsi="仿宋" w:eastAsia="仿宋"/>
          <w:color w:val="000000"/>
          <w:sz w:val="32"/>
          <w:szCs w:val="32"/>
        </w:rPr>
        <w:t>，决算数小于预算数的主要原因是</w:t>
      </w:r>
      <w:r>
        <w:rPr>
          <w:rFonts w:hint="eastAsia" w:ascii="仿宋" w:hAnsi="仿宋" w:eastAsia="仿宋"/>
          <w:sz w:val="32"/>
          <w:szCs w:val="32"/>
        </w:rPr>
        <w:t>严格执行厉行节约的要求。</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8年“三公”经费财政拨款支出决算中，因公出国（境）费支出决算</w:t>
      </w:r>
      <w:r>
        <w:rPr>
          <w:rFonts w:ascii="仿宋" w:hAnsi="仿宋" w:eastAsia="仿宋"/>
          <w:color w:val="000000"/>
          <w:sz w:val="32"/>
          <w:szCs w:val="32"/>
          <w:lang w:val="en-US"/>
        </w:rPr>
        <w:t>0</w:t>
      </w:r>
      <w:r>
        <w:rPr>
          <w:rFonts w:hint="eastAsia" w:ascii="仿宋" w:hAnsi="仿宋" w:eastAsia="仿宋"/>
          <w:color w:val="000000"/>
          <w:sz w:val="32"/>
          <w:szCs w:val="32"/>
        </w:rPr>
        <w:t>万元，占</w:t>
      </w:r>
      <w:r>
        <w:rPr>
          <w:rFonts w:ascii="仿宋" w:hAnsi="仿宋" w:eastAsia="仿宋"/>
          <w:color w:val="000000"/>
          <w:sz w:val="32"/>
          <w:szCs w:val="32"/>
          <w:lang w:val="en-US"/>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ascii="仿宋" w:hAnsi="仿宋" w:eastAsia="仿宋"/>
          <w:color w:val="000000"/>
          <w:sz w:val="32"/>
          <w:szCs w:val="32"/>
          <w:lang w:val="en-US"/>
        </w:rPr>
        <w:t>4.54</w:t>
      </w:r>
      <w:r>
        <w:rPr>
          <w:rFonts w:hint="eastAsia" w:ascii="仿宋" w:hAnsi="仿宋" w:eastAsia="仿宋"/>
          <w:color w:val="000000"/>
          <w:sz w:val="32"/>
          <w:szCs w:val="32"/>
        </w:rPr>
        <w:t>万元，占</w:t>
      </w:r>
      <w:r>
        <w:rPr>
          <w:rFonts w:ascii="仿宋" w:hAnsi="仿宋" w:eastAsia="仿宋"/>
          <w:color w:val="000000"/>
          <w:sz w:val="32"/>
          <w:szCs w:val="32"/>
          <w:lang w:val="en-US"/>
        </w:rPr>
        <w:t>97</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ascii="仿宋" w:hAnsi="仿宋" w:eastAsia="仿宋"/>
          <w:color w:val="000000"/>
          <w:sz w:val="32"/>
          <w:szCs w:val="32"/>
          <w:lang w:val="en-US"/>
        </w:rPr>
        <w:t>0.072</w:t>
      </w:r>
      <w:r>
        <w:rPr>
          <w:rFonts w:hint="eastAsia" w:ascii="仿宋" w:hAnsi="仿宋" w:eastAsia="仿宋"/>
          <w:color w:val="000000"/>
          <w:sz w:val="32"/>
          <w:szCs w:val="32"/>
        </w:rPr>
        <w:t>万元，占</w:t>
      </w:r>
      <w:r>
        <w:rPr>
          <w:rFonts w:ascii="仿宋" w:hAnsi="仿宋" w:eastAsia="仿宋"/>
          <w:color w:val="000000"/>
          <w:sz w:val="32"/>
          <w:szCs w:val="32"/>
          <w:lang w:val="en-US"/>
        </w:rPr>
        <w:t>3</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240" w:lineRule="auto"/>
        <w:ind w:firstLine="640"/>
        <w:rPr>
          <w:rFonts w:hint="eastAsia" w:ascii="仿宋" w:hAnsi="仿宋" w:eastAsia="仿宋"/>
          <w:color w:val="000000"/>
          <w:sz w:val="32"/>
          <w:szCs w:val="32"/>
          <w:lang w:val="en-US"/>
        </w:rPr>
      </w:pPr>
      <w:r>
        <w:rPr>
          <w:rFonts w:hint="eastAsia" w:ascii="仿宋" w:hAnsi="仿宋" w:eastAsia="仿宋"/>
          <w:color w:val="000000"/>
          <w:sz w:val="32"/>
          <w:szCs w:val="32"/>
          <w:lang w:val="en-US"/>
        </w:rPr>
        <w:drawing>
          <wp:inline distT="0" distB="0" distL="114300" distR="114300">
            <wp:extent cx="5095240" cy="3818890"/>
            <wp:effectExtent l="0" t="0" r="10160" b="10160"/>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16"/>
                    <a:stretch>
                      <a:fillRect/>
                    </a:stretch>
                  </pic:blipFill>
                  <pic:spPr>
                    <a:xfrm>
                      <a:off x="0" y="0"/>
                      <a:ext cx="5095240" cy="3818890"/>
                    </a:xfrm>
                    <a:prstGeom prst="rect">
                      <a:avLst/>
                    </a:prstGeom>
                  </pic:spPr>
                </pic:pic>
              </a:graphicData>
            </a:graphic>
          </wp:inline>
        </w:drawing>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w:t>
      </w:r>
      <w:r>
        <w:rPr>
          <w:rFonts w:hint="eastAsia" w:ascii="仿宋" w:hAnsi="仿宋" w:eastAsia="仿宋"/>
          <w:color w:val="000000"/>
          <w:sz w:val="32"/>
          <w:szCs w:val="32"/>
          <w:lang w:val="en-US" w:eastAsia="zh-CN"/>
        </w:rPr>
        <w:t>7</w:t>
      </w:r>
      <w:r>
        <w:rPr>
          <w:rFonts w:hint="eastAsia" w:ascii="仿宋" w:hAnsi="仿宋" w:eastAsia="仿宋"/>
          <w:color w:val="000000"/>
          <w:sz w:val="32"/>
          <w:szCs w:val="32"/>
        </w:rPr>
        <w:t>：“三公”经费财政拨款支出结构）（饼状图）</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ascii="仿宋_GB2312" w:eastAsia="仿宋_GB2312"/>
          <w:color w:val="000000"/>
          <w:sz w:val="32"/>
          <w:szCs w:val="32"/>
          <w:lang w:val="en-US"/>
        </w:rPr>
        <w:t>0</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ascii="仿宋" w:hAnsi="仿宋" w:eastAsia="仿宋"/>
          <w:b w:val="0"/>
          <w:bCs/>
          <w:color w:val="000000"/>
          <w:sz w:val="32"/>
          <w:szCs w:val="32"/>
          <w:lang w:val="en-US"/>
        </w:rPr>
        <w:t>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ascii="仿宋_GB2312" w:eastAsia="仿宋_GB2312"/>
          <w:color w:val="000000"/>
          <w:sz w:val="32"/>
          <w:szCs w:val="32"/>
          <w:lang w:val="en-US"/>
        </w:rPr>
        <w:t>0</w:t>
      </w:r>
      <w:r>
        <w:rPr>
          <w:rFonts w:hint="eastAsia" w:ascii="仿宋_GB2312" w:eastAsia="仿宋_GB2312"/>
          <w:color w:val="000000"/>
          <w:sz w:val="32"/>
          <w:szCs w:val="32"/>
        </w:rPr>
        <w:t>次，出国（境）</w:t>
      </w:r>
      <w:r>
        <w:rPr>
          <w:rFonts w:ascii="仿宋_GB2312" w:eastAsia="仿宋_GB2312"/>
          <w:color w:val="000000"/>
          <w:sz w:val="32"/>
          <w:szCs w:val="32"/>
          <w:lang w:val="en-US"/>
        </w:rPr>
        <w:t>0</w:t>
      </w:r>
      <w:r>
        <w:rPr>
          <w:rFonts w:hint="eastAsia" w:ascii="仿宋_GB2312" w:eastAsia="仿宋_GB2312"/>
          <w:color w:val="000000"/>
          <w:sz w:val="32"/>
          <w:szCs w:val="32"/>
        </w:rPr>
        <w:t>人。</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ascii="仿宋_GB2312" w:eastAsia="仿宋_GB2312"/>
          <w:color w:val="000000"/>
          <w:sz w:val="32"/>
          <w:szCs w:val="32"/>
          <w:lang w:val="en-US"/>
        </w:rPr>
        <w:t>4.54</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ascii="仿宋" w:hAnsi="仿宋" w:eastAsia="仿宋"/>
          <w:b w:val="0"/>
          <w:bCs/>
          <w:color w:val="000000"/>
          <w:sz w:val="32"/>
          <w:szCs w:val="32"/>
          <w:lang w:val="en-US"/>
        </w:rPr>
        <w:t>97</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7年减少</w:t>
      </w:r>
      <w:r>
        <w:rPr>
          <w:rFonts w:ascii="仿宋_GB2312" w:eastAsia="仿宋_GB2312"/>
          <w:color w:val="000000"/>
          <w:sz w:val="32"/>
          <w:szCs w:val="32"/>
          <w:lang w:val="en-US"/>
        </w:rPr>
        <w:t>0.055</w:t>
      </w:r>
      <w:r>
        <w:rPr>
          <w:rFonts w:hint="eastAsia" w:ascii="仿宋_GB2312" w:eastAsia="仿宋_GB2312"/>
          <w:color w:val="000000"/>
          <w:sz w:val="32"/>
          <w:szCs w:val="32"/>
        </w:rPr>
        <w:t>万元，下降</w:t>
      </w:r>
      <w:r>
        <w:rPr>
          <w:rFonts w:ascii="仿宋_GB2312" w:eastAsia="仿宋_GB2312"/>
          <w:color w:val="000000"/>
          <w:sz w:val="32"/>
          <w:szCs w:val="32"/>
          <w:lang w:val="en-US"/>
        </w:rPr>
        <w:t>1.2</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 w:hAnsi="仿宋" w:eastAsia="仿宋"/>
          <w:sz w:val="32"/>
          <w:szCs w:val="32"/>
        </w:rPr>
        <w:t>严格执行厉行节约的要求</w:t>
      </w:r>
      <w:r>
        <w:rPr>
          <w:rFonts w:hint="eastAsia" w:ascii="仿宋_GB2312" w:eastAsia="仿宋_GB2312"/>
          <w:color w:val="000000"/>
          <w:sz w:val="32"/>
          <w:szCs w:val="32"/>
        </w:rPr>
        <w:t>。</w:t>
      </w:r>
    </w:p>
    <w:p>
      <w:pPr>
        <w:spacing w:line="600" w:lineRule="exact"/>
        <w:ind w:firstLine="640" w:firstLineChars="200"/>
        <w:rPr>
          <w:rFonts w:hint="eastAsia" w:ascii="仿宋_GB2312" w:eastAsia="仿宋_GB2312"/>
          <w:b/>
          <w:color w:val="000000"/>
          <w:sz w:val="32"/>
          <w:szCs w:val="32"/>
          <w:lang w:val="en-US"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ascii="仿宋_GB2312" w:eastAsia="仿宋_GB2312"/>
          <w:color w:val="000000"/>
          <w:sz w:val="32"/>
          <w:szCs w:val="32"/>
          <w:lang w:val="en-US"/>
        </w:rPr>
        <w:t>0</w:t>
      </w:r>
      <w:r>
        <w:rPr>
          <w:rFonts w:hint="eastAsia" w:ascii="仿宋_GB2312" w:eastAsia="仿宋_GB2312"/>
          <w:color w:val="000000"/>
          <w:sz w:val="32"/>
          <w:szCs w:val="32"/>
        </w:rPr>
        <w:t>万元。全年按规定更新购置公务用车</w:t>
      </w:r>
      <w:r>
        <w:rPr>
          <w:rFonts w:ascii="仿宋_GB2312" w:eastAsia="仿宋_GB2312"/>
          <w:color w:val="000000"/>
          <w:sz w:val="32"/>
          <w:szCs w:val="32"/>
          <w:lang w:val="en-US"/>
        </w:rPr>
        <w:t>0</w:t>
      </w:r>
      <w:r>
        <w:rPr>
          <w:rFonts w:hint="eastAsia" w:ascii="仿宋_GB2312" w:eastAsia="仿宋_GB2312"/>
          <w:color w:val="000000"/>
          <w:sz w:val="32"/>
          <w:szCs w:val="32"/>
        </w:rPr>
        <w:t>辆，其中：轿车</w:t>
      </w:r>
      <w:r>
        <w:rPr>
          <w:rFonts w:ascii="仿宋_GB2312" w:eastAsia="仿宋_GB2312"/>
          <w:color w:val="000000"/>
          <w:sz w:val="32"/>
          <w:szCs w:val="32"/>
          <w:lang w:val="en-US"/>
        </w:rPr>
        <w:t>0</w:t>
      </w:r>
      <w:r>
        <w:rPr>
          <w:rFonts w:hint="eastAsia" w:ascii="仿宋_GB2312" w:eastAsia="仿宋_GB2312"/>
          <w:color w:val="000000"/>
          <w:sz w:val="32"/>
          <w:szCs w:val="32"/>
        </w:rPr>
        <w:t>辆、金额</w:t>
      </w:r>
      <w:r>
        <w:rPr>
          <w:rFonts w:ascii="仿宋_GB2312" w:eastAsia="仿宋_GB2312"/>
          <w:color w:val="000000"/>
          <w:sz w:val="32"/>
          <w:szCs w:val="32"/>
          <w:lang w:val="en-US"/>
        </w:rPr>
        <w:t>0</w:t>
      </w:r>
      <w:r>
        <w:rPr>
          <w:rFonts w:hint="eastAsia" w:ascii="仿宋_GB2312" w:eastAsia="仿宋_GB2312"/>
          <w:color w:val="000000"/>
          <w:sz w:val="32"/>
          <w:szCs w:val="32"/>
        </w:rPr>
        <w:t>万元，越野车</w:t>
      </w:r>
      <w:r>
        <w:rPr>
          <w:rFonts w:ascii="仿宋_GB2312" w:eastAsia="仿宋_GB2312"/>
          <w:color w:val="000000"/>
          <w:sz w:val="32"/>
          <w:szCs w:val="32"/>
          <w:lang w:val="en-US"/>
        </w:rPr>
        <w:t>0</w:t>
      </w:r>
      <w:r>
        <w:rPr>
          <w:rFonts w:hint="eastAsia" w:ascii="仿宋_GB2312" w:eastAsia="仿宋_GB2312"/>
          <w:color w:val="000000"/>
          <w:sz w:val="32"/>
          <w:szCs w:val="32"/>
        </w:rPr>
        <w:t>辆、金额</w:t>
      </w:r>
      <w:r>
        <w:rPr>
          <w:rFonts w:ascii="仿宋_GB2312" w:eastAsia="仿宋_GB2312"/>
          <w:color w:val="000000"/>
          <w:sz w:val="32"/>
          <w:szCs w:val="32"/>
          <w:lang w:val="en-US"/>
        </w:rPr>
        <w:t>0</w:t>
      </w:r>
      <w:r>
        <w:rPr>
          <w:rFonts w:hint="eastAsia" w:ascii="仿宋_GB2312" w:eastAsia="仿宋_GB2312"/>
          <w:color w:val="000000"/>
          <w:sz w:val="32"/>
          <w:szCs w:val="32"/>
        </w:rPr>
        <w:t>万元，载客汽车</w:t>
      </w:r>
      <w:r>
        <w:rPr>
          <w:rFonts w:ascii="仿宋_GB2312" w:eastAsia="仿宋_GB2312"/>
          <w:color w:val="000000"/>
          <w:sz w:val="32"/>
          <w:szCs w:val="32"/>
          <w:lang w:val="en-US"/>
        </w:rPr>
        <w:t>0</w:t>
      </w:r>
      <w:r>
        <w:rPr>
          <w:rFonts w:hint="eastAsia" w:ascii="仿宋_GB2312" w:eastAsia="仿宋_GB2312"/>
          <w:color w:val="000000"/>
          <w:sz w:val="32"/>
          <w:szCs w:val="32"/>
        </w:rPr>
        <w:t>辆、金额</w:t>
      </w:r>
      <w:r>
        <w:rPr>
          <w:rFonts w:ascii="仿宋_GB2312" w:eastAsia="仿宋_GB2312"/>
          <w:color w:val="000000"/>
          <w:sz w:val="32"/>
          <w:szCs w:val="32"/>
          <w:lang w:val="en-US"/>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4.54</w:t>
      </w:r>
      <w:r>
        <w:rPr>
          <w:rFonts w:hint="eastAsia" w:ascii="仿宋_GB2312" w:eastAsia="仿宋_GB2312"/>
          <w:color w:val="000000"/>
          <w:sz w:val="32"/>
          <w:szCs w:val="32"/>
        </w:rPr>
        <w:t>万元。主要用于公务用车燃料费、维修费、过路过桥费、保险费等支出。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0.072</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90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7年减少</w:t>
      </w:r>
      <w:r>
        <w:rPr>
          <w:rFonts w:hint="eastAsia" w:ascii="仿宋_GB2312" w:eastAsia="仿宋_GB2312"/>
          <w:color w:val="000000"/>
          <w:sz w:val="32"/>
          <w:szCs w:val="32"/>
          <w:lang w:val="en-US" w:eastAsia="zh-CN"/>
        </w:rPr>
        <w:t>80</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 w:hAnsi="仿宋" w:eastAsia="仿宋"/>
          <w:sz w:val="32"/>
          <w:szCs w:val="32"/>
        </w:rPr>
        <w:t>严格执行厉行节约的要求</w:t>
      </w:r>
      <w:r>
        <w:rPr>
          <w:rFonts w:hint="eastAsia" w:ascii="仿宋_GB2312" w:eastAsia="仿宋_GB2312"/>
          <w:color w:val="000000"/>
          <w:sz w:val="32"/>
          <w:szCs w:val="32"/>
        </w:rPr>
        <w:t>。</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人次，共计支出</w:t>
      </w:r>
      <w:r>
        <w:rPr>
          <w:rFonts w:hint="eastAsia" w:ascii="仿宋_GB2312" w:eastAsia="仿宋_GB2312"/>
          <w:color w:val="000000"/>
          <w:sz w:val="32"/>
          <w:szCs w:val="32"/>
          <w:lang w:val="en-US" w:eastAsia="zh-CN"/>
        </w:rPr>
        <w:t>0.072</w:t>
      </w:r>
      <w:r>
        <w:rPr>
          <w:rFonts w:hint="eastAsia" w:ascii="仿宋_GB2312" w:eastAsia="仿宋_GB2312"/>
          <w:color w:val="000000"/>
          <w:sz w:val="32"/>
          <w:szCs w:val="32"/>
        </w:rPr>
        <w:t>万元，具体内容包括：接待州级检查工作组到我县检查清仓查库、粮食首长责任制等工作。</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其中：</w:t>
      </w:r>
    </w:p>
    <w:p>
      <w:pPr>
        <w:spacing w:line="600" w:lineRule="exact"/>
        <w:ind w:firstLine="643" w:firstLineChars="200"/>
        <w:rPr>
          <w:rFonts w:ascii="仿宋_GB2312" w:eastAsia="仿宋_GB2312"/>
          <w:color w:val="000000" w:themeColor="text1"/>
          <w:sz w:val="32"/>
          <w:szCs w:val="32"/>
          <w14:textFill>
            <w14:solidFill>
              <w14:schemeClr w14:val="tx1"/>
            </w14:solidFill>
          </w14:textFill>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，外事接待</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批次，</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人，共计支出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w:t>
      </w:r>
      <w:r>
        <w:rPr>
          <w:rFonts w:hint="eastAsia" w:ascii="仿宋_GB2312" w:eastAsia="仿宋_GB2312"/>
          <w:color w:val="000000" w:themeColor="text1"/>
          <w:sz w:val="32"/>
          <w:szCs w:val="32"/>
          <w:lang w:val="en-US" w:eastAsia="zh-CN"/>
          <w14:textFill>
            <w14:solidFill>
              <w14:schemeClr w14:val="tx1"/>
            </w14:solidFill>
          </w14:textFill>
        </w:rPr>
        <w:t>.</w:t>
      </w:r>
    </w:p>
    <w:p>
      <w:pPr>
        <w:spacing w:line="600" w:lineRule="exact"/>
        <w:ind w:firstLine="643" w:firstLineChars="200"/>
        <w:rPr>
          <w:rFonts w:hint="eastAsia" w:ascii="黑体" w:eastAsia="黑体"/>
          <w:color w:val="000000"/>
          <w:sz w:val="32"/>
          <w:szCs w:val="32"/>
        </w:rPr>
      </w:pPr>
      <w:r>
        <w:rPr>
          <w:rFonts w:hint="eastAsia" w:ascii="仿宋" w:hAnsi="仿宋" w:eastAsia="仿宋"/>
          <w:b/>
          <w:color w:val="000000"/>
          <w:sz w:val="32"/>
          <w:szCs w:val="32"/>
        </w:rPr>
        <w:t>其他国内公务接待支出</w:t>
      </w:r>
      <w:r>
        <w:rPr>
          <w:rFonts w:hint="eastAsia" w:ascii="仿宋" w:hAnsi="仿宋" w:eastAsia="仿宋"/>
          <w:color w:val="000000"/>
          <w:sz w:val="32"/>
          <w:szCs w:val="32"/>
          <w:lang w:val="en-US" w:eastAsia="zh-CN"/>
        </w:rPr>
        <w:t>0.072</w:t>
      </w:r>
      <w:r>
        <w:rPr>
          <w:rFonts w:hint="eastAsia" w:ascii="仿宋_GB2312" w:eastAsia="仿宋_GB2312"/>
          <w:color w:val="000000"/>
          <w:sz w:val="32"/>
          <w:szCs w:val="32"/>
        </w:rPr>
        <w:t>万元，接待州级检查工作组到我县检查清仓查库、粮食首长责任制等工作。</w:t>
      </w:r>
      <w:bookmarkStart w:id="46" w:name="_Toc15396610"/>
      <w:bookmarkStart w:id="47" w:name="_Toc15377218"/>
    </w:p>
    <w:p>
      <w:pPr>
        <w:spacing w:line="600" w:lineRule="exact"/>
        <w:ind w:firstLine="640"/>
        <w:outlineLvl w:val="1"/>
        <w:rPr>
          <w:rStyle w:val="26"/>
          <w:rFonts w:ascii="黑体" w:hAnsi="黑体" w:eastAsia="黑体"/>
        </w:rPr>
      </w:pPr>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5"/>
        </w:numPr>
        <w:spacing w:line="600" w:lineRule="exact"/>
        <w:ind w:firstLine="640"/>
        <w:outlineLvl w:val="1"/>
        <w:rPr>
          <w:rStyle w:val="26"/>
          <w:rFonts w:ascii="黑体" w:hAnsi="黑体" w:eastAsia="黑体"/>
          <w:b w:val="0"/>
        </w:rPr>
      </w:pPr>
      <w:bookmarkStart w:id="48" w:name="_Toc15377219"/>
      <w:bookmarkStart w:id="49" w:name="_Toc15396611"/>
      <w:r>
        <w:rPr>
          <w:rStyle w:val="26"/>
          <w:rFonts w:hint="eastAsia" w:ascii="黑体" w:hAns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24"/>
        <w:numPr>
          <w:ilvl w:val="0"/>
          <w:numId w:val="6"/>
        </w:numPr>
        <w:spacing w:line="580" w:lineRule="exact"/>
        <w:ind w:firstLineChars="0"/>
        <w:rPr>
          <w:rStyle w:val="26"/>
          <w:rFonts w:ascii="黑体" w:hAnsi="黑体" w:eastAsia="黑体"/>
          <w:b w:val="0"/>
        </w:rPr>
      </w:pPr>
      <w:r>
        <w:rPr>
          <w:rStyle w:val="26"/>
          <w:rFonts w:hint="eastAsia" w:ascii="黑体" w:hAnsi="黑体" w:eastAsia="黑体"/>
          <w:b w:val="0"/>
        </w:rPr>
        <w:t>预算绩效情况说明</w:t>
      </w:r>
    </w:p>
    <w:p>
      <w:pPr>
        <w:numPr>
          <w:ilvl w:val="0"/>
          <w:numId w:val="7"/>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w:t>
      </w:r>
      <w:r>
        <w:rPr>
          <w:rFonts w:hint="eastAsia" w:ascii="仿宋_GB2312" w:hAnsi="仿宋_GB2312" w:eastAsia="仿宋_GB2312" w:cs="仿宋_GB2312"/>
          <w:sz w:val="32"/>
          <w:szCs w:val="32"/>
          <w:lang w:eastAsia="zh-CN"/>
        </w:rPr>
        <w:t>由于只编制了基本公用及人员经费，故未</w:t>
      </w:r>
      <w:r>
        <w:rPr>
          <w:rFonts w:hint="eastAsia" w:ascii="仿宋_GB2312" w:hAnsi="仿宋_GB2312" w:eastAsia="仿宋_GB2312" w:cs="仿宋_GB2312"/>
          <w:sz w:val="32"/>
          <w:szCs w:val="32"/>
        </w:rPr>
        <w:t>组织项目预算事前绩效评估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预算执行过程中，执行完毕后</w:t>
      </w:r>
      <w:r>
        <w:rPr>
          <w:rFonts w:hint="eastAsia" w:ascii="仿宋_GB2312" w:hAnsi="仿宋_GB2312" w:eastAsia="仿宋_GB2312" w:cs="仿宋_GB2312"/>
          <w:sz w:val="32"/>
          <w:szCs w:val="32"/>
          <w:lang w:eastAsia="zh-CN"/>
        </w:rPr>
        <w:t>，开展了整体支出绩效评价</w:t>
      </w:r>
      <w:r>
        <w:rPr>
          <w:rFonts w:hint="eastAsia" w:ascii="仿宋_GB2312" w:hAnsi="仿宋_GB2312" w:eastAsia="仿宋_GB2312" w:cs="仿宋_GB2312"/>
          <w:sz w:val="32"/>
          <w:szCs w:val="32"/>
        </w:rPr>
        <w:t>。</w:t>
      </w:r>
    </w:p>
    <w:p>
      <w:pPr>
        <w:keepNext w:val="0"/>
        <w:keepLines w:val="0"/>
        <w:pageBreakBefore w:val="0"/>
        <w:kinsoku/>
        <w:wordWrap/>
        <w:overflowPunct/>
        <w:topLinePunct w:val="0"/>
        <w:bidi w:val="0"/>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本部门按要求对2018年部门整体支出开展绩效自评，从评价情况来看</w:t>
      </w:r>
      <w:r>
        <w:rPr>
          <w:rFonts w:hint="eastAsia" w:ascii="仿宋_GB2312" w:hAnsi="仿宋_GB2312" w:eastAsia="仿宋_GB2312" w:cs="仿宋_GB2312"/>
          <w:color w:val="000000"/>
          <w:sz w:val="32"/>
          <w:szCs w:val="32"/>
        </w:rPr>
        <w:t>按照预算绩效管理要求，本部门对</w:t>
      </w:r>
      <w:r>
        <w:rPr>
          <w:rFonts w:hint="eastAsia" w:ascii="仿宋_GB2312" w:hAnsi="仿宋_GB2312" w:eastAsia="仿宋_GB2312" w:cs="仿宋_GB2312"/>
          <w:color w:val="000000"/>
          <w:sz w:val="32"/>
          <w:szCs w:val="32"/>
          <w:lang w:eastAsia="zh-CN"/>
        </w:rPr>
        <w:t>2018</w:t>
      </w:r>
      <w:r>
        <w:rPr>
          <w:rFonts w:hint="eastAsia" w:ascii="仿宋_GB2312" w:hAnsi="仿宋_GB2312" w:eastAsia="仿宋_GB2312" w:cs="仿宋_GB2312"/>
          <w:color w:val="000000"/>
          <w:sz w:val="32"/>
          <w:szCs w:val="32"/>
        </w:rPr>
        <w:t>年整体支出开展绩效自评，自评得分</w:t>
      </w:r>
      <w:r>
        <w:rPr>
          <w:rFonts w:hint="eastAsia" w:ascii="仿宋_GB2312" w:hAnsi="仿宋_GB2312" w:eastAsia="仿宋_GB2312" w:cs="仿宋_GB2312"/>
          <w:color w:val="000000"/>
          <w:sz w:val="32"/>
          <w:szCs w:val="32"/>
          <w:lang w:val="en-US" w:eastAsia="zh-CN"/>
        </w:rPr>
        <w:t>99</w:t>
      </w:r>
      <w:r>
        <w:rPr>
          <w:rFonts w:hint="eastAsia" w:ascii="仿宋_GB2312" w:hAnsi="仿宋_GB2312" w:eastAsia="仿宋_GB2312" w:cs="仿宋_GB2312"/>
          <w:color w:val="000000"/>
          <w:sz w:val="32"/>
          <w:szCs w:val="32"/>
        </w:rPr>
        <w:t>分，</w:t>
      </w:r>
      <w:r>
        <w:rPr>
          <w:rFonts w:hint="eastAsia" w:ascii="仿宋_GB2312" w:hAnsi="仿宋_GB2312" w:eastAsia="仿宋_GB2312" w:cs="仿宋_GB2312"/>
          <w:color w:val="000000"/>
          <w:sz w:val="32"/>
          <w:szCs w:val="32"/>
          <w:lang w:eastAsia="zh-CN"/>
        </w:rPr>
        <w:t>评价情况</w:t>
      </w:r>
      <w:r>
        <w:rPr>
          <w:rFonts w:hint="eastAsia" w:ascii="仿宋_GB2312" w:hAnsi="仿宋_GB2312" w:eastAsia="仿宋_GB2312" w:cs="仿宋_GB2312"/>
          <w:i w:val="0"/>
          <w:caps w:val="0"/>
          <w:color w:val="333333"/>
          <w:spacing w:val="0"/>
          <w:sz w:val="32"/>
          <w:szCs w:val="32"/>
          <w:shd w:val="clear" w:color="auto" w:fill="FFFFFF"/>
        </w:rPr>
        <w:t>总体绩效目标明确，决策依据充分，资金分配科学合理，部门总体情况良好，预算编制质量较好，预算信息公开符合要求；预算执行进度良好，财务制度健全，会计核算总体规范、准确；项目在实施过程中严格执行有关制度规定，基本达到了预期效果</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存在的问题：</w:t>
      </w:r>
      <w:r>
        <w:rPr>
          <w:rFonts w:hint="eastAsia" w:ascii="仿宋_GB2312" w:hAnsi="仿宋_GB2312" w:eastAsia="仿宋_GB2312" w:cs="仿宋_GB2312"/>
          <w:color w:val="000000"/>
          <w:sz w:val="32"/>
          <w:szCs w:val="32"/>
          <w:lang w:val="en-US" w:eastAsia="zh-CN"/>
        </w:rPr>
        <w:t>一是</w:t>
      </w:r>
      <w:r>
        <w:rPr>
          <w:rFonts w:hint="eastAsia" w:ascii="仿宋_GB2312" w:hAnsi="仿宋_GB2312" w:eastAsia="仿宋_GB2312" w:cs="仿宋_GB2312"/>
          <w:i w:val="0"/>
          <w:caps w:val="0"/>
          <w:color w:val="333333"/>
          <w:spacing w:val="0"/>
          <w:sz w:val="32"/>
          <w:szCs w:val="32"/>
          <w:shd w:val="clear" w:color="auto" w:fill="FFFFFF"/>
        </w:rPr>
        <w:t>部门特性目标待完善，</w:t>
      </w:r>
      <w:r>
        <w:rPr>
          <w:rFonts w:hint="eastAsia" w:ascii="仿宋_GB2312" w:hAnsi="仿宋_GB2312" w:eastAsia="仿宋_GB2312" w:cs="仿宋_GB2312"/>
          <w:i w:val="0"/>
          <w:caps w:val="0"/>
          <w:color w:val="333333"/>
          <w:spacing w:val="0"/>
          <w:sz w:val="32"/>
          <w:szCs w:val="32"/>
          <w:shd w:val="clear" w:color="auto" w:fill="FFFFFF"/>
          <w:lang w:val="en-US" w:eastAsia="zh-CN"/>
        </w:rPr>
        <w:t>二是</w:t>
      </w:r>
      <w:r>
        <w:rPr>
          <w:rFonts w:hint="eastAsia" w:ascii="仿宋_GB2312" w:hAnsi="仿宋_GB2312" w:eastAsia="仿宋_GB2312" w:cs="仿宋_GB2312"/>
          <w:i w:val="0"/>
          <w:caps w:val="0"/>
          <w:color w:val="333333"/>
          <w:spacing w:val="0"/>
          <w:sz w:val="32"/>
          <w:szCs w:val="32"/>
          <w:shd w:val="clear" w:color="auto" w:fill="FFFFFF"/>
        </w:rPr>
        <w:t>是机制待完善。下一步改进措施：一是加强学习进一步规范，二是完善各项目</w:t>
      </w:r>
      <w:r>
        <w:rPr>
          <w:rFonts w:hint="eastAsia" w:ascii="仿宋_GB2312" w:hAnsi="仿宋_GB2312" w:eastAsia="仿宋_GB2312" w:cs="仿宋_GB2312"/>
          <w:i w:val="0"/>
          <w:caps w:val="0"/>
          <w:color w:val="333333"/>
          <w:spacing w:val="0"/>
          <w:sz w:val="32"/>
          <w:szCs w:val="32"/>
          <w:shd w:val="clear" w:color="auto" w:fill="FFFFFF"/>
          <w:lang w:val="en-US" w:eastAsia="zh-CN"/>
        </w:rPr>
        <w:t>机制</w:t>
      </w:r>
      <w:r>
        <w:rPr>
          <w:rFonts w:hint="eastAsia" w:ascii="仿宋_GB2312" w:hAnsi="仿宋_GB2312" w:eastAsia="仿宋_GB2312" w:cs="仿宋_GB2312"/>
          <w:color w:val="000000"/>
          <w:sz w:val="32"/>
          <w:szCs w:val="32"/>
        </w:rPr>
        <w:t>。</w:t>
      </w:r>
    </w:p>
    <w:p>
      <w:pPr>
        <w:numPr>
          <w:ilvl w:val="0"/>
          <w:numId w:val="7"/>
        </w:numPr>
        <w:spacing w:line="580" w:lineRule="exact"/>
        <w:ind w:firstLine="643" w:firstLineChars="200"/>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本部门在2018年度部门决算中反映“</w:t>
      </w:r>
      <w:r>
        <w:rPr>
          <w:rFonts w:hint="eastAsia" w:ascii="仿宋_GB2312" w:hAnsi="仿宋_GB2312" w:eastAsia="仿宋_GB2312" w:cs="仿宋_GB2312"/>
          <w:sz w:val="32"/>
          <w:szCs w:val="32"/>
          <w:lang w:val="en-US" w:eastAsia="zh-CN"/>
        </w:rPr>
        <w:t>220403-储备粮（油）库建设</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个项目绩效目标实际完成情况。</w:t>
      </w:r>
    </w:p>
    <w:p>
      <w:pPr>
        <w:numPr>
          <w:ilvl w:val="0"/>
          <w:numId w:val="8"/>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220403-储备粮（油）库建设</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88</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59.51</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67</w:t>
      </w:r>
      <w:r>
        <w:rPr>
          <w:rFonts w:hint="eastAsia" w:ascii="仿宋_GB2312" w:hAnsi="仿宋_GB2312" w:eastAsia="仿宋_GB2312" w:cs="仿宋_GB2312"/>
          <w:sz w:val="32"/>
          <w:szCs w:val="32"/>
        </w:rPr>
        <w:t>%。通过项目实施，保障</w:t>
      </w:r>
      <w:r>
        <w:rPr>
          <w:rFonts w:hint="eastAsia" w:ascii="仿宋_GB2312" w:hAnsi="仿宋_GB2312" w:eastAsia="仿宋_GB2312" w:cs="仿宋_GB2312"/>
          <w:sz w:val="32"/>
          <w:szCs w:val="32"/>
          <w:lang w:val="en-US" w:eastAsia="zh-CN"/>
        </w:rPr>
        <w:t>了日常工作的开展。</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val="en-US" w:eastAsia="zh-CN"/>
        </w:rPr>
        <w:t>无</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val="en-US" w:eastAsia="zh-CN"/>
        </w:rPr>
        <w:t>无。</w:t>
      </w:r>
    </w:p>
    <w:p>
      <w:pPr>
        <w:numPr>
          <w:ilvl w:val="0"/>
          <w:numId w:val="0"/>
        </w:numPr>
        <w:spacing w:line="580" w:lineRule="exact"/>
        <w:rPr>
          <w:rFonts w:ascii="仿宋_GB2312" w:hAnsi="仿宋_GB2312" w:eastAsia="仿宋_GB2312" w:cs="仿宋_GB2312"/>
          <w:sz w:val="32"/>
          <w:szCs w:val="32"/>
        </w:rPr>
      </w:pPr>
    </w:p>
    <w:p>
      <w:pPr>
        <w:tabs>
          <w:tab w:val="left" w:pos="312"/>
        </w:tabs>
        <w:spacing w:line="580" w:lineRule="exact"/>
        <w:rPr>
          <w:rFonts w:ascii="仿宋_GB2312" w:hAnsi="仿宋_GB2312" w:eastAsia="仿宋_GB2312" w:cs="仿宋_GB2312"/>
          <w:sz w:val="32"/>
          <w:szCs w:val="32"/>
        </w:rPr>
      </w:pPr>
    </w:p>
    <w:tbl>
      <w:tblPr>
        <w:tblStyle w:val="16"/>
        <w:tblW w:w="9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9522" w:type="dxa"/>
            <w:gridSpan w:val="8"/>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项目支出绩效目标完成情况表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2017年粮库智能化升级建设项目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eastAsia="zh-CN"/>
              </w:rPr>
            </w:pPr>
            <w:r>
              <w:rPr>
                <w:rFonts w:hint="eastAsia" w:ascii="宋体" w:hAnsi="宋体" w:cs="宋体"/>
                <w:b/>
                <w:i w:val="0"/>
                <w:color w:val="000000"/>
                <w:sz w:val="24"/>
                <w:szCs w:val="24"/>
                <w:u w:val="none"/>
                <w:lang w:eastAsia="zh-CN"/>
              </w:rPr>
              <w:t>红原县粮食局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88</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59.51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88</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59.51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100%</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按实际分配结果选择客观因素测算验证资金分配方法制定、分配要素设定、基础数据应用、测算依据选取等是否科学合理（2分）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82" w:firstLineChars="200"/>
              <w:jc w:val="left"/>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 xml:space="preserve">      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bl>
    <w:p>
      <w:pPr>
        <w:rPr>
          <w:rFonts w:ascii="Calibri" w:hAnsi="Calibri"/>
        </w:rPr>
      </w:pPr>
    </w:p>
    <w:p>
      <w:pPr>
        <w:spacing w:line="580" w:lineRule="exact"/>
        <w:rPr>
          <w:rFonts w:ascii="仿宋_GB2312" w:hAnsi="仿宋_GB2312" w:eastAsia="仿宋_GB2312" w:cs="仿宋_GB2312"/>
          <w:sz w:val="32"/>
          <w:szCs w:val="32"/>
        </w:rPr>
      </w:pPr>
    </w:p>
    <w:p>
      <w:pPr>
        <w:numPr>
          <w:ilvl w:val="0"/>
          <w:numId w:val="7"/>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本部门按要求对2018年部门整体支出绩效评价情况开展自评，《</w:t>
      </w:r>
      <w:r>
        <w:rPr>
          <w:rFonts w:hint="eastAsia" w:ascii="仿宋_GB2312" w:hAnsi="仿宋_GB2312" w:eastAsia="仿宋_GB2312" w:cs="仿宋_GB2312"/>
          <w:sz w:val="32"/>
          <w:szCs w:val="32"/>
          <w:lang w:val="en-US" w:eastAsia="zh-CN"/>
        </w:rPr>
        <w:t>红原县粮食</w:t>
      </w:r>
      <w:r>
        <w:rPr>
          <w:rFonts w:hint="eastAsia" w:ascii="仿宋_GB2312" w:hAnsi="仿宋_GB2312" w:eastAsia="仿宋_GB2312" w:cs="仿宋_GB2312"/>
          <w:sz w:val="32"/>
          <w:szCs w:val="32"/>
        </w:rPr>
        <w:t>部门2018年部门整体支出绩效评价报告》见附件。</w:t>
      </w:r>
    </w:p>
    <w:p>
      <w:pPr>
        <w:spacing w:line="580" w:lineRule="exact"/>
        <w:ind w:firstLine="640" w:firstLineChars="200"/>
        <w:rPr>
          <w:rFonts w:ascii="方正小标宋简体" w:hAnsi="方正小标宋简体" w:eastAsia="方正小标宋简体" w:cs="方正小标宋简体"/>
          <w:sz w:val="44"/>
          <w:szCs w:val="44"/>
        </w:rPr>
      </w:pPr>
      <w:r>
        <w:rPr>
          <w:rFonts w:hint="eastAsia" w:ascii="仿宋_GB2312" w:hAnsi="仿宋_GB2312" w:eastAsia="仿宋_GB2312" w:cs="仿宋_GB2312"/>
          <w:sz w:val="32"/>
          <w:szCs w:val="32"/>
        </w:rPr>
        <w:t>本部门</w:t>
      </w:r>
      <w:r>
        <w:rPr>
          <w:rFonts w:hint="eastAsia" w:ascii="仿宋_GB2312" w:hAnsi="仿宋_GB2312" w:eastAsia="仿宋_GB2312" w:cs="仿宋_GB2312"/>
          <w:sz w:val="32"/>
          <w:szCs w:val="32"/>
          <w:lang w:val="en-US" w:eastAsia="zh-CN"/>
        </w:rPr>
        <w:t>没有开展项目</w:t>
      </w:r>
      <w:r>
        <w:rPr>
          <w:rFonts w:hint="eastAsia" w:ascii="仿宋_GB2312" w:hAnsi="仿宋_GB2312" w:eastAsia="仿宋_GB2312" w:cs="仿宋_GB2312"/>
          <w:sz w:val="32"/>
          <w:szCs w:val="32"/>
        </w:rPr>
        <w:t>绩效评价</w:t>
      </w:r>
      <w:r>
        <w:rPr>
          <w:rFonts w:hint="eastAsia" w:ascii="仿宋_GB2312" w:hAnsi="仿宋_GB2312" w:eastAsia="仿宋_GB2312" w:cs="仿宋_GB2312"/>
          <w:sz w:val="32"/>
          <w:szCs w:val="32"/>
          <w:lang w:val="en-US" w:eastAsia="zh-CN"/>
        </w:rPr>
        <w:t>.</w:t>
      </w:r>
    </w:p>
    <w:p>
      <w:pPr>
        <w:spacing w:line="600" w:lineRule="exact"/>
        <w:ind w:firstLine="800" w:firstLineChars="250"/>
        <w:outlineLvl w:val="1"/>
        <w:rPr>
          <w:rStyle w:val="26"/>
          <w:rFonts w:ascii="黑体" w:hAnsi="黑体" w:eastAsia="黑体"/>
        </w:rPr>
      </w:pPr>
      <w:bookmarkStart w:id="50" w:name="_Toc15377221"/>
      <w:bookmarkStart w:id="51" w:name="_Toc15396612"/>
      <w:r>
        <w:rPr>
          <w:rFonts w:hint="eastAsia" w:ascii="黑体" w:hAnsi="黑体" w:eastAsia="黑体"/>
          <w:color w:val="000000"/>
          <w:sz w:val="32"/>
          <w:szCs w:val="32"/>
        </w:rPr>
        <w:t>十</w:t>
      </w:r>
      <w:r>
        <w:rPr>
          <w:rStyle w:val="26"/>
          <w:rFonts w:hint="eastAsia" w:ascii="黑体" w:hAnsi="黑体" w:eastAsia="黑体"/>
        </w:rPr>
        <w:t>一、</w:t>
      </w:r>
      <w:r>
        <w:rPr>
          <w:rStyle w:val="26"/>
          <w:rFonts w:hint="eastAsia" w:ascii="黑体" w:hAnsi="黑体" w:eastAsia="黑体"/>
          <w:b w:val="0"/>
        </w:rPr>
        <w:t>其他重要事项的情况说明</w:t>
      </w:r>
      <w:bookmarkEnd w:id="50"/>
      <w:bookmarkEnd w:id="51"/>
    </w:p>
    <w:p>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600" w:lineRule="exact"/>
        <w:ind w:firstLine="640" w:firstLineChars="200"/>
        <w:rPr>
          <w:rFonts w:hint="eastAsia" w:ascii="仿宋_GB2312" w:eastAsia="仿宋_GB2312"/>
          <w:color w:val="000000" w:themeColor="text1"/>
          <w:sz w:val="32"/>
          <w:szCs w:val="32"/>
          <w:lang w:eastAsia="zh-CN"/>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我单位</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4.95</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7年增加</w:t>
      </w:r>
      <w:r>
        <w:rPr>
          <w:rFonts w:hint="eastAsia" w:ascii="仿宋_GB2312" w:eastAsia="仿宋_GB2312"/>
          <w:color w:val="000000"/>
          <w:sz w:val="32"/>
          <w:szCs w:val="32"/>
          <w:lang w:val="en-US" w:eastAsia="zh-CN"/>
        </w:rPr>
        <w:t>0.26</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5</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eastAsia="zh-CN"/>
          <w14:textFill>
            <w14:solidFill>
              <w14:schemeClr w14:val="tx1"/>
            </w14:solidFill>
          </w14:textFill>
        </w:rPr>
        <w:t>人员增加。</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我单位</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hint="eastAsia" w:ascii="仿宋_GB2312" w:eastAsia="仿宋_GB2312"/>
          <w:color w:val="000000"/>
          <w:sz w:val="32"/>
          <w:szCs w:val="32"/>
          <w:lang w:val="en-US" w:eastAsia="zh-CN"/>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我单位</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w:t>
      </w:r>
      <w:r>
        <w:rPr>
          <w:rFonts w:hint="eastAsia" w:ascii="仿宋_GB2312" w:eastAsia="仿宋_GB2312"/>
          <w:color w:val="000000"/>
          <w:sz w:val="32"/>
          <w:szCs w:val="32"/>
          <w:lang w:eastAsia="zh-CN"/>
        </w:rPr>
        <w:t>皮卡车</w:t>
      </w:r>
      <w:r>
        <w:rPr>
          <w:rFonts w:hint="eastAsia" w:ascii="仿宋_GB2312" w:eastAsia="仿宋_GB2312"/>
          <w:color w:val="000000"/>
          <w:sz w:val="32"/>
          <w:szCs w:val="32"/>
          <w:lang w:val="en-US" w:eastAsia="zh-CN"/>
        </w:rPr>
        <w:t>1辆。价值12.5万元，房屋及建筑物170.6万元，其他流动资产6.42万元。</w:t>
      </w:r>
    </w:p>
    <w:p>
      <w:pPr>
        <w:spacing w:line="600" w:lineRule="atLeast"/>
        <w:ind w:firstLine="643" w:firstLineChars="200"/>
        <w:rPr>
          <w:rFonts w:ascii="仿宋_GB2312" w:eastAsia="仿宋_GB2312"/>
          <w:b/>
          <w:color w:val="000000"/>
          <w:sz w:val="32"/>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9"/>
        </w:numPr>
        <w:spacing w:line="600" w:lineRule="exact"/>
        <w:ind w:firstLine="663" w:firstLineChars="150"/>
        <w:jc w:val="center"/>
        <w:outlineLvl w:val="0"/>
        <w:rPr>
          <w:rStyle w:val="25"/>
          <w:rFonts w:ascii="黑体" w:hAnsi="黑体" w:eastAsia="黑体"/>
          <w:b w:val="0"/>
        </w:rPr>
      </w:pPr>
      <w:bookmarkStart w:id="55" w:name="_Toc15377225"/>
      <w:bookmarkStart w:id="56" w:name="_Toc15396613"/>
      <w:r>
        <w:rPr>
          <w:rFonts w:hint="eastAsia" w:ascii="黑体" w:hAnsi="黑体" w:eastAsia="黑体"/>
          <w:b/>
          <w:color w:val="000000"/>
          <w:sz w:val="44"/>
          <w:szCs w:val="44"/>
        </w:rPr>
        <w:t>名</w:t>
      </w:r>
      <w:r>
        <w:rPr>
          <w:rStyle w:val="25"/>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3"/>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eastAsia="zh-CN"/>
        </w:rPr>
        <w:t>利息收入</w:t>
      </w:r>
      <w:r>
        <w:rPr>
          <w:rFonts w:hint="eastAsia" w:ascii="仿宋_GB2312" w:eastAsia="仿宋_GB2312"/>
          <w:sz w:val="32"/>
          <w:szCs w:val="32"/>
        </w:rPr>
        <w:t>等。</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spacing w:line="560" w:lineRule="exact"/>
        <w:ind w:firstLine="640" w:firstLineChars="200"/>
        <w:rPr>
          <w:rFonts w:hint="default" w:ascii="仿宋_GB2312" w:eastAsia="仿宋_GB2312"/>
          <w:sz w:val="32"/>
          <w:szCs w:val="32"/>
          <w:lang w:val="en-US" w:eastAsia="zh-CN"/>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hint="eastAsia" w:ascii="仿宋_GB2312" w:hAnsi="仿宋_GB2312" w:eastAsia="仿宋_GB2312" w:cs="仿宋_GB2312"/>
          <w:color w:val="000000"/>
          <w:kern w:val="2"/>
          <w:sz w:val="32"/>
          <w:szCs w:val="32"/>
          <w:lang w:val="en-US" w:eastAsia="zh-CN" w:bidi="ar-SA"/>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olor w:val="000000"/>
          <w:sz w:val="32"/>
          <w:szCs w:val="32"/>
        </w:rPr>
        <w:t>一般公共服务</w:t>
      </w:r>
      <w:r>
        <w:rPr>
          <w:rFonts w:hint="eastAsia" w:ascii="仿宋_GB2312" w:hAnsi="仿宋_GB2312" w:eastAsia="仿宋_GB2312" w:cs="仿宋_GB2312"/>
          <w:color w:val="000000"/>
          <w:kern w:val="2"/>
          <w:sz w:val="32"/>
          <w:szCs w:val="32"/>
          <w:lang w:val="en-US" w:eastAsia="zh-CN" w:bidi="ar-SA"/>
        </w:rPr>
        <w:t>2012901-行政运行支出该支出主要用于支付职工工资、退休费以及公务运行费.</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8" w:lineRule="atLeast"/>
        <w:ind w:left="0" w:right="0"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olor w:val="000000"/>
          <w:sz w:val="32"/>
          <w:szCs w:val="32"/>
        </w:rPr>
        <w:t>社会保障和就业</w:t>
      </w:r>
      <w:r>
        <w:rPr>
          <w:rFonts w:hint="eastAsia" w:ascii="仿宋_GB2312" w:hAnsi="仿宋_GB2312" w:eastAsia="仿宋_GB2312" w:cs="仿宋_GB2312"/>
          <w:color w:val="000000"/>
          <w:kern w:val="2"/>
          <w:sz w:val="32"/>
          <w:szCs w:val="32"/>
          <w:lang w:val="en-US" w:eastAsia="zh-CN" w:bidi="ar-SA"/>
        </w:rPr>
        <w:t>2080505-机关事业单位基本养老保险缴费该支出主要用于支付职工养老保险金；2080506-机关事业单位职业年金缴费，该支出主要用于支付职工职业年金</w:t>
      </w:r>
      <w:r>
        <w:rPr>
          <w:rFonts w:hint="eastAsia" w:ascii="仿宋_GB2312" w:eastAsia="仿宋_GB2312"/>
          <w:color w:val="000000"/>
          <w:sz w:val="32"/>
          <w:szCs w:val="32"/>
        </w:rPr>
        <w:t>：</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8" w:lineRule="atLeast"/>
        <w:ind w:left="0" w:right="0"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olor w:val="000000"/>
          <w:sz w:val="32"/>
          <w:szCs w:val="32"/>
        </w:rPr>
        <w:t>医疗卫生与计划生育</w:t>
      </w:r>
      <w:r>
        <w:rPr>
          <w:rFonts w:hint="eastAsia" w:ascii="仿宋_GB2312" w:hAnsi="仿宋_GB2312" w:eastAsia="仿宋_GB2312" w:cs="仿宋_GB2312"/>
          <w:color w:val="000000"/>
          <w:kern w:val="2"/>
          <w:sz w:val="32"/>
          <w:szCs w:val="32"/>
          <w:lang w:val="en-US" w:eastAsia="zh-CN" w:bidi="ar-SA"/>
        </w:rPr>
        <w:t>2100409-重大公共卫生专项支出，该支出主要用于支付“两癌”患者医疗救助金；2101101-行政单位医疗支出，该支出主要用于支付职工医疗保险金。</w:t>
      </w:r>
    </w:p>
    <w:p>
      <w:pPr>
        <w:ind w:firstLine="640" w:firstLineChars="200"/>
        <w:rPr>
          <w:rFonts w:hint="eastAsia" w:ascii="仿宋_GB2312" w:hAnsi="仿宋_GB2312" w:eastAsia="仿宋_GB2312" w:cs="仿宋_GB2312"/>
          <w:color w:val="000000"/>
          <w:kern w:val="2"/>
          <w:sz w:val="32"/>
          <w:szCs w:val="32"/>
          <w:lang w:val="en-US" w:eastAsia="zh-CN" w:bidi="ar-SA"/>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olor w:val="000000"/>
          <w:sz w:val="32"/>
          <w:szCs w:val="32"/>
        </w:rPr>
        <w:t>住房保障</w:t>
      </w:r>
      <w:r>
        <w:rPr>
          <w:rFonts w:hint="eastAsia" w:ascii="仿宋_GB2312" w:hAnsi="仿宋_GB2312" w:eastAsia="仿宋_GB2312" w:cs="仿宋_GB2312"/>
          <w:color w:val="000000"/>
          <w:kern w:val="2"/>
          <w:sz w:val="32"/>
          <w:szCs w:val="32"/>
          <w:lang w:val="en-US" w:eastAsia="zh-CN" w:bidi="ar-SA"/>
        </w:rPr>
        <w:t>2210201-住房公积金支出，该支出主要用于支付职工住房公积金。</w:t>
      </w:r>
    </w:p>
    <w:p>
      <w:pPr>
        <w:ind w:firstLine="640" w:firstLineChars="200"/>
        <w:rPr>
          <w:rFonts w:ascii="仿宋" w:hAnsi="仿宋" w:eastAsia="仿宋"/>
          <w:b/>
          <w:color w:val="000000"/>
          <w:sz w:val="32"/>
          <w:szCs w:val="32"/>
        </w:rPr>
      </w:pPr>
      <w:r>
        <w:rPr>
          <w:rFonts w:hint="eastAsia" w:ascii="仿宋_GB2312" w:hAnsi="仿宋_GB2312" w:eastAsia="仿宋_GB2312" w:cs="仿宋_GB2312"/>
          <w:color w:val="000000"/>
          <w:kern w:val="2"/>
          <w:sz w:val="32"/>
          <w:szCs w:val="32"/>
          <w:lang w:val="en-US" w:eastAsia="zh-CN" w:bidi="ar-SA"/>
        </w:rPr>
        <w:t>13.其他支出2299901-其他支出，该支出主要用于购置办公设备。</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17</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18</w:t>
      </w:r>
      <w:bookmarkStart w:id="74" w:name="_GoBack"/>
      <w:bookmarkEnd w:id="74"/>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3"/>
        <w:spacing w:line="560" w:lineRule="exact"/>
        <w:ind w:firstLine="640" w:firstLineChars="200"/>
        <w:rPr>
          <w:rFonts w:ascii="仿宋_GB2312" w:eastAsia="仿宋_GB2312" w:cs="黑体"/>
          <w:sz w:val="32"/>
          <w:szCs w:val="32"/>
        </w:rPr>
      </w:pPr>
    </w:p>
    <w:p>
      <w:pPr>
        <w:spacing w:line="600" w:lineRule="exact"/>
        <w:jc w:val="center"/>
        <w:outlineLvl w:val="0"/>
        <w:rPr>
          <w:rStyle w:val="25"/>
          <w:rFonts w:ascii="黑体" w:hAnsi="黑体" w:eastAsia="黑体"/>
          <w:b w:val="0"/>
        </w:rPr>
      </w:pPr>
      <w:bookmarkStart w:id="57" w:name="_Toc15396614"/>
      <w:bookmarkStart w:id="58" w:name="_Toc15377226"/>
      <w:r>
        <w:rPr>
          <w:rFonts w:hint="eastAsia" w:ascii="黑体" w:hAnsi="黑体" w:eastAsia="黑体"/>
          <w:color w:val="000000"/>
          <w:sz w:val="44"/>
          <w:szCs w:val="44"/>
        </w:rPr>
        <w:t>第</w:t>
      </w:r>
      <w:r>
        <w:rPr>
          <w:rStyle w:val="25"/>
          <w:rFonts w:hint="eastAsia" w:ascii="黑体" w:hAnsi="黑体" w:eastAsia="黑体"/>
          <w:b w:val="0"/>
        </w:rPr>
        <w:t>四部分 附件</w:t>
      </w:r>
      <w:bookmarkEnd w:id="57"/>
    </w:p>
    <w:p>
      <w:pPr>
        <w:spacing w:line="600" w:lineRule="exact"/>
        <w:jc w:val="center"/>
        <w:outlineLvl w:val="0"/>
        <w:rPr>
          <w:rStyle w:val="25"/>
        </w:rPr>
      </w:pPr>
    </w:p>
    <w:p>
      <w:pPr>
        <w:pStyle w:val="3"/>
        <w:rPr>
          <w:rStyle w:val="25"/>
          <w:rFonts w:ascii="仿宋" w:hAnsi="仿宋" w:eastAsia="仿宋"/>
          <w:b w:val="0"/>
          <w:bCs w:val="0"/>
          <w:sz w:val="32"/>
          <w:szCs w:val="32"/>
        </w:rPr>
      </w:pPr>
      <w:bookmarkStart w:id="59" w:name="_Toc15396615"/>
      <w:r>
        <w:rPr>
          <w:rStyle w:val="25"/>
          <w:rFonts w:hint="eastAsia" w:ascii="仿宋" w:hAnsi="仿宋" w:eastAsia="仿宋"/>
          <w:b w:val="0"/>
          <w:bCs w:val="0"/>
          <w:sz w:val="32"/>
          <w:szCs w:val="32"/>
        </w:rPr>
        <w:t>附件1</w:t>
      </w:r>
      <w:bookmarkEnd w:id="59"/>
    </w:p>
    <w:p>
      <w:pPr>
        <w:keepNext w:val="0"/>
        <w:keepLines w:val="0"/>
        <w:widowControl/>
        <w:suppressLineNumbers w:val="0"/>
        <w:spacing w:before="0" w:beforeAutospacing="0" w:after="0" w:afterAutospacing="0" w:line="480" w:lineRule="exact"/>
        <w:ind w:left="0" w:right="0"/>
        <w:jc w:val="center"/>
        <w:rPr>
          <w:rFonts w:hint="eastAsia" w:ascii="方正小标宋简体" w:hAnsi="宋体" w:eastAsia="方正小标宋简体" w:cs="方正小标宋简体"/>
          <w:sz w:val="44"/>
          <w:szCs w:val="44"/>
          <w:lang w:val="en-US"/>
        </w:rPr>
      </w:pPr>
      <w:bookmarkStart w:id="60" w:name="_Toc15396617"/>
      <w:r>
        <w:rPr>
          <w:rFonts w:hint="eastAsia" w:ascii="方正小标宋简体" w:hAnsi="宋体" w:eastAsia="方正小标宋简体" w:cs="方正小标宋简体"/>
          <w:kern w:val="2"/>
          <w:sz w:val="44"/>
          <w:szCs w:val="44"/>
          <w:lang w:val="en-US" w:eastAsia="zh-CN" w:bidi="ar"/>
        </w:rPr>
        <w:t>部门整体支出绩效报告范本</w:t>
      </w:r>
    </w:p>
    <w:p>
      <w:pPr>
        <w:keepNext w:val="0"/>
        <w:keepLines w:val="0"/>
        <w:widowControl/>
        <w:suppressLineNumbers w:val="0"/>
        <w:spacing w:before="0" w:beforeAutospacing="0" w:after="0" w:afterAutospacing="0" w:line="480" w:lineRule="exact"/>
        <w:ind w:left="0" w:right="0"/>
        <w:jc w:val="center"/>
        <w:rPr>
          <w:rFonts w:hint="eastAsia" w:ascii="黑体" w:hAnsi="宋体" w:eastAsia="黑体" w:cs="宋体"/>
          <w:color w:val="000000"/>
          <w:kern w:val="0"/>
          <w:lang w:val="en-US"/>
        </w:rPr>
      </w:pPr>
      <w:r>
        <w:rPr>
          <w:rFonts w:hint="eastAsia" w:ascii="仿宋_GB2312" w:hAnsi="宋体" w:eastAsia="仿宋_GB2312" w:cs="仿宋_GB2312"/>
          <w:kern w:val="2"/>
          <w:sz w:val="32"/>
          <w:szCs w:val="24"/>
          <w:lang w:val="en-US" w:eastAsia="zh-CN" w:bidi="ar"/>
        </w:rPr>
        <w:t>（报告范围包括机关和下属单位）</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zh-CN" w:eastAsia="zh-CN"/>
        </w:rPr>
      </w:pPr>
      <w:r>
        <w:rPr>
          <w:rFonts w:hint="eastAsia" w:ascii="黑体" w:hAnsi="宋体" w:eastAsia="黑体" w:cs="宋体"/>
          <w:color w:val="000000"/>
          <w:kern w:val="0"/>
          <w:sz w:val="32"/>
          <w:szCs w:val="24"/>
          <w:lang w:val="en-US" w:eastAsia="zh-CN" w:bidi="ar"/>
        </w:rPr>
        <w:t>一、</w:t>
      </w:r>
      <w:r>
        <w:rPr>
          <w:rFonts w:hint="eastAsia" w:ascii="黑体" w:hAnsi="宋体" w:eastAsia="黑体" w:cs="宋体"/>
          <w:color w:val="000000"/>
          <w:kern w:val="0"/>
          <w:sz w:val="32"/>
          <w:szCs w:val="24"/>
          <w:lang w:val="zh-CN" w:eastAsia="zh-CN" w:bidi="ar"/>
        </w:rPr>
        <w:t>部门（单位）概况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（一）机构组成。</w:t>
      </w:r>
    </w:p>
    <w:p>
      <w:pPr>
        <w:widowControl/>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仿宋_GB2312" w:eastAsia="仿宋_GB2312" w:cs="仿宋_GB2312"/>
          <w:bCs/>
          <w:sz w:val="32"/>
          <w:szCs w:val="32"/>
        </w:rPr>
        <w:t>我</w:t>
      </w:r>
      <w:r>
        <w:rPr>
          <w:rFonts w:hint="eastAsia" w:ascii="仿宋_GB2312" w:hAnsi="仿宋_GB2312" w:eastAsia="仿宋_GB2312" w:cs="仿宋_GB2312"/>
          <w:bCs/>
          <w:sz w:val="32"/>
          <w:szCs w:val="32"/>
          <w:lang w:val="en-US" w:eastAsia="zh-CN"/>
        </w:rPr>
        <w:t>单位</w:t>
      </w:r>
      <w:r>
        <w:rPr>
          <w:rFonts w:hint="eastAsia" w:ascii="仿宋_GB2312" w:hAnsi="仿宋_GB2312" w:eastAsia="仿宋_GB2312" w:cs="仿宋_GB2312"/>
          <w:bCs/>
          <w:sz w:val="32"/>
          <w:szCs w:val="32"/>
        </w:rPr>
        <w:t>为独立核算全额拨款</w:t>
      </w:r>
      <w:r>
        <w:rPr>
          <w:rFonts w:hint="eastAsia" w:ascii="仿宋_GB2312" w:hAnsi="仿宋_GB2312" w:eastAsia="仿宋_GB2312" w:cs="仿宋_GB2312"/>
          <w:bCs/>
          <w:sz w:val="32"/>
          <w:szCs w:val="32"/>
          <w:lang w:eastAsia="zh-CN"/>
        </w:rPr>
        <w:t>行政</w:t>
      </w:r>
      <w:r>
        <w:rPr>
          <w:rFonts w:hint="eastAsia" w:ascii="仿宋_GB2312" w:hAnsi="仿宋_GB2312" w:eastAsia="仿宋_GB2312" w:cs="仿宋_GB2312"/>
          <w:bCs/>
          <w:sz w:val="32"/>
          <w:szCs w:val="32"/>
        </w:rPr>
        <w:t>单位</w:t>
      </w:r>
    </w:p>
    <w:p>
      <w:pPr>
        <w:keepNext w:val="0"/>
        <w:keepLines w:val="0"/>
        <w:widowControl/>
        <w:numPr>
          <w:ilvl w:val="0"/>
          <w:numId w:val="10"/>
        </w:numPr>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机构职能。</w:t>
      </w:r>
    </w:p>
    <w:p>
      <w:pPr>
        <w:spacing w:line="600" w:lineRule="exact"/>
        <w:ind w:firstLine="640" w:firstLineChars="200"/>
        <w:rPr>
          <w:rFonts w:hint="default" w:ascii="仿宋" w:hAnsi="仿宋" w:eastAsia="仿宋" w:cs="仿宋"/>
          <w:sz w:val="32"/>
          <w:szCs w:val="32"/>
        </w:rPr>
      </w:pPr>
      <w:r>
        <w:rPr>
          <w:rFonts w:hint="eastAsia" w:ascii="仿宋" w:hAnsi="仿宋" w:eastAsia="仿宋" w:cs="仿宋"/>
          <w:sz w:val="32"/>
          <w:szCs w:val="32"/>
        </w:rPr>
        <w:t>1）贯彻执行国家粮食流通和储备粮管理的方针、政策和法律、法规，拟定全县粮食流通和县储备管理的有关法规草案、规章制度和有关政策，组织执行；拟定全县粮食流通体制改革方案，并组织实施。</w:t>
      </w:r>
    </w:p>
    <w:p>
      <w:pPr>
        <w:spacing w:line="600" w:lineRule="exact"/>
        <w:ind w:firstLine="630"/>
        <w:rPr>
          <w:rFonts w:hint="default" w:ascii="仿宋" w:hAnsi="仿宋" w:eastAsia="仿宋" w:cs="仿宋"/>
          <w:sz w:val="32"/>
          <w:szCs w:val="32"/>
        </w:rPr>
      </w:pPr>
      <w:r>
        <w:rPr>
          <w:rFonts w:hint="eastAsia" w:ascii="仿宋" w:hAnsi="仿宋" w:eastAsia="仿宋" w:cs="仿宋"/>
          <w:sz w:val="32"/>
          <w:szCs w:val="32"/>
        </w:rPr>
        <w:t>（2）研究提出全县粮食宏观调控、总量平衡以及粮食流通的中长期规划；研究提出收储、动用县级储备粮的建议，并组织实施；研究制定粮食流通产业政策和优化产来结构、合理安排布局的措施；配合有关部门抓好商品粮油品种结构调整。</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3）负责县级储备粮管理，指导全县粮食储备体系建设；制定县储备粮管理的技术规范并监督执行；监督检查县储备粮库存数量、质量和安全；研究提出县级储备的收购、转换、抛售计划，并组织实施；受理在县省级和州级储备粮油的管理工作。</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（4）负责国家粮食收购任务的落实；提出全县粮食收购价格、保护价和销售限价的实施方案，并监督执行。</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（5）管理社会粮食流通，保障军队（含武警）、灾区、缺粮贫困地区和国家重点建设项目的粮食调拨和供应。</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（6）指导和协调全县粮食流通基础设施，编制全县粮油仓储、加工设施建设计划组织实施；负责全县粮油仓储、加工设施的报废、占用、拆迁的审核上报工作。</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7）指导全县粮食流能市场的行业管理、县级粮油批民市场体系建设、国有粮食企业的改革；指导并推动行业的技术改造、新技术推广运用、安全生产工作；承担行业统计工作；会同有关部门加强粮食市场监督管理。</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（8）监督、检查全县粮食财务管理工作。指导直属企业管理好国有资产。组织、实施粮食财务、会计制度，编报全县财务报表，组织编制年度决算。</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（9）负责对外经济技术合作与交流。</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（10）协同质量技术监督部门做好粮食质量标准的管理工作；制定粮食储存、运输和技术规范，并监督执行。</w:t>
      </w:r>
    </w:p>
    <w:p>
      <w:pPr>
        <w:spacing w:line="600" w:lineRule="exact"/>
        <w:rPr>
          <w:rFonts w:hint="eastAsia" w:ascii="仿宋_GB2312" w:hAnsi="宋体" w:eastAsia="仿宋_GB2312" w:cs="宋体"/>
          <w:color w:val="000000"/>
          <w:kern w:val="0"/>
          <w:sz w:val="32"/>
          <w:szCs w:val="24"/>
          <w:lang w:val="zh-CN" w:eastAsia="zh-CN" w:bidi="ar"/>
        </w:rPr>
      </w:pPr>
      <w:r>
        <w:rPr>
          <w:rFonts w:hint="eastAsia" w:ascii="仿宋" w:hAnsi="仿宋" w:eastAsia="仿宋" w:cs="仿宋"/>
          <w:sz w:val="32"/>
          <w:szCs w:val="32"/>
        </w:rPr>
        <w:t xml:space="preserve">    （11）承办县政府交办的其它事项。</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（三）人员概况。</w:t>
      </w:r>
    </w:p>
    <w:p>
      <w:pPr>
        <w:pStyle w:val="3"/>
        <w:numPr>
          <w:ilvl w:val="0"/>
          <w:numId w:val="0"/>
        </w:numPr>
        <w:ind w:firstLine="640" w:firstLineChars="200"/>
        <w:rPr>
          <w:rFonts w:hint="default" w:ascii="仿宋" w:hAnsi="仿宋" w:eastAsia="仿宋" w:cs="仿宋_GB2312"/>
          <w:b w:val="0"/>
          <w:bCs w:val="0"/>
          <w:sz w:val="32"/>
          <w:szCs w:val="32"/>
        </w:rPr>
      </w:pPr>
      <w:r>
        <w:rPr>
          <w:rFonts w:hint="eastAsia" w:ascii="仿宋" w:hAnsi="仿宋" w:eastAsia="仿宋" w:cs="仿宋_GB2312"/>
          <w:b w:val="0"/>
          <w:bCs w:val="0"/>
          <w:sz w:val="32"/>
          <w:szCs w:val="32"/>
        </w:rPr>
        <w:t>截止2018年底我单位共有编制8个，其中参公8人。实有人数8人，离休1人。</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p>
    <w:p>
      <w:pPr>
        <w:keepNext w:val="0"/>
        <w:keepLines w:val="0"/>
        <w:widowControl/>
        <w:numPr>
          <w:ilvl w:val="0"/>
          <w:numId w:val="3"/>
        </w:numPr>
        <w:suppressLineNumbers w:val="0"/>
        <w:adjustRightInd w:val="0"/>
        <w:snapToGrid w:val="0"/>
        <w:spacing w:before="0" w:beforeAutospacing="0" w:after="0" w:afterAutospacing="0" w:line="480" w:lineRule="exact"/>
        <w:ind w:left="0" w:leftChars="0" w:right="0" w:firstLine="0" w:firstLineChars="0"/>
        <w:jc w:val="left"/>
        <w:rPr>
          <w:rFonts w:hint="eastAsia" w:ascii="黑体" w:hAnsi="宋体" w:eastAsia="黑体" w:cs="宋体"/>
          <w:color w:val="000000"/>
          <w:kern w:val="0"/>
          <w:sz w:val="32"/>
          <w:szCs w:val="24"/>
          <w:lang w:val="en-US" w:eastAsia="zh-CN" w:bidi="ar"/>
        </w:rPr>
      </w:pPr>
      <w:r>
        <w:rPr>
          <w:rFonts w:hint="eastAsia" w:ascii="黑体" w:hAnsi="宋体" w:eastAsia="黑体" w:cs="宋体"/>
          <w:color w:val="000000"/>
          <w:kern w:val="0"/>
          <w:sz w:val="32"/>
          <w:szCs w:val="24"/>
          <w:lang w:val="en-US" w:eastAsia="zh-CN" w:bidi="ar"/>
        </w:rPr>
        <w:t>部门财政资金收支情况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sz w:val="32"/>
          <w:szCs w:val="24"/>
          <w:lang w:val="en-US" w:eastAsia="zh-CN" w:bidi="ar"/>
        </w:rPr>
      </w:pPr>
      <w:r>
        <w:rPr>
          <w:rFonts w:hint="eastAsia" w:ascii="仿宋_GB2312" w:hAnsi="宋体" w:eastAsia="仿宋_GB2312" w:cs="宋体"/>
          <w:color w:val="000000"/>
          <w:kern w:val="0"/>
          <w:sz w:val="32"/>
          <w:szCs w:val="24"/>
          <w:lang w:val="zh-CN" w:eastAsia="zh-CN" w:bidi="ar"/>
        </w:rPr>
        <w:t>（一）部门财政资金收入情况。</w:t>
      </w:r>
    </w:p>
    <w:p>
      <w:pPr>
        <w:snapToGrid w:val="0"/>
        <w:spacing w:line="52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红原县</w:t>
      </w:r>
      <w:r>
        <w:rPr>
          <w:rFonts w:hint="eastAsia" w:ascii="仿宋_GB2312" w:hAnsi="仿宋_GB2312" w:eastAsia="仿宋_GB2312" w:cs="仿宋_GB2312"/>
          <w:color w:val="000000"/>
          <w:sz w:val="32"/>
          <w:szCs w:val="32"/>
          <w:lang w:val="en-US" w:eastAsia="zh-CN"/>
        </w:rPr>
        <w:t>粮食局</w:t>
      </w:r>
      <w:r>
        <w:rPr>
          <w:rFonts w:hint="eastAsia" w:ascii="仿宋_GB2312" w:hAnsi="仿宋_GB2312" w:eastAsia="仿宋_GB2312" w:cs="仿宋_GB2312"/>
          <w:color w:val="000000"/>
          <w:sz w:val="32"/>
          <w:szCs w:val="32"/>
        </w:rPr>
        <w:t>本年收入合计</w:t>
      </w:r>
      <w:r>
        <w:rPr>
          <w:rFonts w:hint="eastAsia" w:ascii="仿宋_GB2312" w:hAnsi="仿宋_GB2312" w:eastAsia="仿宋_GB2312" w:cs="仿宋_GB2312"/>
          <w:color w:val="000000"/>
          <w:sz w:val="32"/>
          <w:szCs w:val="32"/>
          <w:lang w:val="en-US" w:eastAsia="zh-CN"/>
        </w:rPr>
        <w:t>231.69万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rPr>
        <w:t>，其中：一般公共预算财政拨款收入</w:t>
      </w:r>
      <w:r>
        <w:rPr>
          <w:rFonts w:hint="eastAsia" w:ascii="仿宋_GB2312" w:hAnsi="仿宋_GB2312" w:eastAsia="仿宋_GB2312" w:cs="仿宋_GB2312"/>
          <w:color w:val="000000"/>
          <w:sz w:val="32"/>
          <w:szCs w:val="32"/>
          <w:lang w:val="en-US" w:eastAsia="zh-CN"/>
        </w:rPr>
        <w:t>231.69万</w:t>
      </w:r>
      <w:r>
        <w:rPr>
          <w:rFonts w:hint="eastAsia" w:ascii="仿宋_GB2312" w:hAnsi="仿宋_GB2312" w:eastAsia="仿宋_GB2312" w:cs="仿宋_GB2312"/>
          <w:sz w:val="32"/>
          <w:szCs w:val="32"/>
        </w:rPr>
        <w:t>元</w:t>
      </w:r>
      <w:r>
        <w:rPr>
          <w:rFonts w:hint="eastAsia" w:ascii="仿宋_GB2312" w:hAnsi="仿宋_GB2312" w:eastAsia="仿宋_GB2312" w:cs="仿宋_GB2312"/>
          <w:color w:val="000000"/>
          <w:sz w:val="32"/>
          <w:szCs w:val="32"/>
        </w:rPr>
        <w:t>，占</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(其中：</w:t>
      </w:r>
      <w:r>
        <w:rPr>
          <w:rFonts w:hint="eastAsia" w:ascii="仿宋_GB2312" w:hAnsi="仿宋_GB2312" w:eastAsia="仿宋_GB2312" w:cs="仿宋_GB2312"/>
          <w:sz w:val="32"/>
          <w:szCs w:val="32"/>
          <w:lang w:eastAsia="zh-CN"/>
        </w:rPr>
        <w:t>基本</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164.17万</w:t>
      </w:r>
      <w:r>
        <w:rPr>
          <w:rFonts w:hint="eastAsia" w:ascii="仿宋_GB2312" w:hAnsi="仿宋_GB2312" w:eastAsia="仿宋_GB2312" w:cs="仿宋_GB2312"/>
          <w:sz w:val="32"/>
          <w:szCs w:val="32"/>
        </w:rPr>
        <w:t>元、项目支出</w:t>
      </w:r>
      <w:r>
        <w:rPr>
          <w:rFonts w:hint="eastAsia" w:ascii="仿宋_GB2312" w:hAnsi="仿宋_GB2312" w:eastAsia="仿宋_GB2312" w:cs="仿宋_GB2312"/>
          <w:sz w:val="32"/>
          <w:szCs w:val="32"/>
          <w:lang w:val="en-US" w:eastAsia="zh-CN"/>
        </w:rPr>
        <w:t>67.52元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w:t>
      </w:r>
    </w:p>
    <w:p>
      <w:pPr>
        <w:keepNext w:val="0"/>
        <w:keepLines w:val="0"/>
        <w:widowControl/>
        <w:numPr>
          <w:ilvl w:val="0"/>
          <w:numId w:val="11"/>
        </w:numPr>
        <w:suppressLineNumbers w:val="0"/>
        <w:adjustRightInd w:val="0"/>
        <w:snapToGrid w:val="0"/>
        <w:spacing w:before="0" w:beforeAutospacing="0" w:after="0" w:afterAutospacing="0" w:line="480" w:lineRule="exact"/>
        <w:ind w:left="0" w:leftChars="0" w:right="0" w:firstLine="720" w:firstLineChars="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部门财政资金支出情况。</w:t>
      </w:r>
    </w:p>
    <w:p>
      <w:pPr>
        <w:wordWrap/>
        <w:spacing w:line="560" w:lineRule="exact"/>
        <w:ind w:left="0" w:leftChars="0" w:right="0" w:firstLine="640" w:firstLineChars="200"/>
        <w:textAlignment w:val="auto"/>
        <w:outlineLvl w:val="9"/>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01</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红原</w:t>
      </w:r>
      <w:r>
        <w:rPr>
          <w:rFonts w:hint="eastAsia" w:ascii="仿宋_GB2312" w:hAnsi="仿宋_GB2312" w:eastAsia="仿宋_GB2312" w:cs="仿宋_GB2312"/>
          <w:color w:val="000000"/>
          <w:sz w:val="32"/>
          <w:szCs w:val="32"/>
          <w:lang w:val="en-US" w:eastAsia="zh-CN"/>
        </w:rPr>
        <w:t>县粮食局</w:t>
      </w:r>
      <w:r>
        <w:rPr>
          <w:rFonts w:hint="eastAsia" w:ascii="仿宋_GB2312" w:hAnsi="仿宋_GB2312" w:eastAsia="仿宋_GB2312" w:cs="仿宋_GB2312"/>
          <w:color w:val="000000"/>
          <w:sz w:val="32"/>
          <w:szCs w:val="32"/>
        </w:rPr>
        <w:t>本年支出合计</w:t>
      </w:r>
      <w:r>
        <w:rPr>
          <w:rFonts w:hint="eastAsia" w:ascii="仿宋_GB2312" w:hAnsi="仿宋_GB2312" w:eastAsia="仿宋_GB2312" w:cs="仿宋_GB2312"/>
          <w:color w:val="000000"/>
          <w:sz w:val="32"/>
          <w:szCs w:val="32"/>
          <w:lang w:val="en-US" w:eastAsia="zh-CN"/>
        </w:rPr>
        <w:t>231.69万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rPr>
        <w:t>，其中：基本支出</w:t>
      </w:r>
      <w:r>
        <w:rPr>
          <w:rFonts w:hint="eastAsia" w:ascii="仿宋_GB2312" w:hAnsi="仿宋_GB2312" w:eastAsia="仿宋_GB2312" w:cs="仿宋_GB2312"/>
          <w:sz w:val="32"/>
          <w:szCs w:val="32"/>
          <w:lang w:val="en-US" w:eastAsia="zh-CN"/>
        </w:rPr>
        <w:t>164.17万</w:t>
      </w:r>
      <w:r>
        <w:rPr>
          <w:rFonts w:hint="eastAsia" w:ascii="仿宋_GB2312" w:hAnsi="仿宋_GB2312" w:eastAsia="仿宋_GB2312" w:cs="仿宋_GB2312"/>
          <w:sz w:val="32"/>
          <w:szCs w:val="32"/>
        </w:rPr>
        <w:t>元、项目支出</w:t>
      </w:r>
      <w:r>
        <w:rPr>
          <w:rFonts w:hint="eastAsia" w:ascii="仿宋_GB2312" w:hAnsi="仿宋_GB2312" w:eastAsia="仿宋_GB2312" w:cs="仿宋_GB2312"/>
          <w:sz w:val="32"/>
          <w:szCs w:val="32"/>
          <w:lang w:val="en-US" w:eastAsia="zh-CN"/>
        </w:rPr>
        <w:t>67.52元</w:t>
      </w:r>
      <w:r>
        <w:rPr>
          <w:rFonts w:hint="eastAsia" w:ascii="仿宋_GB2312" w:hAnsi="仿宋_GB2312" w:eastAsia="仿宋_GB2312" w:cs="仿宋_GB2312"/>
          <w:sz w:val="32"/>
          <w:szCs w:val="32"/>
        </w:rPr>
        <w:t>。</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en-US"/>
        </w:rPr>
      </w:pPr>
      <w:r>
        <w:rPr>
          <w:rFonts w:hint="eastAsia" w:ascii="黑体" w:hAnsi="宋体" w:eastAsia="黑体" w:cs="宋体"/>
          <w:color w:val="000000"/>
          <w:kern w:val="0"/>
          <w:sz w:val="32"/>
          <w:szCs w:val="24"/>
          <w:lang w:val="en-US" w:eastAsia="zh-CN" w:bidi="ar"/>
        </w:rPr>
        <w:t>三、部门财政支出管理情况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一）预算编制情况。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0"/>
          <w:szCs w:val="30"/>
          <w:lang w:val="zh-CN" w:eastAsia="zh-CN"/>
        </w:rPr>
      </w:pPr>
      <w:r>
        <w:rPr>
          <w:rFonts w:hint="eastAsia" w:ascii="仿宋_GB2312" w:hAnsi="仿宋_GB2312" w:eastAsia="仿宋_GB2312" w:cs="仿宋_GB2312"/>
          <w:color w:val="000000"/>
          <w:sz w:val="30"/>
          <w:szCs w:val="30"/>
          <w:lang w:val="zh-CN" w:eastAsia="zh-CN"/>
        </w:rPr>
        <w:t>预算编制上，严格执行《预算法》，根据县财政局的统一安排，结合本部门实际工作情况，认真编制部门预算，经领导审核后，及时报送财政局。我局在预算编制和执行上严格执行上级部门的要求，严格执行《中华人民共和国预算法》、《中华人民共和国预算法实施条例》的规定，预算编制数据准确，无随意调整预算的情况，各项收支均纳入预算管理。</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（二）执行管理情况。</w:t>
      </w:r>
      <w:r>
        <w:rPr>
          <w:rFonts w:hint="eastAsia" w:ascii="楷体" w:hAnsi="楷体" w:eastAsia="楷体" w:cs="宋体"/>
          <w:color w:val="000000"/>
          <w:kern w:val="0"/>
          <w:sz w:val="32"/>
          <w:szCs w:val="24"/>
          <w:lang w:val="zh-CN" w:eastAsia="zh-CN" w:bidi="ar"/>
        </w:rPr>
        <w:tab/>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cs="宋体"/>
          <w:color w:val="000000"/>
          <w:kern w:val="0"/>
          <w:sz w:val="32"/>
          <w:szCs w:val="24"/>
          <w:lang w:val="en-US" w:eastAsia="zh-CN" w:bidi="ar"/>
        </w:rPr>
        <w:t>1、</w:t>
      </w:r>
      <w:r>
        <w:rPr>
          <w:rFonts w:hint="eastAsia" w:ascii="仿宋_GB2312" w:hAnsi="宋体" w:cs="宋体"/>
          <w:color w:val="000000"/>
          <w:kern w:val="0"/>
          <w:sz w:val="32"/>
          <w:szCs w:val="24"/>
          <w:lang w:val="zh-CN" w:eastAsia="zh-CN" w:bidi="ar"/>
        </w:rPr>
        <w:t>县</w:t>
      </w:r>
      <w:r>
        <w:rPr>
          <w:rFonts w:hint="eastAsia" w:ascii="仿宋_GB2312" w:hAnsi="宋体" w:eastAsia="仿宋_GB2312" w:cs="宋体"/>
          <w:color w:val="000000"/>
          <w:kern w:val="0"/>
          <w:sz w:val="32"/>
          <w:szCs w:val="24"/>
          <w:lang w:val="zh-CN" w:eastAsia="zh-CN" w:bidi="ar"/>
        </w:rPr>
        <w:t>级财力专项预算分配时限、中央专款分配合规率</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default" w:ascii="仿宋_GB2312" w:hAnsi="宋体" w:eastAsia="仿宋_GB2312" w:cs="宋体"/>
          <w:color w:val="000000"/>
          <w:kern w:val="0"/>
          <w:sz w:val="32"/>
          <w:szCs w:val="24"/>
          <w:lang w:val="en-US" w:eastAsia="zh-CN" w:bidi="ar"/>
        </w:rPr>
      </w:pPr>
      <w:r>
        <w:rPr>
          <w:rFonts w:hint="eastAsia" w:ascii="仿宋_GB2312" w:hAnsi="宋体" w:eastAsia="仿宋_GB2312" w:cs="宋体"/>
          <w:color w:val="000000"/>
          <w:kern w:val="0"/>
          <w:sz w:val="32"/>
          <w:szCs w:val="24"/>
          <w:lang w:val="en-US" w:eastAsia="zh-CN" w:bidi="ar"/>
        </w:rPr>
        <w:t>我单位2018年无县级财力专项预算和中央专款。</w:t>
      </w:r>
    </w:p>
    <w:p>
      <w:pPr>
        <w:keepNext w:val="0"/>
        <w:keepLines w:val="0"/>
        <w:widowControl/>
        <w:numPr>
          <w:ilvl w:val="0"/>
          <w:numId w:val="12"/>
        </w:numPr>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部门预算执行进度情况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en-US" w:eastAsia="zh-CN" w:bidi="ar"/>
        </w:rPr>
      </w:pPr>
      <w:r>
        <w:rPr>
          <w:rFonts w:hint="eastAsia" w:ascii="仿宋_GB2312" w:hAnsi="宋体" w:eastAsia="仿宋_GB2312" w:cs="宋体"/>
          <w:color w:val="000000"/>
          <w:kern w:val="0"/>
          <w:sz w:val="32"/>
          <w:szCs w:val="24"/>
          <w:lang w:val="en-US" w:eastAsia="zh-CN" w:bidi="ar"/>
        </w:rPr>
        <w:t>2018年我单位财政预算实际到位数为268.95万元，年中财政调整预算135.88万元(其中项目预算调整88万元)。</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en-US" w:eastAsia="zh-CN" w:bidi="ar"/>
        </w:rPr>
        <w:t>3、</w:t>
      </w:r>
      <w:r>
        <w:rPr>
          <w:rFonts w:hint="eastAsia" w:ascii="仿宋_GB2312" w:hAnsi="宋体" w:eastAsia="仿宋_GB2312" w:cs="宋体"/>
          <w:color w:val="000000"/>
          <w:kern w:val="0"/>
          <w:sz w:val="32"/>
          <w:szCs w:val="24"/>
          <w:lang w:val="zh-CN" w:eastAsia="zh-CN" w:bidi="ar"/>
        </w:rPr>
        <w:t>中期评估工作</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按照要求，对纳入部门预算进行了中期评估论证。</w:t>
      </w:r>
    </w:p>
    <w:p>
      <w:pPr>
        <w:keepNext w:val="0"/>
        <w:keepLines w:val="0"/>
        <w:widowControl/>
        <w:numPr>
          <w:ilvl w:val="0"/>
          <w:numId w:val="0"/>
        </w:numPr>
        <w:suppressLineNumbers w:val="0"/>
        <w:adjustRightInd w:val="0"/>
        <w:snapToGrid w:val="0"/>
        <w:spacing w:before="0" w:beforeAutospacing="0" w:after="0" w:afterAutospacing="0" w:line="480" w:lineRule="exact"/>
        <w:ind w:leftChars="200" w:right="0" w:rightChars="0" w:firstLine="320" w:firstLineChars="10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en-US" w:eastAsia="zh-CN" w:bidi="ar"/>
        </w:rPr>
        <w:t>4、</w:t>
      </w:r>
      <w:r>
        <w:rPr>
          <w:rFonts w:hint="eastAsia" w:ascii="仿宋_GB2312" w:hAnsi="宋体" w:eastAsia="仿宋_GB2312" w:cs="宋体"/>
          <w:color w:val="000000"/>
          <w:kern w:val="0"/>
          <w:sz w:val="32"/>
          <w:szCs w:val="24"/>
          <w:lang w:val="zh-CN" w:eastAsia="zh-CN" w:bidi="ar"/>
        </w:rPr>
        <w:t>机关节能降耗</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建立节约型社会是党中央、国务院做出的一项重要部署。建设节约型机关，是建设节约型社会的重要组成部分，</w:t>
      </w:r>
      <w:r>
        <w:rPr>
          <w:rFonts w:hint="eastAsia" w:ascii="仿宋_GB2312" w:hAnsi="宋体" w:eastAsia="仿宋_GB2312" w:cs="宋体"/>
          <w:color w:val="000000"/>
          <w:kern w:val="0"/>
          <w:sz w:val="32"/>
          <w:szCs w:val="24"/>
          <w:lang w:val="en-US" w:eastAsia="zh-CN" w:bidi="ar"/>
        </w:rPr>
        <w:t>县粮食局</w:t>
      </w:r>
      <w:r>
        <w:rPr>
          <w:rFonts w:hint="eastAsia" w:ascii="仿宋_GB2312" w:hAnsi="宋体" w:eastAsia="仿宋_GB2312" w:cs="宋体"/>
          <w:color w:val="000000"/>
          <w:kern w:val="0"/>
          <w:sz w:val="32"/>
          <w:szCs w:val="24"/>
          <w:lang w:val="zh-CN" w:eastAsia="zh-CN" w:bidi="ar"/>
        </w:rPr>
        <w:t>着力降低行政运行成本，节约用水用电、精简会议、完善采购制度节约办公消耗品。</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firstLine="320" w:firstLineChars="10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en-US" w:eastAsia="zh-CN" w:bidi="ar"/>
        </w:rPr>
        <w:t>5、</w:t>
      </w:r>
      <w:r>
        <w:rPr>
          <w:rFonts w:hint="eastAsia" w:ascii="仿宋_GB2312" w:hAnsi="宋体" w:eastAsia="仿宋_GB2312" w:cs="宋体"/>
          <w:color w:val="000000"/>
          <w:kern w:val="0"/>
          <w:sz w:val="32"/>
          <w:szCs w:val="24"/>
          <w:lang w:val="zh-CN" w:eastAsia="zh-CN" w:bidi="ar"/>
        </w:rPr>
        <w:t>“三公”经费预算执行情况</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default" w:ascii="仿宋_GB2312" w:hAnsi="宋体" w:eastAsia="仿宋_GB2312" w:cs="宋体"/>
          <w:color w:val="000000"/>
          <w:kern w:val="0"/>
          <w:lang w:val="en-US" w:eastAsia="zh-CN"/>
        </w:rPr>
      </w:pPr>
      <w:r>
        <w:rPr>
          <w:rFonts w:hint="eastAsia" w:ascii="仿宋_GB2312" w:hAnsi="宋体" w:eastAsia="仿宋_GB2312" w:cs="宋体"/>
          <w:color w:val="000000"/>
          <w:kern w:val="0"/>
          <w:sz w:val="32"/>
          <w:szCs w:val="24"/>
          <w:lang w:val="zh-CN" w:eastAsia="zh-CN" w:bidi="ar"/>
        </w:rPr>
        <w:t>严格落实中央八项规定和省委省政府十项规定，厉行节约管理“三公”经费，全年压缩了公车预算，国外接待人数减少。</w:t>
      </w:r>
      <w:r>
        <w:rPr>
          <w:rFonts w:hint="eastAsia" w:ascii="仿宋_GB2312" w:hAnsi="宋体" w:eastAsia="仿宋_GB2312" w:cs="宋体"/>
          <w:color w:val="000000"/>
          <w:kern w:val="0"/>
          <w:sz w:val="32"/>
          <w:szCs w:val="24"/>
          <w:lang w:val="en-US" w:eastAsia="zh-CN" w:bidi="ar"/>
        </w:rPr>
        <w:t>2018年“三公经费4.54万元，2017年“三公”经费4.6万元，减少0.06万元，下降1.3%。</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（三）综合管理情况。</w:t>
      </w:r>
    </w:p>
    <w:p>
      <w:pPr>
        <w:keepNext w:val="0"/>
        <w:keepLines w:val="0"/>
        <w:widowControl/>
        <w:numPr>
          <w:ilvl w:val="0"/>
          <w:numId w:val="13"/>
        </w:numPr>
        <w:suppressLineNumbers w:val="0"/>
        <w:adjustRightInd w:val="0"/>
        <w:snapToGrid w:val="0"/>
        <w:spacing w:before="0" w:beforeAutospacing="0" w:after="0" w:afterAutospacing="0" w:line="480" w:lineRule="exact"/>
        <w:ind w:left="720" w:leftChars="0" w:right="0" w:right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zh-CN" w:eastAsia="zh-CN" w:bidi="ar-SA"/>
        </w:rPr>
        <w:t>政府债务情况</w:t>
      </w:r>
    </w:p>
    <w:p>
      <w:pPr>
        <w:keepNext w:val="0"/>
        <w:keepLines w:val="0"/>
        <w:widowControl/>
        <w:numPr>
          <w:ilvl w:val="0"/>
          <w:numId w:val="0"/>
        </w:numPr>
        <w:suppressLineNumbers w:val="0"/>
        <w:adjustRightInd w:val="0"/>
        <w:snapToGrid w:val="0"/>
        <w:spacing w:before="0" w:beforeAutospacing="0" w:after="0" w:afterAutospacing="0" w:line="480" w:lineRule="exact"/>
        <w:ind w:right="0" w:rightChars="0" w:firstLine="640" w:firstLineChars="20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en-US" w:eastAsia="zh-CN" w:bidi="ar-SA"/>
        </w:rPr>
        <w:t>红原县粮食局</w:t>
      </w:r>
      <w:r>
        <w:rPr>
          <w:rFonts w:hint="eastAsia" w:ascii="仿宋_GB2312" w:hAnsi="仿宋_GB2312" w:eastAsia="仿宋_GB2312" w:cs="仿宋_GB2312"/>
          <w:color w:val="000000"/>
          <w:kern w:val="2"/>
          <w:sz w:val="32"/>
          <w:szCs w:val="32"/>
          <w:lang w:val="zh-CN" w:eastAsia="zh-CN" w:bidi="ar-SA"/>
        </w:rPr>
        <w:t>201</w:t>
      </w:r>
      <w:r>
        <w:rPr>
          <w:rFonts w:hint="eastAsia" w:ascii="仿宋_GB2312" w:hAnsi="仿宋_GB2312" w:eastAsia="仿宋_GB2312" w:cs="仿宋_GB2312"/>
          <w:color w:val="000000"/>
          <w:kern w:val="2"/>
          <w:sz w:val="32"/>
          <w:szCs w:val="32"/>
          <w:lang w:val="en-US" w:eastAsia="zh-CN" w:bidi="ar-SA"/>
        </w:rPr>
        <w:t>8</w:t>
      </w:r>
      <w:r>
        <w:rPr>
          <w:rFonts w:hint="eastAsia" w:ascii="仿宋_GB2312" w:hAnsi="仿宋_GB2312" w:eastAsia="仿宋_GB2312" w:cs="仿宋_GB2312"/>
          <w:color w:val="000000"/>
          <w:kern w:val="2"/>
          <w:sz w:val="32"/>
          <w:szCs w:val="32"/>
          <w:lang w:val="zh-CN" w:eastAsia="zh-CN" w:bidi="ar-SA"/>
        </w:rPr>
        <w:t>年无政府性债务。</w:t>
      </w:r>
    </w:p>
    <w:p>
      <w:pPr>
        <w:keepNext w:val="0"/>
        <w:keepLines w:val="0"/>
        <w:widowControl/>
        <w:numPr>
          <w:ilvl w:val="0"/>
          <w:numId w:val="13"/>
        </w:numPr>
        <w:suppressLineNumbers w:val="0"/>
        <w:adjustRightInd w:val="0"/>
        <w:snapToGrid w:val="0"/>
        <w:spacing w:before="0" w:beforeAutospacing="0" w:after="0" w:afterAutospacing="0" w:line="480" w:lineRule="exact"/>
        <w:ind w:left="720" w:leftChars="0" w:right="0" w:rightChars="0" w:firstLine="0" w:firstLine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zh-CN" w:eastAsia="zh-CN" w:bidi="ar-SA"/>
        </w:rPr>
        <w:t>非税收入情况</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红原县</w:t>
      </w:r>
      <w:r>
        <w:rPr>
          <w:rFonts w:hint="eastAsia" w:ascii="仿宋_GB2312" w:hAnsi="仿宋_GB2312" w:eastAsia="仿宋_GB2312" w:cs="仿宋_GB2312"/>
          <w:color w:val="000000"/>
          <w:kern w:val="2"/>
          <w:sz w:val="32"/>
          <w:szCs w:val="32"/>
          <w:highlight w:val="none"/>
          <w:lang w:val="en-US" w:eastAsia="zh-CN" w:bidi="ar-SA"/>
        </w:rPr>
        <w:t>粮食局</w:t>
      </w:r>
      <w:r>
        <w:rPr>
          <w:rFonts w:hint="eastAsia" w:ascii="仿宋_GB2312" w:hAnsi="仿宋_GB2312" w:eastAsia="仿宋_GB2312" w:cs="仿宋_GB2312"/>
          <w:color w:val="000000"/>
          <w:kern w:val="2"/>
          <w:sz w:val="32"/>
          <w:szCs w:val="32"/>
          <w:lang w:val="zh-CN" w:eastAsia="zh-CN" w:bidi="ar-SA"/>
        </w:rPr>
        <w:t>201</w:t>
      </w:r>
      <w:r>
        <w:rPr>
          <w:rFonts w:hint="eastAsia" w:ascii="仿宋_GB2312" w:hAnsi="仿宋_GB2312" w:eastAsia="仿宋_GB2312" w:cs="仿宋_GB2312"/>
          <w:color w:val="000000"/>
          <w:kern w:val="2"/>
          <w:sz w:val="32"/>
          <w:szCs w:val="32"/>
          <w:lang w:val="en-US" w:eastAsia="zh-CN" w:bidi="ar-SA"/>
        </w:rPr>
        <w:t>8</w:t>
      </w:r>
      <w:r>
        <w:rPr>
          <w:rFonts w:hint="eastAsia" w:ascii="仿宋_GB2312" w:hAnsi="仿宋_GB2312" w:eastAsia="仿宋_GB2312" w:cs="仿宋_GB2312"/>
          <w:color w:val="000000"/>
          <w:kern w:val="2"/>
          <w:sz w:val="32"/>
          <w:szCs w:val="32"/>
          <w:lang w:val="zh-CN" w:eastAsia="zh-CN" w:bidi="ar-SA"/>
        </w:rPr>
        <w:t>年无</w:t>
      </w:r>
      <w:r>
        <w:rPr>
          <w:rFonts w:hint="eastAsia" w:ascii="仿宋_GB2312" w:hAnsi="仿宋_GB2312" w:eastAsia="仿宋_GB2312" w:cs="仿宋_GB2312"/>
          <w:color w:val="000000"/>
          <w:kern w:val="2"/>
          <w:sz w:val="32"/>
          <w:szCs w:val="32"/>
          <w:lang w:val="en-US" w:eastAsia="zh-CN" w:bidi="ar-SA"/>
        </w:rPr>
        <w:t>非税收情况。</w:t>
      </w:r>
    </w:p>
    <w:p>
      <w:pPr>
        <w:keepNext w:val="0"/>
        <w:keepLines w:val="0"/>
        <w:widowControl/>
        <w:numPr>
          <w:ilvl w:val="0"/>
          <w:numId w:val="13"/>
        </w:numPr>
        <w:suppressLineNumbers w:val="0"/>
        <w:adjustRightInd w:val="0"/>
        <w:snapToGrid w:val="0"/>
        <w:spacing w:before="0" w:beforeAutospacing="0" w:after="0" w:afterAutospacing="0" w:line="480" w:lineRule="exact"/>
        <w:ind w:left="720" w:leftChars="0" w:right="0" w:rightChars="0" w:firstLine="0" w:firstLine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zh-CN" w:eastAsia="zh-CN" w:bidi="ar-SA"/>
        </w:rPr>
        <w:t>资产管理情况</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en-US" w:eastAsia="zh-CN" w:bidi="ar-SA"/>
        </w:rPr>
        <w:t>红原县粮食局</w:t>
      </w:r>
      <w:r>
        <w:rPr>
          <w:rFonts w:hint="eastAsia" w:ascii="仿宋_GB2312" w:hAnsi="仿宋_GB2312" w:eastAsia="仿宋_GB2312" w:cs="仿宋_GB2312"/>
          <w:color w:val="000000"/>
          <w:kern w:val="2"/>
          <w:sz w:val="32"/>
          <w:szCs w:val="32"/>
          <w:lang w:val="zh-CN" w:eastAsia="zh-CN" w:bidi="ar-SA"/>
        </w:rPr>
        <w:t>按照财政局资产管理要求，设置专人管理固定资产信息系统和更新数据，按规定组织资产清查和报送国有资产报表。</w:t>
      </w:r>
    </w:p>
    <w:p>
      <w:pPr>
        <w:keepNext w:val="0"/>
        <w:keepLines w:val="0"/>
        <w:widowControl/>
        <w:numPr>
          <w:ilvl w:val="0"/>
          <w:numId w:val="13"/>
        </w:numPr>
        <w:suppressLineNumbers w:val="0"/>
        <w:adjustRightInd w:val="0"/>
        <w:snapToGrid w:val="0"/>
        <w:spacing w:before="0" w:beforeAutospacing="0" w:after="0" w:afterAutospacing="0" w:line="480" w:lineRule="exact"/>
        <w:ind w:left="720" w:leftChars="0" w:right="0" w:rightChars="0" w:firstLine="0" w:firstLine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zh-CN" w:eastAsia="zh-CN" w:bidi="ar-SA"/>
        </w:rPr>
        <w:t>内控制度管理情况</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en-US" w:eastAsia="zh-CN" w:bidi="ar-SA"/>
        </w:rPr>
        <w:t>红原县粮食局</w:t>
      </w:r>
      <w:r>
        <w:rPr>
          <w:rFonts w:hint="eastAsia" w:ascii="仿宋_GB2312" w:hAnsi="仿宋_GB2312" w:eastAsia="仿宋_GB2312" w:cs="仿宋_GB2312"/>
          <w:color w:val="000000"/>
          <w:kern w:val="2"/>
          <w:sz w:val="32"/>
          <w:szCs w:val="32"/>
          <w:lang w:val="zh-CN" w:eastAsia="zh-CN" w:bidi="ar-SA"/>
        </w:rPr>
        <w:t>制定有预算管理制度、收入管理制度、政府采购业务管理制度、资产管理制度和合同管理办法等方面的内部控制制度。</w:t>
      </w:r>
    </w:p>
    <w:p>
      <w:pPr>
        <w:keepNext w:val="0"/>
        <w:keepLines w:val="0"/>
        <w:widowControl/>
        <w:numPr>
          <w:ilvl w:val="0"/>
          <w:numId w:val="13"/>
        </w:numPr>
        <w:suppressLineNumbers w:val="0"/>
        <w:adjustRightInd w:val="0"/>
        <w:snapToGrid w:val="0"/>
        <w:spacing w:before="0" w:beforeAutospacing="0" w:after="0" w:afterAutospacing="0" w:line="480" w:lineRule="exact"/>
        <w:ind w:left="720" w:leftChars="0" w:right="0" w:rightChars="0" w:firstLine="0" w:firstLine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zh-CN" w:eastAsia="zh-CN" w:bidi="ar-SA"/>
        </w:rPr>
        <w:t>信息公开情况</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en-US" w:eastAsia="zh-CN" w:bidi="ar-SA"/>
        </w:rPr>
        <w:t>红原县粮食局</w:t>
      </w:r>
      <w:r>
        <w:rPr>
          <w:rFonts w:hint="eastAsia" w:ascii="仿宋_GB2312" w:hAnsi="仿宋_GB2312" w:eastAsia="仿宋_GB2312" w:cs="仿宋_GB2312"/>
          <w:color w:val="000000"/>
          <w:kern w:val="2"/>
          <w:sz w:val="32"/>
          <w:szCs w:val="32"/>
          <w:lang w:val="zh-CN" w:eastAsia="zh-CN" w:bidi="ar-SA"/>
        </w:rPr>
        <w:t>按照县财政局相关要求，在县政府统一的公开网站对201</w:t>
      </w:r>
      <w:r>
        <w:rPr>
          <w:rFonts w:hint="eastAsia" w:ascii="仿宋_GB2312" w:hAnsi="仿宋_GB2312" w:eastAsia="仿宋_GB2312" w:cs="仿宋_GB2312"/>
          <w:color w:val="000000"/>
          <w:kern w:val="2"/>
          <w:sz w:val="32"/>
          <w:szCs w:val="32"/>
          <w:lang w:val="en-US" w:eastAsia="zh-CN" w:bidi="ar-SA"/>
        </w:rPr>
        <w:t>8</w:t>
      </w:r>
      <w:r>
        <w:rPr>
          <w:rFonts w:hint="eastAsia" w:ascii="仿宋_GB2312" w:hAnsi="仿宋_GB2312" w:eastAsia="仿宋_GB2312" w:cs="仿宋_GB2312"/>
          <w:color w:val="000000"/>
          <w:kern w:val="2"/>
          <w:sz w:val="32"/>
          <w:szCs w:val="32"/>
          <w:lang w:val="zh-CN" w:eastAsia="zh-CN" w:bidi="ar-SA"/>
        </w:rPr>
        <w:t>年预算、决算进行了公开。</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（四）整体绩效。</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包括部门职责履行结果、重点项目绩效评价结果和服务对象满意度等。</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部门职责履行</w:t>
      </w:r>
      <w:r>
        <w:rPr>
          <w:rFonts w:hint="eastAsia" w:ascii="仿宋_GB2312" w:hAnsi="仿宋_GB2312" w:eastAsia="仿宋_GB2312" w:cs="仿宋_GB2312"/>
          <w:color w:val="000000"/>
          <w:kern w:val="0"/>
          <w:sz w:val="32"/>
          <w:szCs w:val="32"/>
          <w:lang w:val="en-US" w:eastAsia="zh-CN" w:bidi="ar-SA"/>
        </w:rPr>
        <w:t>结果：</w:t>
      </w:r>
    </w:p>
    <w:p>
      <w:pPr>
        <w:spacing w:line="600" w:lineRule="exact"/>
        <w:rPr>
          <w:rFonts w:hint="default" w:ascii="仿宋" w:hAnsi="仿宋" w:eastAsia="仿宋" w:cs="仿宋"/>
          <w:sz w:val="32"/>
          <w:szCs w:val="32"/>
        </w:rPr>
      </w:pPr>
      <w:r>
        <w:rPr>
          <w:rFonts w:hint="eastAsia" w:ascii="仿宋_GB2312" w:hAnsi="仿宋_GB2312" w:eastAsia="仿宋_GB2312" w:cs="仿宋_GB2312"/>
          <w:i w:val="0"/>
          <w:caps w:val="0"/>
          <w:color w:val="000000"/>
          <w:spacing w:val="0"/>
          <w:sz w:val="32"/>
          <w:szCs w:val="32"/>
          <w:shd w:val="clear" w:fill="FFFFFF"/>
        </w:rPr>
        <w:t>今年以来，</w:t>
      </w:r>
      <w:r>
        <w:rPr>
          <w:rFonts w:hint="eastAsia" w:ascii="仿宋_GB2312" w:hAnsi="仿宋_GB2312" w:eastAsia="仿宋_GB2312" w:cs="仿宋_GB2312"/>
          <w:i w:val="0"/>
          <w:caps w:val="0"/>
          <w:color w:val="000000"/>
          <w:spacing w:val="0"/>
          <w:sz w:val="32"/>
          <w:szCs w:val="32"/>
          <w:shd w:val="clear" w:fill="FFFFFF"/>
          <w:lang w:eastAsia="zh-CN"/>
        </w:rPr>
        <w:t>我局</w:t>
      </w:r>
      <w:r>
        <w:rPr>
          <w:rFonts w:hint="eastAsia" w:ascii="仿宋" w:hAnsi="仿宋" w:eastAsia="仿宋" w:cs="仿宋"/>
          <w:sz w:val="32"/>
          <w:szCs w:val="32"/>
        </w:rPr>
        <w:t>负责县级储备粮管理，指导全县粮食储备体系建设；制定县储备粮管理的技术规范并监督执行；监督检查县储备粮库存数量、质量和安全；研究提出县级储备的收购、转换、抛售计划，并组织实施；受理在县省级和州级储备粮油的管理工作。</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en-US"/>
        </w:rPr>
      </w:pPr>
      <w:r>
        <w:rPr>
          <w:rFonts w:hint="eastAsia" w:ascii="黑体" w:hAnsi="宋体" w:eastAsia="黑体" w:cs="宋体"/>
          <w:color w:val="000000"/>
          <w:kern w:val="0"/>
          <w:sz w:val="32"/>
          <w:szCs w:val="24"/>
          <w:lang w:val="en-US" w:eastAsia="zh-CN" w:bidi="ar"/>
        </w:rPr>
        <w:t>四、评价结论及建议</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（一）评价结论。</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1. 我单位在预算管理上的力度加强，增强了预算的计划性、科学性，使预算管理的约束控制力得到充分发挥；   </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2.在内部控制文化建设方面积极培育符合我单位实际情况的内部控制文化，使内控意识和内控文化渗透到每一位干部职工思想深处，使内控成为每位干部职工的自觉行为。</w:t>
      </w:r>
    </w:p>
    <w:p>
      <w:pPr>
        <w:widowControl/>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（二）存在问题</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我单位会计股对单位重要事项的决策、实施过程和结果了解较少，进而对业务涉及财务问题时不能事前进行财务分析与指导，导致了控制与监督的不及时。今后要加强业务沟通，做到控制及时、监督有效。</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在接下来的工作里，我们竭尽所能将人员配齐，严格按照内部控制规范制度行事。</w:t>
      </w:r>
    </w:p>
    <w:p>
      <w:pPr>
        <w:widowControl/>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zh-CN" w:eastAsia="zh-CN" w:bidi="ar-SA"/>
        </w:rPr>
        <w:t>（三）改进建议</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财政部门定期对各机关单位进行各类财务培训，加大培训力度，促进各单位事业的健康、可持续发展。</w:t>
      </w:r>
    </w:p>
    <w:bookmarkEnd w:id="60"/>
    <w:p>
      <w:pPr>
        <w:spacing w:line="600" w:lineRule="exact"/>
        <w:jc w:val="both"/>
        <w:outlineLvl w:val="0"/>
        <w:rPr>
          <w:rFonts w:hint="eastAsia" w:ascii="黑体" w:hAnsi="黑体" w:eastAsia="黑体"/>
          <w:color w:val="000000"/>
          <w:sz w:val="44"/>
          <w:szCs w:val="44"/>
        </w:rPr>
      </w:pPr>
      <w:bookmarkStart w:id="61" w:name="_Toc15396618"/>
    </w:p>
    <w:p>
      <w:pPr>
        <w:spacing w:line="600" w:lineRule="exact"/>
        <w:jc w:val="both"/>
        <w:outlineLvl w:val="0"/>
        <w:rPr>
          <w:rFonts w:hint="eastAsia" w:ascii="黑体" w:hAnsi="黑体" w:eastAsia="黑体"/>
          <w:color w:val="000000"/>
          <w:sz w:val="44"/>
          <w:szCs w:val="44"/>
        </w:rPr>
      </w:pPr>
    </w:p>
    <w:p>
      <w:pPr>
        <w:spacing w:line="600" w:lineRule="exact"/>
        <w:jc w:val="both"/>
        <w:outlineLvl w:val="0"/>
        <w:rPr>
          <w:rFonts w:hint="eastAsia" w:ascii="黑体" w:hAnsi="黑体" w:eastAsia="黑体"/>
          <w:color w:val="000000"/>
          <w:sz w:val="44"/>
          <w:szCs w:val="44"/>
        </w:rPr>
      </w:pPr>
    </w:p>
    <w:p>
      <w:pPr>
        <w:spacing w:line="600" w:lineRule="exact"/>
        <w:jc w:val="center"/>
        <w:outlineLvl w:val="0"/>
        <w:rPr>
          <w:rStyle w:val="25"/>
          <w:rFonts w:ascii="黑体" w:hAnsi="黑体" w:eastAsia="黑体"/>
          <w:b w:val="0"/>
        </w:rPr>
      </w:pPr>
      <w:r>
        <w:rPr>
          <w:rFonts w:hint="eastAsia" w:ascii="黑体" w:hAnsi="黑体" w:eastAsia="黑体"/>
          <w:color w:val="000000"/>
          <w:sz w:val="44"/>
          <w:szCs w:val="44"/>
        </w:rPr>
        <w:t>第</w:t>
      </w:r>
      <w:r>
        <w:rPr>
          <w:rStyle w:val="25"/>
          <w:rFonts w:hint="eastAsia" w:ascii="黑体" w:hAnsi="黑体" w:eastAsia="黑体"/>
          <w:b w:val="0"/>
        </w:rPr>
        <w:t>五部分 附表</w:t>
      </w:r>
      <w:bookmarkEnd w:id="58"/>
      <w:bookmarkEnd w:id="61"/>
    </w:p>
    <w:p>
      <w:pPr>
        <w:spacing w:line="600" w:lineRule="exact"/>
        <w:jc w:val="center"/>
        <w:outlineLvl w:val="0"/>
        <w:rPr>
          <w:rFonts w:ascii="仿宋" w:hAnsi="仿宋" w:eastAsia="仿宋"/>
          <w:b/>
          <w:color w:val="000000"/>
          <w:sz w:val="44"/>
          <w:szCs w:val="44"/>
        </w:rPr>
      </w:pPr>
    </w:p>
    <w:p>
      <w:pPr>
        <w:pStyle w:val="3"/>
        <w:numPr>
          <w:ilvl w:val="0"/>
          <w:numId w:val="14"/>
        </w:numPr>
        <w:rPr>
          <w:rFonts w:hint="eastAsia" w:ascii="仿宋" w:hAnsi="仿宋" w:eastAsia="仿宋"/>
          <w:b w:val="0"/>
          <w:color w:val="000000"/>
        </w:rPr>
      </w:pPr>
      <w:bookmarkStart w:id="62" w:name="_Toc15396620"/>
      <w:r>
        <w:rPr>
          <w:rFonts w:hint="eastAsia" w:ascii="仿宋" w:hAnsi="仿宋" w:eastAsia="仿宋"/>
          <w:b w:val="0"/>
          <w:color w:val="000000"/>
        </w:rPr>
        <w:t>收入支出决算总表</w:t>
      </w:r>
    </w:p>
    <w:p>
      <w:pPr>
        <w:pStyle w:val="3"/>
        <w:numPr>
          <w:ilvl w:val="0"/>
          <w:numId w:val="0"/>
        </w:numPr>
        <w:rPr>
          <w:rFonts w:ascii="仿宋" w:hAnsi="仿宋" w:eastAsia="仿宋"/>
          <w:color w:val="000000"/>
        </w:rPr>
      </w:pPr>
      <w:r>
        <w:rPr>
          <w:rFonts w:hint="eastAsia" w:ascii="仿宋" w:hAnsi="仿宋" w:eastAsia="仿宋"/>
          <w:b w:val="0"/>
          <w:color w:val="000000"/>
        </w:rPr>
        <w:t>二、收</w:t>
      </w:r>
      <w:r>
        <w:rPr>
          <w:rStyle w:val="26"/>
          <w:rFonts w:hint="eastAsia" w:ascii="仿宋" w:hAnsi="仿宋" w:eastAsia="仿宋"/>
          <w:b w:val="0"/>
          <w:bCs w:val="0"/>
        </w:rPr>
        <w:t>入总表</w:t>
      </w:r>
      <w:bookmarkEnd w:id="62"/>
    </w:p>
    <w:p>
      <w:pPr>
        <w:pStyle w:val="3"/>
        <w:rPr>
          <w:rFonts w:ascii="仿宋" w:hAnsi="仿宋" w:eastAsia="仿宋"/>
          <w:color w:val="000000"/>
        </w:rPr>
      </w:pPr>
      <w:bookmarkStart w:id="63" w:name="_Toc15396621"/>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出总表</w:t>
      </w:r>
      <w:bookmarkEnd w:id="63"/>
    </w:p>
    <w:p>
      <w:pPr>
        <w:pStyle w:val="3"/>
        <w:rPr>
          <w:rFonts w:ascii="仿宋" w:hAnsi="仿宋" w:eastAsia="仿宋"/>
          <w:b w:val="0"/>
          <w:color w:val="000000"/>
        </w:rPr>
      </w:pPr>
      <w:bookmarkStart w:id="64" w:name="_Toc15396622"/>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64"/>
    </w:p>
    <w:p>
      <w:pPr>
        <w:pStyle w:val="3"/>
        <w:rPr>
          <w:rFonts w:ascii="仿宋" w:hAnsi="仿宋" w:eastAsia="仿宋"/>
          <w:color w:val="000000"/>
        </w:rPr>
      </w:pPr>
      <w:bookmarkStart w:id="65" w:name="_Toc15396623"/>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政拨款支出决算明细表（政府经济分类科目）</w:t>
      </w:r>
      <w:bookmarkEnd w:id="65"/>
    </w:p>
    <w:p>
      <w:pPr>
        <w:pStyle w:val="3"/>
        <w:rPr>
          <w:rFonts w:ascii="仿宋" w:hAnsi="仿宋" w:eastAsia="仿宋"/>
          <w:color w:val="000000"/>
        </w:rPr>
      </w:pPr>
      <w:bookmarkStart w:id="66" w:name="_Toc15396624"/>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66"/>
    </w:p>
    <w:p>
      <w:pPr>
        <w:pStyle w:val="3"/>
        <w:rPr>
          <w:rFonts w:ascii="仿宋" w:hAnsi="仿宋" w:eastAsia="仿宋"/>
          <w:color w:val="000000"/>
        </w:rPr>
      </w:pPr>
      <w:bookmarkStart w:id="67" w:name="_Toc15396625"/>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67"/>
    </w:p>
    <w:p>
      <w:pPr>
        <w:pStyle w:val="3"/>
        <w:rPr>
          <w:rFonts w:ascii="仿宋" w:hAnsi="仿宋" w:eastAsia="仿宋"/>
          <w:color w:val="000000"/>
        </w:rPr>
      </w:pPr>
      <w:bookmarkStart w:id="68" w:name="_Toc15396626"/>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68"/>
    </w:p>
    <w:p>
      <w:pPr>
        <w:pStyle w:val="3"/>
        <w:rPr>
          <w:rFonts w:ascii="仿宋" w:hAnsi="仿宋" w:eastAsia="仿宋"/>
          <w:color w:val="000000"/>
        </w:rPr>
      </w:pPr>
      <w:bookmarkStart w:id="69" w:name="_Toc15396627"/>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69"/>
    </w:p>
    <w:p>
      <w:pPr>
        <w:pStyle w:val="3"/>
        <w:rPr>
          <w:rFonts w:ascii="仿宋" w:hAnsi="仿宋" w:eastAsia="仿宋"/>
          <w:color w:val="000000"/>
        </w:rPr>
      </w:pPr>
      <w:bookmarkStart w:id="70" w:name="_Toc15396628"/>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70"/>
    </w:p>
    <w:p>
      <w:pPr>
        <w:pStyle w:val="3"/>
        <w:rPr>
          <w:rFonts w:ascii="仿宋" w:hAnsi="仿宋" w:eastAsia="仿宋"/>
          <w:color w:val="000000"/>
        </w:rPr>
      </w:pPr>
      <w:bookmarkStart w:id="71" w:name="_Toc15396629"/>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71"/>
    </w:p>
    <w:p>
      <w:pPr>
        <w:pStyle w:val="3"/>
        <w:rPr>
          <w:rFonts w:ascii="仿宋" w:hAnsi="仿宋" w:eastAsia="仿宋"/>
          <w:color w:val="000000"/>
        </w:rPr>
      </w:pPr>
      <w:bookmarkStart w:id="72" w:name="_Toc15396630"/>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72"/>
    </w:p>
    <w:p>
      <w:pPr>
        <w:pStyle w:val="3"/>
        <w:rPr>
          <w:rFonts w:ascii="仿宋" w:hAnsi="仿宋" w:eastAsia="仿宋"/>
          <w:color w:val="000000" w:themeColor="text1"/>
          <w14:textFill>
            <w14:solidFill>
              <w14:schemeClr w14:val="tx1"/>
            </w14:solidFill>
          </w14:textFill>
        </w:rPr>
      </w:pPr>
      <w:bookmarkStart w:id="73" w:name="_Toc15396631"/>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有资本经营预算支出决算表</w:t>
      </w:r>
      <w:bookmarkEnd w:id="73"/>
    </w:p>
    <w:sectPr>
      <w:footerReference r:id="rId8" w:type="first"/>
      <w:footerReference r:id="rId7"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 w:name="Tahoma">
    <w:panose1 w:val="020B0604030504040204"/>
    <w:charset w:val="00"/>
    <w:family w:val="auto"/>
    <w:pitch w:val="default"/>
    <w:sig w:usb0="E1002EFF" w:usb1="C000605B" w:usb2="00000029" w:usb3="00000000" w:csb0="200101FF" w:csb1="20280000"/>
  </w:font>
  <w:font w:name="新宋体">
    <w:panose1 w:val="02010609030101010101"/>
    <w:charset w:val="86"/>
    <w:family w:val="auto"/>
    <w:pitch w:val="default"/>
    <w:sig w:usb0="00000003" w:usb1="288F0000" w:usb2="0000000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Book Antiqua">
    <w:altName w:val="Segoe Print"/>
    <w:panose1 w:val="02040602050305030304"/>
    <w:charset w:val="00"/>
    <w:family w:val="auto"/>
    <w:pitch w:val="default"/>
    <w:sig w:usb0="00000000" w:usb1="00000000" w:usb2="00000000" w:usb3="00000000" w:csb0="2000009F" w:csb1="DFD70000"/>
  </w:font>
  <w:font w:name="华文仿宋">
    <w:altName w:val="仿宋"/>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华文新魏">
    <w:altName w:val="宋体"/>
    <w:panose1 w:val="02010800040101010101"/>
    <w:charset w:val="86"/>
    <w:family w:val="auto"/>
    <w:pitch w:val="default"/>
    <w:sig w:usb0="00000000" w:usb1="00000000" w:usb2="00000000" w:usb3="00000000" w:csb0="00040000" w:csb1="00000000"/>
  </w:font>
  <w:font w:name="Courier New">
    <w:panose1 w:val="02070309020205020404"/>
    <w:charset w:val="00"/>
    <w:family w:val="auto"/>
    <w:pitch w:val="default"/>
    <w:sig w:usb0="E0002AFF" w:usb1="C0007843" w:usb2="00000009" w:usb3="00000000" w:csb0="400001FF" w:csb1="F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docPartObj>
        <w:docPartGallery w:val="autotext"/>
      </w:docPartObj>
    </w:sdtPr>
    <w:sdtContent>
      <w:p>
        <w:pPr>
          <w:pStyle w:val="8"/>
          <w:jc w:val="center"/>
        </w:pPr>
        <w:r>
          <w:fldChar w:fldCharType="begin"/>
        </w:r>
        <w:r>
          <w:instrText xml:space="preserve">PAGE   \* MERGEFORMAT</w:instrText>
        </w:r>
        <w:r>
          <w:fldChar w:fldCharType="separate"/>
        </w:r>
        <w:r>
          <w:rPr>
            <w:lang w:val="zh-CN"/>
          </w:rPr>
          <w:t>10</w:t>
        </w:r>
        <w:r>
          <w:fldChar w:fldCharType="end"/>
        </w:r>
      </w:p>
    </w:sdtContent>
  </w:sdt>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docPartObj>
        <w:docPartGallery w:val="autotext"/>
      </w:docPartObj>
    </w:sdtPr>
    <w:sdtContent>
      <w:p>
        <w:pPr>
          <w:pStyle w:val="8"/>
          <w:jc w:val="center"/>
        </w:pPr>
        <w:r>
          <w:fldChar w:fldCharType="begin"/>
        </w:r>
        <w:r>
          <w:instrText xml:space="preserve">PAGE   \* MERGEFORMAT</w:instrText>
        </w:r>
        <w:r>
          <w:fldChar w:fldCharType="separate"/>
        </w:r>
        <w:r>
          <w:rPr>
            <w:lang w:val="zh-CN"/>
          </w:rPr>
          <w:t>10</w:t>
        </w:r>
        <w:r>
          <w:fldChar w:fldCharType="end"/>
        </w:r>
      </w:p>
    </w:sdtContent>
  </w:sdt>
  <w:p>
    <w:pPr>
      <w:pStyle w:val="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9A6F83B"/>
    <w:multiLevelType w:val="singleLevel"/>
    <w:tmpl w:val="99A6F83B"/>
    <w:lvl w:ilvl="0" w:tentative="0">
      <w:start w:val="1"/>
      <w:numFmt w:val="decimal"/>
      <w:suff w:val="nothing"/>
      <w:lvlText w:val="%1、"/>
      <w:lvlJc w:val="left"/>
    </w:lvl>
  </w:abstractNum>
  <w:abstractNum w:abstractNumId="1">
    <w:nsid w:val="B026C66B"/>
    <w:multiLevelType w:val="singleLevel"/>
    <w:tmpl w:val="B026C66B"/>
    <w:lvl w:ilvl="0" w:tentative="0">
      <w:start w:val="1"/>
      <w:numFmt w:val="decimal"/>
      <w:lvlText w:val="%1."/>
      <w:lvlJc w:val="left"/>
      <w:pPr>
        <w:tabs>
          <w:tab w:val="left" w:pos="312"/>
        </w:tabs>
      </w:p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E09FC8B8"/>
    <w:multiLevelType w:val="singleLevel"/>
    <w:tmpl w:val="E09FC8B8"/>
    <w:lvl w:ilvl="0" w:tentative="0">
      <w:start w:val="2"/>
      <w:numFmt w:val="decimal"/>
      <w:suff w:val="nothing"/>
      <w:lvlText w:val="%1、"/>
      <w:lvlJc w:val="left"/>
    </w:lvl>
  </w:abstractNum>
  <w:abstractNum w:abstractNumId="4">
    <w:nsid w:val="E2FA047D"/>
    <w:multiLevelType w:val="singleLevel"/>
    <w:tmpl w:val="E2FA047D"/>
    <w:lvl w:ilvl="0" w:tentative="0">
      <w:start w:val="3"/>
      <w:numFmt w:val="chineseCounting"/>
      <w:suff w:val="space"/>
      <w:lvlText w:val="第%1部分"/>
      <w:lvlJc w:val="left"/>
      <w:rPr>
        <w:rFonts w:hint="eastAsia"/>
      </w:rPr>
    </w:lvl>
  </w:abstractNum>
  <w:abstractNum w:abstractNumId="5">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6">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7">
    <w:nsid w:val="162A9803"/>
    <w:multiLevelType w:val="singleLevel"/>
    <w:tmpl w:val="162A9803"/>
    <w:lvl w:ilvl="0" w:tentative="0">
      <w:start w:val="2"/>
      <w:numFmt w:val="chineseCounting"/>
      <w:suff w:val="nothing"/>
      <w:lvlText w:val="（%1）"/>
      <w:lvlJc w:val="left"/>
      <w:rPr>
        <w:rFonts w:hint="eastAsia"/>
      </w:rPr>
    </w:lvl>
  </w:abstractNum>
  <w:abstractNum w:abstractNumId="8">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9">
    <w:nsid w:val="1BC8B668"/>
    <w:multiLevelType w:val="singleLevel"/>
    <w:tmpl w:val="1BC8B668"/>
    <w:lvl w:ilvl="0" w:tentative="0">
      <w:start w:val="2"/>
      <w:numFmt w:val="chineseCounting"/>
      <w:suff w:val="nothing"/>
      <w:lvlText w:val="%1、"/>
      <w:lvlJc w:val="left"/>
      <w:rPr>
        <w:rFonts w:hint="eastAsia"/>
      </w:rPr>
    </w:lvl>
  </w:abstractNum>
  <w:abstractNum w:abstractNumId="10">
    <w:nsid w:val="567B2A2F"/>
    <w:multiLevelType w:val="singleLevel"/>
    <w:tmpl w:val="567B2A2F"/>
    <w:lvl w:ilvl="0" w:tentative="0">
      <w:start w:val="2"/>
      <w:numFmt w:val="chineseCounting"/>
      <w:suff w:val="nothing"/>
      <w:lvlText w:val="（%1）"/>
      <w:lvlJc w:val="left"/>
      <w:rPr>
        <w:rFonts w:hint="eastAsia"/>
      </w:rPr>
    </w:lvl>
  </w:abstractNum>
  <w:abstractNum w:abstractNumId="11">
    <w:nsid w:val="5A549600"/>
    <w:multiLevelType w:val="singleLevel"/>
    <w:tmpl w:val="5A549600"/>
    <w:lvl w:ilvl="0" w:tentative="0">
      <w:start w:val="4"/>
      <w:numFmt w:val="decimal"/>
      <w:suff w:val="nothing"/>
      <w:lvlText w:val="%1."/>
      <w:lvlJc w:val="left"/>
    </w:lvl>
  </w:abstractNum>
  <w:abstractNum w:abstractNumId="12">
    <w:nsid w:val="5A54971E"/>
    <w:multiLevelType w:val="singleLevel"/>
    <w:tmpl w:val="5A54971E"/>
    <w:lvl w:ilvl="0" w:tentative="0">
      <w:start w:val="9"/>
      <w:numFmt w:val="decimal"/>
      <w:suff w:val="nothing"/>
      <w:lvlText w:val="%1."/>
      <w:lvlJc w:val="left"/>
    </w:lvl>
  </w:abstractNum>
  <w:abstractNum w:abstractNumId="13">
    <w:nsid w:val="5D5382B5"/>
    <w:multiLevelType w:val="singleLevel"/>
    <w:tmpl w:val="5D5382B5"/>
    <w:lvl w:ilvl="0" w:tentative="0">
      <w:start w:val="1"/>
      <w:numFmt w:val="chineseCounting"/>
      <w:suff w:val="nothing"/>
      <w:lvlText w:val="%1、"/>
      <w:lvlJc w:val="left"/>
    </w:lvl>
  </w:abstractNum>
  <w:num w:numId="1">
    <w:abstractNumId w:val="11"/>
  </w:num>
  <w:num w:numId="2">
    <w:abstractNumId w:val="12"/>
  </w:num>
  <w:num w:numId="3">
    <w:abstractNumId w:val="9"/>
  </w:num>
  <w:num w:numId="4">
    <w:abstractNumId w:val="6"/>
  </w:num>
  <w:num w:numId="5">
    <w:abstractNumId w:val="2"/>
  </w:num>
  <w:num w:numId="6">
    <w:abstractNumId w:val="8"/>
  </w:num>
  <w:num w:numId="7">
    <w:abstractNumId w:val="5"/>
  </w:num>
  <w:num w:numId="8">
    <w:abstractNumId w:val="1"/>
  </w:num>
  <w:num w:numId="9">
    <w:abstractNumId w:val="4"/>
  </w:num>
  <w:num w:numId="10">
    <w:abstractNumId w:val="10"/>
  </w:num>
  <w:num w:numId="11">
    <w:abstractNumId w:val="7"/>
  </w:num>
  <w:num w:numId="12">
    <w:abstractNumId w:val="3"/>
  </w:num>
  <w:num w:numId="13">
    <w:abstractNumId w:val="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12B"/>
    <w:rsid w:val="00FA23E8"/>
    <w:rsid w:val="00FD3CC1"/>
    <w:rsid w:val="00FF1E02"/>
    <w:rsid w:val="00FF30B4"/>
    <w:rsid w:val="02B4615A"/>
    <w:rsid w:val="047D654F"/>
    <w:rsid w:val="049A43CD"/>
    <w:rsid w:val="08345AD6"/>
    <w:rsid w:val="0BBF0531"/>
    <w:rsid w:val="0CEB628F"/>
    <w:rsid w:val="0ED62A80"/>
    <w:rsid w:val="10C055FF"/>
    <w:rsid w:val="10F529AD"/>
    <w:rsid w:val="128C0123"/>
    <w:rsid w:val="139E55A0"/>
    <w:rsid w:val="16BB723D"/>
    <w:rsid w:val="16F13D9A"/>
    <w:rsid w:val="1D421BCA"/>
    <w:rsid w:val="23871A7E"/>
    <w:rsid w:val="240371BF"/>
    <w:rsid w:val="25B46BBD"/>
    <w:rsid w:val="263A2DF9"/>
    <w:rsid w:val="29FD04D3"/>
    <w:rsid w:val="319F7F4E"/>
    <w:rsid w:val="366165E2"/>
    <w:rsid w:val="3ABF06FE"/>
    <w:rsid w:val="3C343393"/>
    <w:rsid w:val="3EB079F2"/>
    <w:rsid w:val="3EC07BFE"/>
    <w:rsid w:val="3F916C9E"/>
    <w:rsid w:val="40901CB4"/>
    <w:rsid w:val="453E098F"/>
    <w:rsid w:val="45B55D39"/>
    <w:rsid w:val="509E3134"/>
    <w:rsid w:val="524B64EE"/>
    <w:rsid w:val="60BA20FD"/>
    <w:rsid w:val="650E292C"/>
    <w:rsid w:val="68F115AD"/>
    <w:rsid w:val="69F110CA"/>
    <w:rsid w:val="6AFC060D"/>
    <w:rsid w:val="6B7F3207"/>
    <w:rsid w:val="6D09099F"/>
    <w:rsid w:val="6EEC1A8A"/>
    <w:rsid w:val="70D35E58"/>
    <w:rsid w:val="712A3F2A"/>
    <w:rsid w:val="75282356"/>
    <w:rsid w:val="76822256"/>
    <w:rsid w:val="79963A14"/>
    <w:rsid w:val="7C965DEA"/>
    <w:rsid w:val="7D3D63CA"/>
    <w:rsid w:val="7DB146BC"/>
    <w:rsid w:val="7DE43961"/>
    <w:rsid w:val="7F902EC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3">
    <w:name w:val="Default Paragraph Font"/>
    <w:unhideWhenUsed/>
    <w:qFormat/>
    <w:uiPriority w:val="1"/>
  </w:style>
  <w:style w:type="table" w:default="1" w:styleId="16">
    <w:name w:val="Normal Table"/>
    <w:unhideWhenUsed/>
    <w:qFormat/>
    <w:uiPriority w:val="99"/>
    <w:tblPr>
      <w:tblLayout w:type="fixed"/>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14:textFill>
        <w14:solidFill>
          <w14:schemeClr w14:val="hlink"/>
        </w14:solidFill>
      </w14:textFill>
    </w:rPr>
  </w:style>
  <w:style w:type="character" w:customStyle="1" w:styleId="17">
    <w:name w:val="Header Char"/>
    <w:basedOn w:val="13"/>
    <w:semiHidden/>
    <w:qFormat/>
    <w:uiPriority w:val="99"/>
    <w:rPr>
      <w:rFonts w:ascii="Times New Roman" w:hAnsi="Times New Roman"/>
      <w:sz w:val="18"/>
      <w:szCs w:val="18"/>
    </w:rPr>
  </w:style>
  <w:style w:type="character" w:customStyle="1" w:styleId="18">
    <w:name w:val="页眉 Char"/>
    <w:link w:val="9"/>
    <w:semiHidden/>
    <w:qFormat/>
    <w:locked/>
    <w:uiPriority w:val="99"/>
    <w:rPr>
      <w:sz w:val="18"/>
    </w:rPr>
  </w:style>
  <w:style w:type="character" w:customStyle="1" w:styleId="19">
    <w:name w:val="Footer Char"/>
    <w:basedOn w:val="13"/>
    <w:semiHidden/>
    <w:qFormat/>
    <w:uiPriority w:val="99"/>
    <w:rPr>
      <w:rFonts w:ascii="Times New Roman" w:hAnsi="Times New Roman"/>
      <w:sz w:val="18"/>
      <w:szCs w:val="18"/>
    </w:rPr>
  </w:style>
  <w:style w:type="character" w:customStyle="1" w:styleId="20">
    <w:name w:val="页脚 Char"/>
    <w:link w:val="8"/>
    <w:qFormat/>
    <w:locked/>
    <w:uiPriority w:val="99"/>
    <w:rPr>
      <w:sz w:val="18"/>
    </w:rPr>
  </w:style>
  <w:style w:type="character" w:customStyle="1" w:styleId="21">
    <w:name w:val="Body Text Char"/>
    <w:basedOn w:val="13"/>
    <w:semiHidden/>
    <w:qFormat/>
    <w:uiPriority w:val="99"/>
    <w:rPr>
      <w:rFonts w:ascii="Times New Roman" w:hAnsi="Times New Roman"/>
      <w:szCs w:val="24"/>
    </w:rPr>
  </w:style>
  <w:style w:type="character" w:customStyle="1" w:styleId="22">
    <w:name w:val="正文文本 Char"/>
    <w:link w:val="5"/>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Char"/>
    <w:basedOn w:val="13"/>
    <w:link w:val="2"/>
    <w:qFormat/>
    <w:uiPriority w:val="9"/>
    <w:rPr>
      <w:rFonts w:ascii="Times New Roman" w:hAnsi="Times New Roman"/>
      <w:b/>
      <w:bCs/>
      <w:kern w:val="44"/>
      <w:sz w:val="44"/>
      <w:szCs w:val="44"/>
    </w:rPr>
  </w:style>
  <w:style w:type="character" w:customStyle="1" w:styleId="26">
    <w:name w:val="标题 2 Char"/>
    <w:basedOn w:val="13"/>
    <w:link w:val="3"/>
    <w:qFormat/>
    <w:uiPriority w:val="9"/>
    <w:rPr>
      <w:rFonts w:asciiTheme="majorHAnsi" w:hAnsiTheme="majorHAnsi" w:eastAsiaTheme="majorEastAsia" w:cstheme="majorBidi"/>
      <w:b/>
      <w:bCs/>
      <w:kern w:val="2"/>
      <w:sz w:val="32"/>
      <w:szCs w:val="32"/>
    </w:rPr>
  </w:style>
  <w:style w:type="paragraph" w:customStyle="1" w:styleId="27">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8">
    <w:name w:val="批注框文本 Char"/>
    <w:basedOn w:val="13"/>
    <w:link w:val="7"/>
    <w:semiHidden/>
    <w:qFormat/>
    <w:uiPriority w:val="99"/>
    <w:rPr>
      <w:rFonts w:ascii="Times New Roman" w:hAnsi="Times New Roman"/>
      <w:kern w:val="2"/>
      <w:sz w:val="18"/>
      <w:szCs w:val="18"/>
    </w:rPr>
  </w:style>
  <w:style w:type="character" w:customStyle="1" w:styleId="29">
    <w:name w:val="标题 3 Char"/>
    <w:basedOn w:val="13"/>
    <w:link w:val="4"/>
    <w:qFormat/>
    <w:uiPriority w:val="9"/>
    <w:rPr>
      <w:rFonts w:ascii="Times New Roman" w:hAnsi="Times New Roman"/>
      <w:b/>
      <w:bCs/>
      <w:kern w:val="2"/>
      <w:sz w:val="32"/>
      <w:szCs w:val="32"/>
    </w:rPr>
  </w:style>
  <w:style w:type="paragraph" w:customStyle="1" w:styleId="30">
    <w:name w:val="p0"/>
    <w:basedOn w:val="1"/>
    <w:qFormat/>
    <w:uiPriority w:val="0"/>
    <w:pPr>
      <w:widowControl/>
      <w:spacing w:before="100" w:beforeAutospacing="1" w:after="100" w:afterAutospacing="1"/>
      <w:jc w:val="left"/>
    </w:pPr>
    <w:rPr>
      <w:rFonts w:ascii="宋体" w:cs="宋体"/>
      <w:kern w:val="0"/>
      <w:sz w:val="24"/>
      <w:szCs w:val="24"/>
      <w:lang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5EE963-AE7E-4F3B-BBF1-9AF15C920BB6}">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22</Pages>
  <Words>1441</Words>
  <Characters>8219</Characters>
  <Lines>68</Lines>
  <Paragraphs>19</Paragraphs>
  <TotalTime>0</TotalTime>
  <ScaleCrop>false</ScaleCrop>
  <LinksUpToDate>false</LinksUpToDate>
  <CharactersWithSpaces>9641</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LENOVO</cp:lastModifiedBy>
  <cp:lastPrinted>2019-08-01T00:48:00Z</cp:lastPrinted>
  <dcterms:modified xsi:type="dcterms:W3CDTF">2019-09-06T11:50:45Z</dcterms:modified>
  <dc:title>四川省***</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