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475"/>
      <w:bookmarkStart w:id="3" w:name="_Toc15377193"/>
      <w:bookmarkStart w:id="4" w:name="_Toc15378441"/>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96598"/>
      <w:bookmarkStart w:id="8" w:name="_Toc15377426"/>
      <w:bookmarkStart w:id="9" w:name="_Toc15378442"/>
      <w:bookmarkStart w:id="10" w:name="_Toc15377194"/>
      <w:r>
        <w:rPr>
          <w:rFonts w:hint="eastAsia" w:ascii="方正小标宋简体" w:hAnsi="宋体" w:eastAsia="方正小标宋简体"/>
          <w:color w:val="000000"/>
          <w:sz w:val="72"/>
          <w:szCs w:val="72"/>
        </w:rPr>
        <w:t>四川省阿坝州红原县</w:t>
      </w:r>
      <w:bookmarkEnd w:id="0"/>
      <w:bookmarkStart w:id="11" w:name="_Toc15306268"/>
      <w:r>
        <w:rPr>
          <w:rFonts w:hint="eastAsia" w:ascii="方正小标宋简体" w:hAnsi="宋体" w:eastAsia="方正小标宋简体"/>
          <w:color w:val="000000"/>
          <w:sz w:val="72"/>
          <w:szCs w:val="72"/>
        </w:rPr>
        <w:t>妇幼保健院部门决算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
      <w:pPr>
        <w:pStyle w:val="11"/>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2"/>
        <w:adjustRightInd w:val="0"/>
        <w:snapToGrid w:val="0"/>
        <w:spacing w:line="440" w:lineRule="exact"/>
        <w:jc w:val="left"/>
        <w:rPr>
          <w:rFonts w:ascii="仿宋" w:hAnsi="仿宋" w:eastAsia="仿宋"/>
          <w:sz w:val="24"/>
        </w:rPr>
      </w:pPr>
      <w:r>
        <w:rPr>
          <w:rFonts w:hint="eastAsia"/>
          <w:sz w:val="24"/>
        </w:rPr>
        <w:t>一、基本职能及主要工作</w:t>
      </w:r>
    </w:p>
    <w:p>
      <w:pPr>
        <w:pStyle w:val="12"/>
        <w:adjustRightInd w:val="0"/>
        <w:snapToGrid w:val="0"/>
        <w:spacing w:line="440" w:lineRule="exact"/>
        <w:jc w:val="left"/>
        <w:rPr>
          <w:rFonts w:ascii="仿宋" w:hAnsi="仿宋" w:eastAsia="仿宋" w:cstheme="minorBidi"/>
          <w:sz w:val="24"/>
        </w:rPr>
      </w:pPr>
      <w:r>
        <w:rPr>
          <w:rFonts w:hint="eastAsia"/>
          <w:sz w:val="24"/>
        </w:rPr>
        <w:t>二、机构设置</w:t>
      </w:r>
    </w:p>
    <w:p>
      <w:pPr>
        <w:pStyle w:val="11"/>
        <w:adjustRightInd w:val="0"/>
        <w:snapToGrid w:val="0"/>
        <w:spacing w:before="0" w:line="440" w:lineRule="exact"/>
        <w:jc w:val="left"/>
        <w:rPr>
          <w:sz w:val="24"/>
          <w:szCs w:val="24"/>
        </w:rPr>
      </w:pPr>
      <w:r>
        <w:rPr>
          <w:rFonts w:hint="eastAsia"/>
          <w:sz w:val="24"/>
        </w:rPr>
        <w:t>第二部分度部门决算情况说明</w:t>
      </w:r>
    </w:p>
    <w:p>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2"/>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pPr>
        <w:adjustRightInd w:val="0"/>
        <w:snapToGrid w:val="0"/>
        <w:spacing w:line="440" w:lineRule="exact"/>
        <w:ind w:firstLine="480" w:firstLineChars="200"/>
        <w:jc w:val="left"/>
        <w:rPr>
          <w:rFonts w:ascii="仿宋" w:hAnsi="仿宋" w:eastAsia="仿宋" w:cstheme="minorBidi"/>
          <w:sz w:val="24"/>
        </w:rPr>
      </w:pPr>
      <w:r>
        <w:rPr>
          <w:rStyle w:val="17"/>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p>
    <w:p>
      <w:pPr>
        <w:pStyle w:val="11"/>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1"/>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2"/>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pPr>
        <w:pStyle w:val="12"/>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pPr>
        <w:pStyle w:val="11"/>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2"/>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widowControl/>
        <w:adjustRightInd w:val="0"/>
        <w:snapToGrid w:val="0"/>
        <w:spacing w:line="440" w:lineRule="exact"/>
        <w:ind w:firstLine="1320" w:firstLineChars="550"/>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spacing w:line="240" w:lineRule="auto"/>
        <w:ind w:left="210" w:leftChars="100"/>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pStyle w:val="3"/>
        <w:spacing w:line="240" w:lineRule="auto"/>
        <w:ind w:left="210" w:leftChars="100"/>
        <w:jc w:val="left"/>
        <w:rPr>
          <w:rStyle w:val="27"/>
          <w:rFonts w:ascii="仿宋_GB2312" w:hAnsi="仿宋_GB2312" w:eastAsia="仿宋_GB2312" w:cs="仿宋_GB2312"/>
          <w:b w:val="0"/>
          <w:bCs/>
          <w:sz w:val="30"/>
          <w:szCs w:val="30"/>
        </w:rPr>
      </w:pPr>
      <w:bookmarkStart w:id="14" w:name="_Toc15396600"/>
      <w:bookmarkStart w:id="15" w:name="_Toc15377197"/>
      <w:r>
        <w:rPr>
          <w:rFonts w:hint="eastAsia" w:ascii="仿宋_GB2312" w:hAnsi="仿宋_GB2312" w:eastAsia="仿宋_GB2312" w:cs="仿宋_GB2312"/>
          <w:b w:val="0"/>
          <w:color w:val="000000"/>
          <w:sz w:val="30"/>
          <w:szCs w:val="30"/>
        </w:rPr>
        <w:t>一、基</w:t>
      </w:r>
      <w:r>
        <w:rPr>
          <w:rStyle w:val="27"/>
          <w:rFonts w:hint="eastAsia" w:ascii="仿宋_GB2312" w:hAnsi="仿宋_GB2312" w:eastAsia="仿宋_GB2312" w:cs="仿宋_GB2312"/>
          <w:b w:val="0"/>
          <w:bCs/>
          <w:sz w:val="30"/>
          <w:szCs w:val="30"/>
        </w:rPr>
        <w:t>本职能及主要工作</w:t>
      </w:r>
      <w:bookmarkEnd w:id="14"/>
      <w:bookmarkEnd w:id="15"/>
    </w:p>
    <w:p>
      <w:pPr>
        <w:pStyle w:val="3"/>
        <w:spacing w:line="240" w:lineRule="auto"/>
        <w:ind w:left="210" w:leftChars="100"/>
        <w:jc w:val="left"/>
        <w:rPr>
          <w:rFonts w:ascii="仿宋_GB2312" w:hAnsi="仿宋_GB2312" w:eastAsia="仿宋_GB2312" w:cs="仿宋_GB2312"/>
          <w:b w:val="0"/>
          <w:color w:val="000000"/>
          <w:sz w:val="30"/>
          <w:szCs w:val="30"/>
        </w:rPr>
      </w:pPr>
      <w:bookmarkStart w:id="16" w:name="_Toc15377198"/>
      <w:bookmarkStart w:id="17" w:name="_Toc15378445"/>
      <w:bookmarkStart w:id="18" w:name="_Toc15396601"/>
      <w:bookmarkStart w:id="19" w:name="_Toc15377200"/>
      <w:r>
        <w:rPr>
          <w:rFonts w:hint="eastAsia" w:ascii="仿宋_GB2312" w:hAnsi="仿宋_GB2312" w:eastAsia="仿宋_GB2312" w:cs="仿宋_GB2312"/>
          <w:b w:val="0"/>
          <w:color w:val="000000"/>
          <w:sz w:val="30"/>
          <w:szCs w:val="30"/>
        </w:rPr>
        <w:t>（一）</w:t>
      </w:r>
      <w:bookmarkEnd w:id="16"/>
      <w:bookmarkEnd w:id="17"/>
      <w:r>
        <w:rPr>
          <w:rFonts w:hint="eastAsia" w:ascii="仿宋_GB2312" w:hAnsi="仿宋_GB2312" w:eastAsia="仿宋_GB2312" w:cs="仿宋_GB2312"/>
          <w:b w:val="0"/>
          <w:color w:val="000000"/>
          <w:sz w:val="30"/>
          <w:szCs w:val="30"/>
        </w:rPr>
        <w:t>我院基本职能是从事全县妇幼卫生保健的指导、培训和督导工作、重大妇幼公共卫生项目开展实施工作、妇幼常见病和多发病的诊治工作。</w:t>
      </w:r>
      <w:bookmarkStart w:id="20" w:name="_Toc15377199"/>
      <w:bookmarkStart w:id="21" w:name="_Toc15378446"/>
    </w:p>
    <w:p>
      <w:pPr>
        <w:pStyle w:val="3"/>
        <w:spacing w:line="240" w:lineRule="auto"/>
        <w:ind w:left="210" w:leftChars="100"/>
        <w:jc w:val="left"/>
        <w:rPr>
          <w:rFonts w:ascii="仿宋_GB2312" w:hAnsi="仿宋_GB2312" w:eastAsia="仿宋_GB2312" w:cs="仿宋_GB2312"/>
          <w:b w:val="0"/>
          <w:color w:val="000000"/>
          <w:sz w:val="30"/>
          <w:szCs w:val="30"/>
        </w:rPr>
      </w:pPr>
      <w:r>
        <w:rPr>
          <w:rFonts w:hint="eastAsia" w:ascii="仿宋_GB2312" w:hAnsi="仿宋_GB2312" w:eastAsia="仿宋_GB2312" w:cs="仿宋_GB2312"/>
          <w:b w:val="0"/>
          <w:color w:val="000000"/>
          <w:sz w:val="30"/>
          <w:szCs w:val="30"/>
        </w:rPr>
        <w:t>（二）本年度重点工作完成情况：</w:t>
      </w:r>
      <w:bookmarkEnd w:id="20"/>
      <w:bookmarkEnd w:id="21"/>
      <w:r>
        <w:rPr>
          <w:rFonts w:hint="eastAsia" w:ascii="仿宋_GB2312" w:hAnsi="仿宋_GB2312" w:eastAsia="仿宋_GB2312" w:cs="仿宋_GB2312"/>
          <w:b w:val="0"/>
          <w:color w:val="000000"/>
          <w:sz w:val="30"/>
          <w:szCs w:val="30"/>
        </w:rPr>
        <w:t>我院本年度按照计划开展了包括贫困地区儿童营养改善项目、防止乙肝、梅毒和艾滋病母婴转播项目、新生儿筛查工作、妇女病普查项目、妇女两癌筛查项目、免费孕前优生优育检查项目、免费婚前医学检查项目、免费计划生育节育手术、免费避孕药具发放以及药具管理项目等多个民生项目工程，得到了老百姓一致的好评和称赞，达到了项目计划的预期目标，其中免费提供避孕药具管理工作荣获阿坝州2019年度药具管理工作评比一等奖。</w:t>
      </w:r>
    </w:p>
    <w:p>
      <w:pPr>
        <w:pStyle w:val="3"/>
        <w:spacing w:line="240" w:lineRule="auto"/>
        <w:ind w:left="210" w:leftChars="100"/>
        <w:jc w:val="left"/>
        <w:rPr>
          <w:rFonts w:ascii="仿宋_GB2312" w:hAnsi="仿宋_GB2312" w:eastAsia="仿宋_GB2312" w:cs="仿宋_GB2312"/>
          <w:b w:val="0"/>
          <w:sz w:val="30"/>
          <w:szCs w:val="30"/>
        </w:rPr>
      </w:pPr>
      <w:r>
        <w:rPr>
          <w:rFonts w:hint="eastAsia" w:ascii="仿宋_GB2312" w:hAnsi="仿宋_GB2312" w:eastAsia="仿宋_GB2312" w:cs="仿宋_GB2312"/>
          <w:b w:val="0"/>
          <w:color w:val="000000"/>
          <w:sz w:val="30"/>
          <w:szCs w:val="30"/>
        </w:rPr>
        <w:t>二、机</w:t>
      </w:r>
      <w:r>
        <w:rPr>
          <w:rStyle w:val="27"/>
          <w:rFonts w:hint="eastAsia" w:ascii="仿宋_GB2312" w:hAnsi="仿宋_GB2312" w:eastAsia="仿宋_GB2312" w:cs="仿宋_GB2312"/>
          <w:b w:val="0"/>
          <w:bCs/>
          <w:sz w:val="30"/>
          <w:szCs w:val="30"/>
        </w:rPr>
        <w:t>构设置</w:t>
      </w:r>
      <w:bookmarkEnd w:id="18"/>
      <w:bookmarkEnd w:id="19"/>
    </w:p>
    <w:p>
      <w:pPr>
        <w:pStyle w:val="6"/>
        <w:adjustRightInd w:val="0"/>
        <w:snapToGrid w:val="0"/>
        <w:spacing w:before="93" w:line="360" w:lineRule="auto"/>
        <w:ind w:left="210" w:leftChars="100" w:firstLine="600" w:firstLineChars="200"/>
        <w:jc w:val="left"/>
        <w:rPr>
          <w:rFonts w:hAnsi="仿宋_GB2312" w:cs="仿宋_GB2312"/>
          <w:bCs/>
          <w:szCs w:val="30"/>
        </w:rPr>
      </w:pPr>
      <w:r>
        <w:rPr>
          <w:rFonts w:hint="eastAsia" w:hAnsi="仿宋_GB2312" w:cs="仿宋_GB2312"/>
          <w:bCs/>
          <w:szCs w:val="30"/>
        </w:rPr>
        <w:t>我院为红原县卫生健康局下属二级预算单位，属全额拨款公益一类事业单位，下设妇女保健部、计划生育部、孕产保健部、信息健教科、财务科、药械科、院感科、护理部、医技科共9个科室。</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6"/>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2019年度收入总计736.49万元、支出总计703.2万元。与2018年相比，收入总计减少462.66万元，减少38.58%；支出总计减少495.95万元，减少41.35%。主要变动原因是财政项目拨款减少。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0288" behindDoc="0" locked="0" layoutInCell="1" allowOverlap="1">
            <wp:simplePos x="0" y="0"/>
            <wp:positionH relativeFrom="column">
              <wp:posOffset>-33655</wp:posOffset>
            </wp:positionH>
            <wp:positionV relativeFrom="paragraph">
              <wp:posOffset>50165</wp:posOffset>
            </wp:positionV>
            <wp:extent cx="4572635" cy="2746375"/>
            <wp:effectExtent l="4445" t="4445" r="13970" b="11430"/>
            <wp:wrapSquare wrapText="r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jc w:val="left"/>
        <w:rPr>
          <w:rFonts w:ascii="仿宋_GB2312" w:eastAsia="仿宋_GB2312"/>
          <w:color w:val="000000"/>
          <w:sz w:val="32"/>
          <w:szCs w:val="32"/>
        </w:rPr>
      </w:pPr>
    </w:p>
    <w:p>
      <w:pPr>
        <w:pStyle w:val="25"/>
        <w:numPr>
          <w:ilvl w:val="0"/>
          <w:numId w:val="1"/>
        </w:numPr>
        <w:spacing w:line="600" w:lineRule="exact"/>
        <w:ind w:firstLineChars="0"/>
        <w:outlineLvl w:val="1"/>
        <w:rPr>
          <w:rStyle w:val="2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9年本年收入合计736.49万元，其中：一般公共预算财政拨款收入599.41万元，占81.39</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；事业收入7.51万元，占1</w:t>
      </w:r>
      <w:r>
        <w:rPr>
          <w:rFonts w:ascii="仿宋" w:hAnsi="仿宋" w:eastAsia="仿宋"/>
          <w:color w:val="000000"/>
          <w:sz w:val="32"/>
          <w:szCs w:val="32"/>
        </w:rPr>
        <w:t>%</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；项目资金结转结余收入129.57万元，占17.61</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305435</wp:posOffset>
            </wp:positionH>
            <wp:positionV relativeFrom="paragraph">
              <wp:posOffset>-100330</wp:posOffset>
            </wp:positionV>
            <wp:extent cx="4346575" cy="2233930"/>
            <wp:effectExtent l="4445" t="4445" r="11430" b="9525"/>
            <wp:wrapSquare wrapText="r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_GB2312" w:eastAsia="仿宋_GB2312"/>
          <w:color w:val="FF0000"/>
          <w:sz w:val="32"/>
          <w:szCs w:val="32"/>
        </w:rPr>
      </w:pPr>
    </w:p>
    <w:p>
      <w:pPr>
        <w:pStyle w:val="25"/>
        <w:numPr>
          <w:ilvl w:val="0"/>
          <w:numId w:val="1"/>
        </w:numPr>
        <w:spacing w:line="600" w:lineRule="exact"/>
        <w:ind w:firstLineChars="0"/>
        <w:outlineLvl w:val="1"/>
        <w:rPr>
          <w:rStyle w:val="2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9年本年支出合计703.2万元，其中：基本支出516.43万元，占73.44</w:t>
      </w:r>
      <w:r>
        <w:rPr>
          <w:rFonts w:ascii="仿宋" w:hAnsi="仿宋" w:eastAsia="仿宋"/>
          <w:color w:val="000000"/>
          <w:sz w:val="32"/>
          <w:szCs w:val="32"/>
        </w:rPr>
        <w:t>%</w:t>
      </w:r>
      <w:r>
        <w:rPr>
          <w:rFonts w:hint="eastAsia" w:ascii="仿宋" w:hAnsi="仿宋" w:eastAsia="仿宋"/>
          <w:color w:val="000000"/>
          <w:sz w:val="32"/>
          <w:szCs w:val="32"/>
        </w:rPr>
        <w:t>；项目支出186.77万元，占26.56</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72576" behindDoc="0" locked="0" layoutInCell="1" allowOverlap="1">
            <wp:simplePos x="0" y="0"/>
            <wp:positionH relativeFrom="column">
              <wp:posOffset>4445</wp:posOffset>
            </wp:positionH>
            <wp:positionV relativeFrom="paragraph">
              <wp:posOffset>9525</wp:posOffset>
            </wp:positionV>
            <wp:extent cx="4013200" cy="2157095"/>
            <wp:effectExtent l="4445" t="4445" r="20955" b="10160"/>
            <wp:wrapSquare wrapText="r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 w:hAnsi="仿宋" w:eastAsia="仿宋"/>
          <w:color w:val="000000"/>
          <w:sz w:val="32"/>
          <w:szCs w:val="32"/>
        </w:rPr>
        <w:br w:type="textWrapp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ascii="黑体" w:hAnsi="黑体" w:eastAsia="黑体"/>
          <w:color w:val="000000"/>
          <w:sz w:val="32"/>
          <w:szCs w:val="32"/>
        </w:rPr>
      </w:pPr>
      <w:bookmarkStart w:id="30" w:name="_Toc15377208"/>
      <w:bookmarkStart w:id="31" w:name="_Toc15396606"/>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spacing w:line="600" w:lineRule="exact"/>
        <w:ind w:firstLine="640" w:firstLineChars="200"/>
        <w:outlineLvl w:val="1"/>
        <w:rPr>
          <w:rFonts w:ascii="仿宋" w:hAnsi="仿宋" w:eastAsia="仿宋"/>
          <w:color w:val="000000"/>
          <w:sz w:val="32"/>
          <w:szCs w:val="32"/>
        </w:rPr>
      </w:pPr>
      <w:bookmarkStart w:id="32" w:name="_Toc15396607"/>
      <w:bookmarkStart w:id="33" w:name="_Toc15377209"/>
      <w:r>
        <w:rPr>
          <w:rFonts w:ascii="仿宋" w:hAnsi="仿宋" w:eastAsia="仿宋"/>
          <w:color w:val="000000"/>
          <w:sz w:val="32"/>
          <w:szCs w:val="32"/>
        </w:rPr>
        <w:t>201</w:t>
      </w:r>
      <w:r>
        <w:rPr>
          <w:rFonts w:hint="eastAsia" w:ascii="仿宋" w:hAnsi="仿宋" w:eastAsia="仿宋"/>
          <w:color w:val="000000"/>
          <w:sz w:val="32"/>
          <w:szCs w:val="32"/>
        </w:rPr>
        <w:t>9年财政拨款收入总计599.41万元、支出总计703.2万元。与</w:t>
      </w:r>
      <w:r>
        <w:rPr>
          <w:rFonts w:ascii="仿宋" w:hAnsi="仿宋" w:eastAsia="仿宋"/>
          <w:color w:val="000000"/>
          <w:sz w:val="32"/>
          <w:szCs w:val="32"/>
        </w:rPr>
        <w:t>201</w:t>
      </w:r>
      <w:r>
        <w:rPr>
          <w:rFonts w:hint="eastAsia" w:ascii="仿宋" w:hAnsi="仿宋" w:eastAsia="仿宋"/>
          <w:color w:val="000000"/>
          <w:sz w:val="32"/>
          <w:szCs w:val="32"/>
        </w:rPr>
        <w:t>8年相比，财政拨款收入减少87.28万元、减少12.7</w:t>
      </w:r>
      <w:r>
        <w:rPr>
          <w:rFonts w:ascii="仿宋" w:hAnsi="仿宋" w:eastAsia="仿宋"/>
          <w:color w:val="000000"/>
          <w:sz w:val="32"/>
          <w:szCs w:val="32"/>
        </w:rPr>
        <w:t>%</w:t>
      </w:r>
      <w:r>
        <w:rPr>
          <w:rFonts w:hint="eastAsia" w:ascii="仿宋" w:hAnsi="仿宋" w:eastAsia="仿宋"/>
          <w:color w:val="000000"/>
          <w:sz w:val="32"/>
          <w:szCs w:val="32"/>
        </w:rPr>
        <w:t>；支出总计减少413.82万元，减少37</w:t>
      </w:r>
      <w:r>
        <w:rPr>
          <w:rFonts w:ascii="仿宋" w:hAnsi="仿宋" w:eastAsia="仿宋"/>
          <w:color w:val="000000"/>
          <w:sz w:val="32"/>
          <w:szCs w:val="32"/>
        </w:rPr>
        <w:t>%</w:t>
      </w:r>
      <w:r>
        <w:rPr>
          <w:rFonts w:hint="eastAsia" w:ascii="仿宋" w:hAnsi="仿宋" w:eastAsia="仿宋"/>
          <w:color w:val="000000"/>
          <w:sz w:val="32"/>
          <w:szCs w:val="32"/>
        </w:rPr>
        <w:t>。主要变动原因是项目经费减少。</w:t>
      </w:r>
    </w:p>
    <w:p>
      <w:pPr>
        <w:spacing w:line="600" w:lineRule="exact"/>
        <w:ind w:firstLine="420" w:firstLineChars="200"/>
        <w:outlineLvl w:val="1"/>
        <w:rPr>
          <w:rFonts w:ascii="仿宋" w:hAnsi="仿宋" w:eastAsia="仿宋"/>
          <w:color w:val="000000"/>
          <w:sz w:val="32"/>
          <w:szCs w:val="32"/>
        </w:rPr>
      </w:pPr>
      <w:r>
        <w:pict>
          <v:shape id="_x0000_s1026" o:spid="_x0000_s1026" o:spt="202" type="#_x0000_t202" style="position:absolute;left:0pt;margin-left:24pt;margin-top:235.5pt;height:0.05pt;width:360.05pt;mso-wrap-distance-bottom:0pt;mso-wrap-distance-left:9pt;mso-wrap-distance-right:9pt;mso-wrap-distance-top:0pt;z-index:251708416;mso-width-relative:page;mso-height-relative:page;" stroked="f" coordsize="21600,21600">
            <v:path/>
            <v:fill focussize="0,0"/>
            <v:stroke on="f" joinstyle="miter"/>
            <v:imagedata o:title=""/>
            <o:lock v:ext="edit"/>
            <v:textbox inset="0mm,0mm,0mm,0mm" style="mso-fit-shape-to-text:t;">
              <w:txbxContent>
                <w:p>
                  <w:pPr>
                    <w:pStyle w:val="5"/>
                    <w:rPr>
                      <w:rFonts w:hint="eastAsia"/>
                    </w:rPr>
                  </w:pPr>
                  <w:r>
                    <w:rPr>
                      <w:rFonts w:hint="eastAsia"/>
                    </w:rPr>
                    <w:t>2018年收入        2019年收入         2018年支出        2019年支出</w:t>
                  </w:r>
                </w:p>
                <w:p>
                  <w:r>
                    <w:rPr>
                      <w:rFonts w:hint="eastAsia"/>
                    </w:rPr>
                    <w:t xml:space="preserve">686.69            599.41               1117.02           703.2       </w:t>
                  </w:r>
                </w:p>
              </w:txbxContent>
            </v:textbox>
            <w10:wrap type="square" side="right"/>
          </v:shape>
        </w:pict>
      </w:r>
      <w:r>
        <w:rPr>
          <w:rFonts w:ascii="仿宋" w:hAnsi="仿宋" w:eastAsia="仿宋"/>
          <w:color w:val="000000"/>
          <w:sz w:val="32"/>
          <w:szCs w:val="32"/>
        </w:rPr>
        <w:drawing>
          <wp:anchor distT="0" distB="0" distL="114300" distR="114300" simplePos="0" relativeHeight="251681792" behindDoc="0" locked="0" layoutInCell="1" allowOverlap="1">
            <wp:simplePos x="0" y="0"/>
            <wp:positionH relativeFrom="column">
              <wp:posOffset>304800</wp:posOffset>
            </wp:positionH>
            <wp:positionV relativeFrom="paragraph">
              <wp:posOffset>209550</wp:posOffset>
            </wp:positionV>
            <wp:extent cx="4572635" cy="2724150"/>
            <wp:effectExtent l="19050" t="0" r="18415" b="0"/>
            <wp:wrapSquare wrapText="r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br w:type="textWrapping"/>
      </w: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9年一般公共预算财政拨款支出703.2万元，占本年支出合计的100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8年相比，一般公共预算财政拨款减少413.83万元，减少37</w:t>
      </w:r>
      <w:r>
        <w:rPr>
          <w:rFonts w:ascii="仿宋" w:hAnsi="仿宋" w:eastAsia="仿宋"/>
          <w:color w:val="000000"/>
          <w:sz w:val="32"/>
          <w:szCs w:val="32"/>
        </w:rPr>
        <w:t>%</w:t>
      </w:r>
      <w:r>
        <w:rPr>
          <w:rFonts w:hint="eastAsia" w:ascii="仿宋" w:hAnsi="仿宋" w:eastAsia="仿宋"/>
          <w:color w:val="000000"/>
          <w:sz w:val="32"/>
          <w:szCs w:val="32"/>
        </w:rPr>
        <w:t>。主要变动原因是项目经费减少。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w:t>
      </w:r>
    </w:p>
    <w:p>
      <w:pPr>
        <w:spacing w:line="600" w:lineRule="exact"/>
        <w:ind w:firstLine="420" w:firstLineChars="200"/>
        <w:rPr>
          <w:rFonts w:ascii="仿宋" w:hAnsi="仿宋" w:eastAsia="仿宋"/>
          <w:color w:val="000000"/>
          <w:sz w:val="32"/>
          <w:szCs w:val="32"/>
        </w:rPr>
      </w:pPr>
      <w:r>
        <w:pict>
          <v:shape id="_x0000_s1027" o:spid="_x0000_s1027" o:spt="202" type="#_x0000_t202" style="position:absolute;left:0pt;margin-left:39pt;margin-top:172.1pt;height:0.05pt;width:274.15pt;mso-wrap-distance-bottom:0pt;mso-wrap-distance-left:9pt;mso-wrap-distance-right:9pt;mso-wrap-distance-top:0pt;z-index:251710464;mso-width-relative:page;mso-height-relative:page;" stroked="f" coordsize="21600,21600">
            <v:path/>
            <v:fill focussize="0,0"/>
            <v:stroke on="f" joinstyle="miter"/>
            <v:imagedata o:title=""/>
            <o:lock v:ext="edit"/>
            <v:textbox inset="0mm,0mm,0mm,0mm" style="mso-fit-shape-to-text:t;">
              <w:txbxContent>
                <w:p>
                  <w:pPr>
                    <w:pStyle w:val="5"/>
                    <w:ind w:firstLine="300" w:firstLineChars="100"/>
                    <w:rPr>
                      <w:rFonts w:hint="eastAsia" w:ascii="仿宋" w:hAnsi="仿宋" w:eastAsia="仿宋" w:cs="Times New Roman"/>
                      <w:color w:val="000000" w:themeColor="text1"/>
                      <w:sz w:val="30"/>
                      <w:szCs w:val="30"/>
                    </w:rPr>
                  </w:pPr>
                  <w:r>
                    <w:rPr>
                      <w:rFonts w:hint="eastAsia" w:ascii="仿宋" w:hAnsi="仿宋" w:eastAsia="仿宋" w:cs="Times New Roman"/>
                      <w:color w:val="000000" w:themeColor="text1"/>
                      <w:sz w:val="30"/>
                      <w:szCs w:val="30"/>
                    </w:rPr>
                    <w:t>2018年支出           2019年支出</w:t>
                  </w:r>
                </w:p>
                <w:p>
                  <w:pPr>
                    <w:ind w:firstLine="315" w:firstLineChars="150"/>
                  </w:pPr>
                  <w:r>
                    <w:rPr>
                      <w:rFonts w:hint="eastAsia"/>
                    </w:rPr>
                    <w:t>1117.02                        703.2</w:t>
                  </w:r>
                </w:p>
              </w:txbxContent>
            </v:textbox>
            <w10:wrap type="square" side="right"/>
          </v:shape>
        </w:pict>
      </w:r>
      <w:r>
        <w:rPr>
          <w:rFonts w:ascii="仿宋" w:hAnsi="仿宋" w:eastAsia="仿宋"/>
          <w:color w:val="C0504D" w:themeColor="accent2"/>
          <w:sz w:val="32"/>
          <w:szCs w:val="32"/>
        </w:rPr>
        <w:drawing>
          <wp:anchor distT="0" distB="0" distL="114300" distR="114300" simplePos="0" relativeHeight="251693056" behindDoc="0" locked="0" layoutInCell="1" allowOverlap="1">
            <wp:simplePos x="0" y="0"/>
            <wp:positionH relativeFrom="column">
              <wp:posOffset>495300</wp:posOffset>
            </wp:positionH>
            <wp:positionV relativeFrom="paragraph">
              <wp:posOffset>80645</wp:posOffset>
            </wp:positionV>
            <wp:extent cx="3481705" cy="2047875"/>
            <wp:effectExtent l="19050" t="0" r="23495" b="0"/>
            <wp:wrapSquare wrapText="r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35" w:name="_Toc15377211"/>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pPr>
        <w:spacing w:line="600" w:lineRule="exact"/>
        <w:ind w:firstLine="640" w:firstLineChars="200"/>
        <w:outlineLvl w:val="2"/>
        <w:rPr>
          <w:rFonts w:ascii="仿宋" w:hAnsi="仿宋" w:eastAsia="仿宋"/>
          <w:color w:val="000000"/>
          <w:sz w:val="32"/>
          <w:szCs w:val="32"/>
        </w:rPr>
      </w:pPr>
      <w:bookmarkStart w:id="36" w:name="_Toc15377212"/>
      <w:r>
        <w:rPr>
          <w:rFonts w:ascii="仿宋" w:hAnsi="仿宋" w:eastAsia="仿宋"/>
          <w:color w:val="000000"/>
          <w:sz w:val="32"/>
          <w:szCs w:val="32"/>
        </w:rPr>
        <w:t>201</w:t>
      </w:r>
      <w:r>
        <w:rPr>
          <w:rFonts w:hint="eastAsia" w:ascii="仿宋" w:hAnsi="仿宋" w:eastAsia="仿宋"/>
          <w:color w:val="000000"/>
          <w:sz w:val="32"/>
          <w:szCs w:val="32"/>
        </w:rPr>
        <w:t>9年一般公共预算财政拨款支出703.2万元，主要用于以下方面</w:t>
      </w:r>
      <w:r>
        <w:rPr>
          <w:rFonts w:ascii="仿宋" w:hAnsi="仿宋" w:eastAsia="仿宋"/>
          <w:color w:val="000000"/>
          <w:sz w:val="32"/>
          <w:szCs w:val="32"/>
        </w:rPr>
        <w:t>:</w:t>
      </w:r>
      <w:r>
        <w:rPr>
          <w:rFonts w:hint="eastAsia" w:ascii="仿宋" w:hAnsi="仿宋" w:eastAsia="仿宋"/>
          <w:color w:val="000000"/>
          <w:sz w:val="32"/>
          <w:szCs w:val="32"/>
        </w:rPr>
        <w:t>208社会保障和就业支出支出71.37万元，占10.15</w:t>
      </w:r>
      <w:r>
        <w:rPr>
          <w:rFonts w:ascii="仿宋" w:hAnsi="仿宋" w:eastAsia="仿宋"/>
          <w:color w:val="000000"/>
          <w:sz w:val="32"/>
          <w:szCs w:val="32"/>
        </w:rPr>
        <w:t>%</w:t>
      </w:r>
      <w:r>
        <w:rPr>
          <w:rFonts w:hint="eastAsia" w:ascii="仿宋" w:hAnsi="仿宋" w:eastAsia="仿宋"/>
          <w:color w:val="000000"/>
          <w:sz w:val="32"/>
          <w:szCs w:val="32"/>
        </w:rPr>
        <w:t>；210医疗卫生和计划生育支出564.44万元，占80.27</w:t>
      </w:r>
      <w:r>
        <w:rPr>
          <w:rFonts w:ascii="仿宋" w:hAnsi="仿宋" w:eastAsia="仿宋"/>
          <w:color w:val="000000"/>
          <w:sz w:val="32"/>
          <w:szCs w:val="32"/>
        </w:rPr>
        <w:t>%</w:t>
      </w:r>
      <w:r>
        <w:rPr>
          <w:rFonts w:hint="eastAsia" w:ascii="仿宋" w:hAnsi="仿宋" w:eastAsia="仿宋"/>
          <w:color w:val="000000"/>
          <w:sz w:val="32"/>
          <w:szCs w:val="32"/>
        </w:rPr>
        <w:t>；221住房保障支出40.31万元，占5.7</w:t>
      </w:r>
      <w:r>
        <w:rPr>
          <w:rFonts w:ascii="仿宋" w:hAnsi="仿宋" w:eastAsia="仿宋"/>
          <w:color w:val="000000"/>
          <w:sz w:val="32"/>
          <w:szCs w:val="32"/>
        </w:rPr>
        <w:t>%</w:t>
      </w:r>
      <w:r>
        <w:rPr>
          <w:rFonts w:hint="eastAsia" w:ascii="仿宋" w:hAnsi="仿宋" w:eastAsia="仿宋"/>
          <w:color w:val="000000"/>
          <w:sz w:val="32"/>
          <w:szCs w:val="32"/>
        </w:rPr>
        <w:t>；213其他扶贫支出27.08，占3.88%。</w:t>
      </w:r>
    </w:p>
    <w:p>
      <w:p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rPr>
        <w:t>（罗列全部功能分类科目，至类级。）</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706368" behindDoc="0" locked="0" layoutInCell="1" allowOverlap="1">
            <wp:simplePos x="0" y="0"/>
            <wp:positionH relativeFrom="column">
              <wp:posOffset>421005</wp:posOffset>
            </wp:positionH>
            <wp:positionV relativeFrom="paragraph">
              <wp:posOffset>309880</wp:posOffset>
            </wp:positionV>
            <wp:extent cx="4307205" cy="2204720"/>
            <wp:effectExtent l="19050" t="0" r="17145" b="5080"/>
            <wp:wrapSquare wrapText="r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2"/>
        <w:rPr>
          <w:rFonts w:ascii="仿宋" w:hAnsi="仿宋" w:eastAsia="仿宋"/>
          <w:color w:val="000000"/>
          <w:sz w:val="32"/>
          <w:szCs w:val="32"/>
        </w:rPr>
      </w:pPr>
    </w:p>
    <w:p>
      <w:pPr>
        <w:spacing w:line="600" w:lineRule="exact"/>
        <w:ind w:firstLine="640" w:firstLineChars="200"/>
        <w:outlineLvl w:val="2"/>
        <w:rPr>
          <w:rFonts w:ascii="仿宋" w:hAnsi="仿宋" w:eastAsia="仿宋"/>
          <w:color w:val="000000"/>
          <w:sz w:val="32"/>
          <w:szCs w:val="32"/>
        </w:rPr>
      </w:pPr>
    </w:p>
    <w:p>
      <w:pPr>
        <w:spacing w:line="600" w:lineRule="exact"/>
        <w:ind w:firstLine="640" w:firstLineChars="200"/>
        <w:outlineLvl w:val="2"/>
        <w:rPr>
          <w:rFonts w:ascii="仿宋" w:hAnsi="仿宋" w:eastAsia="仿宋"/>
          <w:color w:val="000000"/>
          <w:sz w:val="32"/>
          <w:szCs w:val="32"/>
        </w:rPr>
      </w:pPr>
    </w:p>
    <w:p>
      <w:pPr>
        <w:spacing w:line="600" w:lineRule="exact"/>
        <w:ind w:firstLine="640" w:firstLineChars="200"/>
        <w:outlineLvl w:val="2"/>
        <w:rPr>
          <w:rFonts w:ascii="仿宋" w:hAnsi="仿宋" w:eastAsia="仿宋"/>
          <w:color w:val="000000"/>
          <w:sz w:val="32"/>
          <w:szCs w:val="32"/>
        </w:rPr>
      </w:pP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br w:type="textWrapping"/>
      </w:r>
    </w:p>
    <w:p>
      <w:pPr>
        <w:numPr>
          <w:ilvl w:val="0"/>
          <w:numId w:val="2"/>
        </w:num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一般公共预算财政拨款支出决算具体情况</w:t>
      </w:r>
      <w:bookmarkEnd w:id="36"/>
    </w:p>
    <w:p>
      <w:p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rPr>
        <w:t>2019年一般公共预算支出决算数为703.2万元，完成预算100%。其中：</w:t>
      </w:r>
    </w:p>
    <w:p>
      <w:pPr>
        <w:spacing w:line="600" w:lineRule="exact"/>
        <w:ind w:firstLine="482" w:firstLineChars="150"/>
        <w:outlineLvl w:val="2"/>
        <w:rPr>
          <w:rFonts w:ascii="仿宋" w:hAnsi="仿宋" w:eastAsia="仿宋"/>
          <w:color w:val="000000"/>
          <w:sz w:val="32"/>
          <w:szCs w:val="32"/>
        </w:rPr>
      </w:pPr>
      <w:r>
        <w:rPr>
          <w:rFonts w:hint="eastAsia" w:ascii="仿宋" w:hAnsi="仿宋" w:eastAsia="仿宋"/>
          <w:b/>
          <w:color w:val="000000"/>
          <w:sz w:val="32"/>
          <w:szCs w:val="32"/>
        </w:rPr>
        <w:t>1. 社会保障和就业：</w:t>
      </w:r>
      <w:r>
        <w:rPr>
          <w:rFonts w:hint="eastAsia" w:ascii="仿宋" w:hAnsi="仿宋" w:eastAsia="仿宋"/>
          <w:color w:val="000000"/>
          <w:sz w:val="32"/>
          <w:szCs w:val="32"/>
        </w:rPr>
        <w:t>2080505机关事业单位基本养老保险支出48.84万元，占比</w:t>
      </w:r>
      <w:r>
        <w:rPr>
          <w:rStyle w:val="16"/>
          <w:rFonts w:hint="eastAsia" w:ascii="仿宋" w:hAnsi="仿宋" w:eastAsia="仿宋"/>
          <w:b w:val="0"/>
          <w:bCs/>
          <w:color w:val="000000"/>
          <w:sz w:val="32"/>
          <w:szCs w:val="32"/>
        </w:rPr>
        <w:t>68</w:t>
      </w:r>
      <w:r>
        <w:rPr>
          <w:rFonts w:hint="eastAsia" w:ascii="仿宋" w:hAnsi="仿宋" w:eastAsia="仿宋"/>
          <w:color w:val="000000"/>
          <w:sz w:val="32"/>
          <w:szCs w:val="32"/>
        </w:rPr>
        <w:t>%；2080506机关事业单位职业年金缴费支出22.54万元，占比32%；支出决算为71.38万元，完成预算100%。</w:t>
      </w:r>
    </w:p>
    <w:p>
      <w:pPr>
        <w:spacing w:line="600" w:lineRule="exact"/>
        <w:ind w:firstLine="321" w:firstLineChars="100"/>
        <w:outlineLvl w:val="2"/>
        <w:rPr>
          <w:rFonts w:ascii="仿宋" w:hAnsi="仿宋" w:eastAsia="仿宋"/>
          <w:color w:val="000000"/>
          <w:sz w:val="32"/>
          <w:szCs w:val="32"/>
        </w:rPr>
      </w:pPr>
      <w:r>
        <w:rPr>
          <w:rFonts w:hint="eastAsia" w:ascii="仿宋" w:hAnsi="仿宋" w:eastAsia="仿宋"/>
          <w:b/>
          <w:color w:val="000000"/>
          <w:sz w:val="32"/>
          <w:szCs w:val="32"/>
        </w:rPr>
        <w:t>2. 医疗卫生与计划生育：</w:t>
      </w:r>
      <w:r>
        <w:rPr>
          <w:rFonts w:hint="eastAsia" w:ascii="仿宋" w:hAnsi="仿宋" w:eastAsia="仿宋"/>
          <w:color w:val="000000"/>
          <w:sz w:val="32"/>
          <w:szCs w:val="32"/>
        </w:rPr>
        <w:t>2100403妇幼保健机构支出381.84万元，占比64.5%；2100408基本公共卫生服务支出6.7万，占比1.1%；2100409重大公共卫生服务支出40.06万元，占比6.8%；2100717计划生育服务支出4.43万元，占比0.8%；2100799其他计划生育服务支出15.66万元，占比2.6%；2101102事业单位医疗支出23.43万元，占比4%； 2109901其他医疗卫生与计划生育支出86.6万元，占比14.6%；2130599其他扶贫支出27.08万元，占比4.6%；2101199其他行政事业单位医疗支出5.73万元，占比1%；支出决算为591.51万元，完成预算100%。</w:t>
      </w:r>
    </w:p>
    <w:p>
      <w:pPr>
        <w:spacing w:line="600" w:lineRule="exact"/>
        <w:outlineLvl w:val="2"/>
        <w:rPr>
          <w:rFonts w:ascii="仿宋" w:hAnsi="仿宋" w:eastAsia="仿宋"/>
          <w:color w:val="000000"/>
          <w:sz w:val="32"/>
          <w:szCs w:val="32"/>
        </w:rPr>
      </w:pPr>
      <w:r>
        <w:rPr>
          <w:rFonts w:hint="eastAsia" w:ascii="仿宋" w:hAnsi="仿宋" w:eastAsia="仿宋"/>
          <w:b/>
          <w:color w:val="000000"/>
          <w:sz w:val="32"/>
          <w:szCs w:val="32"/>
        </w:rPr>
        <w:t>3.住房保障支出：</w:t>
      </w:r>
      <w:r>
        <w:rPr>
          <w:rFonts w:hint="eastAsia" w:ascii="仿宋" w:hAnsi="仿宋" w:eastAsia="仿宋"/>
          <w:color w:val="000000"/>
          <w:sz w:val="32"/>
          <w:szCs w:val="32"/>
        </w:rPr>
        <w:t>2210201住房公积金支出40.31万元，支出决算为40.31万元，完成预算100%。</w:t>
      </w:r>
    </w:p>
    <w:p>
      <w:pPr>
        <w:spacing w:line="600" w:lineRule="exact"/>
        <w:ind w:firstLine="643" w:firstLineChars="200"/>
        <w:outlineLvl w:val="2"/>
        <w:rPr>
          <w:rFonts w:ascii="仿宋" w:hAnsi="仿宋" w:eastAsia="仿宋"/>
          <w:color w:val="FF0000"/>
          <w:sz w:val="32"/>
          <w:szCs w:val="32"/>
        </w:rPr>
      </w:pPr>
      <w:bookmarkStart w:id="37" w:name="_Toc15377444"/>
      <w:bookmarkStart w:id="38" w:name="_Toc15378460"/>
      <w:bookmarkStart w:id="39" w:name="_Toc15377213"/>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599.41万元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lang w:val="en-US" w:eastAsia="zh-CN"/>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2080505、2080506</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71.38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2</w:t>
      </w:r>
      <w:r>
        <w:rPr>
          <w:rStyle w:val="16"/>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lang w:val="en-US" w:eastAsia="zh-CN"/>
        </w:rPr>
        <w:t>2100403、2100408、2100409、2100717、2100799、2101102、2109901、2101199</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564.45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0"/>
        <w:outlineLvl w:val="1"/>
        <w:rPr>
          <w:rFonts w:ascii="仿宋" w:hAnsi="仿宋" w:eastAsia="仿宋"/>
          <w:color w:val="000000"/>
          <w:sz w:val="32"/>
          <w:szCs w:val="32"/>
        </w:rPr>
      </w:pPr>
      <w:bookmarkStart w:id="42" w:name="_Toc15396609"/>
      <w:bookmarkStart w:id="43" w:name="_Toc15377215"/>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516.43</w:t>
      </w:r>
      <w:r>
        <w:rPr>
          <w:rFonts w:hint="eastAsia" w:ascii="仿宋" w:hAnsi="仿宋" w:eastAsia="仿宋"/>
          <w:color w:val="000000"/>
          <w:sz w:val="32"/>
          <w:szCs w:val="32"/>
        </w:rPr>
        <w:t>万元，其中：</w:t>
      </w:r>
    </w:p>
    <w:p>
      <w:pPr>
        <w:spacing w:line="600" w:lineRule="exact"/>
        <w:ind w:firstLine="640"/>
        <w:outlineLvl w:val="1"/>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510.86</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121.34</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80.16</w:t>
      </w:r>
      <w:r>
        <w:rPr>
          <w:rFonts w:hint="eastAsia" w:ascii="仿宋" w:hAnsi="仿宋" w:eastAsia="仿宋"/>
          <w:color w:val="000000"/>
          <w:sz w:val="32"/>
          <w:szCs w:val="32"/>
        </w:rPr>
        <w:t>万元、奖金</w:t>
      </w:r>
      <w:r>
        <w:rPr>
          <w:rFonts w:hint="eastAsia" w:ascii="仿宋" w:hAnsi="仿宋" w:eastAsia="仿宋"/>
          <w:color w:val="000000"/>
          <w:sz w:val="32"/>
          <w:szCs w:val="32"/>
          <w:lang w:val="en-US" w:eastAsia="zh-CN"/>
        </w:rPr>
        <w:t>68.1</w:t>
      </w:r>
      <w:r>
        <w:rPr>
          <w:rFonts w:hint="eastAsia" w:ascii="仿宋" w:hAnsi="仿宋" w:eastAsia="仿宋"/>
          <w:color w:val="000000"/>
          <w:sz w:val="32"/>
          <w:szCs w:val="32"/>
        </w:rPr>
        <w:t>万元、绩效工资</w:t>
      </w:r>
      <w:r>
        <w:rPr>
          <w:rFonts w:hint="eastAsia" w:ascii="仿宋" w:hAnsi="仿宋" w:eastAsia="仿宋"/>
          <w:color w:val="000000"/>
          <w:sz w:val="32"/>
          <w:szCs w:val="32"/>
          <w:lang w:val="en-US" w:eastAsia="zh-CN"/>
        </w:rPr>
        <w:t>89.45</w:t>
      </w:r>
      <w:r>
        <w:rPr>
          <w:rFonts w:hint="eastAsia" w:ascii="仿宋" w:hAnsi="仿宋" w:eastAsia="仿宋"/>
          <w:color w:val="000000"/>
          <w:sz w:val="32"/>
          <w:szCs w:val="32"/>
        </w:rPr>
        <w:t>万元、机关事业单位基本养老保险缴费</w:t>
      </w:r>
      <w:r>
        <w:rPr>
          <w:rFonts w:hint="eastAsia" w:ascii="仿宋" w:hAnsi="仿宋" w:eastAsia="仿宋"/>
          <w:color w:val="000000"/>
          <w:sz w:val="32"/>
          <w:szCs w:val="32"/>
          <w:lang w:val="en-US" w:eastAsia="zh-CN"/>
        </w:rPr>
        <w:t>48.84</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22.54</w:t>
      </w:r>
      <w:r>
        <w:rPr>
          <w:rFonts w:hint="eastAsia" w:ascii="仿宋" w:hAnsi="仿宋" w:eastAsia="仿宋"/>
          <w:color w:val="000000"/>
          <w:sz w:val="32"/>
          <w:szCs w:val="32"/>
        </w:rPr>
        <w:t>万元、职工基本医疗保险缴费</w:t>
      </w:r>
      <w:r>
        <w:rPr>
          <w:rFonts w:hint="eastAsia" w:ascii="仿宋" w:hAnsi="仿宋" w:eastAsia="仿宋"/>
          <w:color w:val="000000"/>
          <w:sz w:val="32"/>
          <w:szCs w:val="32"/>
          <w:lang w:val="en-US" w:eastAsia="zh-CN"/>
        </w:rPr>
        <w:t>23.43</w:t>
      </w:r>
      <w:r>
        <w:rPr>
          <w:rFonts w:hint="eastAsia" w:ascii="仿宋" w:hAnsi="仿宋" w:eastAsia="仿宋"/>
          <w:color w:val="000000"/>
          <w:sz w:val="32"/>
          <w:szCs w:val="32"/>
        </w:rPr>
        <w:t>万元、公务员医疗补助缴费5.</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万元、其他社会保障缴费</w:t>
      </w:r>
      <w:r>
        <w:rPr>
          <w:rFonts w:hint="eastAsia" w:ascii="仿宋" w:hAnsi="仿宋" w:eastAsia="仿宋"/>
          <w:color w:val="000000"/>
          <w:sz w:val="32"/>
          <w:szCs w:val="32"/>
          <w:lang w:val="en-US" w:eastAsia="zh-CN"/>
        </w:rPr>
        <w:t>7.6</w:t>
      </w:r>
      <w:r>
        <w:rPr>
          <w:rFonts w:hint="eastAsia" w:ascii="仿宋" w:hAnsi="仿宋" w:eastAsia="仿宋"/>
          <w:color w:val="000000"/>
          <w:sz w:val="32"/>
          <w:szCs w:val="32"/>
        </w:rPr>
        <w:t>万元、医疗费</w:t>
      </w:r>
      <w:r>
        <w:rPr>
          <w:rFonts w:hint="eastAsia" w:ascii="仿宋" w:hAnsi="仿宋" w:eastAsia="仿宋"/>
          <w:color w:val="000000"/>
          <w:sz w:val="32"/>
          <w:szCs w:val="32"/>
          <w:lang w:val="en-US" w:eastAsia="zh-CN"/>
        </w:rPr>
        <w:t>2.6</w:t>
      </w:r>
      <w:r>
        <w:rPr>
          <w:rFonts w:hint="eastAsia" w:ascii="仿宋" w:hAnsi="仿宋" w:eastAsia="仿宋"/>
          <w:color w:val="000000"/>
          <w:sz w:val="32"/>
          <w:szCs w:val="32"/>
        </w:rPr>
        <w:t>万元、奖励金0.05万元、住房公积金</w:t>
      </w:r>
      <w:r>
        <w:rPr>
          <w:rFonts w:hint="eastAsia" w:ascii="仿宋" w:hAnsi="仿宋" w:eastAsia="仿宋"/>
          <w:color w:val="000000"/>
          <w:sz w:val="32"/>
          <w:szCs w:val="32"/>
          <w:lang w:val="en-US" w:eastAsia="zh-CN"/>
        </w:rPr>
        <w:t>40.31</w:t>
      </w:r>
      <w:r>
        <w:rPr>
          <w:rFonts w:hint="eastAsia" w:ascii="仿宋" w:hAnsi="仿宋" w:eastAsia="仿宋"/>
          <w:color w:val="000000"/>
          <w:sz w:val="32"/>
          <w:szCs w:val="32"/>
        </w:rPr>
        <w:t>万元。</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5.6</w:t>
      </w:r>
      <w:r>
        <w:rPr>
          <w:rFonts w:hint="eastAsia" w:ascii="仿宋" w:hAnsi="仿宋" w:eastAsia="仿宋"/>
          <w:color w:val="000000"/>
          <w:sz w:val="32"/>
          <w:szCs w:val="32"/>
        </w:rPr>
        <w:t>万元，主要包括：</w:t>
      </w:r>
      <w:r>
        <w:rPr>
          <w:rFonts w:hint="eastAsia" w:ascii="仿宋" w:hAnsi="仿宋" w:eastAsia="仿宋"/>
          <w:color w:val="000000"/>
          <w:sz w:val="32"/>
          <w:szCs w:val="32"/>
          <w:lang w:eastAsia="zh-CN"/>
        </w:rPr>
        <w:t>党建</w:t>
      </w:r>
      <w:r>
        <w:rPr>
          <w:rFonts w:hint="eastAsia" w:ascii="仿宋" w:hAnsi="仿宋" w:eastAsia="仿宋"/>
          <w:color w:val="000000"/>
          <w:sz w:val="32"/>
          <w:szCs w:val="32"/>
        </w:rPr>
        <w:t>费</w:t>
      </w:r>
      <w:r>
        <w:rPr>
          <w:rFonts w:hint="eastAsia" w:ascii="仿宋" w:hAnsi="仿宋" w:eastAsia="仿宋"/>
          <w:color w:val="000000"/>
          <w:sz w:val="32"/>
          <w:szCs w:val="32"/>
          <w:lang w:val="en-US" w:eastAsia="zh-CN"/>
        </w:rPr>
        <w:t>2.7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信息网络及软件更新</w:t>
      </w:r>
      <w:r>
        <w:rPr>
          <w:rFonts w:hint="eastAsia" w:ascii="仿宋" w:hAnsi="仿宋" w:eastAsia="仿宋"/>
          <w:color w:val="000000"/>
          <w:sz w:val="32"/>
          <w:szCs w:val="32"/>
        </w:rPr>
        <w:t>费0.</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免费婚前检查</w:t>
      </w:r>
      <w:r>
        <w:rPr>
          <w:rFonts w:hint="eastAsia" w:ascii="仿宋" w:hAnsi="仿宋" w:eastAsia="仿宋"/>
          <w:color w:val="000000"/>
          <w:sz w:val="32"/>
          <w:szCs w:val="32"/>
        </w:rPr>
        <w:t>费</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w:t>
      </w:r>
    </w:p>
    <w:p>
      <w:pPr>
        <w:spacing w:line="600" w:lineRule="exact"/>
        <w:ind w:firstLine="640"/>
        <w:outlineLvl w:val="1"/>
        <w:rPr>
          <w:rStyle w:val="27"/>
          <w:rFonts w:ascii="黑体" w:hAnsi="黑体" w:eastAsia="黑体"/>
          <w:b w:val="0"/>
        </w:rPr>
      </w:pPr>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，与上年持平。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ascii="仿宋" w:hAnsi="仿宋" w:eastAsia="仿宋"/>
          <w:b/>
          <w:color w:val="000000"/>
          <w:sz w:val="32"/>
          <w:szCs w:val="32"/>
        </w:rPr>
        <w:t>1.</w:t>
      </w:r>
      <w:r>
        <w:rPr>
          <w:rFonts w:hint="eastAsia" w:ascii="仿宋" w:hAnsi="仿宋" w:eastAsia="仿宋"/>
          <w:b/>
          <w:color w:val="000000"/>
          <w:sz w:val="32"/>
          <w:szCs w:val="32"/>
        </w:rPr>
        <w:t>因公出国（境）经费支出</w:t>
      </w:r>
      <w:r>
        <w:rPr>
          <w:rFonts w:hint="eastAsia" w:ascii="仿宋" w:hAnsi="仿宋" w:eastAsia="仿宋"/>
          <w:color w:val="000000"/>
          <w:sz w:val="32"/>
          <w:szCs w:val="32"/>
        </w:rPr>
        <w:t>0万元，完成预算0</w:t>
      </w:r>
      <w:r>
        <w:rPr>
          <w:rFonts w:ascii="仿宋" w:hAnsi="仿宋" w:eastAsia="仿宋"/>
          <w:color w:val="000000"/>
          <w:sz w:val="32"/>
          <w:szCs w:val="32"/>
        </w:rPr>
        <w:t>%</w:t>
      </w:r>
      <w:r>
        <w:rPr>
          <w:rFonts w:hint="eastAsia" w:ascii="仿宋" w:hAnsi="仿宋" w:eastAsia="仿宋"/>
          <w:color w:val="000000"/>
          <w:sz w:val="32"/>
          <w:szCs w:val="32"/>
        </w:rPr>
        <w:t xml:space="preserve">。全年安排因公出国（境）团组0次，出国（境）0人与上年持平。   </w:t>
      </w:r>
    </w:p>
    <w:p>
      <w:pPr>
        <w:spacing w:line="600" w:lineRule="exact"/>
        <w:ind w:firstLine="643" w:firstLineChars="200"/>
        <w:rPr>
          <w:rFonts w:ascii="仿宋" w:hAnsi="仿宋" w:eastAsia="仿宋"/>
          <w:color w:val="000000"/>
          <w:sz w:val="32"/>
          <w:szCs w:val="32"/>
        </w:rPr>
      </w:pPr>
      <w:r>
        <w:rPr>
          <w:rFonts w:ascii="仿宋" w:hAnsi="仿宋" w:eastAsia="仿宋"/>
          <w:b/>
          <w:color w:val="000000"/>
          <w:sz w:val="32"/>
          <w:szCs w:val="32"/>
        </w:rPr>
        <w:t>2.</w:t>
      </w:r>
      <w:r>
        <w:rPr>
          <w:rFonts w:hint="eastAsia" w:ascii="仿宋" w:hAnsi="仿宋" w:eastAsia="仿宋"/>
          <w:b/>
          <w:color w:val="000000"/>
          <w:sz w:val="32"/>
          <w:szCs w:val="32"/>
        </w:rPr>
        <w:t>公务用车购置及运行维护费支出</w:t>
      </w:r>
      <w:r>
        <w:rPr>
          <w:rFonts w:hint="eastAsia" w:ascii="仿宋" w:hAnsi="仿宋" w:eastAsia="仿宋"/>
          <w:color w:val="000000"/>
          <w:sz w:val="32"/>
          <w:szCs w:val="32"/>
        </w:rPr>
        <w:t>0万元</w:t>
      </w:r>
      <w:r>
        <w:rPr>
          <w:rFonts w:ascii="仿宋" w:hAnsi="仿宋" w:eastAsia="仿宋"/>
          <w:color w:val="000000"/>
          <w:sz w:val="32"/>
          <w:szCs w:val="32"/>
        </w:rPr>
        <w:t>,</w:t>
      </w:r>
      <w:r>
        <w:rPr>
          <w:rFonts w:hint="eastAsia" w:ascii="仿宋" w:hAnsi="仿宋" w:eastAsia="仿宋"/>
          <w:color w:val="000000"/>
          <w:sz w:val="32"/>
          <w:szCs w:val="32"/>
        </w:rPr>
        <w:t>完成预算0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。公务用车购置及运行维护费支出决算与上年持平。</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其中：</w:t>
      </w:r>
      <w:r>
        <w:rPr>
          <w:rFonts w:hint="eastAsia" w:ascii="仿宋" w:hAnsi="仿宋" w:eastAsia="仿宋"/>
          <w:b/>
          <w:color w:val="000000"/>
          <w:sz w:val="32"/>
          <w:szCs w:val="32"/>
        </w:rPr>
        <w:t>公务用车购置支出</w:t>
      </w:r>
      <w:r>
        <w:rPr>
          <w:rFonts w:hint="eastAsia" w:ascii="仿宋" w:hAnsi="仿宋" w:eastAsia="仿宋"/>
          <w:color w:val="000000"/>
          <w:sz w:val="32"/>
          <w:szCs w:val="32"/>
        </w:rPr>
        <w:t>0万元。全年按规定更新购置公务用车0辆，其中：轿车0辆、金额0万元，越野车0辆、金额0万元，载客汽车0辆、金额0万元，。截至</w:t>
      </w:r>
      <w:r>
        <w:rPr>
          <w:rFonts w:ascii="仿宋" w:hAnsi="仿宋" w:eastAsia="仿宋"/>
          <w:color w:val="000000"/>
          <w:sz w:val="32"/>
          <w:szCs w:val="32"/>
        </w:rPr>
        <w:t>2018</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月底，单位共有公务用车0辆，其中：轿车0辆、越野车0辆、救护车0辆、孕产妇急救车0辆。</w:t>
      </w:r>
    </w:p>
    <w:p>
      <w:pPr>
        <w:spacing w:line="600" w:lineRule="exact"/>
        <w:ind w:firstLine="640"/>
        <w:rPr>
          <w:rFonts w:hint="eastAsia" w:ascii="仿宋" w:hAnsi="仿宋" w:eastAsia="仿宋"/>
          <w:color w:val="000000"/>
          <w:sz w:val="32"/>
          <w:szCs w:val="32"/>
        </w:rPr>
      </w:pPr>
      <w:r>
        <w:rPr>
          <w:rFonts w:hint="eastAsia" w:ascii="仿宋" w:hAnsi="仿宋" w:eastAsia="仿宋"/>
          <w:b/>
          <w:color w:val="000000"/>
          <w:sz w:val="32"/>
          <w:szCs w:val="32"/>
        </w:rPr>
        <w:t>公务用车运行维护费支出</w:t>
      </w:r>
      <w:r>
        <w:rPr>
          <w:rFonts w:hint="eastAsia" w:ascii="仿宋" w:hAnsi="仿宋" w:eastAsia="仿宋"/>
          <w:color w:val="000000"/>
          <w:sz w:val="32"/>
          <w:szCs w:val="32"/>
        </w:rPr>
        <w:t>0万元。</w:t>
      </w:r>
    </w:p>
    <w:p>
      <w:pPr>
        <w:spacing w:line="600" w:lineRule="exact"/>
        <w:ind w:firstLine="640"/>
        <w:rPr>
          <w:rFonts w:hint="eastAsia" w:ascii="仿宋" w:hAnsi="仿宋" w:eastAsia="仿宋"/>
          <w:color w:val="000000"/>
          <w:sz w:val="32"/>
          <w:szCs w:val="32"/>
          <w:lang w:val="en-US" w:eastAsia="zh-CN"/>
        </w:rPr>
      </w:pPr>
      <w:r>
        <w:rPr>
          <w:rFonts w:ascii="仿宋" w:hAnsi="仿宋" w:eastAsia="仿宋"/>
          <w:b/>
          <w:color w:val="000000"/>
          <w:sz w:val="32"/>
          <w:szCs w:val="32"/>
        </w:rPr>
        <w:t>3.</w:t>
      </w:r>
      <w:r>
        <w:rPr>
          <w:rFonts w:hint="eastAsia" w:ascii="仿宋" w:hAnsi="仿宋" w:eastAsia="仿宋"/>
          <w:b/>
          <w:color w:val="000000"/>
          <w:sz w:val="32"/>
          <w:szCs w:val="32"/>
        </w:rPr>
        <w:t>公务接待费支出</w:t>
      </w:r>
      <w:r>
        <w:rPr>
          <w:rFonts w:hint="eastAsia" w:ascii="仿宋" w:hAnsi="仿宋" w:eastAsia="仿宋"/>
          <w:color w:val="000000"/>
          <w:sz w:val="32"/>
          <w:szCs w:val="32"/>
        </w:rPr>
        <w:t>0万元，完成预算0</w:t>
      </w:r>
      <w:r>
        <w:rPr>
          <w:rFonts w:ascii="仿宋" w:hAnsi="仿宋" w:eastAsia="仿宋"/>
          <w:color w:val="000000"/>
          <w:sz w:val="32"/>
          <w:szCs w:val="32"/>
        </w:rPr>
        <w:t>%</w:t>
      </w:r>
      <w:r>
        <w:rPr>
          <w:rFonts w:hint="eastAsia" w:ascii="仿宋" w:hAnsi="仿宋" w:eastAsia="仿宋"/>
          <w:color w:val="000000"/>
          <w:sz w:val="32"/>
          <w:szCs w:val="32"/>
        </w:rPr>
        <w:t>。公务接待费支出决算与上年持平。主要原因是本单位无公务接待费预算。</w:t>
      </w:r>
      <w:r>
        <w:rPr>
          <w:rFonts w:hint="eastAsia" w:ascii="仿宋" w:hAnsi="仿宋" w:eastAsia="仿宋"/>
          <w:b/>
          <w:color w:val="000000"/>
          <w:sz w:val="32"/>
          <w:szCs w:val="32"/>
        </w:rPr>
        <w:t>国内公务接待支出</w:t>
      </w:r>
      <w:r>
        <w:rPr>
          <w:rFonts w:hint="eastAsia" w:ascii="仿宋" w:hAnsi="仿宋" w:eastAsia="仿宋"/>
          <w:color w:val="000000"/>
          <w:sz w:val="32"/>
          <w:szCs w:val="32"/>
        </w:rPr>
        <w:t>0万元</w:t>
      </w:r>
      <w:r>
        <w:rPr>
          <w:rFonts w:hint="eastAsia" w:ascii="仿宋" w:hAnsi="仿宋" w:eastAsia="仿宋"/>
          <w:color w:val="000000"/>
          <w:sz w:val="32"/>
          <w:szCs w:val="32"/>
          <w:lang w:val="en-US" w:eastAsia="zh-CN"/>
        </w:rPr>
        <w:t>.</w:t>
      </w:r>
    </w:p>
    <w:p>
      <w:pPr>
        <w:spacing w:line="600" w:lineRule="exact"/>
        <w:ind w:firstLine="643" w:firstLineChars="200"/>
        <w:rPr>
          <w:rFonts w:hint="eastAsia" w:ascii="仿宋" w:hAnsi="仿宋" w:eastAsia="仿宋"/>
          <w:color w:val="000000"/>
          <w:sz w:val="32"/>
          <w:szCs w:val="32"/>
          <w:lang w:val="en-US"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0万元</w:t>
      </w:r>
      <w:r>
        <w:rPr>
          <w:rFonts w:hint="eastAsia" w:ascii="仿宋" w:hAnsi="仿宋" w:eastAsia="仿宋"/>
          <w:color w:val="000000" w:themeColor="text1"/>
          <w:sz w:val="32"/>
          <w:szCs w:val="32"/>
        </w:rPr>
        <w:t>，外事接待0批次，0人，共计支出0万元</w:t>
      </w:r>
      <w:bookmarkStart w:id="46" w:name="_Toc15396610"/>
      <w:bookmarkStart w:id="47" w:name="_Toc15377218"/>
      <w:r>
        <w:rPr>
          <w:rFonts w:hint="eastAsia" w:ascii="仿宋" w:hAnsi="仿宋" w:eastAsia="仿宋"/>
          <w:color w:val="000000" w:themeColor="text1"/>
          <w:sz w:val="32"/>
          <w:szCs w:val="32"/>
          <w:lang w:val="en-US" w:eastAsia="zh-CN"/>
        </w:rPr>
        <w:t>.</w:t>
      </w:r>
    </w:p>
    <w:p>
      <w:pPr>
        <w:spacing w:line="600" w:lineRule="exact"/>
        <w:ind w:firstLine="640"/>
        <w:outlineLvl w:val="1"/>
        <w:rPr>
          <w:rStyle w:val="27"/>
          <w:rFonts w:ascii="仿宋" w:hAnsi="仿宋" w:eastAsia="仿宋"/>
        </w:rPr>
      </w:pPr>
      <w:r>
        <w:rPr>
          <w:rFonts w:hint="eastAsia" w:ascii="仿宋" w:hAnsi="仿宋" w:eastAsia="仿宋"/>
          <w:color w:val="000000"/>
          <w:sz w:val="32"/>
          <w:szCs w:val="32"/>
        </w:rPr>
        <w:t>八、</w:t>
      </w:r>
      <w:r>
        <w:rPr>
          <w:rStyle w:val="27"/>
          <w:rFonts w:hint="eastAsia" w:ascii="仿宋" w:hAnsi="仿宋" w:eastAsia="仿宋"/>
          <w:b w:val="0"/>
        </w:rPr>
        <w:t>政府性基金预算支出决算情况说明</w:t>
      </w:r>
      <w:bookmarkEnd w:id="46"/>
      <w:bookmarkEnd w:id="4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9年政府性基金预算拨款支出0万元。</w:t>
      </w:r>
    </w:p>
    <w:p>
      <w:pPr>
        <w:numPr>
          <w:ilvl w:val="0"/>
          <w:numId w:val="3"/>
        </w:numPr>
        <w:spacing w:line="600" w:lineRule="exact"/>
        <w:ind w:firstLine="640"/>
        <w:outlineLvl w:val="1"/>
        <w:rPr>
          <w:rStyle w:val="27"/>
          <w:rFonts w:ascii="仿宋" w:hAnsi="仿宋" w:eastAsia="仿宋"/>
          <w:b w:val="0"/>
        </w:rPr>
      </w:pPr>
      <w:bookmarkStart w:id="48" w:name="_Toc15377219"/>
      <w:bookmarkStart w:id="49" w:name="_Toc15396611"/>
      <w:r>
        <w:rPr>
          <w:rStyle w:val="27"/>
          <w:rFonts w:hint="eastAsia" w:ascii="仿宋" w:hAnsi="仿宋" w:eastAsia="仿宋"/>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 w:hAnsi="仿宋" w:eastAsia="仿宋"/>
          <w:color w:val="000000"/>
          <w:sz w:val="32"/>
          <w:szCs w:val="32"/>
        </w:rPr>
        <w:t>201</w:t>
      </w:r>
      <w:r>
        <w:rPr>
          <w:rFonts w:hint="eastAsia" w:ascii="仿宋" w:hAnsi="仿宋" w:eastAsia="仿宋"/>
          <w:color w:val="000000"/>
          <w:sz w:val="32"/>
          <w:szCs w:val="32"/>
        </w:rPr>
        <w:t>9年国有资本经营预算拨款支出0万元。</w:t>
      </w:r>
    </w:p>
    <w:p>
      <w:pPr>
        <w:spacing w:line="600" w:lineRule="exact"/>
        <w:ind w:firstLine="800" w:firstLineChars="250"/>
        <w:outlineLvl w:val="1"/>
        <w:rPr>
          <w:rStyle w:val="2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红原县妇幼保健院</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万元，与</w:t>
      </w:r>
      <w:r>
        <w:rPr>
          <w:rFonts w:ascii="仿宋_GB2312" w:eastAsia="仿宋_GB2312"/>
          <w:color w:val="000000"/>
          <w:sz w:val="32"/>
          <w:szCs w:val="32"/>
        </w:rPr>
        <w:t>201</w:t>
      </w:r>
      <w:r>
        <w:rPr>
          <w:rFonts w:hint="eastAsia" w:ascii="仿宋_GB2312" w:eastAsia="仿宋_GB2312"/>
          <w:color w:val="000000"/>
          <w:sz w:val="32"/>
          <w:szCs w:val="32"/>
        </w:rPr>
        <w:t>8年决算数持平。</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本单位无机关运行经费。</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w:t>
      </w:r>
      <w:r>
        <w:rPr>
          <w:rFonts w:hint="eastAsia" w:ascii="仿宋_GB2312" w:eastAsia="仿宋_GB2312"/>
          <w:color w:val="000000"/>
          <w:sz w:val="32"/>
          <w:szCs w:val="32"/>
          <w:lang w:eastAsia="zh-CN"/>
        </w:rPr>
        <w:t>特种专业技术车辆</w:t>
      </w:r>
      <w:r>
        <w:rPr>
          <w:rFonts w:hint="eastAsia" w:ascii="仿宋_GB2312" w:eastAsia="仿宋_GB2312"/>
          <w:color w:val="000000"/>
          <w:sz w:val="32"/>
          <w:szCs w:val="32"/>
          <w:lang w:val="en-US" w:eastAsia="zh-CN"/>
        </w:rPr>
        <w:t>3辆；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1</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2019年两癌和新筛项目开展了预算事前绩效评估，对1个项目编制了绩效目标，预算执行过程中，选取1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部门整体支出开展绩效自评，从评价情况来看总体执行较好，产生了良好的社会效益，得到了老百姓的好评。（简要说明整体绩效情况）。本部门还自行组织了1个项目绩效评价，从评价情况来看项目执行有序，效果明显，达到了预期的目标。（简要说明项目绩效情况）。</w:t>
      </w: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红原县两癌和新筛</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个项目绩效目标实际完成情况。（本单位部门项目绩效目标个数在5个以上的，选取5个项目进行公开，目标个数在5个以下的，全部进行公开，公开内容包括选取的全部项目完成情况综述和完成情况表）。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2019年两癌和新筛免费检查项目全年预算10.83万元，执行数为6.66万元，完成预算62%；通过项目实施1.</w:t>
      </w:r>
      <w:r>
        <w:rPr>
          <w:rFonts w:hint="eastAsia" w:ascii="仿宋_GB2312" w:hAnsi="仿宋_GB2312" w:eastAsia="仿宋_GB2312" w:cs="仿宋_GB2312"/>
          <w:sz w:val="32"/>
          <w:szCs w:val="32"/>
          <w:lang w:val="zh-CN"/>
        </w:rPr>
        <w:t>两癌筛查项目</w:t>
      </w:r>
      <w:r>
        <w:rPr>
          <w:rFonts w:hint="eastAsia" w:ascii="仿宋_GB2312" w:hAnsi="仿宋_GB2312" w:eastAsia="仿宋_GB2312" w:cs="仿宋_GB2312"/>
          <w:sz w:val="32"/>
          <w:szCs w:val="32"/>
        </w:rPr>
        <w:t>2531人次，其中乳腺癌筛查1280人次，完成率213.33%；宫颈癌筛查1251人次，完成率208.5%；宫颈癌检查异常/可疑病例，TBS报告结果Asc_us及以上者24人，乳腺彩超检查BI_RADS分级3级的1人。2.新生儿先天性甲状腺功能减退症筛查和苯丙酮尿症筛查435人，其中1人筛查可疑阳性未确诊，目前正在追踪随访。该项目资金成本均控制在计划内无超额结算的情况。</w:t>
      </w:r>
      <w:r>
        <w:rPr>
          <w:rFonts w:hint="eastAsia" w:ascii="仿宋_GB2312" w:hAnsi="仿宋_GB2312" w:eastAsia="仿宋_GB2312" w:cs="仿宋_GB2312"/>
          <w:sz w:val="32"/>
          <w:szCs w:val="32"/>
          <w:lang w:val="zh-CN"/>
        </w:rPr>
        <w:t>该项目实施后提高了我县两癌筛查率、提高了两癌治愈率、减少了两癌患病率、提高了新生儿筛查率和提高了新生儿健康率，为提高我县妇女儿童的健康生活水平夯实了基础；</w:t>
      </w:r>
      <w:r>
        <w:rPr>
          <w:rFonts w:hint="eastAsia" w:ascii="仿宋_GB2312" w:hAnsi="仿宋_GB2312" w:eastAsia="仿宋_GB2312" w:cs="仿宋_GB2312"/>
          <w:sz w:val="32"/>
          <w:szCs w:val="32"/>
        </w:rPr>
        <w:t>得到了群众的认可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提高了群众的满意度。</w:t>
      </w: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2019年两癌和新筛检查项目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红原县妇幼保健计划生育服务中心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10.83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6.66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10.83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6.66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针对</w:t>
            </w:r>
            <w:r>
              <w:rPr>
                <w:rFonts w:hint="eastAsia" w:ascii="宋体" w:hAnsi="宋体" w:cs="宋体"/>
                <w:color w:val="000000"/>
                <w:sz w:val="24"/>
                <w:lang w:val="en-US" w:eastAsia="zh-CN"/>
              </w:rPr>
              <w:t>1.</w:t>
            </w:r>
            <w:r>
              <w:rPr>
                <w:rFonts w:hint="eastAsia" w:ascii="宋体" w:hAnsi="宋体" w:cs="宋体"/>
                <w:color w:val="000000"/>
                <w:sz w:val="24"/>
                <w:lang w:eastAsia="zh-CN"/>
              </w:rPr>
              <w:t>全县</w:t>
            </w:r>
            <w:r>
              <w:rPr>
                <w:rFonts w:hint="eastAsia" w:ascii="宋体" w:hAnsi="宋体" w:cs="宋体"/>
                <w:color w:val="000000"/>
                <w:sz w:val="24"/>
                <w:lang w:val="en-US" w:eastAsia="zh-CN"/>
              </w:rPr>
              <w:t>35-65岁妇女开展两癌免费检查，目标任务数乳腺癌检查600人，宫颈癌检查600人；2.对全县新生儿开展免费先天性甲状腺功能减退症和苯丙酮尿症免费筛查。</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乳腺癌免费检查</w:t>
            </w:r>
            <w:r>
              <w:rPr>
                <w:rFonts w:hint="eastAsia" w:ascii="宋体" w:hAnsi="宋体" w:cs="宋体"/>
                <w:color w:val="000000"/>
                <w:sz w:val="24"/>
                <w:lang w:val="en-US" w:eastAsia="zh-CN"/>
              </w:rPr>
              <w:t>1280人，宫颈癌免费检查1251人；新生儿免费筛查435人。</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实际完成任务量/绩效目标设定任务量×100%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预期计划完成乳腺癌免费检查</w:t>
            </w:r>
            <w:r>
              <w:rPr>
                <w:rFonts w:hint="eastAsia" w:ascii="宋体" w:hAnsi="宋体" w:cs="宋体"/>
                <w:color w:val="000000"/>
                <w:sz w:val="24"/>
                <w:lang w:val="en-US" w:eastAsia="zh-CN"/>
              </w:rPr>
              <w:t>600人。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实际完成</w:t>
            </w:r>
            <w:r>
              <w:rPr>
                <w:rFonts w:hint="eastAsia" w:ascii="宋体" w:hAnsi="宋体" w:cs="宋体"/>
                <w:color w:val="000000"/>
                <w:sz w:val="24"/>
                <w:lang w:val="en-US" w:eastAsia="zh-CN"/>
              </w:rPr>
              <w:t>1280人，完成率213.33%。</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完成数量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实际完成任务量/绩效目标设定任务量×100%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预期计划完成宫颈癌免费检查</w:t>
            </w:r>
            <w:r>
              <w:rPr>
                <w:rFonts w:hint="eastAsia" w:ascii="宋体" w:hAnsi="宋体" w:cs="宋体"/>
                <w:color w:val="000000"/>
                <w:sz w:val="24"/>
                <w:lang w:val="en-US" w:eastAsia="zh-CN"/>
              </w:rPr>
              <w:t>600人。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实际完成</w:t>
            </w:r>
            <w:r>
              <w:rPr>
                <w:rFonts w:hint="eastAsia" w:ascii="宋体" w:hAnsi="宋体" w:cs="宋体"/>
                <w:color w:val="000000"/>
                <w:sz w:val="24"/>
                <w:lang w:val="en-US" w:eastAsia="zh-CN"/>
              </w:rPr>
              <w:t>1251人，完成率208.5%。</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完成数量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实际完成任务量/绩效目标设定任务量×100%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预期计划完成新生儿免费筛查达</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实际完成</w:t>
            </w:r>
            <w:r>
              <w:rPr>
                <w:rFonts w:hint="eastAsia" w:ascii="宋体" w:hAnsi="宋体" w:cs="宋体"/>
                <w:color w:val="000000"/>
                <w:sz w:val="24"/>
                <w:lang w:val="en-US" w:eastAsia="zh-CN"/>
              </w:rPr>
              <w:t>435人。</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反映相关产出对社会发展带来的影响和效果，根据项目实际细化具体指标。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提高妇女两癌检查率，提高两癌治愈率，降低新生儿初筛缺陷率，提高整体健康水平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乳腺癌检查出</w:t>
            </w:r>
            <w:r>
              <w:rPr>
                <w:rFonts w:hint="eastAsia" w:ascii="宋体" w:hAnsi="宋体" w:cs="宋体"/>
                <w:color w:val="000000"/>
                <w:sz w:val="24"/>
                <w:lang w:val="en-US" w:eastAsia="zh-CN"/>
              </w:rPr>
              <w:t>1人，宫颈癌检查出24人，均及时进行进一步检查和治疗，达到预期目标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反映相关产出带来影响的可持续期限，根据项目实际细化具体指标。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促进妇女儿童健康生活水平可持续提高，促进患病率持续降低。</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达到预期目标</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r>
    </w:tbl>
    <w:p>
      <w:pPr>
        <w:spacing w:line="580" w:lineRule="exact"/>
        <w:ind w:firstLine="320" w:firstLineChars="1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红原县妇幼保健院</w:t>
      </w:r>
      <w:r>
        <w:rPr>
          <w:rFonts w:hint="eastAsia" w:ascii="仿宋_GB2312" w:hAnsi="仿宋_GB2312" w:eastAsia="仿宋_GB2312" w:cs="仿宋_GB2312"/>
          <w:sz w:val="32"/>
          <w:szCs w:val="32"/>
        </w:rPr>
        <w:t>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2019年两癌和新筛免费检查</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两癌和新筛免费检查</w:t>
      </w:r>
      <w:r>
        <w:rPr>
          <w:rFonts w:hint="eastAsia" w:ascii="仿宋_GB2312" w:hAnsi="仿宋_GB2312" w:eastAsia="仿宋_GB2312" w:cs="仿宋_GB2312"/>
          <w:sz w:val="32"/>
          <w:szCs w:val="32"/>
        </w:rPr>
        <w:t>项目2019年绩效评价报告》见附件（附件2）。（非涉密部门均需公开部门整体支出评价报告，部门自行组织的绩效评价情况根据部门实际公开，若未组织项目绩效评价，则只需说明部门整体支出绩效评价情况）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6"/>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机关事业单位养老保险；</w:t>
      </w:r>
      <w:r>
        <w:rPr>
          <w:rFonts w:hint="eastAsia" w:ascii="仿宋_GB2312" w:eastAsia="仿宋_GB2312"/>
          <w:color w:val="000000"/>
          <w:sz w:val="32"/>
          <w:szCs w:val="32"/>
          <w:lang w:val="en-US" w:eastAsia="zh-CN"/>
        </w:rPr>
        <w:t>2080506：指机关事业单位职业年金缴费；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2100403</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人员经费；</w:t>
      </w:r>
      <w:r>
        <w:rPr>
          <w:rFonts w:hint="eastAsia" w:ascii="仿宋_GB2312" w:eastAsia="仿宋_GB2312"/>
          <w:color w:val="000000"/>
          <w:sz w:val="32"/>
          <w:szCs w:val="32"/>
          <w:lang w:val="en-US" w:eastAsia="zh-CN"/>
        </w:rPr>
        <w:t>2100408：指基本公共卫生服务；2100409：指重大公共卫生专项；2100717：指计划生育服务；2100799：指其他计划生育事务支出；2101102：指事业单位医疗保险；2101199：指其他行政事业单位医疗支出；2109901：指其他卫生健康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职工住房公积金</w:t>
      </w:r>
      <w:r>
        <w:rPr>
          <w:rFonts w:hint="eastAsia" w:ascii="仿宋_GB2312" w:eastAsia="仿宋_GB2312"/>
          <w:color w:val="000000"/>
          <w:sz w:val="32"/>
          <w:szCs w:val="32"/>
        </w:rPr>
        <w:t>。</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6"/>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widowControl/>
        <w:adjustRightInd w:val="0"/>
        <w:snapToGrid w:val="0"/>
        <w:spacing w:line="580" w:lineRule="exact"/>
        <w:ind w:firstLine="800" w:firstLineChars="200"/>
        <w:contextualSpacing/>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红原县妇幼保健院</w:t>
      </w:r>
    </w:p>
    <w:p>
      <w:pPr>
        <w:widowControl/>
        <w:adjustRightInd w:val="0"/>
        <w:snapToGrid w:val="0"/>
        <w:spacing w:line="580" w:lineRule="exact"/>
        <w:ind w:firstLine="800" w:firstLineChars="200"/>
        <w:contextualSpacing/>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rPr>
        <w:t>2019年度部门整体支出绩效报告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我院为红原县卫生健康局下属二级预算单位，属全额拨款公益一类事业单位，下设妇女保健部、计划生育部、孕产保健部、信息健教科、财务科、药械科、院感科、护理部、医技科共9个科室。</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院主要职能是从事全县妇幼卫生保健的指导、培训和督导工作、重大妇幼公共卫生项目开展实施工作、妇幼常见病和多发病的诊治工作。本年度我院按照计划开展了包括贫困地区儿童营养改善项目、新生儿先天性疾病筛查项目、妇女两癌免费检查项目、孕产妇住院分娩补助项目、防止乙肝、梅毒和艾滋病母婴转播项目、妇女病普查项目、免费孕前优生优育检查项目、免费婚前医学检查项目、免费计划生育节育手术项目、免费避孕药具发放以及药具管理项目等多个民生项目工程，得到了老百姓一致的好评和称赞，达到了项目计划的预期目标，免费提供避孕药具管理工作荣获阿坝州药具管理工作2019年度工作评比一等奖。</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截止2019年6月30日我单位共有编制28个，其中事业编制28个，在职28人，事业编制28人；退休11人。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（一）预算编制情况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根据《中华人民共和国预算法》及红原县财政局印发的《关于下达201</w:t>
      </w:r>
      <w:r>
        <w:rPr>
          <w:rFonts w:hint="eastAsia" w:ascii="仿宋_GB2312" w:hAnsi="宋体" w:eastAsia="仿宋_GB2312" w:cs="宋体"/>
          <w:color w:val="000000"/>
          <w:kern w:val="0"/>
          <w:sz w:val="32"/>
          <w:szCs w:val="32"/>
          <w:shd w:val="clear" w:color="auto" w:fill="FFFFFF"/>
        </w:rPr>
        <w:t>9</w:t>
      </w:r>
      <w:r>
        <w:rPr>
          <w:rFonts w:hint="eastAsia" w:ascii="仿宋_GB2312" w:hAnsi="宋体" w:eastAsia="仿宋_GB2312" w:cs="宋体"/>
          <w:color w:val="000000"/>
          <w:kern w:val="0"/>
          <w:sz w:val="32"/>
          <w:szCs w:val="32"/>
          <w:shd w:val="clear" w:color="auto" w:fill="FFFFFF"/>
          <w:lang w:val="zh-CN"/>
        </w:rPr>
        <w:t>年部门预算的通知》要求，结合本单位实际，按照增收节支、厉行节约、绩效优化的原则，严控“三公”经费管理，从严从紧编制预算。细化支出预算编制，推进预算信息公开，深化预算绩效管理，提高资金使用效益。</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w:t>
      </w:r>
      <w:r>
        <w:rPr>
          <w:rFonts w:hint="eastAsia" w:ascii="仿宋_GB2312" w:hAnsi="宋体" w:eastAsia="仿宋_GB2312" w:cs="宋体"/>
          <w:color w:val="000000"/>
          <w:kern w:val="0"/>
          <w:sz w:val="32"/>
          <w:szCs w:val="32"/>
          <w:shd w:val="clear" w:color="auto" w:fill="FFFFFF"/>
        </w:rPr>
        <w:t>9</w:t>
      </w:r>
      <w:r>
        <w:rPr>
          <w:rFonts w:hint="eastAsia" w:ascii="仿宋_GB2312" w:hAnsi="宋体" w:eastAsia="仿宋_GB2312" w:cs="宋体"/>
          <w:color w:val="000000"/>
          <w:kern w:val="0"/>
          <w:sz w:val="32"/>
          <w:szCs w:val="32"/>
          <w:shd w:val="clear" w:color="auto" w:fill="FFFFFF"/>
          <w:lang w:val="zh-CN"/>
        </w:rPr>
        <w:t>年预算人员支出对照201</w:t>
      </w:r>
      <w:r>
        <w:rPr>
          <w:rFonts w:hint="eastAsia" w:ascii="仿宋_GB2312" w:hAnsi="宋体" w:eastAsia="仿宋_GB2312" w:cs="宋体"/>
          <w:color w:val="000000"/>
          <w:kern w:val="0"/>
          <w:sz w:val="32"/>
          <w:szCs w:val="32"/>
          <w:shd w:val="clear" w:color="auto" w:fill="FFFFFF"/>
        </w:rPr>
        <w:t>8</w:t>
      </w:r>
      <w:r>
        <w:rPr>
          <w:rFonts w:hint="eastAsia" w:ascii="仿宋_GB2312" w:hAnsi="宋体" w:eastAsia="仿宋_GB2312" w:cs="宋体"/>
          <w:color w:val="000000"/>
          <w:kern w:val="0"/>
          <w:sz w:val="32"/>
          <w:szCs w:val="32"/>
          <w:shd w:val="clear" w:color="auto" w:fill="FFFFFF"/>
          <w:lang w:val="zh-CN"/>
        </w:rPr>
        <w:t>年12月份人员及工资信息编制，日常公用支出按照“经费包干、明细编报”的原则进行编制，重点做好“三公”经费、会议费、培训费等预算编制（我单位无三公经费预算）。</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w:t>
      </w:r>
      <w:r>
        <w:rPr>
          <w:rFonts w:hint="eastAsia" w:ascii="仿宋_GB2312" w:hAnsi="宋体" w:eastAsia="仿宋_GB2312" w:cs="宋体"/>
          <w:color w:val="000000"/>
          <w:kern w:val="0"/>
          <w:sz w:val="32"/>
          <w:szCs w:val="32"/>
          <w:shd w:val="clear" w:color="auto" w:fill="FFFFFF"/>
        </w:rPr>
        <w:t>9</w:t>
      </w:r>
      <w:r>
        <w:rPr>
          <w:rFonts w:hint="eastAsia" w:ascii="仿宋_GB2312" w:hAnsi="宋体" w:eastAsia="仿宋_GB2312" w:cs="宋体"/>
          <w:color w:val="000000"/>
          <w:kern w:val="0"/>
          <w:sz w:val="32"/>
          <w:szCs w:val="32"/>
          <w:shd w:val="clear" w:color="auto" w:fill="FFFFFF"/>
          <w:lang w:val="zh-CN"/>
        </w:rPr>
        <w:t>年度收入预算合计3976942.00元，均为财政补助收入；支出预算合计3976942.00元，其中基本支出预算3894431.00元，日常公用经费支出预算78431.00元；项目支出预算4080.00元。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截止2019年6月30日收入预算合计2819757.48元，均为财政补助收入；支出预算合计2772957.48元，其中基本支出预算合计2772957.48元。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（二）执行管理情况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1、本年度基本支出预算执行情况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2018年度基本支出预算3972862.00元，决算金额4925437.98元，其中人员经费4854762.78元，日常公用经费70675.2元，执行率为124%。主要是人员经费增加。</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2018年度我院无三公经费预算，与往年持平。</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截止2019年6月30日基本支出预算2772957.48元，实际支出2772957.48元，其中人员经费2772957.48元，执行率100%。</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2019年度我院无三公经费预算，与往年持平。</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2、项目预算执行情况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2018年度项目支出预算4080.00元，决算金额6244881.79元，主要原因是基建项目持续推进，创等达标等新项目陆续实施。县级财政专项预算分配及时，中央专项资金分配合规率100%；2018年底结转结余821221.43元，其中基本结转结余300706.61元，占比36.6%；项目结转结余520514.82元，占比63.4%。</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2019年项目支出预算46800.00元，截止2019年6月30日项目支出547213.34元，主要原因是项目持续推进；县级财政专项预算分配及时，中央专项资金分配合规率100%。</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（三）、综合管理情况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院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对照年初的预算，通过编制部门决算报表，全面、真实、准确的反映了红原县妇幼保健院2018年度财政资金的使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（四）、整体绩效</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2018年度预算支出11170249.77元，其中基本支出4925437.98元，主要用于人员经费和日常公用经费；项目支出6244811.79元，主要用于妇幼项目和创等达标工作等16个专项；截止2019年6月30日预算支出3293634.79元，其中基本支出2746421.45元，主要用于人员经费和党建工作支出；项目支出547213.34元主要用于妇幼健康项目工作。我院严格执行《预算法》和各项财经纪律，机关制度健全，财务管理规范，预算编制合理;二是资金监管到位。经费开支按用途使用合理，做到专帐专管,专款专用；三是人员配备和帐务核算到位。财务人员帐务核算及时规范。我单位在财务上进行合理安排和运用，以“认真、严谨、细致”的精神，做好一切财务工作，圆满完成了各项工作任务，产生了良好的社会效益，得到广大老百姓的一致好评。、</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w:t>
      </w:r>
      <w:r>
        <w:rPr>
          <w:rFonts w:hint="eastAsia" w:ascii="仿宋_GB2312" w:hAnsi="宋体" w:eastAsia="仿宋_GB2312" w:cs="宋体"/>
          <w:color w:val="000000"/>
          <w:kern w:val="0"/>
          <w:sz w:val="32"/>
          <w:szCs w:val="32"/>
          <w:shd w:val="clear" w:color="auto" w:fill="FFFFFF"/>
        </w:rPr>
        <w:t>9</w:t>
      </w:r>
      <w:r>
        <w:rPr>
          <w:rFonts w:hint="eastAsia" w:ascii="仿宋_GB2312" w:hAnsi="宋体" w:eastAsia="仿宋_GB2312" w:cs="宋体"/>
          <w:color w:val="000000"/>
          <w:kern w:val="0"/>
          <w:sz w:val="32"/>
          <w:szCs w:val="32"/>
          <w:shd w:val="clear" w:color="auto" w:fill="FFFFFF"/>
          <w:lang w:val="zh-CN"/>
        </w:rPr>
        <w:t>年度我院财政供养人员控制在预算编制内，编制内在职人员控制率100%；日常公用经费年初预算78431.00元，决算金额70675.2元，预算完成率90%，主要是践行厉行节约；预算管理工作较上年有所进步，执行制度总体有效，资金管理工作有待加强，建立了资产管理制度，总体执行较好。</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1、我院属全额拨款公益一类事业单位，以妇幼保健为中心工作，单位事业收入低，又无公务经费，在一定程度上制约了工作的持续推进。</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2、部分项目工作管理有待提高。</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一是希望政府加大对公益一类事业单位的公务经费投入，二是进一步加强预算编制工作；三不断完善各项规章制度；四是加大对财务人员的培训，多提供对财务的学习机会。建立长效机制，严格财务管理，加强财务监督，坚持厉行节约，严格杜绝现金交易，加强事业单位会计制度的学习。</w:t>
      </w: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红原县妇幼保健计划生育服务中心</w:t>
      </w:r>
    </w:p>
    <w:p>
      <w:pPr>
        <w:spacing w:line="600" w:lineRule="exact"/>
        <w:jc w:val="center"/>
        <w:outlineLvl w:val="0"/>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2019年两癌和新筛项目支出绩效自评报告</w:t>
      </w:r>
    </w:p>
    <w:p>
      <w:pPr>
        <w:spacing w:line="600" w:lineRule="exact"/>
        <w:jc w:val="center"/>
        <w:outlineLvl w:val="0"/>
        <w:rPr>
          <w:rFonts w:ascii="方正小标宋简体" w:hAnsi="宋体" w:eastAsia="方正小标宋简体"/>
          <w:color w:val="000000"/>
          <w:kern w:val="0"/>
          <w:sz w:val="44"/>
          <w:szCs w:val="44"/>
        </w:rPr>
      </w:pP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val="zh-CN"/>
        </w:rPr>
        <w:t>项目概况</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（一）项目基本情况。</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1．本单位作为该项目的实施单位负责该项目的组织、协调、专业技术实施和追踪管理病人等职能。</w:t>
      </w:r>
    </w:p>
    <w:p>
      <w:pPr>
        <w:spacing w:line="600" w:lineRule="exact"/>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zh-CN"/>
        </w:rPr>
        <w:t>2．该项目立项、资金申报的依据为：阿州财社【</w:t>
      </w:r>
      <w:r>
        <w:rPr>
          <w:rFonts w:hint="eastAsia" w:ascii="仿宋_GB2312" w:hAnsi="仿宋_GB2312" w:eastAsia="仿宋_GB2312" w:cs="仿宋_GB2312"/>
          <w:color w:val="000000"/>
          <w:kern w:val="0"/>
          <w:sz w:val="32"/>
          <w:szCs w:val="32"/>
        </w:rPr>
        <w:t>2019</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77号文件。</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资金管理办法严格按照财务规定专款专用，根据文件规定安排项目资金，该项目围绕关爱草原母亲、提高两癌筛查率、提高两癌治愈率、减少两癌患病率、提高新生儿筛查率和提高新生儿健康率的目标进行具体安排。</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（二）项目绩效目标。</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该项目的主要内容为：</w:t>
      </w:r>
    </w:p>
    <w:p>
      <w:pPr>
        <w:spacing w:line="600" w:lineRule="exact"/>
        <w:ind w:firstLine="320" w:firstLineChars="100"/>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对我县</w:t>
      </w:r>
      <w:r>
        <w:rPr>
          <w:rFonts w:hint="eastAsia" w:ascii="仿宋_GB2312" w:hAnsi="仿宋_GB2312" w:eastAsia="仿宋_GB2312" w:cs="仿宋_GB2312"/>
          <w:color w:val="000000"/>
          <w:kern w:val="0"/>
          <w:sz w:val="32"/>
          <w:szCs w:val="32"/>
        </w:rPr>
        <w:t>35-65岁妇女进行两癌筛查；</w:t>
      </w:r>
    </w:p>
    <w:p>
      <w:pPr>
        <w:spacing w:line="600" w:lineRule="exact"/>
        <w:ind w:firstLine="320" w:firstLineChars="100"/>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2.对2019年出生的新生儿进行先天性甲状腺功能减退症筛查和苯丙酮尿症筛查；</w:t>
      </w:r>
    </w:p>
    <w:p>
      <w:pPr>
        <w:spacing w:line="600" w:lineRule="exact"/>
        <w:ind w:firstLine="640" w:firstLineChars="200"/>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该项目实施后将提高两癌筛查率、提高两癌治愈率、减少两癌患病率、提高新生儿筛查率和提高新生儿健康率，为提高我县妇女儿童的健康生活水平夯实了基础。</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（三）项目自评步骤及方法。</w:t>
      </w:r>
    </w:p>
    <w:p>
      <w:pPr>
        <w:spacing w:line="600" w:lineRule="exact"/>
        <w:ind w:firstLine="640" w:firstLineChars="200"/>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我单位高度重视项目绩效自评工作，立即安排主管业务的副主任组织相关人员开展梳理和自评工作，客观真实的反应项目绩效情况。</w:t>
      </w:r>
    </w:p>
    <w:p>
      <w:pPr>
        <w:spacing w:line="600" w:lineRule="exact"/>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二、项目资金申报及使用情况</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（一）项目资金申报及批复情况。</w:t>
      </w:r>
    </w:p>
    <w:p>
      <w:pPr>
        <w:spacing w:line="600" w:lineRule="exact"/>
        <w:ind w:firstLine="640" w:firstLineChars="200"/>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zh-CN"/>
        </w:rPr>
        <w:t>该项目资金按照阿州财社【</w:t>
      </w:r>
      <w:r>
        <w:rPr>
          <w:rFonts w:hint="eastAsia" w:ascii="仿宋_GB2312" w:hAnsi="仿宋_GB2312" w:eastAsia="仿宋_GB2312" w:cs="仿宋_GB2312"/>
          <w:color w:val="000000"/>
          <w:kern w:val="0"/>
          <w:sz w:val="32"/>
          <w:szCs w:val="32"/>
        </w:rPr>
        <w:t>2019</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77号文件（关于下达2019年基本公共卫生服务中央和省级资金（第二批）的通知）下达我单位两癌筛查项目资金5.6万元整；新生儿筛查项目资金5.23万元整。</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（二）资金计划、到位及使用情况（可用表格形式反映）。</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zh-CN"/>
        </w:rPr>
        <w:t>资金计划。两癌筛查项目资金5.6万元整；新生儿筛查项目资金5.23万元整。</w:t>
      </w:r>
    </w:p>
    <w:p>
      <w:pPr>
        <w:spacing w:line="600" w:lineRule="exact"/>
        <w:ind w:firstLine="640" w:firstLineChars="200"/>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zh-CN"/>
        </w:rPr>
        <w:t>该项目资金为省级补助资金合计：</w:t>
      </w:r>
      <w:r>
        <w:rPr>
          <w:rFonts w:hint="eastAsia" w:ascii="仿宋_GB2312" w:hAnsi="仿宋_GB2312" w:eastAsia="仿宋_GB2312" w:cs="仿宋_GB2312"/>
          <w:color w:val="000000"/>
          <w:kern w:val="0"/>
          <w:sz w:val="32"/>
          <w:szCs w:val="32"/>
        </w:rPr>
        <w:t>10.83万元整，分为两癌筛查项目资金5.6万元整；新生儿筛查项目资金5.23万元整。</w:t>
      </w:r>
    </w:p>
    <w:p>
      <w:pPr>
        <w:numPr>
          <w:ilvl w:val="0"/>
          <w:numId w:val="5"/>
        </w:num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资金到位。</w:t>
      </w:r>
    </w:p>
    <w:p>
      <w:pPr>
        <w:spacing w:line="600" w:lineRule="exact"/>
        <w:ind w:firstLine="640" w:firstLineChars="200"/>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该项目资金在项目开展前及时到位，为项目开展提供了有力的支持，保证了项目按照计划顺利开展。</w:t>
      </w:r>
    </w:p>
    <w:p>
      <w:pPr>
        <w:numPr>
          <w:ilvl w:val="0"/>
          <w:numId w:val="5"/>
        </w:num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资金使用。</w:t>
      </w:r>
    </w:p>
    <w:p>
      <w:pPr>
        <w:spacing w:line="600" w:lineRule="exact"/>
        <w:ind w:firstLine="640" w:firstLineChars="200"/>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zh-CN"/>
        </w:rPr>
        <w:t>截至汇总统计评价时点该项目资金支出合计：</w:t>
      </w:r>
      <w:r>
        <w:rPr>
          <w:rFonts w:hint="eastAsia" w:ascii="仿宋_GB2312" w:hAnsi="仿宋_GB2312" w:eastAsia="仿宋_GB2312" w:cs="仿宋_GB2312"/>
          <w:color w:val="000000"/>
          <w:kern w:val="0"/>
          <w:sz w:val="32"/>
          <w:szCs w:val="32"/>
        </w:rPr>
        <w:t>66647.00元（合计：陆万陆仟陆佰肆拾柒元整），该项目资金严格按照相关规定专款专用，根据项目完成情况完善所需资料逐层审批及时通过财务大平台进行支付。</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（三）项目财务管理情况。</w:t>
      </w:r>
    </w:p>
    <w:p>
      <w:pPr>
        <w:spacing w:line="600" w:lineRule="exact"/>
        <w:ind w:firstLine="640" w:firstLineChars="200"/>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我单位建立健全财务管理制度，严格执行财务管理制度，及时进行财务处理，会计核算规范。</w:t>
      </w:r>
    </w:p>
    <w:p>
      <w:pPr>
        <w:spacing w:line="600" w:lineRule="exact"/>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三、项目实施及管理情况</w:t>
      </w:r>
    </w:p>
    <w:p>
      <w:pPr>
        <w:spacing w:line="600" w:lineRule="exact"/>
        <w:ind w:firstLine="640" w:firstLineChars="200"/>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结合项目组织实施管理办法，重点围绕以下内容进行分析评价，并对自评中发现的问题分析说明。</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项目组织架构及实施流程。</w:t>
      </w:r>
    </w:p>
    <w:p>
      <w:pPr>
        <w:spacing w:line="600" w:lineRule="exact"/>
        <w:ind w:firstLine="640" w:firstLineChars="200"/>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我单位及时召开科室负责人会议，根据我县具体情况制定了两癌筛查和新生儿筛查项目的实施计划，按照医学专业要求高标准配置人员，协调各相关单位，组织相关医用材料物资的采购和储备，利用各种宣传手段提前进行宣传动员和人员组织工作。</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项目管理情况。</w:t>
      </w:r>
    </w:p>
    <w:p>
      <w:pPr>
        <w:spacing w:line="600" w:lineRule="exact"/>
        <w:ind w:firstLine="640" w:firstLineChars="200"/>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我单位按照计划指派专人负责协调各相关单位开展人员组织工作、宣传动员工作、相关材料物资的采购储备工作和后勤保障工作；在该项目的实施过程中严格按照政府采购法和项目管理办法开展工作，严格按照相关财务制度进行结算。</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项目监管情况。</w:t>
      </w:r>
    </w:p>
    <w:p>
      <w:pPr>
        <w:spacing w:line="600" w:lineRule="exact"/>
        <w:ind w:firstLine="640" w:firstLineChars="200"/>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我单位作为该项目实施部门，主管财务负责人按照项目管理办法对该项目开展全程监督工作，严格执行财经纪律确保了项目资金无挪用、无挤占的情况发生。</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四、项目绩效情况</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（一）项目完成情况。</w:t>
      </w:r>
    </w:p>
    <w:p>
      <w:pPr>
        <w:spacing w:line="600" w:lineRule="exact"/>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两癌筛查项目</w:t>
      </w:r>
      <w:r>
        <w:rPr>
          <w:rFonts w:hint="eastAsia" w:ascii="仿宋_GB2312" w:hAnsi="仿宋_GB2312" w:eastAsia="仿宋_GB2312" w:cs="仿宋_GB2312"/>
          <w:color w:val="000000"/>
          <w:kern w:val="0"/>
          <w:sz w:val="32"/>
          <w:szCs w:val="32"/>
        </w:rPr>
        <w:t>2531人次，其中乳腺癌筛查1280人次，完成率213.33%；宫颈癌筛查1251人次，完成率208.5%；宫颈癌检查异常/可疑病例，TBS报告结果Asc_us及以上者24人，乳腺彩超检查BI_RADS分级3级的1人。</w:t>
      </w:r>
    </w:p>
    <w:p>
      <w:pPr>
        <w:spacing w:line="600" w:lineRule="exact"/>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2.新生儿先天性甲状腺功能减退症筛查和苯丙酮尿症筛查435人，其中1人筛查可疑阳性未确诊，目前正在追踪随访。该项目资金成本均控制在计划内无超额结算的情况。</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（二）项目效益情况。</w:t>
      </w:r>
    </w:p>
    <w:p>
      <w:pPr>
        <w:spacing w:line="600" w:lineRule="exact"/>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zh-CN"/>
        </w:rPr>
        <w:t>该项目实施后提高了我县两癌筛查率、提高了两癌治愈率、减少了两癌患病率、提高了新生儿筛查率和提高了新生儿健康率，为提高我县妇女儿童的健康生活水平夯实了基础；</w:t>
      </w:r>
      <w:r>
        <w:rPr>
          <w:rFonts w:hint="eastAsia" w:ascii="仿宋_GB2312" w:hAnsi="仿宋_GB2312" w:eastAsia="仿宋_GB2312" w:cs="仿宋_GB2312"/>
          <w:color w:val="000000"/>
          <w:kern w:val="0"/>
          <w:sz w:val="32"/>
          <w:szCs w:val="32"/>
        </w:rPr>
        <w:t>得到了群众的认可提高了群众的满意度。</w:t>
      </w:r>
    </w:p>
    <w:p>
      <w:pPr>
        <w:spacing w:line="600" w:lineRule="exact"/>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五、评价结论及建议</w:t>
      </w:r>
      <w:bookmarkStart w:id="73" w:name="_GoBack"/>
      <w:bookmarkEnd w:id="73"/>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（一）评价结论。</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结合项目自身特点、评价重点及管理办法等要求，围绕专项项目支出绩效评价指标体系对项目进行总体评价。</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（二）存在的问题。</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无</w:t>
      </w:r>
    </w:p>
    <w:p>
      <w:pPr>
        <w:spacing w:line="600" w:lineRule="exact"/>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（三）相关建议。</w:t>
      </w:r>
    </w:p>
    <w:p>
      <w:pPr>
        <w:spacing w:line="600" w:lineRule="exact"/>
        <w:outlineLvl w:val="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zh-CN"/>
        </w:rPr>
        <w:t>无</w:t>
      </w:r>
    </w:p>
    <w:p>
      <w:pPr>
        <w:spacing w:line="600" w:lineRule="exact"/>
        <w:outlineLvl w:val="0"/>
        <w:rPr>
          <w:rFonts w:ascii="黑体" w:hAnsi="黑体" w:eastAsia="黑体"/>
          <w:color w:val="000000"/>
          <w:sz w:val="44"/>
          <w:szCs w:val="44"/>
        </w:rPr>
      </w:pPr>
      <w:bookmarkStart w:id="59" w:name="_Toc15396618"/>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59"/>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3"/>
    </w:p>
    <w:p>
      <w:pPr>
        <w:pStyle w:val="3"/>
        <w:rPr>
          <w:rStyle w:val="27"/>
          <w:rFonts w:ascii="仿宋" w:hAnsi="仿宋" w:eastAsia="仿宋"/>
          <w:b w:val="0"/>
          <w:bCs w:val="0"/>
        </w:rPr>
      </w:pPr>
      <w:bookmarkStart w:id="6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16</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5DF20E0"/>
    <w:multiLevelType w:val="singleLevel"/>
    <w:tmpl w:val="D5DF20E0"/>
    <w:lvl w:ilvl="0" w:tentative="0">
      <w:start w:val="3"/>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C1EC143"/>
    <w:multiLevelType w:val="singleLevel"/>
    <w:tmpl w:val="3C1EC143"/>
    <w:lvl w:ilvl="0" w:tentative="0">
      <w:start w:val="2"/>
      <w:numFmt w:val="decimal"/>
      <w:lvlText w:val="%1."/>
      <w:lvlJc w:val="left"/>
      <w:pPr>
        <w:tabs>
          <w:tab w:val="left" w:pos="312"/>
        </w:tabs>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0249D"/>
    <w:rsid w:val="00114E9B"/>
    <w:rsid w:val="00121FB1"/>
    <w:rsid w:val="00142216"/>
    <w:rsid w:val="00144D6A"/>
    <w:rsid w:val="0014729F"/>
    <w:rsid w:val="00154787"/>
    <w:rsid w:val="00157BAB"/>
    <w:rsid w:val="001654D1"/>
    <w:rsid w:val="00174518"/>
    <w:rsid w:val="0018106D"/>
    <w:rsid w:val="001877A7"/>
    <w:rsid w:val="00191536"/>
    <w:rsid w:val="00196687"/>
    <w:rsid w:val="001C0962"/>
    <w:rsid w:val="001D7531"/>
    <w:rsid w:val="001E737D"/>
    <w:rsid w:val="001F0592"/>
    <w:rsid w:val="001F6AD6"/>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0DA5"/>
    <w:rsid w:val="002A31DE"/>
    <w:rsid w:val="002B2613"/>
    <w:rsid w:val="002D19B0"/>
    <w:rsid w:val="002D6D05"/>
    <w:rsid w:val="002F1818"/>
    <w:rsid w:val="002F567B"/>
    <w:rsid w:val="003216A9"/>
    <w:rsid w:val="00335A74"/>
    <w:rsid w:val="0036561B"/>
    <w:rsid w:val="0037013F"/>
    <w:rsid w:val="00380C92"/>
    <w:rsid w:val="00385579"/>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4431"/>
    <w:rsid w:val="0066343B"/>
    <w:rsid w:val="00664777"/>
    <w:rsid w:val="006703D0"/>
    <w:rsid w:val="006748A4"/>
    <w:rsid w:val="00680C1E"/>
    <w:rsid w:val="00681A31"/>
    <w:rsid w:val="00683E73"/>
    <w:rsid w:val="006A3141"/>
    <w:rsid w:val="006A5E34"/>
    <w:rsid w:val="006B2422"/>
    <w:rsid w:val="006B2B9A"/>
    <w:rsid w:val="006C1937"/>
    <w:rsid w:val="006C4935"/>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2C9"/>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2A2B"/>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34CA"/>
    <w:rsid w:val="00954C49"/>
    <w:rsid w:val="00955E37"/>
    <w:rsid w:val="0097099F"/>
    <w:rsid w:val="00971997"/>
    <w:rsid w:val="00971FFC"/>
    <w:rsid w:val="0098660A"/>
    <w:rsid w:val="009931C3"/>
    <w:rsid w:val="009A458F"/>
    <w:rsid w:val="009B2C43"/>
    <w:rsid w:val="009B4EAE"/>
    <w:rsid w:val="009B7573"/>
    <w:rsid w:val="009C1F22"/>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46339"/>
    <w:rsid w:val="00A56DF2"/>
    <w:rsid w:val="00A56E6E"/>
    <w:rsid w:val="00A67AB5"/>
    <w:rsid w:val="00A733B2"/>
    <w:rsid w:val="00A741C2"/>
    <w:rsid w:val="00A91760"/>
    <w:rsid w:val="00A93295"/>
    <w:rsid w:val="00A93B00"/>
    <w:rsid w:val="00A93C21"/>
    <w:rsid w:val="00AB64C9"/>
    <w:rsid w:val="00AC3C6A"/>
    <w:rsid w:val="00AD0F83"/>
    <w:rsid w:val="00AD5620"/>
    <w:rsid w:val="00AD656B"/>
    <w:rsid w:val="00AD7C1B"/>
    <w:rsid w:val="00AE16BA"/>
    <w:rsid w:val="00AE1EBE"/>
    <w:rsid w:val="00AF37A0"/>
    <w:rsid w:val="00AF75D3"/>
    <w:rsid w:val="00B03C9D"/>
    <w:rsid w:val="00B0524C"/>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86694"/>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0C42"/>
    <w:rsid w:val="00C533CC"/>
    <w:rsid w:val="00C5751C"/>
    <w:rsid w:val="00C61BFC"/>
    <w:rsid w:val="00C62B85"/>
    <w:rsid w:val="00C65438"/>
    <w:rsid w:val="00C91CBB"/>
    <w:rsid w:val="00C94483"/>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A65B5"/>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70B51"/>
    <w:rsid w:val="00E82267"/>
    <w:rsid w:val="00E853CE"/>
    <w:rsid w:val="00E867B6"/>
    <w:rsid w:val="00E87F08"/>
    <w:rsid w:val="00EA010F"/>
    <w:rsid w:val="00EA4505"/>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6E407A"/>
    <w:rsid w:val="04226BD3"/>
    <w:rsid w:val="094554BB"/>
    <w:rsid w:val="09766C34"/>
    <w:rsid w:val="10C055FF"/>
    <w:rsid w:val="10E6412C"/>
    <w:rsid w:val="16BB723D"/>
    <w:rsid w:val="17013696"/>
    <w:rsid w:val="197308A0"/>
    <w:rsid w:val="1E496E07"/>
    <w:rsid w:val="23CD0881"/>
    <w:rsid w:val="240371BF"/>
    <w:rsid w:val="26CE748B"/>
    <w:rsid w:val="278616E6"/>
    <w:rsid w:val="27D30B16"/>
    <w:rsid w:val="29B7377D"/>
    <w:rsid w:val="29FD04D3"/>
    <w:rsid w:val="2ABE5C62"/>
    <w:rsid w:val="2DA21BC6"/>
    <w:rsid w:val="3127670F"/>
    <w:rsid w:val="319F7F4E"/>
    <w:rsid w:val="3B894C69"/>
    <w:rsid w:val="3FBA1D2D"/>
    <w:rsid w:val="405E0463"/>
    <w:rsid w:val="40F20A2D"/>
    <w:rsid w:val="426A1EC6"/>
    <w:rsid w:val="429A106B"/>
    <w:rsid w:val="447A461E"/>
    <w:rsid w:val="48B40923"/>
    <w:rsid w:val="4AFB4299"/>
    <w:rsid w:val="4B1931D8"/>
    <w:rsid w:val="4C975906"/>
    <w:rsid w:val="4ECE2238"/>
    <w:rsid w:val="50592DF1"/>
    <w:rsid w:val="5791223C"/>
    <w:rsid w:val="57A70DE1"/>
    <w:rsid w:val="5E276209"/>
    <w:rsid w:val="62174218"/>
    <w:rsid w:val="675B29BC"/>
    <w:rsid w:val="6A490602"/>
    <w:rsid w:val="702E0D08"/>
    <w:rsid w:val="72734D90"/>
    <w:rsid w:val="73F2220A"/>
    <w:rsid w:val="7941764C"/>
    <w:rsid w:val="79E364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99"/>
    <w:pPr>
      <w:spacing w:before="100" w:beforeAutospacing="1" w:after="100" w:afterAutospacing="1"/>
      <w:jc w:val="left"/>
    </w:pPr>
    <w:rPr>
      <w:kern w:val="0"/>
      <w:sz w:val="24"/>
      <w:szCs w:val="20"/>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2">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en-US"/>
              <a:t>2018</a:t>
            </a:r>
            <a:r>
              <a:rPr lang="zh-CN" altLang="en-US"/>
              <a:t>年</a:t>
            </a:r>
            <a:r>
              <a:rPr lang="en-US" altLang="zh-CN"/>
              <a:t>-2019</a:t>
            </a:r>
            <a:r>
              <a:rPr lang="zh-CN" altLang="en-US"/>
              <a:t>年收支统计表</a:t>
            </a:r>
            <a:endParaRPr lang="en-US" altLang="zh-CN"/>
          </a:p>
          <a:p>
            <a:pPr>
              <a:defRPr lang="zh-CN" sz="1800" b="1" i="0" u="none" strike="noStrike" kern="1200" baseline="0">
                <a:solidFill>
                  <a:schemeClr val="tx1"/>
                </a:solidFill>
                <a:latin typeface="+mn-lt"/>
                <a:ea typeface="+mn-ea"/>
                <a:cs typeface="+mn-cs"/>
              </a:defRPr>
            </a:pPr>
            <a:r>
              <a:rPr lang="zh-CN" altLang="en-US"/>
              <a:t>（单位：万元）</a:t>
            </a:r>
            <a:endParaRPr lang="en-US" altLang="en-US"/>
          </a:p>
        </c:rich>
      </c:tx>
      <c:layout/>
      <c:overlay val="0"/>
    </c:title>
    <c:autoTitleDeleted val="0"/>
    <c:plotArea>
      <c:layout>
        <c:manualLayout>
          <c:layoutTarget val="inner"/>
          <c:xMode val="edge"/>
          <c:yMode val="edge"/>
          <c:x val="0.02846826829607"/>
          <c:y val="0.299190751445087"/>
          <c:w val="0.938897375364533"/>
          <c:h val="0.649942196531792"/>
        </c:manualLayout>
      </c:layout>
      <c:barChart>
        <c:barDir val="col"/>
        <c:grouping val="clustered"/>
        <c:varyColors val="0"/>
        <c:ser>
          <c:idx val="0"/>
          <c:order val="0"/>
          <c:spPr>
            <a:solidFill>
              <a:schemeClr val="accent2"/>
            </a:solidFill>
          </c:spPr>
          <c:invertIfNegative val="0"/>
          <c:dPt>
            <c:idx val="1"/>
            <c:invertIfNegative val="0"/>
            <c:bubble3D val="0"/>
            <c:spPr>
              <a:solidFill>
                <a:schemeClr val="tx2"/>
              </a:solidFill>
            </c:spPr>
          </c:dPt>
          <c:dPt>
            <c:idx val="3"/>
            <c:invertIfNegative val="0"/>
            <c:bubble3D val="0"/>
            <c:spPr>
              <a:solidFill>
                <a:schemeClr val="tx2"/>
              </a:solidFill>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系列1, 201</a:t>
                    </a:r>
                    <a:r>
                      <a:rPr lang="en-US" altLang="zh-CN"/>
                      <a:t>9</a:t>
                    </a:r>
                    <a:r>
                      <a:t>年收入</a:t>
                    </a:r>
                    <a:r>
                      <a:rPr lang="en-US" altLang="zh-CN"/>
                      <a:t>736.49</a:t>
                    </a:r>
                    <a:endParaRPr lang="en-US" altLang="zh-CN"/>
                  </a:p>
                </c:rich>
              </c:tx>
              <c:dLblPos val="outEnd"/>
              <c:showLegendKey val="1"/>
              <c:showVal val="1"/>
              <c:showCatName val="1"/>
              <c:showSerName val="1"/>
              <c:showPercent val="1"/>
              <c:showBubbleSize val="1"/>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系列1, 201</a:t>
                    </a:r>
                    <a:r>
                      <a:rPr lang="en-US" altLang="zh-CN"/>
                      <a:t>8</a:t>
                    </a:r>
                    <a:r>
                      <a:t>年收入,</a:t>
                    </a:r>
                    <a:r>
                      <a:rPr lang="en-US" altLang="zh-CN"/>
                      <a:t>1199.15</a:t>
                    </a:r>
                    <a:endParaRPr lang="en-US" altLang="zh-CN"/>
                  </a:p>
                </c:rich>
              </c:tx>
              <c:dLblPos val="outEnd"/>
              <c:showLegendKey val="1"/>
              <c:showVal val="1"/>
              <c:showCatName val="1"/>
              <c:showSerName val="1"/>
              <c:showPercent val="1"/>
              <c:showBubbleSize val="1"/>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系列1, 201</a:t>
                    </a:r>
                    <a:r>
                      <a:rPr lang="en-US" altLang="zh-CN"/>
                      <a:t>9</a:t>
                    </a:r>
                    <a:r>
                      <a:t>年支出,</a:t>
                    </a:r>
                    <a:r>
                      <a:rPr lang="en-US" altLang="zh-CN"/>
                      <a:t>703.2</a:t>
                    </a:r>
                    <a:endParaRPr lang="en-US" altLang="zh-CN"/>
                  </a:p>
                </c:rich>
              </c:tx>
              <c:dLblPos val="outEnd"/>
              <c:showLegendKey val="1"/>
              <c:showVal val="1"/>
              <c:showCatName val="1"/>
              <c:showSerName val="1"/>
              <c:showPercent val="1"/>
              <c:showBubbleSize val="1"/>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系列1, 201</a:t>
                    </a:r>
                    <a:r>
                      <a:rPr lang="en-US" altLang="zh-CN"/>
                      <a:t>8</a:t>
                    </a:r>
                    <a:r>
                      <a:t>年支出,</a:t>
                    </a:r>
                    <a:r>
                      <a:rPr lang="en-US" altLang="zh-CN"/>
                      <a:t>1199.15</a:t>
                    </a:r>
                    <a:endParaRPr lang="en-US" altLang="zh-CN"/>
                  </a:p>
                </c:rich>
              </c:tx>
              <c:dLblPos val="outEnd"/>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Sheet1!$A$1:$A$4</c:f>
              <c:strCache>
                <c:ptCount val="4"/>
                <c:pt idx="0">
                  <c:v>2017年收入</c:v>
                </c:pt>
                <c:pt idx="1">
                  <c:v>2018年收入</c:v>
                </c:pt>
                <c:pt idx="2">
                  <c:v>2017年支出</c:v>
                </c:pt>
                <c:pt idx="3">
                  <c:v>2018年支出</c:v>
                </c:pt>
              </c:strCache>
            </c:strRef>
          </c:cat>
          <c:val>
            <c:numRef>
              <c:f>Sheet1!$B$1:$B$4</c:f>
              <c:numCache>
                <c:formatCode>General</c:formatCode>
                <c:ptCount val="4"/>
                <c:pt idx="0">
                  <c:v>983.91</c:v>
                </c:pt>
                <c:pt idx="1">
                  <c:v>1199.15</c:v>
                </c:pt>
                <c:pt idx="2">
                  <c:v>983.91</c:v>
                </c:pt>
                <c:pt idx="3">
                  <c:v>1199.15</c:v>
                </c:pt>
              </c:numCache>
            </c:numRef>
          </c:val>
        </c:ser>
        <c:ser>
          <c:idx val="2"/>
          <c:order val="1"/>
          <c:invertIfNegative val="0"/>
          <c:dLbls>
            <c:delete val="1"/>
          </c:dLbls>
          <c:cat>
            <c:strRef>
              <c:f>Sheet1!$A$1:$A$4</c:f>
              <c:strCache>
                <c:ptCount val="4"/>
                <c:pt idx="0">
                  <c:v>2017年收入</c:v>
                </c:pt>
                <c:pt idx="1">
                  <c:v>2018年收入</c:v>
                </c:pt>
                <c:pt idx="2">
                  <c:v>2017年支出</c:v>
                </c:pt>
                <c:pt idx="3">
                  <c:v>2018年支出</c:v>
                </c:pt>
              </c:strCache>
            </c:strRef>
          </c:cat>
          <c:val>
            <c:numRef>
              <c:f>Sheet1!$D$1:$D$4</c:f>
              <c:numCache>
                <c:formatCode>General</c:formatCode>
                <c:ptCount val="4"/>
                <c:pt idx="1" c:formatCode="0.00%">
                  <c:v>0.2188</c:v>
                </c:pt>
                <c:pt idx="3" c:formatCode="0.00%">
                  <c:v>0.2188</c:v>
                </c:pt>
              </c:numCache>
            </c:numRef>
          </c:val>
        </c:ser>
        <c:dLbls>
          <c:showLegendKey val="1"/>
          <c:showVal val="1"/>
          <c:showCatName val="1"/>
          <c:showSerName val="1"/>
          <c:showPercent val="1"/>
          <c:showBubbleSize val="1"/>
        </c:dLbls>
        <c:gapWidth val="150"/>
        <c:overlap val="-25"/>
        <c:axId val="115226496"/>
        <c:axId val="115228032"/>
      </c:barChart>
      <c:catAx>
        <c:axId val="115226496"/>
        <c:scaling>
          <c:orientation val="minMax"/>
        </c:scaling>
        <c:delete val="1"/>
        <c:axPos val="b"/>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5228032"/>
        <c:crosses val="autoZero"/>
        <c:auto val="1"/>
        <c:lblAlgn val="ctr"/>
        <c:lblOffset val="100"/>
        <c:noMultiLvlLbl val="0"/>
      </c:catAx>
      <c:valAx>
        <c:axId val="115228032"/>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522649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400"/>
              <a:t>2019</a:t>
            </a:r>
            <a:r>
              <a:rPr lang="zh-CN" altLang="en-US" sz="1400"/>
              <a:t>年收入合计</a:t>
            </a:r>
            <a:endParaRPr lang="en-US" altLang="zh-CN" sz="1400"/>
          </a:p>
          <a:p>
            <a:pPr>
              <a:defRPr lang="zh-CN" sz="1800" b="1" i="0" u="none" strike="noStrike" kern="1200" baseline="0">
                <a:solidFill>
                  <a:schemeClr val="tx1"/>
                </a:solidFill>
                <a:latin typeface="+mn-lt"/>
                <a:ea typeface="+mn-ea"/>
                <a:cs typeface="+mn-cs"/>
              </a:defRPr>
            </a:pPr>
            <a:r>
              <a:rPr lang="zh-CN" altLang="en-US" sz="1400"/>
              <a:t>（单位：万元）</a:t>
            </a:r>
            <a:endParaRPr lang="zh-CN" altLang="en-US" sz="1400"/>
          </a:p>
        </c:rich>
      </c:tx>
      <c:layout>
        <c:manualLayout>
          <c:xMode val="edge"/>
          <c:yMode val="edge"/>
          <c:x val="0.660701241782323"/>
          <c:y val="0.0127913587265492"/>
        </c:manualLayout>
      </c:layout>
      <c:overlay val="0"/>
    </c:title>
    <c:autoTitleDeleted val="0"/>
    <c:plotArea>
      <c:layout/>
      <c:pieChart>
        <c:varyColors val="1"/>
        <c:ser>
          <c:idx val="0"/>
          <c:order val="0"/>
          <c:tx>
            <c:strRef>
              <c:f>Sheet1!$B$1</c:f>
              <c:strCache>
                <c:ptCount val="1"/>
                <c:pt idx="0">
                  <c:v/>
                </c:pt>
              </c:strCache>
            </c:strRef>
          </c:tx>
          <c:explosion val="0"/>
          <c:dPt>
            <c:idx val="0"/>
            <c:bubble3D val="0"/>
            <c:spPr>
              <a:solidFill>
                <a:srgbClr val="FF0000"/>
              </a:solidFill>
            </c:spPr>
          </c:dPt>
          <c:dPt>
            <c:idx val="1"/>
            <c:bubble3D val="0"/>
            <c:spPr>
              <a:solidFill>
                <a:srgbClr val="00B050"/>
              </a:solidFill>
            </c:spPr>
          </c:dPt>
          <c:dPt>
            <c:idx val="2"/>
            <c:bubble3D val="0"/>
          </c:dPt>
          <c:dLbls>
            <c:dLbl>
              <c:idx val="0"/>
              <c:layout>
                <c:manualLayout>
                  <c:x val="0.210981163574233"/>
                  <c:y val="-0.081011938601478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a:t>
                    </a:r>
                    <a:r>
                      <a:rPr lang="zh-CN" altLang="en-US"/>
                      <a:t>一般公共预算财政拨款收入</a:t>
                    </a:r>
                    <a:r>
                      <a:rPr lang="en-US" altLang="en-US"/>
                      <a:t>599.41</a:t>
                    </a:r>
                    <a:r>
                      <a:rPr altLang="en-US"/>
                      <a:t>，</a:t>
                    </a:r>
                    <a:r>
                      <a:rPr lang="en-US" altLang="en-US"/>
                      <a:t>81.39%</a:t>
                    </a:r>
                    <a:endParaRPr lang="en-US" altLang="en-US"/>
                  </a:p>
                </c:rich>
              </c:tx>
              <c:dLblPos val="bestFit"/>
              <c:showLegendKey val="1"/>
              <c:showVal val="1"/>
              <c:showCatName val="1"/>
              <c:showSerName val="1"/>
              <c:showPercent val="1"/>
              <c:showBubbleSize val="1"/>
              <c:extLst>
                <c:ext xmlns:c15="http://schemas.microsoft.com/office/drawing/2012/chart" uri="{CE6537A1-D6FC-4f65-9D91-7224C49458BB}">
                  <c15:layout/>
                </c:ext>
              </c:extLst>
            </c:dLbl>
            <c:dLbl>
              <c:idx val="1"/>
              <c:layout>
                <c:manualLayout>
                  <c:x val="-0.269161630241891"/>
                  <c:y val="-0.064939474965350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系列1, 事业收入   , </a:t>
                    </a:r>
                    <a:r>
                      <a:rPr lang="en-US" altLang="zh-CN"/>
                      <a:t>7.51</a:t>
                    </a:r>
                    <a:r>
                      <a:t>,</a:t>
                    </a:r>
                    <a:r>
                      <a:rPr lang="en-US" altLang="zh-CN"/>
                      <a:t>1</a:t>
                    </a:r>
                    <a:r>
                      <a:t>%</a:t>
                    </a:r>
                  </a:p>
                </c:rich>
              </c:tx>
              <c:dLblPos val="bestFi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0.240487157081604"/>
                  <c:y val="0.23325820094917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系列1, 项目资金结转结余收入 </a:t>
                    </a:r>
                    <a:r>
                      <a:rPr lang="en-US" altLang="zh-CN"/>
                      <a:t>129.57</a:t>
                    </a:r>
                    <a:r>
                      <a:t>  , </a:t>
                    </a:r>
                    <a:r>
                      <a:rPr lang="en-US" altLang="zh-CN"/>
                      <a:t>17.61</a:t>
                    </a:r>
                    <a:r>
                      <a:t>%</a:t>
                    </a:r>
                  </a:p>
                </c:rich>
              </c:tx>
              <c:dLblPos val="bestFit"/>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Sheet1!$A$2:$A$4</c:f>
              <c:strCache>
                <c:ptCount val="3"/>
                <c:pt idx="0">
                  <c:v>一般公共预算财政拨款收入 </c:v>
                </c:pt>
                <c:pt idx="1">
                  <c:v>事业收入   </c:v>
                </c:pt>
                <c:pt idx="2">
                  <c:v>其他收入   </c:v>
                </c:pt>
              </c:strCache>
            </c:strRef>
          </c:cat>
          <c:val>
            <c:numRef>
              <c:f>Sheet1!$B$2:$B$4</c:f>
              <c:numCache>
                <c:formatCode>General</c:formatCode>
                <c:ptCount val="3"/>
                <c:pt idx="0">
                  <c:v>686.69</c:v>
                </c:pt>
                <c:pt idx="1">
                  <c:v>24.16</c:v>
                </c:pt>
                <c:pt idx="2">
                  <c:v>0.09</c:v>
                </c:pt>
              </c:numCache>
            </c:numRef>
          </c:val>
        </c:ser>
        <c:ser>
          <c:idx val="1"/>
          <c:order val="1"/>
          <c:tx>
            <c:strRef>
              <c:f>Sheet1!$C$1</c:f>
              <c:strCache>
                <c:ptCount val="1"/>
                <c:pt idx="0">
                  <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Sheet1!$A$2:$A$4</c:f>
              <c:strCache>
                <c:ptCount val="3"/>
                <c:pt idx="0">
                  <c:v>一般公共预算财政拨款收入 </c:v>
                </c:pt>
                <c:pt idx="1">
                  <c:v>事业收入   </c:v>
                </c:pt>
                <c:pt idx="2">
                  <c:v>其他收入   </c:v>
                </c:pt>
              </c:strCache>
            </c:strRef>
          </c:cat>
          <c:val>
            <c:numRef>
              <c:f>Sheet1!$C$2:$C$4</c:f>
              <c:numCache>
                <c:formatCode>General</c:formatCode>
                <c:ptCount val="3"/>
              </c:numCache>
            </c:numRef>
          </c:val>
        </c:ser>
        <c:dLbls>
          <c:showLegendKey val="1"/>
          <c:showVal val="1"/>
          <c:showCatName val="1"/>
          <c:showSerName val="1"/>
          <c:showPercent val="1"/>
          <c:showBubbleSize val="1"/>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2019</a:t>
            </a:r>
            <a:r>
              <a:rPr lang="zh-CN" altLang="en-US"/>
              <a:t>年支出合计表（单位：万元）</a:t>
            </a:r>
            <a:endParaRPr lang="zh-CN" altLang="en-US"/>
          </a:p>
        </c:rich>
      </c:tx>
      <c:layout/>
      <c:overlay val="0"/>
    </c:title>
    <c:autoTitleDeleted val="0"/>
    <c:plotArea>
      <c:layout/>
      <c:pieChart>
        <c:varyColors val="1"/>
        <c:ser>
          <c:idx val="0"/>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系列1, 基本支出  , </a:t>
                    </a:r>
                    <a:r>
                      <a:rPr lang="en-US" altLang="zh-CN"/>
                      <a:t>516.43</a:t>
                    </a:r>
                    <a:r>
                      <a:t>, </a:t>
                    </a:r>
                    <a:r>
                      <a:rPr lang="en-US" altLang="zh-CN"/>
                      <a:t>73.</a:t>
                    </a:r>
                    <a:r>
                      <a:t>44%</a:t>
                    </a:r>
                  </a:p>
                </c:rich>
              </c:tx>
              <c:dLblPos val="bestFit"/>
              <c:showLegendKey val="1"/>
              <c:showVal val="1"/>
              <c:showCatName val="1"/>
              <c:showSerName val="1"/>
              <c:showPercent val="1"/>
              <c:showBubbleSize val="1"/>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系列1, 项目支出, </a:t>
                    </a:r>
                    <a:r>
                      <a:rPr lang="en-US" altLang="zh-CN"/>
                      <a:t>186.77</a:t>
                    </a:r>
                    <a:r>
                      <a:t>, </a:t>
                    </a:r>
                    <a:r>
                      <a:rPr lang="en-US" altLang="zh-CN"/>
                      <a:t>26.5</a:t>
                    </a:r>
                    <a:r>
                      <a:t>6%</a:t>
                    </a:r>
                  </a:p>
                </c:rich>
              </c:tx>
              <c:dLblPos val="bestFit"/>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Sheet1!$A$1:$A$2</c:f>
              <c:strCache>
                <c:ptCount val="2"/>
                <c:pt idx="0">
                  <c:v>基本支出  </c:v>
                </c:pt>
                <c:pt idx="1">
                  <c:v>项目支出</c:v>
                </c:pt>
              </c:strCache>
            </c:strRef>
          </c:cat>
          <c:val>
            <c:numRef>
              <c:f>Sheet1!$B$1:$B$2</c:f>
              <c:numCache>
                <c:formatCode>General</c:formatCode>
                <c:ptCount val="2"/>
                <c:pt idx="0">
                  <c:v>492.54</c:v>
                </c:pt>
                <c:pt idx="1">
                  <c:v>624.48</c:v>
                </c:pt>
              </c:numCache>
            </c:numRef>
          </c:val>
        </c:ser>
        <c:dLbls>
          <c:showLegendKey val="1"/>
          <c:showVal val="1"/>
          <c:showCatName val="1"/>
          <c:showSerName val="1"/>
          <c:showPercent val="1"/>
          <c:showBubbleSize val="1"/>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400"/>
              <a:t>2019</a:t>
            </a:r>
            <a:r>
              <a:rPr lang="zh-CN" altLang="en-US" sz="1400"/>
              <a:t>年财政拨款支出统计表</a:t>
            </a:r>
            <a:r>
              <a:rPr lang="en-US" altLang="zh-CN" sz="1400"/>
              <a:t>(</a:t>
            </a:r>
            <a:r>
              <a:rPr lang="zh-CN" altLang="en-US" sz="1400"/>
              <a:t>单位：万元）</a:t>
            </a:r>
            <a:endParaRPr lang="zh-CN" altLang="en-US" sz="1400"/>
          </a:p>
        </c:rich>
      </c:tx>
      <c:layout/>
      <c:overlay val="0"/>
    </c:title>
    <c:autoTitleDeleted val="0"/>
    <c:plotArea>
      <c:layout/>
      <c:barChart>
        <c:barDir val="col"/>
        <c:grouping val="clustered"/>
        <c:varyColors val="0"/>
        <c:ser>
          <c:idx val="0"/>
          <c:order val="0"/>
          <c:invertIfNegative val="0"/>
          <c:dPt>
            <c:idx val="1"/>
            <c:invertIfNegative val="0"/>
            <c:bubble3D val="0"/>
            <c:spPr>
              <a:solidFill>
                <a:schemeClr val="accent2"/>
              </a:solidFill>
            </c:spPr>
          </c:dPt>
          <c:dPt>
            <c:idx val="2"/>
            <c:invertIfNegative val="0"/>
            <c:bubble3D val="0"/>
            <c:spPr>
              <a:solidFill>
                <a:srgbClr val="00B050"/>
              </a:solidFill>
            </c:spPr>
          </c:dPt>
          <c:dPt>
            <c:idx val="3"/>
            <c:invertIfNegative val="0"/>
            <c:bubble3D val="0"/>
            <c:spPr>
              <a:solidFill>
                <a:schemeClr val="accent6">
                  <a:lumMod val="75000"/>
                </a:schemeClr>
              </a:solidFill>
            </c:spPr>
          </c:dPt>
          <c:dLbls>
            <c:dLbl>
              <c:idx val="0"/>
              <c:layout>
                <c:manualLayout>
                  <c:x val="0.174975697819747"/>
                  <c:y val="0.15384615384615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减少</a:t>
                    </a:r>
                    <a:r>
                      <a:rPr lang="en-US" altLang="zh-CN"/>
                      <a:t>12.7%</a:t>
                    </a:r>
                    <a:endParaRPr lang="en-US" altLang="en-US"/>
                  </a:p>
                </c:rich>
              </c:tx>
              <c:dLblPos val="outEnd"/>
              <c:showLegendKey val="1"/>
              <c:showVal val="1"/>
              <c:showCatName val="1"/>
              <c:showSerName val="1"/>
              <c:showPercent val="1"/>
              <c:showBubbleSize val="1"/>
              <c:extLst>
                <c:ext xmlns:c15="http://schemas.microsoft.com/office/drawing/2012/chart" uri="{CE6537A1-D6FC-4f65-9D91-7224C49458BB}">
                  <c15:layout/>
                </c:ext>
              </c:extLst>
            </c:dLbl>
            <c:dLbl>
              <c:idx val="1"/>
              <c:delete val="1"/>
            </c:dLbl>
            <c:dLbl>
              <c:idx val="2"/>
              <c:layout>
                <c:manualLayout>
                  <c:x val="0.216636578253021"/>
                  <c:y val="0.16783216783216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减少</a:t>
                    </a:r>
                    <a:r>
                      <a:rPr lang="en-US" altLang="zh-CN"/>
                      <a:t>37%</a:t>
                    </a:r>
                    <a:endParaRPr lang="en-US" altLang="en-US"/>
                  </a:p>
                </c:rich>
              </c:tx>
              <c:dLblPos val="outEnd"/>
              <c:showLegendKey val="1"/>
              <c:showVal val="1"/>
              <c:showCatName val="1"/>
              <c:showSerName val="1"/>
              <c:showPercent val="1"/>
              <c:showBubbleSize val="1"/>
              <c:extLst>
                <c:ext xmlns:c15="http://schemas.microsoft.com/office/drawing/2012/chart" uri="{CE6537A1-D6FC-4f65-9D91-7224C49458BB}">
                  <c15:layout/>
                </c:ext>
              </c:extLst>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Sheet1!$A$1:$A$4</c:f>
              <c:strCache>
                <c:ptCount val="4"/>
                <c:pt idx="0">
                  <c:v>2018年财政拨款收入</c:v>
                </c:pt>
                <c:pt idx="1">
                  <c:v>较2017年财政拨款收入增加</c:v>
                </c:pt>
                <c:pt idx="2">
                  <c:v>2018年财政拨款支出</c:v>
                </c:pt>
                <c:pt idx="3">
                  <c:v>较2017年财政拨款支出增加</c:v>
                </c:pt>
              </c:strCache>
            </c:strRef>
          </c:cat>
          <c:val>
            <c:numRef>
              <c:f>Sheet1!$B$1:$B$4</c:f>
              <c:numCache>
                <c:formatCode>General</c:formatCode>
                <c:ptCount val="4"/>
                <c:pt idx="0">
                  <c:v>686.69</c:v>
                </c:pt>
                <c:pt idx="1">
                  <c:v>233.7</c:v>
                </c:pt>
                <c:pt idx="2">
                  <c:v>1117.02</c:v>
                </c:pt>
                <c:pt idx="3">
                  <c:v>723.81</c:v>
                </c:pt>
              </c:numCache>
            </c:numRef>
          </c:val>
        </c:ser>
        <c:dLbls>
          <c:showLegendKey val="0"/>
          <c:showVal val="0"/>
          <c:showCatName val="0"/>
          <c:showSerName val="0"/>
          <c:showPercent val="0"/>
          <c:showBubbleSize val="0"/>
        </c:dLbls>
        <c:gapWidth val="150"/>
        <c:axId val="115188480"/>
        <c:axId val="115190016"/>
      </c:barChart>
      <c:catAx>
        <c:axId val="115188480"/>
        <c:scaling>
          <c:orientation val="minMax"/>
        </c:scaling>
        <c:delete val="1"/>
        <c:axPos val="b"/>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5190016"/>
        <c:crosses val="autoZero"/>
        <c:auto val="1"/>
        <c:lblAlgn val="ctr"/>
        <c:lblOffset val="100"/>
        <c:noMultiLvlLbl val="0"/>
      </c:catAx>
      <c:valAx>
        <c:axId val="115190016"/>
        <c:scaling>
          <c:orientation val="minMax"/>
        </c:scaling>
        <c:delete val="1"/>
        <c:axPos val="l"/>
        <c:majorGridlines/>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518848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t>2019</a:t>
            </a:r>
            <a:r>
              <a:rPr lang="zh-CN"/>
              <a:t>年一般公共预算财政拨款支出统计表（单位：万元）</a:t>
            </a:r>
            <a:endParaRPr lang="zh-CN"/>
          </a:p>
        </c:rich>
      </c:tx>
      <c:layout>
        <c:manualLayout>
          <c:xMode val="edge"/>
          <c:yMode val="edge"/>
          <c:x val="0.172989239467445"/>
          <c:y val="0.00930232558139535"/>
        </c:manualLayout>
      </c:layout>
      <c:overlay val="0"/>
    </c:title>
    <c:autoTitleDeleted val="0"/>
    <c:plotArea>
      <c:layout/>
      <c:barChart>
        <c:barDir val="col"/>
        <c:grouping val="stacked"/>
        <c:varyColors val="0"/>
        <c:ser>
          <c:idx val="0"/>
          <c:order val="0"/>
          <c:invertIfNegative val="0"/>
          <c:dLbls>
            <c:dLbl>
              <c:idx val="0"/>
              <c:layout>
                <c:manualLayout>
                  <c:x val="-0.0402891686687988"/>
                  <c:y val="-0.17829457364341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较上年减少</a:t>
                    </a:r>
                    <a:r>
                      <a:rPr lang="en-US" altLang="zh-CN"/>
                      <a:t>37%</a:t>
                    </a:r>
                    <a:endParaRPr lang="en-US" altLang="en-US"/>
                  </a:p>
                </c:rich>
              </c:tx>
              <c:dLblPos val="ctr"/>
              <c:showLegendKey val="1"/>
              <c:showVal val="1"/>
              <c:showCatName val="1"/>
              <c:showSerName val="1"/>
              <c:showPercent val="0"/>
              <c:showBubbleSize val="0"/>
              <c:extLst>
                <c:ext xmlns:c15="http://schemas.microsoft.com/office/drawing/2012/chart" uri="{CE6537A1-D6FC-4f65-9D91-7224C49458BB}">
                  <c15:layout/>
                </c:ext>
              </c:extLst>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Sheet1!$A$1:$A$2</c:f>
              <c:strCache>
                <c:ptCount val="2"/>
                <c:pt idx="0">
                  <c:v>2018年一般公共预算财政拨款支出</c:v>
                </c:pt>
                <c:pt idx="1">
                  <c:v>较2017年一般公共预算财政拨款增加</c:v>
                </c:pt>
              </c:strCache>
            </c:strRef>
          </c:cat>
          <c:val>
            <c:numRef>
              <c:f>Sheet1!$B$1:$B$2</c:f>
              <c:numCache>
                <c:formatCode>General</c:formatCode>
                <c:ptCount val="2"/>
                <c:pt idx="0">
                  <c:v>1117.02</c:v>
                </c:pt>
                <c:pt idx="1">
                  <c:v>113.11</c:v>
                </c:pt>
              </c:numCache>
            </c:numRef>
          </c:val>
        </c:ser>
        <c:dLbls>
          <c:showLegendKey val="0"/>
          <c:showVal val="0"/>
          <c:showCatName val="0"/>
          <c:showSerName val="0"/>
          <c:showPercent val="0"/>
          <c:showBubbleSize val="0"/>
        </c:dLbls>
        <c:gapWidth val="150"/>
        <c:overlap val="100"/>
        <c:axId val="116675328"/>
        <c:axId val="116676864"/>
      </c:barChart>
      <c:catAx>
        <c:axId val="116675328"/>
        <c:scaling>
          <c:orientation val="minMax"/>
        </c:scaling>
        <c:delete val="1"/>
        <c:axPos val="b"/>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6676864"/>
        <c:crosses val="autoZero"/>
        <c:auto val="1"/>
        <c:lblAlgn val="ctr"/>
        <c:lblOffset val="100"/>
        <c:noMultiLvlLbl val="0"/>
      </c:catAx>
      <c:valAx>
        <c:axId val="116676864"/>
        <c:scaling>
          <c:orientation val="minMax"/>
        </c:scaling>
        <c:delete val="1"/>
        <c:axPos val="l"/>
        <c:majorGridlines/>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6675328"/>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sz="1100"/>
              <a:t>2019</a:t>
            </a:r>
            <a:r>
              <a:rPr lang="zh-CN" sz="1100"/>
              <a:t>年一般公共预算财政拨款支出决算结构图</a:t>
            </a:r>
            <a:endParaRPr lang="zh-CN" sz="1100"/>
          </a:p>
        </c:rich>
      </c:tx>
      <c:layout/>
      <c:overlay val="0"/>
    </c:title>
    <c:autoTitleDeleted val="0"/>
    <c:plotArea>
      <c:layout/>
      <c:pieChart>
        <c:varyColors val="1"/>
        <c:ser>
          <c:idx val="0"/>
          <c:order val="0"/>
          <c:explosion val="0"/>
          <c:dPt>
            <c:idx val="0"/>
            <c:bubble3D val="0"/>
          </c:dPt>
          <c:dPt>
            <c:idx val="1"/>
            <c:bubble3D val="0"/>
          </c:dPt>
          <c:dPt>
            <c:idx val="2"/>
            <c:bubble3D val="0"/>
          </c:dPt>
          <c:dLbls>
            <c:dLbl>
              <c:idx val="0"/>
              <c:layout>
                <c:manualLayout>
                  <c:x val="-0.387244565411246"/>
                  <c:y val="0.18577188940092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系列1, 20</a:t>
                    </a:r>
                    <a:r>
                      <a:rPr lang="en-US" altLang="en-US"/>
                      <a:t>19</a:t>
                    </a:r>
                    <a:r>
                      <a:rPr altLang="en-US"/>
                      <a:t>社会保障和就业支出, </a:t>
                    </a:r>
                    <a:r>
                      <a:rPr lang="en-US" altLang="en-US"/>
                      <a:t>71.37</a:t>
                    </a:r>
                    <a:r>
                      <a:rPr altLang="en-US"/>
                      <a:t>, </a:t>
                    </a:r>
                    <a:r>
                      <a:rPr lang="en-US" altLang="en-US"/>
                      <a:t>10.15</a:t>
                    </a:r>
                    <a:r>
                      <a:rPr altLang="en-US"/>
                      <a:t>%</a:t>
                    </a:r>
                    <a:endParaRPr altLang="en-US"/>
                  </a:p>
                </c:rich>
              </c:tx>
              <c:dLblPos val="bestFit"/>
              <c:showLegendKey val="1"/>
              <c:showVal val="1"/>
              <c:showCatName val="1"/>
              <c:showSerName val="1"/>
              <c:showPercent val="1"/>
              <c:showBubbleSize val="1"/>
              <c:extLst>
                <c:ext xmlns:c15="http://schemas.microsoft.com/office/drawing/2012/chart" uri="{CE6537A1-D6FC-4f65-9D91-7224C49458BB}">
                  <c15:layout/>
                </c:ext>
              </c:extLst>
            </c:dLbl>
            <c:dLbl>
              <c:idx val="1"/>
              <c:layout>
                <c:manualLayout>
                  <c:x val="0.278935613434306"/>
                  <c:y val="0"/>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系列1, 210医疗卫生和计划生育支出, </a:t>
                    </a:r>
                    <a:r>
                      <a:rPr lang="en-US" altLang="en-US"/>
                      <a:t>564.44</a:t>
                    </a:r>
                    <a:r>
                      <a:rPr altLang="en-US"/>
                      <a:t>, </a:t>
                    </a:r>
                    <a:r>
                      <a:rPr lang="en-US" altLang="en-US"/>
                      <a:t>80.27</a:t>
                    </a:r>
                    <a:r>
                      <a:rPr altLang="en-US"/>
                      <a:t>%</a:t>
                    </a:r>
                    <a:endParaRPr altLang="en-US"/>
                  </a:p>
                </c:rich>
              </c:tx>
              <c:dLblPos val="bestFi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0.313536751904426"/>
                  <c:y val="0.21020808346750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系列1, 221住房保障支出, </a:t>
                    </a:r>
                    <a:r>
                      <a:rPr lang="en-US" altLang="en-US"/>
                      <a:t>40.31</a:t>
                    </a:r>
                    <a:r>
                      <a:rPr altLang="en-US"/>
                      <a:t>, </a:t>
                    </a:r>
                    <a:r>
                      <a:rPr lang="en-US" altLang="en-US"/>
                      <a:t>5.7</a:t>
                    </a:r>
                    <a:r>
                      <a:rPr altLang="en-US"/>
                      <a:t>%</a:t>
                    </a:r>
                    <a:endParaRPr altLang="en-US"/>
                  </a:p>
                </c:rich>
              </c:tx>
              <c:dLblPos val="bestFit"/>
              <c:showLegendKey val="1"/>
              <c:showVal val="1"/>
              <c:showCatName val="1"/>
              <c:showSerName val="1"/>
              <c:showPercent val="1"/>
              <c:showBubbleSize val="1"/>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Sheet1!$A$1:$A$3</c:f>
              <c:strCache>
                <c:ptCount val="3"/>
                <c:pt idx="0">
                  <c:v>208社会保障和就业支出</c:v>
                </c:pt>
                <c:pt idx="1">
                  <c:v>210医疗卫生和计划生育支出</c:v>
                </c:pt>
                <c:pt idx="2">
                  <c:v>221住房保障支出</c:v>
                </c:pt>
              </c:strCache>
            </c:strRef>
          </c:cat>
          <c:val>
            <c:numRef>
              <c:f>Sheet1!$B$1:$B$3</c:f>
              <c:numCache>
                <c:formatCode>General</c:formatCode>
                <c:ptCount val="3"/>
                <c:pt idx="0">
                  <c:v>74.31</c:v>
                </c:pt>
                <c:pt idx="1">
                  <c:v>1009.05</c:v>
                </c:pt>
                <c:pt idx="2">
                  <c:v>33.66</c:v>
                </c:pt>
              </c:numCache>
            </c:numRef>
          </c:val>
        </c:ser>
        <c:dLbls>
          <c:showLegendKey val="1"/>
          <c:showVal val="1"/>
          <c:showCatName val="1"/>
          <c:showSerName val="1"/>
          <c:showPercent val="1"/>
          <c:showBubbleSize val="1"/>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15EFCB-A1C2-4AAE-9705-FC941A0DBBDF}">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30</Pages>
  <Words>10088</Words>
  <Characters>1706</Characters>
  <Lines>14</Lines>
  <Paragraphs>23</Paragraphs>
  <TotalTime>22</TotalTime>
  <ScaleCrop>false</ScaleCrop>
  <LinksUpToDate>false</LinksUpToDate>
  <CharactersWithSpaces>11771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2020-10-10T04:03:00Z</cp:lastPrinted>
  <dcterms:modified xsi:type="dcterms:W3CDTF">2020-10-10T07:17:08Z</dcterms:modified>
  <dc:title>四川省***</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