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3" w:name="_GoBack"/>
      <w:bookmarkEnd w:id="73"/>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96475"/>
      <w:bookmarkStart w:id="4" w:name="_Toc15377193"/>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426"/>
      <w:bookmarkStart w:id="8" w:name="_Toc15396598"/>
      <w:bookmarkStart w:id="9" w:name="_Toc15377194"/>
      <w:bookmarkStart w:id="10" w:name="_Toc15378442"/>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1" w:name="_Toc15306268"/>
      <w:r>
        <w:rPr>
          <w:rFonts w:hint="eastAsia" w:ascii="方正小标宋简体" w:hAnsi="宋体" w:eastAsia="方正小标宋简体"/>
          <w:color w:val="000000"/>
          <w:sz w:val="72"/>
          <w:szCs w:val="72"/>
          <w:lang w:eastAsia="zh-CN"/>
        </w:rPr>
        <w:t>疾病预防控制中心</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3"/>
        <w:adjustRightInd w:val="0"/>
        <w:snapToGrid w:val="0"/>
        <w:spacing w:line="440" w:lineRule="exact"/>
        <w:jc w:val="left"/>
        <w:rPr>
          <w:rFonts w:ascii="仿宋" w:hAnsi="仿宋" w:eastAsia="仿宋"/>
          <w:sz w:val="24"/>
        </w:rPr>
      </w:pPr>
      <w:r>
        <w:rPr>
          <w:rFonts w:hint="eastAsia"/>
          <w:sz w:val="24"/>
        </w:rPr>
        <w:t>一、基本职能及主要工作</w:t>
      </w:r>
    </w:p>
    <w:p>
      <w:pPr>
        <w:pStyle w:val="13"/>
        <w:adjustRightInd w:val="0"/>
        <w:snapToGrid w:val="0"/>
        <w:spacing w:line="440" w:lineRule="exact"/>
        <w:jc w:val="left"/>
        <w:rPr>
          <w:rFonts w:ascii="仿宋" w:hAnsi="仿宋" w:eastAsia="仿宋" w:cstheme="minorBidi"/>
          <w:sz w:val="24"/>
        </w:rPr>
      </w:pPr>
      <w:r>
        <w:rPr>
          <w:rFonts w:hint="eastAsia"/>
          <w:sz w:val="24"/>
        </w:rPr>
        <w:t>二、机构设置</w:t>
      </w:r>
    </w:p>
    <w:p>
      <w:pPr>
        <w:pStyle w:val="12"/>
        <w:adjustRightInd w:val="0"/>
        <w:snapToGrid w:val="0"/>
        <w:spacing w:before="0" w:line="440" w:lineRule="exact"/>
        <w:jc w:val="left"/>
        <w:rPr>
          <w:sz w:val="24"/>
          <w:szCs w:val="24"/>
        </w:rPr>
      </w:pPr>
      <w:r>
        <w:rPr>
          <w:rFonts w:hint="eastAsia"/>
          <w:sz w:val="24"/>
        </w:rPr>
        <w:t>第二部分度部门决算情况说明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3"/>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pPr>
        <w:adjustRightInd w:val="0"/>
        <w:snapToGrid w:val="0"/>
        <w:spacing w:line="440" w:lineRule="exact"/>
        <w:ind w:firstLine="480" w:firstLineChars="200"/>
        <w:jc w:val="left"/>
        <w:rPr>
          <w:rFonts w:ascii="仿宋" w:hAnsi="仿宋" w:eastAsia="仿宋" w:cstheme="minorBidi"/>
          <w:sz w:val="24"/>
        </w:rPr>
      </w:pPr>
      <w:r>
        <w:rPr>
          <w:rStyle w:val="19"/>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p>
    <w:p>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3"/>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pPr>
        <w:pStyle w:val="13"/>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9"/>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ind w:firstLine="640" w:firstLineChars="200"/>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r>
        <w:rPr>
          <w:rFonts w:hint="eastAsia" w:ascii="仿宋" w:hAnsi="仿宋" w:eastAsia="仿宋"/>
          <w:bCs/>
          <w:color w:val="000000"/>
          <w:sz w:val="32"/>
          <w:szCs w:val="32"/>
          <w:lang w:val="en-US" w:eastAsia="zh-CN"/>
        </w:rPr>
        <w:t xml:space="preserve">  </w:t>
      </w:r>
      <w:r>
        <w:rPr>
          <w:rFonts w:hint="eastAsia" w:ascii="仿宋_GB2312" w:hAnsi="仿宋_GB2312" w:eastAsia="仿宋_GB2312" w:cs="仿宋_GB2312"/>
          <w:sz w:val="32"/>
          <w:szCs w:val="32"/>
        </w:rPr>
        <w:t>1.红原县疾病预防控制中心的工作职能是全面履行政府赋予的卫生防病职能, 做好传染病等突发公共卫生事件应急、监测、报告与管理；信息与网络管理；加强疾病及健康相关因素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对其从业人员定期进行健康体检；为社会人群提供预防性疫苗接种等工作。</w:t>
      </w:r>
      <w:bookmarkEnd w:id="16"/>
      <w:bookmarkEnd w:id="17"/>
    </w:p>
    <w:p>
      <w:pPr>
        <w:spacing w:line="560" w:lineRule="exact"/>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2019年，在县卫健局的领导下，县疾控中心围绕“三地一时代”战略目标、“不忘初心</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牢记使命”两大主题，结合中心自身工作特点和年初工作计划，如期完成了2019</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主题教育、业务工作和上级交办的其他工作任务，现总结如下：</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一、采取的工作措施</w:t>
      </w:r>
    </w:p>
    <w:p>
      <w:pPr>
        <w:pStyle w:val="2"/>
        <w:spacing w:after="0" w:line="560" w:lineRule="exact"/>
        <w:ind w:left="0" w:leftChars="0" w:firstLine="640" w:firstLineChars="0"/>
        <w:rPr>
          <w:rFonts w:ascii="楷体_GB2312" w:hAnsi="楷体_GB2312" w:eastAsia="楷体_GB2312" w:cs="楷体_GB2312"/>
          <w:sz w:val="32"/>
          <w:szCs w:val="32"/>
        </w:rPr>
      </w:pPr>
      <w:r>
        <w:rPr>
          <w:rFonts w:hint="eastAsia" w:ascii="楷体_GB2312" w:hAnsi="楷体_GB2312" w:eastAsia="楷体_GB2312" w:cs="楷体_GB2312"/>
          <w:sz w:val="32"/>
          <w:szCs w:val="32"/>
        </w:rPr>
        <w:t>（一）强化组织领导，夯实主题教育，狠抓党的建设。</w:t>
      </w:r>
    </w:p>
    <w:p>
      <w:pPr>
        <w:pStyle w:val="14"/>
        <w:autoSpaceDE w:val="0"/>
        <w:spacing w:before="0" w:beforeAutospacing="0" w:after="0" w:afterAutospacing="0"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1.理论武装</w:t>
      </w:r>
    </w:p>
    <w:p>
      <w:pPr>
        <w:pStyle w:val="14"/>
        <w:autoSpaceDE w:val="0"/>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年度工作计划，中心党支部围绕“学习教育、健全机制、齐抓共管、突出引领、增强合力、上承下行、对照落实”28字7个重点扎实开展党的建设工作，通过“三会一课”制度，利用每月例会、专题学习会、党员大会、中心例会、职工大会等多重平台，先后13次组织中心党员干部、一般党员、非党干部集中学习了《习近平新时代中国特色社会主义思想纲要》、《中国共产党廉洁自律准则》、《中国共产党问责条例》、《中国共产党巡视工作条例》、《</w:t>
      </w:r>
      <w:r>
        <w:rPr>
          <w:rFonts w:hint="default" w:ascii="仿宋_GB2312" w:hAnsi="仿宋_GB2312" w:eastAsia="仿宋_GB2312" w:cs="仿宋_GB2312"/>
          <w:sz w:val="32"/>
          <w:szCs w:val="32"/>
        </w:rPr>
        <w:t>中国共产党章程</w:t>
      </w:r>
      <w:r>
        <w:rPr>
          <w:rFonts w:hint="eastAsia" w:ascii="仿宋_GB2312" w:hAnsi="仿宋_GB2312" w:eastAsia="仿宋_GB2312" w:cs="仿宋_GB2312"/>
          <w:sz w:val="32"/>
          <w:szCs w:val="32"/>
        </w:rPr>
        <w:t>》、《习近平“不忘初心</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牢记使命”论述摘编》、《创建学习型疾控》等党内法律法规和疾控党建相关书籍，并多次组织全单位职工观看《初心与使命》、《大国工匠》、《焦裕禄》、《杨善洲》励志电影和《蜕变的初心》、《草原硕鼠》等反腐治贪系列警示教育片，传达学习了“省委彭清华书记来州调研重要指示精神”、廖敏书记在“县委读书班暨警示教育专题班”上的重要讲话，以反思白恩培、仇和、蒲波等反面典型的深刻教训为突破口，中心党支部着重强调了“全面防范化解政治领域重大风险、全面防范化解社会稳定重大风险、全面防范化解经济领域重大风险、全面防范化解意识形态领域重大风险、全面防范化解自然灾害领域重大风险、全面防范化解生态环境领域重大风险”六项内容，要求中心全体职工要学懂弄通做实所学内容，切实做到以案为鉴、举一反三，筑牢廉洁思想防线，夯实从严治党的道德基础。把抓作风纪律建设做为提升工作水平的重要切入点，重点解决责任意识不强、慵散懒、效率低、执行纪律不严等问题；通过学习先进典型，教育并激励中心全体职工尤其是党员干部正确树立“价值观”，凝心聚力找到共同语言，“立足本职守初心、练好本领担使命”，积极融入到我县各项社会事业建设中，在工作实践中逐步提升防范化解重大风险能力。</w:t>
      </w:r>
    </w:p>
    <w:p>
      <w:pPr>
        <w:autoSpaceDE w:val="0"/>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2.检视提升</w:t>
      </w:r>
    </w:p>
    <w:p>
      <w:pPr>
        <w:autoSpaceDE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心党支部与单位全体党员干部先后签定党风廉政建设责任书35份、不赌博不收礼不送收地方名贵特产承诺书35份；1-9月，中心开展“四个面对面”专题民主生活会暨警示教育会1次，开展批评与自我批评专题民主生活会2次，开展“不忘初心</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牢记使命专题学习动员会”1次、“讲党课、对照党章党规找差距专题会”1次；召开党员大会3次，开展民主生活会9次；1-9月，中心党支部举办藏汉双语培训班1期、“四五普法”学习班1期，并组织全体人员参加“四五普法”微信公众平台的知识竞赛；以边学习边答题的方式，持续强化“学习强国”的学习，不断提升中心领导干部及职工的思想政治理论水平。</w:t>
      </w:r>
    </w:p>
    <w:p>
      <w:pPr>
        <w:pStyle w:val="2"/>
        <w:spacing w:after="0"/>
        <w:ind w:left="0" w:leftChars="0" w:firstLine="640"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3.锤炼党性、模范引领</w:t>
      </w:r>
    </w:p>
    <w:p>
      <w:pPr>
        <w:pStyle w:val="2"/>
        <w:spacing w:after="0"/>
        <w:ind w:left="0" w:leftChars="0" w:firstLine="641"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利用“脱贫攻坚”、“两联一进”等工作平台，中心党支部引领支部成员充分发挥中国共产党员的先进性。一方面组织党员为对口联系群众及僧侣捐钱捐物，与牧区群众真诚交友，共同劳动，一道共商“脱贫奔康”发展大计；另一方面组织党员职工积极参加义务献血5人次、义务植树38人次、植树100余棵、全县环境卫生综合整治活动6次，要求党员干部想在前、做在前，以身垂范，营造“乐于奉献、不讲回报”的干事创业氛围，引导中心全体职工正确前行、服务社会。</w:t>
      </w:r>
    </w:p>
    <w:p>
      <w:pPr>
        <w:spacing w:line="560" w:lineRule="exact"/>
        <w:ind w:firstLine="641"/>
        <w:rPr>
          <w:rFonts w:ascii="楷体" w:hAnsi="楷体" w:eastAsia="楷体" w:cs="楷体"/>
          <w:sz w:val="32"/>
          <w:szCs w:val="32"/>
        </w:rPr>
      </w:pPr>
      <w:r>
        <w:rPr>
          <w:rFonts w:hint="eastAsia" w:ascii="楷体_GB2312" w:hAnsi="楷体_GB2312" w:eastAsia="楷体_GB2312" w:cs="楷体_GB2312"/>
          <w:sz w:val="32"/>
          <w:szCs w:val="32"/>
        </w:rPr>
        <w:t>（二）</w:t>
      </w:r>
      <w:r>
        <w:rPr>
          <w:rFonts w:hint="eastAsia" w:ascii="楷体" w:hAnsi="楷体" w:eastAsia="楷体" w:cs="楷体"/>
          <w:sz w:val="32"/>
          <w:szCs w:val="32"/>
        </w:rPr>
        <w:t>立足组织优势，夯实脱贫攻坚。</w:t>
      </w:r>
    </w:p>
    <w:p>
      <w:pPr>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2019年1月至今，中心党支部组织单位全体党员、职工按照县委县政府工作安排部署，围绕对口联系帮扶村脱贫建档立卡贫困户退出中心工作，对标“一超六有”贫困户退出标准先后开展入户调查工作22次、核对所有联系户信息6轮次、环境卫生综合整治30余次，通过群众大会、农民夜校、入户调查等工作平台向该村群众宣讲国家少数民族地区扶贫政策、民生工程、惠民措施、法律法规、疾病防控及卫生保健等知识30余场次，组织单位职工开展爱心捐献活动1次，共计向被帮扶村贫困群众捐赠衣物200余件套；为联系帮扶建档立卡户新购买沙发1套、火炉1个，床上三件套1套，藏式坐垫2套，向脱贫攻坚工作色地镇驻村工作组、县卫健局党组及色地镇党委、政府、茸塔玛村两委集中反映问题16个，实时解决群众存在困难27项。</w:t>
      </w:r>
    </w:p>
    <w:p>
      <w:pPr>
        <w:pStyle w:val="2"/>
        <w:spacing w:after="0"/>
        <w:ind w:left="0" w:leftChars="0" w:firstLine="640"/>
        <w:rPr>
          <w:rFonts w:ascii="楷体_GB2312" w:hAnsi="楷体_GB2312" w:eastAsia="楷体_GB2312" w:cs="楷体_GB2312"/>
        </w:rPr>
      </w:pPr>
      <w:r>
        <w:rPr>
          <w:rFonts w:hint="eastAsia" w:ascii="楷体_GB2312" w:hAnsi="楷体_GB2312" w:eastAsia="楷体_GB2312" w:cs="楷体_GB2312"/>
          <w:sz w:val="32"/>
          <w:szCs w:val="32"/>
        </w:rPr>
        <w:t>（三）真诚互动，切实做好“联”和“进”。</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疾控中心按照县委“两联一进”工作要求，围绕联户联情“六个亲自”、“八个到位”，“十个不准”和联寺联僧“五个清楚”工作原则，紧抓“转作风、联群众、办实事、联感情”工作要点，主动深入基层，密切联系群众，关爱寺庙僧侣，</w:t>
      </w:r>
      <w:r>
        <w:rPr>
          <w:rFonts w:hint="eastAsia" w:ascii="仿宋_GB2312" w:eastAsia="仿宋_GB2312"/>
          <w:color w:val="000000"/>
          <w:kern w:val="0"/>
          <w:sz w:val="32"/>
          <w:szCs w:val="32"/>
        </w:rPr>
        <w:t>1-9月</w:t>
      </w:r>
      <w:r>
        <w:rPr>
          <w:rFonts w:hint="eastAsia" w:ascii="仿宋_GB2312" w:hAnsi="仿宋_GB2312" w:eastAsia="仿宋_GB2312" w:cs="仿宋_GB2312"/>
          <w:sz w:val="32"/>
          <w:szCs w:val="32"/>
        </w:rPr>
        <w:t>，中心全体党员干部共计开展“联户联情”走访入户活动 12轮次，开展慰问活动1次，共计向茸塔玛村16户建档立卡贫困户送去食用油16桶、20斤装大米32袋、电热毯16床，价值资金合计5600元；开展“走寺联僧”、“入寺入扎康”活动30余次，共计为12名僧人送去</w:t>
      </w:r>
      <w:r>
        <w:rPr>
          <w:rFonts w:hint="eastAsia" w:ascii="仿宋_GB2312" w:hAnsi="仿宋_GB2312" w:eastAsia="仿宋_GB2312" w:cs="仿宋_GB2312"/>
          <w:color w:val="333333"/>
          <w:sz w:val="32"/>
          <w:szCs w:val="32"/>
          <w:shd w:val="clear" w:color="auto" w:fill="FFFFFF"/>
        </w:rPr>
        <w:t>清油12桶(5L)、大米24袋（20斤/袋）、电热毯24床（双人），价值合计资金4000余元；与县委统战部、县民宗局、县司法局、县佛协等部门联合，开展</w:t>
      </w:r>
      <w:r>
        <w:rPr>
          <w:rFonts w:hint="eastAsia" w:ascii="仿宋_GB2312" w:hAnsi="仿宋_GB2312" w:eastAsia="仿宋_GB2312" w:cs="仿宋_GB2312"/>
          <w:sz w:val="32"/>
          <w:szCs w:val="32"/>
        </w:rPr>
        <w:t>“包虫病防治健康教育知识宣讲进寺庙活动”2次，直接受益僧人200余人次；收集到涉及环境卫生、养老、特殊群体、通水通电、义务教育、住房安全等民生问题10个，帮助联系户解决电视信号、锅盖安装、家具新购、社保卡办理等相关事务30余件，收集工作建议、意见7条，实地参加脱贫攻坚、双联工作会议8场次，向色地镇党委政府集中反映突出问题10个。</w:t>
      </w:r>
    </w:p>
    <w:p>
      <w:pPr>
        <w:pStyle w:val="2"/>
        <w:ind w:left="0" w:leftChars="0"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（四）务本求实，深抓细抓业务开展，服务群众健康。</w:t>
      </w:r>
    </w:p>
    <w:p>
      <w:pPr>
        <w:pStyle w:val="2"/>
        <w:spacing w:after="0"/>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2019年1-9月，县疾控中心立足疾病预防本职，着眼全民健康目标，全面推进我县疾控工作立体化、系统化进程。</w:t>
      </w:r>
    </w:p>
    <w:p>
      <w:pPr>
        <w:pStyle w:val="2"/>
        <w:spacing w:after="0"/>
        <w:ind w:left="0" w:leftChars="0"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1.艾滋病防治</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2019年，按照省委、省政府的要求，我县成立了“三线一网底”综合艾滋病防治管理办公室（县疾控中心、县人民医院、县妇计中心三线办和各乡镇政府及乡镇卫生院），进一步建立、健全了艾滋病和性病防治有效结合的工作机制，在县卫健局领导下，1-9月中心在县域内新建了瓦切、麦洼、安曲、色地、江茸五个艾滋病检测快检点；完成艾滋病自愿咨询检测23人、性病门诊检测10人、婚前检测394人、孕产期检测445人、娱乐场所人员检测31人、术前检测3011人、其他专题调查5095人；完成CD4检测30人次；进行抗病毒治疗HIV患者26人；完成高危行为干预累计1200人次、发放宣传资料5000余份、安全套5000余具（只）；任务指标完成方面，1-9月全县艾滋病常住人口检测率达到22.53（省上要求20%），配偶/固定性伴HIV筛查率达到100%（省上要求85%），感染者结核筛查率100%（省上要求90%），感染者和病人随访（CD4）检测率达到100%（省上要求90%以上），艾滋病感染者抗病毒治疗覆盖率达到86.67%，抗病毒治疗成功率目前已经送省疾控中心进行检测，结果待年底反馈。 </w:t>
      </w:r>
    </w:p>
    <w:p>
      <w:pPr>
        <w:pStyle w:val="2"/>
        <w:spacing w:after="0"/>
        <w:ind w:left="0" w:leftChars="0"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2.结核病防治</w:t>
      </w:r>
    </w:p>
    <w:p>
      <w:pPr>
        <w:pStyle w:val="2"/>
        <w:spacing w:after="0"/>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-9月，全县初诊结核病人331例，删除重卡87例，排成其他疾病43例，目前未确诊20例，确诊肺结核病181例；其中，病原学阳性肺结核病人20例，病原学阴性肺结核病人49例，无病原学肺结核病病人132例，半年内有38例完成疗程；1-9月县疾控中心对58名肺结核病人密切接触者的进行了筛查，未查出涂阳肺结核，开展学校PPD结核病筛查工作1次，共计筛查1920人次，接受PPD试验1702例，发现PPD试验阳性者50例，目前经医疗机构进一步胸片、CT检查后发现陈旧性病灶2例、肺结核8例、肺炎4例，县疾控中心已按照《四川省学校结核病防治实施细则》进行管理。截至目前，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确诊94例肺结核病人中完成疗程81例、完成疗程率95﹪，系统管理94例、系统管理率100%；1-9月，开展基层医疗机构结防工作督导3轮次，开展结防知识健康宣教活动1次，共计发放结核病宣传单20000余份、宣传小礼品1800余份，洗漱杯160余套，接受咨询20000余人次。</w:t>
      </w:r>
    </w:p>
    <w:p>
      <w:pPr>
        <w:pStyle w:val="2"/>
        <w:spacing w:after="0"/>
        <w:ind w:left="0" w:leftChars="0"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3.包虫病防治</w:t>
      </w:r>
    </w:p>
    <w:p>
      <w:pPr>
        <w:pStyle w:val="34"/>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月，县疾控中心按照卫生部《包虫病防治技术方案（实行）》要求，在全县重点流行乡、镇采用B超和血清学方法开展重点人群查病10864人，完成率100%(中财要求8864人),其中B超筛查6-12岁儿童2000人，完成率100%（省财要求2000人），确诊新发现病人10例，复查在治病人40例，开展包虫病病人药物治疗133人次，并对病人药物治疗进行督导管理，截至目前，接受手术治疗包虫病病人2例。1-9月，完成犬驱虫9460只、采集犬粪1650份，完成率100%，捕捉小型哺乳动物507只，完成率100%，经实验室检测发现阳性29例（其中肝脏7例、肺22例），对红原县集中屠宰场100头肉牛进行包虫病病灶检测，完成率100%，发现阳性3例（肝脏）。</w:t>
      </w:r>
    </w:p>
    <w:p>
      <w:pPr>
        <w:pStyle w:val="34"/>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4.慢性病防治及基本公共卫生服务项目工作</w:t>
      </w:r>
    </w:p>
    <w:p>
      <w:pPr>
        <w:widowControl/>
        <w:spacing w:line="560" w:lineRule="exact"/>
        <w:ind w:firstLine="640" w:firstLineChars="200"/>
        <w:jc w:val="left"/>
        <w:rPr>
          <w:rFonts w:ascii="仿宋_GB2312" w:hAnsi="仿宋_GB2312" w:eastAsia="仿宋_GB2312" w:cs="仿宋_GB2312"/>
          <w:kern w:val="0"/>
          <w:sz w:val="32"/>
          <w:szCs w:val="32"/>
        </w:rPr>
      </w:pPr>
      <w:r>
        <w:rPr>
          <w:rFonts w:hint="eastAsia" w:ascii="仿宋_GB2312" w:eastAsia="仿宋_GB2312"/>
          <w:color w:val="000000"/>
          <w:kern w:val="0"/>
          <w:sz w:val="32"/>
          <w:szCs w:val="32"/>
        </w:rPr>
        <w:t>1-9月，按照</w:t>
      </w:r>
      <w:r>
        <w:rPr>
          <w:rFonts w:hint="eastAsia" w:ascii="仿宋_GB2312" w:eastAsia="仿宋_GB2312"/>
          <w:sz w:val="32"/>
          <w:szCs w:val="32"/>
        </w:rPr>
        <w:t>《国家基本公共卫生服务规范（第三版）》</w:t>
      </w:r>
      <w:r>
        <w:rPr>
          <w:rFonts w:hint="eastAsia" w:ascii="仿宋_GB2312" w:hAnsi="宋体" w:eastAsia="仿宋_GB2312"/>
          <w:kern w:val="0"/>
          <w:sz w:val="32"/>
          <w:szCs w:val="32"/>
        </w:rPr>
        <w:t>等文件、规范要求，我县</w:t>
      </w:r>
      <w:r>
        <w:rPr>
          <w:rFonts w:hint="eastAsia" w:ascii="仿宋_GB2312" w:eastAsia="仿宋_GB2312"/>
          <w:color w:val="000000"/>
          <w:kern w:val="0"/>
          <w:sz w:val="32"/>
          <w:szCs w:val="32"/>
        </w:rPr>
        <w:t>认真组织实施了14项基本公共卫生服务工作，开展慢病防治及基本公卫工作培训1次，对</w:t>
      </w:r>
      <w:r>
        <w:rPr>
          <w:rFonts w:hint="eastAsia" w:ascii="仿宋_GB2312" w:hAnsi="仿宋_GB2312" w:eastAsia="仿宋_GB2312" w:cs="仿宋_GB2312"/>
          <w:kern w:val="0"/>
          <w:sz w:val="32"/>
          <w:szCs w:val="32"/>
        </w:rPr>
        <w:t>全县11个乡镇卫生院、1个社区服务中心及县级医疗机构</w:t>
      </w:r>
      <w:r>
        <w:rPr>
          <w:rFonts w:hint="eastAsia" w:ascii="仿宋_GB2312" w:eastAsia="仿宋_GB2312"/>
          <w:color w:val="000000"/>
          <w:kern w:val="0"/>
          <w:sz w:val="32"/>
          <w:szCs w:val="32"/>
        </w:rPr>
        <w:t>开展工作督导2轮次，开展工作考核3轮次，圆满完成了上级下达的各项工作目标任务：</w:t>
      </w:r>
      <w:r>
        <w:rPr>
          <w:rFonts w:hint="eastAsia" w:ascii="仿宋_GB2312" w:hAnsi="仿宋_GB2312" w:eastAsia="仿宋_GB2312" w:cs="仿宋_GB2312"/>
          <w:kern w:val="0"/>
          <w:sz w:val="32"/>
          <w:szCs w:val="32"/>
        </w:rPr>
        <w:t>死因监测方面，我县死因监测工作从2014年1月1日开展此项工作，截止到2019年9月30日，共报告死亡974例。分别为2014年报告11例，报告率为0.2‰,2015年报告202例，报告率为4.29‰,2016年报告158例，报告率为3.35‰,2017年报告181例，报告率为3.376‰,2018年报告302例，报告率为6.27‰,2019年</w:t>
      </w:r>
      <w:r>
        <w:rPr>
          <w:rFonts w:hint="default" w:ascii="仿宋_GB2312" w:hAnsi="仿宋_GB2312" w:eastAsia="仿宋_GB2312" w:cs="仿宋_GB2312"/>
          <w:kern w:val="0"/>
          <w:sz w:val="32"/>
          <w:szCs w:val="32"/>
        </w:rPr>
        <w:t>截至</w:t>
      </w:r>
      <w:r>
        <w:rPr>
          <w:rFonts w:hint="eastAsia" w:ascii="仿宋_GB2312" w:hAnsi="仿宋_GB2312" w:eastAsia="仿宋_GB2312" w:cs="仿宋_GB2312"/>
          <w:kern w:val="0"/>
          <w:sz w:val="32"/>
          <w:szCs w:val="32"/>
        </w:rPr>
        <w:t>目前报告120例，报告率为2.44‰,报告率远远低于国家要求的6‰；肿瘤随访登记工作方面，我县肿瘤随访登记工作从2015年1月1日开展工作，截止到2019年9月30日，全县累计报告肿瘤病例94例，其中，2019年报告5例，报告率为10/10万,报告率远远低于国家要求的150/10万；全民健康生活方式（健康管理员）方面，我县全民健康生活方式（健康管理员）工作从2016年9月20日启动，</w:t>
      </w:r>
      <w:r>
        <w:rPr>
          <w:rFonts w:hint="default" w:ascii="仿宋_GB2312" w:hAnsi="仿宋_GB2312" w:eastAsia="仿宋_GB2312" w:cs="仿宋_GB2312"/>
          <w:kern w:val="0"/>
          <w:sz w:val="32"/>
          <w:szCs w:val="32"/>
        </w:rPr>
        <w:t>截至</w:t>
      </w:r>
      <w:r>
        <w:rPr>
          <w:rFonts w:hint="eastAsia" w:ascii="仿宋_GB2312" w:hAnsi="仿宋_GB2312" w:eastAsia="仿宋_GB2312" w:cs="仿宋_GB2312"/>
          <w:kern w:val="0"/>
          <w:sz w:val="32"/>
          <w:szCs w:val="32"/>
        </w:rPr>
        <w:t>目前创建支持性环境一个（健康步道），培训健康管理员40名，培训健康生活方式指导员200名。开展“三减三健”专项活动，并且紧密围绕“三减三健，全民行动”为主题，开展“五进”（进学校、进单位、进医院、进社区、进家庭）宣传暨健康教育活动。全面开展健康主题日宣传活动，通过媒体（电视、广播、网络、报纸等）开展健康生活方式相关主题媒体报道及科普知识宣传；两病患者健康管理方面，我县两病患者健康管理工作从2016年7月开展工作，截止到2019年9月30日慢性阻塞性肺疾病患者累计登记在册人数数57人，累计管理数57人，管理率为100%，累计规范管理数49人，规范管理率为86%，类风湿性关节炎患者累计登记在册人数19人，累计管理数19人，管理率为100%，累计规范管理数19人，规范管理率为100%；项目参与人员培训率达到100%；</w:t>
      </w:r>
    </w:p>
    <w:p>
      <w:pPr>
        <w:spacing w:line="600" w:lineRule="exact"/>
        <w:ind w:firstLine="633" w:firstLineChars="198"/>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慢性高原性心脏患者健康管理方面，</w:t>
      </w:r>
      <w:r>
        <w:rPr>
          <w:rFonts w:hint="default" w:ascii="仿宋_GB2312" w:hAnsi="仿宋_GB2312" w:eastAsia="仿宋_GB2312" w:cs="仿宋_GB2312"/>
          <w:kern w:val="0"/>
          <w:sz w:val="32"/>
          <w:szCs w:val="32"/>
        </w:rPr>
        <w:t>截至</w:t>
      </w:r>
      <w:r>
        <w:rPr>
          <w:rFonts w:hint="eastAsia" w:ascii="仿宋_GB2312" w:hAnsi="仿宋_GB2312" w:eastAsia="仿宋_GB2312" w:cs="仿宋_GB2312"/>
          <w:kern w:val="0"/>
          <w:sz w:val="32"/>
          <w:szCs w:val="32"/>
        </w:rPr>
        <w:t>目前，累计登记在册人数35人，累计管理数23人，管理率为66%，累计规范管理数22人，规范管理率为95.6%；项目参与人员培训率达到100%。1-9月，</w:t>
      </w:r>
      <w:r>
        <w:rPr>
          <w:rFonts w:hint="eastAsia" w:ascii="仿宋_GB2312" w:hAnsi="仿宋_GB2312" w:eastAsia="仿宋_GB2312" w:cs="仿宋_GB2312"/>
          <w:sz w:val="32"/>
          <w:szCs w:val="32"/>
        </w:rPr>
        <w:t>利用各种慢病宣传日在县城和乡镇开展慢病防治系列活动及知识讲座20余场次，制作并发放宣传资料76500余份、宣传小礼品30000余人份，悬挂横幅55条，咨询群众28650余人次、受益群众37600多人次；基本公共卫生服务项目方面，截至目前，全县共计建立纸质档案45975份，建档率93.25%，电子健康档案44457份，电子建档率90.17%。其中动态档案4443份，65岁以上老年人健康档案3108份，高血压健康管理678人，2型糖尿病健康管理124人，严重精神障碍患者健康管理85人，发放健康教育资料174种，11000份，宣传栏设置48个，开展咨询活动47次，知识讲座52次，受益人群达15000人次。</w:t>
      </w:r>
    </w:p>
    <w:p>
      <w:pPr>
        <w:pStyle w:val="2"/>
        <w:spacing w:after="0"/>
        <w:ind w:left="0" w:leftChars="0" w:firstLine="643"/>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5.健康教育</w:t>
      </w:r>
    </w:p>
    <w:p>
      <w:pPr>
        <w:ind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2019年1-9月，中心党支部组织单位全体党员职工利用“脱贫攻坚”、“两联一进”工作平台，赴色地镇茸塔玛村，对中心党员、职工对口联系群众先后开展了7轮共20余场次入户健康教育活动，宣教内容主要包括结核病、艾滋病、大骨节病、包虫病等重大传染病、地方病防治知识、国家“十免四补”政策、慢性病诊疗医保报销程序及国家扶持民族地区社会经济发展制定和实施的相关惠民政策和民生工程，活动共计免费发放各类宣传资料（含双语）7000余份，接手咨询500余人次，直接受益256人，间接受益2000余人；专题宣教方面，3月26日，县疾控中心党支部书记、主任张国明组织带领中心结防工作人员，赴瓦切镇开展了“结防工作现场会”，为到场的结核病在治患者家属宣传普及了结核病的防治措施及治愈奖励程序，活动共计发放结防、艾防等相关宣传资料300余份，受益40余人；1-9月，按照县委统战部的工作部署，县疾控中心联合县委统战部、县民宗局、县司法局、县佛协等部门先后开展了“红原县包虫病防治健康教育宣讲进寺庙”、“2019年红原县包虫病综合防治僧尼专题讲座”活动，每场至少100余僧人参加，活动共计发放包虫病、结核病防治宣传资料400余本，书包150余个、洗脸盆140余个、香皂140余个；宣传制品制备及发放方面，根据中心各科室工作开展需要，1-9月县疾控中心制作并发放艾滋病、结核病防治、大骨节病防治、包虫病防治、传染病管理、免疫规划等常规宣传资料共计16种，107000余份、宣传小礼品33000余人份，悬挂横幅55条，咨询群众32650余人次、受益群众57600多人次；</w:t>
      </w:r>
      <w:r>
        <w:rPr>
          <w:rFonts w:hint="eastAsia" w:ascii="仿宋_GB2312" w:eastAsia="仿宋_GB2312"/>
          <w:color w:val="000000"/>
          <w:sz w:val="32"/>
          <w:szCs w:val="32"/>
        </w:rPr>
        <w:t>短信平台发送疾病防控健教知识相关短信12万余条，接受咨询2700余人次，受益20000余人。</w:t>
      </w:r>
    </w:p>
    <w:p>
      <w:pPr>
        <w:pStyle w:val="2"/>
        <w:spacing w:after="0"/>
        <w:ind w:left="0" w:leftChars="0" w:firstLine="630" w:firstLineChars="196"/>
        <w:rPr>
          <w:rFonts w:ascii="仿宋_GB2312" w:eastAsia="仿宋_GB2312"/>
          <w:b/>
          <w:bCs/>
          <w:sz w:val="32"/>
          <w:szCs w:val="32"/>
        </w:rPr>
      </w:pPr>
      <w:r>
        <w:rPr>
          <w:rFonts w:hint="eastAsia" w:ascii="仿宋_GB2312" w:eastAsia="仿宋_GB2312"/>
          <w:b/>
          <w:bCs/>
          <w:sz w:val="32"/>
          <w:szCs w:val="32"/>
        </w:rPr>
        <w:t>6.免疫规划</w:t>
      </w:r>
    </w:p>
    <w:p>
      <w:pPr>
        <w:pStyle w:val="2"/>
        <w:spacing w:after="0"/>
        <w:ind w:left="0" w:leftChars="0" w:firstLine="627" w:firstLineChars="196"/>
        <w:rPr>
          <w:rFonts w:ascii="仿宋_GB2312" w:hAnsi="宋体" w:eastAsia="仿宋_GB2312" w:cs="仿宋_GB2312"/>
          <w:bCs/>
          <w:sz w:val="32"/>
          <w:szCs w:val="32"/>
        </w:rPr>
      </w:pPr>
      <w:r>
        <w:rPr>
          <w:rFonts w:hint="eastAsia" w:ascii="仿宋_GB2312" w:hAnsi="仿宋_GB2312" w:eastAsia="仿宋_GB2312" w:cs="仿宋_GB2312"/>
          <w:sz w:val="32"/>
          <w:szCs w:val="32"/>
        </w:rPr>
        <w:t>基础免疫及加强免疫方面，1-9月，全县基础免疫和加强免疫接种应种共计19633剂次，实际接种19366剂次，适龄儿童免疫规划疫苗报告接种率达98%以上，其中，卡介苗应种601剂次，实种595剂次，接种率为99.00％；百白破应种2826剂次，实种2774剂次，接种率为98.16％；脊灰疫苗滴剂应种3620剂次，实种3576剂次，接种率为98.87％；麻风疫苗应种625剂次，实种597剂次，接种率为95.52％；麻腮风疫苗应种1406剂次，实种1392剂次；接种率为99.00%；乙肝应种：3476剂次，实种3448剂次，接种率为99.19％，乙肝首针应种476剂次、及时接种456剂次、及时接种率为95.80％；甲肝应种1174剂次，实种1159剂次，接种率为98.72%；乙脑应种1905剂次，实种1868剂次，接种率为98.06%；流脑A群应种1373剂次，实种1358剂次，接种率为98.90%，A+C群流脑疫苗应种1480剂次，实种1461剂次，接种率为98.72%。白破疫苗应种1147剂次，实种1138剂次，接种率99.22%；</w:t>
      </w:r>
      <w:r>
        <w:rPr>
          <w:rFonts w:hint="eastAsia" w:ascii="仿宋_GB2312" w:hAnsi="仿宋_GB2312" w:eastAsia="仿宋_GB2312" w:cs="仿宋_GB2312"/>
          <w:bCs/>
          <w:sz w:val="32"/>
          <w:szCs w:val="32"/>
        </w:rPr>
        <w:t>脊髓灰质炎灭活疫苗查漏补种方面，</w:t>
      </w:r>
      <w:r>
        <w:rPr>
          <w:rFonts w:hint="eastAsia" w:ascii="仿宋_GB2312" w:hAnsi="仿宋_GB2312" w:eastAsia="仿宋_GB2312" w:cs="仿宋_GB2312"/>
          <w:sz w:val="32"/>
          <w:szCs w:val="32"/>
        </w:rPr>
        <w:t>按照《四川省2019年脊髓灰质炎灭活疫苗查漏补种实施方案 》要求，我县制定了《红原县2019年脊髓灰质炎灭活疫苗查漏补种实施方案 》并于8月20日对各乡镇卫生院院长及专职免规人员进行脊髓灰质炎灭活疫苗查漏补种工作现场培训，全县范围内进行分年龄段目标儿童摸底、下发脊灰灭活疫苗，对目标儿童进行脊灰灭活疫苗查漏补种活动，</w:t>
      </w:r>
      <w:r>
        <w:rPr>
          <w:rFonts w:hint="default" w:ascii="仿宋_GB2312" w:hAnsi="仿宋_GB2312" w:eastAsia="仿宋_GB2312" w:cs="仿宋_GB2312"/>
          <w:sz w:val="32"/>
          <w:szCs w:val="32"/>
        </w:rPr>
        <w:t>截至</w:t>
      </w:r>
      <w:r>
        <w:rPr>
          <w:rFonts w:hint="eastAsia" w:ascii="仿宋_GB2312" w:hAnsi="仿宋_GB2312" w:eastAsia="仿宋_GB2312" w:cs="仿宋_GB2312"/>
          <w:sz w:val="32"/>
          <w:szCs w:val="32"/>
        </w:rPr>
        <w:t>目前，经摸底调查，全县应接种</w:t>
      </w:r>
      <w:r>
        <w:rPr>
          <w:rFonts w:hint="eastAsia" w:ascii="仿宋_GB2312" w:eastAsia="仿宋_GB2312"/>
          <w:color w:val="000000"/>
          <w:sz w:val="32"/>
          <w:szCs w:val="32"/>
        </w:rPr>
        <w:t>脊灰灭活疫苗1441人，实际接种1415人，接种率达98.19%。其中外出到青海、成都15人，感冒、发烧、服泻12人缓接种，并对外出、感冒发烧腹泻的儿童嘱咐回县后及病愈后及时到所在接种点补种；</w:t>
      </w:r>
      <w:r>
        <w:rPr>
          <w:rFonts w:hint="eastAsia" w:ascii="仿宋_GB2312" w:hAnsi="仿宋_GB2312" w:eastAsia="仿宋_GB2312" w:cs="仿宋_GB2312"/>
          <w:bCs/>
          <w:snapToGrid w:val="0"/>
          <w:color w:val="000000"/>
          <w:kern w:val="0"/>
          <w:sz w:val="32"/>
          <w:szCs w:val="32"/>
        </w:rPr>
        <w:t>入托、入学儿童预防接种证查验及补种方面，</w:t>
      </w:r>
      <w:r>
        <w:rPr>
          <w:rFonts w:hint="default" w:ascii="仿宋_GB2312" w:hAnsi="仿宋_GB2312" w:eastAsia="仿宋_GB2312" w:cs="仿宋_GB2312"/>
          <w:bCs/>
          <w:snapToGrid w:val="0"/>
          <w:color w:val="000000"/>
          <w:kern w:val="0"/>
          <w:sz w:val="32"/>
          <w:szCs w:val="32"/>
        </w:rPr>
        <w:t>截至</w:t>
      </w:r>
      <w:r>
        <w:rPr>
          <w:rFonts w:hint="eastAsia" w:ascii="仿宋_GB2312" w:hAnsi="仿宋_GB2312" w:eastAsia="仿宋_GB2312" w:cs="仿宋_GB2312"/>
          <w:bCs/>
          <w:snapToGrid w:val="0"/>
          <w:color w:val="000000"/>
          <w:kern w:val="0"/>
          <w:sz w:val="32"/>
          <w:szCs w:val="32"/>
        </w:rPr>
        <w:t>目前共查验学校32所，其中小学查验14所，查验覆盖率100%，托幼机构查验 18 所，查验覆盖率100%，入托入学查验接种证查漏补种工作正在进行中；</w:t>
      </w:r>
      <w:r>
        <w:rPr>
          <w:rFonts w:ascii="仿宋_GB2312" w:hAnsi="宋体" w:eastAsia="仿宋_GB2312" w:cs="仿宋_GB2312"/>
          <w:sz w:val="32"/>
          <w:szCs w:val="32"/>
        </w:rPr>
        <w:t xml:space="preserve"> </w:t>
      </w:r>
      <w:r>
        <w:rPr>
          <w:rFonts w:hint="eastAsia" w:ascii="仿宋_GB2312" w:hAnsi="宋体" w:eastAsia="仿宋_GB2312" w:cs="仿宋_GB2312"/>
          <w:bCs/>
          <w:sz w:val="32"/>
          <w:szCs w:val="32"/>
        </w:rPr>
        <w:t>AFP监测方面，1-9月，全县继续维持无脊髓灰质炎状态，</w:t>
      </w:r>
      <w:r>
        <w:rPr>
          <w:rFonts w:hint="eastAsia" w:ascii="仿宋_GB2312" w:hAnsi="仿宋_GB2312" w:eastAsia="仿宋_GB2312" w:cs="仿宋_GB2312"/>
          <w:sz w:val="32"/>
          <w:szCs w:val="32"/>
        </w:rPr>
        <w:t>县人民医院、藏医院、11个乡镇卫生院AFP旬报覆盖年率达100 %，实行主动监测旬报表各30次，通过AFP麻疹监测系统病例报告，本年度未报告AFP病例麻疹麻疹病例；</w:t>
      </w:r>
    </w:p>
    <w:p>
      <w:pPr>
        <w:rPr>
          <w:rFonts w:ascii="仿宋_GB2312" w:eastAsia="仿宋_GB2312"/>
          <w:sz w:val="32"/>
          <w:szCs w:val="32"/>
        </w:rPr>
      </w:pPr>
      <w:r>
        <w:rPr>
          <w:rFonts w:hint="eastAsia" w:ascii="仿宋_GB2312" w:hAnsi="仿宋_GB2312" w:eastAsia="仿宋_GB2312" w:cs="仿宋_GB2312"/>
          <w:bCs/>
          <w:sz w:val="32"/>
          <w:szCs w:val="32"/>
        </w:rPr>
        <w:t>疑似预防接种异常反应的监测和处置方面，</w:t>
      </w:r>
      <w:r>
        <w:rPr>
          <w:rFonts w:hint="eastAsia" w:ascii="仿宋_GB2312" w:eastAsia="仿宋_GB2312"/>
          <w:sz w:val="32"/>
          <w:szCs w:val="32"/>
        </w:rPr>
        <w:t>按照《疑似预防接种异常反应监测方案》， 1-9月份全县共报告3例AEFI病例，分别是接种乙脑疫苗、百白破疫苗，脊灰灭活疫苗引起的一般反应，</w:t>
      </w:r>
      <w:r>
        <w:rPr>
          <w:rFonts w:hint="eastAsia" w:ascii="仿宋_GB2312" w:hAnsi="宋体" w:eastAsia="仿宋_GB2312" w:cs="仿宋_GB2312"/>
          <w:bCs/>
          <w:sz w:val="32"/>
          <w:szCs w:val="32"/>
        </w:rPr>
        <w:t>均痊愈，</w:t>
      </w:r>
      <w:r>
        <w:rPr>
          <w:rFonts w:hint="eastAsia" w:ascii="仿宋_GB2312" w:eastAsia="仿宋_GB2312"/>
          <w:sz w:val="32"/>
          <w:szCs w:val="32"/>
        </w:rPr>
        <w:t>无死亡、严重残疾、群体性事件发生；</w:t>
      </w:r>
    </w:p>
    <w:p>
      <w:pPr>
        <w:rPr>
          <w:rFonts w:ascii="仿宋_GB2312" w:hAnsi="宋体" w:eastAsia="仿宋_GB2312" w:cs="宋体"/>
          <w:sz w:val="32"/>
          <w:szCs w:val="32"/>
        </w:rPr>
      </w:pPr>
      <w:r>
        <w:rPr>
          <w:rFonts w:hint="eastAsia" w:ascii="仿宋_GB2312" w:hAnsi="仿宋_GB2312" w:eastAsia="仿宋_GB2312" w:cs="仿宋_GB2312"/>
          <w:bCs/>
          <w:sz w:val="32"/>
          <w:szCs w:val="32"/>
        </w:rPr>
        <w:t>疫苗冷链管理方面，1-9月</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县疾控中心严格按照《疫苗流通和预防接种管理条例》和《疫苗储存运输管理规范》的要求，下发疫苗运转6次，运转覆盖面100%，保障了全县各适龄儿童得到及时、有效的预防接种服务；督导检查和业务培训方面，</w:t>
      </w:r>
      <w:r>
        <w:rPr>
          <w:rFonts w:hint="eastAsia" w:ascii="仿宋_GB2312" w:hAnsi="宋体" w:eastAsia="仿宋_GB2312" w:cs="宋体"/>
          <w:sz w:val="32"/>
          <w:szCs w:val="32"/>
        </w:rPr>
        <w:t>1-9月，县疾控中心共对11个乡镇卫生院、社区服务中心以及相关医疗机构开展现场培训3轮次，开展工作督导督导12轮次。</w:t>
      </w:r>
    </w:p>
    <w:p>
      <w:pPr>
        <w:ind w:firstLine="420" w:firstLineChars="200"/>
        <w:rPr>
          <w:rFonts w:ascii="仿宋_GB2312" w:hAnsi="黑体" w:eastAsia="仿宋_GB2312"/>
          <w:b/>
          <w:bCs/>
          <w:sz w:val="32"/>
          <w:szCs w:val="32"/>
        </w:rPr>
      </w:pPr>
      <w:r>
        <w:rPr>
          <w:rFonts w:hint="eastAsia"/>
        </w:rPr>
        <w:t xml:space="preserve">   </w:t>
      </w:r>
      <w:r>
        <w:rPr>
          <w:rFonts w:hint="eastAsia" w:ascii="仿宋_GB2312" w:eastAsia="仿宋_GB2312"/>
          <w:b/>
          <w:bCs/>
          <w:sz w:val="32"/>
          <w:szCs w:val="32"/>
        </w:rPr>
        <w:t>7.</w:t>
      </w:r>
      <w:r>
        <w:rPr>
          <w:rFonts w:hint="eastAsia" w:ascii="仿宋_GB2312" w:hAnsi="黑体" w:eastAsia="仿宋_GB2312"/>
          <w:b/>
          <w:bCs/>
          <w:sz w:val="32"/>
          <w:szCs w:val="32"/>
        </w:rPr>
        <w:t xml:space="preserve"> 传染病防治及突发公共卫生事件</w:t>
      </w:r>
    </w:p>
    <w:p>
      <w:pPr>
        <w:widowControl/>
        <w:ind w:firstLine="640" w:firstLineChars="200"/>
        <w:rPr>
          <w:rFonts w:ascii="仿宋_GB2312" w:hAnsi="仿宋_GB2312" w:eastAsia="仿宋_GB2312" w:cs="仿宋_GB2312"/>
          <w:sz w:val="32"/>
          <w:szCs w:val="32"/>
        </w:rPr>
      </w:pPr>
      <w:r>
        <w:rPr>
          <w:rFonts w:hint="eastAsia" w:ascii="仿宋_GB2312" w:eastAsia="仿宋_GB2312"/>
          <w:color w:val="000000" w:themeColor="text1"/>
          <w:sz w:val="32"/>
          <w:szCs w:val="32"/>
        </w:rPr>
        <w:t>1-9月，我县境内无甲类法定传染病发生，乙、丙类法定传染病按照现住址统计共报告11种498例，报告发病率为 1080.19/10万。乙类传染病报告7种</w:t>
      </w:r>
      <w:r>
        <w:rPr>
          <w:rFonts w:hint="eastAsia" w:ascii="仿宋_GB2312" w:eastAsia="仿宋_GB2312"/>
          <w:sz w:val="32"/>
          <w:szCs w:val="32"/>
        </w:rPr>
        <w:t>398例，报告发病率为863.28/10万，占报告总数的75.23%。按报告数排在前五位的有：肺结核188例、乙肝113例、痢疾42例、梅毒39例炭疽8例。丙类传染病报告5种100例，报告发病率为216.90/10万，占报告总数的20.08%。报告发病率与去年同期相比有所上升。</w:t>
      </w:r>
      <w:r>
        <w:rPr>
          <w:rFonts w:hint="eastAsia" w:ascii="仿宋_GB2312" w:hAnsi="黑体" w:eastAsia="仿宋_GB2312"/>
          <w:bCs/>
          <w:sz w:val="32"/>
          <w:szCs w:val="44"/>
        </w:rPr>
        <w:t>疫情监测方面，</w:t>
      </w:r>
      <w:r>
        <w:rPr>
          <w:rFonts w:hint="eastAsia" w:ascii="仿宋_GB2312" w:eastAsia="仿宋_GB2312"/>
          <w:sz w:val="32"/>
          <w:szCs w:val="32"/>
        </w:rPr>
        <w:t xml:space="preserve"> 1-9月初共编写疫情简报9期、风险评估报告9期，完成夏秋季预测预报、上半年疫情分析和1-4月结核病专题分析各1期； 1-9月，中心共举办培训班一期，开展工作检查和督导42次，其中，对零缺报医疗机构督导26次，</w:t>
      </w:r>
      <w:r>
        <w:rPr>
          <w:rFonts w:hint="eastAsia" w:ascii="仿宋_GB2312" w:hAnsi="仿宋_GB2312" w:eastAsia="仿宋_GB2312" w:cs="仿宋_GB2312"/>
          <w:sz w:val="32"/>
          <w:szCs w:val="32"/>
        </w:rPr>
        <w:t>对学校重点传染病防治工作开展专项督导2次；1-9月，我县未发生重大突发公共卫生事件。</w:t>
      </w:r>
    </w:p>
    <w:p>
      <w:pPr>
        <w:spacing w:line="520" w:lineRule="exact"/>
        <w:ind w:firstLine="643" w:firstLineChars="200"/>
        <w:rPr>
          <w:rFonts w:ascii="仿宋_GB2312" w:hAnsi="华文仿宋" w:eastAsia="仿宋_GB2312"/>
          <w:b/>
          <w:bCs/>
          <w:sz w:val="32"/>
          <w:szCs w:val="32"/>
        </w:rPr>
      </w:pPr>
      <w:r>
        <w:rPr>
          <w:rFonts w:hint="eastAsia" w:ascii="仿宋_GB2312" w:hAnsi="华文仿宋" w:eastAsia="仿宋_GB2312"/>
          <w:b/>
          <w:bCs/>
          <w:sz w:val="32"/>
          <w:szCs w:val="32"/>
        </w:rPr>
        <w:t>8.地方病防治</w:t>
      </w:r>
    </w:p>
    <w:p>
      <w:pPr>
        <w:shd w:val="clear" w:color="auto" w:fill="FFFFFF"/>
        <w:ind w:firstLine="600"/>
        <w:rPr>
          <w:rFonts w:ascii="华文仿宋" w:hAnsi="华文仿宋" w:eastAsia="华文仿宋" w:cs="华文仿宋"/>
          <w:color w:val="000000"/>
          <w:kern w:val="0"/>
          <w:sz w:val="32"/>
          <w:szCs w:val="32"/>
        </w:rPr>
      </w:pPr>
      <w:r>
        <w:rPr>
          <w:rFonts w:hint="eastAsia" w:ascii="仿宋_GB2312" w:hAnsi="华文仿宋" w:eastAsia="仿宋_GB2312"/>
          <w:sz w:val="32"/>
          <w:szCs w:val="32"/>
        </w:rPr>
        <w:t>根据州疾控中心2019年度</w:t>
      </w:r>
      <w:r>
        <w:rPr>
          <w:rFonts w:hint="eastAsia" w:ascii="仿宋_GB2312" w:hAnsi="宋体" w:eastAsia="仿宋_GB2312" w:cs="宋体"/>
          <w:sz w:val="32"/>
          <w:szCs w:val="32"/>
        </w:rPr>
        <w:t>综</w:t>
      </w:r>
      <w:r>
        <w:rPr>
          <w:rFonts w:hint="eastAsia" w:ascii="仿宋_GB2312" w:hAnsi="Dotum" w:eastAsia="仿宋_GB2312" w:cs="Dotum"/>
          <w:sz w:val="32"/>
          <w:szCs w:val="32"/>
        </w:rPr>
        <w:t>合目</w:t>
      </w:r>
      <w:r>
        <w:rPr>
          <w:rFonts w:hint="eastAsia" w:ascii="仿宋_GB2312" w:hAnsi="宋体" w:eastAsia="仿宋_GB2312" w:cs="宋体"/>
          <w:sz w:val="32"/>
          <w:szCs w:val="32"/>
        </w:rPr>
        <w:t>标</w:t>
      </w:r>
      <w:r>
        <w:rPr>
          <w:rFonts w:hint="eastAsia" w:ascii="仿宋_GB2312" w:hAnsi="Dotum" w:eastAsia="仿宋_GB2312" w:cs="Dotum"/>
          <w:sz w:val="32"/>
          <w:szCs w:val="32"/>
        </w:rPr>
        <w:t>任务要求，1-9月，在我中心</w:t>
      </w:r>
      <w:r>
        <w:rPr>
          <w:rFonts w:hint="eastAsia" w:ascii="仿宋_GB2312" w:hAnsi="宋体" w:eastAsia="仿宋_GB2312" w:cs="宋体"/>
          <w:sz w:val="32"/>
          <w:szCs w:val="32"/>
        </w:rPr>
        <w:t>领导</w:t>
      </w:r>
      <w:r>
        <w:rPr>
          <w:rFonts w:hint="eastAsia" w:ascii="仿宋_GB2312" w:hAnsi="Dotum" w:eastAsia="仿宋_GB2312" w:cs="Dotum"/>
          <w:sz w:val="32"/>
          <w:szCs w:val="32"/>
        </w:rPr>
        <w:t>的安排下，通过科室全体职工的共同努力下</w:t>
      </w:r>
      <w:r>
        <w:rPr>
          <w:rFonts w:hint="eastAsia" w:ascii="仿宋_GB2312" w:hAnsi="华文仿宋" w:eastAsia="仿宋_GB2312"/>
          <w:sz w:val="32"/>
          <w:szCs w:val="32"/>
        </w:rPr>
        <w:t>完成了2019年部分工作任</w:t>
      </w:r>
      <w:r>
        <w:rPr>
          <w:rFonts w:hint="eastAsia" w:ascii="仿宋_GB2312" w:hAnsi="宋体" w:eastAsia="仿宋_GB2312" w:cs="宋体"/>
          <w:sz w:val="32"/>
          <w:szCs w:val="32"/>
        </w:rPr>
        <w:t>务</w:t>
      </w:r>
      <w:r>
        <w:rPr>
          <w:rFonts w:hint="eastAsia" w:ascii="宋体" w:hAnsi="宋体"/>
          <w:bCs/>
          <w:sz w:val="32"/>
          <w:szCs w:val="32"/>
        </w:rPr>
        <w:t>，</w:t>
      </w:r>
      <w:r>
        <w:rPr>
          <w:rFonts w:hint="eastAsia" w:ascii="仿宋_GB2312" w:hAnsi="宋体" w:eastAsia="仿宋_GB2312"/>
          <w:bCs/>
          <w:sz w:val="32"/>
          <w:szCs w:val="32"/>
        </w:rPr>
        <w:t>饮茶型地氟病监测工作方面，</w:t>
      </w:r>
      <w:r>
        <w:rPr>
          <w:rFonts w:hint="eastAsia" w:ascii="仿宋_GB2312" w:hAnsi="仿宋_GB2312" w:eastAsia="仿宋_GB2312" w:cs="仿宋_GB2312"/>
          <w:sz w:val="32"/>
          <w:szCs w:val="32"/>
        </w:rPr>
        <w:t>完成安曲镇（哈拉吗村）、龙日乡（龙日村、）查尔玛乡（什布龙村）、色地镇(茸塔村）、阿木乡(俄扎村）5个监测点8-12岁学生氟斑牙筛查407人，其中查出氟斑牙病例150例，检出率为37%，可疑病例88例，占21.6%；极轻度41例；占10.07%、轻度16例；占0.4%，中度3例；占0.07%，重度2人；占0.05%；</w:t>
      </w:r>
      <w:r>
        <w:rPr>
          <w:rFonts w:hint="eastAsia" w:ascii="仿宋_GB2312" w:hAnsi="宋体" w:eastAsia="仿宋_GB2312"/>
          <w:bCs/>
          <w:sz w:val="32"/>
          <w:szCs w:val="32"/>
        </w:rPr>
        <w:t>饮茶型地氟病流行现状调查方面，</w:t>
      </w:r>
      <w:r>
        <w:rPr>
          <w:rFonts w:hint="eastAsia" w:ascii="仿宋_GB2312" w:hAnsi="仿宋_GB2312" w:eastAsia="仿宋_GB2312" w:cs="仿宋_GB2312"/>
          <w:sz w:val="32"/>
          <w:szCs w:val="32"/>
        </w:rPr>
        <w:t>检查病区村所有8-12岁儿童氟斑牙3155人，调查砖茶饮用情况及采集砖茶共50户；</w:t>
      </w:r>
      <w:r>
        <w:rPr>
          <w:rFonts w:hint="eastAsia" w:ascii="仿宋_GB2312" w:hAnsi="黑体" w:eastAsia="仿宋_GB2312" w:cs="宋体"/>
          <w:sz w:val="32"/>
          <w:szCs w:val="32"/>
        </w:rPr>
        <w:t>碘缺乏病防治工作方面，</w:t>
      </w:r>
      <w:r>
        <w:rPr>
          <w:rFonts w:hint="default" w:ascii="仿宋_GB2312" w:hAnsi="黑体" w:eastAsia="仿宋_GB2312" w:cs="宋体"/>
          <w:sz w:val="32"/>
          <w:szCs w:val="32"/>
        </w:rPr>
        <w:t>截至</w:t>
      </w:r>
      <w:r>
        <w:rPr>
          <w:rFonts w:hint="eastAsia" w:ascii="仿宋_GB2312" w:hAnsi="黑体" w:eastAsia="仿宋_GB2312" w:cs="宋体"/>
          <w:sz w:val="32"/>
          <w:szCs w:val="32"/>
        </w:rPr>
        <w:t>目前，</w:t>
      </w:r>
      <w:r>
        <w:rPr>
          <w:rFonts w:hint="eastAsia" w:ascii="仿宋_GB2312" w:hAnsi="仿宋_GB2312" w:eastAsia="仿宋_GB2312" w:cs="仿宋_GB2312"/>
          <w:sz w:val="32"/>
          <w:szCs w:val="32"/>
        </w:rPr>
        <w:t>在麦洼乡、阿木乡、壤口乡、邛溪镇、查尔玛乡共5个监测点采集8-10岁尿样200份、盐碘200份，孕妇尿碘100份、盐碘100份，结果待实验室反馈；</w:t>
      </w:r>
      <w:r>
        <w:rPr>
          <w:rFonts w:hint="eastAsia" w:ascii="仿宋_GB2312" w:hAnsi="宋体" w:eastAsia="仿宋_GB2312" w:cs="宋体"/>
          <w:bCs/>
          <w:sz w:val="32"/>
          <w:szCs w:val="32"/>
        </w:rPr>
        <w:t>大骨节病监测工作工作</w:t>
      </w:r>
      <w:r>
        <w:rPr>
          <w:rFonts w:hint="eastAsia" w:ascii="仿宋_GB2312" w:hAnsi="仿宋_GB2312" w:eastAsia="仿宋_GB2312" w:cs="仿宋_GB2312"/>
          <w:sz w:val="32"/>
          <w:szCs w:val="32"/>
        </w:rPr>
        <w:t>1-9月</w:t>
      </w:r>
      <w:r>
        <w:rPr>
          <w:rFonts w:hint="eastAsia" w:ascii="仿宋_GB2312" w:hAnsi="宋体" w:eastAsia="仿宋_GB2312" w:cs="宋体"/>
          <w:bCs/>
          <w:sz w:val="32"/>
          <w:szCs w:val="32"/>
        </w:rPr>
        <w:t>，</w:t>
      </w:r>
      <w:r>
        <w:rPr>
          <w:rFonts w:hint="eastAsia" w:ascii="仿宋_GB2312" w:hAnsi="华文仿宋" w:eastAsia="仿宋_GB2312" w:cs="华文仿宋"/>
          <w:sz w:val="32"/>
          <w:szCs w:val="32"/>
        </w:rPr>
        <w:t>完成了所有大骨节病病区3820余名7-12岁儿童的临床检查，结果待统计；</w:t>
      </w:r>
      <w:r>
        <w:rPr>
          <w:rFonts w:hint="eastAsia" w:ascii="仿宋_GB2312" w:hAnsi="黑体" w:eastAsia="仿宋_GB2312" w:cs="黑体"/>
          <w:color w:val="000000"/>
          <w:sz w:val="32"/>
          <w:szCs w:val="32"/>
        </w:rPr>
        <w:t>鼠疫防治工作方面， 7-9月，疾控中心</w:t>
      </w:r>
      <w:r>
        <w:rPr>
          <w:rFonts w:hint="eastAsia" w:ascii="华文仿宋" w:hAnsi="华文仿宋" w:eastAsia="华文仿宋" w:cs="华文仿宋"/>
          <w:color w:val="000000"/>
          <w:kern w:val="0"/>
          <w:sz w:val="32"/>
          <w:szCs w:val="32"/>
        </w:rPr>
        <w:t>对我县瓦切镇开展鼠疫监测，对10只活体旱獭开展病原学检查，采集旱獭血清10份，采集绵羊血清50份，用鼠疫间接血凝实验，对血清进行检测，结果待州疾控中心检验科反馈；</w:t>
      </w:r>
    </w:p>
    <w:p>
      <w:pPr>
        <w:spacing w:line="520" w:lineRule="exact"/>
        <w:rPr>
          <w:rFonts w:ascii="仿宋_GB2312" w:hAnsi="宋体" w:eastAsia="仿宋_GB2312" w:cs="宋体"/>
          <w:color w:val="000000"/>
          <w:kern w:val="0"/>
          <w:sz w:val="32"/>
          <w:szCs w:val="32"/>
        </w:rPr>
      </w:pPr>
      <w:r>
        <w:rPr>
          <w:rFonts w:hint="eastAsia" w:ascii="仿宋_GB2312" w:hAnsi="宋体" w:eastAsia="仿宋_GB2312"/>
          <w:bCs/>
          <w:sz w:val="32"/>
          <w:szCs w:val="32"/>
        </w:rPr>
        <w:t>健康教育方面，</w:t>
      </w:r>
      <w:r>
        <w:rPr>
          <w:rFonts w:hint="eastAsia" w:ascii="仿宋_GB2312" w:hAnsi="仿宋_GB2312" w:eastAsia="仿宋_GB2312" w:cs="仿宋_GB2312"/>
          <w:bCs/>
          <w:sz w:val="32"/>
          <w:szCs w:val="32"/>
        </w:rPr>
        <w:t>1-9月，县疾控中心</w:t>
      </w:r>
      <w:r>
        <w:rPr>
          <w:rFonts w:hint="eastAsia" w:ascii="仿宋_GB2312" w:hAnsi="仿宋_GB2312" w:eastAsia="仿宋_GB2312" w:cs="仿宋_GB2312"/>
          <w:sz w:val="32"/>
          <w:szCs w:val="32"/>
        </w:rPr>
        <w:t>对色地镇、麦洼乡、瓦切镇、江茸乡、龙日乡5个乡镇农牧民及5所学校开展饮茶型地氟病健教工作，覆盖目标人群2000人，共发放宣传资料2000余份、宣传用品学习用具1600余套、毛巾800余条、洗衣粉1000余袋；</w:t>
      </w:r>
      <w:r>
        <w:rPr>
          <w:rFonts w:hint="eastAsia" w:ascii="仿宋_GB2312" w:hAnsi="宋体" w:eastAsia="仿宋_GB2312" w:cs="宋体"/>
          <w:color w:val="000000"/>
          <w:kern w:val="0"/>
          <w:sz w:val="32"/>
          <w:szCs w:val="32"/>
        </w:rPr>
        <w:t>在第26个”全国防治碘缺乏病日”,中心围绕“科学补碘益智、健康扶贫利民”主题开展了碘缺乏病防治知识宣传活动，发放宣传单800余份，接收群众现场咨询400余人次，免费发放标准加碘盐300余袋、宣传小礼品300余人份。</w:t>
      </w:r>
    </w:p>
    <w:p>
      <w:pPr>
        <w:pStyle w:val="2"/>
        <w:spacing w:line="560" w:lineRule="exact"/>
        <w:ind w:left="0" w:leftChars="0" w:firstLine="525" w:firstLineChars="250"/>
        <w:rPr>
          <w:rFonts w:ascii="华文仿宋" w:hAnsi="华文仿宋" w:eastAsia="华文仿宋" w:cs="华文仿宋"/>
          <w:b/>
          <w:sz w:val="32"/>
          <w:szCs w:val="32"/>
        </w:rPr>
      </w:pPr>
      <w:r>
        <w:rPr>
          <w:rFonts w:hint="eastAsia"/>
        </w:rPr>
        <w:t xml:space="preserve"> </w:t>
      </w:r>
      <w:r>
        <w:rPr>
          <w:rFonts w:hint="eastAsia" w:ascii="华文仿宋" w:hAnsi="华文仿宋" w:eastAsia="华文仿宋" w:cs="华文仿宋"/>
          <w:b/>
          <w:sz w:val="32"/>
          <w:szCs w:val="32"/>
        </w:rPr>
        <w:t>9.卫生监测工作及校地合作项目</w:t>
      </w:r>
    </w:p>
    <w:p>
      <w:pPr>
        <w:pStyle w:val="2"/>
        <w:spacing w:line="560" w:lineRule="exact"/>
        <w:ind w:left="0" w:leftChars="0" w:firstLine="640"/>
        <w:rPr>
          <w:rFonts w:ascii="仿宋_GB2312" w:eastAsia="仿宋_GB2312"/>
          <w:sz w:val="32"/>
          <w:szCs w:val="32"/>
        </w:rPr>
      </w:pPr>
      <w:r>
        <w:rPr>
          <w:rFonts w:hint="eastAsia" w:ascii="仿宋_GB2312" w:eastAsia="仿宋_GB2312"/>
          <w:sz w:val="32"/>
          <w:szCs w:val="32"/>
        </w:rPr>
        <w:t>水质监测方面，1-9月，县疾控中心完成了枯水期生活用水监测和高考点（红原县中学、藏文中学）的微生物水质监测工作，共检测采集30个水质样品，完成丰水期和音乐季期间13家酒店水质微生物监测 41个水样采集，采集样品已送至绵阳市游仙区疾病预防控制中心检测，检测报告待反馈；消毒监测方面，完成了县级医疗机构和11个乡镇卫生院一年2次及音乐季期间13家酒店消毒监测工作，其中，完成13家酒店及音乐会场的消杀灭工作，累计完成消杀灭面积50000平方米；学生营养监测方面，县疾控中心已按照阿州卫健发</w:t>
      </w:r>
      <w:r>
        <w:rPr>
          <w:rFonts w:hint="eastAsia" w:ascii="仿宋_GB2312" w:hAnsi="仿宋_GB2312" w:eastAsia="仿宋_GB2312" w:cs="仿宋_GB2312"/>
          <w:sz w:val="32"/>
          <w:szCs w:val="32"/>
        </w:rPr>
        <w:t>〔</w:t>
      </w:r>
      <w:r>
        <w:rPr>
          <w:rFonts w:hint="eastAsia" w:ascii="仿宋_GB2312" w:eastAsia="仿宋_GB2312"/>
          <w:sz w:val="32"/>
          <w:szCs w:val="32"/>
        </w:rPr>
        <w:t>2019</w:t>
      </w:r>
      <w:r>
        <w:rPr>
          <w:rFonts w:hint="eastAsia" w:ascii="仿宋_GB2312" w:hAnsi="仿宋_GB2312" w:eastAsia="仿宋_GB2312" w:cs="仿宋_GB2312"/>
          <w:sz w:val="32"/>
          <w:szCs w:val="32"/>
        </w:rPr>
        <w:t>〕</w:t>
      </w:r>
      <w:r>
        <w:rPr>
          <w:rFonts w:hint="eastAsia" w:ascii="仿宋_GB2312" w:eastAsia="仿宋_GB2312"/>
          <w:sz w:val="32"/>
          <w:szCs w:val="32"/>
        </w:rPr>
        <w:t>25号文件要求制定了《红原县2019年农村义务教育学生营养改计划营养健康状况监测评估实施方案》，完成监测625人，数据已整理并上报至学生营养改善计划监测系统；校地合作方面，</w:t>
      </w:r>
      <w:r>
        <w:rPr>
          <w:rFonts w:hint="eastAsia" w:ascii="仿宋_GB2312" w:hAnsi="仿宋_GB2312" w:eastAsia="仿宋_GB2312" w:cs="仿宋_GB2312"/>
          <w:sz w:val="32"/>
          <w:szCs w:val="32"/>
        </w:rPr>
        <w:t>与四川大学华西第四医院密切合作，共为2553名本地户籍藏族同胞进行了包含肝肾功、B超、血液生化等项目在内的免费体检，艾滋病筛查2553人次。</w:t>
      </w:r>
    </w:p>
    <w:p>
      <w:pPr>
        <w:pStyle w:val="2"/>
        <w:spacing w:line="560" w:lineRule="exact"/>
        <w:ind w:left="0" w:leftChars="0" w:firstLine="643"/>
        <w:rPr>
          <w:rFonts w:ascii="仿宋_GB2312" w:eastAsia="仿宋_GB2312"/>
          <w:b/>
          <w:bCs/>
          <w:sz w:val="32"/>
          <w:szCs w:val="32"/>
        </w:rPr>
      </w:pPr>
      <w:r>
        <w:rPr>
          <w:rFonts w:hint="eastAsia" w:ascii="仿宋_GB2312" w:eastAsia="仿宋_GB2312"/>
          <w:b/>
          <w:bCs/>
          <w:sz w:val="32"/>
          <w:szCs w:val="32"/>
        </w:rPr>
        <w:t>10.检验工作</w:t>
      </w:r>
    </w:p>
    <w:p>
      <w:pPr>
        <w:pStyle w:val="2"/>
        <w:spacing w:line="560" w:lineRule="exact"/>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疫情处置方面，中心检验科参与了手足口病、炭疽病疫情处置工作，共采集手足口病标本39份、炭疽标本4份，均已按要求送至州疾控中心；项目工作方面，联合中心卫生科、结艾科、包防办等科室完成了水质监测、暗娼场所干预、VCT、包虫病防治实验室检测工作，水质标本58份，医疗机构消毒检测15家，公共场所消毒检测37家，尿碘300份，盐碘300份，犬粪1650份，HIV抗体标本2547份，梅毒4份，丙肝4份，出具检验检测数据3020份；室间质控考核方面，6月25日参加了四川省疾病预防控制中心组织的全省实验室水氟、尿氟、茶氟考核，考核结果待反馈；能力提升及新技术开展方面，中心抽派王志红同志到绵阳市游仙区疾控中心进行了为期3个月的进修学习，初步掌握了生活饮用检测、微生物培养与接种、设备操作与管理、实验室质量控制等检验检测技术，在对口支援老师的带习下，中心检验科掌握了结核杆菌痰培养、痰涂片镜检技术，对结核杆菌实验室进行了重新布局，并完成了6份痰培养检测，为下一步开展结核病防治项目痰培养检测优化了工作环境。</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（五）把握契机，强化交流，增进友谊，提升能力。</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1.借助东西帮扶、对口援建等平台让自己人走出去，“拜高师，取真经”。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提升疾控中心免疫规划、实验室检测和艾滋病防治工作能力，2018年5月至2019年9月，中心分2批次，共抽派3名工作人员分别到浙江温州、绵阳等地进行了为期8个月、3个月不等的进修学习，向内地发达地区“虚心请教”，通过“拜师傅”以求“取真经”，通过学习，进修人员进一步巩固了所从事业务工作的理论基础，熟练掌握了工作开展的方式方法，9月底，通过与绵阳游仙疾控沟通衔接，县疾控中心再次抽派检验科两名工作人员赴游仙疾控学习水质检测相关工作，目前正在学习中。</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2.紧抓校地合作、绵阳对口援建有利契机，将内地人才“引进来”，加速推进疾控工作提质增效，服务于我县疾控事业发展。</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2019年，县疾控中心及时把握“校地合作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有利契机，科学利用“传帮带”政治资源，积极引进内地人才，充分发挥其特有的“输血”功能，老师认真教，徒弟用心学，面对面交流，手把手传授，集思广益，优势互补，共同攻克工作中的现实难题，通过开展“校地合作”项目，完成艾滋病筛查2553人次，约占年度总任务量的1/4</w:t>
      </w:r>
      <w:r>
        <w:rPr>
          <w:rFonts w:hint="eastAsia" w:ascii="仿宋_GB2312" w:hAnsi="仿宋_GB2312" w:eastAsia="仿宋_GB2312" w:cs="仿宋_GB2312"/>
          <w:sz w:val="32"/>
          <w:szCs w:val="32"/>
          <w:lang w:eastAsia="zh-CN"/>
        </w:rPr>
        <w:t>。</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p>
    <w:p>
      <w:pPr>
        <w:pStyle w:val="5"/>
        <w:rPr>
          <w:rStyle w:val="29"/>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我单位为独立核算全额拨款事业单位。截止2018年底我单位共有编制39个，其中公务员编制0个，行政工勤编制0个，事业编制39个，在职3</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人，其中参公0人，公务员0人，事业编制3</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人，退休11人。</w:t>
      </w:r>
    </w:p>
    <w:p>
      <w:pPr>
        <w:pStyle w:val="4"/>
        <w:ind w:right="440"/>
        <w:jc w:val="right"/>
        <w:rPr>
          <w:rStyle w:val="28"/>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2019年度部门决算情况说明</w:t>
      </w:r>
      <w:bookmarkEnd w:id="22"/>
      <w:bookmarkEnd w:id="23"/>
    </w:p>
    <w:p/>
    <w:p>
      <w:pPr>
        <w:pStyle w:val="27"/>
        <w:numPr>
          <w:ilvl w:val="0"/>
          <w:numId w:val="1"/>
        </w:numPr>
        <w:spacing w:line="600" w:lineRule="exact"/>
        <w:ind w:firstLineChars="0"/>
        <w:outlineLvl w:val="1"/>
        <w:rPr>
          <w:rStyle w:val="29"/>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4"/>
      <w:bookmarkEnd w:id="25"/>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入合计为</w:t>
      </w:r>
      <w:r>
        <w:rPr>
          <w:rFonts w:hint="eastAsia" w:ascii="仿宋" w:hAnsi="仿宋" w:eastAsia="仿宋"/>
          <w:color w:val="000000"/>
          <w:sz w:val="32"/>
          <w:szCs w:val="32"/>
          <w:lang w:val="en-US" w:eastAsia="zh-CN"/>
        </w:rPr>
        <w:t>1303.36</w:t>
      </w:r>
      <w:r>
        <w:rPr>
          <w:rFonts w:hint="eastAsia" w:ascii="仿宋" w:hAnsi="仿宋" w:eastAsia="仿宋"/>
          <w:color w:val="000000"/>
          <w:sz w:val="32"/>
          <w:szCs w:val="32"/>
        </w:rPr>
        <w:t>万元、支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943.19</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入增加了</w:t>
      </w:r>
      <w:r>
        <w:rPr>
          <w:rFonts w:hint="eastAsia" w:ascii="仿宋" w:hAnsi="仿宋" w:eastAsia="仿宋"/>
          <w:color w:val="000000"/>
          <w:sz w:val="32"/>
          <w:szCs w:val="32"/>
          <w:lang w:val="en-US" w:eastAsia="zh-CN"/>
        </w:rPr>
        <w:t>66.61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总计各减少</w:t>
      </w:r>
      <w:r>
        <w:rPr>
          <w:rFonts w:hint="eastAsia" w:ascii="仿宋" w:hAnsi="仿宋" w:eastAsia="仿宋"/>
          <w:color w:val="000000"/>
          <w:sz w:val="32"/>
          <w:szCs w:val="32"/>
          <w:lang w:val="en-US" w:eastAsia="zh-CN"/>
        </w:rPr>
        <w:t>149.58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5.1%，</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是县级配套项目资金增加，</w:t>
      </w:r>
      <w:r>
        <w:rPr>
          <w:rFonts w:hint="eastAsia" w:ascii="仿宋" w:hAnsi="仿宋" w:eastAsia="仿宋"/>
          <w:color w:val="auto"/>
          <w:sz w:val="32"/>
          <w:szCs w:val="32"/>
        </w:rPr>
        <w:t>中央，省级项目资金增加</w:t>
      </w:r>
      <w:r>
        <w:rPr>
          <w:rFonts w:hint="eastAsia" w:ascii="仿宋" w:hAnsi="仿宋" w:eastAsia="仿宋"/>
          <w:color w:val="auto"/>
          <w:sz w:val="32"/>
          <w:szCs w:val="32"/>
          <w:lang w:eastAsia="zh-CN"/>
        </w:rPr>
        <w:t>；支出</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15.86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项目支出减少，</w:t>
      </w:r>
      <w:r>
        <w:rPr>
          <w:rFonts w:hint="eastAsia" w:ascii="仿宋" w:hAnsi="仿宋" w:eastAsia="仿宋"/>
          <w:color w:val="000000"/>
          <w:sz w:val="32"/>
          <w:szCs w:val="32"/>
          <w:lang w:val="en-US" w:eastAsia="zh-CN"/>
        </w:rPr>
        <w:t>2018年购彩超一台，采购了实验室专用设备。</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tbl>
      <w:tblPr>
        <w:tblStyle w:val="16"/>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7" w:hRule="atLeast"/>
        </w:trPr>
        <w:tc>
          <w:tcPr>
            <w:tcW w:w="4261" w:type="dxa"/>
          </w:tcPr>
          <w:p>
            <w:pPr>
              <w:pStyle w:val="2"/>
              <w:ind w:left="0" w:leftChars="0" w:firstLine="0" w:firstLineChars="0"/>
              <w:rPr>
                <w:vertAlign w:val="baseline"/>
              </w:rPr>
            </w:pPr>
            <w:r>
              <w:drawing>
                <wp:anchor distT="0" distB="0" distL="114300" distR="114300" simplePos="0" relativeHeight="251659264" behindDoc="1" locked="0" layoutInCell="1" allowOverlap="1">
                  <wp:simplePos x="0" y="0"/>
                  <wp:positionH relativeFrom="column">
                    <wp:posOffset>17780</wp:posOffset>
                  </wp:positionH>
                  <wp:positionV relativeFrom="paragraph">
                    <wp:posOffset>714375</wp:posOffset>
                  </wp:positionV>
                  <wp:extent cx="2299970" cy="1738630"/>
                  <wp:effectExtent l="0" t="0" r="5080" b="13970"/>
                  <wp:wrapTight wrapText="bothSides">
                    <wp:wrapPolygon>
                      <wp:start x="0" y="473"/>
                      <wp:lineTo x="0" y="21300"/>
                      <wp:lineTo x="21469" y="21300"/>
                      <wp:lineTo x="21469" y="473"/>
                      <wp:lineTo x="0" y="473"/>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299970" cy="1738630"/>
                          </a:xfrm>
                          <a:prstGeom prst="rect">
                            <a:avLst/>
                          </a:prstGeom>
                          <a:noFill/>
                          <a:ln>
                            <a:noFill/>
                          </a:ln>
                        </pic:spPr>
                      </pic:pic>
                    </a:graphicData>
                  </a:graphic>
                </wp:anchor>
              </w:drawing>
            </w:r>
          </w:p>
        </w:tc>
        <w:tc>
          <w:tcPr>
            <w:tcW w:w="4261" w:type="dxa"/>
          </w:tcPr>
          <w:p>
            <w:pPr>
              <w:pStyle w:val="2"/>
              <w:rPr>
                <w:vertAlign w:val="baseline"/>
              </w:rPr>
            </w:pPr>
            <w:r>
              <w:drawing>
                <wp:anchor distT="0" distB="0" distL="114300" distR="114300" simplePos="0" relativeHeight="251660288" behindDoc="1" locked="0" layoutInCell="1" allowOverlap="1">
                  <wp:simplePos x="0" y="0"/>
                  <wp:positionH relativeFrom="column">
                    <wp:posOffset>-32385</wp:posOffset>
                  </wp:positionH>
                  <wp:positionV relativeFrom="paragraph">
                    <wp:posOffset>696595</wp:posOffset>
                  </wp:positionV>
                  <wp:extent cx="2428240" cy="1744345"/>
                  <wp:effectExtent l="0" t="0" r="10160" b="0"/>
                  <wp:wrapTight wrapText="bothSides">
                    <wp:wrapPolygon>
                      <wp:start x="0" y="472"/>
                      <wp:lineTo x="0" y="21466"/>
                      <wp:lineTo x="21351" y="21466"/>
                      <wp:lineTo x="21351" y="472"/>
                      <wp:lineTo x="0" y="472"/>
                    </wp:wrapPolygon>
                  </wp:wrapTight>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2428240" cy="174434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7" w:hRule="atLeast"/>
        </w:trPr>
        <w:tc>
          <w:tcPr>
            <w:tcW w:w="4261" w:type="dxa"/>
          </w:tcPr>
          <w:p>
            <w:pPr>
              <w:pStyle w:val="2"/>
              <w:ind w:left="0" w:leftChars="0" w:firstLine="0" w:firstLineChars="0"/>
            </w:pPr>
          </w:p>
        </w:tc>
        <w:tc>
          <w:tcPr>
            <w:tcW w:w="4261" w:type="dxa"/>
          </w:tcPr>
          <w:p>
            <w:pPr>
              <w:pStyle w:val="2"/>
            </w:pPr>
          </w:p>
        </w:tc>
      </w:tr>
    </w:tbl>
    <w:p>
      <w:pPr>
        <w:spacing w:line="600" w:lineRule="exact"/>
        <w:jc w:val="left"/>
        <w:rPr>
          <w:rFonts w:ascii="仿宋_GB2312" w:eastAsia="仿宋_GB2312"/>
          <w:color w:val="000000"/>
          <w:sz w:val="32"/>
          <w:szCs w:val="32"/>
        </w:rPr>
      </w:pPr>
    </w:p>
    <w:p>
      <w:pPr>
        <w:pStyle w:val="27"/>
        <w:numPr>
          <w:ilvl w:val="0"/>
          <w:numId w:val="1"/>
        </w:numPr>
        <w:spacing w:line="600" w:lineRule="exact"/>
        <w:ind w:firstLineChars="0"/>
        <w:outlineLvl w:val="1"/>
        <w:rPr>
          <w:rStyle w:val="29"/>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9"/>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1303.36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1293.1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99.21</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10.35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0.79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1" locked="0" layoutInCell="1" allowOverlap="1">
            <wp:simplePos x="0" y="0"/>
            <wp:positionH relativeFrom="column">
              <wp:posOffset>114935</wp:posOffset>
            </wp:positionH>
            <wp:positionV relativeFrom="paragraph">
              <wp:posOffset>465455</wp:posOffset>
            </wp:positionV>
            <wp:extent cx="3714750" cy="2209800"/>
            <wp:effectExtent l="0" t="0" r="0" b="0"/>
            <wp:wrapTight wrapText="bothSides">
              <wp:wrapPolygon>
                <wp:start x="111" y="372"/>
                <wp:lineTo x="0" y="21228"/>
                <wp:lineTo x="21378" y="21228"/>
                <wp:lineTo x="21378" y="372"/>
                <wp:lineTo x="111" y="372"/>
              </wp:wrapPolygon>
            </wp:wrapTight>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3714750" cy="2209800"/>
                    </a:xfrm>
                    <a:prstGeom prst="rect">
                      <a:avLst/>
                    </a:prstGeom>
                    <a:noFill/>
                    <a:ln>
                      <a:noFill/>
                    </a:ln>
                  </pic:spPr>
                </pic:pic>
              </a:graphicData>
            </a:graphic>
          </wp:anchor>
        </w:drawing>
      </w:r>
    </w:p>
    <w:p>
      <w:pPr>
        <w:pStyle w:val="2"/>
        <w:ind w:left="0" w:leftChars="0" w:firstLine="0" w:firstLineChars="0"/>
        <w:rPr>
          <w:rFonts w:hint="eastAsia" w:ascii="仿宋_GB2312" w:eastAsia="仿宋_GB2312"/>
          <w:color w:val="FF0000"/>
          <w:sz w:val="32"/>
          <w:szCs w:val="32"/>
          <w:lang w:val="en-US" w:eastAsia="zh-CN"/>
        </w:rPr>
      </w:pPr>
      <w:r>
        <w:rPr>
          <w:rFonts w:hint="eastAsia" w:ascii="仿宋_GB2312" w:eastAsia="仿宋_GB2312"/>
          <w:color w:val="FF0000"/>
          <w:sz w:val="32"/>
          <w:szCs w:val="32"/>
          <w:lang w:val="en-US" w:eastAsia="zh-CN"/>
        </w:rPr>
        <w:t xml:space="preserve">  </w:t>
      </w:r>
      <w:bookmarkStart w:id="28" w:name="_Toc15377207"/>
      <w:bookmarkStart w:id="29" w:name="_Toc15396605"/>
    </w:p>
    <w:p>
      <w:pPr>
        <w:pStyle w:val="2"/>
        <w:ind w:left="0" w:leftChars="0" w:firstLine="0" w:firstLineChars="0"/>
        <w:rPr>
          <w:rFonts w:hint="eastAsia" w:ascii="黑体" w:hAnsi="黑体" w:eastAsia="黑体"/>
          <w:color w:val="000000"/>
          <w:sz w:val="32"/>
          <w:szCs w:val="32"/>
        </w:rPr>
      </w:pPr>
    </w:p>
    <w:p>
      <w:pPr>
        <w:pStyle w:val="2"/>
        <w:ind w:left="0" w:leftChars="0" w:firstLine="0" w:firstLineChars="0"/>
        <w:rPr>
          <w:rFonts w:hint="eastAsia" w:ascii="黑体" w:hAnsi="黑体" w:eastAsia="黑体"/>
          <w:color w:val="000000"/>
          <w:sz w:val="32"/>
          <w:szCs w:val="32"/>
        </w:rPr>
      </w:pPr>
    </w:p>
    <w:p>
      <w:pPr>
        <w:pStyle w:val="2"/>
        <w:ind w:left="0" w:leftChars="0" w:firstLine="0" w:firstLineChars="0"/>
        <w:rPr>
          <w:rFonts w:hint="eastAsia" w:ascii="黑体" w:hAnsi="黑体" w:eastAsia="黑体"/>
          <w:color w:val="000000"/>
          <w:sz w:val="32"/>
          <w:szCs w:val="32"/>
        </w:rPr>
      </w:pPr>
    </w:p>
    <w:p>
      <w:pPr>
        <w:pStyle w:val="2"/>
        <w:ind w:left="0" w:leftChars="0" w:firstLine="0" w:firstLineChars="0"/>
        <w:rPr>
          <w:rFonts w:hint="eastAsia" w:ascii="黑体" w:hAnsi="黑体" w:eastAsia="黑体"/>
          <w:color w:val="000000"/>
          <w:sz w:val="32"/>
          <w:szCs w:val="32"/>
        </w:rPr>
      </w:pPr>
    </w:p>
    <w:p>
      <w:pPr>
        <w:pStyle w:val="2"/>
        <w:ind w:left="0" w:leftChars="0" w:firstLine="0" w:firstLineChars="0"/>
        <w:rPr>
          <w:rStyle w:val="29"/>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9"/>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943.19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697.72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73.97</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245.47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26.03</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420" w:firstLineChars="200"/>
        <w:outlineLvl w:val="1"/>
        <w:rPr>
          <w:rFonts w:hint="eastAsia" w:ascii="黑体" w:hAnsi="黑体" w:eastAsia="黑体"/>
          <w:color w:val="000000"/>
          <w:sz w:val="32"/>
          <w:szCs w:val="32"/>
        </w:rPr>
      </w:pPr>
      <w:bookmarkStart w:id="30" w:name="_Toc15396606"/>
      <w:bookmarkStart w:id="31" w:name="_Toc15377208"/>
      <w:r>
        <w:drawing>
          <wp:anchor distT="0" distB="0" distL="114300" distR="114300" simplePos="0" relativeHeight="251662336" behindDoc="1" locked="0" layoutInCell="1" allowOverlap="1">
            <wp:simplePos x="0" y="0"/>
            <wp:positionH relativeFrom="column">
              <wp:posOffset>266700</wp:posOffset>
            </wp:positionH>
            <wp:positionV relativeFrom="paragraph">
              <wp:posOffset>-1981200</wp:posOffset>
            </wp:positionV>
            <wp:extent cx="3857625" cy="2286000"/>
            <wp:effectExtent l="0" t="0" r="0" b="0"/>
            <wp:wrapTight wrapText="bothSides">
              <wp:wrapPolygon>
                <wp:start x="107" y="360"/>
                <wp:lineTo x="0" y="21240"/>
                <wp:lineTo x="21440" y="21240"/>
                <wp:lineTo x="21440" y="360"/>
                <wp:lineTo x="107" y="360"/>
              </wp:wrapPolygon>
            </wp:wrapTight>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3857625" cy="2286000"/>
                    </a:xfrm>
                    <a:prstGeom prst="rect">
                      <a:avLst/>
                    </a:prstGeom>
                    <a:noFill/>
                    <a:ln>
                      <a:noFill/>
                    </a:ln>
                  </pic:spPr>
                </pic:pic>
              </a:graphicData>
            </a:graphic>
          </wp:anchor>
        </w:drawing>
      </w: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outlineLvl w:val="1"/>
        <w:rPr>
          <w:rStyle w:val="29"/>
          <w:rFonts w:ascii="黑体" w:hAnsi="黑体" w:eastAsia="黑体"/>
          <w:b w:val="0"/>
        </w:rPr>
      </w:pPr>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0"/>
      <w:bookmarkEnd w:id="31"/>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eastAsia="zh-CN"/>
        </w:rPr>
        <w:t>入总计为</w:t>
      </w:r>
      <w:r>
        <w:rPr>
          <w:rFonts w:hint="eastAsia" w:ascii="仿宋" w:hAnsi="仿宋" w:eastAsia="仿宋"/>
          <w:color w:val="000000"/>
          <w:sz w:val="32"/>
          <w:szCs w:val="32"/>
          <w:lang w:val="en-US" w:eastAsia="zh-CN"/>
        </w:rPr>
        <w:t>1293.01万元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943.19</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eastAsia="zh-CN"/>
        </w:rPr>
        <w:t>入增加了</w:t>
      </w:r>
      <w:r>
        <w:rPr>
          <w:rFonts w:hint="eastAsia" w:ascii="仿宋" w:hAnsi="仿宋" w:eastAsia="仿宋"/>
          <w:color w:val="000000"/>
          <w:sz w:val="32"/>
          <w:szCs w:val="32"/>
          <w:lang w:val="en-US" w:eastAsia="zh-CN"/>
        </w:rPr>
        <w:t>62.61万元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4.8</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是县级配套项目资金增加，</w:t>
      </w:r>
      <w:r>
        <w:rPr>
          <w:rFonts w:hint="eastAsia" w:ascii="仿宋" w:hAnsi="仿宋" w:eastAsia="仿宋"/>
          <w:color w:val="auto"/>
          <w:sz w:val="32"/>
          <w:szCs w:val="32"/>
        </w:rPr>
        <w:t>中央，省级项目资金增加</w:t>
      </w:r>
      <w:r>
        <w:rPr>
          <w:rFonts w:hint="eastAsia" w:ascii="仿宋" w:hAnsi="仿宋" w:eastAsia="仿宋"/>
          <w:color w:val="auto"/>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出减少</w:t>
      </w:r>
      <w:r>
        <w:rPr>
          <w:rFonts w:hint="eastAsia" w:ascii="仿宋" w:hAnsi="仿宋" w:eastAsia="仿宋"/>
          <w:color w:val="000000"/>
          <w:sz w:val="32"/>
          <w:szCs w:val="32"/>
          <w:lang w:val="en-US" w:eastAsia="zh-CN"/>
        </w:rPr>
        <w:t>138.73万元，</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14.7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项目支出减少，</w:t>
      </w:r>
      <w:r>
        <w:rPr>
          <w:rFonts w:hint="eastAsia" w:ascii="仿宋" w:hAnsi="仿宋" w:eastAsia="仿宋"/>
          <w:color w:val="000000"/>
          <w:sz w:val="32"/>
          <w:szCs w:val="32"/>
          <w:lang w:val="en-US" w:eastAsia="zh-CN"/>
        </w:rPr>
        <w:t>2018年购彩超一台，采购了实验室专用设备。</w:t>
      </w:r>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420" w:firstLineChars="200"/>
        <w:outlineLvl w:val="1"/>
        <w:rPr>
          <w:rFonts w:hint="eastAsia" w:ascii="黑体" w:hAnsi="黑体" w:eastAsia="黑体"/>
          <w:color w:val="000000"/>
          <w:sz w:val="32"/>
          <w:szCs w:val="32"/>
        </w:rPr>
      </w:pPr>
      <w:bookmarkStart w:id="32" w:name="_Toc15396607"/>
      <w:bookmarkStart w:id="33" w:name="_Toc15377209"/>
      <w:r>
        <w:drawing>
          <wp:anchor distT="0" distB="0" distL="114300" distR="114300" simplePos="0" relativeHeight="251663360" behindDoc="1" locked="0" layoutInCell="1" allowOverlap="1">
            <wp:simplePos x="0" y="0"/>
            <wp:positionH relativeFrom="column">
              <wp:posOffset>401955</wp:posOffset>
            </wp:positionH>
            <wp:positionV relativeFrom="paragraph">
              <wp:posOffset>159385</wp:posOffset>
            </wp:positionV>
            <wp:extent cx="3719195" cy="3212465"/>
            <wp:effectExtent l="0" t="0" r="0" b="0"/>
            <wp:wrapTight wrapText="bothSides">
              <wp:wrapPolygon>
                <wp:start x="111" y="512"/>
                <wp:lineTo x="0" y="21135"/>
                <wp:lineTo x="21353" y="21135"/>
                <wp:lineTo x="21353" y="512"/>
                <wp:lineTo x="111" y="512"/>
              </wp:wrapPolygon>
            </wp:wrapTight>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3719195" cy="3212465"/>
                    </a:xfrm>
                    <a:prstGeom prst="rect">
                      <a:avLst/>
                    </a:prstGeom>
                    <a:noFill/>
                    <a:ln>
                      <a:noFill/>
                    </a:ln>
                  </pic:spPr>
                </pic:pic>
              </a:graphicData>
            </a:graphic>
          </wp:anchor>
        </w:drawing>
      </w: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9"/>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938.07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99.46</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8年相比，一般公共预算财减少</w:t>
      </w:r>
      <w:r>
        <w:rPr>
          <w:rFonts w:hint="eastAsia" w:ascii="仿宋" w:hAnsi="仿宋" w:eastAsia="仿宋"/>
          <w:color w:val="000000"/>
          <w:sz w:val="32"/>
          <w:szCs w:val="32"/>
          <w:lang w:val="en-US" w:eastAsia="zh-CN"/>
        </w:rPr>
        <w:t>143.84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15.3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项目支出减少，</w:t>
      </w:r>
      <w:r>
        <w:rPr>
          <w:rFonts w:hint="eastAsia" w:ascii="仿宋" w:hAnsi="仿宋" w:eastAsia="仿宋"/>
          <w:color w:val="000000"/>
          <w:sz w:val="32"/>
          <w:szCs w:val="32"/>
          <w:lang w:val="en-US" w:eastAsia="zh-CN"/>
        </w:rPr>
        <w:t>2018年购彩超一台，采购了实验室专用设备。</w:t>
      </w:r>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hint="eastAsia" w:ascii="仿宋" w:hAnsi="仿宋" w:eastAsia="仿宋"/>
          <w:color w:val="000000" w:themeColor="text1"/>
          <w:sz w:val="32"/>
          <w:szCs w:val="32"/>
        </w:rPr>
      </w:pPr>
      <w:r>
        <w:drawing>
          <wp:anchor distT="0" distB="0" distL="114300" distR="114300" simplePos="0" relativeHeight="251664384" behindDoc="1" locked="0" layoutInCell="1" allowOverlap="1">
            <wp:simplePos x="0" y="0"/>
            <wp:positionH relativeFrom="column">
              <wp:posOffset>245110</wp:posOffset>
            </wp:positionH>
            <wp:positionV relativeFrom="paragraph">
              <wp:posOffset>165100</wp:posOffset>
            </wp:positionV>
            <wp:extent cx="3571875" cy="2374900"/>
            <wp:effectExtent l="0" t="0" r="0" b="0"/>
            <wp:wrapTight wrapText="bothSides">
              <wp:wrapPolygon>
                <wp:start x="0" y="693"/>
                <wp:lineTo x="0" y="21138"/>
                <wp:lineTo x="21427" y="21138"/>
                <wp:lineTo x="21427" y="693"/>
                <wp:lineTo x="0" y="693"/>
              </wp:wrapPolygon>
            </wp:wrapTight>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3571875" cy="2374900"/>
                    </a:xfrm>
                    <a:prstGeom prst="rect">
                      <a:avLst/>
                    </a:prstGeom>
                    <a:noFill/>
                    <a:ln>
                      <a:noFill/>
                    </a:ln>
                  </pic:spPr>
                </pic:pic>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3" w:firstLineChars="200"/>
        <w:outlineLvl w:val="2"/>
        <w:rPr>
          <w:rFonts w:hint="eastAsia" w:ascii="仿宋" w:hAnsi="仿宋" w:eastAsia="仿宋"/>
          <w:b/>
          <w:color w:val="000000"/>
          <w:sz w:val="32"/>
          <w:szCs w:val="32"/>
        </w:rPr>
      </w:pPr>
      <w:bookmarkStart w:id="35" w:name="_Toc15377211"/>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b/>
          <w:color w:val="000000" w:themeColor="text1"/>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938.07</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val="en-US" w:eastAsia="zh-CN"/>
        </w:rPr>
        <w:t>201</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w:t>
      </w:r>
      <w:r>
        <w:rPr>
          <w:rFonts w:hint="eastAsia" w:ascii="仿宋" w:hAnsi="仿宋" w:eastAsia="仿宋"/>
          <w:b/>
          <w:color w:val="000000" w:themeColor="text1"/>
          <w:sz w:val="32"/>
          <w:szCs w:val="32"/>
          <w:lang w:val="en-US" w:eastAsia="zh-CN"/>
        </w:rPr>
        <w:t>205</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w:t>
      </w:r>
      <w:r>
        <w:rPr>
          <w:rFonts w:hint="eastAsia" w:ascii="仿宋" w:hAnsi="仿宋" w:eastAsia="仿宋"/>
          <w:b/>
          <w:color w:val="000000" w:themeColor="text1"/>
          <w:sz w:val="32"/>
          <w:szCs w:val="32"/>
          <w:lang w:val="en-US" w:eastAsia="zh-CN"/>
        </w:rPr>
        <w:t>206</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w:t>
      </w:r>
      <w:r>
        <w:rPr>
          <w:rFonts w:hint="eastAsia" w:ascii="仿宋" w:hAnsi="仿宋" w:eastAsia="仿宋"/>
          <w:b/>
          <w:bCs/>
          <w:color w:val="000000" w:themeColor="text1"/>
          <w:sz w:val="32"/>
          <w:szCs w:val="32"/>
          <w:lang w:val="en-US" w:eastAsia="zh-CN"/>
        </w:rPr>
        <w:t>207</w:t>
      </w:r>
      <w:r>
        <w:rPr>
          <w:rFonts w:hint="eastAsia" w:ascii="仿宋" w:hAnsi="仿宋" w:eastAsia="仿宋"/>
          <w:b/>
          <w:bCs/>
          <w:color w:val="000000" w:themeColor="text1"/>
          <w:sz w:val="32"/>
          <w:szCs w:val="32"/>
        </w:rPr>
        <w:t>）支出</w:t>
      </w:r>
      <w:r>
        <w:rPr>
          <w:rFonts w:hint="eastAsia" w:ascii="仿宋" w:hAnsi="仿宋" w:eastAsia="仿宋"/>
          <w:b/>
          <w:bCs/>
          <w:color w:val="000000" w:themeColor="text1"/>
          <w:sz w:val="32"/>
          <w:szCs w:val="32"/>
          <w:lang w:val="en-US" w:eastAsia="zh-CN"/>
        </w:rPr>
        <w:t>0</w:t>
      </w:r>
      <w:r>
        <w:rPr>
          <w:rFonts w:hint="eastAsia" w:ascii="仿宋" w:hAnsi="仿宋" w:eastAsia="仿宋"/>
          <w:b/>
          <w:bCs/>
          <w:color w:val="000000" w:themeColor="text1"/>
          <w:sz w:val="32"/>
          <w:szCs w:val="32"/>
        </w:rPr>
        <w:t>万元，占</w:t>
      </w:r>
      <w:r>
        <w:rPr>
          <w:rFonts w:hint="eastAsia" w:ascii="仿宋" w:hAnsi="仿宋" w:eastAsia="仿宋"/>
          <w:b/>
          <w:bCs/>
          <w:color w:val="000000" w:themeColor="text1"/>
          <w:sz w:val="32"/>
          <w:szCs w:val="32"/>
          <w:lang w:val="en-US" w:eastAsia="zh-CN"/>
        </w:rPr>
        <w:t>0</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89.53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val="en-US" w:eastAsia="zh-CN"/>
        </w:rPr>
        <w:t>(210)798.48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85.12</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hint="eastAsia" w:ascii="仿宋" w:hAnsi="仿宋" w:eastAsia="仿宋"/>
          <w:color w:val="000000" w:themeColor="text1"/>
          <w:sz w:val="32"/>
          <w:szCs w:val="32"/>
          <w:lang w:val="en-US" w:eastAsia="zh-CN"/>
        </w:rPr>
        <w:t>(221)50.06</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5.38</w:t>
      </w:r>
      <w:r>
        <w:rPr>
          <w:rFonts w:ascii="仿宋" w:hAnsi="仿宋" w:eastAsia="仿宋"/>
          <w:color w:val="000000" w:themeColor="text1"/>
          <w:sz w:val="32"/>
          <w:szCs w:val="32"/>
        </w:rPr>
        <w:t>%</w:t>
      </w:r>
      <w:r>
        <w:rPr>
          <w:rFonts w:hint="eastAsia" w:ascii="仿宋" w:hAnsi="仿宋" w:eastAsia="仿宋"/>
          <w:color w:val="000000" w:themeColor="text1"/>
          <w:sz w:val="32"/>
          <w:szCs w:val="32"/>
          <w:lang w:val="en-US" w:eastAsia="zh-CN"/>
        </w:rPr>
        <w:t>.</w:t>
      </w:r>
    </w:p>
    <w:p>
      <w:pPr>
        <w:spacing w:line="600" w:lineRule="exact"/>
        <w:ind w:firstLine="64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5408" behindDoc="1" locked="0" layoutInCell="1" allowOverlap="1">
            <wp:simplePos x="0" y="0"/>
            <wp:positionH relativeFrom="column">
              <wp:posOffset>396240</wp:posOffset>
            </wp:positionH>
            <wp:positionV relativeFrom="paragraph">
              <wp:posOffset>252730</wp:posOffset>
            </wp:positionV>
            <wp:extent cx="3857625" cy="2286000"/>
            <wp:effectExtent l="0" t="0" r="0" b="0"/>
            <wp:wrapTight wrapText="bothSides">
              <wp:wrapPolygon>
                <wp:start x="107" y="360"/>
                <wp:lineTo x="0" y="21240"/>
                <wp:lineTo x="21440" y="21240"/>
                <wp:lineTo x="21440" y="360"/>
                <wp:lineTo x="107" y="360"/>
              </wp:wrapPolygon>
            </wp:wrapTight>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2"/>
                    <a:stretch>
                      <a:fillRect/>
                    </a:stretch>
                  </pic:blipFill>
                  <pic:spPr>
                    <a:xfrm>
                      <a:off x="0" y="0"/>
                      <a:ext cx="3857625" cy="2286000"/>
                    </a:xfrm>
                    <a:prstGeom prst="rect">
                      <a:avLst/>
                    </a:prstGeom>
                    <a:noFill/>
                    <a:ln>
                      <a:noFill/>
                    </a:ln>
                  </pic:spPr>
                </pic:pic>
              </a:graphicData>
            </a:graphic>
          </wp:anchor>
        </w:drawing>
      </w:r>
    </w:p>
    <w:p>
      <w:pPr>
        <w:spacing w:line="600" w:lineRule="exact"/>
        <w:ind w:firstLine="643" w:firstLineChars="200"/>
        <w:outlineLvl w:val="2"/>
        <w:rPr>
          <w:rFonts w:hint="eastAsia" w:ascii="仿宋" w:hAnsi="仿宋" w:eastAsia="仿宋"/>
          <w:b/>
          <w:color w:val="000000"/>
          <w:sz w:val="32"/>
          <w:szCs w:val="32"/>
        </w:rPr>
      </w:pPr>
      <w:bookmarkStart w:id="36" w:name="_Toc15377212"/>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hint="default" w:ascii="仿宋" w:hAnsi="仿宋" w:eastAsia="仿宋"/>
          <w:color w:val="FF0000"/>
          <w:sz w:val="32"/>
          <w:szCs w:val="32"/>
          <w:lang w:val="en-US" w:eastAsia="zh-CN"/>
        </w:rPr>
      </w:pPr>
      <w:bookmarkStart w:id="37" w:name="_Toc15377444"/>
      <w:bookmarkStart w:id="38" w:name="_Toc15377213"/>
      <w:bookmarkStart w:id="39" w:name="_Toc15378460"/>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943.09万元</w:t>
      </w:r>
      <w:r>
        <w:rPr>
          <w:rFonts w:hint="eastAsia" w:ascii="仿宋" w:hAnsi="仿宋" w:eastAsia="仿宋"/>
          <w:color w:val="000000" w:themeColor="text1"/>
          <w:sz w:val="32"/>
          <w:szCs w:val="32"/>
        </w:rPr>
        <w:t>，</w:t>
      </w:r>
      <w:r>
        <w:rPr>
          <w:rStyle w:val="18"/>
          <w:rFonts w:hint="eastAsia" w:ascii="仿宋" w:hAnsi="仿宋" w:eastAsia="仿宋"/>
          <w:bCs/>
          <w:color w:val="000000" w:themeColor="text1"/>
          <w:sz w:val="32"/>
          <w:szCs w:val="32"/>
        </w:rPr>
        <w:t>完成</w:t>
      </w:r>
      <w:r>
        <w:rPr>
          <w:rStyle w:val="18"/>
          <w:rFonts w:hint="eastAsia" w:ascii="仿宋" w:hAnsi="仿宋" w:eastAsia="仿宋"/>
          <w:bCs/>
          <w:color w:val="000000"/>
          <w:sz w:val="32"/>
          <w:szCs w:val="32"/>
        </w:rPr>
        <w:t>预算</w:t>
      </w:r>
      <w:r>
        <w:rPr>
          <w:rStyle w:val="18"/>
          <w:rFonts w:hint="eastAsia" w:ascii="仿宋" w:hAnsi="仿宋" w:eastAsia="仿宋"/>
          <w:bCs/>
          <w:color w:val="000000"/>
          <w:sz w:val="32"/>
          <w:szCs w:val="32"/>
          <w:lang w:val="en-US" w:eastAsia="zh-CN"/>
        </w:rPr>
        <w:t>72.95</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7"/>
      <w:bookmarkEnd w:id="38"/>
      <w:bookmarkEnd w:id="39"/>
      <w:r>
        <w:rPr>
          <w:rStyle w:val="18"/>
          <w:rFonts w:hint="eastAsia" w:ascii="仿宋" w:hAnsi="仿宋" w:eastAsia="仿宋"/>
          <w:bCs/>
          <w:color w:val="000000"/>
          <w:sz w:val="32"/>
          <w:szCs w:val="32"/>
          <w:lang w:eastAsia="zh-CN"/>
        </w:rPr>
        <w:t>项目结转结余资金为</w:t>
      </w:r>
      <w:r>
        <w:rPr>
          <w:rStyle w:val="18"/>
          <w:rFonts w:hint="eastAsia" w:ascii="仿宋" w:hAnsi="仿宋" w:eastAsia="仿宋"/>
          <w:bCs/>
          <w:color w:val="000000"/>
          <w:sz w:val="32"/>
          <w:szCs w:val="32"/>
          <w:lang w:val="en-US" w:eastAsia="zh-CN"/>
        </w:rPr>
        <w:t>496.37万元，占21.2%，2020年继续使用。</w:t>
      </w:r>
    </w:p>
    <w:p>
      <w:pPr>
        <w:spacing w:line="600" w:lineRule="exact"/>
        <w:ind w:firstLine="643" w:firstLineChars="200"/>
        <w:rPr>
          <w:rFonts w:ascii="仿宋" w:hAnsi="仿宋" w:eastAsia="仿宋"/>
          <w:b/>
          <w:color w:val="000000"/>
          <w:sz w:val="32"/>
          <w:szCs w:val="32"/>
        </w:rPr>
      </w:pPr>
      <w:r>
        <w:rPr>
          <w:rStyle w:val="18"/>
          <w:rFonts w:hint="eastAsia" w:ascii="仿宋" w:hAnsi="仿宋" w:eastAsia="仿宋"/>
          <w:bCs/>
          <w:color w:val="000000"/>
          <w:sz w:val="32"/>
          <w:szCs w:val="32"/>
        </w:rPr>
        <w:t>1</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社会保障和就业支出</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1、2080505-机关事业单位基本养老保险支出决算为</w:t>
      </w:r>
      <w:r>
        <w:rPr>
          <w:rStyle w:val="18"/>
          <w:rFonts w:hint="eastAsia" w:ascii="仿宋" w:hAnsi="仿宋" w:eastAsia="仿宋"/>
          <w:b w:val="0"/>
          <w:bCs/>
          <w:color w:val="000000"/>
          <w:sz w:val="32"/>
          <w:szCs w:val="32"/>
          <w:lang w:val="en-US" w:eastAsia="zh-CN"/>
        </w:rPr>
        <w:t>61.27</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，决算数与预算数持平；2、2080506-机关事业单位职业年金支出决算数为</w:t>
      </w:r>
      <w:r>
        <w:rPr>
          <w:rStyle w:val="18"/>
          <w:rFonts w:hint="eastAsia" w:ascii="仿宋" w:hAnsi="仿宋" w:eastAsia="仿宋"/>
          <w:b w:val="0"/>
          <w:bCs/>
          <w:color w:val="000000"/>
          <w:sz w:val="32"/>
          <w:szCs w:val="32"/>
          <w:lang w:val="en-US" w:eastAsia="zh-CN"/>
        </w:rPr>
        <w:t>28.26</w:t>
      </w:r>
      <w:r>
        <w:rPr>
          <w:rStyle w:val="18"/>
          <w:rFonts w:hint="eastAsia" w:ascii="仿宋" w:hAnsi="仿宋" w:eastAsia="仿宋"/>
          <w:b w:val="0"/>
          <w:bCs/>
          <w:color w:val="000000"/>
          <w:sz w:val="32"/>
          <w:szCs w:val="32"/>
        </w:rPr>
        <w:t>万元、完成预算100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，决算数与预算数持平。</w:t>
      </w:r>
    </w:p>
    <w:p>
      <w:pPr>
        <w:spacing w:line="600" w:lineRule="exact"/>
        <w:ind w:firstLine="643" w:firstLineChars="200"/>
        <w:rPr>
          <w:rFonts w:ascii="仿宋" w:hAnsi="仿宋" w:eastAsia="仿宋"/>
          <w:color w:val="000000"/>
          <w:sz w:val="32"/>
          <w:szCs w:val="32"/>
        </w:rPr>
      </w:pPr>
      <w:r>
        <w:rPr>
          <w:rStyle w:val="18"/>
          <w:rFonts w:hint="eastAsia" w:ascii="仿宋" w:hAnsi="仿宋" w:eastAsia="仿宋"/>
          <w:bCs/>
          <w:color w:val="000000"/>
          <w:sz w:val="32"/>
          <w:szCs w:val="32"/>
        </w:rPr>
        <w:t>2</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医疗卫生与计划生育支出</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1、</w:t>
      </w:r>
      <w:r>
        <w:rPr>
          <w:rStyle w:val="18"/>
          <w:rFonts w:hint="eastAsia" w:ascii="仿宋" w:hAnsi="仿宋" w:eastAsia="仿宋"/>
          <w:b w:val="0"/>
          <w:color w:val="000000"/>
          <w:sz w:val="32"/>
          <w:szCs w:val="32"/>
        </w:rPr>
        <w:t>2100401-疾病预防控制机构支出决算为515.</w:t>
      </w:r>
      <w:r>
        <w:rPr>
          <w:rStyle w:val="18"/>
          <w:rFonts w:hint="eastAsia" w:ascii="仿宋" w:hAnsi="仿宋" w:eastAsia="仿宋"/>
          <w:b w:val="0"/>
          <w:color w:val="000000"/>
          <w:sz w:val="32"/>
          <w:szCs w:val="32"/>
          <w:lang w:val="en-US" w:eastAsia="zh-CN"/>
        </w:rPr>
        <w:t>43</w:t>
      </w:r>
      <w:r>
        <w:rPr>
          <w:rStyle w:val="18"/>
          <w:rFonts w:hint="eastAsia" w:ascii="仿宋" w:hAnsi="仿宋" w:eastAsia="仿宋"/>
          <w:b w:val="0"/>
          <w:color w:val="000000"/>
          <w:sz w:val="32"/>
          <w:szCs w:val="32"/>
        </w:rPr>
        <w:t>万元，完成预算100</w:t>
      </w:r>
      <w:r>
        <w:rPr>
          <w:rStyle w:val="18"/>
          <w:rFonts w:ascii="仿宋" w:hAnsi="仿宋" w:eastAsia="仿宋"/>
          <w:b w:val="0"/>
          <w:color w:val="000000"/>
          <w:sz w:val="32"/>
          <w:szCs w:val="32"/>
        </w:rPr>
        <w:t>%</w:t>
      </w:r>
      <w:r>
        <w:rPr>
          <w:rStyle w:val="18"/>
          <w:rFonts w:hint="eastAsia" w:ascii="仿宋" w:hAnsi="仿宋" w:eastAsia="仿宋"/>
          <w:b w:val="0"/>
          <w:color w:val="000000"/>
          <w:sz w:val="32"/>
          <w:szCs w:val="32"/>
        </w:rPr>
        <w:t>，决算数与预算数持平；2、2100408-基本公共卫生服务支出决算数为</w:t>
      </w:r>
      <w:r>
        <w:rPr>
          <w:rStyle w:val="18"/>
          <w:rFonts w:hint="eastAsia" w:ascii="仿宋" w:hAnsi="仿宋" w:eastAsia="仿宋"/>
          <w:b w:val="0"/>
          <w:color w:val="000000"/>
          <w:sz w:val="32"/>
          <w:szCs w:val="32"/>
          <w:lang w:val="en-US" w:eastAsia="zh-CN"/>
        </w:rPr>
        <w:t>1.13</w:t>
      </w:r>
      <w:r>
        <w:rPr>
          <w:rStyle w:val="18"/>
          <w:rFonts w:hint="eastAsia" w:ascii="仿宋" w:hAnsi="仿宋" w:eastAsia="仿宋"/>
          <w:b w:val="0"/>
          <w:color w:val="000000"/>
          <w:sz w:val="32"/>
          <w:szCs w:val="32"/>
        </w:rPr>
        <w:t>万元，完成预算</w:t>
      </w:r>
      <w:r>
        <w:rPr>
          <w:rStyle w:val="18"/>
          <w:rFonts w:hint="eastAsia" w:ascii="仿宋" w:hAnsi="仿宋" w:eastAsia="仿宋"/>
          <w:b w:val="0"/>
          <w:color w:val="000000"/>
          <w:sz w:val="32"/>
          <w:szCs w:val="32"/>
          <w:lang w:val="en-US" w:eastAsia="zh-CN"/>
        </w:rPr>
        <w:t>0.31</w:t>
      </w:r>
      <w:r>
        <w:rPr>
          <w:rStyle w:val="18"/>
          <w:rFonts w:ascii="仿宋" w:hAnsi="仿宋" w:eastAsia="仿宋"/>
          <w:b w:val="0"/>
          <w:color w:val="000000"/>
          <w:sz w:val="32"/>
          <w:szCs w:val="32"/>
        </w:rPr>
        <w:t>%</w:t>
      </w:r>
      <w:r>
        <w:rPr>
          <w:rStyle w:val="18"/>
          <w:rFonts w:hint="eastAsia" w:ascii="仿宋" w:hAnsi="仿宋" w:eastAsia="仿宋"/>
          <w:b w:val="0"/>
          <w:color w:val="000000"/>
          <w:sz w:val="32"/>
          <w:szCs w:val="32"/>
        </w:rPr>
        <w:t>，年末结转结余</w:t>
      </w:r>
      <w:r>
        <w:rPr>
          <w:rStyle w:val="18"/>
          <w:rFonts w:hint="eastAsia" w:ascii="仿宋" w:hAnsi="仿宋" w:eastAsia="仿宋"/>
          <w:b w:val="0"/>
          <w:color w:val="000000"/>
          <w:sz w:val="32"/>
          <w:szCs w:val="32"/>
          <w:lang w:val="en-US" w:eastAsia="zh-CN"/>
        </w:rPr>
        <w:t>368.24</w:t>
      </w:r>
      <w:r>
        <w:rPr>
          <w:rStyle w:val="18"/>
          <w:rFonts w:hint="eastAsia" w:ascii="仿宋" w:hAnsi="仿宋" w:eastAsia="仿宋"/>
          <w:b w:val="0"/>
          <w:color w:val="000000"/>
          <w:sz w:val="32"/>
          <w:szCs w:val="32"/>
        </w:rPr>
        <w:t>万元，决算数小于预算数</w:t>
      </w:r>
      <w:r>
        <w:rPr>
          <w:rStyle w:val="18"/>
          <w:rFonts w:hint="eastAsia" w:ascii="仿宋" w:hAnsi="仿宋" w:eastAsia="仿宋"/>
          <w:b w:val="0"/>
          <w:color w:val="000000"/>
          <w:sz w:val="32"/>
          <w:szCs w:val="32"/>
          <w:lang w:eastAsia="zh-CN"/>
        </w:rPr>
        <w:t>，</w:t>
      </w:r>
      <w:r>
        <w:rPr>
          <w:rStyle w:val="18"/>
          <w:rFonts w:hint="eastAsia" w:ascii="仿宋" w:hAnsi="仿宋" w:eastAsia="仿宋"/>
          <w:b w:val="0"/>
          <w:color w:val="000000"/>
          <w:sz w:val="32"/>
          <w:szCs w:val="32"/>
        </w:rPr>
        <w:t>是因为20</w:t>
      </w:r>
      <w:r>
        <w:rPr>
          <w:rStyle w:val="18"/>
          <w:rFonts w:hint="eastAsia" w:ascii="仿宋" w:hAnsi="仿宋" w:eastAsia="仿宋"/>
          <w:b w:val="0"/>
          <w:color w:val="000000"/>
          <w:sz w:val="32"/>
          <w:szCs w:val="32"/>
          <w:lang w:val="en-US" w:eastAsia="zh-CN"/>
        </w:rPr>
        <w:t>20</w:t>
      </w:r>
      <w:r>
        <w:rPr>
          <w:rStyle w:val="18"/>
          <w:rFonts w:hint="eastAsia" w:ascii="仿宋" w:hAnsi="仿宋" w:eastAsia="仿宋"/>
          <w:b w:val="0"/>
          <w:color w:val="000000"/>
          <w:sz w:val="32"/>
          <w:szCs w:val="32"/>
        </w:rPr>
        <w:t>年继续开展此项目。2100409-重大公共卫生专项支出决算为</w:t>
      </w:r>
      <w:r>
        <w:rPr>
          <w:rStyle w:val="18"/>
          <w:rFonts w:hint="eastAsia" w:ascii="仿宋" w:hAnsi="仿宋" w:eastAsia="仿宋"/>
          <w:b w:val="0"/>
          <w:color w:val="000000"/>
          <w:sz w:val="32"/>
          <w:szCs w:val="32"/>
          <w:lang w:val="en-US" w:eastAsia="zh-CN"/>
        </w:rPr>
        <w:t>172.59</w:t>
      </w:r>
      <w:r>
        <w:rPr>
          <w:rStyle w:val="18"/>
          <w:rFonts w:hint="eastAsia" w:ascii="仿宋" w:hAnsi="仿宋" w:eastAsia="仿宋"/>
          <w:b w:val="0"/>
          <w:color w:val="000000"/>
          <w:sz w:val="32"/>
          <w:szCs w:val="32"/>
        </w:rPr>
        <w:t>万元，完成预算</w:t>
      </w:r>
      <w:r>
        <w:rPr>
          <w:rStyle w:val="18"/>
          <w:rFonts w:hint="eastAsia" w:ascii="仿宋" w:hAnsi="仿宋" w:eastAsia="仿宋"/>
          <w:b w:val="0"/>
          <w:color w:val="000000"/>
          <w:sz w:val="32"/>
          <w:szCs w:val="32"/>
          <w:lang w:val="en-US" w:eastAsia="zh-CN"/>
        </w:rPr>
        <w:t>112.4</w:t>
      </w:r>
      <w:r>
        <w:rPr>
          <w:rStyle w:val="18"/>
          <w:rFonts w:ascii="仿宋" w:hAnsi="仿宋" w:eastAsia="仿宋"/>
          <w:b w:val="0"/>
          <w:color w:val="000000"/>
          <w:sz w:val="32"/>
          <w:szCs w:val="32"/>
        </w:rPr>
        <w:t>%</w:t>
      </w:r>
      <w:r>
        <w:rPr>
          <w:rStyle w:val="18"/>
          <w:rFonts w:hint="eastAsia" w:ascii="仿宋" w:hAnsi="仿宋" w:eastAsia="仿宋"/>
          <w:b w:val="0"/>
          <w:color w:val="000000"/>
          <w:sz w:val="32"/>
          <w:szCs w:val="32"/>
        </w:rPr>
        <w:t>，决算数</w:t>
      </w:r>
      <w:r>
        <w:rPr>
          <w:rStyle w:val="18"/>
          <w:rFonts w:hint="eastAsia" w:ascii="仿宋" w:hAnsi="仿宋" w:eastAsia="仿宋"/>
          <w:b w:val="0"/>
          <w:color w:val="000000"/>
          <w:sz w:val="32"/>
          <w:szCs w:val="32"/>
          <w:lang w:eastAsia="zh-CN"/>
        </w:rPr>
        <w:t>大</w:t>
      </w:r>
      <w:r>
        <w:rPr>
          <w:rStyle w:val="18"/>
          <w:rFonts w:hint="eastAsia" w:ascii="仿宋" w:hAnsi="仿宋" w:eastAsia="仿宋"/>
          <w:b w:val="0"/>
          <w:color w:val="000000"/>
          <w:sz w:val="32"/>
          <w:szCs w:val="32"/>
        </w:rPr>
        <w:t>于预算数</w:t>
      </w:r>
      <w:r>
        <w:rPr>
          <w:rStyle w:val="18"/>
          <w:rFonts w:hint="eastAsia" w:ascii="仿宋" w:hAnsi="仿宋" w:eastAsia="仿宋"/>
          <w:b w:val="0"/>
          <w:color w:val="000000"/>
          <w:sz w:val="32"/>
          <w:szCs w:val="32"/>
          <w:lang w:eastAsia="zh-CN"/>
        </w:rPr>
        <w:t>；</w:t>
      </w:r>
      <w:r>
        <w:rPr>
          <w:rStyle w:val="18"/>
          <w:rFonts w:hint="eastAsia" w:ascii="仿宋" w:hAnsi="仿宋" w:eastAsia="仿宋"/>
          <w:b w:val="0"/>
          <w:color w:val="000000"/>
          <w:sz w:val="32"/>
          <w:szCs w:val="32"/>
        </w:rPr>
        <w:t>是因为201</w:t>
      </w:r>
      <w:r>
        <w:rPr>
          <w:rStyle w:val="18"/>
          <w:rFonts w:hint="eastAsia" w:ascii="仿宋" w:hAnsi="仿宋" w:eastAsia="仿宋"/>
          <w:b w:val="0"/>
          <w:color w:val="000000"/>
          <w:sz w:val="32"/>
          <w:szCs w:val="32"/>
          <w:lang w:val="en-US" w:eastAsia="zh-CN"/>
        </w:rPr>
        <w:t>8</w:t>
      </w:r>
      <w:r>
        <w:rPr>
          <w:rStyle w:val="18"/>
          <w:rFonts w:hint="eastAsia" w:ascii="仿宋" w:hAnsi="仿宋" w:eastAsia="仿宋"/>
          <w:b w:val="0"/>
          <w:color w:val="000000"/>
          <w:sz w:val="32"/>
          <w:szCs w:val="32"/>
        </w:rPr>
        <w:t>年末</w:t>
      </w:r>
      <w:r>
        <w:rPr>
          <w:rStyle w:val="18"/>
          <w:rFonts w:hint="eastAsia" w:ascii="仿宋" w:hAnsi="仿宋" w:eastAsia="仿宋"/>
          <w:b w:val="0"/>
          <w:color w:val="000000"/>
          <w:sz w:val="32"/>
          <w:szCs w:val="32"/>
          <w:lang w:eastAsia="zh-CN"/>
        </w:rPr>
        <w:t>有</w:t>
      </w:r>
      <w:r>
        <w:rPr>
          <w:rStyle w:val="18"/>
          <w:rFonts w:hint="eastAsia" w:ascii="仿宋" w:hAnsi="仿宋" w:eastAsia="仿宋"/>
          <w:b w:val="0"/>
          <w:color w:val="000000"/>
          <w:sz w:val="32"/>
          <w:szCs w:val="32"/>
        </w:rPr>
        <w:t>结转结余；2100499-其它公共卫生支出决算为</w:t>
      </w:r>
      <w:r>
        <w:rPr>
          <w:rStyle w:val="18"/>
          <w:rFonts w:hint="eastAsia" w:ascii="仿宋" w:hAnsi="仿宋" w:eastAsia="仿宋"/>
          <w:b w:val="0"/>
          <w:color w:val="000000"/>
          <w:sz w:val="32"/>
          <w:szCs w:val="32"/>
          <w:lang w:val="en-US" w:eastAsia="zh-CN"/>
        </w:rPr>
        <w:t>11.96</w:t>
      </w:r>
      <w:r>
        <w:rPr>
          <w:rStyle w:val="18"/>
          <w:rFonts w:hint="eastAsia" w:ascii="仿宋" w:hAnsi="仿宋" w:eastAsia="仿宋"/>
          <w:b w:val="0"/>
          <w:color w:val="000000"/>
          <w:sz w:val="32"/>
          <w:szCs w:val="32"/>
        </w:rPr>
        <w:t>万元，完成预算</w:t>
      </w:r>
      <w:r>
        <w:rPr>
          <w:rStyle w:val="18"/>
          <w:rFonts w:hint="eastAsia" w:ascii="仿宋" w:hAnsi="仿宋" w:eastAsia="仿宋"/>
          <w:b w:val="0"/>
          <w:color w:val="000000"/>
          <w:sz w:val="32"/>
          <w:szCs w:val="32"/>
          <w:lang w:val="en-US" w:eastAsia="zh-CN"/>
        </w:rPr>
        <w:t>99.7</w:t>
      </w:r>
      <w:r>
        <w:rPr>
          <w:rStyle w:val="18"/>
          <w:rFonts w:ascii="仿宋" w:hAnsi="仿宋" w:eastAsia="仿宋"/>
          <w:b w:val="0"/>
          <w:color w:val="000000"/>
          <w:sz w:val="32"/>
          <w:szCs w:val="32"/>
        </w:rPr>
        <w:t>%</w:t>
      </w:r>
      <w:r>
        <w:rPr>
          <w:rStyle w:val="18"/>
          <w:rFonts w:hint="eastAsia" w:ascii="仿宋" w:hAnsi="仿宋" w:eastAsia="仿宋"/>
          <w:b w:val="0"/>
          <w:color w:val="000000"/>
          <w:sz w:val="32"/>
          <w:szCs w:val="32"/>
        </w:rPr>
        <w:t>，年末结转结余</w:t>
      </w:r>
      <w:r>
        <w:rPr>
          <w:rStyle w:val="18"/>
          <w:rFonts w:hint="eastAsia" w:ascii="仿宋" w:hAnsi="仿宋" w:eastAsia="仿宋"/>
          <w:b w:val="0"/>
          <w:color w:val="000000"/>
          <w:sz w:val="32"/>
          <w:szCs w:val="32"/>
          <w:lang w:val="en-US" w:eastAsia="zh-CN"/>
        </w:rPr>
        <w:t>0.04</w:t>
      </w:r>
      <w:r>
        <w:rPr>
          <w:rStyle w:val="18"/>
          <w:rFonts w:hint="eastAsia" w:ascii="仿宋" w:hAnsi="仿宋" w:eastAsia="仿宋"/>
          <w:b w:val="0"/>
          <w:color w:val="000000"/>
          <w:sz w:val="32"/>
          <w:szCs w:val="32"/>
        </w:rPr>
        <w:t>万元，决算数小于预算数</w:t>
      </w:r>
      <w:r>
        <w:rPr>
          <w:rStyle w:val="18"/>
          <w:rFonts w:hint="eastAsia" w:ascii="仿宋" w:hAnsi="仿宋" w:eastAsia="仿宋"/>
          <w:b w:val="0"/>
          <w:color w:val="000000"/>
          <w:sz w:val="32"/>
          <w:szCs w:val="32"/>
          <w:lang w:eastAsia="zh-CN"/>
        </w:rPr>
        <w:t>，</w:t>
      </w:r>
      <w:r>
        <w:rPr>
          <w:rStyle w:val="18"/>
          <w:rFonts w:hint="eastAsia" w:ascii="仿宋" w:hAnsi="仿宋" w:eastAsia="仿宋"/>
          <w:b w:val="0"/>
          <w:color w:val="000000"/>
          <w:sz w:val="32"/>
          <w:szCs w:val="32"/>
        </w:rPr>
        <w:t>是因为20</w:t>
      </w:r>
      <w:r>
        <w:rPr>
          <w:rStyle w:val="18"/>
          <w:rFonts w:hint="eastAsia" w:ascii="仿宋" w:hAnsi="仿宋" w:eastAsia="仿宋"/>
          <w:b w:val="0"/>
          <w:color w:val="000000"/>
          <w:sz w:val="32"/>
          <w:szCs w:val="32"/>
          <w:lang w:val="en-US" w:eastAsia="zh-CN"/>
        </w:rPr>
        <w:t>20</w:t>
      </w:r>
      <w:r>
        <w:rPr>
          <w:rStyle w:val="18"/>
          <w:rFonts w:hint="eastAsia" w:ascii="仿宋" w:hAnsi="仿宋" w:eastAsia="仿宋"/>
          <w:b w:val="0"/>
          <w:color w:val="000000"/>
          <w:sz w:val="32"/>
          <w:szCs w:val="32"/>
        </w:rPr>
        <w:t>年继续开展此项目决算数；2101102-事业单位医疗支出决算为</w:t>
      </w:r>
      <w:r>
        <w:rPr>
          <w:rStyle w:val="18"/>
          <w:rFonts w:hint="eastAsia" w:ascii="仿宋" w:hAnsi="仿宋" w:eastAsia="仿宋"/>
          <w:b w:val="0"/>
          <w:color w:val="000000"/>
          <w:sz w:val="32"/>
          <w:szCs w:val="32"/>
          <w:lang w:val="en-US" w:eastAsia="zh-CN"/>
        </w:rPr>
        <w:t>30.53</w:t>
      </w:r>
      <w:r>
        <w:rPr>
          <w:rStyle w:val="18"/>
          <w:rFonts w:hint="eastAsia" w:ascii="仿宋" w:hAnsi="仿宋" w:eastAsia="仿宋"/>
          <w:b w:val="0"/>
          <w:color w:val="000000"/>
          <w:sz w:val="32"/>
          <w:szCs w:val="32"/>
        </w:rPr>
        <w:t>万元，完成预算100</w:t>
      </w:r>
      <w:r>
        <w:rPr>
          <w:rStyle w:val="18"/>
          <w:rFonts w:ascii="仿宋" w:hAnsi="仿宋" w:eastAsia="仿宋"/>
          <w:b w:val="0"/>
          <w:color w:val="000000"/>
          <w:sz w:val="32"/>
          <w:szCs w:val="32"/>
        </w:rPr>
        <w:t>%</w:t>
      </w:r>
      <w:r>
        <w:rPr>
          <w:rStyle w:val="18"/>
          <w:rFonts w:hint="eastAsia" w:ascii="仿宋" w:hAnsi="仿宋" w:eastAsia="仿宋"/>
          <w:b w:val="0"/>
          <w:color w:val="000000"/>
          <w:sz w:val="32"/>
          <w:szCs w:val="32"/>
        </w:rPr>
        <w:t>，决算数与预算数持平；21011</w:t>
      </w:r>
      <w:r>
        <w:rPr>
          <w:rStyle w:val="18"/>
          <w:rFonts w:hint="eastAsia" w:ascii="仿宋" w:hAnsi="仿宋" w:eastAsia="仿宋"/>
          <w:b w:val="0"/>
          <w:color w:val="000000"/>
          <w:sz w:val="32"/>
          <w:szCs w:val="32"/>
          <w:lang w:val="en-US" w:eastAsia="zh-CN"/>
        </w:rPr>
        <w:t>99</w:t>
      </w:r>
      <w:r>
        <w:rPr>
          <w:rStyle w:val="18"/>
          <w:rFonts w:hint="eastAsia" w:ascii="仿宋" w:hAnsi="仿宋" w:eastAsia="仿宋"/>
          <w:b w:val="0"/>
          <w:color w:val="000000"/>
          <w:sz w:val="32"/>
          <w:szCs w:val="32"/>
        </w:rPr>
        <w:t>-其它行政事业单位医疗支出决算为</w:t>
      </w:r>
      <w:r>
        <w:rPr>
          <w:rStyle w:val="18"/>
          <w:rFonts w:hint="eastAsia" w:ascii="仿宋" w:hAnsi="仿宋" w:eastAsia="仿宋"/>
          <w:b w:val="0"/>
          <w:color w:val="000000"/>
          <w:sz w:val="32"/>
          <w:szCs w:val="32"/>
          <w:lang w:val="en-US" w:eastAsia="zh-CN"/>
        </w:rPr>
        <w:t>7.05</w:t>
      </w:r>
      <w:r>
        <w:rPr>
          <w:rStyle w:val="18"/>
          <w:rFonts w:hint="eastAsia" w:ascii="仿宋" w:hAnsi="仿宋" w:eastAsia="仿宋"/>
          <w:b w:val="0"/>
          <w:color w:val="000000"/>
          <w:sz w:val="32"/>
          <w:szCs w:val="32"/>
        </w:rPr>
        <w:t>万元，完成预算100</w:t>
      </w:r>
      <w:r>
        <w:rPr>
          <w:rStyle w:val="18"/>
          <w:rFonts w:ascii="仿宋" w:hAnsi="仿宋" w:eastAsia="仿宋"/>
          <w:b w:val="0"/>
          <w:color w:val="000000"/>
          <w:sz w:val="32"/>
          <w:szCs w:val="32"/>
        </w:rPr>
        <w:t>%</w:t>
      </w:r>
      <w:r>
        <w:rPr>
          <w:rStyle w:val="18"/>
          <w:rFonts w:hint="eastAsia" w:ascii="仿宋" w:hAnsi="仿宋" w:eastAsia="仿宋"/>
          <w:b w:val="0"/>
          <w:color w:val="000000"/>
          <w:sz w:val="32"/>
          <w:szCs w:val="32"/>
        </w:rPr>
        <w:t>，决算数与预算数持平；2109901-其它医疗卫生与计划生育支出决算为</w:t>
      </w:r>
      <w:r>
        <w:rPr>
          <w:rStyle w:val="18"/>
          <w:rFonts w:hint="eastAsia" w:ascii="仿宋" w:hAnsi="仿宋" w:eastAsia="仿宋"/>
          <w:b w:val="0"/>
          <w:color w:val="000000"/>
          <w:sz w:val="32"/>
          <w:szCs w:val="32"/>
          <w:lang w:val="en-US" w:eastAsia="zh-CN"/>
        </w:rPr>
        <w:t>37.54</w:t>
      </w:r>
      <w:r>
        <w:rPr>
          <w:rStyle w:val="18"/>
          <w:rFonts w:hint="eastAsia" w:ascii="仿宋" w:hAnsi="仿宋" w:eastAsia="仿宋"/>
          <w:b w:val="0"/>
          <w:color w:val="000000"/>
          <w:sz w:val="32"/>
          <w:szCs w:val="32"/>
        </w:rPr>
        <w:t>万元，完成预算</w:t>
      </w:r>
      <w:r>
        <w:rPr>
          <w:rStyle w:val="18"/>
          <w:rFonts w:hint="eastAsia" w:ascii="仿宋" w:hAnsi="仿宋" w:eastAsia="仿宋"/>
          <w:b w:val="0"/>
          <w:color w:val="000000"/>
          <w:sz w:val="32"/>
          <w:szCs w:val="32"/>
          <w:lang w:val="en-US" w:eastAsia="zh-CN"/>
        </w:rPr>
        <w:t>57.4</w:t>
      </w:r>
      <w:r>
        <w:rPr>
          <w:rStyle w:val="18"/>
          <w:rFonts w:ascii="仿宋" w:hAnsi="仿宋" w:eastAsia="仿宋"/>
          <w:b w:val="0"/>
          <w:color w:val="000000"/>
          <w:sz w:val="32"/>
          <w:szCs w:val="32"/>
        </w:rPr>
        <w:t>%</w:t>
      </w:r>
      <w:r>
        <w:rPr>
          <w:rStyle w:val="18"/>
          <w:rFonts w:hint="eastAsia" w:ascii="仿宋" w:hAnsi="仿宋" w:eastAsia="仿宋"/>
          <w:b w:val="0"/>
          <w:color w:val="000000"/>
          <w:sz w:val="32"/>
          <w:szCs w:val="32"/>
        </w:rPr>
        <w:t>，年末结转结余</w:t>
      </w:r>
      <w:r>
        <w:rPr>
          <w:rStyle w:val="18"/>
          <w:rFonts w:hint="eastAsia" w:ascii="仿宋" w:hAnsi="仿宋" w:eastAsia="仿宋"/>
          <w:b w:val="0"/>
          <w:color w:val="000000"/>
          <w:sz w:val="32"/>
          <w:szCs w:val="32"/>
          <w:lang w:val="en-US" w:eastAsia="zh-CN"/>
        </w:rPr>
        <w:t>27.9</w:t>
      </w:r>
      <w:r>
        <w:rPr>
          <w:rStyle w:val="18"/>
          <w:rFonts w:hint="eastAsia" w:ascii="仿宋" w:hAnsi="仿宋" w:eastAsia="仿宋"/>
          <w:b w:val="0"/>
          <w:color w:val="000000"/>
          <w:sz w:val="32"/>
          <w:szCs w:val="32"/>
        </w:rPr>
        <w:t>万元，决算数小于预算数是因为20</w:t>
      </w:r>
      <w:r>
        <w:rPr>
          <w:rStyle w:val="18"/>
          <w:rFonts w:hint="eastAsia" w:ascii="仿宋" w:hAnsi="仿宋" w:eastAsia="仿宋"/>
          <w:b w:val="0"/>
          <w:color w:val="000000"/>
          <w:sz w:val="32"/>
          <w:szCs w:val="32"/>
          <w:lang w:val="en-US" w:eastAsia="zh-CN"/>
        </w:rPr>
        <w:t>20</w:t>
      </w:r>
      <w:r>
        <w:rPr>
          <w:rStyle w:val="18"/>
          <w:rFonts w:hint="eastAsia" w:ascii="仿宋" w:hAnsi="仿宋" w:eastAsia="仿宋"/>
          <w:b w:val="0"/>
          <w:color w:val="000000"/>
          <w:sz w:val="32"/>
          <w:szCs w:val="32"/>
        </w:rPr>
        <w:t>年继续开展此项目。</w:t>
      </w:r>
    </w:p>
    <w:p>
      <w:pPr>
        <w:spacing w:line="600" w:lineRule="exact"/>
        <w:ind w:firstLine="640"/>
        <w:rPr>
          <w:rFonts w:ascii="仿宋" w:hAnsi="仿宋" w:eastAsia="仿宋"/>
          <w:b/>
          <w:color w:val="000000"/>
          <w:sz w:val="32"/>
          <w:szCs w:val="32"/>
        </w:rPr>
      </w:pPr>
      <w:r>
        <w:rPr>
          <w:rFonts w:hint="eastAsia" w:ascii="仿宋" w:hAnsi="仿宋" w:eastAsia="仿宋"/>
          <w:color w:val="000000" w:themeColor="text1"/>
          <w:sz w:val="32"/>
          <w:szCs w:val="32"/>
        </w:rPr>
        <w:t xml:space="preserve">3.住房保障支出 </w:t>
      </w:r>
      <w:r>
        <w:rPr>
          <w:rFonts w:hint="eastAsia" w:ascii="仿宋" w:hAnsi="仿宋" w:eastAsia="仿宋"/>
          <w:color w:val="000000" w:themeColor="text1"/>
          <w:sz w:val="32"/>
          <w:szCs w:val="32"/>
          <w:lang w:val="en-US" w:eastAsia="zh-CN"/>
        </w:rPr>
        <w:t>:</w:t>
      </w:r>
      <w:r>
        <w:rPr>
          <w:rFonts w:hint="eastAsia" w:ascii="仿宋" w:hAnsi="仿宋" w:eastAsia="仿宋"/>
          <w:color w:val="000000" w:themeColor="text1"/>
          <w:sz w:val="32"/>
          <w:szCs w:val="32"/>
        </w:rPr>
        <w:t>2210201-住房公积金支出</w:t>
      </w:r>
      <w:r>
        <w:rPr>
          <w:rFonts w:hint="eastAsia" w:ascii="仿宋" w:hAnsi="仿宋" w:eastAsia="仿宋"/>
          <w:color w:val="000000" w:themeColor="text1"/>
          <w:sz w:val="32"/>
          <w:szCs w:val="32"/>
          <w:lang w:val="en-US" w:eastAsia="zh-CN"/>
        </w:rPr>
        <w:t>50.06</w:t>
      </w:r>
      <w:r>
        <w:rPr>
          <w:rFonts w:hint="eastAsia" w:ascii="仿宋" w:hAnsi="仿宋" w:eastAsia="仿宋"/>
          <w:color w:val="000000" w:themeColor="text1"/>
          <w:sz w:val="32"/>
          <w:szCs w:val="32"/>
        </w:rPr>
        <w:t>万元，</w:t>
      </w:r>
      <w:r>
        <w:rPr>
          <w:rStyle w:val="18"/>
          <w:rFonts w:hint="eastAsia" w:ascii="仿宋" w:hAnsi="仿宋" w:eastAsia="仿宋"/>
          <w:b w:val="0"/>
          <w:color w:val="000000"/>
          <w:sz w:val="32"/>
          <w:szCs w:val="32"/>
        </w:rPr>
        <w:t>完成预算100</w:t>
      </w:r>
      <w:r>
        <w:rPr>
          <w:rStyle w:val="18"/>
          <w:rFonts w:ascii="仿宋" w:hAnsi="仿宋" w:eastAsia="仿宋"/>
          <w:b w:val="0"/>
          <w:color w:val="000000"/>
          <w:sz w:val="32"/>
          <w:szCs w:val="32"/>
        </w:rPr>
        <w:t>%</w:t>
      </w:r>
      <w:r>
        <w:rPr>
          <w:rStyle w:val="18"/>
          <w:rFonts w:hint="eastAsia" w:ascii="仿宋" w:hAnsi="仿宋" w:eastAsia="仿宋"/>
          <w:b w:val="0"/>
          <w:color w:val="000000"/>
          <w:sz w:val="32"/>
          <w:szCs w:val="32"/>
        </w:rPr>
        <w:t>，决算数与预算数持平。</w:t>
      </w:r>
    </w:p>
    <w:p>
      <w:pPr>
        <w:tabs>
          <w:tab w:val="right" w:pos="8306"/>
        </w:tabs>
        <w:spacing w:line="600" w:lineRule="exact"/>
        <w:ind w:firstLine="640"/>
        <w:outlineLvl w:val="1"/>
        <w:rPr>
          <w:rStyle w:val="29"/>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692.61</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人员经费6</w:t>
      </w:r>
      <w:r>
        <w:rPr>
          <w:rFonts w:hint="eastAsia" w:ascii="仿宋" w:hAnsi="仿宋" w:eastAsia="仿宋"/>
          <w:color w:val="000000"/>
          <w:sz w:val="32"/>
          <w:szCs w:val="32"/>
          <w:lang w:val="en-US" w:eastAsia="zh-CN"/>
        </w:rPr>
        <w:t>40.1</w:t>
      </w:r>
      <w:r>
        <w:rPr>
          <w:rFonts w:hint="eastAsia" w:ascii="仿宋" w:hAnsi="仿宋" w:eastAsia="仿宋"/>
          <w:color w:val="000000"/>
          <w:sz w:val="32"/>
          <w:szCs w:val="32"/>
        </w:rPr>
        <w:t>万元，主要包括：30101-基本工资</w:t>
      </w:r>
      <w:r>
        <w:rPr>
          <w:rFonts w:hint="eastAsia" w:ascii="仿宋" w:hAnsi="仿宋" w:eastAsia="仿宋"/>
          <w:color w:val="000000"/>
          <w:sz w:val="32"/>
          <w:szCs w:val="32"/>
          <w:lang w:val="en-US" w:eastAsia="zh-CN"/>
        </w:rPr>
        <w:t>127.85</w:t>
      </w:r>
      <w:r>
        <w:rPr>
          <w:rFonts w:hint="eastAsia" w:ascii="仿宋" w:hAnsi="仿宋" w:eastAsia="仿宋"/>
          <w:color w:val="000000"/>
          <w:sz w:val="32"/>
          <w:szCs w:val="32"/>
        </w:rPr>
        <w:t>万元；30102-津贴补贴1</w:t>
      </w:r>
      <w:r>
        <w:rPr>
          <w:rFonts w:hint="eastAsia" w:ascii="仿宋" w:hAnsi="仿宋" w:eastAsia="仿宋"/>
          <w:color w:val="000000"/>
          <w:sz w:val="32"/>
          <w:szCs w:val="32"/>
          <w:lang w:val="en-US" w:eastAsia="zh-CN"/>
        </w:rPr>
        <w:t>12.59</w:t>
      </w:r>
      <w:r>
        <w:rPr>
          <w:rFonts w:hint="eastAsia" w:ascii="仿宋" w:hAnsi="仿宋" w:eastAsia="仿宋"/>
          <w:color w:val="000000"/>
          <w:sz w:val="32"/>
          <w:szCs w:val="32"/>
        </w:rPr>
        <w:t>万元；30103-奖金</w:t>
      </w:r>
      <w:r>
        <w:rPr>
          <w:rFonts w:hint="eastAsia" w:ascii="仿宋" w:hAnsi="仿宋" w:eastAsia="仿宋"/>
          <w:color w:val="000000"/>
          <w:sz w:val="32"/>
          <w:szCs w:val="32"/>
          <w:lang w:val="en-US" w:eastAsia="zh-CN"/>
        </w:rPr>
        <w:t>99.77</w:t>
      </w:r>
      <w:r>
        <w:rPr>
          <w:rFonts w:hint="eastAsia" w:ascii="仿宋" w:hAnsi="仿宋" w:eastAsia="仿宋"/>
          <w:color w:val="000000"/>
          <w:sz w:val="32"/>
          <w:szCs w:val="32"/>
        </w:rPr>
        <w:t>万元；30107-绩效工资1</w:t>
      </w:r>
      <w:r>
        <w:rPr>
          <w:rFonts w:hint="eastAsia" w:ascii="仿宋" w:hAnsi="仿宋" w:eastAsia="仿宋"/>
          <w:color w:val="000000"/>
          <w:sz w:val="32"/>
          <w:szCs w:val="32"/>
          <w:lang w:val="en-US" w:eastAsia="zh-CN"/>
        </w:rPr>
        <w:t>1.49</w:t>
      </w:r>
      <w:r>
        <w:rPr>
          <w:rFonts w:hint="eastAsia" w:ascii="仿宋" w:hAnsi="仿宋" w:eastAsia="仿宋"/>
          <w:color w:val="000000"/>
          <w:sz w:val="32"/>
          <w:szCs w:val="32"/>
        </w:rPr>
        <w:t>万元；30108-机关事业单位基本养老保险缴费6</w:t>
      </w:r>
      <w:r>
        <w:rPr>
          <w:rFonts w:hint="eastAsia" w:ascii="仿宋" w:hAnsi="仿宋" w:eastAsia="仿宋"/>
          <w:color w:val="000000"/>
          <w:sz w:val="32"/>
          <w:szCs w:val="32"/>
          <w:lang w:val="en-US" w:eastAsia="zh-CN"/>
        </w:rPr>
        <w:t>1.27</w:t>
      </w:r>
      <w:r>
        <w:rPr>
          <w:rFonts w:hint="eastAsia" w:ascii="仿宋" w:hAnsi="仿宋" w:eastAsia="仿宋"/>
          <w:color w:val="000000"/>
          <w:sz w:val="32"/>
          <w:szCs w:val="32"/>
        </w:rPr>
        <w:t>万元；30109-职业年金缴费2</w:t>
      </w:r>
      <w:r>
        <w:rPr>
          <w:rFonts w:hint="eastAsia" w:ascii="仿宋" w:hAnsi="仿宋" w:eastAsia="仿宋"/>
          <w:color w:val="000000"/>
          <w:sz w:val="32"/>
          <w:szCs w:val="32"/>
          <w:lang w:val="en-US" w:eastAsia="zh-CN"/>
        </w:rPr>
        <w:t>8.26</w:t>
      </w:r>
      <w:r>
        <w:rPr>
          <w:rFonts w:hint="eastAsia" w:ascii="仿宋" w:hAnsi="仿宋" w:eastAsia="仿宋"/>
          <w:color w:val="000000"/>
          <w:sz w:val="32"/>
          <w:szCs w:val="32"/>
        </w:rPr>
        <w:t>万元；30112-其他社会保障缴费8.</w:t>
      </w:r>
      <w:r>
        <w:rPr>
          <w:rFonts w:hint="eastAsia" w:ascii="仿宋" w:hAnsi="仿宋" w:eastAsia="仿宋"/>
          <w:color w:val="000000"/>
          <w:sz w:val="32"/>
          <w:szCs w:val="32"/>
          <w:lang w:val="en-US" w:eastAsia="zh-CN"/>
        </w:rPr>
        <w:t>99</w:t>
      </w:r>
      <w:r>
        <w:rPr>
          <w:rFonts w:hint="eastAsia" w:ascii="仿宋" w:hAnsi="仿宋" w:eastAsia="仿宋"/>
          <w:color w:val="000000"/>
          <w:sz w:val="32"/>
          <w:szCs w:val="32"/>
        </w:rPr>
        <w:t>万元；30110-职工基本医疗保险缴费</w:t>
      </w:r>
      <w:r>
        <w:rPr>
          <w:rFonts w:hint="eastAsia" w:ascii="仿宋" w:hAnsi="仿宋" w:eastAsia="仿宋"/>
          <w:color w:val="000000"/>
          <w:sz w:val="32"/>
          <w:szCs w:val="32"/>
          <w:lang w:val="en-US" w:eastAsia="zh-CN"/>
        </w:rPr>
        <w:t>30.53</w:t>
      </w:r>
      <w:r>
        <w:rPr>
          <w:rFonts w:hint="eastAsia" w:ascii="仿宋" w:hAnsi="仿宋" w:eastAsia="仿宋"/>
          <w:color w:val="000000"/>
          <w:sz w:val="32"/>
          <w:szCs w:val="32"/>
        </w:rPr>
        <w:t>万元；30114-医疗费补助</w:t>
      </w:r>
      <w:r>
        <w:rPr>
          <w:rFonts w:hint="eastAsia" w:ascii="仿宋" w:hAnsi="仿宋" w:eastAsia="仿宋"/>
          <w:color w:val="000000"/>
          <w:sz w:val="32"/>
          <w:szCs w:val="32"/>
          <w:lang w:val="en-US" w:eastAsia="zh-CN"/>
        </w:rPr>
        <w:t>3.88</w:t>
      </w:r>
      <w:r>
        <w:rPr>
          <w:rFonts w:hint="eastAsia" w:ascii="仿宋" w:hAnsi="仿宋" w:eastAsia="仿宋"/>
          <w:color w:val="000000"/>
          <w:sz w:val="32"/>
          <w:szCs w:val="32"/>
        </w:rPr>
        <w:t>万元；30305-生活补助</w:t>
      </w:r>
      <w:r>
        <w:rPr>
          <w:rFonts w:hint="eastAsia" w:ascii="仿宋" w:hAnsi="仿宋" w:eastAsia="仿宋"/>
          <w:color w:val="000000"/>
          <w:sz w:val="32"/>
          <w:szCs w:val="32"/>
          <w:lang w:val="en-US" w:eastAsia="zh-CN"/>
        </w:rPr>
        <w:t>1.91</w:t>
      </w:r>
      <w:r>
        <w:rPr>
          <w:rFonts w:hint="eastAsia" w:ascii="仿宋" w:hAnsi="仿宋" w:eastAsia="仿宋"/>
          <w:color w:val="000000"/>
          <w:sz w:val="32"/>
          <w:szCs w:val="32"/>
        </w:rPr>
        <w:t>万元；30113-住房公积金</w:t>
      </w:r>
      <w:r>
        <w:rPr>
          <w:rFonts w:hint="eastAsia" w:ascii="仿宋" w:hAnsi="仿宋" w:eastAsia="仿宋"/>
          <w:color w:val="000000"/>
          <w:sz w:val="32"/>
          <w:szCs w:val="32"/>
          <w:lang w:val="en-US" w:eastAsia="zh-CN"/>
        </w:rPr>
        <w:t>50.06</w:t>
      </w:r>
      <w:r>
        <w:rPr>
          <w:rFonts w:hint="eastAsia" w:ascii="仿宋" w:hAnsi="仿宋" w:eastAsia="仿宋"/>
          <w:color w:val="000000"/>
          <w:sz w:val="32"/>
          <w:szCs w:val="32"/>
        </w:rPr>
        <w:t>万元。</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44.96</w:t>
      </w:r>
      <w:r>
        <w:rPr>
          <w:rFonts w:hint="eastAsia" w:ascii="仿宋" w:hAnsi="仿宋" w:eastAsia="仿宋"/>
          <w:color w:val="000000"/>
          <w:sz w:val="32"/>
          <w:szCs w:val="32"/>
        </w:rPr>
        <w:t>万元，主要包括：30201-办公费1</w:t>
      </w:r>
      <w:r>
        <w:rPr>
          <w:rFonts w:hint="eastAsia" w:ascii="仿宋" w:hAnsi="仿宋" w:eastAsia="仿宋"/>
          <w:color w:val="000000"/>
          <w:sz w:val="32"/>
          <w:szCs w:val="32"/>
          <w:lang w:val="en-US" w:eastAsia="zh-CN"/>
        </w:rPr>
        <w:t>4.64</w:t>
      </w:r>
      <w:r>
        <w:rPr>
          <w:rFonts w:hint="eastAsia" w:ascii="仿宋" w:hAnsi="仿宋" w:eastAsia="仿宋"/>
          <w:color w:val="000000"/>
          <w:sz w:val="32"/>
          <w:szCs w:val="32"/>
        </w:rPr>
        <w:t>万元；30202-印刷费1.</w:t>
      </w:r>
      <w:r>
        <w:rPr>
          <w:rFonts w:hint="eastAsia" w:ascii="仿宋" w:hAnsi="仿宋" w:eastAsia="仿宋"/>
          <w:color w:val="000000"/>
          <w:sz w:val="32"/>
          <w:szCs w:val="32"/>
          <w:lang w:val="en-US" w:eastAsia="zh-CN"/>
        </w:rPr>
        <w:t>49</w:t>
      </w:r>
      <w:r>
        <w:rPr>
          <w:rFonts w:hint="eastAsia" w:ascii="仿宋" w:hAnsi="仿宋" w:eastAsia="仿宋"/>
          <w:color w:val="000000"/>
          <w:sz w:val="32"/>
          <w:szCs w:val="32"/>
        </w:rPr>
        <w:t>万元；30206-电费</w:t>
      </w:r>
      <w:r>
        <w:rPr>
          <w:rFonts w:hint="eastAsia" w:ascii="仿宋" w:hAnsi="仿宋" w:eastAsia="仿宋"/>
          <w:color w:val="000000"/>
          <w:sz w:val="32"/>
          <w:szCs w:val="32"/>
          <w:lang w:val="en-US" w:eastAsia="zh-CN"/>
        </w:rPr>
        <w:t>0.1</w:t>
      </w:r>
      <w:r>
        <w:rPr>
          <w:rFonts w:hint="eastAsia" w:ascii="仿宋" w:hAnsi="仿宋" w:eastAsia="仿宋"/>
          <w:color w:val="000000"/>
          <w:sz w:val="32"/>
          <w:szCs w:val="32"/>
        </w:rPr>
        <w:t>万元；30207-邮电费</w:t>
      </w:r>
      <w:r>
        <w:rPr>
          <w:rFonts w:hint="eastAsia" w:ascii="仿宋" w:hAnsi="仿宋" w:eastAsia="仿宋"/>
          <w:color w:val="000000"/>
          <w:sz w:val="32"/>
          <w:szCs w:val="32"/>
          <w:lang w:val="en-US" w:eastAsia="zh-CN"/>
        </w:rPr>
        <w:t>3.00</w:t>
      </w:r>
      <w:r>
        <w:rPr>
          <w:rFonts w:hint="eastAsia" w:ascii="仿宋" w:hAnsi="仿宋" w:eastAsia="仿宋"/>
          <w:color w:val="000000"/>
          <w:sz w:val="32"/>
          <w:szCs w:val="32"/>
        </w:rPr>
        <w:t>万元；30211-差旅费</w:t>
      </w:r>
      <w:r>
        <w:rPr>
          <w:rFonts w:hint="eastAsia" w:ascii="仿宋" w:hAnsi="仿宋" w:eastAsia="仿宋"/>
          <w:color w:val="000000"/>
          <w:sz w:val="32"/>
          <w:szCs w:val="32"/>
          <w:lang w:val="en-US" w:eastAsia="zh-CN"/>
        </w:rPr>
        <w:t>7.23</w:t>
      </w:r>
      <w:r>
        <w:rPr>
          <w:rFonts w:hint="eastAsia" w:ascii="仿宋" w:hAnsi="仿宋" w:eastAsia="仿宋"/>
          <w:color w:val="000000"/>
          <w:sz w:val="32"/>
          <w:szCs w:val="32"/>
        </w:rPr>
        <w:t>万元；30213-维修（护）费3.</w:t>
      </w:r>
      <w:r>
        <w:rPr>
          <w:rFonts w:hint="eastAsia" w:ascii="仿宋" w:hAnsi="仿宋" w:eastAsia="仿宋"/>
          <w:color w:val="000000"/>
          <w:sz w:val="32"/>
          <w:szCs w:val="32"/>
          <w:lang w:val="en-US" w:eastAsia="zh-CN"/>
        </w:rPr>
        <w:t>00</w:t>
      </w:r>
      <w:r>
        <w:rPr>
          <w:rFonts w:hint="eastAsia" w:ascii="仿宋" w:hAnsi="仿宋" w:eastAsia="仿宋"/>
          <w:color w:val="000000"/>
          <w:sz w:val="32"/>
          <w:szCs w:val="32"/>
        </w:rPr>
        <w:t>万元；30217-公务接待费0.</w:t>
      </w:r>
      <w:r>
        <w:rPr>
          <w:rFonts w:hint="eastAsia" w:ascii="仿宋" w:hAnsi="仿宋" w:eastAsia="仿宋"/>
          <w:color w:val="000000"/>
          <w:sz w:val="32"/>
          <w:szCs w:val="32"/>
          <w:lang w:val="en-US" w:eastAsia="zh-CN"/>
        </w:rPr>
        <w:t>88</w:t>
      </w:r>
      <w:r>
        <w:rPr>
          <w:rFonts w:hint="eastAsia" w:ascii="仿宋" w:hAnsi="仿宋" w:eastAsia="仿宋"/>
          <w:color w:val="000000"/>
          <w:sz w:val="32"/>
          <w:szCs w:val="32"/>
        </w:rPr>
        <w:t>万元；30226-劳务费</w:t>
      </w:r>
      <w:r>
        <w:rPr>
          <w:rFonts w:hint="eastAsia" w:ascii="仿宋" w:hAnsi="仿宋" w:eastAsia="仿宋"/>
          <w:color w:val="000000"/>
          <w:sz w:val="32"/>
          <w:szCs w:val="32"/>
          <w:lang w:val="en-US" w:eastAsia="zh-CN"/>
        </w:rPr>
        <w:t>0.18</w:t>
      </w:r>
      <w:r>
        <w:rPr>
          <w:rFonts w:hint="eastAsia" w:ascii="仿宋" w:hAnsi="仿宋" w:eastAsia="仿宋"/>
          <w:color w:val="000000"/>
          <w:sz w:val="32"/>
          <w:szCs w:val="32"/>
        </w:rPr>
        <w:t>万元；30228-工会经费4.</w:t>
      </w:r>
      <w:r>
        <w:rPr>
          <w:rFonts w:hint="eastAsia" w:ascii="仿宋" w:hAnsi="仿宋" w:eastAsia="仿宋"/>
          <w:color w:val="000000"/>
          <w:sz w:val="32"/>
          <w:szCs w:val="32"/>
          <w:lang w:val="en-US" w:eastAsia="zh-CN"/>
        </w:rPr>
        <w:t>00</w:t>
      </w:r>
      <w:r>
        <w:rPr>
          <w:rFonts w:hint="eastAsia" w:ascii="仿宋" w:hAnsi="仿宋" w:eastAsia="仿宋"/>
          <w:color w:val="000000"/>
          <w:sz w:val="32"/>
          <w:szCs w:val="32"/>
        </w:rPr>
        <w:t>万元、30231-公务用车运行维护费</w:t>
      </w:r>
      <w:r>
        <w:rPr>
          <w:rFonts w:hint="eastAsia" w:ascii="仿宋" w:hAnsi="仿宋" w:eastAsia="仿宋"/>
          <w:color w:val="000000"/>
          <w:sz w:val="32"/>
          <w:szCs w:val="32"/>
          <w:lang w:val="en-US" w:eastAsia="zh-CN"/>
        </w:rPr>
        <w:t>7.06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；手续费</w:t>
      </w:r>
      <w:r>
        <w:rPr>
          <w:rFonts w:hint="eastAsia" w:ascii="仿宋" w:hAnsi="仿宋" w:eastAsia="仿宋"/>
          <w:color w:val="000000"/>
          <w:sz w:val="32"/>
          <w:szCs w:val="32"/>
          <w:lang w:val="en-US" w:eastAsia="zh-CN"/>
        </w:rPr>
        <w:t>0.11万元；培训费1.45万元；专用材料费1.81万元</w:t>
      </w:r>
      <w:r>
        <w:rPr>
          <w:rFonts w:hint="eastAsia" w:ascii="仿宋" w:hAnsi="仿宋" w:eastAsia="仿宋"/>
          <w:color w:val="000000"/>
          <w:sz w:val="32"/>
          <w:szCs w:val="32"/>
        </w:rPr>
        <w:t>。</w:t>
      </w:r>
    </w:p>
    <w:p>
      <w:pPr>
        <w:spacing w:line="600" w:lineRule="exact"/>
        <w:ind w:firstLine="645"/>
        <w:rPr>
          <w:rFonts w:ascii="仿宋" w:hAnsi="仿宋" w:eastAsia="仿宋"/>
          <w:color w:val="000000"/>
          <w:sz w:val="32"/>
          <w:szCs w:val="32"/>
        </w:rPr>
      </w:pPr>
    </w:p>
    <w:p>
      <w:pPr>
        <w:spacing w:line="600" w:lineRule="exact"/>
        <w:ind w:firstLine="640"/>
        <w:outlineLvl w:val="1"/>
        <w:rPr>
          <w:rStyle w:val="29"/>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20.48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91.8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rPr>
          <w:rFonts w:ascii="仿宋_GB2312" w:eastAsia="仿宋_GB2312"/>
          <w:b/>
          <w:color w:val="000000"/>
          <w:sz w:val="32"/>
          <w:szCs w:val="32"/>
        </w:rPr>
      </w:pPr>
    </w:p>
    <w:p>
      <w:pPr>
        <w:spacing w:line="600" w:lineRule="exact"/>
        <w:rPr>
          <w:rFonts w:ascii="仿宋_GB2312" w:eastAsia="仿宋_GB2312"/>
          <w:b/>
          <w:color w:val="000000"/>
          <w:sz w:val="32"/>
          <w:szCs w:val="32"/>
        </w:rPr>
      </w:pPr>
    </w:p>
    <w:p>
      <w:pPr>
        <w:spacing w:line="600" w:lineRule="exact"/>
        <w:rPr>
          <w:rFonts w:ascii="仿宋_GB2312" w:eastAsia="仿宋_GB2312"/>
          <w:b/>
          <w:color w:val="000000"/>
          <w:sz w:val="32"/>
          <w:szCs w:val="32"/>
        </w:rPr>
      </w:pPr>
      <w:r>
        <w:drawing>
          <wp:anchor distT="0" distB="0" distL="114300" distR="114300" simplePos="0" relativeHeight="251666432" behindDoc="1" locked="0" layoutInCell="1" allowOverlap="1">
            <wp:simplePos x="0" y="0"/>
            <wp:positionH relativeFrom="column">
              <wp:posOffset>0</wp:posOffset>
            </wp:positionH>
            <wp:positionV relativeFrom="paragraph">
              <wp:posOffset>-2695575</wp:posOffset>
            </wp:positionV>
            <wp:extent cx="5062855" cy="3000375"/>
            <wp:effectExtent l="0" t="0" r="0" b="0"/>
            <wp:wrapTight wrapText="bothSides">
              <wp:wrapPolygon>
                <wp:start x="163" y="411"/>
                <wp:lineTo x="163" y="21394"/>
                <wp:lineTo x="21375" y="21394"/>
                <wp:lineTo x="21375" y="411"/>
                <wp:lineTo x="163" y="411"/>
              </wp:wrapPolygon>
            </wp:wrapTight>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a:stretch>
                      <a:fillRect/>
                    </a:stretch>
                  </pic:blipFill>
                  <pic:spPr>
                    <a:xfrm>
                      <a:off x="0" y="0"/>
                      <a:ext cx="5062855" cy="3000375"/>
                    </a:xfrm>
                    <a:prstGeom prst="rect">
                      <a:avLst/>
                    </a:prstGeom>
                    <a:noFill/>
                    <a:ln>
                      <a:noFill/>
                    </a:ln>
                  </pic:spPr>
                </pic:pic>
              </a:graphicData>
            </a:graphic>
          </wp:anchor>
        </w:drawing>
      </w:r>
    </w:p>
    <w:p>
      <w:pPr>
        <w:spacing w:line="600" w:lineRule="exact"/>
        <w:rPr>
          <w:rFonts w:ascii="仿宋_GB2312" w:eastAsia="仿宋_GB2312"/>
          <w:b/>
          <w:color w:val="000000"/>
          <w:sz w:val="32"/>
          <w:szCs w:val="32"/>
        </w:rPr>
      </w:pPr>
    </w:p>
    <w:p>
      <w:pPr>
        <w:spacing w:line="600" w:lineRule="exact"/>
        <w:rPr>
          <w:rFonts w:hint="default" w:ascii="仿宋_GB2312" w:eastAsia="仿宋_GB2312"/>
          <w:color w:val="000000"/>
          <w:sz w:val="32"/>
          <w:szCs w:val="32"/>
          <w:lang w:val="en-US"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与上年持平。</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18.8</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25.79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57.83</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w:t>
      </w:r>
      <w:r>
        <w:rPr>
          <w:rFonts w:hint="eastAsia" w:ascii="仿宋_GB2312" w:eastAsia="仿宋_GB2312"/>
          <w:color w:val="000000"/>
          <w:sz w:val="32"/>
          <w:szCs w:val="32"/>
          <w:lang w:val="en-US" w:eastAsia="zh-CN"/>
        </w:rPr>
        <w:t>2018年</w:t>
      </w:r>
      <w:r>
        <w:rPr>
          <w:rFonts w:hint="eastAsia" w:ascii="仿宋_GB2312" w:eastAsia="仿宋_GB2312"/>
          <w:color w:val="000000"/>
          <w:sz w:val="32"/>
          <w:szCs w:val="32"/>
        </w:rPr>
        <w:t>新购业务用车一辆</w:t>
      </w:r>
      <w:r>
        <w:rPr>
          <w:rFonts w:hint="eastAsia" w:ascii="仿宋_GB2312" w:eastAsia="仿宋_GB2312"/>
          <w:color w:val="000000"/>
          <w:sz w:val="32"/>
          <w:szCs w:val="32"/>
          <w:lang w:eastAsia="zh-CN"/>
        </w:rPr>
        <w:t>。</w:t>
      </w:r>
    </w:p>
    <w:p>
      <w:pPr>
        <w:spacing w:line="600"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18.8</w:t>
      </w:r>
      <w:r>
        <w:rPr>
          <w:rFonts w:hint="eastAsia" w:ascii="仿宋_GB2312" w:eastAsia="仿宋_GB2312"/>
          <w:color w:val="000000"/>
          <w:sz w:val="32"/>
          <w:szCs w:val="32"/>
        </w:rPr>
        <w:t>万元。主要用于本单位下乡督导，业务培训及开会等所需的公务用车燃料费、维修费、过路过桥费、保险费等支出。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1.68</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hint="eastAsia" w:ascii="仿宋" w:hAnsi="仿宋" w:eastAsia="仿宋"/>
          <w:b w:val="0"/>
          <w:bCs/>
          <w:color w:val="000000"/>
          <w:sz w:val="32"/>
          <w:szCs w:val="32"/>
          <w:lang w:val="en-US" w:eastAsia="zh-CN"/>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2.45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59</w:t>
      </w:r>
      <w:r>
        <w:rPr>
          <w:rFonts w:ascii="仿宋_GB2312" w:eastAsia="仿宋_GB2312"/>
          <w:color w:val="000000"/>
          <w:sz w:val="32"/>
          <w:szCs w:val="32"/>
        </w:rPr>
        <w:t>%</w:t>
      </w:r>
      <w:r>
        <w:rPr>
          <w:rFonts w:hint="eastAsia" w:ascii="仿宋_GB2312" w:eastAsia="仿宋_GB2312"/>
          <w:color w:val="000000"/>
          <w:sz w:val="32"/>
          <w:szCs w:val="32"/>
        </w:rPr>
        <w:t>。主要原因是主要原因是</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省，州级部门督导检查工作次数</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2、</w:t>
      </w:r>
      <w:r>
        <w:rPr>
          <w:rFonts w:hint="default" w:ascii="仿宋_GB2312" w:eastAsia="仿宋_GB2312"/>
          <w:color w:val="000000"/>
          <w:sz w:val="32"/>
          <w:szCs w:val="32"/>
          <w:lang w:eastAsia="zh-CN"/>
        </w:rPr>
        <w:t>厉</w:t>
      </w:r>
      <w:r>
        <w:rPr>
          <w:rFonts w:hint="eastAsia" w:ascii="仿宋_GB2312" w:eastAsia="仿宋_GB2312"/>
          <w:color w:val="000000"/>
          <w:sz w:val="32"/>
          <w:szCs w:val="32"/>
          <w:lang w:val="en-US" w:eastAsia="zh-CN"/>
        </w:rPr>
        <w:t>行节约，反对浪费。</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1.68</w:t>
      </w:r>
      <w:r>
        <w:rPr>
          <w:rFonts w:hint="eastAsia" w:ascii="仿宋_GB2312" w:eastAsia="仿宋_GB2312"/>
          <w:color w:val="000000"/>
          <w:sz w:val="32"/>
          <w:szCs w:val="32"/>
        </w:rPr>
        <w:t>万元，主要用于执行公务、开展业务活动开支</w:t>
      </w:r>
      <w:r>
        <w:rPr>
          <w:rFonts w:hint="eastAsia" w:ascii="仿宋_GB2312" w:eastAsia="仿宋_GB2312"/>
          <w:color w:val="000000"/>
          <w:sz w:val="32"/>
          <w:szCs w:val="32"/>
          <w:lang w:eastAsia="zh-CN"/>
        </w:rPr>
        <w:t>的</w:t>
      </w:r>
      <w:r>
        <w:rPr>
          <w:rFonts w:hint="eastAsia" w:ascii="仿宋_GB2312" w:eastAsia="仿宋_GB2312"/>
          <w:color w:val="000000"/>
          <w:sz w:val="32"/>
          <w:szCs w:val="32"/>
        </w:rPr>
        <w:t>住宿费、用餐费等。国内公务接待</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1.68</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val="en-US" w:eastAsia="zh-CN"/>
        </w:rPr>
        <w:t>.</w:t>
      </w:r>
    </w:p>
    <w:p>
      <w:pPr>
        <w:spacing w:line="600" w:lineRule="exact"/>
        <w:ind w:firstLine="640"/>
        <w:outlineLvl w:val="1"/>
        <w:rPr>
          <w:rFonts w:ascii="黑体" w:eastAsia="黑体"/>
          <w:color w:val="000000"/>
          <w:sz w:val="32"/>
          <w:szCs w:val="32"/>
        </w:rPr>
      </w:pPr>
      <w:bookmarkStart w:id="46" w:name="_Toc15396610"/>
      <w:bookmarkStart w:id="47" w:name="_Toc15377218"/>
    </w:p>
    <w:p>
      <w:pPr>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9"/>
          <w:rFonts w:ascii="黑体" w:hAnsi="黑体" w:eastAsia="黑体"/>
          <w:b w:val="0"/>
        </w:rPr>
      </w:pPr>
      <w:bookmarkStart w:id="48" w:name="_Toc15396611"/>
      <w:bookmarkStart w:id="49" w:name="_Toc15377219"/>
      <w:r>
        <w:rPr>
          <w:rStyle w:val="29"/>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9"/>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楷体" w:hAnsi="楷体" w:eastAsia="楷体"/>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年，红原县疾病预防控制中心机关运行经费支出0万元，与</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年决算数持平。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9年，红原县疾病预防控制中心政府采购支出总额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日，红原县疾病预防控制中心共有车辆3辆，其中：其它（应急保障）用车3辆，</w:t>
      </w:r>
      <w:r>
        <w:rPr>
          <w:rFonts w:hint="eastAsia" w:ascii="仿宋_GB2312" w:eastAsia="仿宋_GB2312"/>
          <w:color w:val="000000" w:themeColor="text1"/>
          <w:sz w:val="32"/>
          <w:szCs w:val="32"/>
        </w:rPr>
        <w:t>其他用车主要是用于1、</w:t>
      </w:r>
      <w:r>
        <w:rPr>
          <w:rFonts w:hint="eastAsia" w:ascii="仿宋_GB2312" w:eastAsia="仿宋_GB2312"/>
          <w:color w:val="000000"/>
          <w:sz w:val="32"/>
          <w:szCs w:val="32"/>
        </w:rPr>
        <w:t>接种疫苗的冷链运输；2、各业务科室下乡督导及业务培训等。</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根据预算绩效管理要求，本部门（单位）在年初预算编制阶段，组织重大项目开展了预算事前绩效评估，对4个项目编制了绩效目标，预算执行过程中，选取</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年部门整体支出开展绩效自评，从评价情况来看整体支出达到预算比例支出完成情况较好。本部门还自行组织了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个项目绩效评价，从评价情况来看项目整体绩效目标达到预定目标完成时效达成预期目标。</w:t>
      </w:r>
    </w:p>
    <w:p>
      <w:pPr>
        <w:numPr>
          <w:ilvl w:val="0"/>
          <w:numId w:val="3"/>
        </w:num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年度部门决算中反映“艾滋病防治项目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结核病防治项目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“包虫病防治项目”“免疫规划项目”等4个项目绩效目标实际完成情况。</w:t>
      </w:r>
    </w:p>
    <w:p>
      <w:pPr>
        <w:spacing w:line="550" w:lineRule="exact"/>
        <w:ind w:firstLine="640" w:firstLineChars="200"/>
        <w:rPr>
          <w:rFonts w:ascii="仿宋_GB2312" w:hAnsi="楷体" w:eastAsia="仿宋_GB2312"/>
          <w:b/>
          <w:bCs/>
          <w:color w:val="000000"/>
          <w:sz w:val="32"/>
          <w:szCs w:val="32"/>
        </w:rPr>
      </w:pPr>
      <w:r>
        <w:rPr>
          <w:rFonts w:hint="eastAsia" w:ascii="仿宋_GB2312" w:hAnsi="仿宋_GB2312" w:eastAsia="仿宋_GB2312" w:cs="仿宋_GB2312"/>
          <w:sz w:val="32"/>
          <w:szCs w:val="32"/>
        </w:rPr>
        <w:t>（1）</w:t>
      </w:r>
      <w:r>
        <w:rPr>
          <w:rFonts w:hint="eastAsia" w:ascii="仿宋_GB2312" w:hAnsi="宋体" w:eastAsia="仿宋_GB2312"/>
          <w:b/>
          <w:bCs/>
          <w:color w:val="000000"/>
          <w:sz w:val="32"/>
          <w:szCs w:val="32"/>
        </w:rPr>
        <w:t>（1）</w:t>
      </w:r>
      <w:r>
        <w:rPr>
          <w:rFonts w:hint="eastAsia" w:ascii="仿宋_GB2312" w:hAnsi="楷体" w:eastAsia="仿宋_GB2312"/>
          <w:b/>
          <w:bCs/>
          <w:color w:val="000000"/>
          <w:sz w:val="32"/>
          <w:szCs w:val="32"/>
        </w:rPr>
        <w:t>艾滋病综合防控工作有力推进</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2019年，按照省委、省政府的要求，我县成立了“三线一网底”综合艾滋病防治管理办公室（县疾控中心、县人民医院、县妇计中心三线办和各乡镇政府及乡镇卫生院），进一步建立、健全了艾滋病和性病防治有效结合的工作机制，在县卫健局领导下，1-9月中心在县域内新建了瓦切、麦洼、安曲、色地、江茸五个艾滋病检测快检点；完成艾滋病自愿咨询检测23人、性病门诊检测10人、婚前检测394人、孕产期检测445人、娱乐场所人员检测31人、术前检测3011人、其他专题调查5095人；完成CD4检测30人次；进行抗病毒治疗HIV患者26人；完成高危行为干预累计1200人次、发放宣传资料5000余份、安全套5000余具（只）；任务指标完成方面，1-9月全县艾滋病常住人口检测率达到22.53（省上要求20%），配偶/固定性伴HIV筛查率达到100%（省上要求85%），感染者结核筛查率100%（省上要求90%），感染者和病人随访（CD4）检测率达到100%（省上要求90%以上），艾滋病感染者抗病毒治疗覆盖率达到86.67%，抗病毒治疗成功率目前已经送省疾控中心进行检测，结果待年底反馈。 </w:t>
      </w:r>
    </w:p>
    <w:p>
      <w:pPr>
        <w:tabs>
          <w:tab w:val="left" w:pos="2250"/>
        </w:tabs>
        <w:spacing w:line="560" w:lineRule="exact"/>
        <w:ind w:firstLine="627" w:firstLineChars="196"/>
        <w:rPr>
          <w:rFonts w:ascii="仿宋_GB2312" w:hAnsi="楷体" w:eastAsia="仿宋_GB2312"/>
          <w:b/>
          <w:color w:val="000000"/>
          <w:sz w:val="32"/>
          <w:szCs w:val="32"/>
        </w:rPr>
      </w:pPr>
      <w:r>
        <w:rPr>
          <w:rFonts w:hint="eastAsia" w:ascii="仿宋_GB2312" w:hAnsi="仿宋_GB2312" w:eastAsia="仿宋_GB2312" w:cs="仿宋_GB2312"/>
          <w:sz w:val="32"/>
          <w:szCs w:val="32"/>
        </w:rPr>
        <w:t>（2）</w:t>
      </w:r>
      <w:r>
        <w:rPr>
          <w:rFonts w:hint="eastAsia" w:ascii="仿宋_GB2312" w:hAnsi="楷体" w:eastAsia="仿宋_GB2312"/>
          <w:b/>
          <w:color w:val="000000"/>
          <w:sz w:val="32"/>
          <w:szCs w:val="32"/>
        </w:rPr>
        <w:t>结核病防治工作不断加强</w:t>
      </w:r>
    </w:p>
    <w:p>
      <w:pPr>
        <w:pStyle w:val="2"/>
        <w:spacing w:after="0"/>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-9月，全县初诊结核病人331例，删除重卡87例，排成其他疾病43例，目前未确诊20例，确诊肺结核病181例；其中，病原学阳性肺结核病人20例，病原学阴性肺结核病人49例，无病原学肺结核病病人132例，半年内有38例完成疗程；1-9月县疾控中心对58名肺结核病人密切接触者的进行了筛查，未查出涂阳肺结核，开展学校PPD结核病筛查工作1次，共计筛查1920人次，接受PPD试验1702例，发现PPD试验阳性者50例，目前经医疗机构进一步胸片、CT检查后发现陈旧性病灶2例、肺结核8例、肺炎4例，县疾控中心已按照《四川省学校结核病防治实施细则》进行管理。截至目前，2018年确诊94例肺结核病人中完成疗程81例、完成疗程率95﹪，系统管理94例、系统管理率100%；1-9月，开展基层医疗机构结防工作督导3轮次，开展结防知识健康宣教活动1次，共计发放结核病宣传单20000余份、宣传小礼品1800余份，洗漱杯160余套，接受咨询20000余人次。</w:t>
      </w:r>
    </w:p>
    <w:p>
      <w:pPr>
        <w:spacing w:line="56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（3）包虫病防治项目工作</w:t>
      </w:r>
    </w:p>
    <w:p>
      <w:pPr>
        <w:pStyle w:val="34"/>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月，县疾控中心按照卫生部《包虫病防治技术方案（实行）》要求，在全县重点流行乡、镇采用B超和血清学方法开展重点人群查病10864人，完成率100%(中财要求8864人),其中B超筛查6-12岁儿童2000人，完成率100%（省财要求2000人），确诊新发现病人10例，复查在治病人40例，开展包虫病病人药物治疗133人次，并对病人药物治疗进行督导管理，截至目前，接受手术治疗包虫病病人2例。1-9月，完成犬驱虫9460只、采集犬粪1650份，完成率100%，捕捉小型哺乳动物507只，完成率100%，经实验室检测发现阳性29例（其中肝脏7例、肺22例），对红原县集中屠宰场100头肉牛进行包虫病病灶检测，完成率100%，发现阳性3例（肝脏）。</w:t>
      </w:r>
    </w:p>
    <w:p>
      <w:pPr>
        <w:pStyle w:val="2"/>
        <w:spacing w:after="0"/>
        <w:ind w:left="0" w:leftChars="0" w:firstLine="630" w:firstLineChars="196"/>
        <w:rPr>
          <w:rFonts w:ascii="仿宋_GB2312" w:hAnsi="宋体" w:eastAsia="仿宋_GB2312" w:cs="仿宋_GB2312"/>
          <w:bCs/>
          <w:sz w:val="32"/>
          <w:szCs w:val="32"/>
        </w:rPr>
      </w:pPr>
      <w:r>
        <w:rPr>
          <w:rFonts w:hint="eastAsia" w:ascii="仿宋_GB2312" w:hAnsi="楷体" w:eastAsia="仿宋_GB2312"/>
          <w:b/>
          <w:bCs/>
          <w:color w:val="000000"/>
          <w:sz w:val="32"/>
          <w:szCs w:val="32"/>
        </w:rPr>
        <w:t>（4）强化免疫规划工作，提升儿童疫苗接种率。</w:t>
      </w:r>
      <w:r>
        <w:rPr>
          <w:rFonts w:hint="eastAsia" w:ascii="仿宋_GB2312" w:hAnsi="仿宋_GB2312" w:eastAsia="仿宋_GB2312" w:cs="仿宋_GB2312"/>
          <w:sz w:val="32"/>
          <w:szCs w:val="32"/>
        </w:rPr>
        <w:t>基础免疫及加强免疫方面，1-9月，全县基础免疫和加强免疫接种应种共计19633剂次，实际接种19366剂次，适龄儿童免疫规划疫苗报告接种率达98%以上，其中，卡介苗应种601剂次，实种595剂次，接种率为99.00％；百白破应种2826剂次，实种2774剂次，接种率为98.16％；脊灰疫苗滴剂应种3620剂次，实种3576剂次，接种率为98.87％；麻风疫苗应种625剂次，实种597剂次，接种率为95.52％；麻腮风疫苗应种1406剂次，实种1392剂次；接种率为99.00%；乙肝应种：3476剂次，实种3448剂次，接种率为99.19％，乙肝首针应种476剂次、及时接种456剂次、及时接种率为95.80％；甲肝应种1174剂次，实种1159剂次，接种率为98.72%；乙脑应种1905剂次，实种1868剂次，接种率为98.06%；流脑A群应种1373剂次，实种1358剂次，接种率为98.90%，A+C群流脑疫苗应种1480剂次，实种1461剂次，接种率为98.72%。白破疫苗应种1147剂次，实种1138剂次，接种率99.22%；</w:t>
      </w:r>
      <w:r>
        <w:rPr>
          <w:rFonts w:hint="eastAsia" w:ascii="仿宋_GB2312" w:hAnsi="仿宋_GB2312" w:eastAsia="仿宋_GB2312" w:cs="仿宋_GB2312"/>
          <w:bCs/>
          <w:sz w:val="32"/>
          <w:szCs w:val="32"/>
        </w:rPr>
        <w:t>脊髓灰质炎灭活疫苗查漏补种方面，</w:t>
      </w:r>
      <w:r>
        <w:rPr>
          <w:rFonts w:hint="eastAsia" w:ascii="仿宋_GB2312" w:hAnsi="仿宋_GB2312" w:eastAsia="仿宋_GB2312" w:cs="仿宋_GB2312"/>
          <w:sz w:val="32"/>
          <w:szCs w:val="32"/>
        </w:rPr>
        <w:t>按照《四川省2019年脊髓灰质炎灭活疫苗查漏补种实施方案 》要求，我县制定了《红原县2019年脊髓灰质炎灭活疫苗查漏补种实施方案 》并于8月20日对各乡镇卫生院院长及专职免规人员进行脊髓灰质炎灭活疫苗查漏补种工作现场培训，全县范围内进行分年龄段目标儿童摸底、下发脊灰灭活疫苗，对目标儿童进行脊灰灭活疫苗查漏补种活动，</w:t>
      </w:r>
      <w:r>
        <w:rPr>
          <w:rFonts w:hint="default" w:ascii="仿宋_GB2312" w:hAnsi="仿宋_GB2312" w:eastAsia="仿宋_GB2312" w:cs="仿宋_GB2312"/>
          <w:sz w:val="32"/>
          <w:szCs w:val="32"/>
        </w:rPr>
        <w:t>截至</w:t>
      </w:r>
      <w:r>
        <w:rPr>
          <w:rFonts w:hint="eastAsia" w:ascii="仿宋_GB2312" w:hAnsi="仿宋_GB2312" w:eastAsia="仿宋_GB2312" w:cs="仿宋_GB2312"/>
          <w:sz w:val="32"/>
          <w:szCs w:val="32"/>
        </w:rPr>
        <w:t>目前，经摸底调查，全县应接种</w:t>
      </w:r>
      <w:r>
        <w:rPr>
          <w:rFonts w:hint="eastAsia" w:ascii="仿宋_GB2312" w:eastAsia="仿宋_GB2312"/>
          <w:color w:val="000000"/>
          <w:sz w:val="32"/>
          <w:szCs w:val="32"/>
        </w:rPr>
        <w:t>脊灰灭活疫苗1441人，实际接种1415人，接种率达98.19%。其中外出到青海、成都15人，感冒、发烧、服泻12人缓接种，并对外出、感冒发烧腹泻的儿童嘱咐回县后及病愈后及时到所在接种点补种；</w:t>
      </w:r>
      <w:r>
        <w:rPr>
          <w:rFonts w:hint="eastAsia" w:ascii="仿宋_GB2312" w:hAnsi="仿宋_GB2312" w:eastAsia="仿宋_GB2312" w:cs="仿宋_GB2312"/>
          <w:bCs/>
          <w:snapToGrid w:val="0"/>
          <w:color w:val="000000"/>
          <w:kern w:val="0"/>
          <w:sz w:val="32"/>
          <w:szCs w:val="32"/>
        </w:rPr>
        <w:t>入托、入学儿童预防接种证查验及补种方面，</w:t>
      </w:r>
      <w:r>
        <w:rPr>
          <w:rFonts w:hint="default" w:ascii="仿宋_GB2312" w:hAnsi="仿宋_GB2312" w:eastAsia="仿宋_GB2312" w:cs="仿宋_GB2312"/>
          <w:bCs/>
          <w:snapToGrid w:val="0"/>
          <w:color w:val="000000"/>
          <w:kern w:val="0"/>
          <w:sz w:val="32"/>
          <w:szCs w:val="32"/>
        </w:rPr>
        <w:t>截至</w:t>
      </w:r>
      <w:r>
        <w:rPr>
          <w:rFonts w:hint="eastAsia" w:ascii="仿宋_GB2312" w:hAnsi="仿宋_GB2312" w:eastAsia="仿宋_GB2312" w:cs="仿宋_GB2312"/>
          <w:bCs/>
          <w:snapToGrid w:val="0"/>
          <w:color w:val="000000"/>
          <w:kern w:val="0"/>
          <w:sz w:val="32"/>
          <w:szCs w:val="32"/>
        </w:rPr>
        <w:t>目前共查验学校32所，其中小学查验14所，查验覆盖率100%，托幼机构查验 18 所，查验覆盖率100%，入托入学查验接种证查漏补种工作正在进行中；</w:t>
      </w:r>
      <w:r>
        <w:rPr>
          <w:rFonts w:ascii="仿宋_GB2312" w:hAnsi="宋体" w:eastAsia="仿宋_GB2312" w:cs="仿宋_GB2312"/>
          <w:sz w:val="32"/>
          <w:szCs w:val="32"/>
        </w:rPr>
        <w:t xml:space="preserve"> </w:t>
      </w:r>
      <w:r>
        <w:rPr>
          <w:rFonts w:hint="eastAsia" w:ascii="仿宋_GB2312" w:hAnsi="宋体" w:eastAsia="仿宋_GB2312" w:cs="仿宋_GB2312"/>
          <w:bCs/>
          <w:sz w:val="32"/>
          <w:szCs w:val="32"/>
        </w:rPr>
        <w:t>AFP监测方面，1-9月，全县继续维持无脊髓灰质炎状态，</w:t>
      </w:r>
      <w:r>
        <w:rPr>
          <w:rFonts w:hint="eastAsia" w:ascii="仿宋_GB2312" w:hAnsi="仿宋_GB2312" w:eastAsia="仿宋_GB2312" w:cs="仿宋_GB2312"/>
          <w:sz w:val="32"/>
          <w:szCs w:val="32"/>
        </w:rPr>
        <w:t>县人民医院、藏医院、11个乡镇卫生院AFP旬报覆盖年率达100 %，实行主动监测旬报表各30次，通过AFP麻疹监测系统病例报告，本年度未报告AFP病例麻疹麻疹病例；</w:t>
      </w:r>
    </w:p>
    <w:p>
      <w:pPr>
        <w:rPr>
          <w:rFonts w:ascii="仿宋_GB2312" w:eastAsia="仿宋_GB2312"/>
          <w:sz w:val="32"/>
          <w:szCs w:val="32"/>
        </w:rPr>
      </w:pPr>
      <w:r>
        <w:rPr>
          <w:rFonts w:hint="eastAsia" w:ascii="仿宋_GB2312" w:hAnsi="仿宋_GB2312" w:eastAsia="仿宋_GB2312" w:cs="仿宋_GB2312"/>
          <w:bCs/>
          <w:sz w:val="32"/>
          <w:szCs w:val="32"/>
        </w:rPr>
        <w:t>疑似预防接种异常反应的监测和处置方面，</w:t>
      </w:r>
      <w:r>
        <w:rPr>
          <w:rFonts w:hint="eastAsia" w:ascii="仿宋_GB2312" w:eastAsia="仿宋_GB2312"/>
          <w:sz w:val="32"/>
          <w:szCs w:val="32"/>
        </w:rPr>
        <w:t>按照《疑似预防接种异常反应监测方案》， 1-9月份全县共报告3例AEFI病例，分别是接种乙脑疫苗、百白破疫苗，脊灰灭活疫苗引起的一般反应，</w:t>
      </w:r>
      <w:r>
        <w:rPr>
          <w:rFonts w:hint="eastAsia" w:ascii="仿宋_GB2312" w:hAnsi="宋体" w:eastAsia="仿宋_GB2312" w:cs="仿宋_GB2312"/>
          <w:bCs/>
          <w:sz w:val="32"/>
          <w:szCs w:val="32"/>
        </w:rPr>
        <w:t>均痊愈，</w:t>
      </w:r>
      <w:r>
        <w:rPr>
          <w:rFonts w:hint="eastAsia" w:ascii="仿宋_GB2312" w:eastAsia="仿宋_GB2312"/>
          <w:sz w:val="32"/>
          <w:szCs w:val="32"/>
        </w:rPr>
        <w:t>无死亡、严重残疾、群体性事件发生；</w:t>
      </w:r>
    </w:p>
    <w:p>
      <w:pPr>
        <w:rPr>
          <w:rFonts w:ascii="仿宋_GB2312" w:hAnsi="宋体" w:eastAsia="仿宋_GB2312" w:cs="宋体"/>
          <w:sz w:val="32"/>
          <w:szCs w:val="32"/>
        </w:rPr>
      </w:pPr>
      <w:r>
        <w:rPr>
          <w:rFonts w:hint="eastAsia" w:ascii="仿宋_GB2312" w:hAnsi="仿宋_GB2312" w:eastAsia="仿宋_GB2312" w:cs="仿宋_GB2312"/>
          <w:bCs/>
          <w:sz w:val="32"/>
          <w:szCs w:val="32"/>
        </w:rPr>
        <w:t>疫苗冷链管理方面，1-9月</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县疾控中心严格按照《疫苗流通和预防接种管理条例》和《疫苗储存运输管理规范》的要求，下发疫苗运转6次，运转覆盖面100%，保障了全县各适龄儿童得到及时、有效的预防接种服务；督导检查和业务培训方面，</w:t>
      </w:r>
      <w:r>
        <w:rPr>
          <w:rFonts w:hint="eastAsia" w:ascii="仿宋_GB2312" w:hAnsi="宋体" w:eastAsia="仿宋_GB2312" w:cs="宋体"/>
          <w:sz w:val="32"/>
          <w:szCs w:val="32"/>
        </w:rPr>
        <w:t>1-9月，县疾控中心共对11个乡镇卫生院、社区服务中心以及相关医疗机构开展现场培训3轮次，开展工作督导督导12轮次。</w:t>
      </w:r>
    </w:p>
    <w:p>
      <w:pPr>
        <w:ind w:firstLine="420" w:firstLineChars="200"/>
        <w:rPr>
          <w:rFonts w:ascii="仿宋_GB2312" w:hAnsi="黑体" w:eastAsia="仿宋_GB2312"/>
          <w:b/>
          <w:bCs/>
          <w:sz w:val="32"/>
          <w:szCs w:val="32"/>
        </w:rPr>
      </w:pPr>
      <w:r>
        <w:rPr>
          <w:rFonts w:hint="eastAsia" w:eastAsia="仿宋_GB2312"/>
          <w:lang w:val="en-US" w:eastAsia="zh-CN"/>
        </w:rPr>
        <w:t>5</w:t>
      </w:r>
      <w:r>
        <w:rPr>
          <w:rFonts w:hint="eastAsia" w:ascii="仿宋_GB2312" w:eastAsia="仿宋_GB2312"/>
          <w:b/>
          <w:bCs/>
          <w:sz w:val="32"/>
          <w:szCs w:val="32"/>
        </w:rPr>
        <w:t>.</w:t>
      </w:r>
      <w:r>
        <w:rPr>
          <w:rFonts w:hint="eastAsia" w:ascii="仿宋_GB2312" w:hAnsi="黑体" w:eastAsia="仿宋_GB2312"/>
          <w:b/>
          <w:bCs/>
          <w:sz w:val="32"/>
          <w:szCs w:val="32"/>
        </w:rPr>
        <w:t xml:space="preserve"> 传染病防治及突发公共卫生事件</w:t>
      </w:r>
    </w:p>
    <w:p>
      <w:pPr>
        <w:pStyle w:val="34"/>
        <w:spacing w:line="560" w:lineRule="exact"/>
        <w:ind w:firstLine="640" w:firstLineChars="200"/>
        <w:rPr>
          <w:rFonts w:ascii="仿宋_GB2312" w:hAnsi="仿宋_GB2312" w:eastAsia="仿宋_GB2312" w:cs="仿宋_GB2312"/>
          <w:sz w:val="32"/>
          <w:szCs w:val="32"/>
        </w:rPr>
      </w:pPr>
      <w:r>
        <w:rPr>
          <w:rFonts w:hint="eastAsia" w:ascii="仿宋_GB2312" w:eastAsia="仿宋_GB2312"/>
          <w:color w:val="000000" w:themeColor="text1"/>
          <w:sz w:val="32"/>
          <w:szCs w:val="32"/>
        </w:rPr>
        <w:t>1-9月，我县境内无甲类法定传染病发生，乙、丙类法定传染病按照现住址统计共报告11种498例，报告发病率为 1080.19/10万。乙类传染病报告7种</w:t>
      </w:r>
      <w:r>
        <w:rPr>
          <w:rFonts w:hint="eastAsia" w:ascii="仿宋_GB2312" w:eastAsia="仿宋_GB2312"/>
          <w:sz w:val="32"/>
          <w:szCs w:val="32"/>
        </w:rPr>
        <w:t>398例，报告发病率为863.28/10万，占报告总数的75.23%。按报告数排在前五位的有：肺结核188例、乙肝113例、痢疾42例、梅毒39例炭疽8例。丙类传染病报告5种100例，报告发病率为216.90/10万，占报告总数的20.08%。报告发病率与去年同期相比有所上升。</w:t>
      </w:r>
      <w:r>
        <w:rPr>
          <w:rFonts w:hint="eastAsia" w:ascii="仿宋_GB2312" w:hAnsi="黑体" w:eastAsia="仿宋_GB2312"/>
          <w:bCs/>
          <w:sz w:val="32"/>
          <w:szCs w:val="44"/>
        </w:rPr>
        <w:t>疫情监测方面，</w:t>
      </w:r>
      <w:r>
        <w:rPr>
          <w:rFonts w:hint="eastAsia" w:ascii="仿宋_GB2312" w:eastAsia="仿宋_GB2312"/>
          <w:sz w:val="32"/>
          <w:szCs w:val="32"/>
        </w:rPr>
        <w:t xml:space="preserve"> 1-9月初共编写疫情简报9期、风险评估报告9期，完成夏秋季预测预报、上半年疫情分析和1-4月结核病专题分析各1期； 1-9月，中心共举办培训班一期，开展工作检查和督导42次，其中，对零缺报医疗机构督导26次，</w:t>
      </w:r>
      <w:r>
        <w:rPr>
          <w:rFonts w:hint="eastAsia" w:ascii="仿宋_GB2312" w:hAnsi="仿宋_GB2312" w:eastAsia="仿宋_GB2312" w:cs="仿宋_GB2312"/>
          <w:sz w:val="32"/>
          <w:szCs w:val="32"/>
        </w:rPr>
        <w:t>对学校重点传染病防治工作开展专项督导2次；1-9月，我县未发生重大突发公共卫生事件</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203"/>
        <w:gridCol w:w="1189"/>
        <w:gridCol w:w="2673"/>
        <w:gridCol w:w="2113"/>
        <w:gridCol w:w="2392"/>
      </w:tblGrid>
      <w:tr>
        <w:trPr>
          <w:trHeight w:val="1034" w:hRule="atLeast"/>
        </w:trPr>
        <w:tc>
          <w:tcPr>
            <w:tcW w:w="9960" w:type="dxa"/>
            <w:gridSpan w:val="6"/>
            <w:tcMar>
              <w:top w:w="15" w:type="dxa"/>
              <w:left w:w="15" w:type="dxa"/>
              <w:bottom w:w="0" w:type="dxa"/>
              <w:right w:w="15" w:type="dxa"/>
            </w:tcMar>
            <w:vAlign w:val="center"/>
          </w:tcPr>
          <w:p>
            <w:pPr>
              <w:pStyle w:val="3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w:t>
            </w:r>
            <w:r>
              <w:rPr>
                <w:rFonts w:hint="eastAsia" w:ascii="宋体" w:hAnsi="宋体" w:cs="宋体"/>
                <w:color w:val="000000"/>
                <w:sz w:val="24"/>
                <w:lang w:val="en-US" w:eastAsia="zh-CN"/>
              </w:rPr>
              <w:t>9</w:t>
            </w:r>
            <w:r>
              <w:rPr>
                <w:rFonts w:hint="eastAsia" w:ascii="宋体" w:hAnsi="宋体" w:cs="宋体"/>
                <w:color w:val="000000"/>
                <w:sz w:val="24"/>
              </w:rPr>
              <w:t>年重大公共卫生服务项目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红原县疾病预防控制中心</w:t>
            </w: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600.4</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245.47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600.4</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245.47</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50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5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506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exact"/>
              <w:ind w:firstLine="413" w:firstLineChars="196"/>
              <w:rPr>
                <w:rFonts w:ascii="仿宋_GB2312" w:hAnsi="仿宋" w:eastAsia="仿宋_GB2312"/>
                <w:color w:val="000000"/>
                <w:szCs w:val="21"/>
              </w:rPr>
            </w:pPr>
            <w:r>
              <w:rPr>
                <w:rFonts w:hint="eastAsia" w:ascii="仿宋_GB2312" w:hAnsi="仿宋" w:eastAsia="仿宋_GB2312"/>
                <w:b/>
                <w:color w:val="000000"/>
                <w:szCs w:val="21"/>
              </w:rPr>
              <w:t>一是</w:t>
            </w:r>
            <w:r>
              <w:rPr>
                <w:rFonts w:hint="eastAsia" w:ascii="仿宋_GB2312" w:hAnsi="仿宋" w:eastAsia="仿宋_GB2312"/>
                <w:color w:val="000000"/>
                <w:szCs w:val="21"/>
              </w:rPr>
              <w:t>逐步建立覆盖全县的疾控体系网络。</w:t>
            </w:r>
            <w:r>
              <w:rPr>
                <w:rFonts w:hint="eastAsia" w:ascii="仿宋_GB2312" w:hAnsi="仿宋" w:eastAsia="仿宋_GB2312"/>
                <w:b/>
                <w:color w:val="000000"/>
                <w:szCs w:val="21"/>
              </w:rPr>
              <w:t>二是</w:t>
            </w:r>
            <w:r>
              <w:rPr>
                <w:rFonts w:hint="eastAsia" w:ascii="仿宋_GB2312" w:hAnsi="仿宋" w:eastAsia="仿宋_GB2312"/>
                <w:color w:val="000000"/>
                <w:szCs w:val="21"/>
              </w:rPr>
              <w:t>进一步加强免疫规划工作力度，全面提升预防接种覆盖率，加强传染病管理。抓好艾滋病、结核病等重大传染病防控工作,三是</w:t>
            </w:r>
            <w:r>
              <w:rPr>
                <w:rFonts w:hint="eastAsia" w:ascii="宋体" w:hAnsi="宋体" w:cs="宋体"/>
                <w:color w:val="000000"/>
                <w:szCs w:val="21"/>
              </w:rPr>
              <w:t>提高公共卫生服务水平.</w:t>
            </w:r>
          </w:p>
          <w:p>
            <w:pPr>
              <w:widowControl/>
              <w:jc w:val="center"/>
              <w:textAlignment w:val="center"/>
              <w:rPr>
                <w:rFonts w:ascii="宋体" w:hAnsi="宋体" w:cs="宋体"/>
                <w:color w:val="000000"/>
                <w:sz w:val="24"/>
              </w:rPr>
            </w:pPr>
          </w:p>
        </w:tc>
        <w:tc>
          <w:tcPr>
            <w:tcW w:w="450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6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1.成立了基本公共卫生服务均等化指导中心，并将办公地点建在卫计局，具体负责全县疾控工作的统一管理和业务指导，及时协调解决工作中遇到的困难和问题，推进全县疾控工作规范有序实施。</w:t>
            </w:r>
          </w:p>
          <w:p>
            <w:pPr>
              <w:spacing w:line="560" w:lineRule="exact"/>
              <w:ind w:firstLine="640"/>
              <w:rPr>
                <w:rFonts w:ascii="仿宋_GB2312" w:hAnsi="仿宋_GB2312" w:eastAsia="仿宋_GB2312" w:cs="仿宋_GB2312"/>
                <w:szCs w:val="21"/>
              </w:rPr>
            </w:pPr>
            <w:r>
              <w:rPr>
                <w:rFonts w:hint="eastAsia" w:ascii="仿宋_GB2312" w:hAnsi="仿宋_GB2312" w:eastAsia="仿宋_GB2312" w:cs="仿宋_GB2312"/>
                <w:szCs w:val="21"/>
              </w:rPr>
              <w:t>2.在全县11个乡镇卫生院建立了规范化预防接种门诊，并投入15万元建立儿童免疫规划信息化建设系统，有效保障全县免疫规划工作的开展。</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3.完善各项规章制度，保证了疾控工作有条不紊进行。</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4.组建疾控指导团队，强化业务指导和技术支撑。为全面履行公共卫生专业机构职能，充分发挥公共卫生专业机构对基层医疗卫生机构的业务指导和技术支撑作用，全面推进公共卫生专业机构工作“重心下沉、关口前移”。</w:t>
            </w:r>
          </w:p>
          <w:p>
            <w:pPr>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5.抓专业知识培训是提高人员业务能力的有效途径。 选派年轻同志到省、绵阳市、州疾控进修以提高业务知识水平。</w:t>
            </w:r>
          </w:p>
          <w:p>
            <w:pPr>
              <w:widowControl/>
              <w:jc w:val="center"/>
              <w:textAlignment w:val="center"/>
              <w:rPr>
                <w:rFonts w:ascii="宋体" w:hAnsi="宋体" w:cs="宋体"/>
                <w:color w:val="000000"/>
                <w:sz w:val="24"/>
              </w:rPr>
            </w:pPr>
          </w:p>
        </w:tc>
      </w:tr>
      <w:tr>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2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40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项</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目</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完</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成</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指</w:t>
            </w:r>
          </w:p>
          <w:p>
            <w:pPr>
              <w:widowControl/>
              <w:jc w:val="center"/>
              <w:textAlignment w:val="center"/>
              <w:rPr>
                <w:rFonts w:ascii="宋体" w:hAnsi="宋体" w:cs="宋体"/>
                <w:color w:val="000000"/>
                <w:kern w:val="0"/>
                <w:sz w:val="32"/>
                <w:szCs w:val="32"/>
              </w:rPr>
            </w:pPr>
            <w:r>
              <w:rPr>
                <w:rFonts w:hint="eastAsia" w:ascii="宋体" w:hAnsi="宋体" w:cs="宋体"/>
                <w:color w:val="000000"/>
                <w:kern w:val="0"/>
                <w:sz w:val="32"/>
                <w:szCs w:val="32"/>
              </w:rPr>
              <w:t>标</w:t>
            </w:r>
          </w:p>
          <w:p>
            <w:pPr>
              <w:widowControl/>
              <w:jc w:val="center"/>
              <w:textAlignment w:val="center"/>
              <w:rPr>
                <w:rFonts w:ascii="宋体" w:hAnsi="宋体" w:cs="宋体"/>
                <w:color w:val="000000"/>
                <w:sz w:val="18"/>
                <w:szCs w:val="18"/>
              </w:rPr>
            </w:pPr>
          </w:p>
          <w:p>
            <w:pPr>
              <w:widowControl/>
              <w:jc w:val="center"/>
              <w:textAlignment w:val="center"/>
              <w:rPr>
                <w:rFonts w:ascii="宋体" w:hAnsi="宋体" w:cs="宋体"/>
                <w:color w:val="000000"/>
                <w:kern w:val="0"/>
                <w:sz w:val="18"/>
                <w:szCs w:val="18"/>
              </w:rPr>
            </w:pPr>
          </w:p>
          <w:p>
            <w:pPr>
              <w:widowControl/>
              <w:jc w:val="center"/>
              <w:textAlignment w:val="center"/>
              <w:rPr>
                <w:rFonts w:ascii="宋体" w:hAnsi="宋体" w:cs="宋体"/>
                <w:color w:val="000000"/>
                <w:sz w:val="24"/>
              </w:rPr>
            </w:pP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数</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color w:val="000000"/>
                <w:sz w:val="24"/>
              </w:rPr>
            </w:pPr>
            <w:r>
              <w:rPr>
                <w:rFonts w:hint="eastAsia" w:ascii="宋体" w:hAnsi="宋体" w:cs="宋体"/>
                <w:color w:val="000000"/>
                <w:sz w:val="28"/>
                <w:szCs w:val="28"/>
              </w:rPr>
              <w:t>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报告发现的结核病患者（包括耐多药结核患者）管理率（≥**%）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5"/>
                <w:szCs w:val="15"/>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w:t>
            </w:r>
            <w:r>
              <w:rPr>
                <w:rFonts w:hint="eastAsia" w:ascii="宋体" w:hAnsi="宋体" w:cs="宋体"/>
                <w:color w:val="000000"/>
                <w:sz w:val="24"/>
                <w:lang w:val="en-US" w:eastAsia="zh-CN"/>
              </w:rPr>
              <w:t>2</w:t>
            </w:r>
            <w:r>
              <w:rPr>
                <w:rFonts w:hint="eastAsia" w:ascii="宋体" w:hAnsi="宋体" w:cs="宋体"/>
                <w:color w:val="000000"/>
                <w:sz w:val="24"/>
              </w:rPr>
              <w:t>％</w:t>
            </w:r>
          </w:p>
        </w:tc>
      </w:tr>
      <w:tr>
        <w:trPr>
          <w:trHeight w:val="40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65岁以上老年人健康管理率（≥**%）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8.7</w:t>
            </w:r>
            <w:r>
              <w:rPr>
                <w:rFonts w:hint="eastAsia" w:ascii="宋体" w:hAnsi="宋体" w:cs="宋体"/>
                <w:color w:val="000000"/>
                <w:sz w:val="24"/>
              </w:rPr>
              <w:t>％</w:t>
            </w:r>
          </w:p>
        </w:tc>
      </w:tr>
      <w:tr>
        <w:tblPrEx>
          <w:tblCellMar>
            <w:top w:w="0" w:type="dxa"/>
            <w:left w:w="0" w:type="dxa"/>
            <w:bottom w:w="0" w:type="dxa"/>
            <w:right w:w="0" w:type="dxa"/>
          </w:tblCellMar>
        </w:tblPrEx>
        <w:trPr>
          <w:trHeight w:val="29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艾滋病感染者/病人随访检测比例（≥**%）</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rPr>
          <w:trHeight w:val="3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18"/>
                <w:szCs w:val="18"/>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艾滋病抗病毒治疗人数（≥**万人）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0.00</w:t>
            </w:r>
            <w:r>
              <w:rPr>
                <w:rFonts w:hint="eastAsia" w:ascii="宋体" w:hAnsi="宋体" w:cs="宋体"/>
                <w:color w:val="000000"/>
                <w:sz w:val="24"/>
                <w:lang w:val="en-US" w:eastAsia="zh-CN"/>
              </w:rPr>
              <w:t>33</w:t>
            </w:r>
          </w:p>
        </w:tc>
      </w:tr>
      <w:tr>
        <w:tblPrEx>
          <w:tblCellMar>
            <w:top w:w="0" w:type="dxa"/>
            <w:left w:w="0" w:type="dxa"/>
            <w:bottom w:w="0" w:type="dxa"/>
            <w:right w:w="0" w:type="dxa"/>
          </w:tblCellMar>
        </w:tblPrEx>
        <w:trPr>
          <w:trHeight w:val="38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筛查肺结核可疑患者人数（＞**万人）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0.002</w:t>
            </w:r>
          </w:p>
        </w:tc>
      </w:tr>
      <w:tr>
        <w:trPr>
          <w:trHeight w:val="5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发现并治疗活动性肺结核患者人数（＞**万人）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0.009</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15"/>
                <w:szCs w:val="15"/>
              </w:rPr>
              <w:t xml:space="preserve"> 包虫病免费药物治疗（**万人）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=0.012</w:t>
            </w:r>
            <w:r>
              <w:rPr>
                <w:rFonts w:hint="eastAsia" w:ascii="宋体" w:hAnsi="宋体" w:cs="宋体"/>
                <w:color w:val="000000"/>
                <w:sz w:val="24"/>
                <w:lang w:val="en-US" w:eastAsia="zh-CN"/>
              </w:rPr>
              <w:t>8</w:t>
            </w:r>
          </w:p>
        </w:tc>
      </w:tr>
      <w:tr>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严重精神障碍患者筛查诊断（**人）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91</w:t>
            </w:r>
          </w:p>
        </w:tc>
      </w:tr>
      <w:tr>
        <w:tblPrEx>
          <w:tblCellMar>
            <w:top w:w="0" w:type="dxa"/>
            <w:left w:w="0" w:type="dxa"/>
            <w:bottom w:w="0" w:type="dxa"/>
            <w:right w:w="0" w:type="dxa"/>
          </w:tblCellMar>
        </w:tblPrEx>
        <w:trPr>
          <w:trHeight w:val="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心血管病高危人群早筛查人数（**人）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r>
      <w:tr>
        <w:trPr>
          <w:trHeight w:val="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肿瘤登记数（**人）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1</w:t>
            </w: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 xml:space="preserve">        死因监测数（**人）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1</w:t>
            </w:r>
            <w:r>
              <w:rPr>
                <w:rFonts w:hint="eastAsia" w:ascii="宋体" w:hAnsi="宋体" w:cs="宋体"/>
                <w:color w:val="000000"/>
                <w:sz w:val="24"/>
                <w:lang w:val="en-US" w:eastAsia="zh-CN"/>
              </w:rPr>
              <w:t>96</w:t>
            </w:r>
          </w:p>
        </w:tc>
      </w:tr>
      <w:tr>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质</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量</w:t>
            </w:r>
          </w:p>
          <w:p>
            <w:pPr>
              <w:widowControl/>
              <w:jc w:val="center"/>
              <w:textAlignment w:val="center"/>
              <w:rPr>
                <w:rFonts w:ascii="宋体" w:hAnsi="宋体" w:cs="宋体"/>
                <w:color w:val="000000"/>
                <w:sz w:val="28"/>
                <w:szCs w:val="28"/>
              </w:rPr>
            </w:pPr>
            <w:r>
              <w:rPr>
                <w:rFonts w:hint="eastAsia" w:ascii="宋体" w:hAnsi="宋体" w:cs="宋体"/>
                <w:color w:val="000000"/>
                <w:sz w:val="28"/>
                <w:szCs w:val="28"/>
              </w:rPr>
              <w:t>指</w:t>
            </w:r>
          </w:p>
          <w:p>
            <w:pPr>
              <w:widowControl/>
              <w:jc w:val="center"/>
              <w:textAlignment w:val="center"/>
              <w:rPr>
                <w:rFonts w:ascii="宋体" w:hAnsi="宋体" w:cs="宋体"/>
                <w:color w:val="000000"/>
                <w:sz w:val="24"/>
              </w:rPr>
            </w:pPr>
            <w:r>
              <w:rPr>
                <w:rFonts w:hint="eastAsia" w:ascii="宋体" w:hAnsi="宋体" w:cs="宋体"/>
                <w:color w:val="000000"/>
                <w:sz w:val="28"/>
                <w:szCs w:val="28"/>
              </w:rPr>
              <w:t>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居民健康档案电子建档率（≥**%）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r>
              <w:rPr>
                <w:rFonts w:hint="eastAsia" w:ascii="宋体" w:hAnsi="宋体" w:cs="宋体"/>
                <w:color w:val="000000"/>
                <w:sz w:val="24"/>
                <w:lang w:val="en-US" w:eastAsia="zh-CN"/>
              </w:rPr>
              <w:t>73</w:t>
            </w:r>
            <w:r>
              <w:rPr>
                <w:rFonts w:hint="eastAsia" w:ascii="宋体" w:hAnsi="宋体" w:cs="宋体"/>
                <w:color w:val="000000"/>
                <w:sz w:val="24"/>
              </w:rPr>
              <w:t>％</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高血压患者规范管理率（≥**%）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w:t>
            </w:r>
            <w:r>
              <w:rPr>
                <w:rFonts w:hint="eastAsia" w:ascii="宋体" w:hAnsi="宋体" w:cs="宋体"/>
                <w:color w:val="000000"/>
                <w:sz w:val="24"/>
                <w:lang w:val="en-US" w:eastAsia="zh-CN"/>
              </w:rPr>
              <w:t>3.42</w:t>
            </w:r>
            <w:r>
              <w:rPr>
                <w:rFonts w:hint="eastAsia" w:ascii="宋体" w:hAnsi="宋体" w:cs="宋体"/>
                <w:color w:val="000000"/>
                <w:sz w:val="24"/>
              </w:rPr>
              <w:t>％</w:t>
            </w:r>
          </w:p>
        </w:tc>
      </w:tr>
      <w:tr>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糖尿病患者规范管理率（≥**%）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w:t>
            </w:r>
            <w:r>
              <w:rPr>
                <w:rFonts w:hint="eastAsia" w:ascii="宋体" w:hAnsi="宋体" w:cs="宋体"/>
                <w:color w:val="000000"/>
                <w:sz w:val="24"/>
                <w:lang w:val="en-US" w:eastAsia="zh-CN"/>
              </w:rPr>
              <w:t>4.21</w:t>
            </w:r>
            <w:r>
              <w:rPr>
                <w:rFonts w:hint="eastAsia" w:ascii="宋体" w:hAnsi="宋体" w:cs="宋体"/>
                <w:color w:val="000000"/>
                <w:sz w:val="24"/>
              </w:rPr>
              <w:t>％</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艾滋病高危人群月均干预覆盖比例（暗娼、男男性行为）（≥**%）</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90</w:t>
            </w:r>
            <w:r>
              <w:rPr>
                <w:rFonts w:hint="eastAsia" w:ascii="宋体" w:hAnsi="宋体" w:cs="宋体"/>
                <w:color w:val="000000"/>
                <w:sz w:val="24"/>
              </w:rPr>
              <w:t>％</w:t>
            </w:r>
          </w:p>
        </w:tc>
      </w:tr>
      <w:tr>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新涂阳患者治愈率（≥**%）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w:t>
            </w:r>
            <w:r>
              <w:rPr>
                <w:rFonts w:hint="eastAsia" w:ascii="宋体" w:hAnsi="宋体" w:cs="宋体"/>
                <w:color w:val="000000"/>
                <w:sz w:val="24"/>
                <w:lang w:val="en-US" w:eastAsia="zh-CN"/>
              </w:rPr>
              <w:t>4</w:t>
            </w:r>
            <w:r>
              <w:rPr>
                <w:rFonts w:hint="eastAsia" w:ascii="宋体" w:hAnsi="宋体" w:cs="宋体"/>
                <w:color w:val="000000"/>
                <w:sz w:val="24"/>
              </w:rPr>
              <w:t>％</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肺结核患者全程管理率（≥**%）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w:t>
            </w:r>
            <w:r>
              <w:rPr>
                <w:rFonts w:hint="eastAsia" w:ascii="宋体" w:hAnsi="宋体" w:cs="宋体"/>
                <w:color w:val="000000"/>
                <w:sz w:val="24"/>
                <w:lang w:val="en-US" w:eastAsia="zh-CN"/>
              </w:rPr>
              <w:t>7</w:t>
            </w:r>
            <w:r>
              <w:rPr>
                <w:rFonts w:hint="eastAsia" w:ascii="宋体" w:hAnsi="宋体" w:cs="宋体"/>
                <w:color w:val="000000"/>
                <w:sz w:val="24"/>
              </w:rPr>
              <w:t>％</w:t>
            </w:r>
          </w:p>
        </w:tc>
      </w:tr>
      <w:tr>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包虫病病人登记管理率（≥**%）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w:t>
            </w:r>
            <w:r>
              <w:rPr>
                <w:rFonts w:hint="eastAsia" w:ascii="宋体" w:hAnsi="宋体" w:cs="宋体"/>
                <w:color w:val="000000"/>
                <w:sz w:val="24"/>
                <w:lang w:val="en-US" w:eastAsia="zh-CN"/>
              </w:rPr>
              <w:t>8</w:t>
            </w:r>
            <w:r>
              <w:rPr>
                <w:rFonts w:hint="eastAsia" w:ascii="宋体" w:hAnsi="宋体" w:cs="宋体"/>
                <w:color w:val="000000"/>
                <w:sz w:val="24"/>
              </w:rPr>
              <w:t>％</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严重精神障碍患者检出率（≥**％）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≥0.1</w:t>
            </w:r>
            <w:r>
              <w:rPr>
                <w:rFonts w:hint="eastAsia" w:ascii="宋体" w:hAnsi="宋体" w:cs="宋体"/>
                <w:color w:val="000000"/>
                <w:sz w:val="24"/>
                <w:lang w:val="en-US" w:eastAsia="zh-CN"/>
              </w:rPr>
              <w:t>8</w:t>
            </w:r>
            <w:r>
              <w:rPr>
                <w:rFonts w:hint="eastAsia" w:ascii="宋体" w:hAnsi="宋体" w:cs="宋体"/>
                <w:color w:val="000000"/>
                <w:sz w:val="24"/>
              </w:rPr>
              <w:t>％</w:t>
            </w:r>
          </w:p>
        </w:tc>
      </w:tr>
      <w:tr>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严重精神障碍患者管理率（≥**%）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w:t>
            </w:r>
            <w:r>
              <w:rPr>
                <w:rFonts w:hint="eastAsia" w:ascii="宋体" w:hAnsi="宋体" w:cs="宋体"/>
                <w:color w:val="000000"/>
                <w:sz w:val="24"/>
                <w:lang w:val="en-US" w:eastAsia="zh-CN"/>
              </w:rPr>
              <w:t>5.6</w:t>
            </w:r>
            <w:r>
              <w:rPr>
                <w:rFonts w:hint="eastAsia" w:ascii="宋体" w:hAnsi="宋体" w:cs="宋体"/>
                <w:color w:val="000000"/>
                <w:sz w:val="24"/>
              </w:rPr>
              <w:t>％</w:t>
            </w:r>
          </w:p>
        </w:tc>
      </w:tr>
      <w:tr>
        <w:tblPrEx>
          <w:tblCellMar>
            <w:top w:w="0" w:type="dxa"/>
            <w:left w:w="0" w:type="dxa"/>
            <w:bottom w:w="0" w:type="dxa"/>
            <w:right w:w="0" w:type="dxa"/>
          </w:tblCellMar>
        </w:tblPrEx>
        <w:trPr>
          <w:trHeight w:val="3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 xml:space="preserve"> 全民健康生活方式行动覆盖率（**%）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rPr>
          <w:trHeight w:val="4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18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社会</w:t>
            </w:r>
          </w:p>
          <w:p>
            <w:pPr>
              <w:widowControl/>
              <w:jc w:val="center"/>
              <w:textAlignment w:val="bottom"/>
              <w:rPr>
                <w:rFonts w:ascii="宋体" w:hAnsi="宋体" w:cs="宋体"/>
                <w:color w:val="000000"/>
                <w:kern w:val="0"/>
                <w:sz w:val="28"/>
                <w:szCs w:val="28"/>
              </w:rPr>
            </w:pPr>
            <w:r>
              <w:rPr>
                <w:rFonts w:hint="eastAsia" w:ascii="宋体" w:hAnsi="宋体" w:cs="宋体"/>
                <w:color w:val="000000"/>
                <w:kern w:val="0"/>
                <w:sz w:val="28"/>
                <w:szCs w:val="28"/>
              </w:rPr>
              <w:t>效益</w:t>
            </w:r>
          </w:p>
          <w:p>
            <w:pPr>
              <w:widowControl/>
              <w:jc w:val="center"/>
              <w:textAlignment w:val="bottom"/>
              <w:rPr>
                <w:rFonts w:ascii="宋体" w:hAnsi="宋体" w:cs="宋体"/>
                <w:color w:val="000000"/>
                <w:sz w:val="24"/>
              </w:rPr>
            </w:pPr>
            <w:r>
              <w:rPr>
                <w:rFonts w:hint="eastAsia" w:ascii="宋体" w:hAnsi="宋体" w:cs="宋体"/>
                <w:color w:val="000000"/>
                <w:kern w:val="0"/>
                <w:sz w:val="28"/>
                <w:szCs w:val="28"/>
              </w:rPr>
              <w:t>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居民健康保健意识和健康知识知晓率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70.3</w:t>
            </w:r>
            <w:r>
              <w:rPr>
                <w:rFonts w:hint="eastAsia" w:ascii="宋体" w:hAnsi="宋体" w:cs="宋体"/>
                <w:color w:val="000000"/>
                <w:sz w:val="24"/>
              </w:rPr>
              <w:t>％</w:t>
            </w:r>
          </w:p>
        </w:tc>
      </w:tr>
      <w:tr>
        <w:tblPrEx>
          <w:tblCellMar>
            <w:top w:w="0" w:type="dxa"/>
            <w:left w:w="0" w:type="dxa"/>
            <w:bottom w:w="0" w:type="dxa"/>
            <w:right w:w="0" w:type="dxa"/>
          </w:tblCellMar>
        </w:tblPrEx>
        <w:trPr>
          <w:trHeight w:val="41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189" w:type="dxa"/>
            <w:vMerge w:val="continue"/>
            <w:tcBorders>
              <w:left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22"/>
                <w:szCs w:val="22"/>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15"/>
                <w:szCs w:val="15"/>
              </w:rPr>
            </w:pPr>
            <w:r>
              <w:rPr>
                <w:rFonts w:hint="eastAsia" w:ascii="宋体" w:hAnsi="宋体" w:cs="宋体"/>
                <w:color w:val="000000"/>
                <w:kern w:val="0"/>
                <w:sz w:val="15"/>
                <w:szCs w:val="15"/>
              </w:rPr>
              <w:t>重点人群艾滋病知识知晓率（≥**%）</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r>
      <w:tr>
        <w:trPr>
          <w:trHeight w:val="60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18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22"/>
                <w:szCs w:val="22"/>
              </w:rPr>
            </w:pP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kern w:val="0"/>
                <w:sz w:val="15"/>
                <w:szCs w:val="15"/>
              </w:rPr>
            </w:pPr>
            <w:r>
              <w:rPr>
                <w:rFonts w:hint="eastAsia" w:ascii="宋体" w:hAnsi="宋体" w:cs="宋体"/>
                <w:color w:val="000000"/>
                <w:kern w:val="0"/>
                <w:sz w:val="15"/>
                <w:szCs w:val="15"/>
              </w:rPr>
              <w:t>疫情报告处置</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85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20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w:t>
            </w:r>
          </w:p>
          <w:p>
            <w:pPr>
              <w:widowControl/>
              <w:jc w:val="center"/>
              <w:textAlignment w:val="center"/>
              <w:rPr>
                <w:rFonts w:ascii="宋体" w:hAnsi="宋体" w:cs="宋体"/>
                <w:color w:val="000000"/>
                <w:sz w:val="24"/>
              </w:rPr>
            </w:pPr>
            <w:r>
              <w:rPr>
                <w:rFonts w:hint="eastAsia" w:ascii="宋体" w:hAnsi="宋体" w:cs="宋体"/>
                <w:color w:val="000000"/>
                <w:kern w:val="0"/>
                <w:sz w:val="24"/>
              </w:rPr>
              <w:t>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ascii="宋体" w:hAnsi="宋体" w:cs="宋体"/>
                <w:color w:val="000000"/>
                <w:sz w:val="24"/>
              </w:rPr>
            </w:pPr>
            <w:r>
              <w:rPr>
                <w:rFonts w:hint="eastAsia" w:ascii="宋体" w:hAnsi="宋体" w:cs="宋体"/>
                <w:color w:val="000000"/>
                <w:kern w:val="0"/>
                <w:sz w:val="22"/>
                <w:szCs w:val="22"/>
              </w:rPr>
              <w:t>服务对象满意度指标</w:t>
            </w:r>
          </w:p>
        </w:tc>
        <w:tc>
          <w:tcPr>
            <w:tcW w:w="267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2"/>
                <w:szCs w:val="22"/>
              </w:rPr>
              <w:t>群众满意度</w:t>
            </w:r>
          </w:p>
        </w:tc>
        <w:tc>
          <w:tcPr>
            <w:tcW w:w="211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w:t>
            </w:r>
            <w:r>
              <w:rPr>
                <w:rFonts w:hint="eastAsia" w:ascii="宋体" w:hAnsi="宋体" w:cs="宋体"/>
                <w:color w:val="000000"/>
                <w:sz w:val="24"/>
                <w:lang w:val="en-US" w:eastAsia="zh-CN"/>
              </w:rPr>
              <w:t>4</w:t>
            </w:r>
            <w:r>
              <w:rPr>
                <w:rFonts w:hint="eastAsia" w:ascii="宋体" w:hAnsi="宋体" w:cs="宋体"/>
                <w:color w:val="000000"/>
                <w:sz w:val="24"/>
              </w:rPr>
              <w:t>％</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bookmarkStart w:id="55" w:name="_Toc15377225"/>
      <w:bookmarkStart w:id="56" w:name="_Toc15396613"/>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年部门整体支出绩效评价情况开展自评，《红原县疾病预防控制中心201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本部门自行组织对艾滋病防治项目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结核病防治项目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“包虫病防治项目”“免疫规划项目”等4个项目绩效目标实际完成情况。《艾滋病防治项目201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年绩效评价报告》《结核病防治项目201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年绩效评价报告》《包虫病防治项目201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年绩效评价报告》《免疫规划项目201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年绩效评价报告》见附件。</w:t>
      </w:r>
    </w:p>
    <w:p>
      <w:pPr>
        <w:numPr>
          <w:ilvl w:val="0"/>
          <w:numId w:val="4"/>
        </w:numPr>
        <w:spacing w:line="600" w:lineRule="exact"/>
        <w:ind w:firstLine="660" w:firstLineChars="150"/>
        <w:jc w:val="center"/>
        <w:outlineLvl w:val="0"/>
        <w:rPr>
          <w:rStyle w:val="28"/>
          <w:rFonts w:ascii="黑体" w:hAnsi="黑体" w:eastAsia="黑体"/>
          <w:b w:val="0"/>
        </w:rPr>
      </w:pPr>
      <w:r>
        <w:rPr>
          <w:rFonts w:hint="eastAsia" w:ascii="黑体" w:hAnsi="黑体" w:eastAsia="黑体"/>
          <w:color w:val="000000"/>
          <w:sz w:val="44"/>
          <w:szCs w:val="44"/>
        </w:rPr>
        <w:t>名</w:t>
      </w:r>
      <w:r>
        <w:rPr>
          <w:rStyle w:val="28"/>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组织部拨培训费、游仙区疾控中心拨援建经费、社区转</w:t>
      </w:r>
      <w:r>
        <w:rPr>
          <w:rFonts w:hint="eastAsia" w:ascii="仿宋_GB2312" w:eastAsia="仿宋_GB2312"/>
          <w:sz w:val="32"/>
          <w:szCs w:val="32"/>
          <w:lang w:val="en-US" w:eastAsia="zh-CN"/>
        </w:rPr>
        <w:t>2018年公共卫生经费</w:t>
      </w:r>
      <w:r>
        <w:rPr>
          <w:rFonts w:hint="eastAsia" w:ascii="仿宋_GB2312" w:eastAsia="仿宋_GB2312"/>
          <w:sz w:val="32"/>
          <w:szCs w:val="32"/>
        </w:rPr>
        <w:t>等。</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9</w:t>
      </w:r>
      <w:r>
        <w:rPr>
          <w:rFonts w:ascii="仿宋_GB2312" w:eastAsia="仿宋_GB2312"/>
          <w:color w:val="auto"/>
          <w:sz w:val="32"/>
          <w:szCs w:val="32"/>
        </w:rPr>
        <w:t>.</w:t>
      </w:r>
      <w:r>
        <w:rPr>
          <w:rFonts w:hint="eastAsia" w:ascii="仿宋_GB2312" w:eastAsia="仿宋_GB2312"/>
          <w:color w:val="auto"/>
          <w:sz w:val="32"/>
          <w:szCs w:val="32"/>
        </w:rPr>
        <w:t>社会保障和就业20805</w:t>
      </w:r>
      <w:r>
        <w:rPr>
          <w:rFonts w:hint="eastAsia" w:ascii="仿宋_GB2312" w:eastAsia="仿宋_GB2312"/>
          <w:color w:val="auto"/>
          <w:sz w:val="32"/>
          <w:szCs w:val="32"/>
          <w:lang w:val="en-US" w:eastAsia="zh-CN"/>
        </w:rPr>
        <w:t>05</w:t>
      </w:r>
      <w:r>
        <w:rPr>
          <w:rFonts w:hint="eastAsia" w:ascii="仿宋_GB2312" w:eastAsia="仿宋_GB2312"/>
          <w:color w:val="auto"/>
          <w:sz w:val="32"/>
          <w:szCs w:val="32"/>
        </w:rPr>
        <w:t>：指反应机关事业单位养老保险缴费支出</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2080506</w:t>
      </w:r>
      <w:r>
        <w:rPr>
          <w:rFonts w:hint="eastAsia" w:ascii="仿宋_GB2312" w:eastAsia="仿宋_GB2312"/>
          <w:color w:val="auto"/>
          <w:sz w:val="32"/>
          <w:szCs w:val="32"/>
        </w:rPr>
        <w:t>指反应机关事业单位职业年金缴费支出。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eastAsia="仿宋_GB2312"/>
          <w:color w:val="auto"/>
          <w:sz w:val="32"/>
          <w:szCs w:val="32"/>
          <w:lang w:val="en-US" w:eastAsia="zh-CN"/>
        </w:rPr>
        <w:t>10</w:t>
      </w:r>
      <w:r>
        <w:rPr>
          <w:rFonts w:ascii="仿宋_GB2312" w:eastAsia="仿宋_GB2312"/>
          <w:color w:val="auto"/>
          <w:sz w:val="32"/>
          <w:szCs w:val="32"/>
        </w:rPr>
        <w:t>.</w:t>
      </w:r>
      <w:r>
        <w:rPr>
          <w:rFonts w:hint="eastAsia" w:ascii="仿宋_GB2312" w:eastAsia="仿宋_GB2312"/>
          <w:color w:val="auto"/>
          <w:sz w:val="32"/>
          <w:szCs w:val="32"/>
        </w:rPr>
        <w:t>医疗卫生与计划生育：</w:t>
      </w:r>
      <w:r>
        <w:rPr>
          <w:rStyle w:val="18"/>
          <w:rFonts w:hint="eastAsia" w:ascii="仿宋_GB2312" w:hAnsi="仿宋_GB2312" w:eastAsia="仿宋_GB2312" w:cs="仿宋_GB2312"/>
          <w:b w:val="0"/>
          <w:color w:val="000000"/>
          <w:sz w:val="32"/>
          <w:szCs w:val="32"/>
        </w:rPr>
        <w:t>2100401-疾病预防控制机构</w:t>
      </w:r>
      <w:r>
        <w:rPr>
          <w:rStyle w:val="18"/>
          <w:rFonts w:hint="eastAsia" w:ascii="仿宋_GB2312" w:hAnsi="仿宋_GB2312" w:eastAsia="仿宋_GB2312" w:cs="仿宋_GB2312"/>
          <w:b w:val="0"/>
          <w:color w:val="000000"/>
          <w:sz w:val="32"/>
          <w:szCs w:val="32"/>
          <w:lang w:eastAsia="zh-CN"/>
        </w:rPr>
        <w:t>基本</w:t>
      </w:r>
      <w:r>
        <w:rPr>
          <w:rStyle w:val="18"/>
          <w:rFonts w:hint="eastAsia" w:ascii="仿宋_GB2312" w:hAnsi="仿宋_GB2312" w:eastAsia="仿宋_GB2312" w:cs="仿宋_GB2312"/>
          <w:b w:val="0"/>
          <w:color w:val="000000"/>
          <w:sz w:val="32"/>
          <w:szCs w:val="32"/>
        </w:rPr>
        <w:t>支出；2、2100408-基本公共卫生服务支出</w:t>
      </w:r>
      <w:r>
        <w:rPr>
          <w:rStyle w:val="18"/>
          <w:rFonts w:hint="eastAsia" w:ascii="仿宋_GB2312" w:hAnsi="仿宋_GB2312" w:eastAsia="仿宋_GB2312" w:cs="仿宋_GB2312"/>
          <w:b w:val="0"/>
          <w:color w:val="000000"/>
          <w:sz w:val="32"/>
          <w:szCs w:val="32"/>
          <w:lang w:eastAsia="zh-CN"/>
        </w:rPr>
        <w:t>；</w:t>
      </w:r>
      <w:r>
        <w:rPr>
          <w:rStyle w:val="18"/>
          <w:rFonts w:hint="eastAsia" w:ascii="仿宋_GB2312" w:hAnsi="仿宋_GB2312" w:eastAsia="仿宋_GB2312" w:cs="仿宋_GB2312"/>
          <w:b w:val="0"/>
          <w:color w:val="000000"/>
          <w:sz w:val="32"/>
          <w:szCs w:val="32"/>
        </w:rPr>
        <w:t>2100409-重大公共卫生专项支出；2100499-其它公共卫生支出2100717-计划生育服务支出</w:t>
      </w:r>
      <w:r>
        <w:rPr>
          <w:rStyle w:val="18"/>
          <w:rFonts w:hint="eastAsia" w:ascii="仿宋_GB2312" w:hAnsi="仿宋_GB2312" w:eastAsia="仿宋_GB2312" w:cs="仿宋_GB2312"/>
          <w:b w:val="0"/>
          <w:color w:val="000000"/>
          <w:sz w:val="32"/>
          <w:szCs w:val="32"/>
          <w:lang w:eastAsia="zh-CN"/>
        </w:rPr>
        <w:t>；</w:t>
      </w:r>
      <w:r>
        <w:rPr>
          <w:rStyle w:val="18"/>
          <w:rFonts w:hint="eastAsia" w:ascii="仿宋_GB2312" w:hAnsi="仿宋_GB2312" w:eastAsia="仿宋_GB2312" w:cs="仿宋_GB2312"/>
          <w:b w:val="0"/>
          <w:color w:val="000000"/>
          <w:sz w:val="32"/>
          <w:szCs w:val="32"/>
        </w:rPr>
        <w:t>2100799-其它计划生育事务支出；2101102-事业单位医疗支出；2101103-其它行政事业单位医疗支出；2109901-其它医疗卫生与计划生育支出。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住房保障2210201：指住房公积金支出。</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2100401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保障机构正常运转、完成日常工作任务而发生的人员支出和公用</w:t>
      </w:r>
      <w:r>
        <w:rPr>
          <w:rFonts w:hint="eastAsia" w:ascii="仿宋_GB2312" w:eastAsia="仿宋_GB2312"/>
          <w:color w:val="000000"/>
          <w:sz w:val="32"/>
          <w:szCs w:val="32"/>
          <w:lang w:eastAsia="zh-CN"/>
        </w:rPr>
        <w:t>经费</w:t>
      </w:r>
      <w:r>
        <w:rPr>
          <w:rFonts w:hint="eastAsia" w:ascii="仿宋_GB2312" w:eastAsia="仿宋_GB2312"/>
          <w:color w:val="000000"/>
          <w:sz w:val="32"/>
          <w:szCs w:val="32"/>
        </w:rPr>
        <w:t>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Style w:val="18"/>
          <w:rFonts w:hint="eastAsia" w:ascii="仿宋_GB2312" w:hAnsi="仿宋_GB2312" w:eastAsia="仿宋_GB2312" w:cs="仿宋_GB2312"/>
          <w:b w:val="0"/>
          <w:color w:val="000000"/>
          <w:sz w:val="32"/>
          <w:szCs w:val="32"/>
        </w:rPr>
        <w:t>2100408-基本公共卫生服务支出</w:t>
      </w:r>
      <w:r>
        <w:rPr>
          <w:rStyle w:val="18"/>
          <w:rFonts w:hint="eastAsia" w:ascii="仿宋_GB2312" w:hAnsi="仿宋_GB2312" w:eastAsia="仿宋_GB2312" w:cs="仿宋_GB2312"/>
          <w:b w:val="0"/>
          <w:color w:val="000000"/>
          <w:sz w:val="32"/>
          <w:szCs w:val="32"/>
          <w:lang w:eastAsia="zh-CN"/>
        </w:rPr>
        <w:t>；</w:t>
      </w:r>
      <w:r>
        <w:rPr>
          <w:rStyle w:val="18"/>
          <w:rFonts w:hint="eastAsia" w:ascii="仿宋_GB2312" w:hAnsi="仿宋_GB2312" w:eastAsia="仿宋_GB2312" w:cs="仿宋_GB2312"/>
          <w:b w:val="0"/>
          <w:color w:val="000000"/>
          <w:sz w:val="32"/>
          <w:szCs w:val="32"/>
        </w:rPr>
        <w:t>2100409-重大公共卫生专项支出；2100499-其它公共卫生支出2100717-计划生育服务支出</w:t>
      </w:r>
      <w:r>
        <w:rPr>
          <w:rStyle w:val="18"/>
          <w:rFonts w:hint="eastAsia" w:ascii="仿宋_GB2312" w:hAnsi="仿宋_GB2312" w:eastAsia="仿宋_GB2312" w:cs="仿宋_GB2312"/>
          <w:b w:val="0"/>
          <w:color w:val="000000"/>
          <w:sz w:val="32"/>
          <w:szCs w:val="32"/>
          <w:lang w:eastAsia="zh-CN"/>
        </w:rPr>
        <w:t>；</w:t>
      </w:r>
      <w:r>
        <w:rPr>
          <w:rStyle w:val="18"/>
          <w:rFonts w:hint="eastAsia" w:ascii="仿宋_GB2312" w:hAnsi="仿宋_GB2312" w:eastAsia="仿宋_GB2312" w:cs="仿宋_GB2312"/>
          <w:b w:val="0"/>
          <w:color w:val="000000"/>
          <w:sz w:val="32"/>
          <w:szCs w:val="32"/>
        </w:rPr>
        <w:t>2100799-其它计划生育事务支出；2101102-事业单位医疗支出；2101103-其它行政事业单位医疗支出；2109901-其它医疗卫生与计划生育支出。</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 xml:space="preserve"> </w:t>
      </w:r>
    </w:p>
    <w:p>
      <w:pPr>
        <w:pStyle w:val="26"/>
        <w:pageBreakBefore w:val="0"/>
        <w:kinsoku/>
        <w:wordWrap/>
        <w:overflowPunct/>
        <w:topLinePunct w:val="0"/>
        <w:bidi w:val="0"/>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w:t>
      </w:r>
      <w:r>
        <w:rPr>
          <w:rFonts w:hint="eastAsia" w:ascii="仿宋_GB2312" w:eastAsia="仿宋_GB2312"/>
          <w:sz w:val="32"/>
          <w:szCs w:val="32"/>
          <w:lang w:eastAsia="zh-CN"/>
        </w:rPr>
        <w:t>公</w:t>
      </w:r>
      <w:r>
        <w:rPr>
          <w:rFonts w:hint="eastAsia" w:ascii="仿宋_GB2312" w:eastAsia="仿宋_GB2312"/>
          <w:sz w:val="32"/>
          <w:szCs w:val="32"/>
        </w:rPr>
        <w:t>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26"/>
        <w:pageBreakBefore w:val="0"/>
        <w:kinsoku/>
        <w:wordWrap/>
        <w:overflowPunct/>
        <w:topLinePunct w:val="0"/>
        <w:bidi w:val="0"/>
        <w:spacing w:line="520" w:lineRule="exact"/>
        <w:ind w:firstLine="640" w:firstLineChars="200"/>
        <w:textAlignment w:val="auto"/>
        <w:rPr>
          <w:rFonts w:ascii="仿宋_GB2312" w:eastAsia="仿宋_GB2312" w:cs="黑体"/>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w:t>
      </w:r>
      <w:r>
        <w:rPr>
          <w:rFonts w:hint="eastAsia" w:ascii="仿宋_GB2312" w:eastAsia="仿宋_GB2312"/>
          <w:sz w:val="32"/>
          <w:szCs w:val="32"/>
          <w:lang w:eastAsia="zh-CN"/>
        </w:rPr>
        <w:t>费、</w:t>
      </w:r>
      <w:r>
        <w:rPr>
          <w:rFonts w:hint="eastAsia" w:ascii="仿宋_GB2312" w:eastAsia="仿宋_GB2312"/>
          <w:sz w:val="32"/>
          <w:szCs w:val="32"/>
        </w:rPr>
        <w:t>印刷费、邮电费、差旅费、日常维修费、办公用房水电费、办公用房取暖费、公务用车运行维护费以及其他费用。</w:t>
      </w:r>
    </w:p>
    <w:p>
      <w:pPr>
        <w:spacing w:line="600" w:lineRule="exact"/>
        <w:jc w:val="center"/>
        <w:outlineLvl w:val="0"/>
        <w:rPr>
          <w:rStyle w:val="28"/>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8"/>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红原县疾病预防控制中心</w:t>
      </w:r>
    </w:p>
    <w:p>
      <w:pPr>
        <w:widowControl/>
        <w:spacing w:line="4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整体支出绩效告</w:t>
      </w: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spacing w:line="520" w:lineRule="exact"/>
        <w:ind w:firstLine="640" w:firstLineChars="20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（一）机构组成。</w:t>
      </w:r>
    </w:p>
    <w:p>
      <w:pPr>
        <w:spacing w:line="520" w:lineRule="exact"/>
        <w:ind w:firstLine="600" w:firstLineChars="200"/>
        <w:jc w:val="left"/>
        <w:rPr>
          <w:rFonts w:ascii="仿宋_GB2312" w:hAnsi="仿宋_GB2312" w:eastAsia="仿宋_GB2312" w:cs="仿宋_GB2312"/>
          <w:bCs/>
          <w:sz w:val="30"/>
          <w:szCs w:val="30"/>
        </w:rPr>
      </w:pPr>
      <w:r>
        <w:rPr>
          <w:rFonts w:hint="eastAsia" w:ascii="仿宋_GB2312" w:hAnsi="仿宋_GB2312" w:eastAsia="仿宋_GB2312" w:cs="仿宋_GB2312"/>
          <w:bCs/>
          <w:sz w:val="30"/>
          <w:szCs w:val="30"/>
        </w:rPr>
        <w:t>我单位为红原县卫生健康局下属二级预算单位，属全额拨款公益一类事业单位，下设办公室、监测科、传管科、健教科、财务科、结艾科、地方病防治科、检验科、公卫科，包虫病防治办公室共10个科室。</w:t>
      </w:r>
    </w:p>
    <w:p>
      <w:pPr>
        <w:widowControl/>
        <w:adjustRightInd w:val="0"/>
        <w:snapToGrid w:val="0"/>
        <w:spacing w:line="480" w:lineRule="exact"/>
        <w:ind w:firstLine="720"/>
        <w:jc w:val="left"/>
        <w:rPr>
          <w:rFonts w:ascii="仿宋_GB2312" w:hAnsi="宋体" w:eastAsia="仿宋_GB2312" w:cs="宋体"/>
          <w:color w:val="000000"/>
          <w:kern w:val="0"/>
          <w:lang w:val="zh-CN"/>
        </w:rPr>
      </w:pPr>
    </w:p>
    <w:p>
      <w:pPr>
        <w:numPr>
          <w:ilvl w:val="0"/>
          <w:numId w:val="5"/>
        </w:numPr>
        <w:ind w:firstLine="627" w:firstLineChars="196"/>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机构职能。</w:t>
      </w:r>
    </w:p>
    <w:p>
      <w:pPr>
        <w:ind w:firstLine="640" w:firstLineChars="200"/>
        <w:rPr>
          <w:rFonts w:ascii="仿宋_GB2312" w:hAnsi="宋体" w:eastAsia="仿宋_GB2312"/>
          <w:b/>
          <w:sz w:val="28"/>
          <w:szCs w:val="28"/>
        </w:rPr>
      </w:pPr>
      <w:r>
        <w:rPr>
          <w:rFonts w:hint="eastAsia" w:ascii="仿宋_GB2312" w:hAnsi="仿宋" w:eastAsia="仿宋_GB2312"/>
          <w:sz w:val="32"/>
          <w:szCs w:val="32"/>
        </w:rPr>
        <w:t>全面履行政府赋予的卫生防病职能, 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为社会人群提供预防性疫苗接种等工作。</w:t>
      </w:r>
    </w:p>
    <w:p>
      <w:pPr>
        <w:numPr>
          <w:ilvl w:val="0"/>
          <w:numId w:val="5"/>
        </w:numPr>
        <w:spacing w:line="520" w:lineRule="exact"/>
        <w:ind w:firstLine="627" w:firstLineChars="196"/>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人员概况。</w:t>
      </w:r>
    </w:p>
    <w:p>
      <w:pPr>
        <w:spacing w:line="520" w:lineRule="exact"/>
        <w:ind w:firstLine="640" w:firstLineChars="200"/>
        <w:jc w:val="left"/>
        <w:rPr>
          <w:rFonts w:ascii="仿宋_GB2312" w:hAnsi="仿宋_GB2312" w:eastAsia="仿宋_GB2312" w:cs="仿宋_GB2312"/>
          <w:bCs/>
          <w:sz w:val="32"/>
          <w:szCs w:val="32"/>
        </w:rPr>
      </w:pPr>
      <w:r>
        <w:rPr>
          <w:rFonts w:hint="eastAsia" w:ascii="仿宋_GB2312" w:eastAsia="仿宋_GB2312"/>
          <w:sz w:val="32"/>
          <w:szCs w:val="32"/>
        </w:rPr>
        <w:t>我单位截止201</w:t>
      </w:r>
      <w:r>
        <w:rPr>
          <w:rFonts w:hint="eastAsia" w:ascii="仿宋_GB2312" w:eastAsia="仿宋_GB2312"/>
          <w:sz w:val="32"/>
          <w:szCs w:val="32"/>
          <w:lang w:val="en-US" w:eastAsia="zh-CN"/>
        </w:rPr>
        <w:t>9</w:t>
      </w:r>
      <w:r>
        <w:rPr>
          <w:rFonts w:hint="eastAsia" w:ascii="仿宋_GB2312" w:eastAsia="仿宋_GB2312"/>
          <w:sz w:val="32"/>
          <w:szCs w:val="32"/>
        </w:rPr>
        <w:t>年底我单位共有编制39个，其中事业编制39个，在职3</w:t>
      </w:r>
      <w:r>
        <w:rPr>
          <w:rFonts w:hint="eastAsia" w:ascii="仿宋_GB2312" w:eastAsia="仿宋_GB2312"/>
          <w:sz w:val="32"/>
          <w:szCs w:val="32"/>
          <w:lang w:val="en-US" w:eastAsia="zh-CN"/>
        </w:rPr>
        <w:t>6</w:t>
      </w:r>
      <w:r>
        <w:rPr>
          <w:rFonts w:hint="eastAsia" w:ascii="仿宋_GB2312" w:eastAsia="仿宋_GB2312"/>
          <w:sz w:val="32"/>
          <w:szCs w:val="32"/>
        </w:rPr>
        <w:t>人，事业编制3</w:t>
      </w:r>
      <w:r>
        <w:rPr>
          <w:rFonts w:hint="eastAsia" w:ascii="仿宋_GB2312" w:eastAsia="仿宋_GB2312"/>
          <w:sz w:val="32"/>
          <w:szCs w:val="32"/>
          <w:lang w:val="en-US" w:eastAsia="zh-CN"/>
        </w:rPr>
        <w:t>6</w:t>
      </w:r>
      <w:r>
        <w:rPr>
          <w:rFonts w:hint="eastAsia" w:ascii="仿宋_GB2312" w:eastAsia="仿宋_GB2312"/>
          <w:sz w:val="32"/>
          <w:szCs w:val="32"/>
        </w:rPr>
        <w:t>人,其中专业技术人员3</w:t>
      </w:r>
      <w:r>
        <w:rPr>
          <w:rFonts w:hint="eastAsia" w:ascii="仿宋_GB2312" w:eastAsia="仿宋_GB2312"/>
          <w:sz w:val="32"/>
          <w:szCs w:val="32"/>
          <w:lang w:val="en-US" w:eastAsia="zh-CN"/>
        </w:rPr>
        <w:t>1</w:t>
      </w:r>
      <w:r>
        <w:rPr>
          <w:rFonts w:hint="eastAsia" w:ascii="仿宋_GB2312" w:eastAsia="仿宋_GB2312"/>
          <w:sz w:val="32"/>
          <w:szCs w:val="32"/>
        </w:rPr>
        <w:t>人，管理人员1人，个人4人；退休11人。</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（一）部门财政资金收入情况。</w:t>
      </w:r>
    </w:p>
    <w:p>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年度总收入:</w:t>
      </w:r>
      <w:r>
        <w:rPr>
          <w:rFonts w:hint="eastAsia" w:ascii="仿宋_GB2312" w:hAnsi="仿宋_GB2312" w:eastAsia="仿宋_GB2312" w:cs="仿宋_GB2312"/>
          <w:color w:val="000000"/>
          <w:sz w:val="32"/>
          <w:szCs w:val="32"/>
          <w:lang w:val="en-US" w:eastAsia="zh-CN"/>
        </w:rPr>
        <w:t>13033601.3</w:t>
      </w:r>
      <w:r>
        <w:rPr>
          <w:rFonts w:hint="eastAsia" w:ascii="仿宋_GB2312" w:hAnsi="仿宋_GB2312" w:eastAsia="仿宋_GB2312" w:cs="仿宋_GB2312"/>
          <w:color w:val="000000"/>
          <w:sz w:val="32"/>
          <w:szCs w:val="32"/>
        </w:rPr>
        <w:t>元，其中财政拨款收入总计：</w:t>
      </w:r>
      <w:r>
        <w:rPr>
          <w:rFonts w:hint="eastAsia" w:ascii="仿宋_GB2312" w:hAnsi="仿宋_GB2312" w:eastAsia="仿宋_GB2312" w:cs="仿宋_GB2312"/>
          <w:color w:val="000000"/>
          <w:sz w:val="32"/>
          <w:szCs w:val="32"/>
          <w:lang w:val="en-US" w:eastAsia="zh-CN"/>
        </w:rPr>
        <w:t>12930064.41</w:t>
      </w:r>
      <w:r>
        <w:rPr>
          <w:rFonts w:hint="eastAsia" w:ascii="仿宋_GB2312" w:hAnsi="仿宋_GB2312" w:eastAsia="仿宋_GB2312" w:cs="仿宋_GB2312"/>
          <w:color w:val="000000"/>
          <w:sz w:val="32"/>
          <w:szCs w:val="32"/>
        </w:rPr>
        <w:t>元，占总收入99.</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年相比较，增加</w:t>
      </w:r>
      <w:r>
        <w:rPr>
          <w:rFonts w:hint="eastAsia" w:ascii="仿宋_GB2312" w:hAnsi="仿宋_GB2312" w:eastAsia="仿宋_GB2312" w:cs="仿宋_GB2312"/>
          <w:color w:val="000000"/>
          <w:sz w:val="32"/>
          <w:szCs w:val="32"/>
          <w:lang w:val="en-US" w:eastAsia="zh-CN"/>
        </w:rPr>
        <w:t>562603.86</w:t>
      </w:r>
      <w:r>
        <w:rPr>
          <w:rFonts w:hint="eastAsia" w:ascii="仿宋_GB2312" w:hAnsi="仿宋_GB2312" w:eastAsia="仿宋_GB2312" w:cs="仿宋_GB2312"/>
          <w:color w:val="000000"/>
          <w:sz w:val="32"/>
          <w:szCs w:val="32"/>
        </w:rPr>
        <w:t>元，增长</w:t>
      </w:r>
      <w:r>
        <w:rPr>
          <w:rFonts w:hint="eastAsia" w:ascii="仿宋_GB2312" w:hAnsi="仿宋_GB2312" w:eastAsia="仿宋_GB2312" w:cs="仿宋_GB2312"/>
          <w:color w:val="000000"/>
          <w:sz w:val="32"/>
          <w:szCs w:val="32"/>
          <w:lang w:val="en-US" w:eastAsia="zh-CN"/>
        </w:rPr>
        <w:t>4.35</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项目资金增加</w:t>
      </w:r>
      <w:r>
        <w:rPr>
          <w:rFonts w:hint="eastAsia" w:ascii="仿宋_GB2312" w:hAnsi="仿宋_GB2312" w:eastAsia="仿宋_GB2312" w:cs="仿宋_GB2312"/>
          <w:color w:val="000000"/>
          <w:sz w:val="32"/>
          <w:szCs w:val="32"/>
        </w:rPr>
        <w:t>。年初项目资金结转结余</w:t>
      </w:r>
      <w:r>
        <w:rPr>
          <w:rFonts w:hint="eastAsia" w:ascii="仿宋_GB2312" w:hAnsi="仿宋_GB2312" w:eastAsia="仿宋_GB2312" w:cs="仿宋_GB2312"/>
          <w:color w:val="000000"/>
          <w:sz w:val="32"/>
          <w:szCs w:val="32"/>
          <w:lang w:val="en-US" w:eastAsia="zh-CN"/>
        </w:rPr>
        <w:t>2911978</w:t>
      </w:r>
      <w:r>
        <w:rPr>
          <w:rFonts w:hint="eastAsia" w:ascii="仿宋_GB2312" w:hAnsi="仿宋_GB2312" w:eastAsia="仿宋_GB2312" w:cs="仿宋_GB2312"/>
          <w:color w:val="000000"/>
          <w:sz w:val="32"/>
          <w:szCs w:val="32"/>
        </w:rPr>
        <w:t>元。</w:t>
      </w:r>
    </w:p>
    <w:p>
      <w:pPr>
        <w:spacing w:line="520" w:lineRule="exact"/>
        <w:ind w:firstLine="600" w:firstLineChars="200"/>
        <w:rPr>
          <w:rFonts w:ascii="楷体" w:hAnsi="楷体" w:eastAsia="楷体" w:cs="宋体"/>
          <w:color w:val="000000"/>
          <w:kern w:val="0"/>
          <w:sz w:val="32"/>
          <w:lang w:val="zh-CN"/>
        </w:rPr>
      </w:pPr>
      <w:r>
        <w:rPr>
          <w:rFonts w:hint="eastAsia" w:ascii="楷体" w:hAnsi="楷体" w:eastAsia="楷体" w:cs="仿宋_GB2312"/>
          <w:color w:val="000000"/>
          <w:sz w:val="30"/>
          <w:szCs w:val="30"/>
        </w:rPr>
        <w:t>（二）</w:t>
      </w:r>
      <w:r>
        <w:rPr>
          <w:rFonts w:hint="eastAsia" w:ascii="楷体" w:hAnsi="楷体" w:eastAsia="楷体" w:cs="宋体"/>
          <w:color w:val="000000"/>
          <w:kern w:val="0"/>
          <w:sz w:val="32"/>
          <w:lang w:val="zh-CN"/>
        </w:rPr>
        <w:t>部门财政资金支出情况。</w:t>
      </w:r>
    </w:p>
    <w:p>
      <w:pPr>
        <w:spacing w:line="52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年度财政拨款支出总计：</w:t>
      </w:r>
      <w:r>
        <w:rPr>
          <w:rFonts w:hint="eastAsia" w:ascii="仿宋_GB2312" w:hAnsi="仿宋_GB2312" w:eastAsia="仿宋_GB2312" w:cs="仿宋_GB2312"/>
          <w:color w:val="000000"/>
          <w:sz w:val="32"/>
          <w:szCs w:val="32"/>
          <w:lang w:val="en-US" w:eastAsia="zh-CN"/>
        </w:rPr>
        <w:t>9431886.01</w:t>
      </w:r>
      <w:r>
        <w:rPr>
          <w:rFonts w:hint="eastAsia" w:ascii="仿宋_GB2312" w:hAnsi="仿宋_GB2312" w:eastAsia="仿宋_GB2312" w:cs="仿宋_GB2312"/>
          <w:color w:val="000000"/>
          <w:sz w:val="32"/>
          <w:szCs w:val="32"/>
        </w:rPr>
        <w:t>元，其中基本支出</w:t>
      </w:r>
      <w:r>
        <w:rPr>
          <w:rFonts w:hint="eastAsia" w:ascii="仿宋_GB2312" w:hAnsi="仿宋_GB2312" w:eastAsia="仿宋_GB2312" w:cs="仿宋_GB2312"/>
          <w:color w:val="000000"/>
          <w:sz w:val="32"/>
          <w:szCs w:val="32"/>
          <w:lang w:val="en-US" w:eastAsia="zh-CN"/>
        </w:rPr>
        <w:t>6977225.07</w:t>
      </w:r>
      <w:r>
        <w:rPr>
          <w:rFonts w:hint="eastAsia" w:ascii="仿宋_GB2312" w:hAnsi="仿宋_GB2312" w:eastAsia="仿宋_GB2312" w:cs="仿宋_GB2312"/>
          <w:color w:val="000000"/>
          <w:sz w:val="32"/>
          <w:szCs w:val="32"/>
        </w:rPr>
        <w:t>元，占比</w:t>
      </w:r>
      <w:r>
        <w:rPr>
          <w:rFonts w:hint="eastAsia" w:ascii="仿宋_GB2312" w:hAnsi="仿宋_GB2312" w:eastAsia="仿宋_GB2312" w:cs="仿宋_GB2312"/>
          <w:color w:val="000000"/>
          <w:sz w:val="32"/>
          <w:szCs w:val="32"/>
          <w:lang w:val="en-US" w:eastAsia="zh-CN"/>
        </w:rPr>
        <w:t>73.97</w:t>
      </w:r>
      <w:r>
        <w:rPr>
          <w:rFonts w:hint="eastAsia" w:ascii="仿宋_GB2312" w:hAnsi="仿宋_GB2312" w:eastAsia="仿宋_GB2312" w:cs="仿宋_GB2312"/>
          <w:color w:val="000000"/>
          <w:sz w:val="32"/>
          <w:szCs w:val="32"/>
        </w:rPr>
        <w:t>%，主要用于人员经费和日常公用经费；项目支出</w:t>
      </w:r>
      <w:r>
        <w:rPr>
          <w:rFonts w:hint="eastAsia" w:ascii="仿宋_GB2312" w:hAnsi="仿宋_GB2312" w:eastAsia="仿宋_GB2312" w:cs="仿宋_GB2312"/>
          <w:color w:val="000000"/>
          <w:sz w:val="32"/>
          <w:szCs w:val="32"/>
          <w:lang w:val="en-US" w:eastAsia="zh-CN"/>
        </w:rPr>
        <w:t>2454660.94</w:t>
      </w:r>
      <w:r>
        <w:rPr>
          <w:rFonts w:hint="eastAsia" w:ascii="仿宋_GB2312" w:hAnsi="仿宋_GB2312" w:eastAsia="仿宋_GB2312" w:cs="仿宋_GB2312"/>
          <w:color w:val="000000"/>
          <w:sz w:val="32"/>
          <w:szCs w:val="32"/>
        </w:rPr>
        <w:t>元，占比</w:t>
      </w:r>
      <w:r>
        <w:rPr>
          <w:rFonts w:hint="eastAsia" w:ascii="仿宋_GB2312" w:hAnsi="仿宋_GB2312" w:eastAsia="仿宋_GB2312" w:cs="仿宋_GB2312"/>
          <w:color w:val="000000"/>
          <w:sz w:val="32"/>
          <w:szCs w:val="32"/>
          <w:lang w:val="en-US" w:eastAsia="zh-CN"/>
        </w:rPr>
        <w:t>26.03</w:t>
      </w:r>
      <w:r>
        <w:rPr>
          <w:rFonts w:hint="eastAsia" w:ascii="仿宋_GB2312" w:hAnsi="仿宋_GB2312" w:eastAsia="仿宋_GB2312" w:cs="仿宋_GB2312"/>
          <w:color w:val="000000"/>
          <w:sz w:val="32"/>
          <w:szCs w:val="32"/>
        </w:rPr>
        <w:t>%；年末项目结转结余</w:t>
      </w:r>
      <w:r>
        <w:rPr>
          <w:rFonts w:hint="eastAsia" w:ascii="仿宋_GB2312" w:hAnsi="仿宋_GB2312" w:eastAsia="仿宋_GB2312" w:cs="仿宋_GB2312"/>
          <w:color w:val="000000"/>
          <w:sz w:val="32"/>
          <w:szCs w:val="32"/>
          <w:lang w:val="en-US" w:eastAsia="zh-CN"/>
        </w:rPr>
        <w:t>4911373.53</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w:t>
      </w:r>
    </w:p>
    <w:p>
      <w:pPr>
        <w:widowControl/>
        <w:adjustRightInd w:val="0"/>
        <w:snapToGrid w:val="0"/>
        <w:spacing w:line="480" w:lineRule="exact"/>
        <w:ind w:firstLine="720"/>
        <w:jc w:val="left"/>
        <w:rPr>
          <w:rFonts w:ascii="仿宋_GB2312" w:hAnsi="宋体" w:eastAsia="仿宋_GB2312" w:cs="宋体"/>
          <w:color w:val="000000"/>
          <w:kern w:val="0"/>
          <w:lang w:val="zh-CN"/>
        </w:rPr>
      </w:pP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（一）预算编制情况。</w:t>
      </w:r>
    </w:p>
    <w:p>
      <w:pPr>
        <w:pStyle w:val="14"/>
        <w:widowControl/>
        <w:shd w:val="clear" w:color="auto" w:fill="FFFFFF"/>
        <w:spacing w:before="0" w:beforeAutospacing="0" w:after="0" w:afterAutospacing="0"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根据《中华人民共和国预算法》及红原县财政局印发的《关于下达201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部门预算的通知》要求，结合本单位实际，按照增收节支、厉行节约、绩效优化的原则，严控“三公”经费管理，从严从紧编制预算。细化支出预算编制，推进预算信息公开，深化预算绩效管理，提高资金使用效益。</w:t>
      </w:r>
    </w:p>
    <w:p>
      <w:pPr>
        <w:pStyle w:val="14"/>
        <w:widowControl/>
        <w:shd w:val="clear" w:color="auto" w:fill="FFFFFF"/>
        <w:spacing w:before="0" w:beforeAutospacing="0" w:after="0" w:afterAutospacing="0" w:line="520" w:lineRule="exact"/>
        <w:ind w:firstLine="640" w:firstLineChars="200"/>
        <w:rPr>
          <w:rFonts w:ascii="仿宋_GB2312" w:hAnsi="仿宋_GB2312" w:eastAsia="仿宋_GB2312" w:cs="仿宋_GB2312"/>
          <w:color w:val="000000"/>
          <w:sz w:val="32"/>
          <w:szCs w:val="32"/>
        </w:rPr>
      </w:pPr>
      <w:r>
        <w:rPr>
          <w:rFonts w:hint="eastAsia" w:ascii="仿宋_GB2312" w:eastAsia="仿宋_GB2312"/>
          <w:sz w:val="32"/>
          <w:szCs w:val="32"/>
          <w:shd w:val="clear" w:color="auto" w:fill="FFFFFF"/>
        </w:rPr>
        <w:t>201</w:t>
      </w: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年预算人员支出对照201</w:t>
      </w: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年12月份人员及工资信息编制，日常公用支出按照“经费包干、明细编报”的原则进行编制，重点做好“三公”经费、会议费、培训费等预算编制。</w:t>
      </w:r>
    </w:p>
    <w:p>
      <w:pPr>
        <w:widowControl/>
        <w:adjustRightInd w:val="0"/>
        <w:snapToGrid w:val="0"/>
        <w:spacing w:line="480" w:lineRule="exact"/>
        <w:ind w:firstLine="720"/>
        <w:jc w:val="lef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年度收入预算合计</w:t>
      </w:r>
      <w:r>
        <w:rPr>
          <w:rFonts w:hint="eastAsia" w:ascii="仿宋_GB2312" w:hAnsi="仿宋_GB2312" w:eastAsia="仿宋_GB2312" w:cs="仿宋_GB2312"/>
          <w:color w:val="000000"/>
          <w:sz w:val="32"/>
          <w:szCs w:val="32"/>
          <w:lang w:val="en-US" w:eastAsia="zh-CN"/>
        </w:rPr>
        <w:t>13033601.3</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其中</w:t>
      </w:r>
      <w:r>
        <w:rPr>
          <w:rFonts w:hint="eastAsia" w:ascii="仿宋_GB2312" w:hAnsi="仿宋_GB2312" w:eastAsia="仿宋_GB2312" w:cs="仿宋_GB2312"/>
          <w:color w:val="000000"/>
          <w:sz w:val="32"/>
          <w:szCs w:val="32"/>
        </w:rPr>
        <w:t>财政补助收入</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lang w:val="en-US" w:eastAsia="zh-CN"/>
        </w:rPr>
        <w:t>12930064.41元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其它收入为</w:t>
      </w:r>
      <w:r>
        <w:rPr>
          <w:rFonts w:hint="eastAsia" w:ascii="仿宋_GB2312" w:hAnsi="仿宋_GB2312" w:eastAsia="仿宋_GB2312" w:cs="仿宋_GB2312"/>
          <w:color w:val="000000"/>
          <w:sz w:val="32"/>
          <w:szCs w:val="32"/>
          <w:lang w:val="en-US" w:eastAsia="zh-CN"/>
        </w:rPr>
        <w:t>103536.89元；</w:t>
      </w:r>
      <w:r>
        <w:rPr>
          <w:rFonts w:hint="eastAsia" w:ascii="仿宋_GB2312" w:hAnsi="仿宋_GB2312" w:eastAsia="仿宋_GB2312" w:cs="仿宋_GB2312"/>
          <w:color w:val="000000"/>
          <w:sz w:val="32"/>
          <w:szCs w:val="32"/>
        </w:rPr>
        <w:t>支出预算合计</w:t>
      </w:r>
      <w:r>
        <w:rPr>
          <w:rFonts w:hint="eastAsia" w:ascii="仿宋_GB2312" w:hAnsi="仿宋_GB2312" w:eastAsia="仿宋_GB2312" w:cs="仿宋_GB2312"/>
          <w:color w:val="000000"/>
          <w:sz w:val="32"/>
          <w:szCs w:val="32"/>
          <w:lang w:val="en-US" w:eastAsia="zh-CN"/>
        </w:rPr>
        <w:t>9431886.01</w:t>
      </w:r>
      <w:r>
        <w:rPr>
          <w:rFonts w:hint="eastAsia" w:ascii="仿宋_GB2312" w:hAnsi="仿宋_GB2312" w:eastAsia="仿宋_GB2312" w:cs="仿宋_GB2312"/>
          <w:color w:val="000000"/>
          <w:sz w:val="32"/>
          <w:szCs w:val="32"/>
        </w:rPr>
        <w:t>元，其中基本支出预算</w:t>
      </w:r>
      <w:r>
        <w:rPr>
          <w:rFonts w:hint="eastAsia" w:ascii="仿宋_GB2312" w:hAnsi="仿宋_GB2312" w:eastAsia="仿宋_GB2312" w:cs="仿宋_GB2312"/>
          <w:color w:val="000000"/>
          <w:sz w:val="32"/>
          <w:szCs w:val="32"/>
          <w:lang w:val="en-US" w:eastAsia="zh-CN"/>
        </w:rPr>
        <w:t>6977225.07</w:t>
      </w:r>
      <w:r>
        <w:rPr>
          <w:rFonts w:hint="eastAsia" w:ascii="仿宋_GB2312" w:hAnsi="仿宋_GB2312" w:eastAsia="仿宋_GB2312" w:cs="仿宋_GB2312"/>
          <w:color w:val="000000"/>
          <w:sz w:val="32"/>
          <w:szCs w:val="32"/>
        </w:rPr>
        <w:t>元，人员经费支出</w:t>
      </w:r>
      <w:r>
        <w:rPr>
          <w:rFonts w:hint="eastAsia" w:ascii="仿宋_GB2312" w:hAnsi="仿宋_GB2312" w:eastAsia="仿宋_GB2312" w:cs="仿宋_GB2312"/>
          <w:color w:val="000000"/>
          <w:sz w:val="32"/>
          <w:szCs w:val="32"/>
          <w:lang w:val="en-US" w:eastAsia="zh-CN"/>
        </w:rPr>
        <w:t>6457437.92</w:t>
      </w:r>
      <w:r>
        <w:rPr>
          <w:rFonts w:hint="eastAsia" w:ascii="仿宋_GB2312" w:hAnsi="仿宋_GB2312" w:eastAsia="仿宋_GB2312" w:cs="仿宋_GB2312"/>
          <w:color w:val="000000"/>
          <w:sz w:val="32"/>
          <w:szCs w:val="32"/>
        </w:rPr>
        <w:t>元；日常公用经费支出预算</w:t>
      </w:r>
      <w:r>
        <w:rPr>
          <w:rFonts w:hint="eastAsia" w:ascii="仿宋_GB2312" w:hAnsi="仿宋_GB2312" w:eastAsia="仿宋_GB2312" w:cs="仿宋_GB2312"/>
          <w:color w:val="000000"/>
          <w:sz w:val="32"/>
          <w:szCs w:val="32"/>
          <w:lang w:val="en-US" w:eastAsia="zh-CN"/>
        </w:rPr>
        <w:t>519787.15</w:t>
      </w:r>
      <w:r>
        <w:rPr>
          <w:rFonts w:hint="eastAsia" w:ascii="仿宋_GB2312" w:hAnsi="仿宋_GB2312" w:eastAsia="仿宋_GB2312" w:cs="仿宋_GB2312"/>
          <w:color w:val="000000"/>
          <w:sz w:val="32"/>
          <w:szCs w:val="32"/>
        </w:rPr>
        <w:t>元；项目支出预算</w:t>
      </w:r>
      <w:r>
        <w:rPr>
          <w:rFonts w:hint="eastAsia" w:ascii="仿宋_GB2312" w:hAnsi="仿宋_GB2312" w:eastAsia="仿宋_GB2312" w:cs="仿宋_GB2312"/>
          <w:color w:val="000000"/>
          <w:sz w:val="32"/>
          <w:szCs w:val="32"/>
          <w:lang w:val="en-US" w:eastAsia="zh-CN"/>
        </w:rPr>
        <w:t>2454660.94</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0"/>
          <w:szCs w:val="30"/>
        </w:rPr>
        <w:t>。</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（二）执行管理情况。</w:t>
      </w:r>
      <w:r>
        <w:rPr>
          <w:rFonts w:hint="eastAsia" w:ascii="楷体" w:hAnsi="楷体" w:eastAsia="楷体" w:cs="宋体"/>
          <w:color w:val="000000"/>
          <w:kern w:val="0"/>
          <w:sz w:val="32"/>
          <w:lang w:val="zh-CN"/>
        </w:rPr>
        <w:tab/>
      </w:r>
    </w:p>
    <w:p>
      <w:pPr>
        <w:spacing w:line="520" w:lineRule="exact"/>
        <w:ind w:firstLine="602" w:firstLineChars="200"/>
        <w:rPr>
          <w:rFonts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1、本年度基本支出预算执行情况</w:t>
      </w:r>
    </w:p>
    <w:p>
      <w:pPr>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年度基本支出预算</w:t>
      </w:r>
      <w:r>
        <w:rPr>
          <w:rFonts w:hint="eastAsia" w:ascii="仿宋_GB2312" w:hAnsi="仿宋_GB2312" w:eastAsia="仿宋_GB2312" w:cs="仿宋_GB2312"/>
          <w:color w:val="000000"/>
          <w:sz w:val="32"/>
          <w:szCs w:val="32"/>
          <w:lang w:val="en-US" w:eastAsia="zh-CN"/>
        </w:rPr>
        <w:t>6977225.07</w:t>
      </w:r>
      <w:r>
        <w:rPr>
          <w:rFonts w:hint="eastAsia" w:ascii="仿宋_GB2312" w:hAnsi="仿宋_GB2312" w:eastAsia="仿宋_GB2312" w:cs="仿宋_GB2312"/>
          <w:color w:val="000000"/>
          <w:sz w:val="32"/>
          <w:szCs w:val="32"/>
        </w:rPr>
        <w:t>元，决算金额</w:t>
      </w:r>
      <w:r>
        <w:rPr>
          <w:rFonts w:hint="eastAsia" w:ascii="仿宋_GB2312" w:hAnsi="仿宋_GB2312" w:eastAsia="仿宋_GB2312" w:cs="仿宋_GB2312"/>
          <w:color w:val="000000"/>
          <w:sz w:val="32"/>
          <w:szCs w:val="32"/>
          <w:lang w:val="en-US" w:eastAsia="zh-CN"/>
        </w:rPr>
        <w:t>6977225.07</w:t>
      </w:r>
      <w:r>
        <w:rPr>
          <w:rFonts w:hint="eastAsia" w:ascii="仿宋_GB2312" w:hAnsi="仿宋_GB2312" w:eastAsia="仿宋_GB2312" w:cs="仿宋_GB2312"/>
          <w:color w:val="000000"/>
          <w:sz w:val="32"/>
          <w:szCs w:val="32"/>
        </w:rPr>
        <w:t>元，其中人员经费</w:t>
      </w:r>
      <w:r>
        <w:rPr>
          <w:rFonts w:hint="eastAsia" w:ascii="仿宋_GB2312" w:hAnsi="仿宋_GB2312" w:eastAsia="仿宋_GB2312" w:cs="仿宋_GB2312"/>
          <w:color w:val="000000"/>
          <w:sz w:val="32"/>
          <w:szCs w:val="32"/>
          <w:lang w:val="en-US" w:eastAsia="zh-CN"/>
        </w:rPr>
        <w:t>6457437.92</w:t>
      </w:r>
      <w:r>
        <w:rPr>
          <w:rFonts w:hint="eastAsia" w:ascii="仿宋_GB2312" w:hAnsi="仿宋_GB2312" w:eastAsia="仿宋_GB2312" w:cs="仿宋_GB2312"/>
          <w:color w:val="000000"/>
          <w:sz w:val="32"/>
          <w:szCs w:val="32"/>
        </w:rPr>
        <w:t>元，日常公用经费</w:t>
      </w:r>
      <w:r>
        <w:rPr>
          <w:rFonts w:hint="eastAsia" w:ascii="仿宋_GB2312" w:hAnsi="仿宋_GB2312" w:eastAsia="仿宋_GB2312" w:cs="仿宋_GB2312"/>
          <w:color w:val="000000"/>
          <w:sz w:val="32"/>
          <w:szCs w:val="32"/>
          <w:lang w:val="en-US" w:eastAsia="zh-CN"/>
        </w:rPr>
        <w:t>519787.15</w:t>
      </w:r>
      <w:r>
        <w:rPr>
          <w:rFonts w:hint="eastAsia" w:ascii="仿宋_GB2312" w:hAnsi="仿宋_GB2312" w:eastAsia="仿宋_GB2312" w:cs="仿宋_GB2312"/>
          <w:color w:val="000000"/>
          <w:sz w:val="32"/>
          <w:szCs w:val="32"/>
        </w:rPr>
        <w:t>元，执行率为100%。</w:t>
      </w:r>
    </w:p>
    <w:p>
      <w:pPr>
        <w:spacing w:line="520" w:lineRule="exact"/>
        <w:ind w:firstLine="602" w:firstLineChars="200"/>
        <w:rPr>
          <w:rFonts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2、项目预算执行情况</w:t>
      </w:r>
    </w:p>
    <w:p>
      <w:pPr>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年度项目支出预算</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0000元，决算金额</w:t>
      </w:r>
      <w:r>
        <w:rPr>
          <w:rFonts w:hint="eastAsia" w:ascii="仿宋_GB2312" w:hAnsi="仿宋_GB2312" w:eastAsia="仿宋_GB2312" w:cs="仿宋_GB2312"/>
          <w:color w:val="000000"/>
          <w:sz w:val="32"/>
          <w:szCs w:val="32"/>
          <w:lang w:val="en-US" w:eastAsia="zh-CN"/>
        </w:rPr>
        <w:t>5952839.34</w:t>
      </w:r>
      <w:r>
        <w:rPr>
          <w:rFonts w:hint="eastAsia" w:ascii="仿宋_GB2312" w:hAnsi="仿宋_GB2312" w:eastAsia="仿宋_GB2312" w:cs="仿宋_GB2312"/>
          <w:color w:val="000000"/>
          <w:sz w:val="32"/>
          <w:szCs w:val="32"/>
        </w:rPr>
        <w:t>元，主要原因是中央，省级财政项目资金陆续实施。县级财政专项预算分配及时，中央，省级专项资金分配合规率100%；201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年底结转结余</w:t>
      </w:r>
      <w:r>
        <w:rPr>
          <w:rFonts w:hint="eastAsia" w:ascii="仿宋_GB2312" w:hAnsi="仿宋_GB2312" w:eastAsia="仿宋_GB2312" w:cs="仿宋_GB2312"/>
          <w:color w:val="000000"/>
          <w:sz w:val="32"/>
          <w:szCs w:val="32"/>
          <w:lang w:val="en-US" w:eastAsia="zh-CN"/>
        </w:rPr>
        <w:t>4963729.76</w:t>
      </w:r>
      <w:r>
        <w:rPr>
          <w:rFonts w:hint="eastAsia" w:ascii="仿宋_GB2312" w:hAnsi="仿宋_GB2312" w:eastAsia="仿宋_GB2312" w:cs="仿宋_GB2312"/>
          <w:color w:val="000000"/>
          <w:sz w:val="32"/>
          <w:szCs w:val="32"/>
        </w:rPr>
        <w:t>元，其中基本结转结余</w:t>
      </w:r>
      <w:r>
        <w:rPr>
          <w:rFonts w:hint="eastAsia" w:ascii="仿宋_GB2312" w:hAnsi="仿宋_GB2312" w:eastAsia="仿宋_GB2312" w:cs="仿宋_GB2312"/>
          <w:color w:val="000000"/>
          <w:sz w:val="32"/>
          <w:szCs w:val="32"/>
          <w:lang w:val="en-US" w:eastAsia="zh-CN"/>
        </w:rPr>
        <w:t>52356.23</w:t>
      </w:r>
      <w:r>
        <w:rPr>
          <w:rFonts w:hint="eastAsia" w:ascii="仿宋_GB2312" w:hAnsi="仿宋_GB2312" w:eastAsia="仿宋_GB2312" w:cs="仿宋_GB2312"/>
          <w:color w:val="000000"/>
          <w:sz w:val="32"/>
          <w:szCs w:val="32"/>
        </w:rPr>
        <w:t>元，占比1.</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%；项目结转结余</w:t>
      </w:r>
      <w:r>
        <w:rPr>
          <w:rFonts w:hint="eastAsia" w:ascii="仿宋_GB2312" w:hAnsi="仿宋_GB2312" w:eastAsia="仿宋_GB2312" w:cs="仿宋_GB2312"/>
          <w:color w:val="000000"/>
          <w:sz w:val="32"/>
          <w:szCs w:val="32"/>
          <w:lang w:val="en-US" w:eastAsia="zh-CN"/>
        </w:rPr>
        <w:t>4911373.53</w:t>
      </w:r>
      <w:r>
        <w:rPr>
          <w:rFonts w:hint="eastAsia" w:ascii="仿宋_GB2312" w:hAnsi="仿宋_GB2312" w:eastAsia="仿宋_GB2312" w:cs="仿宋_GB2312"/>
          <w:color w:val="000000"/>
          <w:sz w:val="32"/>
          <w:szCs w:val="32"/>
        </w:rPr>
        <w:t>元，占比98.</w:t>
      </w:r>
      <w:r>
        <w:rPr>
          <w:rFonts w:hint="eastAsia" w:ascii="仿宋_GB2312" w:hAnsi="仿宋_GB2312" w:eastAsia="仿宋_GB2312" w:cs="仿宋_GB2312"/>
          <w:color w:val="000000"/>
          <w:sz w:val="32"/>
          <w:szCs w:val="32"/>
          <w:lang w:val="en-US" w:eastAsia="zh-CN"/>
        </w:rPr>
        <w:t>95</w:t>
      </w:r>
      <w:r>
        <w:rPr>
          <w:rFonts w:hint="eastAsia" w:ascii="仿宋_GB2312" w:hAnsi="仿宋_GB2312" w:eastAsia="仿宋_GB2312" w:cs="仿宋_GB2312"/>
          <w:color w:val="000000"/>
          <w:sz w:val="32"/>
          <w:szCs w:val="32"/>
        </w:rPr>
        <w:t>%。</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（三）综合管理情况。</w:t>
      </w:r>
    </w:p>
    <w:p>
      <w:pPr>
        <w:pStyle w:val="14"/>
        <w:widowControl/>
        <w:shd w:val="clear" w:color="auto" w:fill="FFFFFF"/>
        <w:spacing w:before="0" w:beforeAutospacing="0" w:after="0" w:afterAutospacing="0" w:line="520" w:lineRule="exact"/>
        <w:ind w:firstLine="645"/>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2"/>
          <w:szCs w:val="32"/>
        </w:rPr>
        <w:t>我单位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w:t>
      </w:r>
      <w:r>
        <w:rPr>
          <w:rFonts w:hint="eastAsia" w:ascii="仿宋_GB2312" w:hAnsi="仿宋_GB2312" w:eastAsia="仿宋_GB2312" w:cs="仿宋_GB2312"/>
          <w:color w:val="000000"/>
          <w:sz w:val="32"/>
          <w:szCs w:val="32"/>
          <w:shd w:val="clear" w:color="auto" w:fill="FFFFFF"/>
        </w:rPr>
        <w:t>对照年初的预算，通过编制部门决算报表，全面、真实、准确的反映了红原县疾病预防控制中心2018年度财政资金的使用情况</w:t>
      </w:r>
      <w:r>
        <w:rPr>
          <w:rFonts w:hint="eastAsia" w:ascii="仿宋_GB2312" w:hAnsi="仿宋_GB2312" w:eastAsia="仿宋_GB2312" w:cs="仿宋_GB2312"/>
          <w:color w:val="000000"/>
          <w:sz w:val="30"/>
          <w:szCs w:val="30"/>
          <w:shd w:val="clear" w:color="auto" w:fill="FFFFFF"/>
        </w:rPr>
        <w:t>。</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（四）整体绩效。</w:t>
      </w:r>
    </w:p>
    <w:p>
      <w:pPr>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年度预算支出</w:t>
      </w:r>
      <w:r>
        <w:rPr>
          <w:rFonts w:hint="eastAsia" w:ascii="仿宋_GB2312" w:hAnsi="仿宋_GB2312" w:eastAsia="仿宋_GB2312" w:cs="仿宋_GB2312"/>
          <w:color w:val="000000"/>
          <w:sz w:val="32"/>
          <w:szCs w:val="32"/>
          <w:lang w:val="en-US" w:eastAsia="zh-CN"/>
        </w:rPr>
        <w:t>9431886.01</w:t>
      </w:r>
      <w:r>
        <w:rPr>
          <w:rFonts w:hint="eastAsia" w:ascii="仿宋_GB2312" w:hAnsi="仿宋_GB2312" w:eastAsia="仿宋_GB2312" w:cs="仿宋_GB2312"/>
          <w:color w:val="000000"/>
          <w:sz w:val="32"/>
          <w:szCs w:val="32"/>
        </w:rPr>
        <w:t>元，其中基本支出</w:t>
      </w:r>
      <w:r>
        <w:rPr>
          <w:rFonts w:hint="eastAsia" w:ascii="仿宋_GB2312" w:hAnsi="仿宋_GB2312" w:eastAsia="仿宋_GB2312" w:cs="仿宋_GB2312"/>
          <w:color w:val="000000"/>
          <w:sz w:val="32"/>
          <w:szCs w:val="32"/>
          <w:lang w:val="en-US" w:eastAsia="zh-CN"/>
        </w:rPr>
        <w:t>6977225.07</w:t>
      </w:r>
      <w:r>
        <w:rPr>
          <w:rFonts w:hint="eastAsia" w:ascii="仿宋_GB2312" w:hAnsi="仿宋_GB2312" w:eastAsia="仿宋_GB2312" w:cs="仿宋_GB2312"/>
          <w:color w:val="000000"/>
          <w:sz w:val="32"/>
          <w:szCs w:val="32"/>
        </w:rPr>
        <w:t>元，主要用于人员经费和日常公用经费；项目支出</w:t>
      </w:r>
      <w:r>
        <w:rPr>
          <w:rFonts w:hint="eastAsia" w:ascii="仿宋_GB2312" w:hAnsi="仿宋_GB2312" w:eastAsia="仿宋_GB2312" w:cs="仿宋_GB2312"/>
          <w:color w:val="000000"/>
          <w:sz w:val="32"/>
          <w:szCs w:val="32"/>
          <w:lang w:val="en-US" w:eastAsia="zh-CN"/>
        </w:rPr>
        <w:t>2454660.94</w:t>
      </w:r>
      <w:r>
        <w:rPr>
          <w:rFonts w:hint="eastAsia" w:ascii="仿宋_GB2312" w:hAnsi="仿宋_GB2312" w:eastAsia="仿宋_GB2312" w:cs="仿宋_GB2312"/>
          <w:color w:val="000000"/>
          <w:sz w:val="32"/>
          <w:szCs w:val="32"/>
        </w:rPr>
        <w:t>元，主要用于各种传染病及地方病的筛查，宣传等项目工作；</w:t>
      </w:r>
      <w:r>
        <w:rPr>
          <w:rFonts w:hint="eastAsia" w:ascii="仿宋_GB2312" w:hAnsi="仿宋_GB2312" w:eastAsia="仿宋_GB2312" w:cs="仿宋_GB2312"/>
          <w:color w:val="000000"/>
          <w:sz w:val="32"/>
          <w:szCs w:val="32"/>
          <w:shd w:val="clear" w:color="auto" w:fill="FFFFFF"/>
        </w:rPr>
        <w:t>我单位严格执行《预算法》和各项财经纪律，机关制度健全，财务管理规范，预算编制合理;二是资金监管到位。经费开支按用途使用合理，做到专帐专管,专款专用；三是人员配备和</w:t>
      </w:r>
      <w:r>
        <w:rPr>
          <w:rFonts w:hint="eastAsia" w:ascii="仿宋_GB2312" w:hAnsi="仿宋_GB2312" w:eastAsia="仿宋_GB2312" w:cs="仿宋_GB2312"/>
          <w:color w:val="000000"/>
          <w:sz w:val="32"/>
          <w:szCs w:val="32"/>
          <w:shd w:val="clear" w:color="auto" w:fill="FFFFFF"/>
          <w:lang w:eastAsia="zh-CN"/>
        </w:rPr>
        <w:t>账务</w:t>
      </w:r>
      <w:r>
        <w:rPr>
          <w:rFonts w:hint="eastAsia" w:ascii="仿宋_GB2312" w:hAnsi="仿宋_GB2312" w:eastAsia="仿宋_GB2312" w:cs="仿宋_GB2312"/>
          <w:color w:val="000000"/>
          <w:sz w:val="32"/>
          <w:szCs w:val="32"/>
          <w:shd w:val="clear" w:color="auto" w:fill="FFFFFF"/>
        </w:rPr>
        <w:t>核算到位。财务人员</w:t>
      </w:r>
      <w:r>
        <w:rPr>
          <w:rFonts w:hint="eastAsia" w:ascii="仿宋_GB2312" w:hAnsi="仿宋_GB2312" w:eastAsia="仿宋_GB2312" w:cs="仿宋_GB2312"/>
          <w:color w:val="000000"/>
          <w:sz w:val="32"/>
          <w:szCs w:val="32"/>
          <w:shd w:val="clear" w:color="auto" w:fill="FFFFFF"/>
          <w:lang w:eastAsia="zh-CN"/>
        </w:rPr>
        <w:t>账务</w:t>
      </w:r>
      <w:r>
        <w:rPr>
          <w:rFonts w:hint="eastAsia" w:ascii="仿宋_GB2312" w:hAnsi="仿宋_GB2312" w:eastAsia="仿宋_GB2312" w:cs="仿宋_GB2312"/>
          <w:color w:val="000000"/>
          <w:sz w:val="32"/>
          <w:szCs w:val="32"/>
          <w:shd w:val="clear" w:color="auto" w:fill="FFFFFF"/>
        </w:rPr>
        <w:t>核算及时规范。</w:t>
      </w:r>
      <w:r>
        <w:rPr>
          <w:rFonts w:hint="eastAsia" w:ascii="仿宋_GB2312" w:hAnsi="仿宋_GB2312" w:eastAsia="仿宋_GB2312" w:cs="仿宋_GB2312"/>
          <w:color w:val="000000"/>
          <w:sz w:val="32"/>
          <w:szCs w:val="32"/>
        </w:rPr>
        <w:t>我单位在财务上进行合理安排和运用，以“认真、严谨、细致”的精神，做好一切财务工作，圆满完成了各项工作任务，产生了良好的社会效益，得到广大老百姓的一致好评。</w:t>
      </w: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四、评价结论及建议</w:t>
      </w:r>
    </w:p>
    <w:p>
      <w:pPr>
        <w:spacing w:line="520" w:lineRule="exact"/>
        <w:ind w:firstLine="640" w:firstLineChars="200"/>
        <w:rPr>
          <w:rFonts w:ascii="楷体" w:hAnsi="楷体" w:eastAsia="楷体" w:cs="宋体"/>
          <w:color w:val="000000"/>
          <w:kern w:val="0"/>
          <w:sz w:val="32"/>
          <w:lang w:val="zh-CN"/>
        </w:rPr>
      </w:pPr>
      <w:r>
        <w:rPr>
          <w:rFonts w:hint="eastAsia" w:ascii="楷体" w:hAnsi="楷体" w:eastAsia="楷体" w:cs="宋体"/>
          <w:color w:val="000000"/>
          <w:kern w:val="0"/>
          <w:sz w:val="32"/>
          <w:lang w:val="zh-CN"/>
        </w:rPr>
        <w:t>（一）评价结论。</w:t>
      </w:r>
    </w:p>
    <w:p>
      <w:pPr>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年度我单位财政供养人员控制在预算编制内，编制内在职人员控制率100%；日常公用经费年初预算</w:t>
      </w:r>
      <w:r>
        <w:rPr>
          <w:rFonts w:hint="eastAsia" w:ascii="仿宋_GB2312" w:hAnsi="仿宋_GB2312" w:eastAsia="仿宋_GB2312" w:cs="仿宋_GB2312"/>
          <w:color w:val="000000"/>
          <w:sz w:val="32"/>
          <w:szCs w:val="32"/>
          <w:lang w:val="en-US" w:eastAsia="zh-CN"/>
        </w:rPr>
        <w:t>503882</w:t>
      </w:r>
      <w:r>
        <w:rPr>
          <w:rFonts w:hint="eastAsia" w:ascii="仿宋_GB2312" w:hAnsi="仿宋_GB2312" w:eastAsia="仿宋_GB2312" w:cs="仿宋_GB2312"/>
          <w:color w:val="000000"/>
          <w:sz w:val="32"/>
          <w:szCs w:val="32"/>
        </w:rPr>
        <w:t>元，决算金额</w:t>
      </w:r>
      <w:r>
        <w:rPr>
          <w:rFonts w:hint="eastAsia" w:ascii="仿宋_GB2312" w:hAnsi="仿宋_GB2312" w:eastAsia="仿宋_GB2312" w:cs="仿宋_GB2312"/>
          <w:color w:val="000000"/>
          <w:sz w:val="32"/>
          <w:szCs w:val="32"/>
          <w:lang w:val="en-US" w:eastAsia="zh-CN"/>
        </w:rPr>
        <w:t>500731.15</w:t>
      </w:r>
      <w:r>
        <w:rPr>
          <w:rFonts w:hint="eastAsia" w:ascii="仿宋_GB2312" w:hAnsi="仿宋_GB2312" w:eastAsia="仿宋_GB2312" w:cs="仿宋_GB2312"/>
          <w:color w:val="000000"/>
          <w:sz w:val="32"/>
          <w:szCs w:val="32"/>
        </w:rPr>
        <w:t>元，预算完成率99</w:t>
      </w:r>
      <w:r>
        <w:rPr>
          <w:rFonts w:hint="eastAsia" w:ascii="仿宋_GB2312" w:hAnsi="仿宋_GB2312" w:eastAsia="仿宋_GB2312" w:cs="仿宋_GB2312"/>
          <w:color w:val="000000"/>
          <w:sz w:val="32"/>
          <w:szCs w:val="32"/>
          <w:lang w:val="en-US" w:eastAsia="zh-CN"/>
        </w:rPr>
        <w:t>.37</w:t>
      </w:r>
      <w:r>
        <w:rPr>
          <w:rFonts w:hint="eastAsia" w:ascii="仿宋_GB2312" w:hAnsi="仿宋_GB2312" w:eastAsia="仿宋_GB2312" w:cs="仿宋_GB2312"/>
          <w:color w:val="000000"/>
          <w:sz w:val="32"/>
          <w:szCs w:val="32"/>
        </w:rPr>
        <w:t>%，主要是践行厉行节约；预算管理工作较上年有所进步，执行制度总体有效，资金管理工作有待加强，建立了资产管理制度，总体执行较好。</w:t>
      </w:r>
    </w:p>
    <w:p>
      <w:pPr>
        <w:spacing w:line="520" w:lineRule="exact"/>
        <w:ind w:firstLine="600" w:firstLineChars="200"/>
        <w:rPr>
          <w:rFonts w:ascii="楷体" w:hAnsi="楷体" w:eastAsia="楷体" w:cs="宋体"/>
          <w:color w:val="000000"/>
          <w:kern w:val="0"/>
          <w:sz w:val="32"/>
          <w:lang w:val="zh-CN"/>
        </w:rPr>
      </w:pPr>
      <w:r>
        <w:rPr>
          <w:rFonts w:hint="eastAsia" w:ascii="楷体" w:hAnsi="楷体" w:eastAsia="楷体" w:cs="仿宋_GB2312"/>
          <w:color w:val="000000"/>
          <w:sz w:val="30"/>
          <w:szCs w:val="30"/>
        </w:rPr>
        <w:t>（二）</w:t>
      </w:r>
      <w:r>
        <w:rPr>
          <w:rFonts w:hint="eastAsia" w:ascii="楷体" w:hAnsi="楷体" w:eastAsia="楷体" w:cs="宋体"/>
          <w:color w:val="000000"/>
          <w:kern w:val="0"/>
          <w:sz w:val="32"/>
          <w:lang w:val="zh-CN"/>
        </w:rPr>
        <w:t>存在问题。</w:t>
      </w:r>
    </w:p>
    <w:p>
      <w:pPr>
        <w:spacing w:line="520" w:lineRule="exact"/>
        <w:ind w:left="420" w:leftChars="200" w:firstLine="30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0"/>
          <w:szCs w:val="30"/>
        </w:rPr>
        <w:t>1、</w:t>
      </w:r>
      <w:r>
        <w:rPr>
          <w:rFonts w:hint="eastAsia" w:ascii="仿宋_GB2312" w:eastAsia="仿宋_GB2312"/>
          <w:color w:val="000000"/>
          <w:sz w:val="32"/>
          <w:szCs w:val="32"/>
          <w:lang w:val="zh-CN"/>
        </w:rPr>
        <w:t>在实际经费列支中，未严格按照预算科目进行列支</w:t>
      </w:r>
      <w:r>
        <w:rPr>
          <w:rFonts w:hint="eastAsia" w:ascii="仿宋_GB2312" w:eastAsia="仿宋_GB2312"/>
          <w:color w:val="000000"/>
          <w:sz w:val="32"/>
          <w:szCs w:val="32"/>
        </w:rPr>
        <w:t>,要</w:t>
      </w:r>
      <w:r>
        <w:rPr>
          <w:rFonts w:hint="eastAsia" w:ascii="仿宋_GB2312" w:hAnsi="仿宋_GB2312" w:eastAsia="仿宋_GB2312" w:cs="仿宋_GB2312"/>
          <w:color w:val="000000"/>
          <w:sz w:val="32"/>
          <w:szCs w:val="32"/>
        </w:rPr>
        <w:t>进一步规范资金的使用。</w:t>
      </w:r>
    </w:p>
    <w:p>
      <w:pPr>
        <w:widowControl/>
        <w:adjustRightInd w:val="0"/>
        <w:snapToGrid w:val="0"/>
        <w:spacing w:line="560" w:lineRule="exact"/>
        <w:ind w:firstLine="750" w:firstLineChars="250"/>
        <w:jc w:val="lef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w:t>
      </w:r>
      <w:r>
        <w:rPr>
          <w:rFonts w:hint="eastAsia" w:ascii="仿宋_GB2312" w:eastAsia="仿宋_GB2312"/>
          <w:color w:val="000000"/>
          <w:sz w:val="32"/>
          <w:szCs w:val="32"/>
          <w:lang w:val="zh-CN"/>
        </w:rPr>
        <w:t>会计核算欠规范</w:t>
      </w:r>
      <w:r>
        <w:rPr>
          <w:rFonts w:hint="eastAsia" w:ascii="仿宋_GB2312" w:eastAsia="仿宋_GB2312"/>
          <w:color w:val="000000"/>
          <w:sz w:val="32"/>
          <w:szCs w:val="32"/>
        </w:rPr>
        <w:t>,</w:t>
      </w:r>
      <w:r>
        <w:rPr>
          <w:rFonts w:hint="eastAsia" w:ascii="仿宋_GB2312" w:hAnsi="仿宋_GB2312" w:eastAsia="仿宋_GB2312" w:cs="仿宋_GB2312"/>
          <w:color w:val="000000"/>
          <w:sz w:val="30"/>
          <w:szCs w:val="30"/>
        </w:rPr>
        <w:t>缺少项目资金使用效益评估。</w:t>
      </w:r>
    </w:p>
    <w:p>
      <w:pPr>
        <w:widowControl/>
        <w:adjustRightInd w:val="0"/>
        <w:snapToGrid w:val="0"/>
        <w:spacing w:line="480" w:lineRule="exact"/>
        <w:ind w:firstLine="720"/>
        <w:jc w:val="left"/>
        <w:rPr>
          <w:rFonts w:ascii="仿宋_GB2312" w:hAnsi="宋体" w:eastAsia="仿宋_GB2312" w:cs="宋体"/>
          <w:color w:val="000000"/>
          <w:kern w:val="0"/>
          <w:lang w:val="zh-CN"/>
        </w:rPr>
      </w:pPr>
    </w:p>
    <w:p>
      <w:pPr>
        <w:spacing w:line="560" w:lineRule="exact"/>
        <w:ind w:firstLine="480" w:firstLineChars="150"/>
        <w:rPr>
          <w:rFonts w:ascii="仿宋_GB2312" w:hAnsi="仿宋_GB2312" w:eastAsia="仿宋_GB2312" w:cs="仿宋_GB2312"/>
          <w:color w:val="000000"/>
          <w:sz w:val="30"/>
          <w:szCs w:val="30"/>
          <w:shd w:val="clear" w:color="auto" w:fill="FFFFFF"/>
        </w:rPr>
      </w:pPr>
      <w:r>
        <w:rPr>
          <w:rFonts w:hint="eastAsia" w:ascii="仿宋_GB2312" w:hAnsi="宋体" w:eastAsia="仿宋_GB2312" w:cs="宋体"/>
          <w:color w:val="000000"/>
          <w:kern w:val="0"/>
          <w:sz w:val="32"/>
          <w:lang w:val="zh-CN"/>
        </w:rPr>
        <w:t>（三）改进建议。</w:t>
      </w:r>
    </w:p>
    <w:p>
      <w:pPr>
        <w:spacing w:line="560" w:lineRule="exact"/>
        <w:ind w:firstLine="480" w:firstLineChars="150"/>
        <w:rPr>
          <w:rFonts w:ascii="仿宋_GB2312" w:hAnsi="仿宋_GB2312" w:eastAsia="仿宋_GB2312" w:cs="仿宋_GB2312"/>
          <w:color w:val="000000"/>
          <w:sz w:val="32"/>
          <w:szCs w:val="32"/>
          <w:shd w:val="clear" w:color="auto" w:fill="FFFFFF"/>
        </w:rPr>
      </w:pPr>
      <w:r>
        <w:rPr>
          <w:rFonts w:hint="eastAsia" w:ascii="仿宋_GB2312" w:eastAsia="仿宋_GB2312"/>
          <w:color w:val="000000"/>
          <w:sz w:val="32"/>
          <w:szCs w:val="32"/>
        </w:rPr>
        <w:t>一是进一步加强预算编制工作；二</w:t>
      </w:r>
      <w:r>
        <w:rPr>
          <w:rFonts w:hint="eastAsia" w:ascii="仿宋_GB2312" w:eastAsia="仿宋_GB2312"/>
          <w:color w:val="000000"/>
          <w:sz w:val="32"/>
          <w:szCs w:val="32"/>
          <w:lang w:val="zh-CN"/>
        </w:rPr>
        <w:t>规范账务处理，提高财务信息质量，</w:t>
      </w:r>
      <w:r>
        <w:rPr>
          <w:rFonts w:hint="eastAsia" w:ascii="仿宋_GB2312" w:eastAsia="仿宋_GB2312"/>
          <w:color w:val="000000"/>
          <w:sz w:val="32"/>
          <w:szCs w:val="32"/>
        </w:rPr>
        <w:t>不断完善各项规章制度；三是加大对财务人员的培训，多提供对财务的学习机会。</w:t>
      </w:r>
      <w:r>
        <w:rPr>
          <w:rFonts w:ascii="仿宋_GB2312" w:hAnsi="宋体" w:eastAsia="仿宋_GB2312" w:cs="仿宋_GB2312"/>
          <w:color w:val="000000"/>
          <w:sz w:val="32"/>
          <w:szCs w:val="32"/>
          <w:shd w:val="clear" w:color="auto" w:fill="FFFFFF"/>
        </w:rPr>
        <w:t>建立长效机制，严格财务管理，加强财务监督，坚持厉行节约，严格</w:t>
      </w:r>
      <w:r>
        <w:rPr>
          <w:rFonts w:hint="eastAsia" w:ascii="仿宋_GB2312" w:eastAsia="仿宋_GB2312" w:cs="仿宋_GB2312"/>
          <w:color w:val="000000"/>
          <w:sz w:val="32"/>
          <w:szCs w:val="32"/>
          <w:shd w:val="clear" w:color="auto" w:fill="FFFFFF"/>
        </w:rPr>
        <w:t>杜绝</w:t>
      </w:r>
      <w:r>
        <w:rPr>
          <w:rFonts w:ascii="仿宋_GB2312" w:hAnsi="宋体" w:eastAsia="仿宋_GB2312" w:cs="仿宋_GB2312"/>
          <w:color w:val="000000"/>
          <w:sz w:val="32"/>
          <w:szCs w:val="32"/>
          <w:shd w:val="clear" w:color="auto" w:fill="FFFFFF"/>
        </w:rPr>
        <w:t>现金</w:t>
      </w:r>
      <w:r>
        <w:rPr>
          <w:rFonts w:hint="eastAsia" w:ascii="仿宋_GB2312" w:hAnsi="宋体" w:eastAsia="仿宋_GB2312" w:cs="仿宋_GB2312"/>
          <w:color w:val="000000"/>
          <w:sz w:val="32"/>
          <w:szCs w:val="32"/>
          <w:shd w:val="clear" w:color="auto" w:fill="FFFFFF"/>
        </w:rPr>
        <w:t>交易，</w:t>
      </w:r>
      <w:r>
        <w:rPr>
          <w:rFonts w:hint="eastAsia" w:ascii="仿宋_GB2312" w:hAnsi="仿宋_GB2312" w:eastAsia="仿宋_GB2312" w:cs="仿宋_GB2312"/>
          <w:color w:val="000000"/>
          <w:sz w:val="32"/>
          <w:szCs w:val="32"/>
          <w:shd w:val="clear" w:color="auto" w:fill="FFFFFF"/>
        </w:rPr>
        <w:t>加强</w:t>
      </w:r>
      <w:r>
        <w:rPr>
          <w:rFonts w:hint="eastAsia" w:ascii="仿宋_GB2312" w:hAnsi="仿宋_GB2312" w:eastAsia="仿宋_GB2312" w:cs="仿宋_GB2312"/>
          <w:color w:val="000000"/>
          <w:sz w:val="32"/>
          <w:szCs w:val="32"/>
          <w:shd w:val="clear" w:color="auto" w:fill="FFFFFF"/>
          <w:lang w:eastAsia="zh-CN"/>
        </w:rPr>
        <w:t>政府</w:t>
      </w:r>
      <w:r>
        <w:rPr>
          <w:rFonts w:hint="eastAsia" w:ascii="仿宋_GB2312" w:hAnsi="仿宋_GB2312" w:eastAsia="仿宋_GB2312" w:cs="仿宋_GB2312"/>
          <w:color w:val="000000"/>
          <w:sz w:val="32"/>
          <w:szCs w:val="32"/>
          <w:shd w:val="clear" w:color="auto" w:fill="FFFFFF"/>
        </w:rPr>
        <w:t>会计制度的学习。</w:t>
      </w:r>
    </w:p>
    <w:p>
      <w:pPr>
        <w:widowControl/>
        <w:adjustRightInd w:val="0"/>
        <w:snapToGrid w:val="0"/>
        <w:spacing w:line="480" w:lineRule="exact"/>
        <w:ind w:firstLine="720"/>
        <w:jc w:val="left"/>
        <w:rPr>
          <w:rFonts w:ascii="仿宋_GB2312" w:eastAsia="仿宋_GB2312" w:cs="仿宋_GB2312"/>
        </w:rPr>
      </w:pPr>
    </w:p>
    <w:p>
      <w:pPr>
        <w:spacing w:line="580" w:lineRule="exact"/>
        <w:ind w:firstLine="640" w:firstLineChars="200"/>
        <w:rPr>
          <w:rFonts w:ascii="仿宋_GB2312" w:hAnsi="仿宋_GB2312" w:eastAsia="仿宋_GB2312" w:cs="仿宋_GB2312"/>
          <w:sz w:val="32"/>
          <w:szCs w:val="32"/>
        </w:rPr>
      </w:pPr>
    </w:p>
    <w:p>
      <w:pPr>
        <w:pStyle w:val="3"/>
        <w:spacing w:beforeAutospacing="0" w:afterAutospacing="0" w:line="560" w:lineRule="exact"/>
        <w:ind w:left="0" w:leftChars="0" w:firstLine="0" w:firstLineChars="0"/>
        <w:jc w:val="both"/>
        <w:rPr>
          <w:rFonts w:hint="eastAsia" w:ascii="黑体" w:hAnsi="黑体" w:eastAsia="黑体" w:cs="黑体"/>
          <w:sz w:val="32"/>
          <w:szCs w:val="32"/>
        </w:rPr>
      </w:pPr>
      <w:r>
        <w:rPr>
          <w:rFonts w:hint="eastAsia" w:ascii="黑体" w:hAnsi="黑体" w:eastAsia="黑体" w:cs="黑体"/>
          <w:sz w:val="32"/>
          <w:szCs w:val="32"/>
        </w:rPr>
        <w:t>附件2</w:t>
      </w:r>
    </w:p>
    <w:p>
      <w:pPr>
        <w:pStyle w:val="3"/>
        <w:spacing w:beforeAutospacing="0" w:afterAutospacing="0" w:line="560" w:lineRule="exact"/>
        <w:jc w:val="center"/>
        <w:rPr>
          <w:rFonts w:ascii="Times New Roman" w:hAnsi="Times New Roman" w:cs="Times New Roman"/>
          <w:b/>
          <w:bCs/>
          <w:sz w:val="44"/>
          <w:szCs w:val="44"/>
        </w:rPr>
      </w:pPr>
      <w:r>
        <w:rPr>
          <w:rFonts w:hint="eastAsia" w:ascii="Times New Roman" w:hAnsi="Times New Roman" w:cs="Times New Roman"/>
          <w:b/>
          <w:bCs/>
          <w:sz w:val="44"/>
          <w:szCs w:val="44"/>
        </w:rPr>
        <w:t>红原县疾病预防控制中心201</w:t>
      </w:r>
      <w:r>
        <w:rPr>
          <w:rFonts w:hint="eastAsia" w:cs="Times New Roman"/>
          <w:b/>
          <w:bCs/>
          <w:sz w:val="44"/>
          <w:szCs w:val="44"/>
          <w:lang w:val="en-US" w:eastAsia="zh-CN"/>
        </w:rPr>
        <w:t>9</w:t>
      </w:r>
      <w:r>
        <w:rPr>
          <w:rFonts w:hint="eastAsia" w:ascii="Times New Roman" w:hAnsi="Times New Roman" w:cs="Times New Roman"/>
          <w:b/>
          <w:bCs/>
          <w:sz w:val="44"/>
          <w:szCs w:val="44"/>
        </w:rPr>
        <w:t>年</w:t>
      </w:r>
    </w:p>
    <w:p>
      <w:pPr>
        <w:pStyle w:val="3"/>
        <w:spacing w:beforeAutospacing="0" w:afterAutospacing="0" w:line="560" w:lineRule="exact"/>
        <w:jc w:val="center"/>
        <w:rPr>
          <w:rFonts w:ascii="Times New Roman" w:hAnsi="Times New Roman" w:eastAsia="黑体" w:cs="Times New Roman"/>
          <w:b/>
          <w:bCs/>
          <w:sz w:val="32"/>
          <w:szCs w:val="32"/>
        </w:rPr>
      </w:pPr>
      <w:r>
        <w:rPr>
          <w:rFonts w:ascii="Times New Roman" w:hAnsi="Times New Roman" w:cs="Times New Roman"/>
          <w:b/>
          <w:bCs/>
          <w:sz w:val="44"/>
          <w:szCs w:val="44"/>
        </w:rPr>
        <w:t>项目绩效评价自评报告</w:t>
      </w:r>
    </w:p>
    <w:p>
      <w:pPr>
        <w:pStyle w:val="3"/>
        <w:spacing w:beforeAutospacing="0" w:afterAutospacing="0" w:line="560" w:lineRule="exact"/>
        <w:ind w:firstLine="2880" w:firstLineChars="9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（结核病项目）</w:t>
      </w:r>
    </w:p>
    <w:p>
      <w:pPr>
        <w:pStyle w:val="14"/>
        <w:widowControl/>
        <w:spacing w:before="0" w:beforeAutospacing="0" w:after="0" w:afterAutospacing="0" w:line="480" w:lineRule="auto"/>
        <w:ind w:firstLine="640" w:firstLineChars="200"/>
        <w:rPr>
          <w:rFonts w:ascii="黑体" w:hAnsi="黑体" w:eastAsia="黑体" w:cs="宋体"/>
          <w:sz w:val="32"/>
          <w:szCs w:val="32"/>
        </w:rPr>
      </w:pPr>
      <w:r>
        <w:rPr>
          <w:rFonts w:hint="eastAsia" w:ascii="黑体" w:hAnsi="黑体" w:eastAsia="黑体" w:cs="宋体"/>
          <w:color w:val="333333"/>
          <w:sz w:val="32"/>
          <w:szCs w:val="32"/>
          <w:shd w:val="clear" w:color="auto" w:fill="FFFFFF"/>
        </w:rPr>
        <w:t>一、</w:t>
      </w:r>
      <w:r>
        <w:rPr>
          <w:rFonts w:hint="eastAsia" w:ascii="黑体" w:hAnsi="黑体" w:eastAsia="黑体" w:cs="宋体"/>
          <w:b/>
          <w:color w:val="333333"/>
          <w:sz w:val="32"/>
          <w:szCs w:val="32"/>
          <w:shd w:val="clear" w:color="auto" w:fill="FFFFFF"/>
        </w:rPr>
        <w:t>自评工作基本情况</w:t>
      </w:r>
    </w:p>
    <w:p>
      <w:pPr>
        <w:pStyle w:val="3"/>
        <w:spacing w:beforeAutospacing="0" w:afterAutospacing="0" w:line="560" w:lineRule="exact"/>
        <w:ind w:firstLine="640" w:firstLineChars="200"/>
        <w:jc w:val="both"/>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根据《传染病防治法》、省政府办公厅《关于进一步加强结核病预防的控制工作意见》以及</w:t>
      </w:r>
      <w:r>
        <w:rPr>
          <w:rFonts w:hint="eastAsia" w:ascii="仿宋_GB2312" w:hAnsi="仿宋_GB2312" w:eastAsia="仿宋_GB2312" w:cs="仿宋_GB2312"/>
          <w:color w:val="333333"/>
          <w:sz w:val="32"/>
          <w:szCs w:val="32"/>
          <w:shd w:val="clear" w:color="auto" w:fill="FFFFFF"/>
        </w:rPr>
        <w:t>四川</w:t>
      </w:r>
      <w:r>
        <w:rPr>
          <w:rFonts w:ascii="仿宋_GB2312" w:hAnsi="仿宋_GB2312" w:eastAsia="仿宋_GB2312" w:cs="仿宋_GB2312"/>
          <w:color w:val="333333"/>
          <w:sz w:val="32"/>
          <w:szCs w:val="32"/>
          <w:shd w:val="clear" w:color="auto" w:fill="FFFFFF"/>
        </w:rPr>
        <w:t>省卫生</w:t>
      </w:r>
      <w:r>
        <w:rPr>
          <w:rFonts w:hint="eastAsia" w:ascii="仿宋_GB2312" w:hAnsi="仿宋_GB2312" w:eastAsia="仿宋_GB2312" w:cs="仿宋_GB2312"/>
          <w:color w:val="333333"/>
          <w:sz w:val="32"/>
          <w:szCs w:val="32"/>
          <w:shd w:val="clear" w:color="auto" w:fill="FFFFFF"/>
        </w:rPr>
        <w:t>健康</w:t>
      </w:r>
      <w:r>
        <w:rPr>
          <w:rFonts w:ascii="仿宋_GB2312" w:hAnsi="仿宋_GB2312" w:eastAsia="仿宋_GB2312" w:cs="仿宋_GB2312"/>
          <w:color w:val="333333"/>
          <w:sz w:val="32"/>
          <w:szCs w:val="32"/>
          <w:shd w:val="clear" w:color="auto" w:fill="FFFFFF"/>
        </w:rPr>
        <w:t>委员会关于贯彻落实《</w:t>
      </w:r>
      <w:r>
        <w:rPr>
          <w:rFonts w:hint="eastAsia" w:ascii="仿宋_GB2312" w:hAnsi="仿宋_GB2312" w:eastAsia="仿宋_GB2312" w:cs="仿宋_GB2312"/>
          <w:color w:val="333333"/>
          <w:sz w:val="32"/>
          <w:szCs w:val="32"/>
          <w:shd w:val="clear" w:color="auto" w:fill="FFFFFF"/>
        </w:rPr>
        <w:t>四川</w:t>
      </w:r>
      <w:r>
        <w:rPr>
          <w:rFonts w:ascii="仿宋_GB2312" w:hAnsi="仿宋_GB2312" w:eastAsia="仿宋_GB2312" w:cs="仿宋_GB2312"/>
          <w:color w:val="333333"/>
          <w:sz w:val="32"/>
          <w:szCs w:val="32"/>
          <w:shd w:val="clear" w:color="auto" w:fill="FFFFFF"/>
        </w:rPr>
        <w:t>省“十三五”结核病防治规划》通知中有关项目情况说明等相关文件精神而取得专项资金。项目经费主要是用于结核病综合防治工作（肺结核患者的发现、追踪、管理），基层工作人员的培训，督导访视工作人员劳务费，落实耐药病肺结核患者救治工作等。继续巩固我</w:t>
      </w:r>
      <w:r>
        <w:rPr>
          <w:rFonts w:hint="eastAsia" w:ascii="仿宋_GB2312" w:hAnsi="仿宋_GB2312" w:eastAsia="仿宋_GB2312" w:cs="仿宋_GB2312"/>
          <w:color w:val="333333"/>
          <w:sz w:val="32"/>
          <w:szCs w:val="32"/>
          <w:shd w:val="clear" w:color="auto" w:fill="FFFFFF"/>
        </w:rPr>
        <w:t>县</w:t>
      </w:r>
      <w:r>
        <w:rPr>
          <w:rFonts w:ascii="仿宋_GB2312" w:hAnsi="仿宋_GB2312" w:eastAsia="仿宋_GB2312" w:cs="仿宋_GB2312"/>
          <w:color w:val="333333"/>
          <w:sz w:val="32"/>
          <w:szCs w:val="32"/>
          <w:shd w:val="clear" w:color="auto" w:fill="FFFFFF"/>
        </w:rPr>
        <w:t>结核病防治工作取得的成绩，推动结核病防治工作的可持续发展。</w:t>
      </w:r>
    </w:p>
    <w:p>
      <w:pPr>
        <w:pStyle w:val="3"/>
        <w:spacing w:beforeAutospacing="0" w:afterAutospacing="0" w:line="560" w:lineRule="exact"/>
        <w:ind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w:t>
      </w:r>
      <w:r>
        <w:rPr>
          <w:rFonts w:hint="eastAsia" w:ascii="Times New Roman" w:hAnsi="Times New Roman" w:eastAsia="黑体" w:cs="Times New Roman"/>
          <w:sz w:val="32"/>
          <w:szCs w:val="32"/>
        </w:rPr>
        <w:t>项目绩效目标</w:t>
      </w:r>
    </w:p>
    <w:p>
      <w:pPr>
        <w:adjustRightInd w:val="0"/>
        <w:snapToGrid w:val="0"/>
        <w:spacing w:line="560" w:lineRule="exact"/>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总目标是到“十三五”期末，全省肺结核发病率要下降到58/10 万以下，病例报告、患者筛查、患者治疗、随防管理、服务能力、公众宣传等规划目标要如期实现。现阶段要求肺结核患者病原学阳性率达到50%以上。耐多药肺结核高危人群耐药筛查率达到95%以上；肺结核患者病原学阳性率达到50%以上；基层医疗卫生机构肺结核患者规范管理率达到90%以上；学生体检结核病筛查比例明显提高；县具备开展结核病的能力；定点医疗机构负责对肺结核患者进行诊断、治疗、登记、定期复诊检查和健康教育等，要具备结核病痰涂片检测、痰培养检测及结核病分子生物学诊断能力，对病原学检查阳性肺结核患者的密切接触者、艾滋病病毒感染者和病人、65岁以上老年人、糖尿病患者等结核病重点人群的主动筛查工作；将结核病筛查纳入学校入学、监管场所入监（所）和流动人口等人群的健康体检项目；推行结核病患者家庭医生签约服务制度。考虑利用移动互联网等新技术为患者开展随访服务，提高患者治疗依从性。</w:t>
      </w:r>
    </w:p>
    <w:p>
      <w:pPr>
        <w:adjustRightInd w:val="0"/>
        <w:snapToGrid w:val="0"/>
        <w:spacing w:line="560" w:lineRule="exact"/>
        <w:ind w:firstLine="643" w:firstLineChars="200"/>
        <w:rPr>
          <w:rFonts w:ascii="黑体" w:hAnsi="黑体" w:eastAsia="黑体" w:cs="楷体_GB2312"/>
          <w:b/>
          <w:lang w:val="zh-CN"/>
        </w:rPr>
      </w:pPr>
      <w:r>
        <w:rPr>
          <w:rFonts w:hint="eastAsia" w:ascii="黑体" w:hAnsi="黑体" w:eastAsia="黑体" w:cs="楷体_GB2312"/>
          <w:b/>
          <w:sz w:val="32"/>
          <w:lang w:val="zh-CN"/>
        </w:rPr>
        <w:t>三、项目自评步骤及方法</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color w:val="000000"/>
          <w:sz w:val="32"/>
          <w:szCs w:val="32"/>
          <w:shd w:val="clear" w:color="auto" w:fill="FFFFFF"/>
        </w:rPr>
        <w:t>结核病项目领导小组如下：</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组  长：张国明   县疾控中心主任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副组长：温念平   县疾控中心副主任</w:t>
      </w:r>
    </w:p>
    <w:p>
      <w:pPr>
        <w:adjustRightInd w:val="0"/>
        <w:snapToGrid w:val="0"/>
        <w:spacing w:line="560" w:lineRule="exact"/>
        <w:ind w:firstLine="1920" w:firstLineChars="6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白玛扎西  县疾控中心副主任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成  员：黄秀  陈丽  韩孝英  刘有军  阿旺             办公室设在财务室、结核病病防治办公室</w:t>
      </w:r>
    </w:p>
    <w:p>
      <w:pPr>
        <w:pStyle w:val="3"/>
        <w:spacing w:beforeAutospacing="0" w:afterAutospacing="0" w:line="560" w:lineRule="exact"/>
        <w:ind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rPr>
        <w:t>、评价的项目内容及概况。</w:t>
      </w:r>
    </w:p>
    <w:p>
      <w:pPr>
        <w:pStyle w:val="14"/>
        <w:widowControl/>
        <w:spacing w:before="0" w:beforeAutospacing="0" w:after="0" w:afterAutospacing="0" w:line="480" w:lineRule="auto"/>
        <w:ind w:left="640"/>
        <w:rPr>
          <w:rFonts w:ascii="楷体" w:hAnsi="楷体" w:eastAsia="楷体" w:cs="宋体"/>
          <w:b/>
          <w:color w:val="333333"/>
          <w:sz w:val="30"/>
          <w:szCs w:val="30"/>
          <w:shd w:val="clear" w:color="auto" w:fill="FFFFFF"/>
        </w:rPr>
      </w:pPr>
      <w:r>
        <w:rPr>
          <w:rFonts w:hint="eastAsia" w:ascii="楷体" w:hAnsi="楷体" w:eastAsia="楷体" w:cs="仿宋_GB2312"/>
          <w:b/>
          <w:bCs/>
          <w:sz w:val="32"/>
          <w:szCs w:val="32"/>
        </w:rPr>
        <w:t>（一）.</w:t>
      </w:r>
      <w:r>
        <w:rPr>
          <w:rFonts w:hint="eastAsia" w:ascii="楷体" w:hAnsi="楷体" w:eastAsia="楷体" w:cs="宋体"/>
          <w:b/>
          <w:color w:val="333333"/>
          <w:sz w:val="30"/>
          <w:szCs w:val="30"/>
          <w:shd w:val="clear" w:color="auto" w:fill="FFFFFF"/>
        </w:rPr>
        <w:t>评价的具体项目资金情况</w:t>
      </w:r>
    </w:p>
    <w:p>
      <w:pPr>
        <w:pStyle w:val="14"/>
        <w:widowControl/>
        <w:spacing w:before="0" w:beforeAutospacing="0" w:after="0" w:afterAutospacing="0" w:line="480" w:lineRule="auto"/>
        <w:ind w:firstLine="640" w:firstLineChars="200"/>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2018</w:t>
      </w:r>
      <w:r>
        <w:rPr>
          <w:rFonts w:ascii="仿宋_GB2312" w:hAnsi="仿宋_GB2312" w:eastAsia="仿宋_GB2312" w:cs="仿宋_GB2312"/>
          <w:color w:val="333333"/>
          <w:sz w:val="32"/>
          <w:szCs w:val="32"/>
          <w:shd w:val="clear" w:color="auto" w:fill="FFFFFF"/>
        </w:rPr>
        <w:t>年度结余结转数</w:t>
      </w:r>
      <w:r>
        <w:rPr>
          <w:rFonts w:hint="eastAsia" w:ascii="仿宋_GB2312" w:hAnsi="仿宋_GB2312" w:eastAsia="仿宋_GB2312" w:cs="仿宋_GB2312"/>
          <w:color w:val="333333"/>
          <w:sz w:val="32"/>
          <w:szCs w:val="32"/>
          <w:shd w:val="clear" w:color="auto" w:fill="FFFFFF"/>
          <w:lang w:val="en-US" w:eastAsia="zh-CN"/>
        </w:rPr>
        <w:t>25061</w:t>
      </w:r>
      <w:r>
        <w:rPr>
          <w:rFonts w:ascii="仿宋_GB2312" w:hAnsi="仿宋_GB2312" w:eastAsia="仿宋_GB2312" w:cs="仿宋_GB2312"/>
          <w:color w:val="333333"/>
          <w:sz w:val="32"/>
          <w:szCs w:val="32"/>
          <w:shd w:val="clear" w:color="auto" w:fill="FFFFFF"/>
        </w:rPr>
        <w:t>元，201</w:t>
      </w:r>
      <w:r>
        <w:rPr>
          <w:rFonts w:hint="eastAsia" w:ascii="仿宋_GB2312" w:hAnsi="仿宋_GB2312" w:eastAsia="仿宋_GB2312" w:cs="仿宋_GB2312"/>
          <w:color w:val="333333"/>
          <w:sz w:val="32"/>
          <w:szCs w:val="32"/>
          <w:shd w:val="clear" w:color="auto" w:fill="FFFFFF"/>
          <w:lang w:val="en-US" w:eastAsia="zh-CN"/>
        </w:rPr>
        <w:t>9</w:t>
      </w:r>
      <w:r>
        <w:rPr>
          <w:rFonts w:ascii="仿宋_GB2312" w:hAnsi="仿宋_GB2312" w:eastAsia="仿宋_GB2312" w:cs="仿宋_GB2312"/>
          <w:color w:val="333333"/>
          <w:sz w:val="32"/>
          <w:szCs w:val="32"/>
          <w:shd w:val="clear" w:color="auto" w:fill="FFFFFF"/>
        </w:rPr>
        <w:t>年收到</w:t>
      </w:r>
      <w:r>
        <w:rPr>
          <w:rFonts w:hint="eastAsia" w:ascii="仿宋_GB2312" w:hAnsi="仿宋_GB2312" w:eastAsia="仿宋_GB2312" w:cs="仿宋_GB2312"/>
          <w:color w:val="333333"/>
          <w:sz w:val="32"/>
          <w:szCs w:val="32"/>
          <w:shd w:val="clear" w:color="auto" w:fill="FFFFFF"/>
        </w:rPr>
        <w:t>中央，省</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67800</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rPr>
        <w:t>，县</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7000</w:t>
      </w:r>
      <w:r>
        <w:rPr>
          <w:rFonts w:ascii="仿宋_GB2312" w:hAnsi="仿宋_GB2312" w:eastAsia="仿宋_GB2312" w:cs="仿宋_GB2312"/>
          <w:color w:val="333333"/>
          <w:sz w:val="32"/>
          <w:szCs w:val="32"/>
          <w:shd w:val="clear" w:color="auto" w:fill="FFFFFF"/>
        </w:rPr>
        <w:t>元，201</w:t>
      </w:r>
      <w:r>
        <w:rPr>
          <w:rFonts w:hint="eastAsia" w:ascii="仿宋_GB2312" w:hAnsi="仿宋_GB2312" w:eastAsia="仿宋_GB2312" w:cs="仿宋_GB2312"/>
          <w:color w:val="333333"/>
          <w:sz w:val="32"/>
          <w:szCs w:val="32"/>
          <w:shd w:val="clear" w:color="auto" w:fill="FFFFFF"/>
          <w:lang w:val="en-US" w:eastAsia="zh-CN"/>
        </w:rPr>
        <w:t>9</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lang w:val="en-US" w:eastAsia="zh-CN"/>
        </w:rPr>
        <w:t>37464.53</w:t>
      </w:r>
      <w:r>
        <w:rPr>
          <w:rFonts w:ascii="仿宋_GB2312" w:hAnsi="仿宋_GB2312" w:eastAsia="仿宋_GB2312" w:cs="仿宋_GB2312"/>
          <w:color w:val="333333"/>
          <w:sz w:val="32"/>
          <w:szCs w:val="32"/>
          <w:shd w:val="clear" w:color="auto" w:fill="FFFFFF"/>
        </w:rPr>
        <w:t>元。到201</w:t>
      </w:r>
      <w:r>
        <w:rPr>
          <w:rFonts w:hint="eastAsia" w:ascii="仿宋_GB2312" w:hAnsi="仿宋_GB2312" w:eastAsia="仿宋_GB2312" w:cs="仿宋_GB2312"/>
          <w:color w:val="333333"/>
          <w:sz w:val="32"/>
          <w:szCs w:val="32"/>
          <w:shd w:val="clear" w:color="auto" w:fill="FFFFFF"/>
          <w:lang w:val="en-US" w:eastAsia="zh-CN"/>
        </w:rPr>
        <w:t>9</w:t>
      </w:r>
      <w:r>
        <w:rPr>
          <w:rFonts w:ascii="仿宋_GB2312" w:hAnsi="仿宋_GB2312" w:eastAsia="仿宋_GB2312" w:cs="仿宋_GB2312"/>
          <w:color w:val="333333"/>
          <w:sz w:val="32"/>
          <w:szCs w:val="32"/>
          <w:shd w:val="clear" w:color="auto" w:fill="FFFFFF"/>
        </w:rPr>
        <w:t>年底账面余额</w:t>
      </w:r>
      <w:r>
        <w:rPr>
          <w:rFonts w:hint="eastAsia" w:ascii="仿宋_GB2312" w:hAnsi="仿宋_GB2312" w:eastAsia="仿宋_GB2312" w:cs="仿宋_GB2312"/>
          <w:color w:val="333333"/>
          <w:sz w:val="32"/>
          <w:szCs w:val="32"/>
          <w:shd w:val="clear" w:color="auto" w:fill="FFFFFF"/>
          <w:lang w:val="en-US" w:eastAsia="zh-CN"/>
        </w:rPr>
        <w:t>51000</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;财政收回2018年结余资金11396.47元。</w:t>
      </w:r>
    </w:p>
    <w:p>
      <w:pPr>
        <w:pStyle w:val="14"/>
        <w:widowControl/>
        <w:spacing w:before="0" w:beforeAutospacing="0" w:after="0" w:afterAutospacing="0" w:line="480" w:lineRule="auto"/>
        <w:ind w:left="640"/>
        <w:rPr>
          <w:rFonts w:ascii="楷体" w:hAnsi="楷体" w:eastAsia="楷体" w:cs="宋体"/>
          <w:b/>
          <w:color w:val="333333"/>
          <w:sz w:val="30"/>
          <w:szCs w:val="30"/>
          <w:shd w:val="clear" w:color="auto" w:fill="FFFFFF"/>
        </w:rPr>
      </w:pPr>
      <w:r>
        <w:rPr>
          <w:rFonts w:hint="eastAsia" w:ascii="楷体" w:hAnsi="楷体" w:eastAsia="楷体" w:cs="宋体"/>
          <w:b/>
          <w:color w:val="333333"/>
          <w:sz w:val="30"/>
          <w:szCs w:val="30"/>
          <w:shd w:val="clear" w:color="auto" w:fill="FFFFFF"/>
        </w:rPr>
        <w:t>（二）绩效评价</w:t>
      </w:r>
    </w:p>
    <w:p>
      <w:pPr>
        <w:pStyle w:val="14"/>
        <w:widowControl/>
        <w:spacing w:before="0" w:beforeAutospacing="0" w:after="0" w:afterAutospacing="0" w:line="480" w:lineRule="auto"/>
        <w:ind w:left="640"/>
        <w:rPr>
          <w:rFonts w:hint="eastAsia" w:ascii="仿宋_GB2312" w:hAnsi="宋体" w:eastAsia="仿宋_GB2312" w:cs="宋体"/>
          <w:b/>
          <w:color w:val="333333"/>
          <w:sz w:val="30"/>
          <w:szCs w:val="30"/>
          <w:shd w:val="clear" w:color="auto" w:fill="FFFFFF"/>
        </w:rPr>
      </w:pPr>
      <w:r>
        <w:rPr>
          <w:rFonts w:hint="eastAsia" w:ascii="仿宋_GB2312" w:hAnsi="宋体" w:eastAsia="仿宋_GB2312" w:cs="宋体"/>
          <w:b/>
          <w:color w:val="333333"/>
          <w:sz w:val="30"/>
          <w:szCs w:val="30"/>
          <w:shd w:val="clear" w:color="auto" w:fill="FFFFFF"/>
        </w:rPr>
        <w:t>1.项目工作完成情况</w:t>
      </w:r>
    </w:p>
    <w:p>
      <w:pPr>
        <w:pStyle w:val="2"/>
        <w:spacing w:after="0"/>
        <w:ind w:left="0" w:leftChars="0"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-9月，全县初诊结核病人331例，删除重卡87例，排成其他疾病43例，目前未确诊20例，确诊肺结核病181例；其中，病原学阳性肺结核病人20例，病原学阴性肺结核病人49例，无病原学肺结核病病人132例，半年内有38例完成疗程；1-9月县疾控中心对58名肺结核病人密切接触者的进行了筛查，未查出涂阳肺结核，开展学校PPD结核病筛查工作1次，共计筛查1920人次，接受PPD试验1702例，发现PPD试验阳性者50例，目前经医疗机构进一步胸片、CT检查后发现陈旧性病灶2例、肺结核8例、肺炎4例，县疾控中心已按照《四川省学校结核病防治实施细则》进行管理。截至目前，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确诊94例肺结核病人中完成疗程81例、完成疗程率95﹪，系统管理94例、系统管理率100%；1-9月，开展基层医疗机构结防工作督导3轮次，开展结防知识健康宣教活动1次，共计发放结核病宣传单20000余份、宣传小礼品1800余份，洗漱杯160余套，接受咨询20000余人次。</w:t>
      </w:r>
    </w:p>
    <w:p>
      <w:pPr>
        <w:pStyle w:val="3"/>
        <w:spacing w:beforeAutospacing="0" w:afterAutospacing="0" w:line="560" w:lineRule="exact"/>
        <w:ind w:firstLine="640" w:firstLineChars="200"/>
        <w:jc w:val="both"/>
        <w:rPr>
          <w:rFonts w:ascii="仿宋_GB2312" w:hAnsi="仿宋_GB2312" w:eastAsia="仿宋_GB2312" w:cs="仿宋_GB2312"/>
          <w:b/>
          <w:color w:val="000000"/>
          <w:sz w:val="32"/>
          <w:szCs w:val="32"/>
          <w:shd w:val="clear" w:color="auto" w:fill="FFFFFF"/>
        </w:rPr>
      </w:pPr>
      <w:r>
        <w:rPr>
          <w:rFonts w:ascii="仿宋_GB2312" w:hAnsi="仿宋_GB2312" w:eastAsia="仿宋_GB2312" w:cs="仿宋_GB2312"/>
          <w:color w:val="333333"/>
          <w:sz w:val="32"/>
          <w:szCs w:val="32"/>
          <w:shd w:val="clear" w:color="auto" w:fill="FFFFFF"/>
        </w:rPr>
        <w:t>为加强项目资金的财务管理工作，我中心成立结核病经费工使用管理领导小组。财务专门制定了财政专项资金管理制度，所有项目资金的使用都严格按照财政专项资金管理制度开支，做好账务设置和账务管理。在资金使用过程中，严把监督审核关，建立健全内部审批。同时，定期或不定期对资金使用、管理情况进行自查和检查，在实施项目过程中，厉行节约，避免浪费，使项目资金能最大限度地发挥其作用。</w:t>
      </w:r>
    </w:p>
    <w:p>
      <w:pPr>
        <w:pStyle w:val="3"/>
        <w:numPr>
          <w:ilvl w:val="0"/>
          <w:numId w:val="6"/>
        </w:numPr>
        <w:spacing w:beforeAutospacing="0" w:afterAutospacing="0" w:line="560" w:lineRule="exact"/>
        <w:ind w:firstLine="643" w:firstLineChars="200"/>
        <w:jc w:val="both"/>
        <w:rPr>
          <w:rFonts w:ascii="楷体_GB2312" w:hAnsi="Times New Roman" w:eastAsia="楷体_GB2312" w:cs="Times New Roman"/>
          <w:b/>
          <w:sz w:val="32"/>
          <w:szCs w:val="32"/>
        </w:rPr>
      </w:pPr>
      <w:r>
        <w:rPr>
          <w:rFonts w:hint="eastAsia" w:ascii="楷体_GB2312" w:hAnsi="Times New Roman" w:eastAsia="楷体_GB2312" w:cs="Times New Roman"/>
          <w:b/>
          <w:sz w:val="32"/>
          <w:szCs w:val="32"/>
        </w:rPr>
        <w:t>绩效评价结论</w:t>
      </w:r>
    </w:p>
    <w:p>
      <w:pPr>
        <w:pStyle w:val="14"/>
        <w:widowControl/>
        <w:shd w:val="clear" w:color="auto" w:fill="FFFFFF"/>
        <w:spacing w:before="0" w:beforeAutospacing="0" w:after="0" w:afterAutospacing="0"/>
        <w:ind w:firstLine="736" w:firstLineChars="23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1.加强了病人治疗和管理</w:t>
      </w:r>
    </w:p>
    <w:p>
      <w:pPr>
        <w:pStyle w:val="14"/>
        <w:widowControl/>
        <w:shd w:val="clear" w:color="auto" w:fill="FFFFFF"/>
        <w:spacing w:before="0" w:beforeAutospacing="0" w:after="0" w:afterAutospacing="0"/>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为推动各医疗机构规范开展结核病患者健康管理服务，举办了结核病患者管理培训班。加强了对辖区医疗机构的督导，每月一次下到医疗机构开展结核病规范管理工作督导。针对红原县下发关于加强结核病管理文件精神开展专项工作督导，对工作中的薄弱环节、重点难点工作提出很好的解决方案，对医疗机构如何提高耐多药病人发现，规范治疗与管理，实验室检测能力提高等提出了指导性意见。</w:t>
      </w:r>
    </w:p>
    <w:p>
      <w:pPr>
        <w:pStyle w:val="14"/>
        <w:widowControl/>
        <w:shd w:val="clear" w:color="auto" w:fill="FFFFFF"/>
        <w:spacing w:before="0" w:beforeAutospacing="0" w:after="0" w:afterAutospacing="0"/>
        <w:ind w:firstLine="736" w:firstLineChars="23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2.扩大结核病防治核心信息宣传覆盖面</w:t>
      </w:r>
    </w:p>
    <w:p>
      <w:pPr>
        <w:pStyle w:val="14"/>
        <w:widowControl/>
        <w:shd w:val="clear" w:color="auto" w:fill="FFFFFF"/>
        <w:spacing w:before="0" w:beforeAutospacing="0" w:after="0" w:afterAutospacing="0"/>
        <w:ind w:firstLine="736" w:firstLineChars="23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201</w:t>
      </w:r>
      <w:r>
        <w:rPr>
          <w:rFonts w:hint="eastAsia" w:ascii="仿宋_GB2312" w:hAnsi="仿宋_GB2312" w:eastAsia="仿宋_GB2312" w:cs="仿宋_GB2312"/>
          <w:color w:val="333333"/>
          <w:sz w:val="32"/>
          <w:szCs w:val="32"/>
          <w:shd w:val="clear" w:color="auto" w:fill="FFFFFF"/>
          <w:lang w:val="en-US" w:eastAsia="zh-CN"/>
        </w:rPr>
        <w:t>9</w:t>
      </w:r>
      <w:r>
        <w:rPr>
          <w:rFonts w:hint="eastAsia" w:ascii="仿宋_GB2312" w:hAnsi="仿宋_GB2312" w:eastAsia="仿宋_GB2312" w:cs="仿宋_GB2312"/>
          <w:color w:val="333333"/>
          <w:sz w:val="32"/>
          <w:szCs w:val="32"/>
          <w:shd w:val="clear" w:color="auto" w:fill="FFFFFF"/>
        </w:rPr>
        <w:t>年3月24日是第23个“世界防治结核病日”。为提高牧民群众对结核病危害性的认识，进一步推进全县结核病防治工作开展。我单位在红原县及各乡镇进行了结核病防治宣传活动，为过往群众发放宣传折页，讲解结核病防治的知识、国家的免费政策；通过活动的开展，进一步提高了大众人群、重点人群结核病防治核心信息的知晓率和自我防护意识，为今后全县结核病防治工作的有效开展打下了扎实基础。</w:t>
      </w:r>
    </w:p>
    <w:p>
      <w:pPr>
        <w:pStyle w:val="14"/>
        <w:widowControl/>
        <w:shd w:val="clear" w:color="auto" w:fill="FFFFFF"/>
        <w:spacing w:before="0" w:beforeAutospacing="0" w:after="0" w:afterAutospacing="0"/>
        <w:ind w:firstLine="581" w:firstLineChars="181"/>
        <w:jc w:val="both"/>
        <w:rPr>
          <w:rFonts w:ascii="仿宋_GB2312" w:hAnsi="仿宋_GB2312" w:eastAsia="仿宋_GB2312" w:cs="仿宋_GB2312"/>
          <w:b/>
          <w:bCs/>
          <w:color w:val="333333"/>
          <w:sz w:val="32"/>
          <w:szCs w:val="32"/>
        </w:rPr>
      </w:pPr>
      <w:r>
        <w:rPr>
          <w:rFonts w:hint="eastAsia" w:ascii="仿宋_GB2312" w:hAnsi="仿宋_GB2312" w:eastAsia="仿宋_GB2312" w:cs="仿宋_GB2312"/>
          <w:b/>
          <w:bCs/>
          <w:color w:val="333333"/>
          <w:sz w:val="32"/>
          <w:szCs w:val="32"/>
          <w:shd w:val="clear" w:color="auto" w:fill="FFFFFF"/>
        </w:rPr>
        <w:t>3.落实国家政策</w:t>
      </w:r>
    </w:p>
    <w:p>
      <w:pPr>
        <w:pStyle w:val="14"/>
        <w:widowControl/>
        <w:shd w:val="clear" w:color="auto" w:fill="FFFFFF"/>
        <w:spacing w:before="0" w:beforeAutospacing="0" w:after="0" w:afterAutospacing="0"/>
        <w:ind w:firstLine="579" w:firstLineChars="181"/>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为耐多药肺结核患者得到及时而规范的医疗服务，防止出现因病致贫、因病返贫问题，降低其患病和死亡，减少在人群中的传播，推进健康红原工作,对辖区耐药病人进行了摸底登记。</w:t>
      </w:r>
    </w:p>
    <w:p>
      <w:pPr>
        <w:pStyle w:val="14"/>
        <w:widowControl/>
        <w:shd w:val="clear" w:color="auto" w:fill="FFFFFF"/>
        <w:spacing w:before="0" w:beforeAutospacing="0" w:after="0" w:afterAutospacing="0"/>
        <w:ind w:firstLine="579" w:firstLineChars="181"/>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通过国家扶贫项目，对我县结核病贫困人口21人拨付补助资金每人800元，共计16800元。</w:t>
      </w:r>
    </w:p>
    <w:p>
      <w:pPr>
        <w:pStyle w:val="3"/>
        <w:spacing w:beforeAutospacing="0" w:afterAutospacing="0" w:line="56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四、存在的问题和困难</w:t>
      </w:r>
    </w:p>
    <w:p>
      <w:pPr>
        <w:pStyle w:val="14"/>
        <w:widowControl/>
        <w:shd w:val="clear" w:color="auto" w:fill="FFFFFF"/>
        <w:spacing w:before="0" w:beforeAutospacing="0" w:after="0" w:afterAutospacing="0" w:line="560" w:lineRule="exact"/>
        <w:ind w:firstLine="640"/>
        <w:rPr>
          <w:color w:val="000000"/>
          <w:sz w:val="32"/>
          <w:szCs w:val="32"/>
        </w:rPr>
      </w:pPr>
      <w:r>
        <w:rPr>
          <w:rFonts w:ascii="仿宋_GB2312" w:eastAsia="仿宋_GB2312" w:cs="仿宋_GB2312"/>
          <w:color w:val="000000"/>
          <w:sz w:val="32"/>
          <w:szCs w:val="32"/>
          <w:shd w:val="clear" w:color="auto" w:fill="FFFFFF"/>
        </w:rPr>
        <w:t>1</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乡村两级从事公共卫生服务项目的人员业务能力还需再提高，公共卫生服务是一项系统而繁杂，工作量大，人员少，培训工作不足，缺乏工作经验，导致工作欠规范。</w:t>
      </w:r>
    </w:p>
    <w:p>
      <w:pPr>
        <w:spacing w:line="560" w:lineRule="exact"/>
        <w:ind w:firstLine="627" w:firstLineChars="196"/>
        <w:rPr>
          <w:rFonts w:ascii="仿宋_GB2312" w:hAnsi="仿宋" w:eastAsia="仿宋_GB2312" w:cs="宋体"/>
          <w:color w:val="000000"/>
          <w:kern w:val="0"/>
          <w:sz w:val="32"/>
          <w:szCs w:val="32"/>
        </w:rPr>
      </w:pPr>
      <w:r>
        <w:rPr>
          <w:rFonts w:ascii="仿宋_GB2312" w:eastAsia="仿宋_GB2312" w:cs="仿宋_GB2312"/>
          <w:color w:val="000000"/>
          <w:sz w:val="32"/>
          <w:szCs w:val="32"/>
          <w:shd w:val="clear" w:color="auto" w:fill="FFFFFF"/>
        </w:rPr>
        <w:t>2</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宣传还不够深入，</w:t>
      </w:r>
      <w:r>
        <w:rPr>
          <w:rFonts w:hint="eastAsia" w:ascii="仿宋_GB2312" w:eastAsia="仿宋_GB2312" w:cs="仿宋_GB2312"/>
          <w:color w:val="000000"/>
          <w:sz w:val="32"/>
          <w:szCs w:val="32"/>
          <w:shd w:val="clear" w:color="auto" w:fill="FFFFFF"/>
        </w:rPr>
        <w:t>牧民</w:t>
      </w:r>
      <w:r>
        <w:rPr>
          <w:rFonts w:ascii="仿宋_GB2312" w:eastAsia="仿宋_GB2312" w:cs="仿宋_GB2312"/>
          <w:color w:val="000000"/>
          <w:sz w:val="32"/>
          <w:szCs w:val="32"/>
          <w:shd w:val="clear" w:color="auto" w:fill="FFFFFF"/>
        </w:rPr>
        <w:t>群众对基本公共卫生项目知晓率低，不理解、不配合的现象时有发生</w:t>
      </w:r>
      <w:r>
        <w:rPr>
          <w:rFonts w:hint="eastAsia" w:ascii="仿宋_GB2312" w:eastAsia="仿宋_GB2312" w:cs="仿宋_GB2312"/>
          <w:color w:val="000000"/>
          <w:sz w:val="32"/>
          <w:szCs w:val="32"/>
          <w:shd w:val="clear" w:color="auto" w:fill="FFFFFF"/>
        </w:rPr>
        <w:t>、</w:t>
      </w:r>
      <w:r>
        <w:rPr>
          <w:rFonts w:hint="eastAsia" w:ascii="仿宋_GB2312" w:hAnsi="仿宋" w:eastAsia="仿宋_GB2312"/>
          <w:color w:val="000000"/>
          <w:sz w:val="32"/>
          <w:szCs w:val="32"/>
        </w:rPr>
        <w:t>疾病防控健康教育工作需要更深入，宣传资料需要更具针对性，只有改变了牧民群众的生活习惯，卫生习惯和防病观念后，我们的疾病预防控制工作才能事半功倍。</w:t>
      </w:r>
    </w:p>
    <w:p>
      <w:pPr>
        <w:spacing w:line="560" w:lineRule="exact"/>
        <w:ind w:firstLine="640" w:firstLineChars="20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3</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项目工作实施主体主要是乡镇卫生院，基层人员紧张，工作量过大，导致工作质量和效率欠佳，难以保质保量完成工作任务。</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w:t>
      </w:r>
      <w:r>
        <w:rPr>
          <w:rFonts w:ascii="仿宋_GB2312" w:hAnsi="仿宋_GB2312" w:eastAsia="仿宋_GB2312" w:cs="仿宋_GB2312"/>
          <w:color w:val="333333"/>
          <w:sz w:val="32"/>
          <w:szCs w:val="32"/>
          <w:shd w:val="clear" w:color="auto" w:fill="FFFFFF"/>
        </w:rPr>
        <w:t>督导管理人员流动性大，结核病患者难以克服被歧视心理，易拒绝上门随访和面对面访视。</w:t>
      </w:r>
    </w:p>
    <w:p>
      <w:pPr>
        <w:pStyle w:val="3"/>
        <w:spacing w:beforeAutospacing="0" w:afterAutospacing="0" w:line="560" w:lineRule="exact"/>
        <w:ind w:firstLine="600" w:firstLineChars="200"/>
        <w:jc w:val="both"/>
        <w:rPr>
          <w:rFonts w:ascii="仿宋_GB2312" w:hAnsi="仿宋_GB2312" w:eastAsia="仿宋_GB2312" w:cs="仿宋_GB2312"/>
          <w:color w:val="333333"/>
          <w:sz w:val="32"/>
          <w:szCs w:val="32"/>
          <w:shd w:val="clear" w:color="auto" w:fill="FFFFFF"/>
        </w:rPr>
      </w:pPr>
      <w:r>
        <w:rPr>
          <w:rFonts w:hint="eastAsia"/>
          <w:color w:val="333333"/>
          <w:sz w:val="30"/>
          <w:szCs w:val="30"/>
          <w:shd w:val="clear" w:color="auto" w:fill="FFFFFF"/>
        </w:rPr>
        <w:t>5.要进一步</w:t>
      </w:r>
      <w:r>
        <w:rPr>
          <w:rFonts w:ascii="仿宋_GB2312" w:hAnsi="仿宋_GB2312" w:eastAsia="仿宋_GB2312" w:cs="仿宋_GB2312"/>
          <w:color w:val="333333"/>
          <w:sz w:val="32"/>
          <w:szCs w:val="32"/>
          <w:shd w:val="clear" w:color="auto" w:fill="FFFFFF"/>
        </w:rPr>
        <w:t>加强学校结核病防治工作，做到有培训、有考核、有督导、有反馈，建立学校与疾控结防工作的长效管理，明确部门职责。规范开展学校结核病疫情处置。</w:t>
      </w:r>
    </w:p>
    <w:p>
      <w:pPr>
        <w:pStyle w:val="3"/>
        <w:spacing w:beforeAutospacing="0" w:afterAutospacing="0" w:line="56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五、其他需要说明的事项</w:t>
      </w:r>
    </w:p>
    <w:p>
      <w:pPr>
        <w:pStyle w:val="14"/>
        <w:widowControl/>
        <w:shd w:val="clear" w:color="auto" w:fill="FFFFFF"/>
        <w:spacing w:before="0" w:beforeAutospacing="0" w:after="0" w:afterAutospacing="0"/>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结核病防治工作是一次长期、艰巨的工作，充分体现了党和政府对病人的关怀，我们将认真继续落实各项防治措施，确保完成任务。</w:t>
      </w:r>
    </w:p>
    <w:p>
      <w:pPr>
        <w:spacing w:line="600" w:lineRule="exact"/>
        <w:outlineLvl w:val="0"/>
        <w:rPr>
          <w:rFonts w:ascii="黑体" w:hAnsi="黑体" w:eastAsia="黑体"/>
          <w:color w:val="000000"/>
          <w:sz w:val="44"/>
          <w:szCs w:val="44"/>
        </w:rPr>
      </w:pPr>
    </w:p>
    <w:p>
      <w:pPr>
        <w:spacing w:line="58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p>
    <w:p>
      <w:pPr>
        <w:spacing w:line="580" w:lineRule="exact"/>
        <w:ind w:firstLine="640" w:firstLineChars="200"/>
        <w:rPr>
          <w:rFonts w:ascii="仿宋_GB2312" w:hAnsi="仿宋_GB2312" w:eastAsia="仿宋_GB2312" w:cs="仿宋_GB2312"/>
          <w:sz w:val="32"/>
          <w:szCs w:val="32"/>
        </w:rPr>
      </w:pPr>
    </w:p>
    <w:p>
      <w:pPr>
        <w:snapToGrid w:val="0"/>
        <w:spacing w:line="5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红原县疾病预防控制中心</w:t>
      </w:r>
    </w:p>
    <w:p>
      <w:pPr>
        <w:snapToGrid w:val="0"/>
        <w:spacing w:line="5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项目支出绩效评价报告</w:t>
      </w:r>
    </w:p>
    <w:p>
      <w:pPr>
        <w:tabs>
          <w:tab w:val="left" w:pos="3885"/>
        </w:tabs>
        <w:snapToGrid w:val="0"/>
        <w:spacing w:line="580" w:lineRule="exact"/>
        <w:ind w:firstLine="640" w:firstLineChars="200"/>
        <w:jc w:val="center"/>
        <w:rPr>
          <w:rFonts w:hAnsi="宋体"/>
        </w:rPr>
      </w:pPr>
      <w:r>
        <w:rPr>
          <w:rFonts w:hint="eastAsia" w:hAnsi="宋体" w:eastAsia="仿宋_GB2312" w:cs="仿宋_GB2312"/>
          <w:sz w:val="32"/>
        </w:rPr>
        <w:t>（</w:t>
      </w:r>
      <w:r>
        <w:rPr>
          <w:rFonts w:hint="eastAsia" w:hAnsi="宋体" w:eastAsia="仿宋_GB2312"/>
          <w:sz w:val="32"/>
        </w:rPr>
        <w:t>艾滋病</w:t>
      </w:r>
      <w:r>
        <w:rPr>
          <w:rFonts w:hint="eastAsia" w:hAnsi="宋体" w:eastAsia="仿宋_GB2312" w:cs="仿宋_GB2312"/>
          <w:sz w:val="32"/>
        </w:rPr>
        <w:t>项目）</w:t>
      </w:r>
    </w:p>
    <w:p>
      <w:pPr>
        <w:tabs>
          <w:tab w:val="left" w:pos="3885"/>
        </w:tabs>
        <w:snapToGrid w:val="0"/>
        <w:spacing w:line="580" w:lineRule="exact"/>
        <w:ind w:firstLine="422" w:firstLineChars="200"/>
        <w:jc w:val="left"/>
        <w:rPr>
          <w:rFonts w:ascii="宋体" w:hAnsi="宋体" w:eastAsia="仿宋_GB2312" w:cs="宋体"/>
          <w:b/>
          <w:szCs w:val="21"/>
        </w:rPr>
      </w:pPr>
    </w:p>
    <w:p>
      <w:pPr>
        <w:pStyle w:val="14"/>
        <w:widowControl/>
        <w:shd w:val="clear" w:color="auto" w:fill="F4FBFE"/>
        <w:spacing w:before="0" w:beforeAutospacing="0" w:after="0" w:afterAutospacing="0" w:line="560" w:lineRule="exact"/>
        <w:ind w:left="495" w:leftChars="236" w:right="45" w:firstLine="320" w:firstLineChars="100"/>
        <w:rPr>
          <w:rFonts w:ascii="黑体" w:hAnsi="宋体" w:eastAsia="黑体" w:cs="黑体"/>
          <w:kern w:val="2"/>
          <w:sz w:val="32"/>
          <w:szCs w:val="21"/>
        </w:rPr>
      </w:pPr>
      <w:r>
        <w:rPr>
          <w:rFonts w:hint="eastAsia" w:ascii="黑体" w:hAnsi="宋体" w:eastAsia="黑体" w:cs="黑体"/>
          <w:kern w:val="2"/>
          <w:sz w:val="32"/>
          <w:szCs w:val="21"/>
        </w:rPr>
        <w:t>一、项目基本情况</w:t>
      </w:r>
    </w:p>
    <w:p>
      <w:pPr>
        <w:pStyle w:val="14"/>
        <w:widowControl/>
        <w:shd w:val="clear" w:color="auto" w:fill="F4FBFE"/>
        <w:spacing w:before="0" w:beforeAutospacing="0" w:after="0" w:afterAutospacing="0" w:line="560" w:lineRule="exact"/>
        <w:ind w:left="44" w:leftChars="21" w:right="45"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4FBFE"/>
        </w:rPr>
        <w:t>1.项目主要内容：对监管场所等高危人群进行检测，对艾滋病人进行治疗，降低病死率，提高有关人员的生存质量，对群众进行艾滋病防治宣传教育，减少对艾滋病人的歧视。</w:t>
      </w:r>
    </w:p>
    <w:p>
      <w:pPr>
        <w:pStyle w:val="14"/>
        <w:widowControl/>
        <w:shd w:val="clear" w:color="auto" w:fill="F4FBFE"/>
        <w:spacing w:before="0" w:beforeAutospacing="0" w:after="0" w:afterAutospacing="0" w:line="560" w:lineRule="exact"/>
        <w:ind w:left="44" w:leftChars="21" w:right="45"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4FBFE"/>
        </w:rPr>
        <w:t>2.项目涉及范围：对全县范围与艾滋病防治有关的交通差旅、试剂耗材、培训、人力成本、健康教育、宣传、维修维护、公车运行等。</w:t>
      </w:r>
    </w:p>
    <w:p>
      <w:pPr>
        <w:widowControl/>
        <w:spacing w:line="560" w:lineRule="exact"/>
        <w:ind w:right="147"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color w:val="000000"/>
          <w:kern w:val="0"/>
          <w:sz w:val="32"/>
          <w:szCs w:val="32"/>
        </w:rPr>
        <w:t>红原县辖11乡镇，243个行政村。2018年，全县总人口4.8万人，常住人口4.8万人。全县项目实施单位16个，其中：乡镇卫生院11个。</w:t>
      </w:r>
    </w:p>
    <w:p>
      <w:pPr>
        <w:pStyle w:val="14"/>
        <w:widowControl/>
        <w:numPr>
          <w:ilvl w:val="0"/>
          <w:numId w:val="7"/>
        </w:numPr>
        <w:shd w:val="clear" w:color="auto" w:fill="F4FBFE"/>
        <w:spacing w:before="0" w:beforeAutospacing="0" w:after="0" w:afterAutospacing="0" w:line="560" w:lineRule="exact"/>
        <w:ind w:left="45" w:right="45" w:firstLine="450"/>
        <w:rPr>
          <w:rFonts w:ascii="楷体_GB2312" w:hAnsi="宋体" w:eastAsia="楷体_GB2312" w:cs="楷体_GB2312"/>
          <w:b/>
          <w:kern w:val="2"/>
          <w:sz w:val="32"/>
          <w:lang w:val="zh-CN"/>
        </w:rPr>
      </w:pPr>
      <w:r>
        <w:rPr>
          <w:rFonts w:hint="eastAsia" w:ascii="楷体_GB2312" w:hAnsi="宋体" w:eastAsia="楷体_GB2312" w:cs="楷体_GB2312"/>
          <w:b/>
          <w:kern w:val="2"/>
          <w:sz w:val="32"/>
          <w:lang w:val="zh-CN"/>
        </w:rPr>
        <w:t>项目绩效目标。</w:t>
      </w:r>
    </w:p>
    <w:p>
      <w:pPr>
        <w:pStyle w:val="14"/>
        <w:widowControl/>
        <w:shd w:val="clear" w:color="auto" w:fill="F4FBFE"/>
        <w:spacing w:before="0" w:beforeAutospacing="0" w:after="0" w:afterAutospacing="0" w:line="560" w:lineRule="exact"/>
        <w:ind w:left="44" w:leftChars="21" w:right="45"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4FBFE"/>
        </w:rPr>
        <w:t>减少艾滋病新发感染,降低艾滋病病死率,提高感染者和病人生存质量,减少对受艾滋病影响人群的歧视。</w:t>
      </w:r>
    </w:p>
    <w:p>
      <w:pPr>
        <w:adjustRightInd w:val="0"/>
        <w:snapToGrid w:val="0"/>
        <w:spacing w:line="560"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（三）项目自评步骤及方法。</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ascii="仿宋_GB2312" w:hAnsi="宋体" w:eastAsia="仿宋_GB2312" w:cs="仿宋_GB2312"/>
          <w:color w:val="000000"/>
          <w:sz w:val="32"/>
          <w:szCs w:val="32"/>
          <w:shd w:val="clear" w:color="auto" w:fill="FFFFFF"/>
        </w:rPr>
        <w:t>项目采取自评方式，成立项目自评</w:t>
      </w:r>
      <w:r>
        <w:rPr>
          <w:rFonts w:hint="eastAsia" w:ascii="仿宋_GB2312" w:hAnsi="宋体" w:eastAsia="仿宋_GB2312" w:cs="仿宋_GB2312"/>
          <w:color w:val="000000"/>
          <w:sz w:val="32"/>
          <w:szCs w:val="32"/>
          <w:shd w:val="clear" w:color="auto" w:fill="FFFFFF"/>
        </w:rPr>
        <w:t>领导</w:t>
      </w:r>
      <w:r>
        <w:rPr>
          <w:rFonts w:ascii="仿宋_GB2312" w:hAnsi="宋体" w:eastAsia="仿宋_GB2312" w:cs="仿宋_GB2312"/>
          <w:color w:val="000000"/>
          <w:sz w:val="32"/>
          <w:szCs w:val="32"/>
          <w:shd w:val="clear" w:color="auto" w:fill="FFFFFF"/>
        </w:rPr>
        <w:t>小组，结合评价内容，做到有计划，有安排，扎实开展本次自评工作。按照上级下达的项目支出绩效评价指标体系，自评小组针对申报内容、实施情况、资金兑现、财务管理、社会效益等做出自我评价。</w:t>
      </w:r>
      <w:r>
        <w:rPr>
          <w:rFonts w:hint="eastAsia" w:ascii="仿宋_GB2312" w:hAnsi="宋体" w:eastAsia="仿宋_GB2312" w:cs="仿宋_GB2312"/>
          <w:color w:val="000000"/>
          <w:sz w:val="32"/>
          <w:szCs w:val="32"/>
          <w:shd w:val="clear" w:color="auto" w:fill="FFFFFF"/>
        </w:rPr>
        <w:t>艾滋病项目领导小组如下：</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组      长：    张昌华     县卫健局局长</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第一副组长：    张泽富     县卫健局副局长</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副  组  长：    何永花     县人民医院院长</w:t>
      </w:r>
    </w:p>
    <w:p>
      <w:pPr>
        <w:adjustRightInd w:val="0"/>
        <w:snapToGrid w:val="0"/>
        <w:spacing w:line="560" w:lineRule="exact"/>
        <w:ind w:firstLine="3200" w:firstLineChars="10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仲  勒     县藏医院院长</w:t>
      </w:r>
    </w:p>
    <w:p>
      <w:pPr>
        <w:adjustRightInd w:val="0"/>
        <w:snapToGrid w:val="0"/>
        <w:spacing w:line="560" w:lineRule="exact"/>
        <w:ind w:firstLine="3200" w:firstLineChars="10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张国明     县疾控中心主任</w:t>
      </w:r>
    </w:p>
    <w:p>
      <w:pPr>
        <w:adjustRightInd w:val="0"/>
        <w:snapToGrid w:val="0"/>
        <w:spacing w:line="560" w:lineRule="exact"/>
        <w:ind w:firstLine="3200" w:firstLineChars="10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古银才     县妇计中心主任</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成  员：袁怀亮 杨文春 杜晓君 温念平  陈远刚 何志香 罗文斌 尕让卓玛 王玉玲 罗占飞 汪文鹏 周勤兰 贺红艳 王恶郎 宝泉 肖军</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宋体" w:eastAsia="仿宋_GB2312" w:cs="仿宋_GB2312"/>
          <w:color w:val="000000"/>
          <w:sz w:val="32"/>
          <w:szCs w:val="32"/>
          <w:shd w:val="clear" w:color="auto" w:fill="FFFFFF"/>
        </w:rPr>
        <w:t>办公室设在财务室、艾滋病防治办公室</w:t>
      </w:r>
    </w:p>
    <w:p>
      <w:pPr>
        <w:adjustRightInd w:val="0"/>
        <w:snapToGrid w:val="0"/>
        <w:spacing w:line="560" w:lineRule="exact"/>
        <w:ind w:firstLine="640" w:firstLineChars="200"/>
        <w:rPr>
          <w:rFonts w:ascii="黑体" w:hAnsi="宋体" w:eastAsia="黑体" w:cs="黑体"/>
        </w:rPr>
      </w:pPr>
      <w:r>
        <w:rPr>
          <w:rFonts w:hint="eastAsia" w:ascii="黑体" w:hAnsi="宋体" w:eastAsia="黑体" w:cs="黑体"/>
          <w:sz w:val="32"/>
        </w:rPr>
        <w:t>二、项目资金申报及使用情况</w:t>
      </w:r>
    </w:p>
    <w:p>
      <w:pPr>
        <w:adjustRightInd w:val="0"/>
        <w:snapToGrid w:val="0"/>
        <w:spacing w:line="560"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（一）项目资金申报及批复情况。</w:t>
      </w:r>
    </w:p>
    <w:p>
      <w:pPr>
        <w:pStyle w:val="14"/>
        <w:widowControl/>
        <w:spacing w:before="0" w:beforeAutospacing="0" w:after="0" w:afterAutospacing="0" w:line="480" w:lineRule="auto"/>
        <w:ind w:firstLine="640" w:firstLineChars="200"/>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所有项目资金</w:t>
      </w:r>
      <w:r>
        <w:rPr>
          <w:rFonts w:hint="eastAsia" w:ascii="仿宋_GB2312" w:hAnsi="仿宋_GB2312" w:eastAsia="仿宋_GB2312" w:cs="仿宋_GB2312"/>
          <w:color w:val="000000"/>
          <w:sz w:val="32"/>
          <w:szCs w:val="32"/>
          <w:shd w:val="clear" w:color="auto" w:fill="FFFFFF"/>
        </w:rPr>
        <w:t>采取直接支付形式，由我单位按项目进度严格按照项目资金管理办法向财政局对资金进行计划申请、划拨、使用，及时、规范对收支进行账务处理和会计核算。</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333333"/>
          <w:sz w:val="32"/>
          <w:szCs w:val="32"/>
          <w:shd w:val="clear" w:color="auto" w:fill="FFFFFF"/>
          <w:lang w:val="en-US" w:eastAsia="zh-CN"/>
        </w:rPr>
        <w:t>2018</w:t>
      </w:r>
      <w:r>
        <w:rPr>
          <w:rFonts w:ascii="仿宋_GB2312" w:hAnsi="仿宋_GB2312" w:eastAsia="仿宋_GB2312" w:cs="仿宋_GB2312"/>
          <w:color w:val="333333"/>
          <w:sz w:val="32"/>
          <w:szCs w:val="32"/>
          <w:shd w:val="clear" w:color="auto" w:fill="FFFFFF"/>
        </w:rPr>
        <w:t>年度结余结转数</w:t>
      </w:r>
      <w:r>
        <w:rPr>
          <w:rFonts w:hint="eastAsia" w:ascii="仿宋_GB2312" w:hAnsi="仿宋_GB2312" w:eastAsia="仿宋_GB2312" w:cs="仿宋_GB2312"/>
          <w:color w:val="333333"/>
          <w:sz w:val="32"/>
          <w:szCs w:val="32"/>
          <w:shd w:val="clear" w:color="auto" w:fill="FFFFFF"/>
          <w:lang w:val="en-US" w:eastAsia="zh-CN"/>
        </w:rPr>
        <w:t>118228.19</w:t>
      </w:r>
      <w:r>
        <w:rPr>
          <w:rFonts w:ascii="仿宋_GB2312" w:hAnsi="仿宋_GB2312" w:eastAsia="仿宋_GB2312" w:cs="仿宋_GB2312"/>
          <w:color w:val="333333"/>
          <w:sz w:val="32"/>
          <w:szCs w:val="32"/>
          <w:shd w:val="clear" w:color="auto" w:fill="FFFFFF"/>
        </w:rPr>
        <w:t>元，201</w:t>
      </w:r>
      <w:r>
        <w:rPr>
          <w:rFonts w:hint="eastAsia" w:ascii="仿宋_GB2312" w:hAnsi="仿宋_GB2312" w:eastAsia="仿宋_GB2312" w:cs="仿宋_GB2312"/>
          <w:color w:val="333333"/>
          <w:sz w:val="32"/>
          <w:szCs w:val="32"/>
          <w:shd w:val="clear" w:color="auto" w:fill="FFFFFF"/>
          <w:lang w:val="en-US" w:eastAsia="zh-CN"/>
        </w:rPr>
        <w:t>9</w:t>
      </w:r>
      <w:r>
        <w:rPr>
          <w:rFonts w:ascii="仿宋_GB2312" w:hAnsi="仿宋_GB2312" w:eastAsia="仿宋_GB2312" w:cs="仿宋_GB2312"/>
          <w:color w:val="333333"/>
          <w:sz w:val="32"/>
          <w:szCs w:val="32"/>
          <w:shd w:val="clear" w:color="auto" w:fill="FFFFFF"/>
        </w:rPr>
        <w:t>年收到</w:t>
      </w:r>
      <w:r>
        <w:rPr>
          <w:rFonts w:hint="eastAsia" w:ascii="仿宋_GB2312" w:hAnsi="仿宋_GB2312" w:eastAsia="仿宋_GB2312" w:cs="仿宋_GB2312"/>
          <w:color w:val="333333"/>
          <w:sz w:val="32"/>
          <w:szCs w:val="32"/>
          <w:shd w:val="clear" w:color="auto" w:fill="FFFFFF"/>
        </w:rPr>
        <w:t>中央，省</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346500</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rPr>
        <w:t>，州</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125000</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rPr>
        <w:t>，县</w:t>
      </w:r>
      <w:r>
        <w:rPr>
          <w:rFonts w:ascii="仿宋_GB2312" w:hAnsi="仿宋_GB2312" w:eastAsia="仿宋_GB2312" w:cs="仿宋_GB2312"/>
          <w:color w:val="333333"/>
          <w:sz w:val="32"/>
          <w:szCs w:val="32"/>
          <w:shd w:val="clear" w:color="auto" w:fill="FFFFFF"/>
        </w:rPr>
        <w:t>级财政预算经费</w:t>
      </w:r>
      <w:r>
        <w:rPr>
          <w:rFonts w:hint="eastAsia" w:ascii="仿宋_GB2312" w:hAnsi="仿宋_GB2312" w:eastAsia="仿宋_GB2312" w:cs="仿宋_GB2312"/>
          <w:color w:val="333333"/>
          <w:sz w:val="32"/>
          <w:szCs w:val="32"/>
          <w:shd w:val="clear" w:color="auto" w:fill="FFFFFF"/>
          <w:lang w:val="en-US" w:eastAsia="zh-CN"/>
        </w:rPr>
        <w:t>59900</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(其中54900元拨付给红原县卫生健康局）</w:t>
      </w:r>
      <w:r>
        <w:rPr>
          <w:rFonts w:ascii="仿宋_GB2312" w:hAnsi="仿宋_GB2312" w:eastAsia="仿宋_GB2312" w:cs="仿宋_GB2312"/>
          <w:color w:val="333333"/>
          <w:sz w:val="32"/>
          <w:szCs w:val="32"/>
          <w:shd w:val="clear" w:color="auto" w:fill="FFFFFF"/>
        </w:rPr>
        <w:t>，201</w:t>
      </w:r>
      <w:r>
        <w:rPr>
          <w:rFonts w:hint="eastAsia" w:ascii="仿宋_GB2312" w:hAnsi="仿宋_GB2312" w:eastAsia="仿宋_GB2312" w:cs="仿宋_GB2312"/>
          <w:color w:val="333333"/>
          <w:sz w:val="32"/>
          <w:szCs w:val="32"/>
          <w:shd w:val="clear" w:color="auto" w:fill="FFFFFF"/>
          <w:lang w:val="en-US" w:eastAsia="zh-CN"/>
        </w:rPr>
        <w:t>9</w:t>
      </w:r>
      <w:r>
        <w:rPr>
          <w:rFonts w:ascii="仿宋_GB2312" w:hAnsi="仿宋_GB2312" w:eastAsia="仿宋_GB2312" w:cs="仿宋_GB2312"/>
          <w:color w:val="333333"/>
          <w:sz w:val="32"/>
          <w:szCs w:val="32"/>
          <w:shd w:val="clear" w:color="auto" w:fill="FFFFFF"/>
        </w:rPr>
        <w:t>年实际支出为</w:t>
      </w:r>
      <w:r>
        <w:rPr>
          <w:rFonts w:hint="eastAsia" w:ascii="仿宋_GB2312" w:hAnsi="仿宋_GB2312" w:eastAsia="仿宋_GB2312" w:cs="仿宋_GB2312"/>
          <w:color w:val="333333"/>
          <w:sz w:val="32"/>
          <w:szCs w:val="32"/>
          <w:shd w:val="clear" w:color="auto" w:fill="FFFFFF"/>
          <w:lang w:val="en-US" w:eastAsia="zh-CN"/>
        </w:rPr>
        <w:t>275411.81</w:t>
      </w:r>
      <w:r>
        <w:rPr>
          <w:rFonts w:ascii="仿宋_GB2312" w:hAnsi="仿宋_GB2312" w:eastAsia="仿宋_GB2312" w:cs="仿宋_GB2312"/>
          <w:color w:val="333333"/>
          <w:sz w:val="32"/>
          <w:szCs w:val="32"/>
          <w:shd w:val="clear" w:color="auto" w:fill="FFFFFF"/>
        </w:rPr>
        <w:t>元。到201</w:t>
      </w:r>
      <w:r>
        <w:rPr>
          <w:rFonts w:hint="eastAsia" w:ascii="仿宋_GB2312" w:hAnsi="仿宋_GB2312" w:eastAsia="仿宋_GB2312" w:cs="仿宋_GB2312"/>
          <w:color w:val="333333"/>
          <w:sz w:val="32"/>
          <w:szCs w:val="32"/>
          <w:shd w:val="clear" w:color="auto" w:fill="FFFFFF"/>
          <w:lang w:val="en-US" w:eastAsia="zh-CN"/>
        </w:rPr>
        <w:t>9</w:t>
      </w:r>
      <w:r>
        <w:rPr>
          <w:rFonts w:ascii="仿宋_GB2312" w:hAnsi="仿宋_GB2312" w:eastAsia="仿宋_GB2312" w:cs="仿宋_GB2312"/>
          <w:color w:val="333333"/>
          <w:sz w:val="32"/>
          <w:szCs w:val="32"/>
          <w:shd w:val="clear" w:color="auto" w:fill="FFFFFF"/>
        </w:rPr>
        <w:t>年底账面余额</w:t>
      </w:r>
      <w:r>
        <w:rPr>
          <w:rFonts w:hint="eastAsia" w:ascii="仿宋_GB2312" w:hAnsi="仿宋_GB2312" w:eastAsia="仿宋_GB2312" w:cs="仿宋_GB2312"/>
          <w:color w:val="333333"/>
          <w:sz w:val="32"/>
          <w:szCs w:val="32"/>
          <w:shd w:val="clear" w:color="auto" w:fill="FFFFFF"/>
          <w:lang w:val="en-US" w:eastAsia="zh-CN"/>
        </w:rPr>
        <w:t>269372.06</w:t>
      </w:r>
      <w:r>
        <w:rPr>
          <w:rFonts w:ascii="仿宋_GB2312" w:hAnsi="仿宋_GB2312" w:eastAsia="仿宋_GB2312" w:cs="仿宋_GB2312"/>
          <w:color w:val="333333"/>
          <w:sz w:val="32"/>
          <w:szCs w:val="32"/>
          <w:shd w:val="clear" w:color="auto" w:fill="FFFFFF"/>
        </w:rPr>
        <w:t>元</w:t>
      </w:r>
      <w:r>
        <w:rPr>
          <w:rFonts w:hint="eastAsia" w:ascii="仿宋_GB2312" w:hAnsi="仿宋_GB2312" w:eastAsia="仿宋_GB2312" w:cs="仿宋_GB2312"/>
          <w:color w:val="333333"/>
          <w:sz w:val="32"/>
          <w:szCs w:val="32"/>
          <w:shd w:val="clear" w:color="auto" w:fill="FFFFFF"/>
          <w:lang w:val="en-US" w:eastAsia="zh-CN"/>
        </w:rPr>
        <w:t>;财政收回2018年结余资金49944.29元。</w:t>
      </w:r>
    </w:p>
    <w:p>
      <w:pPr>
        <w:adjustRightInd w:val="0"/>
        <w:snapToGrid w:val="0"/>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xml:space="preserve">        </w:t>
      </w:r>
    </w:p>
    <w:p>
      <w:pPr>
        <w:adjustRightInd w:val="0"/>
        <w:snapToGrid w:val="0"/>
        <w:spacing w:line="560" w:lineRule="exact"/>
        <w:ind w:firstLine="643" w:firstLineChars="20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adjustRightInd w:val="0"/>
        <w:snapToGrid w:val="0"/>
        <w:spacing w:line="560" w:lineRule="exact"/>
        <w:ind w:firstLine="640" w:firstLineChars="200"/>
        <w:rPr>
          <w:rFonts w:ascii="仿宋_GB2312" w:hAnsi="宋体"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对项目资金按项目单独核算实行“专款专用”，不得挤占挪用项目资金。强化监督，项目的正常实施监督检查是保障。</w:t>
      </w:r>
    </w:p>
    <w:p>
      <w:pPr>
        <w:snapToGrid w:val="0"/>
        <w:spacing w:line="580" w:lineRule="exact"/>
        <w:ind w:firstLine="640" w:firstLineChars="200"/>
        <w:rPr>
          <w:rFonts w:ascii="黑体" w:hAnsi="宋体" w:eastAsia="黑体" w:cs="黑体"/>
          <w:szCs w:val="21"/>
        </w:rPr>
      </w:pPr>
      <w:r>
        <w:rPr>
          <w:rFonts w:hint="eastAsia" w:ascii="黑体" w:hAnsi="宋体" w:eastAsia="黑体" w:cs="黑体"/>
          <w:sz w:val="32"/>
          <w:szCs w:val="21"/>
        </w:rPr>
        <w:t>三、评价结论及绩效分析</w:t>
      </w:r>
    </w:p>
    <w:p>
      <w:pPr>
        <w:snapToGrid w:val="0"/>
        <w:spacing w:line="580" w:lineRule="exact"/>
        <w:ind w:firstLine="643" w:firstLineChars="200"/>
        <w:rPr>
          <w:rFonts w:ascii="楷体_GB2312" w:hAnsi="宋体" w:eastAsia="楷体_GB2312" w:cs="楷体_GB2312"/>
          <w:b/>
          <w:szCs w:val="21"/>
        </w:rPr>
      </w:pPr>
      <w:r>
        <w:rPr>
          <w:rFonts w:hint="eastAsia" w:ascii="楷体_GB2312" w:hAnsi="宋体" w:eastAsia="楷体_GB2312" w:cs="楷体_GB2312"/>
          <w:b/>
          <w:sz w:val="32"/>
          <w:szCs w:val="21"/>
        </w:rPr>
        <w:t>（一）评价结论</w:t>
      </w:r>
    </w:p>
    <w:p>
      <w:pPr>
        <w:snapToGrid w:val="0"/>
        <w:spacing w:line="580" w:lineRule="exact"/>
        <w:ind w:firstLine="640" w:firstLineChars="200"/>
        <w:rPr>
          <w:rFonts w:ascii="宋体" w:hAnsi="宋体" w:eastAsia="仿宋_GB2312" w:cs="仿宋_GB2312"/>
          <w:sz w:val="32"/>
          <w:szCs w:val="21"/>
        </w:rPr>
      </w:pPr>
      <w:r>
        <w:rPr>
          <w:rFonts w:hint="eastAsia" w:ascii="宋体" w:hAnsi="宋体" w:eastAsia="仿宋_GB2312" w:cs="仿宋_GB2312"/>
          <w:sz w:val="32"/>
          <w:szCs w:val="21"/>
        </w:rPr>
        <w:t>项目绩效评价总体结论</w:t>
      </w:r>
    </w:p>
    <w:p>
      <w:pPr>
        <w:snapToGrid w:val="0"/>
        <w:spacing w:line="580" w:lineRule="exact"/>
        <w:ind w:firstLine="640" w:firstLineChars="200"/>
        <w:rPr>
          <w:rFonts w:ascii="宋体" w:hAnsi="宋体" w:eastAsia="仿宋_GB2312" w:cs="宋体"/>
          <w:szCs w:val="21"/>
        </w:rPr>
      </w:pPr>
      <w:r>
        <w:rPr>
          <w:rFonts w:hint="eastAsia" w:ascii="仿宋_GB2312" w:hAnsi="仿宋_GB2312" w:eastAsia="仿宋_GB2312" w:cs="仿宋_GB2312"/>
          <w:sz w:val="32"/>
          <w:szCs w:val="32"/>
        </w:rPr>
        <w:t>建立、健全了艾滋病和性病防治有效结合的工作机制，大力宣传性病艾滋病防治知识，以性病防治工作，促进艾滋病防治工作。县人民政府成立了以分管县长为组长的相关部门为成员的领导机构。形成了部门各负其责，全社会共同参与的防治机制。建立了哨点监测、监管场所监测、管理场所监测及咨询检测</w:t>
      </w:r>
    </w:p>
    <w:p>
      <w:pPr>
        <w:adjustRightInd w:val="0"/>
        <w:snapToGrid w:val="0"/>
        <w:spacing w:line="560" w:lineRule="exact"/>
        <w:ind w:firstLine="640" w:firstLineChars="200"/>
        <w:rPr>
          <w:rFonts w:ascii="仿宋_GB2312" w:hAnsi="宋体" w:eastAsia="仿宋_GB2312" w:cs="仿宋_GB2312"/>
          <w:lang w:val="zh-CN"/>
        </w:rPr>
      </w:pPr>
      <w:r>
        <w:rPr>
          <w:rFonts w:hint="eastAsia" w:ascii="黑体" w:hAnsi="宋体" w:eastAsia="黑体" w:cs="黑体"/>
          <w:sz w:val="32"/>
        </w:rPr>
        <w:t>四、项目绩效情况</w:t>
      </w:r>
      <w:r>
        <w:rPr>
          <w:rFonts w:hint="eastAsia" w:ascii="仿宋_GB2312" w:hAnsi="宋体" w:eastAsia="仿宋_GB2312" w:cs="仿宋_GB2312"/>
          <w:sz w:val="32"/>
          <w:lang w:val="zh-CN"/>
        </w:rPr>
        <w:tab/>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2019年，按照省委、省政府的要求，我县成立了“三线一网底”综合艾滋病防治管理办公室（县疾控中心、县人民医院、县妇计中心三线办和各乡镇政府及乡镇卫生院），进一步建立、健全了艾滋病和性病防治有效结合的工作机制，在县卫健局领导下，1-9月中心在县域内新建了瓦切、麦洼、安曲、色地、江茸五个艾滋病检测快检点；完成艾滋病自愿咨询检测23人、性病门诊检测10人、婚前检测394人、孕产期检测445人、娱乐场所人员检测31人、术前检测3011人、其他专题调查5095人；完成CD4检测30人次；进行抗病毒治疗HIV患者26人；完成高危行为干预累计1200人次、发放宣传资料5000余份、安全套5000余具（只）；任务指标完成方面，1-9月全县艾滋病常住人口检测率达到22.53（省上要求20%），配偶/固定性伴HIV筛查率达到100%（省上要求85%），感染者结核筛查率100%（省上要求90%），感染者和病人随访（CD4）检测率达到100%（省上要求90%以上），艾滋病感染者抗病毒治疗覆盖率达到86.67%，抗病毒治疗成功率目前已经送省疾控中心进行检测，结果待年底反馈。 </w:t>
      </w:r>
    </w:p>
    <w:p>
      <w:pPr>
        <w:pStyle w:val="14"/>
        <w:widowControl/>
        <w:shd w:val="clear" w:color="auto" w:fill="FFFFFF"/>
        <w:spacing w:line="560" w:lineRule="exact"/>
        <w:ind w:firstLine="640" w:firstLineChars="200"/>
        <w:rPr>
          <w:rFonts w:hint="eastAsia"/>
          <w:color w:val="000000"/>
          <w:sz w:val="32"/>
          <w:szCs w:val="32"/>
        </w:rPr>
      </w:pPr>
      <w:r>
        <w:rPr>
          <w:rFonts w:hint="eastAsia" w:ascii="黑体" w:hAnsi="宋体" w:eastAsia="黑体" w:cs="黑体"/>
          <w:kern w:val="2"/>
          <w:sz w:val="32"/>
          <w:szCs w:val="21"/>
        </w:rPr>
        <w:t>五、存在主要问题</w:t>
      </w:r>
    </w:p>
    <w:p>
      <w:pPr>
        <w:pStyle w:val="14"/>
        <w:widowControl/>
        <w:shd w:val="clear" w:color="auto" w:fill="FFFFFF"/>
        <w:spacing w:before="0" w:beforeAutospacing="0" w:after="0" w:afterAutospacing="0" w:line="560" w:lineRule="exact"/>
        <w:ind w:firstLine="480" w:firstLineChars="150"/>
        <w:rPr>
          <w:color w:val="000000"/>
          <w:sz w:val="32"/>
          <w:szCs w:val="32"/>
        </w:rPr>
      </w:pPr>
      <w:r>
        <w:rPr>
          <w:rFonts w:hint="eastAsia" w:ascii="仿宋_GB2312" w:eastAsia="仿宋_GB2312" w:cs="仿宋_GB2312"/>
          <w:color w:val="000000"/>
          <w:sz w:val="32"/>
          <w:szCs w:val="32"/>
          <w:shd w:val="clear" w:color="auto" w:fill="FFFFFF"/>
        </w:rPr>
        <w:t>（一）</w:t>
      </w:r>
      <w:r>
        <w:rPr>
          <w:rFonts w:ascii="仿宋_GB2312" w:eastAsia="仿宋_GB2312" w:cs="仿宋_GB2312"/>
          <w:color w:val="000000"/>
          <w:sz w:val="32"/>
          <w:szCs w:val="32"/>
          <w:shd w:val="clear" w:color="auto" w:fill="FFFFFF"/>
        </w:rPr>
        <w:t>乡村两级从事公共卫生服务项目的人员业务能力还需再提高，公共卫生服务是一项系统而繁杂，工作量大，人员少，培训工作不足，缺乏工作经验，导致工作欠规范。</w:t>
      </w:r>
    </w:p>
    <w:p>
      <w:pPr>
        <w:spacing w:line="560" w:lineRule="exact"/>
        <w:ind w:firstLine="627" w:firstLineChars="196"/>
        <w:rPr>
          <w:rFonts w:ascii="仿宋_GB2312" w:hAnsi="仿宋" w:eastAsia="仿宋_GB2312" w:cs="宋体"/>
          <w:color w:val="000000"/>
          <w:kern w:val="0"/>
          <w:sz w:val="32"/>
          <w:szCs w:val="32"/>
        </w:rPr>
      </w:pPr>
      <w:r>
        <w:rPr>
          <w:rFonts w:hint="eastAsia" w:ascii="仿宋_GB2312" w:eastAsia="仿宋_GB2312" w:cs="仿宋_GB2312"/>
          <w:color w:val="000000"/>
          <w:sz w:val="32"/>
          <w:szCs w:val="32"/>
          <w:shd w:val="clear" w:color="auto" w:fill="FFFFFF"/>
        </w:rPr>
        <w:t>（二）</w:t>
      </w:r>
      <w:r>
        <w:rPr>
          <w:rFonts w:ascii="仿宋_GB2312" w:eastAsia="仿宋_GB2312" w:cs="仿宋_GB2312"/>
          <w:color w:val="000000"/>
          <w:sz w:val="32"/>
          <w:szCs w:val="32"/>
          <w:shd w:val="clear" w:color="auto" w:fill="FFFFFF"/>
        </w:rPr>
        <w:t>宣传还不够深入，</w:t>
      </w:r>
      <w:r>
        <w:rPr>
          <w:rFonts w:hint="eastAsia" w:ascii="仿宋_GB2312" w:eastAsia="仿宋_GB2312" w:cs="仿宋_GB2312"/>
          <w:color w:val="000000"/>
          <w:sz w:val="32"/>
          <w:szCs w:val="32"/>
          <w:shd w:val="clear" w:color="auto" w:fill="FFFFFF"/>
        </w:rPr>
        <w:t>牧民</w:t>
      </w:r>
      <w:r>
        <w:rPr>
          <w:rFonts w:ascii="仿宋_GB2312" w:eastAsia="仿宋_GB2312" w:cs="仿宋_GB2312"/>
          <w:color w:val="000000"/>
          <w:sz w:val="32"/>
          <w:szCs w:val="32"/>
          <w:shd w:val="clear" w:color="auto" w:fill="FFFFFF"/>
        </w:rPr>
        <w:t>群众对</w:t>
      </w:r>
      <w:r>
        <w:rPr>
          <w:rFonts w:hint="eastAsia" w:ascii="仿宋_GB2312" w:eastAsia="仿宋_GB2312" w:cs="仿宋_GB2312"/>
          <w:color w:val="000000"/>
          <w:sz w:val="32"/>
          <w:szCs w:val="32"/>
          <w:shd w:val="clear" w:color="auto" w:fill="FFFFFF"/>
        </w:rPr>
        <w:t>艾滋病</w:t>
      </w:r>
      <w:r>
        <w:rPr>
          <w:rFonts w:ascii="仿宋_GB2312" w:eastAsia="仿宋_GB2312" w:cs="仿宋_GB2312"/>
          <w:color w:val="000000"/>
          <w:sz w:val="32"/>
          <w:szCs w:val="32"/>
          <w:shd w:val="clear" w:color="auto" w:fill="FFFFFF"/>
        </w:rPr>
        <w:t>知晓率低，不理解、不配合的现象时有发生</w:t>
      </w:r>
      <w:r>
        <w:rPr>
          <w:rFonts w:hint="eastAsia" w:ascii="仿宋_GB2312" w:eastAsia="仿宋_GB2312" w:cs="仿宋_GB2312"/>
          <w:color w:val="000000"/>
          <w:sz w:val="32"/>
          <w:szCs w:val="32"/>
          <w:shd w:val="clear" w:color="auto" w:fill="FFFFFF"/>
        </w:rPr>
        <w:t>、</w:t>
      </w:r>
      <w:r>
        <w:rPr>
          <w:rFonts w:hint="eastAsia" w:ascii="仿宋_GB2312" w:hAnsi="仿宋" w:eastAsia="仿宋_GB2312"/>
          <w:color w:val="000000"/>
          <w:sz w:val="32"/>
          <w:szCs w:val="32"/>
        </w:rPr>
        <w:t>疾病防控健康教育工作需要更深入，宣传资料需要更具针对性，只有改变了牧民群众的生活习惯，卫生习惯和防病观念后，我们的疾病预防控制工作才能事半功倍。</w:t>
      </w:r>
    </w:p>
    <w:p>
      <w:pPr>
        <w:spacing w:line="560" w:lineRule="exact"/>
        <w:ind w:firstLine="640" w:firstLineChars="200"/>
        <w:rPr>
          <w:rFonts w:ascii="黑体" w:hAnsi="宋体" w:eastAsia="黑体" w:cs="黑体"/>
          <w:szCs w:val="21"/>
        </w:rPr>
      </w:pPr>
      <w:r>
        <w:rPr>
          <w:rFonts w:ascii="仿宋_GB2312" w:eastAsia="仿宋_GB2312" w:cs="仿宋_GB2312"/>
          <w:color w:val="000000"/>
          <w:sz w:val="32"/>
          <w:szCs w:val="32"/>
          <w:shd w:val="clear" w:color="auto" w:fill="FFFFFF"/>
        </w:rPr>
        <w:t>3</w:t>
      </w:r>
      <w:r>
        <w:rPr>
          <w:rFonts w:hint="eastAsia"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t>项目工作实施主体主要是乡镇卫生院，基层人员紧张，工作量过大，导致工作质量和效率欠佳，难以保质保量完成工作任务。</w:t>
      </w:r>
    </w:p>
    <w:p>
      <w:pPr>
        <w:snapToGrid w:val="0"/>
        <w:spacing w:line="580" w:lineRule="exact"/>
        <w:ind w:firstLine="640" w:firstLineChars="200"/>
        <w:rPr>
          <w:rFonts w:ascii="黑体" w:hAnsi="宋体" w:eastAsia="黑体" w:cs="黑体"/>
          <w:szCs w:val="21"/>
        </w:rPr>
      </w:pPr>
      <w:r>
        <w:rPr>
          <w:rFonts w:hint="eastAsia" w:ascii="黑体" w:hAnsi="宋体" w:eastAsia="黑体" w:cs="黑体"/>
          <w:sz w:val="32"/>
          <w:szCs w:val="21"/>
        </w:rPr>
        <w:t>六、相关措施建议</w:t>
      </w:r>
    </w:p>
    <w:p/>
    <w:p>
      <w:pPr>
        <w:spacing w:line="600" w:lineRule="exact"/>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pStyle w:val="36"/>
        <w:widowControl/>
        <w:spacing w:line="580" w:lineRule="exact"/>
        <w:jc w:val="center"/>
        <w:rPr>
          <w:rFonts w:hint="eastAsia" w:ascii="方正小标宋简体" w:hAnsi="宋体" w:eastAsia="方正小标宋简体" w:cs="方正小标宋简体"/>
          <w:sz w:val="44"/>
          <w:szCs w:val="44"/>
          <w:lang w:eastAsia="zh-CN"/>
        </w:rPr>
      </w:pPr>
      <w:r>
        <w:rPr>
          <w:rFonts w:hint="eastAsia" w:ascii="方正小标宋简体" w:hAnsi="宋体" w:eastAsia="方正小标宋简体" w:cs="方正小标宋简体"/>
          <w:sz w:val="44"/>
          <w:szCs w:val="44"/>
        </w:rPr>
        <w:t>红原县</w:t>
      </w:r>
      <w:r>
        <w:rPr>
          <w:rFonts w:hint="eastAsia" w:ascii="方正小标宋简体" w:hAnsi="宋体" w:eastAsia="方正小标宋简体" w:cs="方正小标宋简体"/>
          <w:sz w:val="44"/>
          <w:szCs w:val="44"/>
          <w:lang w:eastAsia="zh-CN"/>
        </w:rPr>
        <w:t>疾病预防控制中心</w:t>
      </w:r>
    </w:p>
    <w:p>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eastAsia="方正小标宋简体"/>
          <w:sz w:val="44"/>
          <w:szCs w:val="44"/>
        </w:rPr>
        <w:t>2019年基本公共卫生服务中央和省级资金（第二批）</w:t>
      </w:r>
      <w:r>
        <w:rPr>
          <w:rFonts w:hint="eastAsia" w:ascii="方正小标宋简体" w:hAnsi="方正小标宋简体" w:eastAsia="方正小标宋简体" w:cs="方正小标宋简体"/>
          <w:sz w:val="44"/>
          <w:szCs w:val="44"/>
        </w:rPr>
        <w:t>项目支出绩效自评报告</w:t>
      </w:r>
    </w:p>
    <w:p>
      <w:pPr>
        <w:spacing w:line="58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阿州财社20</w:t>
      </w:r>
      <w:r>
        <w:rPr>
          <w:rFonts w:hint="eastAsia" w:ascii="楷体_GB2312" w:hAnsi="楷体_GB2312" w:eastAsia="楷体_GB2312" w:cs="楷体_GB2312"/>
          <w:sz w:val="32"/>
          <w:szCs w:val="32"/>
          <w:lang w:val="en-US" w:eastAsia="zh-CN"/>
        </w:rPr>
        <w:t>19</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77</w:t>
      </w:r>
      <w:r>
        <w:rPr>
          <w:rFonts w:hint="eastAsia" w:ascii="楷体_GB2312" w:hAnsi="楷体_GB2312" w:eastAsia="楷体_GB2312" w:cs="楷体_GB2312"/>
          <w:sz w:val="32"/>
          <w:szCs w:val="32"/>
        </w:rPr>
        <w:t>】号文件项目）</w:t>
      </w:r>
    </w:p>
    <w:p>
      <w:pPr>
        <w:adjustRightInd w:val="0"/>
        <w:snapToGrid w:val="0"/>
        <w:spacing w:line="600"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adjustRightInd w:val="0"/>
        <w:snapToGrid w:val="0"/>
        <w:spacing w:line="600" w:lineRule="exact"/>
        <w:ind w:firstLine="640" w:firstLineChars="20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（一）项目基本情况</w:t>
      </w:r>
    </w:p>
    <w:p>
      <w:pPr>
        <w:pStyle w:val="14"/>
        <w:keepNext w:val="0"/>
        <w:keepLines w:val="0"/>
        <w:widowControl/>
        <w:numPr>
          <w:ilvl w:val="0"/>
          <w:numId w:val="0"/>
        </w:numPr>
        <w:suppressLineNumbers w:val="0"/>
        <w:pBdr>
          <w:top w:val="none" w:color="auto" w:sz="0" w:space="0"/>
        </w:pBdr>
        <w:spacing w:before="0" w:beforeAutospacing="0" w:after="0" w:afterAutospacing="0" w:line="480" w:lineRule="auto"/>
        <w:ind w:right="0" w:rightChars="0" w:firstLine="643" w:firstLineChars="200"/>
        <w:rPr>
          <w:rFonts w:hint="eastAsia" w:ascii="仿宋_GB2312" w:hAnsi="仿宋_GB2312" w:cs="仿宋_GB2312"/>
          <w:b/>
          <w:bCs/>
          <w:color w:val="333333"/>
          <w:sz w:val="32"/>
          <w:szCs w:val="32"/>
          <w:shd w:val="clear" w:color="auto" w:fill="FFFFFF"/>
          <w:lang w:val="en-US" w:eastAsia="zh-CN"/>
        </w:rPr>
      </w:pPr>
      <w:r>
        <w:rPr>
          <w:rFonts w:hint="eastAsia" w:ascii="仿宋_GB2312" w:hAnsi="仿宋_GB2312" w:cs="仿宋_GB2312"/>
          <w:b/>
          <w:bCs/>
          <w:color w:val="333333"/>
          <w:sz w:val="32"/>
          <w:szCs w:val="32"/>
          <w:shd w:val="clear" w:color="auto" w:fill="FFFFFF"/>
          <w:lang w:val="en-US" w:eastAsia="zh-CN"/>
        </w:rPr>
        <w:t>1.评价目的</w:t>
      </w:r>
    </w:p>
    <w:p>
      <w:pPr>
        <w:pStyle w:val="14"/>
        <w:keepNext w:val="0"/>
        <w:keepLines w:val="0"/>
        <w:widowControl/>
        <w:numPr>
          <w:ilvl w:val="0"/>
          <w:numId w:val="0"/>
        </w:numPr>
        <w:suppressLineNumbers w:val="0"/>
        <w:pBdr>
          <w:top w:val="none" w:color="auto" w:sz="0" w:space="0"/>
        </w:pBdr>
        <w:spacing w:before="0" w:beforeAutospacing="0" w:after="0" w:afterAutospacing="0" w:line="480" w:lineRule="auto"/>
        <w:ind w:right="0" w:rightChars="0"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rPr>
        <w:t>本次评价的目的是为加强</w:t>
      </w:r>
      <w:r>
        <w:rPr>
          <w:rFonts w:hint="eastAsia" w:ascii="仿宋_GB2312" w:hAnsi="仿宋_GB2312" w:eastAsia="仿宋_GB2312" w:cs="仿宋_GB2312"/>
          <w:color w:val="333333"/>
          <w:sz w:val="32"/>
          <w:szCs w:val="32"/>
          <w:shd w:val="clear" w:color="auto" w:fill="FFFFFF"/>
          <w:lang w:eastAsia="zh-CN"/>
        </w:rPr>
        <w:t>医疗服务能力提升省级补助</w:t>
      </w:r>
      <w:r>
        <w:rPr>
          <w:rFonts w:hint="eastAsia" w:ascii="仿宋_GB2312" w:hAnsi="仿宋_GB2312" w:eastAsia="仿宋_GB2312" w:cs="仿宋_GB2312"/>
          <w:color w:val="333333"/>
          <w:sz w:val="32"/>
          <w:szCs w:val="32"/>
          <w:shd w:val="clear" w:color="auto" w:fill="FFFFFF"/>
        </w:rPr>
        <w:t>资金管理，提高资金使用效益，推动科学、可行的项目绩效评价机制。</w:t>
      </w:r>
      <w:r>
        <w:rPr>
          <w:rFonts w:hint="eastAsia" w:ascii="仿宋_GB2312" w:hAnsi="仿宋_GB2312" w:eastAsia="仿宋_GB2312" w:cs="仿宋_GB2312"/>
          <w:color w:val="333333"/>
          <w:sz w:val="32"/>
          <w:szCs w:val="32"/>
          <w:shd w:val="clear" w:color="auto" w:fill="FFFFFF"/>
          <w:lang w:val="en-US" w:eastAsia="zh-CN"/>
        </w:rPr>
        <w:t>2019年</w:t>
      </w:r>
      <w:r>
        <w:rPr>
          <w:rFonts w:hint="eastAsia" w:ascii="仿宋_GB2312" w:hAnsi="仿宋_GB2312" w:eastAsia="仿宋_GB2312" w:cs="仿宋_GB2312"/>
          <w:sz w:val="32"/>
          <w:szCs w:val="32"/>
          <w:lang w:val="en-US" w:eastAsia="zh-CN"/>
        </w:rPr>
        <w:t>基本公共卫生服务中央和省级补助项目资金</w:t>
      </w:r>
      <w:r>
        <w:rPr>
          <w:rFonts w:hint="eastAsia" w:ascii="仿宋_GB2312" w:hAnsi="仿宋_GB2312" w:eastAsia="仿宋_GB2312" w:cs="仿宋_GB2312"/>
          <w:color w:val="333333"/>
          <w:sz w:val="32"/>
          <w:szCs w:val="32"/>
          <w:shd w:val="clear" w:color="auto" w:fill="FFFFFF"/>
          <w:lang w:eastAsia="zh-CN"/>
        </w:rPr>
        <w:t>项目</w:t>
      </w:r>
      <w:r>
        <w:rPr>
          <w:rFonts w:hint="eastAsia" w:ascii="仿宋_GB2312" w:hAnsi="仿宋_GB2312" w:eastAsia="仿宋_GB2312" w:cs="仿宋_GB2312"/>
          <w:color w:val="333333"/>
          <w:sz w:val="32"/>
          <w:szCs w:val="32"/>
          <w:shd w:val="clear" w:color="auto" w:fill="FFFFFF"/>
        </w:rPr>
        <w:t>的决策情况、管理情况、产出情况和效益情况</w:t>
      </w:r>
      <w:r>
        <w:rPr>
          <w:rFonts w:hint="eastAsia" w:ascii="仿宋_GB2312" w:hAnsi="仿宋_GB2312" w:cs="仿宋_GB2312"/>
          <w:color w:val="333333"/>
          <w:sz w:val="32"/>
          <w:szCs w:val="32"/>
          <w:shd w:val="clear" w:color="auto" w:fill="FFFFFF"/>
          <w:lang w:eastAsia="zh-CN"/>
        </w:rPr>
        <w:t>。</w:t>
      </w:r>
    </w:p>
    <w:p>
      <w:pPr>
        <w:pStyle w:val="14"/>
        <w:keepNext w:val="0"/>
        <w:keepLines w:val="0"/>
        <w:widowControl/>
        <w:numPr>
          <w:ilvl w:val="0"/>
          <w:numId w:val="0"/>
        </w:numPr>
        <w:suppressLineNumbers w:val="0"/>
        <w:pBdr>
          <w:top w:val="none" w:color="auto" w:sz="0" w:space="0"/>
        </w:pBdr>
        <w:spacing w:before="0" w:beforeAutospacing="0" w:after="0" w:afterAutospacing="0" w:line="480" w:lineRule="auto"/>
        <w:ind w:left="630" w:leftChars="0" w:right="0" w:rightChars="0"/>
        <w:rPr>
          <w:rFonts w:hint="eastAsia" w:ascii="仿宋_GB2312" w:hAnsi="仿宋_GB2312" w:eastAsia="仿宋_GB2312" w:cs="仿宋_GB2312"/>
          <w:b/>
          <w:bCs/>
          <w:sz w:val="32"/>
          <w:szCs w:val="32"/>
          <w:lang w:val="zh-CN"/>
        </w:rPr>
      </w:pPr>
      <w:r>
        <w:rPr>
          <w:rFonts w:hint="eastAsia" w:ascii="仿宋_GB2312" w:hAnsi="仿宋_GB2312" w:cs="仿宋_GB2312"/>
          <w:b/>
          <w:bCs/>
          <w:sz w:val="32"/>
          <w:szCs w:val="32"/>
          <w:lang w:val="en-US" w:eastAsia="zh-CN"/>
        </w:rPr>
        <w:t>2.</w:t>
      </w:r>
      <w:r>
        <w:rPr>
          <w:rFonts w:hint="eastAsia" w:ascii="仿宋_GB2312" w:hAnsi="仿宋_GB2312" w:eastAsia="仿宋_GB2312" w:cs="仿宋_GB2312"/>
          <w:b/>
          <w:bCs/>
          <w:sz w:val="32"/>
          <w:szCs w:val="32"/>
          <w:lang w:val="zh-CN"/>
        </w:rPr>
        <w:t>项目立项、资金申报的依据</w:t>
      </w:r>
    </w:p>
    <w:p>
      <w:pPr>
        <w:pStyle w:val="14"/>
        <w:keepNext w:val="0"/>
        <w:keepLines w:val="0"/>
        <w:widowControl/>
        <w:numPr>
          <w:ilvl w:val="0"/>
          <w:numId w:val="0"/>
        </w:numPr>
        <w:suppressLineNumbers w:val="0"/>
        <w:pBdr>
          <w:top w:val="none" w:color="auto" w:sz="0" w:space="0"/>
        </w:pBdr>
        <w:spacing w:before="0" w:beforeAutospacing="0" w:after="0" w:afterAutospacing="0" w:line="480" w:lineRule="auto"/>
        <w:ind w:right="0" w:righ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根据阿州财社2019（77）号，基本公共卫生服务中央和省级项目资金</w:t>
      </w:r>
      <w:r>
        <w:rPr>
          <w:rFonts w:hint="eastAsia" w:ascii="仿宋_GB2312" w:hAnsi="仿宋_GB2312" w:cs="仿宋_GB2312"/>
          <w:sz w:val="32"/>
          <w:szCs w:val="32"/>
          <w:lang w:val="en-US" w:eastAsia="zh-CN"/>
        </w:rPr>
        <w:t>。</w:t>
      </w:r>
    </w:p>
    <w:p>
      <w:pPr>
        <w:adjustRightInd w:val="0"/>
        <w:snapToGrid w:val="0"/>
        <w:spacing w:line="600" w:lineRule="exact"/>
        <w:ind w:firstLine="640" w:firstLineChars="20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sz w:val="32"/>
          <w:szCs w:val="32"/>
          <w:lang w:val="zh-CN"/>
        </w:rPr>
      </w:pPr>
      <w:r>
        <w:rPr>
          <w:rFonts w:hint="eastAsia" w:ascii="仿宋_GB2312" w:hAnsi="仿宋_GB2312" w:cs="仿宋_GB2312"/>
          <w:b/>
          <w:bCs/>
          <w:sz w:val="32"/>
          <w:szCs w:val="32"/>
          <w:lang w:val="en-US" w:eastAsia="zh-CN"/>
        </w:rPr>
        <w:t>1.</w:t>
      </w:r>
      <w:r>
        <w:rPr>
          <w:rFonts w:hint="eastAsia" w:ascii="仿宋_GB2312" w:hAnsi="仿宋_GB2312" w:eastAsia="仿宋_GB2312" w:cs="仿宋_GB2312"/>
          <w:b/>
          <w:bCs/>
          <w:sz w:val="32"/>
          <w:szCs w:val="32"/>
          <w:lang w:val="zh-CN"/>
        </w:rPr>
        <w:t>项目主要内容</w:t>
      </w:r>
    </w:p>
    <w:p>
      <w:pPr>
        <w:pStyle w:val="14"/>
        <w:keepNext w:val="0"/>
        <w:keepLines w:val="0"/>
        <w:widowControl/>
        <w:numPr>
          <w:ilvl w:val="0"/>
          <w:numId w:val="0"/>
        </w:numPr>
        <w:suppressLineNumbers w:val="0"/>
        <w:pBdr>
          <w:top w:val="none" w:color="auto" w:sz="0" w:space="0"/>
        </w:pBdr>
        <w:spacing w:before="0" w:beforeAutospacing="0" w:after="0" w:afterAutospacing="0" w:line="480" w:lineRule="auto"/>
        <w:ind w:right="0" w:righ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阿州财社201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77</w:t>
      </w:r>
      <w:r>
        <w:rPr>
          <w:rFonts w:hint="eastAsia" w:ascii="仿宋_GB2312" w:hAnsi="仿宋_GB2312" w:eastAsia="仿宋_GB2312" w:cs="仿宋_GB2312"/>
          <w:sz w:val="32"/>
          <w:szCs w:val="32"/>
          <w:lang w:val="zh-CN"/>
        </w:rPr>
        <w:t>】号文件项目，主要用于</w:t>
      </w:r>
      <w:r>
        <w:rPr>
          <w:rFonts w:hint="eastAsia" w:ascii="仿宋_GB2312" w:hAnsi="仿宋_GB2312" w:eastAsia="仿宋_GB2312" w:cs="仿宋_GB2312"/>
          <w:sz w:val="32"/>
          <w:szCs w:val="32"/>
          <w:lang w:val="en-US" w:eastAsia="zh-CN"/>
        </w:rPr>
        <w:t>基本公共卫生服务中央和省级补助项目资金</w:t>
      </w:r>
      <w:r>
        <w:rPr>
          <w:rFonts w:hint="eastAsia" w:ascii="仿宋_GB2312" w:hAnsi="仿宋_GB2312" w:cs="仿宋_GB2312"/>
          <w:sz w:val="32"/>
          <w:szCs w:val="32"/>
          <w:lang w:val="en-US" w:eastAsia="zh-CN"/>
        </w:rPr>
        <w:t>。</w:t>
      </w:r>
    </w:p>
    <w:p>
      <w:pPr>
        <w:keepNext w:val="0"/>
        <w:keepLines w:val="0"/>
        <w:pageBreakBefore w:val="0"/>
        <w:kinsoku/>
        <w:wordWrap/>
        <w:overflowPunct/>
        <w:topLinePunct w:val="0"/>
        <w:autoSpaceDE/>
        <w:autoSpaceDN/>
        <w:bidi w:val="0"/>
        <w:adjustRightInd w:val="0"/>
        <w:snapToGrid w:val="0"/>
        <w:spacing w:line="600" w:lineRule="exact"/>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en-US" w:eastAsia="zh-CN"/>
        </w:rPr>
        <w:t>2</w:t>
      </w:r>
      <w:r>
        <w:rPr>
          <w:rFonts w:hint="eastAsia" w:ascii="仿宋_GB2312" w:hAnsi="仿宋_GB2312" w:cs="仿宋_GB2312"/>
          <w:b/>
          <w:bCs/>
          <w:sz w:val="32"/>
          <w:szCs w:val="32"/>
          <w:lang w:val="en-US" w:eastAsia="zh-CN"/>
        </w:rPr>
        <w:t>.</w:t>
      </w:r>
      <w:r>
        <w:rPr>
          <w:rFonts w:hint="eastAsia" w:ascii="仿宋_GB2312" w:hAnsi="仿宋_GB2312" w:eastAsia="仿宋_GB2312" w:cs="仿宋_GB2312"/>
          <w:b/>
          <w:bCs/>
          <w:sz w:val="32"/>
          <w:szCs w:val="32"/>
          <w:lang w:val="zh-CN"/>
        </w:rPr>
        <w:t>评价申报内容与实际相符，申报目标合理可行。</w:t>
      </w:r>
    </w:p>
    <w:p>
      <w:pPr>
        <w:adjustRightInd w:val="0"/>
        <w:snapToGrid w:val="0"/>
        <w:spacing w:line="600" w:lineRule="exact"/>
        <w:ind w:firstLine="640" w:firstLineChars="20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（三）项目自评步骤及方法</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项目由主管领导组织相关人员进行项目讨伦，向卫健局请示资金的使用方案，及时进行信息公示，根据我县资金拨付的要求和规定，按照程序及时予以拨付，并依法接受监督。</w:t>
      </w:r>
    </w:p>
    <w:p>
      <w:pPr>
        <w:adjustRightInd w:val="0"/>
        <w:snapToGrid w:val="0"/>
        <w:spacing w:line="600" w:lineRule="exact"/>
        <w:ind w:firstLine="720"/>
        <w:rPr>
          <w:rFonts w:hint="eastAsia" w:ascii="黑体" w:hAnsi="黑体" w:eastAsia="黑体" w:cs="黑体"/>
          <w:sz w:val="32"/>
          <w:szCs w:val="32"/>
        </w:rPr>
      </w:pPr>
      <w:r>
        <w:rPr>
          <w:rFonts w:hint="eastAsia" w:ascii="黑体" w:hAnsi="黑体" w:eastAsia="黑体" w:cs="黑体"/>
          <w:sz w:val="32"/>
          <w:szCs w:val="32"/>
        </w:rPr>
        <w:t>二、项目资金申报及使用情况</w:t>
      </w:r>
    </w:p>
    <w:p>
      <w:pPr>
        <w:adjustRightInd w:val="0"/>
        <w:snapToGrid w:val="0"/>
        <w:spacing w:line="600" w:lineRule="exact"/>
        <w:ind w:firstLine="72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（一）项目资金申报及批复情况。</w:t>
      </w:r>
    </w:p>
    <w:p>
      <w:pPr>
        <w:adjustRightInd w:val="0"/>
        <w:snapToGrid w:val="0"/>
        <w:spacing w:line="580" w:lineRule="exact"/>
        <w:ind w:firstLine="720"/>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我单位在收到上级下达201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lang w:val="zh-CN"/>
        </w:rPr>
        <w:t>年</w:t>
      </w:r>
      <w:r>
        <w:rPr>
          <w:rFonts w:hint="eastAsia" w:ascii="仿宋_GB2312" w:hAnsi="仿宋_GB2312" w:eastAsia="仿宋_GB2312" w:cs="仿宋_GB2312"/>
          <w:sz w:val="32"/>
          <w:szCs w:val="32"/>
          <w:lang w:eastAsia="zh-CN"/>
        </w:rPr>
        <w:t>大骨节病病情监测</w:t>
      </w:r>
      <w:r>
        <w:rPr>
          <w:rFonts w:hint="eastAsia" w:ascii="仿宋_GB2312" w:hAnsi="仿宋_GB2312" w:eastAsia="仿宋_GB2312" w:cs="仿宋_GB2312"/>
          <w:sz w:val="32"/>
          <w:szCs w:val="32"/>
        </w:rPr>
        <w:t>项目</w:t>
      </w:r>
      <w:r>
        <w:rPr>
          <w:rFonts w:hint="eastAsia" w:ascii="仿宋_GB2312" w:hAnsi="仿宋_GB2312" w:eastAsia="仿宋_GB2312" w:cs="仿宋_GB2312"/>
          <w:bCs/>
          <w:sz w:val="32"/>
          <w:szCs w:val="32"/>
          <w:lang w:val="zh-CN"/>
        </w:rPr>
        <w:t>资金暨阿州财农201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bCs/>
          <w:sz w:val="32"/>
          <w:szCs w:val="32"/>
          <w:lang w:val="en-US" w:eastAsia="zh-CN"/>
        </w:rPr>
        <w:t>77</w:t>
      </w:r>
      <w:r>
        <w:rPr>
          <w:rFonts w:hint="eastAsia" w:ascii="仿宋_GB2312" w:hAnsi="仿宋_GB2312" w:eastAsia="仿宋_GB2312" w:cs="仿宋_GB2312"/>
          <w:bCs/>
          <w:sz w:val="32"/>
          <w:szCs w:val="32"/>
          <w:lang w:val="zh-CN"/>
        </w:rPr>
        <w:t>】号资金文件后，结合我单位实际情况进行了项目安排工作，并严格按照资</w:t>
      </w:r>
      <w:r>
        <w:rPr>
          <w:rFonts w:hint="eastAsia" w:ascii="仿宋_GB2312" w:hAnsi="仿宋_GB2312" w:eastAsia="仿宋_GB2312" w:cs="仿宋_GB2312"/>
          <w:bCs/>
          <w:sz w:val="32"/>
          <w:szCs w:val="32"/>
          <w:lang w:val="en-US" w:eastAsia="zh-CN"/>
        </w:rPr>
        <w:t>金使用方案</w:t>
      </w:r>
      <w:r>
        <w:rPr>
          <w:rFonts w:hint="eastAsia" w:ascii="仿宋_GB2312" w:hAnsi="仿宋_GB2312" w:eastAsia="仿宋_GB2312" w:cs="仿宋_GB2312"/>
          <w:bCs/>
          <w:sz w:val="32"/>
          <w:szCs w:val="32"/>
          <w:lang w:val="zh-CN"/>
        </w:rPr>
        <w:t>进行了资金拨付，符合项目资金管理办法。</w:t>
      </w:r>
    </w:p>
    <w:p>
      <w:pPr>
        <w:adjustRightInd w:val="0"/>
        <w:snapToGrid w:val="0"/>
        <w:spacing w:line="600" w:lineRule="exact"/>
        <w:ind w:firstLine="640" w:firstLineChars="20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（二）资金计划、到位及使用情况（可用表格形式反映）。</w:t>
      </w:r>
    </w:p>
    <w:p>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关于下达</w:t>
      </w:r>
      <w:r>
        <w:rPr>
          <w:rFonts w:hint="eastAsia" w:ascii="仿宋_GB2312" w:hAnsi="仿宋_GB2312" w:eastAsia="仿宋_GB2312" w:cs="仿宋_GB2312"/>
          <w:sz w:val="32"/>
          <w:szCs w:val="32"/>
          <w:lang w:val="en-US" w:eastAsia="zh-CN"/>
        </w:rPr>
        <w:t>2019年公共卫生服务中央和省级补助资金的通知（阿州财社2019）77号，</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2019年9月18日拨付到红原县财政局，</w:t>
      </w:r>
      <w:r>
        <w:rPr>
          <w:rFonts w:hint="eastAsia" w:ascii="仿宋_GB2312" w:hAnsi="仿宋_GB2312" w:eastAsia="仿宋_GB2312" w:cs="仿宋_GB2312"/>
          <w:b w:val="0"/>
          <w:i w:val="0"/>
          <w:caps w:val="0"/>
          <w:color w:val="000000"/>
          <w:spacing w:val="0"/>
          <w:sz w:val="32"/>
          <w:szCs w:val="32"/>
          <w:shd w:val="clear" w:color="auto" w:fill="FFFFFF"/>
        </w:rPr>
        <w:t>资金全部到位</w:t>
      </w:r>
      <w:r>
        <w:rPr>
          <w:rFonts w:hint="eastAsia" w:ascii="仿宋_GB2312" w:hAnsi="仿宋_GB2312" w:eastAsia="仿宋_GB2312" w:cs="仿宋_GB2312"/>
          <w:b w:val="0"/>
          <w:i w:val="0"/>
          <w:caps w:val="0"/>
          <w:color w:val="000000"/>
          <w:spacing w:val="0"/>
          <w:sz w:val="32"/>
          <w:szCs w:val="32"/>
          <w:shd w:val="clear" w:color="auto" w:fill="FFFFFF"/>
          <w:lang w:eastAsia="zh-CN"/>
        </w:rPr>
        <w:t>。</w:t>
      </w:r>
      <w:r>
        <w:rPr>
          <w:rFonts w:hint="eastAsia" w:ascii="仿宋_GB2312" w:hAnsi="仿宋_GB2312" w:eastAsia="仿宋_GB2312" w:cs="仿宋_GB2312"/>
          <w:sz w:val="32"/>
          <w:szCs w:val="32"/>
          <w:lang w:val="en-US" w:eastAsia="zh-CN"/>
        </w:rPr>
        <w:t>总下达资金383.53万元，我单位资金为355.6万元，（地方病9万元、大骨节病262.6万元、碘盐5万元，氟中毒79万元）按照项目实施方案，均用于各项目的开支。</w:t>
      </w:r>
    </w:p>
    <w:p>
      <w:pPr>
        <w:adjustRightInd w:val="0"/>
        <w:snapToGrid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根据项目实施情况，2019年12月30日使用资金为28568.01元，结余资金352.74万元。</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阿州财社201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77</w:t>
      </w:r>
      <w:r>
        <w:rPr>
          <w:rFonts w:hint="eastAsia" w:ascii="仿宋_GB2312" w:hAnsi="仿宋_GB2312" w:eastAsia="仿宋_GB2312" w:cs="仿宋_GB2312"/>
          <w:sz w:val="32"/>
          <w:szCs w:val="32"/>
          <w:lang w:val="zh-CN"/>
        </w:rPr>
        <w:t>】号资金共计</w:t>
      </w:r>
      <w:r>
        <w:rPr>
          <w:rFonts w:hint="eastAsia" w:ascii="仿宋_GB2312" w:hAnsi="仿宋_GB2312" w:eastAsia="仿宋_GB2312" w:cs="仿宋_GB2312"/>
          <w:sz w:val="32"/>
          <w:szCs w:val="32"/>
          <w:lang w:val="en-US" w:eastAsia="zh-CN"/>
        </w:rPr>
        <w:t>355.6万</w:t>
      </w:r>
      <w:r>
        <w:rPr>
          <w:rFonts w:hint="eastAsia" w:ascii="仿宋_GB2312" w:hAnsi="仿宋_GB2312" w:eastAsia="仿宋_GB2312" w:cs="仿宋_GB2312"/>
          <w:sz w:val="32"/>
          <w:szCs w:val="32"/>
          <w:lang w:val="zh-CN"/>
        </w:rPr>
        <w:t>元，按照相关规定已累计拨付</w:t>
      </w:r>
      <w:r>
        <w:rPr>
          <w:rFonts w:hint="eastAsia" w:ascii="仿宋_GB2312" w:hAnsi="仿宋_GB2312" w:eastAsia="仿宋_GB2312" w:cs="仿宋_GB2312"/>
          <w:sz w:val="32"/>
          <w:szCs w:val="32"/>
          <w:lang w:val="en-US" w:eastAsia="zh-CN"/>
        </w:rPr>
        <w:t>2.9万</w:t>
      </w:r>
      <w:r>
        <w:rPr>
          <w:rFonts w:hint="eastAsia" w:ascii="仿宋_GB2312" w:hAnsi="仿宋_GB2312" w:eastAsia="仿宋_GB2312" w:cs="仿宋_GB2312"/>
          <w:sz w:val="32"/>
          <w:szCs w:val="32"/>
          <w:lang w:val="zh-CN"/>
        </w:rPr>
        <w:t>元，项目支付进度与计划相符，支付凭据齐全合法，资金支付与预算相符。</w:t>
      </w:r>
    </w:p>
    <w:p>
      <w:pPr>
        <w:adjustRightInd w:val="0"/>
        <w:snapToGrid w:val="0"/>
        <w:spacing w:line="600" w:lineRule="exact"/>
        <w:ind w:firstLine="640" w:firstLineChars="20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（三）项目财务管理情况。</w:t>
      </w:r>
    </w:p>
    <w:p>
      <w:pPr>
        <w:pStyle w:val="14"/>
        <w:widowControl/>
        <w:shd w:val="clear" w:color="auto" w:fill="FFFFFF"/>
        <w:spacing w:before="0" w:beforeAutospacing="0" w:after="0" w:afterAutospacing="0" w:line="52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对照项目资金管理办法，严格执行财务管理制度，财务处理及时、会计核算规范。</w:t>
      </w:r>
    </w:p>
    <w:p>
      <w:pPr>
        <w:adjustRightInd w:val="0"/>
        <w:snapToGrid w:val="0"/>
        <w:spacing w:line="600" w:lineRule="exact"/>
        <w:ind w:firstLine="720"/>
        <w:rPr>
          <w:rFonts w:hint="eastAsia" w:ascii="黑体" w:hAnsi="黑体" w:eastAsia="黑体" w:cs="黑体"/>
          <w:sz w:val="32"/>
          <w:szCs w:val="32"/>
        </w:rPr>
      </w:pPr>
      <w:r>
        <w:rPr>
          <w:rFonts w:hint="eastAsia" w:ascii="黑体" w:hAnsi="黑体" w:eastAsia="黑体" w:cs="黑体"/>
          <w:sz w:val="32"/>
          <w:szCs w:val="32"/>
        </w:rPr>
        <w:t>三、项目实施及管理情况</w:t>
      </w:r>
    </w:p>
    <w:p>
      <w:pPr>
        <w:adjustRightInd w:val="0"/>
        <w:snapToGrid w:val="0"/>
        <w:spacing w:line="580" w:lineRule="exact"/>
        <w:ind w:firstLine="640" w:firstLineChars="20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（一）项目组织架构及实施流程。</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项目由主管领导组织相关人员进行项目讨伦，向卫健局请示资金的使用方案，及时进行信息公示，根据我县资金拨付的要求和规定，按照程序及时予以拨付，并依法接受监督。</w:t>
      </w:r>
    </w:p>
    <w:p>
      <w:pPr>
        <w:pStyle w:val="14"/>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为切实加强对项目工作的领导，确保实现项目预期工作目标，县委、县政府将基本公共卫生服务项目项工作纳入我县为“十大民生”之一。成立了以分管副县长为组长的基本公共卫生服务项目工作领导小组、以局长为组长的技术指导小组；实行局班子成员包乡镇卫生院制度,加强项目资金管理,严格落实绩效考核制度。</w:t>
      </w:r>
    </w:p>
    <w:p>
      <w:pPr>
        <w:pStyle w:val="14"/>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rPr>
        <w:t>制定并印发《</w:t>
      </w:r>
      <w:r>
        <w:rPr>
          <w:rFonts w:hint="eastAsia" w:ascii="仿宋_GB2312" w:hAnsi="仿宋_GB2312" w:eastAsia="仿宋_GB2312" w:cs="仿宋_GB2312"/>
          <w:color w:val="000000"/>
          <w:kern w:val="0"/>
          <w:sz w:val="32"/>
          <w:szCs w:val="32"/>
          <w:lang w:eastAsia="zh-CN"/>
        </w:rPr>
        <w:t>红原</w:t>
      </w:r>
      <w:r>
        <w:rPr>
          <w:rFonts w:hint="eastAsia" w:ascii="仿宋_GB2312" w:hAnsi="仿宋_GB2312" w:eastAsia="仿宋_GB2312" w:cs="仿宋_GB2312"/>
          <w:color w:val="000000"/>
          <w:kern w:val="0"/>
          <w:sz w:val="32"/>
          <w:szCs w:val="32"/>
        </w:rPr>
        <w:t>县201</w:t>
      </w:r>
      <w:r>
        <w:rPr>
          <w:rFonts w:hint="eastAsia" w:ascii="仿宋_GB2312" w:hAnsi="仿宋_GB2312" w:eastAsia="仿宋_GB2312" w:cs="仿宋_GB2312"/>
          <w:color w:val="000000"/>
          <w:kern w:val="0"/>
          <w:sz w:val="32"/>
          <w:szCs w:val="32"/>
          <w:lang w:val="en-US" w:eastAsia="zh-CN"/>
        </w:rPr>
        <w:t>9年</w:t>
      </w:r>
      <w:r>
        <w:rPr>
          <w:rFonts w:hint="eastAsia" w:ascii="仿宋_GB2312" w:hAnsi="仿宋_GB2312" w:eastAsia="仿宋_GB2312" w:cs="仿宋_GB2312"/>
          <w:color w:val="000000"/>
          <w:kern w:val="0"/>
          <w:sz w:val="32"/>
          <w:szCs w:val="32"/>
        </w:rPr>
        <w:t>基本公共卫生服务实施方案》</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红原</w:t>
      </w:r>
      <w:r>
        <w:rPr>
          <w:rFonts w:hint="eastAsia" w:ascii="仿宋_GB2312" w:hAnsi="仿宋_GB2312" w:eastAsia="仿宋_GB2312" w:cs="仿宋_GB2312"/>
          <w:color w:val="000000"/>
          <w:kern w:val="0"/>
          <w:sz w:val="32"/>
          <w:szCs w:val="32"/>
        </w:rPr>
        <w:t>县基本公共卫生项目资金考核管理办法》等文件，明确相关职能部门的工作职责和疏通了工作思路。</w:t>
      </w:r>
    </w:p>
    <w:p>
      <w:pPr>
        <w:pStyle w:val="14"/>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rPr>
        <w:t>将项目工作内容纳入年度目标考核。按照上级关于开展国家基本公共卫生服务项目的部署要求,把基本公共卫生服务项目工作作为卫生工作的重中之重来抓，与各项目实施单位签订了目标责任书。各乡镇卫生院也相应成立了以单位负责人任组长的项目实施领导小组,制定了切合实际的实施方案,安排专门的办公场所,配备必要的设备设施,单位在职职工数的25%作为公共卫生人员，以保证我县基本公共卫生服务有序开展。</w:t>
      </w:r>
    </w:p>
    <w:p>
      <w:pPr>
        <w:adjustRightInd w:val="0"/>
        <w:snapToGrid w:val="0"/>
        <w:spacing w:line="600" w:lineRule="exact"/>
        <w:ind w:firstLine="720"/>
        <w:rPr>
          <w:rFonts w:hint="eastAsia" w:ascii="黑体" w:hAnsi="黑体" w:eastAsia="黑体" w:cs="黑体"/>
          <w:sz w:val="32"/>
          <w:szCs w:val="32"/>
          <w:lang w:val="zh-CN"/>
        </w:rPr>
      </w:pPr>
      <w:r>
        <w:rPr>
          <w:rFonts w:hint="eastAsia" w:ascii="黑体" w:hAnsi="黑体" w:eastAsia="黑体" w:cs="黑体"/>
          <w:sz w:val="32"/>
          <w:szCs w:val="32"/>
        </w:rPr>
        <w:t>四、项目绩效情况</w:t>
      </w:r>
      <w:r>
        <w:rPr>
          <w:rFonts w:hint="eastAsia" w:ascii="黑体" w:hAnsi="黑体" w:eastAsia="黑体" w:cs="黑体"/>
          <w:sz w:val="32"/>
          <w:szCs w:val="32"/>
          <w:lang w:val="zh-CN"/>
        </w:rPr>
        <w:tab/>
      </w:r>
    </w:p>
    <w:p>
      <w:pPr>
        <w:adjustRightInd w:val="0"/>
        <w:snapToGrid w:val="0"/>
        <w:spacing w:line="600" w:lineRule="exact"/>
        <w:ind w:firstLine="640" w:firstLineChars="20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（一）项目完成情况。</w:t>
      </w:r>
    </w:p>
    <w:p>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1.大骨节病监测工作</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sz w:val="32"/>
          <w:szCs w:val="32"/>
        </w:rPr>
        <w:t>全县共临床检查7-1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岁儿童</w:t>
      </w:r>
      <w:r>
        <w:rPr>
          <w:rFonts w:hint="eastAsia" w:ascii="仿宋_GB2312" w:hAnsi="仿宋_GB2312" w:eastAsia="仿宋_GB2312" w:cs="仿宋_GB2312"/>
          <w:sz w:val="32"/>
          <w:szCs w:val="32"/>
          <w:lang w:val="en-US" w:eastAsia="zh-CN"/>
        </w:rPr>
        <w:t>4155</w:t>
      </w:r>
      <w:r>
        <w:rPr>
          <w:rFonts w:hint="eastAsia" w:ascii="仿宋_GB2312" w:hAnsi="仿宋_GB2312" w:eastAsia="仿宋_GB2312" w:cs="仿宋_GB2312"/>
          <w:sz w:val="32"/>
          <w:szCs w:val="32"/>
        </w:rPr>
        <w:t>人，按照《大骨节病诊断标准》（GB16003-1995）未查出Ⅰ度及Ⅰ度以上大骨节病患儿。</w:t>
      </w:r>
    </w:p>
    <w:p>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2.饮茶型地氟病监测工作</w:t>
      </w:r>
    </w:p>
    <w:p>
      <w:pPr>
        <w:numPr>
          <w:ilvl w:val="0"/>
          <w:numId w:val="0"/>
        </w:numPr>
        <w:ind w:firstLine="640"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lang w:val="en-US" w:eastAsia="zh-CN"/>
        </w:rPr>
        <w:t>儿童氟斑牙检查，按照方案要求“东南西北中”</w:t>
      </w:r>
      <w:r>
        <w:rPr>
          <w:rFonts w:hint="eastAsia" w:ascii="仿宋_GB2312" w:hAnsi="仿宋_GB2312" w:eastAsia="仿宋_GB2312" w:cs="仿宋_GB2312"/>
          <w:sz w:val="32"/>
          <w:szCs w:val="32"/>
        </w:rPr>
        <w:t>选取</w:t>
      </w:r>
      <w:r>
        <w:rPr>
          <w:rFonts w:hint="eastAsia" w:ascii="仿宋_GB2312" w:hAnsi="仿宋_GB2312" w:eastAsia="仿宋_GB2312" w:cs="仿宋_GB2312"/>
          <w:sz w:val="32"/>
          <w:szCs w:val="32"/>
          <w:lang w:val="en-US" w:eastAsia="zh-CN"/>
        </w:rPr>
        <w:t>色地镇茸塔村、安曲镇哈拉玛村、查尔玛乡什布龙村、阿木乡峨扎村、龙日乡龙日村</w:t>
      </w:r>
      <w:r>
        <w:rPr>
          <w:rFonts w:hint="eastAsia" w:ascii="仿宋_GB2312" w:hAnsi="仿宋_GB2312" w:eastAsia="仿宋_GB2312" w:cs="仿宋_GB2312"/>
          <w:sz w:val="32"/>
          <w:szCs w:val="32"/>
        </w:rPr>
        <w:t>共5个监测点</w:t>
      </w:r>
      <w:r>
        <w:rPr>
          <w:rFonts w:hint="eastAsia" w:ascii="仿宋_GB2312" w:hAnsi="仿宋_GB2312" w:eastAsia="仿宋_GB2312" w:cs="仿宋_GB2312"/>
          <w:sz w:val="32"/>
          <w:szCs w:val="32"/>
          <w:lang w:val="en-US" w:eastAsia="zh-CN"/>
        </w:rPr>
        <w:t>，检查5个监测点的中心小学</w:t>
      </w:r>
      <w:r>
        <w:rPr>
          <w:rFonts w:hint="eastAsia" w:ascii="仿宋_GB2312" w:hAnsi="仿宋_GB2312" w:eastAsia="仿宋_GB2312" w:cs="仿宋_GB2312"/>
          <w:sz w:val="32"/>
          <w:szCs w:val="32"/>
        </w:rPr>
        <w:t>8-12岁儿童的氟斑牙患病情况</w:t>
      </w:r>
      <w:r>
        <w:rPr>
          <w:rFonts w:hint="eastAsia" w:ascii="仿宋_GB2312" w:hAnsi="仿宋_GB2312" w:eastAsia="仿宋_GB2312" w:cs="仿宋_GB2312"/>
          <w:sz w:val="32"/>
          <w:szCs w:val="32"/>
          <w:lang w:val="en-US" w:eastAsia="zh-CN"/>
        </w:rPr>
        <w:t>356</w:t>
      </w:r>
      <w:r>
        <w:rPr>
          <w:rFonts w:hint="eastAsia" w:ascii="仿宋_GB2312" w:hAnsi="仿宋_GB2312" w:eastAsia="仿宋_GB2312" w:cs="仿宋_GB2312"/>
          <w:sz w:val="32"/>
          <w:szCs w:val="32"/>
        </w:rPr>
        <w:t>人，其中正常</w:t>
      </w:r>
      <w:r>
        <w:rPr>
          <w:rFonts w:hint="eastAsia" w:ascii="仿宋_GB2312" w:hAnsi="仿宋_GB2312" w:eastAsia="仿宋_GB2312" w:cs="仿宋_GB2312"/>
          <w:sz w:val="32"/>
          <w:szCs w:val="32"/>
          <w:lang w:val="en-US" w:eastAsia="zh-CN"/>
        </w:rPr>
        <w:t>309</w:t>
      </w:r>
      <w:r>
        <w:rPr>
          <w:rFonts w:hint="eastAsia" w:ascii="仿宋_GB2312" w:hAnsi="仿宋_GB2312" w:eastAsia="仿宋_GB2312" w:cs="仿宋_GB2312"/>
          <w:sz w:val="32"/>
          <w:szCs w:val="32"/>
        </w:rPr>
        <w:t>人、可疑</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人、极轻</w:t>
      </w:r>
      <w:r>
        <w:rPr>
          <w:rFonts w:hint="eastAsia" w:ascii="仿宋_GB2312" w:hAnsi="仿宋_GB2312" w:eastAsia="仿宋_GB2312" w:cs="仿宋_GB2312"/>
          <w:sz w:val="32"/>
          <w:szCs w:val="32"/>
          <w:lang w:val="en-US" w:eastAsia="zh-CN"/>
        </w:rPr>
        <w:t>度24</w:t>
      </w:r>
      <w:r>
        <w:rPr>
          <w:rFonts w:hint="eastAsia" w:ascii="仿宋_GB2312" w:hAnsi="仿宋_GB2312" w:eastAsia="仿宋_GB2312" w:cs="仿宋_GB2312"/>
          <w:sz w:val="32"/>
          <w:szCs w:val="32"/>
        </w:rPr>
        <w:t>人、轻度</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人、中度</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人、重度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砖茶饮用情况调查、每监测点随机抽取10户农牧民家庭，对其砖茶饮用情况进行调查并采集</w:t>
      </w:r>
      <w:r>
        <w:rPr>
          <w:rFonts w:hint="eastAsia" w:ascii="仿宋_GB2312" w:hAnsi="仿宋_GB2312" w:eastAsia="仿宋_GB2312" w:cs="仿宋_GB2312"/>
          <w:sz w:val="32"/>
          <w:szCs w:val="32"/>
        </w:rPr>
        <w:t>砖茶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累计调查50户，采集砖茶50份并送往检验室，结果待定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碘缺乏病防治工作：</w:t>
      </w:r>
      <w:r>
        <w:rPr>
          <w:rFonts w:hint="eastAsia" w:ascii="仿宋_GB2312" w:hAnsi="仿宋_GB2312" w:eastAsia="仿宋_GB2312" w:cs="仿宋_GB2312"/>
          <w:color w:val="000000"/>
          <w:kern w:val="0"/>
          <w:sz w:val="32"/>
          <w:szCs w:val="32"/>
        </w:rPr>
        <w:t>在第2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个”全国防治碘缺乏病日”,中心围绕“</w:t>
      </w:r>
      <w:r>
        <w:rPr>
          <w:rFonts w:hint="eastAsia" w:ascii="仿宋_GB2312" w:hAnsi="仿宋_GB2312" w:eastAsia="仿宋_GB2312" w:cs="仿宋_GB2312"/>
          <w:color w:val="000000"/>
          <w:kern w:val="0"/>
          <w:sz w:val="32"/>
          <w:szCs w:val="32"/>
          <w:lang w:val="en-US" w:eastAsia="zh-CN"/>
        </w:rPr>
        <w:t>科学补碘益智、健康扶贫利民</w:t>
      </w:r>
      <w:r>
        <w:rPr>
          <w:rFonts w:hint="eastAsia" w:ascii="仿宋_GB2312" w:hAnsi="仿宋_GB2312" w:eastAsia="仿宋_GB2312" w:cs="仿宋_GB2312"/>
          <w:color w:val="000000"/>
          <w:kern w:val="0"/>
          <w:sz w:val="32"/>
          <w:szCs w:val="32"/>
        </w:rPr>
        <w:t>”主题开展了碘缺乏病防治知识宣传活动;活动中，工作人员以发放资料、设置咨询台等形式宣传防治碘缺乏病知识。并向群众发放碘缺乏病防治知识宣传折页、宣传画、食用盐保存方法宣传单，讲解碘缺乏病的危害、怎样科学补碘、如何保管食用碘盐。活动共计发放宣传</w:t>
      </w:r>
      <w:r>
        <w:rPr>
          <w:rFonts w:hint="eastAsia" w:ascii="仿宋_GB2312" w:hAnsi="仿宋_GB2312" w:eastAsia="仿宋_GB2312" w:cs="仿宋_GB2312"/>
          <w:color w:val="000000"/>
          <w:kern w:val="0"/>
          <w:sz w:val="32"/>
          <w:szCs w:val="32"/>
          <w:lang w:val="en-US" w:eastAsia="zh-CN"/>
        </w:rPr>
        <w:t>单800</w:t>
      </w:r>
      <w:r>
        <w:rPr>
          <w:rFonts w:hint="eastAsia" w:ascii="仿宋_GB2312" w:hAnsi="仿宋_GB2312" w:eastAsia="仿宋_GB2312" w:cs="仿宋_GB2312"/>
          <w:color w:val="000000"/>
          <w:kern w:val="0"/>
          <w:sz w:val="32"/>
          <w:szCs w:val="32"/>
        </w:rPr>
        <w:t>余份，接收群众现场咨询</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00余人次，免费发放标准加碘盐</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00余袋、宣传小礼品</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00余人份。</w:t>
      </w:r>
      <w:r>
        <w:rPr>
          <w:rFonts w:hint="eastAsia" w:ascii="仿宋_GB2312" w:hAnsi="仿宋_GB2312" w:eastAsia="仿宋_GB2312" w:cs="仿宋_GB2312"/>
          <w:sz w:val="32"/>
          <w:szCs w:val="32"/>
          <w:lang w:val="en-US" w:eastAsia="zh-CN"/>
        </w:rPr>
        <w:t>根据我县实际情况按照方案要求选取麦洼乡、阿木乡、壤口乡乡、邛溪镇、查尔玛乡</w:t>
      </w:r>
      <w:r>
        <w:rPr>
          <w:rFonts w:hint="eastAsia" w:ascii="仿宋_GB2312" w:hAnsi="仿宋_GB2312" w:eastAsia="仿宋_GB2312" w:cs="仿宋_GB2312"/>
          <w:sz w:val="32"/>
          <w:szCs w:val="32"/>
        </w:rPr>
        <w:t>共5个监测点</w:t>
      </w: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rPr>
        <w:t>碘</w:t>
      </w:r>
      <w:r>
        <w:rPr>
          <w:rFonts w:hint="eastAsia" w:ascii="仿宋_GB2312" w:hAnsi="仿宋_GB2312" w:eastAsia="仿宋_GB2312" w:cs="仿宋_GB2312"/>
          <w:sz w:val="32"/>
          <w:szCs w:val="32"/>
          <w:lang w:val="en-US" w:eastAsia="zh-CN"/>
        </w:rPr>
        <w:t>缺乏病监测</w:t>
      </w:r>
      <w:r>
        <w:rPr>
          <w:rFonts w:hint="eastAsia" w:ascii="仿宋_GB2312" w:hAnsi="仿宋_GB2312" w:eastAsia="仿宋_GB2312" w:cs="仿宋_GB2312"/>
          <w:sz w:val="32"/>
          <w:szCs w:val="32"/>
        </w:rPr>
        <w:t>，采集8-10岁尿</w:t>
      </w:r>
      <w:r>
        <w:rPr>
          <w:rFonts w:hint="eastAsia" w:ascii="仿宋_GB2312" w:hAnsi="仿宋_GB2312" w:eastAsia="仿宋_GB2312" w:cs="仿宋_GB2312"/>
          <w:sz w:val="32"/>
          <w:szCs w:val="32"/>
          <w:lang w:val="en-US" w:eastAsia="zh-CN"/>
        </w:rPr>
        <w:t>样</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盐碘2</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孕妇尿碘100份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盐碘100分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结果待实验室反馈</w:t>
      </w:r>
      <w:r>
        <w:rPr>
          <w:rFonts w:hint="eastAsia" w:ascii="仿宋_GB2312" w:hAnsi="仿宋_GB2312" w:eastAsia="仿宋_GB2312" w:cs="仿宋_GB2312"/>
          <w:sz w:val="32"/>
          <w:szCs w:val="32"/>
          <w:lang w:eastAsia="zh-CN"/>
        </w:rPr>
        <w:t>。</w:t>
      </w:r>
    </w:p>
    <w:p>
      <w:pPr>
        <w:adjustRightInd w:val="0"/>
        <w:snapToGrid w:val="0"/>
        <w:spacing w:line="600" w:lineRule="exact"/>
        <w:ind w:firstLine="640" w:firstLineChars="20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经过一系列健康教育干预措施实施，目标人群效果评价知晓率相对于基线调查有明显提高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小学生知晓率为</w:t>
      </w:r>
      <w:r>
        <w:rPr>
          <w:rFonts w:hint="eastAsia" w:ascii="仿宋_GB2312" w:hAnsi="仿宋_GB2312" w:eastAsia="仿宋_GB2312" w:cs="仿宋_GB2312"/>
          <w:sz w:val="32"/>
          <w:szCs w:val="32"/>
          <w:lang w:val="en-US" w:eastAsia="zh-CN"/>
        </w:rPr>
        <w:t>85.29%、</w:t>
      </w:r>
      <w:r>
        <w:rPr>
          <w:rFonts w:hint="eastAsia" w:ascii="仿宋_GB2312" w:hAnsi="仿宋_GB2312" w:eastAsia="仿宋_GB2312" w:cs="仿宋_GB2312"/>
          <w:sz w:val="32"/>
          <w:szCs w:val="32"/>
        </w:rPr>
        <w:t>家庭主妇知晓率为</w:t>
      </w:r>
      <w:r>
        <w:rPr>
          <w:rFonts w:hint="eastAsia" w:ascii="仿宋_GB2312" w:hAnsi="仿宋_GB2312" w:eastAsia="仿宋_GB2312" w:cs="仿宋_GB2312"/>
          <w:sz w:val="32"/>
          <w:szCs w:val="32"/>
          <w:lang w:val="en-US" w:eastAsia="zh-CN"/>
        </w:rPr>
        <w:t xml:space="preserve">87.85%。 </w:t>
      </w:r>
    </w:p>
    <w:p>
      <w:pPr>
        <w:adjustRightInd w:val="0"/>
        <w:snapToGrid w:val="0"/>
        <w:spacing w:line="600" w:lineRule="exact"/>
        <w:ind w:firstLine="720"/>
        <w:rPr>
          <w:rFonts w:hint="eastAsia" w:ascii="黑体" w:hAnsi="黑体" w:eastAsia="黑体" w:cs="黑体"/>
          <w:sz w:val="32"/>
          <w:szCs w:val="32"/>
        </w:rPr>
      </w:pPr>
      <w:r>
        <w:rPr>
          <w:rFonts w:hint="eastAsia" w:ascii="黑体" w:hAnsi="黑体" w:eastAsia="黑体" w:cs="黑体"/>
          <w:sz w:val="32"/>
          <w:szCs w:val="32"/>
        </w:rPr>
        <w:t>五、评价结论及建议</w:t>
      </w:r>
    </w:p>
    <w:p>
      <w:pPr>
        <w:adjustRightInd w:val="0"/>
        <w:snapToGrid w:val="0"/>
        <w:spacing w:line="600" w:lineRule="exact"/>
        <w:ind w:firstLine="72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（一）评价结论</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b w:val="0"/>
          <w:i w:val="0"/>
          <w:caps w:val="0"/>
          <w:color w:val="333333"/>
          <w:spacing w:val="0"/>
          <w:sz w:val="32"/>
          <w:szCs w:val="32"/>
          <w:lang w:eastAsia="zh-CN"/>
        </w:rPr>
      </w:pPr>
      <w:r>
        <w:rPr>
          <w:rFonts w:hint="eastAsia" w:ascii="仿宋_GB2312" w:hAnsi="仿宋_GB2312" w:eastAsia="仿宋_GB2312" w:cs="仿宋_GB2312"/>
          <w:b w:val="0"/>
          <w:i w:val="0"/>
          <w:caps w:val="0"/>
          <w:color w:val="333333"/>
          <w:spacing w:val="0"/>
          <w:sz w:val="32"/>
          <w:szCs w:val="32"/>
        </w:rPr>
        <w:t>增强了辖区内</w:t>
      </w:r>
      <w:r>
        <w:rPr>
          <w:rFonts w:hint="eastAsia" w:ascii="仿宋_GB2312" w:hAnsi="仿宋_GB2312" w:eastAsia="仿宋_GB2312" w:cs="仿宋_GB2312"/>
          <w:b w:val="0"/>
          <w:i w:val="0"/>
          <w:caps w:val="0"/>
          <w:color w:val="333333"/>
          <w:spacing w:val="0"/>
          <w:sz w:val="32"/>
          <w:szCs w:val="32"/>
          <w:lang w:eastAsia="zh-CN"/>
        </w:rPr>
        <w:t>农牧民群众对地方病、大骨节病防治知识知晓率，提高</w:t>
      </w:r>
      <w:r>
        <w:rPr>
          <w:rFonts w:hint="eastAsia" w:ascii="仿宋_GB2312" w:hAnsi="仿宋_GB2312" w:eastAsia="仿宋_GB2312" w:cs="仿宋_GB2312"/>
          <w:sz w:val="32"/>
          <w:szCs w:val="32"/>
        </w:rPr>
        <w:t>群众主动预防疾病意识。</w:t>
      </w:r>
      <w:r>
        <w:rPr>
          <w:rFonts w:hint="eastAsia" w:ascii="仿宋_GB2312" w:hAnsi="仿宋_GB2312" w:eastAsia="仿宋_GB2312" w:cs="仿宋_GB2312"/>
          <w:b w:val="0"/>
          <w:i w:val="0"/>
          <w:caps w:val="0"/>
          <w:color w:val="333333"/>
          <w:spacing w:val="0"/>
          <w:sz w:val="32"/>
          <w:szCs w:val="32"/>
        </w:rPr>
        <w:t>对居民身体健康起到了积极推动作用。</w:t>
      </w:r>
      <w:r>
        <w:rPr>
          <w:rFonts w:hint="eastAsia" w:ascii="仿宋_GB2312" w:hAnsi="仿宋_GB2312" w:eastAsia="仿宋_GB2312" w:cs="仿宋_GB2312"/>
          <w:sz w:val="32"/>
          <w:szCs w:val="32"/>
        </w:rPr>
        <w:t>经过一系列健康教育干预措施实施，目标人群效果评价知晓率相对于基线调查有明显提高</w:t>
      </w:r>
      <w:r>
        <w:rPr>
          <w:rFonts w:hint="eastAsia" w:ascii="仿宋_GB2312" w:hAnsi="仿宋_GB2312" w:eastAsia="仿宋_GB2312" w:cs="仿宋_GB2312"/>
          <w:sz w:val="32"/>
          <w:szCs w:val="32"/>
          <w:lang w:eastAsia="zh-CN"/>
        </w:rPr>
        <w:t>。</w:t>
      </w:r>
    </w:p>
    <w:p>
      <w:pPr>
        <w:adjustRightInd w:val="0"/>
        <w:snapToGrid w:val="0"/>
        <w:spacing w:line="600" w:lineRule="exact"/>
        <w:ind w:firstLine="640" w:firstLineChars="20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（二）存在的问题</w:t>
      </w:r>
    </w:p>
    <w:p>
      <w:pPr>
        <w:pStyle w:val="14"/>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lang w:val="en-US" w:eastAsia="zh-CN"/>
        </w:rPr>
        <w:t>.</w:t>
      </w:r>
      <w:r>
        <w:rPr>
          <w:rFonts w:hint="eastAsia" w:ascii="仿宋_GB2312" w:hAnsi="仿宋_GB2312" w:eastAsia="仿宋_GB2312" w:cs="仿宋_GB2312"/>
          <w:color w:val="000000"/>
          <w:sz w:val="32"/>
          <w:szCs w:val="32"/>
          <w:shd w:val="clear" w:color="auto" w:fill="FFFFFF"/>
        </w:rPr>
        <w:t>乡村两级从事公共卫生服务项目的人员业务能力还需再提高，公共卫生服务是一项系统而繁杂，工作量大，人员少，培训工作不足，缺乏工作经验，导致工作欠规范。</w:t>
      </w:r>
    </w:p>
    <w:p>
      <w:pPr>
        <w:pStyle w:val="14"/>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lang w:val="en-US" w:eastAsia="zh-CN"/>
        </w:rPr>
        <w:t>.</w:t>
      </w:r>
      <w:r>
        <w:rPr>
          <w:rFonts w:hint="eastAsia" w:ascii="仿宋_GB2312" w:hAnsi="仿宋_GB2312" w:eastAsia="仿宋_GB2312" w:cs="仿宋_GB2312"/>
          <w:color w:val="000000"/>
          <w:sz w:val="32"/>
          <w:szCs w:val="32"/>
          <w:shd w:val="clear" w:color="auto" w:fill="FFFFFF"/>
        </w:rPr>
        <w:t>宣传还不够深入，</w:t>
      </w:r>
      <w:r>
        <w:rPr>
          <w:rFonts w:hint="eastAsia" w:ascii="仿宋_GB2312" w:hAnsi="仿宋_GB2312" w:eastAsia="仿宋_GB2312" w:cs="仿宋_GB2312"/>
          <w:color w:val="000000"/>
          <w:sz w:val="32"/>
          <w:szCs w:val="32"/>
          <w:shd w:val="clear" w:color="auto" w:fill="FFFFFF"/>
          <w:lang w:eastAsia="zh-CN"/>
        </w:rPr>
        <w:t>牧民</w:t>
      </w:r>
      <w:r>
        <w:rPr>
          <w:rFonts w:hint="eastAsia" w:ascii="仿宋_GB2312" w:hAnsi="仿宋_GB2312" w:eastAsia="仿宋_GB2312" w:cs="仿宋_GB2312"/>
          <w:color w:val="000000"/>
          <w:sz w:val="32"/>
          <w:szCs w:val="32"/>
          <w:shd w:val="clear" w:color="auto" w:fill="FFFFFF"/>
        </w:rPr>
        <w:t>群众对基本公共卫生项目知晓率低，不理解、不配合的现象时有发生。</w:t>
      </w:r>
    </w:p>
    <w:p>
      <w:pPr>
        <w:adjustRightInd w:val="0"/>
        <w:snapToGrid w:val="0"/>
        <w:spacing w:line="600" w:lineRule="exact"/>
        <w:ind w:firstLine="720"/>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（三）相关建议</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建议</w:t>
      </w:r>
      <w:r>
        <w:rPr>
          <w:rFonts w:hint="eastAsia" w:ascii="仿宋_GB2312" w:hAnsi="仿宋_GB2312" w:eastAsia="仿宋_GB2312" w:cs="仿宋_GB2312"/>
          <w:color w:val="000000"/>
          <w:kern w:val="0"/>
          <w:sz w:val="32"/>
          <w:szCs w:val="32"/>
        </w:rPr>
        <w:t>健全工作机制，强化工作职责。加强对公共卫生</w:t>
      </w:r>
      <w:r>
        <w:rPr>
          <w:rFonts w:hint="eastAsia" w:ascii="仿宋_GB2312" w:hAnsi="仿宋_GB2312" w:eastAsia="仿宋_GB2312" w:cs="仿宋_GB2312"/>
          <w:color w:val="000000"/>
          <w:kern w:val="0"/>
          <w:sz w:val="32"/>
          <w:szCs w:val="32"/>
          <w:lang w:eastAsia="zh-CN"/>
        </w:rPr>
        <w:t>项目</w:t>
      </w:r>
      <w:r>
        <w:rPr>
          <w:rFonts w:hint="eastAsia" w:ascii="仿宋_GB2312" w:hAnsi="仿宋_GB2312" w:eastAsia="仿宋_GB2312" w:cs="仿宋_GB2312"/>
          <w:color w:val="000000"/>
          <w:kern w:val="0"/>
          <w:sz w:val="32"/>
          <w:szCs w:val="32"/>
        </w:rPr>
        <w:t>工作的领导，健全工作机制，强化工作职责，及时分析汇总，发现问题及时采取有效措施整改，确保项目工作全面有序健康发展。</w:t>
      </w:r>
    </w:p>
    <w:p>
      <w:pPr>
        <w:spacing w:line="600" w:lineRule="exact"/>
        <w:jc w:val="center"/>
        <w:outlineLvl w:val="0"/>
        <w:rPr>
          <w:rFonts w:ascii="黑体" w:hAnsi="黑体" w:eastAsia="黑体"/>
          <w:color w:val="000000"/>
          <w:sz w:val="44"/>
          <w:szCs w:val="44"/>
        </w:rPr>
      </w:pPr>
    </w:p>
    <w:p>
      <w:pPr>
        <w:spacing w:line="600" w:lineRule="exact"/>
        <w:rPr>
          <w:rFonts w:hint="eastAsia" w:ascii="黑体" w:hAnsi="黑体" w:eastAsia="黑体"/>
        </w:rPr>
      </w:pPr>
    </w:p>
    <w:p>
      <w:pPr>
        <w:spacing w:line="600" w:lineRule="exact"/>
        <w:rPr>
          <w:rFonts w:hint="eastAsia" w:ascii="黑体" w:hAnsi="黑体" w:eastAsia="黑体"/>
          <w:lang w:val="en-US" w:eastAsia="zh-CN"/>
        </w:rPr>
      </w:pPr>
      <w:r>
        <w:rPr>
          <w:rFonts w:hint="eastAsia" w:ascii="黑体" w:hAnsi="黑体" w:eastAsia="黑体"/>
        </w:rPr>
        <w:t>附件</w:t>
      </w:r>
      <w:r>
        <w:rPr>
          <w:rFonts w:hint="eastAsia" w:ascii="黑体" w:hAnsi="黑体" w:eastAsia="黑体"/>
          <w:lang w:val="en-US" w:eastAsia="zh-CN"/>
        </w:rPr>
        <w:t>5</w:t>
      </w:r>
    </w:p>
    <w:p>
      <w:pPr>
        <w:tabs>
          <w:tab w:val="left" w:pos="1440"/>
        </w:tabs>
        <w:spacing w:line="600" w:lineRule="exact"/>
        <w:rPr>
          <w:rFonts w:ascii="宋体" w:hAnsi="宋体" w:eastAsia="宋体"/>
          <w:sz w:val="30"/>
          <w:szCs w:val="30"/>
        </w:rPr>
      </w:pPr>
    </w:p>
    <w:p>
      <w:pPr>
        <w:spacing w:line="50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红原县疾病预防控制中心</w:t>
      </w:r>
    </w:p>
    <w:p>
      <w:pPr>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2019年基本公共卫生服务中央和省级资金（第三批）项目支出绩效自评报告</w:t>
      </w:r>
    </w:p>
    <w:p>
      <w:pPr>
        <w:pStyle w:val="36"/>
        <w:spacing w:line="600" w:lineRule="exact"/>
        <w:ind w:firstLine="640"/>
        <w:jc w:val="center"/>
        <w:rPr>
          <w:rFonts w:ascii="宋体" w:hAnsi="宋体"/>
          <w:color w:val="auto"/>
          <w:kern w:val="2"/>
          <w:sz w:val="32"/>
          <w:szCs w:val="32"/>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80" w:lineRule="exact"/>
        <w:ind w:firstLine="720"/>
        <w:rPr>
          <w:rFonts w:ascii="仿宋_GB2312" w:hAnsi="宋体" w:eastAsia="仿宋_GB2312" w:cs="仿宋_GB2312"/>
          <w:sz w:val="32"/>
          <w:szCs w:val="32"/>
          <w:lang w:val="zh-CN"/>
        </w:rPr>
      </w:pPr>
      <w:r>
        <w:rPr>
          <w:rFonts w:hint="eastAsia" w:ascii="仿宋_GB2312" w:hAnsi="宋体" w:eastAsia="仿宋_GB2312" w:cs="仿宋_GB2312"/>
          <w:sz w:val="32"/>
          <w:szCs w:val="32"/>
          <w:lang w:val="zh-CN"/>
        </w:rPr>
        <w:t>阿州财社</w:t>
      </w:r>
      <w:r>
        <w:rPr>
          <w:rFonts w:ascii="仿宋_GB2312" w:hAnsi="宋体" w:eastAsia="仿宋_GB2312" w:cs="仿宋_GB2312"/>
          <w:sz w:val="32"/>
          <w:szCs w:val="32"/>
          <w:lang w:val="zh-CN"/>
        </w:rPr>
        <w:t>201</w:t>
      </w:r>
      <w:r>
        <w:rPr>
          <w:rFonts w:hint="eastAsia" w:ascii="仿宋_GB2312" w:hAnsi="宋体" w:cs="仿宋_GB2312"/>
          <w:sz w:val="32"/>
          <w:szCs w:val="32"/>
          <w:lang w:val="en-US" w:eastAsia="zh-CN"/>
        </w:rPr>
        <w:t>9</w:t>
      </w:r>
      <w:r>
        <w:rPr>
          <w:rFonts w:hint="eastAsia" w:ascii="仿宋_GB2312" w:hAnsi="宋体" w:eastAsia="仿宋_GB2312" w:cs="仿宋_GB2312"/>
          <w:sz w:val="32"/>
          <w:szCs w:val="32"/>
          <w:lang w:val="zh-CN"/>
        </w:rPr>
        <w:t>【</w:t>
      </w:r>
      <w:r>
        <w:rPr>
          <w:rFonts w:hint="eastAsia" w:ascii="仿宋_GB2312" w:hAnsi="宋体" w:cs="仿宋_GB2312"/>
          <w:sz w:val="32"/>
          <w:szCs w:val="32"/>
          <w:lang w:val="en-US" w:eastAsia="zh-CN"/>
        </w:rPr>
        <w:t>93</w:t>
      </w:r>
      <w:r>
        <w:rPr>
          <w:rFonts w:hint="eastAsia" w:ascii="仿宋_GB2312" w:hAnsi="宋体" w:eastAsia="仿宋_GB2312" w:cs="仿宋_GB2312"/>
          <w:sz w:val="32"/>
          <w:szCs w:val="32"/>
          <w:lang w:val="zh-CN"/>
        </w:rPr>
        <w:t>】号资金文件，主要用于</w:t>
      </w:r>
      <w:r>
        <w:rPr>
          <w:rFonts w:hint="eastAsia" w:ascii="仿宋_GB2312" w:hAnsi="宋体" w:cs="仿宋_GB2312"/>
          <w:sz w:val="32"/>
          <w:szCs w:val="32"/>
          <w:lang w:val="zh-CN" w:eastAsia="zh-CN"/>
        </w:rPr>
        <w:t>水和环境监测、寄生虫病、职业病防治、麻风病监测</w:t>
      </w:r>
      <w:r>
        <w:rPr>
          <w:rFonts w:hint="eastAsia" w:ascii="仿宋_GB2312" w:hAnsi="宋体" w:eastAsia="仿宋_GB2312" w:cs="仿宋_GB2312"/>
          <w:sz w:val="32"/>
          <w:szCs w:val="32"/>
          <w:lang w:val="zh-CN" w:eastAsia="zh-CN"/>
        </w:rPr>
        <w:t>等</w:t>
      </w:r>
      <w:r>
        <w:rPr>
          <w:rFonts w:hint="eastAsia" w:ascii="仿宋_GB2312" w:hAnsi="宋体" w:eastAsia="仿宋_GB2312" w:cs="仿宋_GB2312"/>
          <w:sz w:val="32"/>
          <w:szCs w:val="32"/>
          <w:lang w:val="zh-CN"/>
        </w:rPr>
        <w:t>项目。</w:t>
      </w:r>
    </w:p>
    <w:p>
      <w:pPr>
        <w:numPr>
          <w:ilvl w:val="0"/>
          <w:numId w:val="0"/>
        </w:numPr>
        <w:adjustRightInd w:val="0"/>
        <w:snapToGrid w:val="0"/>
        <w:spacing w:line="580" w:lineRule="exact"/>
        <w:ind w:firstLine="640" w:firstLineChars="200"/>
        <w:rPr>
          <w:rFonts w:hint="eastAsia" w:ascii="楷体_GB2312" w:hAnsi="宋体" w:eastAsia="楷体_GB2312"/>
          <w:b w:val="0"/>
          <w:bCs/>
          <w:sz w:val="32"/>
          <w:szCs w:val="32"/>
          <w:lang w:val="zh-CN"/>
        </w:rPr>
      </w:pPr>
      <w:r>
        <w:rPr>
          <w:rFonts w:hint="eastAsia" w:ascii="楷体_GB2312" w:hAnsi="宋体" w:eastAsia="楷体_GB2312"/>
          <w:b w:val="0"/>
          <w:bCs/>
          <w:sz w:val="32"/>
          <w:szCs w:val="32"/>
          <w:lang w:val="zh-CN"/>
        </w:rPr>
        <w:t>（</w:t>
      </w:r>
      <w:r>
        <w:rPr>
          <w:rFonts w:hint="eastAsia" w:ascii="楷体_GB2312" w:hAnsi="宋体" w:eastAsia="楷体_GB2312"/>
          <w:b w:val="0"/>
          <w:bCs/>
          <w:sz w:val="32"/>
          <w:szCs w:val="32"/>
          <w:lang w:val="en-US" w:eastAsia="zh-CN"/>
        </w:rPr>
        <w:t>一</w:t>
      </w:r>
      <w:r>
        <w:rPr>
          <w:rFonts w:hint="eastAsia" w:ascii="楷体_GB2312" w:hAnsi="宋体" w:eastAsia="楷体_GB2312"/>
          <w:b w:val="0"/>
          <w:bCs/>
          <w:sz w:val="32"/>
          <w:szCs w:val="32"/>
          <w:lang w:val="zh-CN"/>
        </w:rPr>
        <w:t>）项目资金申报及批复情况</w:t>
      </w:r>
    </w:p>
    <w:p>
      <w:pPr>
        <w:numPr>
          <w:ilvl w:val="0"/>
          <w:numId w:val="0"/>
        </w:numPr>
        <w:adjustRightInd w:val="0"/>
        <w:snapToGrid w:val="0"/>
        <w:spacing w:line="580" w:lineRule="exact"/>
        <w:ind w:firstLine="640" w:firstLineChars="200"/>
        <w:rPr>
          <w:rFonts w:ascii="仿宋_GB2312" w:hAnsi="宋体" w:eastAsia="仿宋_GB2312" w:cs="楷体_GB2312"/>
          <w:bCs/>
          <w:sz w:val="30"/>
          <w:szCs w:val="30"/>
          <w:lang w:val="zh-CN"/>
        </w:rPr>
      </w:pPr>
      <w:r>
        <w:rPr>
          <w:rFonts w:hint="eastAsia" w:ascii="仿宋_GB2312" w:hAnsi="仿宋_GB2312" w:eastAsia="仿宋_GB2312" w:cs="仿宋_GB2312"/>
          <w:bCs/>
          <w:sz w:val="32"/>
          <w:szCs w:val="32"/>
          <w:lang w:val="zh-CN"/>
        </w:rPr>
        <w:t>我单位在收到上级下达</w:t>
      </w:r>
      <w:r>
        <w:rPr>
          <w:rFonts w:hint="eastAsia" w:ascii="仿宋_GB2312" w:hAnsi="仿宋_GB2312" w:eastAsia="仿宋_GB2312" w:cs="仿宋_GB2312"/>
          <w:sz w:val="32"/>
          <w:szCs w:val="32"/>
        </w:rPr>
        <w:t>2019年基本公共卫生服务中央和省级（第三批）项目</w:t>
      </w:r>
      <w:r>
        <w:rPr>
          <w:rFonts w:hint="eastAsia" w:ascii="仿宋_GB2312" w:hAnsi="仿宋_GB2312" w:eastAsia="仿宋_GB2312" w:cs="仿宋_GB2312"/>
          <w:bCs/>
          <w:sz w:val="32"/>
          <w:szCs w:val="32"/>
          <w:lang w:val="zh-CN"/>
        </w:rPr>
        <w:t>资金文件暨阿州财</w:t>
      </w:r>
      <w:r>
        <w:rPr>
          <w:rFonts w:hint="eastAsia" w:ascii="仿宋_GB2312" w:hAnsi="宋体" w:eastAsia="仿宋_GB2312" w:cs="楷体_GB2312"/>
          <w:bCs/>
          <w:sz w:val="32"/>
          <w:szCs w:val="32"/>
          <w:lang w:val="zh-CN"/>
        </w:rPr>
        <w:t>社</w:t>
      </w:r>
      <w:r>
        <w:rPr>
          <w:rFonts w:ascii="仿宋_GB2312" w:hAnsi="宋体" w:eastAsia="仿宋_GB2312" w:cs="楷体_GB2312"/>
          <w:bCs/>
          <w:sz w:val="32"/>
          <w:szCs w:val="32"/>
          <w:lang w:val="zh-CN"/>
        </w:rPr>
        <w:t>201</w:t>
      </w:r>
      <w:r>
        <w:rPr>
          <w:rFonts w:hint="eastAsia" w:ascii="仿宋_GB2312" w:hAnsi="宋体" w:cs="楷体_GB2312"/>
          <w:bCs/>
          <w:sz w:val="32"/>
          <w:szCs w:val="32"/>
          <w:lang w:val="en-US" w:eastAsia="zh-CN"/>
        </w:rPr>
        <w:t>9</w:t>
      </w:r>
      <w:r>
        <w:rPr>
          <w:rFonts w:hint="eastAsia" w:ascii="仿宋_GB2312" w:hAnsi="宋体" w:eastAsia="仿宋_GB2312" w:cs="楷体_GB2312"/>
          <w:bCs/>
          <w:sz w:val="32"/>
          <w:szCs w:val="32"/>
          <w:lang w:val="zh-CN"/>
        </w:rPr>
        <w:t>【</w:t>
      </w:r>
      <w:r>
        <w:rPr>
          <w:rFonts w:hint="eastAsia" w:ascii="仿宋_GB2312" w:hAnsi="宋体" w:cs="楷体_GB2312"/>
          <w:bCs/>
          <w:sz w:val="32"/>
          <w:szCs w:val="32"/>
          <w:lang w:val="en-US" w:eastAsia="zh-CN"/>
        </w:rPr>
        <w:t>93</w:t>
      </w:r>
      <w:r>
        <w:rPr>
          <w:rFonts w:hint="eastAsia" w:ascii="仿宋_GB2312" w:hAnsi="宋体" w:eastAsia="仿宋_GB2312" w:cs="楷体_GB2312"/>
          <w:bCs/>
          <w:sz w:val="32"/>
          <w:szCs w:val="32"/>
          <w:lang w:val="zh-CN"/>
        </w:rPr>
        <w:t>】号资金文件后，我单位按照三重一大的要求立即组织相关人员，结合我单位实际情况进行了项目安排工作，及时向卫健局请示资金的使用方案，并严格按照资</w:t>
      </w:r>
      <w:r>
        <w:rPr>
          <w:rFonts w:hint="eastAsia" w:ascii="仿宋_GB2312" w:hAnsi="宋体" w:eastAsia="仿宋_GB2312" w:cs="楷体_GB2312"/>
          <w:bCs/>
          <w:sz w:val="32"/>
          <w:szCs w:val="32"/>
          <w:lang w:val="en-US" w:eastAsia="zh-CN"/>
        </w:rPr>
        <w:t>金使用方案</w:t>
      </w:r>
      <w:r>
        <w:rPr>
          <w:rFonts w:hint="eastAsia" w:ascii="仿宋_GB2312" w:hAnsi="宋体" w:eastAsia="仿宋_GB2312" w:cs="楷体_GB2312"/>
          <w:bCs/>
          <w:sz w:val="32"/>
          <w:szCs w:val="32"/>
          <w:lang w:val="zh-CN"/>
        </w:rPr>
        <w:t>进行了资金拨付，符合项目资金管理办法。</w:t>
      </w:r>
    </w:p>
    <w:p>
      <w:pPr>
        <w:numPr>
          <w:ilvl w:val="0"/>
          <w:numId w:val="0"/>
        </w:numPr>
        <w:adjustRightInd w:val="0"/>
        <w:snapToGrid w:val="0"/>
        <w:spacing w:line="580" w:lineRule="exact"/>
        <w:ind w:firstLine="640" w:firstLineChars="200"/>
        <w:rPr>
          <w:rFonts w:hint="eastAsia" w:ascii="楷体_GB2312" w:hAnsi="宋体" w:eastAsia="楷体_GB2312"/>
          <w:b w:val="0"/>
          <w:bCs/>
          <w:sz w:val="32"/>
          <w:szCs w:val="32"/>
          <w:lang w:val="zh-CN"/>
        </w:rPr>
      </w:pPr>
      <w:r>
        <w:rPr>
          <w:rFonts w:hint="eastAsia" w:ascii="楷体_GB2312" w:hAnsi="宋体" w:eastAsia="楷体_GB2312"/>
          <w:b w:val="0"/>
          <w:bCs/>
          <w:sz w:val="32"/>
          <w:szCs w:val="32"/>
          <w:lang w:val="zh-CN"/>
        </w:rPr>
        <w:t>（</w:t>
      </w:r>
      <w:r>
        <w:rPr>
          <w:rFonts w:hint="eastAsia" w:ascii="楷体_GB2312" w:hAnsi="宋体" w:eastAsia="楷体_GB2312"/>
          <w:b w:val="0"/>
          <w:bCs/>
          <w:sz w:val="32"/>
          <w:szCs w:val="32"/>
          <w:lang w:val="en-US" w:eastAsia="zh-CN"/>
        </w:rPr>
        <w:t>二</w:t>
      </w:r>
      <w:r>
        <w:rPr>
          <w:rFonts w:hint="eastAsia" w:ascii="楷体_GB2312" w:hAnsi="宋体" w:eastAsia="楷体_GB2312"/>
          <w:b w:val="0"/>
          <w:bCs/>
          <w:sz w:val="32"/>
          <w:szCs w:val="32"/>
          <w:lang w:val="zh-CN"/>
        </w:rPr>
        <w:t>）项目绩效目标。</w:t>
      </w:r>
    </w:p>
    <w:p>
      <w:pPr>
        <w:adjustRightInd w:val="0"/>
        <w:snapToGrid w:val="0"/>
        <w:spacing w:line="580" w:lineRule="exact"/>
        <w:ind w:firstLine="720"/>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lang w:val="zh-CN"/>
        </w:rPr>
        <w:t>阿州财社</w:t>
      </w:r>
      <w:r>
        <w:rPr>
          <w:rFonts w:ascii="仿宋_GB2312" w:hAnsi="宋体" w:eastAsia="仿宋_GB2312" w:cs="仿宋_GB2312"/>
          <w:sz w:val="32"/>
          <w:szCs w:val="32"/>
          <w:lang w:val="zh-CN"/>
        </w:rPr>
        <w:t>201</w:t>
      </w:r>
      <w:r>
        <w:rPr>
          <w:rFonts w:hint="eastAsia" w:ascii="仿宋_GB2312" w:hAnsi="宋体" w:cs="仿宋_GB2312"/>
          <w:sz w:val="32"/>
          <w:szCs w:val="32"/>
          <w:lang w:val="en-US" w:eastAsia="zh-CN"/>
        </w:rPr>
        <w:t>9</w:t>
      </w:r>
      <w:r>
        <w:rPr>
          <w:rFonts w:hint="eastAsia" w:ascii="仿宋_GB2312" w:hAnsi="宋体" w:eastAsia="仿宋_GB2312" w:cs="仿宋_GB2312"/>
          <w:sz w:val="32"/>
          <w:szCs w:val="32"/>
          <w:lang w:val="zh-CN"/>
        </w:rPr>
        <w:t>【</w:t>
      </w:r>
      <w:r>
        <w:rPr>
          <w:rFonts w:hint="eastAsia" w:ascii="仿宋_GB2312" w:hAnsi="宋体" w:cs="仿宋_GB2312"/>
          <w:sz w:val="32"/>
          <w:szCs w:val="32"/>
          <w:lang w:val="en-US" w:eastAsia="zh-CN"/>
        </w:rPr>
        <w:t>93</w:t>
      </w:r>
      <w:r>
        <w:rPr>
          <w:rFonts w:hint="eastAsia" w:ascii="仿宋_GB2312" w:hAnsi="宋体" w:eastAsia="仿宋_GB2312" w:cs="仿宋_GB2312"/>
          <w:sz w:val="32"/>
          <w:szCs w:val="32"/>
          <w:lang w:val="zh-CN"/>
        </w:rPr>
        <w:t>】号文件项目，主要用于</w:t>
      </w:r>
      <w:r>
        <w:rPr>
          <w:rFonts w:hint="eastAsia" w:ascii="仿宋_GB2312" w:hAnsi="宋体" w:cs="仿宋_GB2312"/>
          <w:sz w:val="32"/>
          <w:szCs w:val="32"/>
          <w:lang w:val="zh-CN" w:eastAsia="zh-CN"/>
        </w:rPr>
        <w:t>水和环境监测、寄生虫病、职业病防治、麻风病监测、鼠疫</w:t>
      </w:r>
      <w:r>
        <w:rPr>
          <w:rFonts w:hint="eastAsia" w:ascii="仿宋_GB2312" w:hAnsi="宋体" w:eastAsia="仿宋_GB2312" w:cs="仿宋_GB2312"/>
          <w:sz w:val="32"/>
          <w:szCs w:val="32"/>
          <w:lang w:val="zh-CN"/>
        </w:rPr>
        <w:t>项目工作。</w:t>
      </w:r>
      <w:r>
        <w:rPr>
          <w:rFonts w:hint="eastAsia" w:ascii="仿宋_GB2312" w:hAnsi="宋体" w:cs="仿宋_GB2312"/>
          <w:sz w:val="32"/>
          <w:szCs w:val="32"/>
          <w:lang w:val="zh-CN"/>
        </w:rPr>
        <w:t>水和环境</w:t>
      </w:r>
      <w:r>
        <w:rPr>
          <w:rFonts w:hint="eastAsia" w:ascii="仿宋_GB2312" w:hAnsi="宋体" w:eastAsia="仿宋_GB2312" w:cs="仿宋_GB2312"/>
          <w:sz w:val="32"/>
          <w:szCs w:val="32"/>
          <w:lang w:val="zh-CN"/>
        </w:rPr>
        <w:t>监测</w:t>
      </w:r>
      <w:r>
        <w:rPr>
          <w:rFonts w:hint="eastAsia" w:ascii="仿宋_GB2312" w:hAnsi="宋体" w:cs="仿宋_GB2312"/>
          <w:sz w:val="32"/>
          <w:szCs w:val="32"/>
          <w:lang w:val="zh-CN"/>
        </w:rPr>
        <w:t>的检测</w:t>
      </w:r>
      <w:r>
        <w:rPr>
          <w:rFonts w:hint="eastAsia" w:ascii="仿宋_GB2312" w:hAnsi="宋体" w:eastAsia="仿宋_GB2312" w:cs="仿宋_GB2312"/>
          <w:sz w:val="32"/>
          <w:szCs w:val="32"/>
          <w:lang w:val="zh-CN"/>
        </w:rPr>
        <w:t>，</w:t>
      </w:r>
      <w:r>
        <w:rPr>
          <w:rFonts w:hint="eastAsia" w:ascii="仿宋_GB2312" w:hAnsi="宋体" w:cs="仿宋_GB2312"/>
          <w:sz w:val="32"/>
          <w:szCs w:val="32"/>
          <w:lang w:val="zh-CN"/>
        </w:rPr>
        <w:t>职业病</w:t>
      </w:r>
      <w:r>
        <w:rPr>
          <w:rFonts w:hint="eastAsia" w:ascii="仿宋_GB2312" w:hAnsi="宋体" w:eastAsia="仿宋_GB2312" w:cs="仿宋_GB2312"/>
          <w:sz w:val="32"/>
          <w:szCs w:val="32"/>
          <w:lang w:val="zh-CN"/>
        </w:rPr>
        <w:t>主要是给</w:t>
      </w:r>
      <w:r>
        <w:rPr>
          <w:rFonts w:hint="eastAsia" w:ascii="仿宋_GB2312" w:hAnsi="宋体" w:cs="仿宋_GB2312"/>
          <w:sz w:val="32"/>
          <w:szCs w:val="32"/>
          <w:lang w:val="zh-CN"/>
        </w:rPr>
        <w:t>医务人员宣传费用</w:t>
      </w:r>
      <w:r>
        <w:rPr>
          <w:rFonts w:hint="eastAsia" w:ascii="仿宋_GB2312" w:hAnsi="宋体" w:eastAsia="仿宋_GB2312" w:cs="仿宋_GB2312"/>
          <w:sz w:val="32"/>
          <w:szCs w:val="32"/>
          <w:lang w:val="en-US" w:eastAsia="zh-CN"/>
        </w:rPr>
        <w:t>；</w:t>
      </w:r>
      <w:r>
        <w:rPr>
          <w:rFonts w:hint="eastAsia" w:ascii="仿宋_GB2312" w:hAnsi="宋体" w:cs="仿宋_GB2312"/>
          <w:sz w:val="32"/>
          <w:szCs w:val="32"/>
          <w:lang w:val="en-US" w:eastAsia="zh-CN"/>
        </w:rPr>
        <w:t>麻风病人</w:t>
      </w:r>
      <w:r>
        <w:rPr>
          <w:rFonts w:hint="eastAsia" w:ascii="仿宋_GB2312" w:hAnsi="宋体" w:eastAsia="仿宋_GB2312" w:cs="仿宋_GB2312"/>
          <w:sz w:val="32"/>
          <w:szCs w:val="32"/>
          <w:lang w:val="en-US" w:eastAsia="zh-CN"/>
        </w:rPr>
        <w:t>主要是用于监测及健康教育经费；</w:t>
      </w:r>
      <w:r>
        <w:rPr>
          <w:rFonts w:hint="eastAsia" w:ascii="仿宋_GB2312" w:hAnsi="宋体" w:cs="仿宋_GB2312"/>
          <w:sz w:val="32"/>
          <w:szCs w:val="32"/>
          <w:lang w:val="en-US" w:eastAsia="zh-CN"/>
        </w:rPr>
        <w:t>鼠疫</w:t>
      </w:r>
      <w:r>
        <w:rPr>
          <w:rFonts w:hint="eastAsia" w:ascii="仿宋_GB2312" w:hAnsi="宋体" w:eastAsia="仿宋_GB2312" w:cs="仿宋_GB2312"/>
          <w:sz w:val="32"/>
          <w:szCs w:val="32"/>
          <w:lang w:val="zh-CN" w:eastAsia="zh-CN"/>
        </w:rPr>
        <w:t>主要是</w:t>
      </w:r>
      <w:r>
        <w:rPr>
          <w:rFonts w:hint="eastAsia" w:ascii="仿宋_GB2312" w:hAnsi="宋体" w:cs="仿宋_GB2312"/>
          <w:sz w:val="32"/>
          <w:szCs w:val="32"/>
          <w:lang w:val="zh-CN" w:eastAsia="zh-CN"/>
        </w:rPr>
        <w:t>下乡监测</w:t>
      </w:r>
      <w:r>
        <w:rPr>
          <w:rFonts w:hint="eastAsia" w:ascii="仿宋_GB2312" w:hAnsi="宋体" w:eastAsia="仿宋_GB2312" w:cs="仿宋_GB2312"/>
          <w:sz w:val="32"/>
          <w:szCs w:val="32"/>
          <w:lang w:val="zh-CN" w:eastAsia="zh-CN"/>
        </w:rPr>
        <w:t>等工作。</w:t>
      </w:r>
    </w:p>
    <w:p>
      <w:pPr>
        <w:numPr>
          <w:ilvl w:val="0"/>
          <w:numId w:val="0"/>
        </w:numPr>
        <w:adjustRightInd w:val="0"/>
        <w:snapToGrid w:val="0"/>
        <w:spacing w:line="600" w:lineRule="exact"/>
        <w:ind w:firstLine="640" w:firstLineChars="200"/>
        <w:rPr>
          <w:rFonts w:hint="eastAsia" w:ascii="楷体_GB2312" w:hAnsi="宋体" w:eastAsia="楷体_GB2312"/>
          <w:b w:val="0"/>
          <w:bCs/>
          <w:sz w:val="32"/>
          <w:szCs w:val="32"/>
          <w:lang w:val="zh-CN"/>
        </w:rPr>
      </w:pPr>
      <w:r>
        <w:rPr>
          <w:rFonts w:hint="eastAsia" w:ascii="楷体_GB2312" w:hAnsi="宋体" w:eastAsia="楷体_GB2312"/>
          <w:b w:val="0"/>
          <w:bCs/>
          <w:sz w:val="32"/>
          <w:szCs w:val="32"/>
          <w:lang w:val="zh-CN"/>
        </w:rPr>
        <w:t>（</w:t>
      </w:r>
      <w:r>
        <w:rPr>
          <w:rFonts w:hint="eastAsia" w:ascii="楷体_GB2312" w:hAnsi="宋体" w:eastAsia="楷体_GB2312"/>
          <w:b w:val="0"/>
          <w:bCs/>
          <w:sz w:val="32"/>
          <w:szCs w:val="32"/>
          <w:lang w:val="en-US" w:eastAsia="zh-CN"/>
        </w:rPr>
        <w:t>三</w:t>
      </w:r>
      <w:r>
        <w:rPr>
          <w:rFonts w:hint="eastAsia" w:ascii="楷体_GB2312" w:hAnsi="宋体" w:eastAsia="楷体_GB2312"/>
          <w:b w:val="0"/>
          <w:bCs/>
          <w:sz w:val="32"/>
          <w:szCs w:val="32"/>
          <w:lang w:val="zh-CN"/>
        </w:rPr>
        <w:t>）项目资金申报相符性。</w:t>
      </w:r>
    </w:p>
    <w:p>
      <w:pPr>
        <w:numPr>
          <w:ilvl w:val="0"/>
          <w:numId w:val="0"/>
        </w:numPr>
        <w:adjustRightInd w:val="0"/>
        <w:snapToGrid w:val="0"/>
        <w:spacing w:line="600" w:lineRule="exact"/>
        <w:ind w:left="720" w:leftChars="0"/>
        <w:rPr>
          <w:rFonts w:hint="eastAsia" w:ascii="仿宋_GB2312" w:hAnsi="宋体" w:eastAsia="仿宋_GB2312" w:cs="楷体_GB2312"/>
          <w:bCs/>
          <w:sz w:val="32"/>
          <w:szCs w:val="32"/>
          <w:lang w:val="zh-CN"/>
        </w:rPr>
      </w:pPr>
      <w:r>
        <w:rPr>
          <w:rFonts w:hint="eastAsia" w:ascii="仿宋_GB2312" w:hAnsi="宋体" w:eastAsia="仿宋_GB2312" w:cs="楷体_GB2312"/>
          <w:bCs/>
          <w:sz w:val="32"/>
          <w:szCs w:val="32"/>
          <w:lang w:val="zh-CN"/>
        </w:rPr>
        <w:t>项目申报内容与具体实施内容相符。</w:t>
      </w:r>
    </w:p>
    <w:p>
      <w:pPr>
        <w:numPr>
          <w:ilvl w:val="0"/>
          <w:numId w:val="0"/>
        </w:numPr>
        <w:adjustRightInd w:val="0"/>
        <w:snapToGrid w:val="0"/>
        <w:spacing w:line="600" w:lineRule="exact"/>
        <w:ind w:firstLine="640" w:firstLineChars="20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600" w:lineRule="exact"/>
        <w:ind w:firstLine="640" w:firstLineChars="200"/>
        <w:rPr>
          <w:rFonts w:ascii="楷体_GB2312" w:hAnsi="宋体" w:eastAsia="楷体_GB2312"/>
          <w:b w:val="0"/>
          <w:bCs/>
          <w:sz w:val="32"/>
          <w:szCs w:val="32"/>
          <w:lang w:val="zh-CN"/>
        </w:rPr>
      </w:pPr>
      <w:r>
        <w:rPr>
          <w:rFonts w:hint="eastAsia" w:ascii="楷体_GB2312" w:hAnsi="宋体" w:eastAsia="楷体_GB2312"/>
          <w:b w:val="0"/>
          <w:bCs/>
          <w:sz w:val="32"/>
          <w:szCs w:val="32"/>
          <w:lang w:val="zh-CN"/>
        </w:rPr>
        <w:t>（一）资金计划、到位及使用情况</w:t>
      </w:r>
    </w:p>
    <w:p>
      <w:pPr>
        <w:adjustRightInd w:val="0"/>
        <w:snapToGrid w:val="0"/>
        <w:spacing w:line="580" w:lineRule="exact"/>
        <w:ind w:firstLine="720"/>
        <w:rPr>
          <w:rFonts w:hint="eastAsia" w:ascii="仿宋_GB2312" w:hAnsi="宋体" w:eastAsia="仿宋_GB2312" w:cs="楷体_GB2312"/>
          <w:b/>
          <w:bCs/>
          <w:sz w:val="32"/>
          <w:szCs w:val="32"/>
          <w:lang w:val="en-US" w:eastAsia="zh-CN"/>
        </w:rPr>
      </w:pPr>
      <w:r>
        <w:rPr>
          <w:rFonts w:hint="eastAsia" w:ascii="仿宋_GB2312" w:hAnsi="宋体" w:cs="楷体_GB2312"/>
          <w:b/>
          <w:bCs/>
          <w:sz w:val="32"/>
          <w:szCs w:val="32"/>
          <w:lang w:val="en-US" w:eastAsia="zh-CN"/>
        </w:rPr>
        <w:t>1.</w:t>
      </w:r>
      <w:r>
        <w:rPr>
          <w:rFonts w:hint="eastAsia" w:ascii="仿宋_GB2312" w:hAnsi="宋体" w:eastAsia="仿宋_GB2312" w:cs="楷体_GB2312"/>
          <w:b/>
          <w:bCs/>
          <w:sz w:val="32"/>
          <w:szCs w:val="32"/>
          <w:lang w:val="zh-CN"/>
        </w:rPr>
        <w:t>资金计划及到位</w:t>
      </w:r>
      <w:r>
        <w:rPr>
          <w:rFonts w:hint="eastAsia" w:ascii="仿宋_GB2312" w:hAnsi="宋体" w:cs="楷体_GB2312"/>
          <w:b/>
          <w:bCs/>
          <w:sz w:val="32"/>
          <w:szCs w:val="32"/>
          <w:lang w:val="en-US" w:eastAsia="zh-CN"/>
        </w:rPr>
        <w:t>情况</w:t>
      </w:r>
    </w:p>
    <w:p>
      <w:pPr>
        <w:adjustRightInd w:val="0"/>
        <w:snapToGrid w:val="0"/>
        <w:spacing w:line="580" w:lineRule="exact"/>
        <w:ind w:firstLine="720"/>
        <w:rPr>
          <w:rFonts w:ascii="仿宋_GB2312" w:hAnsi="宋体" w:eastAsia="仿宋_GB2312" w:cs="楷体_GB2312"/>
          <w:sz w:val="32"/>
          <w:szCs w:val="32"/>
          <w:lang w:val="zh-CN"/>
        </w:rPr>
      </w:pPr>
      <w:r>
        <w:rPr>
          <w:rFonts w:hint="eastAsia" w:ascii="仿宋_GB2312" w:hAnsi="宋体" w:eastAsia="仿宋_GB2312" w:cs="楷体_GB2312"/>
          <w:sz w:val="32"/>
          <w:szCs w:val="32"/>
          <w:lang w:val="zh-CN"/>
        </w:rPr>
        <w:t>项目资金到位及时，包括中央到县财政拨付率</w:t>
      </w:r>
      <w:r>
        <w:rPr>
          <w:rFonts w:hint="eastAsia" w:ascii="仿宋_GB2312" w:hAnsi="宋体" w:cs="楷体_GB2312"/>
          <w:sz w:val="32"/>
          <w:szCs w:val="32"/>
          <w:lang w:val="en-US" w:eastAsia="zh-CN"/>
        </w:rPr>
        <w:t>100</w:t>
      </w:r>
      <w:r>
        <w:rPr>
          <w:rFonts w:ascii="仿宋_GB2312" w:hAnsi="宋体" w:eastAsia="仿宋_GB2312" w:cs="楷体_GB2312"/>
          <w:sz w:val="32"/>
          <w:szCs w:val="32"/>
          <w:lang w:val="zh-CN"/>
        </w:rPr>
        <w:t>%</w:t>
      </w:r>
      <w:r>
        <w:rPr>
          <w:rFonts w:hint="eastAsia" w:ascii="仿宋_GB2312" w:hAnsi="宋体" w:eastAsia="仿宋_GB2312" w:cs="楷体_GB2312"/>
          <w:sz w:val="32"/>
          <w:szCs w:val="32"/>
          <w:lang w:val="zh-CN"/>
        </w:rPr>
        <w:t>，</w:t>
      </w:r>
    </w:p>
    <w:p>
      <w:pPr>
        <w:adjustRightInd w:val="0"/>
        <w:snapToGrid w:val="0"/>
        <w:spacing w:line="580" w:lineRule="exact"/>
        <w:ind w:firstLine="720"/>
        <w:rPr>
          <w:rFonts w:hint="eastAsia" w:ascii="仿宋_GB2312" w:hAnsi="宋体" w:eastAsia="仿宋_GB2312" w:cs="楷体_GB2312"/>
          <w:b/>
          <w:bCs/>
          <w:sz w:val="32"/>
          <w:szCs w:val="32"/>
          <w:lang w:val="en-US" w:eastAsia="zh-CN"/>
        </w:rPr>
      </w:pPr>
      <w:r>
        <w:rPr>
          <w:rFonts w:hint="eastAsia" w:ascii="仿宋_GB2312" w:hAnsi="宋体" w:cs="楷体_GB2312"/>
          <w:b/>
          <w:bCs/>
          <w:sz w:val="32"/>
          <w:szCs w:val="32"/>
          <w:lang w:val="en-US" w:eastAsia="zh-CN"/>
        </w:rPr>
        <w:t>2.</w:t>
      </w:r>
      <w:r>
        <w:rPr>
          <w:rFonts w:hint="eastAsia" w:ascii="仿宋_GB2312" w:hAnsi="宋体" w:eastAsia="仿宋_GB2312" w:cs="楷体_GB2312"/>
          <w:b/>
          <w:bCs/>
          <w:sz w:val="32"/>
          <w:szCs w:val="32"/>
          <w:lang w:val="zh-CN"/>
        </w:rPr>
        <w:t>资金使用</w:t>
      </w:r>
      <w:r>
        <w:rPr>
          <w:rFonts w:hint="eastAsia" w:ascii="仿宋_GB2312" w:hAnsi="宋体" w:cs="楷体_GB2312"/>
          <w:b/>
          <w:bCs/>
          <w:sz w:val="32"/>
          <w:szCs w:val="32"/>
          <w:lang w:val="en-US" w:eastAsia="zh-CN"/>
        </w:rPr>
        <w:t>情况</w:t>
      </w:r>
    </w:p>
    <w:p>
      <w:pPr>
        <w:adjustRightInd w:val="0"/>
        <w:snapToGrid w:val="0"/>
        <w:spacing w:line="580" w:lineRule="exact"/>
        <w:ind w:firstLine="720"/>
        <w:rPr>
          <w:rFonts w:ascii="仿宋_GB2312" w:hAnsi="宋体" w:eastAsia="仿宋_GB2312" w:cs="楷体_GB2312"/>
          <w:sz w:val="32"/>
          <w:szCs w:val="32"/>
          <w:lang w:val="zh-CN"/>
        </w:rPr>
      </w:pPr>
      <w:r>
        <w:rPr>
          <w:rFonts w:hint="eastAsia" w:ascii="仿宋_GB2312" w:hAnsi="宋体" w:eastAsia="仿宋_GB2312" w:cs="楷体_GB2312"/>
          <w:sz w:val="32"/>
          <w:szCs w:val="32"/>
          <w:lang w:val="zh-CN"/>
        </w:rPr>
        <w:t>阿州财社</w:t>
      </w:r>
      <w:r>
        <w:rPr>
          <w:rFonts w:ascii="仿宋_GB2312" w:hAnsi="宋体" w:eastAsia="仿宋_GB2312" w:cs="楷体_GB2312"/>
          <w:sz w:val="32"/>
          <w:szCs w:val="32"/>
          <w:lang w:val="zh-CN"/>
        </w:rPr>
        <w:t>201</w:t>
      </w:r>
      <w:r>
        <w:rPr>
          <w:rFonts w:hint="eastAsia" w:ascii="仿宋_GB2312" w:hAnsi="宋体" w:cs="楷体_GB2312"/>
          <w:sz w:val="32"/>
          <w:szCs w:val="32"/>
          <w:lang w:val="en-US" w:eastAsia="zh-CN"/>
        </w:rPr>
        <w:t>9</w:t>
      </w:r>
      <w:r>
        <w:rPr>
          <w:rFonts w:hint="eastAsia" w:ascii="仿宋_GB2312" w:hAnsi="宋体" w:eastAsia="仿宋_GB2312" w:cs="楷体_GB2312"/>
          <w:sz w:val="32"/>
          <w:szCs w:val="32"/>
          <w:lang w:val="zh-CN"/>
        </w:rPr>
        <w:t>【</w:t>
      </w:r>
      <w:r>
        <w:rPr>
          <w:rFonts w:hint="eastAsia" w:ascii="仿宋_GB2312" w:hAnsi="宋体" w:cs="楷体_GB2312"/>
          <w:sz w:val="32"/>
          <w:szCs w:val="32"/>
          <w:lang w:val="en-US" w:eastAsia="zh-CN"/>
        </w:rPr>
        <w:t>93</w:t>
      </w:r>
      <w:r>
        <w:rPr>
          <w:rFonts w:hint="eastAsia" w:ascii="仿宋_GB2312" w:hAnsi="宋体" w:eastAsia="仿宋_GB2312" w:cs="楷体_GB2312"/>
          <w:sz w:val="32"/>
          <w:szCs w:val="32"/>
          <w:lang w:val="zh-CN"/>
        </w:rPr>
        <w:t>】号资金共计</w:t>
      </w:r>
      <w:r>
        <w:rPr>
          <w:rFonts w:hint="eastAsia" w:ascii="仿宋_GB2312" w:hAnsi="宋体" w:cs="楷体_GB2312"/>
          <w:sz w:val="32"/>
          <w:szCs w:val="32"/>
          <w:lang w:val="en-US" w:eastAsia="zh-CN"/>
        </w:rPr>
        <w:t>137720</w:t>
      </w:r>
      <w:r>
        <w:rPr>
          <w:rFonts w:hint="eastAsia" w:ascii="仿宋_GB2312" w:hAnsi="宋体" w:eastAsia="仿宋_GB2312" w:cs="楷体_GB2312"/>
          <w:sz w:val="32"/>
          <w:szCs w:val="32"/>
          <w:lang w:val="zh-CN"/>
        </w:rPr>
        <w:t>元，按照相关规定已累计拨付</w:t>
      </w:r>
      <w:r>
        <w:rPr>
          <w:rFonts w:hint="eastAsia" w:ascii="仿宋_GB2312" w:hAnsi="宋体" w:cs="楷体_GB2312"/>
          <w:sz w:val="32"/>
          <w:szCs w:val="32"/>
          <w:lang w:val="en-US" w:eastAsia="zh-CN"/>
        </w:rPr>
        <w:t>29367.89</w:t>
      </w:r>
      <w:r>
        <w:rPr>
          <w:rFonts w:hint="eastAsia" w:ascii="仿宋_GB2312" w:hAnsi="宋体" w:eastAsia="仿宋_GB2312" w:cs="楷体_GB2312"/>
          <w:sz w:val="32"/>
          <w:szCs w:val="32"/>
          <w:lang w:val="zh-CN"/>
        </w:rPr>
        <w:t>元，剩余</w:t>
      </w:r>
      <w:r>
        <w:rPr>
          <w:rFonts w:hint="eastAsia" w:ascii="仿宋_GB2312" w:hAnsi="宋体" w:cs="楷体_GB2312"/>
          <w:sz w:val="32"/>
          <w:szCs w:val="32"/>
          <w:lang w:val="en-US" w:eastAsia="zh-CN"/>
        </w:rPr>
        <w:t>108352.11</w:t>
      </w:r>
      <w:r>
        <w:rPr>
          <w:rFonts w:hint="eastAsia" w:ascii="仿宋_GB2312" w:hAnsi="宋体" w:eastAsia="仿宋_GB2312" w:cs="楷体_GB2312"/>
          <w:sz w:val="32"/>
          <w:szCs w:val="32"/>
          <w:lang w:val="zh-CN"/>
        </w:rPr>
        <w:t>元，项目支付进度与计划相符，支付凭据齐全合法，资金支付与预算相符。</w:t>
      </w:r>
    </w:p>
    <w:p>
      <w:pPr>
        <w:adjustRightInd w:val="0"/>
        <w:snapToGrid w:val="0"/>
        <w:spacing w:line="600" w:lineRule="exact"/>
        <w:ind w:firstLine="720"/>
        <w:rPr>
          <w:rFonts w:ascii="楷体_GB2312" w:hAnsi="宋体" w:eastAsia="楷体_GB2312"/>
          <w:b w:val="0"/>
          <w:bCs/>
          <w:sz w:val="32"/>
          <w:szCs w:val="32"/>
          <w:lang w:val="zh-CN"/>
        </w:rPr>
      </w:pPr>
      <w:r>
        <w:rPr>
          <w:rFonts w:hint="eastAsia" w:ascii="楷体_GB2312" w:hAnsi="宋体" w:eastAsia="楷体_GB2312"/>
          <w:b w:val="0"/>
          <w:bCs/>
          <w:sz w:val="32"/>
          <w:szCs w:val="32"/>
          <w:lang w:val="zh-CN"/>
        </w:rPr>
        <w:t>（二）项目财务管理情况</w:t>
      </w:r>
    </w:p>
    <w:p>
      <w:pPr>
        <w:pStyle w:val="14"/>
        <w:widowControl/>
        <w:shd w:val="clear" w:color="auto" w:fill="FFFFFF"/>
        <w:spacing w:before="0" w:beforeAutospacing="0" w:after="0" w:afterAutospacing="0" w:line="52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对照项目资金管理办法，严格执行财务管理制度，财务处理及时、会计核算规范。</w:t>
      </w:r>
    </w:p>
    <w:p>
      <w:pPr>
        <w:adjustRightInd w:val="0"/>
        <w:snapToGrid w:val="0"/>
        <w:spacing w:line="600" w:lineRule="exact"/>
        <w:ind w:firstLine="720"/>
        <w:rPr>
          <w:rFonts w:ascii="楷体_GB2312" w:hAnsi="宋体" w:eastAsia="楷体_GB2312"/>
          <w:b w:val="0"/>
          <w:bCs/>
          <w:sz w:val="32"/>
          <w:szCs w:val="32"/>
          <w:lang w:val="zh-CN"/>
        </w:rPr>
      </w:pPr>
      <w:r>
        <w:rPr>
          <w:rFonts w:hint="eastAsia" w:ascii="楷体_GB2312" w:hAnsi="宋体" w:eastAsia="楷体_GB2312"/>
          <w:b w:val="0"/>
          <w:bCs/>
          <w:sz w:val="32"/>
          <w:szCs w:val="32"/>
          <w:lang w:val="zh-CN"/>
        </w:rPr>
        <w:t>（三）项目组织实施情况</w:t>
      </w:r>
    </w:p>
    <w:p>
      <w:pPr>
        <w:adjustRightInd w:val="0"/>
        <w:snapToGrid w:val="0"/>
        <w:spacing w:line="580" w:lineRule="exact"/>
        <w:ind w:firstLine="640" w:firstLineChars="200"/>
        <w:rPr>
          <w:rFonts w:ascii="仿宋_GB2312" w:hAnsi="宋体" w:eastAsia="仿宋_GB2312" w:cs="仿宋_GB2312"/>
          <w:sz w:val="32"/>
          <w:szCs w:val="32"/>
          <w:lang w:val="zh-CN"/>
        </w:rPr>
      </w:pPr>
      <w:r>
        <w:rPr>
          <w:rFonts w:hint="eastAsia" w:ascii="仿宋_GB2312" w:hAnsi="宋体" w:eastAsia="仿宋_GB2312" w:cs="仿宋_GB2312"/>
          <w:sz w:val="32"/>
          <w:szCs w:val="32"/>
          <w:lang w:val="zh-CN"/>
        </w:rPr>
        <w:t>项目由主管领导组织相关人员进行项目讨伦，向卫健局请示资金的使用方案，及时进行信息公示，根据我县资金拨付的要求和规定，按照程序及时予以拨付，并依法接受监督。</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adjustRightInd w:val="0"/>
        <w:snapToGrid w:val="0"/>
        <w:spacing w:line="600" w:lineRule="exact"/>
        <w:ind w:firstLine="640" w:firstLineChars="200"/>
        <w:rPr>
          <w:rFonts w:ascii="楷体_GB2312" w:hAnsi="宋体" w:eastAsia="楷体_GB2312"/>
          <w:b w:val="0"/>
          <w:bCs/>
          <w:sz w:val="32"/>
          <w:szCs w:val="32"/>
          <w:lang w:val="zh-CN"/>
        </w:rPr>
      </w:pPr>
      <w:r>
        <w:rPr>
          <w:rFonts w:hint="eastAsia" w:ascii="楷体_GB2312" w:hAnsi="宋体" w:eastAsia="楷体_GB2312"/>
          <w:b w:val="0"/>
          <w:bCs/>
          <w:sz w:val="32"/>
          <w:szCs w:val="32"/>
          <w:lang w:val="zh-CN"/>
        </w:rPr>
        <w:t>（一）项目完成情况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阿州财社201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lang w:val="zh-CN"/>
        </w:rPr>
        <w:t>】号文件项目，主要用于</w:t>
      </w:r>
      <w:r>
        <w:rPr>
          <w:rFonts w:hint="eastAsia" w:ascii="仿宋_GB2312" w:hAnsi="仿宋_GB2312" w:eastAsia="仿宋_GB2312" w:cs="仿宋_GB2312"/>
          <w:sz w:val="32"/>
          <w:szCs w:val="32"/>
          <w:lang w:val="zh-CN" w:eastAsia="zh-CN"/>
        </w:rPr>
        <w:t>水和环境监测、寄生虫病、职业病防治、麻风病监测、鼠疫</w:t>
      </w:r>
      <w:r>
        <w:rPr>
          <w:rFonts w:hint="eastAsia" w:ascii="仿宋_GB2312" w:hAnsi="仿宋_GB2312" w:eastAsia="仿宋_GB2312" w:cs="仿宋_GB2312"/>
          <w:sz w:val="32"/>
          <w:szCs w:val="32"/>
          <w:lang w:val="zh-CN"/>
        </w:rPr>
        <w:t>项目工作。</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val="zh-CN"/>
        </w:rPr>
        <w:t>水和环境监测的检测</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2019</w:t>
      </w:r>
      <w:r>
        <w:rPr>
          <w:rFonts w:hint="eastAsia" w:ascii="仿宋_GB2312" w:hAnsi="仿宋_GB2312" w:eastAsia="仿宋_GB2312" w:cs="仿宋_GB2312"/>
          <w:sz w:val="32"/>
          <w:szCs w:val="32"/>
          <w:lang w:eastAsia="zh-CN"/>
        </w:rPr>
        <w:t>全</w:t>
      </w:r>
      <w:r>
        <w:rPr>
          <w:rFonts w:hint="eastAsia" w:ascii="仿宋_GB2312" w:hAnsi="仿宋_GB2312" w:eastAsia="仿宋_GB2312" w:cs="仿宋_GB2312"/>
          <w:sz w:val="32"/>
          <w:szCs w:val="32"/>
        </w:rPr>
        <w:t>县2</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个水质样品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rPr>
        <w:t>城市供水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个监测点</w:t>
      </w:r>
      <w:r>
        <w:rPr>
          <w:rFonts w:hint="eastAsia" w:ascii="仿宋_GB2312" w:hAnsi="仿宋_GB2312" w:eastAsia="仿宋_GB2312" w:cs="仿宋_GB2312"/>
          <w:kern w:val="0"/>
          <w:sz w:val="32"/>
          <w:szCs w:val="32"/>
          <w:lang w:eastAsia="zh-CN"/>
        </w:rPr>
        <w:t>，其中（异地育人寄宿制学校、阿拉基水厂、希望小学）</w:t>
      </w:r>
      <w:r>
        <w:rPr>
          <w:rFonts w:hint="eastAsia" w:ascii="仿宋_GB2312" w:hAnsi="仿宋_GB2312" w:eastAsia="仿宋_GB2312" w:cs="仿宋_GB2312"/>
          <w:kern w:val="0"/>
          <w:sz w:val="32"/>
          <w:szCs w:val="32"/>
          <w:lang w:val="en-US" w:eastAsia="zh-CN"/>
        </w:rPr>
        <w:t>3个水样肉眼可见物不符合国家生活饮用水卫生标准相应指标限值。</w:t>
      </w:r>
      <w:r>
        <w:rPr>
          <w:rFonts w:hint="eastAsia" w:ascii="仿宋_GB2312" w:hAnsi="仿宋_GB2312" w:eastAsia="仿宋_GB2312" w:cs="仿宋_GB2312"/>
          <w:kern w:val="0"/>
          <w:sz w:val="32"/>
          <w:szCs w:val="32"/>
        </w:rPr>
        <w:t>农村监测饮用水</w:t>
      </w:r>
      <w:r>
        <w:rPr>
          <w:rFonts w:hint="eastAsia" w:ascii="仿宋_GB2312" w:hAnsi="仿宋_GB2312" w:eastAsia="仿宋_GB2312" w:cs="仿宋_GB2312"/>
          <w:kern w:val="0"/>
          <w:sz w:val="32"/>
          <w:szCs w:val="32"/>
          <w:lang w:val="en-US" w:eastAsia="zh-CN"/>
        </w:rPr>
        <w:t>22</w:t>
      </w:r>
      <w:r>
        <w:rPr>
          <w:rFonts w:hint="eastAsia" w:ascii="仿宋_GB2312" w:hAnsi="仿宋_GB2312" w:eastAsia="仿宋_GB2312" w:cs="仿宋_GB2312"/>
          <w:kern w:val="0"/>
          <w:sz w:val="32"/>
          <w:szCs w:val="32"/>
        </w:rPr>
        <w:t>个点</w:t>
      </w:r>
      <w:r>
        <w:rPr>
          <w:rFonts w:hint="eastAsia" w:ascii="仿宋_GB2312" w:hAnsi="仿宋_GB2312" w:eastAsia="仿宋_GB2312" w:cs="仿宋_GB2312"/>
          <w:kern w:val="0"/>
          <w:sz w:val="32"/>
          <w:szCs w:val="32"/>
          <w:lang w:eastAsia="zh-CN"/>
        </w:rPr>
        <w:t>（查尔玛乡小学、色地镇政府、色地镇小学）</w:t>
      </w:r>
      <w:r>
        <w:rPr>
          <w:rFonts w:hint="eastAsia" w:ascii="仿宋_GB2312" w:hAnsi="仿宋_GB2312" w:eastAsia="仿宋_GB2312" w:cs="仿宋_GB2312"/>
          <w:kern w:val="0"/>
          <w:sz w:val="32"/>
          <w:szCs w:val="32"/>
          <w:lang w:val="en-US" w:eastAsia="zh-CN"/>
        </w:rPr>
        <w:t>3个水样</w:t>
      </w:r>
      <w:r>
        <w:rPr>
          <w:rFonts w:hint="eastAsia" w:ascii="仿宋_GB2312" w:hAnsi="仿宋_GB2312" w:eastAsia="仿宋_GB2312" w:cs="仿宋_GB2312"/>
          <w:kern w:val="0"/>
          <w:sz w:val="32"/>
          <w:szCs w:val="32"/>
          <w:lang w:eastAsia="zh-CN"/>
        </w:rPr>
        <w:t>铁铝不符合国家生活饮用水卫生标准相应指标限值，（麦洼乡政府、麦洼乡小学）</w:t>
      </w:r>
      <w:r>
        <w:rPr>
          <w:rFonts w:hint="eastAsia" w:ascii="仿宋_GB2312" w:hAnsi="仿宋_GB2312" w:eastAsia="仿宋_GB2312" w:cs="仿宋_GB2312"/>
          <w:kern w:val="0"/>
          <w:sz w:val="32"/>
          <w:szCs w:val="32"/>
          <w:lang w:val="en-US" w:eastAsia="zh-CN"/>
        </w:rPr>
        <w:t>2个水样PH值、锰不符合国家生活饮用水卫生标准相应指标限值，江茸乡政府锌不符合国家生活饮用水卫生标准相应指标限值，瓦切镇小学锰和肉眼可见物不符合国家生活饮用水卫生标准相应指标限值，（龙日乡小学、龙日乡政府）色度不符合国家生活饮用水卫生标准相应指标限值</w:t>
      </w:r>
      <w:r>
        <w:rPr>
          <w:rFonts w:hint="eastAsia" w:ascii="仿宋_GB2312" w:hAnsi="仿宋_GB2312" w:eastAsia="仿宋_GB2312" w:cs="仿宋_GB2312"/>
          <w:kern w:val="0"/>
          <w:sz w:val="32"/>
          <w:szCs w:val="32"/>
        </w:rPr>
        <w:t>其余监测</w:t>
      </w:r>
      <w:r>
        <w:rPr>
          <w:rFonts w:hint="eastAsia" w:ascii="仿宋_GB2312" w:hAnsi="仿宋_GB2312" w:eastAsia="仿宋_GB2312" w:cs="仿宋_GB2312"/>
          <w:kern w:val="0"/>
          <w:sz w:val="32"/>
          <w:szCs w:val="32"/>
          <w:lang w:eastAsia="zh-CN"/>
        </w:rPr>
        <w:t>水样</w:t>
      </w:r>
      <w:r>
        <w:rPr>
          <w:rFonts w:hint="eastAsia" w:ascii="仿宋_GB2312" w:hAnsi="仿宋_GB2312" w:eastAsia="仿宋_GB2312" w:cs="仿宋_GB2312"/>
          <w:kern w:val="0"/>
          <w:sz w:val="32"/>
          <w:szCs w:val="32"/>
        </w:rPr>
        <w:t>均合格。</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val="zh-CN"/>
        </w:rPr>
        <w:t>职业病</w:t>
      </w:r>
      <w:r>
        <w:rPr>
          <w:rFonts w:hint="eastAsia" w:ascii="仿宋_GB2312" w:hAnsi="仿宋_GB2312" w:cs="仿宋_GB2312"/>
          <w:b/>
          <w:bCs/>
          <w:sz w:val="32"/>
          <w:szCs w:val="32"/>
          <w:lang w:val="en-US" w:eastAsia="zh-CN"/>
        </w:rPr>
        <w:t>防治</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lang w:val="en-US" w:eastAsia="zh-CN"/>
        </w:rPr>
      </w:pPr>
      <w:r>
        <w:rPr>
          <w:rFonts w:hint="eastAsia" w:ascii="仿宋_GB2312" w:hAnsi="仿宋_GB2312" w:eastAsia="仿宋_GB2312" w:cs="仿宋_GB2312"/>
          <w:sz w:val="32"/>
          <w:szCs w:val="32"/>
          <w:lang w:val="zh-CN"/>
        </w:rPr>
        <w:t>主要是给医务人员宣传费用，</w:t>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t>充分利用电视、广播、宣传资料等多种形式，有针对性地宣传职业病防治知识，加大对《</w:t>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fldChar w:fldCharType="begin"/>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instrText xml:space="preserve"> HYPERLINK "http://www.so.com/s?q=%E8%81%8C%E4%B8%9A%E7%97%85%E9%98%B2%E6%B2%BB%E6%B3%95&amp;ie=utf-8&amp;src=internal_wenda_recommend_text" \t "_blank" </w:instrText>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fldChar w:fldCharType="separate"/>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t>职业病防治法</w:t>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fldChar w:fldCharType="end"/>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t>》和相关法律、法规的宣传。相关部门深入重点企业向经营者及一线工人采取发放宣传材料、咨询等形式，就职业病防治、防范等内容进行了宣传教育。通过宣传活动，提高了人们对职业病防治工作重要性的认识，为开展职业病防治工作创造了良好的社会环境和工作环境。同时对企业法人及职业卫生专兼职管理人员、卫生监督人员和技术服务人员进行培训，督促企业对员工进行</w:t>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fldChar w:fldCharType="begin"/>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instrText xml:space="preserve"> HYPERLINK "http://www.so.com/s?q=%E8%81%8C%E4%B8%9A%E5%8D%AB%E7%94%9F%E7%9F%A5%E8%AF%86&amp;ie=utf-8&amp;src=internal_wenda_recommend_text" \t "_blank" </w:instrText>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fldChar w:fldCharType="separate"/>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t>职业卫生知识</w:t>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fldChar w:fldCharType="end"/>
      </w:r>
      <w:r>
        <w:rPr>
          <w:rFonts w:hint="eastAsia" w:ascii="仿宋_GB2312" w:hAnsi="仿宋_GB2312" w:eastAsia="仿宋_GB2312" w:cs="仿宋_GB2312"/>
          <w:b w:val="0"/>
          <w:i w:val="0"/>
          <w:caps w:val="0"/>
          <w:color w:val="000000" w:themeColor="text1"/>
          <w:spacing w:val="0"/>
          <w:sz w:val="32"/>
          <w:szCs w:val="32"/>
          <w:shd w:val="clear" w:fill="FFFFFF"/>
          <w:lang w:val="en-US" w:eastAsia="zh-CN"/>
        </w:rPr>
        <w:t>培训，使企业法人及其职业卫生专兼职管理人员提高职业病防治责任和法治意识，做到知法、懂法、守法和用法，使职业卫生技术服务人员适应职业病防治需要，掌握技术规范和标准，提高技术水平；使劳动者懂得职业病防治中权益，掌握职业病防治知识。</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cs="仿宋_GB2312"/>
          <w:b/>
          <w:bCs/>
          <w:sz w:val="32"/>
          <w:szCs w:val="32"/>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3.</w:t>
      </w:r>
      <w:r>
        <w:rPr>
          <w:rFonts w:hint="eastAsia" w:ascii="仿宋_GB2312" w:hAnsi="仿宋_GB2312" w:eastAsia="仿宋_GB2312" w:cs="仿宋_GB2312"/>
          <w:b/>
          <w:bCs/>
          <w:sz w:val="32"/>
          <w:szCs w:val="32"/>
          <w:lang w:val="en-US" w:eastAsia="zh-CN"/>
        </w:rPr>
        <w:t>麻风病</w:t>
      </w:r>
      <w:r>
        <w:rPr>
          <w:rFonts w:hint="eastAsia" w:ascii="仿宋_GB2312" w:hAnsi="仿宋_GB2312" w:cs="仿宋_GB2312"/>
          <w:b/>
          <w:bCs/>
          <w:sz w:val="32"/>
          <w:szCs w:val="32"/>
          <w:lang w:val="en-US" w:eastAsia="zh-CN"/>
        </w:rPr>
        <w:t>防治</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主要是用于</w:t>
      </w:r>
      <w:r>
        <w:rPr>
          <w:rFonts w:hint="eastAsia" w:ascii="仿宋_GB2312" w:hAnsi="仿宋_GB2312" w:cs="仿宋_GB2312"/>
          <w:sz w:val="32"/>
          <w:szCs w:val="32"/>
          <w:lang w:val="en-US" w:eastAsia="zh-CN"/>
        </w:rPr>
        <w:t>麻风病病人</w:t>
      </w:r>
      <w:r>
        <w:rPr>
          <w:rFonts w:hint="eastAsia" w:ascii="仿宋_GB2312" w:hAnsi="仿宋_GB2312" w:eastAsia="仿宋_GB2312" w:cs="仿宋_GB2312"/>
          <w:sz w:val="32"/>
          <w:szCs w:val="32"/>
          <w:lang w:val="en-US" w:eastAsia="zh-CN"/>
        </w:rPr>
        <w:t>监测及健康教育</w:t>
      </w:r>
      <w:r>
        <w:rPr>
          <w:rFonts w:hint="eastAsia" w:ascii="仿宋_GB2312" w:hAnsi="仿宋_GB2312" w:cs="仿宋_GB2312"/>
          <w:sz w:val="32"/>
          <w:szCs w:val="32"/>
          <w:lang w:val="en-US" w:eastAsia="zh-CN"/>
        </w:rPr>
        <w:t>。</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4.鼠疫</w:t>
      </w:r>
      <w:r>
        <w:rPr>
          <w:rFonts w:hint="eastAsia" w:ascii="仿宋_GB2312" w:hAnsi="仿宋_GB2312" w:cs="仿宋_GB2312"/>
          <w:b/>
          <w:bCs/>
          <w:sz w:val="32"/>
          <w:szCs w:val="32"/>
          <w:lang w:val="en-US" w:eastAsia="zh-CN"/>
        </w:rPr>
        <w:t>防控</w:t>
      </w:r>
      <w:r>
        <w:rPr>
          <w:rFonts w:hint="eastAsia" w:ascii="仿宋_GB2312" w:hAnsi="仿宋_GB2312" w:eastAsia="仿宋_GB2312" w:cs="仿宋_GB2312"/>
          <w:b/>
          <w:bCs/>
          <w:sz w:val="32"/>
          <w:szCs w:val="32"/>
          <w:lang w:val="en-US" w:eastAsia="zh-CN"/>
        </w:rPr>
        <w:t>工作</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lang w:val="en-US" w:eastAsia="zh-CN"/>
        </w:rPr>
        <w:t>对我县瓦切镇开展鼠疫监测，对10只活体旱獭开展病原学检查，采集旱獭血清10份，采集绵羊血清50份，用鼠疫间接血凝实验，对血清进行检测。结果待州疾控中心检验科反馈，</w:t>
      </w:r>
      <w:r>
        <w:rPr>
          <w:rFonts w:hint="eastAsia" w:ascii="仿宋_GB2312" w:hAnsi="仿宋_GB2312" w:eastAsia="仿宋_GB2312" w:cs="仿宋_GB2312"/>
          <w:sz w:val="32"/>
          <w:szCs w:val="32"/>
          <w:lang w:val="zh-CN" w:eastAsia="zh-CN"/>
        </w:rPr>
        <w:t>共支出资金</w:t>
      </w:r>
      <w:r>
        <w:rPr>
          <w:rFonts w:hint="eastAsia" w:ascii="仿宋_GB2312" w:hAnsi="仿宋_GB2312" w:eastAsia="仿宋_GB2312" w:cs="仿宋_GB2312"/>
          <w:sz w:val="32"/>
          <w:szCs w:val="32"/>
          <w:lang w:val="en-US" w:eastAsia="zh-CN"/>
        </w:rPr>
        <w:t>29367.89元，</w:t>
      </w:r>
      <w:r>
        <w:rPr>
          <w:rFonts w:hint="eastAsia" w:ascii="仿宋_GB2312" w:hAnsi="仿宋_GB2312" w:eastAsia="仿宋_GB2312" w:cs="仿宋_GB2312"/>
          <w:sz w:val="32"/>
          <w:szCs w:val="32"/>
          <w:lang w:val="zh-CN"/>
        </w:rPr>
        <w:t>资金拨付率</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val="zh-CN"/>
        </w:rPr>
        <w:t>%，资金拨付及时。</w:t>
      </w:r>
    </w:p>
    <w:p>
      <w:pPr>
        <w:keepNext w:val="0"/>
        <w:keepLines w:val="0"/>
        <w:pageBreakBefore w:val="0"/>
        <w:numPr>
          <w:ilvl w:val="0"/>
          <w:numId w:val="8"/>
        </w:numPr>
        <w:kinsoku/>
        <w:wordWrap/>
        <w:overflowPunct/>
        <w:topLinePunct w:val="0"/>
        <w:autoSpaceDE/>
        <w:autoSpaceDN/>
        <w:bidi w:val="0"/>
        <w:spacing w:line="560" w:lineRule="exact"/>
        <w:ind w:firstLine="643" w:firstLineChars="200"/>
        <w:textAlignment w:val="auto"/>
        <w:outlineLvl w:val="9"/>
        <w:rPr>
          <w:rFonts w:hint="eastAsia" w:ascii="楷体_GB2312" w:hAnsi="宋体" w:eastAsia="楷体_GB2312"/>
          <w:b/>
          <w:sz w:val="32"/>
          <w:szCs w:val="32"/>
          <w:lang w:val="zh-CN"/>
        </w:rPr>
      </w:pPr>
      <w:r>
        <w:rPr>
          <w:rFonts w:hint="eastAsia" w:ascii="楷体_GB2312" w:hAnsi="宋体" w:eastAsia="楷体_GB2312"/>
          <w:b/>
          <w:sz w:val="32"/>
          <w:szCs w:val="32"/>
          <w:lang w:val="zh-CN"/>
        </w:rPr>
        <w:t>项目效益情况。</w:t>
      </w:r>
    </w:p>
    <w:p>
      <w:pPr>
        <w:adjustRightInd w:val="0"/>
        <w:snapToGrid w:val="0"/>
        <w:spacing w:line="600" w:lineRule="exact"/>
        <w:ind w:firstLine="720"/>
        <w:rPr>
          <w:rFonts w:ascii="楷体_GB2312" w:hAnsi="宋体" w:eastAsia="楷体_GB2312"/>
          <w:b/>
          <w:color w:val="000000" w:themeColor="text1"/>
          <w:lang w:val="zh-CN"/>
        </w:rPr>
      </w:pPr>
      <w:r>
        <w:rPr>
          <w:rFonts w:hint="eastAsia" w:ascii="仿宋_GB2312" w:hAnsi="仿宋_GB2312" w:eastAsia="仿宋_GB2312" w:cs="仿宋_GB2312"/>
          <w:b w:val="0"/>
          <w:i w:val="0"/>
          <w:caps w:val="0"/>
          <w:color w:val="000000" w:themeColor="text1"/>
          <w:spacing w:val="0"/>
          <w:sz w:val="32"/>
          <w:szCs w:val="32"/>
        </w:rPr>
        <w:t>增强了辖区内</w:t>
      </w:r>
      <w:r>
        <w:rPr>
          <w:rFonts w:hint="eastAsia" w:ascii="仿宋_GB2312" w:hAnsi="仿宋_GB2312" w:eastAsia="仿宋_GB2312" w:cs="仿宋_GB2312"/>
          <w:b w:val="0"/>
          <w:i w:val="0"/>
          <w:caps w:val="0"/>
          <w:color w:val="000000" w:themeColor="text1"/>
          <w:spacing w:val="0"/>
          <w:sz w:val="32"/>
          <w:szCs w:val="32"/>
          <w:lang w:eastAsia="zh-CN"/>
        </w:rPr>
        <w:t>农牧民群众</w:t>
      </w:r>
      <w:r>
        <w:rPr>
          <w:rFonts w:hint="eastAsia" w:ascii="仿宋_GB2312" w:hAnsi="仿宋_GB2312" w:cs="仿宋_GB2312"/>
          <w:b w:val="0"/>
          <w:i w:val="0"/>
          <w:caps w:val="0"/>
          <w:color w:val="000000" w:themeColor="text1"/>
          <w:spacing w:val="0"/>
          <w:sz w:val="32"/>
          <w:szCs w:val="32"/>
          <w:lang w:eastAsia="zh-CN"/>
        </w:rPr>
        <w:t>寄生虫</w:t>
      </w:r>
      <w:r>
        <w:rPr>
          <w:rFonts w:hint="eastAsia" w:ascii="仿宋_GB2312" w:hAnsi="仿宋_GB2312" w:eastAsia="仿宋_GB2312" w:cs="仿宋_GB2312"/>
          <w:b w:val="0"/>
          <w:i w:val="0"/>
          <w:caps w:val="0"/>
          <w:color w:val="000000" w:themeColor="text1"/>
          <w:spacing w:val="0"/>
          <w:sz w:val="32"/>
          <w:szCs w:val="32"/>
          <w:lang w:eastAsia="zh-CN"/>
        </w:rPr>
        <w:t>防治知识知晓率</w:t>
      </w:r>
      <w:r>
        <w:rPr>
          <w:rFonts w:hint="eastAsia" w:ascii="仿宋_GB2312" w:hAnsi="仿宋_GB2312" w:eastAsia="仿宋_GB2312" w:cs="仿宋_GB2312"/>
          <w:b w:val="0"/>
          <w:i w:val="0"/>
          <w:caps w:val="0"/>
          <w:color w:val="000000" w:themeColor="text1"/>
          <w:spacing w:val="0"/>
          <w:sz w:val="32"/>
          <w:szCs w:val="32"/>
        </w:rPr>
        <w:t>，提高了自我</w:t>
      </w:r>
      <w:r>
        <w:rPr>
          <w:rFonts w:hint="eastAsia" w:ascii="仿宋_GB2312" w:hAnsi="仿宋_GB2312" w:eastAsia="仿宋_GB2312" w:cs="仿宋_GB2312"/>
          <w:b w:val="0"/>
          <w:i w:val="0"/>
          <w:caps w:val="0"/>
          <w:color w:val="000000" w:themeColor="text1"/>
          <w:spacing w:val="0"/>
          <w:sz w:val="32"/>
          <w:szCs w:val="32"/>
          <w:lang w:eastAsia="zh-CN"/>
        </w:rPr>
        <w:t>防护</w:t>
      </w:r>
      <w:r>
        <w:rPr>
          <w:rFonts w:hint="eastAsia" w:ascii="仿宋_GB2312" w:hAnsi="仿宋_GB2312" w:eastAsia="仿宋_GB2312" w:cs="仿宋_GB2312"/>
          <w:b w:val="0"/>
          <w:i w:val="0"/>
          <w:caps w:val="0"/>
          <w:color w:val="000000" w:themeColor="text1"/>
          <w:spacing w:val="0"/>
          <w:sz w:val="32"/>
          <w:szCs w:val="32"/>
        </w:rPr>
        <w:t>意识，对居民身体健康起到了积极推动作用。</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水质监测工作经费缺乏，严重制约水质监测工作的开展。</w:t>
      </w:r>
    </w:p>
    <w:p>
      <w:pPr>
        <w:pStyle w:val="1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加强项目资金的效益评估</w:t>
      </w:r>
    </w:p>
    <w:p>
      <w:pPr>
        <w:pStyle w:val="1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9"/>
        <w:rPr>
          <w:rFonts w:ascii="Times New Roman" w:hAnsi="Times New Roman"/>
          <w:color w:val="000000"/>
          <w:sz w:val="32"/>
          <w:szCs w:val="32"/>
        </w:rPr>
      </w:pPr>
      <w:r>
        <w:rPr>
          <w:rFonts w:hint="eastAsia" w:ascii="仿宋_GB2312" w:cs="仿宋_GB2312"/>
          <w:color w:val="000000"/>
          <w:sz w:val="32"/>
          <w:szCs w:val="32"/>
          <w:shd w:val="clear" w:color="auto" w:fill="FFFFFF"/>
          <w:lang w:val="en-US" w:eastAsia="zh-CN"/>
        </w:rPr>
        <w:t>3.</w:t>
      </w:r>
      <w:r>
        <w:rPr>
          <w:rFonts w:ascii="仿宋_GB2312" w:hAnsi="Times New Roman" w:eastAsia="仿宋_GB2312" w:cs="仿宋_GB2312"/>
          <w:color w:val="000000"/>
          <w:sz w:val="32"/>
          <w:szCs w:val="32"/>
          <w:shd w:val="clear" w:color="auto" w:fill="FFFFFF"/>
        </w:rPr>
        <w:t>宣传还不够深入，</w:t>
      </w:r>
      <w:r>
        <w:rPr>
          <w:rFonts w:hint="eastAsia" w:ascii="仿宋_GB2312" w:hAnsi="Times New Roman" w:eastAsia="仿宋_GB2312" w:cs="仿宋_GB2312"/>
          <w:color w:val="000000"/>
          <w:sz w:val="32"/>
          <w:szCs w:val="32"/>
          <w:shd w:val="clear" w:color="auto" w:fill="FFFFFF"/>
          <w:lang w:eastAsia="zh-CN"/>
        </w:rPr>
        <w:t>牧民</w:t>
      </w:r>
      <w:r>
        <w:rPr>
          <w:rFonts w:ascii="仿宋_GB2312" w:hAnsi="Times New Roman" w:eastAsia="仿宋_GB2312" w:cs="仿宋_GB2312"/>
          <w:color w:val="000000"/>
          <w:sz w:val="32"/>
          <w:szCs w:val="32"/>
          <w:shd w:val="clear" w:color="auto" w:fill="FFFFFF"/>
        </w:rPr>
        <w:t>群众对基本公共卫生项目知晓率低，不理解、不配合的现象时有发生。</w:t>
      </w:r>
    </w:p>
    <w:p>
      <w:pPr>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（二）相关建议。</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建议</w:t>
      </w:r>
      <w:r>
        <w:rPr>
          <w:rFonts w:hint="eastAsia" w:ascii="仿宋_GB2312" w:hAnsi="仿宋_GB2312" w:eastAsia="仿宋_GB2312" w:cs="仿宋_GB2312"/>
          <w:color w:val="000000"/>
          <w:kern w:val="0"/>
          <w:sz w:val="32"/>
          <w:szCs w:val="32"/>
        </w:rPr>
        <w:t>健全工作机制，强化工作职责。加强对公共卫生</w:t>
      </w:r>
      <w:r>
        <w:rPr>
          <w:rFonts w:hint="eastAsia" w:ascii="仿宋_GB2312" w:hAnsi="仿宋_GB2312" w:eastAsia="仿宋_GB2312" w:cs="仿宋_GB2312"/>
          <w:color w:val="000000"/>
          <w:kern w:val="0"/>
          <w:sz w:val="32"/>
          <w:szCs w:val="32"/>
          <w:lang w:eastAsia="zh-CN"/>
        </w:rPr>
        <w:t>项目</w:t>
      </w:r>
      <w:r>
        <w:rPr>
          <w:rFonts w:hint="eastAsia" w:ascii="仿宋_GB2312" w:hAnsi="仿宋_GB2312" w:eastAsia="仿宋_GB2312" w:cs="仿宋_GB2312"/>
          <w:color w:val="000000"/>
          <w:kern w:val="0"/>
          <w:sz w:val="32"/>
          <w:szCs w:val="32"/>
        </w:rPr>
        <w:t>工作的领导，健全工作机制，强化工作职责，及时分析汇总，发现问题及时采取有效措施整改，确保项目工作全面有序健康发展。</w:t>
      </w:r>
    </w:p>
    <w:p>
      <w:pPr>
        <w:adjustRightInd w:val="0"/>
        <w:snapToGrid w:val="0"/>
        <w:spacing w:line="580" w:lineRule="exact"/>
        <w:ind w:firstLine="720"/>
        <w:rPr>
          <w:rFonts w:ascii="仿宋_GB2312" w:hAnsi="宋体" w:eastAsia="仿宋_GB2312" w:cs="仿宋_GB2312"/>
          <w:sz w:val="30"/>
          <w:szCs w:val="30"/>
          <w:lang w:val="zh-CN"/>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pStyle w:val="3"/>
        <w:spacing w:beforeAutospacing="0" w:afterAutospacing="0" w:line="560" w:lineRule="exact"/>
        <w:jc w:val="center"/>
        <w:rPr>
          <w:rFonts w:hint="eastAsia" w:ascii="Times New Roman" w:hAnsi="Times New Roman" w:cs="Times New Roman"/>
          <w:b/>
          <w:bCs/>
          <w:sz w:val="44"/>
          <w:szCs w:val="44"/>
        </w:rPr>
      </w:pPr>
    </w:p>
    <w:p>
      <w:pPr>
        <w:spacing w:line="600" w:lineRule="exact"/>
        <w:jc w:val="center"/>
        <w:outlineLvl w:val="0"/>
        <w:rPr>
          <w:rStyle w:val="28"/>
          <w:rFonts w:ascii="黑体" w:hAnsi="黑体" w:eastAsia="黑体"/>
          <w:b w:val="0"/>
        </w:rPr>
      </w:pPr>
    </w:p>
    <w:p>
      <w:pPr>
        <w:spacing w:line="600" w:lineRule="exact"/>
        <w:jc w:val="center"/>
        <w:outlineLvl w:val="0"/>
        <w:rPr>
          <w:rStyle w:val="28"/>
          <w:rFonts w:ascii="黑体" w:hAnsi="黑体" w:eastAsia="黑体"/>
          <w:b w:val="0"/>
        </w:rPr>
      </w:pPr>
      <w:bookmarkStart w:id="59" w:name="_Toc15396618"/>
      <w:r>
        <w:rPr>
          <w:rFonts w:hint="eastAsia" w:ascii="黑体" w:hAnsi="黑体" w:eastAsia="黑体"/>
          <w:color w:val="000000"/>
          <w:sz w:val="44"/>
          <w:szCs w:val="44"/>
        </w:rPr>
        <w:t>第</w:t>
      </w:r>
      <w:r>
        <w:rPr>
          <w:rStyle w:val="28"/>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0"/>
    </w:p>
    <w:p>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61"/>
    </w:p>
    <w:p>
      <w:pPr>
        <w:pStyle w:val="5"/>
        <w:rPr>
          <w:rFonts w:ascii="仿宋" w:hAnsi="仿宋" w:eastAsia="仿宋"/>
          <w:color w:val="000000"/>
        </w:rPr>
      </w:pPr>
      <w:bookmarkStart w:id="62"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2"/>
    </w:p>
    <w:p>
      <w:pPr>
        <w:pStyle w:val="5"/>
        <w:rPr>
          <w:rFonts w:ascii="仿宋" w:hAnsi="仿宋" w:eastAsia="仿宋"/>
          <w:b w:val="0"/>
          <w:color w:val="000000"/>
        </w:rPr>
      </w:pPr>
      <w:bookmarkStart w:id="63"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3"/>
    </w:p>
    <w:p>
      <w:pPr>
        <w:pStyle w:val="5"/>
        <w:rPr>
          <w:rStyle w:val="29"/>
          <w:rFonts w:ascii="仿宋" w:hAnsi="仿宋" w:eastAsia="仿宋"/>
          <w:b w:val="0"/>
          <w:bCs w:val="0"/>
        </w:rPr>
      </w:pPr>
      <w:bookmarkStart w:id="64"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64"/>
      <w:bookmarkStart w:id="65" w:name="_Toc15396624"/>
    </w:p>
    <w:p>
      <w:pPr>
        <w:pStyle w:val="5"/>
        <w:rPr>
          <w:rFonts w:ascii="仿宋" w:hAnsi="仿宋" w:eastAsia="仿宋"/>
          <w:color w:val="000000"/>
        </w:rPr>
      </w:pPr>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5"/>
    </w:p>
    <w:p>
      <w:pPr>
        <w:pStyle w:val="5"/>
        <w:rPr>
          <w:rFonts w:ascii="仿宋" w:hAnsi="仿宋" w:eastAsia="仿宋"/>
          <w:color w:val="000000"/>
        </w:rPr>
      </w:pPr>
      <w:bookmarkStart w:id="66"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6"/>
    </w:p>
    <w:p>
      <w:pPr>
        <w:pStyle w:val="5"/>
        <w:rPr>
          <w:rFonts w:ascii="仿宋" w:hAnsi="仿宋" w:eastAsia="仿宋"/>
          <w:color w:val="000000"/>
        </w:rPr>
      </w:pPr>
      <w:bookmarkStart w:id="67"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7"/>
    </w:p>
    <w:p>
      <w:pPr>
        <w:pStyle w:val="5"/>
        <w:rPr>
          <w:rFonts w:ascii="仿宋" w:hAnsi="仿宋" w:eastAsia="仿宋"/>
          <w:color w:val="000000"/>
        </w:rPr>
      </w:pPr>
      <w:bookmarkStart w:id="68"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8"/>
    </w:p>
    <w:p>
      <w:pPr>
        <w:pStyle w:val="5"/>
        <w:rPr>
          <w:rFonts w:ascii="仿宋" w:hAnsi="仿宋" w:eastAsia="仿宋"/>
          <w:color w:val="000000"/>
        </w:rPr>
      </w:pPr>
      <w:bookmarkStart w:id="69"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69"/>
    </w:p>
    <w:p>
      <w:pPr>
        <w:pStyle w:val="5"/>
        <w:rPr>
          <w:rFonts w:ascii="仿宋" w:hAnsi="仿宋" w:eastAsia="仿宋"/>
          <w:color w:val="000000"/>
        </w:rPr>
      </w:pPr>
      <w:bookmarkStart w:id="70"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0"/>
    </w:p>
    <w:p>
      <w:pPr>
        <w:pStyle w:val="5"/>
        <w:rPr>
          <w:rFonts w:ascii="仿宋" w:hAnsi="仿宋" w:eastAsia="仿宋"/>
          <w:color w:val="000000"/>
        </w:rPr>
      </w:pPr>
      <w:bookmarkStart w:id="71"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1"/>
    </w:p>
    <w:p>
      <w:pPr>
        <w:pStyle w:val="5"/>
        <w:rPr>
          <w:rFonts w:ascii="仿宋" w:hAnsi="仿宋" w:eastAsia="仿宋"/>
          <w:color w:val="000000" w:themeColor="text1"/>
        </w:rPr>
      </w:pPr>
      <w:bookmarkStart w:id="72"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Dotum">
    <w:altName w:val="方正书宋_GBK"/>
    <w:panose1 w:val="020B0600000101010101"/>
    <w:charset w:val="81"/>
    <w:family w:val="modern"/>
    <w:pitch w:val="default"/>
    <w:sig w:usb0="00000000" w:usb1="00000000" w:usb2="00000030" w:usb3="00000000" w:csb0="4008009F" w:csb1="DFD7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F5791"/>
    <w:multiLevelType w:val="singleLevel"/>
    <w:tmpl w:val="80CF5791"/>
    <w:lvl w:ilvl="0" w:tentative="0">
      <w:start w:val="2"/>
      <w:numFmt w:val="chineseCounting"/>
      <w:suff w:val="nothing"/>
      <w:lvlText w:val="（%1）"/>
      <w:lvlJc w:val="left"/>
      <w:rPr>
        <w:rFonts w:hint="eastAsia"/>
      </w:rPr>
    </w:lvl>
  </w:abstractNum>
  <w:abstractNum w:abstractNumId="1">
    <w:nsid w:val="B61FB8CB"/>
    <w:multiLevelType w:val="singleLevel"/>
    <w:tmpl w:val="B61FB8CB"/>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235E3E15"/>
    <w:multiLevelType w:val="singleLevel"/>
    <w:tmpl w:val="235E3E15"/>
    <w:lvl w:ilvl="0" w:tentative="0">
      <w:start w:val="2"/>
      <w:numFmt w:val="chineseCounting"/>
      <w:suff w:val="nothing"/>
      <w:lvlText w:val="（%1）"/>
      <w:lvlJc w:val="left"/>
      <w:rPr>
        <w:rFonts w:hint="eastAsia"/>
      </w:rPr>
    </w:lvl>
  </w:abstractNum>
  <w:abstractNum w:abstractNumId="7">
    <w:nsid w:val="53E1C6B2"/>
    <w:multiLevelType w:val="singleLevel"/>
    <w:tmpl w:val="53E1C6B2"/>
    <w:lvl w:ilvl="0" w:tentative="0">
      <w:start w:val="2"/>
      <w:numFmt w:val="chineseCounting"/>
      <w:suff w:val="nothing"/>
      <w:lvlText w:val="（%1）"/>
      <w:lvlJc w:val="left"/>
      <w:rPr>
        <w:rFonts w:hint="eastAsia"/>
      </w:rPr>
    </w:lvl>
  </w:abstractNum>
  <w:num w:numId="1">
    <w:abstractNumId w:val="5"/>
  </w:num>
  <w:num w:numId="2">
    <w:abstractNumId w:val="2"/>
  </w:num>
  <w:num w:numId="3">
    <w:abstractNumId w:val="4"/>
  </w:num>
  <w:num w:numId="4">
    <w:abstractNumId w:val="3"/>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070A2"/>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47DCE"/>
    <w:rsid w:val="02C9153A"/>
    <w:rsid w:val="043A0F37"/>
    <w:rsid w:val="04760A22"/>
    <w:rsid w:val="063F24C0"/>
    <w:rsid w:val="07160857"/>
    <w:rsid w:val="09933543"/>
    <w:rsid w:val="0AED44FF"/>
    <w:rsid w:val="0BC26FEB"/>
    <w:rsid w:val="0BE80475"/>
    <w:rsid w:val="0C146270"/>
    <w:rsid w:val="0C812B75"/>
    <w:rsid w:val="0E0C13BB"/>
    <w:rsid w:val="0F585B73"/>
    <w:rsid w:val="1092600C"/>
    <w:rsid w:val="10C055FF"/>
    <w:rsid w:val="126C1EBD"/>
    <w:rsid w:val="13523E80"/>
    <w:rsid w:val="1664298E"/>
    <w:rsid w:val="169F4FF3"/>
    <w:rsid w:val="16BB723D"/>
    <w:rsid w:val="170C0A9A"/>
    <w:rsid w:val="17D01B60"/>
    <w:rsid w:val="1844509C"/>
    <w:rsid w:val="18A77118"/>
    <w:rsid w:val="1901506C"/>
    <w:rsid w:val="19BB09B2"/>
    <w:rsid w:val="1ADB5BAE"/>
    <w:rsid w:val="20A1171E"/>
    <w:rsid w:val="20F145BE"/>
    <w:rsid w:val="21325AA4"/>
    <w:rsid w:val="21B61A66"/>
    <w:rsid w:val="21FC4ACD"/>
    <w:rsid w:val="222B2E27"/>
    <w:rsid w:val="240371BF"/>
    <w:rsid w:val="240E702F"/>
    <w:rsid w:val="25ED0502"/>
    <w:rsid w:val="25FA15F0"/>
    <w:rsid w:val="270B0B19"/>
    <w:rsid w:val="274163BF"/>
    <w:rsid w:val="292841BB"/>
    <w:rsid w:val="297126C1"/>
    <w:rsid w:val="297B3A9B"/>
    <w:rsid w:val="29FD04D3"/>
    <w:rsid w:val="2B0C564A"/>
    <w:rsid w:val="2C33078C"/>
    <w:rsid w:val="2C5E5347"/>
    <w:rsid w:val="2E264C61"/>
    <w:rsid w:val="2E9743B7"/>
    <w:rsid w:val="2F4DC1BE"/>
    <w:rsid w:val="319F7F4E"/>
    <w:rsid w:val="31AB11F2"/>
    <w:rsid w:val="34106614"/>
    <w:rsid w:val="3423348E"/>
    <w:rsid w:val="357B27F6"/>
    <w:rsid w:val="361362B9"/>
    <w:rsid w:val="367F207B"/>
    <w:rsid w:val="36C47C1A"/>
    <w:rsid w:val="36CC01A8"/>
    <w:rsid w:val="379D16AC"/>
    <w:rsid w:val="389718C6"/>
    <w:rsid w:val="39C731E1"/>
    <w:rsid w:val="3AC90A73"/>
    <w:rsid w:val="3BEA7FCE"/>
    <w:rsid w:val="3CE974BC"/>
    <w:rsid w:val="3CFE6428"/>
    <w:rsid w:val="3D667901"/>
    <w:rsid w:val="3DC34C2F"/>
    <w:rsid w:val="3DD82741"/>
    <w:rsid w:val="3E22027C"/>
    <w:rsid w:val="3EE7426C"/>
    <w:rsid w:val="3EF10630"/>
    <w:rsid w:val="3F334CB2"/>
    <w:rsid w:val="3F4875E6"/>
    <w:rsid w:val="404A075A"/>
    <w:rsid w:val="41C6665D"/>
    <w:rsid w:val="41DD46EA"/>
    <w:rsid w:val="425068C3"/>
    <w:rsid w:val="439F0884"/>
    <w:rsid w:val="4479530A"/>
    <w:rsid w:val="44B7221E"/>
    <w:rsid w:val="44F834C8"/>
    <w:rsid w:val="457259AA"/>
    <w:rsid w:val="45BC31B8"/>
    <w:rsid w:val="45EB2BF1"/>
    <w:rsid w:val="460517FE"/>
    <w:rsid w:val="46194B63"/>
    <w:rsid w:val="476909BD"/>
    <w:rsid w:val="492E387B"/>
    <w:rsid w:val="49521D6A"/>
    <w:rsid w:val="4952266F"/>
    <w:rsid w:val="4A6F1DB7"/>
    <w:rsid w:val="4AE76D01"/>
    <w:rsid w:val="4B1931D8"/>
    <w:rsid w:val="4BAB0719"/>
    <w:rsid w:val="4EA07873"/>
    <w:rsid w:val="4EA854AA"/>
    <w:rsid w:val="4ECE2238"/>
    <w:rsid w:val="507B4BA8"/>
    <w:rsid w:val="52675891"/>
    <w:rsid w:val="52C3441E"/>
    <w:rsid w:val="52EA429C"/>
    <w:rsid w:val="53675564"/>
    <w:rsid w:val="54FB21C2"/>
    <w:rsid w:val="555B5386"/>
    <w:rsid w:val="56B118B8"/>
    <w:rsid w:val="56B23AFE"/>
    <w:rsid w:val="57785F67"/>
    <w:rsid w:val="57A70DE1"/>
    <w:rsid w:val="582C55EC"/>
    <w:rsid w:val="5854359F"/>
    <w:rsid w:val="59862787"/>
    <w:rsid w:val="5A031791"/>
    <w:rsid w:val="5AD81825"/>
    <w:rsid w:val="5C2C6BC8"/>
    <w:rsid w:val="5C884413"/>
    <w:rsid w:val="5CB65022"/>
    <w:rsid w:val="5D03653F"/>
    <w:rsid w:val="5E246232"/>
    <w:rsid w:val="5E6A161F"/>
    <w:rsid w:val="5E88374F"/>
    <w:rsid w:val="5E937A61"/>
    <w:rsid w:val="61EC53E8"/>
    <w:rsid w:val="62075002"/>
    <w:rsid w:val="6218088A"/>
    <w:rsid w:val="62591CA4"/>
    <w:rsid w:val="62E73137"/>
    <w:rsid w:val="642B14F1"/>
    <w:rsid w:val="64C2572C"/>
    <w:rsid w:val="65FD521F"/>
    <w:rsid w:val="670169C8"/>
    <w:rsid w:val="67FD4D5D"/>
    <w:rsid w:val="685E73FD"/>
    <w:rsid w:val="68F4158A"/>
    <w:rsid w:val="69C63FB9"/>
    <w:rsid w:val="6B0617A9"/>
    <w:rsid w:val="6B340EC3"/>
    <w:rsid w:val="6BF7B1C4"/>
    <w:rsid w:val="6D2B24D3"/>
    <w:rsid w:val="6DB82695"/>
    <w:rsid w:val="6E9249FA"/>
    <w:rsid w:val="6EDE4373"/>
    <w:rsid w:val="704147A4"/>
    <w:rsid w:val="70A00785"/>
    <w:rsid w:val="72734D90"/>
    <w:rsid w:val="72CA1FDC"/>
    <w:rsid w:val="741B2A39"/>
    <w:rsid w:val="74F3339E"/>
    <w:rsid w:val="7636260F"/>
    <w:rsid w:val="76900D7F"/>
    <w:rsid w:val="77711712"/>
    <w:rsid w:val="77965A8B"/>
    <w:rsid w:val="779F6F3C"/>
    <w:rsid w:val="796F2A8E"/>
    <w:rsid w:val="7D5235A2"/>
    <w:rsid w:val="7F352051"/>
    <w:rsid w:val="7F652050"/>
    <w:rsid w:val="7FB242DB"/>
    <w:rsid w:val="7FD902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unhideWhenUsed/>
    <w:qFormat/>
    <w:uiPriority w:val="99"/>
    <w:pPr>
      <w:spacing w:after="120"/>
      <w:ind w:left="420" w:leftChars="200"/>
    </w:p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99"/>
    <w:pPr>
      <w:widowControl/>
      <w:spacing w:before="100" w:beforeAutospacing="1" w:after="100" w:afterAutospacing="1"/>
      <w:jc w:val="left"/>
    </w:pPr>
    <w:rPr>
      <w:rFonts w:ascii="宋体" w:hAnsi="宋体" w:eastAsia="宋体" w:cs="宋体"/>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字符"/>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字符"/>
    <w:basedOn w:val="17"/>
    <w:link w:val="4"/>
    <w:qFormat/>
    <w:uiPriority w:val="9"/>
    <w:rPr>
      <w:rFonts w:ascii="Times New Roman" w:hAnsi="Times New Roman"/>
      <w:b/>
      <w:bCs/>
      <w:kern w:val="44"/>
      <w:sz w:val="44"/>
      <w:szCs w:val="44"/>
    </w:rPr>
  </w:style>
  <w:style w:type="character" w:customStyle="1" w:styleId="29">
    <w:name w:val="标题 2 字符"/>
    <w:basedOn w:val="17"/>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7"/>
    <w:link w:val="9"/>
    <w:semiHidden/>
    <w:qFormat/>
    <w:uiPriority w:val="99"/>
    <w:rPr>
      <w:rFonts w:ascii="Times New Roman" w:hAnsi="Times New Roman"/>
      <w:kern w:val="2"/>
      <w:sz w:val="18"/>
      <w:szCs w:val="18"/>
    </w:rPr>
  </w:style>
  <w:style w:type="character" w:customStyle="1" w:styleId="32">
    <w:name w:val="标题 3 字符"/>
    <w:basedOn w:val="17"/>
    <w:link w:val="6"/>
    <w:qFormat/>
    <w:uiPriority w:val="9"/>
    <w:rPr>
      <w:rFonts w:ascii="Times New Roman" w:hAnsi="Times New Roman"/>
      <w:b/>
      <w:bCs/>
      <w:kern w:val="2"/>
      <w:sz w:val="32"/>
      <w:szCs w:val="32"/>
    </w:rPr>
  </w:style>
  <w:style w:type="paragraph" w:customStyle="1" w:styleId="33">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p0"/>
    <w:basedOn w:val="1"/>
    <w:qFormat/>
    <w:uiPriority w:val="0"/>
    <w:pPr>
      <w:widowControl/>
    </w:pPr>
    <w:rPr>
      <w:rFonts w:ascii="Times New Roman" w:hAnsi="Times New Roman" w:eastAsia="宋体" w:cs="Times New Roman"/>
      <w:kern w:val="0"/>
      <w:szCs w:val="21"/>
    </w:rPr>
  </w:style>
  <w:style w:type="paragraph" w:customStyle="1" w:styleId="35">
    <w:name w:val="列出段落1"/>
    <w:basedOn w:val="1"/>
    <w:qFormat/>
    <w:uiPriority w:val="34"/>
    <w:pPr>
      <w:ind w:firstLine="420" w:firstLineChars="200"/>
    </w:pPr>
  </w:style>
  <w:style w:type="paragraph" w:customStyle="1" w:styleId="36">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8.emf"/><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9</TotalTime>
  <ScaleCrop>false</ScaleCrop>
  <LinksUpToDate>false</LinksUpToDate>
  <CharactersWithSpaces>8587</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2020-08-04T17:49:00Z</dcterms:created>
  <dc:creator>曹颖</dc:creator>
  <cp:lastModifiedBy>ruijie</cp:lastModifiedBy>
  <cp:lastPrinted>2020-07-23T18:58:00Z</cp:lastPrinted>
  <dcterms:modified xsi:type="dcterms:W3CDTF">2025-04-11T10:59:41Z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049EB3680047F50D9D85F86720199C01</vt:lpwstr>
  </property>
</Properties>
</file>