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bookmarkStart w:id="74" w:name="_GoBack"/>
      <w:bookmarkEnd w:id="74"/>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193"/>
      <w:bookmarkStart w:id="2" w:name="_Toc15396475"/>
      <w:bookmarkStart w:id="3" w:name="_Toc15378441"/>
      <w:bookmarkStart w:id="4" w:name="_Toc15396597"/>
      <w:bookmarkStart w:id="5" w:name="_Toc15377425"/>
      <w:r>
        <w:rPr>
          <w:rFonts w:ascii="黑体" w:hAnsi="黑体" w:eastAsia="黑体"/>
          <w:color w:val="000000"/>
          <w:sz w:val="72"/>
          <w:szCs w:val="72"/>
        </w:rPr>
        <w:t>201</w:t>
      </w:r>
      <w:r>
        <w:rPr>
          <w:rFonts w:hint="eastAsia" w:ascii="黑体" w:hAnsi="黑体" w:eastAsia="黑体"/>
          <w:color w:val="000000"/>
          <w:sz w:val="72"/>
          <w:szCs w:val="72"/>
        </w:rPr>
        <w:t>8</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7194"/>
      <w:bookmarkStart w:id="7" w:name="_Toc15377426"/>
      <w:bookmarkStart w:id="8" w:name="_Toc15396598"/>
      <w:bookmarkStart w:id="9" w:name="_Toc15378442"/>
      <w:bookmarkStart w:id="10" w:name="_Toc15396476"/>
      <w:r>
        <w:rPr>
          <w:rFonts w:hint="eastAsia" w:ascii="方正小标宋简体" w:hAnsi="宋体" w:eastAsia="方正小标宋简体"/>
          <w:color w:val="000000"/>
          <w:sz w:val="72"/>
          <w:szCs w:val="72"/>
        </w:rPr>
        <w:t>四川省</w:t>
      </w:r>
      <w:bookmarkEnd w:id="0"/>
      <w:bookmarkStart w:id="11" w:name="_Toc15306268"/>
      <w:r>
        <w:rPr>
          <w:rFonts w:hint="eastAsia" w:ascii="方正小标宋简体" w:hAnsi="宋体" w:eastAsia="方正小标宋简体"/>
          <w:color w:val="000000"/>
          <w:sz w:val="72"/>
          <w:szCs w:val="72"/>
        </w:rPr>
        <w:t>红原县疾病预防控制中心部门决算</w:t>
      </w:r>
      <w:bookmarkEnd w:id="6"/>
      <w:bookmarkEnd w:id="7"/>
      <w:bookmarkEnd w:id="8"/>
      <w:bookmarkEnd w:id="9"/>
      <w:bookmarkEnd w:id="10"/>
      <w:bookmarkEnd w:id="11"/>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
      <w:pPr>
        <w:pStyle w:val="11"/>
        <w:rPr>
          <w:rFonts w:cstheme="minorBidi"/>
        </w:rPr>
      </w:pPr>
      <w:r>
        <w:fldChar w:fldCharType="begin"/>
      </w:r>
      <w:r>
        <w:instrText xml:space="preserve"> HYPERLINK \l "_Toc15396599" </w:instrText>
      </w:r>
      <w:r>
        <w:fldChar w:fldCharType="separate"/>
      </w:r>
      <w:r>
        <w:rPr>
          <w:rStyle w:val="17"/>
          <w:rFonts w:hint="eastAsia"/>
        </w:rPr>
        <w:t>第一部分部门概况</w:t>
      </w:r>
      <w:r>
        <w:rPr>
          <w:rStyle w:val="17"/>
          <w:rFonts w:hint="eastAsia"/>
        </w:rPr>
        <w:fldChar w:fldCharType="end"/>
      </w:r>
    </w:p>
    <w:p>
      <w:pPr>
        <w:pStyle w:val="12"/>
        <w:rPr>
          <w:rFonts w:ascii="仿宋" w:hAnsi="仿宋" w:eastAsia="仿宋" w:cstheme="minorBidi"/>
          <w:sz w:val="28"/>
          <w:szCs w:val="28"/>
        </w:rPr>
      </w:pPr>
      <w:r>
        <w:fldChar w:fldCharType="begin"/>
      </w:r>
      <w:r>
        <w:instrText xml:space="preserve"> HYPERLINK \l "_Toc15396600" </w:instrText>
      </w:r>
      <w:r>
        <w:fldChar w:fldCharType="separate"/>
      </w:r>
      <w:r>
        <w:rPr>
          <w:rStyle w:val="17"/>
          <w:rFonts w:hint="eastAsia" w:ascii="仿宋" w:hAnsi="仿宋" w:eastAsia="仿宋"/>
          <w:sz w:val="28"/>
          <w:szCs w:val="28"/>
        </w:rPr>
        <w:t>一、基本职能及主要工作</w:t>
      </w:r>
      <w:r>
        <w:rPr>
          <w:rStyle w:val="17"/>
          <w:rFonts w:hint="eastAsia"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"_Toc15396601" </w:instrText>
      </w:r>
      <w:r>
        <w:fldChar w:fldCharType="separate"/>
      </w:r>
      <w:r>
        <w:rPr>
          <w:rStyle w:val="17"/>
          <w:rFonts w:hint="eastAsia" w:ascii="仿宋" w:hAnsi="仿宋" w:eastAsia="仿宋"/>
          <w:sz w:val="28"/>
          <w:szCs w:val="28"/>
        </w:rPr>
        <w:t>二、机构设置</w:t>
      </w:r>
      <w:r>
        <w:rPr>
          <w:rStyle w:val="17"/>
          <w:rFonts w:hint="eastAsia" w:ascii="仿宋" w:hAnsi="仿宋" w:eastAsia="仿宋"/>
          <w:sz w:val="28"/>
          <w:szCs w:val="28"/>
        </w:rPr>
        <w:fldChar w:fldCharType="end"/>
      </w:r>
    </w:p>
    <w:p>
      <w:pPr>
        <w:pStyle w:val="11"/>
      </w:pPr>
      <w:r>
        <w:fldChar w:fldCharType="begin"/>
      </w:r>
      <w:r>
        <w:instrText xml:space="preserve"> HYPERLINK \l "_Toc15396602" </w:instrText>
      </w:r>
      <w:r>
        <w:fldChar w:fldCharType="separate"/>
      </w:r>
      <w:r>
        <w:rPr>
          <w:rStyle w:val="17"/>
          <w:rFonts w:hint="eastAsia"/>
        </w:rPr>
        <w:t>第二部分</w:t>
      </w:r>
      <w:r>
        <w:rPr>
          <w:rStyle w:val="17"/>
        </w:rPr>
        <w:t xml:space="preserve"> 2018</w:t>
      </w:r>
      <w:r>
        <w:rPr>
          <w:rStyle w:val="17"/>
          <w:rFonts w:hint="eastAsia"/>
        </w:rPr>
        <w:t>年度部门决算情况说明</w:t>
      </w:r>
      <w:r>
        <w:rPr>
          <w:rStyle w:val="17"/>
          <w:rFonts w:hint="eastAsia"/>
        </w:rPr>
        <w:fldChar w:fldCharType="end"/>
      </w:r>
    </w:p>
    <w:p>
      <w:pPr>
        <w:pStyle w:val="12"/>
        <w:rPr>
          <w:rFonts w:ascii="仿宋" w:hAnsi="仿宋" w:eastAsia="仿宋" w:cstheme="minorBidi"/>
          <w:sz w:val="28"/>
          <w:szCs w:val="28"/>
        </w:rPr>
      </w:pPr>
      <w:r>
        <w:fldChar w:fldCharType="begin"/>
      </w:r>
      <w:r>
        <w:instrText xml:space="preserve"> HYPERLINK \l "_Toc15396603" </w:instrText>
      </w:r>
      <w:r>
        <w:fldChar w:fldCharType="separate"/>
      </w:r>
      <w:r>
        <w:rPr>
          <w:rStyle w:val="17"/>
          <w:rFonts w:hint="eastAsia" w:ascii="仿宋" w:hAnsi="仿宋" w:eastAsia="仿宋" w:cstheme="majorBidi"/>
          <w:bCs/>
          <w:sz w:val="28"/>
          <w:szCs w:val="28"/>
        </w:rPr>
        <w:t>一、</w:t>
      </w:r>
      <w:r>
        <w:rPr>
          <w:rStyle w:val="17"/>
          <w:rFonts w:hint="eastAsia" w:ascii="仿宋" w:hAnsi="仿宋" w:eastAsia="仿宋"/>
          <w:sz w:val="28"/>
          <w:szCs w:val="28"/>
        </w:rPr>
        <w:t>收</w:t>
      </w:r>
      <w:r>
        <w:rPr>
          <w:rStyle w:val="17"/>
          <w:rFonts w:hint="eastAsia" w:ascii="仿宋" w:hAnsi="仿宋" w:eastAsia="仿宋" w:cstheme="majorBidi"/>
          <w:bCs/>
          <w:sz w:val="28"/>
          <w:szCs w:val="28"/>
        </w:rPr>
        <w:t>入支出决算总体情况说明</w:t>
      </w:r>
      <w:r>
        <w:rPr>
          <w:rStyle w:val="17"/>
          <w:rFonts w:hint="eastAsia" w:ascii="仿宋" w:hAnsi="仿宋" w:eastAsia="仿宋" w:cstheme="majorBidi"/>
          <w:bCs/>
          <w:sz w:val="28"/>
          <w:szCs w:val="28"/>
        </w:rPr>
        <w:fldChar w:fldCharType="end"/>
      </w:r>
    </w:p>
    <w:p>
      <w:pPr>
        <w:pStyle w:val="12"/>
        <w:rPr>
          <w:rFonts w:ascii="仿宋" w:hAnsi="仿宋" w:eastAsia="仿宋" w:cstheme="minorBidi"/>
          <w:sz w:val="28"/>
          <w:szCs w:val="28"/>
        </w:rPr>
      </w:pPr>
      <w:r>
        <w:fldChar w:fldCharType="begin"/>
      </w:r>
      <w:r>
        <w:instrText xml:space="preserve"> HYPERLINK \l "_Toc15396604" </w:instrText>
      </w:r>
      <w:r>
        <w:fldChar w:fldCharType="separate"/>
      </w:r>
      <w:r>
        <w:rPr>
          <w:rStyle w:val="17"/>
          <w:rFonts w:hint="eastAsia" w:ascii="仿宋" w:hAnsi="仿宋" w:eastAsia="仿宋" w:cstheme="majorBidi"/>
          <w:bCs/>
          <w:sz w:val="28"/>
          <w:szCs w:val="28"/>
        </w:rPr>
        <w:t>二、</w:t>
      </w:r>
      <w:r>
        <w:rPr>
          <w:rStyle w:val="17"/>
          <w:rFonts w:hint="eastAsia" w:ascii="仿宋" w:hAnsi="仿宋" w:eastAsia="仿宋"/>
          <w:sz w:val="28"/>
          <w:szCs w:val="28"/>
        </w:rPr>
        <w:t>收</w:t>
      </w:r>
      <w:r>
        <w:rPr>
          <w:rStyle w:val="17"/>
          <w:rFonts w:hint="eastAsia" w:ascii="仿宋" w:hAnsi="仿宋" w:eastAsia="仿宋" w:cstheme="majorBidi"/>
          <w:bCs/>
          <w:sz w:val="28"/>
          <w:szCs w:val="28"/>
        </w:rPr>
        <w:t>入决算情况说明</w:t>
      </w:r>
      <w:r>
        <w:rPr>
          <w:rStyle w:val="17"/>
          <w:rFonts w:hint="eastAsia" w:ascii="仿宋" w:hAnsi="仿宋" w:eastAsia="仿宋" w:cstheme="majorBidi"/>
          <w:bCs/>
          <w:sz w:val="28"/>
          <w:szCs w:val="28"/>
        </w:rPr>
        <w:fldChar w:fldCharType="end"/>
      </w:r>
    </w:p>
    <w:p>
      <w:pPr>
        <w:pStyle w:val="12"/>
        <w:rPr>
          <w:rFonts w:ascii="仿宋" w:hAnsi="仿宋" w:eastAsia="仿宋" w:cstheme="minorBidi"/>
          <w:sz w:val="28"/>
          <w:szCs w:val="28"/>
        </w:rPr>
      </w:pPr>
      <w:r>
        <w:fldChar w:fldCharType="begin"/>
      </w:r>
      <w:r>
        <w:instrText xml:space="preserve"> HYPERLINK \l "_Toc15396605" </w:instrText>
      </w:r>
      <w:r>
        <w:fldChar w:fldCharType="separate"/>
      </w:r>
      <w:r>
        <w:rPr>
          <w:rStyle w:val="17"/>
          <w:rFonts w:hint="eastAsia" w:ascii="仿宋" w:hAnsi="仿宋" w:eastAsia="仿宋" w:cstheme="majorBidi"/>
          <w:bCs/>
          <w:sz w:val="28"/>
          <w:szCs w:val="28"/>
        </w:rPr>
        <w:t>三、</w:t>
      </w:r>
      <w:r>
        <w:rPr>
          <w:rStyle w:val="17"/>
          <w:rFonts w:hint="eastAsia" w:ascii="仿宋" w:hAnsi="仿宋" w:eastAsia="仿宋"/>
          <w:sz w:val="28"/>
          <w:szCs w:val="28"/>
        </w:rPr>
        <w:t>支</w:t>
      </w:r>
      <w:r>
        <w:rPr>
          <w:rStyle w:val="17"/>
          <w:rFonts w:hint="eastAsia" w:ascii="仿宋" w:hAnsi="仿宋" w:eastAsia="仿宋" w:cstheme="majorBidi"/>
          <w:bCs/>
          <w:sz w:val="28"/>
          <w:szCs w:val="28"/>
        </w:rPr>
        <w:t>出决算情况说明</w:t>
      </w:r>
      <w:r>
        <w:rPr>
          <w:rStyle w:val="17"/>
          <w:rFonts w:hint="eastAsia" w:ascii="仿宋" w:hAnsi="仿宋" w:eastAsia="仿宋" w:cstheme="majorBidi"/>
          <w:bCs/>
          <w:sz w:val="28"/>
          <w:szCs w:val="28"/>
        </w:rPr>
        <w:fldChar w:fldCharType="end"/>
      </w:r>
    </w:p>
    <w:p>
      <w:pPr>
        <w:pStyle w:val="12"/>
        <w:rPr>
          <w:rFonts w:ascii="仿宋" w:hAnsi="仿宋" w:eastAsia="仿宋" w:cstheme="minorBidi"/>
          <w:sz w:val="28"/>
          <w:szCs w:val="28"/>
        </w:rPr>
      </w:pPr>
      <w:r>
        <w:fldChar w:fldCharType="begin"/>
      </w:r>
      <w:r>
        <w:instrText xml:space="preserve"> HYPERLINK \l "_Toc15396606" </w:instrText>
      </w:r>
      <w:r>
        <w:fldChar w:fldCharType="separate"/>
      </w:r>
      <w:r>
        <w:rPr>
          <w:rStyle w:val="17"/>
          <w:rFonts w:hint="eastAsia" w:ascii="仿宋" w:hAnsi="仿宋" w:eastAsia="仿宋"/>
          <w:sz w:val="28"/>
          <w:szCs w:val="28"/>
        </w:rPr>
        <w:t>四、财</w:t>
      </w:r>
      <w:r>
        <w:rPr>
          <w:rStyle w:val="17"/>
          <w:rFonts w:hint="eastAsia" w:ascii="仿宋" w:hAnsi="仿宋" w:eastAsia="仿宋" w:cstheme="majorBidi"/>
          <w:bCs/>
          <w:sz w:val="28"/>
          <w:szCs w:val="28"/>
        </w:rPr>
        <w:t>政拨款收入支出决算总体情况说明</w:t>
      </w:r>
      <w:r>
        <w:rPr>
          <w:rStyle w:val="17"/>
          <w:rFonts w:hint="eastAsia" w:ascii="仿宋" w:hAnsi="仿宋" w:eastAsia="仿宋" w:cstheme="majorBidi"/>
          <w:bCs/>
          <w:sz w:val="28"/>
          <w:szCs w:val="28"/>
        </w:rPr>
        <w:fldChar w:fldCharType="end"/>
      </w:r>
    </w:p>
    <w:p>
      <w:pPr>
        <w:pStyle w:val="12"/>
        <w:rPr>
          <w:rFonts w:ascii="仿宋" w:hAnsi="仿宋" w:eastAsia="仿宋" w:cstheme="minorBidi"/>
          <w:sz w:val="28"/>
          <w:szCs w:val="28"/>
        </w:rPr>
      </w:pPr>
      <w:r>
        <w:fldChar w:fldCharType="begin"/>
      </w:r>
      <w:r>
        <w:instrText xml:space="preserve"> HYPERLINK \l "_Toc15396607" </w:instrText>
      </w:r>
      <w:r>
        <w:fldChar w:fldCharType="separate"/>
      </w:r>
      <w:r>
        <w:rPr>
          <w:rStyle w:val="17"/>
          <w:rFonts w:hint="eastAsia" w:ascii="仿宋" w:hAnsi="仿宋" w:eastAsia="仿宋"/>
          <w:sz w:val="28"/>
          <w:szCs w:val="28"/>
        </w:rPr>
        <w:t>五、一</w:t>
      </w:r>
      <w:r>
        <w:rPr>
          <w:rStyle w:val="17"/>
          <w:rFonts w:hint="eastAsia" w:ascii="仿宋" w:hAnsi="仿宋" w:eastAsia="仿宋" w:cstheme="majorBidi"/>
          <w:bCs/>
          <w:sz w:val="28"/>
          <w:szCs w:val="28"/>
        </w:rPr>
        <w:t>般公共预算财政拨款支出决算情况说明</w:t>
      </w:r>
      <w:r>
        <w:rPr>
          <w:rStyle w:val="17"/>
          <w:rFonts w:hint="eastAsia" w:ascii="仿宋" w:hAnsi="仿宋" w:eastAsia="仿宋" w:cstheme="majorBidi"/>
          <w:bCs/>
          <w:sz w:val="28"/>
          <w:szCs w:val="28"/>
        </w:rPr>
        <w:fldChar w:fldCharType="end"/>
      </w:r>
    </w:p>
    <w:p>
      <w:pPr>
        <w:pStyle w:val="12"/>
        <w:rPr>
          <w:rFonts w:ascii="仿宋" w:hAnsi="仿宋" w:eastAsia="仿宋" w:cstheme="minorBidi"/>
          <w:sz w:val="28"/>
          <w:szCs w:val="28"/>
        </w:rPr>
      </w:pPr>
      <w:r>
        <w:fldChar w:fldCharType="begin"/>
      </w:r>
      <w:r>
        <w:instrText xml:space="preserve"> HYPERLINK \l "_Toc15396608" </w:instrText>
      </w:r>
      <w:r>
        <w:fldChar w:fldCharType="separate"/>
      </w:r>
      <w:r>
        <w:rPr>
          <w:rStyle w:val="17"/>
          <w:rFonts w:hint="eastAsia" w:ascii="仿宋" w:hAnsi="仿宋" w:eastAsia="仿宋"/>
          <w:sz w:val="28"/>
          <w:szCs w:val="28"/>
        </w:rPr>
        <w:t>六、一</w:t>
      </w:r>
      <w:r>
        <w:rPr>
          <w:rStyle w:val="17"/>
          <w:rFonts w:hint="eastAsia" w:ascii="仿宋" w:hAnsi="仿宋" w:eastAsia="仿宋" w:cstheme="majorBidi"/>
          <w:bCs/>
          <w:sz w:val="28"/>
          <w:szCs w:val="28"/>
        </w:rPr>
        <w:t>般公共预算财政拨款基本支出决算情况说明</w:t>
      </w:r>
      <w:r>
        <w:rPr>
          <w:rStyle w:val="17"/>
          <w:rFonts w:hint="eastAsia" w:ascii="仿宋" w:hAnsi="仿宋" w:eastAsia="仿宋" w:cstheme="majorBidi"/>
          <w:bCs/>
          <w:sz w:val="28"/>
          <w:szCs w:val="28"/>
        </w:rPr>
        <w:fldChar w:fldCharType="end"/>
      </w:r>
    </w:p>
    <w:p>
      <w:pPr>
        <w:pStyle w:val="12"/>
        <w:rPr>
          <w:rFonts w:ascii="仿宋" w:hAnsi="仿宋" w:eastAsia="仿宋" w:cstheme="minorBidi"/>
          <w:sz w:val="28"/>
          <w:szCs w:val="28"/>
        </w:rPr>
      </w:pPr>
      <w:r>
        <w:fldChar w:fldCharType="begin"/>
      </w:r>
      <w:r>
        <w:instrText xml:space="preserve"> HYPERLINK \l "_Toc15396609" </w:instrText>
      </w:r>
      <w:r>
        <w:fldChar w:fldCharType="separate"/>
      </w:r>
      <w:r>
        <w:rPr>
          <w:rStyle w:val="17"/>
          <w:rFonts w:hint="eastAsia" w:ascii="仿宋" w:hAnsi="仿宋" w:eastAsia="仿宋"/>
          <w:sz w:val="28"/>
          <w:szCs w:val="28"/>
        </w:rPr>
        <w:t>七、</w:t>
      </w:r>
      <w:r>
        <w:rPr>
          <w:rStyle w:val="17"/>
          <w:rFonts w:ascii="仿宋" w:hAnsi="仿宋" w:eastAsia="仿宋"/>
          <w:sz w:val="28"/>
          <w:szCs w:val="28"/>
        </w:rPr>
        <w:t>“</w:t>
      </w:r>
      <w:r>
        <w:rPr>
          <w:rStyle w:val="17"/>
          <w:rFonts w:hint="eastAsia" w:ascii="仿宋" w:hAnsi="仿宋" w:eastAsia="仿宋" w:cstheme="majorBidi"/>
          <w:bCs/>
          <w:sz w:val="28"/>
          <w:szCs w:val="28"/>
        </w:rPr>
        <w:t>三公”经费财政拨款支出决算情况说明</w:t>
      </w:r>
      <w:r>
        <w:rPr>
          <w:rStyle w:val="17"/>
          <w:rFonts w:hint="eastAsia" w:ascii="仿宋" w:hAnsi="仿宋" w:eastAsia="仿宋" w:cstheme="majorBidi"/>
          <w:bCs/>
          <w:sz w:val="28"/>
          <w:szCs w:val="28"/>
        </w:rPr>
        <w:fldChar w:fldCharType="end"/>
      </w:r>
    </w:p>
    <w:p>
      <w:pPr>
        <w:pStyle w:val="12"/>
        <w:rPr>
          <w:rFonts w:ascii="仿宋" w:hAnsi="仿宋" w:eastAsia="仿宋" w:cstheme="minorBidi"/>
          <w:sz w:val="28"/>
          <w:szCs w:val="28"/>
        </w:rPr>
      </w:pPr>
      <w:r>
        <w:fldChar w:fldCharType="begin"/>
      </w:r>
      <w:r>
        <w:instrText xml:space="preserve"> HYPERLINK \l "_Toc15396610" </w:instrText>
      </w:r>
      <w:r>
        <w:fldChar w:fldCharType="separate"/>
      </w:r>
      <w:r>
        <w:rPr>
          <w:rStyle w:val="17"/>
          <w:rFonts w:hint="eastAsia" w:ascii="仿宋" w:hAnsi="仿宋" w:eastAsia="仿宋"/>
          <w:sz w:val="28"/>
          <w:szCs w:val="28"/>
        </w:rPr>
        <w:t>八、</w:t>
      </w:r>
      <w:r>
        <w:rPr>
          <w:rStyle w:val="17"/>
          <w:rFonts w:hint="eastAsia" w:ascii="仿宋" w:hAnsi="仿宋" w:eastAsia="仿宋" w:cstheme="majorBidi"/>
          <w:bCs/>
          <w:sz w:val="28"/>
          <w:szCs w:val="28"/>
        </w:rPr>
        <w:t>政府性基金预算支出决算情况说明</w:t>
      </w:r>
      <w:r>
        <w:rPr>
          <w:rStyle w:val="17"/>
          <w:rFonts w:hint="eastAsia" w:ascii="仿宋" w:hAnsi="仿宋" w:eastAsia="仿宋" w:cstheme="majorBidi"/>
          <w:bCs/>
          <w:sz w:val="28"/>
          <w:szCs w:val="28"/>
        </w:rPr>
        <w:fldChar w:fldCharType="end"/>
      </w:r>
    </w:p>
    <w:p>
      <w:pPr>
        <w:pStyle w:val="12"/>
        <w:rPr>
          <w:rFonts w:ascii="仿宋" w:hAnsi="仿宋" w:eastAsia="仿宋" w:cstheme="minorBidi"/>
          <w:sz w:val="28"/>
          <w:szCs w:val="28"/>
        </w:rPr>
      </w:pPr>
      <w:r>
        <w:fldChar w:fldCharType="begin"/>
      </w:r>
      <w:r>
        <w:instrText xml:space="preserve"> HYPERLINK \l "_Toc15396611" </w:instrText>
      </w:r>
      <w:r>
        <w:fldChar w:fldCharType="separate"/>
      </w:r>
      <w:r>
        <w:rPr>
          <w:rStyle w:val="17"/>
          <w:rFonts w:hint="eastAsia" w:ascii="仿宋" w:hAnsi="仿宋" w:eastAsia="仿宋" w:cstheme="majorBidi"/>
          <w:bCs/>
          <w:sz w:val="28"/>
          <w:szCs w:val="28"/>
        </w:rPr>
        <w:t>九、</w:t>
      </w:r>
      <w:r>
        <w:rPr>
          <w:rStyle w:val="17"/>
          <w:rFonts w:hint="eastAsia" w:ascii="仿宋" w:hAnsi="仿宋" w:eastAsia="仿宋"/>
          <w:sz w:val="28"/>
          <w:szCs w:val="28"/>
        </w:rPr>
        <w:t xml:space="preserve"> 国</w:t>
      </w:r>
      <w:r>
        <w:rPr>
          <w:rStyle w:val="17"/>
          <w:rFonts w:hint="eastAsia" w:ascii="仿宋" w:hAnsi="仿宋" w:eastAsia="仿宋" w:cstheme="majorBidi"/>
          <w:bCs/>
          <w:sz w:val="28"/>
          <w:szCs w:val="28"/>
        </w:rPr>
        <w:t>有资本经营预算支出决算情况说明</w:t>
      </w:r>
      <w:r>
        <w:rPr>
          <w:rStyle w:val="17"/>
          <w:rFonts w:hint="eastAsia" w:ascii="仿宋" w:hAnsi="仿宋" w:eastAsia="仿宋" w:cstheme="majorBidi"/>
          <w:bCs/>
          <w:sz w:val="28"/>
          <w:szCs w:val="28"/>
        </w:rPr>
        <w:fldChar w:fldCharType="end"/>
      </w:r>
    </w:p>
    <w:p>
      <w:pPr>
        <w:pStyle w:val="12"/>
      </w:pPr>
      <w:r>
        <w:fldChar w:fldCharType="begin"/>
      </w:r>
      <w:r>
        <w:instrText xml:space="preserve"> HYPERLINK \l "_Toc15396612" </w:instrText>
      </w:r>
      <w:r>
        <w:fldChar w:fldCharType="separate"/>
      </w:r>
      <w:r>
        <w:rPr>
          <w:rStyle w:val="17"/>
          <w:rFonts w:hint="eastAsia" w:ascii="仿宋" w:hAnsi="仿宋" w:eastAsia="仿宋"/>
          <w:sz w:val="28"/>
          <w:szCs w:val="28"/>
        </w:rPr>
        <w:t>十</w:t>
      </w:r>
      <w:r>
        <w:rPr>
          <w:rStyle w:val="17"/>
          <w:rFonts w:hint="eastAsia" w:ascii="仿宋" w:hAnsi="仿宋" w:eastAsia="仿宋" w:cstheme="majorBidi"/>
          <w:bCs/>
          <w:sz w:val="28"/>
          <w:szCs w:val="28"/>
        </w:rPr>
        <w:t>一、其他重要事项的情况说明</w:t>
      </w:r>
      <w:r>
        <w:rPr>
          <w:rStyle w:val="17"/>
          <w:rFonts w:hint="eastAsia" w:ascii="仿宋" w:hAnsi="仿宋" w:eastAsia="仿宋" w:cstheme="majorBidi"/>
          <w:bCs/>
          <w:sz w:val="28"/>
          <w:szCs w:val="28"/>
        </w:rPr>
        <w:fldChar w:fldCharType="end"/>
      </w:r>
    </w:p>
    <w:p>
      <w:pPr>
        <w:pStyle w:val="11"/>
        <w:rPr>
          <w:rFonts w:cstheme="minorBidi"/>
        </w:rPr>
      </w:pPr>
      <w:r>
        <w:fldChar w:fldCharType="begin"/>
      </w:r>
      <w:r>
        <w:instrText xml:space="preserve"> HYPERLINK \l "_Toc15396613" </w:instrText>
      </w:r>
      <w:r>
        <w:fldChar w:fldCharType="separate"/>
      </w:r>
      <w:r>
        <w:rPr>
          <w:rStyle w:val="17"/>
          <w:rFonts w:hint="eastAsia"/>
          <w:bCs/>
          <w:kern w:val="44"/>
        </w:rPr>
        <w:t>第三部分</w:t>
      </w:r>
      <w:r>
        <w:rPr>
          <w:rStyle w:val="17"/>
          <w:rFonts w:hint="eastAsia"/>
        </w:rPr>
        <w:t xml:space="preserve"> 名</w:t>
      </w:r>
      <w:r>
        <w:rPr>
          <w:rStyle w:val="17"/>
          <w:rFonts w:hint="eastAsia"/>
          <w:bCs/>
          <w:kern w:val="44"/>
        </w:rPr>
        <w:t>词解释</w:t>
      </w:r>
      <w:r>
        <w:rPr>
          <w:rStyle w:val="17"/>
          <w:rFonts w:hint="eastAsia"/>
          <w:bCs/>
          <w:kern w:val="44"/>
        </w:rPr>
        <w:fldChar w:fldCharType="end"/>
      </w:r>
    </w:p>
    <w:p>
      <w:pPr>
        <w:pStyle w:val="11"/>
        <w:rPr>
          <w:rFonts w:cstheme="minorBidi"/>
        </w:rPr>
      </w:pPr>
      <w:r>
        <w:fldChar w:fldCharType="begin"/>
      </w:r>
      <w:r>
        <w:instrText xml:space="preserve"> HYPERLINK \l "_Toc15396614" </w:instrText>
      </w:r>
      <w:r>
        <w:fldChar w:fldCharType="separate"/>
      </w:r>
      <w:r>
        <w:rPr>
          <w:rStyle w:val="17"/>
          <w:rFonts w:hint="eastAsia"/>
        </w:rPr>
        <w:t>第</w:t>
      </w:r>
      <w:r>
        <w:rPr>
          <w:rStyle w:val="17"/>
          <w:rFonts w:hint="eastAsia"/>
          <w:bCs/>
          <w:kern w:val="44"/>
        </w:rPr>
        <w:t>四部分附件</w:t>
      </w:r>
      <w:r>
        <w:rPr>
          <w:rStyle w:val="17"/>
          <w:rFonts w:hint="eastAsia"/>
          <w:bCs/>
          <w:kern w:val="44"/>
        </w:rPr>
        <w:fldChar w:fldCharType="end"/>
      </w:r>
    </w:p>
    <w:p>
      <w:pPr>
        <w:pStyle w:val="12"/>
        <w:rPr>
          <w:rStyle w:val="17"/>
          <w:rFonts w:hint="eastAsia" w:ascii="仿宋" w:hAnsi="仿宋" w:eastAsia="仿宋"/>
          <w:kern w:val="44"/>
          <w:sz w:val="28"/>
          <w:szCs w:val="28"/>
          <w:lang w:val="en-US" w:eastAsia="zh-CN"/>
        </w:rPr>
      </w:pPr>
      <w:r>
        <w:fldChar w:fldCharType="begin"/>
      </w:r>
      <w:r>
        <w:instrText xml:space="preserve"> HYPERLINK \l "_Toc15396615" </w:instrText>
      </w:r>
      <w:r>
        <w:fldChar w:fldCharType="separate"/>
      </w:r>
      <w:r>
        <w:rPr>
          <w:rStyle w:val="17"/>
          <w:rFonts w:hint="eastAsia" w:ascii="仿宋" w:hAnsi="仿宋" w:eastAsia="仿宋"/>
          <w:kern w:val="44"/>
          <w:sz w:val="28"/>
          <w:szCs w:val="28"/>
        </w:rPr>
        <w:t>附件</w:t>
      </w:r>
      <w:r>
        <w:rPr>
          <w:rStyle w:val="17"/>
          <w:rFonts w:ascii="仿宋" w:hAnsi="仿宋" w:eastAsia="仿宋"/>
          <w:kern w:val="44"/>
          <w:sz w:val="28"/>
          <w:szCs w:val="28"/>
        </w:rPr>
        <w:t>1</w:t>
      </w:r>
      <w:r>
        <w:rPr>
          <w:rStyle w:val="17"/>
          <w:rFonts w:ascii="仿宋" w:hAnsi="仿宋" w:eastAsia="仿宋"/>
          <w:kern w:val="44"/>
          <w:sz w:val="28"/>
          <w:szCs w:val="28"/>
        </w:rPr>
        <w:fldChar w:fldCharType="end"/>
      </w:r>
      <w:r>
        <w:rPr>
          <w:rStyle w:val="17"/>
          <w:rFonts w:hint="eastAsia" w:ascii="仿宋" w:hAnsi="仿宋" w:eastAsia="仿宋"/>
          <w:kern w:val="44"/>
          <w:sz w:val="28"/>
          <w:szCs w:val="28"/>
          <w:lang w:val="en-US" w:eastAsia="zh-CN"/>
        </w:rPr>
        <w:t xml:space="preserve">  2018年红原县整体支出绩效评价报告</w:t>
      </w:r>
    </w:p>
    <w:p>
      <w:pPr>
        <w:pStyle w:val="12"/>
        <w:rPr>
          <w:rFonts w:hint="eastAsia" w:ascii="仿宋" w:hAnsi="仿宋" w:eastAsia="仿宋" w:cstheme="minorBidi"/>
          <w:sz w:val="28"/>
          <w:szCs w:val="28"/>
          <w:lang w:val="en-US" w:eastAsia="zh-CN"/>
        </w:rPr>
      </w:pPr>
      <w:r>
        <w:fldChar w:fldCharType="begin"/>
      </w:r>
      <w:r>
        <w:instrText xml:space="preserve"> HYPERLINK \l "_Toc15396617" </w:instrText>
      </w:r>
      <w:r>
        <w:fldChar w:fldCharType="separate"/>
      </w:r>
      <w:r>
        <w:rPr>
          <w:rStyle w:val="17"/>
          <w:rFonts w:hint="eastAsia" w:ascii="仿宋" w:hAnsi="仿宋" w:eastAsia="仿宋"/>
          <w:kern w:val="44"/>
          <w:sz w:val="28"/>
          <w:szCs w:val="28"/>
        </w:rPr>
        <w:t>附件</w:t>
      </w:r>
      <w:r>
        <w:rPr>
          <w:rStyle w:val="17"/>
          <w:rFonts w:ascii="仿宋" w:hAnsi="仿宋" w:eastAsia="仿宋"/>
          <w:kern w:val="44"/>
          <w:sz w:val="28"/>
          <w:szCs w:val="28"/>
        </w:rPr>
        <w:t>2</w:t>
      </w:r>
      <w:r>
        <w:rPr>
          <w:rStyle w:val="17"/>
          <w:rFonts w:ascii="仿宋" w:hAnsi="仿宋" w:eastAsia="仿宋"/>
          <w:kern w:val="44"/>
          <w:sz w:val="28"/>
          <w:szCs w:val="28"/>
        </w:rPr>
        <w:fldChar w:fldCharType="end"/>
      </w:r>
      <w:r>
        <w:rPr>
          <w:rStyle w:val="17"/>
          <w:rFonts w:hint="eastAsia" w:ascii="仿宋" w:hAnsi="仿宋" w:eastAsia="仿宋"/>
          <w:kern w:val="44"/>
          <w:sz w:val="28"/>
          <w:szCs w:val="28"/>
          <w:lang w:val="en-US" w:eastAsia="zh-CN"/>
        </w:rPr>
        <w:t xml:space="preserve">  2018年红原县项目支出绩效评价报告</w:t>
      </w:r>
    </w:p>
    <w:p>
      <w:pPr>
        <w:pStyle w:val="12"/>
        <w:rPr>
          <w:rFonts w:ascii="仿宋" w:hAnsi="仿宋" w:eastAsia="仿宋" w:cstheme="minorBidi"/>
          <w:sz w:val="28"/>
          <w:szCs w:val="28"/>
        </w:rPr>
      </w:pPr>
    </w:p>
    <w:p>
      <w:pPr>
        <w:pStyle w:val="11"/>
        <w:rPr>
          <w:rFonts w:cstheme="minorBidi"/>
        </w:rPr>
      </w:pPr>
      <w:r>
        <w:fldChar w:fldCharType="begin"/>
      </w:r>
      <w:r>
        <w:instrText xml:space="preserve"> HYPERLINK \l "_Toc15396618" </w:instrText>
      </w:r>
      <w:r>
        <w:fldChar w:fldCharType="separate"/>
      </w:r>
      <w:r>
        <w:rPr>
          <w:rStyle w:val="17"/>
          <w:rFonts w:hint="eastAsia"/>
        </w:rPr>
        <w:t>第</w:t>
      </w:r>
      <w:r>
        <w:rPr>
          <w:rStyle w:val="17"/>
          <w:rFonts w:hint="eastAsia"/>
          <w:bCs/>
          <w:kern w:val="44"/>
        </w:rPr>
        <w:t>五部分附表</w:t>
      </w:r>
      <w:r>
        <w:rPr>
          <w:rStyle w:val="17"/>
          <w:rFonts w:hint="eastAsia"/>
          <w:bCs/>
          <w:kern w:val="44"/>
        </w:rPr>
        <w:fldChar w:fldCharType="end"/>
      </w:r>
    </w:p>
    <w:p>
      <w:pPr>
        <w:pStyle w:val="12"/>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7"/>
          <w:rFonts w:hint="eastAsia" w:ascii="仿宋" w:hAnsi="仿宋" w:eastAsia="仿宋"/>
          <w:sz w:val="28"/>
          <w:szCs w:val="28"/>
        </w:rPr>
        <w:t>收入支出决算总表</w:t>
      </w:r>
      <w:r>
        <w:rPr>
          <w:rStyle w:val="17"/>
          <w:rFonts w:hint="eastAsia"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7"/>
          <w:rFonts w:hint="eastAsia" w:ascii="仿宋" w:hAnsi="仿宋" w:eastAsia="仿宋"/>
          <w:sz w:val="28"/>
          <w:szCs w:val="28"/>
        </w:rPr>
        <w:t>收入总表</w:t>
      </w:r>
      <w:r>
        <w:rPr>
          <w:rStyle w:val="17"/>
          <w:rFonts w:hint="eastAsia"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7"/>
          <w:rFonts w:hint="eastAsia" w:ascii="仿宋" w:hAnsi="仿宋" w:eastAsia="仿宋"/>
          <w:sz w:val="28"/>
          <w:szCs w:val="28"/>
        </w:rPr>
        <w:t>支出总表</w:t>
      </w:r>
      <w:r>
        <w:rPr>
          <w:rStyle w:val="17"/>
          <w:rFonts w:hint="eastAsia"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7"/>
          <w:rFonts w:hint="eastAsia" w:ascii="仿宋" w:hAnsi="仿宋" w:eastAsia="仿宋"/>
          <w:sz w:val="28"/>
          <w:szCs w:val="28"/>
        </w:rPr>
        <w:t>财政拨款收入支出决算总表</w:t>
      </w:r>
      <w:r>
        <w:rPr>
          <w:rStyle w:val="17"/>
          <w:rFonts w:hint="eastAsia" w:ascii="仿宋" w:hAnsi="仿宋" w:eastAsia="仿宋"/>
          <w:sz w:val="28"/>
          <w:szCs w:val="28"/>
        </w:rPr>
        <w:fldChar w:fldCharType="end"/>
      </w:r>
    </w:p>
    <w:p>
      <w:pPr>
        <w:pStyle w:val="12"/>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hint="eastAsia"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7"/>
          <w:rFonts w:hint="eastAsia" w:ascii="仿宋" w:hAnsi="仿宋" w:eastAsia="仿宋"/>
          <w:sz w:val="28"/>
          <w:szCs w:val="28"/>
        </w:rPr>
        <w:t>一般公共预算财政拨款支出决算表</w:t>
      </w:r>
      <w:r>
        <w:rPr>
          <w:rStyle w:val="17"/>
          <w:rFonts w:hint="eastAsia"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7"/>
          <w:rFonts w:hint="eastAsia" w:ascii="仿宋" w:hAnsi="仿宋" w:eastAsia="仿宋"/>
          <w:sz w:val="28"/>
          <w:szCs w:val="28"/>
        </w:rPr>
        <w:t>一般公共预算财政拨款支出决算明细表</w:t>
      </w:r>
      <w:r>
        <w:rPr>
          <w:rStyle w:val="17"/>
          <w:rFonts w:hint="eastAsia"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7"/>
          <w:rFonts w:hint="eastAsia" w:ascii="仿宋" w:hAnsi="仿宋" w:eastAsia="仿宋"/>
          <w:sz w:val="28"/>
          <w:szCs w:val="28"/>
        </w:rPr>
        <w:t>一般公共预算财政拨款基本支出决算表</w:t>
      </w:r>
      <w:r>
        <w:rPr>
          <w:rStyle w:val="17"/>
          <w:rFonts w:hint="eastAsia"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7"/>
          <w:rFonts w:hint="eastAsia" w:ascii="仿宋" w:hAnsi="仿宋" w:eastAsia="仿宋"/>
          <w:sz w:val="28"/>
          <w:szCs w:val="28"/>
        </w:rPr>
        <w:t>一般公共预算财政拨款项目支出决算表</w:t>
      </w:r>
      <w:r>
        <w:rPr>
          <w:rStyle w:val="17"/>
          <w:rFonts w:hint="eastAsia"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7"/>
          <w:rFonts w:hint="eastAsia" w:ascii="仿宋" w:hAnsi="仿宋" w:eastAsia="仿宋"/>
          <w:sz w:val="28"/>
          <w:szCs w:val="28"/>
        </w:rPr>
        <w:t>一般公共预算财政拨款“三公”经费支出决算表</w:t>
      </w:r>
      <w:r>
        <w:rPr>
          <w:rStyle w:val="17"/>
          <w:rFonts w:hint="eastAsia"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7"/>
          <w:rFonts w:hint="eastAsia" w:ascii="仿宋" w:hAnsi="仿宋" w:eastAsia="仿宋"/>
          <w:sz w:val="28"/>
          <w:szCs w:val="28"/>
        </w:rPr>
        <w:t>政府性基金预算财政拨款收入支出决算表</w:t>
      </w:r>
      <w:r>
        <w:rPr>
          <w:rStyle w:val="17"/>
          <w:rFonts w:hint="eastAsia"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7"/>
          <w:rFonts w:hint="eastAsia" w:ascii="仿宋" w:hAnsi="仿宋" w:eastAsia="仿宋"/>
          <w:sz w:val="28"/>
          <w:szCs w:val="28"/>
        </w:rPr>
        <w:t>政府性基金预算财政拨款“三公”经费支出决算表</w:t>
      </w:r>
      <w:r>
        <w:rPr>
          <w:rStyle w:val="17"/>
          <w:rFonts w:hint="eastAsia" w:ascii="仿宋" w:hAnsi="仿宋" w:eastAsia="仿宋"/>
          <w:sz w:val="28"/>
          <w:szCs w:val="28"/>
        </w:rPr>
        <w:fldChar w:fldCharType="end"/>
      </w:r>
    </w:p>
    <w:p>
      <w:pPr>
        <w:pStyle w:val="12"/>
        <w:rPr>
          <w:rStyle w:val="17"/>
          <w:rFonts w:hint="eastAsia" w:ascii="仿宋" w:hAnsi="仿宋" w:eastAsia="仿宋"/>
          <w:sz w:val="28"/>
          <w:szCs w:val="28"/>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7"/>
          <w:rFonts w:hint="eastAsia" w:ascii="仿宋" w:hAnsi="仿宋" w:eastAsia="仿宋"/>
          <w:sz w:val="28"/>
          <w:szCs w:val="28"/>
        </w:rPr>
        <w:t>国有资本经营预算支出决算表</w:t>
      </w:r>
      <w:r>
        <w:rPr>
          <w:rStyle w:val="17"/>
          <w:rFonts w:hint="eastAsia" w:ascii="仿宋" w:hAnsi="仿宋" w:eastAsia="仿宋"/>
          <w:sz w:val="28"/>
          <w:szCs w:val="28"/>
        </w:rPr>
        <w:fldChar w:fldCharType="end"/>
      </w:r>
    </w:p>
    <w:p>
      <w:pPr>
        <w:ind w:firstLine="280" w:firstLineChars="100"/>
        <w:rPr>
          <w:rStyle w:val="27"/>
          <w:rFonts w:hint="eastAsia" w:ascii="仿宋" w:hAnsi="仿宋" w:eastAsia="仿宋"/>
          <w:b w:val="0"/>
          <w:bCs w:val="0"/>
          <w:lang w:val="en-US" w:eastAsia="zh-CN"/>
        </w:rPr>
      </w:pPr>
      <w:r>
        <w:rPr>
          <w:rStyle w:val="17"/>
          <w:rFonts w:hint="eastAsia" w:ascii="仿宋" w:hAnsi="仿宋" w:eastAsia="仿宋"/>
          <w:sz w:val="28"/>
          <w:szCs w:val="28"/>
          <w:lang w:val="en-US" w:eastAsia="zh-CN"/>
        </w:rPr>
        <w:t xml:space="preserve">  </w:t>
      </w:r>
      <w:r>
        <w:rPr>
          <w:rStyle w:val="27"/>
          <w:rFonts w:hint="eastAsia" w:ascii="仿宋" w:hAnsi="仿宋" w:eastAsia="仿宋"/>
          <w:b w:val="0"/>
          <w:bCs w:val="0"/>
          <w:lang w:val="en-US" w:eastAsia="zh-CN"/>
        </w:rPr>
        <w:t>十四、整体支出绩效评价打分表</w:t>
      </w:r>
    </w:p>
    <w:p>
      <w:pPr>
        <w:ind w:firstLine="640" w:firstLineChars="200"/>
        <w:rPr>
          <w:rStyle w:val="27"/>
          <w:rFonts w:hint="eastAsia" w:ascii="仿宋" w:hAnsi="仿宋" w:eastAsia="仿宋"/>
          <w:b w:val="0"/>
          <w:bCs w:val="0"/>
          <w:lang w:val="en-US" w:eastAsia="zh-CN"/>
        </w:rPr>
      </w:pPr>
      <w:r>
        <w:rPr>
          <w:rStyle w:val="27"/>
          <w:rFonts w:hint="eastAsia" w:ascii="仿宋" w:hAnsi="仿宋" w:eastAsia="仿宋"/>
          <w:b w:val="0"/>
          <w:bCs w:val="0"/>
          <w:lang w:val="en-US" w:eastAsia="zh-CN"/>
        </w:rPr>
        <w:t>十五、项目支出绩效评价打分表</w:t>
      </w:r>
    </w:p>
    <w:p>
      <w:pPr>
        <w:rPr>
          <w:rFonts w:hint="eastAsia" w:eastAsia="仿宋"/>
          <w:lang w:val="en-US" w:eastAsia="zh-CN"/>
        </w:rPr>
      </w:pPr>
    </w:p>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bookmarkStart w:id="12" w:name="_Toc15377196"/>
      <w:bookmarkStart w:id="13" w:name="_Toc15396599"/>
      <w:r>
        <w:rPr>
          <w:rFonts w:ascii="黑体" w:hAnsi="黑体" w:eastAsia="黑体"/>
          <w:b/>
        </w:rPr>
        <w:br w:type="page"/>
      </w:r>
    </w:p>
    <w:p>
      <w:pPr>
        <w:pStyle w:val="2"/>
        <w:jc w:val="center"/>
        <w:rPr>
          <w:rStyle w:val="26"/>
          <w:rFonts w:ascii="黑体" w:hAnsi="黑体" w:eastAsia="黑体"/>
          <w:b/>
          <w:bCs w:val="0"/>
        </w:rPr>
      </w:pPr>
      <w:r>
        <w:rPr>
          <w:rFonts w:hint="eastAsia" w:ascii="黑体" w:hAnsi="黑体" w:eastAsia="黑体"/>
          <w:b w:val="0"/>
        </w:rPr>
        <w:t xml:space="preserve">第一部分 </w:t>
      </w:r>
      <w:r>
        <w:rPr>
          <w:rStyle w:val="26"/>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3"/>
        <w:rPr>
          <w:rStyle w:val="27"/>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7"/>
          <w:rFonts w:hint="eastAsia" w:ascii="黑体" w:hAnsi="黑体" w:eastAsia="黑体"/>
          <w:b w:val="0"/>
          <w:bCs w:val="0"/>
        </w:rPr>
        <w:t>本职能及主要工作</w:t>
      </w:r>
      <w:bookmarkEnd w:id="14"/>
      <w:bookmarkEnd w:id="15"/>
    </w:p>
    <w:p>
      <w:pPr>
        <w:ind w:firstLine="640" w:firstLineChars="200"/>
        <w:rPr>
          <w:rFonts w:ascii="仿宋_GB2312" w:hAnsi="仿宋_GB2312" w:eastAsia="仿宋_GB2312" w:cs="仿宋_GB2312"/>
          <w:color w:val="000000"/>
          <w:sz w:val="32"/>
          <w:szCs w:val="32"/>
        </w:rPr>
      </w:pPr>
      <w:bookmarkStart w:id="16" w:name="_Toc15377198"/>
      <w:bookmarkStart w:id="17" w:name="_Toc15378445"/>
      <w:r>
        <w:rPr>
          <w:rFonts w:hint="eastAsia" w:ascii="楷体" w:hAnsi="楷体" w:eastAsia="楷体"/>
          <w:bCs/>
          <w:color w:val="000000"/>
          <w:sz w:val="32"/>
          <w:szCs w:val="32"/>
        </w:rPr>
        <w:t>（一）主要职能。</w:t>
      </w:r>
      <w:r>
        <w:rPr>
          <w:rFonts w:hint="eastAsia" w:ascii="仿宋_GB2312" w:hAnsi="仿宋_GB2312" w:eastAsia="仿宋_GB2312" w:cs="仿宋_GB2312"/>
          <w:sz w:val="32"/>
          <w:szCs w:val="32"/>
        </w:rPr>
        <w:t>1.红原县疾病预防控制中心的工作职能是全面履行政府赋予的卫生防病职能, 做好传染病等突发公共卫生事件应急、监测、报告与管理；信息与网络管理；加强疾病及健康相关因素和分析评估能力的储备及应用；完成国家、省、州下达的重大疾病预防控制指令性任务；实施疾病预防控制规划、方案，组织开展辖区内</w:t>
      </w:r>
      <w:r>
        <w:rPr>
          <w:rFonts w:hint="eastAsia" w:ascii="仿宋_GB2312" w:hAnsi="仿宋_GB2312" w:eastAsia="仿宋_GB2312" w:cs="仿宋_GB2312"/>
          <w:sz w:val="32"/>
          <w:szCs w:val="32"/>
          <w:lang w:eastAsia="zh-CN"/>
        </w:rPr>
        <w:t>疾病暴发</w:t>
      </w:r>
      <w:r>
        <w:rPr>
          <w:rFonts w:hint="eastAsia" w:ascii="仿宋_GB2312" w:hAnsi="仿宋_GB2312" w:eastAsia="仿宋_GB2312" w:cs="仿宋_GB2312"/>
          <w:sz w:val="32"/>
          <w:szCs w:val="32"/>
        </w:rPr>
        <w:t>调查处理和报告；负责全县慢性传染病、慢性非传染性疾病的流行病学调查、监测，营养健康，健康教育与健康促进，实施儿童计划免疫及预防性生物制品管理；推行重大公共卫生服务项目，免费为艾滋病患者提供“四免一关怀”服务；制定我县结核病预防控制规划并组织实施；负责本辖区内大骨节病、包虫病、地氟病、碘缺乏病的综合防治和研究；提供消毒、杀虫、灭蝇等相关技术性服务；对食品卫生、公共场所、工矿企业、学校及生产经营单位的卫生具有监测职能和卫生学评价职能，对其从业人员定期进行健康体检；为社会人群提供预防性疫苗接种等工作。</w:t>
      </w:r>
    </w:p>
    <w:bookmarkEnd w:id="16"/>
    <w:bookmarkEnd w:id="17"/>
    <w:p>
      <w:pPr>
        <w:spacing w:line="560" w:lineRule="exact"/>
        <w:ind w:firstLine="640" w:firstLineChars="200"/>
        <w:rPr>
          <w:rFonts w:ascii="楷体" w:hAnsi="楷体" w:eastAsia="楷体"/>
          <w:bCs/>
          <w:color w:val="000000"/>
          <w:sz w:val="32"/>
          <w:szCs w:val="32"/>
        </w:rPr>
      </w:pPr>
      <w:bookmarkStart w:id="18" w:name="_Toc15378446"/>
      <w:bookmarkStart w:id="19" w:name="_Toc15377199"/>
      <w:r>
        <w:rPr>
          <w:rFonts w:hint="eastAsia" w:ascii="楷体" w:hAnsi="楷体" w:eastAsia="楷体"/>
          <w:bCs/>
          <w:color w:val="000000"/>
          <w:sz w:val="32"/>
          <w:szCs w:val="32"/>
        </w:rPr>
        <w:t>（二）</w:t>
      </w:r>
      <w:r>
        <w:rPr>
          <w:rFonts w:ascii="楷体" w:hAnsi="楷体" w:eastAsia="楷体"/>
          <w:bCs/>
          <w:color w:val="000000"/>
          <w:sz w:val="32"/>
          <w:szCs w:val="32"/>
        </w:rPr>
        <w:t>201</w:t>
      </w:r>
      <w:r>
        <w:rPr>
          <w:rFonts w:hint="eastAsia" w:ascii="楷体" w:hAnsi="楷体" w:eastAsia="楷体"/>
          <w:bCs/>
          <w:color w:val="000000"/>
          <w:sz w:val="32"/>
          <w:szCs w:val="32"/>
        </w:rPr>
        <w:t>8年重点工作完成情况。</w:t>
      </w:r>
      <w:bookmarkEnd w:id="18"/>
      <w:bookmarkEnd w:id="19"/>
    </w:p>
    <w:p>
      <w:pPr>
        <w:spacing w:line="560" w:lineRule="exact"/>
        <w:ind w:firstLine="643" w:firstLineChars="200"/>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1.强化教育，全面提升卫生服务能力和水平。</w:t>
      </w:r>
    </w:p>
    <w:p>
      <w:pPr>
        <w:spacing w:line="560" w:lineRule="exact"/>
        <w:ind w:firstLine="630" w:firstLineChars="196"/>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w:t>
      </w:r>
      <w:r>
        <w:rPr>
          <w:rFonts w:ascii="仿宋_GB2312" w:hAnsi="仿宋_GB2312" w:eastAsia="仿宋_GB2312" w:cs="仿宋_GB2312"/>
          <w:b/>
          <w:color w:val="000000"/>
          <w:sz w:val="32"/>
          <w:szCs w:val="32"/>
        </w:rPr>
        <w:t>1</w:t>
      </w:r>
      <w:r>
        <w:rPr>
          <w:rFonts w:hint="eastAsia" w:ascii="仿宋_GB2312" w:hAnsi="仿宋_GB2312" w:eastAsia="仿宋_GB2312" w:cs="仿宋_GB2312"/>
          <w:b/>
          <w:color w:val="000000"/>
          <w:sz w:val="32"/>
          <w:szCs w:val="32"/>
        </w:rPr>
        <w:t>）中心领导班子团结、求真、务实</w:t>
      </w:r>
    </w:p>
    <w:p>
      <w:pPr>
        <w:spacing w:line="560" w:lineRule="exact"/>
        <w:ind w:firstLine="627" w:firstLineChars="196"/>
        <w:rPr>
          <w:rFonts w:ascii="仿宋_GB2312" w:hAnsi="仿宋" w:eastAsia="仿宋_GB2312"/>
          <w:color w:val="000000"/>
          <w:sz w:val="32"/>
          <w:szCs w:val="32"/>
        </w:rPr>
      </w:pPr>
      <w:r>
        <w:rPr>
          <w:rFonts w:hint="eastAsia" w:ascii="仿宋_GB2312" w:hAnsi="仿宋" w:eastAsia="仿宋_GB2312"/>
          <w:color w:val="000000"/>
          <w:sz w:val="32"/>
          <w:szCs w:val="32"/>
        </w:rPr>
        <w:t>按照《红原县疾病预防控制中心管理制度》原则，由县疾病预防控制中心党支部、职代会进行监督，坚持民主集中制的原则，进一步加强了内部管理，各科室工作人员在中心办公室的统一安排、分工合作的基础上，顺利完成各项工作。</w:t>
      </w:r>
    </w:p>
    <w:p>
      <w:pPr>
        <w:spacing w:line="560" w:lineRule="exact"/>
        <w:ind w:firstLine="630" w:firstLineChars="196"/>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w:t>
      </w:r>
      <w:r>
        <w:rPr>
          <w:rFonts w:ascii="仿宋_GB2312" w:hAnsi="仿宋_GB2312" w:eastAsia="仿宋_GB2312" w:cs="仿宋_GB2312"/>
          <w:b/>
          <w:color w:val="000000"/>
          <w:sz w:val="32"/>
          <w:szCs w:val="32"/>
        </w:rPr>
        <w:t>2</w:t>
      </w:r>
      <w:r>
        <w:rPr>
          <w:rFonts w:hint="eastAsia" w:ascii="仿宋_GB2312" w:hAnsi="仿宋_GB2312" w:eastAsia="仿宋_GB2312" w:cs="仿宋_GB2312"/>
          <w:b/>
          <w:color w:val="000000"/>
          <w:sz w:val="32"/>
          <w:szCs w:val="32"/>
        </w:rPr>
        <w:t>）党的“两学一做”教育活动和抓好联系村脱贫攻坚工作</w:t>
      </w:r>
    </w:p>
    <w:p>
      <w:pPr>
        <w:spacing w:line="560" w:lineRule="exact"/>
        <w:ind w:firstLine="640" w:firstLineChars="200"/>
        <w:rPr>
          <w:rFonts w:ascii="仿宋_GB2312" w:eastAsia="仿宋_GB2312"/>
          <w:sz w:val="30"/>
          <w:szCs w:val="30"/>
        </w:rPr>
      </w:pPr>
      <w:r>
        <w:rPr>
          <w:rFonts w:hint="eastAsia" w:ascii="仿宋_GB2312" w:hAnsi="仿宋" w:eastAsia="仿宋_GB2312"/>
          <w:color w:val="000000"/>
          <w:sz w:val="32"/>
          <w:szCs w:val="32"/>
        </w:rPr>
        <w:t>认真开展“两学一做”教育活动工作。我中心按照统一部署，中心在县委、县政府、县卫计局的精心指导下，中心从</w:t>
      </w:r>
      <w:r>
        <w:rPr>
          <w:rFonts w:ascii="仿宋_GB2312" w:hAnsi="仿宋" w:eastAsia="仿宋_GB2312"/>
          <w:color w:val="000000"/>
          <w:sz w:val="32"/>
          <w:szCs w:val="32"/>
        </w:rPr>
        <w:t>2017</w:t>
      </w:r>
      <w:r>
        <w:rPr>
          <w:rFonts w:hint="eastAsia" w:ascii="仿宋_GB2312" w:hAnsi="仿宋" w:eastAsia="仿宋_GB2312"/>
          <w:color w:val="000000"/>
          <w:sz w:val="32"/>
          <w:szCs w:val="32"/>
        </w:rPr>
        <w:t>年开始，深入开展“两学一做”教育活动。这次活动，我们始终坚持立足学习提高，加强党性修养，着眼解决问题，坚持“两学一做”，贯彻边整边改，建立长效机制，认真完成了“两学一做”的各项任务。</w:t>
      </w:r>
    </w:p>
    <w:p>
      <w:pPr>
        <w:spacing w:line="550" w:lineRule="exact"/>
        <w:ind w:firstLine="630" w:firstLineChars="196"/>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2.规范管理</w:t>
      </w:r>
      <w:r>
        <w:rPr>
          <w:rFonts w:ascii="仿宋_GB2312" w:hAnsi="仿宋_GB2312" w:eastAsia="仿宋_GB2312" w:cs="仿宋_GB2312"/>
          <w:b/>
          <w:color w:val="000000"/>
          <w:sz w:val="32"/>
          <w:szCs w:val="32"/>
        </w:rPr>
        <w:t>,</w:t>
      </w:r>
      <w:r>
        <w:rPr>
          <w:rFonts w:hint="eastAsia" w:ascii="仿宋_GB2312" w:hAnsi="仿宋_GB2312" w:eastAsia="仿宋_GB2312" w:cs="仿宋_GB2312"/>
          <w:b/>
          <w:color w:val="000000"/>
          <w:sz w:val="32"/>
          <w:szCs w:val="32"/>
        </w:rPr>
        <w:t>全面开展各项业务工作</w:t>
      </w:r>
    </w:p>
    <w:p>
      <w:pPr>
        <w:spacing w:line="550" w:lineRule="exact"/>
        <w:ind w:firstLine="643" w:firstLineChars="200"/>
        <w:rPr>
          <w:rFonts w:ascii="仿宋_GB2312" w:hAnsi="楷体" w:eastAsia="仿宋_GB2312"/>
          <w:b/>
          <w:color w:val="000000"/>
          <w:sz w:val="32"/>
          <w:szCs w:val="32"/>
        </w:rPr>
      </w:pPr>
      <w:r>
        <w:rPr>
          <w:rFonts w:hint="eastAsia" w:ascii="仿宋_GB2312" w:eastAsia="仿宋_GB2312"/>
          <w:b/>
          <w:color w:val="000000"/>
          <w:sz w:val="32"/>
          <w:szCs w:val="32"/>
        </w:rPr>
        <w:t>（</w:t>
      </w:r>
      <w:r>
        <w:rPr>
          <w:rFonts w:ascii="仿宋_GB2312" w:eastAsia="仿宋_GB2312"/>
          <w:b/>
          <w:color w:val="000000"/>
          <w:sz w:val="32"/>
          <w:szCs w:val="32"/>
        </w:rPr>
        <w:t>1</w:t>
      </w:r>
      <w:r>
        <w:rPr>
          <w:rFonts w:hint="eastAsia" w:ascii="仿宋_GB2312" w:eastAsia="仿宋_GB2312"/>
          <w:b/>
          <w:color w:val="000000"/>
          <w:sz w:val="32"/>
          <w:szCs w:val="32"/>
        </w:rPr>
        <w:t>）</w:t>
      </w:r>
      <w:r>
        <w:rPr>
          <w:rFonts w:hint="eastAsia" w:ascii="仿宋_GB2312" w:hAnsi="楷体" w:eastAsia="仿宋_GB2312"/>
          <w:b/>
          <w:color w:val="000000"/>
          <w:sz w:val="32"/>
          <w:szCs w:val="32"/>
        </w:rPr>
        <w:t>艾滋病综合防控工作有力推进</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建立、健全了艾滋病和性病防治有效结合的工作机制，大力宣传性病艾滋病防治知识，以性病防治工作，促进艾滋病防治工作。县人民政府成立了以分管县长为组长的相关部门为成员的领导机构。形成了部门各负其责，全社会共同参与的防治机制。建立了哨点监测、监管场所监测、管理场所监测及咨询检测。全年完成艾滋病自愿咨询检测</w:t>
      </w:r>
      <w:r>
        <w:rPr>
          <w:rFonts w:ascii="仿宋_GB2312" w:hAnsi="仿宋_GB2312" w:eastAsia="仿宋_GB2312" w:cs="仿宋_GB2312"/>
          <w:sz w:val="32"/>
          <w:szCs w:val="32"/>
        </w:rPr>
        <w:t>309</w:t>
      </w:r>
      <w:r>
        <w:rPr>
          <w:rFonts w:hint="eastAsia" w:ascii="仿宋_GB2312" w:hAnsi="仿宋_GB2312" w:eastAsia="仿宋_GB2312" w:cs="仿宋_GB2312"/>
          <w:sz w:val="32"/>
          <w:szCs w:val="32"/>
        </w:rPr>
        <w:t>人、性病门诊检测</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人、婚前检测</w:t>
      </w:r>
      <w:r>
        <w:rPr>
          <w:rFonts w:ascii="仿宋_GB2312" w:hAnsi="仿宋_GB2312" w:eastAsia="仿宋_GB2312" w:cs="仿宋_GB2312"/>
          <w:sz w:val="32"/>
          <w:szCs w:val="32"/>
        </w:rPr>
        <w:t>506</w:t>
      </w:r>
      <w:r>
        <w:rPr>
          <w:rFonts w:hint="eastAsia" w:ascii="仿宋_GB2312" w:hAnsi="仿宋_GB2312" w:eastAsia="仿宋_GB2312" w:cs="仿宋_GB2312"/>
          <w:sz w:val="32"/>
          <w:szCs w:val="32"/>
        </w:rPr>
        <w:t>人、孕产期检测</w:t>
      </w:r>
      <w:r>
        <w:rPr>
          <w:rFonts w:ascii="仿宋_GB2312" w:hAnsi="仿宋_GB2312" w:eastAsia="仿宋_GB2312" w:cs="仿宋_GB2312"/>
          <w:sz w:val="32"/>
          <w:szCs w:val="32"/>
        </w:rPr>
        <w:t>442</w:t>
      </w:r>
      <w:r>
        <w:rPr>
          <w:rFonts w:hint="eastAsia" w:ascii="仿宋_GB2312" w:hAnsi="仿宋_GB2312" w:eastAsia="仿宋_GB2312" w:cs="仿宋_GB2312"/>
          <w:sz w:val="32"/>
          <w:szCs w:val="32"/>
        </w:rPr>
        <w:t>人、娱乐场所人员检测</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人、监管人员</w:t>
      </w:r>
      <w:r>
        <w:rPr>
          <w:rFonts w:ascii="仿宋_GB2312" w:hAnsi="仿宋_GB2312" w:eastAsia="仿宋_GB2312" w:cs="仿宋_GB2312"/>
          <w:sz w:val="32"/>
          <w:szCs w:val="32"/>
        </w:rPr>
        <w:t>77</w:t>
      </w:r>
      <w:r>
        <w:rPr>
          <w:rFonts w:hint="eastAsia" w:ascii="仿宋_GB2312" w:hAnsi="仿宋_GB2312" w:eastAsia="仿宋_GB2312" w:cs="仿宋_GB2312"/>
          <w:sz w:val="32"/>
          <w:szCs w:val="32"/>
        </w:rPr>
        <w:t>人，术前检测</w:t>
      </w:r>
      <w:r>
        <w:rPr>
          <w:rFonts w:ascii="仿宋_GB2312" w:hAnsi="仿宋_GB2312" w:eastAsia="仿宋_GB2312" w:cs="仿宋_GB2312"/>
          <w:sz w:val="32"/>
          <w:szCs w:val="32"/>
        </w:rPr>
        <w:t>442</w:t>
      </w:r>
      <w:r>
        <w:rPr>
          <w:rFonts w:hint="eastAsia" w:ascii="仿宋_GB2312" w:hAnsi="仿宋_GB2312" w:eastAsia="仿宋_GB2312" w:cs="仿宋_GB2312"/>
          <w:sz w:val="32"/>
          <w:szCs w:val="32"/>
        </w:rPr>
        <w:t>人、其他专题调查</w:t>
      </w:r>
      <w:r>
        <w:rPr>
          <w:rFonts w:ascii="仿宋_GB2312" w:hAnsi="仿宋_GB2312" w:eastAsia="仿宋_GB2312" w:cs="仿宋_GB2312"/>
          <w:sz w:val="32"/>
          <w:szCs w:val="32"/>
        </w:rPr>
        <w:t>2703</w:t>
      </w:r>
      <w:r>
        <w:rPr>
          <w:rFonts w:hint="eastAsia" w:ascii="仿宋_GB2312" w:hAnsi="仿宋_GB2312" w:eastAsia="仿宋_GB2312" w:cs="仿宋_GB2312"/>
          <w:sz w:val="32"/>
          <w:szCs w:val="32"/>
        </w:rPr>
        <w:t>人。今年完成了</w:t>
      </w:r>
      <w:r>
        <w:rPr>
          <w:rFonts w:ascii="仿宋_GB2312" w:hAnsi="仿宋_GB2312" w:eastAsia="仿宋_GB2312" w:cs="仿宋_GB2312"/>
          <w:sz w:val="32"/>
          <w:szCs w:val="32"/>
        </w:rPr>
        <w:t>17</w:t>
      </w:r>
      <w:r>
        <w:rPr>
          <w:rFonts w:hint="eastAsia" w:ascii="仿宋_GB2312" w:hAnsi="仿宋_GB2312" w:eastAsia="仿宋_GB2312" w:cs="仿宋_GB2312"/>
          <w:sz w:val="32"/>
          <w:szCs w:val="32"/>
        </w:rPr>
        <w:t>人次的</w:t>
      </w:r>
      <w:r>
        <w:rPr>
          <w:rFonts w:ascii="仿宋_GB2312" w:hAnsi="仿宋_GB2312" w:eastAsia="仿宋_GB2312" w:cs="仿宋_GB2312"/>
          <w:sz w:val="32"/>
          <w:szCs w:val="32"/>
        </w:rPr>
        <w:t>CD4</w:t>
      </w:r>
      <w:r>
        <w:rPr>
          <w:rFonts w:hint="eastAsia" w:ascii="仿宋_GB2312" w:hAnsi="仿宋_GB2312" w:eastAsia="仿宋_GB2312" w:cs="仿宋_GB2312"/>
          <w:sz w:val="32"/>
          <w:szCs w:val="32"/>
        </w:rPr>
        <w:t>检测工作。</w:t>
      </w:r>
    </w:p>
    <w:p>
      <w:pPr>
        <w:spacing w:line="560" w:lineRule="exact"/>
        <w:ind w:firstLine="640" w:firstLineChars="200"/>
        <w:rPr>
          <w:rFonts w:ascii="仿宋_GB2312" w:hAnsi="仿宋_GB2312" w:eastAsia="仿宋_GB2312" w:cs="仿宋_GB2312"/>
          <w:color w:val="333333"/>
          <w:sz w:val="32"/>
          <w:szCs w:val="32"/>
        </w:rPr>
      </w:pPr>
      <w:r>
        <w:rPr>
          <w:rFonts w:hint="eastAsia" w:ascii="仿宋_GB2312" w:hAnsi="仿宋_GB2312" w:eastAsia="仿宋_GB2312" w:cs="仿宋_GB2312"/>
          <w:sz w:val="32"/>
          <w:szCs w:val="32"/>
        </w:rPr>
        <w:t>加大宣传艾滋病防治知识的力度，分别于“</w:t>
      </w:r>
      <w:r>
        <w:rPr>
          <w:rFonts w:ascii="仿宋_GB2312" w:hAnsi="仿宋_GB2312" w:eastAsia="仿宋_GB2312" w:cs="仿宋_GB2312"/>
          <w:sz w:val="32"/>
          <w:szCs w:val="32"/>
        </w:rPr>
        <w:t>12.1</w:t>
      </w:r>
      <w:r>
        <w:rPr>
          <w:rFonts w:hint="eastAsia" w:ascii="仿宋_GB2312" w:hAnsi="仿宋_GB2312" w:eastAsia="仿宋_GB2312" w:cs="仿宋_GB2312"/>
          <w:sz w:val="32"/>
          <w:szCs w:val="32"/>
        </w:rPr>
        <w:t>”和</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22</w:t>
      </w:r>
      <w:r>
        <w:rPr>
          <w:rFonts w:hint="eastAsia" w:ascii="仿宋_GB2312" w:hAnsi="仿宋_GB2312" w:eastAsia="仿宋_GB2312" w:cs="仿宋_GB2312"/>
          <w:sz w:val="32"/>
          <w:szCs w:val="32"/>
        </w:rPr>
        <w:t>日开展了“红原县</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年艾滋病防治”宣传活动，</w:t>
      </w:r>
      <w:r>
        <w:rPr>
          <w:rFonts w:hint="eastAsia" w:ascii="仿宋_GB2312" w:hAnsi="仿宋_GB2312" w:eastAsia="仿宋_GB2312"/>
          <w:sz w:val="32"/>
        </w:rPr>
        <w:t>受益群众达</w:t>
      </w:r>
      <w:r>
        <w:rPr>
          <w:rFonts w:ascii="仿宋_GB2312" w:hAnsi="仿宋_GB2312" w:eastAsia="仿宋_GB2312"/>
          <w:sz w:val="32"/>
        </w:rPr>
        <w:t>22000</w:t>
      </w:r>
      <w:r>
        <w:rPr>
          <w:rFonts w:hint="eastAsia" w:ascii="仿宋_GB2312" w:hAnsi="仿宋_GB2312" w:eastAsia="仿宋_GB2312"/>
          <w:sz w:val="32"/>
        </w:rPr>
        <w:t>余人，全年共发放各种宣传资料</w:t>
      </w:r>
      <w:r>
        <w:rPr>
          <w:rFonts w:ascii="仿宋_GB2312" w:hAnsi="仿宋_GB2312" w:eastAsia="仿宋_GB2312"/>
          <w:sz w:val="32"/>
        </w:rPr>
        <w:t>10000</w:t>
      </w:r>
      <w:r>
        <w:rPr>
          <w:rFonts w:hint="eastAsia" w:ascii="仿宋_GB2312" w:hAnsi="仿宋_GB2312" w:eastAsia="仿宋_GB2312"/>
          <w:sz w:val="32"/>
        </w:rPr>
        <w:t>余份，制作横幅</w:t>
      </w:r>
      <w:r>
        <w:rPr>
          <w:rFonts w:ascii="仿宋_GB2312" w:hAnsi="仿宋_GB2312" w:eastAsia="仿宋_GB2312"/>
          <w:sz w:val="32"/>
        </w:rPr>
        <w:t>6</w:t>
      </w:r>
      <w:r>
        <w:rPr>
          <w:rFonts w:hint="eastAsia" w:ascii="仿宋_GB2312" w:hAnsi="仿宋_GB2312" w:eastAsia="仿宋_GB2312"/>
          <w:sz w:val="32"/>
        </w:rPr>
        <w:t>幅，制作传染性疾病图片</w:t>
      </w:r>
      <w:r>
        <w:rPr>
          <w:rFonts w:ascii="仿宋_GB2312" w:hAnsi="仿宋_GB2312" w:eastAsia="仿宋_GB2312"/>
          <w:sz w:val="32"/>
        </w:rPr>
        <w:t>12</w:t>
      </w:r>
      <w:r>
        <w:rPr>
          <w:rFonts w:hint="eastAsia" w:ascii="仿宋_GB2312" w:hAnsi="仿宋_GB2312" w:eastAsia="仿宋_GB2312"/>
          <w:sz w:val="32"/>
        </w:rPr>
        <w:t>幅；发放卫生纸、卫生巾各</w:t>
      </w:r>
      <w:r>
        <w:rPr>
          <w:rFonts w:ascii="仿宋_GB2312" w:hAnsi="仿宋_GB2312" w:eastAsia="仿宋_GB2312"/>
          <w:sz w:val="32"/>
        </w:rPr>
        <w:t>8000</w:t>
      </w:r>
      <w:r>
        <w:rPr>
          <w:rFonts w:hint="eastAsia" w:ascii="仿宋_GB2312" w:hAnsi="仿宋_GB2312" w:eastAsia="仿宋_GB2312"/>
          <w:sz w:val="32"/>
        </w:rPr>
        <w:t>余份；发放避孕套</w:t>
      </w:r>
      <w:r>
        <w:rPr>
          <w:rFonts w:ascii="仿宋_GB2312" w:hAnsi="仿宋_GB2312" w:eastAsia="仿宋_GB2312"/>
          <w:sz w:val="32"/>
        </w:rPr>
        <w:t>10000</w:t>
      </w:r>
      <w:r>
        <w:rPr>
          <w:rFonts w:hint="eastAsia" w:ascii="仿宋_GB2312" w:hAnsi="仿宋_GB2312" w:eastAsia="仿宋_GB2312"/>
          <w:sz w:val="32"/>
        </w:rPr>
        <w:t>余盒；发放宣传挂历</w:t>
      </w:r>
      <w:r>
        <w:rPr>
          <w:rFonts w:ascii="仿宋_GB2312" w:hAnsi="仿宋_GB2312" w:eastAsia="仿宋_GB2312"/>
          <w:sz w:val="32"/>
        </w:rPr>
        <w:t>2000</w:t>
      </w:r>
      <w:r>
        <w:rPr>
          <w:rFonts w:hint="eastAsia" w:ascii="仿宋_GB2312" w:hAnsi="仿宋_GB2312" w:eastAsia="仿宋_GB2312"/>
          <w:sz w:val="32"/>
        </w:rPr>
        <w:t>个。</w:t>
      </w:r>
      <w:r>
        <w:rPr>
          <w:rFonts w:hint="eastAsia" w:ascii="仿宋_GB2312" w:hAnsi="仿宋_GB2312" w:eastAsia="仿宋_GB2312" w:cs="仿宋_GB2312"/>
          <w:color w:val="333333"/>
          <w:sz w:val="32"/>
          <w:szCs w:val="32"/>
        </w:rPr>
        <w:t>增强了辖区内农牧民群众艾滋病防治知识知晓率，提高了自我防护意识，同时，让参与的群众了解了艾滋病的传播方式及预防措施，消除了对艾滋病的恐慌，对居民身体健康起到了积极推动作用。</w:t>
      </w:r>
    </w:p>
    <w:p>
      <w:pPr>
        <w:tabs>
          <w:tab w:val="left" w:pos="2250"/>
        </w:tabs>
        <w:spacing w:line="560" w:lineRule="exact"/>
        <w:ind w:firstLine="630" w:firstLineChars="196"/>
        <w:rPr>
          <w:rFonts w:ascii="仿宋_GB2312" w:hAnsi="楷体" w:eastAsia="仿宋_GB2312"/>
          <w:b/>
          <w:color w:val="000000"/>
          <w:sz w:val="32"/>
          <w:szCs w:val="32"/>
        </w:rPr>
      </w:pPr>
      <w:r>
        <w:rPr>
          <w:rFonts w:hint="eastAsia" w:ascii="仿宋_GB2312" w:hAnsi="楷体" w:eastAsia="仿宋_GB2312"/>
          <w:b/>
          <w:color w:val="000000"/>
          <w:sz w:val="32"/>
          <w:szCs w:val="32"/>
        </w:rPr>
        <w:t>（</w:t>
      </w:r>
      <w:r>
        <w:rPr>
          <w:rFonts w:ascii="仿宋_GB2312" w:hAnsi="楷体" w:eastAsia="仿宋_GB2312"/>
          <w:b/>
          <w:color w:val="000000"/>
          <w:sz w:val="32"/>
          <w:szCs w:val="32"/>
        </w:rPr>
        <w:t>2</w:t>
      </w:r>
      <w:r>
        <w:rPr>
          <w:rFonts w:hint="eastAsia" w:ascii="仿宋_GB2312" w:hAnsi="楷体" w:eastAsia="仿宋_GB2312"/>
          <w:b/>
          <w:color w:val="000000"/>
          <w:sz w:val="32"/>
          <w:szCs w:val="32"/>
        </w:rPr>
        <w:t>）结核病防治工作不断加强</w:t>
      </w:r>
    </w:p>
    <w:p>
      <w:pPr>
        <w:spacing w:line="560" w:lineRule="exact"/>
        <w:ind w:firstLine="640" w:firstLineChars="200"/>
        <w:rPr>
          <w:rFonts w:ascii="仿宋_GB2312" w:hAnsi="仿宋_GB2312" w:eastAsia="仿宋_GB2312" w:cs="仿宋_GB2312"/>
          <w:sz w:val="32"/>
          <w:szCs w:val="32"/>
        </w:rPr>
      </w:pPr>
      <w:r>
        <w:rPr>
          <w:rFonts w:ascii="仿宋" w:hAnsi="仿宋" w:eastAsia="仿宋"/>
          <w:sz w:val="32"/>
          <w:szCs w:val="32"/>
        </w:rPr>
        <w:t xml:space="preserve"> 1-10</w:t>
      </w:r>
      <w:r>
        <w:rPr>
          <w:rFonts w:hint="eastAsia" w:ascii="仿宋" w:hAnsi="仿宋" w:eastAsia="仿宋"/>
          <w:sz w:val="32"/>
          <w:szCs w:val="32"/>
        </w:rPr>
        <w:t>月份</w:t>
      </w:r>
      <w:r>
        <w:rPr>
          <w:rFonts w:hint="eastAsia" w:ascii="仿宋_GB2312" w:hAnsi="仿宋_GB2312" w:eastAsia="仿宋_GB2312" w:cs="仿宋_GB2312"/>
          <w:sz w:val="32"/>
          <w:szCs w:val="32"/>
        </w:rPr>
        <w:t>共确诊活动性肺结核患者</w:t>
      </w:r>
      <w:r>
        <w:rPr>
          <w:rFonts w:ascii="仿宋_GB2312" w:hAnsi="仿宋_GB2312" w:eastAsia="仿宋_GB2312" w:cs="仿宋_GB2312"/>
          <w:sz w:val="32"/>
          <w:szCs w:val="32"/>
        </w:rPr>
        <w:t>69</w:t>
      </w:r>
      <w:r>
        <w:rPr>
          <w:rFonts w:hint="eastAsia" w:ascii="仿宋_GB2312" w:hAnsi="仿宋_GB2312" w:eastAsia="仿宋_GB2312" w:cs="仿宋_GB2312"/>
          <w:sz w:val="32"/>
          <w:szCs w:val="32"/>
        </w:rPr>
        <w:t>例（其中涂阳</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例，涂阴</w:t>
      </w:r>
      <w:r>
        <w:rPr>
          <w:rFonts w:ascii="仿宋_GB2312" w:hAnsi="仿宋_GB2312" w:eastAsia="仿宋_GB2312" w:cs="仿宋_GB2312"/>
          <w:sz w:val="32"/>
          <w:szCs w:val="32"/>
        </w:rPr>
        <w:t>34</w:t>
      </w:r>
      <w:r>
        <w:rPr>
          <w:rFonts w:hint="eastAsia" w:ascii="仿宋_GB2312" w:hAnsi="仿宋_GB2312" w:eastAsia="仿宋_GB2312" w:cs="仿宋_GB2312"/>
          <w:sz w:val="32"/>
          <w:szCs w:val="32"/>
        </w:rPr>
        <w:t>例，未查痰</w:t>
      </w:r>
      <w:r>
        <w:rPr>
          <w:rFonts w:ascii="仿宋_GB2312" w:hAnsi="仿宋_GB2312" w:eastAsia="仿宋_GB2312" w:cs="仿宋_GB2312"/>
          <w:sz w:val="32"/>
          <w:szCs w:val="32"/>
        </w:rPr>
        <w:t>19</w:t>
      </w:r>
      <w:r>
        <w:rPr>
          <w:rFonts w:hint="eastAsia" w:ascii="仿宋_GB2312" w:hAnsi="仿宋_GB2312" w:eastAsia="仿宋_GB2312" w:cs="仿宋_GB2312"/>
          <w:sz w:val="32"/>
          <w:szCs w:val="32"/>
        </w:rPr>
        <w:t>例</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结核性胸膜炎</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例），完成年度活动性肺结核患者发现任务数的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rPr>
        <w:t>为初诊可疑患者提供痰涂片检查</w:t>
      </w:r>
      <w:r>
        <w:rPr>
          <w:rFonts w:ascii="仿宋_GB2312" w:hAnsi="仿宋_GB2312" w:eastAsia="仿宋_GB2312" w:cs="仿宋_GB2312"/>
          <w:sz w:val="32"/>
        </w:rPr>
        <w:t>72</w:t>
      </w:r>
      <w:r>
        <w:rPr>
          <w:rFonts w:hint="eastAsia" w:ascii="仿宋_GB2312" w:hAnsi="仿宋_GB2312" w:eastAsia="仿宋_GB2312" w:cs="仿宋_GB2312"/>
          <w:sz w:val="32"/>
        </w:rPr>
        <w:t>人，初诊可疑者查痰率为</w:t>
      </w:r>
      <w:r>
        <w:rPr>
          <w:rFonts w:ascii="仿宋_GB2312" w:hAnsi="仿宋_GB2312" w:eastAsia="仿宋_GB2312" w:cs="仿宋_GB2312"/>
          <w:sz w:val="32"/>
        </w:rPr>
        <w:t>100%;</w:t>
      </w:r>
      <w:r>
        <w:rPr>
          <w:rFonts w:hint="eastAsia" w:ascii="仿宋_GB2312" w:hAnsi="仿宋_GB2312" w:eastAsia="仿宋_GB2312" w:cs="仿宋_GB2312"/>
          <w:sz w:val="32"/>
        </w:rPr>
        <w:t>登记涂阳患者密切接触者</w:t>
      </w:r>
      <w:r>
        <w:rPr>
          <w:rFonts w:ascii="仿宋_GB2312" w:hAnsi="仿宋_GB2312" w:eastAsia="仿宋_GB2312" w:cs="仿宋_GB2312"/>
          <w:sz w:val="32"/>
        </w:rPr>
        <w:t>25</w:t>
      </w:r>
      <w:r>
        <w:rPr>
          <w:rFonts w:hint="eastAsia" w:ascii="仿宋_GB2312" w:hAnsi="仿宋_GB2312" w:eastAsia="仿宋_GB2312" w:cs="仿宋_GB2312"/>
          <w:sz w:val="32"/>
        </w:rPr>
        <w:t>人，筛查</w:t>
      </w:r>
      <w:r>
        <w:rPr>
          <w:rFonts w:ascii="仿宋_GB2312" w:hAnsi="仿宋_GB2312" w:eastAsia="仿宋_GB2312" w:cs="仿宋_GB2312"/>
          <w:sz w:val="32"/>
        </w:rPr>
        <w:t>25</w:t>
      </w:r>
      <w:r>
        <w:rPr>
          <w:rFonts w:hint="eastAsia" w:ascii="仿宋_GB2312" w:hAnsi="仿宋_GB2312" w:eastAsia="仿宋_GB2312" w:cs="仿宋_GB2312"/>
          <w:sz w:val="32"/>
        </w:rPr>
        <w:t>人，涂阳患者密切接触者筛查率为</w:t>
      </w:r>
      <w:r>
        <w:rPr>
          <w:rFonts w:ascii="仿宋_GB2312" w:hAnsi="仿宋_GB2312" w:eastAsia="仿宋_GB2312" w:cs="仿宋_GB2312"/>
          <w:sz w:val="32"/>
        </w:rPr>
        <w:t>100%;</w:t>
      </w:r>
      <w:r>
        <w:rPr>
          <w:rFonts w:hint="eastAsia" w:ascii="仿宋_GB2312" w:hAnsi="仿宋_GB2312" w:eastAsia="仿宋_GB2312" w:cs="仿宋_GB2312"/>
          <w:sz w:val="32"/>
          <w:szCs w:val="32"/>
        </w:rPr>
        <w:t>剔除重报后，</w:t>
      </w:r>
      <w:r>
        <w:rPr>
          <w:rFonts w:ascii="仿宋_GB2312" w:hAnsi="仿宋_GB2312" w:eastAsia="仿宋_GB2312" w:cs="仿宋_GB2312"/>
          <w:sz w:val="32"/>
          <w:szCs w:val="32"/>
        </w:rPr>
        <w:t>1-10</w:t>
      </w:r>
      <w:r>
        <w:rPr>
          <w:rFonts w:hint="eastAsia" w:ascii="仿宋_GB2312" w:hAnsi="仿宋_GB2312" w:eastAsia="仿宋_GB2312" w:cs="仿宋_GB2312"/>
          <w:sz w:val="32"/>
          <w:szCs w:val="32"/>
        </w:rPr>
        <w:t>月份大疫情共网络报告现住址为红原县疑似肺结核患者</w:t>
      </w:r>
      <w:r>
        <w:rPr>
          <w:rFonts w:ascii="仿宋_GB2312" w:hAnsi="仿宋_GB2312" w:eastAsia="仿宋_GB2312" w:cs="仿宋_GB2312"/>
          <w:sz w:val="32"/>
          <w:szCs w:val="32"/>
        </w:rPr>
        <w:t>240</w:t>
      </w:r>
      <w:r>
        <w:rPr>
          <w:rFonts w:hint="eastAsia" w:ascii="仿宋_GB2312" w:hAnsi="仿宋_GB2312" w:eastAsia="仿宋_GB2312" w:cs="仿宋_GB2312"/>
          <w:sz w:val="32"/>
          <w:szCs w:val="32"/>
        </w:rPr>
        <w:t>例，其中删除重卡</w:t>
      </w:r>
      <w:r>
        <w:rPr>
          <w:rFonts w:ascii="仿宋_GB2312" w:hAnsi="仿宋_GB2312" w:eastAsia="仿宋_GB2312" w:cs="仿宋_GB2312"/>
          <w:sz w:val="32"/>
          <w:szCs w:val="32"/>
        </w:rPr>
        <w:t>67</w:t>
      </w:r>
      <w:r>
        <w:rPr>
          <w:rFonts w:hint="eastAsia" w:ascii="仿宋_GB2312" w:hAnsi="仿宋_GB2312" w:eastAsia="仿宋_GB2312" w:cs="仿宋_GB2312"/>
          <w:sz w:val="32"/>
          <w:szCs w:val="32"/>
        </w:rPr>
        <w:t>例，通过转诊和追踪等方式到位</w:t>
      </w:r>
      <w:r>
        <w:rPr>
          <w:rFonts w:ascii="仿宋_GB2312" w:hAnsi="仿宋_GB2312" w:eastAsia="仿宋_GB2312" w:cs="仿宋_GB2312"/>
          <w:sz w:val="32"/>
          <w:szCs w:val="32"/>
        </w:rPr>
        <w:t>172</w:t>
      </w:r>
      <w:r>
        <w:rPr>
          <w:rFonts w:hint="eastAsia" w:ascii="仿宋_GB2312" w:hAnsi="仿宋_GB2312" w:eastAsia="仿宋_GB2312" w:cs="仿宋_GB2312"/>
          <w:sz w:val="32"/>
          <w:szCs w:val="32"/>
        </w:rPr>
        <w:t>例，追踪未到位</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例，总体到位率为</w:t>
      </w:r>
      <w:r>
        <w:rPr>
          <w:rFonts w:ascii="仿宋_GB2312" w:hAnsi="仿宋_GB2312" w:eastAsia="仿宋_GB2312" w:cs="仿宋_GB2312"/>
          <w:sz w:val="32"/>
          <w:szCs w:val="32"/>
        </w:rPr>
        <w:t>99.44%</w:t>
      </w:r>
      <w:r>
        <w:rPr>
          <w:rFonts w:hint="eastAsia" w:ascii="仿宋_GB2312" w:hAnsi="仿宋_GB2312" w:eastAsia="仿宋_GB2312" w:cs="仿宋_GB2312"/>
          <w:sz w:val="32"/>
          <w:szCs w:val="32"/>
        </w:rPr>
        <w:t>；登记活动性肺结核患者病案</w:t>
      </w:r>
      <w:r>
        <w:rPr>
          <w:rFonts w:ascii="仿宋_GB2312" w:hAnsi="仿宋_GB2312" w:eastAsia="仿宋_GB2312" w:cs="仿宋_GB2312"/>
          <w:sz w:val="32"/>
          <w:szCs w:val="32"/>
        </w:rPr>
        <w:t>69</w:t>
      </w:r>
      <w:r>
        <w:rPr>
          <w:rFonts w:hint="eastAsia" w:ascii="仿宋_GB2312" w:hAnsi="仿宋_GB2312" w:eastAsia="仿宋_GB2312" w:cs="仿宋_GB2312"/>
          <w:sz w:val="32"/>
          <w:szCs w:val="32"/>
        </w:rPr>
        <w:t>例，初次病案及时录入</w:t>
      </w:r>
      <w:r>
        <w:rPr>
          <w:rFonts w:ascii="仿宋_GB2312" w:hAnsi="仿宋_GB2312" w:eastAsia="仿宋_GB2312" w:cs="仿宋_GB2312"/>
          <w:sz w:val="32"/>
          <w:szCs w:val="32"/>
        </w:rPr>
        <w:t>69</w:t>
      </w:r>
      <w:r>
        <w:rPr>
          <w:rFonts w:hint="eastAsia" w:ascii="仿宋_GB2312" w:hAnsi="仿宋_GB2312" w:eastAsia="仿宋_GB2312" w:cs="仿宋_GB2312"/>
          <w:sz w:val="32"/>
          <w:szCs w:val="32"/>
        </w:rPr>
        <w:t>例，病案初次录入及时率</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；上年同期登记新涂阳肺结核患者</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例，上年登记活动性肺结核患者</w:t>
      </w:r>
      <w:r>
        <w:rPr>
          <w:rFonts w:ascii="仿宋_GB2312" w:hAnsi="仿宋_GB2312" w:eastAsia="仿宋_GB2312" w:cs="仿宋_GB2312"/>
          <w:sz w:val="32"/>
          <w:szCs w:val="32"/>
        </w:rPr>
        <w:t>88</w:t>
      </w:r>
      <w:r>
        <w:rPr>
          <w:rFonts w:hint="eastAsia" w:ascii="仿宋_GB2312" w:hAnsi="仿宋_GB2312" w:eastAsia="仿宋_GB2312" w:cs="仿宋_GB2312"/>
          <w:sz w:val="32"/>
          <w:szCs w:val="32"/>
        </w:rPr>
        <w:t>例，填报转归信</w:t>
      </w:r>
      <w:r>
        <w:rPr>
          <w:rFonts w:ascii="仿宋_GB2312" w:hAnsi="仿宋_GB2312" w:eastAsia="仿宋_GB2312" w:cs="仿宋_GB2312"/>
          <w:sz w:val="32"/>
          <w:szCs w:val="32"/>
        </w:rPr>
        <w:t>88</w:t>
      </w:r>
      <w:r>
        <w:rPr>
          <w:rFonts w:hint="eastAsia" w:ascii="仿宋_GB2312" w:hAnsi="仿宋_GB2312" w:eastAsia="仿宋_GB2312" w:cs="仿宋_GB2312"/>
          <w:sz w:val="32"/>
          <w:szCs w:val="32"/>
        </w:rPr>
        <w:t>例，病案转归信息完整率为</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w:t>
      </w:r>
    </w:p>
    <w:p>
      <w:pPr>
        <w:ind w:firstLine="643" w:firstLineChars="200"/>
        <w:rPr>
          <w:rFonts w:ascii="仿宋_GB2312" w:hAnsi="楷体" w:eastAsia="仿宋_GB2312"/>
          <w:b/>
          <w:color w:val="000000"/>
          <w:sz w:val="32"/>
          <w:szCs w:val="32"/>
        </w:rPr>
      </w:pPr>
      <w:r>
        <w:rPr>
          <w:rFonts w:hint="eastAsia" w:ascii="仿宋_GB2312" w:hAnsi="楷体" w:eastAsia="仿宋_GB2312"/>
          <w:b/>
          <w:color w:val="000000"/>
          <w:sz w:val="32"/>
          <w:szCs w:val="32"/>
        </w:rPr>
        <w:t>（</w:t>
      </w:r>
      <w:r>
        <w:rPr>
          <w:rFonts w:ascii="仿宋_GB2312" w:hAnsi="楷体" w:eastAsia="仿宋_GB2312"/>
          <w:b/>
          <w:color w:val="000000"/>
          <w:sz w:val="32"/>
          <w:szCs w:val="32"/>
        </w:rPr>
        <w:t>3</w:t>
      </w:r>
      <w:r>
        <w:rPr>
          <w:rFonts w:hint="eastAsia" w:ascii="仿宋_GB2312" w:hAnsi="楷体" w:eastAsia="仿宋_GB2312"/>
          <w:b/>
          <w:color w:val="000000"/>
          <w:sz w:val="32"/>
          <w:szCs w:val="32"/>
        </w:rPr>
        <w:t>）鼠疫防治工作能力不断提升</w:t>
      </w:r>
    </w:p>
    <w:p>
      <w:pPr>
        <w:snapToGrid w:val="0"/>
        <w:spacing w:line="360" w:lineRule="auto"/>
        <w:ind w:firstLine="640" w:firstLineChars="200"/>
        <w:rPr>
          <w:rFonts w:hint="eastAsia" w:ascii="仿宋_GB2312" w:hAnsi="????" w:eastAsia="仿宋_GB2312" w:cs="????"/>
          <w:color w:val="000000"/>
          <w:sz w:val="32"/>
          <w:szCs w:val="32"/>
        </w:rPr>
      </w:pPr>
      <w:r>
        <w:rPr>
          <w:rFonts w:hint="eastAsia" w:ascii="仿宋_GB2312" w:eastAsia="仿宋_GB2312"/>
          <w:color w:val="000000"/>
          <w:sz w:val="32"/>
          <w:szCs w:val="32"/>
        </w:rPr>
        <w:t>对我县境内旱獭猖獗的乡镇开展鼠疫监测，对</w:t>
      </w:r>
      <w:r>
        <w:rPr>
          <w:rFonts w:hint="eastAsia" w:ascii="仿宋_GB2312" w:hAnsi="????" w:eastAsia="仿宋_GB2312" w:cs="????"/>
          <w:color w:val="000000"/>
          <w:sz w:val="32"/>
          <w:szCs w:val="32"/>
        </w:rPr>
        <w:t>10</w:t>
      </w:r>
      <w:r>
        <w:rPr>
          <w:rFonts w:hint="eastAsia" w:ascii="仿宋_GB2312" w:eastAsia="仿宋_GB2312"/>
          <w:color w:val="000000"/>
          <w:sz w:val="32"/>
          <w:szCs w:val="32"/>
        </w:rPr>
        <w:t>只活体旱獭，</w:t>
      </w:r>
      <w:r>
        <w:rPr>
          <w:rFonts w:hint="eastAsia" w:ascii="仿宋_GB2312" w:hAnsi="????" w:eastAsia="仿宋_GB2312" w:cs="????"/>
          <w:color w:val="000000"/>
          <w:sz w:val="32"/>
          <w:szCs w:val="32"/>
        </w:rPr>
        <w:t>1</w:t>
      </w:r>
      <w:r>
        <w:rPr>
          <w:rFonts w:hint="eastAsia" w:ascii="仿宋_GB2312" w:eastAsia="仿宋_GB2312"/>
          <w:color w:val="000000"/>
          <w:sz w:val="32"/>
          <w:szCs w:val="32"/>
        </w:rPr>
        <w:t>只自毙旱獭开展病原学检查，采集旱獭血清</w:t>
      </w:r>
      <w:r>
        <w:rPr>
          <w:rFonts w:hint="eastAsia" w:ascii="仿宋_GB2312" w:hAnsi="????" w:eastAsia="仿宋_GB2312" w:cs="????"/>
          <w:color w:val="000000"/>
          <w:sz w:val="32"/>
          <w:szCs w:val="32"/>
        </w:rPr>
        <w:t>10</w:t>
      </w:r>
      <w:r>
        <w:rPr>
          <w:rFonts w:hint="eastAsia" w:ascii="仿宋_GB2312" w:eastAsia="仿宋_GB2312"/>
          <w:color w:val="000000"/>
          <w:sz w:val="32"/>
          <w:szCs w:val="32"/>
        </w:rPr>
        <w:t>份，采集牧犬血清</w:t>
      </w:r>
      <w:r>
        <w:rPr>
          <w:rFonts w:hint="eastAsia" w:ascii="仿宋_GB2312" w:hAnsi="????" w:eastAsia="仿宋_GB2312" w:cs="????"/>
          <w:color w:val="000000"/>
          <w:sz w:val="32"/>
          <w:szCs w:val="32"/>
        </w:rPr>
        <w:t>50</w:t>
      </w:r>
      <w:r>
        <w:rPr>
          <w:rFonts w:hint="eastAsia" w:ascii="仿宋_GB2312" w:eastAsia="仿宋_GB2312"/>
          <w:color w:val="000000"/>
          <w:sz w:val="32"/>
          <w:szCs w:val="32"/>
        </w:rPr>
        <w:t>份以上，用鼠疫间接血凝实验，对血清进行检测。结果待州疾控中心检验科反馈。</w:t>
      </w:r>
    </w:p>
    <w:p>
      <w:pPr>
        <w:snapToGrid w:val="0"/>
        <w:spacing w:line="360" w:lineRule="auto"/>
        <w:ind w:firstLine="643" w:firstLineChars="200"/>
        <w:rPr>
          <w:rFonts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w:t>
      </w:r>
      <w:r>
        <w:rPr>
          <w:rFonts w:ascii="仿宋_GB2312" w:hAnsi="仿宋_GB2312" w:eastAsia="仿宋_GB2312" w:cs="仿宋_GB2312"/>
          <w:b/>
          <w:color w:val="000000"/>
          <w:sz w:val="32"/>
          <w:szCs w:val="32"/>
        </w:rPr>
        <w:t>4</w:t>
      </w:r>
      <w:r>
        <w:rPr>
          <w:rFonts w:hint="eastAsia" w:ascii="仿宋_GB2312" w:hAnsi="仿宋_GB2312" w:eastAsia="仿宋_GB2312" w:cs="仿宋_GB2312"/>
          <w:b/>
          <w:color w:val="000000"/>
          <w:sz w:val="32"/>
          <w:szCs w:val="32"/>
        </w:rPr>
        <w:t>）做好慢病管理、健康教育、宣传、肿瘤登记及死因监测工作。</w:t>
      </w:r>
    </w:p>
    <w:p>
      <w:pPr>
        <w:spacing w:line="560" w:lineRule="exact"/>
        <w:ind w:firstLine="643" w:firstLineChars="200"/>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（5）碘缺乏病防治工作</w:t>
      </w:r>
    </w:p>
    <w:p>
      <w:pPr>
        <w:spacing w:line="560" w:lineRule="exact"/>
        <w:ind w:firstLine="800" w:firstLineChars="25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）碘缺乏病宣传日活动：</w:t>
      </w:r>
    </w:p>
    <w:p>
      <w:pPr>
        <w:pStyle w:val="31"/>
        <w:spacing w:before="45" w:beforeAutospacing="0" w:after="0" w:afterAutospacing="0" w:line="480" w:lineRule="atLeast"/>
        <w:ind w:firstLine="800" w:firstLineChars="250"/>
        <w:rPr>
          <w:rFonts w:ascii="仿宋_GB2312" w:hAnsi="仿宋_GB2312" w:eastAsia="仿宋_GB2312" w:cs="仿宋_GB2312"/>
          <w:sz w:val="32"/>
          <w:szCs w:val="32"/>
        </w:rPr>
      </w:pPr>
      <w:r>
        <w:rPr>
          <w:rFonts w:ascii="仿宋_GB2312" w:hAnsi="仿宋_GB2312" w:eastAsia="仿宋_GB2312" w:cs="仿宋_GB2312"/>
          <w:color w:val="000000"/>
          <w:sz w:val="32"/>
          <w:szCs w:val="32"/>
          <w:shd w:val="clear" w:color="auto" w:fill="FFFFFF"/>
        </w:rPr>
        <w:t>2</w:t>
      </w:r>
      <w:r>
        <w:rPr>
          <w:rFonts w:hint="eastAsia" w:ascii="仿宋_GB2312" w:hAnsi="仿宋_GB2312" w:eastAsia="仿宋_GB2312" w:cs="仿宋_GB2312"/>
          <w:color w:val="000000"/>
          <w:sz w:val="32"/>
          <w:szCs w:val="32"/>
          <w:shd w:val="clear" w:color="auto" w:fill="FFFFFF"/>
        </w:rPr>
        <w:t>）碘缺乏病监测：</w:t>
      </w:r>
      <w:r>
        <w:rPr>
          <w:rFonts w:hint="eastAsia" w:ascii="仿宋_GB2312" w:hAnsi="仿宋_GB2312" w:eastAsia="仿宋_GB2312" w:cs="仿宋_GB2312"/>
          <w:sz w:val="32"/>
          <w:szCs w:val="32"/>
        </w:rPr>
        <w:t>根据我县实际情况按照方案要求选取查尔玛乡、刷经寺镇、阿木乡、麦洼乡、邛溪镇，共</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个监测点开展碘盐监测，检测</w:t>
      </w:r>
      <w:r>
        <w:rPr>
          <w:rFonts w:ascii="仿宋_GB2312" w:hAnsi="仿宋_GB2312" w:eastAsia="仿宋_GB2312" w:cs="仿宋_GB2312"/>
          <w:sz w:val="32"/>
          <w:szCs w:val="32"/>
        </w:rPr>
        <w:t>8-10</w:t>
      </w:r>
      <w:r>
        <w:rPr>
          <w:rFonts w:hint="eastAsia" w:ascii="仿宋_GB2312" w:hAnsi="仿宋_GB2312" w:eastAsia="仿宋_GB2312" w:cs="仿宋_GB2312"/>
          <w:sz w:val="32"/>
          <w:szCs w:val="32"/>
        </w:rPr>
        <w:t>岁儿童尿碘</w:t>
      </w:r>
      <w:r>
        <w:rPr>
          <w:rFonts w:ascii="仿宋_GB2312" w:hAnsi="仿宋_GB2312" w:eastAsia="仿宋_GB2312" w:cs="仿宋_GB2312"/>
          <w:sz w:val="32"/>
          <w:szCs w:val="32"/>
        </w:rPr>
        <w:t>200</w:t>
      </w:r>
      <w:r>
        <w:rPr>
          <w:rFonts w:hint="eastAsia" w:ascii="仿宋_GB2312" w:hAnsi="仿宋_GB2312" w:eastAsia="仿宋_GB2312" w:cs="仿宋_GB2312"/>
          <w:sz w:val="32"/>
          <w:szCs w:val="32"/>
        </w:rPr>
        <w:t>份、尿碘中位数</w:t>
      </w:r>
      <w:r>
        <w:rPr>
          <w:rFonts w:ascii="仿宋_GB2312" w:hAnsi="仿宋_GB2312" w:eastAsia="仿宋_GB2312" w:cs="仿宋_GB2312"/>
          <w:sz w:val="32"/>
          <w:szCs w:val="32"/>
        </w:rPr>
        <w:t>215.5ug/L</w:t>
      </w:r>
      <w:r>
        <w:rPr>
          <w:rFonts w:hint="eastAsia" w:ascii="仿宋_GB2312" w:hAnsi="仿宋_GB2312" w:eastAsia="仿宋_GB2312" w:cs="仿宋_GB2312"/>
          <w:sz w:val="32"/>
          <w:szCs w:val="32"/>
        </w:rPr>
        <w:t>，碘营养充足</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检测孕妇尿碘</w:t>
      </w:r>
      <w:r>
        <w:rPr>
          <w:rFonts w:ascii="仿宋_GB2312" w:hAnsi="仿宋_GB2312" w:eastAsia="仿宋_GB2312" w:cs="仿宋_GB2312"/>
          <w:sz w:val="32"/>
          <w:szCs w:val="32"/>
        </w:rPr>
        <w:t>99</w:t>
      </w:r>
      <w:r>
        <w:rPr>
          <w:rFonts w:hint="eastAsia" w:ascii="仿宋_GB2312" w:hAnsi="仿宋_GB2312" w:eastAsia="仿宋_GB2312" w:cs="仿宋_GB2312"/>
          <w:sz w:val="32"/>
          <w:szCs w:val="32"/>
        </w:rPr>
        <w:t>份，尿碘中位数</w:t>
      </w:r>
      <w:r>
        <w:rPr>
          <w:rFonts w:ascii="仿宋_GB2312" w:hAnsi="仿宋_GB2312" w:eastAsia="仿宋_GB2312" w:cs="仿宋_GB2312"/>
          <w:sz w:val="32"/>
          <w:szCs w:val="32"/>
        </w:rPr>
        <w:t>221ug/L</w:t>
      </w:r>
      <w:r>
        <w:rPr>
          <w:rFonts w:hint="eastAsia" w:ascii="仿宋_GB2312" w:hAnsi="仿宋_GB2312" w:eastAsia="仿宋_GB2312" w:cs="仿宋_GB2312"/>
          <w:sz w:val="32"/>
          <w:szCs w:val="32"/>
        </w:rPr>
        <w:t>，碘营养适宜。检测孕妇盐碘</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份、合格碘盐</w:t>
      </w:r>
      <w:r>
        <w:rPr>
          <w:rFonts w:ascii="仿宋_GB2312" w:hAnsi="仿宋_GB2312" w:eastAsia="仿宋_GB2312" w:cs="仿宋_GB2312"/>
          <w:sz w:val="32"/>
          <w:szCs w:val="32"/>
        </w:rPr>
        <w:t>99</w:t>
      </w:r>
      <w:r>
        <w:rPr>
          <w:rFonts w:hint="eastAsia" w:ascii="仿宋_GB2312" w:hAnsi="仿宋_GB2312" w:eastAsia="仿宋_GB2312" w:cs="仿宋_GB2312"/>
          <w:sz w:val="32"/>
          <w:szCs w:val="32"/>
        </w:rPr>
        <w:t>份，不合格碘盐</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份，碘盐覆盖率</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，合格碘盐食用率</w:t>
      </w:r>
      <w:r>
        <w:rPr>
          <w:rFonts w:ascii="仿宋_GB2312" w:hAnsi="仿宋_GB2312" w:eastAsia="仿宋_GB2312" w:cs="仿宋_GB2312"/>
          <w:sz w:val="32"/>
          <w:szCs w:val="32"/>
        </w:rPr>
        <w:t>99%</w:t>
      </w:r>
      <w:r>
        <w:rPr>
          <w:rFonts w:hint="eastAsia" w:ascii="仿宋_GB2312" w:hAnsi="仿宋_GB2312" w:eastAsia="仿宋_GB2312" w:cs="仿宋_GB2312"/>
          <w:sz w:val="32"/>
          <w:szCs w:val="32"/>
        </w:rPr>
        <w:t>，检测儿童盐碘</w:t>
      </w:r>
      <w:r>
        <w:rPr>
          <w:rFonts w:ascii="仿宋_GB2312" w:hAnsi="仿宋_GB2312" w:eastAsia="仿宋_GB2312" w:cs="仿宋_GB2312"/>
          <w:sz w:val="32"/>
          <w:szCs w:val="32"/>
        </w:rPr>
        <w:t>200</w:t>
      </w:r>
      <w:r>
        <w:rPr>
          <w:rFonts w:hint="eastAsia" w:ascii="仿宋_GB2312" w:hAnsi="仿宋_GB2312" w:eastAsia="仿宋_GB2312" w:cs="仿宋_GB2312"/>
          <w:sz w:val="32"/>
          <w:szCs w:val="32"/>
        </w:rPr>
        <w:t>份，均为合格碘盐，碘盐覆盖率</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，合格碘盐食用率</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w:t>
      </w:r>
    </w:p>
    <w:p>
      <w:pPr>
        <w:spacing w:line="560" w:lineRule="exact"/>
        <w:ind w:firstLine="630" w:firstLineChars="196"/>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（6）包虫病防治项目工作</w:t>
      </w:r>
    </w:p>
    <w:p>
      <w:pPr>
        <w:spacing w:line="560" w:lineRule="atLeast"/>
        <w:ind w:firstLine="640" w:firstLineChars="200"/>
        <w:rPr>
          <w:rFonts w:hint="eastAsia" w:ascii="仿宋_GB2312" w:hAnsi="仿宋" w:eastAsia="仿宋_GB2312"/>
          <w:sz w:val="32"/>
          <w:szCs w:val="32"/>
        </w:rPr>
      </w:pPr>
      <w:r>
        <w:rPr>
          <w:rFonts w:hint="eastAsia" w:ascii="仿宋_GB2312" w:eastAsia="仿宋_GB2312"/>
          <w:sz w:val="32"/>
          <w:szCs w:val="32"/>
        </w:rPr>
        <w:t>按照包虫病防治工作要求完成</w:t>
      </w:r>
      <w:r>
        <w:rPr>
          <w:rFonts w:hint="eastAsia" w:ascii="仿宋_GB2312" w:hAnsi="????" w:eastAsia="仿宋_GB2312" w:cs="????"/>
          <w:sz w:val="32"/>
          <w:szCs w:val="32"/>
        </w:rPr>
        <w:t>2018</w:t>
      </w:r>
      <w:r>
        <w:rPr>
          <w:rFonts w:hint="eastAsia" w:ascii="仿宋_GB2312" w:eastAsia="仿宋_GB2312"/>
          <w:sz w:val="32"/>
          <w:szCs w:val="32"/>
        </w:rPr>
        <w:t>年包虫病筛查任务</w:t>
      </w:r>
      <w:r>
        <w:rPr>
          <w:rFonts w:hint="eastAsia" w:ascii="仿宋_GB2312" w:hAnsi="????" w:eastAsia="仿宋_GB2312" w:cs="????"/>
          <w:sz w:val="32"/>
          <w:szCs w:val="32"/>
        </w:rPr>
        <w:t>17739</w:t>
      </w:r>
      <w:r>
        <w:rPr>
          <w:rFonts w:hint="eastAsia" w:ascii="仿宋_GB2312" w:eastAsia="仿宋_GB2312"/>
          <w:sz w:val="32"/>
          <w:szCs w:val="32"/>
        </w:rPr>
        <w:t>人，筛查率达</w:t>
      </w:r>
      <w:r>
        <w:rPr>
          <w:rFonts w:hint="eastAsia" w:ascii="仿宋_GB2312" w:hAnsi="????" w:eastAsia="仿宋_GB2312" w:cs="????"/>
          <w:sz w:val="32"/>
          <w:szCs w:val="32"/>
        </w:rPr>
        <w:t>92.54%</w:t>
      </w:r>
      <w:r>
        <w:rPr>
          <w:rFonts w:hint="eastAsia" w:ascii="仿宋_GB2312" w:eastAsia="仿宋_GB2312"/>
          <w:sz w:val="32"/>
          <w:szCs w:val="32"/>
        </w:rPr>
        <w:t>，筛查出疑似病例</w:t>
      </w:r>
      <w:r>
        <w:rPr>
          <w:rFonts w:hint="eastAsia" w:ascii="仿宋_GB2312" w:hAnsi="????" w:eastAsia="仿宋_GB2312" w:cs="????"/>
          <w:sz w:val="32"/>
          <w:szCs w:val="32"/>
        </w:rPr>
        <w:t>18</w:t>
      </w:r>
      <w:r>
        <w:rPr>
          <w:rFonts w:hint="eastAsia" w:ascii="仿宋_GB2312" w:eastAsia="仿宋_GB2312"/>
          <w:sz w:val="32"/>
          <w:szCs w:val="32"/>
        </w:rPr>
        <w:t>例，采集血清进一步做实验室检查，结果待县疾控中心检验科反馈。确诊病例</w:t>
      </w:r>
      <w:r>
        <w:rPr>
          <w:rFonts w:hint="eastAsia" w:ascii="仿宋_GB2312" w:hAnsi="????" w:eastAsia="仿宋_GB2312" w:cs="????"/>
          <w:sz w:val="32"/>
          <w:szCs w:val="32"/>
        </w:rPr>
        <w:t>1</w:t>
      </w:r>
      <w:r>
        <w:rPr>
          <w:rFonts w:hint="eastAsia" w:ascii="仿宋_GB2312" w:eastAsia="仿宋_GB2312"/>
          <w:sz w:val="32"/>
          <w:szCs w:val="32"/>
        </w:rPr>
        <w:t>例。病人随访管理，规范药物管理治疗</w:t>
      </w:r>
      <w:r>
        <w:rPr>
          <w:rFonts w:hint="eastAsia" w:ascii="仿宋_GB2312" w:hAnsi="????" w:eastAsia="仿宋_GB2312" w:cs="????"/>
          <w:sz w:val="32"/>
          <w:szCs w:val="32"/>
        </w:rPr>
        <w:t>58</w:t>
      </w:r>
      <w:r>
        <w:rPr>
          <w:rFonts w:hint="eastAsia" w:ascii="仿宋_GB2312" w:eastAsia="仿宋_GB2312"/>
          <w:sz w:val="32"/>
          <w:szCs w:val="32"/>
        </w:rPr>
        <w:t>人、中断</w:t>
      </w:r>
      <w:r>
        <w:rPr>
          <w:rFonts w:hint="eastAsia" w:ascii="仿宋_GB2312" w:hAnsi="????" w:eastAsia="仿宋_GB2312" w:cs="????"/>
          <w:sz w:val="32"/>
          <w:szCs w:val="32"/>
        </w:rPr>
        <w:t>34</w:t>
      </w:r>
      <w:r>
        <w:rPr>
          <w:rFonts w:hint="eastAsia" w:ascii="仿宋_GB2312" w:eastAsia="仿宋_GB2312"/>
          <w:sz w:val="32"/>
          <w:szCs w:val="32"/>
        </w:rPr>
        <w:t>人、失访</w:t>
      </w:r>
      <w:r>
        <w:rPr>
          <w:rFonts w:hint="eastAsia" w:ascii="仿宋_GB2312" w:hAnsi="????" w:eastAsia="仿宋_GB2312" w:cs="????"/>
          <w:sz w:val="32"/>
          <w:szCs w:val="32"/>
        </w:rPr>
        <w:t>26</w:t>
      </w:r>
      <w:r>
        <w:rPr>
          <w:rFonts w:hint="eastAsia" w:ascii="仿宋_GB2312" w:eastAsia="仿宋_GB2312"/>
          <w:sz w:val="32"/>
          <w:szCs w:val="32"/>
        </w:rPr>
        <w:t>人、死亡</w:t>
      </w:r>
      <w:r>
        <w:rPr>
          <w:rFonts w:hint="eastAsia" w:ascii="仿宋_GB2312" w:hAnsi="????" w:eastAsia="仿宋_GB2312" w:cs="????"/>
          <w:sz w:val="32"/>
          <w:szCs w:val="32"/>
        </w:rPr>
        <w:t>14</w:t>
      </w:r>
      <w:r>
        <w:rPr>
          <w:rFonts w:hint="eastAsia" w:ascii="仿宋_GB2312" w:eastAsia="仿宋_GB2312"/>
          <w:sz w:val="32"/>
          <w:szCs w:val="32"/>
        </w:rPr>
        <w:t>、治愈</w:t>
      </w:r>
      <w:r>
        <w:rPr>
          <w:rFonts w:hint="eastAsia" w:ascii="仿宋_GB2312" w:hAnsi="????" w:eastAsia="仿宋_GB2312" w:cs="????"/>
          <w:sz w:val="32"/>
          <w:szCs w:val="32"/>
        </w:rPr>
        <w:t>20</w:t>
      </w:r>
      <w:r>
        <w:rPr>
          <w:rFonts w:hint="eastAsia" w:ascii="仿宋_GB2312" w:eastAsia="仿宋_GB2312"/>
          <w:sz w:val="32"/>
          <w:szCs w:val="32"/>
        </w:rPr>
        <w:t>人，手术</w:t>
      </w:r>
      <w:r>
        <w:rPr>
          <w:rFonts w:hint="eastAsia" w:ascii="仿宋_GB2312" w:hAnsi="????" w:eastAsia="仿宋_GB2312" w:cs="????"/>
          <w:sz w:val="32"/>
          <w:szCs w:val="32"/>
        </w:rPr>
        <w:t>21</w:t>
      </w:r>
      <w:r>
        <w:rPr>
          <w:rFonts w:hint="eastAsia" w:ascii="仿宋_GB2312" w:eastAsia="仿宋_GB2312"/>
          <w:sz w:val="32"/>
          <w:szCs w:val="32"/>
        </w:rPr>
        <w:t>人。采集犬粪</w:t>
      </w:r>
      <w:r>
        <w:rPr>
          <w:rFonts w:hint="eastAsia" w:ascii="仿宋_GB2312" w:hAnsi="????" w:eastAsia="仿宋_GB2312" w:cs="????"/>
          <w:sz w:val="32"/>
          <w:szCs w:val="32"/>
        </w:rPr>
        <w:t>1320</w:t>
      </w:r>
      <w:r>
        <w:rPr>
          <w:rFonts w:hint="eastAsia" w:ascii="仿宋_GB2312" w:eastAsia="仿宋_GB2312"/>
          <w:sz w:val="32"/>
          <w:szCs w:val="32"/>
        </w:rPr>
        <w:t>份，结果待县疾控中心实验室反馈，捕捉了</w:t>
      </w:r>
      <w:r>
        <w:rPr>
          <w:rFonts w:hint="eastAsia" w:ascii="仿宋_GB2312" w:hAnsi="????" w:eastAsia="仿宋_GB2312" w:cs="????"/>
          <w:sz w:val="32"/>
          <w:szCs w:val="32"/>
        </w:rPr>
        <w:t>1000</w:t>
      </w:r>
      <w:r>
        <w:rPr>
          <w:rFonts w:hint="eastAsia" w:ascii="仿宋_GB2312" w:eastAsia="仿宋_GB2312"/>
          <w:sz w:val="32"/>
          <w:szCs w:val="32"/>
        </w:rPr>
        <w:t>只小型哺乳动物，进行了进行了剖检，检查肝肺，发现</w:t>
      </w:r>
      <w:r>
        <w:rPr>
          <w:rFonts w:hint="eastAsia" w:ascii="仿宋_GB2312" w:hAnsi="????" w:eastAsia="仿宋_GB2312" w:cs="????"/>
          <w:sz w:val="32"/>
          <w:szCs w:val="32"/>
        </w:rPr>
        <w:t>28</w:t>
      </w:r>
      <w:r>
        <w:rPr>
          <w:rFonts w:hint="eastAsia" w:ascii="仿宋_GB2312" w:eastAsia="仿宋_GB2312"/>
          <w:sz w:val="32"/>
          <w:szCs w:val="32"/>
        </w:rPr>
        <w:t>例疑似病变脏器，在定点屠宰场对</w:t>
      </w:r>
      <w:r>
        <w:rPr>
          <w:rFonts w:hint="eastAsia" w:ascii="仿宋_GB2312" w:hAnsi="????" w:eastAsia="仿宋_GB2312" w:cs="????"/>
          <w:sz w:val="32"/>
          <w:szCs w:val="32"/>
        </w:rPr>
        <w:t>300</w:t>
      </w:r>
      <w:r>
        <w:rPr>
          <w:rFonts w:hint="eastAsia" w:ascii="仿宋_GB2312" w:eastAsia="仿宋_GB2312"/>
          <w:sz w:val="32"/>
          <w:szCs w:val="32"/>
        </w:rPr>
        <w:t>头牦牛进行包虫病监测，查看每叶肝、肺的表面，发现</w:t>
      </w:r>
      <w:r>
        <w:rPr>
          <w:rFonts w:hint="eastAsia" w:ascii="仿宋_GB2312" w:hAnsi="????" w:eastAsia="仿宋_GB2312" w:cs="????"/>
          <w:sz w:val="32"/>
          <w:szCs w:val="32"/>
        </w:rPr>
        <w:t>8</w:t>
      </w:r>
      <w:r>
        <w:rPr>
          <w:rFonts w:hint="eastAsia" w:ascii="仿宋_GB2312" w:eastAsia="仿宋_GB2312"/>
          <w:sz w:val="32"/>
          <w:szCs w:val="32"/>
        </w:rPr>
        <w:t>例阳性</w:t>
      </w:r>
      <w:r>
        <w:rPr>
          <w:rFonts w:hint="eastAsia" w:ascii="仿宋_GB2312" w:hAnsi="????" w:eastAsia="仿宋_GB2312" w:cs="????"/>
          <w:sz w:val="32"/>
          <w:szCs w:val="32"/>
        </w:rPr>
        <w:t>(</w:t>
      </w:r>
      <w:r>
        <w:rPr>
          <w:rFonts w:hint="eastAsia" w:ascii="仿宋_GB2312" w:eastAsia="仿宋_GB2312"/>
          <w:sz w:val="32"/>
          <w:szCs w:val="32"/>
        </w:rPr>
        <w:t>肝脏</w:t>
      </w:r>
      <w:r>
        <w:rPr>
          <w:rFonts w:hint="eastAsia" w:ascii="仿宋_GB2312" w:hAnsi="????" w:eastAsia="仿宋_GB2312" w:cs="????"/>
          <w:sz w:val="32"/>
          <w:szCs w:val="32"/>
        </w:rPr>
        <w:t>7</w:t>
      </w:r>
      <w:r>
        <w:rPr>
          <w:rFonts w:hint="eastAsia" w:ascii="仿宋_GB2312" w:eastAsia="仿宋_GB2312"/>
          <w:sz w:val="32"/>
          <w:szCs w:val="32"/>
        </w:rPr>
        <w:t>例、肺</w:t>
      </w:r>
      <w:r>
        <w:rPr>
          <w:rFonts w:hint="eastAsia" w:ascii="仿宋_GB2312" w:hAnsi="????" w:eastAsia="仿宋_GB2312" w:cs="????"/>
          <w:sz w:val="32"/>
          <w:szCs w:val="32"/>
        </w:rPr>
        <w:t>1</w:t>
      </w:r>
      <w:r>
        <w:rPr>
          <w:rFonts w:hint="eastAsia" w:ascii="仿宋_GB2312" w:eastAsia="仿宋_GB2312"/>
          <w:sz w:val="32"/>
          <w:szCs w:val="32"/>
        </w:rPr>
        <w:t>例</w:t>
      </w:r>
      <w:r>
        <w:rPr>
          <w:rFonts w:hint="eastAsia" w:ascii="仿宋_GB2312" w:hAnsi="????" w:eastAsia="仿宋_GB2312" w:cs="????"/>
          <w:sz w:val="32"/>
          <w:szCs w:val="32"/>
        </w:rPr>
        <w:t>)</w:t>
      </w:r>
      <w:r>
        <w:rPr>
          <w:rFonts w:hint="eastAsia" w:ascii="仿宋_GB2312" w:eastAsia="仿宋_GB2312"/>
          <w:sz w:val="32"/>
          <w:szCs w:val="32"/>
        </w:rPr>
        <w:t>。阳性率为</w:t>
      </w:r>
      <w:r>
        <w:rPr>
          <w:rFonts w:hint="eastAsia" w:ascii="仿宋_GB2312" w:hAnsi="????" w:eastAsia="仿宋_GB2312" w:cs="????"/>
          <w:sz w:val="32"/>
          <w:szCs w:val="32"/>
        </w:rPr>
        <w:t>2.67%</w:t>
      </w:r>
      <w:r>
        <w:rPr>
          <w:rFonts w:hint="eastAsia" w:ascii="仿宋_GB2312" w:eastAsia="仿宋_GB2312"/>
          <w:sz w:val="32"/>
          <w:szCs w:val="32"/>
        </w:rPr>
        <w:t>。包虫病防治知识</w:t>
      </w:r>
      <w:r>
        <w:rPr>
          <w:rFonts w:hint="eastAsia" w:ascii="仿宋_GB2312" w:hAnsi="仿宋" w:eastAsia="仿宋_GB2312"/>
          <w:sz w:val="32"/>
          <w:szCs w:val="32"/>
        </w:rPr>
        <w:t>覆盖目标人群12000余人次，发放藏、汉双语宣传资料和宣传册11500余份。</w:t>
      </w:r>
    </w:p>
    <w:p>
      <w:pPr>
        <w:spacing w:line="560" w:lineRule="exact"/>
        <w:ind w:firstLine="643" w:firstLineChars="200"/>
        <w:rPr>
          <w:rFonts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（7）扎实做好疾病防控工作，确保群众身体健康。</w:t>
      </w:r>
    </w:p>
    <w:p>
      <w:pPr>
        <w:ind w:firstLine="640" w:firstLineChars="200"/>
        <w:rPr>
          <w:rFonts w:ascii="仿宋_GB2312" w:eastAsia="仿宋_GB2312"/>
          <w:sz w:val="32"/>
          <w:szCs w:val="32"/>
        </w:rPr>
      </w:pPr>
      <w:r>
        <w:rPr>
          <w:rFonts w:ascii="仿宋_GB2312" w:eastAsia="仿宋_GB2312"/>
          <w:sz w:val="32"/>
          <w:szCs w:val="32"/>
        </w:rPr>
        <w:t>1-9</w:t>
      </w:r>
      <w:r>
        <w:rPr>
          <w:rFonts w:hint="eastAsia" w:ascii="仿宋_GB2312" w:eastAsia="仿宋_GB2312"/>
          <w:sz w:val="32"/>
          <w:szCs w:val="32"/>
        </w:rPr>
        <w:t>月，我县境内无甲类法定传染病发生，乙、丙类法定传染病按照现住址统计共报告</w:t>
      </w:r>
      <w:r>
        <w:rPr>
          <w:rFonts w:ascii="仿宋_GB2312" w:eastAsia="仿宋_GB2312"/>
          <w:sz w:val="32"/>
          <w:szCs w:val="32"/>
        </w:rPr>
        <w:t>11</w:t>
      </w:r>
      <w:r>
        <w:rPr>
          <w:rFonts w:hint="eastAsia" w:ascii="仿宋_GB2312" w:eastAsia="仿宋_GB2312"/>
          <w:sz w:val="32"/>
          <w:szCs w:val="32"/>
        </w:rPr>
        <w:t>种</w:t>
      </w:r>
      <w:r>
        <w:rPr>
          <w:rFonts w:ascii="仿宋_GB2312" w:eastAsia="仿宋_GB2312"/>
          <w:sz w:val="32"/>
          <w:szCs w:val="32"/>
        </w:rPr>
        <w:t>216</w:t>
      </w:r>
      <w:r>
        <w:rPr>
          <w:rFonts w:hint="eastAsia" w:ascii="仿宋_GB2312" w:eastAsia="仿宋_GB2312"/>
          <w:sz w:val="32"/>
          <w:szCs w:val="32"/>
        </w:rPr>
        <w:t>例，报告发病率为</w:t>
      </w:r>
      <w:r>
        <w:rPr>
          <w:rFonts w:ascii="仿宋_GB2312" w:eastAsia="仿宋_GB2312"/>
          <w:sz w:val="32"/>
          <w:szCs w:val="32"/>
        </w:rPr>
        <w:t>462.50/10</w:t>
      </w:r>
      <w:r>
        <w:rPr>
          <w:rFonts w:hint="eastAsia" w:ascii="仿宋_GB2312" w:eastAsia="仿宋_GB2312"/>
          <w:sz w:val="32"/>
          <w:szCs w:val="32"/>
        </w:rPr>
        <w:t>万</w:t>
      </w:r>
      <w:r>
        <w:rPr>
          <w:rFonts w:ascii="仿宋_GB2312" w:eastAsia="仿宋_GB2312"/>
          <w:sz w:val="32"/>
          <w:szCs w:val="32"/>
        </w:rPr>
        <w:t>,</w:t>
      </w:r>
      <w:r>
        <w:rPr>
          <w:rFonts w:hint="eastAsia" w:ascii="仿宋_GB2312" w:eastAsia="仿宋_GB2312"/>
          <w:sz w:val="32"/>
          <w:szCs w:val="32"/>
        </w:rPr>
        <w:t>死亡</w:t>
      </w:r>
      <w:r>
        <w:rPr>
          <w:rFonts w:ascii="仿宋_GB2312" w:eastAsia="仿宋_GB2312"/>
          <w:sz w:val="32"/>
          <w:szCs w:val="32"/>
        </w:rPr>
        <w:t>1</w:t>
      </w:r>
      <w:r>
        <w:rPr>
          <w:rFonts w:hint="eastAsia" w:ascii="仿宋_GB2312" w:eastAsia="仿宋_GB2312"/>
          <w:sz w:val="32"/>
          <w:szCs w:val="32"/>
        </w:rPr>
        <w:t>例（炭疽未分型）。乙类传染病报告</w:t>
      </w:r>
      <w:r>
        <w:rPr>
          <w:rFonts w:ascii="仿宋_GB2312" w:eastAsia="仿宋_GB2312"/>
          <w:sz w:val="32"/>
          <w:szCs w:val="32"/>
        </w:rPr>
        <w:t>7</w:t>
      </w:r>
      <w:r>
        <w:rPr>
          <w:rFonts w:hint="eastAsia" w:ascii="仿宋_GB2312" w:eastAsia="仿宋_GB2312"/>
          <w:sz w:val="32"/>
          <w:szCs w:val="32"/>
        </w:rPr>
        <w:t>种</w:t>
      </w:r>
      <w:r>
        <w:rPr>
          <w:rFonts w:ascii="仿宋_GB2312" w:eastAsia="仿宋_GB2312"/>
          <w:sz w:val="32"/>
          <w:szCs w:val="32"/>
        </w:rPr>
        <w:t>139</w:t>
      </w:r>
      <w:r>
        <w:rPr>
          <w:rFonts w:hint="eastAsia" w:ascii="仿宋_GB2312" w:eastAsia="仿宋_GB2312"/>
          <w:sz w:val="32"/>
          <w:szCs w:val="32"/>
        </w:rPr>
        <w:t>例，报告发病率为</w:t>
      </w:r>
      <w:r>
        <w:rPr>
          <w:rFonts w:ascii="仿宋_GB2312" w:eastAsia="仿宋_GB2312"/>
          <w:sz w:val="32"/>
          <w:szCs w:val="32"/>
        </w:rPr>
        <w:t>297.63/10</w:t>
      </w:r>
      <w:r>
        <w:rPr>
          <w:rFonts w:hint="eastAsia" w:ascii="仿宋_GB2312" w:eastAsia="仿宋_GB2312"/>
          <w:sz w:val="32"/>
          <w:szCs w:val="32"/>
        </w:rPr>
        <w:t>万，占报告总数的</w:t>
      </w:r>
      <w:r>
        <w:rPr>
          <w:rFonts w:ascii="仿宋_GB2312" w:eastAsia="仿宋_GB2312"/>
          <w:sz w:val="32"/>
          <w:szCs w:val="32"/>
        </w:rPr>
        <w:t>64.35%</w:t>
      </w:r>
      <w:r>
        <w:rPr>
          <w:rFonts w:hint="eastAsia" w:ascii="仿宋_GB2312" w:eastAsia="仿宋_GB2312"/>
          <w:sz w:val="32"/>
          <w:szCs w:val="32"/>
        </w:rPr>
        <w:t>。按报告数排在前五位的有：肺结核</w:t>
      </w:r>
      <w:r>
        <w:rPr>
          <w:rFonts w:ascii="仿宋_GB2312" w:eastAsia="仿宋_GB2312"/>
          <w:sz w:val="32"/>
          <w:szCs w:val="32"/>
        </w:rPr>
        <w:t>65</w:t>
      </w:r>
      <w:r>
        <w:rPr>
          <w:rFonts w:hint="eastAsia" w:ascii="仿宋_GB2312" w:eastAsia="仿宋_GB2312"/>
          <w:sz w:val="32"/>
          <w:szCs w:val="32"/>
        </w:rPr>
        <w:t>例、痢疾</w:t>
      </w:r>
      <w:r>
        <w:rPr>
          <w:rFonts w:ascii="仿宋_GB2312" w:eastAsia="仿宋_GB2312"/>
          <w:sz w:val="32"/>
          <w:szCs w:val="32"/>
        </w:rPr>
        <w:t>36</w:t>
      </w:r>
      <w:r>
        <w:rPr>
          <w:rFonts w:hint="eastAsia" w:ascii="仿宋_GB2312" w:eastAsia="仿宋_GB2312"/>
          <w:sz w:val="32"/>
          <w:szCs w:val="32"/>
        </w:rPr>
        <w:t>例、乙肝</w:t>
      </w:r>
      <w:r>
        <w:rPr>
          <w:rFonts w:ascii="仿宋_GB2312" w:eastAsia="仿宋_GB2312"/>
          <w:sz w:val="32"/>
          <w:szCs w:val="32"/>
        </w:rPr>
        <w:t>19</w:t>
      </w:r>
      <w:r>
        <w:rPr>
          <w:rFonts w:hint="eastAsia" w:ascii="仿宋_GB2312" w:eastAsia="仿宋_GB2312"/>
          <w:sz w:val="32"/>
          <w:szCs w:val="32"/>
        </w:rPr>
        <w:t>例、炭疽</w:t>
      </w:r>
      <w:r>
        <w:rPr>
          <w:rFonts w:ascii="仿宋_GB2312" w:eastAsia="仿宋_GB2312"/>
          <w:sz w:val="32"/>
          <w:szCs w:val="32"/>
        </w:rPr>
        <w:t>10</w:t>
      </w:r>
      <w:r>
        <w:rPr>
          <w:rFonts w:hint="eastAsia" w:ascii="仿宋_GB2312" w:eastAsia="仿宋_GB2312"/>
          <w:sz w:val="32"/>
          <w:szCs w:val="32"/>
        </w:rPr>
        <w:t>例、梅毒</w:t>
      </w:r>
      <w:r>
        <w:rPr>
          <w:rFonts w:ascii="仿宋_GB2312" w:eastAsia="仿宋_GB2312"/>
          <w:sz w:val="32"/>
          <w:szCs w:val="32"/>
        </w:rPr>
        <w:t>4</w:t>
      </w:r>
      <w:r>
        <w:rPr>
          <w:rFonts w:hint="eastAsia" w:ascii="仿宋_GB2312" w:eastAsia="仿宋_GB2312"/>
          <w:sz w:val="32"/>
          <w:szCs w:val="32"/>
        </w:rPr>
        <w:t>例。丙类传染病报告</w:t>
      </w:r>
      <w:r>
        <w:rPr>
          <w:rFonts w:ascii="仿宋_GB2312" w:eastAsia="仿宋_GB2312"/>
          <w:sz w:val="32"/>
          <w:szCs w:val="32"/>
        </w:rPr>
        <w:t>4</w:t>
      </w:r>
      <w:r>
        <w:rPr>
          <w:rFonts w:hint="eastAsia" w:ascii="仿宋_GB2312" w:eastAsia="仿宋_GB2312"/>
          <w:sz w:val="32"/>
          <w:szCs w:val="32"/>
        </w:rPr>
        <w:t>种</w:t>
      </w:r>
      <w:r>
        <w:rPr>
          <w:rFonts w:ascii="仿宋_GB2312" w:eastAsia="仿宋_GB2312"/>
          <w:sz w:val="32"/>
          <w:szCs w:val="32"/>
        </w:rPr>
        <w:t>77</w:t>
      </w:r>
      <w:r>
        <w:rPr>
          <w:rFonts w:hint="eastAsia" w:ascii="仿宋_GB2312" w:eastAsia="仿宋_GB2312"/>
          <w:sz w:val="32"/>
          <w:szCs w:val="32"/>
        </w:rPr>
        <w:t>例，报告发病率为</w:t>
      </w:r>
      <w:r>
        <w:rPr>
          <w:rFonts w:ascii="仿宋_GB2312" w:eastAsia="仿宋_GB2312"/>
          <w:sz w:val="32"/>
          <w:szCs w:val="32"/>
        </w:rPr>
        <w:t>164.87/10</w:t>
      </w:r>
      <w:r>
        <w:rPr>
          <w:rFonts w:hint="eastAsia" w:ascii="仿宋_GB2312" w:eastAsia="仿宋_GB2312"/>
          <w:sz w:val="32"/>
          <w:szCs w:val="32"/>
        </w:rPr>
        <w:t>万，占报告总数的</w:t>
      </w:r>
      <w:r>
        <w:rPr>
          <w:rFonts w:ascii="仿宋_GB2312" w:eastAsia="仿宋_GB2312"/>
          <w:sz w:val="32"/>
          <w:szCs w:val="32"/>
        </w:rPr>
        <w:t>35.65%</w:t>
      </w:r>
      <w:r>
        <w:rPr>
          <w:rFonts w:hint="eastAsia" w:ascii="仿宋_GB2312" w:eastAsia="仿宋_GB2312"/>
          <w:sz w:val="32"/>
          <w:szCs w:val="32"/>
        </w:rPr>
        <w:t>。报告发病率与去年同期相比有所下降。</w:t>
      </w:r>
    </w:p>
    <w:p>
      <w:pPr>
        <w:spacing w:line="560" w:lineRule="exact"/>
        <w:ind w:firstLine="640" w:firstLineChars="200"/>
        <w:textAlignment w:val="baseline"/>
        <w:rPr>
          <w:rFonts w:ascii="仿宋_GB2312" w:hAnsi="仿宋_GB2312" w:eastAsia="仿宋_GB2312" w:cs="仿宋_GB2312"/>
          <w:sz w:val="32"/>
          <w:szCs w:val="32"/>
        </w:rPr>
      </w:pPr>
      <w:r>
        <w:rPr>
          <w:rFonts w:hint="eastAsia" w:ascii="仿宋_GB2312" w:eastAsia="仿宋_GB2312"/>
          <w:sz w:val="32"/>
          <w:szCs w:val="32"/>
        </w:rPr>
        <w:t>严格按照疫情监测时间和程序开展审卡、查重和处理预警工作，发现疫情情况及时处理。</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日，红原县麦洼乡洞拉村发生疑似肠炭疽疫情，在县委县政府、州县卫计委、省州县疾控中心、县卫计部门、麦洼乡乡政府等部门的共同努力下，采取了有效控制措施，至</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28</w:t>
      </w:r>
      <w:r>
        <w:rPr>
          <w:rFonts w:hint="eastAsia" w:ascii="仿宋_GB2312" w:hAnsi="仿宋_GB2312" w:eastAsia="仿宋_GB2312" w:cs="仿宋_GB2312"/>
          <w:sz w:val="32"/>
          <w:szCs w:val="32"/>
        </w:rPr>
        <w:t>日，炭疽最长潜伏期内无新发病例，此次疫情得到有效控制。</w:t>
      </w:r>
    </w:p>
    <w:p>
      <w:pPr>
        <w:spacing w:line="560" w:lineRule="exact"/>
        <w:ind w:firstLine="630" w:firstLineChars="196"/>
        <w:rPr>
          <w:rFonts w:ascii="仿宋_GB2312" w:hAnsi="楷体" w:eastAsia="仿宋_GB2312"/>
          <w:b/>
          <w:color w:val="000000"/>
          <w:sz w:val="32"/>
          <w:szCs w:val="32"/>
        </w:rPr>
      </w:pPr>
      <w:r>
        <w:rPr>
          <w:rFonts w:hint="eastAsia" w:ascii="仿宋_GB2312" w:hAnsi="楷体" w:eastAsia="仿宋_GB2312"/>
          <w:b/>
          <w:color w:val="000000"/>
          <w:sz w:val="32"/>
          <w:szCs w:val="32"/>
        </w:rPr>
        <w:t>（8）强化免疫规划工作，提升儿童疫苗接种率。</w:t>
      </w:r>
    </w:p>
    <w:p>
      <w:pPr>
        <w:spacing w:line="560" w:lineRule="exact"/>
        <w:ind w:firstLine="643" w:firstLineChars="200"/>
        <w:rPr>
          <w:rFonts w:ascii="仿宋_GB2312" w:hAnsi="楷体" w:eastAsia="仿宋_GB2312"/>
          <w:b/>
          <w:color w:val="000000"/>
          <w:sz w:val="32"/>
          <w:szCs w:val="32"/>
        </w:rPr>
      </w:pPr>
      <w:r>
        <w:rPr>
          <w:rFonts w:hint="eastAsia" w:ascii="仿宋_GB2312" w:hAnsi="楷体" w:eastAsia="仿宋_GB2312"/>
          <w:b/>
          <w:color w:val="000000"/>
          <w:sz w:val="32"/>
          <w:szCs w:val="32"/>
        </w:rPr>
        <w:t>（9）注重检验质量，确保数据支撑。</w:t>
      </w:r>
    </w:p>
    <w:p>
      <w:pPr>
        <w:spacing w:line="560" w:lineRule="exact"/>
        <w:ind w:left="640"/>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w:t>
      </w:r>
      <w:r>
        <w:rPr>
          <w:rFonts w:ascii="仿宋_GB2312" w:hAnsi="仿宋_GB2312" w:eastAsia="仿宋_GB2312" w:cs="仿宋_GB2312"/>
          <w:b/>
          <w:color w:val="000000"/>
          <w:sz w:val="32"/>
          <w:szCs w:val="32"/>
        </w:rPr>
        <w:t>1</w:t>
      </w:r>
      <w:r>
        <w:rPr>
          <w:rFonts w:hint="eastAsia" w:ascii="仿宋_GB2312" w:hAnsi="仿宋_GB2312" w:eastAsia="仿宋_GB2312" w:cs="仿宋_GB2312"/>
          <w:b/>
          <w:color w:val="000000"/>
          <w:sz w:val="32"/>
          <w:szCs w:val="32"/>
        </w:rPr>
        <w:t>0）卫生监测工作顺利推进</w:t>
      </w:r>
    </w:p>
    <w:p>
      <w:pPr>
        <w:spacing w:line="560" w:lineRule="exact"/>
        <w:ind w:firstLine="602" w:firstLineChars="200"/>
        <w:rPr>
          <w:rFonts w:ascii="仿宋_GB2312" w:eastAsia="仿宋_GB2312"/>
          <w:b/>
          <w:bCs/>
          <w:sz w:val="30"/>
          <w:szCs w:val="30"/>
        </w:rPr>
      </w:pPr>
      <w:r>
        <w:rPr>
          <w:rFonts w:hint="eastAsia" w:ascii="仿宋_GB2312" w:eastAsia="仿宋_GB2312"/>
          <w:b/>
          <w:bCs/>
          <w:sz w:val="30"/>
          <w:szCs w:val="30"/>
        </w:rPr>
        <w:t>3.绩效目标及完成情况</w:t>
      </w:r>
    </w:p>
    <w:p>
      <w:pPr>
        <w:spacing w:line="56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（1）脱贫攻坚和基层党建工作深度融合</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一是强化组织领导，明确工作目标。疾控中心成立了以主要领导任组长</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分管领导任副组长</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各科室负责人为成员</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脱贫攻坚工作对口联系茸塔玛村建档立卡贫困户帮扶人为直接责任人的工作领导机制</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负责组织动员全社会力量积极参与，实现脱贫年度目标任务。</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县疾控中心严格按照《四川省健康扶贫专项</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年实施方案》、《四川省疾病预防控制中心关于印发四川省包虫病全人群筛查技术方案的通知》（川疾发〔</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42</w:t>
      </w:r>
      <w:r>
        <w:rPr>
          <w:rFonts w:hint="eastAsia" w:ascii="仿宋_GB2312" w:hAnsi="仿宋_GB2312" w:eastAsia="仿宋_GB2312" w:cs="仿宋_GB2312"/>
          <w:sz w:val="32"/>
          <w:szCs w:val="32"/>
        </w:rPr>
        <w:t>号）要求，结合《红原县卫生和计划生育局</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年健康扶贫专项实施方案》工作部署，从</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18</w:t>
      </w:r>
      <w:r>
        <w:rPr>
          <w:rFonts w:hint="eastAsia" w:ascii="仿宋_GB2312" w:hAnsi="仿宋_GB2312" w:eastAsia="仿宋_GB2312" w:cs="仿宋_GB2312"/>
          <w:sz w:val="32"/>
          <w:szCs w:val="32"/>
        </w:rPr>
        <w:t>日起，县疾控中心副主任温念平组织带领地防科、包虫病防治办公室工作人员在全县范围内开展了包虫病全面筛查工作，截止目前共计筛查</w:t>
      </w:r>
      <w:r>
        <w:rPr>
          <w:rFonts w:ascii="仿宋_GB2312" w:hAnsi="仿宋_GB2312" w:eastAsia="仿宋_GB2312" w:cs="仿宋_GB2312"/>
          <w:sz w:val="32"/>
          <w:szCs w:val="32"/>
        </w:rPr>
        <w:t>17739</w:t>
      </w:r>
      <w:r>
        <w:rPr>
          <w:rFonts w:hint="eastAsia" w:ascii="仿宋_GB2312" w:hAnsi="仿宋_GB2312" w:eastAsia="仿宋_GB2312" w:cs="仿宋_GB2312"/>
          <w:sz w:val="32"/>
          <w:szCs w:val="32"/>
        </w:rPr>
        <w:t>人，筛查率</w:t>
      </w:r>
      <w:r>
        <w:rPr>
          <w:rFonts w:ascii="仿宋_GB2312" w:hAnsi="仿宋_GB2312" w:eastAsia="仿宋_GB2312" w:cs="仿宋_GB2312"/>
          <w:sz w:val="32"/>
          <w:szCs w:val="32"/>
        </w:rPr>
        <w:t>92.54%</w:t>
      </w:r>
      <w:r>
        <w:rPr>
          <w:rFonts w:hint="eastAsia" w:ascii="仿宋_GB2312" w:hAnsi="仿宋_GB2312" w:eastAsia="仿宋_GB2312" w:cs="仿宋_GB2312"/>
          <w:sz w:val="32"/>
          <w:szCs w:val="32"/>
        </w:rPr>
        <w:t>，查出疑似包虫病病例</w:t>
      </w:r>
      <w:r>
        <w:rPr>
          <w:rFonts w:ascii="仿宋_GB2312" w:hAnsi="仿宋_GB2312" w:eastAsia="仿宋_GB2312" w:cs="仿宋_GB2312"/>
          <w:sz w:val="32"/>
          <w:szCs w:val="32"/>
        </w:rPr>
        <w:t>18</w:t>
      </w:r>
      <w:r>
        <w:rPr>
          <w:rFonts w:hint="eastAsia" w:ascii="仿宋_GB2312" w:hAnsi="仿宋_GB2312" w:eastAsia="仿宋_GB2312" w:cs="仿宋_GB2312"/>
          <w:sz w:val="32"/>
          <w:szCs w:val="32"/>
        </w:rPr>
        <w:t>人，确诊</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例，累计纳入规范性药物治疗</w:t>
      </w:r>
      <w:r>
        <w:rPr>
          <w:rFonts w:ascii="仿宋_GB2312" w:hAnsi="仿宋_GB2312" w:eastAsia="仿宋_GB2312" w:cs="仿宋_GB2312"/>
          <w:sz w:val="32"/>
          <w:szCs w:val="32"/>
        </w:rPr>
        <w:t>58</w:t>
      </w:r>
      <w:r>
        <w:rPr>
          <w:rFonts w:hint="eastAsia" w:ascii="仿宋_GB2312" w:hAnsi="仿宋_GB2312" w:eastAsia="仿宋_GB2312" w:cs="仿宋_GB2312"/>
          <w:sz w:val="32"/>
          <w:szCs w:val="32"/>
        </w:rPr>
        <w:t>人，中断</w:t>
      </w:r>
      <w:r>
        <w:rPr>
          <w:rFonts w:ascii="仿宋_GB2312" w:hAnsi="仿宋_GB2312" w:eastAsia="仿宋_GB2312" w:cs="仿宋_GB2312"/>
          <w:sz w:val="32"/>
          <w:szCs w:val="32"/>
        </w:rPr>
        <w:t>34</w:t>
      </w:r>
      <w:r>
        <w:rPr>
          <w:rFonts w:hint="eastAsia" w:ascii="仿宋_GB2312" w:hAnsi="仿宋_GB2312" w:eastAsia="仿宋_GB2312" w:cs="仿宋_GB2312"/>
          <w:sz w:val="32"/>
          <w:szCs w:val="32"/>
        </w:rPr>
        <w:t>人，失访</w:t>
      </w:r>
      <w:r>
        <w:rPr>
          <w:rFonts w:ascii="仿宋_GB2312" w:hAnsi="仿宋_GB2312" w:eastAsia="仿宋_GB2312" w:cs="仿宋_GB2312"/>
          <w:sz w:val="32"/>
          <w:szCs w:val="32"/>
        </w:rPr>
        <w:t>26</w:t>
      </w:r>
      <w:r>
        <w:rPr>
          <w:rFonts w:hint="eastAsia" w:ascii="仿宋_GB2312" w:hAnsi="仿宋_GB2312" w:eastAsia="仿宋_GB2312" w:cs="仿宋_GB2312"/>
          <w:sz w:val="32"/>
          <w:szCs w:val="32"/>
        </w:rPr>
        <w:t>人，死亡</w:t>
      </w:r>
      <w:r>
        <w:rPr>
          <w:rFonts w:ascii="仿宋_GB2312" w:hAnsi="仿宋_GB2312" w:eastAsia="仿宋_GB2312" w:cs="仿宋_GB2312"/>
          <w:sz w:val="32"/>
          <w:szCs w:val="32"/>
        </w:rPr>
        <w:t>14</w:t>
      </w:r>
      <w:r>
        <w:rPr>
          <w:rFonts w:hint="eastAsia" w:ascii="仿宋_GB2312" w:hAnsi="仿宋_GB2312" w:eastAsia="仿宋_GB2312" w:cs="仿宋_GB2312"/>
          <w:sz w:val="32"/>
          <w:szCs w:val="32"/>
        </w:rPr>
        <w:t>人，手术治疗</w:t>
      </w:r>
      <w:r>
        <w:rPr>
          <w:rFonts w:ascii="仿宋_GB2312" w:hAnsi="仿宋_GB2312" w:eastAsia="仿宋_GB2312" w:cs="仿宋_GB2312"/>
          <w:sz w:val="32"/>
          <w:szCs w:val="32"/>
        </w:rPr>
        <w:t>21</w:t>
      </w:r>
      <w:r>
        <w:rPr>
          <w:rFonts w:hint="eastAsia" w:ascii="仿宋_GB2312" w:hAnsi="仿宋_GB2312" w:eastAsia="仿宋_GB2312" w:cs="仿宋_GB2312"/>
          <w:sz w:val="32"/>
          <w:szCs w:val="32"/>
        </w:rPr>
        <w:t>例，治愈</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例；为减轻结核病病人医治经济负担，中心按照相关资金文件要求，共为</w:t>
      </w:r>
      <w:r>
        <w:rPr>
          <w:rFonts w:ascii="仿宋_GB2312" w:hAnsi="仿宋_GB2312" w:eastAsia="仿宋_GB2312" w:cs="仿宋_GB2312"/>
          <w:sz w:val="32"/>
          <w:szCs w:val="32"/>
        </w:rPr>
        <w:t>21</w:t>
      </w:r>
      <w:r>
        <w:rPr>
          <w:rFonts w:hint="eastAsia" w:ascii="仿宋_GB2312" w:hAnsi="仿宋_GB2312" w:eastAsia="仿宋_GB2312" w:cs="仿宋_GB2312"/>
          <w:sz w:val="32"/>
          <w:szCs w:val="32"/>
        </w:rPr>
        <w:t>名贫困结核病患者支付补助资金</w:t>
      </w:r>
      <w:r>
        <w:rPr>
          <w:rFonts w:ascii="仿宋_GB2312" w:hAnsi="仿宋_GB2312" w:eastAsia="仿宋_GB2312" w:cs="仿宋_GB2312"/>
          <w:sz w:val="32"/>
          <w:szCs w:val="32"/>
        </w:rPr>
        <w:t>16800</w:t>
      </w:r>
      <w:r>
        <w:rPr>
          <w:rFonts w:hint="eastAsia" w:ascii="仿宋_GB2312" w:hAnsi="仿宋_GB2312" w:eastAsia="仿宋_GB2312" w:cs="仿宋_GB2312"/>
          <w:sz w:val="32"/>
          <w:szCs w:val="32"/>
        </w:rPr>
        <w:t>元（</w:t>
      </w:r>
      <w:r>
        <w:rPr>
          <w:rFonts w:ascii="仿宋_GB2312" w:hAnsi="仿宋_GB2312" w:eastAsia="仿宋_GB2312" w:cs="仿宋_GB2312"/>
          <w:sz w:val="32"/>
          <w:szCs w:val="32"/>
        </w:rPr>
        <w:t>800</w:t>
      </w:r>
      <w:r>
        <w:rPr>
          <w:rFonts w:hint="eastAsia" w:ascii="仿宋_GB2312" w:hAnsi="仿宋_GB2312" w:eastAsia="仿宋_GB2312" w:cs="仿宋_GB2312"/>
          <w:sz w:val="32"/>
          <w:szCs w:val="32"/>
        </w:rPr>
        <w:t>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人），均已到账；先后共计为</w:t>
      </w:r>
      <w:r>
        <w:rPr>
          <w:rFonts w:ascii="仿宋_GB2312" w:hAnsi="仿宋_GB2312" w:eastAsia="仿宋_GB2312" w:cs="仿宋_GB2312"/>
          <w:sz w:val="32"/>
          <w:szCs w:val="32"/>
        </w:rPr>
        <w:t>27</w:t>
      </w:r>
      <w:r>
        <w:rPr>
          <w:rFonts w:hint="eastAsia" w:ascii="仿宋_GB2312" w:hAnsi="仿宋_GB2312" w:eastAsia="仿宋_GB2312" w:cs="仿宋_GB2312"/>
          <w:sz w:val="32"/>
          <w:szCs w:val="32"/>
        </w:rPr>
        <w:t>个艾滋病感染者及患者家庭送去了总价值为</w:t>
      </w:r>
      <w:r>
        <w:rPr>
          <w:rFonts w:ascii="仿宋_GB2312" w:hAnsi="仿宋_GB2312" w:eastAsia="仿宋_GB2312" w:cs="仿宋_GB2312"/>
          <w:sz w:val="32"/>
          <w:szCs w:val="32"/>
        </w:rPr>
        <w:t>22000</w:t>
      </w:r>
      <w:r>
        <w:rPr>
          <w:rFonts w:hint="eastAsia" w:ascii="仿宋_GB2312" w:hAnsi="仿宋_GB2312" w:eastAsia="仿宋_GB2312" w:cs="仿宋_GB2312"/>
          <w:sz w:val="32"/>
          <w:szCs w:val="32"/>
        </w:rPr>
        <w:t>余元的慰问品（每户大米</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袋、清油</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桶，床上用品三件套</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套、棉絮</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床、电热毯</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床），并送去了慰问金，让他们感受到了政府的温暖和关怀。</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（2）业务工作进展顺利</w:t>
      </w:r>
    </w:p>
    <w:p>
      <w:pPr>
        <w:pStyle w:val="5"/>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hAnsi="仿宋_GB2312" w:cs="仿宋_GB2312"/>
          <w:color w:val="000000"/>
          <w:sz w:val="32"/>
          <w:szCs w:val="32"/>
        </w:rPr>
        <w:t>全县的艾滋病、结核病防治工作有力推进，地方病和包虫病防治工作顺利完成，免疫规划预防接种率较往年明显提高，全县牧民群众身体素质明显提高，全县牧民群众因慢病（高血压、糖尿病、心脑血管病）死亡较往年明显下降</w:t>
      </w:r>
    </w:p>
    <w:p>
      <w:pPr>
        <w:pStyle w:val="3"/>
        <w:ind w:firstLine="640" w:firstLineChars="200"/>
        <w:rPr>
          <w:rStyle w:val="27"/>
          <w:b w:val="0"/>
          <w:bCs w:val="0"/>
        </w:rPr>
      </w:pPr>
      <w:bookmarkStart w:id="20" w:name="_Toc15396601"/>
      <w:bookmarkStart w:id="21" w:name="_Toc15377200"/>
      <w:r>
        <w:rPr>
          <w:rFonts w:hint="eastAsia" w:ascii="黑体" w:eastAsia="黑体"/>
          <w:b w:val="0"/>
          <w:color w:val="000000"/>
        </w:rPr>
        <w:t>二、</w:t>
      </w:r>
      <w:r>
        <w:rPr>
          <w:rFonts w:hint="eastAsia" w:ascii="黑体" w:hAnsi="黑体" w:eastAsia="黑体"/>
          <w:b w:val="0"/>
          <w:color w:val="000000"/>
        </w:rPr>
        <w:t>机</w:t>
      </w:r>
      <w:r>
        <w:rPr>
          <w:rStyle w:val="27"/>
          <w:rFonts w:hint="eastAsia" w:ascii="黑体" w:hAnsi="黑体" w:eastAsia="黑体"/>
          <w:b w:val="0"/>
          <w:bCs w:val="0"/>
        </w:rPr>
        <w:t>构设置</w:t>
      </w:r>
      <w:bookmarkEnd w:id="20"/>
      <w:bookmarkEnd w:id="21"/>
    </w:p>
    <w:p>
      <w:pPr>
        <w:spacing w:line="560" w:lineRule="exact"/>
        <w:ind w:firstLine="640" w:firstLineChars="200"/>
        <w:rPr>
          <w:rFonts w:ascii="仿宋_GB2312" w:hAnsi="仿宋_GB2312" w:eastAsia="仿宋_GB2312" w:cs="仿宋_GB2312"/>
          <w:sz w:val="32"/>
          <w:szCs w:val="32"/>
        </w:rPr>
      </w:pPr>
      <w:bookmarkStart w:id="22" w:name="_Toc15377204"/>
      <w:bookmarkStart w:id="23" w:name="_Toc15396602"/>
      <w:r>
        <w:rPr>
          <w:rFonts w:hint="eastAsia" w:ascii="仿宋_GB2312" w:hAnsi="仿宋_GB2312" w:eastAsia="仿宋_GB2312" w:cs="仿宋_GB2312"/>
          <w:sz w:val="32"/>
          <w:szCs w:val="32"/>
        </w:rPr>
        <w:t>我单位为独立核算全额拨款事业单位。截止2018年底我单位共有编制39个，其中公务员编制0个，行政工勤编制0个，事业编制39个，在职38人，其中参公0人，公务员0人，事业编制38人，退休11人。</w:t>
      </w:r>
    </w:p>
    <w:p>
      <w:pPr>
        <w:pStyle w:val="2"/>
        <w:ind w:right="440"/>
        <w:jc w:val="right"/>
        <w:rPr>
          <w:rStyle w:val="26"/>
          <w:rFonts w:ascii="黑体" w:hAnsi="黑体" w:eastAsia="黑体"/>
          <w:b w:val="0"/>
          <w:bCs w:val="0"/>
        </w:rPr>
      </w:pPr>
      <w:r>
        <w:rPr>
          <w:rFonts w:hint="eastAsia" w:ascii="黑体" w:hAnsi="黑体" w:eastAsia="黑体"/>
          <w:b w:val="0"/>
          <w:color w:val="000000"/>
        </w:rPr>
        <w:t>第二部分</w:t>
      </w:r>
      <w:r>
        <w:rPr>
          <w:rStyle w:val="26"/>
          <w:rFonts w:hint="eastAsia" w:ascii="黑体" w:hAnsi="黑体" w:eastAsia="黑体"/>
          <w:b w:val="0"/>
          <w:bCs w:val="0"/>
        </w:rPr>
        <w:t>2018年度部门决算情况说明</w:t>
      </w:r>
      <w:bookmarkEnd w:id="22"/>
      <w:bookmarkEnd w:id="23"/>
    </w:p>
    <w:p/>
    <w:p>
      <w:pPr>
        <w:pStyle w:val="25"/>
        <w:numPr>
          <w:ilvl w:val="0"/>
          <w:numId w:val="1"/>
        </w:numPr>
        <w:spacing w:line="600" w:lineRule="exact"/>
        <w:ind w:firstLineChars="0"/>
        <w:outlineLvl w:val="1"/>
        <w:rPr>
          <w:rStyle w:val="27"/>
          <w:rFonts w:ascii="黑体" w:hAnsi="黑体" w:eastAsia="黑体"/>
          <w:b w:val="0"/>
        </w:rPr>
      </w:pPr>
      <w:bookmarkStart w:id="24" w:name="_Toc15377205"/>
      <w:bookmarkStart w:id="25" w:name="_Toc15396603"/>
      <w:r>
        <w:rPr>
          <w:rFonts w:hint="eastAsia" w:ascii="黑体" w:hAnsi="黑体" w:eastAsia="黑体"/>
          <w:color w:val="000000"/>
          <w:sz w:val="32"/>
          <w:szCs w:val="32"/>
        </w:rPr>
        <w:t>收</w:t>
      </w:r>
      <w:r>
        <w:rPr>
          <w:rStyle w:val="27"/>
          <w:rFonts w:hint="eastAsia" w:ascii="黑体" w:hAnsi="黑体" w:eastAsia="黑体"/>
          <w:b w:val="0"/>
        </w:rPr>
        <w:t>入支出决算总体情况说明</w:t>
      </w:r>
      <w:bookmarkEnd w:id="24"/>
      <w:bookmarkEnd w:id="25"/>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2018年度收入总计1236.75万元、支出总计1092.77万元。与2017年相比，收入增加17.61万元，增长1.44</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auto"/>
          <w:sz w:val="32"/>
          <w:szCs w:val="32"/>
        </w:rPr>
        <w:t>中央，省级</w:t>
      </w:r>
      <w:r>
        <w:rPr>
          <w:rFonts w:hint="eastAsia" w:ascii="仿宋" w:hAnsi="仿宋" w:eastAsia="仿宋"/>
          <w:color w:val="auto"/>
          <w:sz w:val="32"/>
          <w:szCs w:val="32"/>
          <w:lang w:eastAsia="zh-CN"/>
        </w:rPr>
        <w:t>包虫病</w:t>
      </w:r>
      <w:r>
        <w:rPr>
          <w:rFonts w:hint="eastAsia" w:ascii="仿宋" w:hAnsi="仿宋" w:eastAsia="仿宋"/>
          <w:color w:val="auto"/>
          <w:sz w:val="32"/>
          <w:szCs w:val="32"/>
        </w:rPr>
        <w:t>项目资金增加。</w:t>
      </w:r>
      <w:r>
        <w:rPr>
          <w:rFonts w:hint="eastAsia" w:ascii="仿宋" w:hAnsi="仿宋" w:eastAsia="仿宋"/>
          <w:color w:val="000000"/>
          <w:sz w:val="32"/>
          <w:szCs w:val="32"/>
        </w:rPr>
        <w:t>支出减少137.63万元，减少11.19</w:t>
      </w:r>
      <w:r>
        <w:rPr>
          <w:rFonts w:ascii="仿宋" w:hAnsi="仿宋" w:eastAsia="仿宋"/>
          <w:color w:val="000000"/>
          <w:sz w:val="32"/>
          <w:szCs w:val="32"/>
        </w:rPr>
        <w:t>%</w:t>
      </w:r>
      <w:r>
        <w:rPr>
          <w:rFonts w:hint="eastAsia" w:ascii="仿宋" w:hAnsi="仿宋" w:eastAsia="仿宋"/>
          <w:color w:val="000000"/>
          <w:sz w:val="32"/>
          <w:szCs w:val="32"/>
        </w:rPr>
        <w:t>主要原因是项目支出减少，2017年疾控中心二级乙等达标购200万元的实验室设备。</w:t>
      </w:r>
    </w:p>
    <w:p>
      <w:pPr>
        <w:pStyle w:val="4"/>
        <w:ind w:firstLine="630" w:firstLineChars="196"/>
        <w:rPr>
          <w:rStyle w:val="27"/>
          <w:rFonts w:ascii="黑体" w:hAnsi="黑体" w:eastAsia="黑体"/>
          <w:b w:val="0"/>
          <w:bCs/>
        </w:rPr>
      </w:pPr>
      <w:r>
        <w:rPr>
          <w:lang w:bidi="bo-CN"/>
        </w:rPr>
        <w:drawing>
          <wp:anchor distT="0" distB="0" distL="114300" distR="114300" simplePos="0" relativeHeight="251660288" behindDoc="1" locked="0" layoutInCell="1" allowOverlap="1">
            <wp:simplePos x="0" y="0"/>
            <wp:positionH relativeFrom="column">
              <wp:posOffset>2593975</wp:posOffset>
            </wp:positionH>
            <wp:positionV relativeFrom="paragraph">
              <wp:posOffset>-9166225</wp:posOffset>
            </wp:positionV>
            <wp:extent cx="2740025" cy="1686560"/>
            <wp:effectExtent l="0" t="0" r="3175" b="8890"/>
            <wp:wrapTight wrapText="bothSides">
              <wp:wrapPolygon>
                <wp:start x="0" y="244"/>
                <wp:lineTo x="0" y="21470"/>
                <wp:lineTo x="21475" y="21470"/>
                <wp:lineTo x="21475" y="244"/>
                <wp:lineTo x="0" y="244"/>
              </wp:wrapPolygon>
            </wp:wrapTight>
            <wp:docPr id="1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pic:cNvPicPr>
                      <a:picLocks noChangeAspect="1"/>
                    </pic:cNvPicPr>
                  </pic:nvPicPr>
                  <pic:blipFill>
                    <a:blip r:embed="rId6"/>
                    <a:stretch>
                      <a:fillRect/>
                    </a:stretch>
                  </pic:blipFill>
                  <pic:spPr>
                    <a:xfrm>
                      <a:off x="0" y="0"/>
                      <a:ext cx="2740025" cy="1686560"/>
                    </a:xfrm>
                    <a:prstGeom prst="rect">
                      <a:avLst/>
                    </a:prstGeom>
                    <a:noFill/>
                    <a:ln>
                      <a:noFill/>
                    </a:ln>
                  </pic:spPr>
                </pic:pic>
              </a:graphicData>
            </a:graphic>
          </wp:anchor>
        </w:drawing>
      </w:r>
      <w:r>
        <w:rPr>
          <w:lang w:bidi="bo-CN"/>
        </w:rPr>
        <w:drawing>
          <wp:anchor distT="0" distB="0" distL="114300" distR="114300" simplePos="0" relativeHeight="251659264" behindDoc="1" locked="0" layoutInCell="1" allowOverlap="1">
            <wp:simplePos x="0" y="0"/>
            <wp:positionH relativeFrom="column">
              <wp:posOffset>-45085</wp:posOffset>
            </wp:positionH>
            <wp:positionV relativeFrom="paragraph">
              <wp:posOffset>-9143365</wp:posOffset>
            </wp:positionV>
            <wp:extent cx="2727960" cy="1680210"/>
            <wp:effectExtent l="0" t="0" r="15240" b="15240"/>
            <wp:wrapTight wrapText="bothSides">
              <wp:wrapPolygon>
                <wp:start x="0" y="245"/>
                <wp:lineTo x="0" y="21306"/>
                <wp:lineTo x="21419" y="21306"/>
                <wp:lineTo x="21419" y="245"/>
                <wp:lineTo x="0" y="245"/>
              </wp:wrapPolygon>
            </wp:wrapTight>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7"/>
                    <a:stretch>
                      <a:fillRect/>
                    </a:stretch>
                  </pic:blipFill>
                  <pic:spPr>
                    <a:xfrm>
                      <a:off x="0" y="0"/>
                      <a:ext cx="2727960" cy="1680210"/>
                    </a:xfrm>
                    <a:prstGeom prst="rect">
                      <a:avLst/>
                    </a:prstGeom>
                    <a:noFill/>
                    <a:ln>
                      <a:noFill/>
                    </a:ln>
                  </pic:spPr>
                </pic:pic>
              </a:graphicData>
            </a:graphic>
          </wp:anchor>
        </w:drawing>
      </w:r>
      <w:bookmarkStart w:id="26" w:name="_Toc15396604"/>
      <w:bookmarkStart w:id="27" w:name="_Toc15377206"/>
      <w:r>
        <w:rPr>
          <w:rFonts w:hint="eastAsia" w:ascii="黑体" w:hAnsi="黑体" w:eastAsia="黑体"/>
          <w:color w:val="000000"/>
        </w:rPr>
        <w:t>二、收</w:t>
      </w:r>
      <w:r>
        <w:rPr>
          <w:rStyle w:val="27"/>
          <w:rFonts w:hint="eastAsia" w:ascii="黑体" w:hAnsi="黑体" w:eastAsia="黑体"/>
          <w:b w:val="0"/>
          <w:bCs/>
        </w:rPr>
        <w:t>入决算情况说明</w:t>
      </w:r>
      <w:bookmarkEnd w:id="26"/>
      <w:bookmarkEnd w:id="27"/>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8年本年收入合计1236.75万元，其中：一般公共预算财政拨款收入1230.40万元，占99.54</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；国有资本经营预算财政拨款收入0万元，占0</w:t>
      </w:r>
      <w:r>
        <w:rPr>
          <w:rFonts w:ascii="仿宋" w:hAnsi="仿宋" w:eastAsia="仿宋"/>
          <w:color w:val="000000"/>
          <w:sz w:val="32"/>
          <w:szCs w:val="32"/>
        </w:rPr>
        <w:t>%</w:t>
      </w:r>
      <w:r>
        <w:rPr>
          <w:rFonts w:hint="eastAsia" w:ascii="仿宋" w:hAnsi="仿宋" w:eastAsia="仿宋"/>
          <w:color w:val="000000"/>
          <w:sz w:val="32"/>
          <w:szCs w:val="32"/>
        </w:rPr>
        <w:t>；事业收入0.86万元，占0.06</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；其他收入5.49万元，占0.4</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420" w:firstLineChars="200"/>
        <w:rPr>
          <w:rFonts w:ascii="仿宋_GB2312" w:eastAsia="仿宋_GB2312"/>
          <w:color w:val="FF0000"/>
          <w:sz w:val="32"/>
          <w:szCs w:val="32"/>
        </w:rPr>
      </w:pPr>
      <w:r>
        <w:rPr>
          <w:lang w:bidi="bo-CN"/>
        </w:rPr>
        <w:drawing>
          <wp:anchor distT="0" distB="0" distL="114300" distR="114300" simplePos="0" relativeHeight="251661312" behindDoc="1" locked="0" layoutInCell="1" allowOverlap="1">
            <wp:simplePos x="0" y="0"/>
            <wp:positionH relativeFrom="column">
              <wp:posOffset>-99060</wp:posOffset>
            </wp:positionH>
            <wp:positionV relativeFrom="paragraph">
              <wp:posOffset>139700</wp:posOffset>
            </wp:positionV>
            <wp:extent cx="4198620" cy="2584450"/>
            <wp:effectExtent l="0" t="0" r="11430" b="6350"/>
            <wp:wrapTight wrapText="bothSides">
              <wp:wrapPolygon>
                <wp:start x="0" y="318"/>
                <wp:lineTo x="0" y="21494"/>
                <wp:lineTo x="21463" y="21494"/>
                <wp:lineTo x="21463" y="318"/>
                <wp:lineTo x="0" y="318"/>
              </wp:wrapPolygon>
            </wp:wrapTight>
            <wp:docPr id="1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3"/>
                    <pic:cNvPicPr>
                      <a:picLocks noChangeAspect="1"/>
                    </pic:cNvPicPr>
                  </pic:nvPicPr>
                  <pic:blipFill>
                    <a:blip r:embed="rId8"/>
                    <a:stretch>
                      <a:fillRect/>
                    </a:stretch>
                  </pic:blipFill>
                  <pic:spPr>
                    <a:xfrm>
                      <a:off x="0" y="0"/>
                      <a:ext cx="4198620" cy="2584450"/>
                    </a:xfrm>
                    <a:prstGeom prst="rect">
                      <a:avLst/>
                    </a:prstGeom>
                    <a:noFill/>
                    <a:ln>
                      <a:noFill/>
                    </a:ln>
                  </pic:spPr>
                </pic:pic>
              </a:graphicData>
            </a:graphic>
          </wp:anchor>
        </w:drawing>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pStyle w:val="25"/>
        <w:spacing w:line="600" w:lineRule="exact"/>
        <w:ind w:firstLine="0" w:firstLineChars="0"/>
        <w:outlineLvl w:val="1"/>
        <w:rPr>
          <w:rFonts w:hint="eastAsia" w:ascii="黑体" w:hAnsi="黑体" w:eastAsia="黑体"/>
          <w:color w:val="000000" w:themeColor="text1"/>
          <w:sz w:val="32"/>
          <w:szCs w:val="32"/>
        </w:rPr>
      </w:pPr>
      <w:bookmarkStart w:id="28" w:name="_Toc15396605"/>
      <w:bookmarkStart w:id="29" w:name="_Toc15377207"/>
    </w:p>
    <w:p>
      <w:pPr>
        <w:pStyle w:val="25"/>
        <w:spacing w:line="600" w:lineRule="exact"/>
        <w:ind w:firstLine="640"/>
        <w:outlineLvl w:val="1"/>
        <w:rPr>
          <w:rStyle w:val="27"/>
          <w:rFonts w:ascii="黑体" w:hAnsi="黑体" w:eastAsia="黑体"/>
          <w:b w:val="0"/>
        </w:rPr>
      </w:pPr>
      <w:r>
        <w:rPr>
          <w:rFonts w:ascii="黑体" w:hAnsi="黑体" w:eastAsia="黑体"/>
          <w:color w:val="000000" w:themeColor="text1"/>
          <w:sz w:val="32"/>
          <w:szCs w:val="32"/>
        </w:rPr>
        <w:t>三</w:t>
      </w:r>
      <w:r>
        <w:rPr>
          <w:rFonts w:hint="eastAsia" w:ascii="黑体" w:hAnsi="黑体" w:eastAsia="黑体"/>
          <w:color w:val="000000" w:themeColor="text1"/>
          <w:sz w:val="32"/>
          <w:szCs w:val="32"/>
        </w:rPr>
        <w:t>、</w:t>
      </w:r>
      <w:r>
        <w:rPr>
          <w:rFonts w:hint="eastAsia" w:ascii="黑体" w:hAnsi="黑体" w:eastAsia="黑体"/>
          <w:color w:val="000000"/>
          <w:sz w:val="32"/>
          <w:szCs w:val="32"/>
        </w:rPr>
        <w:t>支</w:t>
      </w:r>
      <w:r>
        <w:rPr>
          <w:rStyle w:val="27"/>
          <w:rFonts w:hint="eastAsia" w:ascii="黑体" w:hAnsi="黑体" w:eastAsia="黑体"/>
          <w:b w:val="0"/>
        </w:rPr>
        <w:t>出决算情况说明</w:t>
      </w:r>
      <w:bookmarkEnd w:id="28"/>
      <w:bookmarkEnd w:id="29"/>
    </w:p>
    <w:p>
      <w:pPr>
        <w:spacing w:line="600" w:lineRule="exact"/>
        <w:ind w:firstLine="640"/>
        <w:rPr>
          <w:rFonts w:ascii="仿宋" w:hAnsi="仿宋" w:eastAsia="仿宋"/>
          <w:color w:val="000000"/>
          <w:sz w:val="32"/>
          <w:szCs w:val="32"/>
          <w:shd w:val="pct10" w:color="auto" w:fill="FFFFFF"/>
        </w:rPr>
      </w:pPr>
      <w:r>
        <w:rPr>
          <w:rFonts w:ascii="仿宋" w:hAnsi="仿宋" w:eastAsia="仿宋"/>
          <w:color w:val="000000"/>
          <w:sz w:val="32"/>
          <w:szCs w:val="32"/>
        </w:rPr>
        <w:t>201</w:t>
      </w:r>
      <w:r>
        <w:rPr>
          <w:rFonts w:hint="eastAsia" w:ascii="仿宋" w:hAnsi="仿宋" w:eastAsia="仿宋"/>
          <w:color w:val="000000"/>
          <w:sz w:val="32"/>
          <w:szCs w:val="32"/>
        </w:rPr>
        <w:t>8年本年支出合计1092.77万元，其中：基本支出691.46万元，占63.28</w:t>
      </w:r>
      <w:r>
        <w:rPr>
          <w:rFonts w:ascii="仿宋" w:hAnsi="仿宋" w:eastAsia="仿宋"/>
          <w:color w:val="000000"/>
          <w:sz w:val="32"/>
          <w:szCs w:val="32"/>
        </w:rPr>
        <w:t>%</w:t>
      </w:r>
      <w:r>
        <w:rPr>
          <w:rFonts w:hint="eastAsia" w:ascii="仿宋" w:hAnsi="仿宋" w:eastAsia="仿宋"/>
          <w:color w:val="000000"/>
          <w:sz w:val="32"/>
          <w:szCs w:val="32"/>
        </w:rPr>
        <w:t>；项目支出401.31万元，占36.72</w:t>
      </w:r>
      <w:r>
        <w:rPr>
          <w:rFonts w:ascii="仿宋" w:hAnsi="仿宋" w:eastAsia="仿宋"/>
          <w:color w:val="000000"/>
          <w:sz w:val="32"/>
          <w:szCs w:val="32"/>
        </w:rPr>
        <w:t>%</w:t>
      </w:r>
      <w:r>
        <w:rPr>
          <w:rFonts w:hint="eastAsia" w:ascii="仿宋" w:hAnsi="仿宋" w:eastAsia="仿宋"/>
          <w:color w:val="000000"/>
          <w:sz w:val="32"/>
          <w:szCs w:val="32"/>
        </w:rPr>
        <w:t>；上缴上级支出0万元，占0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420" w:firstLineChars="200"/>
        <w:rPr>
          <w:rFonts w:ascii="仿宋_GB2312" w:eastAsia="仿宋_GB2312"/>
          <w:color w:val="FF0000"/>
          <w:sz w:val="32"/>
          <w:szCs w:val="32"/>
        </w:rPr>
      </w:pPr>
      <w:r>
        <w:rPr>
          <w:lang w:bidi="bo-CN"/>
        </w:rPr>
        <w:drawing>
          <wp:anchor distT="0" distB="0" distL="114300" distR="114300" simplePos="0" relativeHeight="251662336" behindDoc="1" locked="0" layoutInCell="1" allowOverlap="1">
            <wp:simplePos x="0" y="0"/>
            <wp:positionH relativeFrom="column">
              <wp:posOffset>171450</wp:posOffset>
            </wp:positionH>
            <wp:positionV relativeFrom="paragraph">
              <wp:posOffset>69850</wp:posOffset>
            </wp:positionV>
            <wp:extent cx="3903980" cy="2402840"/>
            <wp:effectExtent l="0" t="0" r="0" b="0"/>
            <wp:wrapTight wrapText="bothSides">
              <wp:wrapPolygon>
                <wp:start x="0" y="342"/>
                <wp:lineTo x="0" y="21406"/>
                <wp:lineTo x="21502" y="21406"/>
                <wp:lineTo x="21502" y="342"/>
                <wp:lineTo x="0" y="342"/>
              </wp:wrapPolygon>
            </wp:wrapTight>
            <wp:docPr id="1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pic:cNvPicPr>
                      <a:picLocks noChangeAspect="1"/>
                    </pic:cNvPicPr>
                  </pic:nvPicPr>
                  <pic:blipFill>
                    <a:blip r:embed="rId9"/>
                    <a:stretch>
                      <a:fillRect/>
                    </a:stretch>
                  </pic:blipFill>
                  <pic:spPr>
                    <a:xfrm>
                      <a:off x="0" y="0"/>
                      <a:ext cx="3903980" cy="2402840"/>
                    </a:xfrm>
                    <a:prstGeom prst="rect">
                      <a:avLst/>
                    </a:prstGeom>
                    <a:noFill/>
                    <a:ln>
                      <a:noFill/>
                    </a:ln>
                  </pic:spPr>
                </pic:pic>
              </a:graphicData>
            </a:graphic>
          </wp:anchor>
        </w:drawing>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27"/>
          <w:rFonts w:ascii="黑体" w:hAnsi="黑体" w:eastAsia="黑体"/>
          <w:b w:val="0"/>
        </w:rPr>
      </w:pPr>
      <w:bookmarkStart w:id="30" w:name="_Toc15377208"/>
      <w:bookmarkStart w:id="31" w:name="_Toc15396606"/>
      <w:r>
        <w:rPr>
          <w:rFonts w:hint="eastAsia" w:ascii="黑体" w:hAnsi="黑体" w:eastAsia="黑体"/>
          <w:color w:val="000000"/>
          <w:sz w:val="32"/>
          <w:szCs w:val="32"/>
        </w:rPr>
        <w:t>四、财</w:t>
      </w:r>
      <w:r>
        <w:rPr>
          <w:rStyle w:val="27"/>
          <w:rFonts w:hint="eastAsia" w:ascii="黑体" w:hAnsi="黑体" w:eastAsia="黑体"/>
          <w:b w:val="0"/>
        </w:rPr>
        <w:t>政拨款收入支出决算总体情况说明</w:t>
      </w:r>
      <w:bookmarkEnd w:id="30"/>
      <w:bookmarkEnd w:id="31"/>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8年财政拨款收入总计为1230.4万元、支出总计1081.92万元。与</w:t>
      </w:r>
      <w:r>
        <w:rPr>
          <w:rFonts w:ascii="仿宋" w:hAnsi="仿宋" w:eastAsia="仿宋"/>
          <w:color w:val="000000"/>
          <w:sz w:val="32"/>
          <w:szCs w:val="32"/>
        </w:rPr>
        <w:t>201</w:t>
      </w:r>
      <w:r>
        <w:rPr>
          <w:rFonts w:hint="eastAsia" w:ascii="仿宋" w:hAnsi="仿宋" w:eastAsia="仿宋"/>
          <w:color w:val="000000"/>
          <w:sz w:val="32"/>
          <w:szCs w:val="32"/>
        </w:rPr>
        <w:t>7年相比，财政拨款收入增加了18.7万元、增长了1.54</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auto"/>
          <w:sz w:val="32"/>
          <w:szCs w:val="32"/>
        </w:rPr>
        <w:t>中央，省级</w:t>
      </w:r>
      <w:r>
        <w:rPr>
          <w:rFonts w:hint="eastAsia" w:ascii="仿宋" w:hAnsi="仿宋" w:eastAsia="仿宋"/>
          <w:color w:val="auto"/>
          <w:sz w:val="32"/>
          <w:szCs w:val="32"/>
          <w:lang w:eastAsia="zh-CN"/>
        </w:rPr>
        <w:t>包虫病</w:t>
      </w:r>
      <w:r>
        <w:rPr>
          <w:rFonts w:hint="eastAsia" w:ascii="仿宋" w:hAnsi="仿宋" w:eastAsia="仿宋"/>
          <w:color w:val="auto"/>
          <w:sz w:val="32"/>
          <w:szCs w:val="32"/>
        </w:rPr>
        <w:t>项目资金增加；支出减少了136.38万元，下降11.19</w:t>
      </w:r>
      <w:r>
        <w:rPr>
          <w:rFonts w:ascii="仿宋" w:hAnsi="仿宋" w:eastAsia="仿宋"/>
          <w:color w:val="auto"/>
          <w:sz w:val="32"/>
          <w:szCs w:val="32"/>
        </w:rPr>
        <w:t>%</w:t>
      </w:r>
      <w:r>
        <w:rPr>
          <w:rFonts w:hint="eastAsia" w:ascii="仿宋" w:hAnsi="仿宋" w:eastAsia="仿宋"/>
          <w:color w:val="auto"/>
          <w:sz w:val="32"/>
          <w:szCs w:val="32"/>
        </w:rPr>
        <w:t>。主要</w:t>
      </w:r>
      <w:r>
        <w:rPr>
          <w:rFonts w:hint="eastAsia" w:ascii="仿宋" w:hAnsi="仿宋" w:eastAsia="仿宋"/>
          <w:color w:val="000000"/>
          <w:sz w:val="32"/>
          <w:szCs w:val="32"/>
        </w:rPr>
        <w:t>变动原因是项目支出减少，2017年疾控中心二级乙等达标购200万元的实验室设备。</w:t>
      </w:r>
    </w:p>
    <w:p>
      <w:pPr>
        <w:spacing w:line="600" w:lineRule="exact"/>
        <w:ind w:firstLine="420" w:firstLineChars="200"/>
        <w:rPr>
          <w:rFonts w:ascii="仿宋" w:hAnsi="仿宋" w:eastAsia="仿宋"/>
          <w:color w:val="000000" w:themeColor="text1"/>
          <w:sz w:val="32"/>
          <w:szCs w:val="32"/>
        </w:rPr>
      </w:pPr>
      <w:r>
        <w:rPr>
          <w:lang w:bidi="bo-CN"/>
        </w:rPr>
        <w:drawing>
          <wp:anchor distT="0" distB="0" distL="114300" distR="114300" simplePos="0" relativeHeight="251664384" behindDoc="1" locked="0" layoutInCell="1" allowOverlap="1">
            <wp:simplePos x="0" y="0"/>
            <wp:positionH relativeFrom="column">
              <wp:posOffset>636270</wp:posOffset>
            </wp:positionH>
            <wp:positionV relativeFrom="paragraph">
              <wp:posOffset>50800</wp:posOffset>
            </wp:positionV>
            <wp:extent cx="3732530" cy="2096770"/>
            <wp:effectExtent l="0" t="0" r="20320" b="17780"/>
            <wp:wrapTight wrapText="bothSides">
              <wp:wrapPolygon>
                <wp:start x="0" y="196"/>
                <wp:lineTo x="0" y="21391"/>
                <wp:lineTo x="21497" y="21391"/>
                <wp:lineTo x="21497" y="196"/>
                <wp:lineTo x="0" y="196"/>
              </wp:wrapPolygon>
            </wp:wrapTight>
            <wp:docPr id="1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8"/>
                    <pic:cNvPicPr>
                      <a:picLocks noChangeAspect="1"/>
                    </pic:cNvPicPr>
                  </pic:nvPicPr>
                  <pic:blipFill>
                    <a:blip r:embed="rId10"/>
                    <a:stretch>
                      <a:fillRect/>
                    </a:stretch>
                  </pic:blipFill>
                  <pic:spPr>
                    <a:xfrm>
                      <a:off x="0" y="0"/>
                      <a:ext cx="3732530" cy="2096770"/>
                    </a:xfrm>
                    <a:prstGeom prst="rect">
                      <a:avLst/>
                    </a:prstGeom>
                    <a:noFill/>
                    <a:ln>
                      <a:noFill/>
                    </a:ln>
                  </pic:spPr>
                </pic:pic>
              </a:graphicData>
            </a:graphic>
          </wp:anchor>
        </w:drawing>
      </w:r>
    </w:p>
    <w:p>
      <w:pPr>
        <w:spacing w:line="600" w:lineRule="exact"/>
        <w:ind w:firstLine="640"/>
        <w:rPr>
          <w:rFonts w:ascii="仿宋" w:hAnsi="仿宋" w:eastAsia="仿宋"/>
          <w:b/>
          <w:color w:val="000000" w:themeColor="text1"/>
          <w:sz w:val="32"/>
          <w:szCs w:val="32"/>
        </w:rPr>
      </w:pPr>
    </w:p>
    <w:p>
      <w:pPr>
        <w:spacing w:line="600" w:lineRule="exact"/>
        <w:ind w:firstLine="640"/>
        <w:rPr>
          <w:rFonts w:ascii="仿宋" w:hAnsi="仿宋" w:eastAsia="仿宋"/>
          <w:b/>
          <w:color w:val="000000" w:themeColor="text1"/>
          <w:sz w:val="32"/>
          <w:szCs w:val="32"/>
        </w:rPr>
      </w:pPr>
    </w:p>
    <w:p>
      <w:pPr>
        <w:spacing w:line="600" w:lineRule="exact"/>
        <w:ind w:firstLine="640"/>
        <w:rPr>
          <w:rFonts w:ascii="仿宋" w:hAnsi="仿宋" w:eastAsia="仿宋"/>
          <w:b/>
          <w:color w:val="000000" w:themeColor="text1"/>
          <w:sz w:val="32"/>
          <w:szCs w:val="32"/>
        </w:rPr>
      </w:pPr>
    </w:p>
    <w:p>
      <w:pPr>
        <w:spacing w:line="600" w:lineRule="exact"/>
        <w:ind w:firstLine="640"/>
        <w:rPr>
          <w:rFonts w:ascii="仿宋" w:hAnsi="仿宋" w:eastAsia="仿宋"/>
          <w:b/>
          <w:color w:val="000000" w:themeColor="text1"/>
          <w:sz w:val="32"/>
          <w:szCs w:val="32"/>
        </w:rPr>
      </w:pPr>
    </w:p>
    <w:p>
      <w:pPr>
        <w:spacing w:line="600" w:lineRule="exact"/>
        <w:ind w:firstLine="640"/>
        <w:rPr>
          <w:rFonts w:ascii="仿宋" w:hAnsi="仿宋" w:eastAsia="仿宋"/>
          <w:b/>
          <w:color w:val="000000" w:themeColor="text1"/>
          <w:sz w:val="32"/>
          <w:szCs w:val="32"/>
        </w:rPr>
      </w:pPr>
    </w:p>
    <w:p>
      <w:pPr>
        <w:spacing w:line="600" w:lineRule="exact"/>
        <w:ind w:firstLine="640"/>
        <w:rPr>
          <w:rFonts w:ascii="仿宋" w:hAnsi="仿宋" w:eastAsia="仿宋"/>
          <w:b/>
          <w:color w:val="000000" w:themeColor="text1"/>
          <w:sz w:val="32"/>
          <w:szCs w:val="32"/>
        </w:rPr>
      </w:pPr>
    </w:p>
    <w:p>
      <w:pPr>
        <w:spacing w:line="600" w:lineRule="exact"/>
        <w:ind w:firstLine="640" w:firstLineChars="200"/>
        <w:outlineLvl w:val="1"/>
        <w:rPr>
          <w:rStyle w:val="27"/>
          <w:rFonts w:ascii="黑体" w:hAnsi="黑体" w:eastAsia="黑体"/>
          <w:b w:val="0"/>
        </w:rPr>
      </w:pPr>
      <w:bookmarkStart w:id="32" w:name="_Toc15377209"/>
      <w:bookmarkStart w:id="33"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7"/>
          <w:rFonts w:hint="eastAsia" w:ascii="黑体" w:hAnsi="黑体" w:eastAsia="黑体"/>
          <w:b w:val="0"/>
        </w:rPr>
        <w:t>般公共预算财政拨款支出决算情况说明</w:t>
      </w:r>
      <w:bookmarkEnd w:id="32"/>
      <w:bookmarkEnd w:id="33"/>
    </w:p>
    <w:p>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8年一般公共预算财政拨款支出1230.4万元，占本年支出合计的100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7年相比，一般公共预算财政拨款减少136.38万元，下降11.19</w:t>
      </w:r>
      <w:r>
        <w:rPr>
          <w:rFonts w:ascii="仿宋" w:hAnsi="仿宋" w:eastAsia="仿宋"/>
          <w:color w:val="000000"/>
          <w:sz w:val="32"/>
          <w:szCs w:val="32"/>
        </w:rPr>
        <w:t>%</w:t>
      </w:r>
      <w:r>
        <w:rPr>
          <w:rFonts w:hint="eastAsia" w:ascii="仿宋" w:hAnsi="仿宋" w:eastAsia="仿宋"/>
          <w:color w:val="000000"/>
          <w:sz w:val="32"/>
          <w:szCs w:val="32"/>
        </w:rPr>
        <w:t>。主要变动原因是项目支出减少，2017年疾控中心二级乙等达标购200万元的实验室设备。</w: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（图5：一般公共预算财政拨款支出决算变动情况）（柱状图）</w:t>
      </w:r>
    </w:p>
    <w:p>
      <w:pPr>
        <w:spacing w:line="600" w:lineRule="exact"/>
        <w:ind w:firstLine="420" w:firstLineChars="200"/>
        <w:outlineLvl w:val="2"/>
        <w:rPr>
          <w:rFonts w:ascii="仿宋" w:hAnsi="仿宋" w:eastAsia="仿宋"/>
          <w:b/>
          <w:color w:val="000000"/>
          <w:sz w:val="32"/>
          <w:szCs w:val="32"/>
        </w:rPr>
      </w:pPr>
      <w:bookmarkStart w:id="35" w:name="_Toc15377211"/>
      <w:r>
        <w:rPr>
          <w:lang w:bidi="bo-CN"/>
        </w:rPr>
        <w:drawing>
          <wp:anchor distT="0" distB="0" distL="114300" distR="114300" simplePos="0" relativeHeight="251665408" behindDoc="1" locked="0" layoutInCell="1" allowOverlap="1">
            <wp:simplePos x="0" y="0"/>
            <wp:positionH relativeFrom="column">
              <wp:posOffset>370205</wp:posOffset>
            </wp:positionH>
            <wp:positionV relativeFrom="paragraph">
              <wp:posOffset>174625</wp:posOffset>
            </wp:positionV>
            <wp:extent cx="3581400" cy="2012315"/>
            <wp:effectExtent l="0" t="0" r="0" b="26035"/>
            <wp:wrapTight wrapText="bothSides">
              <wp:wrapPolygon>
                <wp:start x="0" y="204"/>
                <wp:lineTo x="0" y="21470"/>
                <wp:lineTo x="21485" y="21470"/>
                <wp:lineTo x="21485" y="204"/>
                <wp:lineTo x="0" y="204"/>
              </wp:wrapPolygon>
            </wp:wrapTight>
            <wp:docPr id="20"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9"/>
                    <pic:cNvPicPr>
                      <a:picLocks noChangeAspect="1"/>
                    </pic:cNvPicPr>
                  </pic:nvPicPr>
                  <pic:blipFill>
                    <a:blip r:embed="rId11"/>
                    <a:stretch>
                      <a:fillRect/>
                    </a:stretch>
                  </pic:blipFill>
                  <pic:spPr>
                    <a:xfrm>
                      <a:off x="0" y="0"/>
                      <a:ext cx="3581400" cy="2012315"/>
                    </a:xfrm>
                    <a:prstGeom prst="rect">
                      <a:avLst/>
                    </a:prstGeom>
                    <a:noFill/>
                    <a:ln>
                      <a:noFill/>
                    </a:ln>
                  </pic:spPr>
                </pic:pic>
              </a:graphicData>
            </a:graphic>
          </wp:anchor>
        </w:drawing>
      </w:r>
    </w:p>
    <w:p>
      <w:pPr>
        <w:spacing w:line="600" w:lineRule="exact"/>
        <w:ind w:firstLine="643" w:firstLineChars="200"/>
        <w:outlineLvl w:val="2"/>
        <w:rPr>
          <w:rFonts w:ascii="仿宋" w:hAnsi="仿宋" w:eastAsia="仿宋"/>
          <w:b/>
          <w:color w:val="000000"/>
          <w:sz w:val="32"/>
          <w:szCs w:val="32"/>
        </w:rPr>
      </w:pPr>
    </w:p>
    <w:p>
      <w:pPr>
        <w:spacing w:line="600" w:lineRule="exact"/>
        <w:ind w:firstLine="643" w:firstLineChars="200"/>
        <w:outlineLvl w:val="2"/>
        <w:rPr>
          <w:rFonts w:ascii="仿宋" w:hAnsi="仿宋" w:eastAsia="仿宋"/>
          <w:b/>
          <w:color w:val="000000"/>
          <w:sz w:val="32"/>
          <w:szCs w:val="32"/>
        </w:rPr>
      </w:pPr>
    </w:p>
    <w:p>
      <w:pPr>
        <w:spacing w:line="600" w:lineRule="exact"/>
        <w:ind w:firstLine="643" w:firstLineChars="200"/>
        <w:outlineLvl w:val="2"/>
        <w:rPr>
          <w:rFonts w:ascii="仿宋" w:hAnsi="仿宋" w:eastAsia="仿宋"/>
          <w:b/>
          <w:color w:val="000000"/>
          <w:sz w:val="32"/>
          <w:szCs w:val="32"/>
        </w:rPr>
      </w:pPr>
    </w:p>
    <w:p>
      <w:pPr>
        <w:spacing w:line="600" w:lineRule="exact"/>
        <w:ind w:firstLine="643" w:firstLineChars="200"/>
        <w:outlineLvl w:val="2"/>
        <w:rPr>
          <w:rFonts w:ascii="仿宋" w:hAnsi="仿宋" w:eastAsia="仿宋"/>
          <w:b/>
          <w:color w:val="000000"/>
          <w:sz w:val="32"/>
          <w:szCs w:val="32"/>
        </w:rPr>
      </w:pPr>
    </w:p>
    <w:p>
      <w:pPr>
        <w:spacing w:line="600" w:lineRule="exact"/>
        <w:ind w:firstLine="643" w:firstLineChars="200"/>
        <w:outlineLvl w:val="2"/>
        <w:rPr>
          <w:rFonts w:ascii="仿宋" w:hAnsi="仿宋" w:eastAsia="仿宋"/>
          <w:b/>
          <w:color w:val="000000"/>
          <w:sz w:val="32"/>
          <w:szCs w:val="32"/>
        </w:rPr>
      </w:pPr>
    </w:p>
    <w:p>
      <w:pPr>
        <w:spacing w:line="600" w:lineRule="exact"/>
        <w:ind w:firstLine="643" w:firstLineChars="200"/>
        <w:outlineLvl w:val="2"/>
        <w:rPr>
          <w:rFonts w:ascii="仿宋" w:hAnsi="仿宋" w:eastAsia="仿宋"/>
          <w:b/>
          <w:color w:val="000000"/>
          <w:sz w:val="32"/>
          <w:szCs w:val="32"/>
        </w:rPr>
      </w:pPr>
    </w:p>
    <w:p>
      <w:pPr>
        <w:spacing w:line="600" w:lineRule="exact"/>
        <w:ind w:firstLine="643" w:firstLineChars="200"/>
        <w:outlineLvl w:val="2"/>
        <w:rPr>
          <w:rFonts w:ascii="仿宋" w:hAnsi="仿宋" w:eastAsia="仿宋"/>
          <w:b/>
          <w:color w:val="000000"/>
          <w:sz w:val="32"/>
          <w:szCs w:val="32"/>
        </w:rPr>
      </w:pPr>
    </w:p>
    <w:p>
      <w:pPr>
        <w:spacing w:line="600" w:lineRule="exact"/>
        <w:ind w:firstLine="643" w:firstLineChars="200"/>
        <w:outlineLvl w:val="2"/>
        <w:rPr>
          <w:rFonts w:ascii="仿宋" w:hAnsi="仿宋" w:eastAsia="仿宋"/>
          <w:b/>
          <w:color w:val="000000"/>
          <w:sz w:val="32"/>
          <w:szCs w:val="32"/>
        </w:rPr>
      </w:pP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35"/>
    </w:p>
    <w:p>
      <w:pPr>
        <w:spacing w:line="600" w:lineRule="exact"/>
        <w:ind w:firstLine="640"/>
        <w:rPr>
          <w:rFonts w:ascii="仿宋" w:hAnsi="仿宋" w:eastAsia="仿宋"/>
          <w:color w:val="000000" w:themeColor="text1"/>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w:t>
      </w:r>
      <w:r>
        <w:rPr>
          <w:rFonts w:hint="eastAsia" w:ascii="仿宋" w:hAnsi="仿宋" w:eastAsia="仿宋"/>
          <w:color w:val="000000" w:themeColor="text1"/>
          <w:sz w:val="32"/>
          <w:szCs w:val="32"/>
        </w:rPr>
        <w:t>政拨款支出1081.91万元，主要用于以下方面</w:t>
      </w:r>
      <w:r>
        <w:rPr>
          <w:rFonts w:ascii="仿宋" w:hAnsi="仿宋" w:eastAsia="仿宋"/>
          <w:color w:val="000000" w:themeColor="text1"/>
          <w:sz w:val="32"/>
          <w:szCs w:val="32"/>
        </w:rPr>
        <w:t>:</w:t>
      </w:r>
      <w:r>
        <w:rPr>
          <w:rFonts w:hint="eastAsia" w:ascii="仿宋" w:hAnsi="仿宋" w:eastAsia="仿宋"/>
          <w:b/>
          <w:color w:val="000000" w:themeColor="text1"/>
          <w:sz w:val="32"/>
          <w:szCs w:val="32"/>
        </w:rPr>
        <w:t>一般公共服务（类）</w:t>
      </w:r>
      <w:r>
        <w:rPr>
          <w:rFonts w:hint="eastAsia" w:ascii="仿宋" w:hAnsi="仿宋" w:eastAsia="仿宋"/>
          <w:color w:val="000000" w:themeColor="text1"/>
          <w:sz w:val="32"/>
          <w:szCs w:val="32"/>
        </w:rPr>
        <w:t>支出0万元，占0</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教育支出（类）</w:t>
      </w:r>
      <w:r>
        <w:rPr>
          <w:rFonts w:hint="eastAsia" w:ascii="仿宋" w:hAnsi="仿宋" w:eastAsia="仿宋"/>
          <w:color w:val="000000" w:themeColor="text1"/>
          <w:sz w:val="32"/>
          <w:szCs w:val="32"/>
        </w:rPr>
        <w:t>0万元，占0</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科学技术（类）</w:t>
      </w:r>
      <w:r>
        <w:rPr>
          <w:rFonts w:hint="eastAsia" w:ascii="仿宋" w:hAnsi="仿宋" w:eastAsia="仿宋"/>
          <w:color w:val="000000" w:themeColor="text1"/>
          <w:sz w:val="32"/>
          <w:szCs w:val="32"/>
        </w:rPr>
        <w:t>支出0万元，占0</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社会保障和就业（类）</w:t>
      </w:r>
      <w:r>
        <w:rPr>
          <w:rFonts w:hint="eastAsia" w:ascii="仿宋" w:hAnsi="仿宋" w:eastAsia="仿宋"/>
          <w:color w:val="000000" w:themeColor="text1"/>
          <w:sz w:val="32"/>
          <w:szCs w:val="32"/>
        </w:rPr>
        <w:t>支出95.95万元，占8.87</w:t>
      </w:r>
      <w:r>
        <w:rPr>
          <w:rFonts w:ascii="仿宋" w:hAnsi="仿宋" w:eastAsia="仿宋"/>
          <w:color w:val="000000" w:themeColor="text1"/>
          <w:sz w:val="32"/>
          <w:szCs w:val="32"/>
        </w:rPr>
        <w:t>%</w:t>
      </w:r>
      <w:r>
        <w:rPr>
          <w:rFonts w:hint="eastAsia" w:ascii="仿宋" w:hAnsi="仿宋" w:eastAsia="仿宋"/>
          <w:color w:val="000000" w:themeColor="text1"/>
          <w:sz w:val="32"/>
          <w:szCs w:val="32"/>
        </w:rPr>
        <w:t>；医疗卫生支出941.62万元，占87.03</w:t>
      </w:r>
      <w:r>
        <w:rPr>
          <w:rFonts w:ascii="仿宋" w:hAnsi="仿宋" w:eastAsia="仿宋"/>
          <w:color w:val="000000" w:themeColor="text1"/>
          <w:sz w:val="32"/>
          <w:szCs w:val="32"/>
        </w:rPr>
        <w:t>%</w:t>
      </w:r>
      <w:r>
        <w:rPr>
          <w:rFonts w:hint="eastAsia" w:ascii="仿宋" w:hAnsi="仿宋" w:eastAsia="仿宋"/>
          <w:color w:val="000000" w:themeColor="text1"/>
          <w:sz w:val="32"/>
          <w:szCs w:val="32"/>
        </w:rPr>
        <w:t>；住房保障支出44.34万元，占4.10</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spacing w:line="600" w:lineRule="exact"/>
        <w:ind w:firstLine="420" w:firstLineChars="200"/>
        <w:rPr>
          <w:rFonts w:ascii="仿宋" w:hAnsi="仿宋" w:eastAsia="仿宋"/>
          <w:color w:val="000000"/>
          <w:sz w:val="32"/>
          <w:szCs w:val="32"/>
        </w:rPr>
      </w:pPr>
      <w:r>
        <w:rPr>
          <w:lang w:bidi="bo-CN"/>
        </w:rPr>
        <w:drawing>
          <wp:anchor distT="0" distB="0" distL="114300" distR="114300" simplePos="0" relativeHeight="251663360" behindDoc="1" locked="0" layoutInCell="1" allowOverlap="1">
            <wp:simplePos x="0" y="0"/>
            <wp:positionH relativeFrom="column">
              <wp:posOffset>266700</wp:posOffset>
            </wp:positionH>
            <wp:positionV relativeFrom="paragraph">
              <wp:posOffset>31750</wp:posOffset>
            </wp:positionV>
            <wp:extent cx="4449445" cy="2738755"/>
            <wp:effectExtent l="0" t="0" r="0" b="0"/>
            <wp:wrapTight wrapText="bothSides">
              <wp:wrapPolygon>
                <wp:start x="0" y="300"/>
                <wp:lineTo x="0" y="21485"/>
                <wp:lineTo x="21548" y="21485"/>
                <wp:lineTo x="21548" y="300"/>
                <wp:lineTo x="0" y="300"/>
              </wp:wrapPolygon>
            </wp:wrapTight>
            <wp:docPr id="1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7"/>
                    <pic:cNvPicPr>
                      <a:picLocks noChangeAspect="1"/>
                    </pic:cNvPicPr>
                  </pic:nvPicPr>
                  <pic:blipFill>
                    <a:blip r:embed="rId12"/>
                    <a:stretch>
                      <a:fillRect/>
                    </a:stretch>
                  </pic:blipFill>
                  <pic:spPr>
                    <a:xfrm>
                      <a:off x="0" y="0"/>
                      <a:ext cx="4449445" cy="2738755"/>
                    </a:xfrm>
                    <a:prstGeom prst="rect">
                      <a:avLst/>
                    </a:prstGeom>
                    <a:noFill/>
                    <a:ln>
                      <a:noFill/>
                    </a:ln>
                  </pic:spPr>
                </pic:pic>
              </a:graphicData>
            </a:graphic>
          </wp:anchor>
        </w:drawing>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pPr>
        <w:spacing w:line="600" w:lineRule="exact"/>
        <w:ind w:firstLine="643" w:firstLineChars="200"/>
        <w:outlineLvl w:val="2"/>
        <w:rPr>
          <w:rFonts w:hint="default" w:ascii="仿宋" w:hAnsi="仿宋" w:eastAsia="仿宋"/>
          <w:color w:val="FF0000"/>
          <w:sz w:val="32"/>
          <w:szCs w:val="32"/>
          <w:lang w:val="en-US" w:eastAsia="zh-CN"/>
        </w:rPr>
      </w:pPr>
      <w:bookmarkStart w:id="37" w:name="_Toc15377213"/>
      <w:bookmarkStart w:id="38" w:name="_Toc15377444"/>
      <w:bookmarkStart w:id="39" w:name="_Toc15378460"/>
      <w:r>
        <w:rPr>
          <w:rFonts w:hint="eastAsia" w:ascii="仿宋" w:hAnsi="仿宋" w:eastAsia="仿宋"/>
          <w:b/>
          <w:color w:val="000000" w:themeColor="text1"/>
          <w:sz w:val="32"/>
          <w:szCs w:val="32"/>
        </w:rPr>
        <w:t>2018年一般公共预算支出决算数为1081.93</w:t>
      </w:r>
      <w:r>
        <w:rPr>
          <w:rFonts w:hint="eastAsia" w:ascii="仿宋" w:hAnsi="仿宋" w:eastAsia="仿宋"/>
          <w:color w:val="000000" w:themeColor="text1"/>
          <w:sz w:val="32"/>
          <w:szCs w:val="32"/>
        </w:rPr>
        <w:t>，</w:t>
      </w:r>
      <w:r>
        <w:rPr>
          <w:rStyle w:val="16"/>
          <w:rFonts w:hint="eastAsia" w:ascii="仿宋" w:hAnsi="仿宋" w:eastAsia="仿宋"/>
          <w:bCs/>
          <w:color w:val="000000" w:themeColor="text1"/>
          <w:sz w:val="32"/>
          <w:szCs w:val="32"/>
        </w:rPr>
        <w:t>完成</w:t>
      </w:r>
      <w:r>
        <w:rPr>
          <w:rStyle w:val="16"/>
          <w:rFonts w:hint="eastAsia" w:ascii="仿宋" w:hAnsi="仿宋" w:eastAsia="仿宋"/>
          <w:bCs/>
          <w:color w:val="000000"/>
          <w:sz w:val="32"/>
          <w:szCs w:val="32"/>
        </w:rPr>
        <w:t>预算78.80</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w:t>
      </w:r>
      <w:r>
        <w:rPr>
          <w:rStyle w:val="16"/>
          <w:rFonts w:hint="eastAsia" w:ascii="仿宋" w:hAnsi="仿宋" w:eastAsia="仿宋"/>
          <w:bCs/>
          <w:color w:val="auto"/>
          <w:sz w:val="32"/>
          <w:szCs w:val="32"/>
        </w:rPr>
        <w:t>其</w:t>
      </w:r>
      <w:r>
        <w:rPr>
          <w:rStyle w:val="16"/>
          <w:rFonts w:hint="eastAsia" w:ascii="仿宋" w:hAnsi="仿宋" w:eastAsia="仿宋"/>
          <w:bCs/>
          <w:color w:val="000000"/>
          <w:sz w:val="32"/>
          <w:szCs w:val="32"/>
        </w:rPr>
        <w:t>中：</w:t>
      </w:r>
      <w:bookmarkEnd w:id="37"/>
      <w:bookmarkEnd w:id="38"/>
      <w:bookmarkEnd w:id="39"/>
      <w:r>
        <w:rPr>
          <w:rStyle w:val="16"/>
          <w:rFonts w:hint="eastAsia" w:ascii="仿宋" w:hAnsi="仿宋" w:eastAsia="仿宋"/>
          <w:bCs/>
          <w:color w:val="000000"/>
          <w:sz w:val="32"/>
          <w:szCs w:val="32"/>
          <w:lang w:eastAsia="zh-CN"/>
        </w:rPr>
        <w:t>项目结转结余资金为</w:t>
      </w:r>
      <w:r>
        <w:rPr>
          <w:rStyle w:val="16"/>
          <w:rFonts w:hint="eastAsia" w:ascii="仿宋" w:hAnsi="仿宋" w:eastAsia="仿宋"/>
          <w:bCs/>
          <w:color w:val="000000"/>
          <w:sz w:val="32"/>
          <w:szCs w:val="32"/>
          <w:lang w:val="en-US" w:eastAsia="zh-CN"/>
        </w:rPr>
        <w:t>291.20万元，占21.2%，2019年继续使用。</w:t>
      </w:r>
    </w:p>
    <w:p>
      <w:pPr>
        <w:spacing w:line="600" w:lineRule="exact"/>
        <w:ind w:firstLine="643" w:firstLineChars="200"/>
        <w:rPr>
          <w:rFonts w:ascii="仿宋" w:hAnsi="仿宋" w:eastAsia="仿宋"/>
          <w:b/>
          <w:color w:val="000000"/>
          <w:sz w:val="32"/>
          <w:szCs w:val="32"/>
        </w:rPr>
      </w:pPr>
      <w:r>
        <w:rPr>
          <w:rStyle w:val="16"/>
          <w:rFonts w:hint="eastAsia" w:ascii="仿宋" w:hAnsi="仿宋" w:eastAsia="仿宋"/>
          <w:bCs/>
          <w:color w:val="000000"/>
          <w:sz w:val="32"/>
          <w:szCs w:val="32"/>
        </w:rPr>
        <w:t>1</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社会保障和就业支出</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1、2080505-机关事业单位基本养老保险支出决算为68.54万元，完成预算100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，决算数与预算数持平；2、2080506-机关事业单位职业年金支出决算数为27.4万元、完成预算100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，决算数与预算数持平。</w:t>
      </w:r>
    </w:p>
    <w:p>
      <w:pPr>
        <w:spacing w:line="600" w:lineRule="exact"/>
        <w:ind w:firstLine="643" w:firstLineChars="200"/>
        <w:rPr>
          <w:rFonts w:ascii="仿宋" w:hAnsi="仿宋" w:eastAsia="仿宋"/>
          <w:color w:val="000000"/>
          <w:sz w:val="32"/>
          <w:szCs w:val="32"/>
        </w:rPr>
      </w:pPr>
      <w:r>
        <w:rPr>
          <w:rStyle w:val="16"/>
          <w:rFonts w:hint="eastAsia" w:ascii="仿宋" w:hAnsi="仿宋" w:eastAsia="仿宋"/>
          <w:bCs/>
          <w:color w:val="000000"/>
          <w:sz w:val="32"/>
          <w:szCs w:val="32"/>
        </w:rPr>
        <w:t>2</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医疗卫生与计划生育支出</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1、</w:t>
      </w:r>
      <w:r>
        <w:rPr>
          <w:rStyle w:val="16"/>
          <w:rFonts w:hint="eastAsia" w:ascii="仿宋" w:hAnsi="仿宋" w:eastAsia="仿宋"/>
          <w:b w:val="0"/>
          <w:color w:val="000000"/>
          <w:sz w:val="32"/>
          <w:szCs w:val="32"/>
        </w:rPr>
        <w:t>2100401-疾病预防控制机构支出决算为515.36万元，完成预算100</w:t>
      </w:r>
      <w:r>
        <w:rPr>
          <w:rStyle w:val="16"/>
          <w:rFonts w:ascii="仿宋" w:hAnsi="仿宋" w:eastAsia="仿宋"/>
          <w:b w:val="0"/>
          <w:color w:val="000000"/>
          <w:sz w:val="32"/>
          <w:szCs w:val="32"/>
        </w:rPr>
        <w:t>%</w:t>
      </w:r>
      <w:r>
        <w:rPr>
          <w:rStyle w:val="16"/>
          <w:rFonts w:hint="eastAsia" w:ascii="仿宋" w:hAnsi="仿宋" w:eastAsia="仿宋"/>
          <w:b w:val="0"/>
          <w:color w:val="000000"/>
          <w:sz w:val="32"/>
          <w:szCs w:val="32"/>
        </w:rPr>
        <w:t>，决算数与预算数持平；2、2100408-基本公共卫生服务支出决算数为5.99万元，完成预算100</w:t>
      </w:r>
      <w:r>
        <w:rPr>
          <w:rStyle w:val="16"/>
          <w:rFonts w:ascii="仿宋" w:hAnsi="仿宋" w:eastAsia="仿宋"/>
          <w:b w:val="0"/>
          <w:color w:val="000000"/>
          <w:sz w:val="32"/>
          <w:szCs w:val="32"/>
        </w:rPr>
        <w:t>%</w:t>
      </w:r>
      <w:r>
        <w:rPr>
          <w:rStyle w:val="16"/>
          <w:rFonts w:hint="eastAsia" w:ascii="仿宋" w:hAnsi="仿宋" w:eastAsia="仿宋"/>
          <w:b w:val="0"/>
          <w:color w:val="000000"/>
          <w:sz w:val="32"/>
          <w:szCs w:val="32"/>
        </w:rPr>
        <w:t>，决算数与预算数持平。2100409-重大公共卫生专项支出决算为253.45万元，完成预算48.09</w:t>
      </w:r>
      <w:r>
        <w:rPr>
          <w:rStyle w:val="16"/>
          <w:rFonts w:ascii="仿宋" w:hAnsi="仿宋" w:eastAsia="仿宋"/>
          <w:b w:val="0"/>
          <w:color w:val="000000"/>
          <w:sz w:val="32"/>
          <w:szCs w:val="32"/>
        </w:rPr>
        <w:t>%</w:t>
      </w:r>
      <w:r>
        <w:rPr>
          <w:rStyle w:val="16"/>
          <w:rFonts w:hint="eastAsia" w:ascii="仿宋" w:hAnsi="仿宋" w:eastAsia="仿宋"/>
          <w:b w:val="0"/>
          <w:color w:val="000000"/>
          <w:sz w:val="32"/>
          <w:szCs w:val="32"/>
        </w:rPr>
        <w:t>，年末结转结余273.55万元，决算数小于预算数是因为2019年继续开展此项目；2100499-其它公共卫生支出决算为86.33万元，完成预算100</w:t>
      </w:r>
      <w:r>
        <w:rPr>
          <w:rStyle w:val="16"/>
          <w:rFonts w:ascii="仿宋" w:hAnsi="仿宋" w:eastAsia="仿宋"/>
          <w:b w:val="0"/>
          <w:color w:val="000000"/>
          <w:sz w:val="32"/>
          <w:szCs w:val="32"/>
        </w:rPr>
        <w:t>%</w:t>
      </w:r>
      <w:r>
        <w:rPr>
          <w:rStyle w:val="16"/>
          <w:rFonts w:hint="eastAsia" w:ascii="仿宋" w:hAnsi="仿宋" w:eastAsia="仿宋"/>
          <w:b w:val="0"/>
          <w:color w:val="000000"/>
          <w:sz w:val="32"/>
          <w:szCs w:val="32"/>
        </w:rPr>
        <w:t>，决算数与预算数持平；2100717-计划生育服务支出决算为4.8万元，完成预算100</w:t>
      </w:r>
      <w:r>
        <w:rPr>
          <w:rStyle w:val="16"/>
          <w:rFonts w:ascii="仿宋" w:hAnsi="仿宋" w:eastAsia="仿宋"/>
          <w:b w:val="0"/>
          <w:color w:val="000000"/>
          <w:sz w:val="32"/>
          <w:szCs w:val="32"/>
        </w:rPr>
        <w:t>%</w:t>
      </w:r>
      <w:r>
        <w:rPr>
          <w:rStyle w:val="16"/>
          <w:rFonts w:hint="eastAsia" w:ascii="仿宋" w:hAnsi="仿宋" w:eastAsia="仿宋"/>
          <w:b w:val="0"/>
          <w:color w:val="000000"/>
          <w:sz w:val="32"/>
          <w:szCs w:val="32"/>
        </w:rPr>
        <w:t>，决算数与预算数持平；2100799-其它计划生育事务支出决算为5.82万元，完成预算43.76</w:t>
      </w:r>
      <w:r>
        <w:rPr>
          <w:rStyle w:val="16"/>
          <w:rFonts w:ascii="仿宋" w:hAnsi="仿宋" w:eastAsia="仿宋"/>
          <w:b w:val="0"/>
          <w:color w:val="000000"/>
          <w:sz w:val="32"/>
          <w:szCs w:val="32"/>
        </w:rPr>
        <w:t>%</w:t>
      </w:r>
      <w:r>
        <w:rPr>
          <w:rStyle w:val="16"/>
          <w:rFonts w:hint="eastAsia" w:ascii="仿宋" w:hAnsi="仿宋" w:eastAsia="仿宋"/>
          <w:b w:val="0"/>
          <w:color w:val="000000"/>
          <w:sz w:val="32"/>
          <w:szCs w:val="32"/>
        </w:rPr>
        <w:t>，年末结转结余7.48万元，决算数小于预算数是因为2019年继续开展此项目；2101102-事业单位医疗支出决算为22.76万元，完成预算100</w:t>
      </w:r>
      <w:r>
        <w:rPr>
          <w:rStyle w:val="16"/>
          <w:rFonts w:ascii="仿宋" w:hAnsi="仿宋" w:eastAsia="仿宋"/>
          <w:b w:val="0"/>
          <w:color w:val="000000"/>
          <w:sz w:val="32"/>
          <w:szCs w:val="32"/>
        </w:rPr>
        <w:t>%</w:t>
      </w:r>
      <w:r>
        <w:rPr>
          <w:rStyle w:val="16"/>
          <w:rFonts w:hint="eastAsia" w:ascii="仿宋" w:hAnsi="仿宋" w:eastAsia="仿宋"/>
          <w:b w:val="0"/>
          <w:color w:val="000000"/>
          <w:sz w:val="32"/>
          <w:szCs w:val="32"/>
        </w:rPr>
        <w:t>，决算数与预算数持平；2101103-其它行政事业单位医疗支出决算为6.65万元，完成预算100</w:t>
      </w:r>
      <w:r>
        <w:rPr>
          <w:rStyle w:val="16"/>
          <w:rFonts w:ascii="仿宋" w:hAnsi="仿宋" w:eastAsia="仿宋"/>
          <w:b w:val="0"/>
          <w:color w:val="000000"/>
          <w:sz w:val="32"/>
          <w:szCs w:val="32"/>
        </w:rPr>
        <w:t>%</w:t>
      </w:r>
      <w:r>
        <w:rPr>
          <w:rStyle w:val="16"/>
          <w:rFonts w:hint="eastAsia" w:ascii="仿宋" w:hAnsi="仿宋" w:eastAsia="仿宋"/>
          <w:b w:val="0"/>
          <w:color w:val="000000"/>
          <w:sz w:val="32"/>
          <w:szCs w:val="32"/>
        </w:rPr>
        <w:t>，决算数与预算数持平；2109901-其它医疗卫生与计划生育支出决算为40.48万元，完成预算79.94</w:t>
      </w:r>
      <w:r>
        <w:rPr>
          <w:rStyle w:val="16"/>
          <w:rFonts w:ascii="仿宋" w:hAnsi="仿宋" w:eastAsia="仿宋"/>
          <w:b w:val="0"/>
          <w:color w:val="000000"/>
          <w:sz w:val="32"/>
          <w:szCs w:val="32"/>
        </w:rPr>
        <w:t>%</w:t>
      </w:r>
      <w:r>
        <w:rPr>
          <w:rStyle w:val="16"/>
          <w:rFonts w:hint="eastAsia" w:ascii="仿宋" w:hAnsi="仿宋" w:eastAsia="仿宋"/>
          <w:b w:val="0"/>
          <w:color w:val="000000"/>
          <w:sz w:val="32"/>
          <w:szCs w:val="32"/>
        </w:rPr>
        <w:t>，年末结转结余10.16万元，决算数小于预算数是因为2019年继续开展此项目。</w:t>
      </w:r>
    </w:p>
    <w:p>
      <w:pPr>
        <w:spacing w:line="600" w:lineRule="exact"/>
        <w:ind w:firstLine="640"/>
        <w:rPr>
          <w:rFonts w:ascii="仿宋" w:hAnsi="仿宋" w:eastAsia="仿宋"/>
          <w:color w:val="000000"/>
          <w:sz w:val="32"/>
          <w:szCs w:val="32"/>
        </w:rPr>
      </w:pPr>
      <w:r>
        <w:rPr>
          <w:rFonts w:hint="eastAsia" w:ascii="仿宋" w:hAnsi="仿宋" w:eastAsia="仿宋"/>
          <w:color w:val="000000" w:themeColor="text1"/>
          <w:sz w:val="32"/>
          <w:szCs w:val="32"/>
        </w:rPr>
        <w:t xml:space="preserve">3.住房保障支出 </w:t>
      </w:r>
      <w:r>
        <w:rPr>
          <w:rFonts w:hint="eastAsia" w:ascii="仿宋" w:hAnsi="仿宋" w:eastAsia="仿宋"/>
          <w:color w:val="000000" w:themeColor="text1"/>
          <w:sz w:val="32"/>
          <w:szCs w:val="32"/>
          <w:lang w:val="en-US" w:eastAsia="zh-CN"/>
        </w:rPr>
        <w:t>:</w:t>
      </w:r>
      <w:r>
        <w:rPr>
          <w:rFonts w:hint="eastAsia" w:ascii="仿宋" w:hAnsi="仿宋" w:eastAsia="仿宋"/>
          <w:color w:val="000000" w:themeColor="text1"/>
          <w:sz w:val="32"/>
          <w:szCs w:val="32"/>
        </w:rPr>
        <w:t>2210201-住房公积金支出44.34万元，</w:t>
      </w:r>
      <w:r>
        <w:rPr>
          <w:rStyle w:val="16"/>
          <w:rFonts w:hint="eastAsia" w:ascii="仿宋" w:hAnsi="仿宋" w:eastAsia="仿宋"/>
          <w:b w:val="0"/>
          <w:color w:val="000000"/>
          <w:sz w:val="32"/>
          <w:szCs w:val="32"/>
        </w:rPr>
        <w:t>完成预算100</w:t>
      </w:r>
      <w:r>
        <w:rPr>
          <w:rStyle w:val="16"/>
          <w:rFonts w:ascii="仿宋" w:hAnsi="仿宋" w:eastAsia="仿宋"/>
          <w:b w:val="0"/>
          <w:color w:val="000000"/>
          <w:sz w:val="32"/>
          <w:szCs w:val="32"/>
        </w:rPr>
        <w:t>%</w:t>
      </w:r>
      <w:r>
        <w:rPr>
          <w:rStyle w:val="16"/>
          <w:rFonts w:hint="eastAsia" w:ascii="仿宋" w:hAnsi="仿宋" w:eastAsia="仿宋"/>
          <w:b w:val="0"/>
          <w:color w:val="000000"/>
          <w:sz w:val="32"/>
          <w:szCs w:val="32"/>
        </w:rPr>
        <w:t>，决算数与预算数持平。</w:t>
      </w:r>
    </w:p>
    <w:p>
      <w:pPr>
        <w:tabs>
          <w:tab w:val="right" w:pos="8306"/>
        </w:tabs>
        <w:spacing w:line="600" w:lineRule="exact"/>
        <w:ind w:firstLine="640"/>
        <w:outlineLvl w:val="1"/>
        <w:rPr>
          <w:rStyle w:val="27"/>
          <w:b w:val="0"/>
          <w:bCs w:val="0"/>
        </w:rPr>
      </w:pPr>
      <w:bookmarkStart w:id="40" w:name="_Toc15396608"/>
      <w:bookmarkStart w:id="41" w:name="_Toc15377214"/>
      <w:r>
        <w:rPr>
          <w:rFonts w:hint="eastAsia" w:ascii="黑体" w:eastAsia="黑体"/>
          <w:color w:val="000000"/>
          <w:sz w:val="32"/>
          <w:szCs w:val="32"/>
        </w:rPr>
        <w:t>六、</w:t>
      </w:r>
      <w:r>
        <w:rPr>
          <w:rFonts w:hint="eastAsia" w:ascii="黑体" w:hAnsi="黑体" w:eastAsia="黑体"/>
          <w:color w:val="000000"/>
          <w:sz w:val="32"/>
          <w:szCs w:val="32"/>
        </w:rPr>
        <w:t>一</w:t>
      </w:r>
      <w:r>
        <w:rPr>
          <w:rStyle w:val="27"/>
          <w:rFonts w:hint="eastAsia" w:ascii="黑体" w:hAnsi="黑体" w:eastAsia="黑体"/>
          <w:b w:val="0"/>
          <w:bCs w:val="0"/>
        </w:rPr>
        <w:t>般公共预算财政拨款基本支出决算情况说明</w:t>
      </w:r>
      <w:bookmarkEnd w:id="40"/>
      <w:bookmarkEnd w:id="41"/>
      <w:r>
        <w:rPr>
          <w:rStyle w:val="27"/>
          <w:rFonts w:ascii="黑体" w:hAnsi="黑体" w:eastAsia="黑体"/>
          <w:b w:val="0"/>
          <w:bCs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8年一般公共预算财政拨款基本支出685.06万元，其中：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651.38万元，主要包括：30101-基本工资131.56万元；30102-津贴补贴141.05万元；30103-奖金81.23万元；30107-绩效工资111.66万元；30108-机关事业单位基本养老保险缴费68.54万元；30109-职业年金缴费27.41万元；30112-其他社会保障缴费8.12万元；30110-职工基本医疗保险缴费22.76万元；30114-医疗费补助10.35万元；30305-生活补助4.36万元；30113-住房公积金44.34万元。</w:t>
      </w:r>
      <w:r>
        <w:rPr>
          <w:rFonts w:ascii="仿宋" w:hAnsi="仿宋" w:eastAsia="仿宋"/>
          <w:color w:val="000000"/>
          <w:sz w:val="32"/>
          <w:szCs w:val="32"/>
        </w:rPr>
        <w:br w:type="textWrapping"/>
      </w:r>
      <w:r>
        <w:rPr>
          <w:rFonts w:hint="eastAsia" w:ascii="仿宋" w:hAnsi="仿宋" w:eastAsia="仿宋"/>
          <w:color w:val="000000"/>
          <w:sz w:val="32"/>
          <w:szCs w:val="32"/>
        </w:rPr>
        <w:t>　　公用经费33.68万元，主要包括：30201-办公费11.26万元；30202-印刷费1.96万元；30206-电费1.47万元；30207-邮电费1.06万元；30211-差旅费4.52万元；30213-维修（护）费3.63万元；30217-公务接待费0.61万元；30226-劳务费1.81万元；30228-工会经费4.91万元、30231-公务用车运行维护费2.45万元。</w:t>
      </w:r>
    </w:p>
    <w:p>
      <w:pPr>
        <w:spacing w:line="600" w:lineRule="exact"/>
        <w:ind w:firstLine="640"/>
        <w:outlineLvl w:val="1"/>
        <w:rPr>
          <w:rStyle w:val="27"/>
          <w:rFonts w:ascii="黑体" w:hAnsi="黑体" w:eastAsia="黑体"/>
          <w:b w:val="0"/>
        </w:rPr>
      </w:pPr>
      <w:bookmarkStart w:id="42" w:name="_Toc15396609"/>
      <w:bookmarkStart w:id="43" w:name="_Toc15377215"/>
      <w:r>
        <w:rPr>
          <w:rFonts w:hint="eastAsia" w:ascii="黑体" w:eastAsia="黑体"/>
          <w:color w:val="000000"/>
          <w:sz w:val="32"/>
          <w:szCs w:val="32"/>
        </w:rPr>
        <w:t>七、</w:t>
      </w:r>
      <w:r>
        <w:rPr>
          <w:rStyle w:val="27"/>
          <w:rFonts w:hint="eastAsia" w:ascii="黑体" w:hAnsi="黑体" w:eastAsia="黑体"/>
        </w:rPr>
        <w:t>“</w:t>
      </w:r>
      <w:r>
        <w:rPr>
          <w:rStyle w:val="27"/>
          <w:rFonts w:hint="eastAsia" w:ascii="黑体" w:hAnsi="黑体" w:eastAsia="黑体"/>
          <w:b w:val="0"/>
        </w:rPr>
        <w:t>三公”经费财政拨款支出决算情况说明</w:t>
      </w:r>
      <w:bookmarkEnd w:id="42"/>
      <w:bookmarkEnd w:id="43"/>
    </w:p>
    <w:p>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8年“三公”经费财政拨款支出决算为48.72万元，完成预算100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；公务用车购置及运行维护费支出决算44.59万元，占91.52</w:t>
      </w:r>
      <w:r>
        <w:rPr>
          <w:rFonts w:ascii="仿宋" w:hAnsi="仿宋" w:eastAsia="仿宋"/>
          <w:color w:val="000000"/>
          <w:sz w:val="32"/>
          <w:szCs w:val="32"/>
        </w:rPr>
        <w:t>%</w:t>
      </w:r>
      <w:r>
        <w:rPr>
          <w:rFonts w:hint="eastAsia" w:ascii="仿宋" w:hAnsi="仿宋" w:eastAsia="仿宋"/>
          <w:color w:val="000000"/>
          <w:sz w:val="32"/>
          <w:szCs w:val="32"/>
        </w:rPr>
        <w:t>；公务接待费支出决算4.13万元，占8.48</w:t>
      </w:r>
      <w:r>
        <w:rPr>
          <w:rFonts w:ascii="仿宋" w:hAnsi="仿宋" w:eastAsia="仿宋"/>
          <w:color w:val="000000"/>
          <w:sz w:val="32"/>
          <w:szCs w:val="32"/>
        </w:rPr>
        <w:t>%</w:t>
      </w:r>
      <w:r>
        <w:rPr>
          <w:rFonts w:hint="eastAsia" w:ascii="仿宋" w:hAnsi="仿宋" w:eastAsia="仿宋"/>
          <w:color w:val="000000"/>
          <w:sz w:val="32"/>
          <w:szCs w:val="32"/>
        </w:rPr>
        <w:t>。具体情况如下：</w:t>
      </w:r>
    </w:p>
    <w:p>
      <w:pPr>
        <w:tabs>
          <w:tab w:val="left" w:pos="312"/>
        </w:tabs>
        <w:spacing w:line="600" w:lineRule="exact"/>
        <w:ind w:left="640"/>
        <w:rPr>
          <w:rFonts w:hint="eastAsia" w:ascii="仿宋_GB2312" w:eastAsia="仿宋_GB2312"/>
          <w:color w:val="000000"/>
          <w:sz w:val="32"/>
          <w:szCs w:val="32"/>
        </w:rPr>
      </w:pPr>
      <w:r>
        <w:rPr>
          <w:rFonts w:hint="eastAsia" w:ascii="仿宋_GB2312" w:eastAsia="仿宋_GB2312"/>
          <w:b/>
          <w:color w:val="000000"/>
          <w:sz w:val="32"/>
          <w:szCs w:val="32"/>
        </w:rPr>
        <w:t>1.因公出国（境）经费支出</w:t>
      </w:r>
      <w:r>
        <w:rPr>
          <w:rFonts w:hint="eastAsia" w:ascii="仿宋_GB2312" w:eastAsia="仿宋_GB2312"/>
          <w:color w:val="000000"/>
          <w:sz w:val="32"/>
          <w:szCs w:val="32"/>
        </w:rPr>
        <w:t>0万元，</w:t>
      </w:r>
      <w:r>
        <w:rPr>
          <w:rStyle w:val="16"/>
          <w:rFonts w:hint="eastAsia" w:ascii="仿宋" w:hAnsi="仿宋" w:eastAsia="仿宋"/>
          <w:b w:val="0"/>
          <w:bCs/>
          <w:color w:val="000000"/>
          <w:sz w:val="32"/>
          <w:szCs w:val="32"/>
        </w:rPr>
        <w:t>完成预算0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全年</w:t>
      </w:r>
    </w:p>
    <w:p>
      <w:pPr>
        <w:tabs>
          <w:tab w:val="left" w:pos="312"/>
        </w:tabs>
        <w:spacing w:line="600" w:lineRule="exact"/>
        <w:rPr>
          <w:rFonts w:ascii="仿宋_GB2312" w:eastAsia="仿宋_GB2312"/>
          <w:color w:val="000000"/>
          <w:sz w:val="32"/>
          <w:szCs w:val="32"/>
        </w:rPr>
      </w:pPr>
      <w:r>
        <w:rPr>
          <w:rFonts w:hint="eastAsia" w:ascii="仿宋_GB2312" w:eastAsia="仿宋_GB2312"/>
          <w:color w:val="000000"/>
          <w:sz w:val="32"/>
          <w:szCs w:val="32"/>
        </w:rPr>
        <w:t>安排因公出国（境）团组0次，出国（境）0人</w:t>
      </w:r>
      <w:r>
        <w:rPr>
          <w:rFonts w:hint="eastAsia" w:ascii="仿宋_GB2312" w:eastAsia="仿宋_GB2312"/>
          <w:color w:val="000000"/>
          <w:sz w:val="32"/>
          <w:szCs w:val="32"/>
          <w:lang w:val="en-US" w:eastAsia="zh-CN"/>
        </w:rPr>
        <w:t>,与上年持平。</w:t>
      </w:r>
    </w:p>
    <w:p>
      <w:pPr>
        <w:tabs>
          <w:tab w:val="left" w:pos="312"/>
        </w:tabs>
        <w:spacing w:line="600" w:lineRule="exact"/>
        <w:ind w:firstLine="790" w:firstLineChars="246"/>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44.59万元,</w:t>
      </w:r>
      <w:r>
        <w:rPr>
          <w:rStyle w:val="16"/>
          <w:rFonts w:hint="eastAsia" w:ascii="仿宋" w:hAnsi="仿宋" w:eastAsia="仿宋"/>
          <w:b w:val="0"/>
          <w:bCs/>
          <w:color w:val="000000"/>
          <w:sz w:val="32"/>
          <w:szCs w:val="32"/>
        </w:rPr>
        <w:t>完成预算91.52</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7年增加43.61万元，增长4450</w:t>
      </w:r>
      <w:r>
        <w:rPr>
          <w:rFonts w:ascii="仿宋_GB2312" w:eastAsia="仿宋_GB2312"/>
          <w:color w:val="000000"/>
          <w:sz w:val="32"/>
          <w:szCs w:val="32"/>
        </w:rPr>
        <w:t>%</w:t>
      </w:r>
      <w:r>
        <w:rPr>
          <w:rFonts w:hint="eastAsia" w:ascii="仿宋_GB2312" w:eastAsia="仿宋_GB2312"/>
          <w:color w:val="000000"/>
          <w:sz w:val="32"/>
          <w:szCs w:val="32"/>
        </w:rPr>
        <w:t>。主要原因是1、新购业务用车一辆；2、业务人员下乡督导次数增加。</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25.54万元。全年按规定更新购置公务用车1辆，其中：越野车1辆、金额25.54万元，，主要用于到上级部门及全县各乡镇接种疫苗运输。截至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月底，单位共有公务用车3辆，其中：越野车3辆。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19.05万元。主要用于本单位下乡督导，业务培训及开会等所需的公务用车燃料费、维修费、过路过桥费、保险费等支出。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4.13万元，</w:t>
      </w:r>
      <w:r>
        <w:rPr>
          <w:rStyle w:val="16"/>
          <w:rFonts w:hint="eastAsia" w:ascii="仿宋" w:hAnsi="仿宋" w:eastAsia="仿宋"/>
          <w:b w:val="0"/>
          <w:bCs/>
          <w:color w:val="000000"/>
          <w:sz w:val="32"/>
          <w:szCs w:val="32"/>
        </w:rPr>
        <w:t>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7年增加3.61万元，增长694</w:t>
      </w:r>
      <w:r>
        <w:rPr>
          <w:rFonts w:ascii="仿宋_GB2312" w:eastAsia="仿宋_GB2312"/>
          <w:color w:val="000000"/>
          <w:sz w:val="32"/>
          <w:szCs w:val="32"/>
        </w:rPr>
        <w:t>%</w:t>
      </w:r>
      <w:r>
        <w:rPr>
          <w:rFonts w:hint="eastAsia" w:ascii="仿宋_GB2312" w:eastAsia="仿宋_GB2312"/>
          <w:color w:val="000000"/>
          <w:sz w:val="32"/>
          <w:szCs w:val="32"/>
        </w:rPr>
        <w:t>。主要原因是省，州级部门督导检查工作次数增加。主要用于执行公务、开展业务活动开支的交通费、住宿费、用餐费等。国内公务接待45批次，1380人次，共计支出4.13万元，具体内容包括：</w:t>
      </w:r>
      <w:r>
        <w:rPr>
          <w:rFonts w:hint="eastAsia" w:ascii="仿宋_GB2312" w:eastAsia="仿宋_GB2312"/>
          <w:color w:val="000000"/>
          <w:sz w:val="32"/>
          <w:szCs w:val="32"/>
          <w:lang w:val="en-US" w:eastAsia="zh-CN"/>
        </w:rPr>
        <w:t>1、省、州督导组14人对红原县脊髓灭活疫苗查漏补种工作进行联合督导检查2天，免疫规划项目共支出接待费6729元；2、绵阳市游仙区疾控中心一行8人于6月13-15日对我中心开展免疫规划、传染病网络直报、卫生应急处置及生活饮用水监测对口支援工作，免疫规划项目共支出接待费6448元；3、省、州疾控中心一行5人于6月27-28日对我中心鼠疫防控工作进行督导，共鼠疫项目支出接待费5204元；4、州疾控中心一行5人于7月23日对我中心传染病信息报告管理水平及网络直报质量进行检查及指导，传染病管理项目共支出接待费560元；5、四川省医学科学院.四川省人民医院皮肤病性病研究所一行9人对我中心开展性病检测实验室现场督导工作，艾滋病项目共支出接待费1069元；6、州疾控中心一行5人于7月22-24日对我中心开展重点传染病防控工作督导，传染病管理项目共支出接待费2905元；7、阿坝州人民政府、州卫计局及州疾控中心一行5人于10月24日对红原县开展包虫病综合防治工作督导，包虫病项目支出接待费592元；8、省农水局及省疾控中心一行5人于10月11-13日对我县开展包虫病防治重点工作推进落实情况进行督导，包虫病项目支出接待费2070元；9、州疾控中心一行5人于8月22日对我中心开展疾控信息工作督导，公用经费支出接待费821元；10、绵阳市疾控中心一行5人于7月25日对我中心各项业务工作进行检查指导，公用经费支出接待费1614元</w:t>
      </w:r>
      <w:r>
        <w:rPr>
          <w:rFonts w:hint="eastAsia" w:ascii="仿宋_GB2312" w:eastAsia="仿宋_GB2312"/>
          <w:color w:val="000000"/>
          <w:sz w:val="32"/>
          <w:szCs w:val="32"/>
        </w:rPr>
        <w:t>。</w:t>
      </w:r>
    </w:p>
    <w:p>
      <w:pPr>
        <w:spacing w:line="600" w:lineRule="exact"/>
        <w:ind w:firstLine="640"/>
        <w:rPr>
          <w:rFonts w:ascii="黑体" w:eastAsia="黑体"/>
          <w:color w:val="000000"/>
          <w:sz w:val="32"/>
          <w:szCs w:val="32"/>
        </w:rPr>
      </w:pPr>
      <w:r>
        <w:rPr>
          <w:rFonts w:hint="eastAsia" w:ascii="仿宋" w:hAnsi="仿宋" w:eastAsia="仿宋"/>
          <w:b/>
          <w:color w:val="000000"/>
          <w:sz w:val="32"/>
          <w:szCs w:val="32"/>
        </w:rPr>
        <w:t>其他国内公务接待支出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w:t>
      </w:r>
      <w:bookmarkStart w:id="46" w:name="_Toc15396610"/>
      <w:bookmarkStart w:id="47" w:name="_Toc15377218"/>
    </w:p>
    <w:p>
      <w:pPr>
        <w:spacing w:line="600" w:lineRule="exact"/>
        <w:ind w:firstLine="640"/>
        <w:outlineLvl w:val="1"/>
        <w:rPr>
          <w:rStyle w:val="27"/>
          <w:rFonts w:ascii="黑体" w:hAnsi="黑体" w:eastAsia="黑体"/>
        </w:rPr>
      </w:pPr>
      <w:r>
        <w:rPr>
          <w:rFonts w:hint="eastAsia" w:ascii="黑体" w:eastAsia="黑体"/>
          <w:color w:val="000000"/>
          <w:sz w:val="32"/>
          <w:szCs w:val="32"/>
        </w:rPr>
        <w:t>八、</w:t>
      </w:r>
      <w:r>
        <w:rPr>
          <w:rStyle w:val="27"/>
          <w:rFonts w:hint="eastAsia" w:ascii="黑体" w:hAns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8年政府性基金预算拨款支出0万元。</w:t>
      </w:r>
    </w:p>
    <w:p>
      <w:pPr>
        <w:numPr>
          <w:ilvl w:val="0"/>
          <w:numId w:val="2"/>
        </w:numPr>
        <w:spacing w:line="600" w:lineRule="exact"/>
        <w:ind w:firstLine="640"/>
        <w:outlineLvl w:val="1"/>
        <w:rPr>
          <w:rStyle w:val="27"/>
          <w:rFonts w:ascii="黑体" w:hAnsi="黑体" w:eastAsia="黑体"/>
          <w:b w:val="0"/>
        </w:rPr>
      </w:pPr>
      <w:bookmarkStart w:id="48" w:name="_Toc15396611"/>
      <w:bookmarkStart w:id="49" w:name="_Toc15377219"/>
      <w:r>
        <w:rPr>
          <w:rStyle w:val="27"/>
          <w:rFonts w:hint="eastAsia" w:ascii="黑体" w:hAns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8年国有资本经营预算拨款支出0万元。</w:t>
      </w:r>
    </w:p>
    <w:p>
      <w:pPr>
        <w:pStyle w:val="25"/>
        <w:numPr>
          <w:ilvl w:val="0"/>
          <w:numId w:val="3"/>
        </w:numPr>
        <w:spacing w:line="580" w:lineRule="exact"/>
        <w:ind w:firstLineChars="0"/>
        <w:rPr>
          <w:rStyle w:val="27"/>
          <w:rFonts w:ascii="黑体" w:hAnsi="黑体" w:eastAsia="黑体"/>
          <w:b w:val="0"/>
        </w:rPr>
      </w:pPr>
      <w:r>
        <w:rPr>
          <w:rStyle w:val="27"/>
          <w:rFonts w:hint="eastAsia" w:ascii="黑体" w:hAnsi="黑体" w:eastAsia="黑体"/>
          <w:b w:val="0"/>
        </w:rPr>
        <w:t>预算绩效情况说明</w:t>
      </w:r>
    </w:p>
    <w:p>
      <w:pPr>
        <w:numPr>
          <w:ilvl w:val="0"/>
          <w:numId w:val="4"/>
        </w:numPr>
        <w:spacing w:line="580" w:lineRule="exact"/>
        <w:ind w:firstLine="643" w:firstLineChars="200"/>
        <w:rPr>
          <w:rFonts w:ascii="楷体" w:hAnsi="楷体" w:eastAsia="楷体" w:cs="楷体_GB2312"/>
          <w:b/>
          <w:bCs/>
          <w:sz w:val="32"/>
          <w:szCs w:val="32"/>
        </w:rPr>
      </w:pPr>
      <w:r>
        <w:rPr>
          <w:rFonts w:hint="eastAsia" w:ascii="楷体" w:hAnsi="楷体" w:eastAsia="楷体" w:cs="楷体_GB2312"/>
          <w:b/>
          <w:bCs/>
          <w:sz w:val="32"/>
          <w:szCs w:val="32"/>
        </w:rPr>
        <w:t>预算绩效管理工作开展情况。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重大项目开展了预算事前绩效评估，对4个项目编制了绩效目标，预算执行过程中，选取3个项目开展绩效监控，年终执行完毕后，对3个项目开展了绩效目标完成情况梳理填报。</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开展绩效自评，从评价情况来看整体支出达到预算比例支出完成情况较好。本部门还自行组织了2个项目绩效评价，从评价情况来看项目整体绩效目标达到预定目标完成时效达成预期目标。</w:t>
      </w:r>
    </w:p>
    <w:p>
      <w:pPr>
        <w:numPr>
          <w:ilvl w:val="0"/>
          <w:numId w:val="4"/>
        </w:numPr>
        <w:spacing w:line="580" w:lineRule="exact"/>
        <w:ind w:firstLine="643" w:firstLineChars="200"/>
        <w:rPr>
          <w:rFonts w:ascii="仿宋_GB2312" w:hAnsi="仿宋_GB2312" w:eastAsia="仿宋_GB2312" w:cs="仿宋_GB2312"/>
          <w:sz w:val="32"/>
          <w:szCs w:val="32"/>
        </w:rPr>
      </w:pPr>
      <w:r>
        <w:rPr>
          <w:rFonts w:hint="eastAsia" w:ascii="楷体" w:hAnsi="楷体" w:eastAsia="楷体" w:cs="楷体_GB2312"/>
          <w:b/>
          <w:bCs/>
          <w:sz w:val="32"/>
          <w:szCs w:val="32"/>
        </w:rPr>
        <w:t>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本部门在2018年度部门决算中反映“艾滋病防治项目</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结核病防治项目</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“包虫病防治项目”“免疫规划项目”等4个项目绩效目标实际完成情况。</w:t>
      </w:r>
    </w:p>
    <w:p>
      <w:pPr>
        <w:spacing w:line="550" w:lineRule="exact"/>
        <w:ind w:firstLine="643" w:firstLineChars="200"/>
        <w:rPr>
          <w:rFonts w:ascii="仿宋_GB2312" w:hAnsi="楷体" w:eastAsia="仿宋_GB2312"/>
          <w:b/>
          <w:bCs/>
          <w:color w:val="000000"/>
          <w:sz w:val="32"/>
          <w:szCs w:val="32"/>
        </w:rPr>
      </w:pPr>
      <w:r>
        <w:rPr>
          <w:rFonts w:hint="eastAsia" w:ascii="仿宋_GB2312" w:hAnsi="宋体" w:eastAsia="仿宋_GB2312"/>
          <w:b/>
          <w:bCs/>
          <w:color w:val="000000"/>
          <w:sz w:val="32"/>
          <w:szCs w:val="32"/>
        </w:rPr>
        <w:t>（1）</w:t>
      </w:r>
      <w:r>
        <w:rPr>
          <w:rFonts w:hint="eastAsia" w:ascii="仿宋_GB2312" w:hAnsi="楷体" w:eastAsia="仿宋_GB2312"/>
          <w:b/>
          <w:bCs/>
          <w:color w:val="000000"/>
          <w:sz w:val="32"/>
          <w:szCs w:val="32"/>
        </w:rPr>
        <w:t>艾滋病综合防控工作有力推进</w:t>
      </w:r>
    </w:p>
    <w:p>
      <w:pPr>
        <w:widowControl/>
        <w:spacing w:line="560" w:lineRule="exact"/>
        <w:ind w:firstLine="640" w:firstLineChars="20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sz w:val="32"/>
          <w:szCs w:val="32"/>
        </w:rPr>
        <w:t>建立、健全了艾滋病和性病防治有效结合的工作机制，大力宣传性病艾滋病防治知识，以性病防治工作，促进艾滋病防治工作。县人民政府成立了以分管县长为组长的相关部门为成员的领导机构。形成了部门各负其责，全社会共同参与的防治机制。建立了哨点监测、监管场所监测、管理场所监测及咨询检测。全年完成艾滋病自愿咨询检测309人、性病门诊检测12人、婚前检测506人、孕产期检测442人、娱乐场所人员检测6人、监管人员77人，术前检测442人、其他专题调查2703人。今年完成了17人次的CD4检测工作。</w:t>
      </w:r>
    </w:p>
    <w:p>
      <w:pPr>
        <w:spacing w:line="560" w:lineRule="exact"/>
        <w:ind w:firstLine="640" w:firstLineChars="200"/>
        <w:rPr>
          <w:rFonts w:ascii="仿宋_GB2312" w:hAnsi="仿宋_GB2312" w:eastAsia="仿宋_GB2312" w:cs="仿宋_GB2312"/>
          <w:color w:val="333333"/>
          <w:sz w:val="32"/>
          <w:szCs w:val="32"/>
        </w:rPr>
      </w:pPr>
      <w:r>
        <w:rPr>
          <w:rFonts w:hint="eastAsia" w:ascii="仿宋_GB2312" w:hAnsi="仿宋_GB2312" w:eastAsia="仿宋_GB2312" w:cs="仿宋_GB2312"/>
          <w:sz w:val="32"/>
          <w:szCs w:val="32"/>
        </w:rPr>
        <w:t>加大宣传艾滋病防治知识的力度，分别于“12.1”和9月22日开展了“红原县2018年艾滋病防治”宣传活动，</w:t>
      </w:r>
      <w:r>
        <w:rPr>
          <w:rFonts w:hint="eastAsia" w:ascii="仿宋_GB2312" w:hAnsi="仿宋_GB2312" w:eastAsia="仿宋_GB2312"/>
          <w:sz w:val="32"/>
        </w:rPr>
        <w:t>受益群众达22000余人，全年共发放各种宣传资料10000余份，制作横幅6幅，制作传染性疾病图片12幅；发放卫生纸、卫生巾各8000余份；发放避孕套10000余盒；发放宣传挂历2000个。</w:t>
      </w:r>
      <w:r>
        <w:rPr>
          <w:rFonts w:hint="eastAsia" w:ascii="仿宋_GB2312" w:hAnsi="仿宋_GB2312" w:eastAsia="仿宋_GB2312" w:cs="仿宋_GB2312"/>
          <w:color w:val="333333"/>
          <w:sz w:val="32"/>
          <w:szCs w:val="32"/>
        </w:rPr>
        <w:t>增强了辖区内农牧民群众艾滋病防治知识知晓率，提高了自我防护意识，同时，让参与的群众了解了艾滋病的传播方式及预防措施，消除了对艾滋病的恐慌，对居民身体健康起到了积极推动作用。</w:t>
      </w:r>
    </w:p>
    <w:p>
      <w:pPr>
        <w:spacing w:line="560" w:lineRule="exact"/>
        <w:ind w:firstLine="640" w:firstLineChars="200"/>
        <w:rPr>
          <w:rFonts w:ascii="仿宋_GB2312" w:hAnsi="仿宋_GB2312" w:eastAsia="仿宋_GB2312"/>
          <w:sz w:val="32"/>
        </w:rPr>
      </w:pPr>
      <w:r>
        <w:rPr>
          <w:rFonts w:hint="eastAsia" w:ascii="仿宋_GB2312" w:hAnsi="仿宋_GB2312" w:eastAsia="仿宋_GB2312"/>
          <w:sz w:val="32"/>
        </w:rPr>
        <w:t>全年</w:t>
      </w:r>
      <w:r>
        <w:rPr>
          <w:rFonts w:hint="eastAsia" w:ascii="仿宋_GB2312" w:hAnsi="仿宋_GB2312" w:eastAsia="仿宋_GB2312" w:cs="仿宋_GB2312"/>
          <w:sz w:val="32"/>
          <w:szCs w:val="32"/>
        </w:rPr>
        <w:t>对辖区内暗娼场所进行了摸底调查，对全县仅1所低级的CSW场所里的6名性服务工作者进行了艾滋病性病防治知识宣传并发放宣传资料和安全套，在知情同意的原则下对6名性服务工作者进行了HIV筛查，未发现HIV阳性患者。全年共完成高危行为干预累计1217人次；成艾滋病病毒感染者艾滋病病人的定期随访17人次；27名感染者和病人中，</w:t>
      </w:r>
      <w:r>
        <w:rPr>
          <w:rFonts w:hint="eastAsia" w:ascii="仿宋_GB2312" w:eastAsia="仿宋_GB2312"/>
          <w:sz w:val="32"/>
          <w:szCs w:val="32"/>
        </w:rPr>
        <w:t>已接受抗病毒治疗并存活18人，正在申请治疗4例，拒绝治疗2例，转到外地治疗3例。</w:t>
      </w:r>
    </w:p>
    <w:tbl>
      <w:tblPr>
        <w:tblStyle w:val="14"/>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203"/>
        <w:gridCol w:w="1189"/>
        <w:gridCol w:w="2673"/>
        <w:gridCol w:w="2113"/>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5"/>
              <w:widowControl/>
              <w:ind w:left="4173" w:leftChars="1310" w:hanging="1422" w:hangingChars="395"/>
              <w:textAlignment w:val="center"/>
              <w:rPr>
                <w:rFonts w:hint="eastAsia" w:ascii="黑体" w:hAnsi="黑体" w:eastAsia="黑体" w:cs="宋体"/>
                <w:bCs/>
                <w:color w:val="000000"/>
                <w:kern w:val="0"/>
                <w:sz w:val="36"/>
                <w:szCs w:val="36"/>
              </w:rPr>
            </w:pPr>
          </w:p>
          <w:p>
            <w:pPr>
              <w:pStyle w:val="25"/>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(2018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2018年重大公共卫生服务项目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红原县疾病预防控制中心</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558.94</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266.76</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558.94</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266.76</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eastAsia="zh-CN"/>
              </w:rPr>
              <w:t>其他资金</w:t>
            </w:r>
            <w:r>
              <w:rPr>
                <w:rFonts w:hint="eastAsia" w:ascii="宋体" w:hAnsi="宋体" w:cs="宋体"/>
                <w:color w:val="000000"/>
                <w:kern w:val="0"/>
                <w:sz w:val="24"/>
              </w:rPr>
              <w:t>:</w:t>
            </w: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eastAsia="zh-CN"/>
              </w:rPr>
              <w:t>其他资金</w:t>
            </w:r>
            <w:r>
              <w:rPr>
                <w:rFonts w:hint="eastAsia"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506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50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506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60" w:lineRule="exact"/>
              <w:ind w:firstLine="413" w:firstLineChars="196"/>
              <w:rPr>
                <w:rFonts w:ascii="仿宋_GB2312" w:hAnsi="仿宋" w:eastAsia="仿宋_GB2312"/>
                <w:color w:val="000000"/>
                <w:szCs w:val="21"/>
              </w:rPr>
            </w:pPr>
            <w:r>
              <w:rPr>
                <w:rFonts w:hint="eastAsia" w:ascii="仿宋_GB2312" w:hAnsi="仿宋" w:eastAsia="仿宋_GB2312"/>
                <w:b/>
                <w:color w:val="000000"/>
                <w:szCs w:val="21"/>
              </w:rPr>
              <w:t>一是</w:t>
            </w:r>
            <w:r>
              <w:rPr>
                <w:rFonts w:hint="eastAsia" w:ascii="仿宋_GB2312" w:hAnsi="仿宋" w:eastAsia="仿宋_GB2312"/>
                <w:color w:val="000000"/>
                <w:szCs w:val="21"/>
              </w:rPr>
              <w:t>逐步建立覆盖全县的疾控体系网络。</w:t>
            </w:r>
            <w:r>
              <w:rPr>
                <w:rFonts w:hint="eastAsia" w:ascii="仿宋_GB2312" w:hAnsi="仿宋" w:eastAsia="仿宋_GB2312"/>
                <w:b/>
                <w:color w:val="000000"/>
                <w:szCs w:val="21"/>
              </w:rPr>
              <w:t>二是</w:t>
            </w:r>
            <w:r>
              <w:rPr>
                <w:rFonts w:hint="eastAsia" w:ascii="仿宋_GB2312" w:hAnsi="仿宋" w:eastAsia="仿宋_GB2312"/>
                <w:color w:val="000000"/>
                <w:szCs w:val="21"/>
              </w:rPr>
              <w:t>进一步加强免疫规划工作力度，全面提升预防接种覆盖率，加强传染病管理。抓好艾滋病、结核病等重大传染病防控工作,三是</w:t>
            </w:r>
            <w:r>
              <w:rPr>
                <w:rFonts w:hint="eastAsia" w:ascii="宋体" w:hAnsi="宋体" w:cs="宋体"/>
                <w:color w:val="000000"/>
                <w:szCs w:val="21"/>
              </w:rPr>
              <w:t>提高公共卫生服务水平.</w:t>
            </w:r>
          </w:p>
          <w:p>
            <w:pPr>
              <w:widowControl/>
              <w:jc w:val="center"/>
              <w:textAlignment w:val="center"/>
              <w:rPr>
                <w:rFonts w:ascii="宋体" w:hAnsi="宋体" w:cs="宋体"/>
                <w:color w:val="000000"/>
                <w:sz w:val="24"/>
              </w:rPr>
            </w:pPr>
          </w:p>
        </w:tc>
        <w:tc>
          <w:tcPr>
            <w:tcW w:w="450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6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1.成立了基本公共卫生服务均等化指导中心，并将办公地点建在卫计局，具体负责全县疾控工作的统一管理和业务指导，及时协调解决工作中遇到的困难和问题，推进全县疾控工作规范有序实施。</w:t>
            </w:r>
          </w:p>
          <w:p>
            <w:pPr>
              <w:spacing w:line="560" w:lineRule="exact"/>
              <w:ind w:firstLine="640"/>
              <w:rPr>
                <w:rFonts w:ascii="仿宋_GB2312" w:hAnsi="仿宋_GB2312" w:eastAsia="仿宋_GB2312" w:cs="仿宋_GB2312"/>
                <w:szCs w:val="21"/>
              </w:rPr>
            </w:pPr>
            <w:r>
              <w:rPr>
                <w:rFonts w:hint="eastAsia" w:ascii="仿宋_GB2312" w:hAnsi="仿宋_GB2312" w:eastAsia="仿宋_GB2312" w:cs="仿宋_GB2312"/>
                <w:szCs w:val="21"/>
              </w:rPr>
              <w:t>2.在全县11个乡镇卫生院建立了规范化预防接种门诊，并投入15万元建立儿童免疫规划信息化建设系统，有效保障全县免疫规划工作的开展。</w:t>
            </w:r>
          </w:p>
          <w:p>
            <w:pPr>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3.完善各项规章制度，保证了疾控工作有条不紊进行。</w:t>
            </w:r>
          </w:p>
          <w:p>
            <w:pPr>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4.组建疾控指导团队，强化业务指导和技术支撑。为全面履行公共卫生专业机构职能，充分发挥公共卫生专业机构对基层医疗卫生机构的业务指导和技术支撑作用，全面推进公共卫生专业机构工作“重心下沉、关口前移”。</w:t>
            </w:r>
          </w:p>
          <w:p>
            <w:pPr>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5.抓专业知识培训是提高人员业务能力的有效途径。 选派年轻同志到省、绵阳市、州疾控进修以提高业务知识水平。</w:t>
            </w:r>
          </w:p>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90"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20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18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40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32"/>
                <w:szCs w:val="32"/>
              </w:rPr>
            </w:pPr>
            <w:r>
              <w:rPr>
                <w:rFonts w:hint="eastAsia" w:ascii="宋体" w:hAnsi="宋体" w:cs="宋体"/>
                <w:color w:val="000000"/>
                <w:kern w:val="0"/>
                <w:sz w:val="32"/>
                <w:szCs w:val="32"/>
              </w:rPr>
              <w:t>项</w:t>
            </w:r>
          </w:p>
          <w:p>
            <w:pPr>
              <w:widowControl/>
              <w:jc w:val="center"/>
              <w:textAlignment w:val="center"/>
              <w:rPr>
                <w:rFonts w:ascii="宋体" w:hAnsi="宋体" w:cs="宋体"/>
                <w:color w:val="000000"/>
                <w:kern w:val="0"/>
                <w:sz w:val="32"/>
                <w:szCs w:val="32"/>
              </w:rPr>
            </w:pPr>
            <w:r>
              <w:rPr>
                <w:rFonts w:hint="eastAsia" w:ascii="宋体" w:hAnsi="宋体" w:cs="宋体"/>
                <w:color w:val="000000"/>
                <w:kern w:val="0"/>
                <w:sz w:val="32"/>
                <w:szCs w:val="32"/>
              </w:rPr>
              <w:t>目</w:t>
            </w:r>
          </w:p>
          <w:p>
            <w:pPr>
              <w:widowControl/>
              <w:jc w:val="center"/>
              <w:textAlignment w:val="center"/>
              <w:rPr>
                <w:rFonts w:ascii="宋体" w:hAnsi="宋体" w:cs="宋体"/>
                <w:color w:val="000000"/>
                <w:kern w:val="0"/>
                <w:sz w:val="32"/>
                <w:szCs w:val="32"/>
              </w:rPr>
            </w:pPr>
            <w:r>
              <w:rPr>
                <w:rFonts w:hint="eastAsia" w:ascii="宋体" w:hAnsi="宋体" w:cs="宋体"/>
                <w:color w:val="000000"/>
                <w:kern w:val="0"/>
                <w:sz w:val="32"/>
                <w:szCs w:val="32"/>
              </w:rPr>
              <w:t>完</w:t>
            </w:r>
          </w:p>
          <w:p>
            <w:pPr>
              <w:widowControl/>
              <w:jc w:val="center"/>
              <w:textAlignment w:val="center"/>
              <w:rPr>
                <w:rFonts w:ascii="宋体" w:hAnsi="宋体" w:cs="宋体"/>
                <w:color w:val="000000"/>
                <w:kern w:val="0"/>
                <w:sz w:val="32"/>
                <w:szCs w:val="32"/>
              </w:rPr>
            </w:pPr>
            <w:r>
              <w:rPr>
                <w:rFonts w:hint="eastAsia" w:ascii="宋体" w:hAnsi="宋体" w:cs="宋体"/>
                <w:color w:val="000000"/>
                <w:kern w:val="0"/>
                <w:sz w:val="32"/>
                <w:szCs w:val="32"/>
              </w:rPr>
              <w:t>成</w:t>
            </w:r>
          </w:p>
          <w:p>
            <w:pPr>
              <w:widowControl/>
              <w:jc w:val="center"/>
              <w:textAlignment w:val="center"/>
              <w:rPr>
                <w:rFonts w:ascii="宋体" w:hAnsi="宋体" w:cs="宋体"/>
                <w:color w:val="000000"/>
                <w:kern w:val="0"/>
                <w:sz w:val="32"/>
                <w:szCs w:val="32"/>
              </w:rPr>
            </w:pPr>
            <w:r>
              <w:rPr>
                <w:rFonts w:hint="eastAsia" w:ascii="宋体" w:hAnsi="宋体" w:cs="宋体"/>
                <w:color w:val="000000"/>
                <w:kern w:val="0"/>
                <w:sz w:val="32"/>
                <w:szCs w:val="32"/>
              </w:rPr>
              <w:t>指</w:t>
            </w:r>
          </w:p>
          <w:p>
            <w:pPr>
              <w:widowControl/>
              <w:jc w:val="center"/>
              <w:textAlignment w:val="center"/>
              <w:rPr>
                <w:rFonts w:ascii="宋体" w:hAnsi="宋体" w:cs="宋体"/>
                <w:color w:val="000000"/>
                <w:kern w:val="0"/>
                <w:sz w:val="32"/>
                <w:szCs w:val="32"/>
              </w:rPr>
            </w:pPr>
            <w:r>
              <w:rPr>
                <w:rFonts w:hint="eastAsia" w:ascii="宋体" w:hAnsi="宋体" w:cs="宋体"/>
                <w:color w:val="000000"/>
                <w:kern w:val="0"/>
                <w:sz w:val="32"/>
                <w:szCs w:val="32"/>
              </w:rPr>
              <w:t>标</w:t>
            </w:r>
          </w:p>
          <w:p>
            <w:pPr>
              <w:widowControl/>
              <w:jc w:val="center"/>
              <w:textAlignment w:val="center"/>
              <w:rPr>
                <w:rFonts w:ascii="宋体" w:hAnsi="宋体" w:cs="宋体"/>
                <w:color w:val="000000"/>
                <w:sz w:val="18"/>
                <w:szCs w:val="18"/>
              </w:rPr>
            </w:pPr>
          </w:p>
          <w:p>
            <w:pPr>
              <w:widowControl/>
              <w:jc w:val="center"/>
              <w:textAlignment w:val="center"/>
              <w:rPr>
                <w:rFonts w:ascii="宋体" w:hAnsi="宋体" w:cs="宋体"/>
                <w:color w:val="000000"/>
                <w:kern w:val="0"/>
                <w:sz w:val="18"/>
                <w:szCs w:val="18"/>
              </w:rPr>
            </w:pPr>
          </w:p>
          <w:p>
            <w:pPr>
              <w:widowControl/>
              <w:jc w:val="center"/>
              <w:textAlignment w:val="center"/>
              <w:rPr>
                <w:rFonts w:ascii="宋体" w:hAnsi="宋体" w:cs="宋体"/>
                <w:color w:val="000000"/>
                <w:sz w:val="24"/>
              </w:rPr>
            </w:pPr>
          </w:p>
        </w:tc>
        <w:tc>
          <w:tcPr>
            <w:tcW w:w="1189"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8"/>
                <w:szCs w:val="28"/>
              </w:rPr>
            </w:pPr>
            <w:r>
              <w:rPr>
                <w:rFonts w:hint="eastAsia" w:ascii="宋体" w:hAnsi="宋体" w:cs="宋体"/>
                <w:color w:val="000000"/>
                <w:sz w:val="28"/>
                <w:szCs w:val="28"/>
              </w:rPr>
              <w:t>数</w:t>
            </w:r>
          </w:p>
          <w:p>
            <w:pPr>
              <w:widowControl/>
              <w:jc w:val="center"/>
              <w:textAlignment w:val="center"/>
              <w:rPr>
                <w:rFonts w:ascii="宋体" w:hAnsi="宋体" w:cs="宋体"/>
                <w:color w:val="000000"/>
                <w:sz w:val="28"/>
                <w:szCs w:val="28"/>
              </w:rPr>
            </w:pPr>
            <w:r>
              <w:rPr>
                <w:rFonts w:hint="eastAsia" w:ascii="宋体" w:hAnsi="宋体" w:cs="宋体"/>
                <w:color w:val="000000"/>
                <w:sz w:val="28"/>
                <w:szCs w:val="28"/>
              </w:rPr>
              <w:t>量</w:t>
            </w:r>
          </w:p>
          <w:p>
            <w:pPr>
              <w:widowControl/>
              <w:jc w:val="center"/>
              <w:textAlignment w:val="center"/>
              <w:rPr>
                <w:rFonts w:ascii="宋体" w:hAnsi="宋体" w:cs="宋体"/>
                <w:color w:val="000000"/>
                <w:sz w:val="28"/>
                <w:szCs w:val="28"/>
              </w:rPr>
            </w:pPr>
            <w:r>
              <w:rPr>
                <w:rFonts w:hint="eastAsia" w:ascii="宋体" w:hAnsi="宋体" w:cs="宋体"/>
                <w:color w:val="000000"/>
                <w:sz w:val="28"/>
                <w:szCs w:val="28"/>
              </w:rPr>
              <w:t>指</w:t>
            </w:r>
          </w:p>
          <w:p>
            <w:pPr>
              <w:widowControl/>
              <w:jc w:val="center"/>
              <w:textAlignment w:val="center"/>
              <w:rPr>
                <w:rFonts w:ascii="宋体" w:hAnsi="宋体" w:cs="宋体"/>
                <w:color w:val="000000"/>
                <w:sz w:val="24"/>
              </w:rPr>
            </w:pPr>
            <w:r>
              <w:rPr>
                <w:rFonts w:hint="eastAsia" w:ascii="宋体" w:hAnsi="宋体" w:cs="宋体"/>
                <w:color w:val="000000"/>
                <w:sz w:val="28"/>
                <w:szCs w:val="28"/>
              </w:rPr>
              <w:t>标</w:t>
            </w: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15"/>
                <w:szCs w:val="15"/>
              </w:rPr>
            </w:pPr>
            <w:r>
              <w:rPr>
                <w:rFonts w:hint="eastAsia" w:ascii="宋体" w:hAnsi="宋体" w:cs="宋体"/>
                <w:color w:val="000000"/>
                <w:kern w:val="0"/>
                <w:sz w:val="15"/>
                <w:szCs w:val="15"/>
              </w:rPr>
              <w:t xml:space="preserve"> 报告发现的结核病患者（包括耐多药结核患者）管理率（≥**%）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15"/>
                <w:szCs w:val="15"/>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≥90％</w:t>
            </w:r>
          </w:p>
        </w:tc>
      </w:tr>
      <w:tr>
        <w:tblPrEx>
          <w:tblCellMar>
            <w:top w:w="0" w:type="dxa"/>
            <w:left w:w="0" w:type="dxa"/>
            <w:bottom w:w="0" w:type="dxa"/>
            <w:right w:w="0" w:type="dxa"/>
          </w:tblCellMar>
        </w:tblPrEx>
        <w:trPr>
          <w:trHeight w:val="40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18"/>
                <w:szCs w:val="18"/>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15"/>
                <w:szCs w:val="15"/>
              </w:rPr>
            </w:pPr>
            <w:r>
              <w:rPr>
                <w:rFonts w:hint="eastAsia" w:ascii="宋体" w:hAnsi="宋体" w:cs="宋体"/>
                <w:color w:val="000000"/>
                <w:kern w:val="0"/>
                <w:sz w:val="15"/>
                <w:szCs w:val="15"/>
              </w:rPr>
              <w:t xml:space="preserve"> 65岁以上老年人健康管理率（≥**%）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≥4.2％</w:t>
            </w:r>
          </w:p>
        </w:tc>
      </w:tr>
      <w:tr>
        <w:tblPrEx>
          <w:tblCellMar>
            <w:top w:w="0" w:type="dxa"/>
            <w:left w:w="0" w:type="dxa"/>
            <w:bottom w:w="0" w:type="dxa"/>
            <w:right w:w="0" w:type="dxa"/>
          </w:tblCellMar>
        </w:tblPrEx>
        <w:trPr>
          <w:trHeight w:val="29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18"/>
                <w:szCs w:val="18"/>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15"/>
                <w:szCs w:val="15"/>
              </w:rPr>
            </w:pPr>
            <w:r>
              <w:rPr>
                <w:rFonts w:hint="eastAsia" w:ascii="宋体" w:hAnsi="宋体" w:cs="宋体"/>
                <w:color w:val="000000"/>
                <w:kern w:val="0"/>
                <w:sz w:val="15"/>
                <w:szCs w:val="15"/>
              </w:rPr>
              <w:t xml:space="preserve"> 艾滋病感染者/病人随访检测比例（≥**%）</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tc>
      </w:tr>
      <w:tr>
        <w:tblPrEx>
          <w:tblCellMar>
            <w:top w:w="0" w:type="dxa"/>
            <w:left w:w="0" w:type="dxa"/>
            <w:bottom w:w="0" w:type="dxa"/>
            <w:right w:w="0" w:type="dxa"/>
          </w:tblCellMar>
        </w:tblPrEx>
        <w:trPr>
          <w:trHeight w:val="30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18"/>
                <w:szCs w:val="18"/>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15"/>
                <w:szCs w:val="15"/>
              </w:rPr>
            </w:pPr>
            <w:r>
              <w:rPr>
                <w:rFonts w:hint="eastAsia" w:ascii="宋体" w:hAnsi="宋体" w:cs="宋体"/>
                <w:color w:val="000000"/>
                <w:kern w:val="0"/>
                <w:sz w:val="15"/>
                <w:szCs w:val="15"/>
              </w:rPr>
              <w:t xml:space="preserve"> 艾滋病抗病毒治疗人数（≥**万人）</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0.0021</w:t>
            </w:r>
          </w:p>
        </w:tc>
      </w:tr>
      <w:tr>
        <w:tblPrEx>
          <w:tblCellMar>
            <w:top w:w="0" w:type="dxa"/>
            <w:left w:w="0" w:type="dxa"/>
            <w:bottom w:w="0" w:type="dxa"/>
            <w:right w:w="0" w:type="dxa"/>
          </w:tblCellMar>
        </w:tblPrEx>
        <w:trPr>
          <w:trHeight w:val="38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15"/>
                <w:szCs w:val="15"/>
              </w:rPr>
            </w:pPr>
            <w:r>
              <w:rPr>
                <w:rFonts w:hint="eastAsia" w:ascii="宋体" w:hAnsi="宋体" w:cs="宋体"/>
                <w:color w:val="000000"/>
                <w:kern w:val="0"/>
                <w:sz w:val="15"/>
                <w:szCs w:val="15"/>
              </w:rPr>
              <w:t xml:space="preserve"> 筛查肺结核可疑患者人数（＞**万人）</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0.002</w:t>
            </w:r>
          </w:p>
        </w:tc>
      </w:tr>
      <w:tr>
        <w:tblPrEx>
          <w:tblCellMar>
            <w:top w:w="0" w:type="dxa"/>
            <w:left w:w="0" w:type="dxa"/>
            <w:bottom w:w="0" w:type="dxa"/>
            <w:right w:w="0" w:type="dxa"/>
          </w:tblCellMar>
        </w:tblPrEx>
        <w:trPr>
          <w:trHeight w:val="50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15"/>
                <w:szCs w:val="15"/>
              </w:rPr>
            </w:pPr>
            <w:r>
              <w:rPr>
                <w:rFonts w:hint="eastAsia" w:ascii="宋体" w:hAnsi="宋体" w:cs="宋体"/>
                <w:color w:val="000000"/>
                <w:kern w:val="0"/>
                <w:sz w:val="15"/>
                <w:szCs w:val="15"/>
              </w:rPr>
              <w:t xml:space="preserve"> 发现并治疗活动性肺结核患者人数（＞**万人）</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0.009</w:t>
            </w:r>
          </w:p>
        </w:tc>
      </w:tr>
      <w:tr>
        <w:tblPrEx>
          <w:tblCellMar>
            <w:top w:w="0" w:type="dxa"/>
            <w:left w:w="0" w:type="dxa"/>
            <w:bottom w:w="0" w:type="dxa"/>
            <w:right w:w="0" w:type="dxa"/>
          </w:tblCellMar>
        </w:tblPrEx>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24"/>
              </w:rPr>
            </w:pPr>
            <w:r>
              <w:rPr>
                <w:rFonts w:hint="eastAsia" w:ascii="宋体" w:hAnsi="宋体" w:cs="宋体"/>
                <w:color w:val="000000"/>
                <w:kern w:val="0"/>
                <w:sz w:val="15"/>
                <w:szCs w:val="15"/>
              </w:rPr>
              <w:t xml:space="preserve"> 包虫病免费药物治疗（**万人）</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=0.0129</w:t>
            </w:r>
          </w:p>
        </w:tc>
      </w:tr>
      <w:tr>
        <w:tblPrEx>
          <w:tblCellMar>
            <w:top w:w="0" w:type="dxa"/>
            <w:left w:w="0" w:type="dxa"/>
            <w:bottom w:w="0" w:type="dxa"/>
            <w:right w:w="0" w:type="dxa"/>
          </w:tblCellMar>
        </w:tblPrEx>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15"/>
                <w:szCs w:val="15"/>
              </w:rPr>
            </w:pPr>
            <w:r>
              <w:rPr>
                <w:rFonts w:hint="eastAsia" w:ascii="宋体" w:hAnsi="宋体" w:cs="宋体"/>
                <w:color w:val="000000"/>
                <w:kern w:val="0"/>
                <w:sz w:val="15"/>
                <w:szCs w:val="15"/>
              </w:rPr>
              <w:t xml:space="preserve"> 严重精神障碍患者筛查诊断（**人）</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89</w:t>
            </w:r>
          </w:p>
        </w:tc>
      </w:tr>
      <w:tr>
        <w:tblPrEx>
          <w:tblCellMar>
            <w:top w:w="0" w:type="dxa"/>
            <w:left w:w="0" w:type="dxa"/>
            <w:bottom w:w="0" w:type="dxa"/>
            <w:right w:w="0" w:type="dxa"/>
          </w:tblCellMar>
        </w:tblPrEx>
        <w:trPr>
          <w:trHeight w:val="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15"/>
                <w:szCs w:val="15"/>
              </w:rPr>
            </w:pPr>
            <w:r>
              <w:rPr>
                <w:rFonts w:hint="eastAsia" w:ascii="宋体" w:hAnsi="宋体" w:cs="宋体"/>
                <w:color w:val="000000"/>
                <w:kern w:val="0"/>
                <w:sz w:val="15"/>
                <w:szCs w:val="15"/>
              </w:rPr>
              <w:t xml:space="preserve"> 心血管病高危人群早筛查人数（**人）</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15"/>
                <w:szCs w:val="15"/>
              </w:rPr>
            </w:pPr>
            <w:r>
              <w:rPr>
                <w:rFonts w:hint="eastAsia" w:ascii="宋体" w:hAnsi="宋体" w:cs="宋体"/>
                <w:color w:val="000000"/>
                <w:kern w:val="0"/>
                <w:sz w:val="15"/>
                <w:szCs w:val="15"/>
              </w:rPr>
              <w:t xml:space="preserve">        肿瘤登记数（**人）</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12</w:t>
            </w:r>
          </w:p>
        </w:tc>
      </w:tr>
      <w:tr>
        <w:tblPrEx>
          <w:tblCellMar>
            <w:top w:w="0" w:type="dxa"/>
            <w:left w:w="0" w:type="dxa"/>
            <w:bottom w:w="0" w:type="dxa"/>
            <w:right w:w="0" w:type="dxa"/>
          </w:tblCellMar>
        </w:tblPrEx>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15"/>
                <w:szCs w:val="15"/>
              </w:rPr>
            </w:pPr>
            <w:r>
              <w:rPr>
                <w:rFonts w:hint="eastAsia" w:ascii="宋体" w:hAnsi="宋体" w:cs="宋体"/>
                <w:color w:val="000000"/>
                <w:kern w:val="0"/>
                <w:sz w:val="15"/>
                <w:szCs w:val="15"/>
              </w:rPr>
              <w:t xml:space="preserve">        死因监测数（**人）</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131</w:t>
            </w:r>
          </w:p>
        </w:tc>
      </w:tr>
      <w:tr>
        <w:tblPrEx>
          <w:tblCellMar>
            <w:top w:w="0" w:type="dxa"/>
            <w:left w:w="0" w:type="dxa"/>
            <w:bottom w:w="0" w:type="dxa"/>
            <w:right w:w="0" w:type="dxa"/>
          </w:tblCellMar>
        </w:tblPrEx>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8"/>
                <w:szCs w:val="28"/>
              </w:rPr>
            </w:pPr>
            <w:r>
              <w:rPr>
                <w:rFonts w:hint="eastAsia" w:ascii="宋体" w:hAnsi="宋体" w:cs="宋体"/>
                <w:color w:val="000000"/>
                <w:sz w:val="28"/>
                <w:szCs w:val="28"/>
              </w:rPr>
              <w:t>质</w:t>
            </w:r>
          </w:p>
          <w:p>
            <w:pPr>
              <w:widowControl/>
              <w:jc w:val="center"/>
              <w:textAlignment w:val="center"/>
              <w:rPr>
                <w:rFonts w:ascii="宋体" w:hAnsi="宋体" w:cs="宋体"/>
                <w:color w:val="000000"/>
                <w:sz w:val="28"/>
                <w:szCs w:val="28"/>
              </w:rPr>
            </w:pPr>
            <w:r>
              <w:rPr>
                <w:rFonts w:hint="eastAsia" w:ascii="宋体" w:hAnsi="宋体" w:cs="宋体"/>
                <w:color w:val="000000"/>
                <w:sz w:val="28"/>
                <w:szCs w:val="28"/>
              </w:rPr>
              <w:t>量</w:t>
            </w:r>
          </w:p>
          <w:p>
            <w:pPr>
              <w:widowControl/>
              <w:jc w:val="center"/>
              <w:textAlignment w:val="center"/>
              <w:rPr>
                <w:rFonts w:ascii="宋体" w:hAnsi="宋体" w:cs="宋体"/>
                <w:color w:val="000000"/>
                <w:sz w:val="28"/>
                <w:szCs w:val="28"/>
              </w:rPr>
            </w:pPr>
            <w:r>
              <w:rPr>
                <w:rFonts w:hint="eastAsia" w:ascii="宋体" w:hAnsi="宋体" w:cs="宋体"/>
                <w:color w:val="000000"/>
                <w:sz w:val="28"/>
                <w:szCs w:val="28"/>
              </w:rPr>
              <w:t>指</w:t>
            </w:r>
          </w:p>
          <w:p>
            <w:pPr>
              <w:widowControl/>
              <w:jc w:val="center"/>
              <w:textAlignment w:val="center"/>
              <w:rPr>
                <w:rFonts w:ascii="宋体" w:hAnsi="宋体" w:cs="宋体"/>
                <w:color w:val="000000"/>
                <w:sz w:val="24"/>
              </w:rPr>
            </w:pPr>
            <w:r>
              <w:rPr>
                <w:rFonts w:hint="eastAsia" w:ascii="宋体" w:hAnsi="宋体" w:cs="宋体"/>
                <w:color w:val="000000"/>
                <w:sz w:val="28"/>
                <w:szCs w:val="28"/>
              </w:rPr>
              <w:t>标</w:t>
            </w: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15"/>
                <w:szCs w:val="15"/>
              </w:rPr>
            </w:pPr>
            <w:r>
              <w:rPr>
                <w:rFonts w:hint="eastAsia" w:ascii="宋体" w:hAnsi="宋体" w:cs="宋体"/>
                <w:color w:val="000000"/>
                <w:kern w:val="0"/>
                <w:sz w:val="15"/>
                <w:szCs w:val="15"/>
              </w:rPr>
              <w:t xml:space="preserve"> 居民健康档案电子建档率（≥**%）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≥90.1％</w:t>
            </w:r>
          </w:p>
        </w:tc>
      </w:tr>
      <w:tr>
        <w:tblPrEx>
          <w:tblCellMar>
            <w:top w:w="0" w:type="dxa"/>
            <w:left w:w="0" w:type="dxa"/>
            <w:bottom w:w="0" w:type="dxa"/>
            <w:right w:w="0" w:type="dxa"/>
          </w:tblCellMar>
        </w:tblPrEx>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15"/>
                <w:szCs w:val="15"/>
              </w:rPr>
            </w:pPr>
            <w:r>
              <w:rPr>
                <w:rFonts w:hint="eastAsia" w:ascii="宋体" w:hAnsi="宋体" w:cs="宋体"/>
                <w:color w:val="000000"/>
                <w:kern w:val="0"/>
                <w:sz w:val="15"/>
                <w:szCs w:val="15"/>
              </w:rPr>
              <w:t xml:space="preserve"> 高血压患者规范管理率（≥**%）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≥91.5％</w:t>
            </w:r>
          </w:p>
        </w:tc>
      </w:tr>
      <w:tr>
        <w:tblPrEx>
          <w:tblCellMar>
            <w:top w:w="0" w:type="dxa"/>
            <w:left w:w="0" w:type="dxa"/>
            <w:bottom w:w="0" w:type="dxa"/>
            <w:right w:w="0" w:type="dxa"/>
          </w:tblCellMar>
        </w:tblPrEx>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15"/>
                <w:szCs w:val="15"/>
              </w:rPr>
            </w:pPr>
            <w:r>
              <w:rPr>
                <w:rFonts w:hint="eastAsia" w:ascii="宋体" w:hAnsi="宋体" w:cs="宋体"/>
                <w:color w:val="000000"/>
                <w:kern w:val="0"/>
                <w:sz w:val="15"/>
                <w:szCs w:val="15"/>
              </w:rPr>
              <w:t xml:space="preserve"> 糖尿病患者规范管理率（≥**%）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≥93.5％</w:t>
            </w:r>
          </w:p>
        </w:tc>
      </w:tr>
      <w:tr>
        <w:tblPrEx>
          <w:tblCellMar>
            <w:top w:w="0" w:type="dxa"/>
            <w:left w:w="0" w:type="dxa"/>
            <w:bottom w:w="0" w:type="dxa"/>
            <w:right w:w="0" w:type="dxa"/>
          </w:tblCellMar>
        </w:tblPrEx>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15"/>
                <w:szCs w:val="15"/>
              </w:rPr>
            </w:pPr>
            <w:r>
              <w:rPr>
                <w:rFonts w:hint="eastAsia" w:ascii="宋体" w:hAnsi="宋体" w:cs="宋体"/>
                <w:color w:val="000000"/>
                <w:kern w:val="0"/>
                <w:sz w:val="15"/>
                <w:szCs w:val="15"/>
              </w:rPr>
              <w:t>艾滋病高危人群月均干预覆盖比例（暗娼、男男性行为）（≥**%）</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≥85％</w:t>
            </w:r>
          </w:p>
        </w:tc>
      </w:tr>
      <w:tr>
        <w:tblPrEx>
          <w:tblCellMar>
            <w:top w:w="0" w:type="dxa"/>
            <w:left w:w="0" w:type="dxa"/>
            <w:bottom w:w="0" w:type="dxa"/>
            <w:right w:w="0" w:type="dxa"/>
          </w:tblCellMar>
        </w:tblPrEx>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15"/>
                <w:szCs w:val="15"/>
              </w:rPr>
            </w:pPr>
            <w:r>
              <w:rPr>
                <w:rFonts w:hint="eastAsia" w:ascii="宋体" w:hAnsi="宋体" w:cs="宋体"/>
                <w:color w:val="000000"/>
                <w:kern w:val="0"/>
                <w:sz w:val="15"/>
                <w:szCs w:val="15"/>
              </w:rPr>
              <w:t>新涂阳患者治愈率（≥**%）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≥90％</w:t>
            </w:r>
          </w:p>
        </w:tc>
      </w:tr>
      <w:tr>
        <w:tblPrEx>
          <w:tblCellMar>
            <w:top w:w="0" w:type="dxa"/>
            <w:left w:w="0" w:type="dxa"/>
            <w:bottom w:w="0" w:type="dxa"/>
            <w:right w:w="0" w:type="dxa"/>
          </w:tblCellMar>
        </w:tblPrEx>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15"/>
                <w:szCs w:val="15"/>
              </w:rPr>
            </w:pPr>
            <w:r>
              <w:rPr>
                <w:rFonts w:hint="eastAsia" w:ascii="宋体" w:hAnsi="宋体" w:cs="宋体"/>
                <w:color w:val="000000"/>
                <w:kern w:val="0"/>
                <w:sz w:val="15"/>
                <w:szCs w:val="15"/>
              </w:rPr>
              <w:t xml:space="preserve"> 肺结核患者全程管理率（≥**%）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≥95％</w:t>
            </w:r>
          </w:p>
        </w:tc>
      </w:tr>
      <w:tr>
        <w:tblPrEx>
          <w:tblCellMar>
            <w:top w:w="0" w:type="dxa"/>
            <w:left w:w="0" w:type="dxa"/>
            <w:bottom w:w="0" w:type="dxa"/>
            <w:right w:w="0" w:type="dxa"/>
          </w:tblCellMar>
        </w:tblPrEx>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15"/>
                <w:szCs w:val="15"/>
              </w:rPr>
            </w:pPr>
            <w:r>
              <w:rPr>
                <w:rFonts w:hint="eastAsia" w:ascii="宋体" w:hAnsi="宋体" w:cs="宋体"/>
                <w:color w:val="000000"/>
                <w:kern w:val="0"/>
                <w:sz w:val="15"/>
                <w:szCs w:val="15"/>
              </w:rPr>
              <w:t>包虫病病人登记管理率（≥**%）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≥95％</w:t>
            </w:r>
          </w:p>
        </w:tc>
      </w:tr>
      <w:tr>
        <w:tblPrEx>
          <w:tblCellMar>
            <w:top w:w="0" w:type="dxa"/>
            <w:left w:w="0" w:type="dxa"/>
            <w:bottom w:w="0" w:type="dxa"/>
            <w:right w:w="0" w:type="dxa"/>
          </w:tblCellMar>
        </w:tblPrEx>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15"/>
                <w:szCs w:val="15"/>
              </w:rPr>
            </w:pPr>
            <w:r>
              <w:rPr>
                <w:rFonts w:hint="eastAsia" w:ascii="宋体" w:hAnsi="宋体" w:cs="宋体"/>
                <w:color w:val="000000"/>
                <w:kern w:val="0"/>
                <w:sz w:val="15"/>
                <w:szCs w:val="15"/>
              </w:rPr>
              <w:t>严重精神障碍患者检出率（≥**％）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≥0.17％</w:t>
            </w:r>
          </w:p>
        </w:tc>
      </w:tr>
      <w:tr>
        <w:tblPrEx>
          <w:tblCellMar>
            <w:top w:w="0" w:type="dxa"/>
            <w:left w:w="0" w:type="dxa"/>
            <w:bottom w:w="0" w:type="dxa"/>
            <w:right w:w="0" w:type="dxa"/>
          </w:tblCellMar>
        </w:tblPrEx>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15"/>
                <w:szCs w:val="15"/>
              </w:rPr>
            </w:pPr>
            <w:r>
              <w:rPr>
                <w:rFonts w:hint="eastAsia" w:ascii="宋体" w:hAnsi="宋体" w:cs="宋体"/>
                <w:color w:val="000000"/>
                <w:kern w:val="0"/>
                <w:sz w:val="15"/>
                <w:szCs w:val="15"/>
              </w:rPr>
              <w:t>严重精神障碍患者管理率（≥**%）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≥97.6％</w:t>
            </w:r>
          </w:p>
        </w:tc>
      </w:tr>
      <w:tr>
        <w:tblPrEx>
          <w:tblCellMar>
            <w:top w:w="0" w:type="dxa"/>
            <w:left w:w="0" w:type="dxa"/>
            <w:bottom w:w="0" w:type="dxa"/>
            <w:right w:w="0" w:type="dxa"/>
          </w:tblCellMar>
        </w:tblPrEx>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15"/>
                <w:szCs w:val="15"/>
              </w:rPr>
            </w:pPr>
            <w:r>
              <w:rPr>
                <w:rFonts w:hint="eastAsia" w:ascii="宋体" w:hAnsi="宋体" w:cs="宋体"/>
                <w:color w:val="000000"/>
                <w:kern w:val="0"/>
                <w:sz w:val="15"/>
                <w:szCs w:val="15"/>
              </w:rPr>
              <w:t xml:space="preserve"> 全民健康生活方式行动覆盖率（**%）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tc>
      </w:tr>
      <w:tr>
        <w:tblPrEx>
          <w:tblCellMar>
            <w:top w:w="0" w:type="dxa"/>
            <w:left w:w="0" w:type="dxa"/>
            <w:bottom w:w="0" w:type="dxa"/>
            <w:right w:w="0" w:type="dxa"/>
          </w:tblCellMar>
        </w:tblPrEx>
        <w:trPr>
          <w:trHeight w:val="4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189"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ascii="宋体" w:hAnsi="宋体" w:cs="宋体"/>
                <w:color w:val="000000"/>
                <w:kern w:val="0"/>
                <w:sz w:val="28"/>
                <w:szCs w:val="28"/>
              </w:rPr>
            </w:pPr>
            <w:r>
              <w:rPr>
                <w:rFonts w:hint="eastAsia" w:ascii="宋体" w:hAnsi="宋体" w:cs="宋体"/>
                <w:color w:val="000000"/>
                <w:kern w:val="0"/>
                <w:sz w:val="28"/>
                <w:szCs w:val="28"/>
              </w:rPr>
              <w:t>社会</w:t>
            </w:r>
          </w:p>
          <w:p>
            <w:pPr>
              <w:widowControl/>
              <w:jc w:val="center"/>
              <w:textAlignment w:val="bottom"/>
              <w:rPr>
                <w:rFonts w:ascii="宋体" w:hAnsi="宋体" w:cs="宋体"/>
                <w:color w:val="000000"/>
                <w:kern w:val="0"/>
                <w:sz w:val="28"/>
                <w:szCs w:val="28"/>
              </w:rPr>
            </w:pPr>
            <w:r>
              <w:rPr>
                <w:rFonts w:hint="eastAsia" w:ascii="宋体" w:hAnsi="宋体" w:cs="宋体"/>
                <w:color w:val="000000"/>
                <w:kern w:val="0"/>
                <w:sz w:val="28"/>
                <w:szCs w:val="28"/>
              </w:rPr>
              <w:t>效益</w:t>
            </w:r>
          </w:p>
          <w:p>
            <w:pPr>
              <w:widowControl/>
              <w:jc w:val="center"/>
              <w:textAlignment w:val="bottom"/>
              <w:rPr>
                <w:rFonts w:ascii="宋体" w:hAnsi="宋体" w:cs="宋体"/>
                <w:color w:val="000000"/>
                <w:sz w:val="24"/>
              </w:rPr>
            </w:pPr>
            <w:r>
              <w:rPr>
                <w:rFonts w:hint="eastAsia" w:ascii="宋体" w:hAnsi="宋体" w:cs="宋体"/>
                <w:color w:val="000000"/>
                <w:kern w:val="0"/>
                <w:sz w:val="28"/>
                <w:szCs w:val="28"/>
              </w:rPr>
              <w:t>指标</w:t>
            </w: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15"/>
                <w:szCs w:val="15"/>
              </w:rPr>
            </w:pPr>
            <w:r>
              <w:rPr>
                <w:rFonts w:hint="eastAsia" w:ascii="宋体" w:hAnsi="宋体" w:cs="宋体"/>
                <w:color w:val="000000"/>
                <w:kern w:val="0"/>
                <w:sz w:val="15"/>
                <w:szCs w:val="15"/>
              </w:rPr>
              <w:t>居民健康保健意识和健康知识知晓率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=35％</w:t>
            </w:r>
          </w:p>
        </w:tc>
      </w:tr>
      <w:tr>
        <w:tblPrEx>
          <w:tblCellMar>
            <w:top w:w="0" w:type="dxa"/>
            <w:left w:w="0" w:type="dxa"/>
            <w:bottom w:w="0" w:type="dxa"/>
            <w:right w:w="0" w:type="dxa"/>
          </w:tblCellMar>
        </w:tblPrEx>
        <w:trPr>
          <w:trHeight w:val="41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22"/>
                <w:szCs w:val="22"/>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15"/>
                <w:szCs w:val="15"/>
              </w:rPr>
            </w:pPr>
            <w:r>
              <w:rPr>
                <w:rFonts w:hint="eastAsia" w:ascii="宋体" w:hAnsi="宋体" w:cs="宋体"/>
                <w:color w:val="000000"/>
                <w:kern w:val="0"/>
                <w:sz w:val="15"/>
                <w:szCs w:val="15"/>
              </w:rPr>
              <w:t>重点人群艾滋病知识知晓率（≥**%）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≥90％</w:t>
            </w:r>
          </w:p>
        </w:tc>
      </w:tr>
      <w:tr>
        <w:tblPrEx>
          <w:tblCellMar>
            <w:top w:w="0" w:type="dxa"/>
            <w:left w:w="0" w:type="dxa"/>
            <w:bottom w:w="0" w:type="dxa"/>
            <w:right w:w="0" w:type="dxa"/>
          </w:tblCellMar>
        </w:tblPrEx>
        <w:trPr>
          <w:trHeight w:val="60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1189"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22"/>
                <w:szCs w:val="22"/>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15"/>
                <w:szCs w:val="15"/>
              </w:rPr>
            </w:pPr>
            <w:r>
              <w:rPr>
                <w:rFonts w:hint="eastAsia" w:ascii="宋体" w:hAnsi="宋体" w:cs="宋体"/>
                <w:color w:val="000000"/>
                <w:kern w:val="0"/>
                <w:sz w:val="15"/>
                <w:szCs w:val="15"/>
              </w:rPr>
              <w:t>疫情报告处置</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tc>
      </w:tr>
      <w:tr>
        <w:tblPrEx>
          <w:tblCellMar>
            <w:top w:w="0" w:type="dxa"/>
            <w:left w:w="0" w:type="dxa"/>
            <w:bottom w:w="0" w:type="dxa"/>
            <w:right w:w="0" w:type="dxa"/>
          </w:tblCellMar>
        </w:tblPrEx>
        <w:trPr>
          <w:trHeight w:val="85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满意度</w:t>
            </w:r>
          </w:p>
          <w:p>
            <w:pPr>
              <w:widowControl/>
              <w:jc w:val="center"/>
              <w:textAlignment w:val="center"/>
              <w:rPr>
                <w:rFonts w:ascii="宋体" w:hAnsi="宋体" w:cs="宋体"/>
                <w:color w:val="000000"/>
                <w:sz w:val="24"/>
              </w:rPr>
            </w:pPr>
            <w:r>
              <w:rPr>
                <w:rFonts w:hint="eastAsia" w:ascii="宋体" w:hAnsi="宋体" w:cs="宋体"/>
                <w:color w:val="000000"/>
                <w:kern w:val="0"/>
                <w:sz w:val="24"/>
              </w:rPr>
              <w:t>指标</w:t>
            </w:r>
          </w:p>
        </w:tc>
        <w:tc>
          <w:tcPr>
            <w:tcW w:w="118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24"/>
              </w:rPr>
            </w:pPr>
            <w:r>
              <w:rPr>
                <w:rFonts w:hint="eastAsia" w:ascii="宋体" w:hAnsi="宋体" w:cs="宋体"/>
                <w:color w:val="000000"/>
                <w:kern w:val="0"/>
                <w:sz w:val="22"/>
                <w:szCs w:val="22"/>
              </w:rPr>
              <w:t>服务对象满意度指标</w:t>
            </w: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群众满意度</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≥90％</w:t>
            </w:r>
          </w:p>
        </w:tc>
      </w:tr>
    </w:tbl>
    <w:p>
      <w:pPr>
        <w:rPr>
          <w:rFonts w:ascii="Calibri" w:hAnsi="Calibri"/>
        </w:rPr>
      </w:pPr>
    </w:p>
    <w:p>
      <w:pPr>
        <w:spacing w:line="580" w:lineRule="exact"/>
        <w:rPr>
          <w:rFonts w:ascii="仿宋_GB2312" w:hAnsi="仿宋_GB2312" w:eastAsia="仿宋_GB2312" w:cs="仿宋_GB2312"/>
          <w:sz w:val="32"/>
          <w:szCs w:val="32"/>
        </w:rPr>
      </w:pPr>
    </w:p>
    <w:p>
      <w:pPr>
        <w:tabs>
          <w:tab w:val="left" w:pos="2250"/>
        </w:tabs>
        <w:spacing w:line="560" w:lineRule="exact"/>
        <w:ind w:firstLine="630" w:firstLineChars="196"/>
        <w:rPr>
          <w:rFonts w:ascii="仿宋_GB2312" w:hAnsi="楷体" w:eastAsia="仿宋_GB2312"/>
          <w:b/>
          <w:color w:val="000000"/>
          <w:sz w:val="32"/>
          <w:szCs w:val="32"/>
        </w:rPr>
      </w:pPr>
      <w:r>
        <w:rPr>
          <w:rFonts w:hint="eastAsia" w:ascii="仿宋_GB2312" w:hAnsi="楷体" w:eastAsia="仿宋_GB2312"/>
          <w:b/>
          <w:color w:val="000000"/>
          <w:sz w:val="32"/>
          <w:szCs w:val="32"/>
        </w:rPr>
        <w:t>（2）结核病防治工作不断加强</w:t>
      </w:r>
    </w:p>
    <w:p>
      <w:pPr>
        <w:spacing w:line="560" w:lineRule="exact"/>
        <w:ind w:firstLine="630"/>
        <w:rPr>
          <w:rFonts w:ascii="仿宋_GB2312" w:hAnsi="仿宋_GB2312" w:eastAsia="仿宋_GB2312" w:cs="仿宋_GB2312"/>
          <w:sz w:val="32"/>
          <w:szCs w:val="32"/>
        </w:rPr>
      </w:pPr>
      <w:r>
        <w:rPr>
          <w:rFonts w:hint="eastAsia" w:ascii="仿宋" w:hAnsi="仿宋" w:eastAsia="仿宋"/>
          <w:sz w:val="32"/>
          <w:szCs w:val="32"/>
        </w:rPr>
        <w:t>1-12月份</w:t>
      </w:r>
      <w:r>
        <w:rPr>
          <w:rFonts w:hint="eastAsia" w:ascii="仿宋_GB2312" w:hAnsi="仿宋_GB2312" w:eastAsia="仿宋_GB2312" w:cs="仿宋_GB2312"/>
          <w:sz w:val="32"/>
          <w:szCs w:val="32"/>
        </w:rPr>
        <w:t>共确诊活动性肺结核患者69例（其中涂阳8例，涂阴34例，未查痰19例,结核性胸膜炎8例），完成年度活动性肺结核患者发现任务数的100%；</w:t>
      </w:r>
      <w:r>
        <w:rPr>
          <w:rFonts w:hint="eastAsia" w:ascii="仿宋_GB2312" w:hAnsi="仿宋_GB2312" w:eastAsia="仿宋_GB2312" w:cs="仿宋_GB2312"/>
          <w:sz w:val="32"/>
        </w:rPr>
        <w:t>为初诊可疑患者提供痰涂片检查72人，初诊可疑者查痰率为100%;登记涂阳患者密切接触者25人，筛查25人，涂阳患者密切接触者筛查率为100%;</w:t>
      </w:r>
      <w:r>
        <w:rPr>
          <w:rFonts w:hint="eastAsia" w:ascii="仿宋_GB2312" w:hAnsi="仿宋_GB2312" w:eastAsia="仿宋_GB2312" w:cs="仿宋_GB2312"/>
          <w:sz w:val="32"/>
          <w:szCs w:val="32"/>
        </w:rPr>
        <w:t>剔除重报后，1-12月份大疫情共网络报告现住址为红原县疑似肺结核患者240例，其中删除重卡67例，通过转诊和追踪等方式到位172例，追踪未到位1例，总体到位率为99.44%；登记活动性肺结核患者病案69例，初次病案及时录入69例，病案初次录入及时率100%；上年同期登记新涂阳肺结核患者2例，上年登记活动性肺结核患者88例，填报转归信88例，病案转归信息完整率为100%。</w:t>
      </w:r>
    </w:p>
    <w:p>
      <w:pPr>
        <w:spacing w:line="560" w:lineRule="exact"/>
        <w:ind w:firstLine="630"/>
        <w:rPr>
          <w:rFonts w:ascii="仿宋_GB2312" w:hAnsi="仿宋_GB2312" w:eastAsia="仿宋_GB2312" w:cs="仿宋_GB2312"/>
          <w:sz w:val="32"/>
          <w:szCs w:val="32"/>
        </w:rPr>
      </w:pPr>
      <w:r>
        <w:rPr>
          <w:rFonts w:hint="eastAsia" w:ascii="仿宋_GB2312" w:hAnsi="仿宋_GB2312" w:eastAsia="仿宋_GB2312" w:cs="仿宋_GB2312"/>
          <w:sz w:val="32"/>
          <w:szCs w:val="32"/>
        </w:rPr>
        <w:t>县人民医院结核病门诊1-10月共接诊疑似结核病患者72例，确诊肺结核病69例，结核性胸膜炎8例，其中初治涂阳肺结核病人8例，涂阴肺结核病人34例，未痰检的病人19例，确诊患者均已纳入治疗管理。加强涂阳肺结核患者密切接触者的筛查，共筛查25人，未查出活动性肺结核。</w:t>
      </w:r>
    </w:p>
    <w:p>
      <w:pPr>
        <w:ind w:firstLine="640" w:firstLineChars="200"/>
        <w:rPr>
          <w:rFonts w:ascii="仿宋_GB2312" w:eastAsia="仿宋_GB2312"/>
          <w:sz w:val="32"/>
          <w:szCs w:val="32"/>
        </w:rPr>
      </w:pPr>
      <w:r>
        <w:rPr>
          <w:rFonts w:hint="eastAsia" w:ascii="仿宋_GB2312" w:eastAsia="仿宋_GB2312"/>
          <w:sz w:val="32"/>
          <w:szCs w:val="32"/>
        </w:rPr>
        <w:t>疾控中心与县医院及时沟通工作信息，每月开展工作交流，建立了工作信息交流平台，将疾控中心、县医院和乡镇卫生院业务人员纳入其中，将“规划管理、诊断治疗和患者服务”紧密整合，进一步优化了工作流程，新型服务体系的优势得到进一步体现。</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加强学校结核病防治工作，在红原县藏文中学以“学校结核病防控”为主题，对全校师生作了结核病防治知识宣传讲座，针对学生的身心特点，重点讲述了结核病的传播途径、防治措施、发病状况等，让广大师生们深刻地了解结核病的防治知识及危害，讲座覆盖全县师生共计1600余人。在县藏文中学、县中、龙日坝、龙日乡小学、城关小学和希望小学开展了PPD筛查工作，筛查共覆盖师生4100人，发现PPD试验阳性者141例，藏文中学和希望小学部分PPD试验阳性者到医院做了进一步检查；经县人民医院和上级医院进一步检查后发现肺结核18例，结核性胸膜炎2例。另外2018年秋季新生入学要求把结核病筛查纳入常规入学体检，全县大部分乡镇小学积极开展了或正在开展此项工作，但色地镇小学负责人明确表示不开展此项工作（原因不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月24日“世界防治结核病宣传日”，在人群较为集中的街道设立宣传点，以“社会共同努力，消除结核危害”为主题，对当地牧民群众进行了结核病防治知识的宣传。宣传共发放结核病宣传单5300余份、宣传挂历200幅、小礼品1100余份，对前来咨询的500余人作了结核病相关知识的详细讲解，动员广大群众参与，降低传播风险；举办假期大学生结核病防治培训班，培训大学生人员8人次，主要培训结核病防治知识，并着重强调学校结核病防控工作，进一步提升我县牧民群众的防控能力。</w:t>
      </w:r>
    </w:p>
    <w:tbl>
      <w:tblPr>
        <w:tblStyle w:val="14"/>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203"/>
        <w:gridCol w:w="1189"/>
        <w:gridCol w:w="2673"/>
        <w:gridCol w:w="2113"/>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5"/>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(2018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2018年重大公共卫生服务项目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红原县疾病预防控制中心</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558.94</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266.76</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558.94</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266.76</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eastAsia="zh-CN"/>
              </w:rPr>
              <w:t>其他资金</w:t>
            </w:r>
            <w:r>
              <w:rPr>
                <w:rFonts w:hint="eastAsia" w:ascii="宋体" w:hAnsi="宋体" w:cs="宋体"/>
                <w:color w:val="000000"/>
                <w:kern w:val="0"/>
                <w:sz w:val="24"/>
              </w:rPr>
              <w:t>:</w:t>
            </w: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eastAsia="zh-CN"/>
              </w:rPr>
              <w:t>其他资金</w:t>
            </w:r>
            <w:r>
              <w:rPr>
                <w:rFonts w:hint="eastAsia"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506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50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506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60" w:lineRule="exact"/>
              <w:ind w:firstLine="413" w:firstLineChars="196"/>
              <w:rPr>
                <w:rFonts w:ascii="仿宋_GB2312" w:hAnsi="仿宋" w:eastAsia="仿宋_GB2312"/>
                <w:color w:val="000000"/>
                <w:szCs w:val="21"/>
              </w:rPr>
            </w:pPr>
            <w:r>
              <w:rPr>
                <w:rFonts w:hint="eastAsia" w:ascii="仿宋_GB2312" w:hAnsi="仿宋" w:eastAsia="仿宋_GB2312"/>
                <w:b/>
                <w:color w:val="000000"/>
                <w:szCs w:val="21"/>
              </w:rPr>
              <w:t>一是</w:t>
            </w:r>
            <w:r>
              <w:rPr>
                <w:rFonts w:hint="eastAsia" w:ascii="仿宋_GB2312" w:hAnsi="仿宋" w:eastAsia="仿宋_GB2312"/>
                <w:color w:val="000000"/>
                <w:szCs w:val="21"/>
              </w:rPr>
              <w:t>逐步建立覆盖全县的疾控体系网络。</w:t>
            </w:r>
            <w:r>
              <w:rPr>
                <w:rFonts w:hint="eastAsia" w:ascii="仿宋_GB2312" w:hAnsi="仿宋" w:eastAsia="仿宋_GB2312"/>
                <w:b/>
                <w:color w:val="000000"/>
                <w:szCs w:val="21"/>
              </w:rPr>
              <w:t>二是</w:t>
            </w:r>
            <w:r>
              <w:rPr>
                <w:rFonts w:hint="eastAsia" w:ascii="仿宋_GB2312" w:hAnsi="仿宋" w:eastAsia="仿宋_GB2312"/>
                <w:color w:val="000000"/>
                <w:szCs w:val="21"/>
              </w:rPr>
              <w:t>进一步加强免疫规划工作力度，全面提升预防接种覆盖率，加强传染病管理。抓好艾滋病、结核病等重大传染病防控工作,三是</w:t>
            </w:r>
            <w:r>
              <w:rPr>
                <w:rFonts w:hint="eastAsia" w:ascii="宋体" w:hAnsi="宋体" w:cs="宋体"/>
                <w:color w:val="000000"/>
                <w:szCs w:val="21"/>
              </w:rPr>
              <w:t>提高公共卫生服务水平.</w:t>
            </w:r>
          </w:p>
          <w:p>
            <w:pPr>
              <w:widowControl/>
              <w:jc w:val="center"/>
              <w:textAlignment w:val="center"/>
              <w:rPr>
                <w:rFonts w:ascii="宋体" w:hAnsi="宋体" w:cs="宋体"/>
                <w:color w:val="000000"/>
                <w:sz w:val="24"/>
              </w:rPr>
            </w:pPr>
          </w:p>
        </w:tc>
        <w:tc>
          <w:tcPr>
            <w:tcW w:w="450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6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1.成立了基本公共卫生服务均等化指导中心，并将办公地点建在卫计局，具体负责全县疾控工作的统一管理和业务指导，及时协调解决工作中遇到的困难和问题，推进全县疾控工作规范有序实施。</w:t>
            </w:r>
          </w:p>
          <w:p>
            <w:pPr>
              <w:spacing w:line="560" w:lineRule="exact"/>
              <w:ind w:firstLine="640"/>
              <w:rPr>
                <w:rFonts w:ascii="仿宋_GB2312" w:hAnsi="仿宋_GB2312" w:eastAsia="仿宋_GB2312" w:cs="仿宋_GB2312"/>
                <w:szCs w:val="21"/>
              </w:rPr>
            </w:pPr>
            <w:r>
              <w:rPr>
                <w:rFonts w:hint="eastAsia" w:ascii="仿宋_GB2312" w:hAnsi="仿宋_GB2312" w:eastAsia="仿宋_GB2312" w:cs="仿宋_GB2312"/>
                <w:szCs w:val="21"/>
              </w:rPr>
              <w:t>2.在全县11个乡镇卫生院建立了规范化预防接种门诊，并投入15万元建立儿童免疫规划信息化建设系统，有效保障全县免疫规划工作的开展。</w:t>
            </w:r>
          </w:p>
          <w:p>
            <w:pPr>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3.完善各项规章制度，保证了疾控工作有条不紊进行。</w:t>
            </w:r>
          </w:p>
          <w:p>
            <w:pPr>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4.组建疾控指导团队，强化业务指导和技术支撑。为全面履行公共卫生专业机构职能，充分发挥公共卫生专业机构对基层医疗卫生机构的业务指导和技术支撑作用，全面推进公共卫生专业机构工作“重心下沉、关口前移”。</w:t>
            </w:r>
          </w:p>
          <w:p>
            <w:pPr>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5.抓专业知识培训是提高人员业务能力的有效途径。 选派年轻同志到省、绵阳市、州疾控进修以提高业务知识水平。</w:t>
            </w:r>
          </w:p>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90"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20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18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40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32"/>
                <w:szCs w:val="32"/>
              </w:rPr>
            </w:pPr>
            <w:r>
              <w:rPr>
                <w:rFonts w:hint="eastAsia" w:ascii="宋体" w:hAnsi="宋体" w:cs="宋体"/>
                <w:color w:val="000000"/>
                <w:kern w:val="0"/>
                <w:sz w:val="32"/>
                <w:szCs w:val="32"/>
              </w:rPr>
              <w:t>项</w:t>
            </w:r>
          </w:p>
          <w:p>
            <w:pPr>
              <w:widowControl/>
              <w:jc w:val="center"/>
              <w:textAlignment w:val="center"/>
              <w:rPr>
                <w:rFonts w:ascii="宋体" w:hAnsi="宋体" w:cs="宋体"/>
                <w:color w:val="000000"/>
                <w:kern w:val="0"/>
                <w:sz w:val="32"/>
                <w:szCs w:val="32"/>
              </w:rPr>
            </w:pPr>
            <w:r>
              <w:rPr>
                <w:rFonts w:hint="eastAsia" w:ascii="宋体" w:hAnsi="宋体" w:cs="宋体"/>
                <w:color w:val="000000"/>
                <w:kern w:val="0"/>
                <w:sz w:val="32"/>
                <w:szCs w:val="32"/>
              </w:rPr>
              <w:t>目</w:t>
            </w:r>
          </w:p>
          <w:p>
            <w:pPr>
              <w:widowControl/>
              <w:jc w:val="center"/>
              <w:textAlignment w:val="center"/>
              <w:rPr>
                <w:rFonts w:ascii="宋体" w:hAnsi="宋体" w:cs="宋体"/>
                <w:color w:val="000000"/>
                <w:kern w:val="0"/>
                <w:sz w:val="32"/>
                <w:szCs w:val="32"/>
              </w:rPr>
            </w:pPr>
            <w:r>
              <w:rPr>
                <w:rFonts w:hint="eastAsia" w:ascii="宋体" w:hAnsi="宋体" w:cs="宋体"/>
                <w:color w:val="000000"/>
                <w:kern w:val="0"/>
                <w:sz w:val="32"/>
                <w:szCs w:val="32"/>
              </w:rPr>
              <w:t>完</w:t>
            </w:r>
          </w:p>
          <w:p>
            <w:pPr>
              <w:widowControl/>
              <w:jc w:val="center"/>
              <w:textAlignment w:val="center"/>
              <w:rPr>
                <w:rFonts w:ascii="宋体" w:hAnsi="宋体" w:cs="宋体"/>
                <w:color w:val="000000"/>
                <w:kern w:val="0"/>
                <w:sz w:val="32"/>
                <w:szCs w:val="32"/>
              </w:rPr>
            </w:pPr>
            <w:r>
              <w:rPr>
                <w:rFonts w:hint="eastAsia" w:ascii="宋体" w:hAnsi="宋体" w:cs="宋体"/>
                <w:color w:val="000000"/>
                <w:kern w:val="0"/>
                <w:sz w:val="32"/>
                <w:szCs w:val="32"/>
              </w:rPr>
              <w:t>成</w:t>
            </w:r>
          </w:p>
          <w:p>
            <w:pPr>
              <w:widowControl/>
              <w:jc w:val="center"/>
              <w:textAlignment w:val="center"/>
              <w:rPr>
                <w:rFonts w:ascii="宋体" w:hAnsi="宋体" w:cs="宋体"/>
                <w:color w:val="000000"/>
                <w:kern w:val="0"/>
                <w:sz w:val="32"/>
                <w:szCs w:val="32"/>
              </w:rPr>
            </w:pPr>
            <w:r>
              <w:rPr>
                <w:rFonts w:hint="eastAsia" w:ascii="宋体" w:hAnsi="宋体" w:cs="宋体"/>
                <w:color w:val="000000"/>
                <w:kern w:val="0"/>
                <w:sz w:val="32"/>
                <w:szCs w:val="32"/>
              </w:rPr>
              <w:t>指</w:t>
            </w:r>
          </w:p>
          <w:p>
            <w:pPr>
              <w:widowControl/>
              <w:jc w:val="center"/>
              <w:textAlignment w:val="center"/>
              <w:rPr>
                <w:rFonts w:ascii="宋体" w:hAnsi="宋体" w:cs="宋体"/>
                <w:color w:val="000000"/>
                <w:kern w:val="0"/>
                <w:sz w:val="32"/>
                <w:szCs w:val="32"/>
              </w:rPr>
            </w:pPr>
            <w:r>
              <w:rPr>
                <w:rFonts w:hint="eastAsia" w:ascii="宋体" w:hAnsi="宋体" w:cs="宋体"/>
                <w:color w:val="000000"/>
                <w:kern w:val="0"/>
                <w:sz w:val="32"/>
                <w:szCs w:val="32"/>
              </w:rPr>
              <w:t>标</w:t>
            </w:r>
          </w:p>
          <w:p>
            <w:pPr>
              <w:widowControl/>
              <w:jc w:val="center"/>
              <w:textAlignment w:val="center"/>
              <w:rPr>
                <w:rFonts w:ascii="宋体" w:hAnsi="宋体" w:cs="宋体"/>
                <w:color w:val="000000"/>
                <w:sz w:val="18"/>
                <w:szCs w:val="18"/>
              </w:rPr>
            </w:pPr>
          </w:p>
          <w:p>
            <w:pPr>
              <w:widowControl/>
              <w:jc w:val="center"/>
              <w:textAlignment w:val="center"/>
              <w:rPr>
                <w:rFonts w:ascii="宋体" w:hAnsi="宋体" w:cs="宋体"/>
                <w:color w:val="000000"/>
                <w:kern w:val="0"/>
                <w:sz w:val="18"/>
                <w:szCs w:val="18"/>
              </w:rPr>
            </w:pPr>
          </w:p>
          <w:p>
            <w:pPr>
              <w:widowControl/>
              <w:jc w:val="center"/>
              <w:textAlignment w:val="center"/>
              <w:rPr>
                <w:rFonts w:ascii="宋体" w:hAnsi="宋体" w:cs="宋体"/>
                <w:color w:val="000000"/>
                <w:sz w:val="24"/>
              </w:rPr>
            </w:pPr>
          </w:p>
        </w:tc>
        <w:tc>
          <w:tcPr>
            <w:tcW w:w="1189"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8"/>
                <w:szCs w:val="28"/>
              </w:rPr>
            </w:pPr>
            <w:r>
              <w:rPr>
                <w:rFonts w:hint="eastAsia" w:ascii="宋体" w:hAnsi="宋体" w:cs="宋体"/>
                <w:color w:val="000000"/>
                <w:sz w:val="28"/>
                <w:szCs w:val="28"/>
              </w:rPr>
              <w:t>数</w:t>
            </w:r>
          </w:p>
          <w:p>
            <w:pPr>
              <w:widowControl/>
              <w:jc w:val="center"/>
              <w:textAlignment w:val="center"/>
              <w:rPr>
                <w:rFonts w:ascii="宋体" w:hAnsi="宋体" w:cs="宋体"/>
                <w:color w:val="000000"/>
                <w:sz w:val="28"/>
                <w:szCs w:val="28"/>
              </w:rPr>
            </w:pPr>
            <w:r>
              <w:rPr>
                <w:rFonts w:hint="eastAsia" w:ascii="宋体" w:hAnsi="宋体" w:cs="宋体"/>
                <w:color w:val="000000"/>
                <w:sz w:val="28"/>
                <w:szCs w:val="28"/>
              </w:rPr>
              <w:t>量</w:t>
            </w:r>
          </w:p>
          <w:p>
            <w:pPr>
              <w:widowControl/>
              <w:jc w:val="center"/>
              <w:textAlignment w:val="center"/>
              <w:rPr>
                <w:rFonts w:ascii="宋体" w:hAnsi="宋体" w:cs="宋体"/>
                <w:color w:val="000000"/>
                <w:sz w:val="28"/>
                <w:szCs w:val="28"/>
              </w:rPr>
            </w:pPr>
            <w:r>
              <w:rPr>
                <w:rFonts w:hint="eastAsia" w:ascii="宋体" w:hAnsi="宋体" w:cs="宋体"/>
                <w:color w:val="000000"/>
                <w:sz w:val="28"/>
                <w:szCs w:val="28"/>
              </w:rPr>
              <w:t>指</w:t>
            </w:r>
          </w:p>
          <w:p>
            <w:pPr>
              <w:widowControl/>
              <w:jc w:val="center"/>
              <w:textAlignment w:val="center"/>
              <w:rPr>
                <w:rFonts w:ascii="宋体" w:hAnsi="宋体" w:cs="宋体"/>
                <w:color w:val="000000"/>
                <w:sz w:val="24"/>
              </w:rPr>
            </w:pPr>
            <w:r>
              <w:rPr>
                <w:rFonts w:hint="eastAsia" w:ascii="宋体" w:hAnsi="宋体" w:cs="宋体"/>
                <w:color w:val="000000"/>
                <w:sz w:val="28"/>
                <w:szCs w:val="28"/>
              </w:rPr>
              <w:t>标</w:t>
            </w: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15"/>
                <w:szCs w:val="15"/>
              </w:rPr>
            </w:pPr>
            <w:r>
              <w:rPr>
                <w:rFonts w:hint="eastAsia" w:ascii="宋体" w:hAnsi="宋体" w:cs="宋体"/>
                <w:color w:val="000000"/>
                <w:kern w:val="0"/>
                <w:sz w:val="15"/>
                <w:szCs w:val="15"/>
              </w:rPr>
              <w:t xml:space="preserve"> 报告发现的结核病患者（包括耐多药结核患者）管理率（≥**%）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15"/>
                <w:szCs w:val="15"/>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≥90％</w:t>
            </w:r>
          </w:p>
        </w:tc>
      </w:tr>
      <w:tr>
        <w:tblPrEx>
          <w:tblCellMar>
            <w:top w:w="0" w:type="dxa"/>
            <w:left w:w="0" w:type="dxa"/>
            <w:bottom w:w="0" w:type="dxa"/>
            <w:right w:w="0" w:type="dxa"/>
          </w:tblCellMar>
        </w:tblPrEx>
        <w:trPr>
          <w:trHeight w:val="40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18"/>
                <w:szCs w:val="18"/>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15"/>
                <w:szCs w:val="15"/>
              </w:rPr>
            </w:pPr>
            <w:r>
              <w:rPr>
                <w:rFonts w:hint="eastAsia" w:ascii="宋体" w:hAnsi="宋体" w:cs="宋体"/>
                <w:color w:val="000000"/>
                <w:kern w:val="0"/>
                <w:sz w:val="15"/>
                <w:szCs w:val="15"/>
              </w:rPr>
              <w:t xml:space="preserve"> 65岁以上老年人健康管理率（≥**%）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≥4.2％</w:t>
            </w:r>
          </w:p>
        </w:tc>
      </w:tr>
      <w:tr>
        <w:tblPrEx>
          <w:tblCellMar>
            <w:top w:w="0" w:type="dxa"/>
            <w:left w:w="0" w:type="dxa"/>
            <w:bottom w:w="0" w:type="dxa"/>
            <w:right w:w="0" w:type="dxa"/>
          </w:tblCellMar>
        </w:tblPrEx>
        <w:trPr>
          <w:trHeight w:val="29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18"/>
                <w:szCs w:val="18"/>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15"/>
                <w:szCs w:val="15"/>
              </w:rPr>
            </w:pPr>
            <w:r>
              <w:rPr>
                <w:rFonts w:hint="eastAsia" w:ascii="宋体" w:hAnsi="宋体" w:cs="宋体"/>
                <w:color w:val="000000"/>
                <w:kern w:val="0"/>
                <w:sz w:val="15"/>
                <w:szCs w:val="15"/>
              </w:rPr>
              <w:t xml:space="preserve"> 艾滋病感染者/病人随访检测比例（≥**%）</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tc>
      </w:tr>
      <w:tr>
        <w:tblPrEx>
          <w:tblCellMar>
            <w:top w:w="0" w:type="dxa"/>
            <w:left w:w="0" w:type="dxa"/>
            <w:bottom w:w="0" w:type="dxa"/>
            <w:right w:w="0" w:type="dxa"/>
          </w:tblCellMar>
        </w:tblPrEx>
        <w:trPr>
          <w:trHeight w:val="30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18"/>
                <w:szCs w:val="18"/>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15"/>
                <w:szCs w:val="15"/>
              </w:rPr>
            </w:pPr>
            <w:r>
              <w:rPr>
                <w:rFonts w:hint="eastAsia" w:ascii="宋体" w:hAnsi="宋体" w:cs="宋体"/>
                <w:color w:val="000000"/>
                <w:kern w:val="0"/>
                <w:sz w:val="15"/>
                <w:szCs w:val="15"/>
              </w:rPr>
              <w:t xml:space="preserve"> 艾滋病抗病毒治疗人数（≥**万人）</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0.0021</w:t>
            </w:r>
          </w:p>
        </w:tc>
      </w:tr>
      <w:tr>
        <w:tblPrEx>
          <w:tblCellMar>
            <w:top w:w="0" w:type="dxa"/>
            <w:left w:w="0" w:type="dxa"/>
            <w:bottom w:w="0" w:type="dxa"/>
            <w:right w:w="0" w:type="dxa"/>
          </w:tblCellMar>
        </w:tblPrEx>
        <w:trPr>
          <w:trHeight w:val="38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15"/>
                <w:szCs w:val="15"/>
              </w:rPr>
            </w:pPr>
            <w:r>
              <w:rPr>
                <w:rFonts w:hint="eastAsia" w:ascii="宋体" w:hAnsi="宋体" w:cs="宋体"/>
                <w:color w:val="000000"/>
                <w:kern w:val="0"/>
                <w:sz w:val="15"/>
                <w:szCs w:val="15"/>
              </w:rPr>
              <w:t xml:space="preserve"> 筛查肺结核可疑患者人数（＞**万人）</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0.002</w:t>
            </w:r>
          </w:p>
        </w:tc>
      </w:tr>
      <w:tr>
        <w:tblPrEx>
          <w:tblCellMar>
            <w:top w:w="0" w:type="dxa"/>
            <w:left w:w="0" w:type="dxa"/>
            <w:bottom w:w="0" w:type="dxa"/>
            <w:right w:w="0" w:type="dxa"/>
          </w:tblCellMar>
        </w:tblPrEx>
        <w:trPr>
          <w:trHeight w:val="50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15"/>
                <w:szCs w:val="15"/>
              </w:rPr>
            </w:pPr>
            <w:r>
              <w:rPr>
                <w:rFonts w:hint="eastAsia" w:ascii="宋体" w:hAnsi="宋体" w:cs="宋体"/>
                <w:color w:val="000000"/>
                <w:kern w:val="0"/>
                <w:sz w:val="15"/>
                <w:szCs w:val="15"/>
              </w:rPr>
              <w:t xml:space="preserve"> 发现并治疗活动性肺结核患者人数（＞**万人）</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0.009</w:t>
            </w:r>
          </w:p>
        </w:tc>
      </w:tr>
      <w:tr>
        <w:tblPrEx>
          <w:tblCellMar>
            <w:top w:w="0" w:type="dxa"/>
            <w:left w:w="0" w:type="dxa"/>
            <w:bottom w:w="0" w:type="dxa"/>
            <w:right w:w="0" w:type="dxa"/>
          </w:tblCellMar>
        </w:tblPrEx>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24"/>
              </w:rPr>
            </w:pPr>
            <w:r>
              <w:rPr>
                <w:rFonts w:hint="eastAsia" w:ascii="宋体" w:hAnsi="宋体" w:cs="宋体"/>
                <w:color w:val="000000"/>
                <w:kern w:val="0"/>
                <w:sz w:val="15"/>
                <w:szCs w:val="15"/>
              </w:rPr>
              <w:t xml:space="preserve"> 包虫病免费药物治疗（**万人）</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=0.0129</w:t>
            </w:r>
          </w:p>
        </w:tc>
      </w:tr>
      <w:tr>
        <w:tblPrEx>
          <w:tblCellMar>
            <w:top w:w="0" w:type="dxa"/>
            <w:left w:w="0" w:type="dxa"/>
            <w:bottom w:w="0" w:type="dxa"/>
            <w:right w:w="0" w:type="dxa"/>
          </w:tblCellMar>
        </w:tblPrEx>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15"/>
                <w:szCs w:val="15"/>
              </w:rPr>
            </w:pPr>
            <w:r>
              <w:rPr>
                <w:rFonts w:hint="eastAsia" w:ascii="宋体" w:hAnsi="宋体" w:cs="宋体"/>
                <w:color w:val="000000"/>
                <w:kern w:val="0"/>
                <w:sz w:val="15"/>
                <w:szCs w:val="15"/>
              </w:rPr>
              <w:t xml:space="preserve"> 严重精神障碍患者筛查诊断（**人）</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89</w:t>
            </w:r>
          </w:p>
        </w:tc>
      </w:tr>
      <w:tr>
        <w:tblPrEx>
          <w:tblCellMar>
            <w:top w:w="0" w:type="dxa"/>
            <w:left w:w="0" w:type="dxa"/>
            <w:bottom w:w="0" w:type="dxa"/>
            <w:right w:w="0" w:type="dxa"/>
          </w:tblCellMar>
        </w:tblPrEx>
        <w:trPr>
          <w:trHeight w:val="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15"/>
                <w:szCs w:val="15"/>
              </w:rPr>
            </w:pPr>
            <w:r>
              <w:rPr>
                <w:rFonts w:hint="eastAsia" w:ascii="宋体" w:hAnsi="宋体" w:cs="宋体"/>
                <w:color w:val="000000"/>
                <w:kern w:val="0"/>
                <w:sz w:val="15"/>
                <w:szCs w:val="15"/>
              </w:rPr>
              <w:t xml:space="preserve"> 心血管病高危人群早筛查人数（**人）</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15"/>
                <w:szCs w:val="15"/>
              </w:rPr>
            </w:pPr>
            <w:r>
              <w:rPr>
                <w:rFonts w:hint="eastAsia" w:ascii="宋体" w:hAnsi="宋体" w:cs="宋体"/>
                <w:color w:val="000000"/>
                <w:kern w:val="0"/>
                <w:sz w:val="15"/>
                <w:szCs w:val="15"/>
              </w:rPr>
              <w:t xml:space="preserve">        肿瘤登记数（**人）</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12</w:t>
            </w:r>
          </w:p>
        </w:tc>
      </w:tr>
      <w:tr>
        <w:tblPrEx>
          <w:tblCellMar>
            <w:top w:w="0" w:type="dxa"/>
            <w:left w:w="0" w:type="dxa"/>
            <w:bottom w:w="0" w:type="dxa"/>
            <w:right w:w="0" w:type="dxa"/>
          </w:tblCellMar>
        </w:tblPrEx>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15"/>
                <w:szCs w:val="15"/>
              </w:rPr>
            </w:pPr>
            <w:r>
              <w:rPr>
                <w:rFonts w:hint="eastAsia" w:ascii="宋体" w:hAnsi="宋体" w:cs="宋体"/>
                <w:color w:val="000000"/>
                <w:kern w:val="0"/>
                <w:sz w:val="15"/>
                <w:szCs w:val="15"/>
              </w:rPr>
              <w:t xml:space="preserve">        死因监测数（**人）</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131</w:t>
            </w:r>
          </w:p>
        </w:tc>
      </w:tr>
      <w:tr>
        <w:tblPrEx>
          <w:tblCellMar>
            <w:top w:w="0" w:type="dxa"/>
            <w:left w:w="0" w:type="dxa"/>
            <w:bottom w:w="0" w:type="dxa"/>
            <w:right w:w="0" w:type="dxa"/>
          </w:tblCellMar>
        </w:tblPrEx>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8"/>
                <w:szCs w:val="28"/>
              </w:rPr>
            </w:pPr>
            <w:r>
              <w:rPr>
                <w:rFonts w:hint="eastAsia" w:ascii="宋体" w:hAnsi="宋体" w:cs="宋体"/>
                <w:color w:val="000000"/>
                <w:sz w:val="28"/>
                <w:szCs w:val="28"/>
              </w:rPr>
              <w:t>质</w:t>
            </w:r>
          </w:p>
          <w:p>
            <w:pPr>
              <w:widowControl/>
              <w:jc w:val="center"/>
              <w:textAlignment w:val="center"/>
              <w:rPr>
                <w:rFonts w:ascii="宋体" w:hAnsi="宋体" w:cs="宋体"/>
                <w:color w:val="000000"/>
                <w:sz w:val="28"/>
                <w:szCs w:val="28"/>
              </w:rPr>
            </w:pPr>
            <w:r>
              <w:rPr>
                <w:rFonts w:hint="eastAsia" w:ascii="宋体" w:hAnsi="宋体" w:cs="宋体"/>
                <w:color w:val="000000"/>
                <w:sz w:val="28"/>
                <w:szCs w:val="28"/>
              </w:rPr>
              <w:t>量</w:t>
            </w:r>
          </w:p>
          <w:p>
            <w:pPr>
              <w:widowControl/>
              <w:jc w:val="center"/>
              <w:textAlignment w:val="center"/>
              <w:rPr>
                <w:rFonts w:ascii="宋体" w:hAnsi="宋体" w:cs="宋体"/>
                <w:color w:val="000000"/>
                <w:sz w:val="28"/>
                <w:szCs w:val="28"/>
              </w:rPr>
            </w:pPr>
            <w:r>
              <w:rPr>
                <w:rFonts w:hint="eastAsia" w:ascii="宋体" w:hAnsi="宋体" w:cs="宋体"/>
                <w:color w:val="000000"/>
                <w:sz w:val="28"/>
                <w:szCs w:val="28"/>
              </w:rPr>
              <w:t>指</w:t>
            </w:r>
          </w:p>
          <w:p>
            <w:pPr>
              <w:widowControl/>
              <w:jc w:val="center"/>
              <w:textAlignment w:val="center"/>
              <w:rPr>
                <w:rFonts w:ascii="宋体" w:hAnsi="宋体" w:cs="宋体"/>
                <w:color w:val="000000"/>
                <w:sz w:val="24"/>
              </w:rPr>
            </w:pPr>
            <w:r>
              <w:rPr>
                <w:rFonts w:hint="eastAsia" w:ascii="宋体" w:hAnsi="宋体" w:cs="宋体"/>
                <w:color w:val="000000"/>
                <w:sz w:val="28"/>
                <w:szCs w:val="28"/>
              </w:rPr>
              <w:t>标</w:t>
            </w: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15"/>
                <w:szCs w:val="15"/>
              </w:rPr>
            </w:pPr>
            <w:r>
              <w:rPr>
                <w:rFonts w:hint="eastAsia" w:ascii="宋体" w:hAnsi="宋体" w:cs="宋体"/>
                <w:color w:val="000000"/>
                <w:kern w:val="0"/>
                <w:sz w:val="15"/>
                <w:szCs w:val="15"/>
              </w:rPr>
              <w:t xml:space="preserve"> 居民健康档案电子建档率（≥**%）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≥90.1％</w:t>
            </w:r>
          </w:p>
        </w:tc>
      </w:tr>
      <w:tr>
        <w:tblPrEx>
          <w:tblCellMar>
            <w:top w:w="0" w:type="dxa"/>
            <w:left w:w="0" w:type="dxa"/>
            <w:bottom w:w="0" w:type="dxa"/>
            <w:right w:w="0" w:type="dxa"/>
          </w:tblCellMar>
        </w:tblPrEx>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15"/>
                <w:szCs w:val="15"/>
              </w:rPr>
            </w:pPr>
            <w:r>
              <w:rPr>
                <w:rFonts w:hint="eastAsia" w:ascii="宋体" w:hAnsi="宋体" w:cs="宋体"/>
                <w:color w:val="000000"/>
                <w:kern w:val="0"/>
                <w:sz w:val="15"/>
                <w:szCs w:val="15"/>
              </w:rPr>
              <w:t xml:space="preserve"> 高血压患者规范管理率（≥**%）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≥91.5％</w:t>
            </w:r>
          </w:p>
        </w:tc>
      </w:tr>
      <w:tr>
        <w:tblPrEx>
          <w:tblCellMar>
            <w:top w:w="0" w:type="dxa"/>
            <w:left w:w="0" w:type="dxa"/>
            <w:bottom w:w="0" w:type="dxa"/>
            <w:right w:w="0" w:type="dxa"/>
          </w:tblCellMar>
        </w:tblPrEx>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15"/>
                <w:szCs w:val="15"/>
              </w:rPr>
            </w:pPr>
            <w:r>
              <w:rPr>
                <w:rFonts w:hint="eastAsia" w:ascii="宋体" w:hAnsi="宋体" w:cs="宋体"/>
                <w:color w:val="000000"/>
                <w:kern w:val="0"/>
                <w:sz w:val="15"/>
                <w:szCs w:val="15"/>
              </w:rPr>
              <w:t xml:space="preserve"> 糖尿病患者规范管理率（≥**%）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≥93.5％</w:t>
            </w:r>
          </w:p>
        </w:tc>
      </w:tr>
      <w:tr>
        <w:tblPrEx>
          <w:tblCellMar>
            <w:top w:w="0" w:type="dxa"/>
            <w:left w:w="0" w:type="dxa"/>
            <w:bottom w:w="0" w:type="dxa"/>
            <w:right w:w="0" w:type="dxa"/>
          </w:tblCellMar>
        </w:tblPrEx>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15"/>
                <w:szCs w:val="15"/>
              </w:rPr>
            </w:pPr>
            <w:r>
              <w:rPr>
                <w:rFonts w:hint="eastAsia" w:ascii="宋体" w:hAnsi="宋体" w:cs="宋体"/>
                <w:color w:val="000000"/>
                <w:kern w:val="0"/>
                <w:sz w:val="15"/>
                <w:szCs w:val="15"/>
              </w:rPr>
              <w:t>艾滋病高危人群月均干预覆盖比例（暗娼、男男性行为）（≥**%）</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≥85％</w:t>
            </w:r>
          </w:p>
        </w:tc>
      </w:tr>
      <w:tr>
        <w:tblPrEx>
          <w:tblCellMar>
            <w:top w:w="0" w:type="dxa"/>
            <w:left w:w="0" w:type="dxa"/>
            <w:bottom w:w="0" w:type="dxa"/>
            <w:right w:w="0" w:type="dxa"/>
          </w:tblCellMar>
        </w:tblPrEx>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15"/>
                <w:szCs w:val="15"/>
              </w:rPr>
            </w:pPr>
            <w:r>
              <w:rPr>
                <w:rFonts w:hint="eastAsia" w:ascii="宋体" w:hAnsi="宋体" w:cs="宋体"/>
                <w:color w:val="000000"/>
                <w:kern w:val="0"/>
                <w:sz w:val="15"/>
                <w:szCs w:val="15"/>
              </w:rPr>
              <w:t>新涂阳患者治愈率（≥**%）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≥90％</w:t>
            </w:r>
          </w:p>
        </w:tc>
      </w:tr>
      <w:tr>
        <w:tblPrEx>
          <w:tblCellMar>
            <w:top w:w="0" w:type="dxa"/>
            <w:left w:w="0" w:type="dxa"/>
            <w:bottom w:w="0" w:type="dxa"/>
            <w:right w:w="0" w:type="dxa"/>
          </w:tblCellMar>
        </w:tblPrEx>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15"/>
                <w:szCs w:val="15"/>
              </w:rPr>
            </w:pPr>
            <w:r>
              <w:rPr>
                <w:rFonts w:hint="eastAsia" w:ascii="宋体" w:hAnsi="宋体" w:cs="宋体"/>
                <w:color w:val="000000"/>
                <w:kern w:val="0"/>
                <w:sz w:val="15"/>
                <w:szCs w:val="15"/>
              </w:rPr>
              <w:t xml:space="preserve"> 肺结核患者全程管理率（≥**%）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≥95％</w:t>
            </w:r>
          </w:p>
        </w:tc>
      </w:tr>
      <w:tr>
        <w:tblPrEx>
          <w:tblCellMar>
            <w:top w:w="0" w:type="dxa"/>
            <w:left w:w="0" w:type="dxa"/>
            <w:bottom w:w="0" w:type="dxa"/>
            <w:right w:w="0" w:type="dxa"/>
          </w:tblCellMar>
        </w:tblPrEx>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15"/>
                <w:szCs w:val="15"/>
              </w:rPr>
            </w:pPr>
            <w:r>
              <w:rPr>
                <w:rFonts w:hint="eastAsia" w:ascii="宋体" w:hAnsi="宋体" w:cs="宋体"/>
                <w:color w:val="000000"/>
                <w:kern w:val="0"/>
                <w:sz w:val="15"/>
                <w:szCs w:val="15"/>
              </w:rPr>
              <w:t>包虫病病人登记管理率（≥**%）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≥95％</w:t>
            </w:r>
          </w:p>
        </w:tc>
      </w:tr>
      <w:tr>
        <w:tblPrEx>
          <w:tblCellMar>
            <w:top w:w="0" w:type="dxa"/>
            <w:left w:w="0" w:type="dxa"/>
            <w:bottom w:w="0" w:type="dxa"/>
            <w:right w:w="0" w:type="dxa"/>
          </w:tblCellMar>
        </w:tblPrEx>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15"/>
                <w:szCs w:val="15"/>
              </w:rPr>
            </w:pPr>
            <w:r>
              <w:rPr>
                <w:rFonts w:hint="eastAsia" w:ascii="宋体" w:hAnsi="宋体" w:cs="宋体"/>
                <w:color w:val="000000"/>
                <w:kern w:val="0"/>
                <w:sz w:val="15"/>
                <w:szCs w:val="15"/>
              </w:rPr>
              <w:t>严重精神障碍患者检出率（≥**％）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≥0.17％</w:t>
            </w:r>
          </w:p>
        </w:tc>
      </w:tr>
      <w:tr>
        <w:tblPrEx>
          <w:tblCellMar>
            <w:top w:w="0" w:type="dxa"/>
            <w:left w:w="0" w:type="dxa"/>
            <w:bottom w:w="0" w:type="dxa"/>
            <w:right w:w="0" w:type="dxa"/>
          </w:tblCellMar>
        </w:tblPrEx>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15"/>
                <w:szCs w:val="15"/>
              </w:rPr>
            </w:pPr>
            <w:r>
              <w:rPr>
                <w:rFonts w:hint="eastAsia" w:ascii="宋体" w:hAnsi="宋体" w:cs="宋体"/>
                <w:color w:val="000000"/>
                <w:kern w:val="0"/>
                <w:sz w:val="15"/>
                <w:szCs w:val="15"/>
              </w:rPr>
              <w:t>严重精神障碍患者管理率（≥**%）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≥97.6％</w:t>
            </w:r>
          </w:p>
        </w:tc>
      </w:tr>
      <w:tr>
        <w:tblPrEx>
          <w:tblCellMar>
            <w:top w:w="0" w:type="dxa"/>
            <w:left w:w="0" w:type="dxa"/>
            <w:bottom w:w="0" w:type="dxa"/>
            <w:right w:w="0" w:type="dxa"/>
          </w:tblCellMar>
        </w:tblPrEx>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15"/>
                <w:szCs w:val="15"/>
              </w:rPr>
            </w:pPr>
            <w:r>
              <w:rPr>
                <w:rFonts w:hint="eastAsia" w:ascii="宋体" w:hAnsi="宋体" w:cs="宋体"/>
                <w:color w:val="000000"/>
                <w:kern w:val="0"/>
                <w:sz w:val="15"/>
                <w:szCs w:val="15"/>
              </w:rPr>
              <w:t xml:space="preserve"> 全民健康生活方式行动覆盖率（**%）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tc>
      </w:tr>
      <w:tr>
        <w:tblPrEx>
          <w:tblCellMar>
            <w:top w:w="0" w:type="dxa"/>
            <w:left w:w="0" w:type="dxa"/>
            <w:bottom w:w="0" w:type="dxa"/>
            <w:right w:w="0" w:type="dxa"/>
          </w:tblCellMar>
        </w:tblPrEx>
        <w:trPr>
          <w:trHeight w:val="4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189"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ascii="宋体" w:hAnsi="宋体" w:cs="宋体"/>
                <w:color w:val="000000"/>
                <w:kern w:val="0"/>
                <w:sz w:val="28"/>
                <w:szCs w:val="28"/>
              </w:rPr>
            </w:pPr>
            <w:r>
              <w:rPr>
                <w:rFonts w:hint="eastAsia" w:ascii="宋体" w:hAnsi="宋体" w:cs="宋体"/>
                <w:color w:val="000000"/>
                <w:kern w:val="0"/>
                <w:sz w:val="28"/>
                <w:szCs w:val="28"/>
              </w:rPr>
              <w:t>社会</w:t>
            </w:r>
          </w:p>
          <w:p>
            <w:pPr>
              <w:widowControl/>
              <w:jc w:val="center"/>
              <w:textAlignment w:val="bottom"/>
              <w:rPr>
                <w:rFonts w:ascii="宋体" w:hAnsi="宋体" w:cs="宋体"/>
                <w:color w:val="000000"/>
                <w:kern w:val="0"/>
                <w:sz w:val="28"/>
                <w:szCs w:val="28"/>
              </w:rPr>
            </w:pPr>
            <w:r>
              <w:rPr>
                <w:rFonts w:hint="eastAsia" w:ascii="宋体" w:hAnsi="宋体" w:cs="宋体"/>
                <w:color w:val="000000"/>
                <w:kern w:val="0"/>
                <w:sz w:val="28"/>
                <w:szCs w:val="28"/>
              </w:rPr>
              <w:t>效益</w:t>
            </w:r>
          </w:p>
          <w:p>
            <w:pPr>
              <w:widowControl/>
              <w:jc w:val="center"/>
              <w:textAlignment w:val="bottom"/>
              <w:rPr>
                <w:rFonts w:ascii="宋体" w:hAnsi="宋体" w:cs="宋体"/>
                <w:color w:val="000000"/>
                <w:sz w:val="24"/>
              </w:rPr>
            </w:pPr>
            <w:r>
              <w:rPr>
                <w:rFonts w:hint="eastAsia" w:ascii="宋体" w:hAnsi="宋体" w:cs="宋体"/>
                <w:color w:val="000000"/>
                <w:kern w:val="0"/>
                <w:sz w:val="28"/>
                <w:szCs w:val="28"/>
              </w:rPr>
              <w:t>指标</w:t>
            </w: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15"/>
                <w:szCs w:val="15"/>
              </w:rPr>
            </w:pPr>
            <w:r>
              <w:rPr>
                <w:rFonts w:hint="eastAsia" w:ascii="宋体" w:hAnsi="宋体" w:cs="宋体"/>
                <w:color w:val="000000"/>
                <w:kern w:val="0"/>
                <w:sz w:val="15"/>
                <w:szCs w:val="15"/>
              </w:rPr>
              <w:t>居民健康保健意识和健康知识知晓率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=35％</w:t>
            </w:r>
          </w:p>
        </w:tc>
      </w:tr>
      <w:tr>
        <w:tblPrEx>
          <w:tblCellMar>
            <w:top w:w="0" w:type="dxa"/>
            <w:left w:w="0" w:type="dxa"/>
            <w:bottom w:w="0" w:type="dxa"/>
            <w:right w:w="0" w:type="dxa"/>
          </w:tblCellMar>
        </w:tblPrEx>
        <w:trPr>
          <w:trHeight w:val="41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22"/>
                <w:szCs w:val="22"/>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15"/>
                <w:szCs w:val="15"/>
              </w:rPr>
            </w:pPr>
            <w:r>
              <w:rPr>
                <w:rFonts w:hint="eastAsia" w:ascii="宋体" w:hAnsi="宋体" w:cs="宋体"/>
                <w:color w:val="000000"/>
                <w:kern w:val="0"/>
                <w:sz w:val="15"/>
                <w:szCs w:val="15"/>
              </w:rPr>
              <w:t>重点人群艾滋病知识知晓率（≥**%）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≥90％</w:t>
            </w:r>
          </w:p>
        </w:tc>
      </w:tr>
      <w:tr>
        <w:tblPrEx>
          <w:tblCellMar>
            <w:top w:w="0" w:type="dxa"/>
            <w:left w:w="0" w:type="dxa"/>
            <w:bottom w:w="0" w:type="dxa"/>
            <w:right w:w="0" w:type="dxa"/>
          </w:tblCellMar>
        </w:tblPrEx>
        <w:trPr>
          <w:trHeight w:val="60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1189"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22"/>
                <w:szCs w:val="22"/>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15"/>
                <w:szCs w:val="15"/>
              </w:rPr>
            </w:pPr>
            <w:r>
              <w:rPr>
                <w:rFonts w:hint="eastAsia" w:ascii="宋体" w:hAnsi="宋体" w:cs="宋体"/>
                <w:color w:val="000000"/>
                <w:kern w:val="0"/>
                <w:sz w:val="15"/>
                <w:szCs w:val="15"/>
              </w:rPr>
              <w:t>疫情报告处置</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tc>
      </w:tr>
      <w:tr>
        <w:tblPrEx>
          <w:tblCellMar>
            <w:top w:w="0" w:type="dxa"/>
            <w:left w:w="0" w:type="dxa"/>
            <w:bottom w:w="0" w:type="dxa"/>
            <w:right w:w="0" w:type="dxa"/>
          </w:tblCellMar>
        </w:tblPrEx>
        <w:trPr>
          <w:trHeight w:val="85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满意度</w:t>
            </w:r>
          </w:p>
          <w:p>
            <w:pPr>
              <w:widowControl/>
              <w:jc w:val="center"/>
              <w:textAlignment w:val="center"/>
              <w:rPr>
                <w:rFonts w:ascii="宋体" w:hAnsi="宋体" w:cs="宋体"/>
                <w:color w:val="000000"/>
                <w:sz w:val="24"/>
              </w:rPr>
            </w:pPr>
            <w:r>
              <w:rPr>
                <w:rFonts w:hint="eastAsia" w:ascii="宋体" w:hAnsi="宋体" w:cs="宋体"/>
                <w:color w:val="000000"/>
                <w:kern w:val="0"/>
                <w:sz w:val="24"/>
              </w:rPr>
              <w:t>指标</w:t>
            </w:r>
          </w:p>
        </w:tc>
        <w:tc>
          <w:tcPr>
            <w:tcW w:w="118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24"/>
              </w:rPr>
            </w:pPr>
            <w:r>
              <w:rPr>
                <w:rFonts w:hint="eastAsia" w:ascii="宋体" w:hAnsi="宋体" w:cs="宋体"/>
                <w:color w:val="000000"/>
                <w:kern w:val="0"/>
                <w:sz w:val="22"/>
                <w:szCs w:val="22"/>
              </w:rPr>
              <w:t>服务对象满意度指标</w:t>
            </w: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群众满意度</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≥90％</w:t>
            </w:r>
          </w:p>
        </w:tc>
      </w:tr>
    </w:tbl>
    <w:p>
      <w:pPr>
        <w:spacing w:line="560" w:lineRule="exact"/>
        <w:rPr>
          <w:rFonts w:hint="eastAsia" w:ascii="仿宋_GB2312" w:hAnsi="仿宋_GB2312" w:eastAsia="仿宋_GB2312" w:cs="仿宋_GB2312"/>
          <w:b/>
          <w:color w:val="000000"/>
          <w:sz w:val="32"/>
          <w:szCs w:val="32"/>
        </w:rPr>
      </w:pPr>
    </w:p>
    <w:p>
      <w:pPr>
        <w:spacing w:line="560" w:lineRule="exact"/>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（3）包虫病防治项目工作</w:t>
      </w:r>
    </w:p>
    <w:p>
      <w:pPr>
        <w:spacing w:line="560" w:lineRule="exact"/>
        <w:ind w:firstLine="640" w:firstLineChars="200"/>
        <w:rPr>
          <w:rFonts w:ascii="仿宋_GB2312" w:hAnsi="仿宋_GB2312" w:eastAsia="仿宋_GB2312" w:cs="仿宋_GB2312"/>
          <w:b/>
          <w:color w:val="000000"/>
          <w:sz w:val="32"/>
          <w:szCs w:val="32"/>
        </w:rPr>
      </w:pPr>
      <w:r>
        <w:rPr>
          <w:rFonts w:hint="eastAsia" w:ascii="华文仿宋" w:hAnsi="华文仿宋" w:eastAsia="华文仿宋" w:cs="华文仿宋"/>
          <w:sz w:val="32"/>
          <w:szCs w:val="32"/>
        </w:rPr>
        <w:t>按照包虫病防治工作要求完成2018年包虫病筛查任务17739人，筛查率达92.54%，筛查出疑似病例18例，采集血清进一步做实验室检查。确诊病例1例。病人随访管理，规范药物管理治疗58人、中断34人、失访26人、死亡14、治愈20人，手术21人。采集犬粪1320份，捕捉了1000只小型哺乳动物，进行了进行了剖检，检查肝肺，发现28例疑似病变脏器，在定点屠宰场对300头牦牛进行包虫病监测，查看每叶肝、肺的表面，发现8例阳性(肝脏7例、肺1例)。阳性率为2.67%。包虫病防治知识</w:t>
      </w:r>
      <w:r>
        <w:rPr>
          <w:rFonts w:hint="eastAsia" w:ascii="仿宋" w:hAnsi="仿宋" w:eastAsia="仿宋"/>
          <w:sz w:val="32"/>
          <w:szCs w:val="32"/>
        </w:rPr>
        <w:t>覆盖目标人群12000余人次，发放藏、汉双语宣传资料和宣传册11500余份。</w:t>
      </w:r>
    </w:p>
    <w:tbl>
      <w:tblPr>
        <w:tblStyle w:val="14"/>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203"/>
        <w:gridCol w:w="1189"/>
        <w:gridCol w:w="2673"/>
        <w:gridCol w:w="2113"/>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5"/>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(2018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2018年重大公共卫生服务项目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红原县疾病预防控制中心</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558.94</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266.76</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558.94</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266.76</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eastAsia="zh-CN"/>
              </w:rPr>
              <w:t>其他资金</w:t>
            </w:r>
            <w:r>
              <w:rPr>
                <w:rFonts w:hint="eastAsia" w:ascii="宋体" w:hAnsi="宋体" w:cs="宋体"/>
                <w:color w:val="000000"/>
                <w:kern w:val="0"/>
                <w:sz w:val="24"/>
              </w:rPr>
              <w:t>:</w:t>
            </w: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eastAsia="zh-CN"/>
              </w:rPr>
              <w:t>其他资金</w:t>
            </w:r>
            <w:r>
              <w:rPr>
                <w:rFonts w:hint="eastAsia"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506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50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506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60" w:lineRule="exact"/>
              <w:ind w:firstLine="413" w:firstLineChars="196"/>
              <w:rPr>
                <w:rFonts w:ascii="仿宋_GB2312" w:hAnsi="仿宋" w:eastAsia="仿宋_GB2312"/>
                <w:color w:val="000000"/>
                <w:szCs w:val="21"/>
              </w:rPr>
            </w:pPr>
            <w:r>
              <w:rPr>
                <w:rFonts w:hint="eastAsia" w:ascii="仿宋_GB2312" w:hAnsi="仿宋" w:eastAsia="仿宋_GB2312"/>
                <w:b/>
                <w:color w:val="000000"/>
                <w:szCs w:val="21"/>
              </w:rPr>
              <w:t>一是</w:t>
            </w:r>
            <w:r>
              <w:rPr>
                <w:rFonts w:hint="eastAsia" w:ascii="仿宋_GB2312" w:hAnsi="仿宋" w:eastAsia="仿宋_GB2312"/>
                <w:color w:val="000000"/>
                <w:szCs w:val="21"/>
              </w:rPr>
              <w:t>逐步建立覆盖全县的疾控体系网络。</w:t>
            </w:r>
            <w:r>
              <w:rPr>
                <w:rFonts w:hint="eastAsia" w:ascii="仿宋_GB2312" w:hAnsi="仿宋" w:eastAsia="仿宋_GB2312"/>
                <w:b/>
                <w:color w:val="000000"/>
                <w:szCs w:val="21"/>
              </w:rPr>
              <w:t>二是</w:t>
            </w:r>
            <w:r>
              <w:rPr>
                <w:rFonts w:hint="eastAsia" w:ascii="仿宋_GB2312" w:hAnsi="仿宋" w:eastAsia="仿宋_GB2312"/>
                <w:color w:val="000000"/>
                <w:szCs w:val="21"/>
              </w:rPr>
              <w:t>进一步加强免疫规划工作力度，全面提升预防接种覆盖率，加强传染病管理。抓好艾滋病、结核病等重大传染病防控工作,三是</w:t>
            </w:r>
            <w:r>
              <w:rPr>
                <w:rFonts w:hint="eastAsia" w:ascii="宋体" w:hAnsi="宋体" w:cs="宋体"/>
                <w:color w:val="000000"/>
                <w:szCs w:val="21"/>
              </w:rPr>
              <w:t>提高公共卫生服务水平.</w:t>
            </w:r>
          </w:p>
          <w:p>
            <w:pPr>
              <w:widowControl/>
              <w:jc w:val="center"/>
              <w:textAlignment w:val="center"/>
              <w:rPr>
                <w:rFonts w:ascii="宋体" w:hAnsi="宋体" w:cs="宋体"/>
                <w:color w:val="000000"/>
                <w:sz w:val="24"/>
              </w:rPr>
            </w:pPr>
          </w:p>
        </w:tc>
        <w:tc>
          <w:tcPr>
            <w:tcW w:w="450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6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1.成立了基本公共卫生服务均等化指导中心，并将办公地点建在卫计局，具体负责全县疾控工作的统一管理和业务指导，及时协调解决工作中遇到的困难和问题，推进全县疾控工作规范有序实施。</w:t>
            </w:r>
          </w:p>
          <w:p>
            <w:pPr>
              <w:spacing w:line="560" w:lineRule="exact"/>
              <w:ind w:firstLine="640"/>
              <w:rPr>
                <w:rFonts w:ascii="仿宋_GB2312" w:hAnsi="仿宋_GB2312" w:eastAsia="仿宋_GB2312" w:cs="仿宋_GB2312"/>
                <w:szCs w:val="21"/>
              </w:rPr>
            </w:pPr>
            <w:r>
              <w:rPr>
                <w:rFonts w:hint="eastAsia" w:ascii="仿宋_GB2312" w:hAnsi="仿宋_GB2312" w:eastAsia="仿宋_GB2312" w:cs="仿宋_GB2312"/>
                <w:szCs w:val="21"/>
              </w:rPr>
              <w:t>2.在全县11个乡镇卫生院建立了规范化预防接种门诊，并投入15万元建立儿童免疫规划信息化建设系统，有效保障全县免疫规划工作的开展。</w:t>
            </w:r>
          </w:p>
          <w:p>
            <w:pPr>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3.完善各项规章制度，保证了疾控工作有条不紊进行。</w:t>
            </w:r>
          </w:p>
          <w:p>
            <w:pPr>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4.组建疾控指导团队，强化业务指导和技术支撑。为全面履行公共卫生专业机构职能，充分发挥公共卫生专业机构对基层医疗卫生机构的业务指导和技术支撑作用，全面推进公共卫生专业机构工作“重心下沉、关口前移”。</w:t>
            </w:r>
          </w:p>
          <w:p>
            <w:pPr>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5.抓专业知识培训是提高人员业务能力的有效途径。 选派年轻同志到省、绵阳市、州疾控进修以提高业务知识水平。</w:t>
            </w:r>
          </w:p>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90"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20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18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40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32"/>
                <w:szCs w:val="32"/>
              </w:rPr>
            </w:pPr>
            <w:r>
              <w:rPr>
                <w:rFonts w:hint="eastAsia" w:ascii="宋体" w:hAnsi="宋体" w:cs="宋体"/>
                <w:color w:val="000000"/>
                <w:kern w:val="0"/>
                <w:sz w:val="32"/>
                <w:szCs w:val="32"/>
              </w:rPr>
              <w:t>项</w:t>
            </w:r>
          </w:p>
          <w:p>
            <w:pPr>
              <w:widowControl/>
              <w:jc w:val="center"/>
              <w:textAlignment w:val="center"/>
              <w:rPr>
                <w:rFonts w:ascii="宋体" w:hAnsi="宋体" w:cs="宋体"/>
                <w:color w:val="000000"/>
                <w:kern w:val="0"/>
                <w:sz w:val="32"/>
                <w:szCs w:val="32"/>
              </w:rPr>
            </w:pPr>
            <w:r>
              <w:rPr>
                <w:rFonts w:hint="eastAsia" w:ascii="宋体" w:hAnsi="宋体" w:cs="宋体"/>
                <w:color w:val="000000"/>
                <w:kern w:val="0"/>
                <w:sz w:val="32"/>
                <w:szCs w:val="32"/>
              </w:rPr>
              <w:t>目</w:t>
            </w:r>
          </w:p>
          <w:p>
            <w:pPr>
              <w:widowControl/>
              <w:jc w:val="center"/>
              <w:textAlignment w:val="center"/>
              <w:rPr>
                <w:rFonts w:ascii="宋体" w:hAnsi="宋体" w:cs="宋体"/>
                <w:color w:val="000000"/>
                <w:kern w:val="0"/>
                <w:sz w:val="32"/>
                <w:szCs w:val="32"/>
              </w:rPr>
            </w:pPr>
            <w:r>
              <w:rPr>
                <w:rFonts w:hint="eastAsia" w:ascii="宋体" w:hAnsi="宋体" w:cs="宋体"/>
                <w:color w:val="000000"/>
                <w:kern w:val="0"/>
                <w:sz w:val="32"/>
                <w:szCs w:val="32"/>
              </w:rPr>
              <w:t>完</w:t>
            </w:r>
          </w:p>
          <w:p>
            <w:pPr>
              <w:widowControl/>
              <w:jc w:val="center"/>
              <w:textAlignment w:val="center"/>
              <w:rPr>
                <w:rFonts w:ascii="宋体" w:hAnsi="宋体" w:cs="宋体"/>
                <w:color w:val="000000"/>
                <w:kern w:val="0"/>
                <w:sz w:val="32"/>
                <w:szCs w:val="32"/>
              </w:rPr>
            </w:pPr>
            <w:r>
              <w:rPr>
                <w:rFonts w:hint="eastAsia" w:ascii="宋体" w:hAnsi="宋体" w:cs="宋体"/>
                <w:color w:val="000000"/>
                <w:kern w:val="0"/>
                <w:sz w:val="32"/>
                <w:szCs w:val="32"/>
              </w:rPr>
              <w:t>成</w:t>
            </w:r>
          </w:p>
          <w:p>
            <w:pPr>
              <w:widowControl/>
              <w:jc w:val="center"/>
              <w:textAlignment w:val="center"/>
              <w:rPr>
                <w:rFonts w:ascii="宋体" w:hAnsi="宋体" w:cs="宋体"/>
                <w:color w:val="000000"/>
                <w:kern w:val="0"/>
                <w:sz w:val="32"/>
                <w:szCs w:val="32"/>
              </w:rPr>
            </w:pPr>
            <w:r>
              <w:rPr>
                <w:rFonts w:hint="eastAsia" w:ascii="宋体" w:hAnsi="宋体" w:cs="宋体"/>
                <w:color w:val="000000"/>
                <w:kern w:val="0"/>
                <w:sz w:val="32"/>
                <w:szCs w:val="32"/>
              </w:rPr>
              <w:t>指</w:t>
            </w:r>
          </w:p>
          <w:p>
            <w:pPr>
              <w:widowControl/>
              <w:jc w:val="center"/>
              <w:textAlignment w:val="center"/>
              <w:rPr>
                <w:rFonts w:ascii="宋体" w:hAnsi="宋体" w:cs="宋体"/>
                <w:color w:val="000000"/>
                <w:kern w:val="0"/>
                <w:sz w:val="32"/>
                <w:szCs w:val="32"/>
              </w:rPr>
            </w:pPr>
            <w:r>
              <w:rPr>
                <w:rFonts w:hint="eastAsia" w:ascii="宋体" w:hAnsi="宋体" w:cs="宋体"/>
                <w:color w:val="000000"/>
                <w:kern w:val="0"/>
                <w:sz w:val="32"/>
                <w:szCs w:val="32"/>
              </w:rPr>
              <w:t>标</w:t>
            </w:r>
          </w:p>
          <w:p>
            <w:pPr>
              <w:widowControl/>
              <w:jc w:val="center"/>
              <w:textAlignment w:val="center"/>
              <w:rPr>
                <w:rFonts w:ascii="宋体" w:hAnsi="宋体" w:cs="宋体"/>
                <w:color w:val="000000"/>
                <w:sz w:val="18"/>
                <w:szCs w:val="18"/>
              </w:rPr>
            </w:pPr>
          </w:p>
          <w:p>
            <w:pPr>
              <w:widowControl/>
              <w:jc w:val="center"/>
              <w:textAlignment w:val="center"/>
              <w:rPr>
                <w:rFonts w:ascii="宋体" w:hAnsi="宋体" w:cs="宋体"/>
                <w:color w:val="000000"/>
                <w:kern w:val="0"/>
                <w:sz w:val="18"/>
                <w:szCs w:val="18"/>
              </w:rPr>
            </w:pPr>
          </w:p>
          <w:p>
            <w:pPr>
              <w:widowControl/>
              <w:jc w:val="center"/>
              <w:textAlignment w:val="center"/>
              <w:rPr>
                <w:rFonts w:ascii="宋体" w:hAnsi="宋体" w:cs="宋体"/>
                <w:color w:val="000000"/>
                <w:sz w:val="24"/>
              </w:rPr>
            </w:pPr>
          </w:p>
        </w:tc>
        <w:tc>
          <w:tcPr>
            <w:tcW w:w="1189"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8"/>
                <w:szCs w:val="28"/>
              </w:rPr>
            </w:pPr>
            <w:r>
              <w:rPr>
                <w:rFonts w:hint="eastAsia" w:ascii="宋体" w:hAnsi="宋体" w:cs="宋体"/>
                <w:color w:val="000000"/>
                <w:sz w:val="28"/>
                <w:szCs w:val="28"/>
              </w:rPr>
              <w:t>数</w:t>
            </w:r>
          </w:p>
          <w:p>
            <w:pPr>
              <w:widowControl/>
              <w:jc w:val="center"/>
              <w:textAlignment w:val="center"/>
              <w:rPr>
                <w:rFonts w:ascii="宋体" w:hAnsi="宋体" w:cs="宋体"/>
                <w:color w:val="000000"/>
                <w:sz w:val="28"/>
                <w:szCs w:val="28"/>
              </w:rPr>
            </w:pPr>
            <w:r>
              <w:rPr>
                <w:rFonts w:hint="eastAsia" w:ascii="宋体" w:hAnsi="宋体" w:cs="宋体"/>
                <w:color w:val="000000"/>
                <w:sz w:val="28"/>
                <w:szCs w:val="28"/>
              </w:rPr>
              <w:t>量</w:t>
            </w:r>
          </w:p>
          <w:p>
            <w:pPr>
              <w:widowControl/>
              <w:jc w:val="center"/>
              <w:textAlignment w:val="center"/>
              <w:rPr>
                <w:rFonts w:ascii="宋体" w:hAnsi="宋体" w:cs="宋体"/>
                <w:color w:val="000000"/>
                <w:sz w:val="28"/>
                <w:szCs w:val="28"/>
              </w:rPr>
            </w:pPr>
            <w:r>
              <w:rPr>
                <w:rFonts w:hint="eastAsia" w:ascii="宋体" w:hAnsi="宋体" w:cs="宋体"/>
                <w:color w:val="000000"/>
                <w:sz w:val="28"/>
                <w:szCs w:val="28"/>
              </w:rPr>
              <w:t>指</w:t>
            </w:r>
          </w:p>
          <w:p>
            <w:pPr>
              <w:widowControl/>
              <w:jc w:val="center"/>
              <w:textAlignment w:val="center"/>
              <w:rPr>
                <w:rFonts w:ascii="宋体" w:hAnsi="宋体" w:cs="宋体"/>
                <w:color w:val="000000"/>
                <w:sz w:val="24"/>
              </w:rPr>
            </w:pPr>
            <w:r>
              <w:rPr>
                <w:rFonts w:hint="eastAsia" w:ascii="宋体" w:hAnsi="宋体" w:cs="宋体"/>
                <w:color w:val="000000"/>
                <w:sz w:val="28"/>
                <w:szCs w:val="28"/>
              </w:rPr>
              <w:t>标</w:t>
            </w: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15"/>
                <w:szCs w:val="15"/>
              </w:rPr>
            </w:pPr>
            <w:r>
              <w:rPr>
                <w:rFonts w:hint="eastAsia" w:ascii="宋体" w:hAnsi="宋体" w:cs="宋体"/>
                <w:color w:val="000000"/>
                <w:kern w:val="0"/>
                <w:sz w:val="15"/>
                <w:szCs w:val="15"/>
              </w:rPr>
              <w:t xml:space="preserve"> 报告发现的结核病患者（包括耐多药结核患者）管理率（≥**%）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15"/>
                <w:szCs w:val="15"/>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≥90％</w:t>
            </w:r>
          </w:p>
        </w:tc>
      </w:tr>
      <w:tr>
        <w:tblPrEx>
          <w:tblCellMar>
            <w:top w:w="0" w:type="dxa"/>
            <w:left w:w="0" w:type="dxa"/>
            <w:bottom w:w="0" w:type="dxa"/>
            <w:right w:w="0" w:type="dxa"/>
          </w:tblCellMar>
        </w:tblPrEx>
        <w:trPr>
          <w:trHeight w:val="40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18"/>
                <w:szCs w:val="18"/>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15"/>
                <w:szCs w:val="15"/>
              </w:rPr>
            </w:pPr>
            <w:r>
              <w:rPr>
                <w:rFonts w:hint="eastAsia" w:ascii="宋体" w:hAnsi="宋体" w:cs="宋体"/>
                <w:color w:val="000000"/>
                <w:kern w:val="0"/>
                <w:sz w:val="15"/>
                <w:szCs w:val="15"/>
              </w:rPr>
              <w:t xml:space="preserve"> 65岁以上老年人健康管理率（≥**%）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≥4.2％</w:t>
            </w:r>
          </w:p>
        </w:tc>
      </w:tr>
      <w:tr>
        <w:tblPrEx>
          <w:tblCellMar>
            <w:top w:w="0" w:type="dxa"/>
            <w:left w:w="0" w:type="dxa"/>
            <w:bottom w:w="0" w:type="dxa"/>
            <w:right w:w="0" w:type="dxa"/>
          </w:tblCellMar>
        </w:tblPrEx>
        <w:trPr>
          <w:trHeight w:val="29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18"/>
                <w:szCs w:val="18"/>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15"/>
                <w:szCs w:val="15"/>
              </w:rPr>
            </w:pPr>
            <w:r>
              <w:rPr>
                <w:rFonts w:hint="eastAsia" w:ascii="宋体" w:hAnsi="宋体" w:cs="宋体"/>
                <w:color w:val="000000"/>
                <w:kern w:val="0"/>
                <w:sz w:val="15"/>
                <w:szCs w:val="15"/>
              </w:rPr>
              <w:t xml:space="preserve"> 艾滋病感染者/病人随访检测比例（≥**%）</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tc>
      </w:tr>
      <w:tr>
        <w:tblPrEx>
          <w:tblCellMar>
            <w:top w:w="0" w:type="dxa"/>
            <w:left w:w="0" w:type="dxa"/>
            <w:bottom w:w="0" w:type="dxa"/>
            <w:right w:w="0" w:type="dxa"/>
          </w:tblCellMar>
        </w:tblPrEx>
        <w:trPr>
          <w:trHeight w:val="30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18"/>
                <w:szCs w:val="18"/>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15"/>
                <w:szCs w:val="15"/>
              </w:rPr>
            </w:pPr>
            <w:r>
              <w:rPr>
                <w:rFonts w:hint="eastAsia" w:ascii="宋体" w:hAnsi="宋体" w:cs="宋体"/>
                <w:color w:val="000000"/>
                <w:kern w:val="0"/>
                <w:sz w:val="15"/>
                <w:szCs w:val="15"/>
              </w:rPr>
              <w:t xml:space="preserve"> 艾滋病抗病毒治疗人数（≥**万人）</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0.0021</w:t>
            </w:r>
          </w:p>
        </w:tc>
      </w:tr>
      <w:tr>
        <w:tblPrEx>
          <w:tblCellMar>
            <w:top w:w="0" w:type="dxa"/>
            <w:left w:w="0" w:type="dxa"/>
            <w:bottom w:w="0" w:type="dxa"/>
            <w:right w:w="0" w:type="dxa"/>
          </w:tblCellMar>
        </w:tblPrEx>
        <w:trPr>
          <w:trHeight w:val="38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15"/>
                <w:szCs w:val="15"/>
              </w:rPr>
            </w:pPr>
            <w:r>
              <w:rPr>
                <w:rFonts w:hint="eastAsia" w:ascii="宋体" w:hAnsi="宋体" w:cs="宋体"/>
                <w:color w:val="000000"/>
                <w:kern w:val="0"/>
                <w:sz w:val="15"/>
                <w:szCs w:val="15"/>
              </w:rPr>
              <w:t xml:space="preserve"> 筛查肺结核可疑患者人数（＞**万人）</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0.002</w:t>
            </w:r>
          </w:p>
        </w:tc>
      </w:tr>
      <w:tr>
        <w:tblPrEx>
          <w:tblCellMar>
            <w:top w:w="0" w:type="dxa"/>
            <w:left w:w="0" w:type="dxa"/>
            <w:bottom w:w="0" w:type="dxa"/>
            <w:right w:w="0" w:type="dxa"/>
          </w:tblCellMar>
        </w:tblPrEx>
        <w:trPr>
          <w:trHeight w:val="50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15"/>
                <w:szCs w:val="15"/>
              </w:rPr>
            </w:pPr>
            <w:r>
              <w:rPr>
                <w:rFonts w:hint="eastAsia" w:ascii="宋体" w:hAnsi="宋体" w:cs="宋体"/>
                <w:color w:val="000000"/>
                <w:kern w:val="0"/>
                <w:sz w:val="15"/>
                <w:szCs w:val="15"/>
              </w:rPr>
              <w:t xml:space="preserve"> 发现并治疗活动性肺结核患者人数（＞**万人）</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0.009</w:t>
            </w:r>
          </w:p>
        </w:tc>
      </w:tr>
      <w:tr>
        <w:tblPrEx>
          <w:tblCellMar>
            <w:top w:w="0" w:type="dxa"/>
            <w:left w:w="0" w:type="dxa"/>
            <w:bottom w:w="0" w:type="dxa"/>
            <w:right w:w="0" w:type="dxa"/>
          </w:tblCellMar>
        </w:tblPrEx>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24"/>
              </w:rPr>
            </w:pPr>
            <w:r>
              <w:rPr>
                <w:rFonts w:hint="eastAsia" w:ascii="宋体" w:hAnsi="宋体" w:cs="宋体"/>
                <w:color w:val="000000"/>
                <w:kern w:val="0"/>
                <w:sz w:val="15"/>
                <w:szCs w:val="15"/>
              </w:rPr>
              <w:t xml:space="preserve"> 包虫病免费药物治疗（**万人）</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=0.0129</w:t>
            </w:r>
          </w:p>
        </w:tc>
      </w:tr>
      <w:tr>
        <w:tblPrEx>
          <w:tblCellMar>
            <w:top w:w="0" w:type="dxa"/>
            <w:left w:w="0" w:type="dxa"/>
            <w:bottom w:w="0" w:type="dxa"/>
            <w:right w:w="0" w:type="dxa"/>
          </w:tblCellMar>
        </w:tblPrEx>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15"/>
                <w:szCs w:val="15"/>
              </w:rPr>
            </w:pPr>
            <w:r>
              <w:rPr>
                <w:rFonts w:hint="eastAsia" w:ascii="宋体" w:hAnsi="宋体" w:cs="宋体"/>
                <w:color w:val="000000"/>
                <w:kern w:val="0"/>
                <w:sz w:val="15"/>
                <w:szCs w:val="15"/>
              </w:rPr>
              <w:t xml:space="preserve"> 严重精神障碍患者筛查诊断（**人）</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89</w:t>
            </w:r>
          </w:p>
        </w:tc>
      </w:tr>
      <w:tr>
        <w:tblPrEx>
          <w:tblCellMar>
            <w:top w:w="0" w:type="dxa"/>
            <w:left w:w="0" w:type="dxa"/>
            <w:bottom w:w="0" w:type="dxa"/>
            <w:right w:w="0" w:type="dxa"/>
          </w:tblCellMar>
        </w:tblPrEx>
        <w:trPr>
          <w:trHeight w:val="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15"/>
                <w:szCs w:val="15"/>
              </w:rPr>
            </w:pPr>
            <w:r>
              <w:rPr>
                <w:rFonts w:hint="eastAsia" w:ascii="宋体" w:hAnsi="宋体" w:cs="宋体"/>
                <w:color w:val="000000"/>
                <w:kern w:val="0"/>
                <w:sz w:val="15"/>
                <w:szCs w:val="15"/>
              </w:rPr>
              <w:t xml:space="preserve"> 心血管病高危人群早筛查人数（**人）</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15"/>
                <w:szCs w:val="15"/>
              </w:rPr>
            </w:pPr>
            <w:r>
              <w:rPr>
                <w:rFonts w:hint="eastAsia" w:ascii="宋体" w:hAnsi="宋体" w:cs="宋体"/>
                <w:color w:val="000000"/>
                <w:kern w:val="0"/>
                <w:sz w:val="15"/>
                <w:szCs w:val="15"/>
              </w:rPr>
              <w:t xml:space="preserve">        肿瘤登记数（**人）</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12</w:t>
            </w:r>
          </w:p>
        </w:tc>
      </w:tr>
      <w:tr>
        <w:tblPrEx>
          <w:tblCellMar>
            <w:top w:w="0" w:type="dxa"/>
            <w:left w:w="0" w:type="dxa"/>
            <w:bottom w:w="0" w:type="dxa"/>
            <w:right w:w="0" w:type="dxa"/>
          </w:tblCellMar>
        </w:tblPrEx>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15"/>
                <w:szCs w:val="15"/>
              </w:rPr>
            </w:pPr>
            <w:r>
              <w:rPr>
                <w:rFonts w:hint="eastAsia" w:ascii="宋体" w:hAnsi="宋体" w:cs="宋体"/>
                <w:color w:val="000000"/>
                <w:kern w:val="0"/>
                <w:sz w:val="15"/>
                <w:szCs w:val="15"/>
              </w:rPr>
              <w:t xml:space="preserve">        死因监测数（**人）</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131</w:t>
            </w:r>
          </w:p>
        </w:tc>
      </w:tr>
      <w:tr>
        <w:tblPrEx>
          <w:tblCellMar>
            <w:top w:w="0" w:type="dxa"/>
            <w:left w:w="0" w:type="dxa"/>
            <w:bottom w:w="0" w:type="dxa"/>
            <w:right w:w="0" w:type="dxa"/>
          </w:tblCellMar>
        </w:tblPrEx>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8"/>
                <w:szCs w:val="28"/>
              </w:rPr>
            </w:pPr>
            <w:r>
              <w:rPr>
                <w:rFonts w:hint="eastAsia" w:ascii="宋体" w:hAnsi="宋体" w:cs="宋体"/>
                <w:color w:val="000000"/>
                <w:sz w:val="28"/>
                <w:szCs w:val="28"/>
              </w:rPr>
              <w:t>质</w:t>
            </w:r>
          </w:p>
          <w:p>
            <w:pPr>
              <w:widowControl/>
              <w:jc w:val="center"/>
              <w:textAlignment w:val="center"/>
              <w:rPr>
                <w:rFonts w:ascii="宋体" w:hAnsi="宋体" w:cs="宋体"/>
                <w:color w:val="000000"/>
                <w:sz w:val="28"/>
                <w:szCs w:val="28"/>
              </w:rPr>
            </w:pPr>
            <w:r>
              <w:rPr>
                <w:rFonts w:hint="eastAsia" w:ascii="宋体" w:hAnsi="宋体" w:cs="宋体"/>
                <w:color w:val="000000"/>
                <w:sz w:val="28"/>
                <w:szCs w:val="28"/>
              </w:rPr>
              <w:t>量</w:t>
            </w:r>
          </w:p>
          <w:p>
            <w:pPr>
              <w:widowControl/>
              <w:jc w:val="center"/>
              <w:textAlignment w:val="center"/>
              <w:rPr>
                <w:rFonts w:ascii="宋体" w:hAnsi="宋体" w:cs="宋体"/>
                <w:color w:val="000000"/>
                <w:sz w:val="28"/>
                <w:szCs w:val="28"/>
              </w:rPr>
            </w:pPr>
            <w:r>
              <w:rPr>
                <w:rFonts w:hint="eastAsia" w:ascii="宋体" w:hAnsi="宋体" w:cs="宋体"/>
                <w:color w:val="000000"/>
                <w:sz w:val="28"/>
                <w:szCs w:val="28"/>
              </w:rPr>
              <w:t>指</w:t>
            </w:r>
          </w:p>
          <w:p>
            <w:pPr>
              <w:widowControl/>
              <w:jc w:val="center"/>
              <w:textAlignment w:val="center"/>
              <w:rPr>
                <w:rFonts w:ascii="宋体" w:hAnsi="宋体" w:cs="宋体"/>
                <w:color w:val="000000"/>
                <w:sz w:val="24"/>
              </w:rPr>
            </w:pPr>
            <w:r>
              <w:rPr>
                <w:rFonts w:hint="eastAsia" w:ascii="宋体" w:hAnsi="宋体" w:cs="宋体"/>
                <w:color w:val="000000"/>
                <w:sz w:val="28"/>
                <w:szCs w:val="28"/>
              </w:rPr>
              <w:t>标</w:t>
            </w: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15"/>
                <w:szCs w:val="15"/>
              </w:rPr>
            </w:pPr>
            <w:r>
              <w:rPr>
                <w:rFonts w:hint="eastAsia" w:ascii="宋体" w:hAnsi="宋体" w:cs="宋体"/>
                <w:color w:val="000000"/>
                <w:kern w:val="0"/>
                <w:sz w:val="15"/>
                <w:szCs w:val="15"/>
              </w:rPr>
              <w:t xml:space="preserve"> 居民健康档案电子建档率（≥**%）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≥90.1％</w:t>
            </w:r>
          </w:p>
        </w:tc>
      </w:tr>
      <w:tr>
        <w:tblPrEx>
          <w:tblCellMar>
            <w:top w:w="0" w:type="dxa"/>
            <w:left w:w="0" w:type="dxa"/>
            <w:bottom w:w="0" w:type="dxa"/>
            <w:right w:w="0" w:type="dxa"/>
          </w:tblCellMar>
        </w:tblPrEx>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15"/>
                <w:szCs w:val="15"/>
              </w:rPr>
            </w:pPr>
            <w:r>
              <w:rPr>
                <w:rFonts w:hint="eastAsia" w:ascii="宋体" w:hAnsi="宋体" w:cs="宋体"/>
                <w:color w:val="000000"/>
                <w:kern w:val="0"/>
                <w:sz w:val="15"/>
                <w:szCs w:val="15"/>
              </w:rPr>
              <w:t xml:space="preserve"> 高血压患者规范管理率（≥**%）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≥91.5％</w:t>
            </w:r>
          </w:p>
        </w:tc>
      </w:tr>
      <w:tr>
        <w:tblPrEx>
          <w:tblCellMar>
            <w:top w:w="0" w:type="dxa"/>
            <w:left w:w="0" w:type="dxa"/>
            <w:bottom w:w="0" w:type="dxa"/>
            <w:right w:w="0" w:type="dxa"/>
          </w:tblCellMar>
        </w:tblPrEx>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15"/>
                <w:szCs w:val="15"/>
              </w:rPr>
            </w:pPr>
            <w:r>
              <w:rPr>
                <w:rFonts w:hint="eastAsia" w:ascii="宋体" w:hAnsi="宋体" w:cs="宋体"/>
                <w:color w:val="000000"/>
                <w:kern w:val="0"/>
                <w:sz w:val="15"/>
                <w:szCs w:val="15"/>
              </w:rPr>
              <w:t xml:space="preserve"> 糖尿病患者规范管理率（≥**%）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≥93.5％</w:t>
            </w:r>
          </w:p>
        </w:tc>
      </w:tr>
      <w:tr>
        <w:tblPrEx>
          <w:tblCellMar>
            <w:top w:w="0" w:type="dxa"/>
            <w:left w:w="0" w:type="dxa"/>
            <w:bottom w:w="0" w:type="dxa"/>
            <w:right w:w="0" w:type="dxa"/>
          </w:tblCellMar>
        </w:tblPrEx>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15"/>
                <w:szCs w:val="15"/>
              </w:rPr>
            </w:pPr>
            <w:r>
              <w:rPr>
                <w:rFonts w:hint="eastAsia" w:ascii="宋体" w:hAnsi="宋体" w:cs="宋体"/>
                <w:color w:val="000000"/>
                <w:kern w:val="0"/>
                <w:sz w:val="15"/>
                <w:szCs w:val="15"/>
              </w:rPr>
              <w:t>艾滋病高危人群月均干预覆盖比例（暗娼、男男性行为）（≥**%）</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≥85％</w:t>
            </w:r>
          </w:p>
        </w:tc>
      </w:tr>
      <w:tr>
        <w:tblPrEx>
          <w:tblCellMar>
            <w:top w:w="0" w:type="dxa"/>
            <w:left w:w="0" w:type="dxa"/>
            <w:bottom w:w="0" w:type="dxa"/>
            <w:right w:w="0" w:type="dxa"/>
          </w:tblCellMar>
        </w:tblPrEx>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15"/>
                <w:szCs w:val="15"/>
              </w:rPr>
            </w:pPr>
            <w:r>
              <w:rPr>
                <w:rFonts w:hint="eastAsia" w:ascii="宋体" w:hAnsi="宋体" w:cs="宋体"/>
                <w:color w:val="000000"/>
                <w:kern w:val="0"/>
                <w:sz w:val="15"/>
                <w:szCs w:val="15"/>
              </w:rPr>
              <w:t>新涂阳患者治愈率（≥**%）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≥90％</w:t>
            </w:r>
          </w:p>
        </w:tc>
      </w:tr>
      <w:tr>
        <w:tblPrEx>
          <w:tblCellMar>
            <w:top w:w="0" w:type="dxa"/>
            <w:left w:w="0" w:type="dxa"/>
            <w:bottom w:w="0" w:type="dxa"/>
            <w:right w:w="0" w:type="dxa"/>
          </w:tblCellMar>
        </w:tblPrEx>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15"/>
                <w:szCs w:val="15"/>
              </w:rPr>
            </w:pPr>
            <w:r>
              <w:rPr>
                <w:rFonts w:hint="eastAsia" w:ascii="宋体" w:hAnsi="宋体" w:cs="宋体"/>
                <w:color w:val="000000"/>
                <w:kern w:val="0"/>
                <w:sz w:val="15"/>
                <w:szCs w:val="15"/>
              </w:rPr>
              <w:t xml:space="preserve"> 肺结核患者全程管理率（≥**%）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≥95％</w:t>
            </w:r>
          </w:p>
        </w:tc>
      </w:tr>
      <w:tr>
        <w:tblPrEx>
          <w:tblCellMar>
            <w:top w:w="0" w:type="dxa"/>
            <w:left w:w="0" w:type="dxa"/>
            <w:bottom w:w="0" w:type="dxa"/>
            <w:right w:w="0" w:type="dxa"/>
          </w:tblCellMar>
        </w:tblPrEx>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15"/>
                <w:szCs w:val="15"/>
              </w:rPr>
            </w:pPr>
            <w:r>
              <w:rPr>
                <w:rFonts w:hint="eastAsia" w:ascii="宋体" w:hAnsi="宋体" w:cs="宋体"/>
                <w:color w:val="000000"/>
                <w:kern w:val="0"/>
                <w:sz w:val="15"/>
                <w:szCs w:val="15"/>
              </w:rPr>
              <w:t>包虫病病人登记管理率（≥**%）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≥95％</w:t>
            </w:r>
          </w:p>
        </w:tc>
      </w:tr>
      <w:tr>
        <w:tblPrEx>
          <w:tblCellMar>
            <w:top w:w="0" w:type="dxa"/>
            <w:left w:w="0" w:type="dxa"/>
            <w:bottom w:w="0" w:type="dxa"/>
            <w:right w:w="0" w:type="dxa"/>
          </w:tblCellMar>
        </w:tblPrEx>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15"/>
                <w:szCs w:val="15"/>
              </w:rPr>
            </w:pPr>
            <w:r>
              <w:rPr>
                <w:rFonts w:hint="eastAsia" w:ascii="宋体" w:hAnsi="宋体" w:cs="宋体"/>
                <w:color w:val="000000"/>
                <w:kern w:val="0"/>
                <w:sz w:val="15"/>
                <w:szCs w:val="15"/>
              </w:rPr>
              <w:t>严重精神障碍患者检出率（≥**％）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≥0.17％</w:t>
            </w:r>
          </w:p>
        </w:tc>
      </w:tr>
      <w:tr>
        <w:tblPrEx>
          <w:tblCellMar>
            <w:top w:w="0" w:type="dxa"/>
            <w:left w:w="0" w:type="dxa"/>
            <w:bottom w:w="0" w:type="dxa"/>
            <w:right w:w="0" w:type="dxa"/>
          </w:tblCellMar>
        </w:tblPrEx>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15"/>
                <w:szCs w:val="15"/>
              </w:rPr>
            </w:pPr>
            <w:r>
              <w:rPr>
                <w:rFonts w:hint="eastAsia" w:ascii="宋体" w:hAnsi="宋体" w:cs="宋体"/>
                <w:color w:val="000000"/>
                <w:kern w:val="0"/>
                <w:sz w:val="15"/>
                <w:szCs w:val="15"/>
              </w:rPr>
              <w:t>严重精神障碍患者管理率（≥**%）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≥97.6％</w:t>
            </w:r>
          </w:p>
        </w:tc>
      </w:tr>
      <w:tr>
        <w:tblPrEx>
          <w:tblCellMar>
            <w:top w:w="0" w:type="dxa"/>
            <w:left w:w="0" w:type="dxa"/>
            <w:bottom w:w="0" w:type="dxa"/>
            <w:right w:w="0" w:type="dxa"/>
          </w:tblCellMar>
        </w:tblPrEx>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15"/>
                <w:szCs w:val="15"/>
              </w:rPr>
            </w:pPr>
            <w:r>
              <w:rPr>
                <w:rFonts w:hint="eastAsia" w:ascii="宋体" w:hAnsi="宋体" w:cs="宋体"/>
                <w:color w:val="000000"/>
                <w:kern w:val="0"/>
                <w:sz w:val="15"/>
                <w:szCs w:val="15"/>
              </w:rPr>
              <w:t xml:space="preserve"> 全民健康生活方式行动覆盖率（**%）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tc>
      </w:tr>
      <w:tr>
        <w:tblPrEx>
          <w:tblCellMar>
            <w:top w:w="0" w:type="dxa"/>
            <w:left w:w="0" w:type="dxa"/>
            <w:bottom w:w="0" w:type="dxa"/>
            <w:right w:w="0" w:type="dxa"/>
          </w:tblCellMar>
        </w:tblPrEx>
        <w:trPr>
          <w:trHeight w:val="4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189"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ascii="宋体" w:hAnsi="宋体" w:cs="宋体"/>
                <w:color w:val="000000"/>
                <w:kern w:val="0"/>
                <w:sz w:val="28"/>
                <w:szCs w:val="28"/>
              </w:rPr>
            </w:pPr>
            <w:r>
              <w:rPr>
                <w:rFonts w:hint="eastAsia" w:ascii="宋体" w:hAnsi="宋体" w:cs="宋体"/>
                <w:color w:val="000000"/>
                <w:kern w:val="0"/>
                <w:sz w:val="28"/>
                <w:szCs w:val="28"/>
              </w:rPr>
              <w:t>社会</w:t>
            </w:r>
          </w:p>
          <w:p>
            <w:pPr>
              <w:widowControl/>
              <w:jc w:val="center"/>
              <w:textAlignment w:val="bottom"/>
              <w:rPr>
                <w:rFonts w:ascii="宋体" w:hAnsi="宋体" w:cs="宋体"/>
                <w:color w:val="000000"/>
                <w:kern w:val="0"/>
                <w:sz w:val="28"/>
                <w:szCs w:val="28"/>
              </w:rPr>
            </w:pPr>
            <w:r>
              <w:rPr>
                <w:rFonts w:hint="eastAsia" w:ascii="宋体" w:hAnsi="宋体" w:cs="宋体"/>
                <w:color w:val="000000"/>
                <w:kern w:val="0"/>
                <w:sz w:val="28"/>
                <w:szCs w:val="28"/>
              </w:rPr>
              <w:t>效益</w:t>
            </w:r>
          </w:p>
          <w:p>
            <w:pPr>
              <w:widowControl/>
              <w:jc w:val="center"/>
              <w:textAlignment w:val="bottom"/>
              <w:rPr>
                <w:rFonts w:ascii="宋体" w:hAnsi="宋体" w:cs="宋体"/>
                <w:color w:val="000000"/>
                <w:sz w:val="24"/>
              </w:rPr>
            </w:pPr>
            <w:r>
              <w:rPr>
                <w:rFonts w:hint="eastAsia" w:ascii="宋体" w:hAnsi="宋体" w:cs="宋体"/>
                <w:color w:val="000000"/>
                <w:kern w:val="0"/>
                <w:sz w:val="28"/>
                <w:szCs w:val="28"/>
              </w:rPr>
              <w:t>指标</w:t>
            </w: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15"/>
                <w:szCs w:val="15"/>
              </w:rPr>
            </w:pPr>
            <w:r>
              <w:rPr>
                <w:rFonts w:hint="eastAsia" w:ascii="宋体" w:hAnsi="宋体" w:cs="宋体"/>
                <w:color w:val="000000"/>
                <w:kern w:val="0"/>
                <w:sz w:val="15"/>
                <w:szCs w:val="15"/>
              </w:rPr>
              <w:t>居民健康保健意识和健康知识知晓率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=35％</w:t>
            </w:r>
          </w:p>
        </w:tc>
      </w:tr>
      <w:tr>
        <w:tblPrEx>
          <w:tblCellMar>
            <w:top w:w="0" w:type="dxa"/>
            <w:left w:w="0" w:type="dxa"/>
            <w:bottom w:w="0" w:type="dxa"/>
            <w:right w:w="0" w:type="dxa"/>
          </w:tblCellMar>
        </w:tblPrEx>
        <w:trPr>
          <w:trHeight w:val="41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22"/>
                <w:szCs w:val="22"/>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15"/>
                <w:szCs w:val="15"/>
              </w:rPr>
            </w:pPr>
            <w:r>
              <w:rPr>
                <w:rFonts w:hint="eastAsia" w:ascii="宋体" w:hAnsi="宋体" w:cs="宋体"/>
                <w:color w:val="000000"/>
                <w:kern w:val="0"/>
                <w:sz w:val="15"/>
                <w:szCs w:val="15"/>
              </w:rPr>
              <w:t>重点人群艾滋病知识知晓率（≥**%）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≥90％</w:t>
            </w:r>
          </w:p>
        </w:tc>
      </w:tr>
      <w:tr>
        <w:tblPrEx>
          <w:tblCellMar>
            <w:top w:w="0" w:type="dxa"/>
            <w:left w:w="0" w:type="dxa"/>
            <w:bottom w:w="0" w:type="dxa"/>
            <w:right w:w="0" w:type="dxa"/>
          </w:tblCellMar>
        </w:tblPrEx>
        <w:trPr>
          <w:trHeight w:val="60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1189"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22"/>
                <w:szCs w:val="22"/>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15"/>
                <w:szCs w:val="15"/>
              </w:rPr>
            </w:pPr>
            <w:r>
              <w:rPr>
                <w:rFonts w:hint="eastAsia" w:ascii="宋体" w:hAnsi="宋体" w:cs="宋体"/>
                <w:color w:val="000000"/>
                <w:kern w:val="0"/>
                <w:sz w:val="15"/>
                <w:szCs w:val="15"/>
              </w:rPr>
              <w:t>疫情报告处置</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tc>
      </w:tr>
      <w:tr>
        <w:tblPrEx>
          <w:tblCellMar>
            <w:top w:w="0" w:type="dxa"/>
            <w:left w:w="0" w:type="dxa"/>
            <w:bottom w:w="0" w:type="dxa"/>
            <w:right w:w="0" w:type="dxa"/>
          </w:tblCellMar>
        </w:tblPrEx>
        <w:trPr>
          <w:trHeight w:val="85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满意度</w:t>
            </w:r>
          </w:p>
          <w:p>
            <w:pPr>
              <w:widowControl/>
              <w:jc w:val="center"/>
              <w:textAlignment w:val="center"/>
              <w:rPr>
                <w:rFonts w:ascii="宋体" w:hAnsi="宋体" w:cs="宋体"/>
                <w:color w:val="000000"/>
                <w:sz w:val="24"/>
              </w:rPr>
            </w:pPr>
            <w:r>
              <w:rPr>
                <w:rFonts w:hint="eastAsia" w:ascii="宋体" w:hAnsi="宋体" w:cs="宋体"/>
                <w:color w:val="000000"/>
                <w:kern w:val="0"/>
                <w:sz w:val="24"/>
              </w:rPr>
              <w:t>指标</w:t>
            </w:r>
          </w:p>
        </w:tc>
        <w:tc>
          <w:tcPr>
            <w:tcW w:w="118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24"/>
              </w:rPr>
            </w:pPr>
            <w:r>
              <w:rPr>
                <w:rFonts w:hint="eastAsia" w:ascii="宋体" w:hAnsi="宋体" w:cs="宋体"/>
                <w:color w:val="000000"/>
                <w:kern w:val="0"/>
                <w:sz w:val="22"/>
                <w:szCs w:val="22"/>
              </w:rPr>
              <w:t>服务对象满意度指标</w:t>
            </w: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群众满意度</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≥90％</w:t>
            </w:r>
          </w:p>
        </w:tc>
      </w:tr>
    </w:tbl>
    <w:p>
      <w:pPr>
        <w:rPr>
          <w:rFonts w:ascii="Calibri" w:hAnsi="Calibri"/>
        </w:rPr>
      </w:pPr>
    </w:p>
    <w:p>
      <w:pPr>
        <w:spacing w:line="560" w:lineRule="exact"/>
        <w:ind w:firstLine="630" w:firstLineChars="196"/>
        <w:rPr>
          <w:rFonts w:ascii="仿宋_GB2312" w:hAnsi="楷体" w:eastAsia="仿宋_GB2312"/>
          <w:b/>
          <w:bCs/>
          <w:color w:val="000000"/>
          <w:sz w:val="32"/>
          <w:szCs w:val="32"/>
        </w:rPr>
      </w:pPr>
      <w:r>
        <w:rPr>
          <w:rFonts w:hint="eastAsia" w:ascii="仿宋_GB2312" w:hAnsi="楷体" w:eastAsia="仿宋_GB2312"/>
          <w:b/>
          <w:bCs/>
          <w:color w:val="000000"/>
          <w:sz w:val="32"/>
          <w:szCs w:val="32"/>
        </w:rPr>
        <w:t>（4）强化免疫规划工作，提升儿童疫苗接种率。</w:t>
      </w:r>
    </w:p>
    <w:p>
      <w:pPr>
        <w:spacing w:line="660" w:lineRule="exact"/>
        <w:ind w:firstLine="640" w:firstLineChars="200"/>
        <w:rPr>
          <w:rFonts w:ascii="仿宋_GB2312" w:hAnsi="宋体" w:eastAsia="仿宋_GB2312" w:cs="仿宋_GB2312"/>
          <w:bCs/>
          <w:sz w:val="32"/>
          <w:szCs w:val="32"/>
        </w:rPr>
      </w:pPr>
      <w:r>
        <w:rPr>
          <w:rFonts w:hint="eastAsia" w:ascii="仿宋_GB2312" w:hAnsi="仿宋" w:eastAsia="仿宋_GB2312"/>
          <w:color w:val="000000"/>
          <w:sz w:val="32"/>
          <w:szCs w:val="32"/>
        </w:rPr>
        <w:t>以开展脊灰补充免疫和麻疹疫苗查漏补种为契机，借助全社会对免疫规划工作的空前重视，预防接种在群众中深入开展。</w:t>
      </w:r>
      <w:r>
        <w:rPr>
          <w:rFonts w:hint="eastAsia" w:ascii="仿宋_GB2312" w:hAnsi="仿宋" w:eastAsia="仿宋_GB2312"/>
          <w:bCs/>
          <w:color w:val="000000"/>
          <w:sz w:val="32"/>
          <w:szCs w:val="32"/>
        </w:rPr>
        <w:t>一是</w:t>
      </w:r>
      <w:r>
        <w:rPr>
          <w:rFonts w:hint="eastAsia" w:ascii="仿宋_GB2312" w:hAnsi="仿宋" w:eastAsia="仿宋_GB2312"/>
          <w:color w:val="000000"/>
          <w:sz w:val="32"/>
          <w:szCs w:val="32"/>
        </w:rPr>
        <w:t>强化培训，先后开展3期免疫规划现场培训，提升基层医疗机构医务人员预防接种的责任意识和服务意思；</w:t>
      </w:r>
      <w:r>
        <w:rPr>
          <w:rFonts w:hint="eastAsia" w:ascii="仿宋_GB2312" w:hAnsi="仿宋" w:eastAsia="仿宋_GB2312"/>
          <w:bCs/>
          <w:color w:val="000000"/>
          <w:sz w:val="32"/>
          <w:szCs w:val="32"/>
        </w:rPr>
        <w:t>二是</w:t>
      </w:r>
      <w:r>
        <w:rPr>
          <w:rFonts w:hint="eastAsia" w:ascii="仿宋_GB2312" w:hAnsi="仿宋" w:eastAsia="仿宋_GB2312"/>
          <w:color w:val="000000"/>
          <w:sz w:val="32"/>
          <w:szCs w:val="32"/>
        </w:rPr>
        <w:t>规范操作，完成免疫常规督导8次，冷链运转</w:t>
      </w:r>
      <w:r>
        <w:rPr>
          <w:rFonts w:ascii="仿宋_GB2312" w:hAnsi="仿宋" w:eastAsia="仿宋_GB2312"/>
          <w:color w:val="000000"/>
          <w:sz w:val="32"/>
          <w:szCs w:val="32"/>
        </w:rPr>
        <w:t>4</w:t>
      </w:r>
      <w:r>
        <w:rPr>
          <w:rFonts w:hint="eastAsia" w:ascii="仿宋_GB2312" w:hAnsi="仿宋" w:eastAsia="仿宋_GB2312"/>
          <w:color w:val="000000"/>
          <w:sz w:val="32"/>
          <w:szCs w:val="32"/>
        </w:rPr>
        <w:t>轮。通过对接种工作和免疫规划门诊的检查督导，全面指导免疫规划工作开展，规范预防接种工作流程；</w:t>
      </w:r>
      <w:r>
        <w:rPr>
          <w:rFonts w:hint="eastAsia" w:ascii="仿宋_GB2312" w:hAnsi="仿宋" w:eastAsia="仿宋_GB2312"/>
          <w:bCs/>
          <w:color w:val="000000"/>
          <w:sz w:val="32"/>
          <w:szCs w:val="32"/>
        </w:rPr>
        <w:t>三是</w:t>
      </w:r>
      <w:r>
        <w:rPr>
          <w:rFonts w:hint="eastAsia" w:ascii="仿宋_GB2312" w:hAnsi="仿宋" w:eastAsia="仿宋_GB2312"/>
          <w:color w:val="000000"/>
          <w:sz w:val="32"/>
          <w:szCs w:val="32"/>
        </w:rPr>
        <w:t>针对今年我县周边地区</w:t>
      </w:r>
      <w:r>
        <w:rPr>
          <w:rFonts w:ascii="仿宋_GB2312" w:hAnsi="仿宋" w:eastAsia="仿宋_GB2312"/>
          <w:color w:val="000000"/>
          <w:sz w:val="32"/>
          <w:szCs w:val="32"/>
        </w:rPr>
        <w:t>AFP</w:t>
      </w:r>
      <w:r>
        <w:rPr>
          <w:rFonts w:hint="eastAsia" w:ascii="仿宋_GB2312" w:hAnsi="仿宋" w:eastAsia="仿宋_GB2312"/>
          <w:color w:val="000000"/>
          <w:sz w:val="32"/>
          <w:szCs w:val="32"/>
        </w:rPr>
        <w:t>疫情严峻态势，重点开展了</w:t>
      </w:r>
      <w:r>
        <w:rPr>
          <w:rFonts w:ascii="仿宋_GB2312" w:hAnsi="仿宋" w:eastAsia="仿宋_GB2312"/>
          <w:color w:val="000000"/>
          <w:sz w:val="32"/>
          <w:szCs w:val="32"/>
        </w:rPr>
        <w:t>AFP</w:t>
      </w:r>
      <w:r>
        <w:rPr>
          <w:rFonts w:hint="eastAsia" w:ascii="仿宋_GB2312" w:hAnsi="仿宋" w:eastAsia="仿宋_GB2312"/>
          <w:color w:val="000000"/>
          <w:sz w:val="32"/>
          <w:szCs w:val="32"/>
        </w:rPr>
        <w:t>主动监测、麻疹主动搜索</w:t>
      </w:r>
      <w:r>
        <w:rPr>
          <w:rFonts w:hint="eastAsia" w:ascii="仿宋_GB2312" w:hAnsi="仿宋_GB2312" w:eastAsia="仿宋_GB2312" w:cs="仿宋_GB2312"/>
          <w:sz w:val="30"/>
          <w:szCs w:val="30"/>
        </w:rPr>
        <w:t>。</w:t>
      </w:r>
    </w:p>
    <w:p>
      <w:pPr>
        <w:spacing w:line="560" w:lineRule="exact"/>
        <w:ind w:firstLine="640" w:firstLineChars="200"/>
        <w:rPr>
          <w:rFonts w:ascii="仿宋_GB2312" w:eastAsia="仿宋_GB2312"/>
          <w:color w:val="000000"/>
          <w:sz w:val="32"/>
          <w:szCs w:val="32"/>
        </w:rPr>
      </w:pPr>
      <w:r>
        <w:rPr>
          <w:rFonts w:hint="eastAsia" w:ascii="仿宋_GB2312" w:hAnsi="仿宋_GB2312" w:eastAsia="仿宋_GB2312" w:cs="仿宋_GB2312"/>
          <w:sz w:val="32"/>
          <w:szCs w:val="32"/>
        </w:rPr>
        <w:t>按照《四川省2018年脊髓灰质炎灭活疫苗查漏补种实施方案 》要求，我县制定了《红原县2018年脊髓灰质炎灭活疫苗查漏补种实施方案 》并于3月16日对各乡镇卫生院院长及专管免规人员进行脊髓灰质炎灭活疫苗查漏补种工作现场培训，3月17日起全县范围内进行目标儿童摸底、下发脊灰灭活疫苗，对目标儿童进行脊灰灭活疫苗查漏补种活动，全县目标儿童登记数（3322人）人大于当地人口管理部门掌握的同年龄组儿童数（3295人），目标儿童摸底登记数（3322人）大于出生率估算的各年龄组出生人数（542人）共摸底调查2月龄至5岁儿童数3322人，</w:t>
      </w:r>
      <w:r>
        <w:rPr>
          <w:rFonts w:hint="eastAsia" w:ascii="仿宋_GB2312" w:eastAsia="仿宋_GB2312"/>
          <w:color w:val="000000"/>
          <w:sz w:val="32"/>
          <w:szCs w:val="32"/>
        </w:rPr>
        <w:t>脊灰灭活疫苗应接种 1760人，实际接种1685 人，接种率达95.7 %。其中外出到青海、成都58人，感冒、发烧、服泻17人，并对外出、感冒发烧腹泻的儿童嘱咐回县后及病愈后及时到所在接种点补种.</w:t>
      </w:r>
    </w:p>
    <w:p>
      <w:pPr>
        <w:ind w:firstLine="640" w:firstLineChars="200"/>
        <w:rPr>
          <w:rFonts w:ascii="仿宋_GB2312" w:eastAsia="仿宋_GB2312"/>
          <w:sz w:val="32"/>
          <w:szCs w:val="32"/>
        </w:rPr>
      </w:pPr>
      <w:r>
        <w:rPr>
          <w:rFonts w:hint="eastAsia" w:ascii="仿宋_GB2312" w:hAnsi="宋体" w:eastAsia="仿宋_GB2312" w:cs="宋体"/>
          <w:color w:val="000000"/>
          <w:sz w:val="32"/>
          <w:szCs w:val="32"/>
        </w:rPr>
        <w:t>常规免疫：</w:t>
      </w:r>
      <w:r>
        <w:rPr>
          <w:rFonts w:hint="eastAsia" w:ascii="仿宋_GB2312" w:hAnsi="仿宋_GB2312" w:eastAsia="仿宋_GB2312" w:cs="仿宋_GB2312"/>
          <w:sz w:val="32"/>
          <w:szCs w:val="32"/>
        </w:rPr>
        <w:t>根据全县1-12月份上报的接种率报表统计，全县基础免疫和加强免疫接种应种共计21806剂次，实际接种21663剂次，总接种率达99% 以上。基础免疫和加强免疫接种情况如下：卡介苗应种384剂次，实种375剂次，接</w:t>
      </w:r>
      <w:r>
        <w:rPr>
          <w:rFonts w:hint="eastAsia" w:ascii="仿宋_GB2312" w:eastAsia="仿宋_GB2312"/>
          <w:sz w:val="32"/>
          <w:szCs w:val="32"/>
        </w:rPr>
        <w:t>种率为97.66％；百白破应种2673剂次，实种2655剂次，接种率为99.33％；脊灰疫苗滴剂应种5535剂次，实种5421剂次，接种率为97.94％；麻风疫苗应种747剂次，实种742剂次，接种率为99.33％；麻腮风疫苗应种2710剂次，实种2673剂次；接种率为98.63%；乙肝应种：3076剂次，实种3030剂次，接种率为98.50％，乙肝首针应种581剂次、及时接种547剂次、及时接种率为94.12％；甲肝应种1346剂次，实种1329剂次，接种率为98.74%；乙脑应种1410剂次，实种1395剂次，接种率为98.94%；流脑A群应种1712剂次，实种1684剂次，接种率为98.36%，A+C群流脑疫苗应种1531剂次，实种1498剂次，接种率为97.84%。白破疫苗应种882剂次，实种861剂次，接种率为97.62%。</w:t>
      </w:r>
    </w:p>
    <w:p>
      <w:pPr>
        <w:spacing w:line="360" w:lineRule="auto"/>
        <w:ind w:firstLine="640" w:firstLineChars="200"/>
        <w:rPr>
          <w:rFonts w:ascii="仿宋_GB2312" w:hAnsi="宋体" w:eastAsia="仿宋_GB2312" w:cs="宋体"/>
          <w:color w:val="585858"/>
          <w:kern w:val="0"/>
          <w:sz w:val="32"/>
          <w:szCs w:val="32"/>
        </w:rPr>
      </w:pPr>
      <w:r>
        <w:rPr>
          <w:rFonts w:hint="eastAsia" w:ascii="仿宋_GB2312" w:hAnsi="仿宋_GB2312" w:eastAsia="仿宋_GB2312" w:cs="仿宋_GB2312"/>
          <w:snapToGrid w:val="0"/>
          <w:color w:val="000000"/>
          <w:kern w:val="0"/>
          <w:sz w:val="32"/>
          <w:szCs w:val="32"/>
        </w:rPr>
        <w:t>为进一步规范我县入托、入学儿童预防接种证查验及补种工作，确保入托、入学儿童完成国家规定的疫苗接种，建立免疫屏障，有效预防和控制传染病在托幼机构和学校内暴发和流行，保障正常教学秩序，</w:t>
      </w:r>
      <w:r>
        <w:rPr>
          <w:rFonts w:hint="eastAsia" w:ascii="仿宋_GB2312" w:hAnsi="仿宋_GB2312" w:eastAsia="仿宋_GB2312" w:cs="仿宋_GB2312"/>
          <w:sz w:val="32"/>
          <w:szCs w:val="32"/>
        </w:rPr>
        <w:t>按照</w:t>
      </w:r>
      <w:r>
        <w:rPr>
          <w:rFonts w:hint="eastAsia" w:ascii="仿宋_GB2312" w:hAnsi="仿宋_GB2312" w:eastAsia="仿宋_GB2312" w:cs="仿宋_GB2312"/>
          <w:snapToGrid w:val="0"/>
          <w:color w:val="000000"/>
          <w:kern w:val="0"/>
          <w:sz w:val="32"/>
          <w:szCs w:val="32"/>
        </w:rPr>
        <w:t>《红原县入托、入学儿童预防接种证查验及补种工作实施方案》</w:t>
      </w:r>
      <w:r>
        <w:rPr>
          <w:rFonts w:hint="eastAsia" w:ascii="仿宋_GB2312" w:hAnsi="仿宋_GB2312" w:eastAsia="仿宋_GB2312" w:cs="仿宋_GB2312"/>
          <w:sz w:val="32"/>
          <w:szCs w:val="32"/>
        </w:rPr>
        <w:t>要求，</w:t>
      </w:r>
      <w:r>
        <w:rPr>
          <w:rFonts w:hint="eastAsia" w:ascii="仿宋_GB2312" w:hAnsi="仿宋_GB2312" w:eastAsia="仿宋_GB2312" w:cs="仿宋_GB2312"/>
          <w:color w:val="585858"/>
          <w:kern w:val="0"/>
          <w:sz w:val="32"/>
          <w:szCs w:val="32"/>
        </w:rPr>
        <w:t>全县共有小</w:t>
      </w:r>
      <w:r>
        <w:rPr>
          <w:rFonts w:hint="eastAsia" w:ascii="仿宋_GB2312" w:hAnsi="宋体" w:eastAsia="仿宋_GB2312" w:cs="宋体"/>
          <w:color w:val="585858"/>
          <w:kern w:val="0"/>
          <w:sz w:val="32"/>
          <w:szCs w:val="32"/>
        </w:rPr>
        <w:t>学、托幼机构32所，其中小学 14所，托幼机构 18  所，本次共查验学校32所，其中小学查验 14  所，查验覆盖率100%；托幼机构查验 18 所，查验覆盖率100%。正在进行入托入学查验接种证查漏补种工作中。</w:t>
      </w:r>
    </w:p>
    <w:p>
      <w:pPr>
        <w:ind w:firstLine="640" w:firstLineChars="200"/>
        <w:rPr>
          <w:rFonts w:ascii="仿宋_GB2312" w:eastAsia="仿宋_GB2312"/>
          <w:sz w:val="32"/>
          <w:szCs w:val="32"/>
        </w:rPr>
      </w:pPr>
      <w:r>
        <w:rPr>
          <w:rFonts w:hint="eastAsia" w:ascii="仿宋_GB2312" w:hAnsi="宋体" w:eastAsia="仿宋_GB2312" w:cs="宋体"/>
          <w:sz w:val="32"/>
          <w:szCs w:val="32"/>
        </w:rPr>
        <w:t xml:space="preserve">“4.25”是全国预防接种宣传日，我中心以“预防接种 守护生命”为宣传主题，向群众大力宣传预防接种的重要性，发放预防接种宣传资料1360余份，宣传画册24余份。2018年7月28日以“积极预防 主动检测 </w:t>
      </w:r>
      <w:r>
        <w:rPr>
          <w:rFonts w:hint="eastAsia" w:ascii="仿宋_GB2312" w:eastAsia="仿宋_GB2312"/>
          <w:sz w:val="32"/>
          <w:szCs w:val="32"/>
        </w:rPr>
        <w:t>规范治疗全面遏制肝炎危害”为宣传主题，此次活动共免费发放肝炎防治知识宣传单1000余份、宣传礼品(书包）300余个、接受群众咨询600余次。通过开展宣传活动使广大群众对预防接种、肝炎防治认识有了更深刻的了解，不仅提高了群众的健康素养知识水平，还营造了全民抗击疾病、维护生命健康的氛围。</w:t>
      </w:r>
    </w:p>
    <w:p>
      <w:pPr>
        <w:tabs>
          <w:tab w:val="left" w:pos="312"/>
        </w:tabs>
        <w:spacing w:line="580" w:lineRule="exact"/>
        <w:rPr>
          <w:rFonts w:ascii="仿宋_GB2312" w:hAnsi="仿宋_GB2312" w:eastAsia="仿宋_GB2312" w:cs="仿宋_GB2312"/>
          <w:sz w:val="32"/>
          <w:szCs w:val="32"/>
        </w:rPr>
      </w:pPr>
    </w:p>
    <w:tbl>
      <w:tblPr>
        <w:tblStyle w:val="14"/>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203"/>
        <w:gridCol w:w="1189"/>
        <w:gridCol w:w="2673"/>
        <w:gridCol w:w="2113"/>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5"/>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(2018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2018年重大公共卫生服务项目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红原县疾病预防控制中心</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558.94</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266.76</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558.94</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266.76</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eastAsia="zh-CN"/>
              </w:rPr>
              <w:t>其他资金</w:t>
            </w:r>
            <w:r>
              <w:rPr>
                <w:rFonts w:hint="eastAsia" w:ascii="宋体" w:hAnsi="宋体" w:cs="宋体"/>
                <w:color w:val="000000"/>
                <w:kern w:val="0"/>
                <w:sz w:val="24"/>
              </w:rPr>
              <w:t>:</w:t>
            </w: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eastAsia="zh-CN"/>
              </w:rPr>
              <w:t>其他资金</w:t>
            </w:r>
            <w:r>
              <w:rPr>
                <w:rFonts w:hint="eastAsia"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506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50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506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60" w:lineRule="exact"/>
              <w:ind w:firstLine="413" w:firstLineChars="196"/>
              <w:rPr>
                <w:rFonts w:ascii="仿宋_GB2312" w:hAnsi="仿宋" w:eastAsia="仿宋_GB2312"/>
                <w:color w:val="000000"/>
                <w:szCs w:val="21"/>
              </w:rPr>
            </w:pPr>
            <w:r>
              <w:rPr>
                <w:rFonts w:hint="eastAsia" w:ascii="仿宋_GB2312" w:hAnsi="仿宋" w:eastAsia="仿宋_GB2312"/>
                <w:b/>
                <w:color w:val="000000"/>
                <w:szCs w:val="21"/>
              </w:rPr>
              <w:t>一是</w:t>
            </w:r>
            <w:r>
              <w:rPr>
                <w:rFonts w:hint="eastAsia" w:ascii="仿宋_GB2312" w:hAnsi="仿宋" w:eastAsia="仿宋_GB2312"/>
                <w:color w:val="000000"/>
                <w:szCs w:val="21"/>
              </w:rPr>
              <w:t>逐步建立覆盖全县的疾控体系网络。</w:t>
            </w:r>
            <w:r>
              <w:rPr>
                <w:rFonts w:hint="eastAsia" w:ascii="仿宋_GB2312" w:hAnsi="仿宋" w:eastAsia="仿宋_GB2312"/>
                <w:b/>
                <w:color w:val="000000"/>
                <w:szCs w:val="21"/>
              </w:rPr>
              <w:t>二是</w:t>
            </w:r>
            <w:r>
              <w:rPr>
                <w:rFonts w:hint="eastAsia" w:ascii="仿宋_GB2312" w:hAnsi="仿宋" w:eastAsia="仿宋_GB2312"/>
                <w:color w:val="000000"/>
                <w:szCs w:val="21"/>
              </w:rPr>
              <w:t>进一步加强免疫规划工作力度，全面提升预防接种覆盖率，加强传染病管理。抓好艾滋病、结核病等重大传染病防控工作,三是</w:t>
            </w:r>
            <w:r>
              <w:rPr>
                <w:rFonts w:hint="eastAsia" w:ascii="宋体" w:hAnsi="宋体" w:cs="宋体"/>
                <w:color w:val="000000"/>
                <w:szCs w:val="21"/>
              </w:rPr>
              <w:t>提高公共卫生服务水平.</w:t>
            </w:r>
          </w:p>
          <w:p>
            <w:pPr>
              <w:widowControl/>
              <w:jc w:val="center"/>
              <w:textAlignment w:val="center"/>
              <w:rPr>
                <w:rFonts w:ascii="宋体" w:hAnsi="宋体" w:cs="宋体"/>
                <w:color w:val="000000"/>
                <w:sz w:val="24"/>
              </w:rPr>
            </w:pPr>
          </w:p>
        </w:tc>
        <w:tc>
          <w:tcPr>
            <w:tcW w:w="450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6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1.成立了基本公共卫生服务均等化指导中心，并将办公地点建在卫计局，具体负责全县疾控工作的统一管理和业务指导，及时协调解决工作中遇到的困难和问题，推进全县疾控工作规范有序实施。</w:t>
            </w:r>
          </w:p>
          <w:p>
            <w:pPr>
              <w:spacing w:line="560" w:lineRule="exact"/>
              <w:ind w:firstLine="640"/>
              <w:rPr>
                <w:rFonts w:ascii="仿宋_GB2312" w:hAnsi="仿宋_GB2312" w:eastAsia="仿宋_GB2312" w:cs="仿宋_GB2312"/>
                <w:szCs w:val="21"/>
              </w:rPr>
            </w:pPr>
            <w:r>
              <w:rPr>
                <w:rFonts w:hint="eastAsia" w:ascii="仿宋_GB2312" w:hAnsi="仿宋_GB2312" w:eastAsia="仿宋_GB2312" w:cs="仿宋_GB2312"/>
                <w:szCs w:val="21"/>
              </w:rPr>
              <w:t>2.在全县11个乡镇卫生院建立了规范化预防接种门诊，并投入15万元建立儿童免疫规划信息化建设系统，有效保障全县免疫规划工作的开展。</w:t>
            </w:r>
          </w:p>
          <w:p>
            <w:pPr>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3.完善各项规章制度，保证了疾控工作有条不紊进行。</w:t>
            </w:r>
          </w:p>
          <w:p>
            <w:pPr>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4.组建疾控指导团队，强化业务指导和技术支撑。为全面履行公共卫生专业机构职能，充分发挥公共卫生专业机构对基层医疗卫生机构的业务指导和技术支撑作用，全面推进公共卫生专业机构工作“重心下沉、关口前移”。</w:t>
            </w:r>
          </w:p>
          <w:p>
            <w:pPr>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5.抓专业知识培训是提高人员业务能力的有效途径。 选派年轻同志到省、绵阳市、州疾控进修以提高业务知识水平。</w:t>
            </w:r>
          </w:p>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90"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20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18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40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32"/>
                <w:szCs w:val="32"/>
              </w:rPr>
            </w:pPr>
            <w:r>
              <w:rPr>
                <w:rFonts w:hint="eastAsia" w:ascii="宋体" w:hAnsi="宋体" w:cs="宋体"/>
                <w:color w:val="000000"/>
                <w:kern w:val="0"/>
                <w:sz w:val="32"/>
                <w:szCs w:val="32"/>
              </w:rPr>
              <w:t>项</w:t>
            </w:r>
          </w:p>
          <w:p>
            <w:pPr>
              <w:widowControl/>
              <w:jc w:val="center"/>
              <w:textAlignment w:val="center"/>
              <w:rPr>
                <w:rFonts w:ascii="宋体" w:hAnsi="宋体" w:cs="宋体"/>
                <w:color w:val="000000"/>
                <w:kern w:val="0"/>
                <w:sz w:val="32"/>
                <w:szCs w:val="32"/>
              </w:rPr>
            </w:pPr>
            <w:r>
              <w:rPr>
                <w:rFonts w:hint="eastAsia" w:ascii="宋体" w:hAnsi="宋体" w:cs="宋体"/>
                <w:color w:val="000000"/>
                <w:kern w:val="0"/>
                <w:sz w:val="32"/>
                <w:szCs w:val="32"/>
              </w:rPr>
              <w:t>目</w:t>
            </w:r>
          </w:p>
          <w:p>
            <w:pPr>
              <w:widowControl/>
              <w:jc w:val="center"/>
              <w:textAlignment w:val="center"/>
              <w:rPr>
                <w:rFonts w:ascii="宋体" w:hAnsi="宋体" w:cs="宋体"/>
                <w:color w:val="000000"/>
                <w:kern w:val="0"/>
                <w:sz w:val="32"/>
                <w:szCs w:val="32"/>
              </w:rPr>
            </w:pPr>
            <w:r>
              <w:rPr>
                <w:rFonts w:hint="eastAsia" w:ascii="宋体" w:hAnsi="宋体" w:cs="宋体"/>
                <w:color w:val="000000"/>
                <w:kern w:val="0"/>
                <w:sz w:val="32"/>
                <w:szCs w:val="32"/>
              </w:rPr>
              <w:t>完</w:t>
            </w:r>
          </w:p>
          <w:p>
            <w:pPr>
              <w:widowControl/>
              <w:jc w:val="center"/>
              <w:textAlignment w:val="center"/>
              <w:rPr>
                <w:rFonts w:ascii="宋体" w:hAnsi="宋体" w:cs="宋体"/>
                <w:color w:val="000000"/>
                <w:kern w:val="0"/>
                <w:sz w:val="32"/>
                <w:szCs w:val="32"/>
              </w:rPr>
            </w:pPr>
            <w:r>
              <w:rPr>
                <w:rFonts w:hint="eastAsia" w:ascii="宋体" w:hAnsi="宋体" w:cs="宋体"/>
                <w:color w:val="000000"/>
                <w:kern w:val="0"/>
                <w:sz w:val="32"/>
                <w:szCs w:val="32"/>
              </w:rPr>
              <w:t>成</w:t>
            </w:r>
          </w:p>
          <w:p>
            <w:pPr>
              <w:widowControl/>
              <w:jc w:val="center"/>
              <w:textAlignment w:val="center"/>
              <w:rPr>
                <w:rFonts w:ascii="宋体" w:hAnsi="宋体" w:cs="宋体"/>
                <w:color w:val="000000"/>
                <w:kern w:val="0"/>
                <w:sz w:val="32"/>
                <w:szCs w:val="32"/>
              </w:rPr>
            </w:pPr>
            <w:r>
              <w:rPr>
                <w:rFonts w:hint="eastAsia" w:ascii="宋体" w:hAnsi="宋体" w:cs="宋体"/>
                <w:color w:val="000000"/>
                <w:kern w:val="0"/>
                <w:sz w:val="32"/>
                <w:szCs w:val="32"/>
              </w:rPr>
              <w:t>指</w:t>
            </w:r>
          </w:p>
          <w:p>
            <w:pPr>
              <w:widowControl/>
              <w:jc w:val="center"/>
              <w:textAlignment w:val="center"/>
              <w:rPr>
                <w:rFonts w:ascii="宋体" w:hAnsi="宋体" w:cs="宋体"/>
                <w:color w:val="000000"/>
                <w:kern w:val="0"/>
                <w:sz w:val="32"/>
                <w:szCs w:val="32"/>
              </w:rPr>
            </w:pPr>
            <w:r>
              <w:rPr>
                <w:rFonts w:hint="eastAsia" w:ascii="宋体" w:hAnsi="宋体" w:cs="宋体"/>
                <w:color w:val="000000"/>
                <w:kern w:val="0"/>
                <w:sz w:val="32"/>
                <w:szCs w:val="32"/>
              </w:rPr>
              <w:t>标</w:t>
            </w:r>
          </w:p>
          <w:p>
            <w:pPr>
              <w:widowControl/>
              <w:jc w:val="center"/>
              <w:textAlignment w:val="center"/>
              <w:rPr>
                <w:rFonts w:ascii="宋体" w:hAnsi="宋体" w:cs="宋体"/>
                <w:color w:val="000000"/>
                <w:sz w:val="18"/>
                <w:szCs w:val="18"/>
              </w:rPr>
            </w:pPr>
          </w:p>
          <w:p>
            <w:pPr>
              <w:widowControl/>
              <w:jc w:val="center"/>
              <w:textAlignment w:val="center"/>
              <w:rPr>
                <w:rFonts w:ascii="宋体" w:hAnsi="宋体" w:cs="宋体"/>
                <w:color w:val="000000"/>
                <w:kern w:val="0"/>
                <w:sz w:val="18"/>
                <w:szCs w:val="18"/>
              </w:rPr>
            </w:pPr>
          </w:p>
          <w:p>
            <w:pPr>
              <w:widowControl/>
              <w:jc w:val="center"/>
              <w:textAlignment w:val="center"/>
              <w:rPr>
                <w:rFonts w:ascii="宋体" w:hAnsi="宋体" w:cs="宋体"/>
                <w:color w:val="000000"/>
                <w:sz w:val="24"/>
              </w:rPr>
            </w:pPr>
          </w:p>
        </w:tc>
        <w:tc>
          <w:tcPr>
            <w:tcW w:w="1189"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8"/>
                <w:szCs w:val="28"/>
              </w:rPr>
            </w:pPr>
            <w:r>
              <w:rPr>
                <w:rFonts w:hint="eastAsia" w:ascii="宋体" w:hAnsi="宋体" w:cs="宋体"/>
                <w:color w:val="000000"/>
                <w:sz w:val="28"/>
                <w:szCs w:val="28"/>
              </w:rPr>
              <w:t>数</w:t>
            </w:r>
          </w:p>
          <w:p>
            <w:pPr>
              <w:widowControl/>
              <w:jc w:val="center"/>
              <w:textAlignment w:val="center"/>
              <w:rPr>
                <w:rFonts w:ascii="宋体" w:hAnsi="宋体" w:cs="宋体"/>
                <w:color w:val="000000"/>
                <w:sz w:val="28"/>
                <w:szCs w:val="28"/>
              </w:rPr>
            </w:pPr>
            <w:r>
              <w:rPr>
                <w:rFonts w:hint="eastAsia" w:ascii="宋体" w:hAnsi="宋体" w:cs="宋体"/>
                <w:color w:val="000000"/>
                <w:sz w:val="28"/>
                <w:szCs w:val="28"/>
              </w:rPr>
              <w:t>量</w:t>
            </w:r>
          </w:p>
          <w:p>
            <w:pPr>
              <w:widowControl/>
              <w:jc w:val="center"/>
              <w:textAlignment w:val="center"/>
              <w:rPr>
                <w:rFonts w:ascii="宋体" w:hAnsi="宋体" w:cs="宋体"/>
                <w:color w:val="000000"/>
                <w:sz w:val="28"/>
                <w:szCs w:val="28"/>
              </w:rPr>
            </w:pPr>
            <w:r>
              <w:rPr>
                <w:rFonts w:hint="eastAsia" w:ascii="宋体" w:hAnsi="宋体" w:cs="宋体"/>
                <w:color w:val="000000"/>
                <w:sz w:val="28"/>
                <w:szCs w:val="28"/>
              </w:rPr>
              <w:t>指</w:t>
            </w:r>
          </w:p>
          <w:p>
            <w:pPr>
              <w:widowControl/>
              <w:jc w:val="center"/>
              <w:textAlignment w:val="center"/>
              <w:rPr>
                <w:rFonts w:ascii="宋体" w:hAnsi="宋体" w:cs="宋体"/>
                <w:color w:val="000000"/>
                <w:sz w:val="24"/>
              </w:rPr>
            </w:pPr>
            <w:r>
              <w:rPr>
                <w:rFonts w:hint="eastAsia" w:ascii="宋体" w:hAnsi="宋体" w:cs="宋体"/>
                <w:color w:val="000000"/>
                <w:sz w:val="28"/>
                <w:szCs w:val="28"/>
              </w:rPr>
              <w:t>标</w:t>
            </w: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15"/>
                <w:szCs w:val="15"/>
              </w:rPr>
            </w:pPr>
            <w:r>
              <w:rPr>
                <w:rFonts w:hint="eastAsia" w:ascii="宋体" w:hAnsi="宋体" w:cs="宋体"/>
                <w:color w:val="000000"/>
                <w:kern w:val="0"/>
                <w:sz w:val="15"/>
                <w:szCs w:val="15"/>
              </w:rPr>
              <w:t xml:space="preserve"> 报告发现的结核病患者（包括耐多药结核患者）管理率（≥**%）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15"/>
                <w:szCs w:val="15"/>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≥90％</w:t>
            </w:r>
          </w:p>
        </w:tc>
      </w:tr>
      <w:tr>
        <w:tblPrEx>
          <w:tblCellMar>
            <w:top w:w="0" w:type="dxa"/>
            <w:left w:w="0" w:type="dxa"/>
            <w:bottom w:w="0" w:type="dxa"/>
            <w:right w:w="0" w:type="dxa"/>
          </w:tblCellMar>
        </w:tblPrEx>
        <w:trPr>
          <w:trHeight w:val="40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18"/>
                <w:szCs w:val="18"/>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15"/>
                <w:szCs w:val="15"/>
              </w:rPr>
            </w:pPr>
            <w:r>
              <w:rPr>
                <w:rFonts w:hint="eastAsia" w:ascii="宋体" w:hAnsi="宋体" w:cs="宋体"/>
                <w:color w:val="000000"/>
                <w:kern w:val="0"/>
                <w:sz w:val="15"/>
                <w:szCs w:val="15"/>
              </w:rPr>
              <w:t xml:space="preserve"> 65岁以上老年人健康管理率（≥**%）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≥4.2％</w:t>
            </w:r>
          </w:p>
        </w:tc>
      </w:tr>
      <w:tr>
        <w:tblPrEx>
          <w:tblCellMar>
            <w:top w:w="0" w:type="dxa"/>
            <w:left w:w="0" w:type="dxa"/>
            <w:bottom w:w="0" w:type="dxa"/>
            <w:right w:w="0" w:type="dxa"/>
          </w:tblCellMar>
        </w:tblPrEx>
        <w:trPr>
          <w:trHeight w:val="29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18"/>
                <w:szCs w:val="18"/>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15"/>
                <w:szCs w:val="15"/>
              </w:rPr>
            </w:pPr>
            <w:r>
              <w:rPr>
                <w:rFonts w:hint="eastAsia" w:ascii="宋体" w:hAnsi="宋体" w:cs="宋体"/>
                <w:color w:val="000000"/>
                <w:kern w:val="0"/>
                <w:sz w:val="15"/>
                <w:szCs w:val="15"/>
              </w:rPr>
              <w:t xml:space="preserve"> 艾滋病感染者/病人随访检测比例（≥**%）</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tc>
      </w:tr>
      <w:tr>
        <w:tblPrEx>
          <w:tblCellMar>
            <w:top w:w="0" w:type="dxa"/>
            <w:left w:w="0" w:type="dxa"/>
            <w:bottom w:w="0" w:type="dxa"/>
            <w:right w:w="0" w:type="dxa"/>
          </w:tblCellMar>
        </w:tblPrEx>
        <w:trPr>
          <w:trHeight w:val="30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18"/>
                <w:szCs w:val="18"/>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15"/>
                <w:szCs w:val="15"/>
              </w:rPr>
            </w:pPr>
            <w:r>
              <w:rPr>
                <w:rFonts w:hint="eastAsia" w:ascii="宋体" w:hAnsi="宋体" w:cs="宋体"/>
                <w:color w:val="000000"/>
                <w:kern w:val="0"/>
                <w:sz w:val="15"/>
                <w:szCs w:val="15"/>
              </w:rPr>
              <w:t xml:space="preserve"> 艾滋病抗病毒治疗人数（≥**万人）</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0.0021</w:t>
            </w:r>
          </w:p>
        </w:tc>
      </w:tr>
      <w:tr>
        <w:tblPrEx>
          <w:tblCellMar>
            <w:top w:w="0" w:type="dxa"/>
            <w:left w:w="0" w:type="dxa"/>
            <w:bottom w:w="0" w:type="dxa"/>
            <w:right w:w="0" w:type="dxa"/>
          </w:tblCellMar>
        </w:tblPrEx>
        <w:trPr>
          <w:trHeight w:val="38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15"/>
                <w:szCs w:val="15"/>
              </w:rPr>
            </w:pPr>
            <w:r>
              <w:rPr>
                <w:rFonts w:hint="eastAsia" w:ascii="宋体" w:hAnsi="宋体" w:cs="宋体"/>
                <w:color w:val="000000"/>
                <w:kern w:val="0"/>
                <w:sz w:val="15"/>
                <w:szCs w:val="15"/>
              </w:rPr>
              <w:t xml:space="preserve"> 筛查肺结核可疑患者人数（＞**万人）</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0.002</w:t>
            </w:r>
          </w:p>
        </w:tc>
      </w:tr>
      <w:tr>
        <w:tblPrEx>
          <w:tblCellMar>
            <w:top w:w="0" w:type="dxa"/>
            <w:left w:w="0" w:type="dxa"/>
            <w:bottom w:w="0" w:type="dxa"/>
            <w:right w:w="0" w:type="dxa"/>
          </w:tblCellMar>
        </w:tblPrEx>
        <w:trPr>
          <w:trHeight w:val="50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15"/>
                <w:szCs w:val="15"/>
              </w:rPr>
            </w:pPr>
            <w:r>
              <w:rPr>
                <w:rFonts w:hint="eastAsia" w:ascii="宋体" w:hAnsi="宋体" w:cs="宋体"/>
                <w:color w:val="000000"/>
                <w:kern w:val="0"/>
                <w:sz w:val="15"/>
                <w:szCs w:val="15"/>
              </w:rPr>
              <w:t xml:space="preserve"> 发现并治疗活动性肺结核患者人数（＞**万人）</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0.009</w:t>
            </w:r>
          </w:p>
        </w:tc>
      </w:tr>
      <w:tr>
        <w:tblPrEx>
          <w:tblCellMar>
            <w:top w:w="0" w:type="dxa"/>
            <w:left w:w="0" w:type="dxa"/>
            <w:bottom w:w="0" w:type="dxa"/>
            <w:right w:w="0" w:type="dxa"/>
          </w:tblCellMar>
        </w:tblPrEx>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24"/>
              </w:rPr>
            </w:pPr>
            <w:r>
              <w:rPr>
                <w:rFonts w:hint="eastAsia" w:ascii="宋体" w:hAnsi="宋体" w:cs="宋体"/>
                <w:color w:val="000000"/>
                <w:kern w:val="0"/>
                <w:sz w:val="15"/>
                <w:szCs w:val="15"/>
              </w:rPr>
              <w:t xml:space="preserve"> 包虫病免费药物治疗（**万人）</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=0.0129</w:t>
            </w:r>
          </w:p>
        </w:tc>
      </w:tr>
      <w:tr>
        <w:tblPrEx>
          <w:tblCellMar>
            <w:top w:w="0" w:type="dxa"/>
            <w:left w:w="0" w:type="dxa"/>
            <w:bottom w:w="0" w:type="dxa"/>
            <w:right w:w="0" w:type="dxa"/>
          </w:tblCellMar>
        </w:tblPrEx>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15"/>
                <w:szCs w:val="15"/>
              </w:rPr>
            </w:pPr>
            <w:r>
              <w:rPr>
                <w:rFonts w:hint="eastAsia" w:ascii="宋体" w:hAnsi="宋体" w:cs="宋体"/>
                <w:color w:val="000000"/>
                <w:kern w:val="0"/>
                <w:sz w:val="15"/>
                <w:szCs w:val="15"/>
              </w:rPr>
              <w:t xml:space="preserve"> 严重精神障碍患者筛查诊断（**人）</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89</w:t>
            </w:r>
          </w:p>
        </w:tc>
      </w:tr>
      <w:tr>
        <w:tblPrEx>
          <w:tblCellMar>
            <w:top w:w="0" w:type="dxa"/>
            <w:left w:w="0" w:type="dxa"/>
            <w:bottom w:w="0" w:type="dxa"/>
            <w:right w:w="0" w:type="dxa"/>
          </w:tblCellMar>
        </w:tblPrEx>
        <w:trPr>
          <w:trHeight w:val="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15"/>
                <w:szCs w:val="15"/>
              </w:rPr>
            </w:pPr>
            <w:r>
              <w:rPr>
                <w:rFonts w:hint="eastAsia" w:ascii="宋体" w:hAnsi="宋体" w:cs="宋体"/>
                <w:color w:val="000000"/>
                <w:kern w:val="0"/>
                <w:sz w:val="15"/>
                <w:szCs w:val="15"/>
              </w:rPr>
              <w:t xml:space="preserve"> 心血管病高危人群早筛查人数（**人）</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15"/>
                <w:szCs w:val="15"/>
              </w:rPr>
            </w:pPr>
            <w:r>
              <w:rPr>
                <w:rFonts w:hint="eastAsia" w:ascii="宋体" w:hAnsi="宋体" w:cs="宋体"/>
                <w:color w:val="000000"/>
                <w:kern w:val="0"/>
                <w:sz w:val="15"/>
                <w:szCs w:val="15"/>
              </w:rPr>
              <w:t xml:space="preserve">        肿瘤登记数（**人）</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12</w:t>
            </w:r>
          </w:p>
        </w:tc>
      </w:tr>
      <w:tr>
        <w:tblPrEx>
          <w:tblCellMar>
            <w:top w:w="0" w:type="dxa"/>
            <w:left w:w="0" w:type="dxa"/>
            <w:bottom w:w="0" w:type="dxa"/>
            <w:right w:w="0" w:type="dxa"/>
          </w:tblCellMar>
        </w:tblPrEx>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15"/>
                <w:szCs w:val="15"/>
              </w:rPr>
            </w:pPr>
            <w:r>
              <w:rPr>
                <w:rFonts w:hint="eastAsia" w:ascii="宋体" w:hAnsi="宋体" w:cs="宋体"/>
                <w:color w:val="000000"/>
                <w:kern w:val="0"/>
                <w:sz w:val="15"/>
                <w:szCs w:val="15"/>
              </w:rPr>
              <w:t xml:space="preserve">        死因监测数（**人）</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131</w:t>
            </w:r>
          </w:p>
        </w:tc>
      </w:tr>
      <w:tr>
        <w:tblPrEx>
          <w:tblCellMar>
            <w:top w:w="0" w:type="dxa"/>
            <w:left w:w="0" w:type="dxa"/>
            <w:bottom w:w="0" w:type="dxa"/>
            <w:right w:w="0" w:type="dxa"/>
          </w:tblCellMar>
        </w:tblPrEx>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8"/>
                <w:szCs w:val="28"/>
              </w:rPr>
            </w:pPr>
            <w:r>
              <w:rPr>
                <w:rFonts w:hint="eastAsia" w:ascii="宋体" w:hAnsi="宋体" w:cs="宋体"/>
                <w:color w:val="000000"/>
                <w:sz w:val="28"/>
                <w:szCs w:val="28"/>
              </w:rPr>
              <w:t>质</w:t>
            </w:r>
          </w:p>
          <w:p>
            <w:pPr>
              <w:widowControl/>
              <w:jc w:val="center"/>
              <w:textAlignment w:val="center"/>
              <w:rPr>
                <w:rFonts w:ascii="宋体" w:hAnsi="宋体" w:cs="宋体"/>
                <w:color w:val="000000"/>
                <w:sz w:val="28"/>
                <w:szCs w:val="28"/>
              </w:rPr>
            </w:pPr>
            <w:r>
              <w:rPr>
                <w:rFonts w:hint="eastAsia" w:ascii="宋体" w:hAnsi="宋体" w:cs="宋体"/>
                <w:color w:val="000000"/>
                <w:sz w:val="28"/>
                <w:szCs w:val="28"/>
              </w:rPr>
              <w:t>量</w:t>
            </w:r>
          </w:p>
          <w:p>
            <w:pPr>
              <w:widowControl/>
              <w:jc w:val="center"/>
              <w:textAlignment w:val="center"/>
              <w:rPr>
                <w:rFonts w:ascii="宋体" w:hAnsi="宋体" w:cs="宋体"/>
                <w:color w:val="000000"/>
                <w:sz w:val="28"/>
                <w:szCs w:val="28"/>
              </w:rPr>
            </w:pPr>
            <w:r>
              <w:rPr>
                <w:rFonts w:hint="eastAsia" w:ascii="宋体" w:hAnsi="宋体" w:cs="宋体"/>
                <w:color w:val="000000"/>
                <w:sz w:val="28"/>
                <w:szCs w:val="28"/>
              </w:rPr>
              <w:t>指</w:t>
            </w:r>
          </w:p>
          <w:p>
            <w:pPr>
              <w:widowControl/>
              <w:jc w:val="center"/>
              <w:textAlignment w:val="center"/>
              <w:rPr>
                <w:rFonts w:ascii="宋体" w:hAnsi="宋体" w:cs="宋体"/>
                <w:color w:val="000000"/>
                <w:sz w:val="24"/>
              </w:rPr>
            </w:pPr>
            <w:r>
              <w:rPr>
                <w:rFonts w:hint="eastAsia" w:ascii="宋体" w:hAnsi="宋体" w:cs="宋体"/>
                <w:color w:val="000000"/>
                <w:sz w:val="28"/>
                <w:szCs w:val="28"/>
              </w:rPr>
              <w:t>标</w:t>
            </w: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15"/>
                <w:szCs w:val="15"/>
              </w:rPr>
            </w:pPr>
            <w:r>
              <w:rPr>
                <w:rFonts w:hint="eastAsia" w:ascii="宋体" w:hAnsi="宋体" w:cs="宋体"/>
                <w:color w:val="000000"/>
                <w:kern w:val="0"/>
                <w:sz w:val="15"/>
                <w:szCs w:val="15"/>
              </w:rPr>
              <w:t xml:space="preserve"> 居民健康档案电子建档率（≥**%）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≥90.1％</w:t>
            </w:r>
          </w:p>
        </w:tc>
      </w:tr>
      <w:tr>
        <w:tblPrEx>
          <w:tblCellMar>
            <w:top w:w="0" w:type="dxa"/>
            <w:left w:w="0" w:type="dxa"/>
            <w:bottom w:w="0" w:type="dxa"/>
            <w:right w:w="0" w:type="dxa"/>
          </w:tblCellMar>
        </w:tblPrEx>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15"/>
                <w:szCs w:val="15"/>
              </w:rPr>
            </w:pPr>
            <w:r>
              <w:rPr>
                <w:rFonts w:hint="eastAsia" w:ascii="宋体" w:hAnsi="宋体" w:cs="宋体"/>
                <w:color w:val="000000"/>
                <w:kern w:val="0"/>
                <w:sz w:val="15"/>
                <w:szCs w:val="15"/>
              </w:rPr>
              <w:t xml:space="preserve"> 高血压患者规范管理率（≥**%）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≥91.5％</w:t>
            </w:r>
          </w:p>
        </w:tc>
      </w:tr>
      <w:tr>
        <w:tblPrEx>
          <w:tblCellMar>
            <w:top w:w="0" w:type="dxa"/>
            <w:left w:w="0" w:type="dxa"/>
            <w:bottom w:w="0" w:type="dxa"/>
            <w:right w:w="0" w:type="dxa"/>
          </w:tblCellMar>
        </w:tblPrEx>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15"/>
                <w:szCs w:val="15"/>
              </w:rPr>
            </w:pPr>
            <w:r>
              <w:rPr>
                <w:rFonts w:hint="eastAsia" w:ascii="宋体" w:hAnsi="宋体" w:cs="宋体"/>
                <w:color w:val="000000"/>
                <w:kern w:val="0"/>
                <w:sz w:val="15"/>
                <w:szCs w:val="15"/>
              </w:rPr>
              <w:t xml:space="preserve"> 糖尿病患者规范管理率（≥**%）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≥93.5％</w:t>
            </w:r>
          </w:p>
        </w:tc>
      </w:tr>
      <w:tr>
        <w:tblPrEx>
          <w:tblCellMar>
            <w:top w:w="0" w:type="dxa"/>
            <w:left w:w="0" w:type="dxa"/>
            <w:bottom w:w="0" w:type="dxa"/>
            <w:right w:w="0" w:type="dxa"/>
          </w:tblCellMar>
        </w:tblPrEx>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15"/>
                <w:szCs w:val="15"/>
              </w:rPr>
            </w:pPr>
            <w:r>
              <w:rPr>
                <w:rFonts w:hint="eastAsia" w:ascii="宋体" w:hAnsi="宋体" w:cs="宋体"/>
                <w:color w:val="000000"/>
                <w:kern w:val="0"/>
                <w:sz w:val="15"/>
                <w:szCs w:val="15"/>
              </w:rPr>
              <w:t>艾滋病高危人群月均干预覆盖比例（暗娼、男男性行为）（≥**%）</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≥85％</w:t>
            </w:r>
          </w:p>
        </w:tc>
      </w:tr>
      <w:tr>
        <w:tblPrEx>
          <w:tblCellMar>
            <w:top w:w="0" w:type="dxa"/>
            <w:left w:w="0" w:type="dxa"/>
            <w:bottom w:w="0" w:type="dxa"/>
            <w:right w:w="0" w:type="dxa"/>
          </w:tblCellMar>
        </w:tblPrEx>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15"/>
                <w:szCs w:val="15"/>
              </w:rPr>
            </w:pPr>
            <w:r>
              <w:rPr>
                <w:rFonts w:hint="eastAsia" w:ascii="宋体" w:hAnsi="宋体" w:cs="宋体"/>
                <w:color w:val="000000"/>
                <w:kern w:val="0"/>
                <w:sz w:val="15"/>
                <w:szCs w:val="15"/>
              </w:rPr>
              <w:t>新涂阳患者治愈率（≥**%）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≥90％</w:t>
            </w:r>
          </w:p>
        </w:tc>
      </w:tr>
      <w:tr>
        <w:tblPrEx>
          <w:tblCellMar>
            <w:top w:w="0" w:type="dxa"/>
            <w:left w:w="0" w:type="dxa"/>
            <w:bottom w:w="0" w:type="dxa"/>
            <w:right w:w="0" w:type="dxa"/>
          </w:tblCellMar>
        </w:tblPrEx>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15"/>
                <w:szCs w:val="15"/>
              </w:rPr>
            </w:pPr>
            <w:r>
              <w:rPr>
                <w:rFonts w:hint="eastAsia" w:ascii="宋体" w:hAnsi="宋体" w:cs="宋体"/>
                <w:color w:val="000000"/>
                <w:kern w:val="0"/>
                <w:sz w:val="15"/>
                <w:szCs w:val="15"/>
              </w:rPr>
              <w:t xml:space="preserve"> 肺结核患者全程管理率（≥**%）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≥95％</w:t>
            </w:r>
          </w:p>
        </w:tc>
      </w:tr>
      <w:tr>
        <w:tblPrEx>
          <w:tblCellMar>
            <w:top w:w="0" w:type="dxa"/>
            <w:left w:w="0" w:type="dxa"/>
            <w:bottom w:w="0" w:type="dxa"/>
            <w:right w:w="0" w:type="dxa"/>
          </w:tblCellMar>
        </w:tblPrEx>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15"/>
                <w:szCs w:val="15"/>
              </w:rPr>
            </w:pPr>
            <w:r>
              <w:rPr>
                <w:rFonts w:hint="eastAsia" w:ascii="宋体" w:hAnsi="宋体" w:cs="宋体"/>
                <w:color w:val="000000"/>
                <w:kern w:val="0"/>
                <w:sz w:val="15"/>
                <w:szCs w:val="15"/>
              </w:rPr>
              <w:t>包虫病病人登记管理率（≥**%）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≥95％</w:t>
            </w:r>
          </w:p>
        </w:tc>
      </w:tr>
      <w:tr>
        <w:tblPrEx>
          <w:tblCellMar>
            <w:top w:w="0" w:type="dxa"/>
            <w:left w:w="0" w:type="dxa"/>
            <w:bottom w:w="0" w:type="dxa"/>
            <w:right w:w="0" w:type="dxa"/>
          </w:tblCellMar>
        </w:tblPrEx>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15"/>
                <w:szCs w:val="15"/>
              </w:rPr>
            </w:pPr>
            <w:r>
              <w:rPr>
                <w:rFonts w:hint="eastAsia" w:ascii="宋体" w:hAnsi="宋体" w:cs="宋体"/>
                <w:color w:val="000000"/>
                <w:kern w:val="0"/>
                <w:sz w:val="15"/>
                <w:szCs w:val="15"/>
              </w:rPr>
              <w:t>严重精神障碍患者检出率（≥**％）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≥0.17％</w:t>
            </w:r>
          </w:p>
        </w:tc>
      </w:tr>
      <w:tr>
        <w:tblPrEx>
          <w:tblCellMar>
            <w:top w:w="0" w:type="dxa"/>
            <w:left w:w="0" w:type="dxa"/>
            <w:bottom w:w="0" w:type="dxa"/>
            <w:right w:w="0" w:type="dxa"/>
          </w:tblCellMar>
        </w:tblPrEx>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15"/>
                <w:szCs w:val="15"/>
              </w:rPr>
            </w:pPr>
            <w:r>
              <w:rPr>
                <w:rFonts w:hint="eastAsia" w:ascii="宋体" w:hAnsi="宋体" w:cs="宋体"/>
                <w:color w:val="000000"/>
                <w:kern w:val="0"/>
                <w:sz w:val="15"/>
                <w:szCs w:val="15"/>
              </w:rPr>
              <w:t>严重精神障碍患者管理率（≥**%）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≥97.6％</w:t>
            </w:r>
          </w:p>
        </w:tc>
      </w:tr>
      <w:tr>
        <w:tblPrEx>
          <w:tblCellMar>
            <w:top w:w="0" w:type="dxa"/>
            <w:left w:w="0" w:type="dxa"/>
            <w:bottom w:w="0" w:type="dxa"/>
            <w:right w:w="0" w:type="dxa"/>
          </w:tblCellMar>
        </w:tblPrEx>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15"/>
                <w:szCs w:val="15"/>
              </w:rPr>
            </w:pPr>
            <w:r>
              <w:rPr>
                <w:rFonts w:hint="eastAsia" w:ascii="宋体" w:hAnsi="宋体" w:cs="宋体"/>
                <w:color w:val="000000"/>
                <w:kern w:val="0"/>
                <w:sz w:val="15"/>
                <w:szCs w:val="15"/>
              </w:rPr>
              <w:t xml:space="preserve"> 全民健康生活方式行动覆盖率（**%）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tc>
      </w:tr>
      <w:tr>
        <w:tblPrEx>
          <w:tblCellMar>
            <w:top w:w="0" w:type="dxa"/>
            <w:left w:w="0" w:type="dxa"/>
            <w:bottom w:w="0" w:type="dxa"/>
            <w:right w:w="0" w:type="dxa"/>
          </w:tblCellMar>
        </w:tblPrEx>
        <w:trPr>
          <w:trHeight w:val="4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189"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ascii="宋体" w:hAnsi="宋体" w:cs="宋体"/>
                <w:color w:val="000000"/>
                <w:kern w:val="0"/>
                <w:sz w:val="28"/>
                <w:szCs w:val="28"/>
              </w:rPr>
            </w:pPr>
            <w:r>
              <w:rPr>
                <w:rFonts w:hint="eastAsia" w:ascii="宋体" w:hAnsi="宋体" w:cs="宋体"/>
                <w:color w:val="000000"/>
                <w:kern w:val="0"/>
                <w:sz w:val="28"/>
                <w:szCs w:val="28"/>
              </w:rPr>
              <w:t>社会</w:t>
            </w:r>
          </w:p>
          <w:p>
            <w:pPr>
              <w:widowControl/>
              <w:jc w:val="center"/>
              <w:textAlignment w:val="bottom"/>
              <w:rPr>
                <w:rFonts w:ascii="宋体" w:hAnsi="宋体" w:cs="宋体"/>
                <w:color w:val="000000"/>
                <w:kern w:val="0"/>
                <w:sz w:val="28"/>
                <w:szCs w:val="28"/>
              </w:rPr>
            </w:pPr>
            <w:r>
              <w:rPr>
                <w:rFonts w:hint="eastAsia" w:ascii="宋体" w:hAnsi="宋体" w:cs="宋体"/>
                <w:color w:val="000000"/>
                <w:kern w:val="0"/>
                <w:sz w:val="28"/>
                <w:szCs w:val="28"/>
              </w:rPr>
              <w:t>效益</w:t>
            </w:r>
          </w:p>
          <w:p>
            <w:pPr>
              <w:widowControl/>
              <w:jc w:val="center"/>
              <w:textAlignment w:val="bottom"/>
              <w:rPr>
                <w:rFonts w:ascii="宋体" w:hAnsi="宋体" w:cs="宋体"/>
                <w:color w:val="000000"/>
                <w:sz w:val="24"/>
              </w:rPr>
            </w:pPr>
            <w:r>
              <w:rPr>
                <w:rFonts w:hint="eastAsia" w:ascii="宋体" w:hAnsi="宋体" w:cs="宋体"/>
                <w:color w:val="000000"/>
                <w:kern w:val="0"/>
                <w:sz w:val="28"/>
                <w:szCs w:val="28"/>
              </w:rPr>
              <w:t>指标</w:t>
            </w: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15"/>
                <w:szCs w:val="15"/>
              </w:rPr>
            </w:pPr>
            <w:r>
              <w:rPr>
                <w:rFonts w:hint="eastAsia" w:ascii="宋体" w:hAnsi="宋体" w:cs="宋体"/>
                <w:color w:val="000000"/>
                <w:kern w:val="0"/>
                <w:sz w:val="15"/>
                <w:szCs w:val="15"/>
              </w:rPr>
              <w:t>居民健康保健意识和健康知识知晓率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=35％</w:t>
            </w:r>
          </w:p>
        </w:tc>
      </w:tr>
      <w:tr>
        <w:tblPrEx>
          <w:tblCellMar>
            <w:top w:w="0" w:type="dxa"/>
            <w:left w:w="0" w:type="dxa"/>
            <w:bottom w:w="0" w:type="dxa"/>
            <w:right w:w="0" w:type="dxa"/>
          </w:tblCellMar>
        </w:tblPrEx>
        <w:trPr>
          <w:trHeight w:val="41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22"/>
                <w:szCs w:val="22"/>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15"/>
                <w:szCs w:val="15"/>
              </w:rPr>
            </w:pPr>
            <w:r>
              <w:rPr>
                <w:rFonts w:hint="eastAsia" w:ascii="宋体" w:hAnsi="宋体" w:cs="宋体"/>
                <w:color w:val="000000"/>
                <w:kern w:val="0"/>
                <w:sz w:val="15"/>
                <w:szCs w:val="15"/>
              </w:rPr>
              <w:t>重点人群艾滋病知识知晓率（≥**%）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≥90％</w:t>
            </w:r>
          </w:p>
        </w:tc>
      </w:tr>
      <w:tr>
        <w:tblPrEx>
          <w:tblCellMar>
            <w:top w:w="0" w:type="dxa"/>
            <w:left w:w="0" w:type="dxa"/>
            <w:bottom w:w="0" w:type="dxa"/>
            <w:right w:w="0" w:type="dxa"/>
          </w:tblCellMar>
        </w:tblPrEx>
        <w:trPr>
          <w:trHeight w:val="60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1189"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22"/>
                <w:szCs w:val="22"/>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15"/>
                <w:szCs w:val="15"/>
              </w:rPr>
            </w:pPr>
            <w:r>
              <w:rPr>
                <w:rFonts w:hint="eastAsia" w:ascii="宋体" w:hAnsi="宋体" w:cs="宋体"/>
                <w:color w:val="000000"/>
                <w:kern w:val="0"/>
                <w:sz w:val="15"/>
                <w:szCs w:val="15"/>
              </w:rPr>
              <w:t>疫情报告处置</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tc>
      </w:tr>
      <w:tr>
        <w:tblPrEx>
          <w:tblCellMar>
            <w:top w:w="0" w:type="dxa"/>
            <w:left w:w="0" w:type="dxa"/>
            <w:bottom w:w="0" w:type="dxa"/>
            <w:right w:w="0" w:type="dxa"/>
          </w:tblCellMar>
        </w:tblPrEx>
        <w:trPr>
          <w:trHeight w:val="85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满意度</w:t>
            </w:r>
          </w:p>
          <w:p>
            <w:pPr>
              <w:widowControl/>
              <w:jc w:val="center"/>
              <w:textAlignment w:val="center"/>
              <w:rPr>
                <w:rFonts w:ascii="宋体" w:hAnsi="宋体" w:cs="宋体"/>
                <w:color w:val="000000"/>
                <w:sz w:val="24"/>
              </w:rPr>
            </w:pPr>
            <w:r>
              <w:rPr>
                <w:rFonts w:hint="eastAsia" w:ascii="宋体" w:hAnsi="宋体" w:cs="宋体"/>
                <w:color w:val="000000"/>
                <w:kern w:val="0"/>
                <w:sz w:val="24"/>
              </w:rPr>
              <w:t>指标</w:t>
            </w:r>
          </w:p>
        </w:tc>
        <w:tc>
          <w:tcPr>
            <w:tcW w:w="118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24"/>
              </w:rPr>
            </w:pPr>
            <w:r>
              <w:rPr>
                <w:rFonts w:hint="eastAsia" w:ascii="宋体" w:hAnsi="宋体" w:cs="宋体"/>
                <w:color w:val="000000"/>
                <w:kern w:val="0"/>
                <w:sz w:val="22"/>
                <w:szCs w:val="22"/>
              </w:rPr>
              <w:t>服务对象满意度指标</w:t>
            </w: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群众满意度</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≥90％</w:t>
            </w:r>
          </w:p>
        </w:tc>
      </w:tr>
    </w:tbl>
    <w:p>
      <w:pPr>
        <w:rPr>
          <w:rFonts w:ascii="Calibri" w:hAnsi="Calibri"/>
        </w:rPr>
      </w:pPr>
    </w:p>
    <w:p>
      <w:pPr>
        <w:spacing w:line="580" w:lineRule="exact"/>
        <w:rPr>
          <w:rFonts w:ascii="仿宋_GB2312" w:hAnsi="仿宋_GB2312" w:eastAsia="仿宋_GB2312" w:cs="仿宋_GB2312"/>
          <w:sz w:val="32"/>
          <w:szCs w:val="32"/>
        </w:rPr>
      </w:pPr>
    </w:p>
    <w:p>
      <w:pPr>
        <w:numPr>
          <w:ilvl w:val="0"/>
          <w:numId w:val="4"/>
        </w:numPr>
        <w:spacing w:line="580" w:lineRule="exact"/>
        <w:ind w:firstLine="643" w:firstLineChars="200"/>
        <w:rPr>
          <w:rFonts w:ascii="楷体" w:hAnsi="楷体" w:eastAsia="楷体" w:cs="仿宋_GB2312"/>
          <w:sz w:val="32"/>
          <w:szCs w:val="32"/>
        </w:rPr>
      </w:pPr>
      <w:r>
        <w:rPr>
          <w:rFonts w:hint="eastAsia" w:ascii="楷体" w:hAnsi="楷体" w:eastAsia="楷体" w:cs="楷体_GB2312"/>
          <w:b/>
          <w:bCs/>
          <w:sz w:val="32"/>
          <w:szCs w:val="32"/>
        </w:rPr>
        <w:t>部门开展绩效评价结果。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本部门按要求对2018年部门整体支出绩效评价情况开展自评，《红原县疾病预防控制中心2018年部门整体支出绩效评价报告》见附件。</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本部门自行组织对艾滋病防治项目</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结核病防治项目</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包虫病防治项目”“免疫规划项目”等4个项目绩效目标实际完成情况。《艾滋病防治项目2018年绩效评价报告》《结核病防治项目2018年绩效评价报告》《包虫病防治项目2018年绩效评价报告》《免疫规划项目2018年绩效评价报告》见附件。</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27"/>
          <w:rFonts w:ascii="黑体" w:hAnsi="黑体" w:eastAsia="黑体"/>
        </w:rPr>
      </w:pPr>
      <w:bookmarkStart w:id="50" w:name="_Toc15396612"/>
      <w:bookmarkStart w:id="51" w:name="_Toc15377221"/>
      <w:r>
        <w:rPr>
          <w:rFonts w:hint="eastAsia" w:ascii="黑体" w:hAnsi="黑体" w:eastAsia="黑体"/>
          <w:color w:val="000000"/>
          <w:sz w:val="32"/>
          <w:szCs w:val="32"/>
        </w:rPr>
        <w:t>十</w:t>
      </w:r>
      <w:r>
        <w:rPr>
          <w:rStyle w:val="27"/>
          <w:rFonts w:hint="eastAsia" w:ascii="黑体" w:hAnsi="黑体" w:eastAsia="黑体"/>
        </w:rPr>
        <w:t>一、</w:t>
      </w:r>
      <w:r>
        <w:rPr>
          <w:rStyle w:val="27"/>
          <w:rFonts w:hint="eastAsia" w:ascii="黑体" w:hAnsi="黑体" w:eastAsia="黑体"/>
          <w:b w:val="0"/>
        </w:rPr>
        <w:t>其他重要事项的情况说明</w:t>
      </w:r>
      <w:bookmarkEnd w:id="50"/>
      <w:bookmarkEnd w:id="51"/>
    </w:p>
    <w:p>
      <w:pPr>
        <w:spacing w:line="600" w:lineRule="exact"/>
        <w:ind w:firstLine="643" w:firstLineChars="200"/>
        <w:outlineLvl w:val="2"/>
        <w:rPr>
          <w:rFonts w:ascii="楷体" w:hAnsi="楷体" w:eastAsia="楷体"/>
          <w:color w:val="000000"/>
          <w:sz w:val="32"/>
          <w:szCs w:val="32"/>
        </w:rPr>
      </w:pPr>
      <w:bookmarkStart w:id="52" w:name="_Toc15377222"/>
      <w:r>
        <w:rPr>
          <w:rFonts w:hint="eastAsia" w:ascii="楷体" w:hAnsi="楷体" w:eastAsia="楷体"/>
          <w:b/>
          <w:color w:val="000000"/>
          <w:sz w:val="32"/>
          <w:szCs w:val="32"/>
        </w:rPr>
        <w:t>（一）机关运行经费支出情况</w:t>
      </w:r>
      <w:bookmarkEnd w:id="52"/>
    </w:p>
    <w:p>
      <w:pPr>
        <w:spacing w:line="600" w:lineRule="exact"/>
        <w:ind w:firstLine="640" w:firstLineChars="200"/>
        <w:rPr>
          <w:rFonts w:ascii="楷体" w:hAnsi="楷体" w:eastAsia="楷体"/>
          <w:color w:val="000000" w:themeColor="text1"/>
          <w:sz w:val="32"/>
          <w:szCs w:val="32"/>
        </w:rPr>
      </w:pPr>
      <w:r>
        <w:rPr>
          <w:rFonts w:ascii="仿宋_GB2312" w:eastAsia="仿宋_GB2312"/>
          <w:color w:val="000000"/>
          <w:sz w:val="32"/>
          <w:szCs w:val="32"/>
        </w:rPr>
        <w:t>201</w:t>
      </w:r>
      <w:r>
        <w:rPr>
          <w:rFonts w:hint="eastAsia" w:ascii="仿宋_GB2312" w:eastAsia="仿宋_GB2312"/>
          <w:color w:val="000000"/>
          <w:sz w:val="32"/>
          <w:szCs w:val="32"/>
        </w:rPr>
        <w:t>8年，红原县疾病预防控制中心机关运行经费支出0万元，与</w:t>
      </w:r>
      <w:r>
        <w:rPr>
          <w:rFonts w:ascii="仿宋_GB2312" w:eastAsia="仿宋_GB2312"/>
          <w:color w:val="000000"/>
          <w:sz w:val="32"/>
          <w:szCs w:val="32"/>
        </w:rPr>
        <w:t>201</w:t>
      </w:r>
      <w:r>
        <w:rPr>
          <w:rFonts w:hint="eastAsia" w:ascii="仿宋_GB2312" w:eastAsia="仿宋_GB2312"/>
          <w:color w:val="000000"/>
          <w:sz w:val="32"/>
          <w:szCs w:val="32"/>
        </w:rPr>
        <w:t>7年决算数持平。</w:t>
      </w:r>
    </w:p>
    <w:p>
      <w:pPr>
        <w:autoSpaceDE w:val="0"/>
        <w:autoSpaceDN w:val="0"/>
        <w:adjustRightInd w:val="0"/>
        <w:spacing w:line="600" w:lineRule="exact"/>
        <w:ind w:firstLine="643" w:firstLineChars="200"/>
        <w:jc w:val="left"/>
        <w:outlineLvl w:val="2"/>
        <w:rPr>
          <w:rFonts w:ascii="楷体" w:hAnsi="楷体" w:eastAsia="楷体"/>
          <w:b/>
          <w:color w:val="000000"/>
          <w:sz w:val="32"/>
          <w:szCs w:val="32"/>
        </w:rPr>
      </w:pPr>
      <w:bookmarkStart w:id="53" w:name="_Toc15377223"/>
      <w:r>
        <w:rPr>
          <w:rFonts w:hint="eastAsia" w:ascii="楷体" w:hAnsi="楷体" w:eastAsia="楷体"/>
          <w:b/>
          <w:color w:val="000000"/>
          <w:sz w:val="32"/>
          <w:szCs w:val="32"/>
        </w:rPr>
        <w:t>（二）政府采购支出情况</w:t>
      </w:r>
      <w:bookmarkEnd w:id="53"/>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红原县疾病预防控制中心政府采购支出总额74.91万元，其中：政府采购货物支出74.91万元、政府采购工程支出0万元、政府采购服务支出0万元。主要用于1、开展业务工作的电脑，打印机2、用于包虫病筛查等的B超机3、用于运输接种疫苗的冷链运输车。</w:t>
      </w:r>
    </w:p>
    <w:p>
      <w:pPr>
        <w:autoSpaceDE w:val="0"/>
        <w:autoSpaceDN w:val="0"/>
        <w:adjustRightInd w:val="0"/>
        <w:spacing w:line="600" w:lineRule="exact"/>
        <w:ind w:firstLine="643" w:firstLineChars="200"/>
        <w:jc w:val="left"/>
        <w:outlineLvl w:val="2"/>
        <w:rPr>
          <w:rFonts w:ascii="楷体" w:hAnsi="楷体" w:eastAsia="楷体"/>
          <w:b/>
          <w:color w:val="000000"/>
          <w:sz w:val="32"/>
          <w:szCs w:val="32"/>
        </w:rPr>
      </w:pPr>
      <w:bookmarkStart w:id="54" w:name="_Toc15377224"/>
      <w:r>
        <w:rPr>
          <w:rFonts w:hint="eastAsia" w:ascii="楷体" w:hAnsi="楷体" w:eastAsia="楷体"/>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日，红原县疾病预防控制中心共有车辆3辆，其中：其它（应急保障）用车3辆，</w:t>
      </w:r>
      <w:r>
        <w:rPr>
          <w:rFonts w:hint="eastAsia" w:ascii="仿宋_GB2312" w:eastAsia="仿宋_GB2312"/>
          <w:color w:val="000000" w:themeColor="text1"/>
          <w:sz w:val="32"/>
          <w:szCs w:val="32"/>
        </w:rPr>
        <w:t>其他用车主要是用于1、</w:t>
      </w:r>
      <w:r>
        <w:rPr>
          <w:rFonts w:hint="eastAsia" w:ascii="仿宋_GB2312" w:eastAsia="仿宋_GB2312"/>
          <w:color w:val="000000"/>
          <w:sz w:val="32"/>
          <w:szCs w:val="32"/>
        </w:rPr>
        <w:t>接种疫苗的冷链运输；2、各业务科室下乡督导及业务培训等。</w:t>
      </w:r>
      <w:r>
        <w:rPr>
          <w:rFonts w:hint="eastAsia" w:ascii="仿宋_GB2312" w:eastAsia="仿宋_GB2312"/>
          <w:color w:val="000000" w:themeColor="text1"/>
          <w:sz w:val="32"/>
          <w:szCs w:val="32"/>
        </w:rPr>
        <w:t>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万元以上通用设备0台（套），单价</w:t>
      </w:r>
      <w:r>
        <w:rPr>
          <w:rFonts w:ascii="仿宋_GB2312" w:eastAsia="仿宋_GB2312"/>
          <w:color w:val="000000" w:themeColor="text1"/>
          <w:sz w:val="32"/>
          <w:szCs w:val="32"/>
        </w:rPr>
        <w:t>100</w:t>
      </w:r>
      <w:r>
        <w:rPr>
          <w:rFonts w:hint="eastAsia" w:ascii="仿宋_GB2312" w:eastAsia="仿宋_GB2312"/>
          <w:color w:val="000000"/>
          <w:sz w:val="32"/>
          <w:szCs w:val="32"/>
        </w:rPr>
        <w:t>万元以上专用设备0台（套）。</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5"/>
        </w:numPr>
        <w:spacing w:line="600" w:lineRule="exact"/>
        <w:ind w:firstLine="663" w:firstLineChars="150"/>
        <w:jc w:val="center"/>
        <w:outlineLvl w:val="0"/>
        <w:rPr>
          <w:rStyle w:val="26"/>
          <w:rFonts w:ascii="黑体" w:hAnsi="黑体" w:eastAsia="黑体"/>
          <w:b w:val="0"/>
        </w:rPr>
      </w:pPr>
      <w:bookmarkStart w:id="55" w:name="_Toc15396613"/>
      <w:bookmarkStart w:id="56" w:name="_Toc15377225"/>
      <w:r>
        <w:rPr>
          <w:rFonts w:hint="eastAsia" w:ascii="黑体" w:hAnsi="黑体" w:eastAsia="黑体"/>
          <w:b/>
          <w:color w:val="000000"/>
          <w:sz w:val="44"/>
          <w:szCs w:val="44"/>
        </w:rPr>
        <w:t>名</w:t>
      </w:r>
      <w:r>
        <w:rPr>
          <w:rStyle w:val="26"/>
          <w:rFonts w:hint="eastAsia" w:ascii="黑体" w:hAnsi="黑体" w:eastAsia="黑体"/>
          <w:b w:val="0"/>
        </w:rPr>
        <w:t>词解释</w:t>
      </w:r>
      <w:bookmarkEnd w:id="55"/>
      <w:bookmarkEnd w:id="56"/>
    </w:p>
    <w:p>
      <w:pPr>
        <w:spacing w:line="600" w:lineRule="exact"/>
        <w:jc w:val="left"/>
        <w:rPr>
          <w:rFonts w:ascii="宋体"/>
          <w:b/>
          <w:color w:val="000000"/>
          <w:sz w:val="44"/>
          <w:szCs w:val="44"/>
        </w:rPr>
      </w:pPr>
    </w:p>
    <w:p>
      <w:pPr>
        <w:pStyle w:val="24"/>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4"/>
        <w:spacing w:line="560" w:lineRule="exact"/>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4"/>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eastAsia="zh-CN"/>
        </w:rPr>
        <w:t>利息收入</w:t>
      </w:r>
      <w:r>
        <w:rPr>
          <w:rFonts w:hint="eastAsia" w:ascii="仿宋_GB2312" w:eastAsia="仿宋_GB2312"/>
          <w:sz w:val="32"/>
          <w:szCs w:val="32"/>
        </w:rPr>
        <w:t>等。</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ind w:firstLine="640" w:firstLineChars="200"/>
        <w:rPr>
          <w:rFonts w:hint="eastAsia"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9</w:t>
      </w:r>
      <w:r>
        <w:rPr>
          <w:rFonts w:ascii="仿宋_GB2312" w:eastAsia="仿宋_GB2312"/>
          <w:color w:val="auto"/>
          <w:sz w:val="32"/>
          <w:szCs w:val="32"/>
        </w:rPr>
        <w:t>.</w:t>
      </w:r>
      <w:r>
        <w:rPr>
          <w:rFonts w:hint="eastAsia" w:ascii="仿宋_GB2312" w:eastAsia="仿宋_GB2312"/>
          <w:color w:val="auto"/>
          <w:sz w:val="32"/>
          <w:szCs w:val="32"/>
        </w:rPr>
        <w:t>社会保障和就业20805</w:t>
      </w:r>
      <w:r>
        <w:rPr>
          <w:rFonts w:hint="eastAsia" w:ascii="仿宋_GB2312" w:eastAsia="仿宋_GB2312"/>
          <w:color w:val="auto"/>
          <w:sz w:val="32"/>
          <w:szCs w:val="32"/>
          <w:lang w:val="en-US" w:eastAsia="zh-CN"/>
        </w:rPr>
        <w:t>05</w:t>
      </w:r>
      <w:r>
        <w:rPr>
          <w:rFonts w:hint="eastAsia" w:ascii="仿宋_GB2312" w:eastAsia="仿宋_GB2312"/>
          <w:color w:val="auto"/>
          <w:sz w:val="32"/>
          <w:szCs w:val="32"/>
        </w:rPr>
        <w:t>：指反应机关事业单位养老保险缴费支出</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2080506</w:t>
      </w:r>
      <w:r>
        <w:rPr>
          <w:rFonts w:hint="eastAsia" w:ascii="仿宋_GB2312" w:eastAsia="仿宋_GB2312"/>
          <w:color w:val="auto"/>
          <w:sz w:val="32"/>
          <w:szCs w:val="32"/>
        </w:rPr>
        <w:t>指反应机关事业单位职业年金缴费支出。</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eastAsia="仿宋_GB2312"/>
          <w:color w:val="auto"/>
          <w:sz w:val="32"/>
          <w:szCs w:val="32"/>
          <w:lang w:val="en-US" w:eastAsia="zh-CN"/>
        </w:rPr>
        <w:t>10</w:t>
      </w:r>
      <w:r>
        <w:rPr>
          <w:rFonts w:ascii="仿宋_GB2312" w:eastAsia="仿宋_GB2312"/>
          <w:color w:val="auto"/>
          <w:sz w:val="32"/>
          <w:szCs w:val="32"/>
        </w:rPr>
        <w:t>.</w:t>
      </w:r>
      <w:r>
        <w:rPr>
          <w:rFonts w:hint="eastAsia" w:ascii="仿宋_GB2312" w:eastAsia="仿宋_GB2312"/>
          <w:color w:val="auto"/>
          <w:sz w:val="32"/>
          <w:szCs w:val="32"/>
        </w:rPr>
        <w:t>医疗卫生与计划生育：</w:t>
      </w:r>
      <w:r>
        <w:rPr>
          <w:rStyle w:val="16"/>
          <w:rFonts w:hint="eastAsia" w:ascii="仿宋_GB2312" w:hAnsi="仿宋_GB2312" w:eastAsia="仿宋_GB2312" w:cs="仿宋_GB2312"/>
          <w:b w:val="0"/>
          <w:color w:val="000000"/>
          <w:sz w:val="32"/>
          <w:szCs w:val="32"/>
        </w:rPr>
        <w:t>2100401-疾病预防控制机构</w:t>
      </w:r>
      <w:r>
        <w:rPr>
          <w:rStyle w:val="16"/>
          <w:rFonts w:hint="eastAsia" w:ascii="仿宋_GB2312" w:hAnsi="仿宋_GB2312" w:eastAsia="仿宋_GB2312" w:cs="仿宋_GB2312"/>
          <w:b w:val="0"/>
          <w:color w:val="000000"/>
          <w:sz w:val="32"/>
          <w:szCs w:val="32"/>
          <w:lang w:eastAsia="zh-CN"/>
        </w:rPr>
        <w:t>基本</w:t>
      </w:r>
      <w:r>
        <w:rPr>
          <w:rStyle w:val="16"/>
          <w:rFonts w:hint="eastAsia" w:ascii="仿宋_GB2312" w:hAnsi="仿宋_GB2312" w:eastAsia="仿宋_GB2312" w:cs="仿宋_GB2312"/>
          <w:b w:val="0"/>
          <w:color w:val="000000"/>
          <w:sz w:val="32"/>
          <w:szCs w:val="32"/>
        </w:rPr>
        <w:t>支出；2、2100408-基本公共卫生服务支出</w:t>
      </w:r>
      <w:r>
        <w:rPr>
          <w:rStyle w:val="16"/>
          <w:rFonts w:hint="eastAsia" w:ascii="仿宋_GB2312" w:hAnsi="仿宋_GB2312" w:eastAsia="仿宋_GB2312" w:cs="仿宋_GB2312"/>
          <w:b w:val="0"/>
          <w:color w:val="000000"/>
          <w:sz w:val="32"/>
          <w:szCs w:val="32"/>
          <w:lang w:eastAsia="zh-CN"/>
        </w:rPr>
        <w:t>；</w:t>
      </w:r>
      <w:r>
        <w:rPr>
          <w:rStyle w:val="16"/>
          <w:rFonts w:hint="eastAsia" w:ascii="仿宋_GB2312" w:hAnsi="仿宋_GB2312" w:eastAsia="仿宋_GB2312" w:cs="仿宋_GB2312"/>
          <w:b w:val="0"/>
          <w:color w:val="000000"/>
          <w:sz w:val="32"/>
          <w:szCs w:val="32"/>
        </w:rPr>
        <w:t>2100409-重大公共卫生专项支出；2100499-其它公共卫生支出2100717-计划生育服务支出</w:t>
      </w:r>
      <w:r>
        <w:rPr>
          <w:rStyle w:val="16"/>
          <w:rFonts w:hint="eastAsia" w:ascii="仿宋_GB2312" w:hAnsi="仿宋_GB2312" w:eastAsia="仿宋_GB2312" w:cs="仿宋_GB2312"/>
          <w:b w:val="0"/>
          <w:color w:val="000000"/>
          <w:sz w:val="32"/>
          <w:szCs w:val="32"/>
          <w:lang w:eastAsia="zh-CN"/>
        </w:rPr>
        <w:t>；</w:t>
      </w:r>
      <w:r>
        <w:rPr>
          <w:rStyle w:val="16"/>
          <w:rFonts w:hint="eastAsia" w:ascii="仿宋_GB2312" w:hAnsi="仿宋_GB2312" w:eastAsia="仿宋_GB2312" w:cs="仿宋_GB2312"/>
          <w:b w:val="0"/>
          <w:color w:val="000000"/>
          <w:sz w:val="32"/>
          <w:szCs w:val="32"/>
        </w:rPr>
        <w:t>2100799-其它计划生育事务支出；2101102-事业单位医疗支出；2101103-其它行政事业单位医疗支出；2109901-其它医疗卫生与计划生育支出。</w:t>
      </w:r>
    </w:p>
    <w:p>
      <w:pPr>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11</w:t>
      </w:r>
      <w:r>
        <w:rPr>
          <w:rFonts w:ascii="仿宋_GB2312" w:eastAsia="仿宋_GB2312"/>
          <w:color w:val="auto"/>
          <w:sz w:val="32"/>
          <w:szCs w:val="32"/>
        </w:rPr>
        <w:t>.</w:t>
      </w:r>
      <w:r>
        <w:rPr>
          <w:rFonts w:hint="eastAsia" w:ascii="仿宋_GB2312" w:eastAsia="仿宋_GB2312"/>
          <w:color w:val="auto"/>
          <w:sz w:val="32"/>
          <w:szCs w:val="32"/>
        </w:rPr>
        <w:t>住房保障2210201：指住房公积金支出。</w:t>
      </w:r>
    </w:p>
    <w:p>
      <w:pPr>
        <w:pageBreakBefore w:val="0"/>
        <w:kinsoku/>
        <w:wordWrap/>
        <w:overflowPunct/>
        <w:topLinePunct w:val="0"/>
        <w:bidi w:val="0"/>
        <w:spacing w:line="520" w:lineRule="exact"/>
        <w:ind w:firstLine="640" w:firstLineChars="200"/>
        <w:textAlignment w:val="auto"/>
        <w:rPr>
          <w:rFonts w:ascii="仿宋_GB2312" w:eastAsia="仿宋_GB2312"/>
          <w:color w:val="000000"/>
          <w:sz w:val="32"/>
          <w:szCs w:val="32"/>
        </w:rPr>
      </w:pPr>
      <w:bookmarkStart w:id="57" w:name="_Toc15377226"/>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olor w:val="000000"/>
          <w:sz w:val="32"/>
          <w:szCs w:val="32"/>
        </w:rPr>
        <w:t>基本支出：</w:t>
      </w:r>
      <w:r>
        <w:rPr>
          <w:rFonts w:hint="eastAsia" w:ascii="仿宋_GB2312" w:eastAsia="仿宋_GB2312"/>
          <w:color w:val="000000"/>
          <w:sz w:val="32"/>
          <w:szCs w:val="32"/>
          <w:lang w:val="en-US" w:eastAsia="zh-CN"/>
        </w:rPr>
        <w:t>2100401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本单位</w:t>
      </w:r>
      <w:r>
        <w:rPr>
          <w:rFonts w:hint="eastAsia" w:ascii="仿宋_GB2312" w:eastAsia="仿宋_GB2312"/>
          <w:color w:val="000000"/>
          <w:sz w:val="32"/>
          <w:szCs w:val="32"/>
        </w:rPr>
        <w:t>保障机构正常运转、完成日常工作任务而发生的人员支出和公用</w:t>
      </w:r>
      <w:r>
        <w:rPr>
          <w:rFonts w:hint="eastAsia" w:ascii="仿宋_GB2312" w:eastAsia="仿宋_GB2312"/>
          <w:color w:val="000000"/>
          <w:sz w:val="32"/>
          <w:szCs w:val="32"/>
          <w:lang w:eastAsia="zh-CN"/>
        </w:rPr>
        <w:t>经费</w:t>
      </w:r>
      <w:r>
        <w:rPr>
          <w:rFonts w:hint="eastAsia" w:ascii="仿宋_GB2312" w:eastAsia="仿宋_GB2312"/>
          <w:color w:val="000000"/>
          <w:sz w:val="32"/>
          <w:szCs w:val="32"/>
        </w:rPr>
        <w:t>支出。</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Style w:val="16"/>
          <w:rFonts w:hint="eastAsia" w:ascii="仿宋_GB2312" w:hAnsi="仿宋_GB2312" w:eastAsia="仿宋_GB2312" w:cs="仿宋_GB2312"/>
          <w:b w:val="0"/>
          <w:color w:val="000000"/>
          <w:sz w:val="32"/>
          <w:szCs w:val="32"/>
        </w:rPr>
        <w:t>2100408-基本公共卫生服务支出</w:t>
      </w:r>
      <w:r>
        <w:rPr>
          <w:rStyle w:val="16"/>
          <w:rFonts w:hint="eastAsia" w:ascii="仿宋_GB2312" w:hAnsi="仿宋_GB2312" w:eastAsia="仿宋_GB2312" w:cs="仿宋_GB2312"/>
          <w:b w:val="0"/>
          <w:color w:val="000000"/>
          <w:sz w:val="32"/>
          <w:szCs w:val="32"/>
          <w:lang w:eastAsia="zh-CN"/>
        </w:rPr>
        <w:t>；</w:t>
      </w:r>
      <w:r>
        <w:rPr>
          <w:rStyle w:val="16"/>
          <w:rFonts w:hint="eastAsia" w:ascii="仿宋_GB2312" w:hAnsi="仿宋_GB2312" w:eastAsia="仿宋_GB2312" w:cs="仿宋_GB2312"/>
          <w:b w:val="0"/>
          <w:color w:val="000000"/>
          <w:sz w:val="32"/>
          <w:szCs w:val="32"/>
        </w:rPr>
        <w:t>2100409-重大公共卫生专项支出；2100499-其它公共卫生支出2100717-计划生育服务支出</w:t>
      </w:r>
      <w:r>
        <w:rPr>
          <w:rStyle w:val="16"/>
          <w:rFonts w:hint="eastAsia" w:ascii="仿宋_GB2312" w:hAnsi="仿宋_GB2312" w:eastAsia="仿宋_GB2312" w:cs="仿宋_GB2312"/>
          <w:b w:val="0"/>
          <w:color w:val="000000"/>
          <w:sz w:val="32"/>
          <w:szCs w:val="32"/>
          <w:lang w:eastAsia="zh-CN"/>
        </w:rPr>
        <w:t>；</w:t>
      </w:r>
      <w:r>
        <w:rPr>
          <w:rStyle w:val="16"/>
          <w:rFonts w:hint="eastAsia" w:ascii="仿宋_GB2312" w:hAnsi="仿宋_GB2312" w:eastAsia="仿宋_GB2312" w:cs="仿宋_GB2312"/>
          <w:b w:val="0"/>
          <w:color w:val="000000"/>
          <w:sz w:val="32"/>
          <w:szCs w:val="32"/>
        </w:rPr>
        <w:t>2100799-其它计划生育事务支出；2101102-事业单位医疗支出；2101103-其它行政事业单位医疗支出；2109901-其它医疗卫生与计划生育支出。</w:t>
      </w:r>
    </w:p>
    <w:p>
      <w:pPr>
        <w:pageBreakBefore w:val="0"/>
        <w:kinsoku/>
        <w:wordWrap/>
        <w:overflowPunct/>
        <w:topLinePunct w:val="0"/>
        <w:bidi w:val="0"/>
        <w:spacing w:line="520" w:lineRule="exact"/>
        <w:ind w:firstLine="640" w:firstLineChars="200"/>
        <w:textAlignment w:val="auto"/>
        <w:rPr>
          <w:rFonts w:ascii="仿宋_GB2312" w:eastAsia="仿宋_GB2312"/>
          <w:color w:val="000000"/>
          <w:sz w:val="32"/>
          <w:szCs w:val="32"/>
        </w:rPr>
      </w:pPr>
      <w:r>
        <w:rPr>
          <w:rFonts w:ascii="仿宋_GB2312" w:eastAsia="仿宋_GB2312"/>
          <w:color w:val="000000"/>
          <w:sz w:val="32"/>
          <w:szCs w:val="32"/>
        </w:rPr>
        <w:t xml:space="preserve"> </w:t>
      </w:r>
    </w:p>
    <w:p>
      <w:pPr>
        <w:pStyle w:val="24"/>
        <w:pageBreakBefore w:val="0"/>
        <w:kinsoku/>
        <w:wordWrap/>
        <w:overflowPunct/>
        <w:topLinePunct w:val="0"/>
        <w:bidi w:val="0"/>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14</w:t>
      </w:r>
      <w:r>
        <w:rPr>
          <w:rFonts w:ascii="仿宋_GB2312" w:eastAsia="仿宋_GB2312"/>
          <w:sz w:val="32"/>
          <w:szCs w:val="32"/>
        </w:rPr>
        <w:t>.</w:t>
      </w:r>
      <w:r>
        <w:rPr>
          <w:rFonts w:hint="eastAsia" w:ascii="仿宋_GB2312" w:eastAsia="仿宋_GB2312"/>
          <w:sz w:val="32"/>
          <w:szCs w:val="32"/>
        </w:rPr>
        <w:t>“三公”经费：指部门用财政拨款安排的</w:t>
      </w:r>
      <w:r>
        <w:rPr>
          <w:rFonts w:hint="eastAsia" w:ascii="仿宋_GB2312" w:eastAsia="仿宋_GB2312"/>
          <w:sz w:val="32"/>
          <w:szCs w:val="32"/>
          <w:lang w:eastAsia="zh-CN"/>
        </w:rPr>
        <w:t>公</w:t>
      </w:r>
      <w:r>
        <w:rPr>
          <w:rFonts w:hint="eastAsia" w:ascii="仿宋_GB2312" w:eastAsia="仿宋_GB2312"/>
          <w:sz w:val="32"/>
          <w:szCs w:val="32"/>
        </w:rPr>
        <w:t>务用车购置及运行费和公务接待费。其中，公务用车购置及运行费反映单位公务用车车辆购置支出（含车辆购置税）及租用费、燃料费、维修费、过路过桥费、保险费等支出；公务接待费反映单位按规定开支的各类公务接待（含外宾接待）支出。</w:t>
      </w:r>
    </w:p>
    <w:p>
      <w:pPr>
        <w:pStyle w:val="24"/>
        <w:pageBreakBefore w:val="0"/>
        <w:kinsoku/>
        <w:wordWrap/>
        <w:overflowPunct/>
        <w:topLinePunct w:val="0"/>
        <w:bidi w:val="0"/>
        <w:spacing w:line="520" w:lineRule="exact"/>
        <w:ind w:firstLine="640" w:firstLineChars="200"/>
        <w:textAlignment w:val="auto"/>
        <w:rPr>
          <w:rFonts w:ascii="仿宋_GB2312" w:eastAsia="仿宋_GB2312" w:cs="黑体"/>
          <w:sz w:val="32"/>
          <w:szCs w:val="32"/>
        </w:rPr>
      </w:pPr>
      <w:r>
        <w:rPr>
          <w:rFonts w:hint="eastAsia" w:ascii="仿宋_GB2312" w:eastAsia="仿宋_GB2312"/>
          <w:sz w:val="32"/>
          <w:szCs w:val="32"/>
          <w:lang w:val="en-US" w:eastAsia="zh-CN"/>
        </w:rPr>
        <w:t>15</w:t>
      </w:r>
      <w:r>
        <w:rPr>
          <w:rFonts w:ascii="仿宋_GB2312" w:eastAsia="仿宋_GB2312"/>
          <w:sz w:val="32"/>
          <w:szCs w:val="32"/>
        </w:rPr>
        <w:t>.</w:t>
      </w:r>
      <w:r>
        <w:rPr>
          <w:rFonts w:hint="eastAsia" w:ascii="仿宋_GB2312" w:eastAsia="仿宋_GB2312"/>
          <w:sz w:val="32"/>
          <w:szCs w:val="32"/>
        </w:rPr>
        <w:t>机关运行经费：为保障行政单位运行用于购买货物和服务的各项资金，包括办公</w:t>
      </w:r>
      <w:r>
        <w:rPr>
          <w:rFonts w:hint="eastAsia" w:ascii="仿宋_GB2312" w:eastAsia="仿宋_GB2312"/>
          <w:sz w:val="32"/>
          <w:szCs w:val="32"/>
          <w:lang w:eastAsia="zh-CN"/>
        </w:rPr>
        <w:t>费、</w:t>
      </w:r>
      <w:r>
        <w:rPr>
          <w:rFonts w:hint="eastAsia" w:ascii="仿宋_GB2312" w:eastAsia="仿宋_GB2312"/>
          <w:sz w:val="32"/>
          <w:szCs w:val="32"/>
        </w:rPr>
        <w:t>印刷费、邮电费、差旅费、日常维修费、办公用房水电费、办公用房取暖费、公务用车运行维护费以及其他费用。</w:t>
      </w:r>
    </w:p>
    <w:p>
      <w:pPr>
        <w:spacing w:line="600" w:lineRule="exact"/>
        <w:jc w:val="center"/>
        <w:outlineLvl w:val="0"/>
        <w:rPr>
          <w:rStyle w:val="26"/>
          <w:rFonts w:ascii="黑体" w:hAnsi="黑体" w:eastAsia="黑体"/>
          <w:b w:val="0"/>
        </w:rPr>
      </w:pPr>
      <w:r>
        <w:rPr>
          <w:rFonts w:ascii="宋体"/>
          <w:b/>
          <w:color w:val="000000"/>
          <w:sz w:val="44"/>
          <w:szCs w:val="44"/>
        </w:rPr>
        <w:br w:type="page"/>
      </w:r>
      <w:bookmarkStart w:id="58" w:name="_Toc15396614"/>
      <w:r>
        <w:rPr>
          <w:rFonts w:hint="eastAsia" w:ascii="黑体" w:hAnsi="黑体" w:eastAsia="黑体"/>
          <w:color w:val="000000"/>
          <w:sz w:val="44"/>
          <w:szCs w:val="44"/>
        </w:rPr>
        <w:t>第</w:t>
      </w:r>
      <w:r>
        <w:rPr>
          <w:rStyle w:val="26"/>
          <w:rFonts w:hint="eastAsia" w:ascii="黑体" w:hAnsi="黑体" w:eastAsia="黑体"/>
          <w:b w:val="0"/>
        </w:rPr>
        <w:t>四部分 附件</w:t>
      </w:r>
      <w:bookmarkEnd w:id="58"/>
    </w:p>
    <w:p>
      <w:pPr>
        <w:spacing w:line="600" w:lineRule="exact"/>
        <w:jc w:val="center"/>
        <w:outlineLvl w:val="0"/>
        <w:rPr>
          <w:rStyle w:val="26"/>
        </w:rPr>
      </w:pPr>
    </w:p>
    <w:p>
      <w:pPr>
        <w:pStyle w:val="3"/>
        <w:rPr>
          <w:rStyle w:val="26"/>
          <w:rFonts w:ascii="仿宋" w:hAnsi="仿宋" w:eastAsia="仿宋"/>
          <w:b w:val="0"/>
          <w:bCs w:val="0"/>
          <w:sz w:val="32"/>
          <w:szCs w:val="32"/>
        </w:rPr>
      </w:pPr>
      <w:bookmarkStart w:id="59" w:name="_Toc15396615"/>
      <w:r>
        <w:rPr>
          <w:rStyle w:val="26"/>
          <w:rFonts w:hint="eastAsia" w:ascii="仿宋" w:hAnsi="仿宋" w:eastAsia="仿宋"/>
          <w:b w:val="0"/>
          <w:bCs w:val="0"/>
          <w:sz w:val="32"/>
          <w:szCs w:val="32"/>
        </w:rPr>
        <w:t>附件1</w:t>
      </w:r>
      <w:bookmarkEnd w:id="59"/>
    </w:p>
    <w:p>
      <w:pPr>
        <w:widowControl/>
        <w:spacing w:line="480" w:lineRule="exact"/>
        <w:jc w:val="center"/>
        <w:rPr>
          <w:rFonts w:ascii="方正小标宋简体" w:hAnsi="宋体" w:eastAsia="方正小标宋简体" w:cs="方正小标宋简体"/>
          <w:sz w:val="44"/>
          <w:szCs w:val="44"/>
        </w:rPr>
      </w:pPr>
      <w:bookmarkStart w:id="60" w:name="_Toc15396617"/>
      <w:r>
        <w:rPr>
          <w:rFonts w:hint="eastAsia" w:ascii="方正小标宋简体" w:hAnsi="宋体" w:eastAsia="方正小标宋简体" w:cs="方正小标宋简体"/>
          <w:sz w:val="44"/>
          <w:szCs w:val="44"/>
        </w:rPr>
        <w:t>红原县疾病预防控制中心</w:t>
      </w:r>
    </w:p>
    <w:p>
      <w:pPr>
        <w:widowControl/>
        <w:spacing w:line="480" w:lineRule="exact"/>
        <w:jc w:val="center"/>
        <w:rPr>
          <w:rFonts w:ascii="方正小标宋简体" w:hAnsi="宋体" w:eastAsia="方正小标宋简体" w:cs="方正小标宋简体"/>
          <w:sz w:val="44"/>
          <w:szCs w:val="44"/>
        </w:rPr>
      </w:pPr>
      <w:r>
        <w:rPr>
          <w:rFonts w:hint="eastAsia" w:ascii="方正小标宋简体" w:hAnsi="宋体" w:eastAsia="方正小标宋简体" w:cs="方正小标宋简体"/>
          <w:sz w:val="44"/>
          <w:szCs w:val="44"/>
        </w:rPr>
        <w:t>整体支出绩效告</w:t>
      </w:r>
    </w:p>
    <w:p>
      <w:pPr>
        <w:widowControl/>
        <w:adjustRightInd w:val="0"/>
        <w:snapToGrid w:val="0"/>
        <w:spacing w:line="480" w:lineRule="exact"/>
        <w:ind w:firstLine="720"/>
        <w:jc w:val="left"/>
        <w:rPr>
          <w:rFonts w:ascii="黑体" w:hAnsi="宋体" w:eastAsia="黑体" w:cs="宋体"/>
          <w:color w:val="000000"/>
          <w:kern w:val="0"/>
          <w:lang w:val="zh-CN"/>
        </w:rPr>
      </w:pPr>
      <w:r>
        <w:rPr>
          <w:rFonts w:hint="eastAsia" w:ascii="黑体" w:hAnsi="宋体" w:eastAsia="黑体" w:cs="宋体"/>
          <w:color w:val="000000"/>
          <w:kern w:val="0"/>
          <w:sz w:val="32"/>
        </w:rPr>
        <w:t>一、</w:t>
      </w:r>
      <w:r>
        <w:rPr>
          <w:rFonts w:hint="eastAsia" w:ascii="黑体" w:hAnsi="宋体" w:eastAsia="黑体" w:cs="宋体"/>
          <w:color w:val="000000"/>
          <w:kern w:val="0"/>
          <w:sz w:val="32"/>
          <w:lang w:val="zh-CN"/>
        </w:rPr>
        <w:t>部门（单位）概况</w:t>
      </w:r>
    </w:p>
    <w:p>
      <w:pPr>
        <w:spacing w:line="520" w:lineRule="exact"/>
        <w:ind w:firstLine="640" w:firstLineChars="200"/>
        <w:jc w:val="lef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（一）机构组成。</w:t>
      </w:r>
    </w:p>
    <w:p>
      <w:pPr>
        <w:spacing w:line="520" w:lineRule="exact"/>
        <w:ind w:firstLine="600" w:firstLineChars="200"/>
        <w:jc w:val="left"/>
        <w:rPr>
          <w:rFonts w:ascii="仿宋_GB2312" w:hAnsi="仿宋_GB2312" w:eastAsia="仿宋_GB2312" w:cs="仿宋_GB2312"/>
          <w:bCs/>
          <w:sz w:val="30"/>
          <w:szCs w:val="30"/>
        </w:rPr>
      </w:pPr>
      <w:r>
        <w:rPr>
          <w:rFonts w:hint="eastAsia" w:ascii="仿宋_GB2312" w:hAnsi="仿宋_GB2312" w:eastAsia="仿宋_GB2312" w:cs="仿宋_GB2312"/>
          <w:bCs/>
          <w:sz w:val="30"/>
          <w:szCs w:val="30"/>
        </w:rPr>
        <w:t>我单位为红原县卫生健康局下属二级预算单位，属全额拨款公益一类事业单位，下设办公室、监测科、传管科、健教科、财务科、结艾科、地方病防治科、检验科、公卫科，包虫病防治办公室共10个科室。</w:t>
      </w:r>
    </w:p>
    <w:p>
      <w:pPr>
        <w:widowControl/>
        <w:adjustRightInd w:val="0"/>
        <w:snapToGrid w:val="0"/>
        <w:spacing w:line="480" w:lineRule="exact"/>
        <w:ind w:firstLine="720"/>
        <w:jc w:val="left"/>
        <w:rPr>
          <w:rFonts w:ascii="仿宋_GB2312" w:hAnsi="宋体" w:eastAsia="仿宋_GB2312" w:cs="宋体"/>
          <w:color w:val="000000"/>
          <w:kern w:val="0"/>
          <w:lang w:val="zh-CN"/>
        </w:rPr>
      </w:pPr>
    </w:p>
    <w:p>
      <w:pPr>
        <w:numPr>
          <w:ilvl w:val="0"/>
          <w:numId w:val="6"/>
        </w:numPr>
        <w:ind w:firstLine="627" w:firstLineChars="196"/>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机构职能。</w:t>
      </w:r>
    </w:p>
    <w:p>
      <w:pPr>
        <w:ind w:firstLine="640" w:firstLineChars="200"/>
        <w:rPr>
          <w:rFonts w:ascii="仿宋_GB2312" w:hAnsi="宋体" w:eastAsia="仿宋_GB2312"/>
          <w:b/>
          <w:sz w:val="28"/>
          <w:szCs w:val="28"/>
        </w:rPr>
      </w:pPr>
      <w:r>
        <w:rPr>
          <w:rFonts w:hint="eastAsia" w:ascii="仿宋_GB2312" w:hAnsi="仿宋" w:eastAsia="仿宋_GB2312"/>
          <w:sz w:val="32"/>
          <w:szCs w:val="32"/>
        </w:rPr>
        <w:t>全面履行政府赋予的卫生防病职能, 做好传染病等突发公共卫生事件应急、监测、报告与管理；信息与网络管理；加强疾病及健康相关因素监测和分析评估能力的储备及应用；完成国家、省、州下达的重大疾病预防控制指令性任务；实施疾病预防控制规划、方案，组织开展辖区内</w:t>
      </w:r>
      <w:r>
        <w:rPr>
          <w:rFonts w:hint="eastAsia" w:ascii="仿宋_GB2312" w:hAnsi="仿宋" w:eastAsia="仿宋_GB2312"/>
          <w:sz w:val="32"/>
          <w:szCs w:val="32"/>
          <w:lang w:eastAsia="zh-CN"/>
        </w:rPr>
        <w:t>疾病暴发</w:t>
      </w:r>
      <w:r>
        <w:rPr>
          <w:rFonts w:hint="eastAsia" w:ascii="仿宋_GB2312" w:hAnsi="仿宋" w:eastAsia="仿宋_GB2312"/>
          <w:sz w:val="32"/>
          <w:szCs w:val="32"/>
        </w:rPr>
        <w:t>调查处理和报告；负责全县慢性传染病、慢性非传染性疾病的流行病学调查、监测，营养健康，健康教育与健康促进，实施儿童计划免疫及预防性生物制品管理；推行重大公共卫生服务项目，免费为艾滋病患者提供“四免一关怀”服务；制定我县结核病预防控制规划并组织实施；负责本辖区内大骨节病、包虫病、地氟病、碘缺乏病的综合防治和研究；提供消毒、杀虫、灭蝇等相关技术性服务；对食品卫生、公共场所、工矿企业、学校及生产经营单位的卫生具有监测职能和卫生学评价职能；为社会人群提供预防性疫苗接种等工作。</w:t>
      </w:r>
    </w:p>
    <w:p>
      <w:pPr>
        <w:numPr>
          <w:ilvl w:val="0"/>
          <w:numId w:val="6"/>
        </w:numPr>
        <w:spacing w:line="520" w:lineRule="exact"/>
        <w:ind w:firstLine="627" w:firstLineChars="196"/>
        <w:jc w:val="lef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人员概况。</w:t>
      </w:r>
    </w:p>
    <w:p>
      <w:pPr>
        <w:spacing w:line="520" w:lineRule="exact"/>
        <w:ind w:firstLine="600" w:firstLineChars="200"/>
        <w:jc w:val="left"/>
        <w:rPr>
          <w:rFonts w:ascii="仿宋_GB2312" w:hAnsi="仿宋_GB2312" w:eastAsia="仿宋_GB2312" w:cs="仿宋_GB2312"/>
          <w:bCs/>
          <w:sz w:val="30"/>
          <w:szCs w:val="30"/>
        </w:rPr>
      </w:pPr>
      <w:r>
        <w:rPr>
          <w:rFonts w:hint="eastAsia" w:ascii="仿宋_GB2312" w:eastAsia="仿宋_GB2312"/>
          <w:sz w:val="30"/>
          <w:szCs w:val="30"/>
        </w:rPr>
        <w:t>我单位截止2018年底我单位共有编制39个，其中事业编制39个，在职38人，事业编制38人,其中专业技术人员33人，管理人员1人，个人4人；退休11人。</w:t>
      </w:r>
    </w:p>
    <w:p>
      <w:pPr>
        <w:widowControl/>
        <w:adjustRightInd w:val="0"/>
        <w:snapToGrid w:val="0"/>
        <w:spacing w:line="480" w:lineRule="exact"/>
        <w:ind w:firstLine="720"/>
        <w:jc w:val="left"/>
        <w:rPr>
          <w:rFonts w:ascii="黑体" w:hAnsi="宋体" w:eastAsia="黑体" w:cs="宋体"/>
          <w:color w:val="000000"/>
          <w:kern w:val="0"/>
        </w:rPr>
      </w:pPr>
      <w:r>
        <w:rPr>
          <w:rFonts w:hint="eastAsia" w:ascii="黑体" w:hAnsi="宋体" w:eastAsia="黑体" w:cs="宋体"/>
          <w:color w:val="000000"/>
          <w:kern w:val="0"/>
          <w:sz w:val="32"/>
        </w:rPr>
        <w:t>二、部门财政资金收支情况</w:t>
      </w:r>
    </w:p>
    <w:p>
      <w:pPr>
        <w:widowControl/>
        <w:adjustRightInd w:val="0"/>
        <w:snapToGrid w:val="0"/>
        <w:spacing w:line="480" w:lineRule="exact"/>
        <w:ind w:firstLine="720"/>
        <w:jc w:val="left"/>
        <w:rPr>
          <w:rFonts w:ascii="楷体" w:hAnsi="楷体" w:eastAsia="楷体" w:cs="宋体"/>
          <w:color w:val="000000"/>
          <w:kern w:val="0"/>
          <w:lang w:val="zh-CN"/>
        </w:rPr>
      </w:pPr>
      <w:r>
        <w:rPr>
          <w:rFonts w:hint="eastAsia" w:ascii="楷体" w:hAnsi="楷体" w:eastAsia="楷体" w:cs="宋体"/>
          <w:color w:val="000000"/>
          <w:kern w:val="0"/>
          <w:sz w:val="32"/>
          <w:lang w:val="zh-CN"/>
        </w:rPr>
        <w:t>（一）部门财政资金收入情况。</w:t>
      </w:r>
    </w:p>
    <w:p>
      <w:pPr>
        <w:spacing w:line="520" w:lineRule="exact"/>
        <w:ind w:firstLine="600" w:firstLineChars="200"/>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2018年度总收入:12367460.55元，其中财政拨款收入总计：12303965.16元，占总收入99.5%，与2017年相比较，增加176074.05元，增长1.4%；主要原因是人员工资调整。年初项目资金结转结余4264241.84元。</w:t>
      </w:r>
    </w:p>
    <w:p>
      <w:pPr>
        <w:spacing w:line="520" w:lineRule="exact"/>
        <w:ind w:firstLine="600" w:firstLineChars="200"/>
        <w:rPr>
          <w:rFonts w:ascii="楷体" w:hAnsi="楷体" w:eastAsia="楷体" w:cs="宋体"/>
          <w:color w:val="000000"/>
          <w:kern w:val="0"/>
          <w:sz w:val="32"/>
          <w:lang w:val="zh-CN"/>
        </w:rPr>
      </w:pPr>
      <w:r>
        <w:rPr>
          <w:rFonts w:hint="eastAsia" w:ascii="楷体" w:hAnsi="楷体" w:eastAsia="楷体" w:cs="仿宋_GB2312"/>
          <w:color w:val="000000"/>
          <w:sz w:val="30"/>
          <w:szCs w:val="30"/>
        </w:rPr>
        <w:t>（二）</w:t>
      </w:r>
      <w:r>
        <w:rPr>
          <w:rFonts w:hint="eastAsia" w:ascii="楷体" w:hAnsi="楷体" w:eastAsia="楷体" w:cs="宋体"/>
          <w:color w:val="000000"/>
          <w:kern w:val="0"/>
          <w:sz w:val="32"/>
          <w:lang w:val="zh-CN"/>
        </w:rPr>
        <w:t>部门财政资金支出情况。</w:t>
      </w:r>
    </w:p>
    <w:p>
      <w:pPr>
        <w:spacing w:line="520" w:lineRule="exact"/>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2018年度财政拨款支出总计：10927627.46元，其中基本支出6914563.55元，占比63.3%，主要用于人员经费和日常公用经费；项目支出4013063.91元，占比36.7%；年末项目结转结余2962510.61元。项目结转结余2921842.63，基本支出结转结余40667.98.</w:t>
      </w:r>
    </w:p>
    <w:p>
      <w:pPr>
        <w:widowControl/>
        <w:adjustRightInd w:val="0"/>
        <w:snapToGrid w:val="0"/>
        <w:spacing w:line="480" w:lineRule="exact"/>
        <w:ind w:firstLine="720"/>
        <w:jc w:val="left"/>
        <w:rPr>
          <w:rFonts w:ascii="仿宋_GB2312" w:hAnsi="宋体" w:eastAsia="仿宋_GB2312" w:cs="宋体"/>
          <w:color w:val="000000"/>
          <w:kern w:val="0"/>
          <w:lang w:val="zh-CN"/>
        </w:rPr>
      </w:pPr>
    </w:p>
    <w:p>
      <w:pPr>
        <w:widowControl/>
        <w:adjustRightInd w:val="0"/>
        <w:snapToGrid w:val="0"/>
        <w:spacing w:line="480" w:lineRule="exact"/>
        <w:ind w:firstLine="720"/>
        <w:jc w:val="left"/>
        <w:rPr>
          <w:rFonts w:ascii="黑体" w:hAnsi="宋体" w:eastAsia="黑体" w:cs="宋体"/>
          <w:color w:val="000000"/>
          <w:kern w:val="0"/>
        </w:rPr>
      </w:pPr>
      <w:r>
        <w:rPr>
          <w:rFonts w:hint="eastAsia" w:ascii="黑体" w:hAnsi="宋体" w:eastAsia="黑体" w:cs="宋体"/>
          <w:color w:val="000000"/>
          <w:kern w:val="0"/>
          <w:sz w:val="32"/>
        </w:rPr>
        <w:t>三、部门财政支出管理情况</w:t>
      </w:r>
    </w:p>
    <w:p>
      <w:pPr>
        <w:widowControl/>
        <w:adjustRightInd w:val="0"/>
        <w:snapToGrid w:val="0"/>
        <w:spacing w:line="480" w:lineRule="exact"/>
        <w:ind w:firstLine="720"/>
        <w:jc w:val="left"/>
        <w:rPr>
          <w:rFonts w:ascii="楷体" w:hAnsi="楷体" w:eastAsia="楷体" w:cs="宋体"/>
          <w:color w:val="000000"/>
          <w:kern w:val="0"/>
          <w:lang w:val="zh-CN"/>
        </w:rPr>
      </w:pPr>
      <w:r>
        <w:rPr>
          <w:rFonts w:hint="eastAsia" w:ascii="楷体" w:hAnsi="楷体" w:eastAsia="楷体" w:cs="宋体"/>
          <w:color w:val="000000"/>
          <w:kern w:val="0"/>
          <w:sz w:val="32"/>
          <w:lang w:val="zh-CN"/>
        </w:rPr>
        <w:t>（一）预算编制情况。</w:t>
      </w:r>
    </w:p>
    <w:p>
      <w:pPr>
        <w:pStyle w:val="13"/>
        <w:widowControl/>
        <w:shd w:val="clear" w:color="auto" w:fill="FFFFFF"/>
        <w:spacing w:before="0" w:beforeAutospacing="0" w:after="0" w:afterAutospacing="0" w:line="520" w:lineRule="exact"/>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shd w:val="clear" w:color="auto" w:fill="FFFFFF"/>
        </w:rPr>
        <w:t>根据《中华人民共和国预算法》及红原县财政局印发的《关于下达2018年部门预算的通知》要求，结合本单位实际，按照增收节支、厉行节约、绩效优化的原则，严控“三公”经费管理，从严从紧编制预算。细化支出预算编制，推进预算信息公开，深化预算绩效管理，提高资金使用效益。</w:t>
      </w:r>
    </w:p>
    <w:p>
      <w:pPr>
        <w:pStyle w:val="13"/>
        <w:widowControl/>
        <w:shd w:val="clear" w:color="auto" w:fill="FFFFFF"/>
        <w:spacing w:before="0" w:beforeAutospacing="0" w:after="0" w:afterAutospacing="0" w:line="520" w:lineRule="exact"/>
        <w:ind w:firstLine="600" w:firstLineChars="200"/>
        <w:rPr>
          <w:rFonts w:ascii="仿宋_GB2312" w:hAnsi="仿宋_GB2312" w:eastAsia="仿宋_GB2312" w:cs="仿宋_GB2312"/>
          <w:color w:val="000000"/>
          <w:sz w:val="30"/>
          <w:szCs w:val="30"/>
        </w:rPr>
      </w:pPr>
      <w:r>
        <w:rPr>
          <w:rFonts w:hint="eastAsia" w:ascii="仿宋_GB2312" w:eastAsia="仿宋_GB2312"/>
          <w:sz w:val="30"/>
          <w:szCs w:val="30"/>
          <w:shd w:val="clear" w:color="auto" w:fill="FFFFFF"/>
        </w:rPr>
        <w:t>2018年预算人员支出对照2017年12月份人员及工资信息编制，日常公用支出按照“经费包干、明细编报”的原则进行编制，重点做好“三公”经费、会议费、培训费等预算编制。</w:t>
      </w:r>
    </w:p>
    <w:p>
      <w:pPr>
        <w:widowControl/>
        <w:adjustRightInd w:val="0"/>
        <w:snapToGrid w:val="0"/>
        <w:spacing w:line="480" w:lineRule="exact"/>
        <w:ind w:firstLine="720"/>
        <w:jc w:val="left"/>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2018年度收入预算合计12367460.55元，均为财政补助收入；支出预算合计10927627.46元，其中基本支出预算6914563.55元，人员经费支出6470175.89元；日常公用经费支出预算400782.66元；项目支出预算4013063.91元。</w:t>
      </w:r>
    </w:p>
    <w:p>
      <w:pPr>
        <w:widowControl/>
        <w:adjustRightInd w:val="0"/>
        <w:snapToGrid w:val="0"/>
        <w:spacing w:line="480" w:lineRule="exact"/>
        <w:ind w:firstLine="720"/>
        <w:jc w:val="left"/>
        <w:rPr>
          <w:rFonts w:ascii="楷体" w:hAnsi="楷体" w:eastAsia="楷体" w:cs="宋体"/>
          <w:color w:val="000000"/>
          <w:kern w:val="0"/>
          <w:lang w:val="zh-CN"/>
        </w:rPr>
      </w:pPr>
      <w:r>
        <w:rPr>
          <w:rFonts w:hint="eastAsia" w:ascii="楷体" w:hAnsi="楷体" w:eastAsia="楷体" w:cs="宋体"/>
          <w:color w:val="000000"/>
          <w:kern w:val="0"/>
          <w:sz w:val="32"/>
          <w:lang w:val="zh-CN"/>
        </w:rPr>
        <w:t>（二）执行管理情况。</w:t>
      </w:r>
      <w:r>
        <w:rPr>
          <w:rFonts w:hint="eastAsia" w:ascii="楷体" w:hAnsi="楷体" w:eastAsia="楷体" w:cs="宋体"/>
          <w:color w:val="000000"/>
          <w:kern w:val="0"/>
          <w:sz w:val="32"/>
          <w:lang w:val="zh-CN"/>
        </w:rPr>
        <w:tab/>
      </w:r>
    </w:p>
    <w:p>
      <w:pPr>
        <w:spacing w:line="520" w:lineRule="exact"/>
        <w:ind w:firstLine="602" w:firstLineChars="200"/>
        <w:rPr>
          <w:rFonts w:ascii="仿宋_GB2312" w:hAnsi="仿宋_GB2312" w:eastAsia="仿宋_GB2312" w:cs="仿宋_GB2312"/>
          <w:b/>
          <w:bCs/>
          <w:color w:val="000000"/>
          <w:sz w:val="30"/>
          <w:szCs w:val="30"/>
        </w:rPr>
      </w:pPr>
      <w:r>
        <w:rPr>
          <w:rFonts w:hint="eastAsia" w:ascii="仿宋_GB2312" w:hAnsi="仿宋_GB2312" w:eastAsia="仿宋_GB2312" w:cs="仿宋_GB2312"/>
          <w:b/>
          <w:bCs/>
          <w:color w:val="000000"/>
          <w:sz w:val="30"/>
          <w:szCs w:val="30"/>
        </w:rPr>
        <w:t>1、本年度基本支出预算执行情况</w:t>
      </w:r>
    </w:p>
    <w:p>
      <w:pPr>
        <w:spacing w:line="520" w:lineRule="exact"/>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2018年度基本支出预算10927627.46元，决算金额10927627.46元，其中人员经费6470175.89元，日常公用经费400782.66元，执行率为100%。</w:t>
      </w:r>
    </w:p>
    <w:p>
      <w:pPr>
        <w:spacing w:line="520" w:lineRule="exact"/>
        <w:ind w:firstLine="602" w:firstLineChars="200"/>
        <w:rPr>
          <w:rFonts w:ascii="仿宋_GB2312" w:hAnsi="仿宋_GB2312" w:eastAsia="仿宋_GB2312" w:cs="仿宋_GB2312"/>
          <w:b/>
          <w:bCs/>
          <w:color w:val="000000"/>
          <w:sz w:val="30"/>
          <w:szCs w:val="30"/>
        </w:rPr>
      </w:pPr>
      <w:r>
        <w:rPr>
          <w:rFonts w:hint="eastAsia" w:ascii="仿宋_GB2312" w:hAnsi="仿宋_GB2312" w:eastAsia="仿宋_GB2312" w:cs="仿宋_GB2312"/>
          <w:b/>
          <w:bCs/>
          <w:color w:val="000000"/>
          <w:sz w:val="30"/>
          <w:szCs w:val="30"/>
        </w:rPr>
        <w:t>2、项目预算执行情况</w:t>
      </w:r>
    </w:p>
    <w:p>
      <w:pPr>
        <w:spacing w:line="520" w:lineRule="exact"/>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2018年度项目支出预算20000元，决算金额4013063.91元，主要原因是中央，省级财政项目资金陆续实施。县级财政专项预算分配及时，中央，省级专项资金分配合规率100%；2018年底结转结余2962510.61元，其中基本结转结余40607.98元，占比1.4%；项目结转结余2921842.63元，占比98.6%。</w:t>
      </w:r>
    </w:p>
    <w:p>
      <w:pPr>
        <w:widowControl/>
        <w:adjustRightInd w:val="0"/>
        <w:snapToGrid w:val="0"/>
        <w:spacing w:line="480" w:lineRule="exact"/>
        <w:ind w:firstLine="720"/>
        <w:jc w:val="left"/>
        <w:rPr>
          <w:rFonts w:ascii="楷体" w:hAnsi="楷体" w:eastAsia="楷体" w:cs="宋体"/>
          <w:color w:val="000000"/>
          <w:kern w:val="0"/>
          <w:lang w:val="zh-CN"/>
        </w:rPr>
      </w:pPr>
      <w:r>
        <w:rPr>
          <w:rFonts w:hint="eastAsia" w:ascii="楷体" w:hAnsi="楷体" w:eastAsia="楷体" w:cs="宋体"/>
          <w:color w:val="000000"/>
          <w:kern w:val="0"/>
          <w:sz w:val="32"/>
          <w:lang w:val="zh-CN"/>
        </w:rPr>
        <w:t>（三）综合管理情况。</w:t>
      </w:r>
    </w:p>
    <w:p>
      <w:pPr>
        <w:pStyle w:val="13"/>
        <w:widowControl/>
        <w:shd w:val="clear" w:color="auto" w:fill="FFFFFF"/>
        <w:spacing w:before="0" w:beforeAutospacing="0" w:after="0" w:afterAutospacing="0" w:line="520" w:lineRule="exact"/>
        <w:ind w:firstLine="645"/>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我单位建立了整体支出管理方面的内控制度，并不断进行完善和修订，制定了《财务管理制度》、《预算管理制度》、《国有资产管理制度》、《政府采购管理制度》等财务相关制度；对预算资金的收支管理、资产管理、资产采购、差旅费报销等开支标准严格按照规定执行，对各项预算支出进行了有效管控，严肃财经纪律，严格审核审批程序，及时进行信息公开，依法接受财政监督。</w:t>
      </w:r>
      <w:r>
        <w:rPr>
          <w:rFonts w:hint="eastAsia" w:ascii="仿宋_GB2312" w:hAnsi="仿宋_GB2312" w:eastAsia="仿宋_GB2312" w:cs="仿宋_GB2312"/>
          <w:color w:val="000000"/>
          <w:sz w:val="30"/>
          <w:szCs w:val="30"/>
          <w:shd w:val="clear" w:color="auto" w:fill="FFFFFF"/>
        </w:rPr>
        <w:t>对照年初的预算，通过编制部门决算报表，全面、真实、准确的反映了红原县疾病预防控制中心2018年度财政资金的使用情况。</w:t>
      </w:r>
    </w:p>
    <w:p>
      <w:pPr>
        <w:widowControl/>
        <w:adjustRightInd w:val="0"/>
        <w:snapToGrid w:val="0"/>
        <w:spacing w:line="480" w:lineRule="exact"/>
        <w:ind w:firstLine="720"/>
        <w:jc w:val="left"/>
        <w:rPr>
          <w:rFonts w:ascii="楷体" w:hAnsi="楷体" w:eastAsia="楷体" w:cs="宋体"/>
          <w:color w:val="000000"/>
          <w:kern w:val="0"/>
          <w:lang w:val="zh-CN"/>
        </w:rPr>
      </w:pPr>
      <w:r>
        <w:rPr>
          <w:rFonts w:hint="eastAsia" w:ascii="楷体" w:hAnsi="楷体" w:eastAsia="楷体" w:cs="宋体"/>
          <w:color w:val="000000"/>
          <w:kern w:val="0"/>
          <w:sz w:val="32"/>
          <w:lang w:val="zh-CN"/>
        </w:rPr>
        <w:t>（四）整体绩效。</w:t>
      </w:r>
    </w:p>
    <w:p>
      <w:pPr>
        <w:spacing w:line="520" w:lineRule="exact"/>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2018年度预算支出10927627.46元，其中基本支出6914563.55元，主要用于人员经费和日常公用经费；项目支出4013063.91元，主要用于各种传染病及地方病的筛查，宣传等项目工作；</w:t>
      </w:r>
      <w:r>
        <w:rPr>
          <w:rFonts w:hint="eastAsia" w:ascii="仿宋_GB2312" w:hAnsi="仿宋_GB2312" w:eastAsia="仿宋_GB2312" w:cs="仿宋_GB2312"/>
          <w:color w:val="000000"/>
          <w:sz w:val="30"/>
          <w:szCs w:val="30"/>
          <w:shd w:val="clear" w:color="auto" w:fill="FFFFFF"/>
        </w:rPr>
        <w:t>我单位严格执行《预算法》和各项财经纪律，机关制度健全，财务管理规范，预算编制合理;二是资金监管到位。经费开支按用途使用合理，做到专帐专管,专款专用；三是人员配备和</w:t>
      </w:r>
      <w:r>
        <w:rPr>
          <w:rFonts w:hint="eastAsia" w:ascii="仿宋_GB2312" w:hAnsi="仿宋_GB2312" w:eastAsia="仿宋_GB2312" w:cs="仿宋_GB2312"/>
          <w:color w:val="000000"/>
          <w:sz w:val="30"/>
          <w:szCs w:val="30"/>
          <w:shd w:val="clear" w:color="auto" w:fill="FFFFFF"/>
          <w:lang w:eastAsia="zh-CN"/>
        </w:rPr>
        <w:t>账务</w:t>
      </w:r>
      <w:r>
        <w:rPr>
          <w:rFonts w:hint="eastAsia" w:ascii="仿宋_GB2312" w:hAnsi="仿宋_GB2312" w:eastAsia="仿宋_GB2312" w:cs="仿宋_GB2312"/>
          <w:color w:val="000000"/>
          <w:sz w:val="30"/>
          <w:szCs w:val="30"/>
          <w:shd w:val="clear" w:color="auto" w:fill="FFFFFF"/>
        </w:rPr>
        <w:t>核算到位。财务人员</w:t>
      </w:r>
      <w:r>
        <w:rPr>
          <w:rFonts w:hint="eastAsia" w:ascii="仿宋_GB2312" w:hAnsi="仿宋_GB2312" w:eastAsia="仿宋_GB2312" w:cs="仿宋_GB2312"/>
          <w:color w:val="000000"/>
          <w:sz w:val="30"/>
          <w:szCs w:val="30"/>
          <w:shd w:val="clear" w:color="auto" w:fill="FFFFFF"/>
          <w:lang w:eastAsia="zh-CN"/>
        </w:rPr>
        <w:t>账务</w:t>
      </w:r>
      <w:r>
        <w:rPr>
          <w:rFonts w:hint="eastAsia" w:ascii="仿宋_GB2312" w:hAnsi="仿宋_GB2312" w:eastAsia="仿宋_GB2312" w:cs="仿宋_GB2312"/>
          <w:color w:val="000000"/>
          <w:sz w:val="30"/>
          <w:szCs w:val="30"/>
          <w:shd w:val="clear" w:color="auto" w:fill="FFFFFF"/>
        </w:rPr>
        <w:t>核算及时规范。</w:t>
      </w:r>
      <w:r>
        <w:rPr>
          <w:rFonts w:hint="eastAsia" w:ascii="仿宋_GB2312" w:hAnsi="仿宋_GB2312" w:eastAsia="仿宋_GB2312" w:cs="仿宋_GB2312"/>
          <w:color w:val="000000"/>
          <w:sz w:val="30"/>
          <w:szCs w:val="30"/>
        </w:rPr>
        <w:t>我单位在财务上进行合理安排和运用，以“认真、严谨、细致”的精神，做好一切财务工作，圆满完成了各项工作任务，产生了良好的社会效益，得到广大老百姓的一致好评。</w:t>
      </w:r>
    </w:p>
    <w:p>
      <w:pPr>
        <w:widowControl/>
        <w:adjustRightInd w:val="0"/>
        <w:snapToGrid w:val="0"/>
        <w:spacing w:line="480" w:lineRule="exact"/>
        <w:ind w:firstLine="720"/>
        <w:jc w:val="left"/>
        <w:rPr>
          <w:rFonts w:ascii="黑体" w:hAnsi="宋体" w:eastAsia="黑体" w:cs="宋体"/>
          <w:color w:val="000000"/>
          <w:kern w:val="0"/>
        </w:rPr>
      </w:pPr>
      <w:r>
        <w:rPr>
          <w:rFonts w:hint="eastAsia" w:ascii="黑体" w:hAnsi="宋体" w:eastAsia="黑体" w:cs="宋体"/>
          <w:color w:val="000000"/>
          <w:kern w:val="0"/>
          <w:sz w:val="32"/>
        </w:rPr>
        <w:t>四、评价结论及建议</w:t>
      </w:r>
    </w:p>
    <w:p>
      <w:pPr>
        <w:spacing w:line="520" w:lineRule="exact"/>
        <w:ind w:firstLine="640" w:firstLineChars="200"/>
        <w:rPr>
          <w:rFonts w:ascii="楷体" w:hAnsi="楷体" w:eastAsia="楷体" w:cs="宋体"/>
          <w:color w:val="000000"/>
          <w:kern w:val="0"/>
          <w:sz w:val="32"/>
          <w:lang w:val="zh-CN"/>
        </w:rPr>
      </w:pPr>
      <w:r>
        <w:rPr>
          <w:rFonts w:hint="eastAsia" w:ascii="楷体" w:hAnsi="楷体" w:eastAsia="楷体" w:cs="宋体"/>
          <w:color w:val="000000"/>
          <w:kern w:val="0"/>
          <w:sz w:val="32"/>
          <w:lang w:val="zh-CN"/>
        </w:rPr>
        <w:t>（一）评价结论。</w:t>
      </w:r>
    </w:p>
    <w:p>
      <w:pPr>
        <w:spacing w:line="520" w:lineRule="exact"/>
        <w:ind w:firstLine="600" w:firstLineChars="200"/>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2018年度我单位财政供养人员控制在预算编制内，编制内在职人员控制率100%；日常公用经费年初预算404527元，决算金额400782.66元，预算完成率99%，主要是践行厉行节约；预算管理工作较上年有所进步，执行制度总体有效，资金管理工作有待加强，建立了资产管理制度，总体执行较好。</w:t>
      </w:r>
    </w:p>
    <w:p>
      <w:pPr>
        <w:spacing w:line="520" w:lineRule="exact"/>
        <w:ind w:firstLine="600" w:firstLineChars="200"/>
        <w:rPr>
          <w:rFonts w:ascii="楷体" w:hAnsi="楷体" w:eastAsia="楷体" w:cs="宋体"/>
          <w:color w:val="000000"/>
          <w:kern w:val="0"/>
          <w:sz w:val="32"/>
          <w:lang w:val="zh-CN"/>
        </w:rPr>
      </w:pPr>
      <w:r>
        <w:rPr>
          <w:rFonts w:hint="eastAsia" w:ascii="楷体" w:hAnsi="楷体" w:eastAsia="楷体" w:cs="仿宋_GB2312"/>
          <w:color w:val="000000"/>
          <w:sz w:val="30"/>
          <w:szCs w:val="30"/>
        </w:rPr>
        <w:t>（二）</w:t>
      </w:r>
      <w:r>
        <w:rPr>
          <w:rFonts w:hint="eastAsia" w:ascii="楷体" w:hAnsi="楷体" w:eastAsia="楷体" w:cs="宋体"/>
          <w:color w:val="000000"/>
          <w:kern w:val="0"/>
          <w:sz w:val="32"/>
          <w:lang w:val="zh-CN"/>
        </w:rPr>
        <w:t>存在问题。</w:t>
      </w:r>
    </w:p>
    <w:p>
      <w:pPr>
        <w:spacing w:line="520" w:lineRule="exact"/>
        <w:ind w:left="420" w:leftChars="200" w:firstLine="300" w:firstLineChars="1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1、</w:t>
      </w:r>
      <w:r>
        <w:rPr>
          <w:rFonts w:hint="eastAsia" w:ascii="仿宋_GB2312" w:eastAsia="仿宋_GB2312"/>
          <w:color w:val="000000"/>
          <w:sz w:val="32"/>
          <w:szCs w:val="32"/>
          <w:lang w:val="zh-CN"/>
        </w:rPr>
        <w:t>在实际经费列支中，未严格按照预算科目进行列支</w:t>
      </w:r>
      <w:r>
        <w:rPr>
          <w:rFonts w:hint="eastAsia" w:ascii="仿宋_GB2312" w:eastAsia="仿宋_GB2312"/>
          <w:color w:val="000000"/>
          <w:sz w:val="32"/>
          <w:szCs w:val="32"/>
        </w:rPr>
        <w:t>,要</w:t>
      </w:r>
      <w:r>
        <w:rPr>
          <w:rFonts w:hint="eastAsia" w:ascii="仿宋_GB2312" w:hAnsi="仿宋_GB2312" w:eastAsia="仿宋_GB2312" w:cs="仿宋_GB2312"/>
          <w:color w:val="000000"/>
          <w:sz w:val="30"/>
          <w:szCs w:val="30"/>
        </w:rPr>
        <w:t>进一步规范资金的使用。</w:t>
      </w:r>
    </w:p>
    <w:p>
      <w:pPr>
        <w:widowControl/>
        <w:adjustRightInd w:val="0"/>
        <w:snapToGrid w:val="0"/>
        <w:spacing w:line="560" w:lineRule="exact"/>
        <w:ind w:firstLine="750" w:firstLineChars="250"/>
        <w:jc w:val="left"/>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2、</w:t>
      </w:r>
      <w:r>
        <w:rPr>
          <w:rFonts w:hint="eastAsia" w:ascii="仿宋_GB2312" w:eastAsia="仿宋_GB2312"/>
          <w:color w:val="000000"/>
          <w:sz w:val="32"/>
          <w:szCs w:val="32"/>
          <w:lang w:val="zh-CN"/>
        </w:rPr>
        <w:t>会计核算欠规范</w:t>
      </w:r>
      <w:r>
        <w:rPr>
          <w:rFonts w:hint="eastAsia" w:ascii="仿宋_GB2312" w:eastAsia="仿宋_GB2312"/>
          <w:color w:val="000000"/>
          <w:sz w:val="32"/>
          <w:szCs w:val="32"/>
        </w:rPr>
        <w:t>,</w:t>
      </w:r>
      <w:r>
        <w:rPr>
          <w:rFonts w:hint="eastAsia" w:ascii="仿宋_GB2312" w:hAnsi="仿宋_GB2312" w:eastAsia="仿宋_GB2312" w:cs="仿宋_GB2312"/>
          <w:color w:val="000000"/>
          <w:sz w:val="30"/>
          <w:szCs w:val="30"/>
        </w:rPr>
        <w:t>缺少项目资金使用效益评估。</w:t>
      </w:r>
    </w:p>
    <w:p>
      <w:pPr>
        <w:widowControl/>
        <w:adjustRightInd w:val="0"/>
        <w:snapToGrid w:val="0"/>
        <w:spacing w:line="480" w:lineRule="exact"/>
        <w:ind w:firstLine="720"/>
        <w:jc w:val="left"/>
        <w:rPr>
          <w:rFonts w:ascii="仿宋_GB2312" w:hAnsi="宋体" w:eastAsia="仿宋_GB2312" w:cs="宋体"/>
          <w:color w:val="000000"/>
          <w:kern w:val="0"/>
          <w:lang w:val="zh-CN"/>
        </w:rPr>
      </w:pPr>
    </w:p>
    <w:p>
      <w:pPr>
        <w:spacing w:line="560" w:lineRule="exact"/>
        <w:ind w:firstLine="480" w:firstLineChars="150"/>
        <w:rPr>
          <w:rFonts w:ascii="仿宋_GB2312" w:hAnsi="仿宋_GB2312" w:eastAsia="仿宋_GB2312" w:cs="仿宋_GB2312"/>
          <w:color w:val="000000"/>
          <w:sz w:val="30"/>
          <w:szCs w:val="30"/>
          <w:shd w:val="clear" w:color="auto" w:fill="FFFFFF"/>
        </w:rPr>
      </w:pPr>
      <w:r>
        <w:rPr>
          <w:rFonts w:hint="eastAsia" w:ascii="仿宋_GB2312" w:hAnsi="宋体" w:eastAsia="仿宋_GB2312" w:cs="宋体"/>
          <w:color w:val="000000"/>
          <w:kern w:val="0"/>
          <w:sz w:val="32"/>
          <w:lang w:val="zh-CN"/>
        </w:rPr>
        <w:t>（三）改进建议。</w:t>
      </w:r>
    </w:p>
    <w:p>
      <w:pPr>
        <w:spacing w:line="560" w:lineRule="exact"/>
        <w:ind w:firstLine="450" w:firstLineChars="150"/>
        <w:rPr>
          <w:rFonts w:ascii="仿宋_GB2312" w:hAnsi="仿宋_GB2312" w:eastAsia="仿宋_GB2312" w:cs="仿宋_GB2312"/>
          <w:color w:val="000000"/>
          <w:sz w:val="30"/>
          <w:szCs w:val="30"/>
          <w:shd w:val="clear" w:color="auto" w:fill="FFFFFF"/>
        </w:rPr>
      </w:pPr>
      <w:r>
        <w:rPr>
          <w:rFonts w:hint="eastAsia" w:ascii="仿宋_GB2312" w:eastAsia="仿宋_GB2312"/>
          <w:color w:val="000000"/>
          <w:sz w:val="30"/>
          <w:szCs w:val="30"/>
        </w:rPr>
        <w:t>一是进一步加强预算编制工作；二</w:t>
      </w:r>
      <w:r>
        <w:rPr>
          <w:rFonts w:hint="eastAsia" w:ascii="仿宋_GB2312" w:eastAsia="仿宋_GB2312"/>
          <w:color w:val="000000"/>
          <w:sz w:val="32"/>
          <w:szCs w:val="32"/>
          <w:lang w:val="zh-CN"/>
        </w:rPr>
        <w:t>规范账务处理，提高财务信息质量，</w:t>
      </w:r>
      <w:r>
        <w:rPr>
          <w:rFonts w:hint="eastAsia" w:ascii="仿宋_GB2312" w:eastAsia="仿宋_GB2312"/>
          <w:color w:val="000000"/>
          <w:sz w:val="30"/>
          <w:szCs w:val="30"/>
        </w:rPr>
        <w:t>不断完善各项规章制度；三是加大对财务人员的培训，多提供对财务的学习机会。</w:t>
      </w:r>
      <w:r>
        <w:rPr>
          <w:rFonts w:ascii="仿宋_GB2312" w:hAnsi="宋体" w:eastAsia="仿宋_GB2312" w:cs="仿宋_GB2312"/>
          <w:color w:val="000000"/>
          <w:sz w:val="30"/>
          <w:szCs w:val="30"/>
          <w:shd w:val="clear" w:color="auto" w:fill="FFFFFF"/>
        </w:rPr>
        <w:t>建立长效机制，严格财务管理，加强财务监督，坚持厉行节约，严格</w:t>
      </w:r>
      <w:r>
        <w:rPr>
          <w:rFonts w:hint="eastAsia" w:ascii="仿宋_GB2312" w:eastAsia="仿宋_GB2312" w:cs="仿宋_GB2312"/>
          <w:color w:val="000000"/>
          <w:sz w:val="30"/>
          <w:szCs w:val="30"/>
          <w:shd w:val="clear" w:color="auto" w:fill="FFFFFF"/>
        </w:rPr>
        <w:t>杜绝</w:t>
      </w:r>
      <w:r>
        <w:rPr>
          <w:rFonts w:ascii="仿宋_GB2312" w:hAnsi="宋体" w:eastAsia="仿宋_GB2312" w:cs="仿宋_GB2312"/>
          <w:color w:val="000000"/>
          <w:sz w:val="30"/>
          <w:szCs w:val="30"/>
          <w:shd w:val="clear" w:color="auto" w:fill="FFFFFF"/>
        </w:rPr>
        <w:t>现金</w:t>
      </w:r>
      <w:r>
        <w:rPr>
          <w:rFonts w:hint="eastAsia" w:ascii="仿宋_GB2312" w:hAnsi="宋体" w:eastAsia="仿宋_GB2312" w:cs="仿宋_GB2312"/>
          <w:color w:val="000000"/>
          <w:sz w:val="30"/>
          <w:szCs w:val="30"/>
          <w:shd w:val="clear" w:color="auto" w:fill="FFFFFF"/>
        </w:rPr>
        <w:t>交易，</w:t>
      </w:r>
      <w:r>
        <w:rPr>
          <w:rFonts w:hint="eastAsia" w:ascii="仿宋_GB2312" w:hAnsi="仿宋_GB2312" w:eastAsia="仿宋_GB2312" w:cs="仿宋_GB2312"/>
          <w:color w:val="000000"/>
          <w:sz w:val="30"/>
          <w:szCs w:val="30"/>
          <w:shd w:val="clear" w:color="auto" w:fill="FFFFFF"/>
        </w:rPr>
        <w:t>加强事业单位会计制度的学习。</w:t>
      </w:r>
    </w:p>
    <w:p>
      <w:pPr>
        <w:widowControl/>
        <w:adjustRightInd w:val="0"/>
        <w:snapToGrid w:val="0"/>
        <w:spacing w:line="480" w:lineRule="exact"/>
        <w:ind w:firstLine="720"/>
        <w:jc w:val="left"/>
        <w:rPr>
          <w:rFonts w:ascii="仿宋_GB2312" w:eastAsia="仿宋_GB2312" w:cs="仿宋_GB2312"/>
        </w:rPr>
      </w:pPr>
    </w:p>
    <w:p>
      <w:pPr>
        <w:pStyle w:val="3"/>
        <w:rPr>
          <w:rStyle w:val="26"/>
          <w:rFonts w:ascii="仿宋" w:hAnsi="仿宋" w:eastAsia="仿宋"/>
          <w:b w:val="0"/>
          <w:bCs w:val="0"/>
          <w:sz w:val="32"/>
          <w:szCs w:val="32"/>
        </w:rPr>
      </w:pPr>
    </w:p>
    <w:p>
      <w:pPr>
        <w:pStyle w:val="3"/>
        <w:rPr>
          <w:rStyle w:val="26"/>
          <w:rFonts w:ascii="仿宋" w:hAnsi="仿宋" w:eastAsia="仿宋"/>
          <w:b w:val="0"/>
          <w:bCs w:val="0"/>
          <w:sz w:val="32"/>
          <w:szCs w:val="32"/>
        </w:rPr>
      </w:pPr>
    </w:p>
    <w:p>
      <w:pPr>
        <w:pStyle w:val="3"/>
        <w:rPr>
          <w:rStyle w:val="26"/>
          <w:rFonts w:ascii="仿宋" w:hAnsi="仿宋" w:eastAsia="仿宋"/>
          <w:b w:val="0"/>
          <w:bCs w:val="0"/>
          <w:sz w:val="32"/>
          <w:szCs w:val="32"/>
        </w:rPr>
      </w:pPr>
    </w:p>
    <w:p>
      <w:pPr>
        <w:pStyle w:val="3"/>
        <w:rPr>
          <w:rStyle w:val="26"/>
          <w:rFonts w:ascii="仿宋" w:hAnsi="仿宋" w:eastAsia="仿宋"/>
          <w:b w:val="0"/>
          <w:bCs w:val="0"/>
          <w:sz w:val="32"/>
          <w:szCs w:val="32"/>
        </w:rPr>
      </w:pPr>
    </w:p>
    <w:p>
      <w:pPr>
        <w:pStyle w:val="3"/>
        <w:rPr>
          <w:rStyle w:val="26"/>
          <w:rFonts w:hint="eastAsia" w:ascii="仿宋" w:hAnsi="仿宋" w:eastAsia="仿宋"/>
          <w:b w:val="0"/>
          <w:bCs w:val="0"/>
          <w:sz w:val="32"/>
          <w:szCs w:val="32"/>
        </w:rPr>
      </w:pPr>
    </w:p>
    <w:p>
      <w:pPr>
        <w:rPr>
          <w:rStyle w:val="26"/>
          <w:rFonts w:hint="eastAsia" w:ascii="仿宋" w:hAnsi="仿宋" w:eastAsia="仿宋"/>
          <w:b w:val="0"/>
          <w:bCs w:val="0"/>
          <w:sz w:val="32"/>
          <w:szCs w:val="32"/>
        </w:rPr>
      </w:pPr>
    </w:p>
    <w:p>
      <w:pPr>
        <w:rPr>
          <w:rStyle w:val="26"/>
          <w:rFonts w:hint="eastAsia" w:ascii="仿宋" w:hAnsi="仿宋" w:eastAsia="仿宋"/>
          <w:b w:val="0"/>
          <w:bCs w:val="0"/>
          <w:sz w:val="32"/>
          <w:szCs w:val="32"/>
        </w:rPr>
      </w:pPr>
    </w:p>
    <w:p>
      <w:pPr>
        <w:rPr>
          <w:rStyle w:val="26"/>
          <w:rFonts w:hint="eastAsia" w:ascii="仿宋" w:hAnsi="仿宋" w:eastAsia="仿宋"/>
          <w:b w:val="0"/>
          <w:bCs w:val="0"/>
          <w:sz w:val="32"/>
          <w:szCs w:val="32"/>
        </w:rPr>
      </w:pPr>
    </w:p>
    <w:p>
      <w:pPr>
        <w:rPr>
          <w:rStyle w:val="26"/>
          <w:rFonts w:hint="eastAsia" w:ascii="仿宋" w:hAnsi="仿宋" w:eastAsia="仿宋"/>
          <w:b w:val="0"/>
          <w:bCs w:val="0"/>
          <w:sz w:val="32"/>
          <w:szCs w:val="32"/>
        </w:rPr>
      </w:pPr>
    </w:p>
    <w:p>
      <w:pPr>
        <w:pStyle w:val="3"/>
        <w:rPr>
          <w:rStyle w:val="26"/>
          <w:rFonts w:hint="eastAsia" w:ascii="仿宋" w:hAnsi="仿宋" w:eastAsia="仿宋"/>
          <w:b w:val="0"/>
          <w:bCs w:val="0"/>
          <w:sz w:val="32"/>
          <w:szCs w:val="32"/>
        </w:rPr>
      </w:pPr>
    </w:p>
    <w:p>
      <w:pPr>
        <w:pStyle w:val="3"/>
        <w:rPr>
          <w:rStyle w:val="26"/>
          <w:rFonts w:hint="eastAsia" w:ascii="仿宋" w:hAnsi="仿宋" w:eastAsia="仿宋"/>
          <w:b w:val="0"/>
          <w:bCs w:val="0"/>
          <w:sz w:val="32"/>
          <w:szCs w:val="32"/>
        </w:rPr>
      </w:pPr>
    </w:p>
    <w:p>
      <w:pPr>
        <w:pStyle w:val="3"/>
        <w:rPr>
          <w:rStyle w:val="26"/>
          <w:rFonts w:ascii="仿宋" w:hAnsi="仿宋" w:eastAsia="仿宋"/>
          <w:b w:val="0"/>
          <w:bCs w:val="0"/>
          <w:sz w:val="32"/>
          <w:szCs w:val="32"/>
        </w:rPr>
      </w:pPr>
      <w:r>
        <w:rPr>
          <w:rStyle w:val="26"/>
          <w:rFonts w:hint="eastAsia" w:ascii="仿宋" w:hAnsi="仿宋" w:eastAsia="仿宋"/>
          <w:b w:val="0"/>
          <w:bCs w:val="0"/>
          <w:sz w:val="32"/>
          <w:szCs w:val="32"/>
        </w:rPr>
        <w:t>附件2</w:t>
      </w:r>
      <w:bookmarkEnd w:id="60"/>
    </w:p>
    <w:p>
      <w:pPr>
        <w:snapToGrid w:val="0"/>
        <w:spacing w:line="580" w:lineRule="exact"/>
        <w:jc w:val="center"/>
        <w:rPr>
          <w:rFonts w:ascii="方正小标宋简体" w:hAnsi="宋体" w:eastAsia="方正小标宋简体" w:cs="方正小标宋简体"/>
          <w:sz w:val="44"/>
          <w:szCs w:val="44"/>
        </w:rPr>
      </w:pPr>
      <w:bookmarkStart w:id="61" w:name="_Toc15396618"/>
      <w:r>
        <w:rPr>
          <w:rFonts w:hint="eastAsia" w:ascii="方正小标宋简体" w:hAnsi="宋体" w:eastAsia="方正小标宋简体" w:cs="方正小标宋简体"/>
          <w:sz w:val="44"/>
          <w:szCs w:val="44"/>
        </w:rPr>
        <w:t>红原县疾病预防控制中心</w:t>
      </w:r>
    </w:p>
    <w:p>
      <w:pPr>
        <w:snapToGrid w:val="0"/>
        <w:spacing w:line="580" w:lineRule="exact"/>
        <w:jc w:val="center"/>
        <w:rPr>
          <w:rFonts w:ascii="方正小标宋简体" w:hAnsi="宋体" w:eastAsia="方正小标宋简体" w:cs="方正小标宋简体"/>
          <w:sz w:val="44"/>
          <w:szCs w:val="44"/>
        </w:rPr>
      </w:pPr>
      <w:r>
        <w:rPr>
          <w:rFonts w:hint="eastAsia" w:ascii="方正小标宋简体" w:hAnsi="宋体" w:eastAsia="方正小标宋简体" w:cs="方正小标宋简体"/>
          <w:sz w:val="44"/>
          <w:szCs w:val="44"/>
        </w:rPr>
        <w:t>项目支出绩效评价报告</w:t>
      </w:r>
    </w:p>
    <w:p>
      <w:pPr>
        <w:tabs>
          <w:tab w:val="left" w:pos="3885"/>
        </w:tabs>
        <w:snapToGrid w:val="0"/>
        <w:spacing w:line="580" w:lineRule="exact"/>
        <w:ind w:firstLine="640" w:firstLineChars="200"/>
        <w:jc w:val="center"/>
        <w:rPr>
          <w:rFonts w:hAnsi="宋体"/>
        </w:rPr>
      </w:pPr>
      <w:r>
        <w:rPr>
          <w:rFonts w:hint="eastAsia" w:hAnsi="宋体" w:eastAsia="仿宋_GB2312" w:cs="仿宋_GB2312"/>
          <w:sz w:val="32"/>
        </w:rPr>
        <w:t>（</w:t>
      </w:r>
      <w:r>
        <w:rPr>
          <w:rFonts w:hint="eastAsia" w:hAnsi="宋体" w:eastAsia="仿宋_GB2312"/>
          <w:sz w:val="32"/>
        </w:rPr>
        <w:t>艾滋病</w:t>
      </w:r>
      <w:r>
        <w:rPr>
          <w:rFonts w:hint="eastAsia" w:hAnsi="宋体" w:eastAsia="仿宋_GB2312" w:cs="仿宋_GB2312"/>
          <w:sz w:val="32"/>
        </w:rPr>
        <w:t>项目）</w:t>
      </w:r>
    </w:p>
    <w:p>
      <w:pPr>
        <w:tabs>
          <w:tab w:val="left" w:pos="3885"/>
        </w:tabs>
        <w:snapToGrid w:val="0"/>
        <w:spacing w:line="580" w:lineRule="exact"/>
        <w:ind w:firstLine="422" w:firstLineChars="200"/>
        <w:jc w:val="left"/>
        <w:rPr>
          <w:rFonts w:ascii="宋体" w:hAnsi="宋体" w:eastAsia="仿宋_GB2312" w:cs="宋体"/>
          <w:b/>
          <w:szCs w:val="21"/>
        </w:rPr>
      </w:pPr>
    </w:p>
    <w:p>
      <w:pPr>
        <w:pStyle w:val="13"/>
        <w:widowControl/>
        <w:shd w:val="clear" w:color="auto" w:fill="F4FBFE"/>
        <w:spacing w:before="0" w:beforeAutospacing="0" w:after="0" w:afterAutospacing="0" w:line="560" w:lineRule="exact"/>
        <w:ind w:left="495" w:leftChars="236" w:right="45" w:firstLine="320" w:firstLineChars="100"/>
        <w:rPr>
          <w:rFonts w:ascii="黑体" w:hAnsi="宋体" w:eastAsia="黑体" w:cs="黑体"/>
          <w:kern w:val="2"/>
          <w:sz w:val="32"/>
          <w:szCs w:val="21"/>
        </w:rPr>
      </w:pPr>
      <w:r>
        <w:rPr>
          <w:rFonts w:hint="eastAsia" w:ascii="黑体" w:hAnsi="宋体" w:eastAsia="黑体" w:cs="黑体"/>
          <w:kern w:val="2"/>
          <w:sz w:val="32"/>
          <w:szCs w:val="21"/>
        </w:rPr>
        <w:t>一、项目基本情况</w:t>
      </w:r>
    </w:p>
    <w:p>
      <w:pPr>
        <w:pStyle w:val="13"/>
        <w:widowControl/>
        <w:shd w:val="clear" w:color="auto" w:fill="F4FBFE"/>
        <w:spacing w:before="0" w:beforeAutospacing="0" w:after="0" w:afterAutospacing="0" w:line="560" w:lineRule="exact"/>
        <w:ind w:left="44" w:leftChars="21" w:right="45"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shd w:val="clear" w:color="auto" w:fill="F4FBFE"/>
        </w:rPr>
        <w:t>1.项目主要内容：对监管场所等高危人群进行检测，对艾滋病人进行治疗，降低病死率，提高有关人员的生存质量，对群众进行艾滋病防治宣传教育，减少对艾滋病人的歧视。</w:t>
      </w:r>
    </w:p>
    <w:p>
      <w:pPr>
        <w:pStyle w:val="13"/>
        <w:widowControl/>
        <w:shd w:val="clear" w:color="auto" w:fill="F4FBFE"/>
        <w:spacing w:before="0" w:beforeAutospacing="0" w:after="0" w:afterAutospacing="0" w:line="560" w:lineRule="exact"/>
        <w:ind w:left="44" w:leftChars="21" w:right="45"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shd w:val="clear" w:color="auto" w:fill="F4FBFE"/>
        </w:rPr>
        <w:t>2.项目涉及范围：对全县范围与艾滋病防治有关的交通差旅、试剂耗材、培训、人力成本、健康教育、宣传、维修维护、公车运行等。</w:t>
      </w:r>
    </w:p>
    <w:p>
      <w:pPr>
        <w:widowControl/>
        <w:spacing w:line="560" w:lineRule="exact"/>
        <w:ind w:right="147"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color w:val="000000"/>
          <w:kern w:val="0"/>
          <w:sz w:val="32"/>
          <w:szCs w:val="32"/>
        </w:rPr>
        <w:t>红原县辖11乡镇，243个行政村。2018年，全县总人口4.8万人，常住人口4.8万人。全县项目实施单位16个，其中：乡镇卫生院11个。</w:t>
      </w:r>
    </w:p>
    <w:p>
      <w:pPr>
        <w:pStyle w:val="13"/>
        <w:widowControl/>
        <w:numPr>
          <w:ilvl w:val="0"/>
          <w:numId w:val="7"/>
        </w:numPr>
        <w:shd w:val="clear" w:color="auto" w:fill="F4FBFE"/>
        <w:spacing w:before="0" w:beforeAutospacing="0" w:after="0" w:afterAutospacing="0" w:line="560" w:lineRule="exact"/>
        <w:ind w:left="45" w:right="45" w:firstLine="450"/>
        <w:rPr>
          <w:rFonts w:ascii="楷体_GB2312" w:hAnsi="宋体" w:eastAsia="楷体_GB2312" w:cs="楷体_GB2312"/>
          <w:b/>
          <w:kern w:val="2"/>
          <w:sz w:val="32"/>
          <w:lang w:val="zh-CN"/>
        </w:rPr>
      </w:pPr>
      <w:r>
        <w:rPr>
          <w:rFonts w:hint="eastAsia" w:ascii="楷体_GB2312" w:hAnsi="宋体" w:eastAsia="楷体_GB2312" w:cs="楷体_GB2312"/>
          <w:b/>
          <w:kern w:val="2"/>
          <w:sz w:val="32"/>
          <w:lang w:val="zh-CN"/>
        </w:rPr>
        <w:t>项目绩效目标。</w:t>
      </w:r>
    </w:p>
    <w:p>
      <w:pPr>
        <w:pStyle w:val="13"/>
        <w:widowControl/>
        <w:shd w:val="clear" w:color="auto" w:fill="F4FBFE"/>
        <w:spacing w:before="0" w:beforeAutospacing="0" w:after="0" w:afterAutospacing="0" w:line="560" w:lineRule="exact"/>
        <w:ind w:left="44" w:leftChars="21" w:right="45"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shd w:val="clear" w:color="auto" w:fill="F4FBFE"/>
        </w:rPr>
        <w:t>减少艾滋病新发感染,降低艾滋病病死率,提高感染者和病人生存质量,减少对受艾滋病影响人群的歧视。</w:t>
      </w:r>
    </w:p>
    <w:p>
      <w:pPr>
        <w:adjustRightInd w:val="0"/>
        <w:snapToGrid w:val="0"/>
        <w:spacing w:line="560" w:lineRule="exact"/>
        <w:ind w:firstLine="643" w:firstLineChars="200"/>
        <w:rPr>
          <w:rFonts w:ascii="楷体_GB2312" w:hAnsi="宋体" w:eastAsia="楷体_GB2312" w:cs="楷体_GB2312"/>
          <w:b/>
          <w:lang w:val="zh-CN"/>
        </w:rPr>
      </w:pPr>
      <w:r>
        <w:rPr>
          <w:rFonts w:hint="eastAsia" w:ascii="楷体_GB2312" w:hAnsi="宋体" w:eastAsia="楷体_GB2312" w:cs="楷体_GB2312"/>
          <w:b/>
          <w:sz w:val="32"/>
          <w:lang w:val="zh-CN"/>
        </w:rPr>
        <w:t>（三）项目自评步骤及方法。</w:t>
      </w:r>
    </w:p>
    <w:p>
      <w:pPr>
        <w:adjustRightInd w:val="0"/>
        <w:snapToGrid w:val="0"/>
        <w:spacing w:line="560" w:lineRule="exact"/>
        <w:ind w:firstLine="640" w:firstLineChars="200"/>
        <w:rPr>
          <w:rFonts w:ascii="仿宋_GB2312" w:hAnsi="宋体" w:eastAsia="仿宋_GB2312" w:cs="仿宋_GB2312"/>
          <w:color w:val="000000"/>
          <w:sz w:val="32"/>
          <w:szCs w:val="32"/>
          <w:shd w:val="clear" w:color="auto" w:fill="FFFFFF"/>
        </w:rPr>
      </w:pPr>
      <w:r>
        <w:rPr>
          <w:rFonts w:ascii="仿宋_GB2312" w:hAnsi="宋体" w:eastAsia="仿宋_GB2312" w:cs="仿宋_GB2312"/>
          <w:color w:val="000000"/>
          <w:sz w:val="32"/>
          <w:szCs w:val="32"/>
          <w:shd w:val="clear" w:color="auto" w:fill="FFFFFF"/>
        </w:rPr>
        <w:t>项目采取自评方式，成立项目自评</w:t>
      </w:r>
      <w:r>
        <w:rPr>
          <w:rFonts w:hint="eastAsia" w:ascii="仿宋_GB2312" w:hAnsi="宋体" w:eastAsia="仿宋_GB2312" w:cs="仿宋_GB2312"/>
          <w:color w:val="000000"/>
          <w:sz w:val="32"/>
          <w:szCs w:val="32"/>
          <w:shd w:val="clear" w:color="auto" w:fill="FFFFFF"/>
        </w:rPr>
        <w:t>领导</w:t>
      </w:r>
      <w:r>
        <w:rPr>
          <w:rFonts w:ascii="仿宋_GB2312" w:hAnsi="宋体" w:eastAsia="仿宋_GB2312" w:cs="仿宋_GB2312"/>
          <w:color w:val="000000"/>
          <w:sz w:val="32"/>
          <w:szCs w:val="32"/>
          <w:shd w:val="clear" w:color="auto" w:fill="FFFFFF"/>
        </w:rPr>
        <w:t>小组，结合评价内容，做到有计划，有安排，扎实开展本次自评工作。按照上级下达的项目支出绩效评价指标体系，自评小组针对申报内容、实施情况、资金兑现、财务管理、社会效益等做出自我评价。</w:t>
      </w:r>
      <w:r>
        <w:rPr>
          <w:rFonts w:hint="eastAsia" w:ascii="仿宋_GB2312" w:hAnsi="宋体" w:eastAsia="仿宋_GB2312" w:cs="仿宋_GB2312"/>
          <w:color w:val="000000"/>
          <w:sz w:val="32"/>
          <w:szCs w:val="32"/>
          <w:shd w:val="clear" w:color="auto" w:fill="FFFFFF"/>
        </w:rPr>
        <w:t>艾滋病项目领导小组如下：</w:t>
      </w:r>
    </w:p>
    <w:p>
      <w:pPr>
        <w:adjustRightInd w:val="0"/>
        <w:snapToGrid w:val="0"/>
        <w:spacing w:line="560" w:lineRule="exact"/>
        <w:ind w:firstLine="640" w:firstLineChars="200"/>
        <w:rPr>
          <w:rFonts w:ascii="仿宋_GB2312" w:hAnsi="宋体" w:eastAsia="仿宋_GB2312" w:cs="仿宋_GB2312"/>
          <w:color w:val="000000"/>
          <w:sz w:val="32"/>
          <w:szCs w:val="32"/>
          <w:shd w:val="clear" w:color="auto" w:fill="FFFFFF"/>
        </w:rPr>
      </w:pPr>
      <w:r>
        <w:rPr>
          <w:rFonts w:hint="eastAsia" w:ascii="仿宋_GB2312" w:hAnsi="宋体" w:eastAsia="仿宋_GB2312" w:cs="仿宋_GB2312"/>
          <w:color w:val="000000"/>
          <w:sz w:val="32"/>
          <w:szCs w:val="32"/>
          <w:shd w:val="clear" w:color="auto" w:fill="FFFFFF"/>
        </w:rPr>
        <w:t>组      长：    张昌华     县卫健局局长</w:t>
      </w:r>
    </w:p>
    <w:p>
      <w:pPr>
        <w:adjustRightInd w:val="0"/>
        <w:snapToGrid w:val="0"/>
        <w:spacing w:line="560" w:lineRule="exact"/>
        <w:ind w:firstLine="640" w:firstLineChars="200"/>
        <w:rPr>
          <w:rFonts w:ascii="仿宋_GB2312" w:hAnsi="宋体" w:eastAsia="仿宋_GB2312" w:cs="仿宋_GB2312"/>
          <w:color w:val="000000"/>
          <w:sz w:val="32"/>
          <w:szCs w:val="32"/>
          <w:shd w:val="clear" w:color="auto" w:fill="FFFFFF"/>
        </w:rPr>
      </w:pPr>
      <w:r>
        <w:rPr>
          <w:rFonts w:hint="eastAsia" w:ascii="仿宋_GB2312" w:hAnsi="宋体" w:eastAsia="仿宋_GB2312" w:cs="仿宋_GB2312"/>
          <w:color w:val="000000"/>
          <w:sz w:val="32"/>
          <w:szCs w:val="32"/>
          <w:shd w:val="clear" w:color="auto" w:fill="FFFFFF"/>
        </w:rPr>
        <w:t>第一副组长：    张泽富     县卫健局副局长</w:t>
      </w:r>
    </w:p>
    <w:p>
      <w:pPr>
        <w:adjustRightInd w:val="0"/>
        <w:snapToGrid w:val="0"/>
        <w:spacing w:line="560" w:lineRule="exact"/>
        <w:ind w:firstLine="640" w:firstLineChars="200"/>
        <w:rPr>
          <w:rFonts w:ascii="仿宋_GB2312" w:hAnsi="宋体" w:eastAsia="仿宋_GB2312" w:cs="仿宋_GB2312"/>
          <w:color w:val="000000"/>
          <w:sz w:val="32"/>
          <w:szCs w:val="32"/>
          <w:shd w:val="clear" w:color="auto" w:fill="FFFFFF"/>
        </w:rPr>
      </w:pPr>
      <w:r>
        <w:rPr>
          <w:rFonts w:hint="eastAsia" w:ascii="仿宋_GB2312" w:hAnsi="宋体" w:eastAsia="仿宋_GB2312" w:cs="仿宋_GB2312"/>
          <w:color w:val="000000"/>
          <w:sz w:val="32"/>
          <w:szCs w:val="32"/>
          <w:shd w:val="clear" w:color="auto" w:fill="FFFFFF"/>
        </w:rPr>
        <w:t>副  组  长：    何永花     县人民医院院长</w:t>
      </w:r>
    </w:p>
    <w:p>
      <w:pPr>
        <w:adjustRightInd w:val="0"/>
        <w:snapToGrid w:val="0"/>
        <w:spacing w:line="560" w:lineRule="exact"/>
        <w:ind w:firstLine="3200" w:firstLineChars="1000"/>
        <w:rPr>
          <w:rFonts w:ascii="仿宋_GB2312" w:hAnsi="宋体" w:eastAsia="仿宋_GB2312" w:cs="仿宋_GB2312"/>
          <w:color w:val="000000"/>
          <w:sz w:val="32"/>
          <w:szCs w:val="32"/>
          <w:shd w:val="clear" w:color="auto" w:fill="FFFFFF"/>
        </w:rPr>
      </w:pPr>
      <w:r>
        <w:rPr>
          <w:rFonts w:hint="eastAsia" w:ascii="仿宋_GB2312" w:hAnsi="宋体" w:eastAsia="仿宋_GB2312" w:cs="仿宋_GB2312"/>
          <w:color w:val="000000"/>
          <w:sz w:val="32"/>
          <w:szCs w:val="32"/>
          <w:shd w:val="clear" w:color="auto" w:fill="FFFFFF"/>
        </w:rPr>
        <w:t>仲  勒     县藏医院院长</w:t>
      </w:r>
    </w:p>
    <w:p>
      <w:pPr>
        <w:adjustRightInd w:val="0"/>
        <w:snapToGrid w:val="0"/>
        <w:spacing w:line="560" w:lineRule="exact"/>
        <w:ind w:firstLine="3200" w:firstLineChars="1000"/>
        <w:rPr>
          <w:rFonts w:ascii="仿宋_GB2312" w:hAnsi="宋体" w:eastAsia="仿宋_GB2312" w:cs="仿宋_GB2312"/>
          <w:color w:val="000000"/>
          <w:sz w:val="32"/>
          <w:szCs w:val="32"/>
          <w:shd w:val="clear" w:color="auto" w:fill="FFFFFF"/>
        </w:rPr>
      </w:pPr>
      <w:r>
        <w:rPr>
          <w:rFonts w:hint="eastAsia" w:ascii="仿宋_GB2312" w:hAnsi="宋体" w:eastAsia="仿宋_GB2312" w:cs="仿宋_GB2312"/>
          <w:color w:val="000000"/>
          <w:sz w:val="32"/>
          <w:szCs w:val="32"/>
          <w:shd w:val="clear" w:color="auto" w:fill="FFFFFF"/>
        </w:rPr>
        <w:t>张国明     县疾控中心主任</w:t>
      </w:r>
    </w:p>
    <w:p>
      <w:pPr>
        <w:adjustRightInd w:val="0"/>
        <w:snapToGrid w:val="0"/>
        <w:spacing w:line="560" w:lineRule="exact"/>
        <w:ind w:firstLine="3200" w:firstLineChars="1000"/>
        <w:rPr>
          <w:rFonts w:ascii="仿宋_GB2312" w:hAnsi="宋体" w:eastAsia="仿宋_GB2312" w:cs="仿宋_GB2312"/>
          <w:color w:val="000000"/>
          <w:sz w:val="32"/>
          <w:szCs w:val="32"/>
          <w:shd w:val="clear" w:color="auto" w:fill="FFFFFF"/>
        </w:rPr>
      </w:pPr>
      <w:r>
        <w:rPr>
          <w:rFonts w:hint="eastAsia" w:ascii="仿宋_GB2312" w:hAnsi="宋体" w:eastAsia="仿宋_GB2312" w:cs="仿宋_GB2312"/>
          <w:color w:val="000000"/>
          <w:sz w:val="32"/>
          <w:szCs w:val="32"/>
          <w:shd w:val="clear" w:color="auto" w:fill="FFFFFF"/>
        </w:rPr>
        <w:t>古银才     县妇计中心主任</w:t>
      </w:r>
    </w:p>
    <w:p>
      <w:pPr>
        <w:adjustRightInd w:val="0"/>
        <w:snapToGrid w:val="0"/>
        <w:spacing w:line="560" w:lineRule="exact"/>
        <w:ind w:firstLine="640" w:firstLineChars="200"/>
        <w:rPr>
          <w:rFonts w:ascii="仿宋_GB2312" w:hAnsi="宋体" w:eastAsia="仿宋_GB2312" w:cs="仿宋_GB2312"/>
          <w:color w:val="000000"/>
          <w:sz w:val="32"/>
          <w:szCs w:val="32"/>
          <w:shd w:val="clear" w:color="auto" w:fill="FFFFFF"/>
        </w:rPr>
      </w:pPr>
      <w:r>
        <w:rPr>
          <w:rFonts w:hint="eastAsia" w:ascii="仿宋_GB2312" w:hAnsi="宋体" w:eastAsia="仿宋_GB2312" w:cs="仿宋_GB2312"/>
          <w:color w:val="000000"/>
          <w:sz w:val="32"/>
          <w:szCs w:val="32"/>
          <w:shd w:val="clear" w:color="auto" w:fill="FFFFFF"/>
        </w:rPr>
        <w:t>成  员：袁怀亮 杨文春 杜晓君 温念平  陈远刚 何志香 罗文斌 尕让卓玛 王玉玲 罗占飞 汪文鹏 周勤兰 贺红艳 王恶郎 宝泉 肖军</w:t>
      </w:r>
    </w:p>
    <w:p>
      <w:pPr>
        <w:adjustRightInd w:val="0"/>
        <w:snapToGrid w:val="0"/>
        <w:spacing w:line="560" w:lineRule="exact"/>
        <w:ind w:firstLine="640" w:firstLineChars="200"/>
        <w:rPr>
          <w:rFonts w:ascii="仿宋_GB2312" w:hAnsi="宋体" w:eastAsia="仿宋_GB2312" w:cs="仿宋_GB2312"/>
          <w:color w:val="000000"/>
          <w:sz w:val="32"/>
          <w:szCs w:val="32"/>
          <w:shd w:val="clear" w:color="auto" w:fill="FFFFFF"/>
        </w:rPr>
      </w:pPr>
      <w:r>
        <w:rPr>
          <w:rFonts w:hint="eastAsia" w:ascii="仿宋_GB2312" w:hAnsi="宋体" w:eastAsia="仿宋_GB2312" w:cs="仿宋_GB2312"/>
          <w:color w:val="000000"/>
          <w:sz w:val="32"/>
          <w:szCs w:val="32"/>
          <w:shd w:val="clear" w:color="auto" w:fill="FFFFFF"/>
        </w:rPr>
        <w:t>办公室设在财务室、艾滋病防治办公室</w:t>
      </w:r>
    </w:p>
    <w:p>
      <w:pPr>
        <w:adjustRightInd w:val="0"/>
        <w:snapToGrid w:val="0"/>
        <w:spacing w:line="560" w:lineRule="exact"/>
        <w:ind w:firstLine="640" w:firstLineChars="200"/>
        <w:rPr>
          <w:rFonts w:ascii="黑体" w:hAnsi="宋体" w:eastAsia="黑体" w:cs="黑体"/>
        </w:rPr>
      </w:pPr>
      <w:r>
        <w:rPr>
          <w:rFonts w:hint="eastAsia" w:ascii="黑体" w:hAnsi="宋体" w:eastAsia="黑体" w:cs="黑体"/>
          <w:sz w:val="32"/>
        </w:rPr>
        <w:t>二、项目资金申报及使用情况</w:t>
      </w:r>
    </w:p>
    <w:p>
      <w:pPr>
        <w:adjustRightInd w:val="0"/>
        <w:snapToGrid w:val="0"/>
        <w:spacing w:line="560" w:lineRule="exact"/>
        <w:ind w:firstLine="643" w:firstLineChars="200"/>
        <w:rPr>
          <w:rFonts w:ascii="楷体_GB2312" w:hAnsi="宋体" w:eastAsia="楷体_GB2312" w:cs="楷体_GB2312"/>
          <w:b/>
          <w:lang w:val="zh-CN"/>
        </w:rPr>
      </w:pPr>
      <w:r>
        <w:rPr>
          <w:rFonts w:hint="eastAsia" w:ascii="楷体_GB2312" w:hAnsi="宋体" w:eastAsia="楷体_GB2312" w:cs="楷体_GB2312"/>
          <w:b/>
          <w:sz w:val="32"/>
          <w:lang w:val="zh-CN"/>
        </w:rPr>
        <w:t>（一）项目资金申报及批复情况。</w:t>
      </w:r>
    </w:p>
    <w:p>
      <w:pPr>
        <w:adjustRightInd w:val="0"/>
        <w:snapToGrid w:val="0"/>
        <w:spacing w:line="560" w:lineRule="exact"/>
        <w:ind w:firstLine="640" w:firstLineChars="20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bCs/>
          <w:color w:val="000000"/>
          <w:sz w:val="32"/>
          <w:szCs w:val="32"/>
          <w:shd w:val="clear" w:color="auto" w:fill="FFFFFF"/>
        </w:rPr>
        <w:t>所有项目资金</w:t>
      </w:r>
      <w:r>
        <w:rPr>
          <w:rFonts w:hint="eastAsia" w:ascii="仿宋_GB2312" w:hAnsi="仿宋_GB2312" w:eastAsia="仿宋_GB2312" w:cs="仿宋_GB2312"/>
          <w:color w:val="000000"/>
          <w:sz w:val="32"/>
          <w:szCs w:val="32"/>
          <w:shd w:val="clear" w:color="auto" w:fill="FFFFFF"/>
        </w:rPr>
        <w:t xml:space="preserve">采取直接支付形式，由我单位按项目进度严格按照项目资金管理办法向财政局对资金进行计划申请、划拨、使用，及时、规范对收支进行账务处理和会计核算。        </w:t>
      </w:r>
    </w:p>
    <w:p>
      <w:pPr>
        <w:adjustRightInd w:val="0"/>
        <w:snapToGrid w:val="0"/>
        <w:spacing w:line="560" w:lineRule="exact"/>
        <w:ind w:firstLine="643" w:firstLineChars="200"/>
        <w:rPr>
          <w:rFonts w:ascii="楷体_GB2312" w:hAnsi="宋体" w:eastAsia="楷体_GB2312" w:cs="楷体_GB2312"/>
          <w:b/>
          <w:lang w:val="zh-CN"/>
        </w:rPr>
      </w:pPr>
      <w:r>
        <w:rPr>
          <w:rFonts w:hint="eastAsia" w:ascii="楷体_GB2312" w:hAnsi="宋体" w:eastAsia="楷体_GB2312" w:cs="楷体_GB2312"/>
          <w:b/>
          <w:sz w:val="32"/>
          <w:lang w:val="zh-CN"/>
        </w:rPr>
        <w:t>（二）项目财务管理情况。</w:t>
      </w:r>
    </w:p>
    <w:p>
      <w:pPr>
        <w:adjustRightInd w:val="0"/>
        <w:snapToGrid w:val="0"/>
        <w:spacing w:line="560" w:lineRule="exact"/>
        <w:ind w:firstLine="640" w:firstLineChars="200"/>
        <w:rPr>
          <w:rFonts w:ascii="仿宋_GB2312" w:hAnsi="宋体"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对项目资金按项目单独核算实行“专款专用”，不得挤占挪用项目资金。强化监督，项目的正常实施监督检查是保障。</w:t>
      </w:r>
    </w:p>
    <w:p>
      <w:pPr>
        <w:snapToGrid w:val="0"/>
        <w:spacing w:line="580" w:lineRule="exact"/>
        <w:ind w:firstLine="640" w:firstLineChars="200"/>
        <w:rPr>
          <w:rFonts w:ascii="黑体" w:hAnsi="宋体" w:eastAsia="黑体" w:cs="黑体"/>
          <w:szCs w:val="21"/>
        </w:rPr>
      </w:pPr>
      <w:r>
        <w:rPr>
          <w:rFonts w:hint="eastAsia" w:ascii="黑体" w:hAnsi="宋体" w:eastAsia="黑体" w:cs="黑体"/>
          <w:sz w:val="32"/>
          <w:szCs w:val="21"/>
        </w:rPr>
        <w:t>三、评价结论及绩效分析</w:t>
      </w:r>
    </w:p>
    <w:p>
      <w:pPr>
        <w:snapToGrid w:val="0"/>
        <w:spacing w:line="580" w:lineRule="exact"/>
        <w:ind w:firstLine="643" w:firstLineChars="200"/>
        <w:rPr>
          <w:rFonts w:ascii="楷体_GB2312" w:hAnsi="宋体" w:eastAsia="楷体_GB2312" w:cs="楷体_GB2312"/>
          <w:b/>
          <w:szCs w:val="21"/>
        </w:rPr>
      </w:pPr>
      <w:r>
        <w:rPr>
          <w:rFonts w:hint="eastAsia" w:ascii="楷体_GB2312" w:hAnsi="宋体" w:eastAsia="楷体_GB2312" w:cs="楷体_GB2312"/>
          <w:b/>
          <w:sz w:val="32"/>
          <w:szCs w:val="21"/>
        </w:rPr>
        <w:t>（一）评价结论</w:t>
      </w:r>
    </w:p>
    <w:p>
      <w:pPr>
        <w:snapToGrid w:val="0"/>
        <w:spacing w:line="580" w:lineRule="exact"/>
        <w:ind w:firstLine="640" w:firstLineChars="200"/>
        <w:rPr>
          <w:rFonts w:ascii="宋体" w:hAnsi="宋体" w:eastAsia="仿宋_GB2312" w:cs="仿宋_GB2312"/>
          <w:sz w:val="32"/>
          <w:szCs w:val="21"/>
        </w:rPr>
      </w:pPr>
      <w:r>
        <w:rPr>
          <w:rFonts w:hint="eastAsia" w:ascii="宋体" w:hAnsi="宋体" w:eastAsia="仿宋_GB2312" w:cs="仿宋_GB2312"/>
          <w:sz w:val="32"/>
          <w:szCs w:val="21"/>
        </w:rPr>
        <w:t>项目绩效评价总体结论</w:t>
      </w:r>
    </w:p>
    <w:p>
      <w:pPr>
        <w:snapToGrid w:val="0"/>
        <w:spacing w:line="580" w:lineRule="exact"/>
        <w:ind w:firstLine="640" w:firstLineChars="200"/>
        <w:rPr>
          <w:rFonts w:ascii="宋体" w:hAnsi="宋体" w:eastAsia="仿宋_GB2312" w:cs="宋体"/>
          <w:szCs w:val="21"/>
        </w:rPr>
      </w:pPr>
      <w:r>
        <w:rPr>
          <w:rFonts w:hint="eastAsia" w:ascii="仿宋_GB2312" w:hAnsi="仿宋_GB2312" w:eastAsia="仿宋_GB2312" w:cs="仿宋_GB2312"/>
          <w:sz w:val="32"/>
          <w:szCs w:val="32"/>
        </w:rPr>
        <w:t>建立、健全了艾滋病和性病防治有效结合的工作机制，大力宣传性病艾滋病防治知识，以性病防治工作，促进艾滋病防治工作。县人民政府成立了以分管县长为组长的相关部门为成员的领导机构。形成了部门各负其责，全社会共同参与的防治机制。建立了哨点监测、监管场所监测、管理场所监测及咨询检测</w:t>
      </w:r>
    </w:p>
    <w:p>
      <w:pPr>
        <w:adjustRightInd w:val="0"/>
        <w:snapToGrid w:val="0"/>
        <w:spacing w:line="560" w:lineRule="exact"/>
        <w:ind w:firstLine="640" w:firstLineChars="200"/>
        <w:rPr>
          <w:rFonts w:ascii="仿宋_GB2312" w:hAnsi="宋体" w:eastAsia="仿宋_GB2312" w:cs="仿宋_GB2312"/>
          <w:lang w:val="zh-CN"/>
        </w:rPr>
      </w:pPr>
      <w:r>
        <w:rPr>
          <w:rFonts w:hint="eastAsia" w:ascii="黑体" w:hAnsi="宋体" w:eastAsia="黑体" w:cs="黑体"/>
          <w:sz w:val="32"/>
        </w:rPr>
        <w:t>四、项目绩效情况</w:t>
      </w:r>
      <w:r>
        <w:rPr>
          <w:rFonts w:hint="eastAsia" w:ascii="仿宋_GB2312" w:hAnsi="宋体" w:eastAsia="仿宋_GB2312" w:cs="仿宋_GB2312"/>
          <w:sz w:val="32"/>
          <w:lang w:val="zh-CN"/>
        </w:rPr>
        <w:tab/>
      </w:r>
    </w:p>
    <w:p>
      <w:pPr>
        <w:widowControl/>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全年完成艾滋病自愿咨询检测309人、性病门诊检测12人、婚前检测506人、孕产期检测442人、娱乐场所人员检测6人、监管人员77人，术前检测442人、其他专题调查2703人。今年完成了17人次的CD4检测工作。 </w:t>
      </w:r>
    </w:p>
    <w:p>
      <w:pPr>
        <w:spacing w:line="560" w:lineRule="exact"/>
        <w:ind w:firstLine="640" w:firstLineChars="200"/>
        <w:rPr>
          <w:rFonts w:ascii="仿宋_GB2312" w:hAnsi="仿宋_GB2312" w:eastAsia="仿宋_GB2312" w:cs="仿宋_GB2312"/>
          <w:color w:val="333333"/>
          <w:sz w:val="32"/>
          <w:szCs w:val="32"/>
        </w:rPr>
      </w:pPr>
      <w:r>
        <w:rPr>
          <w:rFonts w:hint="eastAsia" w:ascii="仿宋_GB2312" w:hAnsi="仿宋_GB2312" w:eastAsia="仿宋_GB2312" w:cs="仿宋_GB2312"/>
          <w:sz w:val="32"/>
          <w:szCs w:val="32"/>
        </w:rPr>
        <w:t>加大宣传艾滋病防治知识的力度，分别于“12.1”和9月22日开展了“红原县2018年艾滋病防治”宣传活动，</w:t>
      </w:r>
      <w:r>
        <w:rPr>
          <w:rFonts w:hint="eastAsia" w:ascii="仿宋_GB2312" w:hAnsi="仿宋_GB2312" w:eastAsia="仿宋_GB2312"/>
          <w:sz w:val="32"/>
        </w:rPr>
        <w:t>受益群众达22000余人，全年共发放各种宣传资料10000余份，制作横幅6幅，制作传染性疾病图片12幅；发放卫生纸、卫生巾各8000余份；发放避孕套10000余盒；发放宣传挂历2000个。</w:t>
      </w:r>
      <w:r>
        <w:rPr>
          <w:rFonts w:hint="eastAsia" w:ascii="仿宋_GB2312" w:hAnsi="仿宋_GB2312" w:eastAsia="仿宋_GB2312" w:cs="仿宋_GB2312"/>
          <w:color w:val="333333"/>
          <w:sz w:val="32"/>
          <w:szCs w:val="32"/>
        </w:rPr>
        <w:t>增强了辖区内农牧民群众艾滋病防治知识知晓率，提高了自我防护意识，同时，让参与的群众了解了艾滋病的传播方式及预防措施，消除了对艾滋病的恐慌，对居民身体健康起到了积极推动作用。</w:t>
      </w:r>
    </w:p>
    <w:p>
      <w:pPr>
        <w:spacing w:line="560" w:lineRule="exact"/>
        <w:ind w:firstLine="640" w:firstLineChars="200"/>
        <w:rPr>
          <w:rFonts w:ascii="仿宋_GB2312" w:hAnsi="仿宋_GB2312" w:eastAsia="仿宋_GB2312"/>
          <w:sz w:val="32"/>
        </w:rPr>
      </w:pPr>
      <w:r>
        <w:rPr>
          <w:rFonts w:hint="eastAsia" w:ascii="仿宋_GB2312" w:hAnsi="仿宋_GB2312" w:eastAsia="仿宋_GB2312"/>
          <w:sz w:val="32"/>
        </w:rPr>
        <w:t>全年</w:t>
      </w:r>
      <w:r>
        <w:rPr>
          <w:rFonts w:hint="eastAsia" w:ascii="仿宋_GB2312" w:hAnsi="仿宋_GB2312" w:eastAsia="仿宋_GB2312" w:cs="仿宋_GB2312"/>
          <w:sz w:val="32"/>
          <w:szCs w:val="32"/>
        </w:rPr>
        <w:t>对辖区内暗娼场所进行了摸底调查，对全县仅1所低级的CSW场所里的6名性服务工作者进行了艾滋病性病防治知识宣传并发放宣传资料和安全套，在知情同意的原则下对6名性服务工作者进行了HIV筛查，未发现HIV阳性患者。全年共完成高危行为干预累计1217人次；成艾滋病病毒感染者艾滋病病人的定期随访17人次；27名感染者和病人中，</w:t>
      </w:r>
      <w:r>
        <w:rPr>
          <w:rFonts w:hint="eastAsia" w:ascii="仿宋_GB2312" w:eastAsia="仿宋_GB2312"/>
          <w:sz w:val="32"/>
          <w:szCs w:val="32"/>
        </w:rPr>
        <w:t>已接受抗病毒治疗并存活18人，正在申请治疗4例，拒绝治疗2例，转到外地治疗3例。</w:t>
      </w:r>
    </w:p>
    <w:p>
      <w:pPr>
        <w:pStyle w:val="13"/>
        <w:widowControl/>
        <w:shd w:val="clear" w:color="auto" w:fill="FFFFFF"/>
        <w:spacing w:line="560" w:lineRule="exact"/>
        <w:ind w:firstLine="640" w:firstLineChars="200"/>
        <w:rPr>
          <w:rFonts w:hint="eastAsia"/>
          <w:color w:val="000000"/>
          <w:sz w:val="32"/>
          <w:szCs w:val="32"/>
        </w:rPr>
      </w:pPr>
      <w:r>
        <w:rPr>
          <w:rFonts w:hint="eastAsia" w:ascii="黑体" w:hAnsi="宋体" w:eastAsia="黑体" w:cs="黑体"/>
          <w:kern w:val="2"/>
          <w:sz w:val="32"/>
          <w:szCs w:val="21"/>
        </w:rPr>
        <w:t>五、存在主要问题</w:t>
      </w:r>
    </w:p>
    <w:p>
      <w:pPr>
        <w:pStyle w:val="13"/>
        <w:widowControl/>
        <w:shd w:val="clear" w:color="auto" w:fill="FFFFFF"/>
        <w:spacing w:before="0" w:beforeAutospacing="0" w:after="0" w:afterAutospacing="0" w:line="560" w:lineRule="exact"/>
        <w:ind w:firstLine="480" w:firstLineChars="150"/>
        <w:rPr>
          <w:color w:val="000000"/>
          <w:sz w:val="32"/>
          <w:szCs w:val="32"/>
        </w:rPr>
      </w:pPr>
      <w:r>
        <w:rPr>
          <w:rFonts w:hint="eastAsia" w:ascii="仿宋_GB2312" w:eastAsia="仿宋_GB2312" w:cs="仿宋_GB2312"/>
          <w:color w:val="000000"/>
          <w:sz w:val="32"/>
          <w:szCs w:val="32"/>
          <w:shd w:val="clear" w:color="auto" w:fill="FFFFFF"/>
        </w:rPr>
        <w:t>（一）</w:t>
      </w:r>
      <w:r>
        <w:rPr>
          <w:rFonts w:ascii="仿宋_GB2312" w:eastAsia="仿宋_GB2312" w:cs="仿宋_GB2312"/>
          <w:color w:val="000000"/>
          <w:sz w:val="32"/>
          <w:szCs w:val="32"/>
          <w:shd w:val="clear" w:color="auto" w:fill="FFFFFF"/>
        </w:rPr>
        <w:t>乡村两级从事公共卫生服务项目的人员业务能力还需再提高，公共卫生服务是一项系统而繁杂，工作量大，人员少，培训工作不足，缺乏工作经验，导致工作欠规范。</w:t>
      </w:r>
    </w:p>
    <w:p>
      <w:pPr>
        <w:spacing w:line="560" w:lineRule="exact"/>
        <w:ind w:firstLine="627" w:firstLineChars="196"/>
        <w:rPr>
          <w:rFonts w:ascii="仿宋_GB2312" w:hAnsi="仿宋" w:eastAsia="仿宋_GB2312" w:cs="宋体"/>
          <w:color w:val="000000"/>
          <w:kern w:val="0"/>
          <w:sz w:val="32"/>
          <w:szCs w:val="32"/>
        </w:rPr>
      </w:pPr>
      <w:r>
        <w:rPr>
          <w:rFonts w:hint="eastAsia" w:ascii="仿宋_GB2312" w:eastAsia="仿宋_GB2312" w:cs="仿宋_GB2312"/>
          <w:color w:val="000000"/>
          <w:sz w:val="32"/>
          <w:szCs w:val="32"/>
          <w:shd w:val="clear" w:color="auto" w:fill="FFFFFF"/>
        </w:rPr>
        <w:t>（二）</w:t>
      </w:r>
      <w:r>
        <w:rPr>
          <w:rFonts w:ascii="仿宋_GB2312" w:eastAsia="仿宋_GB2312" w:cs="仿宋_GB2312"/>
          <w:color w:val="000000"/>
          <w:sz w:val="32"/>
          <w:szCs w:val="32"/>
          <w:shd w:val="clear" w:color="auto" w:fill="FFFFFF"/>
        </w:rPr>
        <w:t>宣传还不够深入，</w:t>
      </w:r>
      <w:r>
        <w:rPr>
          <w:rFonts w:hint="eastAsia" w:ascii="仿宋_GB2312" w:eastAsia="仿宋_GB2312" w:cs="仿宋_GB2312"/>
          <w:color w:val="000000"/>
          <w:sz w:val="32"/>
          <w:szCs w:val="32"/>
          <w:shd w:val="clear" w:color="auto" w:fill="FFFFFF"/>
        </w:rPr>
        <w:t>牧民</w:t>
      </w:r>
      <w:r>
        <w:rPr>
          <w:rFonts w:ascii="仿宋_GB2312" w:eastAsia="仿宋_GB2312" w:cs="仿宋_GB2312"/>
          <w:color w:val="000000"/>
          <w:sz w:val="32"/>
          <w:szCs w:val="32"/>
          <w:shd w:val="clear" w:color="auto" w:fill="FFFFFF"/>
        </w:rPr>
        <w:t>群众对</w:t>
      </w:r>
      <w:r>
        <w:rPr>
          <w:rFonts w:hint="eastAsia" w:ascii="仿宋_GB2312" w:eastAsia="仿宋_GB2312" w:cs="仿宋_GB2312"/>
          <w:color w:val="000000"/>
          <w:sz w:val="32"/>
          <w:szCs w:val="32"/>
          <w:shd w:val="clear" w:color="auto" w:fill="FFFFFF"/>
        </w:rPr>
        <w:t>艾滋病</w:t>
      </w:r>
      <w:r>
        <w:rPr>
          <w:rFonts w:ascii="仿宋_GB2312" w:eastAsia="仿宋_GB2312" w:cs="仿宋_GB2312"/>
          <w:color w:val="000000"/>
          <w:sz w:val="32"/>
          <w:szCs w:val="32"/>
          <w:shd w:val="clear" w:color="auto" w:fill="FFFFFF"/>
        </w:rPr>
        <w:t>知晓率低，不理解、不配合的现象时有发生</w:t>
      </w:r>
      <w:r>
        <w:rPr>
          <w:rFonts w:hint="eastAsia" w:ascii="仿宋_GB2312" w:eastAsia="仿宋_GB2312" w:cs="仿宋_GB2312"/>
          <w:color w:val="000000"/>
          <w:sz w:val="32"/>
          <w:szCs w:val="32"/>
          <w:shd w:val="clear" w:color="auto" w:fill="FFFFFF"/>
        </w:rPr>
        <w:t>、</w:t>
      </w:r>
      <w:r>
        <w:rPr>
          <w:rFonts w:hint="eastAsia" w:ascii="仿宋_GB2312" w:hAnsi="仿宋" w:eastAsia="仿宋_GB2312"/>
          <w:color w:val="000000"/>
          <w:sz w:val="32"/>
          <w:szCs w:val="32"/>
        </w:rPr>
        <w:t>疾病防控健康教育工作需要更深入，宣传资料需要更具针对性，只有改变了牧民群众的生活习惯，卫生习惯和防病观念后，我们的疾病预防控制工作才能事半功倍。</w:t>
      </w:r>
    </w:p>
    <w:p>
      <w:pPr>
        <w:spacing w:line="560" w:lineRule="exact"/>
        <w:ind w:firstLine="640" w:firstLineChars="200"/>
        <w:rPr>
          <w:rFonts w:ascii="黑体" w:hAnsi="宋体" w:eastAsia="黑体" w:cs="黑体"/>
          <w:szCs w:val="21"/>
        </w:rPr>
      </w:pPr>
      <w:r>
        <w:rPr>
          <w:rFonts w:ascii="仿宋_GB2312" w:eastAsia="仿宋_GB2312" w:cs="仿宋_GB2312"/>
          <w:color w:val="000000"/>
          <w:sz w:val="32"/>
          <w:szCs w:val="32"/>
          <w:shd w:val="clear" w:color="auto" w:fill="FFFFFF"/>
        </w:rPr>
        <w:t>3</w:t>
      </w:r>
      <w:r>
        <w:rPr>
          <w:rFonts w:hint="eastAsia" w:ascii="仿宋_GB2312" w:eastAsia="仿宋_GB2312" w:cs="仿宋_GB2312"/>
          <w:color w:val="000000"/>
          <w:sz w:val="32"/>
          <w:szCs w:val="32"/>
          <w:shd w:val="clear" w:color="auto" w:fill="FFFFFF"/>
        </w:rPr>
        <w:t>.</w:t>
      </w:r>
      <w:r>
        <w:rPr>
          <w:rFonts w:ascii="仿宋_GB2312" w:eastAsia="仿宋_GB2312" w:cs="仿宋_GB2312"/>
          <w:color w:val="000000"/>
          <w:sz w:val="32"/>
          <w:szCs w:val="32"/>
          <w:shd w:val="clear" w:color="auto" w:fill="FFFFFF"/>
        </w:rPr>
        <w:t>项目工作实施主体主要是乡镇卫生院，基层人员紧张，工作量过大，导致工作质量和效率欠佳，难以保质保量完成工作任务。</w:t>
      </w:r>
    </w:p>
    <w:p>
      <w:pPr>
        <w:snapToGrid w:val="0"/>
        <w:spacing w:line="580" w:lineRule="exact"/>
        <w:ind w:firstLine="640" w:firstLineChars="200"/>
        <w:rPr>
          <w:rFonts w:ascii="黑体" w:hAnsi="宋体" w:eastAsia="黑体" w:cs="黑体"/>
          <w:szCs w:val="21"/>
        </w:rPr>
      </w:pPr>
      <w:r>
        <w:rPr>
          <w:rFonts w:hint="eastAsia" w:ascii="黑体" w:hAnsi="宋体" w:eastAsia="黑体" w:cs="黑体"/>
          <w:sz w:val="32"/>
          <w:szCs w:val="21"/>
        </w:rPr>
        <w:t>六、相关措施建议</w:t>
      </w:r>
    </w:p>
    <w:p/>
    <w:p>
      <w:pPr>
        <w:spacing w:line="600" w:lineRule="exact"/>
        <w:jc w:val="center"/>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pStyle w:val="6"/>
        <w:spacing w:beforeAutospacing="0" w:afterAutospacing="0" w:line="560" w:lineRule="exact"/>
        <w:jc w:val="center"/>
        <w:rPr>
          <w:rFonts w:hint="eastAsia" w:ascii="Times New Roman" w:hAnsi="Times New Roman" w:cs="Times New Roman"/>
          <w:b/>
          <w:bCs/>
          <w:sz w:val="44"/>
          <w:szCs w:val="44"/>
        </w:rPr>
      </w:pPr>
    </w:p>
    <w:p>
      <w:pPr>
        <w:pStyle w:val="6"/>
        <w:spacing w:beforeAutospacing="0" w:afterAutospacing="0" w:line="560" w:lineRule="exact"/>
        <w:jc w:val="center"/>
        <w:rPr>
          <w:rFonts w:hint="eastAsia" w:ascii="Times New Roman" w:hAnsi="Times New Roman" w:cs="Times New Roman"/>
          <w:b/>
          <w:bCs/>
          <w:sz w:val="44"/>
          <w:szCs w:val="44"/>
        </w:rPr>
      </w:pPr>
    </w:p>
    <w:p>
      <w:pPr>
        <w:pStyle w:val="6"/>
        <w:spacing w:beforeAutospacing="0" w:afterAutospacing="0" w:line="560" w:lineRule="exact"/>
        <w:jc w:val="center"/>
        <w:rPr>
          <w:rFonts w:hint="eastAsia" w:ascii="Times New Roman" w:hAnsi="Times New Roman" w:cs="Times New Roman"/>
          <w:b/>
          <w:bCs/>
          <w:sz w:val="44"/>
          <w:szCs w:val="44"/>
        </w:rPr>
      </w:pPr>
    </w:p>
    <w:p>
      <w:pPr>
        <w:pStyle w:val="6"/>
        <w:spacing w:beforeAutospacing="0" w:afterAutospacing="0" w:line="560" w:lineRule="exact"/>
        <w:jc w:val="center"/>
        <w:rPr>
          <w:rFonts w:hint="eastAsia" w:ascii="Times New Roman" w:hAnsi="Times New Roman" w:cs="Times New Roman"/>
          <w:b/>
          <w:bCs/>
          <w:sz w:val="44"/>
          <w:szCs w:val="44"/>
        </w:rPr>
      </w:pPr>
    </w:p>
    <w:p>
      <w:pPr>
        <w:pStyle w:val="6"/>
        <w:spacing w:beforeAutospacing="0" w:afterAutospacing="0" w:line="560" w:lineRule="exact"/>
        <w:jc w:val="center"/>
        <w:rPr>
          <w:rFonts w:hint="eastAsia" w:ascii="Times New Roman" w:hAnsi="Times New Roman" w:cs="Times New Roman"/>
          <w:b/>
          <w:bCs/>
          <w:sz w:val="44"/>
          <w:szCs w:val="44"/>
        </w:rPr>
      </w:pPr>
    </w:p>
    <w:p>
      <w:pPr>
        <w:pStyle w:val="6"/>
        <w:spacing w:beforeAutospacing="0" w:afterAutospacing="0" w:line="560" w:lineRule="exact"/>
        <w:jc w:val="center"/>
        <w:rPr>
          <w:rFonts w:ascii="Times New Roman" w:hAnsi="Times New Roman" w:cs="Times New Roman"/>
          <w:b/>
          <w:bCs/>
          <w:sz w:val="44"/>
          <w:szCs w:val="44"/>
        </w:rPr>
      </w:pPr>
      <w:r>
        <w:rPr>
          <w:rFonts w:hint="eastAsia" w:ascii="Times New Roman" w:hAnsi="Times New Roman" w:cs="Times New Roman"/>
          <w:b/>
          <w:bCs/>
          <w:sz w:val="44"/>
          <w:szCs w:val="44"/>
        </w:rPr>
        <w:t>红原县疾病预防控制中心2018年</w:t>
      </w:r>
    </w:p>
    <w:p>
      <w:pPr>
        <w:pStyle w:val="6"/>
        <w:spacing w:beforeAutospacing="0" w:afterAutospacing="0" w:line="560" w:lineRule="exact"/>
        <w:jc w:val="center"/>
        <w:rPr>
          <w:rFonts w:ascii="Times New Roman" w:hAnsi="Times New Roman" w:eastAsia="黑体" w:cs="Times New Roman"/>
          <w:b/>
          <w:bCs/>
          <w:sz w:val="32"/>
          <w:szCs w:val="32"/>
        </w:rPr>
      </w:pPr>
      <w:r>
        <w:rPr>
          <w:rFonts w:ascii="Times New Roman" w:hAnsi="Times New Roman" w:cs="Times New Roman"/>
          <w:b/>
          <w:bCs/>
          <w:sz w:val="44"/>
          <w:szCs w:val="44"/>
        </w:rPr>
        <w:t>项目绩效评价自评报告</w:t>
      </w:r>
    </w:p>
    <w:p>
      <w:pPr>
        <w:pStyle w:val="6"/>
        <w:spacing w:beforeAutospacing="0" w:afterAutospacing="0" w:line="560" w:lineRule="exact"/>
        <w:ind w:firstLine="2880" w:firstLineChars="9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（结核病项目）</w:t>
      </w:r>
    </w:p>
    <w:p>
      <w:pPr>
        <w:pStyle w:val="13"/>
        <w:widowControl/>
        <w:spacing w:before="0" w:beforeAutospacing="0" w:after="0" w:afterAutospacing="0" w:line="480" w:lineRule="auto"/>
        <w:ind w:firstLine="640" w:firstLineChars="200"/>
        <w:rPr>
          <w:rFonts w:ascii="黑体" w:hAnsi="黑体" w:eastAsia="黑体" w:cs="宋体"/>
          <w:sz w:val="32"/>
          <w:szCs w:val="32"/>
        </w:rPr>
      </w:pPr>
      <w:r>
        <w:rPr>
          <w:rFonts w:hint="eastAsia" w:ascii="黑体" w:hAnsi="黑体" w:eastAsia="黑体" w:cs="宋体"/>
          <w:color w:val="333333"/>
          <w:sz w:val="32"/>
          <w:szCs w:val="32"/>
          <w:shd w:val="clear" w:color="auto" w:fill="FFFFFF"/>
        </w:rPr>
        <w:t>一、</w:t>
      </w:r>
      <w:r>
        <w:rPr>
          <w:rFonts w:hint="eastAsia" w:ascii="黑体" w:hAnsi="黑体" w:eastAsia="黑体" w:cs="宋体"/>
          <w:b/>
          <w:color w:val="333333"/>
          <w:sz w:val="32"/>
          <w:szCs w:val="32"/>
          <w:shd w:val="clear" w:color="auto" w:fill="FFFFFF"/>
        </w:rPr>
        <w:t>自评工作基本情况</w:t>
      </w:r>
    </w:p>
    <w:p>
      <w:pPr>
        <w:pStyle w:val="6"/>
        <w:spacing w:beforeAutospacing="0" w:afterAutospacing="0" w:line="560" w:lineRule="exact"/>
        <w:ind w:firstLine="640" w:firstLineChars="200"/>
        <w:jc w:val="both"/>
        <w:rPr>
          <w:rFonts w:ascii="仿宋_GB2312" w:hAnsi="仿宋_GB2312" w:eastAsia="仿宋_GB2312" w:cs="仿宋_GB2312"/>
          <w:color w:val="333333"/>
          <w:sz w:val="32"/>
          <w:szCs w:val="32"/>
          <w:shd w:val="clear" w:color="auto" w:fill="FFFFFF"/>
        </w:rPr>
      </w:pPr>
      <w:r>
        <w:rPr>
          <w:rFonts w:ascii="仿宋_GB2312" w:hAnsi="仿宋_GB2312" w:eastAsia="仿宋_GB2312" w:cs="仿宋_GB2312"/>
          <w:color w:val="333333"/>
          <w:sz w:val="32"/>
          <w:szCs w:val="32"/>
          <w:shd w:val="clear" w:color="auto" w:fill="FFFFFF"/>
        </w:rPr>
        <w:t>根据《传染病防治法》、省政府办公厅《关于进一步加强结核病预防的控制工作意见》以及</w:t>
      </w:r>
      <w:r>
        <w:rPr>
          <w:rFonts w:hint="eastAsia" w:ascii="仿宋_GB2312" w:hAnsi="仿宋_GB2312" w:eastAsia="仿宋_GB2312" w:cs="仿宋_GB2312"/>
          <w:color w:val="333333"/>
          <w:sz w:val="32"/>
          <w:szCs w:val="32"/>
          <w:shd w:val="clear" w:color="auto" w:fill="FFFFFF"/>
        </w:rPr>
        <w:t>四川</w:t>
      </w:r>
      <w:r>
        <w:rPr>
          <w:rFonts w:ascii="仿宋_GB2312" w:hAnsi="仿宋_GB2312" w:eastAsia="仿宋_GB2312" w:cs="仿宋_GB2312"/>
          <w:color w:val="333333"/>
          <w:sz w:val="32"/>
          <w:szCs w:val="32"/>
          <w:shd w:val="clear" w:color="auto" w:fill="FFFFFF"/>
        </w:rPr>
        <w:t>省卫生</w:t>
      </w:r>
      <w:r>
        <w:rPr>
          <w:rFonts w:hint="eastAsia" w:ascii="仿宋_GB2312" w:hAnsi="仿宋_GB2312" w:eastAsia="仿宋_GB2312" w:cs="仿宋_GB2312"/>
          <w:color w:val="333333"/>
          <w:sz w:val="32"/>
          <w:szCs w:val="32"/>
          <w:shd w:val="clear" w:color="auto" w:fill="FFFFFF"/>
        </w:rPr>
        <w:t>健康</w:t>
      </w:r>
      <w:r>
        <w:rPr>
          <w:rFonts w:ascii="仿宋_GB2312" w:hAnsi="仿宋_GB2312" w:eastAsia="仿宋_GB2312" w:cs="仿宋_GB2312"/>
          <w:color w:val="333333"/>
          <w:sz w:val="32"/>
          <w:szCs w:val="32"/>
          <w:shd w:val="clear" w:color="auto" w:fill="FFFFFF"/>
        </w:rPr>
        <w:t>委员会关于贯彻落实《</w:t>
      </w:r>
      <w:r>
        <w:rPr>
          <w:rFonts w:hint="eastAsia" w:ascii="仿宋_GB2312" w:hAnsi="仿宋_GB2312" w:eastAsia="仿宋_GB2312" w:cs="仿宋_GB2312"/>
          <w:color w:val="333333"/>
          <w:sz w:val="32"/>
          <w:szCs w:val="32"/>
          <w:shd w:val="clear" w:color="auto" w:fill="FFFFFF"/>
        </w:rPr>
        <w:t>四川</w:t>
      </w:r>
      <w:r>
        <w:rPr>
          <w:rFonts w:ascii="仿宋_GB2312" w:hAnsi="仿宋_GB2312" w:eastAsia="仿宋_GB2312" w:cs="仿宋_GB2312"/>
          <w:color w:val="333333"/>
          <w:sz w:val="32"/>
          <w:szCs w:val="32"/>
          <w:shd w:val="clear" w:color="auto" w:fill="FFFFFF"/>
        </w:rPr>
        <w:t>省“十三五”结核病防治规划》通知中有关项目情况说明等相关文件精神而取得专项资金。项目经费主要是用于结核病综合防治工作（肺结核患者的发现、追踪、管理），基层工作人员的培训，督导访视工作人员劳务费，落实耐药病肺结核患者救治工作等。继续巩固我</w:t>
      </w:r>
      <w:r>
        <w:rPr>
          <w:rFonts w:hint="eastAsia" w:ascii="仿宋_GB2312" w:hAnsi="仿宋_GB2312" w:eastAsia="仿宋_GB2312" w:cs="仿宋_GB2312"/>
          <w:color w:val="333333"/>
          <w:sz w:val="32"/>
          <w:szCs w:val="32"/>
          <w:shd w:val="clear" w:color="auto" w:fill="FFFFFF"/>
        </w:rPr>
        <w:t>县</w:t>
      </w:r>
      <w:r>
        <w:rPr>
          <w:rFonts w:ascii="仿宋_GB2312" w:hAnsi="仿宋_GB2312" w:eastAsia="仿宋_GB2312" w:cs="仿宋_GB2312"/>
          <w:color w:val="333333"/>
          <w:sz w:val="32"/>
          <w:szCs w:val="32"/>
          <w:shd w:val="clear" w:color="auto" w:fill="FFFFFF"/>
        </w:rPr>
        <w:t>结核病防治工作取得的成绩，推动结核病防治工作的可持续发展。</w:t>
      </w:r>
    </w:p>
    <w:p>
      <w:pPr>
        <w:pStyle w:val="6"/>
        <w:spacing w:beforeAutospacing="0" w:afterAutospacing="0" w:line="560" w:lineRule="exact"/>
        <w:ind w:firstLine="640" w:firstLineChars="200"/>
        <w:jc w:val="both"/>
        <w:rPr>
          <w:rFonts w:ascii="Times New Roman" w:hAnsi="Times New Roman" w:eastAsia="黑体" w:cs="Times New Roman"/>
          <w:sz w:val="32"/>
          <w:szCs w:val="32"/>
        </w:rPr>
      </w:pPr>
      <w:r>
        <w:rPr>
          <w:rFonts w:hint="eastAsia" w:ascii="Times New Roman" w:hAnsi="Times New Roman" w:eastAsia="黑体" w:cs="Times New Roman"/>
          <w:sz w:val="32"/>
          <w:szCs w:val="32"/>
        </w:rPr>
        <w:t>二</w:t>
      </w:r>
      <w:r>
        <w:rPr>
          <w:rFonts w:ascii="Times New Roman" w:hAnsi="Times New Roman" w:eastAsia="黑体" w:cs="Times New Roman"/>
          <w:sz w:val="32"/>
          <w:szCs w:val="32"/>
        </w:rPr>
        <w:t>、</w:t>
      </w:r>
      <w:r>
        <w:rPr>
          <w:rFonts w:hint="eastAsia" w:ascii="Times New Roman" w:hAnsi="Times New Roman" w:eastAsia="黑体" w:cs="Times New Roman"/>
          <w:sz w:val="32"/>
          <w:szCs w:val="32"/>
        </w:rPr>
        <w:t>项目绩效目标</w:t>
      </w:r>
    </w:p>
    <w:p>
      <w:pPr>
        <w:adjustRightInd w:val="0"/>
        <w:snapToGrid w:val="0"/>
        <w:spacing w:line="560" w:lineRule="exact"/>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总目标是到“十三五”期末，全省肺结核发病率要下降到58/10 万以下，病例报告、患者筛查、患者治疗、随防管理、服务能力、公众宣传等规划目标要如期实现。现阶段要求肺结核患者病原学阳性率达到50%以上。耐多药肺结核高危人群耐药筛查率达到95%以上；肺结核患者病原学阳性率达到50%以上；基层医疗卫生机构肺结核患者规范管理率达到90%以上；学生体检结核病筛查比例明显提高；县具备开展结核病的能力；定点医疗机构负责对肺结核患者进行诊断、治疗、登记、定期复诊检查和健康教育等，要具备结核病痰涂片检测、痰培养检测及结核病分子生物学诊断能力，对病原学检查阳性肺结核患者的密切接触者、艾滋病病毒感染者和病人、65岁以上老年人、糖尿病患者等结核病重点人群的主动筛查工作；将结核病筛查纳入学校入学、监管场所入监（所）和流动人口等人群的健康体检项目；推行结核病患者家庭医生签约服务制度。考虑利用移动互联网等新技术为患者开展随访服务，提高患者治疗依从性。</w:t>
      </w:r>
    </w:p>
    <w:p>
      <w:pPr>
        <w:adjustRightInd w:val="0"/>
        <w:snapToGrid w:val="0"/>
        <w:spacing w:line="560" w:lineRule="exact"/>
        <w:ind w:firstLine="643" w:firstLineChars="200"/>
        <w:rPr>
          <w:rFonts w:ascii="黑体" w:hAnsi="黑体" w:eastAsia="黑体" w:cs="楷体_GB2312"/>
          <w:b/>
          <w:lang w:val="zh-CN"/>
        </w:rPr>
      </w:pPr>
      <w:r>
        <w:rPr>
          <w:rFonts w:hint="eastAsia" w:ascii="黑体" w:hAnsi="黑体" w:eastAsia="黑体" w:cs="楷体_GB2312"/>
          <w:b/>
          <w:sz w:val="32"/>
          <w:lang w:val="zh-CN"/>
        </w:rPr>
        <w:t>三、项目自评步骤及方法</w:t>
      </w:r>
    </w:p>
    <w:p>
      <w:pPr>
        <w:adjustRightInd w:val="0"/>
        <w:snapToGrid w:val="0"/>
        <w:spacing w:line="560" w:lineRule="exact"/>
        <w:ind w:firstLine="640" w:firstLineChars="200"/>
        <w:rPr>
          <w:rFonts w:ascii="仿宋_GB2312" w:hAnsi="宋体" w:eastAsia="仿宋_GB2312" w:cs="仿宋_GB2312"/>
          <w:color w:val="000000"/>
          <w:sz w:val="32"/>
          <w:szCs w:val="32"/>
          <w:shd w:val="clear" w:color="auto" w:fill="FFFFFF"/>
        </w:rPr>
      </w:pPr>
      <w:r>
        <w:rPr>
          <w:rFonts w:ascii="仿宋_GB2312" w:hAnsi="宋体" w:eastAsia="仿宋_GB2312" w:cs="仿宋_GB2312"/>
          <w:color w:val="000000"/>
          <w:sz w:val="32"/>
          <w:szCs w:val="32"/>
          <w:shd w:val="clear" w:color="auto" w:fill="FFFFFF"/>
        </w:rPr>
        <w:t>项目采取自评方式，成立项目自评</w:t>
      </w:r>
      <w:r>
        <w:rPr>
          <w:rFonts w:hint="eastAsia" w:ascii="仿宋_GB2312" w:hAnsi="宋体" w:eastAsia="仿宋_GB2312" w:cs="仿宋_GB2312"/>
          <w:color w:val="000000"/>
          <w:sz w:val="32"/>
          <w:szCs w:val="32"/>
          <w:shd w:val="clear" w:color="auto" w:fill="FFFFFF"/>
        </w:rPr>
        <w:t>领导</w:t>
      </w:r>
      <w:r>
        <w:rPr>
          <w:rFonts w:ascii="仿宋_GB2312" w:hAnsi="宋体" w:eastAsia="仿宋_GB2312" w:cs="仿宋_GB2312"/>
          <w:color w:val="000000"/>
          <w:sz w:val="32"/>
          <w:szCs w:val="32"/>
          <w:shd w:val="clear" w:color="auto" w:fill="FFFFFF"/>
        </w:rPr>
        <w:t>小组，结合评价内容，做到有计划，有安排，扎实开展本次自评工作。按照上级下达的项目支出绩效评价指标体系，自评小组针对申报内容、实施情况、资金兑现、财务管理、社会效益等做出自我评价。</w:t>
      </w:r>
      <w:r>
        <w:rPr>
          <w:rFonts w:hint="eastAsia" w:ascii="仿宋_GB2312" w:hAnsi="宋体" w:eastAsia="仿宋_GB2312" w:cs="仿宋_GB2312"/>
          <w:color w:val="000000"/>
          <w:sz w:val="32"/>
          <w:szCs w:val="32"/>
          <w:shd w:val="clear" w:color="auto" w:fill="FFFFFF"/>
        </w:rPr>
        <w:t>结核病项目领导小组如下：</w:t>
      </w:r>
    </w:p>
    <w:p>
      <w:pPr>
        <w:adjustRightInd w:val="0"/>
        <w:snapToGrid w:val="0"/>
        <w:spacing w:line="560" w:lineRule="exact"/>
        <w:ind w:firstLine="640" w:firstLineChars="200"/>
        <w:rPr>
          <w:rFonts w:ascii="仿宋_GB2312" w:hAnsi="宋体" w:eastAsia="仿宋_GB2312" w:cs="仿宋_GB2312"/>
          <w:color w:val="000000"/>
          <w:sz w:val="32"/>
          <w:szCs w:val="32"/>
          <w:shd w:val="clear" w:color="auto" w:fill="FFFFFF"/>
        </w:rPr>
      </w:pPr>
      <w:r>
        <w:rPr>
          <w:rFonts w:hint="eastAsia" w:ascii="仿宋_GB2312" w:hAnsi="宋体" w:eastAsia="仿宋_GB2312" w:cs="仿宋_GB2312"/>
          <w:color w:val="000000"/>
          <w:sz w:val="32"/>
          <w:szCs w:val="32"/>
          <w:shd w:val="clear" w:color="auto" w:fill="FFFFFF"/>
        </w:rPr>
        <w:t>组  长：张国明   县疾控中心主任</w:t>
      </w:r>
    </w:p>
    <w:p>
      <w:pPr>
        <w:adjustRightInd w:val="0"/>
        <w:snapToGrid w:val="0"/>
        <w:spacing w:line="560" w:lineRule="exact"/>
        <w:ind w:firstLine="640" w:firstLineChars="200"/>
        <w:rPr>
          <w:rFonts w:ascii="仿宋_GB2312" w:hAnsi="宋体" w:eastAsia="仿宋_GB2312" w:cs="仿宋_GB2312"/>
          <w:color w:val="000000"/>
          <w:sz w:val="32"/>
          <w:szCs w:val="32"/>
          <w:shd w:val="clear" w:color="auto" w:fill="FFFFFF"/>
        </w:rPr>
      </w:pPr>
      <w:r>
        <w:rPr>
          <w:rFonts w:hint="eastAsia" w:ascii="仿宋_GB2312" w:hAnsi="宋体" w:eastAsia="仿宋_GB2312" w:cs="仿宋_GB2312"/>
          <w:color w:val="000000"/>
          <w:sz w:val="32"/>
          <w:szCs w:val="32"/>
          <w:shd w:val="clear" w:color="auto" w:fill="FFFFFF"/>
        </w:rPr>
        <w:t>副组长：温念平   县疾控中心副主任</w:t>
      </w:r>
    </w:p>
    <w:p>
      <w:pPr>
        <w:adjustRightInd w:val="0"/>
        <w:snapToGrid w:val="0"/>
        <w:spacing w:line="560" w:lineRule="exact"/>
        <w:ind w:firstLine="1920" w:firstLineChars="600"/>
        <w:rPr>
          <w:rFonts w:ascii="仿宋_GB2312" w:hAnsi="宋体" w:eastAsia="仿宋_GB2312" w:cs="仿宋_GB2312"/>
          <w:color w:val="000000"/>
          <w:sz w:val="32"/>
          <w:szCs w:val="32"/>
          <w:shd w:val="clear" w:color="auto" w:fill="FFFFFF"/>
        </w:rPr>
      </w:pPr>
      <w:r>
        <w:rPr>
          <w:rFonts w:hint="eastAsia" w:ascii="仿宋_GB2312" w:hAnsi="宋体" w:eastAsia="仿宋_GB2312" w:cs="仿宋_GB2312"/>
          <w:color w:val="000000"/>
          <w:sz w:val="32"/>
          <w:szCs w:val="32"/>
          <w:shd w:val="clear" w:color="auto" w:fill="FFFFFF"/>
        </w:rPr>
        <w:t>白玛扎西  县疾控中心副主任</w:t>
      </w:r>
    </w:p>
    <w:p>
      <w:pPr>
        <w:adjustRightInd w:val="0"/>
        <w:snapToGrid w:val="0"/>
        <w:spacing w:line="560" w:lineRule="exact"/>
        <w:ind w:firstLine="640" w:firstLineChars="200"/>
        <w:rPr>
          <w:rFonts w:ascii="仿宋_GB2312" w:hAnsi="宋体" w:eastAsia="仿宋_GB2312" w:cs="仿宋_GB2312"/>
          <w:color w:val="000000"/>
          <w:sz w:val="32"/>
          <w:szCs w:val="32"/>
          <w:shd w:val="clear" w:color="auto" w:fill="FFFFFF"/>
        </w:rPr>
      </w:pPr>
      <w:r>
        <w:rPr>
          <w:rFonts w:hint="eastAsia" w:ascii="仿宋_GB2312" w:hAnsi="宋体" w:eastAsia="仿宋_GB2312" w:cs="仿宋_GB2312"/>
          <w:color w:val="000000"/>
          <w:sz w:val="32"/>
          <w:szCs w:val="32"/>
          <w:shd w:val="clear" w:color="auto" w:fill="FFFFFF"/>
        </w:rPr>
        <w:t>成  员：黄秀  陈丽  韩孝英  刘有军  阿旺             办公室设在财务室、结核病病防治办公室</w:t>
      </w:r>
    </w:p>
    <w:p>
      <w:pPr>
        <w:pStyle w:val="6"/>
        <w:spacing w:beforeAutospacing="0" w:afterAutospacing="0" w:line="560" w:lineRule="exact"/>
        <w:ind w:firstLine="640" w:firstLineChars="200"/>
        <w:jc w:val="both"/>
        <w:rPr>
          <w:rFonts w:ascii="Times New Roman" w:hAnsi="Times New Roman" w:eastAsia="黑体" w:cs="Times New Roman"/>
          <w:sz w:val="32"/>
          <w:szCs w:val="32"/>
        </w:rPr>
      </w:pPr>
      <w:r>
        <w:rPr>
          <w:rFonts w:hint="eastAsia" w:ascii="Times New Roman" w:hAnsi="Times New Roman" w:eastAsia="黑体" w:cs="Times New Roman"/>
          <w:sz w:val="32"/>
          <w:szCs w:val="32"/>
        </w:rPr>
        <w:t>四</w:t>
      </w:r>
      <w:r>
        <w:rPr>
          <w:rFonts w:ascii="Times New Roman" w:hAnsi="Times New Roman" w:eastAsia="黑体" w:cs="Times New Roman"/>
          <w:sz w:val="32"/>
          <w:szCs w:val="32"/>
        </w:rPr>
        <w:t>、评价的项目内容及概况。</w:t>
      </w:r>
    </w:p>
    <w:p>
      <w:pPr>
        <w:pStyle w:val="13"/>
        <w:widowControl/>
        <w:spacing w:before="0" w:beforeAutospacing="0" w:after="0" w:afterAutospacing="0" w:line="480" w:lineRule="auto"/>
        <w:ind w:left="640"/>
        <w:rPr>
          <w:rFonts w:ascii="楷体" w:hAnsi="楷体" w:eastAsia="楷体" w:cs="宋体"/>
          <w:b/>
          <w:color w:val="333333"/>
          <w:sz w:val="30"/>
          <w:szCs w:val="30"/>
          <w:shd w:val="clear" w:color="auto" w:fill="FFFFFF"/>
        </w:rPr>
      </w:pPr>
      <w:r>
        <w:rPr>
          <w:rFonts w:hint="eastAsia" w:ascii="楷体" w:hAnsi="楷体" w:eastAsia="楷体" w:cs="仿宋_GB2312"/>
          <w:b/>
          <w:bCs/>
          <w:sz w:val="32"/>
          <w:szCs w:val="32"/>
        </w:rPr>
        <w:t>（一）.</w:t>
      </w:r>
      <w:r>
        <w:rPr>
          <w:rFonts w:hint="eastAsia" w:ascii="楷体" w:hAnsi="楷体" w:eastAsia="楷体" w:cs="宋体"/>
          <w:b/>
          <w:color w:val="333333"/>
          <w:sz w:val="30"/>
          <w:szCs w:val="30"/>
          <w:shd w:val="clear" w:color="auto" w:fill="FFFFFF"/>
        </w:rPr>
        <w:t>评价的具体项目资金情况</w:t>
      </w:r>
    </w:p>
    <w:p>
      <w:pPr>
        <w:pStyle w:val="13"/>
        <w:widowControl/>
        <w:spacing w:before="0" w:beforeAutospacing="0" w:after="0" w:afterAutospacing="0" w:line="480" w:lineRule="auto"/>
        <w:ind w:firstLine="640" w:firstLineChars="200"/>
        <w:rPr>
          <w:rFonts w:ascii="仿宋_GB2312" w:hAnsi="仿宋_GB2312" w:eastAsia="仿宋_GB2312" w:cs="仿宋_GB2312"/>
          <w:color w:val="333333"/>
          <w:sz w:val="32"/>
          <w:szCs w:val="32"/>
          <w:shd w:val="clear" w:color="auto" w:fill="FFFFFF"/>
        </w:rPr>
      </w:pPr>
      <w:r>
        <w:rPr>
          <w:rFonts w:ascii="仿宋_GB2312" w:hAnsi="仿宋_GB2312" w:eastAsia="仿宋_GB2312" w:cs="仿宋_GB2312"/>
          <w:color w:val="333333"/>
          <w:sz w:val="32"/>
          <w:szCs w:val="32"/>
          <w:shd w:val="clear" w:color="auto" w:fill="FFFFFF"/>
        </w:rPr>
        <w:t>以前年度结余结转数</w:t>
      </w:r>
      <w:r>
        <w:rPr>
          <w:rFonts w:hint="eastAsia" w:ascii="仿宋_GB2312" w:hAnsi="仿宋_GB2312" w:eastAsia="仿宋_GB2312" w:cs="仿宋_GB2312"/>
          <w:color w:val="333333"/>
          <w:sz w:val="32"/>
          <w:szCs w:val="32"/>
          <w:shd w:val="clear" w:color="auto" w:fill="FFFFFF"/>
        </w:rPr>
        <w:t>1.18</w:t>
      </w:r>
      <w:r>
        <w:rPr>
          <w:rFonts w:ascii="仿宋_GB2312" w:hAnsi="仿宋_GB2312" w:eastAsia="仿宋_GB2312" w:cs="仿宋_GB2312"/>
          <w:color w:val="333333"/>
          <w:sz w:val="32"/>
          <w:szCs w:val="32"/>
          <w:shd w:val="clear" w:color="auto" w:fill="FFFFFF"/>
        </w:rPr>
        <w:t>万元，2018年收到</w:t>
      </w:r>
      <w:r>
        <w:rPr>
          <w:rFonts w:hint="eastAsia" w:ascii="仿宋_GB2312" w:hAnsi="仿宋_GB2312" w:eastAsia="仿宋_GB2312" w:cs="仿宋_GB2312"/>
          <w:color w:val="333333"/>
          <w:sz w:val="32"/>
          <w:szCs w:val="32"/>
          <w:shd w:val="clear" w:color="auto" w:fill="FFFFFF"/>
        </w:rPr>
        <w:t>中央，省，州，县</w:t>
      </w:r>
      <w:r>
        <w:rPr>
          <w:rFonts w:ascii="仿宋_GB2312" w:hAnsi="仿宋_GB2312" w:eastAsia="仿宋_GB2312" w:cs="仿宋_GB2312"/>
          <w:color w:val="333333"/>
          <w:sz w:val="32"/>
          <w:szCs w:val="32"/>
          <w:shd w:val="clear" w:color="auto" w:fill="FFFFFF"/>
        </w:rPr>
        <w:t>级财政预算经费</w:t>
      </w:r>
      <w:r>
        <w:rPr>
          <w:rFonts w:hint="eastAsia" w:ascii="仿宋_GB2312" w:hAnsi="仿宋_GB2312" w:eastAsia="仿宋_GB2312" w:cs="仿宋_GB2312"/>
          <w:color w:val="333333"/>
          <w:sz w:val="32"/>
          <w:szCs w:val="32"/>
          <w:shd w:val="clear" w:color="auto" w:fill="FFFFFF"/>
        </w:rPr>
        <w:t>7.89</w:t>
      </w:r>
      <w:r>
        <w:rPr>
          <w:rFonts w:ascii="仿宋_GB2312" w:hAnsi="仿宋_GB2312" w:eastAsia="仿宋_GB2312" w:cs="仿宋_GB2312"/>
          <w:color w:val="333333"/>
          <w:sz w:val="32"/>
          <w:szCs w:val="32"/>
          <w:shd w:val="clear" w:color="auto" w:fill="FFFFFF"/>
        </w:rPr>
        <w:t>万元，201</w:t>
      </w:r>
      <w:r>
        <w:rPr>
          <w:rFonts w:hint="eastAsia" w:ascii="仿宋_GB2312" w:hAnsi="仿宋_GB2312" w:eastAsia="仿宋_GB2312" w:cs="仿宋_GB2312"/>
          <w:color w:val="333333"/>
          <w:sz w:val="32"/>
          <w:szCs w:val="32"/>
          <w:shd w:val="clear" w:color="auto" w:fill="FFFFFF"/>
        </w:rPr>
        <w:t>8</w:t>
      </w:r>
      <w:r>
        <w:rPr>
          <w:rFonts w:ascii="仿宋_GB2312" w:hAnsi="仿宋_GB2312" w:eastAsia="仿宋_GB2312" w:cs="仿宋_GB2312"/>
          <w:color w:val="333333"/>
          <w:sz w:val="32"/>
          <w:szCs w:val="32"/>
          <w:shd w:val="clear" w:color="auto" w:fill="FFFFFF"/>
        </w:rPr>
        <w:t>年实际支出为</w:t>
      </w:r>
      <w:r>
        <w:rPr>
          <w:rFonts w:hint="eastAsia" w:ascii="仿宋_GB2312" w:hAnsi="仿宋_GB2312" w:eastAsia="仿宋_GB2312" w:cs="仿宋_GB2312"/>
          <w:color w:val="333333"/>
          <w:sz w:val="32"/>
          <w:szCs w:val="32"/>
          <w:shd w:val="clear" w:color="auto" w:fill="FFFFFF"/>
        </w:rPr>
        <w:t>6.37</w:t>
      </w:r>
      <w:r>
        <w:rPr>
          <w:rFonts w:ascii="仿宋_GB2312" w:hAnsi="仿宋_GB2312" w:eastAsia="仿宋_GB2312" w:cs="仿宋_GB2312"/>
          <w:color w:val="333333"/>
          <w:sz w:val="32"/>
          <w:szCs w:val="32"/>
          <w:shd w:val="clear" w:color="auto" w:fill="FFFFFF"/>
        </w:rPr>
        <w:t>万元。到2018年年底账面余额</w:t>
      </w:r>
      <w:r>
        <w:rPr>
          <w:rFonts w:hint="eastAsia" w:ascii="仿宋_GB2312" w:hAnsi="仿宋_GB2312" w:eastAsia="仿宋_GB2312" w:cs="仿宋_GB2312"/>
          <w:color w:val="333333"/>
          <w:sz w:val="32"/>
          <w:szCs w:val="32"/>
          <w:shd w:val="clear" w:color="auto" w:fill="FFFFFF"/>
        </w:rPr>
        <w:t>2.7</w:t>
      </w:r>
      <w:r>
        <w:rPr>
          <w:rFonts w:ascii="仿宋_GB2312" w:hAnsi="仿宋_GB2312" w:eastAsia="仿宋_GB2312" w:cs="仿宋_GB2312"/>
          <w:color w:val="333333"/>
          <w:sz w:val="32"/>
          <w:szCs w:val="32"/>
          <w:shd w:val="clear" w:color="auto" w:fill="FFFFFF"/>
        </w:rPr>
        <w:t>万元。</w:t>
      </w:r>
    </w:p>
    <w:p>
      <w:pPr>
        <w:pStyle w:val="13"/>
        <w:widowControl/>
        <w:spacing w:before="0" w:beforeAutospacing="0" w:after="0" w:afterAutospacing="0" w:line="480" w:lineRule="auto"/>
        <w:ind w:left="640"/>
        <w:rPr>
          <w:rFonts w:ascii="楷体" w:hAnsi="楷体" w:eastAsia="楷体" w:cs="宋体"/>
          <w:b/>
          <w:color w:val="333333"/>
          <w:sz w:val="30"/>
          <w:szCs w:val="30"/>
          <w:shd w:val="clear" w:color="auto" w:fill="FFFFFF"/>
        </w:rPr>
      </w:pPr>
      <w:r>
        <w:rPr>
          <w:rFonts w:hint="eastAsia" w:ascii="楷体" w:hAnsi="楷体" w:eastAsia="楷体" w:cs="宋体"/>
          <w:b/>
          <w:color w:val="333333"/>
          <w:sz w:val="30"/>
          <w:szCs w:val="30"/>
          <w:shd w:val="clear" w:color="auto" w:fill="FFFFFF"/>
        </w:rPr>
        <w:t>（二）绩效评价</w:t>
      </w:r>
    </w:p>
    <w:p>
      <w:pPr>
        <w:pStyle w:val="13"/>
        <w:widowControl/>
        <w:spacing w:before="0" w:beforeAutospacing="0" w:after="0" w:afterAutospacing="0" w:line="480" w:lineRule="auto"/>
        <w:ind w:left="640"/>
        <w:rPr>
          <w:rFonts w:hint="eastAsia" w:ascii="仿宋_GB2312" w:hAnsi="宋体" w:eastAsia="仿宋_GB2312" w:cs="宋体"/>
          <w:b/>
          <w:color w:val="333333"/>
          <w:sz w:val="30"/>
          <w:szCs w:val="30"/>
          <w:shd w:val="clear" w:color="auto" w:fill="FFFFFF"/>
        </w:rPr>
      </w:pPr>
      <w:r>
        <w:rPr>
          <w:rFonts w:hint="eastAsia" w:ascii="仿宋_GB2312" w:hAnsi="宋体" w:eastAsia="仿宋_GB2312" w:cs="宋体"/>
          <w:b/>
          <w:color w:val="333333"/>
          <w:sz w:val="30"/>
          <w:szCs w:val="30"/>
          <w:shd w:val="clear" w:color="auto" w:fill="FFFFFF"/>
        </w:rPr>
        <w:t>1.项目工作完成情况</w:t>
      </w:r>
    </w:p>
    <w:p>
      <w:pPr>
        <w:spacing w:line="560" w:lineRule="exact"/>
        <w:ind w:firstLine="630"/>
        <w:rPr>
          <w:rFonts w:ascii="仿宋_GB2312" w:hAnsi="仿宋_GB2312" w:eastAsia="仿宋_GB2312" w:cs="仿宋_GB2312"/>
          <w:sz w:val="32"/>
          <w:szCs w:val="32"/>
        </w:rPr>
      </w:pPr>
      <w:r>
        <w:rPr>
          <w:rFonts w:hint="eastAsia" w:ascii="仿宋" w:hAnsi="仿宋" w:eastAsia="仿宋"/>
          <w:sz w:val="32"/>
          <w:szCs w:val="32"/>
        </w:rPr>
        <w:t>2018</w:t>
      </w:r>
      <w:r>
        <w:rPr>
          <w:rFonts w:hint="eastAsia" w:ascii="仿宋_GB2312" w:hAnsi="仿宋_GB2312" w:eastAsia="仿宋_GB2312" w:cs="仿宋_GB2312"/>
          <w:sz w:val="32"/>
          <w:szCs w:val="32"/>
        </w:rPr>
        <w:t>共确诊活动性肺结核患者69例（其中涂阳8例，涂阴34例，未查痰19例,结核性胸膜炎8例），完成年度活动性肺结核患者发现任务数的100%；</w:t>
      </w:r>
      <w:r>
        <w:rPr>
          <w:rFonts w:hint="eastAsia" w:ascii="仿宋_GB2312" w:hAnsi="仿宋_GB2312" w:eastAsia="仿宋_GB2312" w:cs="仿宋_GB2312"/>
          <w:sz w:val="32"/>
        </w:rPr>
        <w:t>为初诊可疑患者提供痰涂片检查72人，初诊可疑者查痰率为100%;登记涂阳患者密切接触者25人，筛查25人，涂阳患者密切接触者筛查率为100%;</w:t>
      </w:r>
      <w:r>
        <w:rPr>
          <w:rFonts w:hint="eastAsia" w:ascii="仿宋_GB2312" w:hAnsi="仿宋_GB2312" w:eastAsia="仿宋_GB2312" w:cs="仿宋_GB2312"/>
          <w:sz w:val="32"/>
          <w:szCs w:val="32"/>
        </w:rPr>
        <w:t>剔除重报后，1-10月份大疫情共网络报告现住址为红原县疑似肺结核患者240例，其中删除重卡67例，通过转诊和追踪等方式到位172例，追踪未到位1例，总体到位率为99.44%；登记活动性肺结核患者病案69例，初次病案及时录入69例，病案初次录入及时率100%；上年同期登记新涂阳肺结核患者2例，上年登记活动性肺结核患者88例，填报转归信88例，病案转归信息完整率为100%。</w:t>
      </w:r>
    </w:p>
    <w:p>
      <w:pPr>
        <w:spacing w:line="560" w:lineRule="exact"/>
        <w:ind w:firstLine="630"/>
        <w:rPr>
          <w:rFonts w:ascii="仿宋_GB2312" w:hAnsi="仿宋_GB2312" w:eastAsia="仿宋_GB2312" w:cs="仿宋_GB2312"/>
          <w:sz w:val="32"/>
          <w:szCs w:val="32"/>
        </w:rPr>
      </w:pPr>
      <w:r>
        <w:rPr>
          <w:rFonts w:hint="eastAsia" w:ascii="仿宋_GB2312" w:hAnsi="仿宋_GB2312" w:eastAsia="仿宋_GB2312" w:cs="仿宋_GB2312"/>
          <w:sz w:val="32"/>
          <w:szCs w:val="32"/>
        </w:rPr>
        <w:t>县人民医院结核病门诊1-10月共接诊疑似结核病患者72例，确诊肺结核病69例，结核性胸膜炎8例，其中初治涂阳肺结核病人8例，涂阴肺结核病人34例，未痰检的病人19例，确诊患者均已纳入治疗管理。加强涂阳肺结核患者密切接触者的筛查，共筛查25人，未查出活动性肺结核。</w:t>
      </w:r>
    </w:p>
    <w:p>
      <w:pPr>
        <w:ind w:firstLine="640" w:firstLineChars="200"/>
        <w:rPr>
          <w:rFonts w:ascii="仿宋_GB2312" w:eastAsia="仿宋_GB2312"/>
          <w:sz w:val="32"/>
          <w:szCs w:val="32"/>
        </w:rPr>
      </w:pPr>
      <w:r>
        <w:rPr>
          <w:rFonts w:hint="eastAsia" w:ascii="仿宋_GB2312" w:eastAsia="仿宋_GB2312"/>
          <w:sz w:val="32"/>
          <w:szCs w:val="32"/>
        </w:rPr>
        <w:t>疾控中心与县医院及时沟通工作信息，每月开展工作交流，建立了工作信息交流平台，将疾控中心、县医院和乡镇卫生院业务人员纳入其中，将“规划管理、诊断治疗和患者服务”紧密整合，进一步优化了工作流程，新型服务体系的优势得到进一步体现。</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加强学校结核病防治工作，在红原县藏文中学以“学校结核病防控”为主题，对全校师生作了结核病防治知识宣传讲座，针对学生的身心特点，重点讲述了结核病的传播途径、防治措施、发病状况等，让广大师生们深刻地了解结核病的防治知识及危害，讲座覆盖全县师生共计1600余人。在县藏文中学、县中、龙日坝、龙日乡小学、城关小学和希望小学开展了PPD筛查工作，筛查共覆盖师生4100人，发现PPD试验阳性者141例，藏文中学和希望小学部分PPD试验阳性者到医院做了进一步检查；经县人民医院和上级医院进一步检查后发现肺结核18例，结核性胸膜炎2例。另外2018年秋季新生入学要求把结核病筛查纳入常规入学体检，全县大部分乡镇小学积极开展了或正在开展此项工作，但色地镇小学负责人明确表示不开展此项工作（原因不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月24日“世界防治结核病宣传日”，在人群较为集中的街道设立宣传点，以“社会共同努力，消除结核危害”为主题，对当地牧民群众进行了结核病防治知识的宣传。宣传共发放结核病宣传单5300余份、宣传挂历200幅、小礼品1100余份，对前来咨询的500余人作了结核病相关知识的详细讲解，动员广大群众参与，降低传播风险；举办假期大学生结核病防治培训班，培训大学生人员8人次，主要培训结核病防治知识，并着重强调学校结核病防控工作，进一步提升我县牧民群众的防控能力。</w:t>
      </w:r>
    </w:p>
    <w:p>
      <w:pPr>
        <w:pStyle w:val="6"/>
        <w:spacing w:beforeAutospacing="0" w:afterAutospacing="0" w:line="560" w:lineRule="exact"/>
        <w:ind w:firstLine="790" w:firstLineChars="246"/>
        <w:jc w:val="both"/>
        <w:rPr>
          <w:rFonts w:ascii="仿宋_GB2312" w:hAnsi="仿宋_GB2312" w:eastAsia="仿宋_GB2312" w:cs="仿宋_GB2312"/>
          <w:b/>
          <w:color w:val="000000"/>
          <w:sz w:val="32"/>
          <w:szCs w:val="32"/>
          <w:shd w:val="clear" w:color="auto" w:fill="FFFFFF"/>
        </w:rPr>
      </w:pPr>
      <w:r>
        <w:rPr>
          <w:rFonts w:hint="eastAsia" w:ascii="仿宋_GB2312" w:hAnsi="仿宋_GB2312" w:eastAsia="仿宋_GB2312" w:cs="仿宋_GB2312"/>
          <w:b/>
          <w:color w:val="000000"/>
          <w:sz w:val="32"/>
          <w:szCs w:val="32"/>
          <w:shd w:val="clear" w:color="auto" w:fill="FFFFFF"/>
        </w:rPr>
        <w:t>2.项目财务管理情况</w:t>
      </w:r>
    </w:p>
    <w:p>
      <w:pPr>
        <w:pStyle w:val="6"/>
        <w:spacing w:beforeAutospacing="0" w:afterAutospacing="0" w:line="560" w:lineRule="exact"/>
        <w:ind w:firstLine="640" w:firstLineChars="200"/>
        <w:jc w:val="both"/>
        <w:rPr>
          <w:rFonts w:ascii="仿宋_GB2312" w:hAnsi="仿宋_GB2312" w:eastAsia="仿宋_GB2312" w:cs="仿宋_GB2312"/>
          <w:b/>
          <w:color w:val="000000"/>
          <w:sz w:val="32"/>
          <w:szCs w:val="32"/>
          <w:shd w:val="clear" w:color="auto" w:fill="FFFFFF"/>
        </w:rPr>
      </w:pPr>
      <w:r>
        <w:rPr>
          <w:rFonts w:ascii="仿宋_GB2312" w:hAnsi="仿宋_GB2312" w:eastAsia="仿宋_GB2312" w:cs="仿宋_GB2312"/>
          <w:color w:val="333333"/>
          <w:sz w:val="32"/>
          <w:szCs w:val="32"/>
          <w:shd w:val="clear" w:color="auto" w:fill="FFFFFF"/>
        </w:rPr>
        <w:t>为加强项目资金的财务管理工作，我中心成立结核病经费工使用管理领导小组。财务专门制定了财政专项资金管理制度，所有项目资金的使用都严格按照财政专项资金管理制度开支，做好账务设置和账务管理。在资金使用过程中，严把监督审核关，健立健全内部审批。同时，定期或不定期对资金使用、管理情况进行自查和检查，在实施项目过程中，厉行节约，避免浪费，使项目资金能最大限度地发挥其作用。</w:t>
      </w:r>
    </w:p>
    <w:p>
      <w:pPr>
        <w:pStyle w:val="6"/>
        <w:numPr>
          <w:ilvl w:val="0"/>
          <w:numId w:val="8"/>
        </w:numPr>
        <w:spacing w:beforeAutospacing="0" w:afterAutospacing="0" w:line="560" w:lineRule="exact"/>
        <w:ind w:firstLine="643" w:firstLineChars="200"/>
        <w:jc w:val="both"/>
        <w:rPr>
          <w:rFonts w:ascii="楷体_GB2312" w:hAnsi="Times New Roman" w:eastAsia="楷体_GB2312" w:cs="Times New Roman"/>
          <w:b/>
          <w:sz w:val="32"/>
          <w:szCs w:val="32"/>
        </w:rPr>
      </w:pPr>
      <w:r>
        <w:rPr>
          <w:rFonts w:hint="eastAsia" w:ascii="楷体_GB2312" w:hAnsi="Times New Roman" w:eastAsia="楷体_GB2312" w:cs="Times New Roman"/>
          <w:b/>
          <w:sz w:val="32"/>
          <w:szCs w:val="32"/>
        </w:rPr>
        <w:t>绩效评价结论</w:t>
      </w:r>
    </w:p>
    <w:p>
      <w:pPr>
        <w:pStyle w:val="13"/>
        <w:widowControl/>
        <w:shd w:val="clear" w:color="auto" w:fill="FFFFFF"/>
        <w:spacing w:before="0" w:beforeAutospacing="0" w:after="0" w:afterAutospacing="0"/>
        <w:ind w:firstLine="736" w:firstLineChars="230"/>
        <w:jc w:val="both"/>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shd w:val="clear" w:color="auto" w:fill="FFFFFF"/>
        </w:rPr>
        <w:t>1.加强了病人治疗和管理</w:t>
      </w:r>
    </w:p>
    <w:p>
      <w:pPr>
        <w:pStyle w:val="13"/>
        <w:widowControl/>
        <w:shd w:val="clear" w:color="auto" w:fill="FFFFFF"/>
        <w:spacing w:before="0" w:beforeAutospacing="0" w:after="0" w:afterAutospacing="0"/>
        <w:ind w:firstLine="640" w:firstLineChars="200"/>
        <w:jc w:val="both"/>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shd w:val="clear" w:color="auto" w:fill="FFFFFF"/>
        </w:rPr>
        <w:t>为推动各医疗机构规范开展结核病患者健康管理服务，举办了结核病患者管理培训班。加强了对辖区医疗机构的督导，每月一次下到医疗机构开展结核病规范管理工作督导。针对红原县下发关于加强结核病管理文件精神开展专项工作督导，对工作中的薄弱环节、重点难点工作提出很好的解决方案，对医疗机构如何提高耐多药病人发现，规范治疗与管理，实验室检测能力提高等提出了指导性意见。</w:t>
      </w:r>
    </w:p>
    <w:p>
      <w:pPr>
        <w:pStyle w:val="13"/>
        <w:widowControl/>
        <w:shd w:val="clear" w:color="auto" w:fill="FFFFFF"/>
        <w:spacing w:before="0" w:beforeAutospacing="0" w:after="0" w:afterAutospacing="0"/>
        <w:ind w:firstLine="736" w:firstLineChars="230"/>
        <w:jc w:val="both"/>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shd w:val="clear" w:color="auto" w:fill="FFFFFF"/>
        </w:rPr>
        <w:t>2.扩大结核病防治核心信息宣传覆盖面</w:t>
      </w:r>
    </w:p>
    <w:p>
      <w:pPr>
        <w:pStyle w:val="13"/>
        <w:widowControl/>
        <w:shd w:val="clear" w:color="auto" w:fill="FFFFFF"/>
        <w:spacing w:before="0" w:beforeAutospacing="0" w:after="0" w:afterAutospacing="0"/>
        <w:ind w:firstLine="736" w:firstLineChars="230"/>
        <w:jc w:val="both"/>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shd w:val="clear" w:color="auto" w:fill="FFFFFF"/>
        </w:rPr>
        <w:t>2018年3月24日是第23个“世界防治结核病日”。为提高牧民群众对结核病危害性的认识，进一步推进全县结核病防治工作开展。我单位在红原县及各乡镇进行了结核病防治宣传活动，为过往群众发放宣传折页，讲解结核病防治的知识、国家的免费政策；通过活动的开展，进一步提高了大众人群、重点人群结核病防治核心信息的知晓率和自我防护意识，为今后全县结核病防治工作的有效开展打下了扎实基础。</w:t>
      </w:r>
    </w:p>
    <w:p>
      <w:pPr>
        <w:pStyle w:val="13"/>
        <w:widowControl/>
        <w:shd w:val="clear" w:color="auto" w:fill="FFFFFF"/>
        <w:spacing w:before="0" w:beforeAutospacing="0" w:after="0" w:afterAutospacing="0"/>
        <w:ind w:firstLine="581" w:firstLineChars="181"/>
        <w:jc w:val="both"/>
        <w:rPr>
          <w:rFonts w:ascii="仿宋_GB2312" w:hAnsi="仿宋_GB2312" w:eastAsia="仿宋_GB2312" w:cs="仿宋_GB2312"/>
          <w:b/>
          <w:bCs/>
          <w:color w:val="333333"/>
          <w:sz w:val="32"/>
          <w:szCs w:val="32"/>
        </w:rPr>
      </w:pPr>
      <w:r>
        <w:rPr>
          <w:rFonts w:hint="eastAsia" w:ascii="仿宋_GB2312" w:hAnsi="仿宋_GB2312" w:eastAsia="仿宋_GB2312" w:cs="仿宋_GB2312"/>
          <w:b/>
          <w:bCs/>
          <w:color w:val="333333"/>
          <w:sz w:val="32"/>
          <w:szCs w:val="32"/>
          <w:shd w:val="clear" w:color="auto" w:fill="FFFFFF"/>
        </w:rPr>
        <w:t>3.落实国家政策</w:t>
      </w:r>
    </w:p>
    <w:p>
      <w:pPr>
        <w:pStyle w:val="13"/>
        <w:widowControl/>
        <w:shd w:val="clear" w:color="auto" w:fill="FFFFFF"/>
        <w:spacing w:before="0" w:beforeAutospacing="0" w:after="0" w:afterAutospacing="0"/>
        <w:ind w:firstLine="579" w:firstLineChars="181"/>
        <w:jc w:val="both"/>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shd w:val="clear" w:color="auto" w:fill="FFFFFF"/>
        </w:rPr>
        <w:t>为耐多药肺结核患者得到及时而规范的医疗服务，防止出现因病致贫、因病返贫问题，降低其患病和死亡，减少在人群中的传播，推进健康红原工作,对辖区耐药病人进行了摸底登记。</w:t>
      </w:r>
    </w:p>
    <w:p>
      <w:pPr>
        <w:pStyle w:val="13"/>
        <w:widowControl/>
        <w:shd w:val="clear" w:color="auto" w:fill="FFFFFF"/>
        <w:spacing w:before="0" w:beforeAutospacing="0" w:after="0" w:afterAutospacing="0"/>
        <w:ind w:firstLine="579" w:firstLineChars="181"/>
        <w:jc w:val="both"/>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shd w:val="clear" w:color="auto" w:fill="FFFFFF"/>
        </w:rPr>
        <w:t>通过国家扶贫项目，对我县结核病贫困人口21人拨付补助资金每人800元，共计16800元。</w:t>
      </w:r>
    </w:p>
    <w:p>
      <w:pPr>
        <w:pStyle w:val="6"/>
        <w:spacing w:beforeAutospacing="0" w:afterAutospacing="0" w:line="560" w:lineRule="exact"/>
        <w:ind w:firstLine="640" w:firstLineChars="200"/>
        <w:jc w:val="both"/>
        <w:rPr>
          <w:rFonts w:ascii="Times New Roman" w:hAnsi="Times New Roman" w:eastAsia="黑体" w:cs="Times New Roman"/>
          <w:sz w:val="32"/>
          <w:szCs w:val="32"/>
        </w:rPr>
      </w:pPr>
      <w:r>
        <w:rPr>
          <w:rFonts w:ascii="Times New Roman" w:hAnsi="Times New Roman" w:eastAsia="黑体" w:cs="Times New Roman"/>
          <w:sz w:val="32"/>
          <w:szCs w:val="32"/>
        </w:rPr>
        <w:t>四、存在的问题和困难</w:t>
      </w:r>
    </w:p>
    <w:p>
      <w:pPr>
        <w:pStyle w:val="13"/>
        <w:widowControl/>
        <w:shd w:val="clear" w:color="auto" w:fill="FFFFFF"/>
        <w:spacing w:before="0" w:beforeAutospacing="0" w:after="0" w:afterAutospacing="0" w:line="560" w:lineRule="exact"/>
        <w:ind w:firstLine="640"/>
        <w:rPr>
          <w:color w:val="000000"/>
          <w:sz w:val="32"/>
          <w:szCs w:val="32"/>
        </w:rPr>
      </w:pPr>
      <w:r>
        <w:rPr>
          <w:rFonts w:ascii="仿宋_GB2312" w:eastAsia="仿宋_GB2312" w:cs="仿宋_GB2312"/>
          <w:color w:val="000000"/>
          <w:sz w:val="32"/>
          <w:szCs w:val="32"/>
          <w:shd w:val="clear" w:color="auto" w:fill="FFFFFF"/>
        </w:rPr>
        <w:t>1</w:t>
      </w:r>
      <w:r>
        <w:rPr>
          <w:rFonts w:hint="eastAsia" w:ascii="仿宋_GB2312" w:eastAsia="仿宋_GB2312" w:cs="仿宋_GB2312"/>
          <w:color w:val="000000"/>
          <w:sz w:val="32"/>
          <w:szCs w:val="32"/>
          <w:shd w:val="clear" w:color="auto" w:fill="FFFFFF"/>
        </w:rPr>
        <w:t>.</w:t>
      </w:r>
      <w:r>
        <w:rPr>
          <w:rFonts w:ascii="仿宋_GB2312" w:eastAsia="仿宋_GB2312" w:cs="仿宋_GB2312"/>
          <w:color w:val="000000"/>
          <w:sz w:val="32"/>
          <w:szCs w:val="32"/>
          <w:shd w:val="clear" w:color="auto" w:fill="FFFFFF"/>
        </w:rPr>
        <w:t>乡村两级从事公共卫生服务项目的人员业务能力还需再提高，公共卫生服务是一项系统而繁杂，工作量大，人员少，培训工作不足，缺乏工作经验，导致工作欠规范。</w:t>
      </w:r>
    </w:p>
    <w:p>
      <w:pPr>
        <w:spacing w:line="560" w:lineRule="exact"/>
        <w:ind w:firstLine="627" w:firstLineChars="196"/>
        <w:rPr>
          <w:rFonts w:ascii="仿宋_GB2312" w:hAnsi="仿宋" w:eastAsia="仿宋_GB2312" w:cs="宋体"/>
          <w:color w:val="000000"/>
          <w:kern w:val="0"/>
          <w:sz w:val="32"/>
          <w:szCs w:val="32"/>
        </w:rPr>
      </w:pPr>
      <w:r>
        <w:rPr>
          <w:rFonts w:ascii="仿宋_GB2312" w:eastAsia="仿宋_GB2312" w:cs="仿宋_GB2312"/>
          <w:color w:val="000000"/>
          <w:sz w:val="32"/>
          <w:szCs w:val="32"/>
          <w:shd w:val="clear" w:color="auto" w:fill="FFFFFF"/>
        </w:rPr>
        <w:t>2</w:t>
      </w:r>
      <w:r>
        <w:rPr>
          <w:rFonts w:hint="eastAsia" w:ascii="仿宋_GB2312" w:eastAsia="仿宋_GB2312" w:cs="仿宋_GB2312"/>
          <w:color w:val="000000"/>
          <w:sz w:val="32"/>
          <w:szCs w:val="32"/>
          <w:shd w:val="clear" w:color="auto" w:fill="FFFFFF"/>
        </w:rPr>
        <w:t>.</w:t>
      </w:r>
      <w:r>
        <w:rPr>
          <w:rFonts w:ascii="仿宋_GB2312" w:eastAsia="仿宋_GB2312" w:cs="仿宋_GB2312"/>
          <w:color w:val="000000"/>
          <w:sz w:val="32"/>
          <w:szCs w:val="32"/>
          <w:shd w:val="clear" w:color="auto" w:fill="FFFFFF"/>
        </w:rPr>
        <w:t>宣传还不够深入，</w:t>
      </w:r>
      <w:r>
        <w:rPr>
          <w:rFonts w:hint="eastAsia" w:ascii="仿宋_GB2312" w:eastAsia="仿宋_GB2312" w:cs="仿宋_GB2312"/>
          <w:color w:val="000000"/>
          <w:sz w:val="32"/>
          <w:szCs w:val="32"/>
          <w:shd w:val="clear" w:color="auto" w:fill="FFFFFF"/>
        </w:rPr>
        <w:t>牧民</w:t>
      </w:r>
      <w:r>
        <w:rPr>
          <w:rFonts w:ascii="仿宋_GB2312" w:eastAsia="仿宋_GB2312" w:cs="仿宋_GB2312"/>
          <w:color w:val="000000"/>
          <w:sz w:val="32"/>
          <w:szCs w:val="32"/>
          <w:shd w:val="clear" w:color="auto" w:fill="FFFFFF"/>
        </w:rPr>
        <w:t>群众对基本公共卫生项目知晓率低，不理解、不配合的现象时有发生</w:t>
      </w:r>
      <w:r>
        <w:rPr>
          <w:rFonts w:hint="eastAsia" w:ascii="仿宋_GB2312" w:eastAsia="仿宋_GB2312" w:cs="仿宋_GB2312"/>
          <w:color w:val="000000"/>
          <w:sz w:val="32"/>
          <w:szCs w:val="32"/>
          <w:shd w:val="clear" w:color="auto" w:fill="FFFFFF"/>
        </w:rPr>
        <w:t>、</w:t>
      </w:r>
      <w:r>
        <w:rPr>
          <w:rFonts w:hint="eastAsia" w:ascii="仿宋_GB2312" w:hAnsi="仿宋" w:eastAsia="仿宋_GB2312"/>
          <w:color w:val="000000"/>
          <w:sz w:val="32"/>
          <w:szCs w:val="32"/>
        </w:rPr>
        <w:t>疾病防控健康教育工作需要更深入，宣传资料需要更具针对性，只有改变了牧民群众的生活习惯，卫生习惯和防病观念后，我们的疾病预防控制工作才能事半功倍。</w:t>
      </w:r>
    </w:p>
    <w:p>
      <w:pPr>
        <w:spacing w:line="560" w:lineRule="exact"/>
        <w:ind w:firstLine="640" w:firstLineChars="200"/>
        <w:rPr>
          <w:rFonts w:ascii="仿宋_GB2312" w:eastAsia="仿宋_GB2312" w:cs="仿宋_GB2312"/>
          <w:color w:val="000000"/>
          <w:sz w:val="32"/>
          <w:szCs w:val="32"/>
          <w:shd w:val="clear" w:color="auto" w:fill="FFFFFF"/>
        </w:rPr>
      </w:pPr>
      <w:r>
        <w:rPr>
          <w:rFonts w:ascii="仿宋_GB2312" w:eastAsia="仿宋_GB2312" w:cs="仿宋_GB2312"/>
          <w:color w:val="000000"/>
          <w:sz w:val="32"/>
          <w:szCs w:val="32"/>
          <w:shd w:val="clear" w:color="auto" w:fill="FFFFFF"/>
        </w:rPr>
        <w:t>3</w:t>
      </w:r>
      <w:r>
        <w:rPr>
          <w:rFonts w:hint="eastAsia" w:ascii="仿宋_GB2312" w:eastAsia="仿宋_GB2312" w:cs="仿宋_GB2312"/>
          <w:color w:val="000000"/>
          <w:sz w:val="32"/>
          <w:szCs w:val="32"/>
          <w:shd w:val="clear" w:color="auto" w:fill="FFFFFF"/>
        </w:rPr>
        <w:t>.</w:t>
      </w:r>
      <w:r>
        <w:rPr>
          <w:rFonts w:ascii="仿宋_GB2312" w:eastAsia="仿宋_GB2312" w:cs="仿宋_GB2312"/>
          <w:color w:val="000000"/>
          <w:sz w:val="32"/>
          <w:szCs w:val="32"/>
          <w:shd w:val="clear" w:color="auto" w:fill="FFFFFF"/>
        </w:rPr>
        <w:t>项目工作实施主体主要是乡镇卫生院，基层人员紧张，工作量过大，导致工作质量和效率欠佳，难以保质保量完成工作任务。</w:t>
      </w:r>
    </w:p>
    <w:p>
      <w:pPr>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4.</w:t>
      </w:r>
      <w:r>
        <w:rPr>
          <w:rFonts w:ascii="仿宋_GB2312" w:hAnsi="仿宋_GB2312" w:eastAsia="仿宋_GB2312" w:cs="仿宋_GB2312"/>
          <w:color w:val="333333"/>
          <w:sz w:val="32"/>
          <w:szCs w:val="32"/>
          <w:shd w:val="clear" w:color="auto" w:fill="FFFFFF"/>
        </w:rPr>
        <w:t>督导管理人员流动性大，结核病患者难以克服被歧视心理，易拒绝上门随访和面对面访视。</w:t>
      </w:r>
    </w:p>
    <w:p>
      <w:pPr>
        <w:pStyle w:val="6"/>
        <w:spacing w:beforeAutospacing="0" w:afterAutospacing="0" w:line="560" w:lineRule="exact"/>
        <w:ind w:firstLine="600" w:firstLineChars="200"/>
        <w:jc w:val="both"/>
        <w:rPr>
          <w:rFonts w:ascii="仿宋_GB2312" w:hAnsi="仿宋_GB2312" w:eastAsia="仿宋_GB2312" w:cs="仿宋_GB2312"/>
          <w:color w:val="333333"/>
          <w:sz w:val="32"/>
          <w:szCs w:val="32"/>
          <w:shd w:val="clear" w:color="auto" w:fill="FFFFFF"/>
        </w:rPr>
      </w:pPr>
      <w:r>
        <w:rPr>
          <w:rFonts w:hint="eastAsia"/>
          <w:color w:val="333333"/>
          <w:sz w:val="30"/>
          <w:szCs w:val="30"/>
          <w:shd w:val="clear" w:color="auto" w:fill="FFFFFF"/>
        </w:rPr>
        <w:t>5.要进一步</w:t>
      </w:r>
      <w:r>
        <w:rPr>
          <w:rFonts w:ascii="仿宋_GB2312" w:hAnsi="仿宋_GB2312" w:eastAsia="仿宋_GB2312" w:cs="仿宋_GB2312"/>
          <w:color w:val="333333"/>
          <w:sz w:val="32"/>
          <w:szCs w:val="32"/>
          <w:shd w:val="clear" w:color="auto" w:fill="FFFFFF"/>
        </w:rPr>
        <w:t>加强学校结核病防治工作，做到有培训、有考核、有督导、有反馈，建立学校与疾控结防工作的长效管理，明确部门职责。规范开展学校结核病疫情处置。</w:t>
      </w:r>
    </w:p>
    <w:p>
      <w:pPr>
        <w:pStyle w:val="6"/>
        <w:spacing w:beforeAutospacing="0" w:afterAutospacing="0" w:line="560" w:lineRule="exact"/>
        <w:ind w:firstLine="640" w:firstLineChars="200"/>
        <w:jc w:val="both"/>
        <w:rPr>
          <w:rFonts w:ascii="Times New Roman" w:hAnsi="Times New Roman" w:eastAsia="黑体" w:cs="Times New Roman"/>
          <w:sz w:val="32"/>
          <w:szCs w:val="32"/>
        </w:rPr>
      </w:pPr>
      <w:r>
        <w:rPr>
          <w:rFonts w:ascii="Times New Roman" w:hAnsi="Times New Roman" w:eastAsia="黑体" w:cs="Times New Roman"/>
          <w:sz w:val="32"/>
          <w:szCs w:val="32"/>
        </w:rPr>
        <w:t>五、其他需要说明的事项</w:t>
      </w:r>
    </w:p>
    <w:p>
      <w:pPr>
        <w:pStyle w:val="13"/>
        <w:widowControl/>
        <w:shd w:val="clear" w:color="auto" w:fill="FFFFFF"/>
        <w:spacing w:before="0" w:beforeAutospacing="0" w:after="0" w:afterAutospacing="0"/>
        <w:ind w:firstLine="640" w:firstLineChars="200"/>
        <w:jc w:val="both"/>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shd w:val="clear" w:color="auto" w:fill="FFFFFF"/>
        </w:rPr>
        <w:t>结核病防治工作是一次长期、艰巨的工作，充分体现了党和政府对病人的关怀，我们将认真继续落实各项防治措施，确保完成任务。</w:t>
      </w:r>
    </w:p>
    <w:p>
      <w:pPr>
        <w:spacing w:line="600" w:lineRule="exact"/>
        <w:outlineLvl w:val="0"/>
        <w:rPr>
          <w:rFonts w:ascii="黑体" w:hAnsi="黑体" w:eastAsia="黑体"/>
          <w:color w:val="000000"/>
          <w:sz w:val="44"/>
          <w:szCs w:val="44"/>
        </w:rPr>
      </w:pPr>
    </w:p>
    <w:p>
      <w:pPr>
        <w:pStyle w:val="6"/>
        <w:spacing w:beforeAutospacing="0" w:afterAutospacing="0" w:line="560" w:lineRule="exact"/>
        <w:jc w:val="center"/>
        <w:rPr>
          <w:rFonts w:hint="eastAsia" w:ascii="Times New Roman" w:hAnsi="Times New Roman" w:cs="Times New Roman"/>
          <w:b/>
          <w:bCs/>
          <w:sz w:val="44"/>
          <w:szCs w:val="44"/>
        </w:rPr>
      </w:pPr>
    </w:p>
    <w:p>
      <w:pPr>
        <w:pStyle w:val="6"/>
        <w:spacing w:beforeAutospacing="0" w:afterAutospacing="0" w:line="560" w:lineRule="exact"/>
        <w:jc w:val="center"/>
        <w:rPr>
          <w:rFonts w:hint="eastAsia" w:ascii="Times New Roman" w:hAnsi="Times New Roman" w:cs="Times New Roman"/>
          <w:b/>
          <w:bCs/>
          <w:sz w:val="44"/>
          <w:szCs w:val="44"/>
        </w:rPr>
      </w:pPr>
    </w:p>
    <w:p>
      <w:pPr>
        <w:pStyle w:val="6"/>
        <w:spacing w:beforeAutospacing="0" w:afterAutospacing="0" w:line="560" w:lineRule="exact"/>
        <w:jc w:val="center"/>
        <w:rPr>
          <w:rFonts w:hint="eastAsia" w:ascii="Times New Roman" w:hAnsi="Times New Roman" w:cs="Times New Roman"/>
          <w:b/>
          <w:bCs/>
          <w:sz w:val="44"/>
          <w:szCs w:val="44"/>
        </w:rPr>
      </w:pPr>
    </w:p>
    <w:p>
      <w:pPr>
        <w:pStyle w:val="6"/>
        <w:spacing w:beforeAutospacing="0" w:afterAutospacing="0" w:line="560" w:lineRule="exact"/>
        <w:jc w:val="center"/>
        <w:rPr>
          <w:rFonts w:hint="eastAsia" w:ascii="Times New Roman" w:hAnsi="Times New Roman" w:cs="Times New Roman"/>
          <w:b/>
          <w:bCs/>
          <w:sz w:val="44"/>
          <w:szCs w:val="44"/>
        </w:rPr>
      </w:pPr>
    </w:p>
    <w:p>
      <w:pPr>
        <w:pStyle w:val="6"/>
        <w:spacing w:beforeAutospacing="0" w:afterAutospacing="0" w:line="560" w:lineRule="exact"/>
        <w:jc w:val="center"/>
        <w:rPr>
          <w:rFonts w:hint="eastAsia" w:ascii="Times New Roman" w:hAnsi="Times New Roman" w:cs="Times New Roman"/>
          <w:b/>
          <w:bCs/>
          <w:sz w:val="44"/>
          <w:szCs w:val="44"/>
        </w:rPr>
      </w:pPr>
    </w:p>
    <w:p>
      <w:pPr>
        <w:pStyle w:val="6"/>
        <w:spacing w:beforeAutospacing="0" w:afterAutospacing="0" w:line="560" w:lineRule="exact"/>
        <w:jc w:val="center"/>
        <w:rPr>
          <w:rFonts w:hint="eastAsia" w:ascii="Times New Roman" w:hAnsi="Times New Roman" w:cs="Times New Roman"/>
          <w:b/>
          <w:bCs/>
          <w:sz w:val="44"/>
          <w:szCs w:val="44"/>
        </w:rPr>
      </w:pPr>
    </w:p>
    <w:p>
      <w:pPr>
        <w:pStyle w:val="6"/>
        <w:spacing w:beforeAutospacing="0" w:afterAutospacing="0" w:line="560" w:lineRule="exact"/>
        <w:jc w:val="center"/>
        <w:rPr>
          <w:rFonts w:hint="eastAsia" w:ascii="Times New Roman" w:hAnsi="Times New Roman" w:cs="Times New Roman"/>
          <w:b/>
          <w:bCs/>
          <w:sz w:val="44"/>
          <w:szCs w:val="44"/>
        </w:rPr>
      </w:pPr>
    </w:p>
    <w:p>
      <w:pPr>
        <w:pStyle w:val="6"/>
        <w:spacing w:beforeAutospacing="0" w:afterAutospacing="0" w:line="560" w:lineRule="exact"/>
        <w:jc w:val="center"/>
        <w:rPr>
          <w:rFonts w:hint="eastAsia" w:ascii="Times New Roman" w:hAnsi="Times New Roman" w:cs="Times New Roman"/>
          <w:b/>
          <w:bCs/>
          <w:sz w:val="44"/>
          <w:szCs w:val="44"/>
        </w:rPr>
      </w:pPr>
    </w:p>
    <w:p>
      <w:pPr>
        <w:pStyle w:val="6"/>
        <w:spacing w:beforeAutospacing="0" w:afterAutospacing="0" w:line="560" w:lineRule="exact"/>
        <w:jc w:val="center"/>
        <w:rPr>
          <w:rFonts w:hint="eastAsia" w:ascii="Times New Roman" w:hAnsi="Times New Roman" w:cs="Times New Roman"/>
          <w:b/>
          <w:bCs/>
          <w:sz w:val="44"/>
          <w:szCs w:val="44"/>
        </w:rPr>
      </w:pPr>
    </w:p>
    <w:p>
      <w:pPr>
        <w:pStyle w:val="6"/>
        <w:spacing w:beforeAutospacing="0" w:afterAutospacing="0" w:line="560" w:lineRule="exact"/>
        <w:jc w:val="center"/>
        <w:rPr>
          <w:rFonts w:hint="eastAsia" w:ascii="Times New Roman" w:hAnsi="Times New Roman" w:cs="Times New Roman"/>
          <w:b/>
          <w:bCs/>
          <w:sz w:val="44"/>
          <w:szCs w:val="44"/>
        </w:rPr>
      </w:pPr>
    </w:p>
    <w:p>
      <w:pPr>
        <w:pStyle w:val="6"/>
        <w:spacing w:beforeAutospacing="0" w:afterAutospacing="0" w:line="560" w:lineRule="exact"/>
        <w:jc w:val="center"/>
        <w:rPr>
          <w:rFonts w:hint="eastAsia" w:ascii="Times New Roman" w:hAnsi="Times New Roman" w:cs="Times New Roman"/>
          <w:b/>
          <w:bCs/>
          <w:sz w:val="44"/>
          <w:szCs w:val="44"/>
        </w:rPr>
      </w:pPr>
    </w:p>
    <w:p>
      <w:pPr>
        <w:pStyle w:val="6"/>
        <w:spacing w:beforeAutospacing="0" w:afterAutospacing="0" w:line="560" w:lineRule="exact"/>
        <w:jc w:val="center"/>
        <w:rPr>
          <w:rFonts w:hint="eastAsia" w:ascii="Times New Roman" w:hAnsi="Times New Roman" w:cs="Times New Roman"/>
          <w:b/>
          <w:bCs/>
          <w:sz w:val="44"/>
          <w:szCs w:val="44"/>
        </w:rPr>
      </w:pPr>
    </w:p>
    <w:p>
      <w:pPr>
        <w:pStyle w:val="6"/>
        <w:spacing w:beforeAutospacing="0" w:afterAutospacing="0" w:line="560" w:lineRule="exact"/>
        <w:jc w:val="center"/>
        <w:rPr>
          <w:rFonts w:hint="eastAsia" w:ascii="Times New Roman" w:hAnsi="Times New Roman" w:cs="Times New Roman"/>
          <w:b/>
          <w:bCs/>
          <w:sz w:val="44"/>
          <w:szCs w:val="44"/>
        </w:rPr>
      </w:pPr>
    </w:p>
    <w:p>
      <w:pPr>
        <w:pStyle w:val="6"/>
        <w:spacing w:beforeAutospacing="0" w:afterAutospacing="0" w:line="560" w:lineRule="exact"/>
        <w:jc w:val="center"/>
        <w:rPr>
          <w:rFonts w:hint="eastAsia" w:ascii="Times New Roman" w:hAnsi="Times New Roman" w:cs="Times New Roman"/>
          <w:b/>
          <w:bCs/>
          <w:sz w:val="44"/>
          <w:szCs w:val="44"/>
        </w:rPr>
      </w:pPr>
    </w:p>
    <w:p>
      <w:pPr>
        <w:pStyle w:val="6"/>
        <w:spacing w:beforeAutospacing="0" w:afterAutospacing="0" w:line="560" w:lineRule="exact"/>
        <w:jc w:val="center"/>
        <w:rPr>
          <w:rFonts w:hint="eastAsia" w:ascii="Times New Roman" w:hAnsi="Times New Roman" w:cs="Times New Roman"/>
          <w:b/>
          <w:bCs/>
          <w:sz w:val="44"/>
          <w:szCs w:val="44"/>
        </w:rPr>
      </w:pPr>
    </w:p>
    <w:p>
      <w:pPr>
        <w:pStyle w:val="6"/>
        <w:spacing w:beforeAutospacing="0" w:afterAutospacing="0" w:line="560" w:lineRule="exact"/>
        <w:jc w:val="center"/>
        <w:rPr>
          <w:rFonts w:hint="eastAsia" w:ascii="Times New Roman" w:hAnsi="Times New Roman" w:cs="Times New Roman"/>
          <w:b/>
          <w:bCs/>
          <w:sz w:val="44"/>
          <w:szCs w:val="44"/>
        </w:rPr>
      </w:pPr>
    </w:p>
    <w:p>
      <w:pPr>
        <w:pStyle w:val="6"/>
        <w:spacing w:beforeAutospacing="0" w:afterAutospacing="0" w:line="560" w:lineRule="exact"/>
        <w:jc w:val="center"/>
        <w:rPr>
          <w:rFonts w:hint="eastAsia" w:ascii="Times New Roman" w:hAnsi="Times New Roman" w:cs="Times New Roman"/>
          <w:b/>
          <w:bCs/>
          <w:sz w:val="44"/>
          <w:szCs w:val="44"/>
        </w:rPr>
      </w:pPr>
    </w:p>
    <w:p>
      <w:pPr>
        <w:pStyle w:val="6"/>
        <w:spacing w:beforeAutospacing="0" w:afterAutospacing="0" w:line="560" w:lineRule="exact"/>
        <w:jc w:val="center"/>
        <w:rPr>
          <w:rFonts w:hint="eastAsia" w:ascii="Times New Roman" w:hAnsi="Times New Roman" w:cs="Times New Roman"/>
          <w:b/>
          <w:bCs/>
          <w:sz w:val="44"/>
          <w:szCs w:val="44"/>
        </w:rPr>
      </w:pPr>
    </w:p>
    <w:p>
      <w:pPr>
        <w:pStyle w:val="6"/>
        <w:spacing w:beforeAutospacing="0" w:afterAutospacing="0" w:line="560" w:lineRule="exact"/>
        <w:jc w:val="center"/>
        <w:rPr>
          <w:rFonts w:hint="eastAsia" w:ascii="Times New Roman" w:hAnsi="Times New Roman" w:cs="Times New Roman"/>
          <w:b/>
          <w:bCs/>
          <w:sz w:val="44"/>
          <w:szCs w:val="44"/>
        </w:rPr>
      </w:pPr>
    </w:p>
    <w:p>
      <w:pPr>
        <w:pStyle w:val="6"/>
        <w:spacing w:beforeAutospacing="0" w:afterAutospacing="0" w:line="560" w:lineRule="exact"/>
        <w:jc w:val="center"/>
        <w:rPr>
          <w:rFonts w:ascii="Times New Roman" w:hAnsi="Times New Roman" w:eastAsia="黑体" w:cs="Times New Roman"/>
          <w:b/>
          <w:bCs/>
          <w:sz w:val="32"/>
          <w:szCs w:val="32"/>
        </w:rPr>
      </w:pPr>
      <w:r>
        <w:rPr>
          <w:rFonts w:hint="eastAsia" w:ascii="Times New Roman" w:hAnsi="Times New Roman" w:cs="Times New Roman"/>
          <w:b/>
          <w:bCs/>
          <w:sz w:val="44"/>
          <w:szCs w:val="44"/>
        </w:rPr>
        <w:t>红原县疾病预防控制中心2018年</w:t>
      </w:r>
      <w:r>
        <w:rPr>
          <w:rFonts w:ascii="Times New Roman" w:hAnsi="Times New Roman" w:cs="Times New Roman"/>
          <w:b/>
          <w:bCs/>
          <w:sz w:val="44"/>
          <w:szCs w:val="44"/>
        </w:rPr>
        <w:t>重大公共卫生</w:t>
      </w:r>
      <w:r>
        <w:rPr>
          <w:rFonts w:hint="eastAsia" w:ascii="Times New Roman" w:hAnsi="Times New Roman" w:cs="Times New Roman"/>
          <w:b/>
          <w:bCs/>
          <w:sz w:val="44"/>
          <w:szCs w:val="44"/>
        </w:rPr>
        <w:t>服务</w:t>
      </w:r>
      <w:r>
        <w:rPr>
          <w:rFonts w:ascii="Times New Roman" w:hAnsi="Times New Roman" w:cs="Times New Roman"/>
          <w:b/>
          <w:bCs/>
          <w:sz w:val="44"/>
          <w:szCs w:val="44"/>
        </w:rPr>
        <w:t>项目绩效评价自评报告</w:t>
      </w:r>
    </w:p>
    <w:p>
      <w:pPr>
        <w:pStyle w:val="6"/>
        <w:spacing w:beforeAutospacing="0" w:afterAutospacing="0" w:line="560" w:lineRule="exact"/>
        <w:ind w:firstLine="2880" w:firstLineChars="9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（包虫病项目）</w:t>
      </w:r>
    </w:p>
    <w:p>
      <w:pPr>
        <w:pStyle w:val="13"/>
        <w:widowControl/>
        <w:spacing w:before="0" w:beforeAutospacing="0" w:after="0" w:afterAutospacing="0" w:line="480" w:lineRule="auto"/>
        <w:ind w:firstLine="600" w:firstLineChars="200"/>
        <w:rPr>
          <w:rFonts w:ascii="黑体" w:hAnsi="黑体" w:eastAsia="黑体" w:cs="宋体"/>
        </w:rPr>
      </w:pPr>
      <w:r>
        <w:rPr>
          <w:rFonts w:hint="eastAsia" w:ascii="黑体" w:hAnsi="黑体" w:eastAsia="黑体" w:cs="宋体"/>
          <w:color w:val="333333"/>
          <w:sz w:val="30"/>
          <w:szCs w:val="30"/>
          <w:shd w:val="clear" w:color="auto" w:fill="FFFFFF"/>
        </w:rPr>
        <w:t>一、自评工作基本情况</w:t>
      </w:r>
    </w:p>
    <w:p>
      <w:pPr>
        <w:pStyle w:val="13"/>
        <w:widowControl/>
        <w:spacing w:before="0" w:beforeAutospacing="0" w:after="0" w:afterAutospacing="0" w:line="480" w:lineRule="auto"/>
        <w:ind w:firstLine="630"/>
        <w:rPr>
          <w:rFonts w:ascii="仿宋_GB2312" w:hAnsi="仿宋_GB2312" w:eastAsia="仿宋_GB2312" w:cs="仿宋_GB2312"/>
          <w:sz w:val="32"/>
          <w:szCs w:val="32"/>
        </w:rPr>
      </w:pPr>
      <w:r>
        <w:rPr>
          <w:rFonts w:hint="eastAsia" w:ascii="仿宋_GB2312" w:hAnsi="仿宋_GB2312" w:eastAsia="仿宋_GB2312" w:cs="仿宋_GB2312"/>
          <w:color w:val="333333"/>
          <w:sz w:val="32"/>
          <w:szCs w:val="32"/>
          <w:shd w:val="clear" w:color="auto" w:fill="FFFFFF"/>
        </w:rPr>
        <w:t>本次评价的目的是为加强重大公共卫生服务项目资金管理，提高资金使用效益，推动科学、可行的项目绩效评价机制。2018年度重大公共卫生服务项目的决策情况、管理情况、产出情况和效益情况</w:t>
      </w:r>
    </w:p>
    <w:p>
      <w:pPr>
        <w:adjustRightInd w:val="0"/>
        <w:snapToGrid w:val="0"/>
        <w:spacing w:line="56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红原县辖11乡镇，243个行政村。2018年，全县总人口4.8万人，常住人口4.8万人。全县项目实施单位16个，其中：乡镇卫生院11个。</w:t>
      </w:r>
    </w:p>
    <w:p>
      <w:pPr>
        <w:adjustRightInd w:val="0"/>
        <w:snapToGrid w:val="0"/>
        <w:spacing w:line="560" w:lineRule="exact"/>
        <w:ind w:firstLine="640" w:firstLineChars="200"/>
        <w:rPr>
          <w:rFonts w:ascii="楷体_GB2312" w:hAnsi="宋体" w:eastAsia="楷体_GB2312" w:cs="楷体_GB2312"/>
          <w:bCs/>
          <w:lang w:val="zh-CN"/>
        </w:rPr>
      </w:pPr>
      <w:r>
        <w:rPr>
          <w:rFonts w:hint="eastAsia" w:ascii="黑体" w:hAnsi="黑体" w:eastAsia="黑体" w:cs="楷体_GB2312"/>
          <w:bCs/>
          <w:sz w:val="32"/>
          <w:lang w:val="zh-CN"/>
        </w:rPr>
        <w:t>二、项目自评步骤及方法</w:t>
      </w:r>
    </w:p>
    <w:p>
      <w:pPr>
        <w:adjustRightInd w:val="0"/>
        <w:snapToGrid w:val="0"/>
        <w:spacing w:line="560" w:lineRule="exact"/>
        <w:ind w:firstLine="640" w:firstLineChars="200"/>
        <w:rPr>
          <w:rFonts w:ascii="仿宋_GB2312" w:hAnsi="宋体" w:eastAsia="仿宋_GB2312" w:cs="仿宋_GB2312"/>
          <w:color w:val="000000"/>
          <w:sz w:val="32"/>
          <w:szCs w:val="32"/>
          <w:shd w:val="clear" w:color="auto" w:fill="FFFFFF"/>
        </w:rPr>
      </w:pPr>
      <w:r>
        <w:rPr>
          <w:rFonts w:ascii="仿宋_GB2312" w:hAnsi="宋体" w:eastAsia="仿宋_GB2312" w:cs="仿宋_GB2312"/>
          <w:color w:val="000000"/>
          <w:sz w:val="32"/>
          <w:szCs w:val="32"/>
          <w:shd w:val="clear" w:color="auto" w:fill="FFFFFF"/>
        </w:rPr>
        <w:t>项目采取自评方式，成立项目自评</w:t>
      </w:r>
      <w:r>
        <w:rPr>
          <w:rFonts w:hint="eastAsia" w:ascii="仿宋_GB2312" w:hAnsi="宋体" w:eastAsia="仿宋_GB2312" w:cs="仿宋_GB2312"/>
          <w:color w:val="000000"/>
          <w:sz w:val="32"/>
          <w:szCs w:val="32"/>
          <w:shd w:val="clear" w:color="auto" w:fill="FFFFFF"/>
        </w:rPr>
        <w:t>领导</w:t>
      </w:r>
      <w:r>
        <w:rPr>
          <w:rFonts w:ascii="仿宋_GB2312" w:hAnsi="宋体" w:eastAsia="仿宋_GB2312" w:cs="仿宋_GB2312"/>
          <w:color w:val="000000"/>
          <w:sz w:val="32"/>
          <w:szCs w:val="32"/>
          <w:shd w:val="clear" w:color="auto" w:fill="FFFFFF"/>
        </w:rPr>
        <w:t>小组，结合评价内容，做到有计划，有安排，扎实开展本次自评工作。按照上级下达的项目支出绩效评价指标体系，自评小组针对申报内容、实施情况、资金兑现、财务管理、社会效益等做出自我评价。</w:t>
      </w:r>
      <w:r>
        <w:rPr>
          <w:rFonts w:hint="eastAsia" w:ascii="仿宋_GB2312" w:hAnsi="宋体" w:eastAsia="仿宋_GB2312" w:cs="仿宋_GB2312"/>
          <w:color w:val="000000"/>
          <w:sz w:val="32"/>
          <w:szCs w:val="32"/>
          <w:shd w:val="clear" w:color="auto" w:fill="FFFFFF"/>
        </w:rPr>
        <w:t>包虫病项目领导小组如下：</w:t>
      </w:r>
    </w:p>
    <w:p>
      <w:pPr>
        <w:adjustRightInd w:val="0"/>
        <w:snapToGrid w:val="0"/>
        <w:spacing w:line="560" w:lineRule="exact"/>
        <w:ind w:firstLine="640" w:firstLineChars="200"/>
        <w:rPr>
          <w:rFonts w:ascii="仿宋_GB2312" w:hAnsi="宋体" w:eastAsia="仿宋_GB2312" w:cs="仿宋_GB2312"/>
          <w:color w:val="000000"/>
          <w:sz w:val="32"/>
          <w:szCs w:val="32"/>
          <w:shd w:val="clear" w:color="auto" w:fill="FFFFFF"/>
        </w:rPr>
      </w:pPr>
      <w:r>
        <w:rPr>
          <w:rFonts w:hint="eastAsia" w:ascii="仿宋_GB2312" w:hAnsi="宋体" w:eastAsia="仿宋_GB2312" w:cs="仿宋_GB2312"/>
          <w:color w:val="000000"/>
          <w:sz w:val="32"/>
          <w:szCs w:val="32"/>
          <w:shd w:val="clear" w:color="auto" w:fill="FFFFFF"/>
        </w:rPr>
        <w:t>组  长：张国明   县疾控中心主任</w:t>
      </w:r>
    </w:p>
    <w:p>
      <w:pPr>
        <w:adjustRightInd w:val="0"/>
        <w:snapToGrid w:val="0"/>
        <w:spacing w:line="560" w:lineRule="exact"/>
        <w:ind w:firstLine="640" w:firstLineChars="200"/>
        <w:rPr>
          <w:rFonts w:ascii="仿宋_GB2312" w:hAnsi="宋体" w:eastAsia="仿宋_GB2312" w:cs="仿宋_GB2312"/>
          <w:color w:val="000000"/>
          <w:sz w:val="32"/>
          <w:szCs w:val="32"/>
          <w:shd w:val="clear" w:color="auto" w:fill="FFFFFF"/>
        </w:rPr>
      </w:pPr>
      <w:r>
        <w:rPr>
          <w:rFonts w:hint="eastAsia" w:ascii="仿宋_GB2312" w:hAnsi="宋体" w:eastAsia="仿宋_GB2312" w:cs="仿宋_GB2312"/>
          <w:color w:val="000000"/>
          <w:sz w:val="32"/>
          <w:szCs w:val="32"/>
          <w:shd w:val="clear" w:color="auto" w:fill="FFFFFF"/>
        </w:rPr>
        <w:t>副组长：温念平   县疾控中心副主任</w:t>
      </w:r>
    </w:p>
    <w:p>
      <w:pPr>
        <w:adjustRightInd w:val="0"/>
        <w:snapToGrid w:val="0"/>
        <w:spacing w:line="560" w:lineRule="exact"/>
        <w:ind w:firstLine="1920" w:firstLineChars="600"/>
        <w:rPr>
          <w:rFonts w:ascii="仿宋_GB2312" w:hAnsi="宋体" w:eastAsia="仿宋_GB2312" w:cs="仿宋_GB2312"/>
          <w:color w:val="000000"/>
          <w:sz w:val="32"/>
          <w:szCs w:val="32"/>
          <w:shd w:val="clear" w:color="auto" w:fill="FFFFFF"/>
        </w:rPr>
      </w:pPr>
      <w:r>
        <w:rPr>
          <w:rFonts w:hint="eastAsia" w:ascii="仿宋_GB2312" w:hAnsi="宋体" w:eastAsia="仿宋_GB2312" w:cs="仿宋_GB2312"/>
          <w:color w:val="000000"/>
          <w:sz w:val="32"/>
          <w:szCs w:val="32"/>
          <w:shd w:val="clear" w:color="auto" w:fill="FFFFFF"/>
        </w:rPr>
        <w:t>白玛扎西  县疾控中心副主任</w:t>
      </w:r>
    </w:p>
    <w:p>
      <w:pPr>
        <w:adjustRightInd w:val="0"/>
        <w:snapToGrid w:val="0"/>
        <w:spacing w:line="560" w:lineRule="exact"/>
        <w:ind w:firstLine="640" w:firstLineChars="200"/>
        <w:rPr>
          <w:rFonts w:ascii="仿宋_GB2312" w:hAnsi="宋体" w:eastAsia="仿宋_GB2312" w:cs="仿宋_GB2312"/>
          <w:color w:val="000000"/>
          <w:sz w:val="32"/>
          <w:szCs w:val="32"/>
          <w:shd w:val="clear" w:color="auto" w:fill="FFFFFF"/>
        </w:rPr>
      </w:pPr>
      <w:r>
        <w:rPr>
          <w:rFonts w:hint="eastAsia" w:ascii="仿宋_GB2312" w:hAnsi="宋体" w:eastAsia="仿宋_GB2312" w:cs="仿宋_GB2312"/>
          <w:color w:val="000000"/>
          <w:sz w:val="32"/>
          <w:szCs w:val="32"/>
          <w:shd w:val="clear" w:color="auto" w:fill="FFFFFF"/>
        </w:rPr>
        <w:t>成员：陈雪凤  陈丽  韩孝英  吴小芹               办公室设在财务室、包虫病防治办公室。</w:t>
      </w:r>
    </w:p>
    <w:p>
      <w:pPr>
        <w:pStyle w:val="6"/>
        <w:spacing w:beforeAutospacing="0" w:afterAutospacing="0" w:line="560" w:lineRule="exact"/>
        <w:ind w:firstLine="640" w:firstLineChars="200"/>
        <w:jc w:val="both"/>
        <w:rPr>
          <w:rFonts w:ascii="黑体" w:hAnsi="黑体" w:eastAsia="黑体" w:cs="仿宋_GB2312"/>
          <w:sz w:val="32"/>
          <w:szCs w:val="32"/>
        </w:rPr>
      </w:pPr>
      <w:r>
        <w:rPr>
          <w:rFonts w:hint="eastAsia" w:ascii="黑体" w:hAnsi="黑体" w:eastAsia="黑体" w:cs="仿宋_GB2312"/>
          <w:sz w:val="32"/>
          <w:szCs w:val="32"/>
        </w:rPr>
        <w:t>三、评价的项目内容及概况</w:t>
      </w:r>
    </w:p>
    <w:p>
      <w:pPr>
        <w:pStyle w:val="13"/>
        <w:widowControl/>
        <w:spacing w:before="0" w:beforeAutospacing="0" w:after="0" w:afterAutospacing="0" w:line="480" w:lineRule="auto"/>
        <w:ind w:firstLine="964" w:firstLineChars="300"/>
        <w:rPr>
          <w:rFonts w:ascii="楷体" w:hAnsi="楷体" w:eastAsia="楷体" w:cs="宋体"/>
          <w:b/>
          <w:color w:val="333333"/>
          <w:sz w:val="30"/>
          <w:szCs w:val="30"/>
          <w:shd w:val="clear" w:color="auto" w:fill="FFFFFF"/>
        </w:rPr>
      </w:pPr>
      <w:r>
        <w:rPr>
          <w:rFonts w:hint="eastAsia" w:ascii="楷体" w:hAnsi="楷体" w:eastAsia="楷体" w:cs="仿宋_GB2312"/>
          <w:b/>
          <w:bCs/>
          <w:sz w:val="32"/>
          <w:szCs w:val="32"/>
        </w:rPr>
        <w:t>（一）</w:t>
      </w:r>
      <w:r>
        <w:rPr>
          <w:rFonts w:hint="eastAsia" w:ascii="楷体" w:hAnsi="楷体" w:eastAsia="楷体" w:cs="宋体"/>
          <w:b/>
          <w:color w:val="333333"/>
          <w:sz w:val="30"/>
          <w:szCs w:val="30"/>
          <w:shd w:val="clear" w:color="auto" w:fill="FFFFFF"/>
        </w:rPr>
        <w:t>评价的具体项目资金情况</w:t>
      </w:r>
    </w:p>
    <w:p>
      <w:pPr>
        <w:pStyle w:val="13"/>
        <w:widowControl/>
        <w:spacing w:before="0" w:beforeAutospacing="0" w:after="0" w:afterAutospacing="0" w:line="480" w:lineRule="auto"/>
        <w:ind w:firstLine="640" w:firstLineChars="200"/>
        <w:rPr>
          <w:rFonts w:ascii="仿宋_GB2312" w:hAnsi="仿宋_GB2312" w:eastAsia="仿宋_GB2312" w:cs="仿宋_GB2312"/>
          <w:color w:val="333333"/>
          <w:sz w:val="32"/>
          <w:szCs w:val="32"/>
          <w:shd w:val="clear" w:color="auto" w:fill="FFFFFF"/>
        </w:rPr>
      </w:pPr>
      <w:r>
        <w:rPr>
          <w:rFonts w:ascii="仿宋_GB2312" w:hAnsi="仿宋_GB2312" w:eastAsia="仿宋_GB2312" w:cs="仿宋_GB2312"/>
          <w:color w:val="333333"/>
          <w:sz w:val="32"/>
          <w:szCs w:val="32"/>
          <w:shd w:val="clear" w:color="auto" w:fill="FFFFFF"/>
        </w:rPr>
        <w:t>以前年度结余结转数</w:t>
      </w:r>
      <w:r>
        <w:rPr>
          <w:rFonts w:hint="eastAsia" w:ascii="仿宋_GB2312" w:hAnsi="仿宋_GB2312" w:eastAsia="仿宋_GB2312" w:cs="仿宋_GB2312"/>
          <w:color w:val="333333"/>
          <w:sz w:val="32"/>
          <w:szCs w:val="32"/>
          <w:shd w:val="clear" w:color="auto" w:fill="FFFFFF"/>
        </w:rPr>
        <w:t>6.16</w:t>
      </w:r>
      <w:r>
        <w:rPr>
          <w:rFonts w:ascii="仿宋_GB2312" w:hAnsi="仿宋_GB2312" w:eastAsia="仿宋_GB2312" w:cs="仿宋_GB2312"/>
          <w:color w:val="333333"/>
          <w:sz w:val="32"/>
          <w:szCs w:val="32"/>
          <w:shd w:val="clear" w:color="auto" w:fill="FFFFFF"/>
        </w:rPr>
        <w:t>万元，2018年收到</w:t>
      </w:r>
      <w:r>
        <w:rPr>
          <w:rFonts w:hint="eastAsia" w:ascii="仿宋_GB2312" w:hAnsi="仿宋_GB2312" w:eastAsia="仿宋_GB2312" w:cs="仿宋_GB2312"/>
          <w:color w:val="333333"/>
          <w:sz w:val="32"/>
          <w:szCs w:val="32"/>
          <w:shd w:val="clear" w:color="auto" w:fill="FFFFFF"/>
        </w:rPr>
        <w:t>中央，省，州</w:t>
      </w:r>
      <w:r>
        <w:rPr>
          <w:rFonts w:ascii="仿宋_GB2312" w:hAnsi="仿宋_GB2312" w:eastAsia="仿宋_GB2312" w:cs="仿宋_GB2312"/>
          <w:color w:val="333333"/>
          <w:sz w:val="32"/>
          <w:szCs w:val="32"/>
          <w:shd w:val="clear" w:color="auto" w:fill="FFFFFF"/>
        </w:rPr>
        <w:t>级财政预算经费</w:t>
      </w:r>
      <w:r>
        <w:rPr>
          <w:rFonts w:hint="eastAsia" w:ascii="仿宋_GB2312" w:hAnsi="仿宋_GB2312" w:eastAsia="仿宋_GB2312" w:cs="仿宋_GB2312"/>
          <w:color w:val="333333"/>
          <w:sz w:val="32"/>
          <w:szCs w:val="32"/>
          <w:shd w:val="clear" w:color="auto" w:fill="FFFFFF"/>
        </w:rPr>
        <w:t>372.1</w:t>
      </w:r>
      <w:r>
        <w:rPr>
          <w:rFonts w:ascii="仿宋_GB2312" w:hAnsi="仿宋_GB2312" w:eastAsia="仿宋_GB2312" w:cs="仿宋_GB2312"/>
          <w:color w:val="333333"/>
          <w:sz w:val="32"/>
          <w:szCs w:val="32"/>
          <w:shd w:val="clear" w:color="auto" w:fill="FFFFFF"/>
        </w:rPr>
        <w:t>万元，201</w:t>
      </w:r>
      <w:r>
        <w:rPr>
          <w:rFonts w:hint="eastAsia" w:ascii="仿宋_GB2312" w:hAnsi="仿宋_GB2312" w:eastAsia="仿宋_GB2312" w:cs="仿宋_GB2312"/>
          <w:color w:val="333333"/>
          <w:sz w:val="32"/>
          <w:szCs w:val="32"/>
          <w:shd w:val="clear" w:color="auto" w:fill="FFFFFF"/>
        </w:rPr>
        <w:t>8</w:t>
      </w:r>
      <w:r>
        <w:rPr>
          <w:rFonts w:ascii="仿宋_GB2312" w:hAnsi="仿宋_GB2312" w:eastAsia="仿宋_GB2312" w:cs="仿宋_GB2312"/>
          <w:color w:val="333333"/>
          <w:sz w:val="32"/>
          <w:szCs w:val="32"/>
          <w:shd w:val="clear" w:color="auto" w:fill="FFFFFF"/>
        </w:rPr>
        <w:t>年实际支出为</w:t>
      </w:r>
      <w:r>
        <w:rPr>
          <w:rFonts w:hint="eastAsia" w:ascii="仿宋_GB2312" w:hAnsi="仿宋_GB2312" w:eastAsia="仿宋_GB2312" w:cs="仿宋_GB2312"/>
          <w:color w:val="333333"/>
          <w:sz w:val="32"/>
          <w:szCs w:val="32"/>
          <w:shd w:val="clear" w:color="auto" w:fill="FFFFFF"/>
        </w:rPr>
        <w:t>167.02</w:t>
      </w:r>
      <w:r>
        <w:rPr>
          <w:rFonts w:ascii="仿宋_GB2312" w:hAnsi="仿宋_GB2312" w:eastAsia="仿宋_GB2312" w:cs="仿宋_GB2312"/>
          <w:color w:val="333333"/>
          <w:sz w:val="32"/>
          <w:szCs w:val="32"/>
          <w:shd w:val="clear" w:color="auto" w:fill="FFFFFF"/>
        </w:rPr>
        <w:t>万元。到2018年年底账面余额</w:t>
      </w:r>
      <w:r>
        <w:rPr>
          <w:rFonts w:hint="eastAsia" w:ascii="仿宋_GB2312" w:hAnsi="仿宋_GB2312" w:eastAsia="仿宋_GB2312" w:cs="仿宋_GB2312"/>
          <w:color w:val="333333"/>
          <w:sz w:val="32"/>
          <w:szCs w:val="32"/>
          <w:shd w:val="clear" w:color="auto" w:fill="FFFFFF"/>
        </w:rPr>
        <w:t>211.24</w:t>
      </w:r>
      <w:r>
        <w:rPr>
          <w:rFonts w:ascii="仿宋_GB2312" w:hAnsi="仿宋_GB2312" w:eastAsia="仿宋_GB2312" w:cs="仿宋_GB2312"/>
          <w:color w:val="333333"/>
          <w:sz w:val="32"/>
          <w:szCs w:val="32"/>
          <w:shd w:val="clear" w:color="auto" w:fill="FFFFFF"/>
        </w:rPr>
        <w:t>万元。</w:t>
      </w:r>
    </w:p>
    <w:p>
      <w:pPr>
        <w:pStyle w:val="13"/>
        <w:widowControl/>
        <w:spacing w:before="0" w:beforeAutospacing="0" w:after="0" w:afterAutospacing="0" w:line="480" w:lineRule="auto"/>
        <w:ind w:firstLine="602"/>
        <w:rPr>
          <w:rFonts w:ascii="黑体" w:hAnsi="黑体" w:eastAsia="黑体" w:cs="宋体"/>
        </w:rPr>
      </w:pPr>
      <w:r>
        <w:rPr>
          <w:rFonts w:hint="eastAsia" w:ascii="黑体" w:hAnsi="黑体" w:eastAsia="黑体" w:cs="宋体"/>
          <w:b/>
          <w:color w:val="333333"/>
          <w:sz w:val="30"/>
          <w:szCs w:val="30"/>
          <w:shd w:val="clear" w:color="auto" w:fill="FFFFFF"/>
        </w:rPr>
        <w:t>四、绩效评价</w:t>
      </w:r>
    </w:p>
    <w:p>
      <w:pPr>
        <w:pStyle w:val="13"/>
        <w:widowControl/>
        <w:shd w:val="clear" w:color="auto" w:fill="FFFFFF"/>
        <w:spacing w:before="150" w:beforeAutospacing="0" w:after="150" w:afterAutospacing="0"/>
        <w:ind w:firstLine="578" w:firstLineChars="180"/>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（一）包虫病防治项目工作完成情况</w:t>
      </w:r>
    </w:p>
    <w:p>
      <w:pPr>
        <w:pStyle w:val="13"/>
        <w:widowControl/>
        <w:shd w:val="clear" w:color="auto" w:fill="FFFFFF"/>
        <w:spacing w:before="150" w:beforeAutospacing="0" w:after="150" w:afterAutospacing="0"/>
        <w:ind w:firstLine="739" w:firstLineChars="230"/>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shd w:val="clear" w:color="auto" w:fill="FFFFFF"/>
        </w:rPr>
        <w:t>1.加强犬只管理和传染源的控制</w:t>
      </w:r>
    </w:p>
    <w:p>
      <w:pPr>
        <w:pStyle w:val="13"/>
        <w:widowControl/>
        <w:shd w:val="clear" w:color="auto" w:fill="FFFFFF"/>
        <w:spacing w:before="150" w:beforeAutospacing="0" w:after="150" w:afterAutospacing="0"/>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shd w:val="clear" w:color="auto" w:fill="FFFFFF"/>
        </w:rPr>
        <w:t>结合县公安局及城建局，切实加强对县城内、生活垃圾场等重点场所流浪犬、疑染疫犬进行清理和无害化处理工作，其中捕杀染疫犬和流浪犬187条，并严格按照死畜禽无害化处理方法，及时进行了处理。各村驱虫员每月走村入户对犬只进行“月月驱虫、犬犬投药”，家犬登记管理达100%，登记犬驱虫、犬粪无害化处理要达到100%。</w:t>
      </w:r>
    </w:p>
    <w:p>
      <w:pPr>
        <w:pStyle w:val="13"/>
        <w:widowControl/>
        <w:shd w:val="clear" w:color="auto" w:fill="FFFFFF"/>
        <w:spacing w:before="150" w:beforeAutospacing="0" w:after="150" w:afterAutospacing="0"/>
        <w:ind w:firstLine="739" w:firstLineChars="230"/>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shd w:val="clear" w:color="auto" w:fill="FFFFFF"/>
        </w:rPr>
        <w:t>2.切实抓好蓄间防控及鼠害治理</w:t>
      </w:r>
    </w:p>
    <w:p>
      <w:pPr>
        <w:pStyle w:val="13"/>
        <w:widowControl/>
        <w:shd w:val="clear" w:color="auto" w:fill="FFFFFF"/>
        <w:spacing w:before="150" w:beforeAutospacing="0" w:after="150" w:afterAutospacing="0"/>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shd w:val="clear" w:color="auto" w:fill="FFFFFF"/>
        </w:rPr>
        <w:t>包虫病的主要传染来源于犬只，按照《县犬只规范化管理细则》确实加强犬只管理规范，每月给犬只投药后7天之内的粪便收集起来，放入犬粪无害化处理池中集中处理，每个季度进行一次犬粪收集上交疾病预防控制中心，2018年共上交了三次，80份犬粪。</w:t>
      </w:r>
    </w:p>
    <w:p>
      <w:pPr>
        <w:pStyle w:val="13"/>
        <w:widowControl/>
        <w:shd w:val="clear" w:color="auto" w:fill="FFFFFF"/>
        <w:spacing w:before="150" w:beforeAutospacing="0" w:after="150" w:afterAutospacing="0"/>
        <w:ind w:firstLine="739" w:firstLineChars="230"/>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shd w:val="clear" w:color="auto" w:fill="FFFFFF"/>
        </w:rPr>
        <w:t>3.深入开展包虫病综合防治宣传教育工作</w:t>
      </w:r>
    </w:p>
    <w:p>
      <w:pPr>
        <w:pStyle w:val="13"/>
        <w:widowControl/>
        <w:shd w:val="clear" w:color="auto" w:fill="FFFFFF"/>
        <w:spacing w:before="150" w:beforeAutospacing="0" w:after="150" w:afterAutospacing="0"/>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shd w:val="clear" w:color="auto" w:fill="FFFFFF"/>
        </w:rPr>
        <w:t>拓展宣传教育载体，强化正确舆论导向，针对牧民、学生、僧尼、干部开展多样健康教育活动，改变群众不良的生产生活习惯，培养健康文明的生产生活方式，向学生发放包虫病宣传手册52本，发挥好“小手拉大手”“一生带一户”的作用。将包虫病综合防治知识，健康生活理念、健康行为传入千家万户。</w:t>
      </w:r>
    </w:p>
    <w:p>
      <w:pPr>
        <w:pStyle w:val="13"/>
        <w:widowControl/>
        <w:shd w:val="clear" w:color="auto" w:fill="FFFFFF"/>
        <w:spacing w:before="150" w:beforeAutospacing="0" w:after="150" w:afterAutospacing="0"/>
        <w:ind w:firstLine="579" w:firstLineChars="181"/>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shd w:val="clear" w:color="auto" w:fill="FFFFFF"/>
        </w:rPr>
        <w:t>结合“同心同向”活动，把包虫病综合防治纳入宗教界人士自我管理学教内容、纳入寺庙达标升级考核重要内容，积极引导僧尼参与包虫病综合防治。组织干部职工深入开展包虫病综合防治工作政策和知识宣讲，干部职工和学生对包虫病综合防治知识知晓率达到100%，僧尼和牧民群众对包虫病综合防治知识知晓率达到92.3%，积极开展爱国卫生运动工作大力开展城乡环境综合治理工作。</w:t>
      </w:r>
    </w:p>
    <w:p>
      <w:pPr>
        <w:pStyle w:val="13"/>
        <w:widowControl/>
        <w:shd w:val="clear" w:color="auto" w:fill="FFFFFF"/>
        <w:spacing w:before="150" w:beforeAutospacing="0" w:after="150" w:afterAutospacing="0"/>
        <w:ind w:firstLine="736" w:firstLineChars="229"/>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shd w:val="clear" w:color="auto" w:fill="FFFFFF"/>
        </w:rPr>
        <w:t>4.深入寺庙开展包虫病综合防治工作</w:t>
      </w:r>
    </w:p>
    <w:p>
      <w:pPr>
        <w:pStyle w:val="13"/>
        <w:widowControl/>
        <w:shd w:val="clear" w:color="auto" w:fill="FFFFFF"/>
        <w:spacing w:before="150" w:beforeAutospacing="0" w:after="150" w:afterAutospacing="0"/>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shd w:val="clear" w:color="auto" w:fill="FFFFFF"/>
        </w:rPr>
        <w:t>为了提高广大农牧民群众对包虫病的认识。我单位充分调动社会各方面的力量，定期和不定期地在各乡开展了多种形式的健康教育活动。要牢固树立寺庙是社会的基本单位，僧尼是社会的基本群众的思想意识，结合“同心同向”活动，组织干部职工深入寺庙同广大僧尼群众面对面、心贴心进行宣传教育和引导，强化僧尼健康卫生意识，促使养成良好的卫生习惯，引导僧尼及群众理解支持和积极参与犬只规范化管理工作；积极在僧尼中开展包虫病筛查和治疗，开展寺庙安全饮水、环境卫生整治工作，寺庙僧尼包虫病筛查率要达到96.2%以上，从而加强寺庙和僧尼同党和政府在思想上同心同向，行动上同心同行。</w:t>
      </w:r>
    </w:p>
    <w:p>
      <w:pPr>
        <w:pStyle w:val="13"/>
        <w:widowControl/>
        <w:shd w:val="clear" w:color="auto" w:fill="FFFFFF"/>
        <w:spacing w:before="150" w:beforeAutospacing="0" w:after="150" w:afterAutospacing="0"/>
        <w:ind w:firstLine="739" w:firstLineChars="230"/>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shd w:val="clear" w:color="auto" w:fill="FFFFFF"/>
        </w:rPr>
        <w:t>5.筛查治疗及实施救助力度</w:t>
      </w:r>
    </w:p>
    <w:p>
      <w:pPr>
        <w:pStyle w:val="13"/>
        <w:widowControl/>
        <w:shd w:val="clear" w:color="auto" w:fill="FFFFFF"/>
        <w:spacing w:before="150" w:beforeAutospacing="0" w:after="150" w:afterAutospacing="0"/>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auto" w:fill="FFFFFF"/>
        </w:rPr>
        <w:t>在2018年三次筛查工作的基础上重点开展包虫病筛查查漏补缺工作，常住人口目标人群筛查率达到96.2%以上，做到应查尽查、应治尽治、应助尽助、应管尽管。对筛查中发现的疑似患者进一步采取b超检查加以确诊。对符合手术指针的患者，积极宣传教育动员手术治疗。</w:t>
      </w:r>
      <w:r>
        <w:rPr>
          <w:rFonts w:hint="eastAsia" w:ascii="仿宋_GB2312" w:hAnsi="仿宋_GB2312" w:eastAsia="仿宋_GB2312" w:cs="仿宋_GB2312"/>
          <w:sz w:val="32"/>
          <w:szCs w:val="32"/>
        </w:rPr>
        <w:t>按照包虫病防治工作要求完成2018年包虫病筛查任务</w:t>
      </w:r>
      <w:r>
        <w:rPr>
          <w:rFonts w:hint="eastAsia" w:ascii="华文仿宋" w:hAnsi="华文仿宋" w:eastAsia="华文仿宋" w:cs="华文仿宋"/>
          <w:sz w:val="32"/>
          <w:szCs w:val="32"/>
        </w:rPr>
        <w:t>17739人，筛查率达92.54%，筛查出疑似病例18例，采集血清进一步做实验室检查。确诊病例1例。病人随访管理，规范药物管理治疗58人、中断34人、失访26人、死亡14、治愈20人，手术21人。采集犬粪1320份，捕捉了1000只小型哺乳动物，进行了剖检，检查肝肺，发现28例疑似病变脏器，在定点屠宰场对300头牦牛进行包虫病监测，查看每叶肝、肺的表面，发现8例阳性(肝脏7例、肺1例)。阳性率为2.67%。包虫病防治知识</w:t>
      </w:r>
      <w:r>
        <w:rPr>
          <w:rFonts w:hint="eastAsia" w:ascii="仿宋_GB2312" w:hAnsi="仿宋_GB2312" w:eastAsia="仿宋_GB2312" w:cs="仿宋_GB2312"/>
          <w:sz w:val="32"/>
          <w:szCs w:val="32"/>
        </w:rPr>
        <w:t>覆盖目标人群12000余人次，发放藏、汉双语宣传资料和宣传册11500余份。</w:t>
      </w:r>
    </w:p>
    <w:p>
      <w:pPr>
        <w:pStyle w:val="6"/>
        <w:spacing w:beforeAutospacing="0" w:afterAutospacing="0" w:line="560" w:lineRule="exact"/>
        <w:ind w:firstLine="472" w:firstLineChars="147"/>
        <w:jc w:val="both"/>
        <w:rPr>
          <w:rFonts w:ascii="楷体" w:hAnsi="楷体" w:eastAsia="楷体" w:cs="仿宋_GB2312"/>
          <w:b/>
          <w:color w:val="000000"/>
          <w:sz w:val="32"/>
          <w:szCs w:val="32"/>
          <w:shd w:val="clear" w:color="auto" w:fill="FFFFFF"/>
        </w:rPr>
      </w:pPr>
      <w:r>
        <w:rPr>
          <w:rFonts w:hint="eastAsia" w:ascii="楷体" w:hAnsi="楷体" w:eastAsia="楷体" w:cs="仿宋_GB2312"/>
          <w:b/>
          <w:color w:val="000000"/>
          <w:sz w:val="32"/>
          <w:szCs w:val="32"/>
          <w:shd w:val="clear" w:color="auto" w:fill="FFFFFF"/>
        </w:rPr>
        <w:t>（二）项目财务管理情况</w:t>
      </w:r>
    </w:p>
    <w:p>
      <w:pPr>
        <w:pStyle w:val="6"/>
        <w:spacing w:beforeAutospacing="0" w:afterAutospacing="0" w:line="560" w:lineRule="exact"/>
        <w:ind w:firstLine="640" w:firstLineChars="200"/>
        <w:jc w:val="both"/>
        <w:rPr>
          <w:rFonts w:ascii="仿宋_GB2312" w:hAnsi="仿宋_GB2312" w:eastAsia="仿宋_GB2312" w:cs="仿宋_GB2312"/>
          <w:b/>
          <w:color w:val="000000"/>
          <w:sz w:val="32"/>
          <w:szCs w:val="32"/>
          <w:shd w:val="clear" w:color="auto" w:fill="FFFFFF"/>
        </w:rPr>
      </w:pPr>
      <w:r>
        <w:rPr>
          <w:rFonts w:hint="eastAsia" w:ascii="仿宋_GB2312" w:hAnsi="仿宋_GB2312" w:eastAsia="仿宋_GB2312" w:cs="仿宋_GB2312"/>
          <w:bCs/>
          <w:color w:val="000000"/>
          <w:sz w:val="32"/>
          <w:szCs w:val="32"/>
          <w:shd w:val="clear" w:color="auto" w:fill="FFFFFF"/>
        </w:rPr>
        <w:t>所有项目资金</w:t>
      </w:r>
      <w:r>
        <w:rPr>
          <w:rFonts w:hint="eastAsia" w:ascii="仿宋_GB2312" w:hAnsi="仿宋_GB2312" w:eastAsia="仿宋_GB2312" w:cs="仿宋_GB2312"/>
          <w:color w:val="000000"/>
          <w:sz w:val="32"/>
          <w:szCs w:val="32"/>
          <w:shd w:val="clear" w:color="auto" w:fill="FFFFFF"/>
        </w:rPr>
        <w:t>采取直接支付形式，由我单位按项目进度严格按照项目资金管理办法向财政局对资金进行计划申请、划拨、使用，及时、规范对收支进行账务处理和会计核算。对项目资金按项目单独核算实行“专款专用”，不得挤占挪用项目资金。强化监督，项目的正常实施监督检查是保障。</w:t>
      </w:r>
    </w:p>
    <w:p>
      <w:pPr>
        <w:pStyle w:val="6"/>
        <w:numPr>
          <w:ilvl w:val="0"/>
          <w:numId w:val="8"/>
        </w:numPr>
        <w:spacing w:beforeAutospacing="0" w:afterAutospacing="0" w:line="560" w:lineRule="exact"/>
        <w:ind w:firstLine="643" w:firstLineChars="200"/>
        <w:jc w:val="both"/>
        <w:rPr>
          <w:rFonts w:ascii="楷体_GB2312" w:hAnsi="Times New Roman" w:eastAsia="楷体_GB2312" w:cs="Times New Roman"/>
          <w:b/>
          <w:sz w:val="32"/>
          <w:szCs w:val="32"/>
        </w:rPr>
      </w:pPr>
      <w:r>
        <w:rPr>
          <w:rFonts w:hint="eastAsia" w:ascii="楷体_GB2312" w:hAnsi="Times New Roman" w:eastAsia="楷体_GB2312" w:cs="Times New Roman"/>
          <w:b/>
          <w:sz w:val="32"/>
          <w:szCs w:val="32"/>
        </w:rPr>
        <w:t>绩效评价结论</w:t>
      </w:r>
    </w:p>
    <w:p>
      <w:pPr>
        <w:widowControl/>
        <w:spacing w:line="560" w:lineRule="exact"/>
        <w:ind w:right="150" w:firstLine="640" w:firstLineChars="200"/>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为认真做好中央和省领导对包虫病综合防治工作的重要指示，按照中央、省、州、县委政府的总体部署，坚持目标导向和问题导向，努力把包虫病综合防治工作与精准扶贫相结合，下功夫解决因病致贫、因病返贫问题，；与寺庙整治相结合，以防病治病促进寺庙规范化管理，民族团结进步；与鼠害治理、草原生态恢复和建设相结合，改善包虫病流行区草原环境，促进群众致富增收；与社会治理相结合，让牧民群众养成好习惯、形成好风气，切实把包虫病综合防治工作推向新台阶。</w:t>
      </w:r>
    </w:p>
    <w:p>
      <w:pPr>
        <w:pStyle w:val="6"/>
        <w:spacing w:beforeAutospacing="0" w:afterAutospacing="0" w:line="560" w:lineRule="exact"/>
        <w:ind w:firstLine="640" w:firstLineChars="200"/>
        <w:jc w:val="both"/>
        <w:rPr>
          <w:rFonts w:ascii="Times New Roman" w:hAnsi="Times New Roman" w:eastAsia="黑体" w:cs="Times New Roman"/>
          <w:sz w:val="32"/>
          <w:szCs w:val="32"/>
        </w:rPr>
      </w:pPr>
      <w:r>
        <w:rPr>
          <w:rFonts w:hint="eastAsia" w:ascii="Times New Roman" w:hAnsi="Times New Roman" w:eastAsia="黑体" w:cs="Times New Roman"/>
          <w:sz w:val="32"/>
          <w:szCs w:val="32"/>
        </w:rPr>
        <w:t>三</w:t>
      </w:r>
      <w:r>
        <w:rPr>
          <w:rFonts w:ascii="Times New Roman" w:hAnsi="Times New Roman" w:eastAsia="黑体" w:cs="Times New Roman"/>
          <w:sz w:val="32"/>
          <w:szCs w:val="32"/>
        </w:rPr>
        <w:t>、存在的问题和困难</w:t>
      </w:r>
    </w:p>
    <w:p>
      <w:pPr>
        <w:pStyle w:val="13"/>
        <w:widowControl/>
        <w:shd w:val="clear" w:color="auto" w:fill="FFFFFF"/>
        <w:spacing w:line="560" w:lineRule="exact"/>
        <w:ind w:firstLine="640"/>
        <w:rPr>
          <w:color w:val="000000"/>
          <w:sz w:val="32"/>
          <w:szCs w:val="32"/>
        </w:rPr>
      </w:pPr>
      <w:r>
        <w:rPr>
          <w:rFonts w:ascii="仿宋_GB2312" w:eastAsia="仿宋_GB2312" w:cs="仿宋_GB2312"/>
          <w:color w:val="000000"/>
          <w:sz w:val="32"/>
          <w:szCs w:val="32"/>
          <w:shd w:val="clear" w:color="auto" w:fill="FFFFFF"/>
        </w:rPr>
        <w:t>1</w:t>
      </w:r>
      <w:r>
        <w:rPr>
          <w:rFonts w:hint="eastAsia" w:ascii="仿宋_GB2312" w:eastAsia="仿宋_GB2312" w:cs="仿宋_GB2312"/>
          <w:color w:val="000000"/>
          <w:sz w:val="32"/>
          <w:szCs w:val="32"/>
          <w:shd w:val="clear" w:color="auto" w:fill="FFFFFF"/>
        </w:rPr>
        <w:t>.</w:t>
      </w:r>
      <w:r>
        <w:rPr>
          <w:rFonts w:ascii="仿宋_GB2312" w:eastAsia="仿宋_GB2312" w:cs="仿宋_GB2312"/>
          <w:color w:val="000000"/>
          <w:sz w:val="32"/>
          <w:szCs w:val="32"/>
          <w:shd w:val="clear" w:color="auto" w:fill="FFFFFF"/>
        </w:rPr>
        <w:t>乡村两级从事公共卫生服务项目的人员业务能力还需再提高，公共卫生服务是一项系统而繁杂，工作量大，人员少，培训工作不足，缺乏工作经验，导致工作欠规范。</w:t>
      </w:r>
    </w:p>
    <w:p>
      <w:pPr>
        <w:spacing w:line="560" w:lineRule="exact"/>
        <w:ind w:firstLine="627" w:firstLineChars="196"/>
        <w:rPr>
          <w:rFonts w:ascii="仿宋_GB2312" w:hAnsi="仿宋" w:eastAsia="仿宋_GB2312" w:cs="宋体"/>
          <w:color w:val="000000"/>
          <w:kern w:val="0"/>
          <w:sz w:val="32"/>
          <w:szCs w:val="32"/>
        </w:rPr>
      </w:pPr>
      <w:r>
        <w:rPr>
          <w:rFonts w:ascii="仿宋_GB2312" w:eastAsia="仿宋_GB2312" w:cs="仿宋_GB2312"/>
          <w:color w:val="000000"/>
          <w:sz w:val="32"/>
          <w:szCs w:val="32"/>
          <w:shd w:val="clear" w:color="auto" w:fill="FFFFFF"/>
        </w:rPr>
        <w:t>2</w:t>
      </w:r>
      <w:r>
        <w:rPr>
          <w:rFonts w:hint="eastAsia" w:ascii="仿宋_GB2312" w:eastAsia="仿宋_GB2312" w:cs="仿宋_GB2312"/>
          <w:color w:val="000000"/>
          <w:sz w:val="32"/>
          <w:szCs w:val="32"/>
          <w:shd w:val="clear" w:color="auto" w:fill="FFFFFF"/>
        </w:rPr>
        <w:t>.</w:t>
      </w:r>
      <w:r>
        <w:rPr>
          <w:rFonts w:ascii="仿宋_GB2312" w:eastAsia="仿宋_GB2312" w:cs="仿宋_GB2312"/>
          <w:color w:val="000000"/>
          <w:sz w:val="32"/>
          <w:szCs w:val="32"/>
          <w:shd w:val="clear" w:color="auto" w:fill="FFFFFF"/>
        </w:rPr>
        <w:t>宣传还不够深入，</w:t>
      </w:r>
      <w:r>
        <w:rPr>
          <w:rFonts w:hint="eastAsia" w:ascii="仿宋_GB2312" w:eastAsia="仿宋_GB2312" w:cs="仿宋_GB2312"/>
          <w:color w:val="000000"/>
          <w:sz w:val="32"/>
          <w:szCs w:val="32"/>
          <w:shd w:val="clear" w:color="auto" w:fill="FFFFFF"/>
        </w:rPr>
        <w:t>牧民</w:t>
      </w:r>
      <w:r>
        <w:rPr>
          <w:rFonts w:ascii="仿宋_GB2312" w:eastAsia="仿宋_GB2312" w:cs="仿宋_GB2312"/>
          <w:color w:val="000000"/>
          <w:sz w:val="32"/>
          <w:szCs w:val="32"/>
          <w:shd w:val="clear" w:color="auto" w:fill="FFFFFF"/>
        </w:rPr>
        <w:t>群众对基本公共卫生项目知晓率低，不理解、不配合的现象时有发生</w:t>
      </w:r>
      <w:r>
        <w:rPr>
          <w:rFonts w:hint="eastAsia" w:ascii="仿宋_GB2312" w:eastAsia="仿宋_GB2312" w:cs="仿宋_GB2312"/>
          <w:color w:val="000000"/>
          <w:sz w:val="32"/>
          <w:szCs w:val="32"/>
          <w:shd w:val="clear" w:color="auto" w:fill="FFFFFF"/>
        </w:rPr>
        <w:t>、</w:t>
      </w:r>
      <w:r>
        <w:rPr>
          <w:rFonts w:hint="eastAsia" w:ascii="仿宋_GB2312" w:hAnsi="仿宋" w:eastAsia="仿宋_GB2312"/>
          <w:color w:val="000000"/>
          <w:sz w:val="32"/>
          <w:szCs w:val="32"/>
        </w:rPr>
        <w:t>疾病防控健康教育工作需要更深入，宣传资料需要更具针对性，只有改变了牧民群众的生活习惯，卫生习惯和防病观念后，我们的疾病预防控制工作才能事半功倍。</w:t>
      </w:r>
    </w:p>
    <w:p>
      <w:pPr>
        <w:pStyle w:val="6"/>
        <w:spacing w:beforeAutospacing="0" w:afterAutospacing="0" w:line="560" w:lineRule="exact"/>
        <w:ind w:firstLine="640" w:firstLineChars="200"/>
        <w:jc w:val="both"/>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3.虽然我县包虫病综合防治工作取得了较好的成绩，但距离县委、县政府确定的目标还存在一定的差距。我县牧民群众的思想观念还有待进一步转变，干部职工需要进一步强化宣传教育力度，犬只管理有待进一步规范。</w:t>
      </w:r>
    </w:p>
    <w:p>
      <w:pPr>
        <w:pStyle w:val="6"/>
        <w:spacing w:beforeAutospacing="0" w:afterAutospacing="0" w:line="560" w:lineRule="exact"/>
        <w:ind w:firstLine="640" w:firstLineChars="200"/>
        <w:jc w:val="both"/>
        <w:rPr>
          <w:rFonts w:ascii="Times New Roman" w:hAnsi="Times New Roman" w:eastAsia="黑体" w:cs="Times New Roman"/>
          <w:sz w:val="32"/>
          <w:szCs w:val="32"/>
        </w:rPr>
      </w:pPr>
      <w:r>
        <w:rPr>
          <w:rFonts w:ascii="Times New Roman" w:hAnsi="Times New Roman" w:eastAsia="黑体" w:cs="Times New Roman"/>
          <w:sz w:val="32"/>
          <w:szCs w:val="32"/>
        </w:rPr>
        <w:t>五、其他需要说明的事项</w:t>
      </w:r>
    </w:p>
    <w:p>
      <w:pPr>
        <w:spacing w:line="600" w:lineRule="exact"/>
        <w:ind w:firstLine="640" w:firstLineChars="200"/>
        <w:outlineLvl w:val="0"/>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一是进一步提高牧民群众的思想观念和促进牧民养成良好的日常卫生习惯。</w:t>
      </w:r>
    </w:p>
    <w:p>
      <w:pPr>
        <w:spacing w:line="600" w:lineRule="exact"/>
        <w:ind w:firstLine="640" w:firstLineChars="200"/>
        <w:outlineLvl w:val="0"/>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二是借用多种载体，充分调动社会各方面的力量进一步加强宣传力度。</w:t>
      </w:r>
    </w:p>
    <w:p>
      <w:pPr>
        <w:spacing w:line="600" w:lineRule="exact"/>
        <w:ind w:firstLine="640" w:firstLineChars="200"/>
        <w:outlineLvl w:val="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shd w:val="clear" w:color="auto" w:fill="FFFFFF"/>
        </w:rPr>
        <w:t>三是进一步完善包虫病综合防治工作基础数据动态管理，在今年的工作基础上确保包虫病综合防治工作各项基础数据的真实性和完整性。</w:t>
      </w: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pStyle w:val="6"/>
        <w:spacing w:beforeAutospacing="0" w:afterAutospacing="0" w:line="560" w:lineRule="exact"/>
        <w:jc w:val="center"/>
        <w:rPr>
          <w:rFonts w:hint="eastAsia" w:ascii="Times New Roman" w:hAnsi="Times New Roman" w:cs="Times New Roman"/>
          <w:b/>
          <w:bCs/>
          <w:sz w:val="44"/>
          <w:szCs w:val="44"/>
        </w:rPr>
      </w:pPr>
    </w:p>
    <w:p>
      <w:pPr>
        <w:pStyle w:val="6"/>
        <w:spacing w:beforeAutospacing="0" w:afterAutospacing="0" w:line="560" w:lineRule="exact"/>
        <w:jc w:val="center"/>
        <w:rPr>
          <w:rFonts w:hint="eastAsia" w:ascii="Times New Roman" w:hAnsi="Times New Roman" w:cs="Times New Roman"/>
          <w:b/>
          <w:bCs/>
          <w:sz w:val="44"/>
          <w:szCs w:val="44"/>
        </w:rPr>
      </w:pPr>
    </w:p>
    <w:p>
      <w:pPr>
        <w:pStyle w:val="6"/>
        <w:spacing w:beforeAutospacing="0" w:afterAutospacing="0" w:line="560" w:lineRule="exact"/>
        <w:jc w:val="center"/>
        <w:rPr>
          <w:rFonts w:hint="eastAsia" w:ascii="Times New Roman" w:hAnsi="Times New Roman" w:cs="Times New Roman"/>
          <w:b/>
          <w:bCs/>
          <w:sz w:val="44"/>
          <w:szCs w:val="44"/>
        </w:rPr>
      </w:pPr>
    </w:p>
    <w:p>
      <w:pPr>
        <w:pStyle w:val="6"/>
        <w:spacing w:beforeAutospacing="0" w:afterAutospacing="0" w:line="560" w:lineRule="exact"/>
        <w:jc w:val="center"/>
        <w:rPr>
          <w:rFonts w:ascii="Times New Roman" w:hAnsi="Times New Roman" w:cs="Times New Roman"/>
          <w:b/>
          <w:bCs/>
          <w:sz w:val="44"/>
          <w:szCs w:val="44"/>
        </w:rPr>
      </w:pPr>
      <w:r>
        <w:rPr>
          <w:rFonts w:hint="eastAsia" w:ascii="Times New Roman" w:hAnsi="Times New Roman" w:cs="Times New Roman"/>
          <w:b/>
          <w:bCs/>
          <w:sz w:val="44"/>
          <w:szCs w:val="44"/>
        </w:rPr>
        <w:t>红原县疾病预防控制中心2018年</w:t>
      </w:r>
    </w:p>
    <w:p>
      <w:pPr>
        <w:pStyle w:val="6"/>
        <w:spacing w:beforeAutospacing="0" w:afterAutospacing="0" w:line="560" w:lineRule="exact"/>
        <w:jc w:val="center"/>
        <w:rPr>
          <w:rFonts w:ascii="Times New Roman" w:hAnsi="Times New Roman" w:eastAsia="黑体" w:cs="Times New Roman"/>
          <w:b/>
          <w:bCs/>
          <w:sz w:val="32"/>
          <w:szCs w:val="32"/>
        </w:rPr>
      </w:pPr>
      <w:r>
        <w:rPr>
          <w:rFonts w:ascii="Times New Roman" w:hAnsi="Times New Roman" w:cs="Times New Roman"/>
          <w:b/>
          <w:bCs/>
          <w:sz w:val="44"/>
          <w:szCs w:val="44"/>
        </w:rPr>
        <w:t>项目绩效评价自评报告</w:t>
      </w:r>
    </w:p>
    <w:p>
      <w:pPr>
        <w:pStyle w:val="6"/>
        <w:spacing w:beforeAutospacing="0" w:afterAutospacing="0" w:line="560" w:lineRule="exact"/>
        <w:ind w:firstLine="2880" w:firstLineChars="9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（免疫规划项目）</w:t>
      </w:r>
    </w:p>
    <w:p>
      <w:pPr>
        <w:pStyle w:val="13"/>
        <w:widowControl/>
        <w:spacing w:before="0" w:beforeAutospacing="0" w:after="0" w:afterAutospacing="0" w:line="480" w:lineRule="auto"/>
        <w:ind w:firstLine="600" w:firstLineChars="200"/>
        <w:rPr>
          <w:rFonts w:ascii="黑体" w:hAnsi="黑体" w:eastAsia="黑体" w:cs="宋体"/>
        </w:rPr>
      </w:pPr>
      <w:r>
        <w:rPr>
          <w:rFonts w:hint="eastAsia" w:ascii="黑体" w:hAnsi="黑体" w:eastAsia="黑体" w:cs="宋体"/>
          <w:color w:val="333333"/>
          <w:sz w:val="30"/>
          <w:szCs w:val="30"/>
          <w:shd w:val="clear" w:color="auto" w:fill="FFFFFF"/>
        </w:rPr>
        <w:t>一、</w:t>
      </w:r>
      <w:r>
        <w:rPr>
          <w:rFonts w:hint="eastAsia" w:ascii="黑体" w:hAnsi="黑体" w:eastAsia="黑体" w:cs="宋体"/>
          <w:b/>
          <w:color w:val="333333"/>
          <w:sz w:val="30"/>
          <w:szCs w:val="30"/>
          <w:shd w:val="clear" w:color="auto" w:fill="FFFFFF"/>
        </w:rPr>
        <w:t>自评工作基本情况</w:t>
      </w:r>
    </w:p>
    <w:p>
      <w:pPr>
        <w:pStyle w:val="13"/>
        <w:widowControl/>
        <w:spacing w:before="0" w:beforeAutospacing="0" w:after="0" w:afterAutospacing="0" w:line="480" w:lineRule="auto"/>
        <w:ind w:firstLine="630"/>
        <w:rPr>
          <w:rFonts w:ascii="仿宋_GB2312" w:hAnsi="仿宋_GB2312" w:eastAsia="仿宋_GB2312" w:cs="仿宋_GB2312"/>
          <w:sz w:val="32"/>
          <w:szCs w:val="32"/>
        </w:rPr>
      </w:pPr>
      <w:r>
        <w:rPr>
          <w:rFonts w:hint="eastAsia" w:ascii="仿宋_GB2312" w:hAnsi="仿宋_GB2312" w:eastAsia="仿宋_GB2312" w:cs="仿宋_GB2312"/>
          <w:color w:val="333333"/>
          <w:sz w:val="32"/>
          <w:szCs w:val="32"/>
          <w:shd w:val="clear" w:color="auto" w:fill="FFFFFF"/>
        </w:rPr>
        <w:t>本次评价的目的是为加强重大公共卫生服务项目资金管理，提高资金使用效益，推动科学、可行的项目绩效评价机制。2018年度重大公共卫生服务项目的决策情况、管理情况、产出情况和效益情况</w:t>
      </w:r>
    </w:p>
    <w:p>
      <w:pPr>
        <w:adjustRightInd w:val="0"/>
        <w:snapToGrid w:val="0"/>
        <w:spacing w:line="56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红原县辖11乡镇，243个行政村。2018年，全县总人口4.8万人，常住人口4.8万人。全县项目实施单位16个，其中：乡镇卫生院11个。</w:t>
      </w:r>
    </w:p>
    <w:p>
      <w:pPr>
        <w:adjustRightInd w:val="0"/>
        <w:snapToGrid w:val="0"/>
        <w:spacing w:line="560" w:lineRule="exact"/>
        <w:ind w:firstLine="640" w:firstLineChars="200"/>
        <w:rPr>
          <w:rFonts w:ascii="黑体" w:hAnsi="黑体" w:eastAsia="黑体" w:cs="楷体_GB2312"/>
          <w:bCs/>
          <w:lang w:val="zh-CN"/>
        </w:rPr>
      </w:pPr>
      <w:r>
        <w:rPr>
          <w:rFonts w:hint="eastAsia" w:ascii="黑体" w:hAnsi="黑体" w:eastAsia="黑体" w:cs="楷体_GB2312"/>
          <w:bCs/>
          <w:sz w:val="32"/>
          <w:lang w:val="zh-CN"/>
        </w:rPr>
        <w:t>二、项目自评步骤及方法。</w:t>
      </w:r>
    </w:p>
    <w:p>
      <w:pPr>
        <w:adjustRightInd w:val="0"/>
        <w:snapToGrid w:val="0"/>
        <w:spacing w:line="560" w:lineRule="exact"/>
        <w:ind w:firstLine="640" w:firstLineChars="200"/>
        <w:rPr>
          <w:rFonts w:ascii="仿宋_GB2312" w:hAnsi="宋体" w:eastAsia="仿宋_GB2312" w:cs="仿宋_GB2312"/>
          <w:color w:val="000000"/>
          <w:sz w:val="32"/>
          <w:szCs w:val="32"/>
          <w:shd w:val="clear" w:color="auto" w:fill="FFFFFF"/>
        </w:rPr>
      </w:pPr>
      <w:r>
        <w:rPr>
          <w:rFonts w:ascii="仿宋_GB2312" w:hAnsi="宋体" w:eastAsia="仿宋_GB2312" w:cs="仿宋_GB2312"/>
          <w:color w:val="000000"/>
          <w:sz w:val="32"/>
          <w:szCs w:val="32"/>
          <w:shd w:val="clear" w:color="auto" w:fill="FFFFFF"/>
        </w:rPr>
        <w:t>项目采取自评方式，成立项目自评</w:t>
      </w:r>
      <w:r>
        <w:rPr>
          <w:rFonts w:hint="eastAsia" w:ascii="仿宋_GB2312" w:hAnsi="宋体" w:eastAsia="仿宋_GB2312" w:cs="仿宋_GB2312"/>
          <w:color w:val="000000"/>
          <w:sz w:val="32"/>
          <w:szCs w:val="32"/>
          <w:shd w:val="clear" w:color="auto" w:fill="FFFFFF"/>
        </w:rPr>
        <w:t>领导</w:t>
      </w:r>
      <w:r>
        <w:rPr>
          <w:rFonts w:ascii="仿宋_GB2312" w:hAnsi="宋体" w:eastAsia="仿宋_GB2312" w:cs="仿宋_GB2312"/>
          <w:color w:val="000000"/>
          <w:sz w:val="32"/>
          <w:szCs w:val="32"/>
          <w:shd w:val="clear" w:color="auto" w:fill="FFFFFF"/>
        </w:rPr>
        <w:t>小组，结合评价内容，做到有计划，有安排，扎实开展本次自评工作。按照上级下达的项目支出绩效评价指标体系，自评小组针对申报内容、实施情况、资金兑现、财务管理、社会效益等做出自我评价。</w:t>
      </w:r>
      <w:r>
        <w:rPr>
          <w:rFonts w:hint="eastAsia" w:ascii="仿宋_GB2312" w:hAnsi="宋体" w:eastAsia="仿宋_GB2312" w:cs="仿宋_GB2312"/>
          <w:color w:val="000000"/>
          <w:sz w:val="32"/>
          <w:szCs w:val="32"/>
          <w:shd w:val="clear" w:color="auto" w:fill="FFFFFF"/>
        </w:rPr>
        <w:t>免疫规划项目领导小组如下：</w:t>
      </w:r>
    </w:p>
    <w:p>
      <w:pPr>
        <w:adjustRightInd w:val="0"/>
        <w:snapToGrid w:val="0"/>
        <w:spacing w:line="560" w:lineRule="exact"/>
        <w:ind w:firstLine="640" w:firstLineChars="200"/>
        <w:rPr>
          <w:rFonts w:ascii="仿宋_GB2312" w:hAnsi="宋体" w:eastAsia="仿宋_GB2312" w:cs="仿宋_GB2312"/>
          <w:color w:val="000000"/>
          <w:sz w:val="32"/>
          <w:szCs w:val="32"/>
          <w:shd w:val="clear" w:color="auto" w:fill="FFFFFF"/>
        </w:rPr>
      </w:pPr>
      <w:r>
        <w:rPr>
          <w:rFonts w:hint="eastAsia" w:ascii="仿宋_GB2312" w:hAnsi="宋体" w:eastAsia="仿宋_GB2312" w:cs="仿宋_GB2312"/>
          <w:color w:val="000000"/>
          <w:sz w:val="32"/>
          <w:szCs w:val="32"/>
          <w:shd w:val="clear" w:color="auto" w:fill="FFFFFF"/>
        </w:rPr>
        <w:t>组  长：张国明   县疾控中心主任</w:t>
      </w:r>
    </w:p>
    <w:p>
      <w:pPr>
        <w:adjustRightInd w:val="0"/>
        <w:snapToGrid w:val="0"/>
        <w:spacing w:line="560" w:lineRule="exact"/>
        <w:ind w:firstLine="640" w:firstLineChars="200"/>
        <w:rPr>
          <w:rFonts w:ascii="仿宋_GB2312" w:hAnsi="宋体" w:eastAsia="仿宋_GB2312" w:cs="仿宋_GB2312"/>
          <w:color w:val="000000"/>
          <w:sz w:val="32"/>
          <w:szCs w:val="32"/>
          <w:shd w:val="clear" w:color="auto" w:fill="FFFFFF"/>
        </w:rPr>
      </w:pPr>
      <w:r>
        <w:rPr>
          <w:rFonts w:hint="eastAsia" w:ascii="仿宋_GB2312" w:hAnsi="宋体" w:eastAsia="仿宋_GB2312" w:cs="仿宋_GB2312"/>
          <w:color w:val="000000"/>
          <w:sz w:val="32"/>
          <w:szCs w:val="32"/>
          <w:shd w:val="clear" w:color="auto" w:fill="FFFFFF"/>
        </w:rPr>
        <w:t>副组长：温念平   县疾控中心副主任</w:t>
      </w:r>
    </w:p>
    <w:p>
      <w:pPr>
        <w:adjustRightInd w:val="0"/>
        <w:snapToGrid w:val="0"/>
        <w:spacing w:line="560" w:lineRule="exact"/>
        <w:ind w:firstLine="1920" w:firstLineChars="600"/>
        <w:rPr>
          <w:rFonts w:ascii="仿宋_GB2312" w:hAnsi="宋体" w:eastAsia="仿宋_GB2312" w:cs="仿宋_GB2312"/>
          <w:color w:val="000000"/>
          <w:sz w:val="32"/>
          <w:szCs w:val="32"/>
          <w:shd w:val="clear" w:color="auto" w:fill="FFFFFF"/>
        </w:rPr>
      </w:pPr>
      <w:r>
        <w:rPr>
          <w:rFonts w:hint="eastAsia" w:ascii="仿宋_GB2312" w:hAnsi="宋体" w:eastAsia="仿宋_GB2312" w:cs="仿宋_GB2312"/>
          <w:color w:val="000000"/>
          <w:sz w:val="32"/>
          <w:szCs w:val="32"/>
          <w:shd w:val="clear" w:color="auto" w:fill="FFFFFF"/>
        </w:rPr>
        <w:t>白玛扎西  县疾控中心副主任</w:t>
      </w:r>
    </w:p>
    <w:p>
      <w:pPr>
        <w:adjustRightInd w:val="0"/>
        <w:snapToGrid w:val="0"/>
        <w:spacing w:line="560" w:lineRule="exact"/>
        <w:ind w:firstLine="640" w:firstLineChars="200"/>
        <w:rPr>
          <w:rFonts w:ascii="仿宋_GB2312" w:hAnsi="宋体" w:eastAsia="仿宋_GB2312" w:cs="仿宋_GB2312"/>
          <w:color w:val="000000"/>
          <w:sz w:val="32"/>
          <w:szCs w:val="32"/>
          <w:shd w:val="clear" w:color="auto" w:fill="FFFFFF"/>
        </w:rPr>
      </w:pPr>
      <w:r>
        <w:rPr>
          <w:rFonts w:hint="eastAsia" w:ascii="仿宋_GB2312" w:hAnsi="宋体" w:eastAsia="仿宋_GB2312" w:cs="仿宋_GB2312"/>
          <w:color w:val="000000"/>
          <w:sz w:val="32"/>
          <w:szCs w:val="32"/>
          <w:shd w:val="clear" w:color="auto" w:fill="FFFFFF"/>
        </w:rPr>
        <w:t>成  员：郭霞 哈木姐 陈丽  韩孝英                 办公室设在财务室、传染病管理和免疫规划办公室</w:t>
      </w:r>
    </w:p>
    <w:p>
      <w:pPr>
        <w:pStyle w:val="6"/>
        <w:spacing w:beforeAutospacing="0" w:afterAutospacing="0" w:line="560" w:lineRule="exact"/>
        <w:ind w:firstLine="800" w:firstLineChars="250"/>
        <w:jc w:val="both"/>
        <w:rPr>
          <w:rFonts w:ascii="Times New Roman" w:hAnsi="Times New Roman" w:eastAsia="黑体" w:cs="Times New Roman"/>
          <w:sz w:val="32"/>
          <w:szCs w:val="32"/>
        </w:rPr>
      </w:pPr>
      <w:r>
        <w:rPr>
          <w:rFonts w:hint="eastAsia" w:ascii="Times New Roman" w:hAnsi="Times New Roman" w:eastAsia="黑体" w:cs="Times New Roman"/>
          <w:sz w:val="32"/>
          <w:szCs w:val="32"/>
        </w:rPr>
        <w:t>三</w:t>
      </w:r>
      <w:r>
        <w:rPr>
          <w:rFonts w:ascii="Times New Roman" w:hAnsi="Times New Roman" w:eastAsia="黑体" w:cs="Times New Roman"/>
          <w:sz w:val="32"/>
          <w:szCs w:val="32"/>
        </w:rPr>
        <w:t>、评价的项目内容及概况</w:t>
      </w:r>
    </w:p>
    <w:p>
      <w:pPr>
        <w:adjustRightInd w:val="0"/>
        <w:snapToGrid w:val="0"/>
        <w:spacing w:line="560" w:lineRule="exact"/>
        <w:ind w:firstLine="602" w:firstLineChars="200"/>
        <w:rPr>
          <w:rFonts w:ascii="楷体" w:hAnsi="楷体" w:eastAsia="楷体" w:cs="仿宋_GB2312"/>
          <w:color w:val="000000"/>
          <w:sz w:val="32"/>
          <w:szCs w:val="32"/>
          <w:shd w:val="clear" w:color="auto" w:fill="FFFFFF"/>
        </w:rPr>
      </w:pPr>
      <w:r>
        <w:rPr>
          <w:rFonts w:hint="eastAsia" w:ascii="楷体" w:hAnsi="楷体" w:eastAsia="楷体" w:cs="宋体"/>
          <w:b/>
          <w:color w:val="333333"/>
          <w:sz w:val="30"/>
          <w:szCs w:val="30"/>
          <w:shd w:val="clear" w:color="auto" w:fill="FFFFFF"/>
        </w:rPr>
        <w:t>（一）评价的具体项目资金情况</w:t>
      </w:r>
    </w:p>
    <w:p>
      <w:pPr>
        <w:pStyle w:val="13"/>
        <w:widowControl/>
        <w:spacing w:before="0" w:beforeAutospacing="0" w:after="0" w:afterAutospacing="0" w:line="480" w:lineRule="auto"/>
        <w:ind w:firstLine="640" w:firstLineChars="200"/>
        <w:rPr>
          <w:rFonts w:ascii="仿宋_GB2312" w:hAnsi="仿宋_GB2312" w:eastAsia="仿宋_GB2312" w:cs="仿宋_GB2312"/>
          <w:color w:val="333333"/>
          <w:sz w:val="32"/>
          <w:szCs w:val="32"/>
          <w:shd w:val="clear" w:color="auto" w:fill="FFFFFF"/>
        </w:rPr>
      </w:pPr>
      <w:r>
        <w:rPr>
          <w:rFonts w:ascii="仿宋_GB2312" w:hAnsi="仿宋_GB2312" w:eastAsia="仿宋_GB2312" w:cs="仿宋_GB2312"/>
          <w:color w:val="333333"/>
          <w:sz w:val="32"/>
          <w:szCs w:val="32"/>
          <w:shd w:val="clear" w:color="auto" w:fill="FFFFFF"/>
        </w:rPr>
        <w:t>2018年收到</w:t>
      </w:r>
      <w:r>
        <w:rPr>
          <w:rFonts w:hint="eastAsia" w:ascii="仿宋_GB2312" w:hAnsi="仿宋_GB2312" w:eastAsia="仿宋_GB2312" w:cs="仿宋_GB2312"/>
          <w:color w:val="333333"/>
          <w:sz w:val="32"/>
          <w:szCs w:val="32"/>
          <w:shd w:val="clear" w:color="auto" w:fill="FFFFFF"/>
        </w:rPr>
        <w:t>中央，省，州，县</w:t>
      </w:r>
      <w:r>
        <w:rPr>
          <w:rFonts w:ascii="仿宋_GB2312" w:hAnsi="仿宋_GB2312" w:eastAsia="仿宋_GB2312" w:cs="仿宋_GB2312"/>
          <w:color w:val="333333"/>
          <w:sz w:val="32"/>
          <w:szCs w:val="32"/>
          <w:shd w:val="clear" w:color="auto" w:fill="FFFFFF"/>
        </w:rPr>
        <w:t>级财政预算经费</w:t>
      </w:r>
      <w:r>
        <w:rPr>
          <w:rFonts w:hint="eastAsia" w:ascii="仿宋_GB2312" w:hAnsi="仿宋_GB2312" w:eastAsia="仿宋_GB2312" w:cs="仿宋_GB2312"/>
          <w:color w:val="333333"/>
          <w:sz w:val="32"/>
          <w:szCs w:val="32"/>
          <w:shd w:val="clear" w:color="auto" w:fill="FFFFFF"/>
        </w:rPr>
        <w:t>12.53</w:t>
      </w:r>
      <w:r>
        <w:rPr>
          <w:rFonts w:ascii="仿宋_GB2312" w:hAnsi="仿宋_GB2312" w:eastAsia="仿宋_GB2312" w:cs="仿宋_GB2312"/>
          <w:color w:val="333333"/>
          <w:sz w:val="32"/>
          <w:szCs w:val="32"/>
          <w:shd w:val="clear" w:color="auto" w:fill="FFFFFF"/>
        </w:rPr>
        <w:t>万元，201</w:t>
      </w:r>
      <w:r>
        <w:rPr>
          <w:rFonts w:hint="eastAsia" w:ascii="仿宋_GB2312" w:hAnsi="仿宋_GB2312" w:eastAsia="仿宋_GB2312" w:cs="仿宋_GB2312"/>
          <w:color w:val="333333"/>
          <w:sz w:val="32"/>
          <w:szCs w:val="32"/>
          <w:shd w:val="clear" w:color="auto" w:fill="FFFFFF"/>
        </w:rPr>
        <w:t>8</w:t>
      </w:r>
      <w:r>
        <w:rPr>
          <w:rFonts w:ascii="仿宋_GB2312" w:hAnsi="仿宋_GB2312" w:eastAsia="仿宋_GB2312" w:cs="仿宋_GB2312"/>
          <w:color w:val="333333"/>
          <w:sz w:val="32"/>
          <w:szCs w:val="32"/>
          <w:shd w:val="clear" w:color="auto" w:fill="FFFFFF"/>
        </w:rPr>
        <w:t>年实际支出为</w:t>
      </w:r>
      <w:r>
        <w:rPr>
          <w:rFonts w:hint="eastAsia" w:ascii="仿宋_GB2312" w:hAnsi="仿宋_GB2312" w:eastAsia="仿宋_GB2312" w:cs="仿宋_GB2312"/>
          <w:color w:val="333333"/>
          <w:sz w:val="32"/>
          <w:szCs w:val="32"/>
          <w:shd w:val="clear" w:color="auto" w:fill="FFFFFF"/>
        </w:rPr>
        <w:t>6.33</w:t>
      </w:r>
      <w:r>
        <w:rPr>
          <w:rFonts w:ascii="仿宋_GB2312" w:hAnsi="仿宋_GB2312" w:eastAsia="仿宋_GB2312" w:cs="仿宋_GB2312"/>
          <w:color w:val="333333"/>
          <w:sz w:val="32"/>
          <w:szCs w:val="32"/>
          <w:shd w:val="clear" w:color="auto" w:fill="FFFFFF"/>
        </w:rPr>
        <w:t>万元。到2018年年底账面余额</w:t>
      </w:r>
      <w:r>
        <w:rPr>
          <w:rFonts w:hint="eastAsia" w:ascii="仿宋_GB2312" w:hAnsi="仿宋_GB2312" w:eastAsia="仿宋_GB2312" w:cs="仿宋_GB2312"/>
          <w:color w:val="333333"/>
          <w:sz w:val="32"/>
          <w:szCs w:val="32"/>
          <w:shd w:val="clear" w:color="auto" w:fill="FFFFFF"/>
        </w:rPr>
        <w:t>6.2</w:t>
      </w:r>
      <w:r>
        <w:rPr>
          <w:rFonts w:ascii="仿宋_GB2312" w:hAnsi="仿宋_GB2312" w:eastAsia="仿宋_GB2312" w:cs="仿宋_GB2312"/>
          <w:color w:val="333333"/>
          <w:sz w:val="32"/>
          <w:szCs w:val="32"/>
          <w:shd w:val="clear" w:color="auto" w:fill="FFFFFF"/>
        </w:rPr>
        <w:t>万元。</w:t>
      </w:r>
    </w:p>
    <w:p>
      <w:pPr>
        <w:pStyle w:val="13"/>
        <w:widowControl/>
        <w:spacing w:before="0" w:beforeAutospacing="0" w:after="0" w:afterAutospacing="0" w:line="480" w:lineRule="auto"/>
        <w:ind w:firstLine="596" w:firstLineChars="198"/>
        <w:rPr>
          <w:rFonts w:ascii="楷体" w:hAnsi="楷体" w:eastAsia="楷体" w:cs="宋体"/>
        </w:rPr>
      </w:pPr>
      <w:r>
        <w:rPr>
          <w:rFonts w:hint="eastAsia" w:ascii="楷体" w:hAnsi="楷体" w:eastAsia="楷体" w:cs="宋体"/>
          <w:b/>
          <w:color w:val="333333"/>
          <w:sz w:val="30"/>
          <w:szCs w:val="30"/>
          <w:shd w:val="clear" w:color="auto" w:fill="FFFFFF"/>
        </w:rPr>
        <w:t>（二）绩效评价</w:t>
      </w:r>
    </w:p>
    <w:p>
      <w:pPr>
        <w:tabs>
          <w:tab w:val="left" w:pos="8460"/>
        </w:tabs>
        <w:adjustRightInd w:val="0"/>
        <w:ind w:firstLine="643" w:firstLineChars="200"/>
        <w:jc w:val="left"/>
        <w:rPr>
          <w:rFonts w:ascii="仿宋_GB2312" w:hAnsi="楷体" w:eastAsia="仿宋_GB2312"/>
          <w:b/>
          <w:color w:val="000000"/>
          <w:sz w:val="32"/>
          <w:szCs w:val="32"/>
        </w:rPr>
      </w:pPr>
      <w:r>
        <w:rPr>
          <w:rFonts w:hint="eastAsia" w:ascii="仿宋_GB2312" w:hAnsi="仿宋_GB2312" w:eastAsia="仿宋_GB2312" w:cs="仿宋_GB2312"/>
          <w:b/>
          <w:bCs/>
          <w:sz w:val="32"/>
          <w:szCs w:val="32"/>
        </w:rPr>
        <w:t>1.</w:t>
      </w:r>
      <w:r>
        <w:rPr>
          <w:rFonts w:hint="eastAsia" w:ascii="仿宋_GB2312" w:hAnsi="楷体" w:eastAsia="仿宋_GB2312"/>
          <w:b/>
          <w:color w:val="000000"/>
          <w:sz w:val="32"/>
          <w:szCs w:val="32"/>
        </w:rPr>
        <w:t>强化免疫规划工作，提升儿童疫苗接种率。</w:t>
      </w:r>
    </w:p>
    <w:p>
      <w:pPr>
        <w:spacing w:line="660" w:lineRule="exact"/>
        <w:ind w:firstLine="640" w:firstLineChars="200"/>
        <w:rPr>
          <w:rFonts w:ascii="仿宋_GB2312" w:hAnsi="宋体" w:eastAsia="仿宋_GB2312" w:cs="仿宋_GB2312"/>
          <w:bCs/>
          <w:sz w:val="32"/>
          <w:szCs w:val="32"/>
        </w:rPr>
      </w:pPr>
      <w:r>
        <w:rPr>
          <w:rFonts w:hint="eastAsia" w:ascii="仿宋_GB2312" w:hAnsi="仿宋" w:eastAsia="仿宋_GB2312"/>
          <w:color w:val="000000"/>
          <w:sz w:val="32"/>
          <w:szCs w:val="32"/>
        </w:rPr>
        <w:t>以开展脊灰补充免疫和麻疹疫苗查漏补种为契机，借助全社会对免疫规划工作的空前重视，预防接种在群众中深入开展。</w:t>
      </w:r>
      <w:r>
        <w:rPr>
          <w:rFonts w:hint="eastAsia" w:ascii="仿宋_GB2312" w:hAnsi="仿宋" w:eastAsia="仿宋_GB2312"/>
          <w:bCs/>
          <w:color w:val="000000"/>
          <w:sz w:val="32"/>
          <w:szCs w:val="32"/>
        </w:rPr>
        <w:t>一是</w:t>
      </w:r>
      <w:r>
        <w:rPr>
          <w:rFonts w:hint="eastAsia" w:ascii="仿宋_GB2312" w:hAnsi="仿宋" w:eastAsia="仿宋_GB2312"/>
          <w:color w:val="000000"/>
          <w:sz w:val="32"/>
          <w:szCs w:val="32"/>
        </w:rPr>
        <w:t>强化培训，先后开展3期免疫规划现场培训，提升基层医疗机构医务人员预防接种的责任意识和服务意思；</w:t>
      </w:r>
      <w:r>
        <w:rPr>
          <w:rFonts w:hint="eastAsia" w:ascii="仿宋_GB2312" w:hAnsi="仿宋" w:eastAsia="仿宋_GB2312"/>
          <w:bCs/>
          <w:color w:val="000000"/>
          <w:sz w:val="32"/>
          <w:szCs w:val="32"/>
        </w:rPr>
        <w:t>二是</w:t>
      </w:r>
      <w:r>
        <w:rPr>
          <w:rFonts w:hint="eastAsia" w:ascii="仿宋_GB2312" w:hAnsi="仿宋" w:eastAsia="仿宋_GB2312"/>
          <w:color w:val="000000"/>
          <w:sz w:val="32"/>
          <w:szCs w:val="32"/>
        </w:rPr>
        <w:t>规范操作，完成免疫常规督导8次，冷链运转</w:t>
      </w:r>
      <w:r>
        <w:rPr>
          <w:rFonts w:ascii="仿宋_GB2312" w:hAnsi="仿宋" w:eastAsia="仿宋_GB2312"/>
          <w:color w:val="000000"/>
          <w:sz w:val="32"/>
          <w:szCs w:val="32"/>
        </w:rPr>
        <w:t>4</w:t>
      </w:r>
      <w:r>
        <w:rPr>
          <w:rFonts w:hint="eastAsia" w:ascii="仿宋_GB2312" w:hAnsi="仿宋" w:eastAsia="仿宋_GB2312"/>
          <w:color w:val="000000"/>
          <w:sz w:val="32"/>
          <w:szCs w:val="32"/>
        </w:rPr>
        <w:t>轮。通过对接种工作和免疫规划门诊的检查督导，全面指导免疫规划工作开展，规范预防接种工作流程；</w:t>
      </w:r>
      <w:r>
        <w:rPr>
          <w:rFonts w:hint="eastAsia" w:ascii="仿宋_GB2312" w:hAnsi="仿宋" w:eastAsia="仿宋_GB2312"/>
          <w:bCs/>
          <w:color w:val="000000"/>
          <w:sz w:val="32"/>
          <w:szCs w:val="32"/>
        </w:rPr>
        <w:t>三是</w:t>
      </w:r>
      <w:r>
        <w:rPr>
          <w:rFonts w:hint="eastAsia" w:ascii="仿宋_GB2312" w:hAnsi="仿宋" w:eastAsia="仿宋_GB2312"/>
          <w:color w:val="000000"/>
          <w:sz w:val="32"/>
          <w:szCs w:val="32"/>
        </w:rPr>
        <w:t>针对今年我县周边地区</w:t>
      </w:r>
      <w:r>
        <w:rPr>
          <w:rFonts w:ascii="仿宋_GB2312" w:hAnsi="仿宋" w:eastAsia="仿宋_GB2312"/>
          <w:color w:val="000000"/>
          <w:sz w:val="32"/>
          <w:szCs w:val="32"/>
        </w:rPr>
        <w:t>AFP</w:t>
      </w:r>
      <w:r>
        <w:rPr>
          <w:rFonts w:hint="eastAsia" w:ascii="仿宋_GB2312" w:hAnsi="仿宋" w:eastAsia="仿宋_GB2312"/>
          <w:color w:val="000000"/>
          <w:sz w:val="32"/>
          <w:szCs w:val="32"/>
        </w:rPr>
        <w:t>疫情严峻态势，重点开展了</w:t>
      </w:r>
      <w:r>
        <w:rPr>
          <w:rFonts w:ascii="仿宋_GB2312" w:hAnsi="仿宋" w:eastAsia="仿宋_GB2312"/>
          <w:color w:val="000000"/>
          <w:sz w:val="32"/>
          <w:szCs w:val="32"/>
        </w:rPr>
        <w:t>AFP</w:t>
      </w:r>
      <w:r>
        <w:rPr>
          <w:rFonts w:hint="eastAsia" w:ascii="仿宋_GB2312" w:hAnsi="仿宋" w:eastAsia="仿宋_GB2312"/>
          <w:color w:val="000000"/>
          <w:sz w:val="32"/>
          <w:szCs w:val="32"/>
        </w:rPr>
        <w:t>主动监测、麻疹主动搜索</w:t>
      </w:r>
      <w:r>
        <w:rPr>
          <w:rFonts w:hint="eastAsia" w:ascii="仿宋_GB2312" w:hAnsi="仿宋_GB2312" w:eastAsia="仿宋_GB2312" w:cs="仿宋_GB2312"/>
          <w:sz w:val="30"/>
          <w:szCs w:val="30"/>
        </w:rPr>
        <w:t>。县人民医院、藏医院和</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t>11个乡镇卫生院AFP旬报及时率均达100 %，1-9月份，实行主动监测各27次。通过AFP监测系统及麻疹病例报告，报告AFP病例2例，报告麻疹病例2例。</w:t>
      </w:r>
    </w:p>
    <w:p>
      <w:pPr>
        <w:spacing w:line="560" w:lineRule="exact"/>
        <w:ind w:firstLine="640" w:firstLineChars="200"/>
        <w:rPr>
          <w:rFonts w:ascii="仿宋_GB2312" w:eastAsia="仿宋_GB2312"/>
          <w:color w:val="000000"/>
          <w:sz w:val="32"/>
          <w:szCs w:val="32"/>
        </w:rPr>
      </w:pPr>
      <w:r>
        <w:rPr>
          <w:rFonts w:hint="eastAsia" w:ascii="仿宋_GB2312" w:hAnsi="仿宋_GB2312" w:eastAsia="仿宋_GB2312" w:cs="仿宋_GB2312"/>
          <w:sz w:val="32"/>
          <w:szCs w:val="32"/>
        </w:rPr>
        <w:t>按照《四川省2018年脊髓灰质炎灭活疫苗查漏补种实施方案 》要求，我县制定了《红原县2018年脊髓灰质炎灭活疫苗查漏补种实施方案 》并于3月16日对各乡镇卫生院院长及专管免规人员进行脊髓灰质炎灭活疫苗查漏补种工作现场培训，3月17日起全县范围内进行目标儿童摸底、下发脊灰灭活疫苗，对目标儿童进行脊灰灭活疫苗查漏补种活动，全县目标儿童登记数（3322人）人大于当地人口管理部门掌握的同年龄组儿童数（3295人），目标儿童摸底登记数（3322人）大于出生率估算的各年龄组出生人数（542人）共摸底调查2月龄至5岁儿童数3322人，</w:t>
      </w:r>
      <w:r>
        <w:rPr>
          <w:rFonts w:hint="eastAsia" w:ascii="仿宋_GB2312" w:eastAsia="仿宋_GB2312"/>
          <w:color w:val="000000"/>
          <w:sz w:val="32"/>
          <w:szCs w:val="32"/>
        </w:rPr>
        <w:t>脊灰灭活疫苗应接种 1760人，实际接种1685 人，接种率达95.7 %。其中外出到青海、成都58人，感冒、发烧、服泻17人，并对外出、感冒发烧腹泻的儿童嘱咐回县后及病愈后及时到所在接种点补种.</w:t>
      </w:r>
    </w:p>
    <w:p>
      <w:pPr>
        <w:ind w:firstLine="640" w:firstLineChars="200"/>
        <w:rPr>
          <w:rFonts w:ascii="仿宋_GB2312" w:eastAsia="仿宋_GB2312"/>
          <w:sz w:val="32"/>
          <w:szCs w:val="32"/>
        </w:rPr>
      </w:pPr>
      <w:r>
        <w:rPr>
          <w:rFonts w:hint="eastAsia" w:ascii="仿宋_GB2312" w:hAnsi="仿宋_GB2312" w:eastAsia="仿宋_GB2312" w:cs="仿宋_GB2312"/>
          <w:color w:val="000000"/>
          <w:sz w:val="32"/>
          <w:szCs w:val="32"/>
        </w:rPr>
        <w:t>常规免疫：</w:t>
      </w:r>
      <w:r>
        <w:rPr>
          <w:rFonts w:hint="eastAsia" w:ascii="仿宋_GB2312" w:hAnsi="仿宋_GB2312" w:eastAsia="仿宋_GB2312" w:cs="仿宋_GB2312"/>
          <w:sz w:val="32"/>
          <w:szCs w:val="32"/>
        </w:rPr>
        <w:t>根据全县1-12月份上报的接种率报表统计，全县基础免疫和加强免疫接种应种共计21806剂次，实际接种21663剂次，总接种率达99% 以上。基础免疫和加强免疫接种情况如下：卡介苗应种384剂次，实种375剂次，接</w:t>
      </w:r>
      <w:r>
        <w:rPr>
          <w:rFonts w:hint="eastAsia" w:ascii="仿宋_GB2312" w:eastAsia="仿宋_GB2312"/>
          <w:sz w:val="32"/>
          <w:szCs w:val="32"/>
        </w:rPr>
        <w:t>种率为97.66％；百白破应种2673剂次，实种2655剂次，接种率为99.33％；脊灰疫苗滴剂应种5535剂次，实种5421剂次，接种率为97.94％；麻风疫苗应种747剂次，实种742剂次，接种率为99.33％；麻腮风疫苗应种2710剂次，实种2673剂次；接种率为98.63%；乙肝应种：3076剂次，实种3030剂次，接种率为98.50％，乙肝首针应种581剂次、及时接种547剂次、及时接种率为94.12％；甲肝应种1346剂次，实种1329剂次，接种率为98.74%；乙脑应种1410剂次，实种1395剂次，接种率为98.94%；流脑A群应种1712剂次，实种1684剂次，接种率为98.36%，A+C群流脑疫苗应种1531剂次，实种1498剂次，接种率为97.84%。白破疫苗应种882剂次，实种861剂次，接种率为97.62%。</w:t>
      </w:r>
    </w:p>
    <w:p>
      <w:pPr>
        <w:spacing w:line="360" w:lineRule="auto"/>
        <w:ind w:firstLine="640" w:firstLineChars="200"/>
        <w:rPr>
          <w:rFonts w:ascii="仿宋_GB2312" w:hAnsi="宋体" w:eastAsia="仿宋_GB2312" w:cs="宋体"/>
          <w:color w:val="585858"/>
          <w:kern w:val="0"/>
          <w:sz w:val="32"/>
          <w:szCs w:val="32"/>
        </w:rPr>
      </w:pPr>
      <w:r>
        <w:rPr>
          <w:rFonts w:hint="eastAsia" w:ascii="仿宋_GB2312" w:hAnsi="仿宋_GB2312" w:eastAsia="仿宋_GB2312" w:cs="仿宋_GB2312"/>
          <w:snapToGrid w:val="0"/>
          <w:color w:val="000000"/>
          <w:kern w:val="0"/>
          <w:sz w:val="32"/>
          <w:szCs w:val="32"/>
        </w:rPr>
        <w:t>为进一步规范我县入托、入学儿童预防接种证查验及补种工作，确保入托、入学儿童完成国家规定的疫苗接种，建立免疫屏障，有效预防和控制传染病在托幼机构和学校内暴发和流行，保障正常教学秩序，</w:t>
      </w:r>
      <w:r>
        <w:rPr>
          <w:rFonts w:hint="eastAsia" w:ascii="仿宋_GB2312" w:hAnsi="仿宋_GB2312" w:eastAsia="仿宋_GB2312" w:cs="仿宋_GB2312"/>
          <w:sz w:val="32"/>
          <w:szCs w:val="32"/>
        </w:rPr>
        <w:t>按照</w:t>
      </w:r>
      <w:r>
        <w:rPr>
          <w:rFonts w:hint="eastAsia" w:ascii="仿宋_GB2312" w:hAnsi="仿宋_GB2312" w:eastAsia="仿宋_GB2312" w:cs="仿宋_GB2312"/>
          <w:snapToGrid w:val="0"/>
          <w:color w:val="000000"/>
          <w:kern w:val="0"/>
          <w:sz w:val="32"/>
          <w:szCs w:val="32"/>
        </w:rPr>
        <w:t>《红原县入托、入学儿童预防接种证查验及补种工作实施方案》</w:t>
      </w:r>
      <w:r>
        <w:rPr>
          <w:rFonts w:hint="eastAsia" w:ascii="仿宋_GB2312" w:hAnsi="仿宋_GB2312" w:eastAsia="仿宋_GB2312" w:cs="仿宋_GB2312"/>
          <w:sz w:val="32"/>
          <w:szCs w:val="32"/>
        </w:rPr>
        <w:t>要求，</w:t>
      </w:r>
      <w:r>
        <w:rPr>
          <w:rFonts w:hint="eastAsia" w:ascii="仿宋_GB2312" w:hAnsi="仿宋_GB2312" w:eastAsia="仿宋_GB2312" w:cs="仿宋_GB2312"/>
          <w:color w:val="585858"/>
          <w:kern w:val="0"/>
          <w:sz w:val="32"/>
          <w:szCs w:val="32"/>
        </w:rPr>
        <w:t>全县共有小</w:t>
      </w:r>
      <w:r>
        <w:rPr>
          <w:rFonts w:hint="eastAsia" w:ascii="仿宋_GB2312" w:hAnsi="宋体" w:eastAsia="仿宋_GB2312" w:cs="宋体"/>
          <w:color w:val="585858"/>
          <w:kern w:val="0"/>
          <w:sz w:val="32"/>
          <w:szCs w:val="32"/>
        </w:rPr>
        <w:t>学、托幼机构32所，其中小学 14所，托幼机构 18  所，本次共查验学校32所，其中小学查验 14  所，查验覆盖率100%；托幼机构查验 18 所，查验覆盖率100%。正在进行入托入学查验接种证查漏补种工作中。</w:t>
      </w:r>
    </w:p>
    <w:p>
      <w:pPr>
        <w:ind w:firstLine="640" w:firstLineChars="200"/>
        <w:rPr>
          <w:rFonts w:ascii="仿宋_GB2312" w:eastAsia="仿宋_GB2312"/>
          <w:sz w:val="32"/>
          <w:szCs w:val="32"/>
        </w:rPr>
      </w:pPr>
      <w:r>
        <w:rPr>
          <w:rFonts w:hint="eastAsia" w:ascii="仿宋_GB2312" w:hAnsi="宋体" w:eastAsia="仿宋_GB2312" w:cs="宋体"/>
          <w:sz w:val="32"/>
          <w:szCs w:val="32"/>
        </w:rPr>
        <w:t xml:space="preserve">“4.25”是全国预防接种宣传日，我中心以“预防接种 守护生命”为宣传主题，向群众大力宣传预防接种的重要性，发放预防接种宣传资料1360余份，宣传画册24余份。2018年7月28日以“积极预防 主动检测 </w:t>
      </w:r>
      <w:r>
        <w:rPr>
          <w:rFonts w:hint="eastAsia" w:ascii="仿宋_GB2312" w:eastAsia="仿宋_GB2312"/>
          <w:sz w:val="32"/>
          <w:szCs w:val="32"/>
        </w:rPr>
        <w:t>规范治疗全面遏制肝炎危害”为宣传主题，此次活动共免费发放肝炎防治知识宣传单1000余份、宣传礼品(书包）300余个、接受群众咨询600余次。</w:t>
      </w:r>
    </w:p>
    <w:p>
      <w:pPr>
        <w:pStyle w:val="6"/>
        <w:spacing w:beforeAutospacing="0" w:afterAutospacing="0" w:line="560" w:lineRule="exact"/>
        <w:ind w:firstLine="630" w:firstLineChars="196"/>
        <w:jc w:val="both"/>
        <w:rPr>
          <w:rFonts w:ascii="仿宋_GB2312" w:hAnsi="仿宋_GB2312" w:eastAsia="仿宋_GB2312" w:cs="仿宋_GB2312"/>
          <w:b/>
          <w:color w:val="000000"/>
          <w:sz w:val="32"/>
          <w:szCs w:val="32"/>
          <w:shd w:val="clear" w:color="auto" w:fill="FFFFFF"/>
        </w:rPr>
      </w:pPr>
      <w:r>
        <w:rPr>
          <w:rFonts w:hint="eastAsia" w:ascii="仿宋_GB2312" w:hAnsi="仿宋_GB2312" w:eastAsia="仿宋_GB2312" w:cs="仿宋_GB2312"/>
          <w:b/>
          <w:color w:val="000000"/>
          <w:sz w:val="32"/>
          <w:szCs w:val="32"/>
          <w:shd w:val="clear" w:color="auto" w:fill="FFFFFF"/>
        </w:rPr>
        <w:t>2.项目财务管理情况</w:t>
      </w:r>
    </w:p>
    <w:p>
      <w:pPr>
        <w:pStyle w:val="6"/>
        <w:spacing w:beforeAutospacing="0" w:afterAutospacing="0" w:line="560" w:lineRule="exact"/>
        <w:ind w:firstLine="640" w:firstLineChars="200"/>
        <w:jc w:val="both"/>
        <w:rPr>
          <w:rFonts w:ascii="仿宋_GB2312" w:hAnsi="仿宋_GB2312" w:eastAsia="仿宋_GB2312" w:cs="仿宋_GB2312"/>
          <w:b/>
          <w:color w:val="000000"/>
          <w:sz w:val="32"/>
          <w:szCs w:val="32"/>
          <w:shd w:val="clear" w:color="auto" w:fill="FFFFFF"/>
        </w:rPr>
      </w:pPr>
      <w:r>
        <w:rPr>
          <w:rFonts w:hint="eastAsia" w:ascii="仿宋_GB2312" w:hAnsi="仿宋_GB2312" w:eastAsia="仿宋_GB2312" w:cs="仿宋_GB2312"/>
          <w:bCs/>
          <w:color w:val="000000"/>
          <w:sz w:val="32"/>
          <w:szCs w:val="32"/>
          <w:shd w:val="clear" w:color="auto" w:fill="FFFFFF"/>
        </w:rPr>
        <w:t>所有项目资金</w:t>
      </w:r>
      <w:r>
        <w:rPr>
          <w:rFonts w:hint="eastAsia" w:ascii="仿宋_GB2312" w:hAnsi="仿宋_GB2312" w:eastAsia="仿宋_GB2312" w:cs="仿宋_GB2312"/>
          <w:color w:val="000000"/>
          <w:sz w:val="32"/>
          <w:szCs w:val="32"/>
          <w:shd w:val="clear" w:color="auto" w:fill="FFFFFF"/>
        </w:rPr>
        <w:t>采取直接支付形式，由我单位按项目进度严格按照项目资金管理办法向财政局对资金进行计划申请、划拨、使用，及时、规范对收支进行账务处理和会计核算。对项目资金按项目单独核算实行“专款专用”，不得挤占挪用项目资金。强化监督，项目的正常实施监督检查是保障。</w:t>
      </w:r>
    </w:p>
    <w:p>
      <w:pPr>
        <w:pStyle w:val="6"/>
        <w:spacing w:beforeAutospacing="0" w:afterAutospacing="0" w:line="560" w:lineRule="exact"/>
        <w:ind w:firstLine="472" w:firstLineChars="147"/>
        <w:jc w:val="both"/>
        <w:rPr>
          <w:rFonts w:ascii="楷体_GB2312" w:hAnsi="Times New Roman" w:eastAsia="楷体_GB2312" w:cs="Times New Roman"/>
          <w:b/>
          <w:sz w:val="32"/>
          <w:szCs w:val="32"/>
        </w:rPr>
      </w:pPr>
      <w:r>
        <w:rPr>
          <w:rFonts w:hint="eastAsia" w:ascii="楷体_GB2312" w:hAnsi="Times New Roman" w:eastAsia="楷体_GB2312" w:cs="Times New Roman"/>
          <w:b/>
          <w:sz w:val="32"/>
          <w:szCs w:val="32"/>
        </w:rPr>
        <w:t>（三）绩效评价结论</w:t>
      </w:r>
    </w:p>
    <w:p>
      <w:pPr>
        <w:ind w:firstLine="640" w:firstLineChars="200"/>
        <w:rPr>
          <w:rFonts w:ascii="仿宋_GB2312" w:eastAsia="仿宋_GB2312"/>
          <w:sz w:val="32"/>
          <w:szCs w:val="32"/>
        </w:rPr>
      </w:pPr>
      <w:r>
        <w:rPr>
          <w:rFonts w:hint="eastAsia" w:ascii="仿宋_GB2312" w:eastAsia="仿宋_GB2312"/>
          <w:sz w:val="32"/>
          <w:szCs w:val="32"/>
        </w:rPr>
        <w:t>通过开展宣传活动使广大群众对预防接种、肝炎防治认识有了更深刻的了解，不仅提高了群众的健康素养知识水平，还营造了全民抗击疾病、维护生命健康的氛围。</w:t>
      </w:r>
    </w:p>
    <w:p>
      <w:pPr>
        <w:widowControl/>
        <w:spacing w:line="560" w:lineRule="exact"/>
        <w:ind w:right="150" w:firstLine="640" w:firstLineChars="200"/>
        <w:rPr>
          <w:rFonts w:ascii="黑体" w:hAnsi="黑体" w:eastAsia="黑体" w:cs="黑体"/>
          <w:color w:val="000000"/>
          <w:kern w:val="0"/>
          <w:sz w:val="32"/>
          <w:szCs w:val="32"/>
        </w:rPr>
      </w:pPr>
      <w:r>
        <w:rPr>
          <w:rFonts w:hint="eastAsia" w:ascii="黑体" w:hAnsi="黑体" w:eastAsia="黑体" w:cs="黑体"/>
          <w:color w:val="000000"/>
          <w:kern w:val="0"/>
          <w:sz w:val="32"/>
          <w:szCs w:val="32"/>
        </w:rPr>
        <w:t>四、</w:t>
      </w:r>
      <w:r>
        <w:rPr>
          <w:rFonts w:hint="eastAsia" w:ascii="黑体" w:hAnsi="黑体" w:eastAsia="黑体" w:cs="黑体"/>
          <w:sz w:val="32"/>
          <w:szCs w:val="32"/>
        </w:rPr>
        <w:t>主要经验及做法</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1.在全县11个乡镇卫生院建立了规范化预防接种门诊，并投入15万元建立儿童免疫规划信息化建设系统，有效保障全县免疫规划工作的开展。</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2.完善各项规章制度，保证了疾控工作有条不紊进行。</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组建疾控指导团队，强化业务指导和技术支撑。为全面履行公共卫生专业机构职能，充分发挥公共卫生专业机构对基层医疗卫生机构的业务指导和技术支撑作用，全面推进公共卫生专业机构工作“重心下沉、关口前移”。</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5.抓专业知识培训是提高人员业务能力的有效途径。 选派年轻同志到省、绵阳市、州疾控进修以提高业务知识水平。</w:t>
      </w:r>
    </w:p>
    <w:p>
      <w:pPr>
        <w:pStyle w:val="6"/>
        <w:spacing w:beforeAutospacing="0" w:afterAutospacing="0" w:line="560" w:lineRule="exact"/>
        <w:ind w:firstLine="640" w:firstLineChars="200"/>
        <w:jc w:val="both"/>
        <w:rPr>
          <w:rFonts w:ascii="Times New Roman" w:hAnsi="Times New Roman" w:eastAsia="黑体" w:cs="Times New Roman"/>
          <w:sz w:val="32"/>
          <w:szCs w:val="32"/>
        </w:rPr>
      </w:pPr>
      <w:r>
        <w:rPr>
          <w:rFonts w:hint="eastAsia" w:ascii="Times New Roman" w:hAnsi="Times New Roman" w:eastAsia="黑体" w:cs="Times New Roman"/>
          <w:sz w:val="32"/>
          <w:szCs w:val="32"/>
        </w:rPr>
        <w:t>五</w:t>
      </w:r>
      <w:r>
        <w:rPr>
          <w:rFonts w:ascii="Times New Roman" w:hAnsi="Times New Roman" w:eastAsia="黑体" w:cs="Times New Roman"/>
          <w:sz w:val="32"/>
          <w:szCs w:val="32"/>
        </w:rPr>
        <w:t>、存在的问题和困难</w:t>
      </w:r>
    </w:p>
    <w:p>
      <w:pPr>
        <w:pStyle w:val="13"/>
        <w:widowControl/>
        <w:shd w:val="clear" w:color="auto" w:fill="FFFFFF"/>
        <w:spacing w:line="560" w:lineRule="exact"/>
        <w:ind w:firstLine="640"/>
        <w:rPr>
          <w:color w:val="000000"/>
          <w:sz w:val="32"/>
          <w:szCs w:val="32"/>
        </w:rPr>
      </w:pPr>
      <w:r>
        <w:rPr>
          <w:rFonts w:ascii="仿宋_GB2312" w:eastAsia="仿宋_GB2312" w:cs="仿宋_GB2312"/>
          <w:color w:val="000000"/>
          <w:sz w:val="32"/>
          <w:szCs w:val="32"/>
          <w:shd w:val="clear" w:color="auto" w:fill="FFFFFF"/>
        </w:rPr>
        <w:t>1</w:t>
      </w:r>
      <w:r>
        <w:rPr>
          <w:rFonts w:hint="eastAsia" w:ascii="仿宋_GB2312" w:eastAsia="仿宋_GB2312" w:cs="仿宋_GB2312"/>
          <w:color w:val="000000"/>
          <w:sz w:val="32"/>
          <w:szCs w:val="32"/>
          <w:shd w:val="clear" w:color="auto" w:fill="FFFFFF"/>
        </w:rPr>
        <w:t>.</w:t>
      </w:r>
      <w:r>
        <w:rPr>
          <w:rFonts w:ascii="仿宋_GB2312" w:eastAsia="仿宋_GB2312" w:cs="仿宋_GB2312"/>
          <w:color w:val="000000"/>
          <w:sz w:val="32"/>
          <w:szCs w:val="32"/>
          <w:shd w:val="clear" w:color="auto" w:fill="FFFFFF"/>
        </w:rPr>
        <w:t>乡村两级从事公共卫生服务项目的人员业务能力还需再提高，公共卫生服务是一项系统而繁杂，工作量大，人员少，培训工作不足，缺乏工作经验，导致工作欠规范。</w:t>
      </w:r>
    </w:p>
    <w:p>
      <w:pPr>
        <w:spacing w:line="560" w:lineRule="exact"/>
        <w:ind w:firstLine="627" w:firstLineChars="196"/>
        <w:rPr>
          <w:rFonts w:ascii="仿宋_GB2312" w:hAnsi="仿宋" w:eastAsia="仿宋_GB2312" w:cs="宋体"/>
          <w:color w:val="000000"/>
          <w:kern w:val="0"/>
          <w:sz w:val="32"/>
          <w:szCs w:val="32"/>
        </w:rPr>
      </w:pPr>
      <w:r>
        <w:rPr>
          <w:rFonts w:ascii="仿宋_GB2312" w:eastAsia="仿宋_GB2312" w:cs="仿宋_GB2312"/>
          <w:color w:val="000000"/>
          <w:sz w:val="32"/>
          <w:szCs w:val="32"/>
          <w:shd w:val="clear" w:color="auto" w:fill="FFFFFF"/>
        </w:rPr>
        <w:t>2</w:t>
      </w:r>
      <w:r>
        <w:rPr>
          <w:rFonts w:hint="eastAsia" w:ascii="仿宋_GB2312" w:eastAsia="仿宋_GB2312" w:cs="仿宋_GB2312"/>
          <w:color w:val="000000"/>
          <w:sz w:val="32"/>
          <w:szCs w:val="32"/>
          <w:shd w:val="clear" w:color="auto" w:fill="FFFFFF"/>
        </w:rPr>
        <w:t>.</w:t>
      </w:r>
      <w:r>
        <w:rPr>
          <w:rFonts w:ascii="仿宋_GB2312" w:eastAsia="仿宋_GB2312" w:cs="仿宋_GB2312"/>
          <w:color w:val="000000"/>
          <w:sz w:val="32"/>
          <w:szCs w:val="32"/>
          <w:shd w:val="clear" w:color="auto" w:fill="FFFFFF"/>
        </w:rPr>
        <w:t>宣传还不够深入，</w:t>
      </w:r>
      <w:r>
        <w:rPr>
          <w:rFonts w:hint="eastAsia" w:ascii="仿宋_GB2312" w:eastAsia="仿宋_GB2312" w:cs="仿宋_GB2312"/>
          <w:color w:val="000000"/>
          <w:sz w:val="32"/>
          <w:szCs w:val="32"/>
          <w:shd w:val="clear" w:color="auto" w:fill="FFFFFF"/>
        </w:rPr>
        <w:t>牧民</w:t>
      </w:r>
      <w:r>
        <w:rPr>
          <w:rFonts w:ascii="仿宋_GB2312" w:eastAsia="仿宋_GB2312" w:cs="仿宋_GB2312"/>
          <w:color w:val="000000"/>
          <w:sz w:val="32"/>
          <w:szCs w:val="32"/>
          <w:shd w:val="clear" w:color="auto" w:fill="FFFFFF"/>
        </w:rPr>
        <w:t>群众对基本公共卫生项目知晓率低，不理解、不配合的现象时有发生</w:t>
      </w:r>
      <w:r>
        <w:rPr>
          <w:rFonts w:hint="eastAsia" w:ascii="仿宋_GB2312" w:eastAsia="仿宋_GB2312" w:cs="仿宋_GB2312"/>
          <w:color w:val="000000"/>
          <w:sz w:val="32"/>
          <w:szCs w:val="32"/>
          <w:shd w:val="clear" w:color="auto" w:fill="FFFFFF"/>
        </w:rPr>
        <w:t>、</w:t>
      </w:r>
      <w:r>
        <w:rPr>
          <w:rFonts w:hint="eastAsia" w:ascii="仿宋_GB2312" w:hAnsi="仿宋" w:eastAsia="仿宋_GB2312"/>
          <w:color w:val="000000"/>
          <w:sz w:val="32"/>
          <w:szCs w:val="32"/>
        </w:rPr>
        <w:t>疾病防控健康教育工作需要更深入，宣传资料需要更具针对性，只有改变了牧民群众的生活习惯，卫生习惯和防病观念后，我们的疾病预防控制工作才能事半功倍。</w:t>
      </w:r>
    </w:p>
    <w:p>
      <w:pPr>
        <w:spacing w:line="560" w:lineRule="exact"/>
        <w:ind w:firstLine="640" w:firstLineChars="200"/>
        <w:rPr>
          <w:rFonts w:ascii="仿宋_GB2312" w:eastAsia="仿宋_GB2312" w:cs="仿宋_GB2312"/>
          <w:color w:val="000000"/>
          <w:sz w:val="32"/>
          <w:szCs w:val="32"/>
          <w:shd w:val="clear" w:color="auto" w:fill="FFFFFF"/>
        </w:rPr>
      </w:pPr>
      <w:r>
        <w:rPr>
          <w:rFonts w:ascii="仿宋_GB2312" w:eastAsia="仿宋_GB2312" w:cs="仿宋_GB2312"/>
          <w:color w:val="000000"/>
          <w:sz w:val="32"/>
          <w:szCs w:val="32"/>
          <w:shd w:val="clear" w:color="auto" w:fill="FFFFFF"/>
        </w:rPr>
        <w:t>3</w:t>
      </w:r>
      <w:r>
        <w:rPr>
          <w:rFonts w:hint="eastAsia" w:ascii="仿宋_GB2312" w:eastAsia="仿宋_GB2312" w:cs="仿宋_GB2312"/>
          <w:color w:val="000000"/>
          <w:sz w:val="32"/>
          <w:szCs w:val="32"/>
          <w:shd w:val="clear" w:color="auto" w:fill="FFFFFF"/>
        </w:rPr>
        <w:t>.</w:t>
      </w:r>
      <w:r>
        <w:rPr>
          <w:rFonts w:ascii="仿宋_GB2312" w:eastAsia="仿宋_GB2312" w:cs="仿宋_GB2312"/>
          <w:color w:val="000000"/>
          <w:sz w:val="32"/>
          <w:szCs w:val="32"/>
          <w:shd w:val="clear" w:color="auto" w:fill="FFFFFF"/>
        </w:rPr>
        <w:t>项目工作实施主体主要是乡镇卫生院，基层人员紧张，工作量过大，导致工作质量和效率欠佳，难以保质保量完成工作任务。</w:t>
      </w:r>
    </w:p>
    <w:p>
      <w:pPr>
        <w:spacing w:line="560" w:lineRule="exact"/>
        <w:ind w:firstLine="640" w:firstLineChars="200"/>
        <w:rPr>
          <w:rFonts w:eastAsia="黑体"/>
          <w:sz w:val="32"/>
          <w:szCs w:val="32"/>
        </w:rPr>
      </w:pPr>
      <w:r>
        <w:rPr>
          <w:rFonts w:hint="eastAsia" w:ascii="仿宋_GB2312" w:hAnsi="仿宋" w:eastAsia="仿宋_GB2312"/>
          <w:color w:val="000000"/>
          <w:sz w:val="32"/>
          <w:szCs w:val="32"/>
        </w:rPr>
        <w:t>4.免疫规划儿童接种率总体保持在90%以上，但个别镇乡接种率水分较重，特别是国家扩大免疫规划增加疫苗接种率较低。</w:t>
      </w:r>
    </w:p>
    <w:p>
      <w:pPr>
        <w:pStyle w:val="6"/>
        <w:spacing w:beforeAutospacing="0" w:afterAutospacing="0" w:line="560" w:lineRule="exact"/>
        <w:ind w:firstLine="640" w:firstLineChars="200"/>
        <w:jc w:val="both"/>
        <w:rPr>
          <w:rFonts w:ascii="Times New Roman" w:hAnsi="Times New Roman" w:eastAsia="黑体" w:cs="Times New Roman"/>
          <w:sz w:val="32"/>
          <w:szCs w:val="32"/>
        </w:rPr>
      </w:pPr>
      <w:r>
        <w:rPr>
          <w:rFonts w:hint="eastAsia" w:ascii="Times New Roman" w:hAnsi="Times New Roman" w:eastAsia="黑体" w:cs="Times New Roman"/>
          <w:sz w:val="32"/>
          <w:szCs w:val="32"/>
        </w:rPr>
        <w:t>六</w:t>
      </w:r>
      <w:r>
        <w:rPr>
          <w:rFonts w:ascii="Times New Roman" w:hAnsi="Times New Roman" w:eastAsia="黑体" w:cs="Times New Roman"/>
          <w:sz w:val="32"/>
          <w:szCs w:val="32"/>
        </w:rPr>
        <w:t>、其他需要说明的事项</w:t>
      </w:r>
    </w:p>
    <w:p>
      <w:pPr>
        <w:widowControl/>
        <w:shd w:val="clear" w:color="auto" w:fill="FFFFFF"/>
        <w:spacing w:line="560" w:lineRule="exact"/>
        <w:ind w:firstLine="640" w:firstLineChars="20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建立健全工作机制，强化工作职责。加强对公共卫生项目工作的领导，健全工作机制，强化工作职责，及时分析汇总，发现问题及时采取有效措施整改，确保项目工作全面有序健康发展。</w:t>
      </w: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Style w:val="26"/>
          <w:rFonts w:ascii="黑体" w:hAnsi="黑体" w:eastAsia="黑体"/>
          <w:b w:val="0"/>
        </w:rPr>
      </w:pPr>
      <w:r>
        <w:rPr>
          <w:rFonts w:hint="eastAsia" w:ascii="黑体" w:hAnsi="黑体" w:eastAsia="黑体"/>
          <w:color w:val="000000"/>
          <w:sz w:val="44"/>
          <w:szCs w:val="44"/>
        </w:rPr>
        <w:t>第</w:t>
      </w:r>
      <w:r>
        <w:rPr>
          <w:rStyle w:val="26"/>
          <w:rFonts w:hint="eastAsia" w:ascii="黑体" w:hAnsi="黑体" w:eastAsia="黑体"/>
          <w:b w:val="0"/>
        </w:rPr>
        <w:t>五部分 附表</w:t>
      </w:r>
      <w:bookmarkEnd w:id="57"/>
      <w:bookmarkEnd w:id="61"/>
    </w:p>
    <w:p>
      <w:pPr>
        <w:spacing w:line="600" w:lineRule="exact"/>
        <w:jc w:val="center"/>
        <w:outlineLvl w:val="0"/>
        <w:rPr>
          <w:rFonts w:ascii="仿宋" w:hAnsi="仿宋" w:eastAsia="仿宋"/>
          <w:b/>
          <w:color w:val="000000"/>
          <w:sz w:val="44"/>
          <w:szCs w:val="44"/>
        </w:rPr>
      </w:pPr>
    </w:p>
    <w:p>
      <w:pPr>
        <w:pStyle w:val="3"/>
        <w:numPr>
          <w:ilvl w:val="0"/>
          <w:numId w:val="9"/>
        </w:numPr>
        <w:rPr>
          <w:rFonts w:ascii="仿宋" w:hAnsi="仿宋" w:eastAsia="仿宋"/>
          <w:b w:val="0"/>
          <w:color w:val="000000"/>
        </w:rPr>
      </w:pPr>
      <w:bookmarkStart w:id="62" w:name="_Toc15396620"/>
      <w:r>
        <w:rPr>
          <w:rFonts w:hint="eastAsia" w:ascii="仿宋" w:hAnsi="仿宋" w:eastAsia="仿宋"/>
          <w:b w:val="0"/>
          <w:color w:val="000000"/>
        </w:rPr>
        <w:t>收入支出决算总表</w:t>
      </w:r>
    </w:p>
    <w:p>
      <w:pPr>
        <w:pStyle w:val="3"/>
        <w:rPr>
          <w:rFonts w:ascii="仿宋" w:hAnsi="仿宋" w:eastAsia="仿宋"/>
          <w:color w:val="000000"/>
        </w:rPr>
      </w:pPr>
      <w:r>
        <w:rPr>
          <w:rFonts w:hint="eastAsia" w:ascii="仿宋" w:hAnsi="仿宋" w:eastAsia="仿宋"/>
          <w:b w:val="0"/>
          <w:color w:val="000000"/>
        </w:rPr>
        <w:t>二、收</w:t>
      </w:r>
      <w:r>
        <w:rPr>
          <w:rStyle w:val="27"/>
          <w:rFonts w:hint="eastAsia" w:ascii="仿宋" w:hAnsi="仿宋" w:eastAsia="仿宋"/>
          <w:b w:val="0"/>
          <w:bCs w:val="0"/>
        </w:rPr>
        <w:t>入总表</w:t>
      </w:r>
      <w:bookmarkEnd w:id="62"/>
    </w:p>
    <w:p>
      <w:pPr>
        <w:pStyle w:val="3"/>
        <w:rPr>
          <w:rFonts w:ascii="仿宋" w:hAnsi="仿宋" w:eastAsia="仿宋"/>
          <w:color w:val="000000"/>
        </w:rPr>
      </w:pPr>
      <w:bookmarkStart w:id="63" w:name="_Toc15396621"/>
      <w:r>
        <w:rPr>
          <w:rStyle w:val="27"/>
          <w:rFonts w:hint="eastAsia" w:ascii="仿宋" w:hAnsi="仿宋" w:eastAsia="仿宋"/>
          <w:b w:val="0"/>
          <w:bCs w:val="0"/>
        </w:rPr>
        <w:t>三、</w:t>
      </w:r>
      <w:r>
        <w:rPr>
          <w:rFonts w:hint="eastAsia" w:ascii="仿宋" w:hAnsi="仿宋" w:eastAsia="仿宋"/>
          <w:b w:val="0"/>
          <w:color w:val="000000"/>
        </w:rPr>
        <w:t>支</w:t>
      </w:r>
      <w:r>
        <w:rPr>
          <w:rStyle w:val="27"/>
          <w:rFonts w:hint="eastAsia" w:ascii="仿宋" w:hAnsi="仿宋" w:eastAsia="仿宋"/>
          <w:b w:val="0"/>
          <w:bCs w:val="0"/>
        </w:rPr>
        <w:t>出总表</w:t>
      </w:r>
      <w:bookmarkEnd w:id="63"/>
    </w:p>
    <w:p>
      <w:pPr>
        <w:pStyle w:val="3"/>
        <w:rPr>
          <w:rFonts w:ascii="仿宋" w:hAnsi="仿宋" w:eastAsia="仿宋"/>
          <w:b w:val="0"/>
          <w:color w:val="000000"/>
        </w:rPr>
      </w:pPr>
      <w:bookmarkStart w:id="64" w:name="_Toc15396622"/>
      <w:r>
        <w:rPr>
          <w:rStyle w:val="27"/>
          <w:rFonts w:hint="eastAsia" w:ascii="仿宋" w:hAnsi="仿宋" w:eastAsia="仿宋"/>
          <w:b w:val="0"/>
          <w:bCs w:val="0"/>
        </w:rPr>
        <w:t>四、</w:t>
      </w:r>
      <w:r>
        <w:rPr>
          <w:rFonts w:hint="eastAsia" w:ascii="仿宋" w:hAnsi="仿宋" w:eastAsia="仿宋"/>
          <w:b w:val="0"/>
          <w:color w:val="000000"/>
        </w:rPr>
        <w:t>财</w:t>
      </w:r>
      <w:r>
        <w:rPr>
          <w:rStyle w:val="27"/>
          <w:rFonts w:hint="eastAsia" w:ascii="仿宋" w:hAnsi="仿宋" w:eastAsia="仿宋"/>
          <w:b w:val="0"/>
          <w:bCs w:val="0"/>
        </w:rPr>
        <w:t>政拨款收入支出决算总表</w:t>
      </w:r>
      <w:bookmarkEnd w:id="64"/>
    </w:p>
    <w:p>
      <w:pPr>
        <w:pStyle w:val="3"/>
        <w:rPr>
          <w:rFonts w:ascii="仿宋" w:hAnsi="仿宋" w:eastAsia="仿宋"/>
          <w:color w:val="000000"/>
        </w:rPr>
      </w:pPr>
      <w:bookmarkStart w:id="65" w:name="_Toc15396623"/>
      <w:r>
        <w:rPr>
          <w:rStyle w:val="27"/>
          <w:rFonts w:hint="eastAsia" w:ascii="仿宋" w:hAnsi="仿宋" w:eastAsia="仿宋"/>
          <w:b w:val="0"/>
          <w:bCs w:val="0"/>
        </w:rPr>
        <w:t>五、</w:t>
      </w:r>
      <w:r>
        <w:rPr>
          <w:rFonts w:hint="eastAsia" w:ascii="仿宋" w:hAnsi="仿宋" w:eastAsia="仿宋"/>
          <w:b w:val="0"/>
          <w:color w:val="000000"/>
        </w:rPr>
        <w:t>财</w:t>
      </w:r>
      <w:r>
        <w:rPr>
          <w:rStyle w:val="27"/>
          <w:rFonts w:hint="eastAsia" w:ascii="仿宋" w:hAnsi="仿宋" w:eastAsia="仿宋"/>
          <w:b w:val="0"/>
          <w:bCs w:val="0"/>
        </w:rPr>
        <w:t>政拨款支出决算明细表（政府经济分类科目）</w:t>
      </w:r>
      <w:bookmarkEnd w:id="65"/>
    </w:p>
    <w:p>
      <w:pPr>
        <w:pStyle w:val="3"/>
        <w:rPr>
          <w:rFonts w:ascii="仿宋" w:hAnsi="仿宋" w:eastAsia="仿宋"/>
          <w:color w:val="000000"/>
        </w:rPr>
      </w:pPr>
      <w:bookmarkStart w:id="66" w:name="_Toc15396624"/>
      <w:r>
        <w:rPr>
          <w:rStyle w:val="27"/>
          <w:rFonts w:hint="eastAsia" w:ascii="仿宋" w:hAnsi="仿宋" w:eastAsia="仿宋"/>
          <w:b w:val="0"/>
          <w:bCs w:val="0"/>
        </w:rPr>
        <w:t>六、</w:t>
      </w:r>
      <w:r>
        <w:rPr>
          <w:rFonts w:hint="eastAsia" w:ascii="仿宋" w:hAnsi="仿宋" w:eastAsia="仿宋"/>
          <w:b w:val="0"/>
          <w:color w:val="000000"/>
        </w:rPr>
        <w:t>一</w:t>
      </w:r>
      <w:r>
        <w:rPr>
          <w:rStyle w:val="27"/>
          <w:rFonts w:hint="eastAsia" w:ascii="仿宋" w:hAnsi="仿宋" w:eastAsia="仿宋"/>
          <w:b w:val="0"/>
          <w:bCs w:val="0"/>
        </w:rPr>
        <w:t>般公共预算财政拨款支出决算表</w:t>
      </w:r>
      <w:bookmarkEnd w:id="66"/>
    </w:p>
    <w:p>
      <w:pPr>
        <w:pStyle w:val="3"/>
        <w:rPr>
          <w:rFonts w:ascii="仿宋" w:hAnsi="仿宋" w:eastAsia="仿宋"/>
          <w:color w:val="000000"/>
        </w:rPr>
      </w:pPr>
      <w:bookmarkStart w:id="67" w:name="_Toc15396625"/>
      <w:r>
        <w:rPr>
          <w:rStyle w:val="27"/>
          <w:rFonts w:hint="eastAsia" w:ascii="仿宋" w:hAnsi="仿宋" w:eastAsia="仿宋"/>
          <w:b w:val="0"/>
          <w:bCs w:val="0"/>
        </w:rPr>
        <w:t>七、</w:t>
      </w:r>
      <w:r>
        <w:rPr>
          <w:rFonts w:hint="eastAsia" w:ascii="仿宋" w:hAnsi="仿宋" w:eastAsia="仿宋"/>
          <w:b w:val="0"/>
          <w:color w:val="000000"/>
        </w:rPr>
        <w:t>一</w:t>
      </w:r>
      <w:r>
        <w:rPr>
          <w:rStyle w:val="27"/>
          <w:rFonts w:hint="eastAsia" w:ascii="仿宋" w:hAnsi="仿宋" w:eastAsia="仿宋"/>
          <w:b w:val="0"/>
          <w:bCs w:val="0"/>
        </w:rPr>
        <w:t>般公共预算财政拨款支出决算明细表</w:t>
      </w:r>
      <w:bookmarkEnd w:id="67"/>
    </w:p>
    <w:p>
      <w:pPr>
        <w:pStyle w:val="3"/>
        <w:rPr>
          <w:rFonts w:ascii="仿宋" w:hAnsi="仿宋" w:eastAsia="仿宋"/>
          <w:color w:val="000000"/>
        </w:rPr>
      </w:pPr>
      <w:bookmarkStart w:id="68" w:name="_Toc15396626"/>
      <w:r>
        <w:rPr>
          <w:rStyle w:val="27"/>
          <w:rFonts w:hint="eastAsia" w:ascii="仿宋" w:hAnsi="仿宋" w:eastAsia="仿宋"/>
          <w:b w:val="0"/>
          <w:bCs w:val="0"/>
        </w:rPr>
        <w:t>八、</w:t>
      </w:r>
      <w:r>
        <w:rPr>
          <w:rFonts w:hint="eastAsia" w:ascii="仿宋" w:hAnsi="仿宋" w:eastAsia="仿宋"/>
          <w:b w:val="0"/>
          <w:color w:val="000000"/>
        </w:rPr>
        <w:t>一</w:t>
      </w:r>
      <w:r>
        <w:rPr>
          <w:rStyle w:val="27"/>
          <w:rFonts w:hint="eastAsia" w:ascii="仿宋" w:hAnsi="仿宋" w:eastAsia="仿宋"/>
          <w:b w:val="0"/>
          <w:bCs w:val="0"/>
        </w:rPr>
        <w:t>般公共预算财政拨款基本支出决算表</w:t>
      </w:r>
      <w:bookmarkEnd w:id="68"/>
    </w:p>
    <w:p>
      <w:pPr>
        <w:pStyle w:val="3"/>
        <w:rPr>
          <w:rFonts w:ascii="仿宋" w:hAnsi="仿宋" w:eastAsia="仿宋"/>
          <w:color w:val="000000"/>
        </w:rPr>
      </w:pPr>
      <w:bookmarkStart w:id="69" w:name="_Toc15396627"/>
      <w:r>
        <w:rPr>
          <w:rStyle w:val="27"/>
          <w:rFonts w:hint="eastAsia" w:ascii="仿宋" w:hAnsi="仿宋" w:eastAsia="仿宋"/>
          <w:b w:val="0"/>
          <w:bCs w:val="0"/>
        </w:rPr>
        <w:t>九、</w:t>
      </w:r>
      <w:r>
        <w:rPr>
          <w:rFonts w:hint="eastAsia" w:ascii="仿宋" w:hAnsi="仿宋" w:eastAsia="仿宋"/>
          <w:b w:val="0"/>
          <w:color w:val="000000"/>
        </w:rPr>
        <w:t>一</w:t>
      </w:r>
      <w:r>
        <w:rPr>
          <w:rStyle w:val="27"/>
          <w:rFonts w:hint="eastAsia" w:ascii="仿宋" w:hAnsi="仿宋" w:eastAsia="仿宋"/>
          <w:b w:val="0"/>
          <w:bCs w:val="0"/>
        </w:rPr>
        <w:t>般公共预算财政拨款项目支出决算表</w:t>
      </w:r>
      <w:bookmarkEnd w:id="69"/>
    </w:p>
    <w:p>
      <w:pPr>
        <w:pStyle w:val="3"/>
        <w:rPr>
          <w:rFonts w:ascii="仿宋" w:hAnsi="仿宋" w:eastAsia="仿宋"/>
          <w:color w:val="000000"/>
        </w:rPr>
      </w:pPr>
      <w:bookmarkStart w:id="70" w:name="_Toc15396628"/>
      <w:r>
        <w:rPr>
          <w:rStyle w:val="27"/>
          <w:rFonts w:hint="eastAsia" w:ascii="仿宋" w:hAnsi="仿宋" w:eastAsia="仿宋"/>
          <w:b w:val="0"/>
          <w:bCs w:val="0"/>
        </w:rPr>
        <w:t>十、</w:t>
      </w:r>
      <w:r>
        <w:rPr>
          <w:rFonts w:hint="eastAsia" w:ascii="仿宋" w:hAnsi="仿宋" w:eastAsia="仿宋"/>
          <w:b w:val="0"/>
          <w:color w:val="000000"/>
        </w:rPr>
        <w:t>一</w:t>
      </w:r>
      <w:r>
        <w:rPr>
          <w:rStyle w:val="27"/>
          <w:rFonts w:hint="eastAsia" w:ascii="仿宋" w:hAnsi="仿宋" w:eastAsia="仿宋"/>
          <w:b w:val="0"/>
          <w:bCs w:val="0"/>
        </w:rPr>
        <w:t>般公共预算财政拨款“三公”经费支出决算表</w:t>
      </w:r>
      <w:bookmarkEnd w:id="70"/>
    </w:p>
    <w:p>
      <w:pPr>
        <w:pStyle w:val="3"/>
        <w:rPr>
          <w:rFonts w:ascii="仿宋" w:hAnsi="仿宋" w:eastAsia="仿宋"/>
          <w:color w:val="000000"/>
        </w:rPr>
      </w:pPr>
      <w:bookmarkStart w:id="71" w:name="_Toc15396629"/>
      <w:r>
        <w:rPr>
          <w:rStyle w:val="27"/>
          <w:rFonts w:hint="eastAsia" w:ascii="仿宋" w:hAnsi="仿宋" w:eastAsia="仿宋"/>
          <w:b w:val="0"/>
          <w:bCs w:val="0"/>
        </w:rPr>
        <w:t>十一、</w:t>
      </w:r>
      <w:r>
        <w:rPr>
          <w:rFonts w:hint="eastAsia" w:ascii="仿宋" w:hAnsi="仿宋" w:eastAsia="仿宋"/>
          <w:b w:val="0"/>
          <w:color w:val="000000"/>
        </w:rPr>
        <w:t>政</w:t>
      </w:r>
      <w:r>
        <w:rPr>
          <w:rStyle w:val="27"/>
          <w:rFonts w:hint="eastAsia" w:ascii="仿宋" w:hAnsi="仿宋" w:eastAsia="仿宋"/>
          <w:b w:val="0"/>
          <w:bCs w:val="0"/>
        </w:rPr>
        <w:t>府性基金预算财政拨款收入支出决算表</w:t>
      </w:r>
      <w:bookmarkEnd w:id="71"/>
    </w:p>
    <w:p>
      <w:pPr>
        <w:pStyle w:val="3"/>
        <w:rPr>
          <w:rFonts w:ascii="仿宋" w:hAnsi="仿宋" w:eastAsia="仿宋"/>
          <w:color w:val="000000"/>
        </w:rPr>
      </w:pPr>
      <w:bookmarkStart w:id="72" w:name="_Toc15396630"/>
      <w:r>
        <w:rPr>
          <w:rStyle w:val="27"/>
          <w:rFonts w:hint="eastAsia" w:ascii="仿宋" w:hAnsi="仿宋" w:eastAsia="仿宋"/>
          <w:b w:val="0"/>
          <w:bCs w:val="0"/>
        </w:rPr>
        <w:t>十二、</w:t>
      </w:r>
      <w:r>
        <w:rPr>
          <w:rFonts w:hint="eastAsia" w:ascii="仿宋" w:hAnsi="仿宋" w:eastAsia="仿宋"/>
          <w:b w:val="0"/>
          <w:color w:val="000000"/>
        </w:rPr>
        <w:t>政</w:t>
      </w:r>
      <w:r>
        <w:rPr>
          <w:rStyle w:val="27"/>
          <w:rFonts w:hint="eastAsia" w:ascii="仿宋" w:hAnsi="仿宋" w:eastAsia="仿宋"/>
          <w:b w:val="0"/>
          <w:bCs w:val="0"/>
        </w:rPr>
        <w:t>府性基金预算财政拨款“三公”经费支出决算表</w:t>
      </w:r>
      <w:bookmarkEnd w:id="72"/>
    </w:p>
    <w:p>
      <w:pPr>
        <w:pStyle w:val="3"/>
        <w:rPr>
          <w:rStyle w:val="27"/>
          <w:rFonts w:hint="eastAsia" w:ascii="仿宋" w:hAnsi="仿宋" w:eastAsia="仿宋"/>
          <w:b w:val="0"/>
          <w:bCs w:val="0"/>
        </w:rPr>
      </w:pPr>
      <w:bookmarkStart w:id="73" w:name="_Toc15396631"/>
      <w:r>
        <w:rPr>
          <w:rStyle w:val="27"/>
          <w:rFonts w:hint="eastAsia" w:ascii="仿宋" w:hAnsi="仿宋" w:eastAsia="仿宋"/>
          <w:b w:val="0"/>
          <w:bCs w:val="0"/>
        </w:rPr>
        <w:t>十三、</w:t>
      </w:r>
      <w:r>
        <w:rPr>
          <w:rFonts w:hint="eastAsia" w:ascii="仿宋" w:hAnsi="仿宋" w:eastAsia="仿宋"/>
          <w:b w:val="0"/>
          <w:color w:val="000000"/>
        </w:rPr>
        <w:t>国</w:t>
      </w:r>
      <w:r>
        <w:rPr>
          <w:rStyle w:val="27"/>
          <w:rFonts w:hint="eastAsia" w:ascii="仿宋" w:hAnsi="仿宋" w:eastAsia="仿宋"/>
          <w:b w:val="0"/>
          <w:bCs w:val="0"/>
        </w:rPr>
        <w:t>有资本经营预算支出决算表</w:t>
      </w:r>
      <w:bookmarkEnd w:id="73"/>
    </w:p>
    <w:p>
      <w:pPr>
        <w:rPr>
          <w:rStyle w:val="27"/>
          <w:rFonts w:hint="eastAsia" w:ascii="仿宋" w:hAnsi="仿宋" w:eastAsia="仿宋"/>
          <w:b w:val="0"/>
          <w:bCs w:val="0"/>
          <w:lang w:val="en-US" w:eastAsia="zh-CN"/>
        </w:rPr>
      </w:pPr>
      <w:r>
        <w:rPr>
          <w:rStyle w:val="27"/>
          <w:rFonts w:hint="eastAsia" w:ascii="仿宋" w:hAnsi="仿宋" w:eastAsia="仿宋"/>
          <w:b w:val="0"/>
          <w:bCs w:val="0"/>
          <w:lang w:val="en-US" w:eastAsia="zh-CN"/>
        </w:rPr>
        <w:t>十四、整体支出绩效评价打分表</w:t>
      </w:r>
    </w:p>
    <w:p>
      <w:pPr>
        <w:rPr>
          <w:rStyle w:val="27"/>
          <w:rFonts w:hint="eastAsia" w:ascii="仿宋" w:hAnsi="仿宋" w:eastAsia="仿宋"/>
          <w:b w:val="0"/>
          <w:bCs w:val="0"/>
          <w:lang w:val="en-US" w:eastAsia="zh-CN"/>
        </w:rPr>
      </w:pPr>
      <w:r>
        <w:rPr>
          <w:rStyle w:val="27"/>
          <w:rFonts w:hint="eastAsia" w:ascii="仿宋" w:hAnsi="仿宋" w:eastAsia="仿宋"/>
          <w:b w:val="0"/>
          <w:bCs w:val="0"/>
          <w:lang w:val="en-US" w:eastAsia="zh-CN"/>
        </w:rPr>
        <w:t>十五、项目支出绩效评价打分表</w:t>
      </w:r>
    </w:p>
    <w:p>
      <w:pPr>
        <w:rPr>
          <w:rFonts w:hint="eastAsia"/>
        </w:rPr>
      </w:pPr>
    </w:p>
    <w:p>
      <w:pPr>
        <w:rPr>
          <w:rFonts w:hint="eastAsia"/>
        </w:rPr>
      </w:pPr>
    </w:p>
    <w:p>
      <w:pPr>
        <w:rPr>
          <w:rFonts w:hint="eastAsia"/>
        </w:rPr>
      </w:pPr>
    </w:p>
    <w:p>
      <w:pPr>
        <w:rPr>
          <w:rFonts w:hint="eastAsia"/>
        </w:rPr>
      </w:pPr>
    </w:p>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Microsoft Himalaya">
    <w:altName w:val="DejaVu Math TeX Gyre"/>
    <w:panose1 w:val="01010100010101010101"/>
    <w:charset w:val="00"/>
    <w:family w:val="auto"/>
    <w:pitch w:val="default"/>
    <w:sig w:usb0="00000000" w:usb1="00000000" w:usb2="00000040" w:usb3="00000000" w:csb0="00000001" w:csb1="00000000"/>
  </w:font>
  <w:font w:name="DejaVu Math TeX Gyre">
    <w:panose1 w:val="02000503000000000000"/>
    <w:charset w:val="00"/>
    <w:family w:val="auto"/>
    <w:pitch w:val="default"/>
    <w:sig w:usb0="A10000EF" w:usb1="4201F9EE" w:usb2="02000000" w:usb3="00000000" w:csb0="60000193" w:csb1="0DD4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Arial Unicode MS">
    <w:altName w:val="Times New Roman"/>
    <w:panose1 w:val="020B0604020202020204"/>
    <w:charset w:val="86"/>
    <w:family w:val="swiss"/>
    <w:pitch w:val="default"/>
    <w:sig w:usb0="00000000" w:usb1="00000000" w:usb2="0000003F" w:usb3="00000000" w:csb0="603F01FF" w:csb1="FFFF0000"/>
  </w:font>
  <w:font w:name="方正小标宋简体">
    <w:panose1 w:val="02000000000000000000"/>
    <w:charset w:val="86"/>
    <w:family w:val="script"/>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
    <w:altName w:val="Times New Roman"/>
    <w:panose1 w:val="00000000000000000000"/>
    <w:charset w:val="00"/>
    <w:family w:val="auto"/>
    <w:pitch w:val="default"/>
    <w:sig w:usb0="00000000"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font>
  <w:font w:name="华文仿宋">
    <w:altName w:val="汉仪仿宋简"/>
    <w:panose1 w:val="02010600040101010101"/>
    <w:charset w:val="86"/>
    <w:family w:val="auto"/>
    <w:pitch w:val="default"/>
    <w:sig w:usb0="00000000" w:usb1="00000000" w:usb2="00000000" w:usb3="00000000" w:csb0="0004009F" w:csb1="DFD70000"/>
  </w:font>
  <w:font w:name="汉仪仿宋简">
    <w:panose1 w:val="02010600000101010101"/>
    <w:charset w:val="86"/>
    <w:family w:val="auto"/>
    <w:pitch w:val="default"/>
    <w:sig w:usb0="00000001" w:usb1="080E0800" w:usb2="00000002" w:usb3="00000000" w:csb0="00040000"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9"/>
          <w:jc w:val="center"/>
        </w:pPr>
        <w:r>
          <w:fldChar w:fldCharType="begin"/>
        </w:r>
        <w:r>
          <w:instrText xml:space="preserve">PAGE   \* MERGEFORMAT</w:instrText>
        </w:r>
        <w:r>
          <w:fldChar w:fldCharType="separate"/>
        </w:r>
        <w:r>
          <w:rPr>
            <w:lang w:val="zh-CN"/>
          </w:rPr>
          <w:t>4</w:t>
        </w:r>
        <w:r>
          <w:rPr>
            <w:lang w:val="zh-CN"/>
          </w:rP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CF5791"/>
    <w:multiLevelType w:val="singleLevel"/>
    <w:tmpl w:val="80CF5791"/>
    <w:lvl w:ilvl="0" w:tentative="0">
      <w:start w:val="2"/>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6">
    <w:nsid w:val="235E3E15"/>
    <w:multiLevelType w:val="singleLevel"/>
    <w:tmpl w:val="235E3E15"/>
    <w:lvl w:ilvl="0" w:tentative="0">
      <w:start w:val="2"/>
      <w:numFmt w:val="chineseCounting"/>
      <w:suff w:val="nothing"/>
      <w:lvlText w:val="（%1）"/>
      <w:lvlJc w:val="left"/>
      <w:rPr>
        <w:rFonts w:hint="eastAsia"/>
      </w:rPr>
    </w:lvl>
  </w:abstractNum>
  <w:abstractNum w:abstractNumId="7">
    <w:nsid w:val="53E1C6B2"/>
    <w:multiLevelType w:val="singleLevel"/>
    <w:tmpl w:val="53E1C6B2"/>
    <w:lvl w:ilvl="0" w:tentative="0">
      <w:start w:val="2"/>
      <w:numFmt w:val="chineseCounting"/>
      <w:suff w:val="nothing"/>
      <w:lvlText w:val="（%1）"/>
      <w:lvlJc w:val="left"/>
      <w:rPr>
        <w:rFonts w:hint="eastAsia"/>
      </w:rPr>
    </w:lvl>
  </w:abstractNum>
  <w:abstractNum w:abstractNumId="8">
    <w:nsid w:val="5D5382B5"/>
    <w:multiLevelType w:val="singleLevel"/>
    <w:tmpl w:val="5D5382B5"/>
    <w:lvl w:ilvl="0" w:tentative="0">
      <w:start w:val="1"/>
      <w:numFmt w:val="chineseCounting"/>
      <w:suff w:val="nothing"/>
      <w:lvlText w:val="%1、"/>
      <w:lvlJc w:val="left"/>
    </w:lvl>
  </w:abstractNum>
  <w:num w:numId="1">
    <w:abstractNumId w:val="4"/>
  </w:num>
  <w:num w:numId="2">
    <w:abstractNumId w:val="1"/>
  </w:num>
  <w:num w:numId="3">
    <w:abstractNumId w:val="5"/>
  </w:num>
  <w:num w:numId="4">
    <w:abstractNumId w:val="3"/>
  </w:num>
  <w:num w:numId="5">
    <w:abstractNumId w:val="2"/>
  </w:num>
  <w:num w:numId="6">
    <w:abstractNumId w:val="7"/>
  </w:num>
  <w:num w:numId="7">
    <w:abstractNumId w:val="6"/>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1361C"/>
    <w:rsid w:val="000222C6"/>
    <w:rsid w:val="0002549F"/>
    <w:rsid w:val="0006487A"/>
    <w:rsid w:val="000657E9"/>
    <w:rsid w:val="00065F8F"/>
    <w:rsid w:val="000768F2"/>
    <w:rsid w:val="0009184B"/>
    <w:rsid w:val="0009593C"/>
    <w:rsid w:val="000A4BF4"/>
    <w:rsid w:val="000B047F"/>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19F1"/>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3141"/>
    <w:rsid w:val="006A3233"/>
    <w:rsid w:val="006A5E34"/>
    <w:rsid w:val="006B2422"/>
    <w:rsid w:val="006B2B9A"/>
    <w:rsid w:val="006C1937"/>
    <w:rsid w:val="006F020C"/>
    <w:rsid w:val="006F5D06"/>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91CBB"/>
    <w:rsid w:val="00CA0264"/>
    <w:rsid w:val="00CC09B6"/>
    <w:rsid w:val="00CC666F"/>
    <w:rsid w:val="00CD1E3F"/>
    <w:rsid w:val="00CE44F6"/>
    <w:rsid w:val="00CE49DA"/>
    <w:rsid w:val="00CE7B61"/>
    <w:rsid w:val="00D00095"/>
    <w:rsid w:val="00D20620"/>
    <w:rsid w:val="00D26091"/>
    <w:rsid w:val="00D34E7C"/>
    <w:rsid w:val="00D35489"/>
    <w:rsid w:val="00D51276"/>
    <w:rsid w:val="00D7035F"/>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76548"/>
    <w:rsid w:val="00E82267"/>
    <w:rsid w:val="00EA010F"/>
    <w:rsid w:val="00ED1B63"/>
    <w:rsid w:val="00ED3C1F"/>
    <w:rsid w:val="00ED4085"/>
    <w:rsid w:val="00ED420E"/>
    <w:rsid w:val="00EE2F57"/>
    <w:rsid w:val="00EF4C34"/>
    <w:rsid w:val="00EF77C6"/>
    <w:rsid w:val="00F05438"/>
    <w:rsid w:val="00F1361C"/>
    <w:rsid w:val="00F160C7"/>
    <w:rsid w:val="00F31260"/>
    <w:rsid w:val="00F36D8F"/>
    <w:rsid w:val="00F417B1"/>
    <w:rsid w:val="00F602DF"/>
    <w:rsid w:val="00F81FD9"/>
    <w:rsid w:val="00F841AA"/>
    <w:rsid w:val="00FA23E8"/>
    <w:rsid w:val="00FC42E8"/>
    <w:rsid w:val="00FD3CC1"/>
    <w:rsid w:val="00FF1E02"/>
    <w:rsid w:val="00FF30B4"/>
    <w:rsid w:val="017C4AAD"/>
    <w:rsid w:val="019330D7"/>
    <w:rsid w:val="01DC052A"/>
    <w:rsid w:val="0213722A"/>
    <w:rsid w:val="029F149D"/>
    <w:rsid w:val="0336135F"/>
    <w:rsid w:val="03BD5368"/>
    <w:rsid w:val="04021065"/>
    <w:rsid w:val="04731FA1"/>
    <w:rsid w:val="04BA0632"/>
    <w:rsid w:val="059E5D06"/>
    <w:rsid w:val="061622EF"/>
    <w:rsid w:val="062E61DA"/>
    <w:rsid w:val="063A72D8"/>
    <w:rsid w:val="06521B95"/>
    <w:rsid w:val="06907743"/>
    <w:rsid w:val="06CA02D4"/>
    <w:rsid w:val="0768753F"/>
    <w:rsid w:val="076E1C58"/>
    <w:rsid w:val="07FF59C6"/>
    <w:rsid w:val="08AE56EF"/>
    <w:rsid w:val="09CB33EB"/>
    <w:rsid w:val="09DC4DEA"/>
    <w:rsid w:val="0A900C32"/>
    <w:rsid w:val="0B2E7958"/>
    <w:rsid w:val="0B460F64"/>
    <w:rsid w:val="0B620C02"/>
    <w:rsid w:val="0BC757CB"/>
    <w:rsid w:val="0CD60C57"/>
    <w:rsid w:val="0D314C91"/>
    <w:rsid w:val="0D554252"/>
    <w:rsid w:val="0D5D788B"/>
    <w:rsid w:val="0E043B78"/>
    <w:rsid w:val="0ED62A80"/>
    <w:rsid w:val="0FA51140"/>
    <w:rsid w:val="105E29C1"/>
    <w:rsid w:val="10840B13"/>
    <w:rsid w:val="10C04D63"/>
    <w:rsid w:val="10C055FF"/>
    <w:rsid w:val="10E232BC"/>
    <w:rsid w:val="10F529AD"/>
    <w:rsid w:val="113504DB"/>
    <w:rsid w:val="119D0B14"/>
    <w:rsid w:val="129A1BD7"/>
    <w:rsid w:val="12B21D50"/>
    <w:rsid w:val="12B362F0"/>
    <w:rsid w:val="13487091"/>
    <w:rsid w:val="1353359D"/>
    <w:rsid w:val="137B3C3F"/>
    <w:rsid w:val="139A77A7"/>
    <w:rsid w:val="13D85A10"/>
    <w:rsid w:val="14D341C0"/>
    <w:rsid w:val="15636620"/>
    <w:rsid w:val="15AF44D6"/>
    <w:rsid w:val="16BB723D"/>
    <w:rsid w:val="16DA0DC5"/>
    <w:rsid w:val="173A5B47"/>
    <w:rsid w:val="17971C8A"/>
    <w:rsid w:val="17FE34AF"/>
    <w:rsid w:val="197E3E0F"/>
    <w:rsid w:val="1A0157A5"/>
    <w:rsid w:val="1A737A21"/>
    <w:rsid w:val="1ABE7875"/>
    <w:rsid w:val="1AD504AF"/>
    <w:rsid w:val="1B477C5A"/>
    <w:rsid w:val="1BEE5705"/>
    <w:rsid w:val="1C2407D5"/>
    <w:rsid w:val="1D1A7170"/>
    <w:rsid w:val="1DB86C5C"/>
    <w:rsid w:val="1E0A438A"/>
    <w:rsid w:val="1E6C36FD"/>
    <w:rsid w:val="1ECA51CE"/>
    <w:rsid w:val="1ECD4FE5"/>
    <w:rsid w:val="1F0A4AA5"/>
    <w:rsid w:val="1F0E7CFF"/>
    <w:rsid w:val="20012D8D"/>
    <w:rsid w:val="2005363F"/>
    <w:rsid w:val="20181299"/>
    <w:rsid w:val="20971D6A"/>
    <w:rsid w:val="210B73D3"/>
    <w:rsid w:val="216934A2"/>
    <w:rsid w:val="216D6D58"/>
    <w:rsid w:val="218F7200"/>
    <w:rsid w:val="21F17816"/>
    <w:rsid w:val="225C696C"/>
    <w:rsid w:val="225D6292"/>
    <w:rsid w:val="22DB565E"/>
    <w:rsid w:val="23131114"/>
    <w:rsid w:val="23A55730"/>
    <w:rsid w:val="23EC69BB"/>
    <w:rsid w:val="240371BF"/>
    <w:rsid w:val="24077B1A"/>
    <w:rsid w:val="25205174"/>
    <w:rsid w:val="255F3B41"/>
    <w:rsid w:val="25A749DE"/>
    <w:rsid w:val="25B46BBD"/>
    <w:rsid w:val="26893D33"/>
    <w:rsid w:val="27965C15"/>
    <w:rsid w:val="27F61767"/>
    <w:rsid w:val="283D1FC4"/>
    <w:rsid w:val="288950B2"/>
    <w:rsid w:val="28EF4922"/>
    <w:rsid w:val="295E3C36"/>
    <w:rsid w:val="298B3AA8"/>
    <w:rsid w:val="29FD04D3"/>
    <w:rsid w:val="2A2E4E91"/>
    <w:rsid w:val="2B85026A"/>
    <w:rsid w:val="2B8842D0"/>
    <w:rsid w:val="2BA10AE0"/>
    <w:rsid w:val="2C5C0FC0"/>
    <w:rsid w:val="2C696665"/>
    <w:rsid w:val="2CD82D80"/>
    <w:rsid w:val="2CDA0538"/>
    <w:rsid w:val="2CF25474"/>
    <w:rsid w:val="2D6D14AA"/>
    <w:rsid w:val="2D867D74"/>
    <w:rsid w:val="2E142737"/>
    <w:rsid w:val="2F6B1190"/>
    <w:rsid w:val="30181477"/>
    <w:rsid w:val="30E00ECF"/>
    <w:rsid w:val="30E64FC6"/>
    <w:rsid w:val="31551D77"/>
    <w:rsid w:val="319F7F4E"/>
    <w:rsid w:val="31E04C40"/>
    <w:rsid w:val="32B50F68"/>
    <w:rsid w:val="32DF5142"/>
    <w:rsid w:val="32E92CE9"/>
    <w:rsid w:val="330B581C"/>
    <w:rsid w:val="33172910"/>
    <w:rsid w:val="33972564"/>
    <w:rsid w:val="34403616"/>
    <w:rsid w:val="349A072F"/>
    <w:rsid w:val="3529718B"/>
    <w:rsid w:val="354C4E3C"/>
    <w:rsid w:val="3571703C"/>
    <w:rsid w:val="36103F29"/>
    <w:rsid w:val="36E43CE6"/>
    <w:rsid w:val="36F61169"/>
    <w:rsid w:val="36FC4FB8"/>
    <w:rsid w:val="37166350"/>
    <w:rsid w:val="373832EF"/>
    <w:rsid w:val="374603CB"/>
    <w:rsid w:val="37925155"/>
    <w:rsid w:val="381C5E51"/>
    <w:rsid w:val="39151713"/>
    <w:rsid w:val="397108C8"/>
    <w:rsid w:val="398307BC"/>
    <w:rsid w:val="3A09088F"/>
    <w:rsid w:val="3A57688D"/>
    <w:rsid w:val="3AB44862"/>
    <w:rsid w:val="3ABE3199"/>
    <w:rsid w:val="3BA32AB4"/>
    <w:rsid w:val="3C352390"/>
    <w:rsid w:val="3C57572C"/>
    <w:rsid w:val="3C7F6989"/>
    <w:rsid w:val="3C9A0C35"/>
    <w:rsid w:val="3DB26A35"/>
    <w:rsid w:val="3DE62758"/>
    <w:rsid w:val="3E5F5CE5"/>
    <w:rsid w:val="3E706B65"/>
    <w:rsid w:val="3E8212A7"/>
    <w:rsid w:val="3E9B68AF"/>
    <w:rsid w:val="3FAA1723"/>
    <w:rsid w:val="3FB72D80"/>
    <w:rsid w:val="40180894"/>
    <w:rsid w:val="40242B9D"/>
    <w:rsid w:val="406D7983"/>
    <w:rsid w:val="40782B36"/>
    <w:rsid w:val="419C2BDA"/>
    <w:rsid w:val="41A36163"/>
    <w:rsid w:val="41A74884"/>
    <w:rsid w:val="41C130A4"/>
    <w:rsid w:val="4232276C"/>
    <w:rsid w:val="4299433F"/>
    <w:rsid w:val="42C8485B"/>
    <w:rsid w:val="43586AA8"/>
    <w:rsid w:val="436569FC"/>
    <w:rsid w:val="43AB6102"/>
    <w:rsid w:val="43DC5F10"/>
    <w:rsid w:val="44053B27"/>
    <w:rsid w:val="44867CF0"/>
    <w:rsid w:val="453E098F"/>
    <w:rsid w:val="45506141"/>
    <w:rsid w:val="458845DD"/>
    <w:rsid w:val="45FD296C"/>
    <w:rsid w:val="463327C3"/>
    <w:rsid w:val="463714D0"/>
    <w:rsid w:val="46B95350"/>
    <w:rsid w:val="46DF39ED"/>
    <w:rsid w:val="47203709"/>
    <w:rsid w:val="478B0696"/>
    <w:rsid w:val="47C84FB1"/>
    <w:rsid w:val="47C8605C"/>
    <w:rsid w:val="47F06A71"/>
    <w:rsid w:val="483201F7"/>
    <w:rsid w:val="48A005FC"/>
    <w:rsid w:val="48BE5666"/>
    <w:rsid w:val="494935D2"/>
    <w:rsid w:val="494C2008"/>
    <w:rsid w:val="49510E8B"/>
    <w:rsid w:val="499C074B"/>
    <w:rsid w:val="4A173B3A"/>
    <w:rsid w:val="4A8445A7"/>
    <w:rsid w:val="4B45044D"/>
    <w:rsid w:val="4BAE2D9C"/>
    <w:rsid w:val="4C7E068A"/>
    <w:rsid w:val="4EC50288"/>
    <w:rsid w:val="4EE27990"/>
    <w:rsid w:val="4F3F7EC3"/>
    <w:rsid w:val="4FE7354F"/>
    <w:rsid w:val="4FF57B2B"/>
    <w:rsid w:val="501E168A"/>
    <w:rsid w:val="5066196E"/>
    <w:rsid w:val="50CA6053"/>
    <w:rsid w:val="51AC28DC"/>
    <w:rsid w:val="51EE7D0D"/>
    <w:rsid w:val="52824D17"/>
    <w:rsid w:val="52F24A11"/>
    <w:rsid w:val="52FA707F"/>
    <w:rsid w:val="536A60D5"/>
    <w:rsid w:val="54681E9E"/>
    <w:rsid w:val="553B3E7B"/>
    <w:rsid w:val="55CC70B8"/>
    <w:rsid w:val="57521A4F"/>
    <w:rsid w:val="57583948"/>
    <w:rsid w:val="575D5800"/>
    <w:rsid w:val="57DB4809"/>
    <w:rsid w:val="57DF77B7"/>
    <w:rsid w:val="58037DAE"/>
    <w:rsid w:val="583B321F"/>
    <w:rsid w:val="589F151C"/>
    <w:rsid w:val="58E11DE4"/>
    <w:rsid w:val="59FB6F68"/>
    <w:rsid w:val="5A434A84"/>
    <w:rsid w:val="5A700095"/>
    <w:rsid w:val="5A84510A"/>
    <w:rsid w:val="5B41359D"/>
    <w:rsid w:val="5B947A76"/>
    <w:rsid w:val="5BA10E64"/>
    <w:rsid w:val="5BAD77DF"/>
    <w:rsid w:val="5BFD7712"/>
    <w:rsid w:val="5D634C3E"/>
    <w:rsid w:val="5D86073B"/>
    <w:rsid w:val="5E2E40CB"/>
    <w:rsid w:val="5F230FCC"/>
    <w:rsid w:val="5F253BA3"/>
    <w:rsid w:val="5FD45B5C"/>
    <w:rsid w:val="5FF12411"/>
    <w:rsid w:val="60336192"/>
    <w:rsid w:val="60B4778C"/>
    <w:rsid w:val="610F24FA"/>
    <w:rsid w:val="626341CB"/>
    <w:rsid w:val="629A04AD"/>
    <w:rsid w:val="62F4549A"/>
    <w:rsid w:val="63480EDC"/>
    <w:rsid w:val="63493886"/>
    <w:rsid w:val="637864CC"/>
    <w:rsid w:val="639443D9"/>
    <w:rsid w:val="642130BB"/>
    <w:rsid w:val="65133F95"/>
    <w:rsid w:val="65AB4880"/>
    <w:rsid w:val="661C665E"/>
    <w:rsid w:val="66700B6B"/>
    <w:rsid w:val="66C61EA1"/>
    <w:rsid w:val="66DD31AB"/>
    <w:rsid w:val="67651EEF"/>
    <w:rsid w:val="676E3B52"/>
    <w:rsid w:val="67733F16"/>
    <w:rsid w:val="67EB2AF4"/>
    <w:rsid w:val="687E434A"/>
    <w:rsid w:val="6896266B"/>
    <w:rsid w:val="68A16408"/>
    <w:rsid w:val="690A35C4"/>
    <w:rsid w:val="694C4CF9"/>
    <w:rsid w:val="69D865E9"/>
    <w:rsid w:val="6A09117F"/>
    <w:rsid w:val="6A24393B"/>
    <w:rsid w:val="6ADE5A75"/>
    <w:rsid w:val="6B7F3207"/>
    <w:rsid w:val="6BC45CBE"/>
    <w:rsid w:val="6C8C2C40"/>
    <w:rsid w:val="6D1A55F5"/>
    <w:rsid w:val="6D682166"/>
    <w:rsid w:val="6DB92737"/>
    <w:rsid w:val="6E836102"/>
    <w:rsid w:val="6EAC1BE1"/>
    <w:rsid w:val="6ECE348B"/>
    <w:rsid w:val="6F4E5D79"/>
    <w:rsid w:val="6F902B09"/>
    <w:rsid w:val="6FB217AA"/>
    <w:rsid w:val="6FF73932"/>
    <w:rsid w:val="707349E3"/>
    <w:rsid w:val="710A3EC4"/>
    <w:rsid w:val="71460427"/>
    <w:rsid w:val="71CC07E7"/>
    <w:rsid w:val="72590E2B"/>
    <w:rsid w:val="72BF3596"/>
    <w:rsid w:val="72CA0BCC"/>
    <w:rsid w:val="72DF62C9"/>
    <w:rsid w:val="72E1346D"/>
    <w:rsid w:val="73862E97"/>
    <w:rsid w:val="74261EFE"/>
    <w:rsid w:val="742638F7"/>
    <w:rsid w:val="74602CC2"/>
    <w:rsid w:val="74FE284A"/>
    <w:rsid w:val="75282356"/>
    <w:rsid w:val="75406185"/>
    <w:rsid w:val="75D27115"/>
    <w:rsid w:val="75F232EE"/>
    <w:rsid w:val="767D38FA"/>
    <w:rsid w:val="76D60E7C"/>
    <w:rsid w:val="76E917ED"/>
    <w:rsid w:val="77082DBA"/>
    <w:rsid w:val="77EC7E06"/>
    <w:rsid w:val="78601D1E"/>
    <w:rsid w:val="786B1DC0"/>
    <w:rsid w:val="7881363F"/>
    <w:rsid w:val="78CF5476"/>
    <w:rsid w:val="78D47630"/>
    <w:rsid w:val="79FB1931"/>
    <w:rsid w:val="7A1579DD"/>
    <w:rsid w:val="7A323DD7"/>
    <w:rsid w:val="7A7408F9"/>
    <w:rsid w:val="7A755A97"/>
    <w:rsid w:val="7AB06DC8"/>
    <w:rsid w:val="7B045CDF"/>
    <w:rsid w:val="7B3C1DDD"/>
    <w:rsid w:val="7BBA24AD"/>
    <w:rsid w:val="7C0D0563"/>
    <w:rsid w:val="7C471CB1"/>
    <w:rsid w:val="7D36001F"/>
    <w:rsid w:val="7D5A74BA"/>
    <w:rsid w:val="7D765C7E"/>
    <w:rsid w:val="7DB146BC"/>
    <w:rsid w:val="7E471ACC"/>
    <w:rsid w:val="7E5265D7"/>
    <w:rsid w:val="7E880085"/>
    <w:rsid w:val="7EB52109"/>
    <w:rsid w:val="7EE75C21"/>
    <w:rsid w:val="7F4217DF"/>
    <w:rsid w:val="7F7920CC"/>
    <w:rsid w:val="7F7A790C"/>
    <w:rsid w:val="7FB01923"/>
    <w:rsid w:val="7FD91D83"/>
    <w:rsid w:val="7FFE3372"/>
    <w:rsid w:val="FAFBE869"/>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bidi="bo-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5">
    <w:name w:val="Default Paragraph Font"/>
    <w:unhideWhenUsed/>
    <w:qFormat/>
    <w:uiPriority w:val="1"/>
  </w:style>
  <w:style w:type="table" w:default="1" w:styleId="14">
    <w:name w:val="Normal Table"/>
    <w:unhideWhenUsed/>
    <w:qFormat/>
    <w:uiPriority w:val="99"/>
    <w:tblPr>
      <w:tblCellMar>
        <w:top w:w="0" w:type="dxa"/>
        <w:left w:w="108" w:type="dxa"/>
        <w:bottom w:w="0" w:type="dxa"/>
        <w:right w:w="108" w:type="dxa"/>
      </w:tblCellMar>
    </w:tblPr>
  </w:style>
  <w:style w:type="paragraph" w:styleId="5">
    <w:name w:val="Body Text"/>
    <w:basedOn w:val="1"/>
    <w:link w:val="23"/>
    <w:qFormat/>
    <w:uiPriority w:val="99"/>
    <w:pPr>
      <w:spacing w:beforeLines="30"/>
    </w:pPr>
    <w:rPr>
      <w:rFonts w:ascii="仿宋_GB2312" w:eastAsia="仿宋_GB2312"/>
      <w:kern w:val="0"/>
      <w:sz w:val="30"/>
    </w:rPr>
  </w:style>
  <w:style w:type="paragraph" w:styleId="6">
    <w:name w:val="Body Text Indent"/>
    <w:basedOn w:val="1"/>
    <w:unhideWhenUsed/>
    <w:qFormat/>
    <w:uiPriority w:val="99"/>
    <w:pPr>
      <w:widowControl/>
      <w:spacing w:beforeAutospacing="1" w:afterAutospacing="1"/>
      <w:jc w:val="left"/>
    </w:pPr>
    <w:rPr>
      <w:rFonts w:ascii="宋体" w:hAnsi="宋体" w:cs="宋体"/>
      <w:kern w:val="0"/>
      <w:sz w:val="24"/>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29"/>
    <w:unhideWhenUsed/>
    <w:qFormat/>
    <w:uiPriority w:val="99"/>
    <w:rPr>
      <w:sz w:val="18"/>
      <w:szCs w:val="18"/>
    </w:rPr>
  </w:style>
  <w:style w:type="paragraph" w:styleId="9">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Normal (Web)"/>
    <w:basedOn w:val="1"/>
    <w:qFormat/>
    <w:uiPriority w:val="0"/>
    <w:pPr>
      <w:spacing w:before="100" w:beforeAutospacing="1" w:after="100" w:afterAutospacing="1"/>
      <w:jc w:val="left"/>
    </w:pPr>
    <w:rPr>
      <w:rFonts w:cs="Arial Unicode MS"/>
      <w:kern w:val="0"/>
      <w:sz w:val="24"/>
      <w:lang w:bidi="bo-CN"/>
    </w:r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rPr>
  </w:style>
  <w:style w:type="character" w:customStyle="1" w:styleId="18">
    <w:name w:val="Header Char"/>
    <w:basedOn w:val="15"/>
    <w:semiHidden/>
    <w:qFormat/>
    <w:uiPriority w:val="99"/>
    <w:rPr>
      <w:rFonts w:ascii="Times New Roman" w:hAnsi="Times New Roman"/>
      <w:sz w:val="18"/>
      <w:szCs w:val="18"/>
    </w:rPr>
  </w:style>
  <w:style w:type="character" w:customStyle="1" w:styleId="19">
    <w:name w:val="页眉 Char"/>
    <w:link w:val="10"/>
    <w:semiHidden/>
    <w:qFormat/>
    <w:locked/>
    <w:uiPriority w:val="99"/>
    <w:rPr>
      <w:sz w:val="18"/>
    </w:rPr>
  </w:style>
  <w:style w:type="character" w:customStyle="1" w:styleId="20">
    <w:name w:val="Footer Char"/>
    <w:basedOn w:val="15"/>
    <w:semiHidden/>
    <w:qFormat/>
    <w:uiPriority w:val="99"/>
    <w:rPr>
      <w:rFonts w:ascii="Times New Roman" w:hAnsi="Times New Roman"/>
      <w:sz w:val="18"/>
      <w:szCs w:val="18"/>
    </w:rPr>
  </w:style>
  <w:style w:type="character" w:customStyle="1" w:styleId="21">
    <w:name w:val="页脚 Char"/>
    <w:link w:val="9"/>
    <w:qFormat/>
    <w:locked/>
    <w:uiPriority w:val="99"/>
    <w:rPr>
      <w:sz w:val="18"/>
    </w:rPr>
  </w:style>
  <w:style w:type="character" w:customStyle="1" w:styleId="22">
    <w:name w:val="Body Text Char"/>
    <w:basedOn w:val="15"/>
    <w:semiHidden/>
    <w:qFormat/>
    <w:uiPriority w:val="99"/>
    <w:rPr>
      <w:rFonts w:ascii="Times New Roman" w:hAnsi="Times New Roman"/>
      <w:szCs w:val="24"/>
    </w:rPr>
  </w:style>
  <w:style w:type="character" w:customStyle="1" w:styleId="23">
    <w:name w:val="正文文本 Char"/>
    <w:link w:val="5"/>
    <w:qFormat/>
    <w:locked/>
    <w:uiPriority w:val="99"/>
    <w:rPr>
      <w:rFonts w:ascii="仿宋_GB2312" w:hAnsi="Times New Roman" w:eastAsia="仿宋_GB2312"/>
      <w:sz w:val="24"/>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5">
    <w:name w:val="列出段落1"/>
    <w:basedOn w:val="1"/>
    <w:qFormat/>
    <w:uiPriority w:val="34"/>
    <w:pPr>
      <w:ind w:firstLine="420" w:firstLineChars="200"/>
    </w:pPr>
  </w:style>
  <w:style w:type="character" w:customStyle="1" w:styleId="26">
    <w:name w:val="标题 1 Char"/>
    <w:basedOn w:val="15"/>
    <w:link w:val="2"/>
    <w:qFormat/>
    <w:uiPriority w:val="9"/>
    <w:rPr>
      <w:rFonts w:ascii="Times New Roman" w:hAnsi="Times New Roman"/>
      <w:b/>
      <w:bCs/>
      <w:kern w:val="44"/>
      <w:sz w:val="44"/>
      <w:szCs w:val="44"/>
    </w:rPr>
  </w:style>
  <w:style w:type="character" w:customStyle="1" w:styleId="27">
    <w:name w:val="标题 2 Char"/>
    <w:basedOn w:val="15"/>
    <w:link w:val="3"/>
    <w:qFormat/>
    <w:uiPriority w:val="9"/>
    <w:rPr>
      <w:rFonts w:asciiTheme="majorHAnsi" w:hAnsiTheme="majorHAnsi" w:eastAsiaTheme="majorEastAsia" w:cstheme="majorBidi"/>
      <w:b/>
      <w:bCs/>
      <w:kern w:val="2"/>
      <w:sz w:val="32"/>
      <w:szCs w:val="32"/>
    </w:rPr>
  </w:style>
  <w:style w:type="paragraph" w:customStyle="1" w:styleId="28">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9">
    <w:name w:val="批注框文本 Char"/>
    <w:basedOn w:val="15"/>
    <w:link w:val="8"/>
    <w:semiHidden/>
    <w:qFormat/>
    <w:uiPriority w:val="99"/>
    <w:rPr>
      <w:rFonts w:ascii="Times New Roman" w:hAnsi="Times New Roman"/>
      <w:kern w:val="2"/>
      <w:sz w:val="18"/>
      <w:szCs w:val="18"/>
    </w:rPr>
  </w:style>
  <w:style w:type="character" w:customStyle="1" w:styleId="30">
    <w:name w:val="标题 3 Char"/>
    <w:basedOn w:val="15"/>
    <w:link w:val="4"/>
    <w:qFormat/>
    <w:uiPriority w:val="9"/>
    <w:rPr>
      <w:rFonts w:ascii="Times New Roman" w:hAnsi="Times New Roman"/>
      <w:b/>
      <w:bCs/>
      <w:kern w:val="2"/>
      <w:sz w:val="32"/>
      <w:szCs w:val="32"/>
    </w:rPr>
  </w:style>
  <w:style w:type="paragraph" w:customStyle="1" w:styleId="31">
    <w:name w:val="普通(网站)1"/>
    <w:basedOn w:val="1"/>
    <w:qFormat/>
    <w:uiPriority w:val="0"/>
    <w:pPr>
      <w:spacing w:before="100" w:beforeAutospacing="1" w:after="100" w:afterAutospacing="1"/>
    </w:pPr>
  </w:style>
</w:styles>
</file>

<file path=word/_rels/document.xml.rels><?xml version="1.0" encoding="UTF-8" standalone="yes"?>
<Relationships xmlns="http://schemas.openxmlformats.org/package/2006/relationships"><Relationship Id="rId9" Type="http://schemas.openxmlformats.org/officeDocument/2006/relationships/image" Target="media/image4.emf"/><Relationship Id="rId8" Type="http://schemas.openxmlformats.org/officeDocument/2006/relationships/image" Target="media/image3.emf"/><Relationship Id="rId7" Type="http://schemas.openxmlformats.org/officeDocument/2006/relationships/image" Target="media/image2.emf"/><Relationship Id="rId6" Type="http://schemas.openxmlformats.org/officeDocument/2006/relationships/image" Target="media/image1.emf"/><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7.emf"/><Relationship Id="rId11" Type="http://schemas.openxmlformats.org/officeDocument/2006/relationships/image" Target="media/image6.emf"/><Relationship Id="rId10" Type="http://schemas.openxmlformats.org/officeDocument/2006/relationships/image" Target="media/image5.em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四川省财政厅</Company>
  <Pages>66</Pages>
  <Words>27322</Words>
  <Characters>5729</Characters>
  <Lines>47</Lines>
  <Paragraphs>65</Paragraphs>
  <TotalTime>1</TotalTime>
  <ScaleCrop>false</ScaleCrop>
  <LinksUpToDate>false</LinksUpToDate>
  <CharactersWithSpaces>32986</CharactersWithSpaces>
  <Application>WPS Office_11.8.2.1121_F1E327BC-269C-435d-A152-05C5408002CA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2019-08-01T09:14:00Z</dcterms:created>
  <dc:creator>张彬茜</dc:creator>
  <cp:lastModifiedBy>ruijie</cp:lastModifiedBy>
  <cp:lastPrinted>2019-08-01T08:48:00Z</cp:lastPrinted>
  <dcterms:modified xsi:type="dcterms:W3CDTF">2025-04-11T12:38:08Z</dcterms:modified>
  <dc:title>四川省***</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2052-11.8.2.1121</vt:lpwstr>
  </property>
  <property fmtid="{D5CDD505-2E9C-101B-9397-08002B2CF9AE}" pid="3" name="ICV">
    <vt:lpwstr>52D3F8391AA6D587B09CF8674C46E533</vt:lpwstr>
  </property>
</Properties>
</file>