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黑体" w:hAnsi="黑体" w:eastAsia="黑体"/>
          <w:color w:val="000000"/>
          <w:sz w:val="72"/>
          <w:szCs w:val="72"/>
        </w:rPr>
      </w:pPr>
      <w:bookmarkStart w:id="1" w:name="_Toc15396475"/>
      <w:bookmarkStart w:id="2" w:name="_Toc15396597"/>
      <w:bookmarkStart w:id="3" w:name="_Toc15377425"/>
      <w:bookmarkStart w:id="4" w:name="_Toc15377193"/>
      <w:bookmarkStart w:id="5" w:name="_Toc15378441"/>
    </w:p>
    <w:p>
      <w:pPr>
        <w:adjustRightInd w:val="0"/>
        <w:snapToGrid w:val="0"/>
        <w:spacing w:line="360" w:lineRule="auto"/>
        <w:jc w:val="center"/>
        <w:outlineLvl w:val="0"/>
        <w:rPr>
          <w:rFonts w:ascii="方正小标宋简体" w:hAnsi="宋体" w:eastAsia="方正小标宋简体"/>
          <w:color w:val="000000"/>
          <w:sz w:val="72"/>
          <w:szCs w:val="72"/>
        </w:rPr>
      </w:pPr>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0"/>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宋体" w:hAnsi="宋体" w:cs="宋体"/>
          <w:b/>
          <w:bCs/>
          <w:sz w:val="52"/>
          <w:szCs w:val="32"/>
        </w:rPr>
        <w:t>红原县</w:t>
      </w:r>
      <w:r>
        <w:rPr>
          <w:rFonts w:hint="eastAsia" w:ascii="宋体" w:hAnsi="宋体" w:cs="宋体"/>
          <w:b/>
          <w:bCs/>
          <w:sz w:val="52"/>
          <w:szCs w:val="32"/>
          <w:lang w:eastAsia="zh-CN"/>
        </w:rPr>
        <w:t>人民</w:t>
      </w:r>
      <w:r>
        <w:rPr>
          <w:rFonts w:hint="eastAsia" w:ascii="宋体" w:hAnsi="宋体" w:cs="宋体"/>
          <w:b/>
          <w:bCs/>
          <w:sz w:val="52"/>
          <w:szCs w:val="32"/>
        </w:rPr>
        <w:t>医院</w:t>
      </w:r>
    </w:p>
    <w:p>
      <w:pPr>
        <w:spacing w:line="560" w:lineRule="exact"/>
        <w:jc w:val="center"/>
        <w:rPr>
          <w:rFonts w:ascii="宋体" w:cs="宋体"/>
          <w:b/>
          <w:bCs/>
          <w:sz w:val="52"/>
          <w:szCs w:val="32"/>
        </w:rPr>
      </w:pPr>
      <w:r>
        <w:rPr>
          <w:rFonts w:hint="eastAsia" w:ascii="宋体" w:hAnsi="宋体" w:cs="宋体"/>
          <w:b/>
          <w:bCs/>
          <w:sz w:val="52"/>
          <w:szCs w:val="32"/>
        </w:rPr>
        <w:t>年度部门决算公开编制说明</w:t>
      </w:r>
    </w:p>
    <w:p>
      <w:pPr>
        <w:spacing w:line="560" w:lineRule="exact"/>
        <w:jc w:val="center"/>
        <w:rPr>
          <w:rFonts w:ascii="宋体" w:cs="宋体"/>
          <w:b/>
          <w:bCs/>
          <w:sz w:val="72"/>
          <w:szCs w:val="32"/>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ind w:firstLine="560" w:firstLineChars="200"/>
        <w:jc w:val="both"/>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fldChar w:fldCharType="end"/>
      </w:r>
    </w:p>
    <w:p>
      <w:pPr>
        <w:pStyle w:val="11"/>
        <w:ind w:left="31680"/>
        <w:rPr>
          <w:rFonts w:ascii="仿宋" w:hAnsi="仿宋" w:eastAsia="仿宋"/>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fldChar w:fldCharType="end"/>
      </w:r>
    </w:p>
    <w:p>
      <w:pPr>
        <w:pStyle w:val="10"/>
        <w:ind w:firstLine="280" w:firstLineChars="100"/>
        <w:jc w:val="both"/>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fldChar w:fldCharType="end"/>
      </w:r>
    </w:p>
    <w:p>
      <w:pPr>
        <w:pStyle w:val="11"/>
        <w:ind w:left="31680"/>
        <w:rPr>
          <w:rFonts w:ascii="仿宋" w:hAnsi="仿宋" w:eastAsia="仿宋"/>
          <w:sz w:val="28"/>
          <w:szCs w:val="28"/>
        </w:rPr>
      </w:pPr>
      <w:r>
        <w:fldChar w:fldCharType="begin"/>
      </w:r>
      <w:r>
        <w:instrText xml:space="preserve"> HYPERLINK \l "_Toc15396603" </w:instrText>
      </w:r>
      <w:r>
        <w:fldChar w:fldCharType="separate"/>
      </w:r>
      <w:r>
        <w:rPr>
          <w:rStyle w:val="17"/>
          <w:rFonts w:hint="eastAsia" w:ascii="仿宋" w:hAnsi="仿宋" w:eastAsia="仿宋"/>
          <w:bCs/>
          <w:sz w:val="28"/>
          <w:szCs w:val="28"/>
        </w:rPr>
        <w:t>一、</w:t>
      </w:r>
      <w:r>
        <w:rPr>
          <w:rStyle w:val="17"/>
          <w:rFonts w:hint="eastAsia" w:ascii="仿宋" w:hAnsi="仿宋" w:eastAsia="仿宋"/>
          <w:sz w:val="28"/>
          <w:szCs w:val="28"/>
        </w:rPr>
        <w:t>收</w:t>
      </w:r>
      <w:r>
        <w:rPr>
          <w:rStyle w:val="17"/>
          <w:rFonts w:hint="eastAsia" w:ascii="仿宋" w:hAnsi="仿宋" w:eastAsia="仿宋"/>
          <w:bCs/>
          <w:sz w:val="28"/>
          <w:szCs w:val="28"/>
        </w:rPr>
        <w:t>入支出决算总体情况说明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"_Toc15396604" </w:instrText>
      </w:r>
      <w:r>
        <w:fldChar w:fldCharType="separate"/>
      </w:r>
      <w:r>
        <w:rPr>
          <w:rStyle w:val="17"/>
          <w:rFonts w:hint="eastAsia" w:ascii="仿宋" w:hAnsi="仿宋" w:eastAsia="仿宋"/>
          <w:bCs/>
          <w:sz w:val="28"/>
          <w:szCs w:val="28"/>
        </w:rPr>
        <w:t>二、</w:t>
      </w:r>
      <w:r>
        <w:rPr>
          <w:rStyle w:val="17"/>
          <w:rFonts w:hint="eastAsia" w:ascii="仿宋" w:hAnsi="仿宋" w:eastAsia="仿宋"/>
          <w:sz w:val="28"/>
          <w:szCs w:val="28"/>
        </w:rPr>
        <w:t>收</w:t>
      </w:r>
      <w:r>
        <w:rPr>
          <w:rStyle w:val="17"/>
          <w:rFonts w:hint="eastAsia" w:ascii="仿宋" w:hAnsi="仿宋" w:eastAsia="仿宋"/>
          <w:bCs/>
          <w:sz w:val="28"/>
          <w:szCs w:val="28"/>
        </w:rPr>
        <w:t>入决算情况说明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"_Toc15396605" </w:instrText>
      </w:r>
      <w:r>
        <w:fldChar w:fldCharType="separate"/>
      </w:r>
      <w:r>
        <w:rPr>
          <w:rStyle w:val="17"/>
          <w:rFonts w:hint="eastAsia" w:ascii="仿宋" w:hAnsi="仿宋" w:eastAsia="仿宋"/>
          <w:bCs/>
          <w:sz w:val="28"/>
          <w:szCs w:val="28"/>
        </w:rPr>
        <w:t>三、</w:t>
      </w:r>
      <w:r>
        <w:rPr>
          <w:rStyle w:val="17"/>
          <w:rFonts w:hint="eastAsia" w:ascii="仿宋" w:hAnsi="仿宋" w:eastAsia="仿宋"/>
          <w:sz w:val="28"/>
          <w:szCs w:val="28"/>
        </w:rPr>
        <w:t>支</w:t>
      </w:r>
      <w:r>
        <w:rPr>
          <w:rStyle w:val="17"/>
          <w:rFonts w:hint="eastAsia" w:ascii="仿宋" w:hAnsi="仿宋" w:eastAsia="仿宋"/>
          <w:bCs/>
          <w:sz w:val="28"/>
          <w:szCs w:val="28"/>
        </w:rPr>
        <w:t>出决算情况说明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bCs/>
          <w:sz w:val="28"/>
          <w:szCs w:val="28"/>
        </w:rPr>
        <w:t>政拨款收入支出决算总体情况说明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bCs/>
          <w:sz w:val="28"/>
          <w:szCs w:val="28"/>
        </w:rPr>
        <w:t>般公共预算财政拨款支出决算情况说明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bCs/>
          <w:sz w:val="28"/>
          <w:szCs w:val="28"/>
        </w:rPr>
        <w:t>般公共预算财政拨款基本支出决算情况说明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hint="eastAsia" w:ascii="仿宋" w:hAnsi="仿宋" w:eastAsia="仿宋"/>
          <w:bCs/>
          <w:sz w:val="28"/>
          <w:szCs w:val="28"/>
        </w:rPr>
        <w:t>三公”经费财政拨款支出决算情况说明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bCs/>
          <w:sz w:val="28"/>
          <w:szCs w:val="28"/>
        </w:rPr>
        <w:t>政府性基金预算支出决算情况说明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"_Toc15396611" </w:instrText>
      </w:r>
      <w:r>
        <w:fldChar w:fldCharType="separate"/>
      </w:r>
      <w:r>
        <w:rPr>
          <w:rStyle w:val="17"/>
          <w:rFonts w:hint="eastAsia" w:ascii="仿宋" w:hAnsi="仿宋" w:eastAsia="仿宋"/>
          <w:bCs/>
          <w:sz w:val="28"/>
          <w:szCs w:val="28"/>
        </w:rPr>
        <w:t>九、</w:t>
      </w:r>
      <w:r>
        <w:rPr>
          <w:rStyle w:val="17"/>
          <w:rFonts w:ascii="仿宋" w:hAnsi="仿宋" w:eastAsia="仿宋"/>
          <w:sz w:val="28"/>
          <w:szCs w:val="28"/>
        </w:rPr>
        <w:t xml:space="preserve"> </w:t>
      </w:r>
      <w:r>
        <w:rPr>
          <w:rStyle w:val="17"/>
          <w:rFonts w:hint="eastAsia" w:ascii="仿宋" w:hAnsi="仿宋" w:eastAsia="仿宋"/>
          <w:sz w:val="28"/>
          <w:szCs w:val="28"/>
        </w:rPr>
        <w:t>国</w:t>
      </w:r>
      <w:r>
        <w:rPr>
          <w:rStyle w:val="17"/>
          <w:rFonts w:hint="eastAsia" w:ascii="仿宋" w:hAnsi="仿宋" w:eastAsia="仿宋"/>
          <w:bCs/>
          <w:sz w:val="28"/>
          <w:szCs w:val="28"/>
        </w:rPr>
        <w:t>有资本经营预算支出决算情况说明</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bCs/>
          <w:sz w:val="28"/>
          <w:szCs w:val="28"/>
        </w:rPr>
        <w:t>一、其他重要事项的情况说明</w:t>
      </w:r>
      <w:r>
        <w:rPr>
          <w:rFonts w:ascii="仿宋" w:hAnsi="仿宋" w:eastAsia="仿宋"/>
          <w:sz w:val="28"/>
          <w:szCs w:val="28"/>
        </w:rPr>
        <w:fldChar w:fldCharType="end"/>
      </w:r>
    </w:p>
    <w:p>
      <w:pPr>
        <w:pStyle w:val="10"/>
        <w:ind w:firstLine="560" w:firstLineChars="200"/>
        <w:jc w:val="both"/>
      </w:pPr>
      <w:r>
        <w:fldChar w:fldCharType="begin"/>
      </w:r>
      <w:r>
        <w:instrText xml:space="preserve"> HYPERLINK \l "_Toc15396613" </w:instrText>
      </w:r>
      <w:r>
        <w:fldChar w:fldCharType="separate"/>
      </w:r>
      <w:r>
        <w:rPr>
          <w:rStyle w:val="17"/>
          <w:rFonts w:hint="eastAsia"/>
          <w:bCs/>
          <w:kern w:val="44"/>
        </w:rPr>
        <w:t>第三部分</w:t>
      </w:r>
      <w:r>
        <w:rPr>
          <w:rStyle w:val="17"/>
        </w:rPr>
        <w:t xml:space="preserve"> </w:t>
      </w:r>
      <w:r>
        <w:rPr>
          <w:rStyle w:val="17"/>
          <w:rFonts w:hint="eastAsia"/>
        </w:rPr>
        <w:t>名</w:t>
      </w:r>
      <w:r>
        <w:rPr>
          <w:rStyle w:val="17"/>
          <w:rFonts w:hint="eastAsia"/>
          <w:bCs/>
          <w:kern w:val="44"/>
        </w:rPr>
        <w:t>词解释</w:t>
      </w:r>
      <w:r>
        <w:fldChar w:fldCharType="end"/>
      </w:r>
    </w:p>
    <w:p>
      <w:pPr>
        <w:pStyle w:val="10"/>
        <w:ind w:firstLine="560" w:firstLineChars="200"/>
        <w:jc w:val="both"/>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fldChar w:fldCharType="end"/>
      </w:r>
    </w:p>
    <w:p>
      <w:pPr>
        <w:pStyle w:val="11"/>
        <w:ind w:left="31680"/>
        <w:rPr>
          <w:rFonts w:ascii="仿宋" w:hAnsi="仿宋" w:eastAsia="仿宋"/>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fldChar w:fldCharType="end"/>
      </w:r>
    </w:p>
    <w:p>
      <w:pPr>
        <w:pStyle w:val="10"/>
        <w:ind w:firstLine="280" w:firstLineChars="100"/>
        <w:jc w:val="both"/>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fldChar w:fldCharType="end"/>
      </w:r>
    </w:p>
    <w:p>
      <w:pPr>
        <w:pStyle w:val="11"/>
        <w:ind w:left="31680"/>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ind w:left="31680"/>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6" w:name="_Toc15377196"/>
      <w:bookmarkStart w:id="7" w:name="_Toc15396599"/>
      <w:r>
        <w:rPr>
          <w:rFonts w:ascii="黑体" w:hAnsi="黑体" w:eastAsia="黑体"/>
          <w:b/>
        </w:rPr>
        <w:br w:type="page"/>
      </w:r>
    </w:p>
    <w:p>
      <w:pPr>
        <w:pStyle w:val="2"/>
        <w:jc w:val="center"/>
        <w:rPr>
          <w:rStyle w:val="18"/>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8"/>
          <w:rFonts w:hint="eastAsia" w:ascii="黑体" w:hAnsi="黑体" w:eastAsia="黑体"/>
          <w:b w:val="0"/>
          <w:bCs w:val="0"/>
        </w:rPr>
        <w:t>部门概况</w:t>
      </w:r>
      <w:bookmarkEnd w:id="6"/>
      <w:bookmarkEnd w:id="7"/>
    </w:p>
    <w:p>
      <w:pPr>
        <w:widowControl/>
        <w:jc w:val="left"/>
        <w:rPr>
          <w:rFonts w:ascii="黑体" w:eastAsia="黑体"/>
          <w:color w:val="000000"/>
          <w:sz w:val="32"/>
          <w:szCs w:val="32"/>
        </w:rPr>
      </w:pPr>
    </w:p>
    <w:p>
      <w:pPr>
        <w:pStyle w:val="3"/>
        <w:rPr>
          <w:rStyle w:val="19"/>
          <w:rFonts w:ascii="仿宋" w:hAnsi="仿宋" w:eastAsia="仿宋"/>
          <w:b w:val="0"/>
          <w:bCs w:val="0"/>
        </w:rPr>
      </w:pPr>
      <w:bookmarkStart w:id="8" w:name="_Toc15396600"/>
      <w:bookmarkStart w:id="9" w:name="_Toc15377197"/>
      <w:r>
        <w:rPr>
          <w:rFonts w:hint="eastAsia" w:ascii="黑体" w:hAnsi="黑体" w:eastAsia="黑体"/>
          <w:b w:val="0"/>
          <w:color w:val="000000"/>
        </w:rPr>
        <w:t>一、基</w:t>
      </w:r>
      <w:r>
        <w:rPr>
          <w:rStyle w:val="19"/>
          <w:rFonts w:hint="eastAsia" w:ascii="黑体" w:hAnsi="黑体" w:eastAsia="黑体"/>
          <w:b w:val="0"/>
          <w:bCs w:val="0"/>
        </w:rPr>
        <w:t>本职能及主要工作</w:t>
      </w:r>
      <w:bookmarkEnd w:id="8"/>
      <w:bookmarkEnd w:id="9"/>
    </w:p>
    <w:p>
      <w:pPr>
        <w:snapToGrid w:val="0"/>
        <w:spacing w:line="540" w:lineRule="exact"/>
        <w:ind w:firstLine="640" w:firstLineChars="200"/>
        <w:rPr>
          <w:rFonts w:ascii="仿宋" w:hAnsi="仿宋_GB2312" w:eastAsia="仿宋" w:cs="仿宋_GB2312"/>
          <w:sz w:val="32"/>
          <w:szCs w:val="32"/>
        </w:rPr>
      </w:pPr>
      <w:bookmarkStart w:id="10" w:name="_Toc15378445"/>
      <w:bookmarkStart w:id="11" w:name="_Toc15377198"/>
      <w:r>
        <w:rPr>
          <w:rFonts w:hint="eastAsia" w:hAnsi="仿宋" w:eastAsia="仿宋"/>
          <w:bCs/>
          <w:color w:val="000000"/>
          <w:sz w:val="32"/>
          <w:szCs w:val="32"/>
        </w:rPr>
        <w:t>（一）主要职能。</w:t>
      </w:r>
      <w:bookmarkEnd w:id="10"/>
      <w:bookmarkEnd w:id="11"/>
      <w:bookmarkStart w:id="12" w:name="_Toc15378446"/>
      <w:bookmarkStart w:id="13" w:name="_Toc15377199"/>
      <w:r>
        <w:rPr>
          <w:rFonts w:hint="eastAsia" w:eastAsia="仿宋"/>
          <w:color w:val="000000"/>
          <w:kern w:val="0"/>
          <w:sz w:val="32"/>
          <w:szCs w:val="32"/>
        </w:rPr>
        <w:t>我院属二级预算单位</w:t>
      </w:r>
      <w:r>
        <w:rPr>
          <w:rFonts w:eastAsia="仿宋"/>
          <w:color w:val="000000"/>
          <w:kern w:val="0"/>
          <w:sz w:val="32"/>
          <w:szCs w:val="32"/>
        </w:rPr>
        <w:t>1</w:t>
      </w:r>
      <w:r>
        <w:rPr>
          <w:rFonts w:hint="eastAsia" w:eastAsia="仿宋"/>
          <w:color w:val="000000"/>
          <w:kern w:val="0"/>
          <w:sz w:val="32"/>
          <w:szCs w:val="32"/>
        </w:rPr>
        <w:t>个。红原县县医院</w:t>
      </w:r>
      <w:r>
        <w:rPr>
          <w:rFonts w:hint="eastAsia" w:eastAsia="仿宋"/>
          <w:sz w:val="32"/>
          <w:szCs w:val="32"/>
        </w:rPr>
        <w:t>于</w:t>
      </w:r>
      <w:r>
        <w:rPr>
          <w:rFonts w:eastAsia="仿宋"/>
          <w:sz w:val="32"/>
          <w:szCs w:val="32"/>
        </w:rPr>
        <w:t>1958</w:t>
      </w:r>
      <w:r>
        <w:rPr>
          <w:rFonts w:hint="eastAsia" w:eastAsia="仿宋"/>
          <w:sz w:val="32"/>
          <w:szCs w:val="32"/>
        </w:rPr>
        <w:t>年正式成立，于</w:t>
      </w:r>
      <w:r>
        <w:rPr>
          <w:rFonts w:eastAsia="仿宋"/>
          <w:sz w:val="32"/>
          <w:szCs w:val="32"/>
        </w:rPr>
        <w:t>2017</w:t>
      </w:r>
      <w:r>
        <w:rPr>
          <w:rFonts w:hint="eastAsia" w:eastAsia="仿宋"/>
          <w:sz w:val="32"/>
          <w:szCs w:val="32"/>
        </w:rPr>
        <w:t>年达标为“二级甲</w:t>
      </w:r>
      <w:r>
        <w:rPr>
          <w:rFonts w:hint="eastAsia" w:eastAsia="仿宋"/>
          <w:sz w:val="32"/>
          <w:szCs w:val="32"/>
          <w:lang w:eastAsia="zh-CN"/>
        </w:rPr>
        <w:t>等</w:t>
      </w:r>
      <w:r>
        <w:rPr>
          <w:rFonts w:hint="eastAsia" w:eastAsia="仿宋"/>
          <w:sz w:val="32"/>
          <w:szCs w:val="32"/>
        </w:rPr>
        <w:t>”综合医院占地面积</w:t>
      </w:r>
      <w:r>
        <w:rPr>
          <w:rFonts w:eastAsia="仿宋"/>
          <w:sz w:val="32"/>
          <w:szCs w:val="32"/>
        </w:rPr>
        <w:t>19400.2</w:t>
      </w:r>
      <w:r>
        <w:rPr>
          <w:rFonts w:hint="eastAsia" w:eastAsia="仿宋"/>
          <w:sz w:val="32"/>
          <w:szCs w:val="32"/>
        </w:rPr>
        <w:t>平方米。开设有内科、外科、妇产科、儿科、急诊科、五官科、口腔科、麻醉科、中医科等一级临床科室。药剂科、医学检验科（输血科）、医学影像科、手术室、消毒供应室、超声科、心电图室等医技科室。</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2018</w:t>
      </w:r>
      <w:r>
        <w:rPr>
          <w:rFonts w:hint="eastAsia" w:ascii="仿宋" w:hAnsi="仿宋" w:eastAsia="仿宋"/>
          <w:bCs/>
          <w:color w:val="000000"/>
          <w:sz w:val="32"/>
          <w:szCs w:val="32"/>
        </w:rPr>
        <w:t>年重点工作完成情况</w:t>
      </w:r>
      <w:bookmarkEnd w:id="12"/>
      <w:bookmarkEnd w:id="13"/>
    </w:p>
    <w:p>
      <w:pPr>
        <w:spacing w:line="560" w:lineRule="exact"/>
        <w:ind w:firstLine="640" w:firstLineChars="200"/>
        <w:rPr>
          <w:rFonts w:ascii="仿宋" w:hAnsi="仿宋" w:eastAsia="仿宋"/>
          <w:bCs/>
          <w:color w:val="000000"/>
          <w:sz w:val="32"/>
          <w:szCs w:val="32"/>
        </w:rPr>
      </w:pPr>
      <w:r>
        <w:rPr>
          <w:rFonts w:ascii="仿宋" w:hAnsi="仿宋" w:eastAsia="仿宋"/>
          <w:bCs/>
          <w:color w:val="000000"/>
          <w:sz w:val="32"/>
          <w:szCs w:val="32"/>
        </w:rPr>
        <w:t>1. 2018</w:t>
      </w:r>
      <w:r>
        <w:rPr>
          <w:rFonts w:hint="eastAsia" w:ascii="方正小标宋_GBK" w:hAnsi="方正小标宋_GBK" w:eastAsia="仿宋" w:cs="方正小标宋_GBK"/>
          <w:bCs/>
          <w:sz w:val="32"/>
          <w:szCs w:val="32"/>
        </w:rPr>
        <w:t>年上半年平安医院建设</w:t>
      </w:r>
      <w:r>
        <w:rPr>
          <w:rFonts w:ascii="方正小标宋_GBK" w:hAnsi="方正小标宋_GBK" w:eastAsia="仿宋" w:cs="方正小标宋_GBK"/>
          <w:bCs/>
          <w:sz w:val="32"/>
          <w:szCs w:val="32"/>
        </w:rPr>
        <w:t>:</w:t>
      </w:r>
      <w:r>
        <w:rPr>
          <w:rFonts w:ascii="仿宋_GB2312" w:hAnsi="仿宋_GB2312" w:eastAsia="仿宋" w:cs="仿宋_GB2312"/>
          <w:sz w:val="32"/>
          <w:szCs w:val="32"/>
        </w:rPr>
        <w:t xml:space="preserve"> </w:t>
      </w:r>
      <w:r>
        <w:rPr>
          <w:rFonts w:hint="eastAsia" w:ascii="仿宋_GB2312" w:hAnsi="仿宋_GB2312" w:eastAsia="仿宋" w:cs="仿宋_GB2312"/>
          <w:sz w:val="32"/>
          <w:szCs w:val="32"/>
        </w:rPr>
        <w:t>“平安医院”的建设是造福广大职工和患者的一项重要举措，也是需要广大职工共同参与的一项重要工作。最大限度地，通过多种形式的广泛宣传，努力营造人人关心、人人支持、人人参与“平安医院”建设的浓厚氛围。充分调动广大职工参与建设“平安医院”的积极性和创造性。我院年度的平安医院工作取得初步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 w:cs="仿宋_GB2312"/>
          <w:sz w:val="32"/>
          <w:szCs w:val="32"/>
        </w:rPr>
      </w:pPr>
      <w:r>
        <w:rPr>
          <w:rFonts w:ascii="仿宋" w:hAnsi="仿宋" w:eastAsia="仿宋"/>
          <w:bCs/>
          <w:color w:val="000000"/>
          <w:sz w:val="32"/>
          <w:szCs w:val="32"/>
        </w:rPr>
        <w:t>2.</w:t>
      </w:r>
      <w:r>
        <w:rPr>
          <w:rFonts w:ascii="仿宋" w:hAnsi="方正小标宋_GBK" w:eastAsia="仿宋" w:cs="方正小标宋_GBK"/>
          <w:bCs/>
          <w:sz w:val="32"/>
          <w:szCs w:val="32"/>
        </w:rPr>
        <w:t xml:space="preserve"> 2018</w:t>
      </w:r>
      <w:r>
        <w:rPr>
          <w:rFonts w:hint="eastAsia" w:ascii="仿宋" w:hAnsi="方正小标宋_GBK" w:eastAsia="仿宋" w:cs="方正小标宋_GBK"/>
          <w:bCs/>
          <w:sz w:val="32"/>
          <w:szCs w:val="32"/>
        </w:rPr>
        <w:t>年创卫工作</w:t>
      </w:r>
      <w:r>
        <w:rPr>
          <w:rFonts w:ascii="仿宋" w:hAnsi="方正小标宋_GBK" w:eastAsia="仿宋" w:cs="方正小标宋_GBK"/>
          <w:bCs/>
          <w:sz w:val="32"/>
          <w:szCs w:val="32"/>
        </w:rPr>
        <w:t>:</w:t>
      </w:r>
      <w:r>
        <w:rPr>
          <w:rFonts w:ascii="仿宋_GB2312" w:hAnsi="仿宋_GB2312" w:eastAsia="仿宋" w:cs="仿宋_GB2312"/>
          <w:sz w:val="32"/>
          <w:szCs w:val="32"/>
        </w:rPr>
        <w:t xml:space="preserve"> </w:t>
      </w:r>
      <w:r>
        <w:rPr>
          <w:rFonts w:hint="eastAsia" w:ascii="仿宋_GB2312" w:hAnsi="仿宋_GB2312" w:eastAsia="仿宋" w:cs="仿宋_GB2312"/>
          <w:sz w:val="32"/>
          <w:szCs w:val="32"/>
        </w:rPr>
        <w:t>开展创卫活动以来，我院始终持之以恒，不断加大创建省级卫生城市工作的宣传力度，扩大创卫工作的影响力和号召力，营造了一个“全院动员、人人参与”的良好氛围。活动中，我们既高度重视结果狠抓看得见的效果，也十分注重抓好创卫工作的实践过程，享受实践过程中的紧张、热烈的酸甜苦辣的滋味，从而增强和加大实践过程中的落实和督促力度。我们始终强调和注重进一步调动全院干部、职工的创建省级卫生城市工作的积极性、主动性、创造性和家庭、个人的荣誉感，不断增强创建省级卫生城市的主体意识，让“动员我做”变成“我主动做”，真正掀起和始终保持了长盛不衰的创卫工作活动的新热潮。总之，在院领导的高度重视和全院职工的共同努力下，我院的创卫工作取得了较好的成绩。今后我们将更加努力，扎实工作，提高创卫水平，为创建“省级卫生城市”做出新的成绩。</w:t>
      </w:r>
      <w:r>
        <w:rPr>
          <w:rFonts w:ascii="仿宋_GB2312" w:hAnsi="仿宋_GB2312" w:eastAsia="仿宋" w:cs="仿宋_GB2312"/>
          <w:sz w:val="32"/>
          <w:szCs w:val="32"/>
        </w:rPr>
        <w:t xml:space="preserve">                                                                                                   </w:t>
      </w:r>
      <w:r>
        <w:rPr>
          <w:rFonts w:hint="eastAsia" w:ascii="仿宋_GB2312" w:hAnsi="仿宋_GB2312" w:eastAsia="仿宋" w:cs="仿宋_GB2312"/>
          <w:sz w:val="32"/>
          <w:szCs w:val="32"/>
        </w:rPr>
        <w:t>虽然创建省级卫生城市工作任务十分艰巨，但在县人民政府、县爱卫办的正确领导和全市人民的共同努力下，圆满通过各项考核验收。</w:t>
      </w:r>
      <w:r>
        <w:rPr>
          <w:rFonts w:ascii="仿宋_GB2312" w:hAnsi="仿宋_GB2312" w:eastAsia="仿宋"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 w:cs="仿宋_GB2312"/>
          <w:sz w:val="32"/>
          <w:szCs w:val="32"/>
        </w:rPr>
      </w:pPr>
      <w:r>
        <w:rPr>
          <w:rFonts w:ascii="仿宋_GB2312" w:hAnsi="仿宋_GB2312" w:eastAsia="仿宋" w:cs="仿宋_GB2312"/>
          <w:sz w:val="32"/>
          <w:szCs w:val="32"/>
        </w:rPr>
        <w:t xml:space="preserve">                                                                                             </w:t>
      </w:r>
    </w:p>
    <w:p>
      <w:pPr>
        <w:spacing w:line="576" w:lineRule="exact"/>
        <w:ind w:firstLine="640" w:firstLineChars="200"/>
        <w:rPr>
          <w:rFonts w:ascii="仿宋" w:hAnsi="仿宋" w:eastAsia="仿宋" w:cs="仿宋"/>
          <w:sz w:val="32"/>
          <w:szCs w:val="32"/>
        </w:rPr>
      </w:pPr>
      <w:r>
        <w:rPr>
          <w:rFonts w:ascii="仿宋" w:hAnsi="仿宋" w:eastAsia="仿宋"/>
          <w:bCs/>
          <w:color w:val="000000"/>
          <w:sz w:val="32"/>
          <w:szCs w:val="32"/>
        </w:rPr>
        <w:t>3.</w:t>
      </w:r>
      <w:r>
        <w:rPr>
          <w:rFonts w:ascii="宋体" w:hAnsi="宋体" w:eastAsia="仿宋" w:cs="宋体"/>
          <w:bCs/>
          <w:color w:val="0D0D0D"/>
          <w:sz w:val="32"/>
          <w:szCs w:val="32"/>
          <w:shd w:val="clear" w:color="auto" w:fill="FFFFFF"/>
        </w:rPr>
        <w:t xml:space="preserve"> </w:t>
      </w:r>
      <w:r>
        <w:rPr>
          <w:rFonts w:hint="eastAsia" w:eastAsia="仿宋"/>
          <w:bCs/>
          <w:sz w:val="32"/>
          <w:szCs w:val="32"/>
        </w:rPr>
        <w:t>母婴安全保障工作</w:t>
      </w:r>
      <w:r>
        <w:rPr>
          <w:rFonts w:ascii="宋体" w:hAnsi="宋体" w:eastAsia="仿宋" w:cs="宋体"/>
          <w:bCs/>
          <w:color w:val="0D0D0D"/>
          <w:sz w:val="32"/>
          <w:szCs w:val="32"/>
          <w:shd w:val="clear" w:color="auto" w:fill="FFFFFF"/>
        </w:rPr>
        <w:t>:</w:t>
      </w:r>
      <w:r>
        <w:rPr>
          <w:rFonts w:ascii="仿宋" w:hAnsi="仿宋" w:eastAsia="仿宋" w:cs="仿宋"/>
          <w:sz w:val="32"/>
          <w:szCs w:val="32"/>
        </w:rPr>
        <w:t xml:space="preserve"> 2018</w:t>
      </w:r>
      <w:r>
        <w:rPr>
          <w:rFonts w:hint="eastAsia" w:ascii="仿宋" w:hAnsi="仿宋" w:eastAsia="仿宋" w:cs="仿宋"/>
          <w:sz w:val="32"/>
          <w:szCs w:val="32"/>
        </w:rPr>
        <w:t>年</w:t>
      </w:r>
      <w:r>
        <w:rPr>
          <w:rFonts w:ascii="仿宋" w:hAnsi="仿宋" w:eastAsia="仿宋" w:cs="仿宋"/>
          <w:sz w:val="32"/>
          <w:szCs w:val="32"/>
        </w:rPr>
        <w:t>9</w:t>
      </w:r>
      <w:r>
        <w:rPr>
          <w:rFonts w:hint="eastAsia" w:ascii="仿宋" w:hAnsi="仿宋" w:eastAsia="仿宋" w:cs="仿宋"/>
          <w:sz w:val="32"/>
          <w:szCs w:val="32"/>
        </w:rPr>
        <w:t>月</w:t>
      </w:r>
      <w:r>
        <w:rPr>
          <w:rFonts w:ascii="仿宋" w:hAnsi="仿宋" w:eastAsia="仿宋" w:cs="仿宋"/>
          <w:sz w:val="32"/>
          <w:szCs w:val="32"/>
        </w:rPr>
        <w:t>5</w:t>
      </w:r>
      <w:r>
        <w:rPr>
          <w:rFonts w:hint="eastAsia" w:ascii="仿宋" w:hAnsi="仿宋" w:eastAsia="仿宋" w:cs="仿宋"/>
          <w:sz w:val="32"/>
          <w:szCs w:val="32"/>
        </w:rPr>
        <w:t>日，省卫计委妇幼处熊新文副处长带领成都市妇女儿童中心医院专家一行到我院开展母婴安全保障工作调研及质量评价工作。专家组一行通过查阅资料、现场查看、座谈会、急救响应等方式进行了督导。根据省卫计委专家组一行对我院母婴安全保障工作调研及质量评价工作反馈会，我院就存在的问题进行了认真梳理，立即召开专门会议落实责任，拿出整改措施和方案。</w:t>
      </w:r>
    </w:p>
    <w:p>
      <w:pPr>
        <w:ind w:firstLine="640" w:firstLineChars="200"/>
        <w:rPr>
          <w:rFonts w:ascii="仿宋_GB2312" w:hAnsi="仿宋_GB2312" w:eastAsia="仿宋" w:cs="仿宋_GB2312"/>
          <w:sz w:val="32"/>
          <w:szCs w:val="32"/>
        </w:rPr>
      </w:pPr>
      <w:r>
        <w:rPr>
          <w:rFonts w:ascii="仿宋" w:hAnsi="仿宋" w:eastAsia="仿宋"/>
          <w:bCs/>
          <w:color w:val="000000"/>
          <w:sz w:val="32"/>
          <w:szCs w:val="32"/>
        </w:rPr>
        <w:t>4.</w:t>
      </w:r>
      <w:r>
        <w:rPr>
          <w:rFonts w:eastAsia="仿宋"/>
          <w:bCs/>
          <w:sz w:val="32"/>
          <w:szCs w:val="32"/>
        </w:rPr>
        <w:t xml:space="preserve"> </w:t>
      </w:r>
      <w:r>
        <w:rPr>
          <w:rFonts w:hint="eastAsia" w:eastAsia="仿宋"/>
          <w:bCs/>
          <w:sz w:val="32"/>
          <w:szCs w:val="32"/>
        </w:rPr>
        <w:t>健康教育工作：（</w:t>
      </w:r>
      <w:r>
        <w:rPr>
          <w:rFonts w:ascii="仿宋" w:eastAsia="仿宋"/>
          <w:bCs/>
          <w:sz w:val="32"/>
          <w:szCs w:val="32"/>
        </w:rPr>
        <w:t>1</w:t>
      </w:r>
      <w:r>
        <w:rPr>
          <w:rFonts w:hint="eastAsia" w:eastAsia="仿宋"/>
          <w:bCs/>
          <w:sz w:val="32"/>
          <w:szCs w:val="32"/>
        </w:rPr>
        <w:t>）</w:t>
      </w:r>
      <w:r>
        <w:rPr>
          <w:rFonts w:hint="eastAsia" w:ascii="仿宋_GB2312" w:hAnsi="仿宋_GB2312" w:eastAsia="仿宋" w:cs="仿宋_GB2312"/>
          <w:sz w:val="32"/>
          <w:szCs w:val="32"/>
        </w:rPr>
        <w:t>利用宣传栏、宣传活动等方式，开展形式多样、丰富多彩的宣传服务活动，在院内进行计划生育、保健科普知识展板进行卫生知识教育宣传，广泛开展禁烟宣传，健教小组成员上门发放有关资料进行禁烟、禁毒宣传。</w:t>
      </w:r>
      <w:r>
        <w:rPr>
          <w:rFonts w:hint="eastAsia" w:eastAsia="仿宋"/>
          <w:bCs/>
          <w:sz w:val="32"/>
          <w:szCs w:val="32"/>
        </w:rPr>
        <w:t>（</w:t>
      </w:r>
      <w:r>
        <w:rPr>
          <w:rFonts w:ascii="仿宋" w:eastAsia="仿宋"/>
          <w:bCs/>
          <w:sz w:val="32"/>
          <w:szCs w:val="32"/>
        </w:rPr>
        <w:t>2</w:t>
      </w:r>
      <w:r>
        <w:rPr>
          <w:rFonts w:hint="eastAsia" w:eastAsia="仿宋"/>
          <w:bCs/>
          <w:sz w:val="32"/>
          <w:szCs w:val="32"/>
        </w:rPr>
        <w:t>）</w:t>
      </w:r>
      <w:r>
        <w:rPr>
          <w:rFonts w:hint="eastAsia" w:ascii="仿宋_GB2312" w:hAnsi="仿宋_GB2312" w:eastAsia="仿宋" w:cs="仿宋_GB2312"/>
          <w:sz w:val="32"/>
          <w:szCs w:val="32"/>
        </w:rPr>
        <w:t>针对老年人、妇女、青少年等不同对象举办健康知识讲座</w:t>
      </w:r>
      <w:r>
        <w:rPr>
          <w:rFonts w:ascii="仿宋" w:eastAsia="仿宋"/>
          <w:bCs/>
          <w:sz w:val="32"/>
          <w:szCs w:val="32"/>
        </w:rPr>
        <w:t>1</w:t>
      </w:r>
      <w:r>
        <w:rPr>
          <w:rFonts w:hint="eastAsia" w:ascii="仿宋_GB2312" w:hAnsi="仿宋_GB2312" w:eastAsia="仿宋" w:cs="仿宋_GB2312"/>
          <w:sz w:val="32"/>
          <w:szCs w:val="32"/>
        </w:rPr>
        <w:t>次，参加人数</w:t>
      </w:r>
      <w:r>
        <w:rPr>
          <w:rFonts w:ascii="仿宋" w:eastAsia="仿宋"/>
          <w:bCs/>
          <w:sz w:val="32"/>
          <w:szCs w:val="32"/>
        </w:rPr>
        <w:t>150</w:t>
      </w:r>
      <w:r>
        <w:rPr>
          <w:rFonts w:hint="eastAsia" w:ascii="仿宋_GB2312" w:hAnsi="仿宋_GB2312" w:eastAsia="仿宋" w:cs="仿宋_GB2312"/>
          <w:sz w:val="32"/>
          <w:szCs w:val="32"/>
        </w:rPr>
        <w:t>余人，健康教育专刊</w:t>
      </w:r>
      <w:r>
        <w:rPr>
          <w:rFonts w:ascii="仿宋" w:eastAsia="仿宋"/>
          <w:bCs/>
          <w:sz w:val="32"/>
          <w:szCs w:val="32"/>
        </w:rPr>
        <w:t>4</w:t>
      </w:r>
      <w:r>
        <w:rPr>
          <w:rFonts w:hint="eastAsia" w:ascii="仿宋_GB2312" w:hAnsi="仿宋_GB2312" w:eastAsia="仿宋" w:cs="仿宋_GB2312"/>
          <w:sz w:val="32"/>
          <w:szCs w:val="32"/>
        </w:rPr>
        <w:t>期，开展大型宣传活动</w:t>
      </w:r>
      <w:r>
        <w:rPr>
          <w:rFonts w:ascii="仿宋" w:eastAsia="仿宋"/>
          <w:bCs/>
          <w:sz w:val="32"/>
          <w:szCs w:val="32"/>
        </w:rPr>
        <w:t>2</w:t>
      </w:r>
      <w:r>
        <w:rPr>
          <w:rFonts w:hint="eastAsia" w:ascii="仿宋_GB2312" w:hAnsi="仿宋_GB2312" w:eastAsia="仿宋" w:cs="仿宋_GB2312"/>
          <w:sz w:val="32"/>
          <w:szCs w:val="32"/>
        </w:rPr>
        <w:t>场。</w:t>
      </w:r>
      <w:r>
        <w:rPr>
          <w:rFonts w:hint="eastAsia" w:eastAsia="仿宋"/>
          <w:bCs/>
          <w:sz w:val="32"/>
          <w:szCs w:val="32"/>
        </w:rPr>
        <w:t>（</w:t>
      </w:r>
      <w:r>
        <w:rPr>
          <w:rFonts w:ascii="仿宋" w:eastAsia="仿宋"/>
          <w:bCs/>
          <w:sz w:val="32"/>
          <w:szCs w:val="32"/>
        </w:rPr>
        <w:t>3</w:t>
      </w:r>
      <w:r>
        <w:rPr>
          <w:rFonts w:hint="eastAsia" w:eastAsia="仿宋"/>
          <w:bCs/>
          <w:sz w:val="32"/>
          <w:szCs w:val="32"/>
        </w:rPr>
        <w:t>）</w:t>
      </w:r>
      <w:r>
        <w:rPr>
          <w:rFonts w:hint="eastAsia" w:ascii="仿宋_GB2312" w:hAnsi="仿宋_GB2312" w:eastAsia="仿宋" w:cs="仿宋_GB2312"/>
          <w:sz w:val="32"/>
          <w:szCs w:val="32"/>
        </w:rPr>
        <w:t>针对家属区存在乱堆放、乱张贴等现象，联合相关部门开展整治“脏乱差”活动，使得小区卫生面貌焕然一新。</w:t>
      </w:r>
    </w:p>
    <w:p>
      <w:pPr>
        <w:pStyle w:val="3"/>
        <w:rPr>
          <w:rStyle w:val="19"/>
          <w:b w:val="0"/>
          <w:bCs w:val="0"/>
        </w:rPr>
      </w:pPr>
      <w:bookmarkStart w:id="14" w:name="_Toc15396601"/>
      <w:bookmarkStart w:id="15" w:name="_Toc15377200"/>
      <w:r>
        <w:rPr>
          <w:rFonts w:hint="eastAsia" w:ascii="黑体" w:eastAsia="黑体"/>
          <w:b w:val="0"/>
          <w:color w:val="000000"/>
        </w:rPr>
        <w:t>二、</w:t>
      </w:r>
      <w:r>
        <w:rPr>
          <w:rFonts w:hint="eastAsia" w:ascii="黑体" w:hAnsi="黑体" w:eastAsia="黑体"/>
          <w:b w:val="0"/>
          <w:color w:val="000000"/>
        </w:rPr>
        <w:t>机</w:t>
      </w:r>
      <w:r>
        <w:rPr>
          <w:rStyle w:val="19"/>
          <w:rFonts w:hint="eastAsia" w:ascii="黑体" w:hAnsi="黑体" w:eastAsia="黑体"/>
          <w:b w:val="0"/>
          <w:bCs w:val="0"/>
        </w:rPr>
        <w:t>构设置</w:t>
      </w:r>
      <w:bookmarkEnd w:id="14"/>
      <w:bookmarkEnd w:id="15"/>
    </w:p>
    <w:p>
      <w:pPr>
        <w:snapToGrid w:val="0"/>
        <w:spacing w:line="540" w:lineRule="exact"/>
        <w:ind w:firstLine="640" w:firstLineChars="200"/>
        <w:rPr>
          <w:rFonts w:ascii="仿宋" w:hAnsi="仿宋_GB2312" w:eastAsia="仿宋" w:cs="仿宋_GB2312"/>
          <w:color w:val="000000"/>
          <w:sz w:val="32"/>
          <w:szCs w:val="32"/>
        </w:rPr>
      </w:pPr>
      <w:r>
        <w:rPr>
          <w:rFonts w:hint="eastAsia" w:ascii="仿宋" w:hAnsi="仿宋_GB2312" w:eastAsia="仿宋" w:cs="仿宋_GB2312"/>
          <w:color w:val="000000"/>
          <w:sz w:val="32"/>
          <w:szCs w:val="32"/>
        </w:rPr>
        <w:t>红原县县医院是红原县卫生和计划生育局下属的二级单位，是</w:t>
      </w:r>
      <w:r>
        <w:rPr>
          <w:rFonts w:hint="eastAsia" w:ascii="仿宋" w:hAnsi="仿宋_GB2312" w:eastAsia="仿宋" w:cs="仿宋_GB2312"/>
          <w:color w:val="000000"/>
          <w:sz w:val="32"/>
          <w:szCs w:val="32"/>
          <w:lang w:eastAsia="zh-CN"/>
        </w:rPr>
        <w:t>差</w:t>
      </w:r>
      <w:r>
        <w:rPr>
          <w:rFonts w:hint="eastAsia" w:ascii="仿宋" w:hAnsi="仿宋_GB2312" w:eastAsia="仿宋" w:cs="仿宋_GB2312"/>
          <w:color w:val="000000"/>
          <w:sz w:val="32"/>
          <w:szCs w:val="32"/>
        </w:rPr>
        <w:t>额拨款的事业单位。</w:t>
      </w:r>
    </w:p>
    <w:p>
      <w:pPr>
        <w:snapToGrid w:val="0"/>
        <w:spacing w:line="540" w:lineRule="exact"/>
        <w:ind w:firstLine="640" w:firstLineChars="200"/>
        <w:rPr>
          <w:rFonts w:ascii="仿宋" w:hAnsi="仿宋_GB2312" w:eastAsia="仿宋" w:cs="仿宋_GB2312"/>
          <w:color w:val="000000"/>
          <w:sz w:val="32"/>
          <w:szCs w:val="32"/>
        </w:rPr>
      </w:pPr>
      <w:r>
        <w:rPr>
          <w:rFonts w:hint="eastAsia" w:ascii="仿宋" w:hAnsi="仿宋_GB2312" w:eastAsia="仿宋" w:cs="仿宋_GB2312"/>
          <w:color w:val="000000"/>
          <w:sz w:val="32"/>
          <w:szCs w:val="32"/>
        </w:rPr>
        <w:t>本单位年末编制人数</w:t>
      </w:r>
      <w:r>
        <w:rPr>
          <w:rFonts w:ascii="仿宋" w:hAnsi="仿宋_GB2312" w:eastAsia="仿宋" w:cs="仿宋_GB2312"/>
          <w:color w:val="000000"/>
          <w:sz w:val="32"/>
          <w:szCs w:val="32"/>
        </w:rPr>
        <w:t>122</w:t>
      </w:r>
      <w:r>
        <w:rPr>
          <w:rFonts w:hint="eastAsia" w:ascii="仿宋" w:hAnsi="仿宋_GB2312" w:eastAsia="仿宋" w:cs="仿宋_GB2312"/>
          <w:color w:val="000000"/>
          <w:sz w:val="32"/>
          <w:szCs w:val="32"/>
        </w:rPr>
        <w:t>人，全部为事业编制；实有人数</w:t>
      </w:r>
      <w:r>
        <w:rPr>
          <w:rFonts w:ascii="仿宋" w:hAnsi="仿宋_GB2312" w:eastAsia="仿宋" w:cs="仿宋_GB2312"/>
          <w:color w:val="000000"/>
          <w:sz w:val="32"/>
          <w:szCs w:val="32"/>
        </w:rPr>
        <w:t>117</w:t>
      </w:r>
      <w:r>
        <w:rPr>
          <w:rFonts w:hint="eastAsia" w:ascii="仿宋" w:hAnsi="仿宋_GB2312" w:eastAsia="仿宋" w:cs="仿宋_GB2312"/>
          <w:color w:val="000000"/>
          <w:sz w:val="32"/>
          <w:szCs w:val="32"/>
        </w:rPr>
        <w:t>人，其中：专业技术人员</w:t>
      </w:r>
      <w:r>
        <w:rPr>
          <w:rFonts w:ascii="仿宋" w:hAnsi="仿宋_GB2312" w:eastAsia="仿宋" w:cs="仿宋_GB2312"/>
          <w:color w:val="000000"/>
          <w:sz w:val="32"/>
          <w:szCs w:val="32"/>
        </w:rPr>
        <w:t>107</w:t>
      </w:r>
      <w:r>
        <w:rPr>
          <w:rFonts w:hint="eastAsia" w:ascii="仿宋" w:hAnsi="仿宋_GB2312" w:eastAsia="仿宋" w:cs="仿宋_GB2312"/>
          <w:color w:val="000000"/>
          <w:sz w:val="32"/>
          <w:szCs w:val="32"/>
        </w:rPr>
        <w:t>人，管理人员</w:t>
      </w:r>
      <w:r>
        <w:rPr>
          <w:rFonts w:ascii="仿宋" w:hAnsi="仿宋_GB2312" w:eastAsia="仿宋" w:cs="仿宋_GB2312"/>
          <w:color w:val="000000"/>
          <w:sz w:val="32"/>
          <w:szCs w:val="32"/>
        </w:rPr>
        <w:t>3</w:t>
      </w:r>
      <w:r>
        <w:rPr>
          <w:rFonts w:hint="eastAsia" w:ascii="仿宋" w:hAnsi="仿宋_GB2312" w:eastAsia="仿宋" w:cs="仿宋_GB2312"/>
          <w:color w:val="000000"/>
          <w:sz w:val="32"/>
          <w:szCs w:val="32"/>
        </w:rPr>
        <w:t>人，工人</w:t>
      </w:r>
      <w:r>
        <w:rPr>
          <w:rFonts w:ascii="仿宋" w:hAnsi="仿宋_GB2312" w:eastAsia="仿宋" w:cs="仿宋_GB2312"/>
          <w:color w:val="000000"/>
          <w:sz w:val="32"/>
          <w:szCs w:val="32"/>
        </w:rPr>
        <w:t>7</w:t>
      </w:r>
      <w:r>
        <w:rPr>
          <w:rFonts w:hint="eastAsia" w:ascii="仿宋" w:hAnsi="仿宋_GB2312" w:eastAsia="仿宋" w:cs="仿宋_GB2312"/>
          <w:color w:val="000000"/>
          <w:sz w:val="32"/>
          <w:szCs w:val="32"/>
        </w:rPr>
        <w:t>人。</w:t>
      </w:r>
      <w:r>
        <w:rPr>
          <w:rFonts w:ascii="仿宋" w:hAnsi="仿宋_GB2312" w:eastAsia="仿宋" w:cs="仿宋_GB2312"/>
          <w:color w:val="000000"/>
          <w:sz w:val="32"/>
          <w:szCs w:val="32"/>
        </w:rPr>
        <w:t>2.</w:t>
      </w:r>
      <w:r>
        <w:rPr>
          <w:rFonts w:hint="eastAsia" w:ascii="仿宋" w:hAnsi="仿宋_GB2312" w:eastAsia="仿宋" w:cs="仿宋_GB2312"/>
          <w:color w:val="000000"/>
          <w:sz w:val="32"/>
          <w:szCs w:val="32"/>
        </w:rPr>
        <w:t>本单位年末一般公共预算财政拨款（补助）开支本年人数</w:t>
      </w:r>
      <w:r>
        <w:rPr>
          <w:rFonts w:ascii="仿宋" w:hAnsi="仿宋_GB2312" w:eastAsia="仿宋" w:cs="仿宋_GB2312"/>
          <w:color w:val="000000"/>
          <w:sz w:val="32"/>
          <w:szCs w:val="32"/>
        </w:rPr>
        <w:t>117</w:t>
      </w:r>
      <w:r>
        <w:rPr>
          <w:rFonts w:hint="eastAsia" w:ascii="仿宋" w:hAnsi="仿宋_GB2312" w:eastAsia="仿宋" w:cs="仿宋_GB2312"/>
          <w:color w:val="000000"/>
          <w:sz w:val="32"/>
          <w:szCs w:val="32"/>
        </w:rPr>
        <w:t>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18"/>
          <w:rFonts w:ascii="黑体" w:hAnsi="黑体" w:eastAsia="黑体"/>
          <w:b w:val="0"/>
          <w:bCs w:val="0"/>
        </w:rPr>
      </w:pPr>
      <w:bookmarkStart w:id="16" w:name="_Toc15377204"/>
      <w:bookmarkStart w:id="17" w:name="_Toc15396602"/>
      <w:r>
        <w:rPr>
          <w:rFonts w:hint="eastAsia" w:ascii="黑体" w:hAnsi="黑体" w:eastAsia="黑体"/>
          <w:b w:val="0"/>
          <w:color w:val="000000"/>
        </w:rPr>
        <w:t>第二部分</w:t>
      </w:r>
      <w:r>
        <w:rPr>
          <w:rFonts w:ascii="黑体" w:hAnsi="黑体" w:eastAsia="黑体"/>
          <w:color w:val="000000"/>
        </w:rPr>
        <w:t xml:space="preserve"> </w:t>
      </w:r>
      <w:r>
        <w:rPr>
          <w:rStyle w:val="18"/>
          <w:rFonts w:ascii="黑体" w:hAnsi="黑体" w:eastAsia="黑体"/>
          <w:b w:val="0"/>
          <w:bCs w:val="0"/>
        </w:rPr>
        <w:t>2018</w:t>
      </w:r>
      <w:r>
        <w:rPr>
          <w:rStyle w:val="18"/>
          <w:rFonts w:hint="eastAsia" w:ascii="黑体" w:hAnsi="黑体" w:eastAsia="黑体"/>
          <w:b w:val="0"/>
          <w:bCs w:val="0"/>
        </w:rPr>
        <w:t>年度部门决算情况说明</w:t>
      </w:r>
      <w:bookmarkEnd w:id="16"/>
      <w:bookmarkEnd w:id="17"/>
    </w:p>
    <w:p/>
    <w:p>
      <w:pPr>
        <w:pStyle w:val="29"/>
        <w:numPr>
          <w:ilvl w:val="0"/>
          <w:numId w:val="1"/>
        </w:numPr>
        <w:spacing w:line="600" w:lineRule="exact"/>
        <w:ind w:firstLineChars="0"/>
        <w:outlineLvl w:val="1"/>
        <w:rPr>
          <w:rStyle w:val="19"/>
          <w:rFonts w:ascii="黑体" w:hAnsi="黑体" w:eastAsia="黑体"/>
          <w:b w:val="0"/>
        </w:rPr>
      </w:pPr>
      <w:bookmarkStart w:id="18" w:name="_Toc15377205"/>
      <w:bookmarkStart w:id="19" w:name="_Toc15396603"/>
      <w:r>
        <w:rPr>
          <w:rFonts w:hint="eastAsia" w:ascii="黑体" w:hAnsi="黑体" w:eastAsia="黑体"/>
          <w:color w:val="000000"/>
          <w:sz w:val="32"/>
          <w:szCs w:val="32"/>
        </w:rPr>
        <w:t>收</w:t>
      </w:r>
      <w:r>
        <w:rPr>
          <w:rStyle w:val="19"/>
          <w:rFonts w:hint="eastAsia" w:ascii="黑体" w:hAnsi="黑体" w:eastAsia="黑体"/>
          <w:b w:val="0"/>
        </w:rPr>
        <w:t>入支出决算总体情况说明</w:t>
      </w:r>
      <w:bookmarkEnd w:id="18"/>
      <w:bookmarkEnd w:id="1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年度收入</w:t>
      </w:r>
      <w:r>
        <w:rPr>
          <w:rFonts w:ascii="仿宋" w:hAnsi="仿宋" w:eastAsia="仿宋"/>
          <w:color w:val="000000"/>
          <w:sz w:val="32"/>
          <w:szCs w:val="32"/>
        </w:rPr>
        <w:t>3,851.61</w:t>
      </w:r>
      <w:r>
        <w:rPr>
          <w:rFonts w:hint="eastAsia" w:ascii="仿宋" w:hAnsi="仿宋" w:eastAsia="仿宋"/>
          <w:color w:val="000000"/>
          <w:sz w:val="32"/>
          <w:szCs w:val="32"/>
        </w:rPr>
        <w:t>万元、支出</w:t>
      </w:r>
      <w:r>
        <w:rPr>
          <w:rFonts w:ascii="仿宋" w:hAnsi="仿宋" w:eastAsia="仿宋"/>
          <w:color w:val="000000"/>
          <w:sz w:val="32"/>
          <w:szCs w:val="32"/>
        </w:rPr>
        <w:t>3,813.67</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w:t>
      </w:r>
      <w:r>
        <w:rPr>
          <w:rFonts w:hint="eastAsia" w:ascii="仿宋" w:hAnsi="仿宋" w:eastAsia="仿宋"/>
          <w:color w:val="000000" w:themeColor="text1"/>
          <w:sz w:val="32"/>
          <w:szCs w:val="32"/>
          <w14:textFill>
            <w14:solidFill>
              <w14:schemeClr w14:val="tx1"/>
            </w14:solidFill>
          </w14:textFill>
        </w:rPr>
        <w:t>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14:textFill>
            <w14:solidFill>
              <w14:schemeClr w14:val="tx1"/>
            </w14:solidFill>
          </w14:textFill>
        </w:rPr>
        <w:t>增加</w:t>
      </w:r>
      <w:r>
        <w:rPr>
          <w:rFonts w:ascii="仿宋" w:hAnsi="仿宋" w:eastAsia="仿宋"/>
          <w:color w:val="000000" w:themeColor="text1"/>
          <w:sz w:val="32"/>
          <w:szCs w:val="32"/>
          <w14:textFill>
            <w14:solidFill>
              <w14:schemeClr w14:val="tx1"/>
            </w14:solidFill>
          </w14:textFill>
        </w:rPr>
        <w:t>644.04</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增加</w:t>
      </w:r>
      <w:r>
        <w:rPr>
          <w:rFonts w:ascii="仿宋" w:hAnsi="仿宋" w:eastAsia="仿宋"/>
          <w:color w:val="000000" w:themeColor="text1"/>
          <w:sz w:val="32"/>
          <w:szCs w:val="32"/>
          <w14:textFill>
            <w14:solidFill>
              <w14:schemeClr w14:val="tx1"/>
            </w14:solidFill>
          </w14:textFill>
        </w:rPr>
        <w:t>464.54</w:t>
      </w:r>
      <w:r>
        <w:rPr>
          <w:rFonts w:hint="eastAsia" w:ascii="仿宋" w:hAnsi="仿宋" w:eastAsia="仿宋"/>
          <w:color w:val="000000" w:themeColor="text1"/>
          <w:sz w:val="32"/>
          <w:szCs w:val="32"/>
          <w14:textFill>
            <w14:solidFill>
              <w14:schemeClr w14:val="tx1"/>
            </w14:solidFill>
          </w14:textFill>
        </w:rPr>
        <w:t>万元，，收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14:textFill>
            <w14:solidFill>
              <w14:schemeClr w14:val="tx1"/>
            </w14:solidFill>
          </w14:textFill>
        </w:rPr>
        <w:t>增长</w:t>
      </w:r>
      <w:r>
        <w:rPr>
          <w:rFonts w:ascii="仿宋" w:hAnsi="仿宋" w:eastAsia="仿宋"/>
          <w:color w:val="000000" w:themeColor="text1"/>
          <w:sz w:val="32"/>
          <w:szCs w:val="32"/>
          <w14:textFill>
            <w14:solidFill>
              <w14:schemeClr w14:val="tx1"/>
            </w14:solidFill>
          </w14:textFill>
        </w:rPr>
        <w:t>20.08</w:t>
      </w:r>
      <w:r>
        <w:rPr>
          <w:rFonts w:hint="eastAsia" w:ascii="仿宋" w:hAnsi="仿宋" w:eastAsia="仿宋"/>
          <w:color w:val="000000" w:themeColor="text1"/>
          <w:sz w:val="32"/>
          <w:szCs w:val="32"/>
          <w14:textFill>
            <w14:solidFill>
              <w14:schemeClr w14:val="tx1"/>
            </w14:solidFill>
          </w14:textFill>
        </w:rPr>
        <w:t>增长</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增长</w:t>
      </w:r>
      <w:r>
        <w:rPr>
          <w:rFonts w:ascii="仿宋" w:hAnsi="仿宋" w:eastAsia="仿宋"/>
          <w:color w:val="000000" w:themeColor="text1"/>
          <w:sz w:val="32"/>
          <w:szCs w:val="32"/>
          <w14:textFill>
            <w14:solidFill>
              <w14:schemeClr w14:val="tx1"/>
            </w14:solidFill>
          </w14:textFill>
        </w:rPr>
        <w:t>13.87%</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单位人员增加和医疗设备的购置</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3"/>
        <w:rPr>
          <w:rStyle w:val="18"/>
          <w:rFonts w:ascii="仿宋" w:hAnsi="仿宋" w:eastAsia="仿宋"/>
          <w:b w:val="0"/>
          <w:bCs w:val="0"/>
          <w:sz w:val="32"/>
          <w:szCs w:val="32"/>
        </w:rPr>
      </w:pPr>
      <w:r>
        <w:rPr>
          <w:rStyle w:val="18"/>
          <w:b w:val="0"/>
          <w:bCs w:val="0"/>
        </w:rPr>
        <w:drawing>
          <wp:inline distT="0" distB="0" distL="114300" distR="114300">
            <wp:extent cx="4914900" cy="2165350"/>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6"/>
                    <a:stretch>
                      <a:fillRect/>
                    </a:stretch>
                  </pic:blipFill>
                  <pic:spPr>
                    <a:xfrm>
                      <a:off x="0" y="0"/>
                      <a:ext cx="4914900" cy="2165350"/>
                    </a:xfrm>
                    <a:prstGeom prst="rect">
                      <a:avLst/>
                    </a:prstGeom>
                    <a:noFill/>
                    <a:ln>
                      <a:noFill/>
                    </a:ln>
                  </pic:spPr>
                </pic:pic>
              </a:graphicData>
            </a:graphic>
          </wp:inline>
        </w:drawing>
      </w:r>
    </w:p>
    <w:p>
      <w:pPr>
        <w:spacing w:line="600" w:lineRule="exact"/>
        <w:ind w:firstLine="640" w:firstLineChars="200"/>
        <w:jc w:val="left"/>
        <w:rPr>
          <w:rFonts w:ascii="仿宋_GB2312" w:eastAsia="仿宋_GB2312"/>
          <w:color w:val="000000"/>
          <w:sz w:val="32"/>
          <w:szCs w:val="32"/>
        </w:rPr>
      </w:pPr>
    </w:p>
    <w:p>
      <w:pPr>
        <w:pStyle w:val="29"/>
        <w:numPr>
          <w:ilvl w:val="0"/>
          <w:numId w:val="1"/>
        </w:numPr>
        <w:spacing w:line="600" w:lineRule="exact"/>
        <w:ind w:firstLineChars="0"/>
        <w:outlineLvl w:val="1"/>
        <w:rPr>
          <w:rStyle w:val="19"/>
          <w:rFonts w:ascii="黑体" w:hAnsi="黑体" w:eastAsia="黑体"/>
          <w:b w:val="0"/>
        </w:rPr>
      </w:pPr>
      <w:bookmarkStart w:id="20" w:name="_Toc15396604"/>
      <w:bookmarkStart w:id="21" w:name="_Toc15377206"/>
      <w:r>
        <w:rPr>
          <w:rFonts w:hint="eastAsia" w:ascii="黑体" w:hAnsi="黑体" w:eastAsia="黑体"/>
          <w:color w:val="000000"/>
          <w:sz w:val="32"/>
          <w:szCs w:val="32"/>
        </w:rPr>
        <w:t>收</w:t>
      </w:r>
      <w:r>
        <w:rPr>
          <w:rStyle w:val="19"/>
          <w:rFonts w:hint="eastAsia" w:ascii="黑体" w:hAnsi="黑体" w:eastAsia="黑体"/>
          <w:b w:val="0"/>
        </w:rPr>
        <w:t>入决算情况说明</w:t>
      </w:r>
      <w:bookmarkEnd w:id="20"/>
      <w:bookmarkEnd w:id="21"/>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3,851.61</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2,123.75</w:t>
      </w:r>
      <w:r>
        <w:rPr>
          <w:rFonts w:hint="eastAsia" w:ascii="仿宋" w:hAnsi="仿宋" w:eastAsia="仿宋"/>
          <w:color w:val="000000"/>
          <w:sz w:val="32"/>
          <w:szCs w:val="32"/>
        </w:rPr>
        <w:t>万元，占</w:t>
      </w:r>
      <w:r>
        <w:rPr>
          <w:rFonts w:ascii="仿宋" w:hAnsi="仿宋" w:eastAsia="仿宋"/>
          <w:color w:val="000000"/>
          <w:sz w:val="32"/>
          <w:szCs w:val="32"/>
        </w:rPr>
        <w:t>55.14%</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1,725.10</w:t>
      </w:r>
      <w:r>
        <w:rPr>
          <w:rFonts w:hint="eastAsia" w:ascii="仿宋" w:hAnsi="仿宋" w:eastAsia="仿宋"/>
          <w:color w:val="000000"/>
          <w:sz w:val="32"/>
          <w:szCs w:val="32"/>
        </w:rPr>
        <w:t>万元，占</w:t>
      </w:r>
      <w:r>
        <w:rPr>
          <w:rFonts w:ascii="仿宋" w:hAnsi="仿宋" w:eastAsia="仿宋"/>
          <w:color w:val="000000"/>
          <w:sz w:val="32"/>
          <w:szCs w:val="32"/>
        </w:rPr>
        <w:t>44.79%</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2.76</w:t>
      </w:r>
      <w:r>
        <w:rPr>
          <w:rFonts w:hint="eastAsia" w:ascii="仿宋" w:hAnsi="仿宋" w:eastAsia="仿宋"/>
          <w:color w:val="000000"/>
          <w:sz w:val="32"/>
          <w:szCs w:val="32"/>
        </w:rPr>
        <w:t>万元，占</w:t>
      </w:r>
      <w:r>
        <w:rPr>
          <w:rFonts w:ascii="仿宋" w:hAnsi="仿宋" w:eastAsia="仿宋"/>
          <w:color w:val="000000"/>
          <w:sz w:val="32"/>
          <w:szCs w:val="32"/>
        </w:rPr>
        <w:t>0.07%</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
        <w:rPr>
          <w:rFonts w:ascii="仿宋" w:hAnsi="仿宋" w:eastAsia="仿宋"/>
          <w:b w:val="0"/>
          <w:bCs w:val="0"/>
          <w:kern w:val="44"/>
        </w:rPr>
      </w:pPr>
      <w:r>
        <w:drawing>
          <wp:inline distT="0" distB="0" distL="114300" distR="114300">
            <wp:extent cx="4686300" cy="1746250"/>
            <wp:effectExtent l="0" t="0" r="0" b="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4686300" cy="1746250"/>
                    </a:xfrm>
                    <a:prstGeom prst="rect">
                      <a:avLst/>
                    </a:prstGeom>
                    <a:noFill/>
                    <a:ln>
                      <a:noFill/>
                    </a:ln>
                  </pic:spPr>
                </pic:pic>
              </a:graphicData>
            </a:graphic>
          </wp:inline>
        </w:drawing>
      </w:r>
    </w:p>
    <w:p>
      <w:pPr>
        <w:pStyle w:val="29"/>
        <w:numPr>
          <w:ilvl w:val="0"/>
          <w:numId w:val="1"/>
        </w:numPr>
        <w:spacing w:line="600" w:lineRule="exact"/>
        <w:ind w:firstLineChars="0"/>
        <w:outlineLvl w:val="1"/>
        <w:rPr>
          <w:rStyle w:val="19"/>
          <w:rFonts w:ascii="黑体" w:hAnsi="黑体" w:eastAsia="黑体"/>
          <w:b w:val="0"/>
        </w:rPr>
      </w:pPr>
      <w:bookmarkStart w:id="22" w:name="_Toc15377207"/>
      <w:bookmarkStart w:id="23" w:name="_Toc15396605"/>
      <w:r>
        <w:rPr>
          <w:rFonts w:hint="eastAsia" w:ascii="黑体" w:hAnsi="黑体" w:eastAsia="黑体"/>
          <w:color w:val="000000"/>
          <w:sz w:val="32"/>
          <w:szCs w:val="32"/>
        </w:rPr>
        <w:t>支</w:t>
      </w:r>
      <w:r>
        <w:rPr>
          <w:rStyle w:val="19"/>
          <w:rFonts w:hint="eastAsia" w:ascii="黑体" w:hAnsi="黑体" w:eastAsia="黑体"/>
          <w:b w:val="0"/>
        </w:rPr>
        <w:t>出决算情况说明</w:t>
      </w:r>
      <w:bookmarkEnd w:id="22"/>
      <w:bookmarkEnd w:id="2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3,813.67</w:t>
      </w:r>
      <w:r>
        <w:rPr>
          <w:rFonts w:hint="eastAsia" w:ascii="仿宋" w:hAnsi="仿宋" w:eastAsia="仿宋"/>
          <w:color w:val="000000"/>
          <w:sz w:val="32"/>
          <w:szCs w:val="32"/>
        </w:rPr>
        <w:t>万元，其中：基本支出</w:t>
      </w:r>
      <w:r>
        <w:rPr>
          <w:rFonts w:ascii="仿宋" w:hAnsi="仿宋" w:eastAsia="仿宋"/>
          <w:color w:val="000000"/>
          <w:sz w:val="32"/>
          <w:szCs w:val="32"/>
        </w:rPr>
        <w:t>3,659.47</w:t>
      </w:r>
      <w:r>
        <w:rPr>
          <w:rFonts w:hint="eastAsia" w:ascii="仿宋" w:hAnsi="仿宋" w:eastAsia="仿宋"/>
          <w:color w:val="000000"/>
          <w:sz w:val="32"/>
          <w:szCs w:val="32"/>
        </w:rPr>
        <w:t>万元，占</w:t>
      </w:r>
      <w:r>
        <w:rPr>
          <w:rFonts w:ascii="仿宋" w:hAnsi="仿宋" w:eastAsia="仿宋"/>
          <w:color w:val="000000"/>
          <w:sz w:val="32"/>
          <w:szCs w:val="32"/>
        </w:rPr>
        <w:t>95.96%</w:t>
      </w:r>
      <w:r>
        <w:rPr>
          <w:rFonts w:hint="eastAsia" w:ascii="仿宋" w:hAnsi="仿宋" w:eastAsia="仿宋"/>
          <w:color w:val="000000"/>
          <w:sz w:val="32"/>
          <w:szCs w:val="32"/>
        </w:rPr>
        <w:t>；项目支出</w:t>
      </w:r>
      <w:r>
        <w:rPr>
          <w:rFonts w:ascii="仿宋" w:hAnsi="仿宋" w:eastAsia="仿宋"/>
          <w:color w:val="000000"/>
          <w:sz w:val="32"/>
          <w:szCs w:val="32"/>
        </w:rPr>
        <w:t>154.21</w:t>
      </w:r>
      <w:r>
        <w:rPr>
          <w:rFonts w:hint="eastAsia" w:ascii="仿宋" w:hAnsi="仿宋" w:eastAsia="仿宋"/>
          <w:color w:val="000000"/>
          <w:sz w:val="32"/>
          <w:szCs w:val="32"/>
        </w:rPr>
        <w:t>万元，占</w:t>
      </w:r>
      <w:r>
        <w:rPr>
          <w:rFonts w:ascii="仿宋" w:hAnsi="仿宋" w:eastAsia="仿宋"/>
          <w:color w:val="000000"/>
          <w:sz w:val="32"/>
          <w:szCs w:val="32"/>
        </w:rPr>
        <w:t>4.04%</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3"/>
        <w:rPr>
          <w:rFonts w:ascii="仿宋" w:hAnsi="仿宋" w:eastAsia="仿宋"/>
          <w:b w:val="0"/>
          <w:bCs w:val="0"/>
          <w:kern w:val="44"/>
        </w:rPr>
      </w:pPr>
      <w:r>
        <w:rPr>
          <w:rStyle w:val="18"/>
          <w:b/>
          <w:bCs/>
        </w:rPr>
        <w:drawing>
          <wp:inline distT="0" distB="0" distL="114300" distR="114300">
            <wp:extent cx="4470400" cy="2012950"/>
            <wp:effectExtent l="0" t="0" r="0" b="635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4470400" cy="2012950"/>
                    </a:xfrm>
                    <a:prstGeom prst="rect">
                      <a:avLst/>
                    </a:prstGeom>
                    <a:noFill/>
                    <a:ln>
                      <a:noFill/>
                    </a:ln>
                  </pic:spPr>
                </pic:pic>
              </a:graphicData>
            </a:graphic>
          </wp:inline>
        </w:drawing>
      </w:r>
    </w:p>
    <w:p>
      <w:pPr>
        <w:spacing w:line="600" w:lineRule="exact"/>
        <w:ind w:firstLine="640" w:firstLineChars="200"/>
        <w:outlineLvl w:val="1"/>
        <w:rPr>
          <w:rStyle w:val="19"/>
          <w:rFonts w:ascii="黑体" w:hAnsi="黑体" w:eastAsia="黑体"/>
          <w:b w:val="0"/>
        </w:rPr>
      </w:pPr>
      <w:bookmarkStart w:id="24" w:name="_Toc15396606"/>
      <w:bookmarkStart w:id="25" w:name="_Toc15377208"/>
      <w:r>
        <w:rPr>
          <w:rFonts w:hint="eastAsia" w:ascii="黑体" w:hAnsi="黑体" w:eastAsia="黑体"/>
          <w:color w:val="000000"/>
          <w:sz w:val="32"/>
          <w:szCs w:val="32"/>
        </w:rPr>
        <w:t>四、财</w:t>
      </w:r>
      <w:r>
        <w:rPr>
          <w:rStyle w:val="19"/>
          <w:rFonts w:hint="eastAsia" w:ascii="黑体" w:hAnsi="黑体" w:eastAsia="黑体"/>
          <w:b w:val="0"/>
        </w:rPr>
        <w:t>政拨款收入支出决算总体情况说明</w:t>
      </w:r>
      <w:bookmarkEnd w:id="24"/>
      <w:bookmarkEnd w:id="25"/>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2018</w:t>
      </w:r>
      <w:r>
        <w:rPr>
          <w:rFonts w:hint="eastAsia" w:ascii="仿宋" w:hAnsi="仿宋" w:eastAsia="仿宋"/>
          <w:color w:val="000000"/>
          <w:sz w:val="32"/>
          <w:szCs w:val="32"/>
        </w:rPr>
        <w:t>年财政拨款收入</w:t>
      </w:r>
      <w:r>
        <w:rPr>
          <w:rFonts w:ascii="仿宋" w:hAnsi="仿宋" w:eastAsia="仿宋"/>
          <w:color w:val="000000"/>
          <w:sz w:val="32"/>
          <w:szCs w:val="32"/>
        </w:rPr>
        <w:t>2,123.75</w:t>
      </w:r>
      <w:r>
        <w:rPr>
          <w:rFonts w:hint="eastAsia" w:ascii="仿宋" w:hAnsi="仿宋" w:eastAsia="仿宋"/>
          <w:color w:val="000000"/>
          <w:sz w:val="32"/>
          <w:szCs w:val="32"/>
        </w:rPr>
        <w:t>万元、支出</w:t>
      </w:r>
      <w:r>
        <w:rPr>
          <w:rFonts w:ascii="仿宋" w:hAnsi="仿宋" w:eastAsia="仿宋"/>
          <w:color w:val="000000"/>
          <w:sz w:val="32"/>
          <w:szCs w:val="32"/>
        </w:rPr>
        <w:t>2,094.64</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w:t>
      </w:r>
      <w:r>
        <w:rPr>
          <w:rFonts w:hint="eastAsia" w:ascii="仿宋" w:hAnsi="仿宋" w:eastAsia="仿宋"/>
          <w:color w:val="000000" w:themeColor="text1"/>
          <w:sz w:val="32"/>
          <w:szCs w:val="32"/>
          <w14:textFill>
            <w14:solidFill>
              <w14:schemeClr w14:val="tx1"/>
            </w14:solidFill>
          </w14:textFill>
        </w:rPr>
        <w:t>比，财政拨款收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14:textFill>
            <w14:solidFill>
              <w14:schemeClr w14:val="tx1"/>
            </w14:solidFill>
          </w14:textFill>
        </w:rPr>
        <w:t>增加</w:t>
      </w:r>
      <w:r>
        <w:rPr>
          <w:rFonts w:ascii="仿宋" w:hAnsi="仿宋" w:eastAsia="仿宋"/>
          <w:color w:val="000000" w:themeColor="text1"/>
          <w:sz w:val="32"/>
          <w:szCs w:val="32"/>
          <w14:textFill>
            <w14:solidFill>
              <w14:schemeClr w14:val="tx1"/>
            </w14:solidFill>
          </w14:textFill>
        </w:rPr>
        <w:t>448.98</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增加</w:t>
      </w:r>
      <w:r>
        <w:rPr>
          <w:rFonts w:ascii="仿宋" w:hAnsi="仿宋" w:eastAsia="仿宋"/>
          <w:color w:val="000000" w:themeColor="text1"/>
          <w:sz w:val="32"/>
          <w:szCs w:val="32"/>
          <w14:textFill>
            <w14:solidFill>
              <w14:schemeClr w14:val="tx1"/>
            </w14:solidFill>
          </w14:textFill>
        </w:rPr>
        <w:t>278.32</w:t>
      </w:r>
      <w:r>
        <w:rPr>
          <w:rFonts w:hint="eastAsia" w:ascii="仿宋" w:hAnsi="仿宋" w:eastAsia="仿宋"/>
          <w:color w:val="000000" w:themeColor="text1"/>
          <w:sz w:val="32"/>
          <w:szCs w:val="32"/>
          <w14:textFill>
            <w14:solidFill>
              <w14:schemeClr w14:val="tx1"/>
            </w14:solidFill>
          </w14:textFill>
        </w:rPr>
        <w:t>万元，收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14:textFill>
            <w14:solidFill>
              <w14:schemeClr w14:val="tx1"/>
            </w14:solidFill>
          </w14:textFill>
        </w:rPr>
        <w:t>增长</w:t>
      </w:r>
      <w:r>
        <w:rPr>
          <w:rFonts w:ascii="仿宋" w:hAnsi="仿宋" w:eastAsia="仿宋"/>
          <w:color w:val="000000" w:themeColor="text1"/>
          <w:sz w:val="32"/>
          <w:szCs w:val="32"/>
          <w14:textFill>
            <w14:solidFill>
              <w14:schemeClr w14:val="tx1"/>
            </w14:solidFill>
          </w14:textFill>
        </w:rPr>
        <w:t>26.81%</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增长</w:t>
      </w:r>
      <w:r>
        <w:rPr>
          <w:rFonts w:ascii="仿宋" w:hAnsi="仿宋" w:eastAsia="仿宋"/>
          <w:color w:val="000000" w:themeColor="text1"/>
          <w:sz w:val="32"/>
          <w:szCs w:val="32"/>
          <w14:textFill>
            <w14:solidFill>
              <w14:schemeClr w14:val="tx1"/>
            </w14:solidFill>
          </w14:textFill>
        </w:rPr>
        <w:t>15.32%</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主要</w:t>
      </w:r>
      <w:r>
        <w:rPr>
          <w:rFonts w:hint="eastAsia" w:ascii="仿宋" w:hAnsi="仿宋" w:eastAsia="仿宋"/>
          <w:color w:val="000000"/>
          <w:sz w:val="32"/>
          <w:szCs w:val="32"/>
          <w:lang w:eastAsia="zh-CN"/>
        </w:rPr>
        <w:t>是</w:t>
      </w:r>
      <w:r>
        <w:rPr>
          <w:rFonts w:hint="eastAsia" w:ascii="仿宋" w:hAnsi="仿宋" w:eastAsia="仿宋"/>
          <w:color w:val="000000"/>
          <w:sz w:val="32"/>
          <w:szCs w:val="32"/>
          <w:lang w:val="en-US" w:eastAsia="zh-CN"/>
        </w:rPr>
        <w:t>2018年心电图项目的增加，单位人员增加和医疗设备的购置。</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Style w:val="3"/>
        <w:rPr>
          <w:rFonts w:ascii="仿宋" w:hAnsi="仿宋" w:eastAsia="仿宋"/>
          <w:b w:val="0"/>
          <w:bCs w:val="0"/>
          <w:kern w:val="44"/>
        </w:rPr>
      </w:pPr>
      <w:r>
        <w:drawing>
          <wp:inline distT="0" distB="0" distL="114300" distR="114300">
            <wp:extent cx="4629150" cy="1930400"/>
            <wp:effectExtent l="0" t="0" r="0" b="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9"/>
                    <a:stretch>
                      <a:fillRect/>
                    </a:stretch>
                  </pic:blipFill>
                  <pic:spPr>
                    <a:xfrm>
                      <a:off x="0" y="0"/>
                      <a:ext cx="4629150" cy="1930400"/>
                    </a:xfrm>
                    <a:prstGeom prst="rect">
                      <a:avLst/>
                    </a:prstGeom>
                    <a:noFill/>
                    <a:ln>
                      <a:noFill/>
                    </a:ln>
                  </pic:spPr>
                </pic:pic>
              </a:graphicData>
            </a:graphic>
          </wp:inline>
        </w:drawing>
      </w:r>
    </w:p>
    <w:p>
      <w:pPr>
        <w:spacing w:line="600" w:lineRule="exact"/>
        <w:ind w:firstLine="640" w:firstLineChars="200"/>
        <w:outlineLvl w:val="1"/>
        <w:rPr>
          <w:rStyle w:val="19"/>
          <w:rFonts w:ascii="黑体" w:hAnsi="黑体" w:eastAsia="黑体"/>
          <w:b w:val="0"/>
        </w:rPr>
      </w:pPr>
      <w:bookmarkStart w:id="26" w:name="_Toc15377209"/>
      <w:bookmarkStart w:id="2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9"/>
          <w:rFonts w:hint="eastAsia" w:ascii="黑体" w:hAnsi="黑体" w:eastAsia="黑体"/>
          <w:b w:val="0"/>
        </w:rPr>
        <w:t>般公共预算财政拨款支出决算情况说明</w:t>
      </w:r>
      <w:bookmarkEnd w:id="26"/>
      <w:bookmarkEnd w:id="27"/>
    </w:p>
    <w:p>
      <w:pPr>
        <w:spacing w:line="600" w:lineRule="exact"/>
        <w:ind w:firstLine="643" w:firstLineChars="200"/>
        <w:outlineLvl w:val="2"/>
        <w:rPr>
          <w:rFonts w:ascii="仿宋" w:hAnsi="仿宋" w:eastAsia="仿宋"/>
          <w:b/>
          <w:color w:val="000000"/>
          <w:sz w:val="32"/>
          <w:szCs w:val="32"/>
        </w:rPr>
      </w:pPr>
      <w:bookmarkStart w:id="28" w:name="_Toc15377210"/>
      <w:r>
        <w:rPr>
          <w:rFonts w:hint="eastAsia" w:ascii="仿宋" w:hAnsi="仿宋" w:eastAsia="仿宋"/>
          <w:b/>
          <w:color w:val="000000"/>
          <w:sz w:val="32"/>
          <w:szCs w:val="32"/>
        </w:rPr>
        <w:t>（一）一般公共预算财政拨款支出决算总体情况</w:t>
      </w:r>
      <w:bookmarkEnd w:id="28"/>
    </w:p>
    <w:p>
      <w:pPr>
        <w:spacing w:line="600" w:lineRule="exact"/>
        <w:ind w:firstLine="640" w:firstLineChars="200"/>
        <w:rPr>
          <w:rFonts w:hint="eastAsia" w:ascii="仿宋" w:hAnsi="仿宋" w:eastAsia="仿宋"/>
          <w:b/>
          <w:color w:val="00B0F0"/>
          <w:sz w:val="32"/>
          <w:szCs w:val="32"/>
          <w:lang w:eastAsia="zh-CN"/>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2,094.64</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278.32</w:t>
      </w:r>
      <w:r>
        <w:rPr>
          <w:rFonts w:hint="eastAsia" w:ascii="仿宋" w:hAnsi="仿宋" w:eastAsia="仿宋"/>
          <w:color w:val="000000"/>
          <w:sz w:val="32"/>
          <w:szCs w:val="32"/>
        </w:rPr>
        <w:t>万元，增长</w:t>
      </w:r>
      <w:r>
        <w:rPr>
          <w:rFonts w:ascii="仿宋" w:hAnsi="仿宋" w:eastAsia="仿宋"/>
          <w:color w:val="000000"/>
          <w:sz w:val="32"/>
          <w:szCs w:val="32"/>
        </w:rPr>
        <w:t>15.32%</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单位人员的增加。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Style w:val="3"/>
        <w:rPr>
          <w:rFonts w:ascii="仿宋" w:hAnsi="仿宋" w:eastAsia="仿宋"/>
          <w:b w:val="0"/>
          <w:bCs w:val="0"/>
          <w:kern w:val="44"/>
        </w:rPr>
      </w:pPr>
      <w:r>
        <w:rPr>
          <w:rStyle w:val="18"/>
          <w:b w:val="0"/>
          <w:bCs w:val="0"/>
        </w:rPr>
        <w:drawing>
          <wp:inline distT="0" distB="0" distL="114300" distR="114300">
            <wp:extent cx="4305300" cy="1892300"/>
            <wp:effectExtent l="0" t="0" r="0" b="1270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0"/>
                    <a:stretch>
                      <a:fillRect/>
                    </a:stretch>
                  </pic:blipFill>
                  <pic:spPr>
                    <a:xfrm>
                      <a:off x="0" y="0"/>
                      <a:ext cx="4305300" cy="1892300"/>
                    </a:xfrm>
                    <a:prstGeom prst="rect">
                      <a:avLst/>
                    </a:prstGeom>
                    <a:noFill/>
                    <a:ln>
                      <a:noFill/>
                    </a:ln>
                  </pic:spPr>
                </pic:pic>
              </a:graphicData>
            </a:graphic>
          </wp:inline>
        </w:drawing>
      </w:r>
    </w:p>
    <w:p>
      <w:pPr>
        <w:spacing w:line="600" w:lineRule="exact"/>
        <w:ind w:firstLine="643" w:firstLineChars="200"/>
        <w:outlineLvl w:val="2"/>
        <w:rPr>
          <w:rFonts w:ascii="仿宋" w:hAnsi="仿宋" w:eastAsia="仿宋"/>
          <w:b/>
          <w:color w:val="000000"/>
          <w:sz w:val="32"/>
          <w:szCs w:val="32"/>
        </w:rPr>
      </w:pPr>
      <w:bookmarkStart w:id="29" w:name="_Toc15377211"/>
      <w:r>
        <w:rPr>
          <w:rFonts w:hint="eastAsia" w:ascii="仿宋" w:hAnsi="仿宋" w:eastAsia="仿宋"/>
          <w:b/>
          <w:color w:val="000000"/>
          <w:sz w:val="32"/>
          <w:szCs w:val="32"/>
        </w:rPr>
        <w:t>（二）一般公共预算财政拨款支出决算结构情况</w:t>
      </w:r>
      <w:bookmarkEnd w:id="29"/>
    </w:p>
    <w:p>
      <w:pPr>
        <w:rPr>
          <w:rFonts w:ascii="仿宋" w:hAnsi="宋体" w:eastAsia="仿宋" w:cs="Arial"/>
          <w:color w:val="000000"/>
          <w:sz w:val="32"/>
          <w:szCs w:val="2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2,094.64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一般公共服务（类）支出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；教育支出（类）</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；科学技术（类）支出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；社会保障和就业（类）支出</w:t>
      </w:r>
      <w:r>
        <w:rPr>
          <w:rFonts w:ascii="仿宋" w:eastAsia="仿宋" w:cs="Arial"/>
          <w:color w:val="000000"/>
          <w:sz w:val="32"/>
          <w:szCs w:val="32"/>
        </w:rPr>
        <w:t>298.78</w:t>
      </w:r>
      <w:r>
        <w:rPr>
          <w:rFonts w:hint="eastAsia" w:ascii="仿宋" w:hAnsi="仿宋" w:eastAsia="仿宋"/>
          <w:color w:val="000000"/>
          <w:sz w:val="32"/>
          <w:szCs w:val="32"/>
        </w:rPr>
        <w:t>万元，占</w:t>
      </w:r>
      <w:r>
        <w:rPr>
          <w:rFonts w:ascii="仿宋" w:hAnsi="仿宋" w:eastAsia="仿宋"/>
          <w:color w:val="000000"/>
          <w:sz w:val="32"/>
          <w:szCs w:val="32"/>
        </w:rPr>
        <w:t>14.26%</w:t>
      </w:r>
      <w:r>
        <w:rPr>
          <w:rFonts w:hint="eastAsia" w:ascii="仿宋" w:hAnsi="仿宋" w:eastAsia="仿宋"/>
          <w:color w:val="000000"/>
          <w:sz w:val="32"/>
          <w:szCs w:val="32"/>
        </w:rPr>
        <w:t>；医疗卫生支出</w:t>
      </w:r>
      <w:r>
        <w:rPr>
          <w:rFonts w:ascii="仿宋" w:eastAsia="仿宋" w:cs="Arial"/>
          <w:color w:val="000000"/>
          <w:sz w:val="32"/>
          <w:szCs w:val="22"/>
        </w:rPr>
        <w:t>1,663.29</w:t>
      </w:r>
      <w:r>
        <w:rPr>
          <w:rFonts w:hint="eastAsia" w:ascii="仿宋" w:hAnsi="仿宋" w:eastAsia="仿宋"/>
          <w:color w:val="000000"/>
          <w:sz w:val="32"/>
          <w:szCs w:val="32"/>
        </w:rPr>
        <w:t>万元，占</w:t>
      </w:r>
      <w:r>
        <w:rPr>
          <w:rFonts w:ascii="仿宋" w:hAnsi="仿宋" w:eastAsia="仿宋"/>
          <w:color w:val="000000"/>
          <w:sz w:val="32"/>
          <w:szCs w:val="32"/>
        </w:rPr>
        <w:t>79.41%</w:t>
      </w:r>
      <w:r>
        <w:rPr>
          <w:rFonts w:hint="eastAsia" w:ascii="仿宋" w:hAnsi="仿宋" w:eastAsia="仿宋"/>
          <w:color w:val="000000"/>
          <w:sz w:val="32"/>
          <w:szCs w:val="32"/>
        </w:rPr>
        <w:t>；住房保障支出</w:t>
      </w:r>
      <w:r>
        <w:rPr>
          <w:rFonts w:ascii="仿宋" w:eastAsia="仿宋" w:cs="Arial"/>
          <w:color w:val="000000"/>
          <w:sz w:val="32"/>
          <w:szCs w:val="22"/>
        </w:rPr>
        <w:t>132.57</w:t>
      </w:r>
      <w:r>
        <w:rPr>
          <w:rFonts w:hint="eastAsia" w:ascii="仿宋" w:hAnsi="仿宋" w:eastAsia="仿宋"/>
          <w:color w:val="000000"/>
          <w:sz w:val="32"/>
          <w:szCs w:val="32"/>
        </w:rPr>
        <w:t>万元，占</w:t>
      </w:r>
      <w:r>
        <w:rPr>
          <w:rFonts w:ascii="仿宋" w:hAnsi="仿宋" w:eastAsia="仿宋"/>
          <w:color w:val="000000"/>
          <w:sz w:val="32"/>
          <w:szCs w:val="32"/>
        </w:rPr>
        <w:t>6.33%</w:t>
      </w:r>
      <w:r>
        <w:rPr>
          <w:rFonts w:hint="eastAsia" w:ascii="仿宋" w:hAnsi="仿宋" w:eastAsia="仿宋"/>
          <w:color w:val="000000"/>
          <w:sz w:val="32"/>
          <w:szCs w:val="32"/>
        </w:rPr>
        <w:t>。</w:t>
      </w:r>
    </w:p>
    <w:p>
      <w:pPr>
        <w:spacing w:line="600" w:lineRule="exact"/>
        <w:ind w:firstLine="420" w:firstLineChars="200"/>
        <w:rPr>
          <w:rFonts w:ascii="仿宋" w:hAnsi="仿宋" w:eastAsia="仿宋"/>
          <w:color w:val="000000"/>
          <w:sz w:val="32"/>
          <w:szCs w:val="32"/>
        </w:rPr>
      </w:pPr>
      <w:r>
        <w:rPr>
          <w:rFonts w:hint="eastAsia"/>
        </w:rPr>
        <w:t>（图</w:t>
      </w:r>
      <w:r>
        <w:t>6</w:t>
      </w:r>
      <w:r>
        <w:rPr>
          <w:rFonts w:hint="eastAsia"/>
        </w:rPr>
        <w:t>：一般公共预算财政拨款支出决算结构）（饼状图）</w:t>
      </w:r>
    </w:p>
    <w:p>
      <w:pPr>
        <w:pStyle w:val="3"/>
        <w:rPr>
          <w:rFonts w:ascii="仿宋" w:hAnsi="仿宋" w:eastAsia="仿宋"/>
          <w:b w:val="0"/>
          <w:bCs w:val="0"/>
          <w:kern w:val="44"/>
        </w:rPr>
      </w:pPr>
      <w:r>
        <w:rPr>
          <w:rStyle w:val="18"/>
          <w:b/>
          <w:bCs/>
        </w:rPr>
        <w:drawing>
          <wp:inline distT="0" distB="0" distL="114300" distR="114300">
            <wp:extent cx="4705350" cy="1790700"/>
            <wp:effectExtent l="0" t="0" r="0" b="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1"/>
                    <a:stretch>
                      <a:fillRect/>
                    </a:stretch>
                  </pic:blipFill>
                  <pic:spPr>
                    <a:xfrm>
                      <a:off x="0" y="0"/>
                      <a:ext cx="4705350" cy="1790700"/>
                    </a:xfrm>
                    <a:prstGeom prst="rect">
                      <a:avLst/>
                    </a:prstGeom>
                    <a:noFill/>
                    <a:ln>
                      <a:noFill/>
                    </a:ln>
                  </pic:spPr>
                </pic:pic>
              </a:graphicData>
            </a:graphic>
          </wp:inline>
        </w:drawing>
      </w:r>
    </w:p>
    <w:p>
      <w:pPr>
        <w:spacing w:line="600" w:lineRule="exact"/>
        <w:ind w:firstLine="643" w:firstLineChars="200"/>
        <w:outlineLvl w:val="2"/>
        <w:rPr>
          <w:rFonts w:ascii="仿宋" w:hAnsi="仿宋" w:eastAsia="仿宋"/>
          <w:b/>
          <w:color w:val="000000"/>
          <w:sz w:val="32"/>
          <w:szCs w:val="32"/>
        </w:rPr>
      </w:pPr>
      <w:bookmarkStart w:id="30" w:name="_Toc15377212"/>
      <w:r>
        <w:rPr>
          <w:rFonts w:hint="eastAsia" w:ascii="仿宋" w:hAnsi="仿宋" w:eastAsia="仿宋"/>
          <w:b/>
          <w:color w:val="000000"/>
          <w:sz w:val="32"/>
          <w:szCs w:val="32"/>
        </w:rPr>
        <w:t>（三）一般公共预算财政拨款支出决算具体情况</w:t>
      </w:r>
      <w:bookmarkEnd w:id="30"/>
    </w:p>
    <w:p>
      <w:pPr>
        <w:spacing w:line="600" w:lineRule="exact"/>
        <w:ind w:firstLine="643" w:firstLineChars="200"/>
        <w:outlineLvl w:val="2"/>
        <w:rPr>
          <w:rFonts w:ascii="仿宋" w:hAnsi="仿宋" w:eastAsia="仿宋"/>
          <w:color w:val="FF0000"/>
          <w:sz w:val="32"/>
          <w:szCs w:val="32"/>
        </w:rPr>
      </w:pPr>
      <w:bookmarkStart w:id="31" w:name="_Toc15377213"/>
      <w:bookmarkStart w:id="32" w:name="_Toc15377444"/>
      <w:bookmarkStart w:id="33" w:name="_Toc15378460"/>
      <w:r>
        <w:rPr>
          <w:rFonts w:ascii="仿宋" w:hAnsi="仿宋" w:eastAsia="仿宋"/>
          <w:b/>
          <w:color w:val="000000"/>
          <w:sz w:val="32"/>
          <w:szCs w:val="32"/>
        </w:rPr>
        <w:t>2018</w:t>
      </w:r>
      <w:r>
        <w:rPr>
          <w:rFonts w:hint="eastAsia" w:ascii="仿宋" w:hAnsi="仿宋" w:eastAsia="仿宋"/>
          <w:b/>
          <w:color w:val="000000"/>
          <w:sz w:val="32"/>
          <w:szCs w:val="32"/>
        </w:rPr>
        <w:t>年一般公共预算支出决算数为</w:t>
      </w:r>
      <w:r>
        <w:rPr>
          <w:rFonts w:ascii="仿宋" w:hAnsi="仿宋" w:eastAsia="仿宋"/>
          <w:color w:val="000000"/>
          <w:sz w:val="32"/>
          <w:szCs w:val="32"/>
        </w:rPr>
        <w:t>2,094.64</w:t>
      </w:r>
      <w:r>
        <w:rPr>
          <w:rFonts w:hint="eastAsia" w:ascii="仿宋" w:hAnsi="仿宋" w:eastAsia="仿宋"/>
          <w:color w:val="000000"/>
          <w:sz w:val="32"/>
          <w:szCs w:val="32"/>
        </w:rPr>
        <w:t>万元，</w:t>
      </w:r>
      <w:r>
        <w:rPr>
          <w:rStyle w:val="16"/>
          <w:rFonts w:hint="eastAsia" w:ascii="仿宋" w:hAnsi="仿宋" w:eastAsia="仿宋"/>
          <w:bCs/>
          <w:color w:val="000000"/>
          <w:sz w:val="32"/>
          <w:szCs w:val="32"/>
        </w:rPr>
        <w:t>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。其中：</w:t>
      </w:r>
      <w:bookmarkEnd w:id="31"/>
      <w:bookmarkEnd w:id="32"/>
      <w:bookmarkEnd w:id="33"/>
    </w:p>
    <w:p>
      <w:pPr>
        <w:numPr>
          <w:ilvl w:val="0"/>
          <w:numId w:val="2"/>
        </w:numPr>
        <w:tabs>
          <w:tab w:val="clear" w:pos="312"/>
        </w:tabs>
        <w:spacing w:line="600" w:lineRule="exact"/>
        <w:rPr>
          <w:rStyle w:val="16"/>
          <w:rFonts w:hint="eastAsia" w:ascii="仿宋" w:hAnsi="仿宋" w:eastAsia="仿宋"/>
          <w:bCs/>
          <w:color w:val="000000" w:themeColor="text1"/>
          <w:sz w:val="32"/>
          <w:szCs w:val="32"/>
          <w:lang w:eastAsia="zh-CN"/>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社会保障和就业</w:t>
      </w:r>
      <w:r>
        <w:rPr>
          <w:rStyle w:val="16"/>
          <w:rFonts w:hint="eastAsia" w:ascii="仿宋" w:hAnsi="仿宋" w:eastAsia="仿宋"/>
          <w:bCs/>
          <w:color w:val="000000" w:themeColor="text1"/>
          <w:sz w:val="32"/>
          <w:szCs w:val="32"/>
          <w:lang w:eastAsia="zh-CN"/>
          <w14:textFill>
            <w14:solidFill>
              <w14:schemeClr w14:val="tx1"/>
            </w14:solidFill>
          </w14:textFill>
        </w:rPr>
        <w:t>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行政事业单位离退休（款）机关事业单位基本养老保险缴费支出（项）</w:t>
      </w:r>
      <w:r>
        <w:rPr>
          <w:rStyle w:val="16"/>
          <w:rFonts w:ascii="仿宋" w:hAnsi="仿宋" w:eastAsia="仿宋"/>
          <w:bCs/>
          <w:color w:val="000000" w:themeColor="text1"/>
          <w:sz w:val="32"/>
          <w:szCs w:val="32"/>
          <w14:textFill>
            <w14:solidFill>
              <w14:schemeClr w14:val="tx1"/>
            </w14:solidFill>
          </w14:textFill>
        </w:rPr>
        <w:t>:</w:t>
      </w:r>
      <w:r>
        <w:rPr>
          <w:rStyle w:val="16"/>
          <w:rFonts w:ascii="仿宋" w:hAnsi="仿宋" w:eastAsia="仿宋"/>
          <w:b w:val="0"/>
          <w:bCs/>
          <w:color w:val="000000" w:themeColor="text1"/>
          <w:sz w:val="32"/>
          <w:szCs w:val="32"/>
          <w14:textFill>
            <w14:solidFill>
              <w14:schemeClr w14:val="tx1"/>
            </w14:solidFill>
          </w14:textFill>
        </w:rPr>
        <w:t xml:space="preserve"> </w:t>
      </w:r>
      <w:r>
        <w:rPr>
          <w:rStyle w:val="16"/>
          <w:rFonts w:hint="eastAsia" w:ascii="仿宋" w:hAnsi="仿宋" w:eastAsia="仿宋"/>
          <w:b w:val="0"/>
          <w:bCs/>
          <w:color w:val="000000" w:themeColor="text1"/>
          <w:sz w:val="32"/>
          <w:szCs w:val="32"/>
          <w14:textFill>
            <w14:solidFill>
              <w14:schemeClr w14:val="tx1"/>
            </w14:solidFill>
          </w14:textFill>
        </w:rPr>
        <w:t>支出决算为</w:t>
      </w:r>
      <w:r>
        <w:rPr>
          <w:rStyle w:val="16"/>
          <w:rFonts w:hint="eastAsia" w:ascii="仿宋" w:hAnsi="仿宋" w:eastAsia="仿宋"/>
          <w:b w:val="0"/>
          <w:bCs/>
          <w:color w:val="000000" w:themeColor="text1"/>
          <w:sz w:val="32"/>
          <w:szCs w:val="32"/>
          <w:lang w:val="en-US" w:eastAsia="zh-CN"/>
          <w14:textFill>
            <w14:solidFill>
              <w14:schemeClr w14:val="tx1"/>
            </w14:solidFill>
          </w14:textFill>
        </w:rPr>
        <w:t>213.41</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lang w:eastAsia="zh-CN"/>
          <w14:textFill>
            <w14:solidFill>
              <w14:schemeClr w14:val="tx1"/>
            </w14:solidFill>
          </w14:textFill>
        </w:rPr>
        <w:t>。</w:t>
      </w:r>
    </w:p>
    <w:p>
      <w:pPr>
        <w:numPr>
          <w:ilvl w:val="0"/>
          <w:numId w:val="2"/>
        </w:numPr>
        <w:tabs>
          <w:tab w:val="clear" w:pos="312"/>
        </w:tabs>
        <w:spacing w:line="600" w:lineRule="exact"/>
        <w:rPr>
          <w:rStyle w:val="16"/>
          <w:rFonts w:hint="eastAsia" w:ascii="仿宋" w:hAnsi="仿宋" w:eastAsia="仿宋"/>
          <w:b w:val="0"/>
          <w:bCs/>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社会保障和就业</w:t>
      </w:r>
      <w:r>
        <w:rPr>
          <w:rStyle w:val="16"/>
          <w:rFonts w:hint="eastAsia" w:ascii="仿宋" w:hAnsi="仿宋" w:eastAsia="仿宋"/>
          <w:bCs/>
          <w:color w:val="000000" w:themeColor="text1"/>
          <w:sz w:val="32"/>
          <w:szCs w:val="32"/>
          <w:lang w:eastAsia="zh-CN"/>
          <w14:textFill>
            <w14:solidFill>
              <w14:schemeClr w14:val="tx1"/>
            </w14:solidFill>
          </w14:textFill>
        </w:rPr>
        <w:t>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行政事业单位离退休（款）机关事业单位职业年金缴费支出（项）</w:t>
      </w:r>
      <w:r>
        <w:rPr>
          <w:rStyle w:val="16"/>
          <w:rFonts w:ascii="仿宋" w:hAnsi="仿宋" w:eastAsia="仿宋"/>
          <w:bCs/>
          <w:color w:val="000000" w:themeColor="text1"/>
          <w:sz w:val="32"/>
          <w:szCs w:val="32"/>
          <w14:textFill>
            <w14:solidFill>
              <w14:schemeClr w14:val="tx1"/>
            </w14:solidFill>
          </w14:textFill>
        </w:rPr>
        <w:t>:</w:t>
      </w:r>
      <w:r>
        <w:rPr>
          <w:rStyle w:val="16"/>
          <w:rFonts w:ascii="仿宋" w:hAnsi="仿宋" w:eastAsia="仿宋"/>
          <w:b w:val="0"/>
          <w:bCs/>
          <w:color w:val="000000" w:themeColor="text1"/>
          <w:sz w:val="32"/>
          <w:szCs w:val="32"/>
          <w14:textFill>
            <w14:solidFill>
              <w14:schemeClr w14:val="tx1"/>
            </w14:solidFill>
          </w14:textFill>
        </w:rPr>
        <w:t xml:space="preserve"> </w:t>
      </w:r>
      <w:r>
        <w:rPr>
          <w:rStyle w:val="16"/>
          <w:rFonts w:hint="eastAsia" w:ascii="仿宋" w:hAnsi="仿宋" w:eastAsia="仿宋"/>
          <w:b w:val="0"/>
          <w:bCs/>
          <w:color w:val="000000" w:themeColor="text1"/>
          <w:sz w:val="32"/>
          <w:szCs w:val="32"/>
          <w14:textFill>
            <w14:solidFill>
              <w14:schemeClr w14:val="tx1"/>
            </w14:solidFill>
          </w14:textFill>
        </w:rPr>
        <w:t>支出决算为</w:t>
      </w:r>
      <w:r>
        <w:rPr>
          <w:rFonts w:hint="eastAsia" w:ascii="仿宋" w:eastAsia="仿宋" w:cs="Arial"/>
          <w:color w:val="000000" w:themeColor="text1"/>
          <w:sz w:val="32"/>
          <w:szCs w:val="32"/>
          <w:lang w:val="en-US" w:eastAsia="zh-CN"/>
          <w14:textFill>
            <w14:solidFill>
              <w14:schemeClr w14:val="tx1"/>
            </w14:solidFill>
          </w14:textFill>
        </w:rPr>
        <w:t>85.37</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numPr>
          <w:ilvl w:val="0"/>
          <w:numId w:val="2"/>
        </w:numPr>
        <w:tabs>
          <w:tab w:val="clear" w:pos="312"/>
        </w:tabs>
        <w:spacing w:line="600" w:lineRule="exact"/>
        <w:ind w:left="0" w:leftChars="0" w:firstLine="321" w:firstLineChars="0"/>
        <w:rPr>
          <w:rStyle w:val="16"/>
          <w:rFonts w:hint="eastAsia" w:ascii="仿宋" w:hAnsi="仿宋" w:eastAsia="仿宋"/>
          <w:b w:val="0"/>
          <w:bCs/>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hint="eastAsia" w:ascii="仿宋" w:hAnsi="仿宋" w:eastAsia="仿宋"/>
          <w:bCs/>
          <w:color w:val="000000" w:themeColor="text1"/>
          <w:sz w:val="32"/>
          <w:szCs w:val="32"/>
          <w:lang w:eastAsia="zh-CN"/>
          <w14:textFill>
            <w14:solidFill>
              <w14:schemeClr w14:val="tx1"/>
            </w14:solidFill>
          </w14:textFill>
        </w:rPr>
        <w:t>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公立医院（款）综合医院（项）</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支出决算为</w:t>
      </w:r>
      <w:r>
        <w:rPr>
          <w:rFonts w:hint="eastAsia" w:ascii="仿宋" w:eastAsia="仿宋" w:cs="Arial"/>
          <w:color w:val="000000" w:themeColor="text1"/>
          <w:sz w:val="32"/>
          <w:szCs w:val="22"/>
          <w:lang w:val="en-US" w:eastAsia="zh-CN"/>
          <w14:textFill>
            <w14:solidFill>
              <w14:schemeClr w14:val="tx1"/>
            </w14:solidFill>
          </w14:textFill>
        </w:rPr>
        <w:t>1467.38</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87.25</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。决算数</w:t>
      </w:r>
      <w:r>
        <w:rPr>
          <w:rStyle w:val="16"/>
          <w:rFonts w:hint="eastAsia" w:ascii="仿宋" w:hAnsi="仿宋" w:eastAsia="仿宋"/>
          <w:b w:val="0"/>
          <w:bCs/>
          <w:color w:val="000000" w:themeColor="text1"/>
          <w:sz w:val="32"/>
          <w:szCs w:val="32"/>
          <w:lang w:eastAsia="zh-CN"/>
          <w14:textFill>
            <w14:solidFill>
              <w14:schemeClr w14:val="tx1"/>
            </w14:solidFill>
          </w14:textFill>
        </w:rPr>
        <w:t>小</w:t>
      </w:r>
      <w:r>
        <w:rPr>
          <w:rStyle w:val="16"/>
          <w:rFonts w:hint="eastAsia" w:ascii="仿宋" w:hAnsi="仿宋" w:eastAsia="仿宋"/>
          <w:b w:val="0"/>
          <w:bCs/>
          <w:color w:val="000000" w:themeColor="text1"/>
          <w:sz w:val="32"/>
          <w:szCs w:val="32"/>
          <w14:textFill>
            <w14:solidFill>
              <w14:schemeClr w14:val="tx1"/>
            </w14:solidFill>
          </w14:textFill>
        </w:rPr>
        <w:t>于预算数的主要原因是</w:t>
      </w:r>
      <w:r>
        <w:rPr>
          <w:rStyle w:val="16"/>
          <w:rFonts w:hint="eastAsia" w:ascii="仿宋" w:hAnsi="仿宋" w:eastAsia="仿宋"/>
          <w:b w:val="0"/>
          <w:bCs/>
          <w:color w:val="000000" w:themeColor="text1"/>
          <w:sz w:val="32"/>
          <w:szCs w:val="32"/>
          <w:lang w:eastAsia="zh-CN"/>
          <w14:textFill>
            <w14:solidFill>
              <w14:schemeClr w14:val="tx1"/>
            </w14:solidFill>
          </w14:textFill>
        </w:rPr>
        <w:t>受政策影响，发放标准的调整。</w:t>
      </w:r>
    </w:p>
    <w:p>
      <w:pPr>
        <w:numPr>
          <w:ilvl w:val="0"/>
          <w:numId w:val="2"/>
        </w:numPr>
        <w:tabs>
          <w:tab w:val="clear" w:pos="312"/>
        </w:tabs>
        <w:spacing w:line="600" w:lineRule="exact"/>
        <w:ind w:left="0" w:leftChars="0" w:firstLine="321" w:firstLineChars="0"/>
        <w:rPr>
          <w:rStyle w:val="16"/>
          <w:rFonts w:ascii="仿宋" w:hAnsi="仿宋" w:eastAsia="仿宋"/>
          <w:b w:val="0"/>
          <w:bCs/>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hint="eastAsia" w:ascii="仿宋" w:hAnsi="仿宋" w:eastAsia="仿宋"/>
          <w:bCs/>
          <w:color w:val="000000" w:themeColor="text1"/>
          <w:sz w:val="32"/>
          <w:szCs w:val="32"/>
          <w:lang w:eastAsia="zh-CN"/>
          <w14:textFill>
            <w14:solidFill>
              <w14:schemeClr w14:val="tx1"/>
            </w14:solidFill>
          </w14:textFill>
        </w:rPr>
        <w:t>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公立医院（款）其他公立医院支出（项）</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支出决算为</w:t>
      </w:r>
      <w:r>
        <w:rPr>
          <w:rFonts w:hint="eastAsia" w:ascii="仿宋" w:eastAsia="仿宋" w:cs="Arial"/>
          <w:color w:val="000000" w:themeColor="text1"/>
          <w:sz w:val="32"/>
          <w:szCs w:val="22"/>
          <w:lang w:val="en-US" w:eastAsia="zh-CN"/>
          <w14:textFill>
            <w14:solidFill>
              <w14:schemeClr w14:val="tx1"/>
            </w14:solidFill>
          </w14:textFill>
        </w:rPr>
        <w:t>94.55</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numPr>
          <w:ilvl w:val="0"/>
          <w:numId w:val="2"/>
        </w:numPr>
        <w:tabs>
          <w:tab w:val="clear" w:pos="312"/>
        </w:tabs>
        <w:spacing w:line="600" w:lineRule="exact"/>
        <w:ind w:left="0" w:leftChars="0" w:firstLine="321" w:firstLineChars="0"/>
        <w:rPr>
          <w:rStyle w:val="16"/>
          <w:rFonts w:ascii="仿宋" w:hAnsi="仿宋" w:eastAsia="仿宋"/>
          <w:b w:val="0"/>
          <w:bCs/>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hint="eastAsia" w:ascii="仿宋" w:hAnsi="仿宋" w:eastAsia="仿宋"/>
          <w:bCs/>
          <w:color w:val="000000" w:themeColor="text1"/>
          <w:sz w:val="32"/>
          <w:szCs w:val="32"/>
          <w:lang w:eastAsia="zh-CN"/>
          <w14:textFill>
            <w14:solidFill>
              <w14:schemeClr w14:val="tx1"/>
            </w14:solidFill>
          </w14:textFill>
        </w:rPr>
        <w:t>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 xml:space="preserve">行政事业单位医疗（款）事业单位医疗（项） </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支出决算为</w:t>
      </w:r>
      <w:r>
        <w:rPr>
          <w:rFonts w:hint="eastAsia" w:ascii="仿宋" w:eastAsia="仿宋" w:cs="Arial"/>
          <w:color w:val="000000" w:themeColor="text1"/>
          <w:sz w:val="32"/>
          <w:szCs w:val="22"/>
          <w:lang w:val="en-US" w:eastAsia="zh-CN"/>
          <w14:textFill>
            <w14:solidFill>
              <w14:schemeClr w14:val="tx1"/>
            </w14:solidFill>
          </w14:textFill>
        </w:rPr>
        <w:t>70.38</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98.93</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lang w:eastAsia="zh-CN"/>
          <w14:textFill>
            <w14:solidFill>
              <w14:schemeClr w14:val="tx1"/>
            </w14:solidFill>
          </w14:textFill>
        </w:rPr>
        <w:t xml:space="preserve"> </w:t>
      </w:r>
      <w:r>
        <w:rPr>
          <w:rStyle w:val="16"/>
          <w:rFonts w:hint="eastAsia" w:ascii="仿宋" w:hAnsi="仿宋" w:eastAsia="仿宋"/>
          <w:b w:val="0"/>
          <w:bCs/>
          <w:color w:val="000000" w:themeColor="text1"/>
          <w:sz w:val="32"/>
          <w:szCs w:val="32"/>
          <w14:textFill>
            <w14:solidFill>
              <w14:schemeClr w14:val="tx1"/>
            </w14:solidFill>
          </w14:textFill>
        </w:rPr>
        <w:t>决算数</w:t>
      </w:r>
      <w:r>
        <w:rPr>
          <w:rStyle w:val="16"/>
          <w:rFonts w:hint="eastAsia" w:ascii="仿宋" w:hAnsi="仿宋" w:eastAsia="仿宋"/>
          <w:b w:val="0"/>
          <w:bCs/>
          <w:color w:val="000000" w:themeColor="text1"/>
          <w:sz w:val="32"/>
          <w:szCs w:val="32"/>
          <w:lang w:eastAsia="zh-CN"/>
          <w14:textFill>
            <w14:solidFill>
              <w14:schemeClr w14:val="tx1"/>
            </w14:solidFill>
          </w14:textFill>
        </w:rPr>
        <w:t>小</w:t>
      </w:r>
      <w:r>
        <w:rPr>
          <w:rStyle w:val="16"/>
          <w:rFonts w:hint="eastAsia" w:ascii="仿宋" w:hAnsi="仿宋" w:eastAsia="仿宋"/>
          <w:b w:val="0"/>
          <w:bCs/>
          <w:color w:val="000000" w:themeColor="text1"/>
          <w:sz w:val="32"/>
          <w:szCs w:val="32"/>
          <w14:textFill>
            <w14:solidFill>
              <w14:schemeClr w14:val="tx1"/>
            </w14:solidFill>
          </w14:textFill>
        </w:rPr>
        <w:t>于预算数的主要原因是</w:t>
      </w:r>
      <w:r>
        <w:rPr>
          <w:rStyle w:val="16"/>
          <w:rFonts w:hint="eastAsia" w:ascii="仿宋" w:hAnsi="仿宋" w:eastAsia="仿宋"/>
          <w:b w:val="0"/>
          <w:bCs/>
          <w:color w:val="000000" w:themeColor="text1"/>
          <w:sz w:val="32"/>
          <w:szCs w:val="32"/>
          <w:lang w:eastAsia="zh-CN"/>
          <w14:textFill>
            <w14:solidFill>
              <w14:schemeClr w14:val="tx1"/>
            </w14:solidFill>
          </w14:textFill>
        </w:rPr>
        <w:t>受政策影响，发放标准的调整。</w:t>
      </w:r>
    </w:p>
    <w:p>
      <w:pPr>
        <w:numPr>
          <w:ilvl w:val="0"/>
          <w:numId w:val="2"/>
        </w:numPr>
        <w:tabs>
          <w:tab w:val="clear" w:pos="312"/>
        </w:tabs>
        <w:spacing w:line="600" w:lineRule="exact"/>
        <w:ind w:left="0" w:leftChars="0" w:firstLine="321" w:firstLineChars="0"/>
        <w:rPr>
          <w:rStyle w:val="16"/>
          <w:rFonts w:ascii="仿宋" w:hAnsi="仿宋" w:eastAsia="仿宋"/>
          <w:b w:val="0"/>
          <w:bCs/>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hint="eastAsia" w:ascii="仿宋" w:hAnsi="仿宋" w:eastAsia="仿宋"/>
          <w:bCs/>
          <w:color w:val="000000" w:themeColor="text1"/>
          <w:sz w:val="32"/>
          <w:szCs w:val="32"/>
          <w:lang w:eastAsia="zh-CN"/>
          <w14:textFill>
            <w14:solidFill>
              <w14:schemeClr w14:val="tx1"/>
            </w14:solidFill>
          </w14:textFill>
        </w:rPr>
        <w:t>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行政事业单位医疗（款）公务员医疗补助项（项）</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支出决算为</w:t>
      </w:r>
      <w:r>
        <w:rPr>
          <w:rFonts w:hint="eastAsia" w:ascii="仿宋" w:eastAsia="仿宋" w:cs="Arial"/>
          <w:color w:val="000000" w:themeColor="text1"/>
          <w:sz w:val="32"/>
          <w:szCs w:val="22"/>
          <w:lang w:val="en-US" w:eastAsia="zh-CN"/>
          <w14:textFill>
            <w14:solidFill>
              <w14:schemeClr w14:val="tx1"/>
            </w14:solidFill>
          </w14:textFill>
        </w:rPr>
        <w:t>22.05</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numPr>
          <w:ilvl w:val="0"/>
          <w:numId w:val="2"/>
        </w:numPr>
        <w:tabs>
          <w:tab w:val="clear" w:pos="312"/>
        </w:tabs>
        <w:spacing w:line="600" w:lineRule="exact"/>
        <w:ind w:left="0" w:leftChars="0" w:firstLine="321" w:firstLineChars="0"/>
        <w:rPr>
          <w:rStyle w:val="16"/>
          <w:rFonts w:ascii="仿宋" w:hAnsi="仿宋" w:eastAsia="仿宋"/>
          <w:b w:val="0"/>
          <w:bCs/>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hint="eastAsia" w:ascii="仿宋" w:hAnsi="仿宋" w:eastAsia="仿宋"/>
          <w:bCs/>
          <w:color w:val="000000" w:themeColor="text1"/>
          <w:sz w:val="32"/>
          <w:szCs w:val="32"/>
          <w:lang w:eastAsia="zh-CN"/>
          <w14:textFill>
            <w14:solidFill>
              <w14:schemeClr w14:val="tx1"/>
            </w14:solidFill>
          </w14:textFill>
        </w:rPr>
        <w:t>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其他</w:t>
      </w: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hint="eastAsia" w:ascii="仿宋" w:hAnsi="仿宋" w:eastAsia="仿宋"/>
          <w:bCs/>
          <w:color w:val="000000" w:themeColor="text1"/>
          <w:sz w:val="32"/>
          <w:szCs w:val="32"/>
          <w:lang w:eastAsia="zh-CN"/>
          <w14:textFill>
            <w14:solidFill>
              <w14:schemeClr w14:val="tx1"/>
            </w14:solidFill>
          </w14:textFill>
        </w:rPr>
        <w:t>支出（款）其他</w:t>
      </w: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hint="eastAsia" w:ascii="仿宋" w:hAnsi="仿宋" w:eastAsia="仿宋"/>
          <w:bCs/>
          <w:color w:val="000000" w:themeColor="text1"/>
          <w:sz w:val="32"/>
          <w:szCs w:val="32"/>
          <w:lang w:eastAsia="zh-CN"/>
          <w14:textFill>
            <w14:solidFill>
              <w14:schemeClr w14:val="tx1"/>
            </w14:solidFill>
          </w14:textFill>
        </w:rPr>
        <w:t>支出（项）</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支出决算为</w:t>
      </w:r>
      <w:r>
        <w:rPr>
          <w:rFonts w:hint="eastAsia" w:ascii="仿宋" w:eastAsia="仿宋" w:cs="Arial"/>
          <w:color w:val="000000" w:themeColor="text1"/>
          <w:sz w:val="32"/>
          <w:szCs w:val="22"/>
          <w:lang w:val="en-US" w:eastAsia="zh-CN"/>
          <w14:textFill>
            <w14:solidFill>
              <w14:schemeClr w14:val="tx1"/>
            </w14:solidFill>
          </w14:textFill>
        </w:rPr>
        <w:t>8.93</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spacing w:line="600" w:lineRule="exact"/>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8.</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b/>
          <w:color w:val="000000" w:themeColor="text1"/>
          <w:sz w:val="32"/>
          <w:szCs w:val="32"/>
          <w14:textFill>
            <w14:solidFill>
              <w14:schemeClr w14:val="tx1"/>
            </w14:solidFill>
          </w14:textFill>
        </w:rPr>
        <w:t>住房保障支出</w:t>
      </w:r>
      <w:r>
        <w:rPr>
          <w:rStyle w:val="16"/>
          <w:rFonts w:hint="eastAsia" w:ascii="仿宋" w:hAnsi="仿宋" w:eastAsia="仿宋"/>
          <w:bCs/>
          <w:color w:val="000000" w:themeColor="text1"/>
          <w:sz w:val="32"/>
          <w:szCs w:val="32"/>
          <w14:textFill>
            <w14:solidFill>
              <w14:schemeClr w14:val="tx1"/>
            </w14:solidFill>
          </w14:textFill>
        </w:rPr>
        <w:t>（类）</w:t>
      </w:r>
      <w:r>
        <w:rPr>
          <w:rStyle w:val="16"/>
          <w:rFonts w:hint="eastAsia" w:ascii="仿宋" w:hAnsi="仿宋" w:eastAsia="仿宋"/>
          <w:bCs/>
          <w:color w:val="000000" w:themeColor="text1"/>
          <w:sz w:val="32"/>
          <w:szCs w:val="32"/>
          <w:lang w:eastAsia="zh-CN"/>
          <w14:textFill>
            <w14:solidFill>
              <w14:schemeClr w14:val="tx1"/>
            </w14:solidFill>
          </w14:textFill>
        </w:rPr>
        <w:t>住房改革支出（款）住房公积金（项）</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支出决算为</w:t>
      </w:r>
      <w:r>
        <w:rPr>
          <w:rStyle w:val="16"/>
          <w:rFonts w:ascii="仿宋" w:hAnsi="仿宋" w:eastAsia="仿宋"/>
          <w:b w:val="0"/>
          <w:bCs/>
          <w:color w:val="000000" w:themeColor="text1"/>
          <w:sz w:val="32"/>
          <w:szCs w:val="32"/>
          <w14:textFill>
            <w14:solidFill>
              <w14:schemeClr w14:val="tx1"/>
            </w14:solidFill>
          </w14:textFill>
        </w:rPr>
        <w:t>132.57</w:t>
      </w:r>
      <w:r>
        <w:rPr>
          <w:rStyle w:val="16"/>
          <w:rFonts w:hint="eastAsia" w:ascii="仿宋" w:hAnsi="仿宋" w:eastAsia="仿宋"/>
          <w:b w:val="0"/>
          <w:bCs/>
          <w:color w:val="000000" w:themeColor="text1"/>
          <w:sz w:val="32"/>
          <w:szCs w:val="32"/>
          <w14:textFill>
            <w14:solidFill>
              <w14:schemeClr w14:val="tx1"/>
            </w14:solidFill>
          </w14:textFill>
        </w:rPr>
        <w:t>万元，完成预算</w:t>
      </w:r>
      <w:r>
        <w:rPr>
          <w:rStyle w:val="16"/>
          <w:rFonts w:hint="eastAsia" w:ascii="仿宋" w:hAnsi="仿宋" w:eastAsia="仿宋"/>
          <w:b w:val="0"/>
          <w:bCs/>
          <w:color w:val="000000" w:themeColor="text1"/>
          <w:sz w:val="32"/>
          <w:szCs w:val="32"/>
          <w:lang w:val="en-US" w:eastAsia="zh-CN"/>
          <w14:textFill>
            <w14:solidFill>
              <w14:schemeClr w14:val="tx1"/>
            </w14:solidFill>
          </w14:textFill>
        </w:rPr>
        <w:t>90.62</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。决算数</w:t>
      </w:r>
      <w:r>
        <w:rPr>
          <w:rStyle w:val="16"/>
          <w:rFonts w:hint="eastAsia" w:ascii="仿宋" w:hAnsi="仿宋" w:eastAsia="仿宋"/>
          <w:b w:val="0"/>
          <w:bCs/>
          <w:color w:val="000000" w:themeColor="text1"/>
          <w:sz w:val="32"/>
          <w:szCs w:val="32"/>
          <w:lang w:eastAsia="zh-CN"/>
          <w14:textFill>
            <w14:solidFill>
              <w14:schemeClr w14:val="tx1"/>
            </w14:solidFill>
          </w14:textFill>
        </w:rPr>
        <w:t>小</w:t>
      </w:r>
      <w:r>
        <w:rPr>
          <w:rStyle w:val="16"/>
          <w:rFonts w:hint="eastAsia" w:ascii="仿宋" w:hAnsi="仿宋" w:eastAsia="仿宋"/>
          <w:b w:val="0"/>
          <w:bCs/>
          <w:color w:val="000000" w:themeColor="text1"/>
          <w:sz w:val="32"/>
          <w:szCs w:val="32"/>
          <w14:textFill>
            <w14:solidFill>
              <w14:schemeClr w14:val="tx1"/>
            </w14:solidFill>
          </w14:textFill>
        </w:rPr>
        <w:t>于预算数的主要原因是调整了住房公积金缴交基数以及补缴项目而产生的差异。</w:t>
      </w:r>
    </w:p>
    <w:p>
      <w:pPr>
        <w:tabs>
          <w:tab w:val="right" w:pos="8306"/>
        </w:tabs>
        <w:spacing w:line="600" w:lineRule="exact"/>
        <w:ind w:firstLine="640"/>
        <w:outlineLvl w:val="1"/>
        <w:rPr>
          <w:rStyle w:val="19"/>
        </w:rPr>
      </w:pPr>
      <w:bookmarkStart w:id="34" w:name="_Toc15377214"/>
      <w:bookmarkStart w:id="35" w:name="_Toc15396608"/>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w:t>
      </w:r>
      <w:r>
        <w:rPr>
          <w:rFonts w:hint="eastAsia" w:ascii="黑体" w:hAnsi="黑体" w:eastAsia="黑体"/>
          <w:b/>
          <w:color w:val="000000" w:themeColor="text1"/>
          <w:sz w:val="32"/>
          <w:szCs w:val="32"/>
          <w14:textFill>
            <w14:solidFill>
              <w14:schemeClr w14:val="tx1"/>
            </w14:solidFill>
          </w14:textFill>
        </w:rPr>
        <w:t>一</w:t>
      </w:r>
      <w:r>
        <w:rPr>
          <w:rStyle w:val="19"/>
          <w:rFonts w:hint="eastAsia" w:ascii="黑体" w:hAnsi="黑体" w:eastAsia="黑体"/>
          <w:b w:val="0"/>
          <w:color w:val="000000" w:themeColor="text1"/>
          <w14:textFill>
            <w14:solidFill>
              <w14:schemeClr w14:val="tx1"/>
            </w14:solidFill>
          </w14:textFill>
        </w:rPr>
        <w:t>般公共预算财政拨款基本支出决算情</w:t>
      </w:r>
      <w:r>
        <w:rPr>
          <w:rStyle w:val="19"/>
          <w:rFonts w:hint="eastAsia" w:ascii="黑体" w:hAnsi="黑体" w:eastAsia="黑体"/>
          <w:b w:val="0"/>
        </w:rPr>
        <w:t>况说明</w:t>
      </w:r>
      <w:bookmarkEnd w:id="34"/>
      <w:bookmarkEnd w:id="35"/>
      <w:r>
        <w:rPr>
          <w:rStyle w:val="1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2,094.64</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1924.71</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386.02万元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435.97万元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305.77万元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253.88万元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213.43万元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85.38万元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22.04万元、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70.33万元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2.48万元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2.00万元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14.64万元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132.57万元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169.93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9.92</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0.8</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8.93</w:t>
      </w:r>
      <w:r>
        <w:rPr>
          <w:rFonts w:hint="eastAsia" w:ascii="仿宋" w:hAnsi="仿宋" w:eastAsia="仿宋"/>
          <w:color w:val="000000"/>
          <w:sz w:val="32"/>
          <w:szCs w:val="32"/>
        </w:rPr>
        <w:t>、专用材料费</w:t>
      </w:r>
      <w:r>
        <w:rPr>
          <w:rFonts w:hint="eastAsia" w:ascii="仿宋" w:hAnsi="仿宋" w:eastAsia="仿宋"/>
          <w:color w:val="000000"/>
          <w:sz w:val="32"/>
          <w:szCs w:val="32"/>
          <w:lang w:val="en-US" w:eastAsia="zh-CN"/>
        </w:rPr>
        <w:t>13.92</w:t>
      </w:r>
      <w:r>
        <w:rPr>
          <w:rFonts w:hint="eastAsia" w:ascii="仿宋" w:hAnsi="仿宋" w:eastAsia="仿宋"/>
          <w:color w:val="000000"/>
          <w:sz w:val="32"/>
          <w:szCs w:val="32"/>
        </w:rPr>
        <w:t>、基础设施建设</w:t>
      </w:r>
      <w:r>
        <w:rPr>
          <w:rFonts w:hint="eastAsia" w:ascii="仿宋" w:hAnsi="仿宋" w:eastAsia="仿宋"/>
          <w:color w:val="000000"/>
          <w:sz w:val="32"/>
          <w:szCs w:val="32"/>
          <w:lang w:val="en-US" w:eastAsia="zh-CN"/>
        </w:rPr>
        <w:t>136.36</w:t>
      </w:r>
      <w:r>
        <w:rPr>
          <w:rFonts w:hint="eastAsia" w:ascii="仿宋" w:hAnsi="仿宋" w:eastAsia="仿宋"/>
          <w:color w:val="000000"/>
          <w:sz w:val="32"/>
          <w:szCs w:val="32"/>
        </w:rPr>
        <w:t>。</w:t>
      </w:r>
    </w:p>
    <w:p>
      <w:pPr>
        <w:spacing w:line="600" w:lineRule="exact"/>
        <w:ind w:firstLine="640"/>
        <w:outlineLvl w:val="1"/>
        <w:rPr>
          <w:rStyle w:val="19"/>
          <w:rFonts w:ascii="黑体" w:hAnsi="黑体" w:eastAsia="黑体"/>
          <w:b w:val="0"/>
        </w:rPr>
      </w:pPr>
      <w:bookmarkStart w:id="36" w:name="_Toc15396609"/>
      <w:bookmarkStart w:id="37" w:name="_Toc15377215"/>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36"/>
      <w:bookmarkEnd w:id="37"/>
    </w:p>
    <w:p>
      <w:pPr>
        <w:spacing w:line="600" w:lineRule="exact"/>
        <w:ind w:firstLine="640"/>
        <w:outlineLvl w:val="2"/>
        <w:rPr>
          <w:rFonts w:ascii="仿宋" w:hAnsi="仿宋" w:eastAsia="仿宋"/>
          <w:b/>
          <w:color w:val="000000"/>
          <w:sz w:val="32"/>
          <w:szCs w:val="32"/>
        </w:rPr>
      </w:pPr>
      <w:bookmarkStart w:id="38" w:name="_Toc15377216"/>
      <w:r>
        <w:rPr>
          <w:rFonts w:hint="eastAsia" w:ascii="仿宋" w:hAnsi="仿宋" w:eastAsia="仿宋"/>
          <w:b/>
          <w:color w:val="000000"/>
          <w:sz w:val="32"/>
          <w:szCs w:val="32"/>
        </w:rPr>
        <w:t>（一）“三公”经费财政拨款支出决算总体情况说明</w:t>
      </w:r>
      <w:bookmarkEnd w:id="38"/>
    </w:p>
    <w:p>
      <w:pPr>
        <w:spacing w:line="600" w:lineRule="exact"/>
        <w:ind w:firstLine="640"/>
        <w:rPr>
          <w:rFonts w:ascii="仿宋_GB2312"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0</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等于</w:t>
      </w:r>
      <w:r>
        <w:rPr>
          <w:rFonts w:hint="eastAsia" w:ascii="仿宋" w:hAnsi="仿宋" w:eastAsia="仿宋"/>
          <w:color w:val="000000"/>
          <w:sz w:val="32"/>
          <w:szCs w:val="32"/>
        </w:rPr>
        <w:t>预算数</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主要原因是</w:t>
      </w:r>
      <w:r>
        <w:rPr>
          <w:rFonts w:hint="eastAsia" w:ascii="仿宋_GB2312" w:eastAsia="仿宋"/>
          <w:color w:val="000000"/>
          <w:sz w:val="32"/>
          <w:szCs w:val="32"/>
        </w:rPr>
        <w:t>今年全县</w:t>
      </w:r>
      <w:r>
        <w:rPr>
          <w:rFonts w:hint="eastAsia" w:ascii="仿宋" w:hAnsi="仿宋" w:eastAsia="仿宋"/>
          <w:color w:val="000000"/>
          <w:sz w:val="32"/>
          <w:szCs w:val="32"/>
        </w:rPr>
        <w:t>“三公”经费</w:t>
      </w:r>
      <w:r>
        <w:rPr>
          <w:rFonts w:hint="eastAsia" w:ascii="仿宋_GB2312" w:eastAsia="仿宋"/>
          <w:color w:val="000000"/>
          <w:sz w:val="32"/>
          <w:szCs w:val="32"/>
        </w:rPr>
        <w:t>对严格把关，未安排此次项预算。</w:t>
      </w:r>
    </w:p>
    <w:p>
      <w:pPr>
        <w:spacing w:line="600" w:lineRule="exact"/>
        <w:ind w:firstLine="640"/>
        <w:outlineLvl w:val="2"/>
        <w:rPr>
          <w:rFonts w:ascii="仿宋" w:hAnsi="仿宋" w:eastAsia="仿宋"/>
          <w:b/>
          <w:color w:val="000000"/>
          <w:sz w:val="32"/>
          <w:szCs w:val="32"/>
        </w:rPr>
      </w:pPr>
      <w:bookmarkStart w:id="39" w:name="_Toc15377217"/>
      <w:r>
        <w:rPr>
          <w:rFonts w:hint="eastAsia" w:ascii="仿宋" w:hAnsi="仿宋" w:eastAsia="仿宋"/>
          <w:b/>
          <w:color w:val="000000"/>
          <w:sz w:val="32"/>
          <w:szCs w:val="32"/>
        </w:rPr>
        <w:t>（二）“三公”经费财政拨款支出决算具体情况说明</w:t>
      </w:r>
      <w:bookmarkEnd w:id="3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hAnsi="仿宋" w:eastAsia="仿宋"/>
          <w:bCs/>
          <w:color w:val="000000"/>
          <w:sz w:val="32"/>
          <w:szCs w:val="32"/>
        </w:rPr>
        <w:t>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0%</w:t>
      </w:r>
      <w:r>
        <w:rPr>
          <w:rFonts w:hint="eastAsia" w:ascii="仿宋_GB2312" w:eastAsia="仿宋_GB2312"/>
          <w:color w:val="000000"/>
          <w:sz w:val="32"/>
          <w:szCs w:val="32"/>
        </w:rPr>
        <w:t>。主要原因是全县未安排此项预算。</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hAnsi="仿宋" w:eastAsia="仿宋"/>
          <w:bCs/>
          <w:color w:val="000000"/>
          <w:sz w:val="32"/>
          <w:szCs w:val="32"/>
        </w:rPr>
        <w:t>完成预算</w:t>
      </w:r>
      <w:r>
        <w:rPr>
          <w:rStyle w:val="16"/>
          <w:rFonts w:ascii="仿宋" w:hAnsi="仿宋" w:eastAsia="仿宋"/>
          <w:bCs/>
          <w:color w:val="000000"/>
          <w:sz w:val="32"/>
          <w:szCs w:val="32"/>
        </w:rPr>
        <w:t>0%</w:t>
      </w:r>
      <w:r>
        <w:rPr>
          <w:rStyle w:val="16"/>
          <w:rFonts w:hint="eastAsia" w:ascii="仿宋" w:hAnsi="仿宋" w:eastAsia="仿宋"/>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2017</w:t>
      </w:r>
      <w:r>
        <w:rPr>
          <w:rFonts w:hint="eastAsia" w:ascii="仿宋_GB2312" w:eastAsia="仿宋_GB2312"/>
          <w:color w:val="000000"/>
          <w:sz w:val="32"/>
          <w:szCs w:val="32"/>
        </w:rPr>
        <w:t>年减少</w:t>
      </w:r>
      <w:r>
        <w:rPr>
          <w:rFonts w:ascii="仿宋_GB2312" w:eastAsia="仿宋_GB2312"/>
          <w:color w:val="000000"/>
          <w:sz w:val="32"/>
          <w:szCs w:val="32"/>
        </w:rPr>
        <w:t>0.5</w:t>
      </w:r>
      <w:r>
        <w:rPr>
          <w:rFonts w:hint="eastAsia" w:ascii="仿宋_GB2312" w:eastAsia="仿宋_GB2312"/>
          <w:color w:val="000000"/>
          <w:sz w:val="32"/>
          <w:szCs w:val="32"/>
        </w:rPr>
        <w:t>万元。主要原因是今年未购置车辆。</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GB2312" w:hAnsi="仿宋" w:eastAsia="仿宋-GB2312"/>
          <w:bCs/>
          <w:color w:val="000000"/>
          <w:sz w:val="32"/>
          <w:szCs w:val="32"/>
        </w:rPr>
        <w:t>完成预算</w:t>
      </w:r>
      <w:r>
        <w:rPr>
          <w:rStyle w:val="16"/>
          <w:rFonts w:ascii="仿宋-GB2312" w:hAnsi="仿宋" w:eastAsia="仿宋-GB2312"/>
          <w:bCs/>
          <w:color w:val="000000"/>
          <w:sz w:val="32"/>
          <w:szCs w:val="32"/>
        </w:rPr>
        <w:t>0%</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0%</w:t>
      </w:r>
      <w:r>
        <w:rPr>
          <w:rFonts w:hint="eastAsia" w:ascii="仿宋_GB2312" w:eastAsia="仿宋_GB2312"/>
          <w:color w:val="000000"/>
          <w:sz w:val="32"/>
          <w:szCs w:val="32"/>
        </w:rPr>
        <w:t>。主要原因是今年全县对公务接待费严格把关，未安排此次项预算。</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0</w:t>
      </w:r>
    </w:p>
    <w:p>
      <w:pPr>
        <w:spacing w:line="600" w:lineRule="exact"/>
        <w:ind w:firstLine="640"/>
        <w:rPr>
          <w:rFonts w:ascii="黑体" w:eastAsia="黑体"/>
          <w:color w:val="000000"/>
          <w:sz w:val="32"/>
          <w:szCs w:val="32"/>
        </w:rPr>
      </w:pPr>
      <w:r>
        <w:rPr>
          <w:rFonts w:hint="eastAsia" w:ascii="仿宋" w:hAnsi="仿宋" w:eastAsia="仿宋"/>
          <w:b/>
          <w:color w:val="000000"/>
          <w:sz w:val="32"/>
          <w:szCs w:val="32"/>
        </w:rPr>
        <w:t>其他国内公务接待支出</w:t>
      </w:r>
      <w:r>
        <w:rPr>
          <w:rFonts w:ascii="仿宋" w:hAnsi="仿宋" w:eastAsia="仿宋"/>
          <w:color w:val="000000"/>
          <w:sz w:val="32"/>
          <w:szCs w:val="32"/>
        </w:rPr>
        <w:t>0</w:t>
      </w:r>
      <w:r>
        <w:rPr>
          <w:rFonts w:hint="eastAsia" w:ascii="仿宋_GB2312" w:eastAsia="仿宋_GB2312"/>
          <w:color w:val="000000"/>
          <w:sz w:val="32"/>
          <w:szCs w:val="32"/>
        </w:rPr>
        <w:t>万元</w:t>
      </w:r>
      <w:bookmarkStart w:id="40" w:name="_Toc15377218"/>
      <w:bookmarkStart w:id="41" w:name="_Toc15396610"/>
      <w:r>
        <w:rPr>
          <w:rFonts w:hint="eastAsia" w:ascii="仿宋_GB2312" w:eastAsia="仿宋_GB2312"/>
          <w:color w:val="000000"/>
          <w:sz w:val="32"/>
          <w:szCs w:val="32"/>
        </w:rPr>
        <w:t>。</w:t>
      </w:r>
    </w:p>
    <w:p>
      <w:pPr>
        <w:spacing w:line="600" w:lineRule="exact"/>
        <w:ind w:firstLine="640"/>
        <w:outlineLvl w:val="1"/>
        <w:rPr>
          <w:rStyle w:val="19"/>
          <w:rFonts w:ascii="黑体" w:hAnsi="黑体" w:eastAsia="黑体"/>
        </w:rPr>
      </w:pPr>
      <w:r>
        <w:rPr>
          <w:rFonts w:hint="eastAsia" w:ascii="黑体" w:eastAsia="黑体"/>
          <w:color w:val="000000"/>
          <w:sz w:val="32"/>
          <w:szCs w:val="32"/>
        </w:rPr>
        <w:t>八、</w:t>
      </w:r>
      <w:r>
        <w:rPr>
          <w:rStyle w:val="19"/>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19"/>
          <w:rFonts w:ascii="黑体" w:hAnsi="黑体" w:eastAsia="黑体"/>
          <w:b w:val="0"/>
        </w:rPr>
      </w:pPr>
      <w:bookmarkStart w:id="42" w:name="_Toc15396611"/>
      <w:bookmarkStart w:id="43" w:name="_Toc15377219"/>
      <w:r>
        <w:rPr>
          <w:rStyle w:val="19"/>
          <w:rFonts w:hint="eastAsia" w:ascii="黑体" w:hAnsi="黑体" w:eastAsia="黑体"/>
          <w:b w:val="0"/>
        </w:rPr>
        <w:t>国有资本经营预算支出决算情况说明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Style w:val="29"/>
        <w:numPr>
          <w:ilvl w:val="0"/>
          <w:numId w:val="4"/>
        </w:numPr>
        <w:spacing w:line="580" w:lineRule="exact"/>
        <w:ind w:firstLineChars="0"/>
        <w:rPr>
          <w:rStyle w:val="19"/>
          <w:rFonts w:ascii="黑体" w:hAnsi="黑体" w:eastAsia="黑体"/>
          <w:b w:val="0"/>
        </w:rPr>
      </w:pPr>
      <w:r>
        <w:rPr>
          <w:rStyle w:val="19"/>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根据预算绩效管理要求，本部门（单位）在年初预算编制阶段，组织对心电图项目开展了预算事前绩效评估，对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adjustRightInd w:val="0"/>
        <w:snapToGrid w:val="0"/>
        <w:spacing w:line="580" w:lineRule="exact"/>
        <w:ind w:firstLine="960" w:firstLineChars="300"/>
        <w:rPr>
          <w:rFonts w:ascii="仿宋_GB2312" w:hAnsi="宋体" w:eastAsia="仿宋_GB2312" w:cs="仿宋_GB2312"/>
          <w:sz w:val="32"/>
          <w:szCs w:val="32"/>
          <w:lang w:val="zh-CN"/>
        </w:rPr>
      </w:pPr>
      <w:r>
        <w:rPr>
          <w:rFonts w:hint="eastAsia" w:ascii="仿宋" w:hAnsi="仿宋" w:eastAsia="仿宋" w:cs="仿宋"/>
          <w:b w:val="0"/>
          <w:bCs/>
          <w:sz w:val="32"/>
        </w:rPr>
        <w:t>本部门按要求对2018年部门整体支出开展绩效自评，从评价情况来看</w:t>
      </w:r>
      <w:r>
        <w:rPr>
          <w:rFonts w:hint="eastAsia" w:ascii="仿宋" w:hAnsi="仿宋" w:eastAsia="仿宋" w:cs="仿宋"/>
          <w:b w:val="0"/>
          <w:bCs/>
          <w:color w:val="000000"/>
          <w:sz w:val="32"/>
          <w:shd w:val="clear" w:color="auto" w:fill="FFFFFF"/>
        </w:rPr>
        <w:t>18年专项预算的业务经费已按用途拨付到位，无滞留挪用</w:t>
      </w:r>
      <w:r>
        <w:rPr>
          <w:rFonts w:hint="eastAsia" w:ascii="仿宋" w:hAnsi="仿宋" w:eastAsia="仿宋" w:cs="仿宋"/>
          <w:b w:val="0"/>
          <w:bCs/>
          <w:sz w:val="32"/>
        </w:rPr>
        <w:t>。本部门还自行组织了1个项目绩效评价，从评价情况来看</w:t>
      </w:r>
      <w:r>
        <w:rPr>
          <w:rFonts w:hint="eastAsia" w:ascii="仿宋" w:hAnsi="仿宋" w:eastAsia="仿宋" w:cs="仿宋"/>
          <w:sz w:val="32"/>
          <w:szCs w:val="32"/>
          <w:lang w:val="zh-CN"/>
        </w:rPr>
        <w:t>阿</w:t>
      </w:r>
      <w:r>
        <w:rPr>
          <w:rFonts w:hint="eastAsia" w:ascii="仿宋_GB2312" w:hAnsi="宋体" w:eastAsia="仿宋_GB2312" w:cs="仿宋_GB2312"/>
          <w:sz w:val="32"/>
          <w:szCs w:val="32"/>
          <w:lang w:val="zh-CN"/>
        </w:rPr>
        <w:t>州财社</w:t>
      </w:r>
      <w:r>
        <w:rPr>
          <w:rFonts w:ascii="仿宋_GB2312" w:hAnsi="宋体" w:eastAsia="仿宋_GB2312" w:cs="仿宋_GB2312"/>
          <w:sz w:val="32"/>
          <w:szCs w:val="32"/>
          <w:lang w:val="zh-CN"/>
        </w:rPr>
        <w:t>2018</w:t>
      </w:r>
      <w:r>
        <w:rPr>
          <w:rFonts w:hint="eastAsia" w:ascii="仿宋_GB2312" w:hAnsi="宋体" w:eastAsia="仿宋_GB2312" w:cs="仿宋_GB2312"/>
          <w:sz w:val="32"/>
          <w:szCs w:val="32"/>
          <w:lang w:val="zh-CN"/>
        </w:rPr>
        <w:t>【</w:t>
      </w:r>
      <w:r>
        <w:rPr>
          <w:rFonts w:ascii="仿宋_GB2312" w:hAnsi="宋体" w:eastAsia="仿宋_GB2312" w:cs="仿宋_GB2312"/>
          <w:sz w:val="32"/>
          <w:szCs w:val="32"/>
          <w:lang w:val="zh-CN"/>
        </w:rPr>
        <w:t>58</w:t>
      </w:r>
      <w:r>
        <w:rPr>
          <w:rFonts w:hint="eastAsia" w:ascii="仿宋_GB2312" w:hAnsi="宋体" w:eastAsia="仿宋_GB2312" w:cs="仿宋_GB2312"/>
          <w:sz w:val="32"/>
          <w:szCs w:val="32"/>
          <w:lang w:val="zh-CN"/>
        </w:rPr>
        <w:t>】号文件项目主要用于采购心电图等医疗设备</w:t>
      </w:r>
      <w:r>
        <w:rPr>
          <w:rFonts w:hint="eastAsia" w:ascii="仿宋_GB2312" w:hAnsi="宋体" w:eastAsia="仿宋_GB2312" w:cs="仿宋_GB2312"/>
          <w:sz w:val="32"/>
          <w:szCs w:val="32"/>
        </w:rPr>
        <w:t>来</w:t>
      </w:r>
      <w:r>
        <w:rPr>
          <w:rFonts w:hint="eastAsia" w:ascii="仿宋_GB2312" w:hAnsi="宋体" w:eastAsia="仿宋_GB2312" w:cs="仿宋_GB2312"/>
          <w:sz w:val="32"/>
          <w:szCs w:val="32"/>
          <w:lang w:val="zh-CN"/>
        </w:rPr>
        <w:t>提高医生诊断水平，能更完善的服务百姓；达到与我院心电诊疗系统无缝连接的目标；项目按照计划已顺利实施并按时完成。</w:t>
      </w:r>
    </w:p>
    <w:p>
      <w:pPr>
        <w:pStyle w:val="12"/>
        <w:shd w:val="clear" w:color="auto" w:fill="FFFFFF"/>
        <w:spacing w:before="0" w:beforeAutospacing="0" w:after="0" w:afterAutospacing="0" w:line="540" w:lineRule="exact"/>
        <w:ind w:firstLine="645"/>
        <w:rPr>
          <w:rFonts w:ascii="仿宋GB_2312" w:eastAsia="仿宋GB_2312"/>
          <w:b/>
          <w:color w:val="000000"/>
          <w:sz w:val="32"/>
          <w:szCs w:val="32"/>
        </w:rPr>
      </w:pPr>
      <w:r>
        <w:rPr>
          <w:rFonts w:hint="eastAsia" w:ascii="仿宋_GB2312" w:hAnsi="仿宋_GB2312" w:eastAsia="仿宋_GB2312" w:cs="仿宋_GB2312"/>
          <w:sz w:val="32"/>
          <w:szCs w:val="32"/>
          <w:lang w:val="zh-CN"/>
        </w:rPr>
        <w:t>项目实施后心电等诊疗系统的使用提高了我院医疗诊治水平，拓展了医疗技术范围，提高了我院医务人员的技术能力，而且价格合理对患者无损伤缓解了群众看病难的问题，得到了群众的一致好评，同时实现了全院电算化管理，进一步规范了医疗行为，为我院长期的可持续发展打下了坚实的基础，</w:t>
      </w:r>
      <w:r>
        <w:rPr>
          <w:rFonts w:hint="eastAsia" w:ascii="仿宋_GB2312" w:hAnsi="仿宋_GB2312" w:eastAsia="仿宋_GB2312" w:cs="仿宋_GB2312"/>
          <w:sz w:val="32"/>
          <w:szCs w:val="32"/>
        </w:rPr>
        <w:t>使我院知名度得到有效提升。</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年度部门决算中反映“心电会诊</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个项目绩效目标实际完成情况。公开内容包括完成情况综述和完成情况表）。</w:t>
      </w:r>
    </w:p>
    <w:p>
      <w:pPr>
        <w:adjustRightInd w:val="0"/>
        <w:snapToGrid w:val="0"/>
        <w:spacing w:line="580" w:lineRule="exact"/>
        <w:ind w:firstLine="640" w:firstLineChars="200"/>
        <w:rPr>
          <w:rFonts w:hint="eastAsia" w:ascii="仿宋_GB2312" w:hAnsi="宋体" w:eastAsia="仿宋_GB2312" w:cs="宋体"/>
          <w:kern w:val="0"/>
          <w:sz w:val="32"/>
        </w:rPr>
      </w:pPr>
      <w:r>
        <w:rPr>
          <w:rFonts w:hint="eastAsia" w:ascii="仿宋_GB2312" w:hAnsi="仿宋_GB2312" w:eastAsia="仿宋_GB2312" w:cs="仿宋_GB2312"/>
          <w:sz w:val="32"/>
          <w:szCs w:val="32"/>
        </w:rPr>
        <w:t>心电会诊项目绩效目标完成情况综述。项目全年预算数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94%</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zh-CN"/>
        </w:rPr>
        <w:t>提高了我院医疗诊治水平，拓展了医疗技术范围，提高了我院医务人员的技术能力，而且价格合理对患者无损伤缓解了群众看病难的问题，得到了群众的一致好评，同时实现了全院电算化管理，进一步规范了医疗行为，为我院长期的可持续发展打下了坚实的基础，</w:t>
      </w:r>
      <w:r>
        <w:rPr>
          <w:rFonts w:hint="eastAsia" w:ascii="仿宋_GB2312" w:hAnsi="仿宋_GB2312" w:eastAsia="仿宋_GB2312" w:cs="仿宋_GB2312"/>
          <w:sz w:val="32"/>
          <w:szCs w:val="32"/>
        </w:rPr>
        <w:t>使我院知名度得到有效提升。特别是为基层单位解决疑难病的诊断，正规治疗上的实际问题，让他们更信赖我院的医疗技术水平。而作为患者，在得到优质服务的同时，还大大降低医治费用，社会效益明解决病人看病难问题，减轻病人看病的负担</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发现的主要问题：</w:t>
      </w:r>
      <w:r>
        <w:rPr>
          <w:rFonts w:eastAsia="仿宋_GB2312"/>
          <w:color w:val="333333"/>
          <w:sz w:val="32"/>
          <w:szCs w:val="14"/>
          <w:shd w:val="clear" w:color="auto" w:fill="FFFFFF"/>
        </w:rPr>
        <w:t>1.</w:t>
      </w:r>
      <w:r>
        <w:rPr>
          <w:rFonts w:hint="eastAsia" w:eastAsia="仿宋_GB2312"/>
          <w:color w:val="333333"/>
          <w:sz w:val="32"/>
          <w:szCs w:val="14"/>
          <w:shd w:val="clear" w:color="auto" w:fill="FFFFFF"/>
        </w:rPr>
        <w:t>如医师不严格遵守相关规则制度或操作不熟练则会致心电图诊断错误</w:t>
      </w:r>
      <w:r>
        <w:rPr>
          <w:rFonts w:eastAsia="仿宋_GB2312"/>
          <w:color w:val="333333"/>
          <w:sz w:val="32"/>
          <w:szCs w:val="14"/>
          <w:shd w:val="clear" w:color="auto" w:fill="FFFFFF"/>
        </w:rPr>
        <w:t>,</w:t>
      </w:r>
      <w:r>
        <w:rPr>
          <w:rFonts w:hint="eastAsia" w:eastAsia="仿宋_GB2312"/>
          <w:color w:val="333333"/>
          <w:sz w:val="32"/>
          <w:szCs w:val="14"/>
          <w:shd w:val="clear" w:color="auto" w:fill="FFFFFF"/>
        </w:rPr>
        <w:t>给临床医师诊断疾病和制定治疗方案造成一定影响</w:t>
      </w:r>
      <w:r>
        <w:rPr>
          <w:rFonts w:eastAsia="仿宋_GB2312"/>
          <w:color w:val="333333"/>
          <w:sz w:val="32"/>
          <w:szCs w:val="14"/>
          <w:shd w:val="clear" w:color="auto" w:fill="FFFFFF"/>
        </w:rPr>
        <w:t>,</w:t>
      </w:r>
      <w:r>
        <w:rPr>
          <w:rFonts w:hint="eastAsia" w:eastAsia="仿宋_GB2312"/>
          <w:color w:val="333333"/>
          <w:sz w:val="32"/>
          <w:szCs w:val="14"/>
          <w:shd w:val="clear" w:color="auto" w:fill="FFFFFF"/>
        </w:rPr>
        <w:t>最终可能会影响患者诊疗结果。</w:t>
      </w:r>
      <w:r>
        <w:rPr>
          <w:rFonts w:eastAsia="仿宋_GB2312"/>
          <w:color w:val="333333"/>
          <w:sz w:val="32"/>
          <w:szCs w:val="14"/>
          <w:shd w:val="clear" w:color="auto" w:fill="FFFFFF"/>
        </w:rPr>
        <w:t>2.</w:t>
      </w:r>
      <w:r>
        <w:rPr>
          <w:rFonts w:ascii="宋体" w:hAnsi="宋体" w:cs="宋体"/>
          <w:kern w:val="0"/>
          <w:sz w:val="24"/>
        </w:rPr>
        <w:t xml:space="preserve"> </w:t>
      </w:r>
      <w:r>
        <w:rPr>
          <w:rFonts w:hint="eastAsia" w:ascii="仿宋_GB2312" w:hAnsi="宋体" w:eastAsia="仿宋_GB2312" w:cs="宋体"/>
          <w:kern w:val="0"/>
          <w:sz w:val="32"/>
        </w:rPr>
        <w:t>走纸不正常</w:t>
      </w:r>
      <w:r>
        <w:rPr>
          <w:rFonts w:hint="eastAsia" w:ascii="仿宋——GB2312" w:hAnsi="宋体" w:eastAsia="仿宋——GB2312" w:cs="宋体"/>
          <w:kern w:val="0"/>
          <w:sz w:val="32"/>
        </w:rPr>
        <w:t>、</w:t>
      </w:r>
      <w:r>
        <w:rPr>
          <w:rFonts w:hint="eastAsia" w:ascii="仿宋_GB2312" w:hAnsi="宋体" w:eastAsia="仿宋_GB2312" w:cs="宋体"/>
          <w:kern w:val="0"/>
          <w:sz w:val="32"/>
        </w:rPr>
        <w:t>信号干扰、接触不良、黑屏、不显示心电图谱等问题。</w:t>
      </w:r>
      <w:r>
        <w:rPr>
          <w:rFonts w:hint="eastAsia" w:ascii="仿宋_GB2312" w:hAnsi="仿宋_GB2312" w:eastAsia="仿宋_GB2312" w:cs="仿宋_GB2312"/>
          <w:sz w:val="32"/>
          <w:szCs w:val="32"/>
        </w:rPr>
        <w:t>下一步改进措施：</w:t>
      </w:r>
      <w:r>
        <w:rPr>
          <w:rFonts w:hint="eastAsia" w:ascii="仿宋_GB2312" w:hAnsi="宋体" w:eastAsia="仿宋_GB2312" w:cs="宋体"/>
          <w:kern w:val="0"/>
          <w:sz w:val="32"/>
        </w:rPr>
        <w:t>心电图机日常养护与检修过程中的注意事宜心电图机的存在使医院随时面临仪器保养与内部检修的问题</w:t>
      </w:r>
      <w:r>
        <w:rPr>
          <w:rFonts w:ascii="仿宋_GB2312" w:hAnsi="宋体" w:eastAsia="仿宋_GB2312" w:cs="宋体"/>
          <w:kern w:val="0"/>
          <w:sz w:val="32"/>
        </w:rPr>
        <w:t>,</w:t>
      </w:r>
      <w:r>
        <w:rPr>
          <w:rFonts w:hint="eastAsia" w:ascii="仿宋_GB2312" w:hAnsi="宋体" w:eastAsia="仿宋_GB2312" w:cs="宋体"/>
          <w:kern w:val="0"/>
          <w:sz w:val="32"/>
        </w:rPr>
        <w:t>这既需要医护人员在平时的使用过程中注意易损坏部件的保养</w:t>
      </w:r>
      <w:r>
        <w:rPr>
          <w:rFonts w:ascii="仿宋_GB2312" w:hAnsi="宋体" w:eastAsia="仿宋_GB2312" w:cs="宋体"/>
          <w:kern w:val="0"/>
          <w:sz w:val="32"/>
        </w:rPr>
        <w:t>,</w:t>
      </w:r>
      <w:r>
        <w:rPr>
          <w:rFonts w:hint="eastAsia" w:ascii="仿宋_GB2312" w:hAnsi="宋体" w:eastAsia="仿宋_GB2312" w:cs="宋体"/>
          <w:kern w:val="0"/>
          <w:sz w:val="32"/>
        </w:rPr>
        <w:t>还需要医院内部仪器维护人员进行相关的检修。</w:t>
      </w:r>
    </w:p>
    <w:tbl>
      <w:tblPr>
        <w:tblStyle w:val="13"/>
        <w:tblW w:w="9510" w:type="dxa"/>
        <w:tblInd w:w="0" w:type="dxa"/>
        <w:shd w:val="clear" w:color="auto" w:fill="auto"/>
        <w:tblLayout w:type="fixed"/>
        <w:tblCellMar>
          <w:top w:w="0" w:type="dxa"/>
          <w:left w:w="0" w:type="dxa"/>
          <w:bottom w:w="0" w:type="dxa"/>
          <w:right w:w="0" w:type="dxa"/>
        </w:tblCellMar>
      </w:tblPr>
      <w:tblGrid>
        <w:gridCol w:w="420"/>
        <w:gridCol w:w="608"/>
        <w:gridCol w:w="689"/>
        <w:gridCol w:w="449"/>
        <w:gridCol w:w="1183"/>
        <w:gridCol w:w="1667"/>
        <w:gridCol w:w="530"/>
        <w:gridCol w:w="719"/>
        <w:gridCol w:w="1098"/>
        <w:gridCol w:w="879"/>
        <w:gridCol w:w="779"/>
        <w:gridCol w:w="489"/>
      </w:tblGrid>
      <w:tr>
        <w:tblPrEx>
          <w:shd w:val="clear" w:color="auto" w:fill="auto"/>
          <w:tblCellMar>
            <w:top w:w="0" w:type="dxa"/>
            <w:left w:w="0" w:type="dxa"/>
            <w:bottom w:w="0" w:type="dxa"/>
            <w:right w:w="0" w:type="dxa"/>
          </w:tblCellMar>
        </w:tblPrEx>
        <w:trPr>
          <w:trHeight w:val="555" w:hRule="atLeast"/>
        </w:trPr>
        <w:tc>
          <w:tcPr>
            <w:tcW w:w="9510" w:type="dxa"/>
            <w:gridSpan w:val="12"/>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2018年红原县项目支出绩效评价得分情况表</w:t>
            </w:r>
          </w:p>
        </w:tc>
      </w:tr>
      <w:tr>
        <w:tblPrEx>
          <w:shd w:val="clear" w:color="auto" w:fill="auto"/>
          <w:tblCellMar>
            <w:top w:w="0" w:type="dxa"/>
            <w:left w:w="0" w:type="dxa"/>
            <w:bottom w:w="0" w:type="dxa"/>
            <w:right w:w="0" w:type="dxa"/>
          </w:tblCellMar>
        </w:tblPrEx>
        <w:trPr>
          <w:trHeight w:val="555"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2" name="直接连接符_8"/>
                  <wp:cNvGraphicFramePr/>
                  <a:graphic xmlns:a="http://schemas.openxmlformats.org/drawingml/2006/main">
                    <a:graphicData uri="http://schemas.openxmlformats.org/drawingml/2006/picture">
                      <pic:pic xmlns:pic="http://schemas.openxmlformats.org/drawingml/2006/picture">
                        <pic:nvPicPr>
                          <pic:cNvPr id="2" name="直接连接符_8"/>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3" name="直接连接符_9"/>
                  <wp:cNvGraphicFramePr/>
                  <a:graphic xmlns:a="http://schemas.openxmlformats.org/drawingml/2006/main">
                    <a:graphicData uri="http://schemas.openxmlformats.org/drawingml/2006/picture">
                      <pic:pic xmlns:pic="http://schemas.openxmlformats.org/drawingml/2006/picture">
                        <pic:nvPicPr>
                          <pic:cNvPr id="3" name="直接连接符_9"/>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4" name="直接连接符_7"/>
                  <wp:cNvGraphicFramePr/>
                  <a:graphic xmlns:a="http://schemas.openxmlformats.org/drawingml/2006/main">
                    <a:graphicData uri="http://schemas.openxmlformats.org/drawingml/2006/picture">
                      <pic:pic xmlns:pic="http://schemas.openxmlformats.org/drawingml/2006/picture">
                        <pic:nvPicPr>
                          <pic:cNvPr id="4" name="直接连接符_7"/>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lang w:val="en-US" w:eastAsia="zh-CN" w:bidi="ar"/>
              </w:rPr>
              <w:t>一级指标</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4005" w:type="dxa"/>
            <w:gridSpan w:val="5"/>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评分标准（得分比值）</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28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（公式计算结果＝x）</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差</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较差</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一般</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较好</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好</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28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0.3</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0.6</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0.8</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765"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项目决策（25分）</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绩效目标（6分）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0%＜x＜30%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30%≤x＜60%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68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不明确</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基本明确</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决策依据（10分）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无</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基本符合</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无</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75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不明确</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基本明确</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82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否</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82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分配结果（5分）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10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x＞35%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25%＜x≤35%</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15%＜x≤25%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5%＜x≤15%</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x≤5%</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186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不合理</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较合理</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660"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项目管理（15分）</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不及时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1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严重滞后</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滞后</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较滞后</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较及时</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（3分） </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否</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6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73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不规范</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较规范</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不规范</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较规范</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未履行</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8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x＞20%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20%≥x＞15%</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15%≥x＞10%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x≤5%</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76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不严格</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较严格</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3495675</wp:posOffset>
                  </wp:positionV>
                  <wp:extent cx="28575" cy="9525"/>
                  <wp:effectExtent l="0" t="0" r="0" b="0"/>
                  <wp:wrapNone/>
                  <wp:docPr id="5" name="直接连接符_6"/>
                  <wp:cNvGraphicFramePr/>
                  <a:graphic xmlns:a="http://schemas.openxmlformats.org/drawingml/2006/main">
                    <a:graphicData uri="http://schemas.openxmlformats.org/drawingml/2006/picture">
                      <pic:pic xmlns:pic="http://schemas.openxmlformats.org/drawingml/2006/picture">
                        <pic:nvPicPr>
                          <pic:cNvPr id="5"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3495675</wp:posOffset>
                  </wp:positionV>
                  <wp:extent cx="0" cy="9525"/>
                  <wp:effectExtent l="0" t="0" r="0" b="0"/>
                  <wp:wrapNone/>
                  <wp:docPr id="6" name="直接连接符_5"/>
                  <wp:cNvGraphicFramePr/>
                  <a:graphic xmlns:a="http://schemas.openxmlformats.org/drawingml/2006/main">
                    <a:graphicData uri="http://schemas.openxmlformats.org/drawingml/2006/picture">
                      <pic:pic xmlns:pic="http://schemas.openxmlformats.org/drawingml/2006/picture">
                        <pic:nvPicPr>
                          <pic:cNvPr id="6" name="直接连接符_5"/>
                          <pic:cNvPicPr/>
                        </pic:nvPicPr>
                        <pic:blipFill>
                          <a:blip r:embed="rId14"/>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lang w:val="en-US" w:eastAsia="zh-CN" w:bidi="ar"/>
              </w:rPr>
              <w:t>项目绩效（特性指标60分）</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项目完成（15分）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x＜85%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85%≤x＜90%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90%≤x＜95%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74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15%≥x＞10%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5%≥x＞0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6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15%≥x＞10%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5%≥x＞0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shd w:val="clear" w:color="auto" w:fill="auto"/>
          <w:tblCellMar>
            <w:top w:w="0" w:type="dxa"/>
            <w:left w:w="0" w:type="dxa"/>
            <w:bottom w:w="0" w:type="dxa"/>
            <w:right w:w="0" w:type="dxa"/>
          </w:tblCellMar>
        </w:tblPrEx>
        <w:trPr>
          <w:trHeight w:val="86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项目效益（40分）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84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shd w:val="clear" w:color="auto" w:fill="auto"/>
          <w:tblCellMar>
            <w:top w:w="0" w:type="dxa"/>
            <w:left w:w="0" w:type="dxa"/>
            <w:bottom w:w="0" w:type="dxa"/>
            <w:right w:w="0" w:type="dxa"/>
          </w:tblCellMar>
        </w:tblPrEx>
        <w:trPr>
          <w:trHeight w:val="106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满意度（5分）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tblPrEx>
          <w:shd w:val="clear" w:color="auto" w:fill="auto"/>
          <w:tblCellMar>
            <w:top w:w="0" w:type="dxa"/>
            <w:left w:w="0" w:type="dxa"/>
            <w:bottom w:w="0" w:type="dxa"/>
            <w:right w:w="0" w:type="dxa"/>
          </w:tblCellMar>
        </w:tblPrEx>
        <w:trPr>
          <w:trHeight w:val="5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both"/>
              <w:textAlignment w:val="bottom"/>
              <w:rPr>
                <w:rFonts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得分</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93</w:t>
            </w:r>
          </w:p>
        </w:tc>
      </w:tr>
    </w:tbl>
    <w:p>
      <w:pPr>
        <w:adjustRightInd w:val="0"/>
        <w:snapToGrid w:val="0"/>
        <w:spacing w:line="580" w:lineRule="exact"/>
        <w:ind w:firstLine="480" w:firstLineChars="200"/>
        <w:rPr>
          <w:rFonts w:ascii="宋体" w:cs="宋体"/>
          <w:kern w:val="0"/>
          <w:sz w:val="24"/>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年部门整体支出绩效评价情况开展自评，《部门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本部门自行组织对心电会诊项目开展了绩效评价，《心电会诊项目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年绩效评价报告》见附件。（非涉密部门均需公开部门整体支出</w:t>
      </w:r>
      <w:bookmarkStart w:id="68" w:name="_GoBack"/>
      <w:bookmarkEnd w:id="68"/>
      <w:r>
        <w:rPr>
          <w:rFonts w:hint="eastAsia" w:ascii="仿宋_GB2312" w:hAnsi="仿宋_GB2312" w:eastAsia="仿宋_GB2312" w:cs="仿宋_GB2312"/>
          <w:sz w:val="32"/>
          <w:szCs w:val="32"/>
        </w:rPr>
        <w:t>评价报告，部门自行组织的绩效评价情况根据部门实际公开）</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19"/>
          <w:rFonts w:ascii="黑体" w:hAnsi="黑体" w:eastAsia="黑体"/>
        </w:rPr>
      </w:pPr>
      <w:bookmarkStart w:id="44" w:name="_Toc15377221"/>
      <w:bookmarkStart w:id="45" w:name="_Toc15396612"/>
      <w:r>
        <w:rPr>
          <w:rFonts w:hint="eastAsia" w:ascii="黑体" w:hAnsi="黑体" w:eastAsia="黑体"/>
          <w:color w:val="000000"/>
          <w:sz w:val="32"/>
          <w:szCs w:val="32"/>
        </w:rPr>
        <w:t>十</w:t>
      </w:r>
      <w:r>
        <w:rPr>
          <w:rStyle w:val="19"/>
          <w:rFonts w:hint="eastAsia" w:ascii="黑体" w:hAnsi="黑体" w:eastAsia="黑体"/>
        </w:rPr>
        <w:t>一、</w:t>
      </w:r>
      <w:r>
        <w:rPr>
          <w:rStyle w:val="19"/>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color w:val="000000"/>
          <w:sz w:val="32"/>
          <w:szCs w:val="32"/>
        </w:rPr>
      </w:pPr>
      <w:bookmarkStart w:id="46" w:name="_Toc15377222"/>
      <w:r>
        <w:rPr>
          <w:rFonts w:hint="eastAsia" w:ascii="仿宋" w:hAnsi="仿宋" w:eastAsia="仿宋"/>
          <w:b/>
          <w:color w:val="000000"/>
          <w:sz w:val="32"/>
          <w:szCs w:val="32"/>
        </w:rPr>
        <w:t>（一）机关运行经费支出情况</w:t>
      </w:r>
      <w:bookmarkEnd w:id="46"/>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我单位为事业单位，</w:t>
      </w:r>
      <w:r>
        <w:rPr>
          <w:rFonts w:ascii="仿宋_GB2312" w:eastAsia="仿宋_GB2312"/>
          <w:color w:val="000000"/>
          <w:sz w:val="32"/>
          <w:szCs w:val="32"/>
        </w:rPr>
        <w:t>2018</w:t>
      </w:r>
      <w:r>
        <w:rPr>
          <w:rFonts w:hint="eastAsia" w:ascii="仿宋_GB2312" w:eastAsia="仿宋_GB2312"/>
          <w:color w:val="000000"/>
          <w:sz w:val="32"/>
          <w:szCs w:val="32"/>
        </w:rPr>
        <w:t>年，机关运行经费支出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2017</w:t>
      </w:r>
      <w:r>
        <w:rPr>
          <w:rFonts w:hint="eastAsia" w:ascii="仿宋_GB2312" w:eastAsia="仿宋_GB2312"/>
          <w:color w:val="000000"/>
          <w:sz w:val="32"/>
          <w:szCs w:val="32"/>
        </w:rPr>
        <w:t>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7" w:name="_Toc15377223"/>
      <w:r>
        <w:rPr>
          <w:rFonts w:hint="eastAsia" w:ascii="仿宋" w:hAnsi="仿宋" w:eastAsia="仿宋"/>
          <w:b/>
          <w:color w:val="000000"/>
          <w:sz w:val="32"/>
          <w:szCs w:val="32"/>
        </w:rPr>
        <w:t>（二）政府采购支出情况</w:t>
      </w:r>
      <w:bookmarkEnd w:id="4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年，红原县政府采购支出总额</w:t>
      </w:r>
      <w:r>
        <w:rPr>
          <w:rFonts w:ascii="仿宋_GB2312" w:eastAsia="仿宋_GB2312"/>
          <w:color w:val="000000"/>
          <w:sz w:val="32"/>
          <w:szCs w:val="32"/>
        </w:rPr>
        <w:t>67.3</w:t>
      </w:r>
      <w:r>
        <w:rPr>
          <w:rFonts w:hint="eastAsia" w:ascii="仿宋_GB2312" w:eastAsia="仿宋_GB2312"/>
          <w:color w:val="000000"/>
          <w:sz w:val="32"/>
          <w:szCs w:val="32"/>
        </w:rPr>
        <w:t>万元，其中：政府采购货物支出</w:t>
      </w:r>
      <w:r>
        <w:rPr>
          <w:rFonts w:ascii="仿宋_GB2312" w:eastAsia="仿宋_GB2312"/>
          <w:color w:val="000000"/>
          <w:sz w:val="32"/>
          <w:szCs w:val="32"/>
        </w:rPr>
        <w:t>67.3</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8" w:name="_Toc15377224"/>
      <w:r>
        <w:rPr>
          <w:rFonts w:hint="eastAsia" w:ascii="仿宋" w:hAnsi="仿宋" w:eastAsia="仿宋"/>
          <w:b/>
          <w:color w:val="000000"/>
          <w:sz w:val="32"/>
          <w:szCs w:val="32"/>
        </w:rPr>
        <w:t>（三）国有资产占有使用情况</w:t>
      </w:r>
      <w:bookmarkEnd w:id="48"/>
    </w:p>
    <w:p>
      <w:pPr>
        <w:autoSpaceDE w:val="0"/>
        <w:autoSpaceDN w:val="0"/>
        <w:adjustRightInd w:val="0"/>
        <w:spacing w:line="600" w:lineRule="exact"/>
        <w:ind w:firstLine="640" w:firstLineChars="200"/>
        <w:jc w:val="left"/>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截至</w:t>
      </w:r>
      <w:r>
        <w:rPr>
          <w:rFonts w:ascii="仿宋_GB2312" w:eastAsia="仿宋_GB2312"/>
          <w:color w:val="000000" w:themeColor="text1"/>
          <w:sz w:val="32"/>
          <w:szCs w:val="32"/>
          <w:highlight w:val="none"/>
          <w14:textFill>
            <w14:solidFill>
              <w14:schemeClr w14:val="tx1"/>
            </w14:solidFill>
          </w14:textFill>
        </w:rPr>
        <w:t>2018</w:t>
      </w:r>
      <w:r>
        <w:rPr>
          <w:rFonts w:hint="eastAsia" w:ascii="仿宋_GB2312" w:eastAsia="仿宋_GB2312"/>
          <w:color w:val="000000" w:themeColor="text1"/>
          <w:sz w:val="32"/>
          <w:szCs w:val="32"/>
          <w:highlight w:val="none"/>
          <w14:textFill>
            <w14:solidFill>
              <w14:schemeClr w14:val="tx1"/>
            </w14:solidFill>
          </w14:textFill>
        </w:rPr>
        <w:t>年</w:t>
      </w:r>
      <w:r>
        <w:rPr>
          <w:rFonts w:ascii="仿宋_GB2312" w:eastAsia="仿宋_GB2312"/>
          <w:color w:val="000000" w:themeColor="text1"/>
          <w:sz w:val="32"/>
          <w:szCs w:val="32"/>
          <w:highlight w:val="none"/>
          <w14:textFill>
            <w14:solidFill>
              <w14:schemeClr w14:val="tx1"/>
            </w14:solidFill>
          </w14:textFill>
        </w:rPr>
        <w:t>12</w:t>
      </w:r>
      <w:r>
        <w:rPr>
          <w:rFonts w:hint="eastAsia" w:ascii="仿宋_GB2312" w:eastAsia="仿宋_GB2312"/>
          <w:color w:val="000000" w:themeColor="text1"/>
          <w:sz w:val="32"/>
          <w:szCs w:val="32"/>
          <w:highlight w:val="none"/>
          <w14:textFill>
            <w14:solidFill>
              <w14:schemeClr w14:val="tx1"/>
            </w14:solidFill>
          </w14:textFill>
        </w:rPr>
        <w:t>月</w:t>
      </w:r>
      <w:r>
        <w:rPr>
          <w:rFonts w:ascii="仿宋_GB2312" w:eastAsia="仿宋_GB2312"/>
          <w:color w:val="000000" w:themeColor="text1"/>
          <w:sz w:val="32"/>
          <w:szCs w:val="32"/>
          <w:highlight w:val="none"/>
          <w14:textFill>
            <w14:solidFill>
              <w14:schemeClr w14:val="tx1"/>
            </w14:solidFill>
          </w14:textFill>
        </w:rPr>
        <w:t>31</w:t>
      </w:r>
      <w:r>
        <w:rPr>
          <w:rFonts w:hint="eastAsia" w:ascii="仿宋_GB2312" w:eastAsia="仿宋_GB2312"/>
          <w:color w:val="000000" w:themeColor="text1"/>
          <w:sz w:val="32"/>
          <w:szCs w:val="32"/>
          <w:highlight w:val="none"/>
          <w14:textFill>
            <w14:solidFill>
              <w14:schemeClr w14:val="tx1"/>
            </w14:solidFill>
          </w14:textFill>
        </w:rPr>
        <w:t>日，部级领导干部用车</w:t>
      </w:r>
      <w:r>
        <w:rPr>
          <w:rFonts w:ascii="仿宋_GB2312" w:eastAsia="仿宋_GB2312"/>
          <w:color w:val="000000" w:themeColor="text1"/>
          <w:sz w:val="32"/>
          <w:szCs w:val="32"/>
          <w:highlight w:val="none"/>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辆、一般公务用车</w:t>
      </w:r>
      <w:r>
        <w:rPr>
          <w:rFonts w:ascii="仿宋_GB2312" w:eastAsia="仿宋_GB2312"/>
          <w:color w:val="000000" w:themeColor="text1"/>
          <w:sz w:val="32"/>
          <w:szCs w:val="32"/>
          <w:highlight w:val="none"/>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辆、一般执法执勤用车</w:t>
      </w:r>
      <w:r>
        <w:rPr>
          <w:rFonts w:ascii="仿宋_GB2312" w:eastAsia="仿宋_GB2312"/>
          <w:color w:val="000000" w:themeColor="text1"/>
          <w:sz w:val="32"/>
          <w:szCs w:val="32"/>
          <w:highlight w:val="none"/>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辆、特种专业技术用车</w:t>
      </w:r>
      <w:r>
        <w:rPr>
          <w:rFonts w:ascii="仿宋_GB2312" w:eastAsia="仿宋_GB2312"/>
          <w:color w:val="000000" w:themeColor="text1"/>
          <w:sz w:val="32"/>
          <w:szCs w:val="32"/>
          <w:highlight w:val="none"/>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辆、其他用车</w:t>
      </w:r>
      <w:r>
        <w:rPr>
          <w:rFonts w:ascii="仿宋_GB2312" w:eastAsia="仿宋_GB2312"/>
          <w:color w:val="000000" w:themeColor="text1"/>
          <w:sz w:val="32"/>
          <w:szCs w:val="32"/>
          <w:highlight w:val="none"/>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辆，其他用车主要是用于业务用车。单价</w:t>
      </w:r>
      <w:r>
        <w:rPr>
          <w:rFonts w:ascii="仿宋_GB2312" w:eastAsia="仿宋_GB2312"/>
          <w:color w:val="000000" w:themeColor="text1"/>
          <w:sz w:val="32"/>
          <w:szCs w:val="32"/>
          <w:highlight w:val="none"/>
          <w14:textFill>
            <w14:solidFill>
              <w14:schemeClr w14:val="tx1"/>
            </w14:solidFill>
          </w14:textFill>
        </w:rPr>
        <w:t>50</w:t>
      </w:r>
      <w:r>
        <w:rPr>
          <w:rFonts w:hint="eastAsia" w:ascii="仿宋_GB2312" w:eastAsia="仿宋_GB2312"/>
          <w:color w:val="000000" w:themeColor="text1"/>
          <w:sz w:val="32"/>
          <w:szCs w:val="32"/>
          <w:highlight w:val="none"/>
          <w14:textFill>
            <w14:solidFill>
              <w14:schemeClr w14:val="tx1"/>
            </w14:solidFill>
          </w14:textFill>
        </w:rPr>
        <w:t>万元以上通用设备</w:t>
      </w:r>
      <w:r>
        <w:rPr>
          <w:rFonts w:ascii="仿宋_GB2312" w:eastAsia="仿宋_GB2312"/>
          <w:color w:val="000000" w:themeColor="text1"/>
          <w:sz w:val="32"/>
          <w:szCs w:val="32"/>
          <w:highlight w:val="none"/>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台（套），单价</w:t>
      </w:r>
      <w:r>
        <w:rPr>
          <w:rFonts w:ascii="仿宋_GB2312" w:eastAsia="仿宋_GB2312"/>
          <w:color w:val="000000" w:themeColor="text1"/>
          <w:sz w:val="32"/>
          <w:szCs w:val="32"/>
          <w:highlight w:val="none"/>
          <w14:textFill>
            <w14:solidFill>
              <w14:schemeClr w14:val="tx1"/>
            </w14:solidFill>
          </w14:textFill>
        </w:rPr>
        <w:t>100</w:t>
      </w:r>
      <w:r>
        <w:rPr>
          <w:rFonts w:hint="eastAsia" w:ascii="仿宋_GB2312" w:eastAsia="仿宋_GB2312"/>
          <w:color w:val="000000" w:themeColor="text1"/>
          <w:sz w:val="32"/>
          <w:szCs w:val="32"/>
          <w:highlight w:val="none"/>
          <w14:textFill>
            <w14:solidFill>
              <w14:schemeClr w14:val="tx1"/>
            </w14:solidFill>
          </w14:textFill>
        </w:rPr>
        <w:t>万元以上专用设备</w:t>
      </w:r>
      <w:r>
        <w:rPr>
          <w:rFonts w:ascii="仿宋_GB2312" w:eastAsia="仿宋_GB2312"/>
          <w:color w:val="000000" w:themeColor="text1"/>
          <w:sz w:val="32"/>
          <w:szCs w:val="32"/>
          <w:highlight w:val="none"/>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台（套）。</w:t>
      </w:r>
      <w:r>
        <w:rPr>
          <w:rFonts w:hint="eastAsia" w:ascii="仿宋_GB2312" w:eastAsia="仿宋_GB2312"/>
          <w:color w:val="000000" w:themeColor="text1"/>
          <w:sz w:val="32"/>
          <w:szCs w:val="32"/>
          <w:highlight w:val="none"/>
          <w:lang w:eastAsia="zh-CN"/>
          <w14:textFill>
            <w14:solidFill>
              <w14:schemeClr w14:val="tx1"/>
            </w14:solidFill>
          </w14:textFill>
        </w:rPr>
        <w:t>房屋办公用房</w:t>
      </w:r>
      <w:r>
        <w:rPr>
          <w:rFonts w:hint="eastAsia" w:ascii="仿宋_GB2312" w:eastAsia="仿宋_GB2312"/>
          <w:color w:val="000000" w:themeColor="text1"/>
          <w:sz w:val="32"/>
          <w:szCs w:val="32"/>
          <w:highlight w:val="none"/>
          <w:lang w:val="en-US" w:eastAsia="zh-CN"/>
          <w14:textFill>
            <w14:solidFill>
              <w14:schemeClr w14:val="tx1"/>
            </w14:solidFill>
          </w14:textFill>
        </w:rPr>
        <w:t>2373.55平方米，价值37.83万元，业务用房6080.49平方米，价值409.44万元。</w:t>
      </w:r>
    </w:p>
    <w:p>
      <w:pPr>
        <w:spacing w:line="600" w:lineRule="atLeast"/>
        <w:ind w:firstLine="643" w:firstLineChars="200"/>
        <w:rPr>
          <w:rFonts w:ascii="仿宋_GB2312" w:eastAsia="仿宋_GB2312"/>
          <w:b/>
          <w:color w:val="000000" w:themeColor="text1"/>
          <w:sz w:val="32"/>
          <w:szCs w:val="32"/>
          <w:highlight w:val="none"/>
          <w14:textFill>
            <w14:solidFill>
              <w14:schemeClr w14:val="tx1"/>
            </w14:solidFill>
          </w14:textFill>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18"/>
          <w:rFonts w:ascii="黑体" w:hAnsi="黑体" w:eastAsia="黑体"/>
          <w:b w:val="0"/>
        </w:rPr>
      </w:pPr>
      <w:bookmarkStart w:id="49" w:name="_Toc15396613"/>
      <w:bookmarkStart w:id="50" w:name="_Toc15377225"/>
      <w:r>
        <w:rPr>
          <w:rFonts w:hint="eastAsia" w:ascii="黑体" w:hAnsi="黑体" w:eastAsia="黑体"/>
          <w:b/>
          <w:color w:val="000000"/>
          <w:sz w:val="44"/>
          <w:szCs w:val="44"/>
        </w:rPr>
        <w:t>名</w:t>
      </w:r>
      <w:r>
        <w:rPr>
          <w:rStyle w:val="18"/>
          <w:rFonts w:hint="eastAsia" w:ascii="黑体" w:hAnsi="黑体" w:eastAsia="黑体"/>
          <w:b w:val="0"/>
        </w:rPr>
        <w:t>词解释</w:t>
      </w:r>
      <w:bookmarkEnd w:id="49"/>
      <w:bookmarkEnd w:id="50"/>
    </w:p>
    <w:p>
      <w:pPr>
        <w:spacing w:line="600" w:lineRule="exact"/>
        <w:jc w:val="left"/>
        <w:rPr>
          <w:rFonts w:ascii="宋体"/>
          <w:b/>
          <w:color w:val="000000"/>
          <w:sz w:val="44"/>
          <w:szCs w:val="44"/>
        </w:rPr>
      </w:pPr>
    </w:p>
    <w:p>
      <w:pPr>
        <w:pStyle w:val="2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1.财政拨款收入：指单位从同级财政部门取得的财政预算资金。</w:t>
      </w:r>
    </w:p>
    <w:p>
      <w:pPr>
        <w:pStyle w:val="2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2.事业收入：指所属事业单位开展专业业务活动及辅助活动所取得的收入。</w:t>
      </w:r>
    </w:p>
    <w:p>
      <w:pPr>
        <w:pStyle w:val="2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3.经营收入：指事业单位在专业业务活动及其辅助活动之外开展非独立核算经营活动取得的收入。如二级预算单位经营收入情况等。</w:t>
      </w:r>
    </w:p>
    <w:p>
      <w:pPr>
        <w:pStyle w:val="2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4.其他收入：指除上述“财政拨款收入”、“事业收入”、“事业单位经营收入”等以外的收入，主要是所属行政事业单位按规定动用的售房收入、存款利息收入等。 </w:t>
      </w:r>
    </w:p>
    <w:p>
      <w:pPr>
        <w:pStyle w:val="2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6.年初结转和结余：指以前年度尚未完成、结转到本年按有关规定继续使用的资金。 </w:t>
      </w:r>
    </w:p>
    <w:p>
      <w:pPr>
        <w:pStyle w:val="2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7.结余分配：指事业单位按照事业单位会计制度的规定从非财政补助结余中分配的事业基金和职工福利基金等。</w:t>
      </w:r>
    </w:p>
    <w:p>
      <w:pPr>
        <w:pStyle w:val="28"/>
        <w:spacing w:line="56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8、年末结转和结余：指单位按有关规定结转到下年或以后年度继</w:t>
      </w:r>
      <w:r>
        <w:rPr>
          <w:rFonts w:hint="eastAsia" w:ascii="仿宋_GB2312" w:hAnsi="仿宋_GB2312" w:eastAsia="仿宋_GB2312" w:cs="仿宋_GB2312"/>
          <w:b w:val="0"/>
          <w:bCs w:val="0"/>
          <w:color w:val="auto"/>
          <w:sz w:val="32"/>
          <w:szCs w:val="32"/>
        </w:rPr>
        <w:t>续使用的资金。</w:t>
      </w:r>
    </w:p>
    <w:p>
      <w:pPr>
        <w:ind w:firstLine="640" w:firstLineChars="200"/>
        <w:rPr>
          <w:rFonts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9</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基本支出：指为保障机构正常运转、完成日常工作任务而发生的人员支出和公用支出。</w:t>
      </w:r>
    </w:p>
    <w:p>
      <w:pPr>
        <w:ind w:firstLine="640" w:firstLineChars="200"/>
        <w:rPr>
          <w:rFonts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10</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项目支出：指在基本支出之外为完成特定行政任务和事业发展目标所发生的支出。</w:t>
      </w:r>
      <w:r>
        <w:rPr>
          <w:rFonts w:ascii="仿宋_GB2312" w:eastAsia="仿宋_GB2312"/>
          <w:b w:val="0"/>
          <w:bCs w:val="0"/>
          <w:color w:val="000000"/>
          <w:sz w:val="32"/>
          <w:szCs w:val="32"/>
        </w:rPr>
        <w:t xml:space="preserve"> </w:t>
      </w:r>
    </w:p>
    <w:p>
      <w:pPr>
        <w:ind w:firstLine="640" w:firstLineChars="200"/>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11</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经营支出：指事业单位在专业业务活动及其辅助活动之外开展非独立核算经营活动发生的支出。</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Style w:val="16"/>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12.</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行政事业单位离退休（款）机关事业单位基本养老保险缴费支出（项）：指反映机关事业单位和工作人员缴纳的基本养老保险支出。</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Style w:val="16"/>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13.</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行政事业单位离退休（款）机关事业单位职业年金缴费支出（项）</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指反映机关事业单位和工作人员缴纳的职业年金支出。</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Style w:val="16"/>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14.</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医疗卫生与计划生育</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公立医院（款）综合医院（项）</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指反映卫生健康、中医部门所属的城市综合医院、独立门诊、教学医院、疗养院和县医院的支出。</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Style w:val="16"/>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15.</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医疗卫生与计划生育</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公立医院（款）其他公立医院支出（项）</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指反映除上述项目以外的其他用于公立医院方面的支出。</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Style w:val="16"/>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16.</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医疗卫生与计划生育</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 xml:space="preserve">行政事业单位医疗（款）事业单位医疗（项） </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指反映财政部门安排的事业单位基本医疗保险缴费经费，未参加医疗保险的事业单位的公费医疗经费，按国家规定享受离休人员的医疗经费。</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Style w:val="16"/>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17.</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医疗卫生与计划生育</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行政事业单位医疗（款）公务员医疗补助项（项）</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指反映财政部门安排的公务员医疗补助经费。</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Style w:val="16"/>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18.</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医疗卫生与计划生育</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医疗卫生与计划生育</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支出（款）其他</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医疗卫生与计划生育</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支出（项）</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指反映除上述项目以外其他用于医疗卫生和计划生育方面的支出。</w:t>
      </w:r>
    </w:p>
    <w:p>
      <w:pPr>
        <w:ind w:firstLine="640" w:firstLineChars="200"/>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32"/>
          <w:szCs w:val="32"/>
          <w14:textFill>
            <w14:solidFill>
              <w14:schemeClr w14:val="tx1"/>
            </w14:solidFill>
          </w14:textFill>
        </w:rPr>
        <w:t>住房保障支出</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（类）</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住房改革支出（款）住房公积金（项）</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16"/>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指反映职工住房公积金支出。</w:t>
      </w:r>
    </w:p>
    <w:p>
      <w:pPr>
        <w:ind w:firstLine="640" w:firstLineChars="200"/>
        <w:rPr>
          <w:rFonts w:ascii="仿宋_GB2312" w:eastAsia="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“三公”经费：指部门用财政拨</w:t>
      </w:r>
      <w:r>
        <w:rPr>
          <w:rFonts w:hint="eastAsia" w:ascii="仿宋_GB2312" w:eastAsia="仿宋_GB2312"/>
          <w:sz w:val="32"/>
          <w:szCs w:val="32"/>
        </w:rPr>
        <w:t>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40" w:firstLineChars="200"/>
        <w:rPr>
          <w:rFonts w:ascii="仿宋_GB2312" w:eastAsia="仿宋_GB2312" w:cs="黑体"/>
          <w:sz w:val="32"/>
          <w:szCs w:val="32"/>
        </w:rPr>
      </w:pPr>
    </w:p>
    <w:p>
      <w:pPr>
        <w:spacing w:line="600" w:lineRule="exact"/>
        <w:jc w:val="center"/>
        <w:outlineLvl w:val="0"/>
        <w:rPr>
          <w:rStyle w:val="18"/>
          <w:rFonts w:ascii="黑体" w:hAnsi="黑体" w:eastAsia="黑体"/>
          <w:b w:val="0"/>
        </w:rPr>
      </w:pPr>
      <w:bookmarkStart w:id="51" w:name="_Toc15396614"/>
      <w:bookmarkStart w:id="52" w:name="_Toc15377226"/>
      <w:r>
        <w:rPr>
          <w:rFonts w:hint="eastAsia" w:ascii="黑体" w:hAnsi="黑体" w:eastAsia="黑体"/>
          <w:color w:val="000000"/>
          <w:sz w:val="44"/>
          <w:szCs w:val="44"/>
        </w:rPr>
        <w:t>第</w:t>
      </w:r>
      <w:r>
        <w:rPr>
          <w:rStyle w:val="18"/>
          <w:rFonts w:hint="eastAsia" w:ascii="黑体" w:hAnsi="黑体" w:eastAsia="黑体"/>
          <w:b w:val="0"/>
        </w:rPr>
        <w:t>四部分</w:t>
      </w:r>
      <w:r>
        <w:rPr>
          <w:rStyle w:val="18"/>
          <w:rFonts w:ascii="黑体" w:hAnsi="黑体" w:eastAsia="黑体"/>
          <w:b w:val="0"/>
        </w:rPr>
        <w:t xml:space="preserve"> </w:t>
      </w:r>
      <w:r>
        <w:rPr>
          <w:rStyle w:val="18"/>
          <w:rFonts w:hint="eastAsia" w:ascii="黑体" w:hAnsi="黑体" w:eastAsia="黑体"/>
          <w:b w:val="0"/>
        </w:rPr>
        <w:t>附件</w:t>
      </w:r>
      <w:bookmarkEnd w:id="51"/>
    </w:p>
    <w:p>
      <w:pPr>
        <w:spacing w:line="600" w:lineRule="exact"/>
        <w:jc w:val="center"/>
        <w:outlineLvl w:val="0"/>
        <w:rPr>
          <w:rStyle w:val="18"/>
        </w:rPr>
      </w:pPr>
    </w:p>
    <w:p>
      <w:pPr>
        <w:pStyle w:val="3"/>
        <w:rPr>
          <w:rStyle w:val="18"/>
          <w:rFonts w:ascii="仿宋" w:hAnsi="仿宋" w:eastAsia="仿宋"/>
          <w:b w:val="0"/>
          <w:bCs w:val="0"/>
          <w:sz w:val="32"/>
          <w:szCs w:val="32"/>
        </w:rPr>
      </w:pPr>
      <w:bookmarkStart w:id="53" w:name="_Toc15396615"/>
      <w:r>
        <w:rPr>
          <w:rStyle w:val="18"/>
          <w:rFonts w:hint="eastAsia" w:ascii="仿宋" w:hAnsi="仿宋" w:eastAsia="仿宋"/>
          <w:b w:val="0"/>
          <w:bCs w:val="0"/>
          <w:sz w:val="32"/>
          <w:szCs w:val="32"/>
        </w:rPr>
        <w:t>附件</w:t>
      </w:r>
      <w:r>
        <w:rPr>
          <w:rStyle w:val="18"/>
          <w:rFonts w:ascii="仿宋" w:hAnsi="仿宋" w:eastAsia="仿宋"/>
          <w:b w:val="0"/>
          <w:bCs w:val="0"/>
          <w:sz w:val="32"/>
          <w:szCs w:val="32"/>
        </w:rPr>
        <w:t>1</w:t>
      </w:r>
      <w:bookmarkEnd w:id="53"/>
    </w:p>
    <w:p>
      <w:pPr>
        <w:widowControl/>
        <w:spacing w:line="480" w:lineRule="exact"/>
        <w:jc w:val="center"/>
        <w:rPr>
          <w:rFonts w:ascii="方正小标宋简体" w:hAnsi="宋体" w:eastAsia="方正小标宋简体" w:cs="方正小标宋简体"/>
          <w:sz w:val="44"/>
          <w:szCs w:val="44"/>
        </w:rPr>
      </w:pPr>
      <w:bookmarkStart w:id="54" w:name="_Toc15396617"/>
      <w:r>
        <w:rPr>
          <w:rFonts w:hint="eastAsia" w:ascii="方正小标宋简体" w:hAnsi="宋体" w:eastAsia="方正小标宋简体" w:cs="方正小标宋简体"/>
          <w:sz w:val="44"/>
          <w:szCs w:val="44"/>
        </w:rPr>
        <w:t>部门整体支出绩效报告</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snapToGrid w:val="0"/>
        <w:spacing w:line="540" w:lineRule="exact"/>
        <w:ind w:firstLine="640" w:firstLineChars="200"/>
        <w:rPr>
          <w:rFonts w:ascii="仿宋_GB2312" w:hAnsi="仿宋_GB2312" w:eastAsia="仿宋_GB2312" w:cs="仿宋_GB2312"/>
          <w:color w:val="000000"/>
          <w:sz w:val="32"/>
          <w:szCs w:val="32"/>
        </w:rPr>
      </w:pPr>
      <w:r>
        <w:rPr>
          <w:rFonts w:hint="eastAsia" w:ascii="仿宋_GB2312" w:hAnsi="宋体" w:eastAsia="仿宋_GB2312" w:cs="宋体"/>
          <w:color w:val="000000"/>
          <w:kern w:val="0"/>
          <w:sz w:val="32"/>
          <w:lang w:val="zh-CN"/>
        </w:rPr>
        <w:t>（一）机构组成。</w:t>
      </w:r>
      <w:r>
        <w:rPr>
          <w:rFonts w:hint="eastAsia" w:ascii="仿宋_GB2312" w:hAnsi="仿宋_GB2312" w:eastAsia="仿宋_GB2312" w:cs="仿宋_GB2312"/>
          <w:color w:val="000000"/>
          <w:sz w:val="32"/>
          <w:szCs w:val="32"/>
        </w:rPr>
        <w:t>红原县县医院是红原县卫生和计划生育局下属的二级单位，是</w:t>
      </w:r>
      <w:r>
        <w:rPr>
          <w:rFonts w:hint="eastAsia" w:ascii="仿宋_GB2312" w:hAnsi="仿宋_GB2312" w:eastAsia="仿宋_GB2312" w:cs="仿宋_GB2312"/>
          <w:color w:val="000000"/>
          <w:sz w:val="32"/>
          <w:szCs w:val="32"/>
          <w:lang w:val="en-US" w:eastAsia="zh-CN"/>
        </w:rPr>
        <w:t>全</w:t>
      </w:r>
      <w:r>
        <w:rPr>
          <w:rFonts w:hint="eastAsia" w:ascii="仿宋_GB2312" w:hAnsi="仿宋_GB2312" w:eastAsia="仿宋_GB2312" w:cs="仿宋_GB2312"/>
          <w:color w:val="000000"/>
          <w:sz w:val="32"/>
          <w:szCs w:val="32"/>
        </w:rPr>
        <w:t>额拨款的事业单位。</w:t>
      </w:r>
    </w:p>
    <w:p>
      <w:pPr>
        <w:snapToGrid w:val="0"/>
        <w:spacing w:line="540" w:lineRule="exact"/>
        <w:ind w:firstLine="640" w:firstLineChars="200"/>
        <w:rPr>
          <w:rFonts w:ascii="仿宋_GB2312" w:hAnsi="仿宋_GB2312" w:eastAsia="仿宋_GB2312" w:cs="仿宋_GB2312"/>
          <w:sz w:val="32"/>
          <w:szCs w:val="32"/>
        </w:rPr>
      </w:pPr>
      <w:r>
        <w:rPr>
          <w:rFonts w:hint="eastAsia" w:ascii="仿宋_GB2312" w:hAnsi="宋体" w:eastAsia="仿宋_GB2312" w:cs="宋体"/>
          <w:color w:val="000000"/>
          <w:kern w:val="0"/>
          <w:sz w:val="32"/>
          <w:lang w:val="zh-CN"/>
        </w:rPr>
        <w:t>（二）机构职能。</w:t>
      </w:r>
      <w:r>
        <w:rPr>
          <w:rFonts w:hint="eastAsia" w:ascii="仿宋_GB2312" w:hAnsi="仿宋_GB2312" w:eastAsia="仿宋_GB2312" w:cs="仿宋_GB2312"/>
          <w:color w:val="000000"/>
          <w:kern w:val="0"/>
          <w:sz w:val="32"/>
          <w:szCs w:val="32"/>
        </w:rPr>
        <w:t>我院属二级预算单位</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个。红原县县医院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1958</w:t>
      </w:r>
      <w:r>
        <w:rPr>
          <w:rFonts w:hint="eastAsia" w:ascii="仿宋_GB2312" w:hAnsi="仿宋_GB2312" w:eastAsia="仿宋_GB2312" w:cs="仿宋_GB2312"/>
          <w:sz w:val="32"/>
          <w:szCs w:val="32"/>
        </w:rPr>
        <w:t>年正式成立，于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年达标为“二级甲</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”综合医院占地面积</w:t>
      </w:r>
      <w:r>
        <w:rPr>
          <w:rFonts w:ascii="仿宋_GB2312" w:hAnsi="仿宋_GB2312" w:eastAsia="仿宋_GB2312" w:cs="仿宋_GB2312"/>
          <w:sz w:val="32"/>
          <w:szCs w:val="32"/>
        </w:rPr>
        <w:t>19400.2</w:t>
      </w:r>
      <w:r>
        <w:rPr>
          <w:rFonts w:hint="eastAsia" w:ascii="仿宋_GB2312" w:hAnsi="仿宋_GB2312" w:eastAsia="仿宋_GB2312" w:cs="仿宋_GB2312"/>
          <w:sz w:val="32"/>
          <w:szCs w:val="32"/>
        </w:rPr>
        <w:t>平方米。开设有内科、外科、妇产科、儿科、急诊科、五官科、口腔科、麻醉科、中医科等一级临床科室。药剂科、医学检验科（输血科）、医学影像科、手术室、消毒供应室、超声科、心电图室等医技科室。</w:t>
      </w:r>
    </w:p>
    <w:p>
      <w:pPr>
        <w:snapToGrid w:val="0"/>
        <w:spacing w:line="540" w:lineRule="exact"/>
        <w:ind w:firstLine="640" w:firstLineChars="200"/>
        <w:rPr>
          <w:rFonts w:ascii="仿宋_GB2312" w:hAnsi="仿宋_GB2312" w:eastAsia="仿宋_GB2312" w:cs="仿宋_GB2312"/>
          <w:color w:val="000000"/>
          <w:sz w:val="32"/>
          <w:szCs w:val="32"/>
        </w:rPr>
      </w:pPr>
      <w:r>
        <w:rPr>
          <w:rFonts w:hint="eastAsia" w:ascii="仿宋_GB2312" w:hAnsi="宋体" w:eastAsia="仿宋_GB2312" w:cs="宋体"/>
          <w:color w:val="000000"/>
          <w:kern w:val="0"/>
          <w:sz w:val="32"/>
          <w:lang w:val="zh-CN"/>
        </w:rPr>
        <w:t>（三）人员概况。</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本单位年末编制人数</w:t>
      </w:r>
      <w:r>
        <w:rPr>
          <w:rFonts w:ascii="仿宋_GB2312" w:hAnsi="仿宋_GB2312" w:eastAsia="仿宋_GB2312" w:cs="仿宋_GB2312"/>
          <w:color w:val="000000"/>
          <w:sz w:val="32"/>
          <w:szCs w:val="32"/>
        </w:rPr>
        <w:t>122</w:t>
      </w:r>
      <w:r>
        <w:rPr>
          <w:rFonts w:hint="eastAsia" w:ascii="仿宋_GB2312" w:hAnsi="仿宋_GB2312" w:eastAsia="仿宋_GB2312" w:cs="仿宋_GB2312"/>
          <w:color w:val="000000"/>
          <w:sz w:val="32"/>
          <w:szCs w:val="32"/>
        </w:rPr>
        <w:t>人，全部为事业编制；实有人数</w:t>
      </w:r>
      <w:r>
        <w:rPr>
          <w:rFonts w:ascii="仿宋_GB2312" w:hAnsi="仿宋_GB2312" w:eastAsia="仿宋_GB2312" w:cs="仿宋_GB2312"/>
          <w:color w:val="000000"/>
          <w:sz w:val="32"/>
          <w:szCs w:val="32"/>
        </w:rPr>
        <w:t>117</w:t>
      </w:r>
      <w:r>
        <w:rPr>
          <w:rFonts w:hint="eastAsia" w:ascii="仿宋_GB2312" w:hAnsi="仿宋_GB2312" w:eastAsia="仿宋_GB2312" w:cs="仿宋_GB2312"/>
          <w:color w:val="000000"/>
          <w:sz w:val="32"/>
          <w:szCs w:val="32"/>
        </w:rPr>
        <w:t>人，其中：专业技术人员</w:t>
      </w:r>
      <w:r>
        <w:rPr>
          <w:rFonts w:ascii="仿宋_GB2312" w:hAnsi="仿宋_GB2312" w:eastAsia="仿宋_GB2312" w:cs="仿宋_GB2312"/>
          <w:color w:val="000000"/>
          <w:sz w:val="32"/>
          <w:szCs w:val="32"/>
        </w:rPr>
        <w:t>107</w:t>
      </w:r>
      <w:r>
        <w:rPr>
          <w:rFonts w:hint="eastAsia" w:ascii="仿宋_GB2312" w:hAnsi="仿宋_GB2312" w:eastAsia="仿宋_GB2312" w:cs="仿宋_GB2312"/>
          <w:color w:val="000000"/>
          <w:sz w:val="32"/>
          <w:szCs w:val="32"/>
        </w:rPr>
        <w:t>人，管理人员</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人，工人</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人。</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本单位年末一般公共预算财政拨款（补助）开支本年人数</w:t>
      </w:r>
      <w:r>
        <w:rPr>
          <w:rFonts w:ascii="仿宋_GB2312" w:hAnsi="仿宋_GB2312" w:eastAsia="仿宋_GB2312" w:cs="仿宋_GB2312"/>
          <w:color w:val="000000"/>
          <w:sz w:val="32"/>
          <w:szCs w:val="32"/>
        </w:rPr>
        <w:t>117</w:t>
      </w:r>
      <w:r>
        <w:rPr>
          <w:rFonts w:hint="eastAsia" w:ascii="仿宋_GB2312" w:hAnsi="仿宋_GB2312" w:eastAsia="仿宋_GB2312" w:cs="仿宋_GB2312"/>
          <w:color w:val="000000"/>
          <w:sz w:val="32"/>
          <w:szCs w:val="32"/>
        </w:rPr>
        <w:t>人。</w:t>
      </w:r>
    </w:p>
    <w:p>
      <w:pPr>
        <w:snapToGrid w:val="0"/>
        <w:spacing w:line="540" w:lineRule="exact"/>
        <w:ind w:firstLine="640" w:firstLineChars="200"/>
        <w:rPr>
          <w:rFonts w:ascii="仿宋_GB2312" w:hAnsi="仿宋_GB2312" w:eastAsia="仿宋_GB2312" w:cs="仿宋_GB2312"/>
          <w:color w:val="000000"/>
          <w:sz w:val="32"/>
          <w:szCs w:val="32"/>
        </w:rPr>
      </w:pP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ascii="仿宋_GB2312" w:eastAsia="仿宋_GB2312"/>
          <w:color w:val="000000"/>
          <w:sz w:val="32"/>
          <w:szCs w:val="32"/>
        </w:rPr>
        <w:t>2018</w:t>
      </w:r>
      <w:r>
        <w:rPr>
          <w:rFonts w:hint="eastAsia" w:ascii="仿宋_GB2312" w:eastAsia="仿宋_GB2312"/>
          <w:color w:val="000000"/>
          <w:sz w:val="32"/>
          <w:szCs w:val="32"/>
        </w:rPr>
        <w:t>年县医院本年收入合计</w:t>
      </w:r>
      <w:r>
        <w:rPr>
          <w:rFonts w:ascii="仿宋_GB2312" w:eastAsia="仿宋_GB2312"/>
          <w:color w:val="000000"/>
          <w:sz w:val="32"/>
          <w:szCs w:val="32"/>
        </w:rPr>
        <w:t>21,237,496.88</w:t>
      </w:r>
      <w:r>
        <w:rPr>
          <w:rFonts w:hint="eastAsia" w:ascii="仿宋_GB2312" w:eastAsia="仿宋_GB2312"/>
          <w:color w:val="000000"/>
          <w:sz w:val="32"/>
          <w:szCs w:val="32"/>
        </w:rPr>
        <w:t>元，其中：一般公共预算财政拨款收入</w:t>
      </w:r>
      <w:r>
        <w:rPr>
          <w:rFonts w:ascii="仿宋_GB2312" w:eastAsia="仿宋_GB2312"/>
          <w:color w:val="000000"/>
          <w:sz w:val="32"/>
          <w:szCs w:val="32"/>
        </w:rPr>
        <w:t>21,237,496.88</w:t>
      </w:r>
      <w:r>
        <w:rPr>
          <w:rFonts w:hint="eastAsia" w:ascii="仿宋_GB2312" w:eastAsia="仿宋_GB2312"/>
          <w:color w:val="000000"/>
          <w:sz w:val="32"/>
          <w:szCs w:val="32"/>
        </w:rPr>
        <w:t>元，占</w:t>
      </w:r>
      <w:r>
        <w:rPr>
          <w:rFonts w:ascii="仿宋_GB2312" w:eastAsia="仿宋_GB2312"/>
          <w:color w:val="000000"/>
          <w:sz w:val="32"/>
          <w:szCs w:val="32"/>
        </w:rPr>
        <w:t>100%</w:t>
      </w:r>
      <w:r>
        <w:rPr>
          <w:rFonts w:hint="eastAsia" w:ascii="仿宋_GB2312" w:eastAsia="仿宋_GB2312"/>
          <w:color w:val="000000"/>
          <w:sz w:val="32"/>
          <w:szCs w:val="32"/>
        </w:rPr>
        <w:t>；政府性基金预算财政拨款收入</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Fonts w:hint="eastAsia" w:ascii="仿宋_GB2312" w:eastAsia="仿宋_GB2312"/>
          <w:color w:val="000000"/>
          <w:sz w:val="32"/>
          <w:szCs w:val="32"/>
        </w:rPr>
        <w:t>；国有资本经营预算财政拨款收入</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Fonts w:hint="eastAsia" w:ascii="仿宋_GB2312" w:eastAsia="仿宋_GB2312"/>
          <w:color w:val="000000"/>
          <w:sz w:val="32"/>
          <w:szCs w:val="32"/>
        </w:rPr>
        <w:t>；事业收入</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Fonts w:hint="eastAsia" w:ascii="仿宋_GB2312" w:eastAsia="仿宋_GB2312"/>
          <w:color w:val="000000"/>
          <w:sz w:val="32"/>
          <w:szCs w:val="32"/>
        </w:rPr>
        <w:t>；经营收入</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Fonts w:hint="eastAsia" w:ascii="仿宋_GB2312" w:eastAsia="仿宋_GB2312"/>
          <w:color w:val="000000"/>
          <w:sz w:val="32"/>
          <w:szCs w:val="32"/>
        </w:rPr>
        <w:t>；附属单位上缴收入</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Fonts w:hint="eastAsia" w:ascii="仿宋_GB2312" w:eastAsia="仿宋_GB2312"/>
          <w:color w:val="000000"/>
          <w:sz w:val="32"/>
          <w:szCs w:val="32"/>
        </w:rPr>
        <w:t>；其他收入</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Fonts w:hint="eastAsia" w:ascii="仿宋_GB2312" w:eastAsia="仿宋_GB2312"/>
          <w:color w:val="000000"/>
          <w:sz w:val="32"/>
          <w:szCs w:val="32"/>
        </w:rPr>
        <w:t>。上年结转结余</w:t>
      </w:r>
      <w:r>
        <w:rPr>
          <w:rFonts w:ascii="仿宋_GB2312" w:eastAsia="仿宋_GB2312"/>
          <w:color w:val="000000"/>
          <w:sz w:val="32"/>
          <w:szCs w:val="32"/>
        </w:rPr>
        <w:t>0</w:t>
      </w:r>
      <w:r>
        <w:rPr>
          <w:rFonts w:hint="eastAsia" w:ascii="仿宋_GB2312" w:eastAsia="仿宋_GB2312"/>
          <w:color w:val="000000"/>
          <w:sz w:val="32"/>
          <w:szCs w:val="32"/>
        </w:rPr>
        <w:t>元。</w:t>
      </w:r>
    </w:p>
    <w:p>
      <w:pPr>
        <w:spacing w:line="560" w:lineRule="exact"/>
        <w:ind w:firstLine="64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（二）部门财政资金支出情况。</w:t>
      </w:r>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年一般公共预算财政拨款支出</w:t>
      </w:r>
      <w:r>
        <w:rPr>
          <w:rFonts w:ascii="仿宋_GB2312" w:eastAsia="仿宋_GB2312"/>
          <w:color w:val="000000"/>
          <w:sz w:val="32"/>
          <w:szCs w:val="32"/>
        </w:rPr>
        <w:t>20,946,470.87</w:t>
      </w:r>
      <w:r>
        <w:rPr>
          <w:rFonts w:hint="eastAsia" w:ascii="仿宋_GB2312" w:eastAsia="仿宋_GB2312"/>
          <w:color w:val="000000"/>
          <w:sz w:val="32"/>
          <w:szCs w:val="32"/>
        </w:rPr>
        <w:t>元，主要用于以下方面</w:t>
      </w:r>
      <w:r>
        <w:rPr>
          <w:rFonts w:ascii="仿宋_GB2312" w:eastAsia="仿宋_GB2312"/>
          <w:color w:val="000000"/>
          <w:sz w:val="32"/>
          <w:szCs w:val="32"/>
        </w:rPr>
        <w:t>:</w:t>
      </w:r>
      <w:r>
        <w:rPr>
          <w:rFonts w:hint="eastAsia" w:ascii="仿宋_GB2312" w:eastAsia="仿宋_GB2312"/>
          <w:color w:val="000000"/>
          <w:sz w:val="32"/>
          <w:szCs w:val="32"/>
        </w:rPr>
        <w:t>一般公共服务支出</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Style w:val="16"/>
          <w:rFonts w:hint="eastAsia" w:ascii="仿宋_GB2312" w:eastAsia="仿宋_GB2312"/>
          <w:b w:val="0"/>
          <w:color w:val="000000"/>
          <w:sz w:val="32"/>
          <w:szCs w:val="32"/>
        </w:rPr>
        <w:t>完成预算</w:t>
      </w:r>
      <w:r>
        <w:rPr>
          <w:rStyle w:val="16"/>
          <w:rFonts w:ascii="仿宋_GB2312" w:eastAsia="仿宋_GB2312"/>
          <w:b w:val="0"/>
          <w:color w:val="000000"/>
          <w:sz w:val="32"/>
          <w:szCs w:val="32"/>
        </w:rPr>
        <w:t>0%</w:t>
      </w:r>
      <w:r>
        <w:rPr>
          <w:rFonts w:hint="eastAsia" w:ascii="仿宋_GB2312" w:eastAsia="仿宋_GB2312"/>
          <w:color w:val="000000"/>
          <w:sz w:val="32"/>
          <w:szCs w:val="32"/>
        </w:rPr>
        <w:t>；教育支出</w:t>
      </w:r>
      <w:r>
        <w:rPr>
          <w:rFonts w:ascii="仿宋_GB2312" w:eastAsia="仿宋_GB2312"/>
          <w:color w:val="000000"/>
          <w:sz w:val="32"/>
          <w:szCs w:val="32"/>
        </w:rPr>
        <w:t>0</w:t>
      </w:r>
      <w:r>
        <w:rPr>
          <w:rFonts w:hint="eastAsia" w:ascii="仿宋_GB2312" w:eastAsia="仿宋_GB2312"/>
          <w:color w:val="000000"/>
          <w:sz w:val="32"/>
          <w:szCs w:val="32"/>
        </w:rPr>
        <w:t>元，占</w:t>
      </w:r>
      <w:r>
        <w:rPr>
          <w:rFonts w:ascii="仿宋_GB2312" w:eastAsia="仿宋_GB2312"/>
          <w:color w:val="000000"/>
          <w:sz w:val="32"/>
          <w:szCs w:val="32"/>
        </w:rPr>
        <w:t>0%,</w:t>
      </w:r>
      <w:r>
        <w:rPr>
          <w:rStyle w:val="16"/>
          <w:rFonts w:hint="eastAsia" w:ascii="仿宋_GB2312" w:eastAsia="仿宋_GB2312"/>
          <w:b w:val="0"/>
          <w:color w:val="000000"/>
          <w:sz w:val="32"/>
          <w:szCs w:val="32"/>
        </w:rPr>
        <w:t>完成预算</w:t>
      </w:r>
      <w:r>
        <w:rPr>
          <w:rStyle w:val="16"/>
          <w:rFonts w:ascii="仿宋_GB2312" w:eastAsia="仿宋_GB2312"/>
          <w:b w:val="0"/>
          <w:color w:val="000000"/>
          <w:sz w:val="32"/>
          <w:szCs w:val="32"/>
        </w:rPr>
        <w:t>0%</w:t>
      </w:r>
      <w:r>
        <w:rPr>
          <w:rStyle w:val="16"/>
          <w:rFonts w:hint="eastAsia" w:ascii="仿宋_GB2312" w:eastAsia="仿宋_GB2312"/>
          <w:b w:val="0"/>
          <w:color w:val="000000"/>
          <w:sz w:val="32"/>
          <w:szCs w:val="32"/>
        </w:rPr>
        <w:t>，</w:t>
      </w:r>
      <w:r>
        <w:rPr>
          <w:rFonts w:hint="eastAsia" w:ascii="仿宋_GB2312" w:eastAsia="仿宋_GB2312"/>
          <w:color w:val="000000"/>
          <w:sz w:val="32"/>
          <w:szCs w:val="32"/>
        </w:rPr>
        <w:t>；社会保障和就业支出</w:t>
      </w:r>
      <w:r>
        <w:rPr>
          <w:rFonts w:ascii="仿宋_GB2312" w:eastAsia="仿宋_GB2312"/>
          <w:color w:val="000000"/>
          <w:sz w:val="32"/>
          <w:szCs w:val="32"/>
        </w:rPr>
        <w:t>2,987,848.08</w:t>
      </w:r>
      <w:r>
        <w:rPr>
          <w:rFonts w:hint="eastAsia" w:ascii="仿宋_GB2312" w:eastAsia="仿宋_GB2312"/>
          <w:color w:val="000000"/>
          <w:sz w:val="32"/>
          <w:szCs w:val="32"/>
        </w:rPr>
        <w:t>元，占</w:t>
      </w:r>
      <w:r>
        <w:rPr>
          <w:rFonts w:ascii="仿宋_GB2312" w:eastAsia="仿宋_GB2312"/>
          <w:color w:val="000000"/>
          <w:sz w:val="32"/>
          <w:szCs w:val="32"/>
        </w:rPr>
        <w:t>14.26%,</w:t>
      </w:r>
      <w:r>
        <w:rPr>
          <w:rStyle w:val="16"/>
          <w:rFonts w:hint="eastAsia" w:ascii="仿宋_GB2312" w:eastAsia="仿宋_GB2312"/>
          <w:b w:val="0"/>
          <w:color w:val="000000"/>
          <w:sz w:val="32"/>
          <w:szCs w:val="32"/>
        </w:rPr>
        <w:t>完成预算</w:t>
      </w:r>
      <w:r>
        <w:rPr>
          <w:rStyle w:val="16"/>
          <w:rFonts w:ascii="仿宋_GB2312" w:eastAsia="仿宋_GB2312"/>
          <w:b w:val="0"/>
          <w:color w:val="000000"/>
          <w:sz w:val="32"/>
          <w:szCs w:val="32"/>
        </w:rPr>
        <w:t>100%</w:t>
      </w:r>
      <w:r>
        <w:rPr>
          <w:rStyle w:val="16"/>
          <w:rFonts w:hint="eastAsia" w:ascii="仿宋_GB2312" w:eastAsia="仿宋_GB2312"/>
          <w:b w:val="0"/>
          <w:color w:val="000000"/>
          <w:sz w:val="32"/>
          <w:szCs w:val="32"/>
        </w:rPr>
        <w:t>。</w:t>
      </w:r>
      <w:r>
        <w:rPr>
          <w:rFonts w:hint="eastAsia" w:ascii="仿宋_GB2312" w:eastAsia="仿宋_GB2312"/>
          <w:color w:val="000000"/>
          <w:sz w:val="32"/>
          <w:szCs w:val="32"/>
        </w:rPr>
        <w:t>；医疗卫生支出</w:t>
      </w:r>
      <w:r>
        <w:rPr>
          <w:rFonts w:ascii="仿宋_GB2312" w:eastAsia="仿宋_GB2312"/>
          <w:color w:val="000000"/>
          <w:sz w:val="32"/>
          <w:szCs w:val="32"/>
        </w:rPr>
        <w:t>16,632,903.79</w:t>
      </w:r>
      <w:r>
        <w:rPr>
          <w:rFonts w:hint="eastAsia" w:ascii="仿宋_GB2312" w:eastAsia="仿宋_GB2312"/>
          <w:color w:val="000000"/>
          <w:sz w:val="32"/>
          <w:szCs w:val="32"/>
        </w:rPr>
        <w:t>元，占</w:t>
      </w:r>
      <w:r>
        <w:rPr>
          <w:rFonts w:ascii="仿宋_GB2312" w:eastAsia="仿宋_GB2312"/>
          <w:color w:val="000000"/>
          <w:sz w:val="32"/>
          <w:szCs w:val="32"/>
        </w:rPr>
        <w:t>79.41%,</w:t>
      </w:r>
      <w:r>
        <w:rPr>
          <w:rStyle w:val="16"/>
          <w:rFonts w:hint="eastAsia" w:ascii="仿宋_GB2312" w:eastAsia="仿宋_GB2312"/>
          <w:b w:val="0"/>
          <w:color w:val="000000"/>
          <w:sz w:val="32"/>
          <w:szCs w:val="32"/>
        </w:rPr>
        <w:t>完成预算</w:t>
      </w:r>
      <w:r>
        <w:rPr>
          <w:rStyle w:val="16"/>
          <w:rFonts w:ascii="仿宋_GB2312" w:eastAsia="仿宋_GB2312"/>
          <w:b w:val="0"/>
          <w:color w:val="000000"/>
          <w:sz w:val="32"/>
          <w:szCs w:val="32"/>
        </w:rPr>
        <w:t>100%</w:t>
      </w:r>
      <w:r>
        <w:rPr>
          <w:rStyle w:val="16"/>
          <w:rFonts w:hint="eastAsia" w:ascii="仿宋_GB2312" w:eastAsia="仿宋_GB2312"/>
          <w:b w:val="0"/>
          <w:color w:val="000000"/>
          <w:sz w:val="32"/>
          <w:szCs w:val="32"/>
        </w:rPr>
        <w:t>，</w:t>
      </w:r>
      <w:r>
        <w:rPr>
          <w:rFonts w:hint="eastAsia" w:ascii="仿宋_GB2312" w:eastAsia="仿宋_GB2312"/>
          <w:color w:val="000000"/>
          <w:sz w:val="32"/>
          <w:szCs w:val="32"/>
        </w:rPr>
        <w:t>；住房保障支出</w:t>
      </w:r>
      <w:r>
        <w:rPr>
          <w:rFonts w:ascii="仿宋_GB2312" w:eastAsia="仿宋_GB2312"/>
          <w:color w:val="000000"/>
          <w:sz w:val="32"/>
          <w:szCs w:val="32"/>
        </w:rPr>
        <w:t>1,325,719.00</w:t>
      </w:r>
      <w:r>
        <w:rPr>
          <w:rFonts w:hint="eastAsia" w:ascii="仿宋_GB2312" w:eastAsia="仿宋_GB2312"/>
          <w:color w:val="000000"/>
          <w:sz w:val="32"/>
          <w:szCs w:val="32"/>
        </w:rPr>
        <w:t>元，占</w:t>
      </w:r>
      <w:r>
        <w:rPr>
          <w:rFonts w:ascii="仿宋_GB2312" w:eastAsia="仿宋_GB2312"/>
          <w:color w:val="000000"/>
          <w:sz w:val="32"/>
          <w:szCs w:val="32"/>
        </w:rPr>
        <w:t>6.33%</w:t>
      </w:r>
      <w:r>
        <w:rPr>
          <w:rFonts w:hint="eastAsia" w:ascii="仿宋_GB2312" w:eastAsia="仿宋_GB2312"/>
          <w:color w:val="000000"/>
          <w:sz w:val="32"/>
          <w:szCs w:val="32"/>
        </w:rPr>
        <w:t>；</w:t>
      </w:r>
      <w:r>
        <w:rPr>
          <w:rStyle w:val="16"/>
          <w:rFonts w:hint="eastAsia" w:ascii="仿宋_GB2312" w:eastAsia="仿宋_GB2312"/>
          <w:b w:val="0"/>
          <w:color w:val="000000"/>
          <w:sz w:val="32"/>
          <w:szCs w:val="32"/>
        </w:rPr>
        <w:t>完成预算</w:t>
      </w:r>
      <w:r>
        <w:rPr>
          <w:rStyle w:val="16"/>
          <w:rFonts w:ascii="仿宋_GB2312" w:eastAsia="仿宋_GB2312"/>
          <w:b w:val="0"/>
          <w:color w:val="000000"/>
          <w:sz w:val="32"/>
          <w:szCs w:val="32"/>
        </w:rPr>
        <w:t>100%</w:t>
      </w:r>
      <w:r>
        <w:rPr>
          <w:rFonts w:hint="eastAsia" w:ascii="仿宋_GB2312" w:eastAsia="仿宋_GB2312"/>
          <w:color w:val="000000"/>
          <w:sz w:val="32"/>
          <w:szCs w:val="32"/>
        </w:rPr>
        <w:t>。</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（一）预算编制情况。</w:t>
      </w:r>
    </w:p>
    <w:p>
      <w:pPr>
        <w:pStyle w:val="12"/>
        <w:shd w:val="clear" w:color="auto" w:fill="FFFFFF"/>
        <w:spacing w:before="0" w:beforeAutospacing="0" w:after="0" w:afterAutospacing="0"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根据《中华人民共和国预算法》及红原县财政局印发的《关于下达</w:t>
      </w:r>
      <w:r>
        <w:rPr>
          <w:rFonts w:ascii="仿宋_GB2312" w:hAnsi="仿宋_GB2312" w:eastAsia="仿宋_GB2312" w:cs="仿宋_GB2312"/>
          <w:color w:val="000000"/>
          <w:sz w:val="32"/>
          <w:szCs w:val="32"/>
          <w:shd w:val="clear" w:color="auto" w:fill="FFFFFF"/>
        </w:rPr>
        <w:t>2018</w:t>
      </w:r>
      <w:r>
        <w:rPr>
          <w:rFonts w:hint="eastAsia" w:ascii="仿宋_GB2312" w:hAnsi="仿宋_GB2312" w:eastAsia="仿宋_GB2312" w:cs="仿宋_GB2312"/>
          <w:color w:val="000000"/>
          <w:sz w:val="32"/>
          <w:szCs w:val="32"/>
          <w:shd w:val="clear" w:color="auto" w:fill="FFFFFF"/>
        </w:rPr>
        <w:t>年部门预算的通知》要求，结合本单位实际，按照增收节支、厉行节约、绩效优化的原则，严控“三公”经费管理，从严从紧编制预算。细化支出预算编制，推进预算信息公开，深化预算绩效管理，提高资金使用效益。</w:t>
      </w:r>
    </w:p>
    <w:p>
      <w:pPr>
        <w:pStyle w:val="12"/>
        <w:shd w:val="clear" w:color="auto" w:fill="FFFFFF"/>
        <w:spacing w:before="0" w:beforeAutospacing="0" w:after="0" w:afterAutospacing="0" w:line="54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shd w:val="clear" w:color="auto" w:fill="FFFFFF"/>
        </w:rPr>
        <w:t>2018</w:t>
      </w:r>
      <w:r>
        <w:rPr>
          <w:rFonts w:hint="eastAsia" w:ascii="仿宋_GB2312" w:hAnsi="仿宋_GB2312" w:eastAsia="仿宋_GB2312" w:cs="仿宋_GB2312"/>
          <w:color w:val="000000"/>
          <w:sz w:val="32"/>
          <w:szCs w:val="32"/>
          <w:shd w:val="clear" w:color="auto" w:fill="FFFFFF"/>
        </w:rPr>
        <w:t>年预算人员支出对照</w:t>
      </w:r>
      <w:r>
        <w:rPr>
          <w:rFonts w:ascii="仿宋_GB2312" w:hAnsi="仿宋_GB2312" w:eastAsia="仿宋_GB2312" w:cs="仿宋_GB2312"/>
          <w:color w:val="000000"/>
          <w:sz w:val="32"/>
          <w:szCs w:val="32"/>
          <w:shd w:val="clear" w:color="auto" w:fill="FFFFFF"/>
        </w:rPr>
        <w:t>2017</w:t>
      </w:r>
      <w:r>
        <w:rPr>
          <w:rFonts w:hint="eastAsia" w:ascii="仿宋_GB2312" w:hAnsi="仿宋_GB2312" w:eastAsia="仿宋_GB2312" w:cs="仿宋_GB2312"/>
          <w:color w:val="000000"/>
          <w:sz w:val="32"/>
          <w:szCs w:val="32"/>
          <w:shd w:val="clear" w:color="auto" w:fill="FFFFFF"/>
        </w:rPr>
        <w:t>年</w:t>
      </w:r>
      <w:r>
        <w:rPr>
          <w:rFonts w:ascii="仿宋_GB2312" w:hAnsi="仿宋_GB2312" w:eastAsia="仿宋_GB2312" w:cs="仿宋_GB2312"/>
          <w:color w:val="000000"/>
          <w:sz w:val="32"/>
          <w:szCs w:val="32"/>
          <w:shd w:val="clear" w:color="auto" w:fill="FFFFFF"/>
        </w:rPr>
        <w:t>12</w:t>
      </w:r>
      <w:r>
        <w:rPr>
          <w:rFonts w:hint="eastAsia" w:ascii="仿宋_GB2312" w:hAnsi="仿宋_GB2312" w:eastAsia="仿宋_GB2312" w:cs="仿宋_GB2312"/>
          <w:color w:val="000000"/>
          <w:sz w:val="32"/>
          <w:szCs w:val="32"/>
          <w:shd w:val="clear" w:color="auto" w:fill="FFFFFF"/>
        </w:rPr>
        <w:t>月份人员及工资信息编制，日常公用支出按照“经费包干、明细编报”的原则进行编制，重点做好“三公”经费、会议费、培训费等预算编制。</w:t>
      </w:r>
    </w:p>
    <w:p>
      <w:pPr>
        <w:pStyle w:val="12"/>
        <w:shd w:val="clear" w:color="auto" w:fill="FFFFFF"/>
        <w:spacing w:before="0" w:beforeAutospacing="0" w:after="0" w:afterAutospacing="0" w:line="54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对照年初的预算，通过编制部门决算报表，全面、真实、准确的反映了红原县人民医院</w:t>
      </w:r>
      <w:r>
        <w:rPr>
          <w:rFonts w:ascii="仿宋_GB2312" w:hAnsi="仿宋_GB2312" w:eastAsia="仿宋_GB2312" w:cs="仿宋_GB2312"/>
          <w:color w:val="000000"/>
          <w:sz w:val="32"/>
          <w:szCs w:val="32"/>
          <w:shd w:val="clear" w:color="auto" w:fill="FFFFFF"/>
        </w:rPr>
        <w:t>2018</w:t>
      </w:r>
      <w:r>
        <w:rPr>
          <w:rFonts w:hint="eastAsia" w:ascii="仿宋_GB2312" w:hAnsi="仿宋_GB2312" w:eastAsia="仿宋_GB2312" w:cs="仿宋_GB2312"/>
          <w:color w:val="000000"/>
          <w:sz w:val="32"/>
          <w:szCs w:val="32"/>
          <w:shd w:val="clear" w:color="auto" w:fill="FFFFFF"/>
        </w:rPr>
        <w:t>年度财政资金的使用情况。</w:t>
      </w:r>
    </w:p>
    <w:p>
      <w:pPr>
        <w:pStyle w:val="12"/>
        <w:shd w:val="clear" w:color="auto" w:fill="FFFFFF"/>
        <w:spacing w:before="0" w:beforeAutospacing="0" w:after="0" w:afterAutospacing="0" w:line="540" w:lineRule="exact"/>
        <w:ind w:firstLine="643" w:firstLineChars="200"/>
        <w:rPr>
          <w:rFonts w:ascii="楷体_GB2312" w:hAnsi="楷体_GB2312" w:eastAsia="楷体_GB2312" w:cs="楷体_GB2312"/>
          <w:b/>
          <w:color w:val="000000"/>
          <w:sz w:val="32"/>
          <w:szCs w:val="32"/>
        </w:rPr>
      </w:pPr>
      <w:r>
        <w:rPr>
          <w:rStyle w:val="16"/>
          <w:rFonts w:hint="eastAsia" w:ascii="楷体_GB2312" w:hAnsi="楷体_GB2312" w:eastAsia="楷体_GB2312" w:cs="楷体_GB2312"/>
          <w:color w:val="000000"/>
          <w:sz w:val="32"/>
          <w:szCs w:val="32"/>
          <w:shd w:val="clear" w:color="auto" w:fill="FFFFFF"/>
        </w:rPr>
        <w:t>（二）执行管理情况</w:t>
      </w:r>
    </w:p>
    <w:p>
      <w:pPr>
        <w:pStyle w:val="12"/>
        <w:shd w:val="clear" w:color="auto" w:fill="FFFFFF"/>
        <w:spacing w:before="0" w:beforeAutospacing="0" w:after="0" w:afterAutospacing="0" w:line="540" w:lineRule="exact"/>
        <w:ind w:firstLine="640" w:firstLineChars="200"/>
        <w:rPr>
          <w:color w:val="000000"/>
          <w:sz w:val="32"/>
          <w:szCs w:val="32"/>
        </w:rPr>
      </w:pPr>
      <w:r>
        <w:rPr>
          <w:rFonts w:hint="eastAsia" w:ascii="仿宋_GB2312" w:eastAsia="仿宋_GB2312" w:cs="仿宋_GB2312"/>
          <w:color w:val="000000"/>
          <w:sz w:val="32"/>
          <w:szCs w:val="32"/>
          <w:shd w:val="clear" w:color="auto" w:fill="FFFFFF"/>
        </w:rPr>
        <w:t>本着少花钱、多办事、办好事、遵循有预算才支出的原则，</w:t>
      </w:r>
      <w:r>
        <w:rPr>
          <w:rFonts w:ascii="仿宋_GB2312" w:eastAsia="仿宋_GB2312" w:cs="仿宋_GB2312"/>
          <w:color w:val="000000"/>
          <w:sz w:val="32"/>
          <w:szCs w:val="32"/>
          <w:shd w:val="clear" w:color="auto" w:fill="FFFFFF"/>
        </w:rPr>
        <w:t>2018</w:t>
      </w:r>
      <w:r>
        <w:rPr>
          <w:rFonts w:hint="eastAsia" w:ascii="仿宋_GB2312" w:eastAsia="仿宋_GB2312" w:cs="仿宋_GB2312"/>
          <w:color w:val="000000"/>
          <w:sz w:val="32"/>
          <w:szCs w:val="32"/>
          <w:shd w:val="clear" w:color="auto" w:fill="FFFFFF"/>
        </w:rPr>
        <w:t>年财政预算支出（除财政应返还额度）全面落实到位，均按规定的用途支付</w:t>
      </w:r>
    </w:p>
    <w:p>
      <w:pPr>
        <w:pStyle w:val="12"/>
        <w:shd w:val="clear" w:color="auto" w:fill="FFFFFF"/>
        <w:spacing w:before="0" w:beforeAutospacing="0" w:after="0" w:afterAutospacing="0" w:line="540" w:lineRule="exact"/>
        <w:ind w:firstLine="645"/>
        <w:rPr>
          <w:color w:val="000000"/>
          <w:sz w:val="32"/>
          <w:szCs w:val="32"/>
        </w:rPr>
      </w:pPr>
      <w:r>
        <w:rPr>
          <w:rFonts w:hint="eastAsia" w:ascii="仿宋_GB2312" w:eastAsia="仿宋_GB2312" w:cs="仿宋_GB2312"/>
          <w:color w:val="000000"/>
          <w:sz w:val="32"/>
          <w:szCs w:val="32"/>
          <w:shd w:val="clear" w:color="auto" w:fill="FFFFFF"/>
        </w:rPr>
        <w:t>基本支出，是用于保障本单位正常运转的日常支出，包括基本工资、津贴补贴等人员经费以及办公费、印刷费、水电费、办公设备购置等日常公用经费。</w:t>
      </w:r>
    </w:p>
    <w:p>
      <w:pPr>
        <w:pStyle w:val="12"/>
        <w:shd w:val="clear" w:color="auto" w:fill="FFFFFF"/>
        <w:spacing w:before="0" w:beforeAutospacing="0" w:after="0" w:afterAutospacing="0" w:line="540" w:lineRule="exact"/>
        <w:ind w:firstLine="640" w:firstLineChars="200"/>
        <w:rPr>
          <w:color w:val="000000"/>
          <w:sz w:val="32"/>
          <w:szCs w:val="32"/>
        </w:rPr>
      </w:pPr>
      <w:r>
        <w:rPr>
          <w:rFonts w:hint="eastAsia" w:ascii="仿宋_GB2312" w:eastAsia="仿宋_GB2312" w:cs="仿宋_GB2312"/>
          <w:color w:val="000000"/>
          <w:sz w:val="32"/>
          <w:szCs w:val="32"/>
          <w:shd w:val="clear" w:color="auto" w:fill="FFFFFF"/>
        </w:rPr>
        <w:t>我单位</w:t>
      </w:r>
      <w:r>
        <w:rPr>
          <w:rFonts w:ascii="仿宋_GB2312" w:eastAsia="仿宋_GB2312" w:cs="仿宋_GB2312"/>
          <w:color w:val="000000"/>
          <w:sz w:val="32"/>
          <w:szCs w:val="32"/>
          <w:shd w:val="clear" w:color="auto" w:fill="FFFFFF"/>
        </w:rPr>
        <w:t>2018</w:t>
      </w:r>
      <w:r>
        <w:rPr>
          <w:rFonts w:hint="eastAsia" w:ascii="仿宋_GB2312" w:eastAsia="仿宋_GB2312" w:cs="仿宋_GB2312"/>
          <w:color w:val="000000"/>
          <w:sz w:val="32"/>
          <w:szCs w:val="32"/>
          <w:shd w:val="clear" w:color="auto" w:fill="FFFFFF"/>
        </w:rPr>
        <w:t>年未发生公务出国（境）费用，本着厉行节约的原则，公务用车实行定点加油和维修，使用及维修前报分管领导和主要负责人同意。</w:t>
      </w:r>
    </w:p>
    <w:p>
      <w:pPr>
        <w:pStyle w:val="12"/>
        <w:shd w:val="clear" w:color="auto" w:fill="FFFFFF"/>
        <w:spacing w:before="0" w:beforeAutospacing="0" w:after="0" w:afterAutospacing="0" w:line="540" w:lineRule="exact"/>
        <w:ind w:firstLine="640" w:firstLineChars="200"/>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我单位严格执行中央八项规定，“三公”经费呈现出逐年递减趋势，无违规乱发钱物情况，不存在超标准报销公务接待费、因公出国经费、会议费、培训费、差旅费等情况。</w:t>
      </w:r>
    </w:p>
    <w:p>
      <w:pPr>
        <w:pStyle w:val="12"/>
        <w:spacing w:before="0" w:beforeAutospacing="0" w:after="0" w:afterAutospacing="0" w:line="540" w:lineRule="exact"/>
        <w:ind w:firstLine="622" w:firstLineChars="200"/>
        <w:rPr>
          <w:rStyle w:val="16"/>
          <w:rFonts w:ascii="楷体_GB2312" w:hAnsi="楷体_GB2312" w:eastAsia="楷体_GB2312" w:cs="楷体_GB2312"/>
          <w:color w:val="000000"/>
          <w:sz w:val="31"/>
          <w:szCs w:val="31"/>
          <w:shd w:val="clear" w:color="auto" w:fill="FFFFFF"/>
        </w:rPr>
      </w:pPr>
      <w:r>
        <w:rPr>
          <w:rStyle w:val="16"/>
          <w:rFonts w:hint="eastAsia" w:ascii="楷体_GB2312" w:hAnsi="楷体_GB2312" w:eastAsia="楷体_GB2312" w:cs="楷体_GB2312"/>
          <w:color w:val="000000"/>
          <w:sz w:val="31"/>
          <w:szCs w:val="31"/>
          <w:shd w:val="clear" w:color="auto" w:fill="FFFFFF"/>
        </w:rPr>
        <w:t>（三）综合管理情况</w:t>
      </w:r>
    </w:p>
    <w:p>
      <w:pPr>
        <w:pStyle w:val="12"/>
        <w:spacing w:before="0" w:beforeAutospacing="0" w:after="0" w:afterAutospacing="0" w:line="54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建立</w:t>
      </w:r>
      <w:r>
        <w:rPr>
          <w:rFonts w:hint="eastAsia" w:ascii="仿宋_GB2312" w:hAnsi="仿宋_GB2312" w:eastAsia="仿宋_GB2312" w:cs="仿宋_GB2312"/>
          <w:color w:val="000000"/>
          <w:sz w:val="32"/>
          <w:szCs w:val="32"/>
          <w:lang w:val="en-US" w:eastAsia="zh-CN"/>
        </w:rPr>
        <w:t>健全</w:t>
      </w:r>
      <w:r>
        <w:rPr>
          <w:rFonts w:hint="eastAsia" w:ascii="仿宋_GB2312" w:hAnsi="仿宋_GB2312" w:eastAsia="仿宋_GB2312" w:cs="仿宋_GB2312"/>
          <w:color w:val="000000"/>
          <w:sz w:val="32"/>
          <w:szCs w:val="32"/>
        </w:rPr>
        <w:t>内部控制制度：我单位加强和规范内部控制，提高内部管理水平和风险防范能力，杜绝违法违纪行为，推进廉政建设，维护社会公众利益，根据《中华人民共和国会计法》、《中华人民共和国预算法》、《行政事业单位内部控制规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试行</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和其他有关法律法规。</w:t>
      </w:r>
    </w:p>
    <w:p>
      <w:pPr>
        <w:pStyle w:val="12"/>
        <w:spacing w:before="0" w:beforeAutospacing="0" w:after="0" w:afterAutospacing="0" w:line="54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资金使用合规性：资金支出符合国家财经法规和财务管理制度规定以及有关专项资金管理办法的规定；资金拨付有完整的审批程序和手续；符合部门预算批复的用途；资金使用无截留、挤占、挪用、虚列支出等情况。</w:t>
      </w:r>
      <w:r>
        <w:rPr>
          <w:rFonts w:ascii="仿宋_GB2312" w:hAnsi="仿宋_GB2312" w:eastAsia="仿宋_GB2312" w:cs="仿宋_GB2312"/>
          <w:color w:val="000000"/>
          <w:sz w:val="32"/>
          <w:szCs w:val="32"/>
        </w:rPr>
        <w:t xml:space="preserve"> </w:t>
      </w:r>
    </w:p>
    <w:p>
      <w:pPr>
        <w:pStyle w:val="12"/>
        <w:spacing w:before="0" w:beforeAutospacing="0" w:after="0" w:afterAutospacing="0" w:line="54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预算信息公开：我单位按规定内容公开预决算信息；按规定时限公开预决算信息；基础数据信息和会计信息资料真实；基础数据信息和会计信息资料完整；基础数据信息和汇集信息资料准确。</w:t>
      </w:r>
      <w:r>
        <w:rPr>
          <w:rFonts w:ascii="仿宋_GB2312" w:hAnsi="仿宋_GB2312" w:eastAsia="仿宋_GB2312" w:cs="仿宋_GB2312"/>
          <w:color w:val="000000"/>
          <w:sz w:val="32"/>
          <w:szCs w:val="32"/>
        </w:rPr>
        <w:t xml:space="preserve"> </w:t>
      </w:r>
    </w:p>
    <w:p>
      <w:pPr>
        <w:pStyle w:val="12"/>
        <w:spacing w:before="0" w:beforeAutospacing="0" w:after="0" w:afterAutospacing="0" w:line="54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财务信息完善性：经核对我单位</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年度总账、明细账、决算报表，其结果账账、账表相符；财务信息资料真实、完整、准确。</w:t>
      </w:r>
    </w:p>
    <w:p>
      <w:pPr>
        <w:pStyle w:val="12"/>
        <w:spacing w:before="0" w:beforeAutospacing="0" w:after="0" w:afterAutospacing="0" w:line="540" w:lineRule="exact"/>
        <w:ind w:firstLine="643" w:firstLineChars="200"/>
        <w:rPr>
          <w:rFonts w:ascii="楷体_GB2312" w:hAnsi="楷体_GB2312" w:eastAsia="楷体_GB2312" w:cs="楷体_GB2312"/>
          <w:b/>
          <w:color w:val="000000"/>
          <w:sz w:val="32"/>
          <w:szCs w:val="32"/>
        </w:rPr>
      </w:pPr>
      <w:r>
        <w:rPr>
          <w:rStyle w:val="16"/>
          <w:rFonts w:hint="eastAsia" w:ascii="楷体_GB2312" w:hAnsi="楷体_GB2312" w:eastAsia="楷体_GB2312" w:cs="楷体_GB2312"/>
          <w:color w:val="000000"/>
          <w:sz w:val="32"/>
          <w:szCs w:val="32"/>
          <w:shd w:val="clear" w:color="auto" w:fill="FFFFFF"/>
        </w:rPr>
        <w:t>（四）整体绩效</w:t>
      </w:r>
    </w:p>
    <w:p>
      <w:pPr>
        <w:pStyle w:val="12"/>
        <w:shd w:val="clear" w:color="auto" w:fill="FFFFFF"/>
        <w:spacing w:before="0" w:beforeAutospacing="0" w:after="0" w:afterAutospacing="0" w:line="540" w:lineRule="exact"/>
        <w:ind w:firstLine="645"/>
        <w:rPr>
          <w:color w:val="000000"/>
          <w:sz w:val="32"/>
          <w:szCs w:val="32"/>
        </w:rPr>
      </w:pPr>
      <w:r>
        <w:rPr>
          <w:rStyle w:val="16"/>
          <w:rFonts w:ascii="仿宋_GB2312" w:eastAsia="仿宋_GB2312" w:cs="仿宋_GB2312"/>
          <w:color w:val="000000"/>
          <w:sz w:val="32"/>
          <w:szCs w:val="32"/>
          <w:shd w:val="clear" w:color="auto" w:fill="FFFFFF"/>
        </w:rPr>
        <w:t>1.</w:t>
      </w:r>
      <w:r>
        <w:rPr>
          <w:rStyle w:val="16"/>
          <w:rFonts w:hint="eastAsia" w:ascii="仿宋_GB2312" w:eastAsia="仿宋_GB2312" w:cs="仿宋_GB2312"/>
          <w:color w:val="000000"/>
          <w:sz w:val="32"/>
          <w:szCs w:val="32"/>
          <w:shd w:val="clear" w:color="auto" w:fill="FFFFFF"/>
        </w:rPr>
        <w:t>绩效目标完成情况</w:t>
      </w:r>
    </w:p>
    <w:p>
      <w:pPr>
        <w:pStyle w:val="12"/>
        <w:shd w:val="clear" w:color="auto" w:fill="FFFFFF"/>
        <w:spacing w:before="0" w:beforeAutospacing="0" w:after="0" w:afterAutospacing="0" w:line="540" w:lineRule="exact"/>
        <w:ind w:firstLine="645"/>
        <w:rPr>
          <w:color w:val="000000"/>
          <w:sz w:val="32"/>
          <w:szCs w:val="32"/>
        </w:rPr>
      </w:pPr>
      <w:r>
        <w:rPr>
          <w:rFonts w:ascii="仿宋_GB2312" w:eastAsia="仿宋_GB2312" w:cs="仿宋_GB2312"/>
          <w:color w:val="000000"/>
          <w:sz w:val="32"/>
          <w:szCs w:val="32"/>
          <w:shd w:val="clear" w:color="auto" w:fill="FFFFFF"/>
        </w:rPr>
        <w:t>2018</w:t>
      </w:r>
      <w:r>
        <w:rPr>
          <w:rFonts w:hint="eastAsia" w:ascii="仿宋_GB2312" w:eastAsia="仿宋_GB2312" w:cs="仿宋_GB2312"/>
          <w:color w:val="000000"/>
          <w:sz w:val="32"/>
          <w:szCs w:val="32"/>
          <w:shd w:val="clear" w:color="auto" w:fill="FFFFFF"/>
        </w:rPr>
        <w:t>年专项预算的业务经费已按用途拨付到位，无滞留挪用。</w:t>
      </w:r>
    </w:p>
    <w:p>
      <w:pPr>
        <w:spacing w:line="54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四、本年度部门支出财务工作开展评价结论及建议</w:t>
      </w:r>
    </w:p>
    <w:p>
      <w:pPr>
        <w:pStyle w:val="12"/>
        <w:shd w:val="clear" w:color="auto" w:fill="FFFFFF"/>
        <w:spacing w:before="0" w:beforeAutospacing="0" w:after="0" w:afterAutospacing="0" w:line="540" w:lineRule="exact"/>
        <w:ind w:firstLine="643" w:firstLineChars="200"/>
        <w:rPr>
          <w:rFonts w:ascii="楷体_GB2312" w:hAnsi="楷体_GB2312" w:eastAsia="楷体_GB2312" w:cs="楷体_GB2312"/>
          <w:b/>
          <w:bCs/>
          <w:color w:val="000000"/>
          <w:sz w:val="32"/>
          <w:szCs w:val="32"/>
          <w:shd w:val="clear" w:color="auto" w:fill="FFFFFF"/>
        </w:rPr>
      </w:pPr>
      <w:r>
        <w:rPr>
          <w:rFonts w:hint="eastAsia" w:ascii="楷体_GB2312" w:hAnsi="楷体_GB2312" w:eastAsia="楷体_GB2312" w:cs="楷体_GB2312"/>
          <w:b/>
          <w:bCs/>
          <w:color w:val="000000"/>
          <w:sz w:val="32"/>
          <w:szCs w:val="32"/>
          <w:shd w:val="clear" w:color="auto" w:fill="FFFFFF"/>
        </w:rPr>
        <w:t>（一）执行预算制度到位</w:t>
      </w:r>
    </w:p>
    <w:p>
      <w:pPr>
        <w:pStyle w:val="12"/>
        <w:shd w:val="clear" w:color="auto" w:fill="FFFFFF"/>
        <w:spacing w:before="0" w:beforeAutospacing="0" w:after="0" w:afterAutospacing="0" w:line="540" w:lineRule="exact"/>
        <w:ind w:firstLine="640" w:firstLineChars="200"/>
        <w:rPr>
          <w:rFonts w:ascii="仿宋_GB2312" w:hAnsi="仿宋_GB2312" w:eastAsia="仿宋_GB2312" w:cs="仿宋_GB2312"/>
          <w:color w:val="000000"/>
          <w:sz w:val="32"/>
          <w:szCs w:val="32"/>
        </w:rPr>
      </w:pPr>
      <w:r>
        <w:rPr>
          <w:rFonts w:hint="eastAsia" w:ascii="仿宋_GB2312" w:eastAsia="仿宋_GB2312" w:cs="仿宋_GB2312"/>
          <w:color w:val="000000"/>
          <w:sz w:val="32"/>
          <w:szCs w:val="32"/>
          <w:shd w:val="clear" w:color="auto" w:fill="FFFFFF"/>
        </w:rPr>
        <w:t>能够严格执行《预算法》和各项财经纪律，机关制度健全，财务管理规范，预算编制合理</w:t>
      </w:r>
      <w:r>
        <w:rPr>
          <w:rFonts w:ascii="仿宋_GB2312" w:eastAsia="仿宋_GB2312" w:cs="仿宋_GB2312"/>
          <w:color w:val="000000"/>
          <w:sz w:val="32"/>
          <w:szCs w:val="32"/>
          <w:shd w:val="clear" w:color="auto" w:fill="FFFFFF"/>
        </w:rPr>
        <w:t>;</w:t>
      </w:r>
      <w:r>
        <w:rPr>
          <w:rFonts w:hint="eastAsia" w:ascii="仿宋_GB2312" w:eastAsia="仿宋_GB2312" w:cs="仿宋_GB2312"/>
          <w:color w:val="000000"/>
          <w:sz w:val="32"/>
          <w:szCs w:val="32"/>
          <w:shd w:val="clear" w:color="auto" w:fill="FFFFFF"/>
        </w:rPr>
        <w:t>二是资金监管到位。经费开支按用途使用合理，做到专帐专管</w:t>
      </w:r>
      <w:r>
        <w:rPr>
          <w:rFonts w:ascii="仿宋_GB2312" w:eastAsia="仿宋_GB2312" w:cs="仿宋_GB2312"/>
          <w:color w:val="000000"/>
          <w:sz w:val="32"/>
          <w:szCs w:val="32"/>
          <w:shd w:val="clear" w:color="auto" w:fill="FFFFFF"/>
        </w:rPr>
        <w:t>,</w:t>
      </w:r>
      <w:r>
        <w:rPr>
          <w:rFonts w:hint="eastAsia" w:ascii="仿宋_GB2312" w:eastAsia="仿宋_GB2312" w:cs="仿宋_GB2312"/>
          <w:color w:val="000000"/>
          <w:sz w:val="32"/>
          <w:szCs w:val="32"/>
          <w:shd w:val="clear" w:color="auto" w:fill="FFFFFF"/>
        </w:rPr>
        <w:t>专款专用；三是人员配备和帐务核算到位。财务人员帐务核算及时规范。</w:t>
      </w:r>
      <w:r>
        <w:rPr>
          <w:rFonts w:hint="eastAsia" w:ascii="仿宋_GB2312" w:hAnsi="仿宋_GB2312" w:eastAsia="仿宋_GB2312" w:cs="仿宋_GB2312"/>
          <w:color w:val="000000"/>
          <w:sz w:val="32"/>
          <w:szCs w:val="32"/>
        </w:rPr>
        <w:t>我单位在财务上进行合理安排和运用，以“认真、严谨、细致”的精神，做好一切财务工作。</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部门整体支出绩效自评开展情况。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w:t>
      </w:r>
      <w:r>
        <w:rPr>
          <w:rFonts w:ascii="仿宋_GB2312" w:eastAsia="仿宋_GB2312"/>
          <w:color w:val="000000"/>
          <w:sz w:val="32"/>
          <w:szCs w:val="32"/>
        </w:rPr>
        <w:t>2017</w:t>
      </w:r>
      <w:r>
        <w:rPr>
          <w:rFonts w:hint="eastAsia" w:ascii="仿宋_GB2312" w:eastAsia="仿宋_GB2312"/>
          <w:color w:val="000000"/>
          <w:sz w:val="32"/>
          <w:szCs w:val="32"/>
        </w:rPr>
        <w:t>年整体支出开展绩效自评，自评得分</w:t>
      </w:r>
      <w:r>
        <w:rPr>
          <w:rFonts w:ascii="仿宋_GB2312" w:eastAsia="仿宋_GB2312"/>
          <w:color w:val="000000"/>
          <w:sz w:val="32"/>
          <w:szCs w:val="32"/>
        </w:rPr>
        <w:t>95</w:t>
      </w:r>
      <w:r>
        <w:rPr>
          <w:rFonts w:hint="eastAsia" w:ascii="仿宋_GB2312" w:eastAsia="仿宋_GB2312"/>
          <w:color w:val="000000"/>
          <w:sz w:val="32"/>
          <w:szCs w:val="32"/>
        </w:rPr>
        <w:t>分。</w:t>
      </w:r>
    </w:p>
    <w:p>
      <w:pPr>
        <w:pStyle w:val="12"/>
        <w:shd w:val="clear" w:color="auto" w:fill="FFFFFF"/>
        <w:spacing w:before="0" w:beforeAutospacing="0" w:after="0" w:afterAutospacing="0" w:line="540" w:lineRule="exact"/>
        <w:ind w:firstLine="643" w:firstLineChars="200"/>
        <w:rPr>
          <w:rFonts w:ascii="楷体_GB2312" w:hAnsi="楷体_GB2312" w:eastAsia="楷体_GB2312" w:cs="楷体_GB2312"/>
          <w:color w:val="000000"/>
          <w:sz w:val="32"/>
          <w:szCs w:val="32"/>
        </w:rPr>
      </w:pPr>
      <w:r>
        <w:rPr>
          <w:rStyle w:val="16"/>
          <w:rFonts w:hint="eastAsia" w:ascii="楷体_GB2312" w:hAnsi="楷体_GB2312" w:eastAsia="楷体_GB2312" w:cs="楷体_GB2312"/>
          <w:color w:val="000000"/>
          <w:sz w:val="32"/>
          <w:szCs w:val="32"/>
          <w:shd w:val="clear" w:color="auto" w:fill="FFFFFF"/>
        </w:rPr>
        <w:t>（一）存在问题</w:t>
      </w:r>
      <w:r>
        <w:rPr>
          <w:rStyle w:val="16"/>
          <w:rFonts w:ascii="楷体_GB2312" w:hAnsi="楷体_GB2312" w:eastAsia="楷体_GB2312" w:cs="楷体_GB2312"/>
          <w:color w:val="000000"/>
          <w:sz w:val="32"/>
          <w:szCs w:val="32"/>
          <w:shd w:val="clear" w:color="auto" w:fill="FFFFFF"/>
        </w:rPr>
        <w:t>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存在的问题：一是对医院的医疗服务能力提升度不够；二是对财务人员的业务指导不够。</w:t>
      </w:r>
    </w:p>
    <w:p>
      <w:pPr>
        <w:pStyle w:val="12"/>
        <w:shd w:val="clear" w:color="auto" w:fill="FFFFFF"/>
        <w:spacing w:before="0" w:beforeAutospacing="0" w:after="0" w:afterAutospacing="0" w:line="540" w:lineRule="exact"/>
        <w:ind w:firstLine="643" w:firstLineChars="200"/>
        <w:rPr>
          <w:rFonts w:ascii="仿宋_GB2312" w:eastAsia="仿宋_GB2312" w:cs="仿宋_GB2312"/>
          <w:b/>
          <w:color w:val="000000"/>
          <w:sz w:val="32"/>
          <w:szCs w:val="32"/>
          <w:shd w:val="clear" w:color="auto" w:fill="FFFFFF"/>
        </w:rPr>
      </w:pPr>
      <w:r>
        <w:rPr>
          <w:rStyle w:val="16"/>
          <w:rFonts w:hint="eastAsia" w:ascii="楷体_GB2312" w:hAnsi="楷体_GB2312" w:eastAsia="楷体_GB2312" w:cs="楷体_GB2312"/>
          <w:color w:val="000000"/>
          <w:sz w:val="32"/>
          <w:szCs w:val="32"/>
          <w:shd w:val="clear" w:color="auto" w:fill="FFFFFF"/>
        </w:rPr>
        <w:t>（二）改进建议</w:t>
      </w:r>
      <w:r>
        <w:rPr>
          <w:rFonts w:ascii="仿宋_GB2312" w:eastAsia="仿宋_GB2312" w:cs="仿宋_GB2312"/>
          <w:b/>
          <w:color w:val="000000"/>
          <w:sz w:val="32"/>
          <w:szCs w:val="32"/>
          <w:shd w:val="clear" w:color="auto" w:fill="FFFFFF"/>
        </w:rPr>
        <w:t> </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下一步改进措施：一是对医院医疗服务能力提升加大力度。二是加大推进项目实施进度；三是加大对财务人员的培训，多提供对财务的学习机会。</w:t>
      </w:r>
      <w:r>
        <w:rPr>
          <w:rFonts w:hint="eastAsia" w:ascii="仿宋_GB2312" w:hAnsi="宋体" w:eastAsia="仿宋_GB2312" w:cs="仿宋_GB2312"/>
          <w:color w:val="000000"/>
          <w:sz w:val="31"/>
          <w:szCs w:val="31"/>
          <w:shd w:val="clear" w:color="auto" w:fill="FFFFFF"/>
        </w:rPr>
        <w:t>建立长效机制，严格财务管理，加强财务监督，坚持厉行节约，控制“三公经费”支出，严格</w:t>
      </w:r>
      <w:r>
        <w:rPr>
          <w:rFonts w:hint="eastAsia" w:ascii="仿宋_GB2312" w:eastAsia="仿宋_GB2312" w:cs="仿宋_GB2312"/>
          <w:color w:val="000000"/>
          <w:sz w:val="31"/>
          <w:szCs w:val="31"/>
          <w:shd w:val="clear" w:color="auto" w:fill="FFFFFF"/>
        </w:rPr>
        <w:t>杜绝</w:t>
      </w:r>
      <w:r>
        <w:rPr>
          <w:rFonts w:hint="eastAsia" w:ascii="仿宋_GB2312" w:hAnsi="宋体" w:eastAsia="仿宋_GB2312" w:cs="仿宋_GB2312"/>
          <w:color w:val="000000"/>
          <w:sz w:val="31"/>
          <w:szCs w:val="31"/>
          <w:shd w:val="clear" w:color="auto" w:fill="FFFFFF"/>
        </w:rPr>
        <w:t>现金交易。</w:t>
      </w:r>
      <w:r>
        <w:rPr>
          <w:rFonts w:hint="eastAsia" w:ascii="仿宋_GB2312" w:hAnsi="仿宋_GB2312" w:eastAsia="仿宋_GB2312" w:cs="仿宋_GB2312"/>
          <w:color w:val="000000"/>
          <w:sz w:val="32"/>
          <w:szCs w:val="32"/>
          <w:shd w:val="clear" w:color="auto" w:fill="FFFFFF"/>
        </w:rPr>
        <w:t>加强事业单位会计制度的学习，</w:t>
      </w:r>
    </w:p>
    <w:p>
      <w:pPr>
        <w:rPr>
          <w:rStyle w:val="18"/>
          <w:rFonts w:ascii="仿宋_GB2312" w:eastAsia="仿宋_GB2312"/>
          <w:b w:val="0"/>
          <w:bCs w:val="0"/>
          <w:kern w:val="2"/>
          <w:sz w:val="32"/>
          <w:szCs w:val="32"/>
        </w:rPr>
      </w:pPr>
      <w:r>
        <w:t xml:space="preserve">                            </w:t>
      </w:r>
    </w:p>
    <w:p>
      <w:pPr>
        <w:rPr>
          <w:rStyle w:val="18"/>
          <w:rFonts w:ascii="仿宋" w:hAnsi="仿宋" w:eastAsia="仿宋"/>
          <w:b w:val="0"/>
          <w:bCs w:val="0"/>
          <w:sz w:val="32"/>
          <w:szCs w:val="32"/>
        </w:rPr>
      </w:pPr>
    </w:p>
    <w:p>
      <w:pPr>
        <w:pStyle w:val="3"/>
        <w:rPr>
          <w:rStyle w:val="18"/>
          <w:rFonts w:ascii="仿宋" w:hAnsi="仿宋" w:eastAsia="仿宋"/>
          <w:b w:val="0"/>
          <w:bCs w:val="0"/>
          <w:sz w:val="32"/>
          <w:szCs w:val="32"/>
        </w:rPr>
      </w:pPr>
      <w:r>
        <w:rPr>
          <w:rStyle w:val="18"/>
          <w:rFonts w:hint="eastAsia" w:ascii="仿宋" w:hAnsi="仿宋" w:eastAsia="仿宋"/>
          <w:b w:val="0"/>
          <w:bCs w:val="0"/>
          <w:sz w:val="32"/>
          <w:szCs w:val="32"/>
        </w:rPr>
        <w:t>附件</w:t>
      </w:r>
      <w:r>
        <w:rPr>
          <w:rStyle w:val="18"/>
          <w:rFonts w:ascii="仿宋" w:hAnsi="仿宋" w:eastAsia="仿宋"/>
          <w:b w:val="0"/>
          <w:bCs w:val="0"/>
          <w:sz w:val="32"/>
          <w:szCs w:val="32"/>
        </w:rPr>
        <w:t>2</w:t>
      </w:r>
      <w:bookmarkEnd w:id="54"/>
    </w:p>
    <w:p>
      <w:pPr>
        <w:snapToGrid w:val="0"/>
        <w:spacing w:line="580" w:lineRule="exact"/>
        <w:jc w:val="center"/>
        <w:rPr>
          <w:rFonts w:ascii="方正小标宋简体" w:hAnsi="宋体" w:eastAsia="方正小标宋简体" w:cs="方正小标宋简体"/>
          <w:sz w:val="44"/>
          <w:szCs w:val="44"/>
        </w:rPr>
      </w:pPr>
      <w:bookmarkStart w:id="55" w:name="_Toc15396618"/>
      <w:r>
        <w:rPr>
          <w:rFonts w:hint="eastAsia" w:ascii="方正小标宋简体" w:hAnsi="宋体" w:eastAsia="方正小标宋简体" w:cs="方正小标宋简体"/>
          <w:sz w:val="44"/>
          <w:szCs w:val="44"/>
        </w:rPr>
        <w:t>项目支出绩效评价报告</w:t>
      </w:r>
    </w:p>
    <w:p>
      <w:pPr>
        <w:tabs>
          <w:tab w:val="left" w:pos="3885"/>
        </w:tabs>
        <w:snapToGrid w:val="0"/>
        <w:spacing w:line="580" w:lineRule="exact"/>
        <w:ind w:firstLine="420" w:firstLineChars="200"/>
        <w:jc w:val="center"/>
        <w:rPr>
          <w:rFonts w:hAnsi="宋体"/>
        </w:rPr>
      </w:pPr>
      <w:r>
        <w:rPr>
          <w:rFonts w:hint="eastAsia"/>
        </w:rPr>
        <w:t>（心电会诊项目）</w:t>
      </w:r>
    </w:p>
    <w:p>
      <w:pPr>
        <w:adjustRightInd w:val="0"/>
        <w:snapToGrid w:val="0"/>
        <w:spacing w:line="580" w:lineRule="exact"/>
        <w:ind w:firstLine="720"/>
        <w:rPr>
          <w:rFonts w:ascii="黑体" w:hAnsi="宋体" w:eastAsia="黑体" w:cs="黑体"/>
          <w:sz w:val="32"/>
          <w:szCs w:val="21"/>
        </w:rPr>
      </w:pPr>
      <w:r>
        <w:rPr>
          <w:rFonts w:hint="eastAsia" w:ascii="黑体" w:hAnsi="宋体" w:eastAsia="黑体" w:cs="黑体"/>
          <w:sz w:val="32"/>
          <w:szCs w:val="21"/>
        </w:rPr>
        <w:t>一、项目概况</w:t>
      </w:r>
    </w:p>
    <w:p>
      <w:pPr>
        <w:adjustRightInd w:val="0"/>
        <w:snapToGrid w:val="0"/>
        <w:spacing w:line="58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为解决边远群众看病难、治病难和提高我院医疗水平问题，我院于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年用专项资金（</w:t>
      </w:r>
      <w:r>
        <w:rPr>
          <w:rFonts w:hint="eastAsia" w:ascii="仿宋_GB2312" w:hAnsi="仿宋_GB2312" w:eastAsia="仿宋_GB2312" w:cs="仿宋_GB2312"/>
          <w:sz w:val="32"/>
          <w:szCs w:val="32"/>
          <w:lang w:val="zh-CN"/>
        </w:rPr>
        <w:t>阿州财社</w:t>
      </w:r>
      <w:r>
        <w:rPr>
          <w:rFonts w:ascii="仿宋_GB2312" w:hAnsi="仿宋_GB2312" w:eastAsia="仿宋_GB2312" w:cs="仿宋_GB2312"/>
          <w:sz w:val="32"/>
          <w:szCs w:val="32"/>
          <w:lang w:val="zh-CN"/>
        </w:rPr>
        <w:t>2018</w:t>
      </w:r>
      <w:r>
        <w:rPr>
          <w:rFonts w:hint="eastAsia" w:ascii="仿宋_GB2312" w:hAnsi="仿宋_GB2312" w:eastAsia="仿宋_GB2312" w:cs="仿宋_GB2312"/>
          <w:sz w:val="32"/>
          <w:szCs w:val="32"/>
          <w:lang w:val="zh-CN"/>
        </w:rPr>
        <w:t>【</w:t>
      </w:r>
      <w:r>
        <w:rPr>
          <w:rFonts w:ascii="仿宋_GB2312" w:hAnsi="仿宋_GB2312" w:eastAsia="仿宋_GB2312" w:cs="仿宋_GB2312"/>
          <w:sz w:val="32"/>
          <w:szCs w:val="32"/>
          <w:lang w:val="zh-CN"/>
        </w:rPr>
        <w:t>58</w:t>
      </w:r>
      <w:r>
        <w:rPr>
          <w:rFonts w:hint="eastAsia" w:ascii="仿宋_GB2312" w:hAnsi="仿宋_GB2312" w:eastAsia="仿宋_GB2312" w:cs="仿宋_GB2312"/>
          <w:sz w:val="32"/>
          <w:szCs w:val="32"/>
          <w:lang w:val="zh-CN"/>
        </w:rPr>
        <w:t>】号资金）采购了一批提升医院服务能力的心电图设备、等离子空气净化消毒机、紫外线灯，</w:t>
      </w:r>
      <w:r>
        <w:rPr>
          <w:rFonts w:hint="eastAsia" w:ascii="仿宋_GB2312" w:hAnsi="仿宋_GB2312" w:eastAsia="仿宋_GB2312" w:cs="仿宋_GB2312"/>
          <w:bCs/>
          <w:sz w:val="32"/>
          <w:szCs w:val="32"/>
          <w:lang w:val="zh-CN"/>
        </w:rPr>
        <w:t>结合我院实际情况进行了项目立项工作，并严格按照政府采购程序完成了采购工作，根据相关财务制度的规定和采购合同的约定，严格按照程序及时进行了资金拨付，符合项目资金管理办法。</w:t>
      </w:r>
    </w:p>
    <w:p>
      <w:pPr>
        <w:tabs>
          <w:tab w:val="left" w:pos="3885"/>
        </w:tabs>
        <w:snapToGrid w:val="0"/>
        <w:spacing w:line="580" w:lineRule="exact"/>
        <w:ind w:firstLine="420" w:firstLineChars="200"/>
        <w:jc w:val="left"/>
        <w:rPr>
          <w:rFonts w:ascii="黑体" w:hAnsi="宋体" w:eastAsia="黑体" w:cs="黑体"/>
          <w:szCs w:val="21"/>
        </w:rPr>
      </w:pPr>
    </w:p>
    <w:p>
      <w:pPr>
        <w:snapToGrid w:val="0"/>
        <w:spacing w:line="580" w:lineRule="exact"/>
        <w:ind w:firstLine="640" w:firstLineChars="200"/>
        <w:rPr>
          <w:rFonts w:ascii="黑体" w:hAnsi="宋体" w:eastAsia="黑体" w:cs="黑体"/>
          <w:szCs w:val="21"/>
        </w:rPr>
      </w:pPr>
      <w:r>
        <w:rPr>
          <w:rFonts w:hint="eastAsia" w:ascii="黑体" w:hAnsi="宋体" w:eastAsia="黑体" w:cs="黑体"/>
          <w:sz w:val="32"/>
          <w:szCs w:val="21"/>
        </w:rPr>
        <w:t>二、评价工作开展及项目情况</w:t>
      </w:r>
    </w:p>
    <w:p>
      <w:pPr>
        <w:snapToGrid w:val="0"/>
        <w:spacing w:line="580" w:lineRule="exact"/>
        <w:ind w:firstLine="640" w:firstLineChars="200"/>
        <w:rPr>
          <w:rFonts w:ascii="宋体" w:hAnsi="宋体" w:eastAsia="仿宋_GB2312" w:cs="仿宋_GB2312"/>
          <w:sz w:val="32"/>
          <w:szCs w:val="21"/>
        </w:rPr>
      </w:pPr>
      <w:r>
        <w:rPr>
          <w:rFonts w:hint="eastAsia" w:ascii="宋体" w:hAnsi="宋体" w:eastAsia="仿宋_GB2312" w:cs="仿宋_GB2312"/>
          <w:sz w:val="32"/>
          <w:szCs w:val="21"/>
        </w:rPr>
        <w:t>项目评价实施方案情况</w:t>
      </w:r>
    </w:p>
    <w:p>
      <w:pPr>
        <w:snapToGrid w:val="0"/>
        <w:spacing w:line="580" w:lineRule="exact"/>
        <w:ind w:firstLine="640" w:firstLineChars="200"/>
        <w:rPr>
          <w:rFonts w:ascii="宋体" w:hAnsi="宋体" w:eastAsia="仿宋_GB2312" w:cs="仿宋_GB2312"/>
          <w:sz w:val="32"/>
          <w:szCs w:val="21"/>
        </w:rPr>
      </w:pPr>
      <w:r>
        <w:rPr>
          <w:rFonts w:hint="eastAsia" w:ascii="宋体" w:hAnsi="宋体" w:eastAsia="仿宋_GB2312" w:cs="仿宋_GB2312"/>
          <w:sz w:val="32"/>
          <w:szCs w:val="21"/>
        </w:rPr>
        <w:t>（一）评价指标：项目是否符合党中央、国务院和省政府决策部署，符合当前经济社会发展需要。项目预期提供的产品、服务、效益是否达成目标。项目是否达成绩效目标设定的验收标准，完成量、完成成本。反映了相关产品对社会经济、发展、自然环境带来的影响。受益群众的反馈。</w:t>
      </w:r>
    </w:p>
    <w:p>
      <w:pPr>
        <w:snapToGrid w:val="0"/>
        <w:spacing w:line="580" w:lineRule="exact"/>
        <w:ind w:firstLine="640" w:firstLineChars="200"/>
        <w:rPr>
          <w:rFonts w:ascii="宋体" w:hAnsi="宋体" w:eastAsia="仿宋_GB2312" w:cs="仿宋_GB2312"/>
          <w:sz w:val="32"/>
          <w:szCs w:val="21"/>
        </w:rPr>
      </w:pPr>
      <w:r>
        <w:rPr>
          <w:rFonts w:hint="eastAsia" w:ascii="宋体" w:hAnsi="宋体" w:eastAsia="仿宋_GB2312" w:cs="仿宋_GB2312"/>
          <w:sz w:val="32"/>
          <w:szCs w:val="21"/>
        </w:rPr>
        <w:t>（二）评价方法：实地收取群众的意见，反映真实、准确的想法。科学的抽取项目的样本，准确计算出数据。</w:t>
      </w:r>
    </w:p>
    <w:p>
      <w:pPr>
        <w:snapToGrid w:val="0"/>
        <w:spacing w:line="580" w:lineRule="exact"/>
        <w:ind w:firstLine="640" w:firstLineChars="200"/>
        <w:rPr>
          <w:rFonts w:ascii="黑体" w:hAnsi="宋体" w:eastAsia="黑体" w:cs="黑体"/>
          <w:szCs w:val="21"/>
        </w:rPr>
      </w:pPr>
      <w:r>
        <w:rPr>
          <w:rFonts w:hint="eastAsia" w:ascii="黑体" w:hAnsi="宋体" w:eastAsia="黑体" w:cs="黑体"/>
          <w:sz w:val="32"/>
          <w:szCs w:val="21"/>
        </w:rPr>
        <w:t>三、评价结论及绩效分析</w:t>
      </w:r>
    </w:p>
    <w:p>
      <w:pPr>
        <w:snapToGrid w:val="0"/>
        <w:spacing w:line="580" w:lineRule="exact"/>
        <w:ind w:firstLine="643" w:firstLineChars="200"/>
        <w:rPr>
          <w:rFonts w:hint="eastAsia" w:ascii="楷体_GB2312" w:hAnsi="宋体" w:eastAsia="楷体_GB2312" w:cs="楷体_GB2312"/>
          <w:b/>
          <w:sz w:val="32"/>
          <w:szCs w:val="21"/>
        </w:rPr>
      </w:pPr>
      <w:r>
        <w:rPr>
          <w:rFonts w:hint="eastAsia" w:ascii="楷体_GB2312" w:hAnsi="宋体" w:eastAsia="楷体_GB2312" w:cs="楷体_GB2312"/>
          <w:b/>
          <w:sz w:val="32"/>
          <w:szCs w:val="21"/>
        </w:rPr>
        <w:t>（一）评价结论</w:t>
      </w:r>
    </w:p>
    <w:tbl>
      <w:tblPr>
        <w:tblStyle w:val="13"/>
        <w:tblW w:w="9510" w:type="dxa"/>
        <w:tblInd w:w="0" w:type="dxa"/>
        <w:shd w:val="clear" w:color="auto" w:fill="auto"/>
        <w:tblLayout w:type="fixed"/>
        <w:tblCellMar>
          <w:top w:w="0" w:type="dxa"/>
          <w:left w:w="0" w:type="dxa"/>
          <w:bottom w:w="0" w:type="dxa"/>
          <w:right w:w="0" w:type="dxa"/>
        </w:tblCellMar>
      </w:tblPr>
      <w:tblGrid>
        <w:gridCol w:w="420"/>
        <w:gridCol w:w="608"/>
        <w:gridCol w:w="689"/>
        <w:gridCol w:w="449"/>
        <w:gridCol w:w="1183"/>
        <w:gridCol w:w="1667"/>
        <w:gridCol w:w="530"/>
        <w:gridCol w:w="719"/>
        <w:gridCol w:w="1098"/>
        <w:gridCol w:w="879"/>
        <w:gridCol w:w="779"/>
        <w:gridCol w:w="489"/>
      </w:tblGrid>
      <w:tr>
        <w:tblPrEx>
          <w:shd w:val="clear" w:color="auto" w:fill="auto"/>
          <w:tblCellMar>
            <w:top w:w="0" w:type="dxa"/>
            <w:left w:w="0" w:type="dxa"/>
            <w:bottom w:w="0" w:type="dxa"/>
            <w:right w:w="0" w:type="dxa"/>
          </w:tblCellMar>
        </w:tblPrEx>
        <w:trPr>
          <w:trHeight w:val="555" w:hRule="atLeast"/>
        </w:trPr>
        <w:tc>
          <w:tcPr>
            <w:tcW w:w="9510" w:type="dxa"/>
            <w:gridSpan w:val="12"/>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2018年红原县项目支出绩效评价得分情况表</w:t>
            </w:r>
          </w:p>
        </w:tc>
      </w:tr>
      <w:tr>
        <w:tblPrEx>
          <w:shd w:val="clear" w:color="auto" w:fill="auto"/>
          <w:tblCellMar>
            <w:top w:w="0" w:type="dxa"/>
            <w:left w:w="0" w:type="dxa"/>
            <w:bottom w:w="0" w:type="dxa"/>
            <w:right w:w="0" w:type="dxa"/>
          </w:tblCellMar>
        </w:tblPrEx>
        <w:trPr>
          <w:trHeight w:val="555"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7" name="图片 20"/>
                  <wp:cNvGraphicFramePr/>
                  <a:graphic xmlns:a="http://schemas.openxmlformats.org/drawingml/2006/main">
                    <a:graphicData uri="http://schemas.openxmlformats.org/drawingml/2006/picture">
                      <pic:pic xmlns:pic="http://schemas.openxmlformats.org/drawingml/2006/picture">
                        <pic:nvPicPr>
                          <pic:cNvPr id="7" name="图片 20"/>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8" name="图片 21"/>
                  <wp:cNvGraphicFramePr/>
                  <a:graphic xmlns:a="http://schemas.openxmlformats.org/drawingml/2006/main">
                    <a:graphicData uri="http://schemas.openxmlformats.org/drawingml/2006/picture">
                      <pic:pic xmlns:pic="http://schemas.openxmlformats.org/drawingml/2006/picture">
                        <pic:nvPicPr>
                          <pic:cNvPr id="8" name="图片 21"/>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9" name="图片 22"/>
                  <wp:cNvGraphicFramePr/>
                  <a:graphic xmlns:a="http://schemas.openxmlformats.org/drawingml/2006/main">
                    <a:graphicData uri="http://schemas.openxmlformats.org/drawingml/2006/picture">
                      <pic:pic xmlns:pic="http://schemas.openxmlformats.org/drawingml/2006/picture">
                        <pic:nvPicPr>
                          <pic:cNvPr id="9" name="图片 22"/>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10" name="图片 23"/>
                  <wp:cNvGraphicFramePr/>
                  <a:graphic xmlns:a="http://schemas.openxmlformats.org/drawingml/2006/main">
                    <a:graphicData uri="http://schemas.openxmlformats.org/drawingml/2006/picture">
                      <pic:pic xmlns:pic="http://schemas.openxmlformats.org/drawingml/2006/picture">
                        <pic:nvPicPr>
                          <pic:cNvPr id="10" name="图片 23"/>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20"/>
                <w:szCs w:val="20"/>
                <w:u w:val="none"/>
                <w:lang w:val="en-US" w:eastAsia="zh-CN" w:bidi="ar"/>
              </w:rPr>
              <w:t>一级指标</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4005" w:type="dxa"/>
            <w:gridSpan w:val="5"/>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评分标准（得分比值）</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28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（公式计算结果＝x）</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差</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较差</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一般</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较好</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好</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c>
          <w:tcPr>
            <w:tcW w:w="28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0.3</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0.6</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0.8</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765"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项目决策（25分）</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绩效目标（6分）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0%＜x＜30%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30%≤x＜60%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68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不明确</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基本明确</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决策依据（10分）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无</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基本符合</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无</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75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不明确</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基本明确</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82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否</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82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分配结果（5分）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10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x＞35%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25%＜x≤35%</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15%＜x≤25%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5%＜x≤15%</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x≤5%</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186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不合理</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较合理</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660"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项目管理（15分）</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不及时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1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严重滞后</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滞后</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较滞后</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较及时</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（3分） </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否</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6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x＜70%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70%≤x＜80%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80%≤x＜90%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73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不规范</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较规范</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center"/>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不规范</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较规范</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未履行</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8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x＞20%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20%≥x＞15%</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15%≥x＞10%</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x≤5%</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shd w:val="clear" w:color="auto" w:fill="auto"/>
          <w:tblCellMar>
            <w:top w:w="0" w:type="dxa"/>
            <w:left w:w="0" w:type="dxa"/>
            <w:bottom w:w="0" w:type="dxa"/>
            <w:right w:w="0" w:type="dxa"/>
          </w:tblCellMar>
        </w:tblPrEx>
        <w:trPr>
          <w:trHeight w:val="76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不严格</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较严格</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3495675</wp:posOffset>
                  </wp:positionV>
                  <wp:extent cx="28575" cy="9525"/>
                  <wp:effectExtent l="0" t="0" r="0" b="0"/>
                  <wp:wrapNone/>
                  <wp:docPr id="11" name="图片 24"/>
                  <wp:cNvGraphicFramePr/>
                  <a:graphic xmlns:a="http://schemas.openxmlformats.org/drawingml/2006/main">
                    <a:graphicData uri="http://schemas.openxmlformats.org/drawingml/2006/picture">
                      <pic:pic xmlns:pic="http://schemas.openxmlformats.org/drawingml/2006/picture">
                        <pic:nvPicPr>
                          <pic:cNvPr id="11" name="图片 24"/>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3495675</wp:posOffset>
                  </wp:positionV>
                  <wp:extent cx="0" cy="9525"/>
                  <wp:effectExtent l="0" t="0" r="0" b="0"/>
                  <wp:wrapNone/>
                  <wp:docPr id="12" name="图片 25"/>
                  <wp:cNvGraphicFramePr/>
                  <a:graphic xmlns:a="http://schemas.openxmlformats.org/drawingml/2006/main">
                    <a:graphicData uri="http://schemas.openxmlformats.org/drawingml/2006/picture">
                      <pic:pic xmlns:pic="http://schemas.openxmlformats.org/drawingml/2006/picture">
                        <pic:nvPicPr>
                          <pic:cNvPr id="12" name="图片 25"/>
                          <pic:cNvPicPr/>
                        </pic:nvPicPr>
                        <pic:blipFill>
                          <a:blip r:embed="rId14"/>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lang w:val="en-US" w:eastAsia="zh-CN" w:bidi="ar"/>
              </w:rPr>
              <w:t>项目绩效（特性指标60分）</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项目完成（15分）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x＜85%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85%≤x＜90%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90%≤x＜95%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95%≤x＜100%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x＝100%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不符合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74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15%≥x＞10%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5%≥x＞0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shd w:val="clear" w:color="auto" w:fill="auto"/>
          <w:tblCellMar>
            <w:top w:w="0" w:type="dxa"/>
            <w:left w:w="0" w:type="dxa"/>
            <w:bottom w:w="0" w:type="dxa"/>
            <w:right w:w="0" w:type="dxa"/>
          </w:tblCellMar>
        </w:tblPrEx>
        <w:trPr>
          <w:trHeight w:val="6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x＞15%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15%≥x＞10%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5%≥x＞0</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x≤0</w:t>
            </w: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shd w:val="clear" w:color="auto" w:fill="auto"/>
          <w:tblCellMar>
            <w:top w:w="0" w:type="dxa"/>
            <w:left w:w="0" w:type="dxa"/>
            <w:bottom w:w="0" w:type="dxa"/>
            <w:right w:w="0" w:type="dxa"/>
          </w:tblCellMar>
        </w:tblPrEx>
        <w:trPr>
          <w:trHeight w:val="86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项目效益（40分）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84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555"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r>
      <w:tr>
        <w:tblPrEx>
          <w:shd w:val="clear" w:color="auto" w:fill="auto"/>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shd w:val="clear" w:color="auto" w:fill="auto"/>
          <w:tblCellMar>
            <w:top w:w="0" w:type="dxa"/>
            <w:left w:w="0" w:type="dxa"/>
            <w:bottom w:w="0" w:type="dxa"/>
            <w:right w:w="0" w:type="dxa"/>
          </w:tblCellMar>
        </w:tblPrEx>
        <w:trPr>
          <w:trHeight w:val="1060"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textDirection w:val="tbRlV"/>
            <w:vAlign w:val="bottom"/>
          </w:tcPr>
          <w:p>
            <w:pPr>
              <w:jc w:val="center"/>
              <w:rPr>
                <w:rFonts w:hint="eastAsia" w:ascii="宋体" w:hAnsi="宋体" w:eastAsia="宋体" w:cs="宋体"/>
                <w:i w:val="0"/>
                <w:color w:val="000000"/>
                <w:sz w:val="20"/>
                <w:szCs w:val="20"/>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满意度（5分）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cente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tblPrEx>
          <w:shd w:val="clear" w:color="auto" w:fill="auto"/>
          <w:tblCellMar>
            <w:top w:w="0" w:type="dxa"/>
            <w:left w:w="0" w:type="dxa"/>
            <w:bottom w:w="0" w:type="dxa"/>
            <w:right w:w="0" w:type="dxa"/>
          </w:tblCellMar>
        </w:tblPrEx>
        <w:trPr>
          <w:trHeight w:val="55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both"/>
              <w:textAlignment w:val="bottom"/>
              <w:rPr>
                <w:rFonts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得分</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rPr>
                <w:rFonts w:hint="eastAsia" w:ascii="宋体" w:hAnsi="宋体" w:eastAsia="宋体" w:cs="宋体"/>
                <w:i w:val="0"/>
                <w:color w:val="000000"/>
                <w:sz w:val="20"/>
                <w:szCs w:val="20"/>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93</w:t>
            </w:r>
          </w:p>
        </w:tc>
      </w:tr>
    </w:tbl>
    <w:p>
      <w:pPr>
        <w:snapToGrid w:val="0"/>
        <w:spacing w:line="580" w:lineRule="exact"/>
        <w:rPr>
          <w:rFonts w:ascii="楷体_GB2312" w:hAnsi="宋体" w:eastAsia="楷体_GB2312" w:cs="楷体_GB2312"/>
          <w:b/>
          <w:sz w:val="32"/>
          <w:szCs w:val="21"/>
        </w:rPr>
      </w:pPr>
    </w:p>
    <w:p>
      <w:pPr>
        <w:snapToGrid w:val="0"/>
        <w:spacing w:line="580" w:lineRule="exact"/>
        <w:ind w:firstLine="643" w:firstLineChars="200"/>
        <w:rPr>
          <w:rFonts w:ascii="楷体_GB2312" w:hAnsi="宋体" w:eastAsia="楷体_GB2312" w:cs="楷体_GB2312"/>
          <w:b/>
          <w:szCs w:val="21"/>
        </w:rPr>
      </w:pPr>
      <w:r>
        <w:rPr>
          <w:rFonts w:hint="eastAsia" w:ascii="楷体_GB2312" w:hAnsi="宋体" w:eastAsia="楷体_GB2312" w:cs="楷体_GB2312"/>
          <w:b/>
          <w:sz w:val="32"/>
          <w:szCs w:val="21"/>
        </w:rPr>
        <w:t>（二）绩效分析</w:t>
      </w:r>
    </w:p>
    <w:p>
      <w:pPr>
        <w:snapToGrid w:val="0"/>
        <w:spacing w:line="580" w:lineRule="exact"/>
        <w:ind w:firstLine="640" w:firstLineChars="200"/>
        <w:rPr>
          <w:rFonts w:ascii="宋体" w:hAnsi="宋体" w:eastAsia="仿宋_GB2312" w:cs="宋体"/>
          <w:szCs w:val="21"/>
        </w:rPr>
      </w:pPr>
      <w:r>
        <w:rPr>
          <w:rFonts w:ascii="宋体" w:hAnsi="宋体" w:eastAsia="仿宋_GB2312" w:cs="宋体"/>
          <w:sz w:val="32"/>
          <w:szCs w:val="21"/>
        </w:rPr>
        <w:t>1</w:t>
      </w:r>
      <w:r>
        <w:rPr>
          <w:rFonts w:hint="eastAsia" w:ascii="宋体" w:hAnsi="宋体" w:eastAsia="仿宋_GB2312" w:cs="仿宋_GB2312"/>
          <w:sz w:val="32"/>
          <w:szCs w:val="21"/>
        </w:rPr>
        <w:t>、项目决策</w:t>
      </w:r>
    </w:p>
    <w:p>
      <w:pPr>
        <w:adjustRightInd w:val="0"/>
        <w:snapToGrid w:val="0"/>
        <w:spacing w:line="58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为解决边远群众看病难、治病难和提高我院医疗水平问题，我院于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年用专项资金（</w:t>
      </w:r>
      <w:r>
        <w:rPr>
          <w:rFonts w:hint="eastAsia" w:ascii="仿宋_GB2312" w:hAnsi="仿宋_GB2312" w:eastAsia="仿宋_GB2312" w:cs="仿宋_GB2312"/>
          <w:sz w:val="32"/>
          <w:szCs w:val="32"/>
          <w:lang w:val="zh-CN"/>
        </w:rPr>
        <w:t>阿州财社</w:t>
      </w:r>
      <w:r>
        <w:rPr>
          <w:rFonts w:ascii="仿宋_GB2312" w:hAnsi="仿宋_GB2312" w:eastAsia="仿宋_GB2312" w:cs="仿宋_GB2312"/>
          <w:sz w:val="32"/>
          <w:szCs w:val="32"/>
          <w:lang w:val="zh-CN"/>
        </w:rPr>
        <w:t>2018</w:t>
      </w:r>
      <w:r>
        <w:rPr>
          <w:rFonts w:hint="eastAsia" w:ascii="仿宋_GB2312" w:hAnsi="仿宋_GB2312" w:eastAsia="仿宋_GB2312" w:cs="仿宋_GB2312"/>
          <w:sz w:val="32"/>
          <w:szCs w:val="32"/>
          <w:lang w:val="zh-CN"/>
        </w:rPr>
        <w:t>【</w:t>
      </w:r>
      <w:r>
        <w:rPr>
          <w:rFonts w:ascii="仿宋_GB2312" w:hAnsi="仿宋_GB2312" w:eastAsia="仿宋_GB2312" w:cs="仿宋_GB2312"/>
          <w:sz w:val="32"/>
          <w:szCs w:val="32"/>
          <w:lang w:val="zh-CN"/>
        </w:rPr>
        <w:t>58</w:t>
      </w:r>
      <w:r>
        <w:rPr>
          <w:rFonts w:hint="eastAsia" w:ascii="仿宋_GB2312" w:hAnsi="仿宋_GB2312" w:eastAsia="仿宋_GB2312" w:cs="仿宋_GB2312"/>
          <w:sz w:val="32"/>
          <w:szCs w:val="32"/>
          <w:lang w:val="zh-CN"/>
        </w:rPr>
        <w:t>】号资金）采购了一批提升医院服务能力的心电设备，</w:t>
      </w:r>
      <w:r>
        <w:rPr>
          <w:rFonts w:hint="eastAsia" w:ascii="仿宋_GB2312" w:hAnsi="仿宋_GB2312" w:eastAsia="仿宋_GB2312" w:cs="仿宋_GB2312"/>
          <w:bCs/>
          <w:sz w:val="32"/>
          <w:szCs w:val="32"/>
          <w:lang w:val="zh-CN"/>
        </w:rPr>
        <w:t>结合我院实际情况进行了项目立项工作，并严格按照政府采购程序完成了采购工作，根据相关财务制度的规定和采购合同的约定，严格按照程序及时进行了资金拨付，符合项目资金管理办法。</w:t>
      </w:r>
    </w:p>
    <w:p>
      <w:pPr>
        <w:snapToGrid w:val="0"/>
        <w:spacing w:line="580" w:lineRule="exact"/>
        <w:ind w:firstLine="640" w:firstLineChars="200"/>
        <w:rPr>
          <w:rFonts w:ascii="宋体" w:hAnsi="宋体" w:eastAsia="仿宋_GB2312" w:cs="仿宋_GB2312"/>
          <w:sz w:val="32"/>
          <w:szCs w:val="21"/>
        </w:rPr>
      </w:pPr>
      <w:r>
        <w:rPr>
          <w:rFonts w:ascii="宋体" w:hAnsi="宋体" w:eastAsia="仿宋_GB2312" w:cs="宋体"/>
          <w:sz w:val="32"/>
          <w:szCs w:val="21"/>
        </w:rPr>
        <w:t>2</w:t>
      </w:r>
      <w:r>
        <w:rPr>
          <w:rFonts w:hint="eastAsia" w:ascii="宋体" w:hAnsi="宋体" w:eastAsia="仿宋_GB2312" w:cs="仿宋_GB2312"/>
          <w:sz w:val="32"/>
          <w:szCs w:val="21"/>
        </w:rPr>
        <w:t>、项目管理</w:t>
      </w:r>
    </w:p>
    <w:p>
      <w:pPr>
        <w:adjustRightInd w:val="0"/>
        <w:snapToGrid w:val="0"/>
        <w:spacing w:line="580" w:lineRule="exact"/>
        <w:ind w:firstLine="720"/>
        <w:rPr>
          <w:rFonts w:ascii="楷体_GB2312" w:hAnsi="宋体" w:eastAsia="楷体_GB2312" w:cs="楷体_GB2312"/>
          <w:b/>
          <w:sz w:val="32"/>
          <w:lang w:val="zh-CN"/>
        </w:rPr>
      </w:pPr>
      <w:r>
        <w:rPr>
          <w:rFonts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仿宋_GB2312" w:hAnsi="宋体" w:eastAsia="仿宋_GB2312" w:cs="楷体_GB2312"/>
          <w:sz w:val="32"/>
          <w:szCs w:val="32"/>
          <w:lang w:val="zh-CN"/>
        </w:rPr>
      </w:pPr>
      <w:r>
        <w:rPr>
          <w:rFonts w:ascii="仿宋_GB2312" w:hAnsi="宋体" w:eastAsia="仿宋_GB2312" w:cs="楷体_GB2312"/>
          <w:sz w:val="32"/>
          <w:szCs w:val="32"/>
          <w:lang w:val="zh-CN"/>
        </w:rPr>
        <w:t>1</w:t>
      </w:r>
      <w:r>
        <w:rPr>
          <w:rFonts w:hint="eastAsia" w:ascii="仿宋_GB2312" w:hAnsi="宋体" w:eastAsia="仿宋_GB2312" w:cs="楷体_GB2312"/>
          <w:sz w:val="32"/>
          <w:szCs w:val="32"/>
          <w:lang w:val="zh-CN"/>
        </w:rPr>
        <w:t>．资金计划及到位。</w:t>
      </w:r>
    </w:p>
    <w:p>
      <w:pPr>
        <w:adjustRightInd w:val="0"/>
        <w:snapToGrid w:val="0"/>
        <w:spacing w:line="580" w:lineRule="exact"/>
        <w:ind w:firstLine="720"/>
        <w:rPr>
          <w:rFonts w:ascii="仿宋_GB2312" w:hAnsi="宋体" w:eastAsia="仿宋_GB2312" w:cs="楷体_GB2312"/>
          <w:sz w:val="32"/>
          <w:szCs w:val="32"/>
          <w:lang w:val="zh-CN"/>
        </w:rPr>
      </w:pPr>
      <w:r>
        <w:rPr>
          <w:rFonts w:hint="eastAsia" w:ascii="仿宋_GB2312" w:hAnsi="宋体" w:eastAsia="仿宋_GB2312" w:cs="楷体_GB2312"/>
          <w:sz w:val="32"/>
          <w:szCs w:val="32"/>
          <w:lang w:val="zh-CN"/>
        </w:rPr>
        <w:t>项目资金到位及时，包括中央到县财政拨付率</w:t>
      </w:r>
      <w:r>
        <w:rPr>
          <w:rFonts w:ascii="仿宋_GB2312" w:hAnsi="宋体" w:eastAsia="仿宋_GB2312" w:cs="楷体_GB2312"/>
          <w:sz w:val="32"/>
          <w:szCs w:val="32"/>
          <w:lang w:val="zh-CN"/>
        </w:rPr>
        <w:t>100%</w:t>
      </w:r>
      <w:r>
        <w:rPr>
          <w:rFonts w:hint="eastAsia" w:ascii="仿宋_GB2312" w:hAnsi="宋体" w:eastAsia="仿宋_GB2312" w:cs="楷体_GB2312"/>
          <w:sz w:val="32"/>
          <w:szCs w:val="32"/>
          <w:lang w:val="zh-CN"/>
        </w:rPr>
        <w:t>，</w:t>
      </w:r>
    </w:p>
    <w:p>
      <w:pPr>
        <w:adjustRightInd w:val="0"/>
        <w:snapToGrid w:val="0"/>
        <w:spacing w:line="580" w:lineRule="exact"/>
        <w:ind w:firstLine="720"/>
        <w:rPr>
          <w:rFonts w:ascii="仿宋_GB2312" w:hAnsi="宋体" w:eastAsia="仿宋_GB2312" w:cs="楷体_GB2312"/>
          <w:sz w:val="32"/>
          <w:szCs w:val="32"/>
          <w:lang w:val="zh-CN"/>
        </w:rPr>
      </w:pPr>
      <w:r>
        <w:rPr>
          <w:rFonts w:ascii="仿宋_GB2312" w:hAnsi="宋体" w:eastAsia="仿宋_GB2312" w:cs="楷体_GB2312"/>
          <w:sz w:val="32"/>
          <w:szCs w:val="32"/>
          <w:lang w:val="zh-CN"/>
        </w:rPr>
        <w:t>2</w:t>
      </w:r>
      <w:r>
        <w:rPr>
          <w:rFonts w:hint="eastAsia" w:ascii="仿宋_GB2312" w:hAnsi="宋体" w:eastAsia="仿宋_GB2312" w:cs="楷体_GB2312"/>
          <w:sz w:val="32"/>
          <w:szCs w:val="32"/>
          <w:lang w:val="zh-CN"/>
        </w:rPr>
        <w:t>．资金使用。</w:t>
      </w:r>
    </w:p>
    <w:p>
      <w:pPr>
        <w:adjustRightInd w:val="0"/>
        <w:snapToGrid w:val="0"/>
        <w:spacing w:line="580" w:lineRule="exact"/>
        <w:ind w:firstLine="720"/>
        <w:rPr>
          <w:rFonts w:ascii="仿宋_GB2312" w:hAnsi="宋体" w:eastAsia="仿宋_GB2312" w:cs="楷体_GB2312"/>
          <w:sz w:val="32"/>
          <w:szCs w:val="32"/>
          <w:lang w:val="zh-CN"/>
        </w:rPr>
      </w:pPr>
      <w:r>
        <w:rPr>
          <w:rFonts w:hint="eastAsia" w:ascii="仿宋_GB2312" w:hAnsi="宋体" w:eastAsia="仿宋_GB2312" w:cs="楷体_GB2312"/>
          <w:sz w:val="32"/>
          <w:szCs w:val="32"/>
          <w:lang w:val="zh-CN"/>
        </w:rPr>
        <w:t>阿州财社</w:t>
      </w:r>
      <w:r>
        <w:rPr>
          <w:rFonts w:ascii="仿宋_GB2312" w:hAnsi="宋体" w:eastAsia="仿宋_GB2312" w:cs="楷体_GB2312"/>
          <w:sz w:val="32"/>
          <w:szCs w:val="32"/>
          <w:lang w:val="zh-CN"/>
        </w:rPr>
        <w:t>2018</w:t>
      </w:r>
      <w:r>
        <w:rPr>
          <w:rFonts w:hint="eastAsia" w:ascii="仿宋_GB2312" w:hAnsi="宋体" w:eastAsia="仿宋_GB2312" w:cs="楷体_GB2312"/>
          <w:sz w:val="32"/>
          <w:szCs w:val="32"/>
          <w:lang w:val="zh-CN"/>
        </w:rPr>
        <w:t>【</w:t>
      </w:r>
      <w:r>
        <w:rPr>
          <w:rFonts w:ascii="仿宋_GB2312" w:hAnsi="宋体" w:eastAsia="仿宋_GB2312" w:cs="楷体_GB2312"/>
          <w:sz w:val="32"/>
          <w:szCs w:val="32"/>
          <w:lang w:val="zh-CN"/>
        </w:rPr>
        <w:t>58</w:t>
      </w:r>
      <w:r>
        <w:rPr>
          <w:rFonts w:hint="eastAsia" w:ascii="仿宋_GB2312" w:hAnsi="宋体" w:eastAsia="仿宋_GB2312" w:cs="楷体_GB2312"/>
          <w:sz w:val="32"/>
          <w:szCs w:val="32"/>
          <w:lang w:val="zh-CN"/>
        </w:rPr>
        <w:t>】号资金共计</w:t>
      </w:r>
      <w:r>
        <w:rPr>
          <w:rFonts w:ascii="仿宋_GB2312" w:hAnsi="宋体" w:eastAsia="仿宋_GB2312" w:cs="楷体_GB2312"/>
          <w:sz w:val="32"/>
          <w:szCs w:val="32"/>
          <w:lang w:val="zh-CN"/>
        </w:rPr>
        <w:t>100000.00</w:t>
      </w:r>
      <w:r>
        <w:rPr>
          <w:rFonts w:hint="eastAsia" w:ascii="仿宋_GB2312" w:hAnsi="宋体" w:eastAsia="仿宋_GB2312" w:cs="楷体_GB2312"/>
          <w:sz w:val="32"/>
          <w:szCs w:val="32"/>
          <w:lang w:val="zh-CN"/>
        </w:rPr>
        <w:t>元，按照相关规定已累计拨付</w:t>
      </w:r>
      <w:r>
        <w:rPr>
          <w:rFonts w:ascii="仿宋_GB2312" w:hAnsi="宋体" w:eastAsia="仿宋_GB2312" w:cs="楷体_GB2312"/>
          <w:sz w:val="32"/>
          <w:szCs w:val="32"/>
        </w:rPr>
        <w:t>83900.00</w:t>
      </w:r>
      <w:r>
        <w:rPr>
          <w:rFonts w:hint="eastAsia" w:ascii="仿宋_GB2312" w:hAnsi="宋体" w:eastAsia="仿宋_GB2312" w:cs="楷体_GB2312"/>
          <w:sz w:val="32"/>
          <w:szCs w:val="32"/>
          <w:lang w:val="zh-CN"/>
        </w:rPr>
        <w:t>元，剩余</w:t>
      </w:r>
      <w:r>
        <w:rPr>
          <w:rFonts w:ascii="仿宋_GB2312" w:hAnsi="宋体" w:eastAsia="仿宋_GB2312" w:cs="楷体_GB2312"/>
          <w:sz w:val="32"/>
          <w:szCs w:val="32"/>
        </w:rPr>
        <w:t>6000.00</w:t>
      </w:r>
      <w:r>
        <w:rPr>
          <w:rFonts w:hint="eastAsia" w:ascii="仿宋_GB2312" w:hAnsi="宋体" w:eastAsia="仿宋_GB2312" w:cs="楷体_GB2312"/>
          <w:sz w:val="32"/>
          <w:szCs w:val="32"/>
          <w:lang w:val="zh-CN"/>
        </w:rPr>
        <w:t>元和</w:t>
      </w:r>
      <w:r>
        <w:rPr>
          <w:rFonts w:ascii="仿宋_GB2312" w:hAnsi="宋体" w:eastAsia="仿宋_GB2312" w:cs="楷体_GB2312"/>
          <w:sz w:val="32"/>
          <w:szCs w:val="32"/>
          <w:lang w:val="zh-CN"/>
        </w:rPr>
        <w:t>4700.00</w:t>
      </w:r>
      <w:r>
        <w:rPr>
          <w:rFonts w:hint="eastAsia" w:ascii="仿宋_GB2312" w:hAnsi="宋体" w:eastAsia="仿宋_GB2312" w:cs="楷体_GB2312"/>
          <w:sz w:val="32"/>
          <w:szCs w:val="32"/>
          <w:lang w:val="zh-CN"/>
        </w:rPr>
        <w:t>元的质保金；项目支付进度与计划相符，支付凭据齐全合法。</w:t>
      </w:r>
    </w:p>
    <w:p>
      <w:pPr>
        <w:pStyle w:val="12"/>
        <w:numPr>
          <w:ilvl w:val="0"/>
          <w:numId w:val="7"/>
        </w:numPr>
        <w:shd w:val="clear" w:color="auto" w:fill="FFFFFF"/>
        <w:spacing w:before="0" w:beforeAutospacing="0" w:after="0" w:afterAutospacing="0" w:line="520" w:lineRule="exact"/>
        <w:ind w:firstLine="645"/>
        <w:rPr>
          <w:rFonts w:ascii="楷体_GB2312" w:eastAsia="楷体_GB2312" w:cs="楷体_GB2312"/>
          <w:b/>
          <w:kern w:val="2"/>
          <w:sz w:val="32"/>
          <w:lang w:val="zh-CN"/>
        </w:rPr>
      </w:pPr>
      <w:r>
        <w:rPr>
          <w:rFonts w:hint="eastAsia" w:ascii="楷体_GB2312" w:eastAsia="楷体_GB2312" w:cs="楷体_GB2312"/>
          <w:b/>
          <w:kern w:val="2"/>
          <w:sz w:val="32"/>
          <w:lang w:val="zh-CN"/>
        </w:rPr>
        <w:t>项目财务管理情况。</w:t>
      </w:r>
    </w:p>
    <w:p>
      <w:pPr>
        <w:pStyle w:val="12"/>
        <w:shd w:val="clear" w:color="auto" w:fill="FFFFFF"/>
        <w:spacing w:before="0" w:beforeAutospacing="0" w:after="0" w:afterAutospacing="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院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numPr>
          <w:ilvl w:val="0"/>
          <w:numId w:val="7"/>
        </w:numPr>
        <w:adjustRightInd w:val="0"/>
        <w:snapToGrid w:val="0"/>
        <w:spacing w:line="580" w:lineRule="exact"/>
        <w:ind w:firstLine="645"/>
        <w:rPr>
          <w:rFonts w:ascii="楷体_GB2312" w:hAnsi="宋体" w:eastAsia="楷体_GB2312" w:cs="楷体_GB2312"/>
          <w:b/>
          <w:sz w:val="32"/>
          <w:lang w:val="zh-CN"/>
        </w:rPr>
      </w:pPr>
      <w:r>
        <w:rPr>
          <w:rFonts w:hint="eastAsia" w:ascii="楷体_GB2312" w:hAnsi="宋体" w:eastAsia="楷体_GB2312" w:cs="楷体_GB2312"/>
          <w:b/>
          <w:sz w:val="32"/>
          <w:lang w:val="zh-CN"/>
        </w:rPr>
        <w:t>项目组织实施情况。</w:t>
      </w:r>
    </w:p>
    <w:p>
      <w:pPr>
        <w:adjustRightInd w:val="0"/>
        <w:snapToGrid w:val="0"/>
        <w:spacing w:line="580" w:lineRule="exact"/>
        <w:ind w:firstLine="640" w:firstLineChars="200"/>
        <w:rPr>
          <w:rFonts w:ascii="仿宋_GB2312" w:hAnsi="宋体" w:eastAsia="仿宋_GB2312" w:cs="仿宋_GB2312"/>
          <w:sz w:val="32"/>
          <w:szCs w:val="32"/>
          <w:lang w:val="zh-CN"/>
        </w:rPr>
      </w:pPr>
      <w:r>
        <w:rPr>
          <w:rFonts w:hint="eastAsia" w:ascii="仿宋_GB2312" w:hAnsi="仿宋" w:eastAsia="仿宋_GB2312" w:cs="宋体"/>
          <w:color w:val="000000"/>
          <w:kern w:val="0"/>
          <w:sz w:val="32"/>
          <w:szCs w:val="32"/>
          <w:shd w:val="clear" w:color="auto" w:fill="FFFFFF"/>
        </w:rPr>
        <w:t>成立了以院长为组长，分管院长为副组长，相关职能科室为成员的管理小组。</w:t>
      </w:r>
      <w:r>
        <w:rPr>
          <w:rFonts w:hint="eastAsia" w:ascii="仿宋_GB2312" w:hAnsi="宋体" w:eastAsia="仿宋_GB2312" w:cs="仿宋_GB2312"/>
          <w:sz w:val="32"/>
          <w:szCs w:val="32"/>
          <w:lang w:val="zh-CN"/>
        </w:rPr>
        <w:t>项目由主管领导组织相关专业人员进行项目论证，提交职代会一致表决通过，指定专人按照政府采购程序开展采购工作，及时进行信息公示，组织科室相关人员验收合格后，根据我县资金拨付的要求和规定，按照程序及时予以拨付，并依法接受监督。</w:t>
      </w:r>
    </w:p>
    <w:p>
      <w:pPr>
        <w:snapToGrid w:val="0"/>
        <w:spacing w:line="580" w:lineRule="exact"/>
        <w:ind w:firstLine="640" w:firstLineChars="200"/>
        <w:rPr>
          <w:rFonts w:ascii="黑体" w:hAnsi="宋体" w:eastAsia="黑体" w:cs="黑体"/>
          <w:sz w:val="32"/>
          <w:szCs w:val="21"/>
        </w:rPr>
      </w:pPr>
      <w:r>
        <w:rPr>
          <w:rFonts w:hint="eastAsia" w:ascii="黑体" w:hAnsi="宋体" w:eastAsia="黑体" w:cs="黑体"/>
          <w:sz w:val="32"/>
          <w:szCs w:val="21"/>
        </w:rPr>
        <w:t>四、存在主要问题</w:t>
      </w:r>
    </w:p>
    <w:p>
      <w:pPr>
        <w:adjustRightInd w:val="0"/>
        <w:snapToGrid w:val="0"/>
        <w:spacing w:line="580" w:lineRule="exact"/>
        <w:ind w:firstLine="720"/>
        <w:rPr>
          <w:rFonts w:eastAsia="仿宋_GB2312"/>
          <w:color w:val="333333"/>
          <w:sz w:val="32"/>
          <w:szCs w:val="14"/>
          <w:shd w:val="clear" w:color="auto" w:fill="FFFFFF"/>
        </w:rPr>
      </w:pPr>
      <w:r>
        <w:rPr>
          <w:rFonts w:eastAsia="仿宋_GB2312"/>
          <w:color w:val="333333"/>
          <w:sz w:val="32"/>
          <w:szCs w:val="14"/>
          <w:shd w:val="clear" w:color="auto" w:fill="FFFFFF"/>
        </w:rPr>
        <w:t>1.</w:t>
      </w:r>
      <w:r>
        <w:rPr>
          <w:rFonts w:hint="eastAsia" w:eastAsia="仿宋_GB2312"/>
          <w:color w:val="333333"/>
          <w:sz w:val="32"/>
          <w:szCs w:val="14"/>
          <w:shd w:val="clear" w:color="auto" w:fill="FFFFFF"/>
        </w:rPr>
        <w:t>如医师不严格遵守相关规则制度或操作不熟练则会致心电图诊断错误</w:t>
      </w:r>
      <w:r>
        <w:rPr>
          <w:rFonts w:eastAsia="仿宋_GB2312"/>
          <w:color w:val="333333"/>
          <w:sz w:val="32"/>
          <w:szCs w:val="14"/>
          <w:shd w:val="clear" w:color="auto" w:fill="FFFFFF"/>
        </w:rPr>
        <w:t>,</w:t>
      </w:r>
      <w:r>
        <w:rPr>
          <w:rFonts w:hint="eastAsia" w:eastAsia="仿宋_GB2312"/>
          <w:color w:val="333333"/>
          <w:sz w:val="32"/>
          <w:szCs w:val="14"/>
          <w:shd w:val="clear" w:color="auto" w:fill="FFFFFF"/>
        </w:rPr>
        <w:t>给临床医师诊断疾病和制定治疗方案造成一定影响</w:t>
      </w:r>
      <w:r>
        <w:rPr>
          <w:rFonts w:eastAsia="仿宋_GB2312"/>
          <w:color w:val="333333"/>
          <w:sz w:val="32"/>
          <w:szCs w:val="14"/>
          <w:shd w:val="clear" w:color="auto" w:fill="FFFFFF"/>
        </w:rPr>
        <w:t>,</w:t>
      </w:r>
      <w:r>
        <w:rPr>
          <w:rFonts w:hint="eastAsia" w:eastAsia="仿宋_GB2312"/>
          <w:color w:val="333333"/>
          <w:sz w:val="32"/>
          <w:szCs w:val="14"/>
          <w:shd w:val="clear" w:color="auto" w:fill="FFFFFF"/>
        </w:rPr>
        <w:t>最终可能会影响患者诊疗结果。</w:t>
      </w:r>
    </w:p>
    <w:p>
      <w:pPr>
        <w:adjustRightInd w:val="0"/>
        <w:snapToGrid w:val="0"/>
        <w:spacing w:line="580" w:lineRule="exact"/>
        <w:ind w:firstLine="720"/>
        <w:rPr>
          <w:rFonts w:ascii="仿宋_GB2312" w:hAnsi="宋体" w:eastAsia="仿宋_GB2312" w:cs="楷体_GB2312"/>
          <w:b/>
          <w:sz w:val="32"/>
          <w:lang w:val="zh-CN"/>
        </w:rPr>
      </w:pPr>
      <w:r>
        <w:rPr>
          <w:rFonts w:eastAsia="仿宋_GB2312"/>
          <w:color w:val="333333"/>
          <w:sz w:val="32"/>
          <w:szCs w:val="14"/>
          <w:shd w:val="clear" w:color="auto" w:fill="FFFFFF"/>
        </w:rPr>
        <w:t>2.</w:t>
      </w:r>
      <w:r>
        <w:rPr>
          <w:rFonts w:ascii="宋体" w:hAnsi="宋体" w:cs="宋体"/>
          <w:kern w:val="0"/>
          <w:sz w:val="24"/>
        </w:rPr>
        <w:t xml:space="preserve"> </w:t>
      </w:r>
      <w:r>
        <w:rPr>
          <w:rFonts w:hint="eastAsia" w:ascii="仿宋_GB2312" w:hAnsi="宋体" w:eastAsia="仿宋_GB2312" w:cs="宋体"/>
          <w:kern w:val="0"/>
          <w:sz w:val="32"/>
        </w:rPr>
        <w:t>走纸不正常</w:t>
      </w:r>
      <w:r>
        <w:rPr>
          <w:rFonts w:hint="eastAsia" w:ascii="仿宋——GB2312" w:hAnsi="宋体" w:eastAsia="仿宋——GB2312" w:cs="宋体"/>
          <w:kern w:val="0"/>
          <w:sz w:val="32"/>
        </w:rPr>
        <w:t>、</w:t>
      </w:r>
      <w:r>
        <w:rPr>
          <w:rFonts w:hint="eastAsia" w:ascii="仿宋_GB2312" w:hAnsi="宋体" w:eastAsia="仿宋_GB2312" w:cs="宋体"/>
          <w:kern w:val="0"/>
          <w:sz w:val="32"/>
        </w:rPr>
        <w:t>信号干扰、接触不良、黑屏、不显示心电图谱等问题。</w:t>
      </w:r>
    </w:p>
    <w:p>
      <w:pPr>
        <w:snapToGrid w:val="0"/>
        <w:spacing w:line="580" w:lineRule="exact"/>
        <w:ind w:firstLine="640" w:firstLineChars="200"/>
        <w:rPr>
          <w:rFonts w:ascii="黑体" w:hAnsi="宋体" w:eastAsia="黑体" w:cs="黑体"/>
          <w:sz w:val="32"/>
          <w:szCs w:val="21"/>
        </w:rPr>
      </w:pPr>
      <w:r>
        <w:rPr>
          <w:rFonts w:hint="eastAsia" w:ascii="黑体" w:hAnsi="宋体" w:eastAsia="黑体" w:cs="黑体"/>
          <w:sz w:val="32"/>
          <w:szCs w:val="21"/>
        </w:rPr>
        <w:t>五、相关措施建</w:t>
      </w:r>
    </w:p>
    <w:p>
      <w:pPr>
        <w:adjustRightInd w:val="0"/>
        <w:snapToGrid w:val="0"/>
        <w:spacing w:line="580" w:lineRule="exact"/>
        <w:ind w:firstLine="640" w:firstLineChars="200"/>
        <w:rPr>
          <w:rFonts w:ascii="宋体" w:cs="宋体"/>
          <w:kern w:val="0"/>
          <w:sz w:val="24"/>
        </w:rPr>
      </w:pPr>
      <w:r>
        <w:rPr>
          <w:rFonts w:ascii="仿宋_GB2312" w:hAnsi="宋体" w:eastAsia="仿宋_GB2312" w:cs="宋体"/>
          <w:kern w:val="0"/>
          <w:sz w:val="32"/>
        </w:rPr>
        <w:t>1.</w:t>
      </w:r>
      <w:r>
        <w:rPr>
          <w:rFonts w:hint="eastAsia" w:ascii="仿宋_GB2312" w:hAnsi="宋体" w:eastAsia="仿宋_GB2312" w:cs="宋体"/>
          <w:kern w:val="0"/>
          <w:sz w:val="32"/>
        </w:rPr>
        <w:t>使用心电图机给患者做心电图时</w:t>
      </w:r>
      <w:r>
        <w:rPr>
          <w:rFonts w:ascii="仿宋_GB2312" w:hAnsi="宋体" w:eastAsia="仿宋_GB2312" w:cs="宋体"/>
          <w:kern w:val="0"/>
          <w:sz w:val="32"/>
        </w:rPr>
        <w:t>,</w:t>
      </w:r>
      <w:r>
        <w:rPr>
          <w:rFonts w:hint="eastAsia" w:ascii="仿宋_GB2312" w:hAnsi="宋体" w:eastAsia="仿宋_GB2312" w:cs="宋体"/>
          <w:kern w:val="0"/>
          <w:sz w:val="32"/>
        </w:rPr>
        <w:t>其所采集心电信号的准确性受到各种因素的干扰。因此</w:t>
      </w:r>
      <w:r>
        <w:rPr>
          <w:rFonts w:ascii="仿宋_GB2312" w:hAnsi="宋体" w:eastAsia="仿宋_GB2312" w:cs="宋体"/>
          <w:kern w:val="0"/>
          <w:sz w:val="32"/>
        </w:rPr>
        <w:t>,</w:t>
      </w:r>
      <w:r>
        <w:rPr>
          <w:rFonts w:hint="eastAsia" w:ascii="仿宋_GB2312" w:hAnsi="宋体" w:eastAsia="仿宋_GB2312" w:cs="宋体"/>
          <w:kern w:val="0"/>
          <w:sz w:val="32"/>
        </w:rPr>
        <w:t>我们必须有针对性地采取措施</w:t>
      </w:r>
      <w:r>
        <w:rPr>
          <w:rFonts w:ascii="仿宋_GB2312" w:hAnsi="宋体" w:eastAsia="仿宋_GB2312" w:cs="宋体"/>
          <w:kern w:val="0"/>
          <w:sz w:val="32"/>
        </w:rPr>
        <w:t>,</w:t>
      </w:r>
      <w:r>
        <w:rPr>
          <w:rFonts w:hint="eastAsia" w:ascii="仿宋_GB2312" w:hAnsi="宋体" w:eastAsia="仿宋_GB2312" w:cs="宋体"/>
          <w:kern w:val="0"/>
          <w:sz w:val="32"/>
        </w:rPr>
        <w:t>尽量避免心电检测所受到的干扰</w:t>
      </w:r>
      <w:r>
        <w:rPr>
          <w:rFonts w:ascii="仿宋_GB2312" w:hAnsi="宋体" w:eastAsia="仿宋_GB2312" w:cs="宋体"/>
          <w:kern w:val="0"/>
          <w:sz w:val="32"/>
        </w:rPr>
        <w:t>,</w:t>
      </w:r>
      <w:r>
        <w:rPr>
          <w:rFonts w:hint="eastAsia" w:ascii="仿宋_GB2312" w:hAnsi="宋体" w:eastAsia="仿宋_GB2312" w:cs="宋体"/>
          <w:kern w:val="0"/>
          <w:sz w:val="32"/>
        </w:rPr>
        <w:t>通常有以下几种情况</w:t>
      </w:r>
      <w:r>
        <w:rPr>
          <w:rFonts w:ascii="仿宋_GB2312" w:hAnsi="宋体" w:eastAsia="仿宋_GB2312" w:cs="宋体"/>
          <w:kern w:val="0"/>
          <w:sz w:val="32"/>
        </w:rPr>
        <w:t>:</w:t>
      </w:r>
      <w:r>
        <w:rPr>
          <w:rFonts w:hint="eastAsia" w:ascii="仿宋_GB2312" w:hAnsi="宋体" w:eastAsia="仿宋_GB2312" w:cs="宋体"/>
          <w:kern w:val="0"/>
          <w:sz w:val="32"/>
        </w:rPr>
        <w:t>规范操作</w:t>
      </w:r>
      <w:r>
        <w:rPr>
          <w:rFonts w:ascii="仿宋_GB2312" w:hAnsi="宋体" w:eastAsia="仿宋_GB2312" w:cs="宋体"/>
          <w:kern w:val="0"/>
          <w:sz w:val="32"/>
        </w:rPr>
        <w:t>,</w:t>
      </w:r>
      <w:r>
        <w:rPr>
          <w:rFonts w:hint="eastAsia" w:ascii="仿宋_GB2312" w:hAnsi="宋体" w:eastAsia="仿宋_GB2312" w:cs="宋体"/>
          <w:kern w:val="0"/>
          <w:sz w:val="32"/>
        </w:rPr>
        <w:t>避开电极和导联线干扰</w:t>
      </w:r>
      <w:r>
        <w:rPr>
          <w:rFonts w:ascii="仿宋_GB2312" w:hAnsi="宋体" w:eastAsia="仿宋_GB2312" w:cs="宋体"/>
          <w:kern w:val="0"/>
          <w:sz w:val="32"/>
        </w:rPr>
        <w:t>,</w:t>
      </w:r>
      <w:r>
        <w:rPr>
          <w:rFonts w:hint="eastAsia" w:ascii="仿宋_GB2312" w:hAnsi="宋体" w:eastAsia="仿宋_GB2312" w:cs="宋体"/>
          <w:kern w:val="0"/>
          <w:sz w:val="32"/>
        </w:rPr>
        <w:t>医护人员使用心电图机时要规范操作</w:t>
      </w:r>
      <w:r>
        <w:rPr>
          <w:rFonts w:ascii="仿宋_GB2312" w:hAnsi="宋体" w:eastAsia="仿宋_GB2312" w:cs="宋体"/>
          <w:kern w:val="0"/>
          <w:sz w:val="32"/>
        </w:rPr>
        <w:t>,</w:t>
      </w:r>
      <w:r>
        <w:rPr>
          <w:rFonts w:hint="eastAsia" w:ascii="仿宋_GB2312" w:hAnsi="宋体" w:eastAsia="仿宋_GB2312" w:cs="宋体"/>
          <w:kern w:val="0"/>
          <w:sz w:val="32"/>
        </w:rPr>
        <w:t>绝不可将银</w:t>
      </w:r>
      <w:r>
        <w:rPr>
          <w:rFonts w:ascii="仿宋_GB2312" w:hAnsi="宋体" w:eastAsia="仿宋_GB2312" w:cs="宋体"/>
          <w:kern w:val="0"/>
          <w:sz w:val="32"/>
        </w:rPr>
        <w:t>/</w:t>
      </w:r>
      <w:r>
        <w:rPr>
          <w:rFonts w:hint="eastAsia" w:ascii="仿宋_GB2312" w:hAnsi="宋体" w:eastAsia="仿宋_GB2312" w:cs="宋体"/>
          <w:kern w:val="0"/>
          <w:sz w:val="32"/>
        </w:rPr>
        <w:t>氯化银电极和镀银电极同时混用</w:t>
      </w:r>
      <w:r>
        <w:rPr>
          <w:rFonts w:ascii="仿宋_GB2312" w:hAnsi="宋体" w:eastAsia="仿宋_GB2312" w:cs="宋体"/>
          <w:kern w:val="0"/>
          <w:sz w:val="32"/>
        </w:rPr>
        <w:t>,</w:t>
      </w:r>
      <w:r>
        <w:rPr>
          <w:rFonts w:hint="eastAsia" w:ascii="仿宋_GB2312" w:hAnsi="宋体" w:eastAsia="仿宋_GB2312" w:cs="宋体"/>
          <w:kern w:val="0"/>
          <w:sz w:val="32"/>
        </w:rPr>
        <w:t>不能将使用的导电膏等电解质与电极外面的导联线插头等部件接触</w:t>
      </w:r>
      <w:r>
        <w:rPr>
          <w:rFonts w:ascii="仿宋_GB2312" w:hAnsi="宋体" w:eastAsia="仿宋_GB2312" w:cs="宋体"/>
          <w:kern w:val="0"/>
          <w:sz w:val="32"/>
        </w:rPr>
        <w:t>,</w:t>
      </w:r>
      <w:r>
        <w:rPr>
          <w:rFonts w:hint="eastAsia" w:ascii="仿宋_GB2312" w:hAnsi="宋体" w:eastAsia="仿宋_GB2312" w:cs="宋体"/>
          <w:kern w:val="0"/>
          <w:sz w:val="32"/>
        </w:rPr>
        <w:t>否则会由于材料不同而使极化电压增加；做好医患沟通稳定患者状态</w:t>
      </w:r>
      <w:r>
        <w:rPr>
          <w:rFonts w:ascii="仿宋_GB2312" w:hAnsi="宋体" w:eastAsia="仿宋_GB2312" w:cs="宋体"/>
          <w:kern w:val="0"/>
          <w:sz w:val="32"/>
        </w:rPr>
        <w:t>,</w:t>
      </w:r>
      <w:r>
        <w:rPr>
          <w:rFonts w:hint="eastAsia" w:ascii="仿宋_GB2312" w:hAnsi="宋体" w:eastAsia="仿宋_GB2312" w:cs="宋体"/>
          <w:kern w:val="0"/>
          <w:sz w:val="32"/>
        </w:rPr>
        <w:t>准确采集心电信号</w:t>
      </w:r>
      <w:r>
        <w:rPr>
          <w:rFonts w:ascii="仿宋_GB2312" w:hAnsi="宋体" w:eastAsia="仿宋_GB2312" w:cs="宋体"/>
          <w:kern w:val="0"/>
          <w:sz w:val="32"/>
        </w:rPr>
        <w:t>:</w:t>
      </w:r>
      <w:r>
        <w:rPr>
          <w:rFonts w:hint="eastAsia" w:ascii="仿宋_GB2312" w:hAnsi="宋体" w:eastAsia="仿宋_GB2312" w:cs="宋体"/>
          <w:kern w:val="0"/>
          <w:sz w:val="32"/>
        </w:rPr>
        <w:t>医护人员在给患者做心电图时适当沟通</w:t>
      </w:r>
      <w:r>
        <w:rPr>
          <w:rFonts w:ascii="仿宋_GB2312" w:hAnsi="宋体" w:eastAsia="仿宋_GB2312" w:cs="宋体"/>
          <w:kern w:val="0"/>
          <w:sz w:val="32"/>
        </w:rPr>
        <w:t>,</w:t>
      </w:r>
      <w:r>
        <w:rPr>
          <w:rFonts w:hint="eastAsia" w:ascii="仿宋_GB2312" w:hAnsi="宋体" w:eastAsia="仿宋_GB2312" w:cs="宋体"/>
          <w:kern w:val="0"/>
          <w:sz w:val="32"/>
        </w:rPr>
        <w:t>需要先调节好患者的状态才能进行心电检测</w:t>
      </w:r>
      <w:r>
        <w:rPr>
          <w:rFonts w:ascii="仿宋_GB2312" w:hAnsi="宋体" w:eastAsia="仿宋_GB2312" w:cs="宋体"/>
          <w:kern w:val="0"/>
          <w:sz w:val="32"/>
        </w:rPr>
        <w:t>,</w:t>
      </w:r>
      <w:r>
        <w:rPr>
          <w:rFonts w:hint="eastAsia" w:ascii="仿宋_GB2312" w:hAnsi="宋体" w:eastAsia="仿宋_GB2312" w:cs="宋体"/>
          <w:kern w:val="0"/>
          <w:sz w:val="32"/>
        </w:rPr>
        <w:t>或者等到患者的状态恢复到符合心电检测要求的状态时再检测</w:t>
      </w:r>
      <w:r>
        <w:rPr>
          <w:rFonts w:ascii="仿宋_GB2312" w:hAnsi="宋体" w:eastAsia="仿宋_GB2312" w:cs="宋体"/>
          <w:kern w:val="0"/>
          <w:sz w:val="32"/>
        </w:rPr>
        <w:t>,</w:t>
      </w:r>
      <w:r>
        <w:rPr>
          <w:rFonts w:hint="eastAsia" w:ascii="仿宋_GB2312" w:hAnsi="宋体" w:eastAsia="仿宋_GB2312" w:cs="宋体"/>
          <w:kern w:val="0"/>
          <w:sz w:val="32"/>
        </w:rPr>
        <w:t>不宜在患者处于不正常状态下就对其采集心电信号。</w:t>
      </w:r>
      <w:r>
        <w:rPr>
          <w:rFonts w:ascii="仿宋_GB2312" w:hAnsi="宋体" w:eastAsia="仿宋_GB2312" w:cs="宋体"/>
          <w:kern w:val="0"/>
          <w:sz w:val="32"/>
        </w:rPr>
        <w:br w:type="textWrapping"/>
      </w:r>
      <w:r>
        <w:rPr>
          <w:rFonts w:ascii="仿宋_GB2312" w:hAnsi="宋体" w:eastAsia="仿宋_GB2312" w:cs="宋体"/>
          <w:kern w:val="0"/>
          <w:sz w:val="32"/>
        </w:rPr>
        <w:t xml:space="preserve">     2.</w:t>
      </w:r>
      <w:r>
        <w:rPr>
          <w:rFonts w:hint="eastAsia" w:ascii="仿宋_GB2312" w:hAnsi="宋体" w:eastAsia="仿宋_GB2312" w:cs="宋体"/>
          <w:kern w:val="0"/>
          <w:sz w:val="32"/>
        </w:rPr>
        <w:t>心电图机日常养护与检修过程中的注意事宜心电图机的存在使医院随时面临仪器保养与内部检修的问题</w:t>
      </w:r>
      <w:r>
        <w:rPr>
          <w:rFonts w:ascii="仿宋_GB2312" w:hAnsi="宋体" w:eastAsia="仿宋_GB2312" w:cs="宋体"/>
          <w:kern w:val="0"/>
          <w:sz w:val="32"/>
        </w:rPr>
        <w:t>,</w:t>
      </w:r>
      <w:r>
        <w:rPr>
          <w:rFonts w:hint="eastAsia" w:ascii="仿宋_GB2312" w:hAnsi="宋体" w:eastAsia="仿宋_GB2312" w:cs="宋体"/>
          <w:kern w:val="0"/>
          <w:sz w:val="32"/>
        </w:rPr>
        <w:t>这既需要医护人员在平时的使用过程中注意易损坏部件的保养</w:t>
      </w:r>
      <w:r>
        <w:rPr>
          <w:rFonts w:ascii="仿宋_GB2312" w:hAnsi="宋体" w:eastAsia="仿宋_GB2312" w:cs="宋体"/>
          <w:kern w:val="0"/>
          <w:sz w:val="32"/>
        </w:rPr>
        <w:t>,</w:t>
      </w:r>
      <w:r>
        <w:rPr>
          <w:rFonts w:hint="eastAsia" w:ascii="仿宋_GB2312" w:hAnsi="宋体" w:eastAsia="仿宋_GB2312" w:cs="宋体"/>
          <w:kern w:val="0"/>
          <w:sz w:val="32"/>
        </w:rPr>
        <w:t>还需要医院内部仪器维护人员进行相关的检修。</w:t>
      </w:r>
    </w:p>
    <w:p>
      <w:pPr>
        <w:rPr>
          <w:rFonts w:ascii="仿宋_GB2312" w:eastAsia="仿宋_GB2312"/>
          <w:sz w:val="32"/>
          <w:szCs w:val="32"/>
        </w:rPr>
      </w:pPr>
      <w:r>
        <w:rPr>
          <w:rFonts w:ascii="仿宋_GB2312" w:eastAsia="仿宋_GB2312"/>
          <w:sz w:val="32"/>
          <w:szCs w:val="32"/>
        </w:rPr>
        <w:t xml:space="preserve">                      </w:t>
      </w:r>
    </w:p>
    <w:p>
      <w:pPr>
        <w:snapToGrid w:val="0"/>
        <w:spacing w:line="580" w:lineRule="exact"/>
        <w:ind w:firstLine="420" w:firstLineChars="200"/>
        <w:rPr>
          <w:rFonts w:ascii="黑体" w:hAnsi="宋体" w:eastAsia="黑体" w:cs="黑体"/>
          <w:szCs w:val="21"/>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18"/>
          <w:rFonts w:ascii="黑体" w:hAnsi="黑体" w:eastAsia="黑体"/>
          <w:b w:val="0"/>
        </w:rPr>
      </w:pPr>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52"/>
      <w:bookmarkEnd w:id="55"/>
    </w:p>
    <w:p>
      <w:pPr>
        <w:spacing w:line="600" w:lineRule="exact"/>
        <w:jc w:val="center"/>
        <w:outlineLvl w:val="0"/>
        <w:rPr>
          <w:rFonts w:ascii="仿宋" w:hAnsi="仿宋" w:eastAsia="仿宋"/>
          <w:b/>
          <w:color w:val="000000"/>
          <w:sz w:val="44"/>
          <w:szCs w:val="44"/>
        </w:rPr>
      </w:pPr>
    </w:p>
    <w:p>
      <w:pPr>
        <w:pStyle w:val="3"/>
        <w:numPr>
          <w:ilvl w:val="0"/>
          <w:numId w:val="8"/>
        </w:numPr>
        <w:rPr>
          <w:rFonts w:ascii="仿宋" w:hAnsi="仿宋" w:eastAsia="仿宋"/>
          <w:b w:val="0"/>
          <w:color w:val="000000"/>
        </w:rPr>
      </w:pPr>
      <w:bookmarkStart w:id="56"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19"/>
          <w:rFonts w:hint="eastAsia" w:ascii="仿宋" w:hAnsi="仿宋" w:eastAsia="仿宋"/>
          <w:b w:val="0"/>
          <w:bCs w:val="0"/>
        </w:rPr>
        <w:t>入总表</w:t>
      </w:r>
      <w:bookmarkEnd w:id="56"/>
    </w:p>
    <w:p>
      <w:pPr>
        <w:pStyle w:val="3"/>
        <w:rPr>
          <w:rFonts w:ascii="仿宋" w:hAnsi="仿宋" w:eastAsia="仿宋"/>
          <w:color w:val="000000"/>
        </w:rPr>
      </w:pPr>
      <w:bookmarkStart w:id="57" w:name="_Toc15396621"/>
      <w:r>
        <w:rPr>
          <w:rStyle w:val="19"/>
          <w:rFonts w:hint="eastAsia" w:ascii="仿宋" w:hAnsi="仿宋" w:eastAsia="仿宋"/>
          <w:b w:val="0"/>
          <w:bCs w:val="0"/>
        </w:rPr>
        <w:t>三、</w:t>
      </w:r>
      <w:r>
        <w:rPr>
          <w:rFonts w:hint="eastAsia" w:ascii="仿宋" w:hAnsi="仿宋" w:eastAsia="仿宋"/>
          <w:b w:val="0"/>
          <w:color w:val="000000"/>
        </w:rPr>
        <w:t>支</w:t>
      </w:r>
      <w:r>
        <w:rPr>
          <w:rStyle w:val="19"/>
          <w:rFonts w:hint="eastAsia" w:ascii="仿宋" w:hAnsi="仿宋" w:eastAsia="仿宋"/>
          <w:b w:val="0"/>
          <w:bCs w:val="0"/>
        </w:rPr>
        <w:t>出总表</w:t>
      </w:r>
      <w:bookmarkEnd w:id="57"/>
    </w:p>
    <w:p>
      <w:pPr>
        <w:pStyle w:val="3"/>
        <w:rPr>
          <w:rFonts w:ascii="仿宋" w:hAnsi="仿宋" w:eastAsia="仿宋"/>
          <w:b w:val="0"/>
          <w:color w:val="000000"/>
        </w:rPr>
      </w:pPr>
      <w:bookmarkStart w:id="58" w:name="_Toc15396622"/>
      <w:r>
        <w:rPr>
          <w:rStyle w:val="19"/>
          <w:rFonts w:hint="eastAsia" w:ascii="仿宋" w:hAnsi="仿宋" w:eastAsia="仿宋"/>
          <w:b w:val="0"/>
          <w:bCs w:val="0"/>
        </w:rPr>
        <w:t>四、</w:t>
      </w:r>
      <w:r>
        <w:rPr>
          <w:rFonts w:hint="eastAsia" w:ascii="仿宋" w:hAnsi="仿宋" w:eastAsia="仿宋"/>
          <w:b w:val="0"/>
          <w:color w:val="000000"/>
        </w:rPr>
        <w:t>财</w:t>
      </w:r>
      <w:r>
        <w:rPr>
          <w:rStyle w:val="19"/>
          <w:rFonts w:hint="eastAsia" w:ascii="仿宋" w:hAnsi="仿宋" w:eastAsia="仿宋"/>
          <w:b w:val="0"/>
          <w:bCs w:val="0"/>
        </w:rPr>
        <w:t>政拨款收入支出决算总表</w:t>
      </w:r>
      <w:bookmarkEnd w:id="58"/>
    </w:p>
    <w:p>
      <w:pPr>
        <w:pStyle w:val="3"/>
        <w:rPr>
          <w:rFonts w:ascii="仿宋" w:hAnsi="仿宋" w:eastAsia="仿宋"/>
          <w:color w:val="000000"/>
        </w:rPr>
      </w:pPr>
      <w:bookmarkStart w:id="59" w:name="_Toc15396623"/>
      <w:r>
        <w:rPr>
          <w:rStyle w:val="19"/>
          <w:rFonts w:hint="eastAsia" w:ascii="仿宋" w:hAnsi="仿宋" w:eastAsia="仿宋"/>
          <w:b w:val="0"/>
          <w:bCs w:val="0"/>
        </w:rPr>
        <w:t>五、</w:t>
      </w:r>
      <w:r>
        <w:rPr>
          <w:rFonts w:hint="eastAsia" w:ascii="仿宋" w:hAnsi="仿宋" w:eastAsia="仿宋"/>
          <w:b w:val="0"/>
          <w:color w:val="000000"/>
        </w:rPr>
        <w:t>财</w:t>
      </w:r>
      <w:r>
        <w:rPr>
          <w:rStyle w:val="19"/>
          <w:rFonts w:hint="eastAsia" w:ascii="仿宋" w:hAnsi="仿宋" w:eastAsia="仿宋"/>
          <w:b w:val="0"/>
          <w:bCs w:val="0"/>
        </w:rPr>
        <w:t>政拨款支出决算明细表（政府经济分类科目）</w:t>
      </w:r>
      <w:bookmarkEnd w:id="59"/>
    </w:p>
    <w:p>
      <w:pPr>
        <w:pStyle w:val="3"/>
        <w:rPr>
          <w:rFonts w:ascii="仿宋" w:hAnsi="仿宋" w:eastAsia="仿宋"/>
          <w:color w:val="000000"/>
        </w:rPr>
      </w:pPr>
      <w:bookmarkStart w:id="60" w:name="_Toc15396624"/>
      <w:r>
        <w:rPr>
          <w:rStyle w:val="19"/>
          <w:rFonts w:hint="eastAsia" w:ascii="仿宋" w:hAnsi="仿宋" w:eastAsia="仿宋"/>
          <w:b w:val="0"/>
          <w:bCs w:val="0"/>
        </w:rPr>
        <w:t>六、</w:t>
      </w:r>
      <w:r>
        <w:rPr>
          <w:rFonts w:hint="eastAsia" w:ascii="仿宋" w:hAnsi="仿宋" w:eastAsia="仿宋"/>
          <w:b w:val="0"/>
          <w:color w:val="000000"/>
        </w:rPr>
        <w:t>一</w:t>
      </w:r>
      <w:r>
        <w:rPr>
          <w:rStyle w:val="19"/>
          <w:rFonts w:hint="eastAsia" w:ascii="仿宋" w:hAnsi="仿宋" w:eastAsia="仿宋"/>
          <w:b w:val="0"/>
          <w:bCs w:val="0"/>
        </w:rPr>
        <w:t>般公共预算财政拨款支出决算表</w:t>
      </w:r>
      <w:bookmarkEnd w:id="60"/>
    </w:p>
    <w:p>
      <w:pPr>
        <w:pStyle w:val="3"/>
        <w:rPr>
          <w:rFonts w:ascii="仿宋" w:hAnsi="仿宋" w:eastAsia="仿宋"/>
          <w:color w:val="000000"/>
        </w:rPr>
      </w:pPr>
      <w:bookmarkStart w:id="61" w:name="_Toc15396625"/>
      <w:r>
        <w:rPr>
          <w:rStyle w:val="19"/>
          <w:rFonts w:hint="eastAsia" w:ascii="仿宋" w:hAnsi="仿宋" w:eastAsia="仿宋"/>
          <w:b w:val="0"/>
          <w:bCs w:val="0"/>
        </w:rPr>
        <w:t>七、</w:t>
      </w:r>
      <w:r>
        <w:rPr>
          <w:rFonts w:hint="eastAsia" w:ascii="仿宋" w:hAnsi="仿宋" w:eastAsia="仿宋"/>
          <w:b w:val="0"/>
          <w:color w:val="000000"/>
        </w:rPr>
        <w:t>一</w:t>
      </w:r>
      <w:r>
        <w:rPr>
          <w:rStyle w:val="19"/>
          <w:rFonts w:hint="eastAsia" w:ascii="仿宋" w:hAnsi="仿宋" w:eastAsia="仿宋"/>
          <w:b w:val="0"/>
          <w:bCs w:val="0"/>
        </w:rPr>
        <w:t>般公共预算财政拨款支出决算明细表</w:t>
      </w:r>
      <w:bookmarkEnd w:id="61"/>
    </w:p>
    <w:p>
      <w:pPr>
        <w:pStyle w:val="3"/>
        <w:rPr>
          <w:rFonts w:ascii="仿宋" w:hAnsi="仿宋" w:eastAsia="仿宋"/>
          <w:color w:val="000000"/>
        </w:rPr>
      </w:pPr>
      <w:bookmarkStart w:id="62" w:name="_Toc15396626"/>
      <w:r>
        <w:rPr>
          <w:rStyle w:val="19"/>
          <w:rFonts w:hint="eastAsia" w:ascii="仿宋" w:hAnsi="仿宋" w:eastAsia="仿宋"/>
          <w:b w:val="0"/>
          <w:bCs w:val="0"/>
        </w:rPr>
        <w:t>八、</w:t>
      </w:r>
      <w:r>
        <w:rPr>
          <w:rFonts w:hint="eastAsia" w:ascii="仿宋" w:hAnsi="仿宋" w:eastAsia="仿宋"/>
          <w:b w:val="0"/>
          <w:color w:val="000000"/>
        </w:rPr>
        <w:t>一</w:t>
      </w:r>
      <w:r>
        <w:rPr>
          <w:rStyle w:val="19"/>
          <w:rFonts w:hint="eastAsia" w:ascii="仿宋" w:hAnsi="仿宋" w:eastAsia="仿宋"/>
          <w:b w:val="0"/>
          <w:bCs w:val="0"/>
        </w:rPr>
        <w:t>般公共预算财政拨款基本支出决算表</w:t>
      </w:r>
      <w:bookmarkEnd w:id="62"/>
    </w:p>
    <w:p>
      <w:pPr>
        <w:pStyle w:val="3"/>
        <w:rPr>
          <w:rFonts w:ascii="仿宋" w:hAnsi="仿宋" w:eastAsia="仿宋"/>
          <w:color w:val="000000"/>
        </w:rPr>
      </w:pPr>
      <w:bookmarkStart w:id="63" w:name="_Toc15396627"/>
      <w:r>
        <w:rPr>
          <w:rStyle w:val="19"/>
          <w:rFonts w:hint="eastAsia" w:ascii="仿宋" w:hAnsi="仿宋" w:eastAsia="仿宋"/>
          <w:b w:val="0"/>
          <w:bCs w:val="0"/>
        </w:rPr>
        <w:t>九、</w:t>
      </w:r>
      <w:r>
        <w:rPr>
          <w:rFonts w:hint="eastAsia" w:ascii="仿宋" w:hAnsi="仿宋" w:eastAsia="仿宋"/>
          <w:b w:val="0"/>
          <w:color w:val="000000"/>
        </w:rPr>
        <w:t>一</w:t>
      </w:r>
      <w:r>
        <w:rPr>
          <w:rStyle w:val="19"/>
          <w:rFonts w:hint="eastAsia" w:ascii="仿宋" w:hAnsi="仿宋" w:eastAsia="仿宋"/>
          <w:b w:val="0"/>
          <w:bCs w:val="0"/>
        </w:rPr>
        <w:t>般公共预算财政拨款项目支出决算表</w:t>
      </w:r>
      <w:bookmarkEnd w:id="63"/>
    </w:p>
    <w:p>
      <w:pPr>
        <w:pStyle w:val="3"/>
        <w:rPr>
          <w:rFonts w:ascii="仿宋" w:hAnsi="仿宋" w:eastAsia="仿宋"/>
          <w:color w:val="000000"/>
        </w:rPr>
      </w:pPr>
      <w:bookmarkStart w:id="64" w:name="_Toc15396628"/>
      <w:r>
        <w:rPr>
          <w:rStyle w:val="19"/>
          <w:rFonts w:hint="eastAsia" w:ascii="仿宋" w:hAnsi="仿宋" w:eastAsia="仿宋"/>
          <w:b w:val="0"/>
          <w:bCs w:val="0"/>
        </w:rPr>
        <w:t>十、</w:t>
      </w:r>
      <w:r>
        <w:rPr>
          <w:rFonts w:hint="eastAsia" w:ascii="仿宋" w:hAnsi="仿宋" w:eastAsia="仿宋"/>
          <w:b w:val="0"/>
          <w:color w:val="000000"/>
        </w:rPr>
        <w:t>一</w:t>
      </w:r>
      <w:r>
        <w:rPr>
          <w:rStyle w:val="19"/>
          <w:rFonts w:hint="eastAsia" w:ascii="仿宋" w:hAnsi="仿宋" w:eastAsia="仿宋"/>
          <w:b w:val="0"/>
          <w:bCs w:val="0"/>
        </w:rPr>
        <w:t>般公共预算财政拨款“三公”经费支出决算表</w:t>
      </w:r>
      <w:bookmarkEnd w:id="64"/>
    </w:p>
    <w:p>
      <w:pPr>
        <w:pStyle w:val="3"/>
        <w:rPr>
          <w:rFonts w:ascii="仿宋" w:hAnsi="仿宋" w:eastAsia="仿宋"/>
          <w:color w:val="000000"/>
        </w:rPr>
      </w:pPr>
      <w:bookmarkStart w:id="65" w:name="_Toc15396629"/>
      <w:r>
        <w:rPr>
          <w:rStyle w:val="19"/>
          <w:rFonts w:hint="eastAsia" w:ascii="仿宋" w:hAnsi="仿宋" w:eastAsia="仿宋"/>
          <w:b w:val="0"/>
          <w:bCs w:val="0"/>
        </w:rPr>
        <w:t>十一、</w:t>
      </w:r>
      <w:r>
        <w:rPr>
          <w:rFonts w:hint="eastAsia" w:ascii="仿宋" w:hAnsi="仿宋" w:eastAsia="仿宋"/>
          <w:b w:val="0"/>
          <w:color w:val="000000"/>
        </w:rPr>
        <w:t>政</w:t>
      </w:r>
      <w:r>
        <w:rPr>
          <w:rStyle w:val="19"/>
          <w:rFonts w:hint="eastAsia" w:ascii="仿宋" w:hAnsi="仿宋" w:eastAsia="仿宋"/>
          <w:b w:val="0"/>
          <w:bCs w:val="0"/>
        </w:rPr>
        <w:t>府性基金预算财政拨款收入支出决算表</w:t>
      </w:r>
      <w:bookmarkEnd w:id="65"/>
    </w:p>
    <w:p>
      <w:pPr>
        <w:pStyle w:val="3"/>
        <w:rPr>
          <w:rFonts w:ascii="仿宋" w:hAnsi="仿宋" w:eastAsia="仿宋"/>
          <w:color w:val="000000"/>
        </w:rPr>
      </w:pPr>
      <w:bookmarkStart w:id="66" w:name="_Toc15396630"/>
      <w:r>
        <w:rPr>
          <w:rStyle w:val="19"/>
          <w:rFonts w:hint="eastAsia" w:ascii="仿宋" w:hAnsi="仿宋" w:eastAsia="仿宋"/>
          <w:b w:val="0"/>
          <w:bCs w:val="0"/>
        </w:rPr>
        <w:t>十二、</w:t>
      </w:r>
      <w:r>
        <w:rPr>
          <w:rFonts w:hint="eastAsia" w:ascii="仿宋" w:hAnsi="仿宋" w:eastAsia="仿宋"/>
          <w:b w:val="0"/>
          <w:color w:val="000000"/>
        </w:rPr>
        <w:t>政</w:t>
      </w:r>
      <w:r>
        <w:rPr>
          <w:rStyle w:val="19"/>
          <w:rFonts w:hint="eastAsia" w:ascii="仿宋" w:hAnsi="仿宋" w:eastAsia="仿宋"/>
          <w:b w:val="0"/>
          <w:bCs w:val="0"/>
        </w:rPr>
        <w:t>府性基金预算财政拨款“三公”经费支出决算表</w:t>
      </w:r>
      <w:bookmarkEnd w:id="66"/>
    </w:p>
    <w:p>
      <w:pPr>
        <w:pStyle w:val="3"/>
        <w:rPr>
          <w:rFonts w:ascii="仿宋" w:hAnsi="仿宋" w:eastAsia="仿宋"/>
          <w:color w:val="000000"/>
        </w:rPr>
      </w:pPr>
      <w:bookmarkStart w:id="67" w:name="_Toc15396631"/>
      <w:r>
        <w:rPr>
          <w:rStyle w:val="19"/>
          <w:rFonts w:hint="eastAsia" w:ascii="仿宋" w:hAnsi="仿宋" w:eastAsia="仿宋"/>
          <w:b w:val="0"/>
          <w:bCs w:val="0"/>
        </w:rPr>
        <w:t>十三、</w:t>
      </w:r>
      <w:r>
        <w:rPr>
          <w:rFonts w:hint="eastAsia" w:ascii="仿宋" w:hAnsi="仿宋" w:eastAsia="仿宋"/>
          <w:b w:val="0"/>
          <w:color w:val="000000"/>
        </w:rPr>
        <w:t>国</w:t>
      </w:r>
      <w:r>
        <w:rPr>
          <w:rStyle w:val="19"/>
          <w:rFonts w:hint="eastAsia" w:ascii="仿宋" w:hAnsi="仿宋" w:eastAsia="仿宋"/>
          <w:b w:val="0"/>
          <w:bCs w:val="0"/>
        </w:rPr>
        <w:t>有资本经营预算支出决算表</w:t>
      </w:r>
      <w:bookmarkEnd w:id="67"/>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0000000000000000000"/>
    <w:charset w:val="86"/>
    <w:family w:val="auto"/>
    <w:pitch w:val="default"/>
    <w:sig w:usb0="00000000" w:usb1="00000000" w:usb2="00000010" w:usb3="00000000" w:csb0="00040000" w:csb1="00000000"/>
  </w:font>
  <w:font w:name="仿宋-GB2312">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GB_2312">
    <w:altName w:val="宋体"/>
    <w:panose1 w:val="00000000000000000000"/>
    <w:charset w:val="86"/>
    <w:family w:val="roman"/>
    <w:pitch w:val="default"/>
    <w:sig w:usb0="00000000" w:usb1="00000000" w:usb2="00000010" w:usb3="00000000" w:csb0="00040000" w:csb1="00000000"/>
  </w:font>
  <w:font w:name="仿宋——GB2312">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9</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D885F"/>
    <w:multiLevelType w:val="singleLevel"/>
    <w:tmpl w:val="924D885F"/>
    <w:lvl w:ilvl="0" w:tentative="0">
      <w:start w:val="2"/>
      <w:numFmt w:val="chineseCounting"/>
      <w:suff w:val="nothing"/>
      <w:lvlText w:val="（%1）"/>
      <w:lvlJc w:val="left"/>
      <w:rPr>
        <w:rFonts w:hint="eastAsia"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6">
    <w:nsid w:val="5D5382B5"/>
    <w:multiLevelType w:val="singleLevel"/>
    <w:tmpl w:val="5D5382B5"/>
    <w:lvl w:ilvl="0" w:tentative="0">
      <w:start w:val="1"/>
      <w:numFmt w:val="chineseCounting"/>
      <w:suff w:val="nothing"/>
      <w:lvlText w:val="%1、"/>
      <w:lvlJc w:val="left"/>
      <w:rPr>
        <w:rFonts w:cs="Times New Roman"/>
      </w:rPr>
    </w:lvl>
  </w:abstractNum>
  <w:abstractNum w:abstractNumId="7">
    <w:nsid w:val="5D79D54C"/>
    <w:multiLevelType w:val="singleLevel"/>
    <w:tmpl w:val="5D79D54C"/>
    <w:lvl w:ilvl="0" w:tentative="0">
      <w:start w:val="1"/>
      <w:numFmt w:val="decimal"/>
      <w:lvlText w:val="%1."/>
      <w:lvlJc w:val="left"/>
      <w:pPr>
        <w:tabs>
          <w:tab w:val="left" w:pos="312"/>
        </w:tabs>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xZGUxMzYwMjFkZjVhNThjZTAxOTFmZGZiNGRjODIifQ=="/>
  </w:docVars>
  <w:rsids>
    <w:rsidRoot w:val="00F1361C"/>
    <w:rsid w:val="00002C9F"/>
    <w:rsid w:val="000038C7"/>
    <w:rsid w:val="000222C6"/>
    <w:rsid w:val="00023E90"/>
    <w:rsid w:val="0002549F"/>
    <w:rsid w:val="00036123"/>
    <w:rsid w:val="00045D6D"/>
    <w:rsid w:val="00046A06"/>
    <w:rsid w:val="00060846"/>
    <w:rsid w:val="000614FB"/>
    <w:rsid w:val="0006487A"/>
    <w:rsid w:val="00064A32"/>
    <w:rsid w:val="00065F8F"/>
    <w:rsid w:val="000768F2"/>
    <w:rsid w:val="00086239"/>
    <w:rsid w:val="0009184B"/>
    <w:rsid w:val="00092383"/>
    <w:rsid w:val="0009593C"/>
    <w:rsid w:val="000B047F"/>
    <w:rsid w:val="000B5923"/>
    <w:rsid w:val="000B5A48"/>
    <w:rsid w:val="000B6FF3"/>
    <w:rsid w:val="000C265E"/>
    <w:rsid w:val="000C3467"/>
    <w:rsid w:val="000C3CA6"/>
    <w:rsid w:val="000D1267"/>
    <w:rsid w:val="000D1D50"/>
    <w:rsid w:val="000D5782"/>
    <w:rsid w:val="000E0CFC"/>
    <w:rsid w:val="000E4E13"/>
    <w:rsid w:val="000E6448"/>
    <w:rsid w:val="000E6613"/>
    <w:rsid w:val="000E7119"/>
    <w:rsid w:val="000F0FC2"/>
    <w:rsid w:val="000F1E77"/>
    <w:rsid w:val="00114E9B"/>
    <w:rsid w:val="001316C6"/>
    <w:rsid w:val="001345E3"/>
    <w:rsid w:val="00143A0A"/>
    <w:rsid w:val="00146241"/>
    <w:rsid w:val="0014729F"/>
    <w:rsid w:val="00155970"/>
    <w:rsid w:val="00157797"/>
    <w:rsid w:val="00157BAB"/>
    <w:rsid w:val="001654D1"/>
    <w:rsid w:val="00177BF7"/>
    <w:rsid w:val="0018106D"/>
    <w:rsid w:val="00181BB5"/>
    <w:rsid w:val="0018429E"/>
    <w:rsid w:val="001877A7"/>
    <w:rsid w:val="00191536"/>
    <w:rsid w:val="00195208"/>
    <w:rsid w:val="00196687"/>
    <w:rsid w:val="001C0962"/>
    <w:rsid w:val="001D7531"/>
    <w:rsid w:val="001E1714"/>
    <w:rsid w:val="001E658B"/>
    <w:rsid w:val="001E737D"/>
    <w:rsid w:val="001F0592"/>
    <w:rsid w:val="001F40B6"/>
    <w:rsid w:val="001F7506"/>
    <w:rsid w:val="002006CD"/>
    <w:rsid w:val="00200E01"/>
    <w:rsid w:val="00202B36"/>
    <w:rsid w:val="002036B7"/>
    <w:rsid w:val="00204B7A"/>
    <w:rsid w:val="0021101A"/>
    <w:rsid w:val="00215888"/>
    <w:rsid w:val="00217672"/>
    <w:rsid w:val="00220536"/>
    <w:rsid w:val="002217E2"/>
    <w:rsid w:val="00230B66"/>
    <w:rsid w:val="002323E7"/>
    <w:rsid w:val="00235629"/>
    <w:rsid w:val="00253068"/>
    <w:rsid w:val="00256FEE"/>
    <w:rsid w:val="00260C38"/>
    <w:rsid w:val="002616C0"/>
    <w:rsid w:val="002657B6"/>
    <w:rsid w:val="002662AA"/>
    <w:rsid w:val="00267C14"/>
    <w:rsid w:val="00270B8A"/>
    <w:rsid w:val="00272EA0"/>
    <w:rsid w:val="00280496"/>
    <w:rsid w:val="00295495"/>
    <w:rsid w:val="002A11A9"/>
    <w:rsid w:val="002A2CB2"/>
    <w:rsid w:val="002B2613"/>
    <w:rsid w:val="002B2C94"/>
    <w:rsid w:val="002D3BC8"/>
    <w:rsid w:val="002D4044"/>
    <w:rsid w:val="002F1818"/>
    <w:rsid w:val="002F567B"/>
    <w:rsid w:val="00301681"/>
    <w:rsid w:val="003158E2"/>
    <w:rsid w:val="00321061"/>
    <w:rsid w:val="003216A9"/>
    <w:rsid w:val="00331181"/>
    <w:rsid w:val="003456AC"/>
    <w:rsid w:val="003531B2"/>
    <w:rsid w:val="0037013F"/>
    <w:rsid w:val="00380C92"/>
    <w:rsid w:val="00382EB2"/>
    <w:rsid w:val="003836BA"/>
    <w:rsid w:val="003A484F"/>
    <w:rsid w:val="003A5E93"/>
    <w:rsid w:val="003B0BE0"/>
    <w:rsid w:val="003B0C1B"/>
    <w:rsid w:val="003B1DBD"/>
    <w:rsid w:val="003B42B6"/>
    <w:rsid w:val="003B688C"/>
    <w:rsid w:val="003C0291"/>
    <w:rsid w:val="003C39AE"/>
    <w:rsid w:val="003C709D"/>
    <w:rsid w:val="003C7B60"/>
    <w:rsid w:val="003D1394"/>
    <w:rsid w:val="003D1FB2"/>
    <w:rsid w:val="003D66DA"/>
    <w:rsid w:val="003E1310"/>
    <w:rsid w:val="003E6F55"/>
    <w:rsid w:val="003F05AA"/>
    <w:rsid w:val="003F17D4"/>
    <w:rsid w:val="00406254"/>
    <w:rsid w:val="004132DB"/>
    <w:rsid w:val="004223DE"/>
    <w:rsid w:val="004228EE"/>
    <w:rsid w:val="00427F5B"/>
    <w:rsid w:val="00434489"/>
    <w:rsid w:val="00437085"/>
    <w:rsid w:val="00443880"/>
    <w:rsid w:val="004464F4"/>
    <w:rsid w:val="00454883"/>
    <w:rsid w:val="00463013"/>
    <w:rsid w:val="00471401"/>
    <w:rsid w:val="00473E03"/>
    <w:rsid w:val="00473F31"/>
    <w:rsid w:val="0048263A"/>
    <w:rsid w:val="00484046"/>
    <w:rsid w:val="00485A62"/>
    <w:rsid w:val="00487E5D"/>
    <w:rsid w:val="004A0B2C"/>
    <w:rsid w:val="004A711F"/>
    <w:rsid w:val="004B199D"/>
    <w:rsid w:val="004B20B0"/>
    <w:rsid w:val="004B4690"/>
    <w:rsid w:val="004B7030"/>
    <w:rsid w:val="004C1E39"/>
    <w:rsid w:val="004D38F1"/>
    <w:rsid w:val="004E0A2D"/>
    <w:rsid w:val="004E206B"/>
    <w:rsid w:val="004E6DF7"/>
    <w:rsid w:val="004F0D13"/>
    <w:rsid w:val="004F0FBD"/>
    <w:rsid w:val="00505A47"/>
    <w:rsid w:val="00510463"/>
    <w:rsid w:val="00512FDA"/>
    <w:rsid w:val="00513A75"/>
    <w:rsid w:val="00513B1E"/>
    <w:rsid w:val="00520DA0"/>
    <w:rsid w:val="0052370B"/>
    <w:rsid w:val="00531ADB"/>
    <w:rsid w:val="005339C9"/>
    <w:rsid w:val="005664BB"/>
    <w:rsid w:val="0057481D"/>
    <w:rsid w:val="0058486E"/>
    <w:rsid w:val="005A10B6"/>
    <w:rsid w:val="005A2A99"/>
    <w:rsid w:val="005A3DD9"/>
    <w:rsid w:val="005B20BA"/>
    <w:rsid w:val="005B5E79"/>
    <w:rsid w:val="005D1C8B"/>
    <w:rsid w:val="005D54D5"/>
    <w:rsid w:val="005D5CED"/>
    <w:rsid w:val="005F1A4C"/>
    <w:rsid w:val="005F213A"/>
    <w:rsid w:val="00605688"/>
    <w:rsid w:val="006070AF"/>
    <w:rsid w:val="00607E6C"/>
    <w:rsid w:val="006101B1"/>
    <w:rsid w:val="00614E44"/>
    <w:rsid w:val="00620BB9"/>
    <w:rsid w:val="00622622"/>
    <w:rsid w:val="006226A6"/>
    <w:rsid w:val="00622830"/>
    <w:rsid w:val="00625453"/>
    <w:rsid w:val="00630AEF"/>
    <w:rsid w:val="006325F8"/>
    <w:rsid w:val="00634A49"/>
    <w:rsid w:val="00634C9A"/>
    <w:rsid w:val="006430DD"/>
    <w:rsid w:val="006432A6"/>
    <w:rsid w:val="006440E4"/>
    <w:rsid w:val="006523BB"/>
    <w:rsid w:val="00654F7E"/>
    <w:rsid w:val="006555FF"/>
    <w:rsid w:val="00656842"/>
    <w:rsid w:val="0066343B"/>
    <w:rsid w:val="00664777"/>
    <w:rsid w:val="0066700F"/>
    <w:rsid w:val="006748A4"/>
    <w:rsid w:val="00680084"/>
    <w:rsid w:val="00683E73"/>
    <w:rsid w:val="006955E6"/>
    <w:rsid w:val="006A3141"/>
    <w:rsid w:val="006A5E34"/>
    <w:rsid w:val="006B2422"/>
    <w:rsid w:val="006B2B9A"/>
    <w:rsid w:val="006C1937"/>
    <w:rsid w:val="006E61EE"/>
    <w:rsid w:val="006F020C"/>
    <w:rsid w:val="006F6AD6"/>
    <w:rsid w:val="007047C2"/>
    <w:rsid w:val="007127B7"/>
    <w:rsid w:val="00721C24"/>
    <w:rsid w:val="00722543"/>
    <w:rsid w:val="007416B6"/>
    <w:rsid w:val="00746F48"/>
    <w:rsid w:val="007527F7"/>
    <w:rsid w:val="0075404D"/>
    <w:rsid w:val="00760013"/>
    <w:rsid w:val="0076182A"/>
    <w:rsid w:val="007656E0"/>
    <w:rsid w:val="00767B7E"/>
    <w:rsid w:val="00770540"/>
    <w:rsid w:val="00771E11"/>
    <w:rsid w:val="007770C3"/>
    <w:rsid w:val="00782ED1"/>
    <w:rsid w:val="0078302A"/>
    <w:rsid w:val="00784D24"/>
    <w:rsid w:val="00785FBA"/>
    <w:rsid w:val="00786E4A"/>
    <w:rsid w:val="00787008"/>
    <w:rsid w:val="007875EB"/>
    <w:rsid w:val="0079421C"/>
    <w:rsid w:val="0079426B"/>
    <w:rsid w:val="007D312A"/>
    <w:rsid w:val="007D3F19"/>
    <w:rsid w:val="007E23B0"/>
    <w:rsid w:val="007F1991"/>
    <w:rsid w:val="007F2C2F"/>
    <w:rsid w:val="007F55FC"/>
    <w:rsid w:val="007F5665"/>
    <w:rsid w:val="00800112"/>
    <w:rsid w:val="008023E0"/>
    <w:rsid w:val="008253BB"/>
    <w:rsid w:val="00827F6A"/>
    <w:rsid w:val="0083706E"/>
    <w:rsid w:val="008408E1"/>
    <w:rsid w:val="008423A5"/>
    <w:rsid w:val="00843ABF"/>
    <w:rsid w:val="00850625"/>
    <w:rsid w:val="00853718"/>
    <w:rsid w:val="00855221"/>
    <w:rsid w:val="00860645"/>
    <w:rsid w:val="00871F71"/>
    <w:rsid w:val="0088078C"/>
    <w:rsid w:val="00885AF4"/>
    <w:rsid w:val="008939CD"/>
    <w:rsid w:val="0089508E"/>
    <w:rsid w:val="008A4899"/>
    <w:rsid w:val="008B2182"/>
    <w:rsid w:val="008B66D4"/>
    <w:rsid w:val="008B768C"/>
    <w:rsid w:val="008C4DB1"/>
    <w:rsid w:val="008C4EAF"/>
    <w:rsid w:val="008C5176"/>
    <w:rsid w:val="008C7FD0"/>
    <w:rsid w:val="008E1DE7"/>
    <w:rsid w:val="008E67A1"/>
    <w:rsid w:val="008E707C"/>
    <w:rsid w:val="008F47CB"/>
    <w:rsid w:val="008F6DCF"/>
    <w:rsid w:val="00900B08"/>
    <w:rsid w:val="00902155"/>
    <w:rsid w:val="00902FA3"/>
    <w:rsid w:val="00905C50"/>
    <w:rsid w:val="0091785F"/>
    <w:rsid w:val="00923564"/>
    <w:rsid w:val="0092392E"/>
    <w:rsid w:val="009315F9"/>
    <w:rsid w:val="00946945"/>
    <w:rsid w:val="00951248"/>
    <w:rsid w:val="0095152F"/>
    <w:rsid w:val="00954C49"/>
    <w:rsid w:val="00960018"/>
    <w:rsid w:val="009659B1"/>
    <w:rsid w:val="0097099F"/>
    <w:rsid w:val="00971997"/>
    <w:rsid w:val="00971FFC"/>
    <w:rsid w:val="0098660A"/>
    <w:rsid w:val="009931C3"/>
    <w:rsid w:val="009A52C0"/>
    <w:rsid w:val="009B2C43"/>
    <w:rsid w:val="009B350D"/>
    <w:rsid w:val="009B4EAE"/>
    <w:rsid w:val="009B7573"/>
    <w:rsid w:val="009C22F4"/>
    <w:rsid w:val="009C2E98"/>
    <w:rsid w:val="009D3447"/>
    <w:rsid w:val="009D4711"/>
    <w:rsid w:val="009D6652"/>
    <w:rsid w:val="009E6B9D"/>
    <w:rsid w:val="009F1185"/>
    <w:rsid w:val="009F18CD"/>
    <w:rsid w:val="009F2A13"/>
    <w:rsid w:val="00A04EB0"/>
    <w:rsid w:val="00A06477"/>
    <w:rsid w:val="00A11780"/>
    <w:rsid w:val="00A1390E"/>
    <w:rsid w:val="00A13CC1"/>
    <w:rsid w:val="00A16847"/>
    <w:rsid w:val="00A211F9"/>
    <w:rsid w:val="00A237D8"/>
    <w:rsid w:val="00A268C4"/>
    <w:rsid w:val="00A307CD"/>
    <w:rsid w:val="00A40A00"/>
    <w:rsid w:val="00A41381"/>
    <w:rsid w:val="00A4142F"/>
    <w:rsid w:val="00A45DF7"/>
    <w:rsid w:val="00A56DF2"/>
    <w:rsid w:val="00A63FB0"/>
    <w:rsid w:val="00A67AB5"/>
    <w:rsid w:val="00A76420"/>
    <w:rsid w:val="00A80A00"/>
    <w:rsid w:val="00A830DD"/>
    <w:rsid w:val="00A86621"/>
    <w:rsid w:val="00A91760"/>
    <w:rsid w:val="00A930F9"/>
    <w:rsid w:val="00A93B00"/>
    <w:rsid w:val="00A93C21"/>
    <w:rsid w:val="00AA2393"/>
    <w:rsid w:val="00AA4BFB"/>
    <w:rsid w:val="00AB3A2C"/>
    <w:rsid w:val="00AC3C6A"/>
    <w:rsid w:val="00AC7CE1"/>
    <w:rsid w:val="00AD5620"/>
    <w:rsid w:val="00AD7C1B"/>
    <w:rsid w:val="00AE16BA"/>
    <w:rsid w:val="00AE1EBE"/>
    <w:rsid w:val="00AE4FDD"/>
    <w:rsid w:val="00B03C9D"/>
    <w:rsid w:val="00B060AE"/>
    <w:rsid w:val="00B10517"/>
    <w:rsid w:val="00B14E76"/>
    <w:rsid w:val="00B161B8"/>
    <w:rsid w:val="00B17AC3"/>
    <w:rsid w:val="00B2048C"/>
    <w:rsid w:val="00B27BAF"/>
    <w:rsid w:val="00B310B9"/>
    <w:rsid w:val="00B35F3F"/>
    <w:rsid w:val="00B36CBB"/>
    <w:rsid w:val="00B422F4"/>
    <w:rsid w:val="00B425E0"/>
    <w:rsid w:val="00B440AA"/>
    <w:rsid w:val="00B44B70"/>
    <w:rsid w:val="00B521F0"/>
    <w:rsid w:val="00B53C56"/>
    <w:rsid w:val="00B53D90"/>
    <w:rsid w:val="00B5425C"/>
    <w:rsid w:val="00B77EA6"/>
    <w:rsid w:val="00B81598"/>
    <w:rsid w:val="00B841F1"/>
    <w:rsid w:val="00B86E56"/>
    <w:rsid w:val="00B91AFE"/>
    <w:rsid w:val="00B944D6"/>
    <w:rsid w:val="00B96A1E"/>
    <w:rsid w:val="00BA075C"/>
    <w:rsid w:val="00BA44B8"/>
    <w:rsid w:val="00BA5512"/>
    <w:rsid w:val="00BB30FD"/>
    <w:rsid w:val="00BB4C58"/>
    <w:rsid w:val="00BB4DF0"/>
    <w:rsid w:val="00BC289F"/>
    <w:rsid w:val="00BC3F59"/>
    <w:rsid w:val="00BC5361"/>
    <w:rsid w:val="00BC5460"/>
    <w:rsid w:val="00BC67A0"/>
    <w:rsid w:val="00BC6B50"/>
    <w:rsid w:val="00BC795B"/>
    <w:rsid w:val="00BD0E25"/>
    <w:rsid w:val="00BE5217"/>
    <w:rsid w:val="00BF5BD6"/>
    <w:rsid w:val="00C03E31"/>
    <w:rsid w:val="00C06DD0"/>
    <w:rsid w:val="00C152AA"/>
    <w:rsid w:val="00C24896"/>
    <w:rsid w:val="00C30F91"/>
    <w:rsid w:val="00C33E72"/>
    <w:rsid w:val="00C354B2"/>
    <w:rsid w:val="00C35554"/>
    <w:rsid w:val="00C42709"/>
    <w:rsid w:val="00C533CC"/>
    <w:rsid w:val="00C5751C"/>
    <w:rsid w:val="00C61BFC"/>
    <w:rsid w:val="00C62713"/>
    <w:rsid w:val="00C62B85"/>
    <w:rsid w:val="00C65438"/>
    <w:rsid w:val="00C71D33"/>
    <w:rsid w:val="00C74B6D"/>
    <w:rsid w:val="00C91CBB"/>
    <w:rsid w:val="00C9378C"/>
    <w:rsid w:val="00C9740C"/>
    <w:rsid w:val="00CA13BA"/>
    <w:rsid w:val="00CA3984"/>
    <w:rsid w:val="00CA4DB3"/>
    <w:rsid w:val="00CC09B6"/>
    <w:rsid w:val="00CC666F"/>
    <w:rsid w:val="00CD1E3F"/>
    <w:rsid w:val="00CE010C"/>
    <w:rsid w:val="00CE44F6"/>
    <w:rsid w:val="00CE49DA"/>
    <w:rsid w:val="00CE5B2A"/>
    <w:rsid w:val="00CE7B61"/>
    <w:rsid w:val="00CF24DA"/>
    <w:rsid w:val="00D00095"/>
    <w:rsid w:val="00D20620"/>
    <w:rsid w:val="00D24588"/>
    <w:rsid w:val="00D26091"/>
    <w:rsid w:val="00D26EB3"/>
    <w:rsid w:val="00D34E7C"/>
    <w:rsid w:val="00D35489"/>
    <w:rsid w:val="00D35EA8"/>
    <w:rsid w:val="00D51276"/>
    <w:rsid w:val="00D5789F"/>
    <w:rsid w:val="00D64AED"/>
    <w:rsid w:val="00D7035F"/>
    <w:rsid w:val="00D91E06"/>
    <w:rsid w:val="00D944C6"/>
    <w:rsid w:val="00D95308"/>
    <w:rsid w:val="00DA65AC"/>
    <w:rsid w:val="00DB1913"/>
    <w:rsid w:val="00DB6278"/>
    <w:rsid w:val="00DC324E"/>
    <w:rsid w:val="00DC410D"/>
    <w:rsid w:val="00DC68CA"/>
    <w:rsid w:val="00DC7CBA"/>
    <w:rsid w:val="00DD73B7"/>
    <w:rsid w:val="00DE1CFC"/>
    <w:rsid w:val="00DF28BC"/>
    <w:rsid w:val="00DF34B9"/>
    <w:rsid w:val="00DF5C5B"/>
    <w:rsid w:val="00E00BC3"/>
    <w:rsid w:val="00E01053"/>
    <w:rsid w:val="00E02B2C"/>
    <w:rsid w:val="00E07ACF"/>
    <w:rsid w:val="00E12C69"/>
    <w:rsid w:val="00E20CC8"/>
    <w:rsid w:val="00E224C6"/>
    <w:rsid w:val="00E248C9"/>
    <w:rsid w:val="00E257E8"/>
    <w:rsid w:val="00E30ECE"/>
    <w:rsid w:val="00E3182A"/>
    <w:rsid w:val="00E331A1"/>
    <w:rsid w:val="00E33202"/>
    <w:rsid w:val="00E336A9"/>
    <w:rsid w:val="00E404FF"/>
    <w:rsid w:val="00E50624"/>
    <w:rsid w:val="00E568DF"/>
    <w:rsid w:val="00E576A7"/>
    <w:rsid w:val="00E64269"/>
    <w:rsid w:val="00E72F58"/>
    <w:rsid w:val="00E82267"/>
    <w:rsid w:val="00E86179"/>
    <w:rsid w:val="00E93AC3"/>
    <w:rsid w:val="00EA010F"/>
    <w:rsid w:val="00EA2282"/>
    <w:rsid w:val="00EC2B4F"/>
    <w:rsid w:val="00ED1B63"/>
    <w:rsid w:val="00ED3660"/>
    <w:rsid w:val="00ED3C1F"/>
    <w:rsid w:val="00ED3C37"/>
    <w:rsid w:val="00ED4085"/>
    <w:rsid w:val="00ED420E"/>
    <w:rsid w:val="00EE2F57"/>
    <w:rsid w:val="00EF4C34"/>
    <w:rsid w:val="00EF77C6"/>
    <w:rsid w:val="00F015C6"/>
    <w:rsid w:val="00F05438"/>
    <w:rsid w:val="00F10E93"/>
    <w:rsid w:val="00F1361C"/>
    <w:rsid w:val="00F160C7"/>
    <w:rsid w:val="00F239BE"/>
    <w:rsid w:val="00F35A4E"/>
    <w:rsid w:val="00F36D8F"/>
    <w:rsid w:val="00F374CC"/>
    <w:rsid w:val="00F40D36"/>
    <w:rsid w:val="00F417B1"/>
    <w:rsid w:val="00F5635C"/>
    <w:rsid w:val="00F602DF"/>
    <w:rsid w:val="00F66859"/>
    <w:rsid w:val="00F71D04"/>
    <w:rsid w:val="00F75A09"/>
    <w:rsid w:val="00F81FD9"/>
    <w:rsid w:val="00F828E4"/>
    <w:rsid w:val="00F841AA"/>
    <w:rsid w:val="00FA23E8"/>
    <w:rsid w:val="00FB764B"/>
    <w:rsid w:val="00FC60A9"/>
    <w:rsid w:val="00FD0AD2"/>
    <w:rsid w:val="00FD2924"/>
    <w:rsid w:val="00FD3CC1"/>
    <w:rsid w:val="00FE48F2"/>
    <w:rsid w:val="00FE5102"/>
    <w:rsid w:val="00FF1E02"/>
    <w:rsid w:val="00FF30B4"/>
    <w:rsid w:val="010704C4"/>
    <w:rsid w:val="03BD74CA"/>
    <w:rsid w:val="068471DE"/>
    <w:rsid w:val="08B26EC2"/>
    <w:rsid w:val="0A9354A9"/>
    <w:rsid w:val="0ED62A80"/>
    <w:rsid w:val="10C055FF"/>
    <w:rsid w:val="10F529AD"/>
    <w:rsid w:val="14543A9B"/>
    <w:rsid w:val="165F751C"/>
    <w:rsid w:val="16BB723D"/>
    <w:rsid w:val="17620AFC"/>
    <w:rsid w:val="187E17FA"/>
    <w:rsid w:val="1A746591"/>
    <w:rsid w:val="1DB643C1"/>
    <w:rsid w:val="1F506988"/>
    <w:rsid w:val="213B22B7"/>
    <w:rsid w:val="230E5E95"/>
    <w:rsid w:val="240371BF"/>
    <w:rsid w:val="25B46BBD"/>
    <w:rsid w:val="29154E43"/>
    <w:rsid w:val="29FD04D3"/>
    <w:rsid w:val="2CE025B7"/>
    <w:rsid w:val="2D204410"/>
    <w:rsid w:val="30F449E9"/>
    <w:rsid w:val="319F7F4E"/>
    <w:rsid w:val="38941C9A"/>
    <w:rsid w:val="3B0914C9"/>
    <w:rsid w:val="3CCA4B0E"/>
    <w:rsid w:val="3EBF3E3B"/>
    <w:rsid w:val="446F1152"/>
    <w:rsid w:val="453E098F"/>
    <w:rsid w:val="4584405C"/>
    <w:rsid w:val="46DD6BA5"/>
    <w:rsid w:val="491F2E33"/>
    <w:rsid w:val="49D258DD"/>
    <w:rsid w:val="49F627FB"/>
    <w:rsid w:val="4C33023C"/>
    <w:rsid w:val="524279F8"/>
    <w:rsid w:val="53EE7D92"/>
    <w:rsid w:val="541E1D2B"/>
    <w:rsid w:val="5609306D"/>
    <w:rsid w:val="57B677FA"/>
    <w:rsid w:val="581F0881"/>
    <w:rsid w:val="58BA59F2"/>
    <w:rsid w:val="5F342272"/>
    <w:rsid w:val="641C2282"/>
    <w:rsid w:val="655402EC"/>
    <w:rsid w:val="662F2AA2"/>
    <w:rsid w:val="66EC3632"/>
    <w:rsid w:val="672F6913"/>
    <w:rsid w:val="67A01F4C"/>
    <w:rsid w:val="6B7F3207"/>
    <w:rsid w:val="6F7577C4"/>
    <w:rsid w:val="75282356"/>
    <w:rsid w:val="78FA671F"/>
    <w:rsid w:val="7AAE261F"/>
    <w:rsid w:val="7D137446"/>
    <w:rsid w:val="7DB146B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qFormat/>
    <w:uiPriority w:val="99"/>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7"/>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2"/>
    <w:qFormat/>
    <w:uiPriority w:val="99"/>
    <w:rPr>
      <w:sz w:val="18"/>
      <w:szCs w:val="18"/>
    </w:rPr>
  </w:style>
  <w:style w:type="paragraph" w:styleId="8">
    <w:name w:val="footer"/>
    <w:basedOn w:val="1"/>
    <w:link w:val="26"/>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locked/>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99"/>
    <w:rPr>
      <w:rFonts w:cs="Times New Roman"/>
      <w:b/>
    </w:rPr>
  </w:style>
  <w:style w:type="character" w:styleId="17">
    <w:name w:val="Hyperlink"/>
    <w:basedOn w:val="15"/>
    <w:qFormat/>
    <w:uiPriority w:val="99"/>
    <w:rPr>
      <w:rFonts w:cs="Times New Roman"/>
      <w:color w:val="0000FF"/>
      <w:u w:val="single"/>
    </w:rPr>
  </w:style>
  <w:style w:type="character" w:customStyle="1" w:styleId="18">
    <w:name w:val="Heading 1 Char"/>
    <w:basedOn w:val="15"/>
    <w:link w:val="2"/>
    <w:qFormat/>
    <w:locked/>
    <w:uiPriority w:val="99"/>
    <w:rPr>
      <w:rFonts w:ascii="Times New Roman" w:hAnsi="Times New Roman" w:cs="Times New Roman"/>
      <w:b/>
      <w:bCs/>
      <w:kern w:val="44"/>
      <w:sz w:val="44"/>
      <w:szCs w:val="44"/>
    </w:rPr>
  </w:style>
  <w:style w:type="character" w:customStyle="1" w:styleId="19">
    <w:name w:val="Heading 2 Char"/>
    <w:basedOn w:val="15"/>
    <w:link w:val="3"/>
    <w:qFormat/>
    <w:locked/>
    <w:uiPriority w:val="99"/>
    <w:rPr>
      <w:rFonts w:ascii="Cambria" w:hAnsi="Cambria" w:eastAsia="宋体" w:cs="Times New Roman"/>
      <w:b/>
      <w:bCs/>
      <w:kern w:val="2"/>
      <w:sz w:val="32"/>
      <w:szCs w:val="32"/>
    </w:rPr>
  </w:style>
  <w:style w:type="character" w:customStyle="1" w:styleId="20">
    <w:name w:val="Heading 3 Char"/>
    <w:basedOn w:val="15"/>
    <w:link w:val="4"/>
    <w:qFormat/>
    <w:locked/>
    <w:uiPriority w:val="99"/>
    <w:rPr>
      <w:rFonts w:ascii="Times New Roman" w:hAnsi="Times New Roman" w:cs="Times New Roman"/>
      <w:b/>
      <w:bCs/>
      <w:kern w:val="2"/>
      <w:sz w:val="32"/>
      <w:szCs w:val="32"/>
    </w:rPr>
  </w:style>
  <w:style w:type="character" w:customStyle="1" w:styleId="21">
    <w:name w:val="Body Text Char"/>
    <w:basedOn w:val="15"/>
    <w:link w:val="5"/>
    <w:semiHidden/>
    <w:qFormat/>
    <w:locked/>
    <w:uiPriority w:val="99"/>
    <w:rPr>
      <w:rFonts w:ascii="Times New Roman" w:hAnsi="Times New Roman" w:cs="Times New Roman"/>
      <w:sz w:val="24"/>
      <w:szCs w:val="24"/>
    </w:rPr>
  </w:style>
  <w:style w:type="character" w:customStyle="1" w:styleId="22">
    <w:name w:val="Balloon Text Char"/>
    <w:basedOn w:val="15"/>
    <w:link w:val="7"/>
    <w:semiHidden/>
    <w:qFormat/>
    <w:locked/>
    <w:uiPriority w:val="99"/>
    <w:rPr>
      <w:rFonts w:ascii="Times New Roman" w:hAnsi="Times New Roman" w:cs="Times New Roman"/>
      <w:kern w:val="2"/>
      <w:sz w:val="18"/>
      <w:szCs w:val="18"/>
    </w:rPr>
  </w:style>
  <w:style w:type="character" w:customStyle="1" w:styleId="23">
    <w:name w:val="Footer Char"/>
    <w:basedOn w:val="15"/>
    <w:link w:val="8"/>
    <w:semiHidden/>
    <w:qFormat/>
    <w:locked/>
    <w:uiPriority w:val="99"/>
    <w:rPr>
      <w:rFonts w:ascii="Times New Roman" w:hAnsi="Times New Roman" w:cs="Times New Roman"/>
      <w:sz w:val="18"/>
      <w:szCs w:val="18"/>
    </w:rPr>
  </w:style>
  <w:style w:type="character" w:customStyle="1" w:styleId="24">
    <w:name w:val="Header Char"/>
    <w:basedOn w:val="15"/>
    <w:link w:val="9"/>
    <w:semiHidden/>
    <w:qFormat/>
    <w:locked/>
    <w:uiPriority w:val="99"/>
    <w:rPr>
      <w:rFonts w:ascii="Times New Roman" w:hAnsi="Times New Roman" w:cs="Times New Roman"/>
      <w:sz w:val="18"/>
      <w:szCs w:val="18"/>
    </w:rPr>
  </w:style>
  <w:style w:type="character" w:customStyle="1" w:styleId="25">
    <w:name w:val="Header Char1"/>
    <w:link w:val="9"/>
    <w:semiHidden/>
    <w:qFormat/>
    <w:locked/>
    <w:uiPriority w:val="99"/>
    <w:rPr>
      <w:sz w:val="18"/>
    </w:rPr>
  </w:style>
  <w:style w:type="character" w:customStyle="1" w:styleId="26">
    <w:name w:val="Footer Char1"/>
    <w:link w:val="8"/>
    <w:qFormat/>
    <w:locked/>
    <w:uiPriority w:val="99"/>
    <w:rPr>
      <w:sz w:val="18"/>
    </w:rPr>
  </w:style>
  <w:style w:type="character" w:customStyle="1" w:styleId="27">
    <w:name w:val="Body Text Char1"/>
    <w:link w:val="5"/>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9">
    <w:name w:val="List Paragraph"/>
    <w:basedOn w:val="1"/>
    <w:qFormat/>
    <w:uiPriority w:val="99"/>
    <w:pPr>
      <w:ind w:firstLine="420" w:firstLineChars="200"/>
    </w:pPr>
  </w:style>
  <w:style w:type="paragraph" w:customStyle="1" w:styleId="30">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四川省财政厅</Company>
  <Pages>34</Pages>
  <Words>13505</Words>
  <Characters>14742</Characters>
  <Lines>0</Lines>
  <Paragraphs>0</Paragraphs>
  <TotalTime>7</TotalTime>
  <ScaleCrop>false</ScaleCrop>
  <LinksUpToDate>false</LinksUpToDate>
  <CharactersWithSpaces>15038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2019-08-15T01:51:00Z</dcterms:created>
  <dc:creator>张彬茜</dc:creator>
  <cp:lastModifiedBy>安</cp:lastModifiedBy>
  <cp:lastPrinted>2019-09-12T03:16:00Z</cp:lastPrinted>
  <dcterms:modified xsi:type="dcterms:W3CDTF">2023-07-19T02:12:57Z</dcterms:modified>
  <dc:title>四川省***</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5BE6F94CAABA4C70B0D9F8E9027A2CA2_13</vt:lpwstr>
  </property>
</Properties>
</file>