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72"/>
          <w:szCs w:val="72"/>
        </w:rPr>
      </w:pPr>
      <w:bookmarkStart w:id="0" w:name="_Toc15306267"/>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77193"/>
      <w:bookmarkStart w:id="2" w:name="_Toc13153"/>
      <w:bookmarkStart w:id="3" w:name="_Toc15377425"/>
      <w:bookmarkStart w:id="4" w:name="_Toc15396475"/>
      <w:bookmarkStart w:id="5" w:name="_Toc15378441"/>
      <w:bookmarkStart w:id="6" w:name="_Toc15396597"/>
      <w:r>
        <w:rPr>
          <w:rFonts w:ascii="黑体" w:hAnsi="黑体" w:eastAsia="黑体"/>
          <w:color w:val="000000"/>
          <w:sz w:val="52"/>
          <w:szCs w:val="52"/>
        </w:rPr>
        <w:t>201</w:t>
      </w:r>
      <w:r>
        <w:rPr>
          <w:rFonts w:hint="eastAsia" w:ascii="黑体" w:hAnsi="黑体" w:eastAsia="黑体"/>
          <w:color w:val="000000"/>
          <w:sz w:val="52"/>
          <w:szCs w:val="52"/>
        </w:rPr>
        <w:t>9</w:t>
      </w:r>
      <w:r>
        <w:rPr>
          <w:rFonts w:hint="eastAsia" w:ascii="方正小标宋简体" w:hAnsi="宋体" w:eastAsia="方正小标宋简体"/>
          <w:color w:val="000000"/>
          <w:sz w:val="52"/>
          <w:szCs w:val="5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52"/>
          <w:szCs w:val="52"/>
        </w:rPr>
      </w:pPr>
      <w:bookmarkStart w:id="7" w:name="_Toc13089"/>
      <w:bookmarkStart w:id="8" w:name="_Toc15377194"/>
      <w:bookmarkStart w:id="9" w:name="_Toc15396598"/>
      <w:bookmarkStart w:id="10" w:name="_Toc15377426"/>
      <w:bookmarkStart w:id="11" w:name="_Toc15378442"/>
      <w:bookmarkStart w:id="12" w:name="_Toc15396476"/>
      <w:r>
        <w:rPr>
          <w:rFonts w:hint="eastAsia" w:ascii="方正小标宋简体" w:hAnsi="宋体" w:eastAsia="方正小标宋简体"/>
          <w:color w:val="000000"/>
          <w:sz w:val="52"/>
          <w:szCs w:val="52"/>
        </w:rPr>
        <w:t>四川省阿坝州红原县</w:t>
      </w:r>
      <w:bookmarkEnd w:id="0"/>
      <w:bookmarkStart w:id="13" w:name="_Toc15306268"/>
      <w:r>
        <w:rPr>
          <w:rFonts w:hint="eastAsia" w:ascii="方正小标宋简体" w:hAnsi="宋体" w:eastAsia="方正小标宋简体"/>
          <w:color w:val="000000"/>
          <w:sz w:val="52"/>
          <w:szCs w:val="52"/>
        </w:rPr>
        <w:t>卫生健康局</w:t>
      </w:r>
      <w:bookmarkEnd w:id="7"/>
    </w:p>
    <w:p>
      <w:pPr>
        <w:adjustRightInd w:val="0"/>
        <w:snapToGrid w:val="0"/>
        <w:spacing w:line="360" w:lineRule="auto"/>
        <w:jc w:val="center"/>
        <w:outlineLvl w:val="0"/>
        <w:rPr>
          <w:rFonts w:ascii="方正小标宋简体" w:hAnsi="宋体" w:eastAsia="方正小标宋简体"/>
          <w:color w:val="000000"/>
          <w:sz w:val="52"/>
          <w:szCs w:val="52"/>
        </w:rPr>
      </w:pPr>
      <w:bookmarkStart w:id="14" w:name="_Toc22370"/>
      <w:r>
        <w:rPr>
          <w:rFonts w:hint="eastAsia" w:ascii="方正小标宋简体" w:hAnsi="宋体" w:eastAsia="方正小标宋简体"/>
          <w:color w:val="000000"/>
          <w:sz w:val="52"/>
          <w:szCs w:val="52"/>
        </w:rPr>
        <w:t>部门决算</w:t>
      </w:r>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bookmarkStart w:id="113" w:name="_GoBack"/>
      <w:bookmarkEnd w:id="113"/>
    </w:p>
    <w:sdt>
      <w:sdtPr>
        <w:rPr>
          <w:rFonts w:ascii="宋体" w:hAnsi="宋体"/>
          <w:kern w:val="0"/>
          <w:sz w:val="20"/>
          <w:szCs w:val="20"/>
        </w:rPr>
        <w:id w:val="147461743"/>
      </w:sdtPr>
      <w:sdtEndPr>
        <w:rPr>
          <w:rFonts w:ascii="宋体" w:hAnsi="宋体"/>
          <w:b/>
          <w:kern w:val="0"/>
          <w:sz w:val="20"/>
          <w:szCs w:val="20"/>
        </w:rPr>
      </w:sdtEndPr>
      <w:sdtContent>
        <w:p>
          <w:pPr>
            <w:jc w:val="center"/>
          </w:pPr>
          <w:r>
            <w:rPr>
              <w:rFonts w:ascii="宋体" w:hAnsi="宋体"/>
              <w:b/>
              <w:bCs/>
              <w:sz w:val="36"/>
              <w:szCs w:val="36"/>
            </w:rPr>
            <w:t>目录</w:t>
          </w:r>
        </w:p>
        <w:p>
          <w:pPr>
            <w:pStyle w:val="34"/>
            <w:tabs>
              <w:tab w:val="right" w:leader="dot" w:pos="8306"/>
            </w:tabs>
            <w:rPr>
              <w:b/>
              <w:sz w:val="28"/>
              <w:szCs w:val="28"/>
            </w:rPr>
          </w:pPr>
          <w:r>
            <w:fldChar w:fldCharType="begin"/>
          </w:r>
          <w:r>
            <w:instrText xml:space="preserve">TOC \o "1-2" \h \u </w:instrText>
          </w:r>
          <w:r>
            <w:fldChar w:fldCharType="separate"/>
          </w:r>
          <w:r>
            <w:rPr>
              <w:b/>
              <w:sz w:val="28"/>
              <w:szCs w:val="28"/>
            </w:rPr>
            <w:t xml:space="preserve"> </w:t>
          </w:r>
          <w:r>
            <w:fldChar w:fldCharType="begin"/>
          </w:r>
          <w:r>
            <w:instrText xml:space="preserve"> HYPERLINK \l "_Toc17425" </w:instrText>
          </w:r>
          <w:r>
            <w:fldChar w:fldCharType="separate"/>
          </w:r>
          <w:r>
            <w:rPr>
              <w:rFonts w:hint="eastAsia"/>
              <w:b/>
              <w:sz w:val="28"/>
              <w:szCs w:val="28"/>
            </w:rPr>
            <w:t>第一部分 部门概况</w:t>
          </w:r>
          <w:r>
            <w:rPr>
              <w:b/>
              <w:sz w:val="28"/>
              <w:szCs w:val="28"/>
            </w:rPr>
            <w:tab/>
          </w:r>
          <w:r>
            <w:rPr>
              <w:rFonts w:hint="eastAsia"/>
              <w:b/>
              <w:sz w:val="28"/>
              <w:szCs w:val="28"/>
            </w:rPr>
            <w:t>1</w:t>
          </w:r>
          <w:r>
            <w:rPr>
              <w:rFonts w:hint="eastAsia"/>
              <w:b/>
              <w:sz w:val="28"/>
              <w:szCs w:val="28"/>
            </w:rPr>
            <w:fldChar w:fldCharType="end"/>
          </w:r>
        </w:p>
        <w:p>
          <w:pPr>
            <w:pStyle w:val="35"/>
            <w:tabs>
              <w:tab w:val="right" w:leader="dot" w:pos="8306"/>
            </w:tabs>
            <w:spacing w:before="93"/>
            <w:ind w:left="420"/>
            <w:rPr>
              <w:sz w:val="28"/>
              <w:szCs w:val="28"/>
            </w:rPr>
          </w:pPr>
          <w:r>
            <w:rPr>
              <w:rFonts w:hint="eastAsia"/>
              <w:sz w:val="28"/>
              <w:szCs w:val="28"/>
            </w:rPr>
            <w:t>一、</w:t>
          </w:r>
          <w:r>
            <w:fldChar w:fldCharType="begin"/>
          </w:r>
          <w:r>
            <w:instrText xml:space="preserve"> HYPERLINK \l "_Toc3279" </w:instrText>
          </w:r>
          <w:r>
            <w:fldChar w:fldCharType="separate"/>
          </w:r>
          <w:r>
            <w:rPr>
              <w:rFonts w:hint="eastAsia" w:ascii="黑体" w:hAnsi="黑体" w:eastAsia="黑体"/>
              <w:sz w:val="28"/>
              <w:szCs w:val="28"/>
            </w:rPr>
            <w:t>基本职能及主要工作</w:t>
          </w:r>
          <w:r>
            <w:rPr>
              <w:sz w:val="28"/>
              <w:szCs w:val="28"/>
            </w:rPr>
            <w:tab/>
          </w:r>
          <w:r>
            <w:rPr>
              <w:rFonts w:hint="eastAsia"/>
              <w:sz w:val="28"/>
              <w:szCs w:val="28"/>
            </w:rPr>
            <w:t>1</w:t>
          </w:r>
          <w:r>
            <w:rPr>
              <w:rFonts w:hint="eastAsia"/>
              <w:sz w:val="28"/>
              <w:szCs w:val="28"/>
            </w:rPr>
            <w:fldChar w:fldCharType="end"/>
          </w:r>
        </w:p>
        <w:p>
          <w:pPr>
            <w:pStyle w:val="35"/>
            <w:tabs>
              <w:tab w:val="right" w:leader="dot" w:pos="8306"/>
            </w:tabs>
            <w:spacing w:before="93"/>
            <w:ind w:left="420"/>
            <w:rPr>
              <w:sz w:val="28"/>
              <w:szCs w:val="28"/>
            </w:rPr>
          </w:pPr>
          <w:r>
            <w:fldChar w:fldCharType="begin"/>
          </w:r>
          <w:r>
            <w:instrText xml:space="preserve"> HYPERLINK \l "_Toc28827" </w:instrText>
          </w:r>
          <w:r>
            <w:fldChar w:fldCharType="separate"/>
          </w:r>
          <w:r>
            <w:rPr>
              <w:rFonts w:hint="eastAsia" w:ascii="黑体" w:hAnsi="黑体" w:eastAsia="黑体"/>
              <w:sz w:val="28"/>
              <w:szCs w:val="28"/>
            </w:rPr>
            <w:t>二、机构设置</w:t>
          </w:r>
          <w:r>
            <w:rPr>
              <w:sz w:val="28"/>
              <w:szCs w:val="28"/>
            </w:rPr>
            <w:tab/>
          </w:r>
          <w:r>
            <w:rPr>
              <w:rFonts w:hint="eastAsia"/>
              <w:sz w:val="28"/>
              <w:szCs w:val="28"/>
            </w:rPr>
            <w:t>2</w:t>
          </w:r>
          <w:r>
            <w:rPr>
              <w:rFonts w:hint="eastAsia"/>
              <w:sz w:val="28"/>
              <w:szCs w:val="28"/>
            </w:rPr>
            <w:fldChar w:fldCharType="end"/>
          </w:r>
        </w:p>
        <w:p>
          <w:pPr>
            <w:pStyle w:val="34"/>
            <w:tabs>
              <w:tab w:val="right" w:leader="dot" w:pos="8306"/>
            </w:tabs>
            <w:rPr>
              <w:b/>
              <w:sz w:val="28"/>
              <w:szCs w:val="28"/>
            </w:rPr>
          </w:pPr>
          <w:r>
            <w:fldChar w:fldCharType="begin"/>
          </w:r>
          <w:r>
            <w:instrText xml:space="preserve"> HYPERLINK \l "_Toc26086" </w:instrText>
          </w:r>
          <w:r>
            <w:fldChar w:fldCharType="separate"/>
          </w:r>
          <w:r>
            <w:rPr>
              <w:rFonts w:hint="eastAsia"/>
              <w:b/>
              <w:sz w:val="28"/>
              <w:szCs w:val="28"/>
            </w:rPr>
            <w:t>第二部分 2019年度部门决算情况说明</w:t>
          </w:r>
          <w:r>
            <w:rPr>
              <w:b/>
              <w:sz w:val="28"/>
              <w:szCs w:val="28"/>
            </w:rPr>
            <w:tab/>
          </w:r>
          <w:r>
            <w:rPr>
              <w:rFonts w:hint="eastAsia"/>
              <w:b/>
              <w:sz w:val="28"/>
              <w:szCs w:val="28"/>
            </w:rPr>
            <w:t>3</w:t>
          </w:r>
          <w:r>
            <w:rPr>
              <w:rFonts w:hint="eastAsia"/>
              <w:b/>
              <w:sz w:val="28"/>
              <w:szCs w:val="28"/>
            </w:rPr>
            <w:fldChar w:fldCharType="end"/>
          </w:r>
        </w:p>
        <w:p>
          <w:pPr>
            <w:pStyle w:val="35"/>
            <w:tabs>
              <w:tab w:val="right" w:leader="dot" w:pos="8306"/>
            </w:tabs>
            <w:ind w:left="420"/>
            <w:rPr>
              <w:sz w:val="28"/>
              <w:szCs w:val="28"/>
            </w:rPr>
          </w:pPr>
          <w:r>
            <w:fldChar w:fldCharType="begin"/>
          </w:r>
          <w:r>
            <w:instrText xml:space="preserve"> HYPERLINK \l "_Toc26875" </w:instrText>
          </w:r>
          <w:r>
            <w:fldChar w:fldCharType="separate"/>
          </w:r>
          <w:r>
            <w:rPr>
              <w:rFonts w:ascii="黑体" w:hAnsi="黑体" w:eastAsia="黑体"/>
              <w:sz w:val="28"/>
              <w:szCs w:val="28"/>
            </w:rPr>
            <w:t xml:space="preserve">一、 </w:t>
          </w:r>
          <w:r>
            <w:rPr>
              <w:rFonts w:hint="eastAsia" w:ascii="黑体" w:hAnsi="黑体" w:eastAsia="黑体"/>
              <w:sz w:val="28"/>
              <w:szCs w:val="28"/>
            </w:rPr>
            <w:t>收入支出决算总体情况说明</w:t>
          </w:r>
          <w:r>
            <w:rPr>
              <w:sz w:val="28"/>
              <w:szCs w:val="28"/>
            </w:rPr>
            <w:tab/>
          </w:r>
          <w:r>
            <w:rPr>
              <w:rFonts w:hint="eastAsia"/>
              <w:sz w:val="28"/>
              <w:szCs w:val="28"/>
            </w:rPr>
            <w:t>3</w:t>
          </w:r>
          <w:r>
            <w:rPr>
              <w:rFonts w:hint="eastAsia"/>
              <w:sz w:val="28"/>
              <w:szCs w:val="28"/>
            </w:rPr>
            <w:fldChar w:fldCharType="end"/>
          </w:r>
        </w:p>
        <w:p>
          <w:pPr>
            <w:pStyle w:val="35"/>
            <w:tabs>
              <w:tab w:val="right" w:leader="dot" w:pos="8306"/>
            </w:tabs>
            <w:ind w:left="420"/>
            <w:rPr>
              <w:sz w:val="28"/>
              <w:szCs w:val="28"/>
            </w:rPr>
          </w:pPr>
          <w:r>
            <w:fldChar w:fldCharType="begin"/>
          </w:r>
          <w:r>
            <w:instrText xml:space="preserve"> HYPERLINK \l "_Toc19345" </w:instrText>
          </w:r>
          <w:r>
            <w:fldChar w:fldCharType="separate"/>
          </w:r>
          <w:r>
            <w:rPr>
              <w:rFonts w:ascii="黑体" w:hAnsi="黑体" w:eastAsia="黑体"/>
              <w:sz w:val="28"/>
              <w:szCs w:val="28"/>
            </w:rPr>
            <w:t xml:space="preserve">二、 </w:t>
          </w:r>
          <w:r>
            <w:rPr>
              <w:rFonts w:hint="eastAsia" w:ascii="黑体" w:hAnsi="黑体" w:eastAsia="黑体"/>
              <w:sz w:val="28"/>
              <w:szCs w:val="28"/>
            </w:rPr>
            <w:t>收入决算情况说明</w:t>
          </w:r>
          <w:r>
            <w:rPr>
              <w:sz w:val="28"/>
              <w:szCs w:val="28"/>
            </w:rPr>
            <w:tab/>
          </w:r>
          <w:r>
            <w:rPr>
              <w:rFonts w:hint="eastAsia"/>
              <w:sz w:val="28"/>
              <w:szCs w:val="28"/>
            </w:rPr>
            <w:t>3</w:t>
          </w:r>
          <w:r>
            <w:rPr>
              <w:rFonts w:hint="eastAsia"/>
              <w:sz w:val="28"/>
              <w:szCs w:val="28"/>
            </w:rPr>
            <w:fldChar w:fldCharType="end"/>
          </w:r>
        </w:p>
        <w:p>
          <w:pPr>
            <w:pStyle w:val="35"/>
            <w:tabs>
              <w:tab w:val="right" w:leader="dot" w:pos="8306"/>
            </w:tabs>
            <w:ind w:left="420"/>
            <w:rPr>
              <w:sz w:val="28"/>
              <w:szCs w:val="28"/>
            </w:rPr>
          </w:pPr>
          <w:r>
            <w:fldChar w:fldCharType="begin"/>
          </w:r>
          <w:r>
            <w:instrText xml:space="preserve"> HYPERLINK \l "_Toc10374" </w:instrText>
          </w:r>
          <w:r>
            <w:fldChar w:fldCharType="separate"/>
          </w:r>
          <w:r>
            <w:rPr>
              <w:rFonts w:ascii="黑体" w:hAnsi="黑体" w:eastAsia="黑体"/>
              <w:sz w:val="28"/>
              <w:szCs w:val="28"/>
            </w:rPr>
            <w:t xml:space="preserve">三、 </w:t>
          </w:r>
          <w:r>
            <w:rPr>
              <w:rFonts w:hint="eastAsia" w:ascii="黑体" w:hAnsi="黑体" w:eastAsia="黑体"/>
              <w:sz w:val="28"/>
              <w:szCs w:val="28"/>
            </w:rPr>
            <w:t>支出决算情况说明</w:t>
          </w:r>
          <w:r>
            <w:rPr>
              <w:sz w:val="28"/>
              <w:szCs w:val="28"/>
            </w:rPr>
            <w:tab/>
          </w:r>
          <w:r>
            <w:rPr>
              <w:rFonts w:hint="eastAsia"/>
              <w:sz w:val="28"/>
              <w:szCs w:val="28"/>
            </w:rPr>
            <w:t>4</w:t>
          </w:r>
          <w:r>
            <w:rPr>
              <w:rFonts w:hint="eastAsia"/>
              <w:sz w:val="28"/>
              <w:szCs w:val="28"/>
            </w:rPr>
            <w:fldChar w:fldCharType="end"/>
          </w:r>
        </w:p>
        <w:p>
          <w:pPr>
            <w:pStyle w:val="35"/>
            <w:tabs>
              <w:tab w:val="right" w:leader="dot" w:pos="8306"/>
            </w:tabs>
            <w:ind w:left="420"/>
            <w:rPr>
              <w:sz w:val="28"/>
              <w:szCs w:val="28"/>
            </w:rPr>
          </w:pPr>
          <w:r>
            <w:fldChar w:fldCharType="begin"/>
          </w:r>
          <w:r>
            <w:instrText xml:space="preserve"> HYPERLINK \l "_Toc10330" </w:instrText>
          </w:r>
          <w:r>
            <w:fldChar w:fldCharType="separate"/>
          </w:r>
          <w:r>
            <w:rPr>
              <w:rFonts w:ascii="黑体" w:hAnsi="黑体" w:eastAsia="黑体"/>
              <w:sz w:val="28"/>
              <w:szCs w:val="28"/>
            </w:rPr>
            <w:t xml:space="preserve">四、 </w:t>
          </w:r>
          <w:r>
            <w:rPr>
              <w:rFonts w:hint="eastAsia" w:ascii="黑体" w:hAnsi="黑体" w:eastAsia="黑体"/>
              <w:sz w:val="28"/>
              <w:szCs w:val="28"/>
            </w:rPr>
            <w:t>财政拨款收入支出决算总体情况说明</w:t>
          </w:r>
          <w:r>
            <w:rPr>
              <w:sz w:val="28"/>
              <w:szCs w:val="28"/>
            </w:rPr>
            <w:tab/>
          </w:r>
          <w:r>
            <w:rPr>
              <w:rFonts w:hint="eastAsia"/>
              <w:sz w:val="28"/>
              <w:szCs w:val="28"/>
            </w:rPr>
            <w:t>5</w:t>
          </w:r>
          <w:r>
            <w:rPr>
              <w:rFonts w:hint="eastAsia"/>
              <w:sz w:val="28"/>
              <w:szCs w:val="28"/>
            </w:rPr>
            <w:fldChar w:fldCharType="end"/>
          </w:r>
        </w:p>
        <w:p>
          <w:pPr>
            <w:pStyle w:val="35"/>
            <w:tabs>
              <w:tab w:val="right" w:leader="dot" w:pos="8306"/>
            </w:tabs>
            <w:ind w:left="420"/>
            <w:rPr>
              <w:sz w:val="28"/>
              <w:szCs w:val="28"/>
            </w:rPr>
          </w:pPr>
          <w:r>
            <w:fldChar w:fldCharType="begin"/>
          </w:r>
          <w:r>
            <w:instrText xml:space="preserve"> HYPERLINK \l "_Toc7196" </w:instrText>
          </w:r>
          <w:r>
            <w:fldChar w:fldCharType="separate"/>
          </w:r>
          <w:r>
            <w:rPr>
              <w:rFonts w:hint="eastAsia" w:ascii="黑体" w:hAnsi="黑体" w:eastAsia="黑体"/>
              <w:sz w:val="28"/>
              <w:szCs w:val="28"/>
            </w:rPr>
            <w:t>五、一般公共预算财政拨款支出决算情况说明</w:t>
          </w:r>
          <w:r>
            <w:rPr>
              <w:sz w:val="28"/>
              <w:szCs w:val="28"/>
            </w:rPr>
            <w:tab/>
          </w:r>
          <w:r>
            <w:rPr>
              <w:rFonts w:hint="eastAsia"/>
              <w:sz w:val="28"/>
              <w:szCs w:val="28"/>
            </w:rPr>
            <w:t>5</w:t>
          </w:r>
          <w:r>
            <w:rPr>
              <w:rFonts w:hint="eastAsia"/>
              <w:sz w:val="28"/>
              <w:szCs w:val="28"/>
            </w:rPr>
            <w:fldChar w:fldCharType="end"/>
          </w:r>
        </w:p>
        <w:p>
          <w:pPr>
            <w:pStyle w:val="35"/>
            <w:tabs>
              <w:tab w:val="right" w:leader="dot" w:pos="8306"/>
            </w:tabs>
            <w:ind w:left="420"/>
            <w:rPr>
              <w:sz w:val="28"/>
              <w:szCs w:val="28"/>
            </w:rPr>
          </w:pPr>
          <w:r>
            <w:fldChar w:fldCharType="begin"/>
          </w:r>
          <w:r>
            <w:instrText xml:space="preserve"> HYPERLINK \l "_Toc25031" </w:instrText>
          </w:r>
          <w:r>
            <w:fldChar w:fldCharType="separate"/>
          </w:r>
          <w:r>
            <w:rPr>
              <w:rFonts w:hint="eastAsia" w:ascii="黑体" w:eastAsia="黑体"/>
              <w:sz w:val="28"/>
              <w:szCs w:val="28"/>
            </w:rPr>
            <w:t>六、</w:t>
          </w:r>
          <w:r>
            <w:rPr>
              <w:rFonts w:hint="eastAsia" w:ascii="黑体" w:hAnsi="黑体" w:eastAsia="黑体"/>
              <w:sz w:val="28"/>
              <w:szCs w:val="28"/>
            </w:rPr>
            <w:t>一般公共预算财政拨款基本支出决算情况说明</w:t>
          </w:r>
          <w:r>
            <w:rPr>
              <w:sz w:val="28"/>
              <w:szCs w:val="28"/>
            </w:rPr>
            <w:tab/>
          </w:r>
          <w:r>
            <w:rPr>
              <w:rFonts w:hint="eastAsia"/>
              <w:sz w:val="28"/>
              <w:szCs w:val="28"/>
            </w:rPr>
            <w:t>9</w:t>
          </w:r>
          <w:r>
            <w:rPr>
              <w:rFonts w:hint="eastAsia"/>
              <w:sz w:val="28"/>
              <w:szCs w:val="28"/>
            </w:rPr>
            <w:fldChar w:fldCharType="end"/>
          </w:r>
        </w:p>
        <w:p>
          <w:pPr>
            <w:pStyle w:val="35"/>
            <w:tabs>
              <w:tab w:val="right" w:leader="dot" w:pos="8306"/>
            </w:tabs>
            <w:ind w:left="420"/>
            <w:rPr>
              <w:sz w:val="28"/>
              <w:szCs w:val="28"/>
            </w:rPr>
          </w:pPr>
          <w:r>
            <w:fldChar w:fldCharType="begin"/>
          </w:r>
          <w:r>
            <w:instrText xml:space="preserve"> HYPERLINK \l "_Toc32221" </w:instrText>
          </w:r>
          <w:r>
            <w:fldChar w:fldCharType="separate"/>
          </w:r>
          <w:r>
            <w:rPr>
              <w:rFonts w:hint="eastAsia" w:ascii="黑体" w:eastAsia="黑体"/>
              <w:sz w:val="28"/>
              <w:szCs w:val="28"/>
            </w:rPr>
            <w:t>七、</w:t>
          </w:r>
          <w:r>
            <w:rPr>
              <w:rFonts w:hint="eastAsia" w:ascii="黑体" w:hAnsi="黑体" w:eastAsia="黑体"/>
              <w:sz w:val="28"/>
              <w:szCs w:val="28"/>
            </w:rPr>
            <w:t>“三公”经费财政拨款支出决算情况说明</w:t>
          </w:r>
          <w:r>
            <w:rPr>
              <w:sz w:val="28"/>
              <w:szCs w:val="28"/>
            </w:rPr>
            <w:tab/>
          </w:r>
          <w:r>
            <w:rPr>
              <w:sz w:val="28"/>
              <w:szCs w:val="28"/>
            </w:rPr>
            <w:fldChar w:fldCharType="begin"/>
          </w:r>
          <w:r>
            <w:rPr>
              <w:sz w:val="28"/>
              <w:szCs w:val="28"/>
            </w:rPr>
            <w:instrText xml:space="preserve"> PAGEREF _Toc32221 </w:instrText>
          </w:r>
          <w:r>
            <w:rPr>
              <w:sz w:val="28"/>
              <w:szCs w:val="28"/>
            </w:rPr>
            <w:fldChar w:fldCharType="separate"/>
          </w:r>
          <w:r>
            <w:rPr>
              <w:sz w:val="28"/>
              <w:szCs w:val="28"/>
            </w:rPr>
            <w:t>1</w:t>
          </w:r>
          <w:r>
            <w:rPr>
              <w:rFonts w:hint="eastAsia"/>
              <w:sz w:val="28"/>
              <w:szCs w:val="28"/>
            </w:rPr>
            <w:t>0</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"_Toc12937" </w:instrText>
          </w:r>
          <w:r>
            <w:fldChar w:fldCharType="separate"/>
          </w:r>
          <w:r>
            <w:rPr>
              <w:rFonts w:hint="eastAsia" w:ascii="黑体" w:eastAsia="黑体"/>
              <w:sz w:val="28"/>
              <w:szCs w:val="28"/>
            </w:rPr>
            <w:t>八、</w:t>
          </w:r>
          <w:r>
            <w:rPr>
              <w:rFonts w:hint="eastAsia" w:ascii="黑体" w:hAnsi="黑体" w:eastAsia="黑体"/>
              <w:sz w:val="28"/>
              <w:szCs w:val="28"/>
            </w:rPr>
            <w:t>政府性基金预算支出决算情况说明</w:t>
          </w:r>
          <w:r>
            <w:rPr>
              <w:sz w:val="28"/>
              <w:szCs w:val="28"/>
            </w:rPr>
            <w:tab/>
          </w:r>
          <w:r>
            <w:rPr>
              <w:sz w:val="28"/>
              <w:szCs w:val="28"/>
            </w:rPr>
            <w:fldChar w:fldCharType="begin"/>
          </w:r>
          <w:r>
            <w:rPr>
              <w:sz w:val="28"/>
              <w:szCs w:val="28"/>
            </w:rPr>
            <w:instrText xml:space="preserve"> PAGEREF _Toc12937 </w:instrText>
          </w:r>
          <w:r>
            <w:rPr>
              <w:sz w:val="28"/>
              <w:szCs w:val="28"/>
            </w:rPr>
            <w:fldChar w:fldCharType="separate"/>
          </w:r>
          <w:r>
            <w:rPr>
              <w:sz w:val="28"/>
              <w:szCs w:val="28"/>
            </w:rPr>
            <w:t>1</w:t>
          </w:r>
          <w:r>
            <w:rPr>
              <w:rFonts w:hint="eastAsia"/>
              <w:sz w:val="28"/>
              <w:szCs w:val="28"/>
            </w:rPr>
            <w:t>2</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"_Toc18734" </w:instrText>
          </w:r>
          <w:r>
            <w:fldChar w:fldCharType="separate"/>
          </w:r>
          <w:r>
            <w:rPr>
              <w:rFonts w:hint="eastAsia" w:ascii="黑体" w:hAnsi="黑体" w:eastAsia="黑体"/>
              <w:sz w:val="28"/>
              <w:szCs w:val="28"/>
            </w:rPr>
            <w:t>九、 国有资本经营预算支出决算情况说明</w:t>
          </w:r>
          <w:r>
            <w:rPr>
              <w:sz w:val="28"/>
              <w:szCs w:val="28"/>
            </w:rPr>
            <w:tab/>
          </w:r>
          <w:r>
            <w:rPr>
              <w:sz w:val="28"/>
              <w:szCs w:val="28"/>
            </w:rPr>
            <w:fldChar w:fldCharType="begin"/>
          </w:r>
          <w:r>
            <w:rPr>
              <w:sz w:val="28"/>
              <w:szCs w:val="28"/>
            </w:rPr>
            <w:instrText xml:space="preserve"> PAGEREF _Toc18734 </w:instrText>
          </w:r>
          <w:r>
            <w:rPr>
              <w:sz w:val="28"/>
              <w:szCs w:val="28"/>
            </w:rPr>
            <w:fldChar w:fldCharType="separate"/>
          </w:r>
          <w:r>
            <w:rPr>
              <w:sz w:val="28"/>
              <w:szCs w:val="28"/>
            </w:rPr>
            <w:t>1</w:t>
          </w:r>
          <w:r>
            <w:rPr>
              <w:rFonts w:hint="eastAsia"/>
              <w:sz w:val="28"/>
              <w:szCs w:val="28"/>
            </w:rPr>
            <w:t>2</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"_Toc14581" </w:instrText>
          </w:r>
          <w:r>
            <w:fldChar w:fldCharType="separate"/>
          </w:r>
          <w:r>
            <w:rPr>
              <w:rFonts w:hint="eastAsia" w:ascii="黑体" w:hAnsi="黑体" w:eastAsia="黑体"/>
              <w:sz w:val="28"/>
              <w:szCs w:val="28"/>
            </w:rPr>
            <w:t>十、其他重要事项的情况说明</w:t>
          </w:r>
          <w:r>
            <w:rPr>
              <w:sz w:val="28"/>
              <w:szCs w:val="28"/>
            </w:rPr>
            <w:tab/>
          </w:r>
          <w:r>
            <w:rPr>
              <w:sz w:val="28"/>
              <w:szCs w:val="28"/>
            </w:rPr>
            <w:fldChar w:fldCharType="begin"/>
          </w:r>
          <w:r>
            <w:rPr>
              <w:sz w:val="28"/>
              <w:szCs w:val="28"/>
            </w:rPr>
            <w:instrText xml:space="preserve"> PAGEREF _Toc14581 </w:instrText>
          </w:r>
          <w:r>
            <w:rPr>
              <w:sz w:val="28"/>
              <w:szCs w:val="28"/>
            </w:rPr>
            <w:fldChar w:fldCharType="separate"/>
          </w:r>
          <w:r>
            <w:rPr>
              <w:sz w:val="28"/>
              <w:szCs w:val="28"/>
            </w:rPr>
            <w:t>1</w:t>
          </w:r>
          <w:r>
            <w:rPr>
              <w:rFonts w:hint="eastAsia"/>
              <w:sz w:val="28"/>
              <w:szCs w:val="28"/>
            </w:rPr>
            <w:t>2</w:t>
          </w:r>
          <w:r>
            <w:rPr>
              <w:sz w:val="28"/>
              <w:szCs w:val="28"/>
            </w:rPr>
            <w:fldChar w:fldCharType="end"/>
          </w:r>
          <w:r>
            <w:rPr>
              <w:sz w:val="28"/>
              <w:szCs w:val="28"/>
            </w:rPr>
            <w:fldChar w:fldCharType="end"/>
          </w:r>
        </w:p>
        <w:p>
          <w:pPr>
            <w:pStyle w:val="34"/>
            <w:tabs>
              <w:tab w:val="right" w:leader="dot" w:pos="8306"/>
            </w:tabs>
            <w:rPr>
              <w:b/>
              <w:sz w:val="28"/>
              <w:szCs w:val="28"/>
            </w:rPr>
          </w:pPr>
          <w:r>
            <w:fldChar w:fldCharType="begin"/>
          </w:r>
          <w:r>
            <w:instrText xml:space="preserve"> HYPERLINK \l "_Toc11312" </w:instrText>
          </w:r>
          <w:r>
            <w:fldChar w:fldCharType="separate"/>
          </w:r>
          <w:r>
            <w:rPr>
              <w:rFonts w:hint="eastAsia"/>
              <w:b/>
              <w:sz w:val="28"/>
              <w:szCs w:val="28"/>
            </w:rPr>
            <w:t>第三部分 名词解释</w:t>
          </w:r>
          <w:r>
            <w:rPr>
              <w:b/>
              <w:sz w:val="28"/>
              <w:szCs w:val="28"/>
            </w:rPr>
            <w:tab/>
          </w:r>
          <w:r>
            <w:rPr>
              <w:rFonts w:hint="eastAsia"/>
              <w:b/>
              <w:sz w:val="28"/>
              <w:szCs w:val="28"/>
            </w:rPr>
            <w:t>32</w:t>
          </w:r>
          <w:r>
            <w:rPr>
              <w:rFonts w:hint="eastAsia"/>
              <w:b/>
              <w:sz w:val="28"/>
              <w:szCs w:val="28"/>
            </w:rPr>
            <w:fldChar w:fldCharType="end"/>
          </w:r>
        </w:p>
        <w:p>
          <w:pPr>
            <w:pStyle w:val="34"/>
            <w:tabs>
              <w:tab w:val="right" w:leader="dot" w:pos="8306"/>
            </w:tabs>
            <w:rPr>
              <w:b/>
              <w:sz w:val="28"/>
              <w:szCs w:val="28"/>
            </w:rPr>
          </w:pPr>
          <w:r>
            <w:fldChar w:fldCharType="begin"/>
          </w:r>
          <w:r>
            <w:instrText xml:space="preserve"> HYPERLINK \l "_Toc27556" </w:instrText>
          </w:r>
          <w:r>
            <w:fldChar w:fldCharType="separate"/>
          </w:r>
          <w:r>
            <w:rPr>
              <w:rFonts w:hint="eastAsia"/>
              <w:b/>
              <w:sz w:val="28"/>
              <w:szCs w:val="28"/>
            </w:rPr>
            <w:t>第四部分 附件</w:t>
          </w:r>
          <w:r>
            <w:rPr>
              <w:b/>
              <w:sz w:val="28"/>
              <w:szCs w:val="28"/>
            </w:rPr>
            <w:tab/>
          </w:r>
          <w:r>
            <w:rPr>
              <w:rFonts w:hint="eastAsia"/>
              <w:b/>
              <w:sz w:val="28"/>
              <w:szCs w:val="28"/>
            </w:rPr>
            <w:t>36</w:t>
          </w:r>
          <w:r>
            <w:rPr>
              <w:rFonts w:hint="eastAsia"/>
              <w:b/>
              <w:sz w:val="28"/>
              <w:szCs w:val="28"/>
            </w:rPr>
            <w:fldChar w:fldCharType="end"/>
          </w:r>
        </w:p>
        <w:p>
          <w:pPr>
            <w:pStyle w:val="35"/>
            <w:tabs>
              <w:tab w:val="right" w:leader="dot" w:pos="8306"/>
            </w:tabs>
            <w:ind w:left="420"/>
            <w:rPr>
              <w:rFonts w:hint="eastAsia"/>
            </w:rPr>
          </w:pPr>
          <w:r>
            <w:fldChar w:fldCharType="begin"/>
          </w:r>
          <w:r>
            <w:instrText xml:space="preserve"> HYPERLINK \l "_Toc28638" </w:instrText>
          </w:r>
          <w:r>
            <w:fldChar w:fldCharType="separate"/>
          </w:r>
          <w:r>
            <w:rPr>
              <w:rFonts w:hint="eastAsia" w:ascii="仿宋" w:hAnsi="仿宋" w:eastAsia="仿宋"/>
              <w:sz w:val="28"/>
              <w:szCs w:val="28"/>
            </w:rPr>
            <w:t>附件1</w:t>
          </w:r>
          <w:r>
            <w:rPr>
              <w:sz w:val="28"/>
              <w:szCs w:val="28"/>
            </w:rPr>
            <w:tab/>
          </w:r>
          <w:r>
            <w:rPr>
              <w:sz w:val="28"/>
              <w:szCs w:val="28"/>
            </w:rPr>
            <w:fldChar w:fldCharType="begin"/>
          </w:r>
          <w:r>
            <w:rPr>
              <w:sz w:val="28"/>
              <w:szCs w:val="28"/>
            </w:rPr>
            <w:instrText xml:space="preserve"> PAGEREF _Toc28638 </w:instrText>
          </w:r>
          <w:r>
            <w:rPr>
              <w:sz w:val="28"/>
              <w:szCs w:val="28"/>
            </w:rPr>
            <w:fldChar w:fldCharType="separate"/>
          </w:r>
          <w:r>
            <w:rPr>
              <w:sz w:val="28"/>
              <w:szCs w:val="28"/>
            </w:rPr>
            <w:t>3</w:t>
          </w:r>
          <w:r>
            <w:rPr>
              <w:rFonts w:hint="eastAsia"/>
              <w:sz w:val="28"/>
              <w:szCs w:val="28"/>
            </w:rPr>
            <w:t>6</w:t>
          </w:r>
          <w:r>
            <w:rPr>
              <w:sz w:val="28"/>
              <w:szCs w:val="28"/>
            </w:rPr>
            <w:fldChar w:fldCharType="end"/>
          </w:r>
          <w:r>
            <w:rPr>
              <w:sz w:val="28"/>
              <w:szCs w:val="28"/>
            </w:rPr>
            <w:fldChar w:fldCharType="end"/>
          </w:r>
        </w:p>
        <w:p>
          <w:pPr>
            <w:pStyle w:val="35"/>
            <w:tabs>
              <w:tab w:val="right" w:leader="dot" w:pos="8306"/>
            </w:tabs>
            <w:ind w:left="420"/>
            <w:rPr>
              <w:rFonts w:hint="eastAsia"/>
              <w:sz w:val="28"/>
              <w:szCs w:val="28"/>
            </w:rPr>
          </w:pPr>
          <w:r>
            <w:rPr>
              <w:rFonts w:hint="eastAsia"/>
              <w:sz w:val="28"/>
              <w:szCs w:val="28"/>
            </w:rPr>
            <w:t>附件2－1</w:t>
          </w:r>
          <w:r>
            <w:rPr>
              <w:sz w:val="28"/>
              <w:szCs w:val="28"/>
            </w:rPr>
            <w:tab/>
          </w:r>
          <w:r>
            <w:rPr>
              <w:sz w:val="28"/>
              <w:szCs w:val="28"/>
            </w:rPr>
            <w:fldChar w:fldCharType="begin"/>
          </w:r>
          <w:r>
            <w:rPr>
              <w:sz w:val="28"/>
              <w:szCs w:val="28"/>
            </w:rPr>
            <w:instrText xml:space="preserve"> PAGEREF _Toc14059 </w:instrText>
          </w:r>
          <w:r>
            <w:rPr>
              <w:sz w:val="28"/>
              <w:szCs w:val="28"/>
            </w:rPr>
            <w:fldChar w:fldCharType="separate"/>
          </w:r>
          <w:r>
            <w:rPr>
              <w:rFonts w:hint="eastAsia"/>
              <w:sz w:val="28"/>
              <w:szCs w:val="28"/>
            </w:rPr>
            <w:t>4</w:t>
          </w:r>
          <w:r>
            <w:rPr>
              <w:sz w:val="28"/>
              <w:szCs w:val="28"/>
            </w:rPr>
            <w:t>3</w:t>
          </w:r>
          <w:r>
            <w:rPr>
              <w:sz w:val="28"/>
              <w:szCs w:val="28"/>
            </w:rPr>
            <w:fldChar w:fldCharType="end"/>
          </w:r>
        </w:p>
        <w:p>
          <w:pPr>
            <w:pStyle w:val="35"/>
            <w:tabs>
              <w:tab w:val="right" w:leader="dot" w:pos="8306"/>
            </w:tabs>
            <w:ind w:left="420"/>
            <w:rPr>
              <w:sz w:val="28"/>
              <w:szCs w:val="28"/>
            </w:rPr>
          </w:pPr>
          <w:r>
            <w:rPr>
              <w:rFonts w:hint="eastAsia"/>
              <w:sz w:val="28"/>
              <w:szCs w:val="28"/>
            </w:rPr>
            <w:t>附件2－2</w:t>
          </w:r>
          <w:r>
            <w:rPr>
              <w:sz w:val="28"/>
              <w:szCs w:val="28"/>
            </w:rPr>
            <w:tab/>
          </w:r>
          <w:r>
            <w:rPr>
              <w:rFonts w:hint="eastAsia"/>
              <w:sz w:val="28"/>
              <w:szCs w:val="28"/>
            </w:rPr>
            <w:t>45</w:t>
          </w:r>
        </w:p>
        <w:p>
          <w:pPr>
            <w:pStyle w:val="35"/>
            <w:tabs>
              <w:tab w:val="right" w:leader="dot" w:pos="8306"/>
            </w:tabs>
            <w:ind w:left="420"/>
            <w:rPr>
              <w:sz w:val="28"/>
              <w:szCs w:val="28"/>
            </w:rPr>
          </w:pPr>
          <w:r>
            <w:fldChar w:fldCharType="begin"/>
          </w:r>
          <w:r>
            <w:instrText xml:space="preserve"> HYPERLINK \l "_Toc14059" </w:instrText>
          </w:r>
          <w:r>
            <w:fldChar w:fldCharType="separate"/>
          </w:r>
          <w:r>
            <w:rPr>
              <w:rFonts w:hint="eastAsia" w:ascii="仿宋" w:hAnsi="仿宋" w:eastAsia="仿宋"/>
              <w:sz w:val="28"/>
              <w:szCs w:val="28"/>
            </w:rPr>
            <w:t>附件2－3</w:t>
          </w:r>
          <w:r>
            <w:rPr>
              <w:sz w:val="28"/>
              <w:szCs w:val="28"/>
            </w:rPr>
            <w:tab/>
          </w:r>
          <w:r>
            <w:rPr>
              <w:sz w:val="28"/>
              <w:szCs w:val="28"/>
            </w:rPr>
            <w:fldChar w:fldCharType="begin"/>
          </w:r>
          <w:r>
            <w:rPr>
              <w:sz w:val="28"/>
              <w:szCs w:val="28"/>
            </w:rPr>
            <w:instrText xml:space="preserve"> PAGEREF _Toc14059 </w:instrText>
          </w:r>
          <w:r>
            <w:rPr>
              <w:sz w:val="28"/>
              <w:szCs w:val="28"/>
            </w:rPr>
            <w:fldChar w:fldCharType="separate"/>
          </w:r>
          <w:r>
            <w:rPr>
              <w:sz w:val="28"/>
              <w:szCs w:val="28"/>
            </w:rPr>
            <w:t>5</w:t>
          </w:r>
          <w:r>
            <w:rPr>
              <w:rFonts w:hint="eastAsia"/>
              <w:sz w:val="28"/>
              <w:szCs w:val="28"/>
            </w:rPr>
            <w:t>2</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"_Toc22966" </w:instrText>
          </w:r>
          <w:r>
            <w:fldChar w:fldCharType="separate"/>
          </w:r>
          <w:r>
            <w:rPr>
              <w:rFonts w:hint="eastAsia" w:ascii="仿宋" w:hAnsi="仿宋" w:eastAsia="仿宋"/>
              <w:sz w:val="28"/>
              <w:szCs w:val="28"/>
            </w:rPr>
            <w:t>附件2－4</w:t>
          </w:r>
          <w:r>
            <w:rPr>
              <w:sz w:val="28"/>
              <w:szCs w:val="28"/>
            </w:rPr>
            <w:tab/>
          </w:r>
          <w:r>
            <w:rPr>
              <w:sz w:val="28"/>
              <w:szCs w:val="28"/>
            </w:rPr>
            <w:fldChar w:fldCharType="begin"/>
          </w:r>
          <w:r>
            <w:rPr>
              <w:sz w:val="28"/>
              <w:szCs w:val="28"/>
            </w:rPr>
            <w:instrText xml:space="preserve"> PAGEREF _Toc22966 </w:instrText>
          </w:r>
          <w:r>
            <w:rPr>
              <w:sz w:val="28"/>
              <w:szCs w:val="28"/>
            </w:rPr>
            <w:fldChar w:fldCharType="separate"/>
          </w:r>
          <w:r>
            <w:rPr>
              <w:sz w:val="28"/>
              <w:szCs w:val="28"/>
            </w:rPr>
            <w:t>5</w:t>
          </w:r>
          <w:r>
            <w:rPr>
              <w:rFonts w:hint="eastAsia"/>
              <w:sz w:val="28"/>
              <w:szCs w:val="28"/>
            </w:rPr>
            <w:t>5</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"_Toc10159" </w:instrText>
          </w:r>
          <w:r>
            <w:fldChar w:fldCharType="separate"/>
          </w:r>
          <w:r>
            <w:rPr>
              <w:rFonts w:hint="eastAsia" w:ascii="仿宋" w:hAnsi="仿宋" w:eastAsia="仿宋"/>
              <w:sz w:val="28"/>
              <w:szCs w:val="28"/>
            </w:rPr>
            <w:t>附件2－5</w:t>
          </w:r>
          <w:r>
            <w:rPr>
              <w:sz w:val="28"/>
              <w:szCs w:val="28"/>
            </w:rPr>
            <w:tab/>
          </w:r>
          <w:r>
            <w:rPr>
              <w:rFonts w:hint="eastAsia"/>
              <w:sz w:val="28"/>
              <w:szCs w:val="28"/>
            </w:rPr>
            <w:t>59</w:t>
          </w:r>
          <w:r>
            <w:rPr>
              <w:rFonts w:hint="eastAsia"/>
              <w:sz w:val="28"/>
              <w:szCs w:val="28"/>
            </w:rPr>
            <w:fldChar w:fldCharType="end"/>
          </w:r>
        </w:p>
        <w:p>
          <w:pPr>
            <w:pStyle w:val="34"/>
            <w:tabs>
              <w:tab w:val="right" w:leader="dot" w:pos="8306"/>
            </w:tabs>
            <w:rPr>
              <w:b/>
              <w:sz w:val="28"/>
              <w:szCs w:val="28"/>
            </w:rPr>
          </w:pPr>
          <w:r>
            <w:fldChar w:fldCharType="begin"/>
          </w:r>
          <w:r>
            <w:instrText xml:space="preserve"> HYPERLINK \l "_Toc30014" </w:instrText>
          </w:r>
          <w:r>
            <w:fldChar w:fldCharType="separate"/>
          </w:r>
          <w:r>
            <w:rPr>
              <w:rFonts w:hint="eastAsia"/>
              <w:b/>
              <w:sz w:val="28"/>
              <w:szCs w:val="28"/>
            </w:rPr>
            <w:t>第五部分 附表</w:t>
          </w:r>
          <w:r>
            <w:rPr>
              <w:b/>
              <w:sz w:val="28"/>
              <w:szCs w:val="28"/>
            </w:rPr>
            <w:tab/>
          </w:r>
          <w:r>
            <w:rPr>
              <w:rFonts w:hint="eastAsia"/>
              <w:b/>
              <w:sz w:val="28"/>
              <w:szCs w:val="28"/>
            </w:rPr>
            <w:t>61</w:t>
          </w:r>
          <w:r>
            <w:rPr>
              <w:rFonts w:hint="eastAsia"/>
              <w:b/>
              <w:sz w:val="28"/>
              <w:szCs w:val="28"/>
            </w:rPr>
            <w:fldChar w:fldCharType="end"/>
          </w:r>
        </w:p>
        <w:p>
          <w:pPr>
            <w:pStyle w:val="35"/>
            <w:tabs>
              <w:tab w:val="right" w:leader="dot" w:pos="8306"/>
            </w:tabs>
            <w:ind w:left="420"/>
            <w:rPr>
              <w:sz w:val="28"/>
              <w:szCs w:val="28"/>
            </w:rPr>
          </w:pPr>
          <w:r>
            <w:fldChar w:fldCharType="begin"/>
          </w:r>
          <w:r>
            <w:instrText xml:space="preserve"> HYPERLINK \l "_Toc16212" </w:instrText>
          </w:r>
          <w:r>
            <w:fldChar w:fldCharType="separate"/>
          </w:r>
          <w:r>
            <w:rPr>
              <w:rFonts w:hint="eastAsia" w:ascii="仿宋" w:hAnsi="仿宋" w:eastAsia="仿宋"/>
              <w:sz w:val="28"/>
              <w:szCs w:val="28"/>
            </w:rPr>
            <w:t>一、收入支出决算总表</w:t>
          </w:r>
          <w:r>
            <w:rPr>
              <w:sz w:val="28"/>
              <w:szCs w:val="28"/>
            </w:rPr>
            <w:tab/>
          </w:r>
          <w:r>
            <w:rPr>
              <w:sz w:val="28"/>
              <w:szCs w:val="28"/>
            </w:rPr>
            <w:fldChar w:fldCharType="begin"/>
          </w:r>
          <w:r>
            <w:rPr>
              <w:sz w:val="28"/>
              <w:szCs w:val="28"/>
            </w:rPr>
            <w:instrText xml:space="preserve"> PAGEREF _Toc16212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"_Toc14600" </w:instrText>
          </w:r>
          <w:r>
            <w:fldChar w:fldCharType="separate"/>
          </w:r>
          <w:r>
            <w:rPr>
              <w:rFonts w:hint="eastAsia" w:ascii="仿宋" w:hAnsi="仿宋" w:eastAsia="仿宋"/>
              <w:sz w:val="28"/>
              <w:szCs w:val="28"/>
            </w:rPr>
            <w:t>二、收入决算表</w:t>
          </w:r>
          <w:r>
            <w:rPr>
              <w:sz w:val="28"/>
              <w:szCs w:val="28"/>
            </w:rPr>
            <w:tab/>
          </w:r>
          <w:r>
            <w:rPr>
              <w:sz w:val="28"/>
              <w:szCs w:val="28"/>
            </w:rPr>
            <w:fldChar w:fldCharType="begin"/>
          </w:r>
          <w:r>
            <w:rPr>
              <w:sz w:val="28"/>
              <w:szCs w:val="28"/>
            </w:rPr>
            <w:instrText xml:space="preserve"> PAGEREF _Toc14600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"_Toc13141" </w:instrText>
          </w:r>
          <w:r>
            <w:fldChar w:fldCharType="separate"/>
          </w:r>
          <w:r>
            <w:rPr>
              <w:rFonts w:hint="eastAsia" w:ascii="仿宋" w:hAnsi="仿宋" w:eastAsia="仿宋"/>
              <w:sz w:val="28"/>
              <w:szCs w:val="28"/>
            </w:rPr>
            <w:t>三、支出决算表</w:t>
          </w:r>
          <w:r>
            <w:rPr>
              <w:sz w:val="28"/>
              <w:szCs w:val="28"/>
            </w:rPr>
            <w:tab/>
          </w:r>
          <w:r>
            <w:rPr>
              <w:sz w:val="28"/>
              <w:szCs w:val="28"/>
            </w:rPr>
            <w:fldChar w:fldCharType="begin"/>
          </w:r>
          <w:r>
            <w:rPr>
              <w:sz w:val="28"/>
              <w:szCs w:val="28"/>
            </w:rPr>
            <w:instrText xml:space="preserve"> PAGEREF _Toc13141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"_Toc9884" </w:instrText>
          </w:r>
          <w:r>
            <w:fldChar w:fldCharType="separate"/>
          </w:r>
          <w:r>
            <w:rPr>
              <w:rFonts w:hint="eastAsia" w:ascii="仿宋" w:hAnsi="仿宋" w:eastAsia="仿宋"/>
              <w:sz w:val="28"/>
              <w:szCs w:val="28"/>
            </w:rPr>
            <w:t>四、财政拨款收入支出决算总表</w:t>
          </w:r>
          <w:r>
            <w:rPr>
              <w:sz w:val="28"/>
              <w:szCs w:val="28"/>
            </w:rPr>
            <w:tab/>
          </w:r>
          <w:r>
            <w:rPr>
              <w:sz w:val="28"/>
              <w:szCs w:val="28"/>
            </w:rPr>
            <w:fldChar w:fldCharType="begin"/>
          </w:r>
          <w:r>
            <w:rPr>
              <w:sz w:val="28"/>
              <w:szCs w:val="28"/>
            </w:rPr>
            <w:instrText xml:space="preserve"> PAGEREF _Toc9884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"_Toc7406" </w:instrText>
          </w:r>
          <w:r>
            <w:fldChar w:fldCharType="separate"/>
          </w:r>
          <w:r>
            <w:rPr>
              <w:rFonts w:hint="eastAsia" w:ascii="仿宋" w:hAnsi="仿宋" w:eastAsia="仿宋"/>
              <w:sz w:val="28"/>
              <w:szCs w:val="28"/>
            </w:rPr>
            <w:t>五、财政拨款支出决算明细表</w:t>
          </w:r>
          <w:r>
            <w:rPr>
              <w:sz w:val="28"/>
              <w:szCs w:val="28"/>
            </w:rPr>
            <w:tab/>
          </w:r>
          <w:r>
            <w:rPr>
              <w:sz w:val="28"/>
              <w:szCs w:val="28"/>
            </w:rPr>
            <w:fldChar w:fldCharType="begin"/>
          </w:r>
          <w:r>
            <w:rPr>
              <w:sz w:val="28"/>
              <w:szCs w:val="28"/>
            </w:rPr>
            <w:instrText xml:space="preserve"> PAGEREF _Toc7406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"_Toc9591" </w:instrText>
          </w:r>
          <w:r>
            <w:fldChar w:fldCharType="separate"/>
          </w:r>
          <w:r>
            <w:rPr>
              <w:rFonts w:hint="eastAsia" w:ascii="仿宋" w:hAnsi="仿宋" w:eastAsia="仿宋"/>
              <w:sz w:val="28"/>
              <w:szCs w:val="28"/>
            </w:rPr>
            <w:t>六、一般公共预算财政拨款支出决算表</w:t>
          </w:r>
          <w:r>
            <w:rPr>
              <w:sz w:val="28"/>
              <w:szCs w:val="28"/>
            </w:rPr>
            <w:tab/>
          </w:r>
          <w:r>
            <w:rPr>
              <w:sz w:val="28"/>
              <w:szCs w:val="28"/>
            </w:rPr>
            <w:fldChar w:fldCharType="begin"/>
          </w:r>
          <w:r>
            <w:rPr>
              <w:sz w:val="28"/>
              <w:szCs w:val="28"/>
            </w:rPr>
            <w:instrText xml:space="preserve"> PAGEREF _Toc9591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"_Toc30099" </w:instrText>
          </w:r>
          <w:r>
            <w:fldChar w:fldCharType="separate"/>
          </w:r>
          <w:r>
            <w:rPr>
              <w:rFonts w:hint="eastAsia" w:ascii="仿宋" w:hAnsi="仿宋" w:eastAsia="仿宋"/>
              <w:sz w:val="28"/>
              <w:szCs w:val="28"/>
            </w:rPr>
            <w:t>七、一般公共预算财政拨款支出决算明细表</w:t>
          </w:r>
          <w:r>
            <w:rPr>
              <w:sz w:val="28"/>
              <w:szCs w:val="28"/>
            </w:rPr>
            <w:tab/>
          </w:r>
          <w:r>
            <w:rPr>
              <w:sz w:val="28"/>
              <w:szCs w:val="28"/>
            </w:rPr>
            <w:fldChar w:fldCharType="begin"/>
          </w:r>
          <w:r>
            <w:rPr>
              <w:sz w:val="28"/>
              <w:szCs w:val="28"/>
            </w:rPr>
            <w:instrText xml:space="preserve"> PAGEREF _Toc30099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"_Toc903" </w:instrText>
          </w:r>
          <w:r>
            <w:fldChar w:fldCharType="separate"/>
          </w:r>
          <w:r>
            <w:rPr>
              <w:rFonts w:hint="eastAsia" w:ascii="仿宋" w:hAnsi="仿宋" w:eastAsia="仿宋"/>
              <w:sz w:val="28"/>
              <w:szCs w:val="28"/>
            </w:rPr>
            <w:t>八、一般公共预算财政拨款基本支出决算表</w:t>
          </w:r>
          <w:r>
            <w:rPr>
              <w:sz w:val="28"/>
              <w:szCs w:val="28"/>
            </w:rPr>
            <w:tab/>
          </w:r>
          <w:r>
            <w:rPr>
              <w:sz w:val="28"/>
              <w:szCs w:val="28"/>
            </w:rPr>
            <w:fldChar w:fldCharType="begin"/>
          </w:r>
          <w:r>
            <w:rPr>
              <w:sz w:val="28"/>
              <w:szCs w:val="28"/>
            </w:rPr>
            <w:instrText xml:space="preserve"> PAGEREF _Toc903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"_Toc27779" </w:instrText>
          </w:r>
          <w:r>
            <w:fldChar w:fldCharType="separate"/>
          </w:r>
          <w:r>
            <w:rPr>
              <w:rFonts w:hint="eastAsia" w:ascii="仿宋" w:hAnsi="仿宋" w:eastAsia="仿宋"/>
              <w:sz w:val="28"/>
              <w:szCs w:val="28"/>
            </w:rPr>
            <w:t>九、一般公共预算财政拨款项目支出决算表</w:t>
          </w:r>
          <w:r>
            <w:rPr>
              <w:sz w:val="28"/>
              <w:szCs w:val="28"/>
            </w:rPr>
            <w:tab/>
          </w:r>
          <w:r>
            <w:rPr>
              <w:sz w:val="28"/>
              <w:szCs w:val="28"/>
            </w:rPr>
            <w:fldChar w:fldCharType="begin"/>
          </w:r>
          <w:r>
            <w:rPr>
              <w:sz w:val="28"/>
              <w:szCs w:val="28"/>
            </w:rPr>
            <w:instrText xml:space="preserve"> PAGEREF _Toc27779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"_Toc4086" </w:instrText>
          </w:r>
          <w:r>
            <w:fldChar w:fldCharType="separate"/>
          </w:r>
          <w:r>
            <w:rPr>
              <w:rFonts w:hint="eastAsia" w:ascii="仿宋" w:hAnsi="仿宋" w:eastAsia="仿宋"/>
              <w:sz w:val="28"/>
              <w:szCs w:val="28"/>
            </w:rPr>
            <w:t>十、一般公共预算财政拨款“三公”经费支出决算表</w:t>
          </w:r>
          <w:r>
            <w:rPr>
              <w:sz w:val="28"/>
              <w:szCs w:val="28"/>
            </w:rPr>
            <w:tab/>
          </w:r>
          <w:r>
            <w:rPr>
              <w:sz w:val="28"/>
              <w:szCs w:val="28"/>
            </w:rPr>
            <w:fldChar w:fldCharType="begin"/>
          </w:r>
          <w:r>
            <w:rPr>
              <w:sz w:val="28"/>
              <w:szCs w:val="28"/>
            </w:rPr>
            <w:instrText xml:space="preserve"> PAGEREF _Toc4086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"_Toc1438" </w:instrText>
          </w:r>
          <w:r>
            <w:fldChar w:fldCharType="separate"/>
          </w:r>
          <w:r>
            <w:rPr>
              <w:rFonts w:hint="eastAsia" w:ascii="仿宋" w:hAnsi="仿宋" w:eastAsia="仿宋"/>
              <w:sz w:val="28"/>
              <w:szCs w:val="28"/>
            </w:rPr>
            <w:t>十一、政府性基金预算财政拨款收入支出决算表</w:t>
          </w:r>
          <w:r>
            <w:rPr>
              <w:sz w:val="28"/>
              <w:szCs w:val="28"/>
            </w:rPr>
            <w:tab/>
          </w:r>
          <w:r>
            <w:rPr>
              <w:sz w:val="28"/>
              <w:szCs w:val="28"/>
            </w:rPr>
            <w:fldChar w:fldCharType="begin"/>
          </w:r>
          <w:r>
            <w:rPr>
              <w:sz w:val="28"/>
              <w:szCs w:val="28"/>
            </w:rPr>
            <w:instrText xml:space="preserve"> PAGEREF _Toc1438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sz w:val="28"/>
              <w:szCs w:val="28"/>
            </w:rPr>
          </w:pPr>
          <w:r>
            <w:fldChar w:fldCharType="begin"/>
          </w:r>
          <w:r>
            <w:instrText xml:space="preserve"> HYPERLINK \l "_Toc21267" </w:instrText>
          </w:r>
          <w:r>
            <w:fldChar w:fldCharType="separate"/>
          </w:r>
          <w:r>
            <w:rPr>
              <w:rFonts w:hint="eastAsia" w:ascii="仿宋" w:hAnsi="仿宋" w:eastAsia="仿宋"/>
              <w:sz w:val="28"/>
              <w:szCs w:val="28"/>
            </w:rPr>
            <w:t>十二、政府性基金预算财政拨款“三公”经费支出决算表</w:t>
          </w:r>
          <w:r>
            <w:rPr>
              <w:sz w:val="28"/>
              <w:szCs w:val="28"/>
            </w:rPr>
            <w:tab/>
          </w:r>
          <w:r>
            <w:rPr>
              <w:sz w:val="28"/>
              <w:szCs w:val="28"/>
            </w:rPr>
            <w:fldChar w:fldCharType="begin"/>
          </w:r>
          <w:r>
            <w:rPr>
              <w:sz w:val="28"/>
              <w:szCs w:val="28"/>
            </w:rPr>
            <w:instrText xml:space="preserve"> PAGEREF _Toc21267 </w:instrText>
          </w:r>
          <w:r>
            <w:rPr>
              <w:sz w:val="28"/>
              <w:szCs w:val="28"/>
            </w:rPr>
            <w:fldChar w:fldCharType="separate"/>
          </w:r>
          <w:r>
            <w:rPr>
              <w:sz w:val="28"/>
              <w:szCs w:val="28"/>
            </w:rPr>
            <w:t>6</w:t>
          </w:r>
          <w:r>
            <w:rPr>
              <w:rFonts w:hint="eastAsia"/>
              <w:sz w:val="28"/>
              <w:szCs w:val="28"/>
            </w:rPr>
            <w:t>1</w:t>
          </w:r>
          <w:r>
            <w:rPr>
              <w:sz w:val="28"/>
              <w:szCs w:val="28"/>
            </w:rPr>
            <w:fldChar w:fldCharType="end"/>
          </w:r>
          <w:r>
            <w:rPr>
              <w:sz w:val="28"/>
              <w:szCs w:val="28"/>
            </w:rPr>
            <w:fldChar w:fldCharType="end"/>
          </w:r>
        </w:p>
        <w:p>
          <w:pPr>
            <w:pStyle w:val="35"/>
            <w:tabs>
              <w:tab w:val="right" w:leader="dot" w:pos="8306"/>
            </w:tabs>
            <w:ind w:left="420"/>
            <w:rPr>
              <w:rFonts w:ascii="仿宋" w:hAnsi="仿宋" w:eastAsia="仿宋"/>
              <w:sz w:val="28"/>
              <w:szCs w:val="28"/>
            </w:rPr>
          </w:pPr>
          <w:r>
            <w:rPr>
              <w:rFonts w:hint="eastAsia" w:ascii="仿宋" w:hAnsi="仿宋" w:eastAsia="仿宋"/>
              <w:sz w:val="28"/>
              <w:szCs w:val="28"/>
            </w:rPr>
            <w:t>十三、国有资本经营预算支出决算表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_Toc21267 </w:instrText>
          </w:r>
          <w:r>
            <w:rPr>
              <w:rFonts w:ascii="仿宋" w:hAnsi="仿宋" w:eastAsia="仿宋"/>
              <w:sz w:val="28"/>
              <w:szCs w:val="28"/>
            </w:rPr>
            <w:fldChar w:fldCharType="separate"/>
          </w:r>
          <w:r>
            <w:rPr>
              <w:rFonts w:ascii="仿宋" w:hAnsi="仿宋" w:eastAsia="仿宋"/>
              <w:sz w:val="28"/>
              <w:szCs w:val="28"/>
            </w:rPr>
            <w:t>6</w:t>
          </w:r>
          <w:r>
            <w:rPr>
              <w:rFonts w:hint="eastAsia" w:ascii="仿宋" w:hAnsi="仿宋" w:eastAsia="仿宋"/>
              <w:sz w:val="28"/>
              <w:szCs w:val="28"/>
            </w:rPr>
            <w:t>1</w:t>
          </w:r>
          <w:r>
            <w:rPr>
              <w:rFonts w:ascii="仿宋" w:hAnsi="仿宋" w:eastAsia="仿宋"/>
              <w:sz w:val="28"/>
              <w:szCs w:val="28"/>
            </w:rPr>
            <w:fldChar w:fldCharType="end"/>
          </w:r>
        </w:p>
        <w:p>
          <w:pPr>
            <w:pStyle w:val="35"/>
            <w:tabs>
              <w:tab w:val="right" w:leader="dot" w:pos="8306"/>
            </w:tabs>
            <w:ind w:left="0" w:leftChars="0"/>
          </w:pPr>
          <w:r>
            <w:rPr>
              <w:b/>
            </w:rPr>
            <w:fldChar w:fldCharType="end"/>
          </w:r>
        </w:p>
      </w:sdtContent>
    </w:sdt>
    <w:p>
      <w:pPr>
        <w:pStyle w:val="2"/>
        <w:jc w:val="center"/>
        <w:rPr>
          <w:rFonts w:ascii="黑体" w:hAnsi="黑体" w:eastAsia="黑体"/>
          <w:b w:val="0"/>
        </w:rPr>
        <w:sectPr>
          <w:footerReference r:id="rId10" w:type="first"/>
          <w:footerReference r:id="rId9" w:type="default"/>
          <w:pgSz w:w="11906" w:h="16838"/>
          <w:pgMar w:top="1440" w:right="1800" w:bottom="1440" w:left="1800" w:header="851" w:footer="992" w:gutter="0"/>
          <w:pgNumType w:start="1"/>
          <w:cols w:space="425" w:num="1"/>
          <w:docGrid w:type="lines" w:linePitch="312" w:charSpace="0"/>
        </w:sectPr>
      </w:pPr>
      <w:bookmarkStart w:id="15" w:name="_Toc15377196"/>
      <w:bookmarkStart w:id="16" w:name="_Toc15396599"/>
      <w:bookmarkStart w:id="17" w:name="_Toc17341"/>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5"/>
      <w:bookmarkEnd w:id="16"/>
      <w:bookmarkEnd w:id="17"/>
    </w:p>
    <w:p>
      <w:pPr>
        <w:widowControl/>
        <w:jc w:val="left"/>
        <w:rPr>
          <w:rFonts w:ascii="黑体" w:eastAsia="黑体"/>
          <w:color w:val="000000"/>
          <w:sz w:val="32"/>
          <w:szCs w:val="32"/>
        </w:rPr>
      </w:pPr>
    </w:p>
    <w:p>
      <w:pPr>
        <w:pStyle w:val="3"/>
        <w:rPr>
          <w:rStyle w:val="31"/>
          <w:rFonts w:ascii="仿宋" w:hAnsi="仿宋" w:eastAsia="仿宋"/>
          <w:b w:val="0"/>
          <w:bCs w:val="0"/>
        </w:rPr>
      </w:pPr>
      <w:bookmarkStart w:id="18" w:name="_Toc3279"/>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8"/>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9" w:name="_Toc15378445"/>
      <w:bookmarkStart w:id="20" w:name="_Toc15377198"/>
      <w:r>
        <w:rPr>
          <w:rFonts w:hint="eastAsia" w:ascii="仿宋" w:hAnsi="仿宋" w:eastAsia="仿宋"/>
          <w:bCs/>
          <w:color w:val="000000"/>
          <w:sz w:val="32"/>
          <w:szCs w:val="32"/>
        </w:rPr>
        <w:t>（一）主要职能。</w:t>
      </w:r>
      <w:bookmarkEnd w:id="19"/>
      <w:bookmarkEnd w:id="20"/>
      <w:bookmarkStart w:id="21" w:name="_Toc15378446"/>
      <w:bookmarkStart w:id="22" w:name="_Toc15377199"/>
    </w:p>
    <w:p>
      <w:pPr>
        <w:pStyle w:val="5"/>
        <w:adjustRightInd w:val="0"/>
        <w:snapToGrid w:val="0"/>
        <w:spacing w:before="93" w:line="600" w:lineRule="exact"/>
        <w:ind w:firstLine="672" w:firstLineChars="210"/>
        <w:outlineLvl w:val="2"/>
        <w:rPr>
          <w:rFonts w:ascii="仿宋" w:hAnsi="仿宋" w:eastAsia="仿宋"/>
          <w:kern w:val="2"/>
          <w:sz w:val="32"/>
          <w:szCs w:val="32"/>
        </w:rPr>
      </w:pPr>
      <w:r>
        <w:rPr>
          <w:rFonts w:hint="eastAsia" w:ascii="仿宋" w:hAnsi="仿宋" w:eastAsia="仿宋"/>
          <w:kern w:val="2"/>
          <w:sz w:val="32"/>
          <w:szCs w:val="32"/>
        </w:rPr>
        <w:t>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pPr>
        <w:pBdr>
          <w:bottom w:val="single" w:color="FFFFFF" w:sz="4" w:space="29"/>
        </w:pBdr>
        <w:autoSpaceDE w:val="0"/>
        <w:spacing w:line="560" w:lineRule="exact"/>
        <w:ind w:firstLine="640" w:firstLineChars="200"/>
        <w:rPr>
          <w:rFonts w:ascii="仿宋" w:hAnsi="仿宋" w:eastAsia="仿宋"/>
          <w:sz w:val="32"/>
          <w:szCs w:val="32"/>
        </w:rPr>
      </w:pPr>
      <w:r>
        <w:rPr>
          <w:rFonts w:hint="eastAsia" w:ascii="仿宋" w:hAnsi="仿宋" w:eastAsia="仿宋"/>
          <w:sz w:val="32"/>
          <w:szCs w:val="32"/>
        </w:rPr>
        <w:t>（二）2019年重点工作完成情况。</w:t>
      </w:r>
      <w:bookmarkEnd w:id="21"/>
      <w:bookmarkEnd w:id="22"/>
    </w:p>
    <w:p>
      <w:pPr>
        <w:widowControl/>
        <w:pBdr>
          <w:bottom w:val="single" w:color="FFFFFF" w:sz="4" w:space="29"/>
        </w:pBdr>
        <w:autoSpaceDE w:val="0"/>
        <w:adjustRightInd w:val="0"/>
        <w:snapToGrid w:val="0"/>
        <w:spacing w:line="560" w:lineRule="exact"/>
        <w:ind w:firstLine="643" w:firstLineChars="200"/>
        <w:rPr>
          <w:rFonts w:ascii="楷体_GB2312" w:hAnsi="楷体_GB2312" w:eastAsia="楷体_GB2312" w:cs="楷体_GB2312"/>
          <w:b/>
          <w:bCs/>
          <w:sz w:val="32"/>
          <w:szCs w:val="32"/>
        </w:rPr>
      </w:pPr>
      <w:bookmarkStart w:id="23" w:name="_Toc15377200"/>
      <w:bookmarkStart w:id="24" w:name="_Toc15396601"/>
      <w:r>
        <w:rPr>
          <w:rFonts w:hint="eastAsia" w:ascii="楷体_GB2312" w:hAnsi="楷体_GB2312" w:eastAsia="楷体_GB2312" w:cs="楷体_GB2312"/>
          <w:b/>
          <w:bCs/>
          <w:sz w:val="32"/>
          <w:szCs w:val="32"/>
        </w:rPr>
        <w:t>1.“不忘初心、牢记使命”，思想认识得到升华</w:t>
      </w:r>
    </w:p>
    <w:p>
      <w:pPr>
        <w:widowControl/>
        <w:pBdr>
          <w:bottom w:val="single" w:color="FFFFFF" w:sz="4" w:space="29"/>
        </w:pBdr>
        <w:autoSpaceDE w:val="0"/>
        <w:adjustRightInd w:val="0"/>
        <w:snapToGrid w:val="0"/>
        <w:spacing w:line="560" w:lineRule="exact"/>
        <w:ind w:firstLine="640" w:firstLineChars="200"/>
        <w:rPr>
          <w:rFonts w:ascii="楷体_GB2312" w:hAnsi="楷体_GB2312" w:eastAsia="楷体_GB2312" w:cs="楷体_GB2312"/>
          <w:b/>
          <w:bCs/>
          <w:sz w:val="32"/>
          <w:szCs w:val="32"/>
        </w:rPr>
      </w:pPr>
      <w:r>
        <w:rPr>
          <w:rFonts w:hint="eastAsia" w:ascii="仿宋_GB2312" w:hAnsi="仿宋_GB2312" w:eastAsia="仿宋_GB2312" w:cs="仿宋_GB2312"/>
          <w:kern w:val="0"/>
          <w:sz w:val="32"/>
          <w:szCs w:val="32"/>
        </w:rPr>
        <w:t>全县卫生健康系统“不忘初心、牢记使命”主题教育工作</w:t>
      </w:r>
      <w:r>
        <w:rPr>
          <w:rFonts w:hint="eastAsia" w:ascii="仿宋_GB2312" w:hAnsi="仿宋_GB2312" w:eastAsia="仿宋_GB2312" w:cs="仿宋_GB2312"/>
          <w:sz w:val="32"/>
          <w:szCs w:val="32"/>
        </w:rPr>
        <w:t>高标准、高质量、高水平推进，贯彻守初心、担使命、找差距、抓落实的总要求，用党的创新理论武装头脑，真学真做真改真干，为统筹推进“两联一进”群众全覆盖、聚焦县委“三地两心一时代”战略布局，打造“川甘青医疗卫生中心建设”奋斗目标，推动全系统干部职工更加自觉地为实现新时代党的历史使命和中华民族伟大复兴的中国梦不懈奋斗。</w:t>
      </w:r>
    </w:p>
    <w:p>
      <w:pPr>
        <w:widowControl/>
        <w:pBdr>
          <w:bottom w:val="single" w:color="FFFFFF" w:sz="4" w:space="29"/>
        </w:pBdr>
        <w:autoSpaceDE w:val="0"/>
        <w:adjustRightInd w:val="0"/>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2.健康扶贫工作顺利通过省级验收</w:t>
      </w:r>
    </w:p>
    <w:p>
      <w:pPr>
        <w:widowControl/>
        <w:pBdr>
          <w:bottom w:val="single" w:color="FFFFFF" w:sz="4" w:space="29"/>
        </w:pBdr>
        <w:autoSpaceDE w:val="0"/>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我县健康扶贫工作以下7项指标全部达标，顺利通过省级验收。</w:t>
      </w:r>
    </w:p>
    <w:p>
      <w:pPr>
        <w:widowControl/>
        <w:pBdr>
          <w:bottom w:val="single" w:color="FFFFFF" w:sz="4" w:space="29"/>
        </w:pBdr>
        <w:autoSpaceDE w:val="0"/>
        <w:adjustRightInd w:val="0"/>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3.医疗机构服务能力进一步提升</w:t>
      </w:r>
    </w:p>
    <w:p>
      <w:pPr>
        <w:widowControl/>
        <w:pBdr>
          <w:bottom w:val="single" w:color="FFFFFF" w:sz="4" w:space="29"/>
        </w:pBdr>
        <w:adjustRightInd w:val="0"/>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巩固了县人民医院“二级甲等综合医院”创建成效。县藏医院顺利通过“二级乙等民族医院”复审，妇幼保健院通过“二级乙等妇幼保健机构”评审，疾控中心通过“二级乙等疾控机构”复审。</w:t>
      </w:r>
    </w:p>
    <w:p>
      <w:pPr>
        <w:pStyle w:val="3"/>
        <w:rPr>
          <w:rStyle w:val="31"/>
          <w:b w:val="0"/>
          <w:bCs w:val="0"/>
        </w:rPr>
      </w:pPr>
      <w:bookmarkStart w:id="25" w:name="_Toc28827"/>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3"/>
      <w:bookmarkEnd w:id="24"/>
      <w:bookmarkEnd w:id="25"/>
    </w:p>
    <w:p>
      <w:pPr>
        <w:ind w:firstLine="800" w:firstLineChars="250"/>
        <w:rPr>
          <w:rFonts w:ascii="仿宋" w:hAnsi="仿宋" w:eastAsia="仿宋"/>
          <w:sz w:val="32"/>
          <w:szCs w:val="32"/>
        </w:rPr>
      </w:pPr>
      <w:r>
        <w:rPr>
          <w:rFonts w:hint="eastAsia" w:ascii="仿宋" w:hAnsi="仿宋" w:eastAsia="仿宋"/>
          <w:sz w:val="32"/>
          <w:szCs w:val="32"/>
        </w:rPr>
        <w:t>本单位下属二级单位4个：医改办、爱卫办、计生协会、流动人口管理办，其中行政单位0个，参照公务员法管理的事业单位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个，其他事业单位3个。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纳入本单位2019年度部门决算编制范围的二级预算单位包括：</w:t>
      </w:r>
    </w:p>
    <w:p>
      <w:pPr>
        <w:pStyle w:val="5"/>
        <w:numPr>
          <w:ilvl w:val="0"/>
          <w:numId w:val="1"/>
        </w:numPr>
        <w:adjustRightInd w:val="0"/>
        <w:snapToGrid w:val="0"/>
        <w:spacing w:before="93" w:line="600" w:lineRule="exact"/>
        <w:outlineLvl w:val="2"/>
        <w:rPr>
          <w:rFonts w:ascii="仿宋" w:hAnsi="仿宋" w:eastAsia="仿宋"/>
          <w:color w:val="000000"/>
          <w:sz w:val="32"/>
          <w:szCs w:val="32"/>
        </w:rPr>
      </w:pPr>
      <w:bookmarkStart w:id="26" w:name="_Toc15377202"/>
      <w:bookmarkStart w:id="27" w:name="_Toc15377433"/>
      <w:bookmarkStart w:id="28" w:name="_Toc15378449"/>
      <w:bookmarkStart w:id="29" w:name="_Toc15306276"/>
      <w:r>
        <w:rPr>
          <w:rFonts w:hint="eastAsia" w:ascii="仿宋" w:hAnsi="仿宋" w:eastAsia="仿宋"/>
          <w:color w:val="000000"/>
          <w:sz w:val="32"/>
          <w:szCs w:val="32"/>
        </w:rPr>
        <w:t>红原县卫生健康局（局本级）</w:t>
      </w:r>
      <w:bookmarkEnd w:id="26"/>
      <w:bookmarkEnd w:id="27"/>
      <w:bookmarkEnd w:id="28"/>
      <w:bookmarkEnd w:id="29"/>
    </w:p>
    <w:p>
      <w:pPr>
        <w:pStyle w:val="5"/>
        <w:numPr>
          <w:ilvl w:val="0"/>
          <w:numId w:val="1"/>
        </w:numPr>
        <w:adjustRightInd w:val="0"/>
        <w:snapToGrid w:val="0"/>
        <w:spacing w:before="93" w:line="600" w:lineRule="exact"/>
        <w:rPr>
          <w:rFonts w:ascii="仿宋" w:hAnsi="仿宋" w:eastAsia="仿宋"/>
          <w:color w:val="000000"/>
          <w:sz w:val="32"/>
          <w:szCs w:val="32"/>
        </w:rPr>
      </w:pPr>
      <w:r>
        <w:rPr>
          <w:rFonts w:hint="eastAsia" w:ascii="仿宋" w:hAnsi="仿宋" w:eastAsia="仿宋"/>
          <w:color w:val="000000"/>
          <w:sz w:val="32"/>
          <w:szCs w:val="32"/>
        </w:rPr>
        <w:t>红原县计划生育流动人口管理办公室</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32"/>
          <w:rFonts w:ascii="黑体" w:hAnsi="黑体" w:eastAsia="黑体"/>
          <w:b w:val="0"/>
          <w:bCs w:val="0"/>
        </w:rPr>
      </w:pPr>
      <w:bookmarkStart w:id="30" w:name="_Toc15377204"/>
      <w:bookmarkStart w:id="31" w:name="_Toc15396602"/>
      <w:bookmarkStart w:id="32" w:name="_Toc12834"/>
      <w:r>
        <w:rPr>
          <w:rFonts w:hint="eastAsia" w:ascii="黑体" w:hAnsi="黑体" w:eastAsia="黑体"/>
          <w:b w:val="0"/>
          <w:color w:val="000000"/>
        </w:rPr>
        <w:t>第二部分</w:t>
      </w:r>
      <w:r>
        <w:rPr>
          <w:rStyle w:val="32"/>
          <w:rFonts w:hint="eastAsia" w:ascii="黑体" w:hAnsi="黑体" w:eastAsia="黑体"/>
          <w:b w:val="0"/>
          <w:bCs w:val="0"/>
        </w:rPr>
        <w:t>2019年度部门决算情况说明</w:t>
      </w:r>
      <w:bookmarkEnd w:id="30"/>
      <w:bookmarkEnd w:id="31"/>
      <w:bookmarkEnd w:id="32"/>
    </w:p>
    <w:p/>
    <w:p>
      <w:pPr>
        <w:pStyle w:val="24"/>
        <w:numPr>
          <w:ilvl w:val="0"/>
          <w:numId w:val="2"/>
        </w:numPr>
        <w:spacing w:line="600" w:lineRule="exact"/>
        <w:ind w:firstLineChars="0"/>
        <w:outlineLvl w:val="1"/>
        <w:rPr>
          <w:rStyle w:val="31"/>
          <w:rFonts w:ascii="黑体" w:hAnsi="黑体" w:eastAsia="黑体"/>
          <w:b w:val="0"/>
        </w:rPr>
      </w:pPr>
      <w:bookmarkStart w:id="33" w:name="_Toc26875"/>
      <w:bookmarkStart w:id="34" w:name="_Toc15377205"/>
      <w:bookmarkStart w:id="35" w:name="_Toc15396603"/>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3"/>
      <w:bookmarkEnd w:id="34"/>
      <w:bookmarkEnd w:id="3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2019年度总计收入1006.05万元、支出1196.96万元。与2018年相比，收入减少总计602.72万元，减少37.47</w:t>
      </w:r>
      <w:r>
        <w:rPr>
          <w:rFonts w:ascii="仿宋" w:hAnsi="仿宋" w:eastAsia="仿宋"/>
          <w:color w:val="000000"/>
          <w:sz w:val="32"/>
          <w:szCs w:val="32"/>
        </w:rPr>
        <w:t>%</w:t>
      </w:r>
      <w:r>
        <w:rPr>
          <w:rFonts w:hint="eastAsia" w:ascii="仿宋" w:hAnsi="仿宋" w:eastAsia="仿宋"/>
          <w:color w:val="000000"/>
          <w:sz w:val="32"/>
          <w:szCs w:val="32"/>
        </w:rPr>
        <w:t>。主要变动原因是本年度项目建设资金较上年大幅度减少。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84065" cy="2755265"/>
            <wp:effectExtent l="0" t="0" r="6985" b="6985"/>
            <wp:docPr id="3" name="图片 3"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8"/>
                    <pic:cNvPicPr>
                      <a:picLocks noChangeAspect="1"/>
                    </pic:cNvPicPr>
                  </pic:nvPicPr>
                  <pic:blipFill>
                    <a:blip r:embed="rId14"/>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4"/>
        <w:numPr>
          <w:ilvl w:val="0"/>
          <w:numId w:val="2"/>
        </w:numPr>
        <w:spacing w:line="600" w:lineRule="exact"/>
        <w:ind w:firstLineChars="0"/>
        <w:outlineLvl w:val="1"/>
        <w:rPr>
          <w:rStyle w:val="31"/>
          <w:rFonts w:ascii="黑体" w:hAnsi="黑体" w:eastAsia="黑体"/>
          <w:b w:val="0"/>
        </w:rPr>
      </w:pPr>
      <w:bookmarkStart w:id="36" w:name="_Toc19345"/>
      <w:bookmarkStart w:id="37" w:name="_Toc15396604"/>
      <w:bookmarkStart w:id="38" w:name="_Toc15377206"/>
      <w:r>
        <w:rPr>
          <w:rFonts w:hint="eastAsia" w:ascii="黑体" w:hAnsi="黑体" w:eastAsia="黑体"/>
          <w:color w:val="000000"/>
          <w:sz w:val="32"/>
          <w:szCs w:val="32"/>
        </w:rPr>
        <w:t>收</w:t>
      </w:r>
      <w:r>
        <w:rPr>
          <w:rStyle w:val="31"/>
          <w:rFonts w:hint="eastAsia" w:ascii="黑体" w:hAnsi="黑体" w:eastAsia="黑体"/>
          <w:b w:val="0"/>
        </w:rPr>
        <w:t>入决算情况说明</w:t>
      </w:r>
      <w:bookmarkEnd w:id="36"/>
      <w:bookmarkEnd w:id="37"/>
      <w:bookmarkEnd w:id="38"/>
    </w:p>
    <w:p>
      <w:pPr>
        <w:ind w:firstLine="640" w:firstLineChars="200"/>
        <w:jc w:val="left"/>
        <w:outlineLvl w:val="1"/>
        <w:rPr>
          <w:rFonts w:ascii="仿宋" w:hAnsi="仿宋" w:eastAsia="仿宋"/>
          <w:color w:val="000000"/>
          <w:sz w:val="32"/>
          <w:szCs w:val="32"/>
        </w:rPr>
      </w:pPr>
      <w:bookmarkStart w:id="39" w:name="_Toc25116"/>
      <w:r>
        <w:rPr>
          <w:rFonts w:ascii="仿宋" w:hAnsi="仿宋" w:eastAsia="仿宋"/>
          <w:color w:val="000000"/>
          <w:sz w:val="32"/>
          <w:szCs w:val="32"/>
        </w:rPr>
        <w:t>201</w:t>
      </w:r>
      <w:r>
        <w:rPr>
          <w:rFonts w:hint="eastAsia" w:ascii="仿宋" w:hAnsi="仿宋" w:eastAsia="仿宋"/>
          <w:color w:val="000000"/>
          <w:sz w:val="32"/>
          <w:szCs w:val="32"/>
        </w:rPr>
        <w:t>年本年收入合计1006.05万元，其中：一般公共预算财政拨款收入1006.05万元，占100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rPr>
        <w:drawing>
          <wp:inline distT="0" distB="0" distL="114300" distR="114300">
            <wp:extent cx="4584065" cy="2755265"/>
            <wp:effectExtent l="0" t="0" r="6985" b="6985"/>
            <wp:docPr id="4" name="图片 4"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9"/>
                    <pic:cNvPicPr>
                      <a:picLocks noChangeAspect="1"/>
                    </pic:cNvPicPr>
                  </pic:nvPicPr>
                  <pic:blipFill>
                    <a:blip r:embed="rId15"/>
                    <a:stretch>
                      <a:fillRect/>
                    </a:stretch>
                  </pic:blipFill>
                  <pic:spPr>
                    <a:xfrm>
                      <a:off x="0" y="0"/>
                      <a:ext cx="4584065" cy="2755265"/>
                    </a:xfrm>
                    <a:prstGeom prst="rect">
                      <a:avLst/>
                    </a:prstGeom>
                  </pic:spPr>
                </pic:pic>
              </a:graphicData>
            </a:graphic>
          </wp:inline>
        </w:drawing>
      </w:r>
      <w:bookmarkEnd w:id="39"/>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24"/>
        <w:numPr>
          <w:ilvl w:val="0"/>
          <w:numId w:val="2"/>
        </w:numPr>
        <w:spacing w:line="600" w:lineRule="exact"/>
        <w:ind w:firstLineChars="0"/>
        <w:outlineLvl w:val="1"/>
        <w:rPr>
          <w:rStyle w:val="31"/>
          <w:rFonts w:ascii="黑体" w:hAnsi="黑体" w:eastAsia="黑体"/>
          <w:b w:val="0"/>
        </w:rPr>
      </w:pPr>
      <w:bookmarkStart w:id="40" w:name="_Toc10374"/>
      <w:bookmarkStart w:id="41" w:name="_Toc15377207"/>
      <w:bookmarkStart w:id="42" w:name="_Toc15396605"/>
      <w:r>
        <w:rPr>
          <w:rFonts w:hint="eastAsia" w:ascii="黑体" w:hAnsi="黑体" w:eastAsia="黑体"/>
          <w:color w:val="000000"/>
          <w:sz w:val="32"/>
          <w:szCs w:val="32"/>
        </w:rPr>
        <w:t>支</w:t>
      </w:r>
      <w:r>
        <w:rPr>
          <w:rStyle w:val="31"/>
          <w:rFonts w:hint="eastAsia" w:ascii="黑体" w:hAnsi="黑体" w:eastAsia="黑体"/>
          <w:b w:val="0"/>
        </w:rPr>
        <w:t>出决算情况说明</w:t>
      </w:r>
      <w:bookmarkEnd w:id="40"/>
      <w:bookmarkEnd w:id="41"/>
      <w:bookmarkEnd w:id="42"/>
    </w:p>
    <w:p>
      <w:pPr>
        <w:ind w:firstLine="640"/>
        <w:jc w:val="left"/>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9年本年支出合计1196.96万元，其中：基本支出459.83万元，占38.42</w:t>
      </w:r>
      <w:r>
        <w:rPr>
          <w:rFonts w:ascii="仿宋" w:hAnsi="仿宋" w:eastAsia="仿宋"/>
          <w:color w:val="000000"/>
          <w:sz w:val="32"/>
          <w:szCs w:val="32"/>
        </w:rPr>
        <w:t>%</w:t>
      </w:r>
      <w:r>
        <w:rPr>
          <w:rFonts w:hint="eastAsia" w:ascii="仿宋" w:hAnsi="仿宋" w:eastAsia="仿宋"/>
          <w:color w:val="000000"/>
          <w:sz w:val="32"/>
          <w:szCs w:val="32"/>
        </w:rPr>
        <w:t>；项目支出737.12万元，占61.58</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shd w:val="pct10" w:color="auto" w:fill="FFFFFF"/>
        </w:rPr>
        <w:drawing>
          <wp:inline distT="0" distB="0" distL="114300" distR="114300">
            <wp:extent cx="4584065" cy="2755265"/>
            <wp:effectExtent l="0" t="0" r="6985" b="6985"/>
            <wp:docPr id="5" name="图片 5"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0"/>
                    <pic:cNvPicPr>
                      <a:picLocks noChangeAspect="1"/>
                    </pic:cNvPicPr>
                  </pic:nvPicPr>
                  <pic:blipFill>
                    <a:blip r:embed="rId16"/>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24"/>
        <w:numPr>
          <w:ilvl w:val="0"/>
          <w:numId w:val="2"/>
        </w:numPr>
        <w:spacing w:line="600" w:lineRule="exact"/>
        <w:ind w:firstLineChars="0"/>
        <w:outlineLvl w:val="1"/>
        <w:rPr>
          <w:rStyle w:val="31"/>
          <w:rFonts w:ascii="黑体" w:hAnsi="黑体" w:eastAsia="黑体"/>
          <w:b w:val="0"/>
        </w:rPr>
      </w:pPr>
      <w:bookmarkStart w:id="43" w:name="_Toc10330"/>
      <w:r>
        <w:rPr>
          <w:rFonts w:hint="eastAsia" w:ascii="黑体" w:hAnsi="黑体" w:eastAsia="黑体"/>
          <w:color w:val="000000"/>
          <w:sz w:val="32"/>
          <w:szCs w:val="32"/>
        </w:rPr>
        <w:t>财政拨款收</w:t>
      </w:r>
      <w:r>
        <w:rPr>
          <w:rStyle w:val="31"/>
          <w:rFonts w:hint="eastAsia" w:ascii="黑体" w:hAnsi="黑体" w:eastAsia="黑体"/>
          <w:b w:val="0"/>
        </w:rPr>
        <w:t>入支出决算总体情况说明</w:t>
      </w:r>
      <w:bookmarkEnd w:id="4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2019年度财政拨款支收入1006.05万元、与2018年相比，财政拨款收入减少602.72万元</w:t>
      </w:r>
      <w:r>
        <w:rPr>
          <w:rFonts w:hint="eastAsia" w:ascii="仿宋" w:hAnsi="仿宋" w:eastAsia="仿宋"/>
          <w:b/>
          <w:color w:val="000000" w:themeColor="text1"/>
          <w:sz w:val="32"/>
          <w:szCs w:val="32"/>
          <w14:textFill>
            <w14:solidFill>
              <w14:schemeClr w14:val="tx1"/>
            </w14:solidFill>
          </w14:textFill>
        </w:rPr>
        <w:t>万元</w:t>
      </w:r>
      <w:r>
        <w:rPr>
          <w:rFonts w:hint="eastAsia" w:ascii="仿宋" w:hAnsi="仿宋" w:eastAsia="仿宋"/>
          <w:color w:val="000000"/>
          <w:sz w:val="32"/>
          <w:szCs w:val="32"/>
        </w:rPr>
        <w:t>，减少37.47</w:t>
      </w:r>
      <w:r>
        <w:rPr>
          <w:rFonts w:ascii="仿宋" w:hAnsi="仿宋" w:eastAsia="仿宋"/>
          <w:color w:val="000000"/>
          <w:sz w:val="32"/>
          <w:szCs w:val="32"/>
        </w:rPr>
        <w:t>%</w:t>
      </w:r>
      <w:r>
        <w:rPr>
          <w:rFonts w:hint="eastAsia" w:ascii="仿宋" w:hAnsi="仿宋" w:eastAsia="仿宋"/>
          <w:color w:val="000000"/>
          <w:sz w:val="32"/>
          <w:szCs w:val="32"/>
        </w:rPr>
        <w:t>；财政拨款支出1189.78万元，财政拨款支出减少总计707.9万元，减少37.3</w:t>
      </w:r>
      <w:r>
        <w:rPr>
          <w:rFonts w:ascii="仿宋" w:hAnsi="仿宋" w:eastAsia="仿宋"/>
          <w:color w:val="000000"/>
          <w:sz w:val="32"/>
          <w:szCs w:val="32"/>
        </w:rPr>
        <w:t>%</w:t>
      </w:r>
      <w:r>
        <w:rPr>
          <w:rFonts w:hint="eastAsia" w:ascii="仿宋" w:hAnsi="仿宋" w:eastAsia="仿宋"/>
          <w:color w:val="000000"/>
          <w:sz w:val="32"/>
          <w:szCs w:val="32"/>
        </w:rPr>
        <w:t>。主要变动原因是本年度项目建设资金较上年大幅度减少。</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84065" cy="2755265"/>
            <wp:effectExtent l="0" t="0" r="6985" b="6985"/>
            <wp:docPr id="6" name="图片 6" descr="图片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6"/>
                    <pic:cNvPicPr>
                      <a:picLocks noChangeAspect="1"/>
                    </pic:cNvPicPr>
                  </pic:nvPicPr>
                  <pic:blipFill>
                    <a:blip r:embed="rId17"/>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（图4：财政拨款收、支决算总计变动情况图）（柱状图）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31"/>
          <w:rFonts w:ascii="黑体" w:hAnsi="黑体" w:eastAsia="黑体"/>
          <w:b w:val="0"/>
        </w:rPr>
      </w:pPr>
      <w:bookmarkStart w:id="44" w:name="_Toc7196"/>
      <w:bookmarkStart w:id="45" w:name="_Toc15377209"/>
      <w:bookmarkStart w:id="46"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4"/>
      <w:bookmarkEnd w:id="45"/>
      <w:bookmarkEnd w:id="46"/>
    </w:p>
    <w:p>
      <w:pPr>
        <w:spacing w:line="600" w:lineRule="exact"/>
        <w:ind w:firstLine="643" w:firstLineChars="200"/>
        <w:outlineLvl w:val="2"/>
        <w:rPr>
          <w:rFonts w:ascii="仿宋" w:hAnsi="仿宋" w:eastAsia="仿宋"/>
          <w:b/>
          <w:color w:val="000000"/>
          <w:sz w:val="32"/>
          <w:szCs w:val="32"/>
        </w:rPr>
      </w:pPr>
      <w:bookmarkStart w:id="47" w:name="_Toc15377210"/>
      <w:r>
        <w:rPr>
          <w:rFonts w:hint="eastAsia" w:ascii="仿宋" w:hAnsi="仿宋" w:eastAsia="仿宋"/>
          <w:b/>
          <w:color w:val="000000"/>
          <w:sz w:val="32"/>
          <w:szCs w:val="32"/>
        </w:rPr>
        <w:t>（一）一般公共预算财政拨款支出决算总体情况</w:t>
      </w:r>
      <w:bookmarkEnd w:id="4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w:t>
      </w:r>
      <w:r>
        <w:rPr>
          <w:rFonts w:hint="eastAsia" w:ascii="仿宋" w:hAnsi="仿宋" w:eastAsia="仿宋"/>
          <w:b/>
          <w:color w:val="000000"/>
          <w:sz w:val="32"/>
          <w:szCs w:val="32"/>
        </w:rPr>
        <w:t>一般</w:t>
      </w:r>
      <w:r>
        <w:rPr>
          <w:rFonts w:hint="eastAsia" w:ascii="仿宋" w:hAnsi="仿宋" w:eastAsia="仿宋"/>
          <w:color w:val="000000"/>
          <w:sz w:val="32"/>
          <w:szCs w:val="32"/>
        </w:rPr>
        <w:t>公共预算财政拨款支出总计1189.78万元。与2018年相比，收入减少总计602.72万元，减少37.47</w:t>
      </w:r>
      <w:r>
        <w:rPr>
          <w:rFonts w:ascii="仿宋" w:hAnsi="仿宋" w:eastAsia="仿宋"/>
          <w:color w:val="000000"/>
          <w:sz w:val="32"/>
          <w:szCs w:val="32"/>
        </w:rPr>
        <w:t>%</w:t>
      </w:r>
      <w:r>
        <w:rPr>
          <w:rFonts w:hint="eastAsia" w:ascii="仿宋" w:hAnsi="仿宋" w:eastAsia="仿宋"/>
          <w:color w:val="000000"/>
          <w:sz w:val="32"/>
          <w:szCs w:val="32"/>
        </w:rPr>
        <w:t>。支出减少总计707.9万元，减少37.3</w:t>
      </w:r>
      <w:r>
        <w:rPr>
          <w:rFonts w:ascii="仿宋" w:hAnsi="仿宋" w:eastAsia="仿宋"/>
          <w:color w:val="000000"/>
          <w:sz w:val="32"/>
          <w:szCs w:val="32"/>
        </w:rPr>
        <w:t>%</w:t>
      </w:r>
      <w:r>
        <w:rPr>
          <w:rFonts w:hint="eastAsia" w:ascii="仿宋" w:hAnsi="仿宋" w:eastAsia="仿宋"/>
          <w:color w:val="000000"/>
          <w:sz w:val="32"/>
          <w:szCs w:val="32"/>
        </w:rPr>
        <w:t>。主要变动原因是主要变动原因是本年度项目建设资金较上年大幅度减少。</w:t>
      </w:r>
    </w:p>
    <w:p>
      <w:pPr>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5273040" cy="5682615"/>
            <wp:effectExtent l="0" t="0" r="3810" b="13335"/>
            <wp:docPr id="12" name="图片 12"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5"/>
                    <pic:cNvPicPr>
                      <a:picLocks noChangeAspect="1"/>
                    </pic:cNvPicPr>
                  </pic:nvPicPr>
                  <pic:blipFill>
                    <a:blip r:embed="rId18"/>
                    <a:stretch>
                      <a:fillRect/>
                    </a:stretch>
                  </pic:blipFill>
                  <pic:spPr>
                    <a:xfrm>
                      <a:off x="0" y="0"/>
                      <a:ext cx="5273040" cy="568261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48" w:name="_Toc15377211"/>
      <w:r>
        <w:rPr>
          <w:rFonts w:hint="eastAsia" w:ascii="仿宋" w:hAnsi="仿宋" w:eastAsia="仿宋"/>
          <w:b/>
          <w:color w:val="000000"/>
          <w:sz w:val="32"/>
          <w:szCs w:val="32"/>
        </w:rPr>
        <w:t>（二）一般公共预算财政拨款支出决算结构情况</w:t>
      </w:r>
      <w:bookmarkEnd w:id="48"/>
    </w:p>
    <w:p>
      <w:pPr>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19年一般公共预算财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rPr>
        <w:t>1189.78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一般公共服务（类）支出9.96万元，占1%；社会保障和就业（类）支出51.48万元，占4%；卫生健康支出1097.99万元，占92%；住房保障支出30.65万元，占3%；</w:t>
      </w:r>
    </w:p>
    <w:p>
      <w:pPr>
        <w:ind w:firstLine="64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84065" cy="2755265"/>
            <wp:effectExtent l="0" t="0" r="6985" b="6985"/>
            <wp:docPr id="9" name="图片 9"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3"/>
                    <pic:cNvPicPr>
                      <a:picLocks noChangeAspect="1"/>
                    </pic:cNvPicPr>
                  </pic:nvPicPr>
                  <pic:blipFill>
                    <a:blip r:embed="rId19"/>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49" w:name="_Toc15377212"/>
      <w:r>
        <w:rPr>
          <w:rFonts w:hint="eastAsia" w:ascii="仿宋" w:hAnsi="仿宋" w:eastAsia="仿宋"/>
          <w:b/>
          <w:color w:val="000000"/>
          <w:sz w:val="32"/>
          <w:szCs w:val="32"/>
        </w:rPr>
        <w:t>（三）一般公共预算财政拨款支出决算具体情况</w:t>
      </w:r>
      <w:bookmarkEnd w:id="49"/>
    </w:p>
    <w:p>
      <w:pPr>
        <w:spacing w:line="600" w:lineRule="exact"/>
        <w:ind w:firstLine="643" w:firstLineChars="200"/>
        <w:outlineLvl w:val="2"/>
        <w:rPr>
          <w:rFonts w:ascii="仿宋" w:hAnsi="仿宋" w:eastAsia="仿宋"/>
          <w:color w:val="FF0000"/>
          <w:sz w:val="32"/>
          <w:szCs w:val="32"/>
        </w:rPr>
      </w:pPr>
      <w:bookmarkStart w:id="50" w:name="_Toc15378460"/>
      <w:bookmarkStart w:id="51" w:name="_Toc15377444"/>
      <w:bookmarkStart w:id="52" w:name="_Toc15377213"/>
      <w:r>
        <w:rPr>
          <w:rFonts w:hint="eastAsia" w:ascii="仿宋" w:hAnsi="仿宋" w:eastAsia="仿宋"/>
          <w:b/>
          <w:color w:val="000000" w:themeColor="text1"/>
          <w:sz w:val="32"/>
          <w:szCs w:val="32"/>
          <w14:textFill>
            <w14:solidFill>
              <w14:schemeClr w14:val="tx1"/>
            </w14:solidFill>
          </w14:textFill>
        </w:rPr>
        <w:t>2019年般公共预算支出决算数为1189.78万元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50"/>
      <w:bookmarkEnd w:id="51"/>
      <w:bookmarkEnd w:id="52"/>
    </w:p>
    <w:p>
      <w:pPr>
        <w:numPr>
          <w:ilvl w:val="0"/>
          <w:numId w:val="3"/>
        </w:numPr>
        <w:spacing w:line="600" w:lineRule="exact"/>
        <w:ind w:firstLine="643" w:firstLineChars="200"/>
        <w:rPr>
          <w:rStyle w:val="15"/>
          <w:rFonts w:ascii="仿宋" w:hAnsi="仿宋" w:eastAsia="仿宋"/>
          <w:bCs/>
          <w:color w:val="000000"/>
          <w:sz w:val="32"/>
          <w:szCs w:val="32"/>
        </w:rPr>
      </w:pPr>
      <w:r>
        <w:rPr>
          <w:rStyle w:val="15"/>
          <w:rFonts w:hint="eastAsia" w:ascii="仿宋" w:hAnsi="仿宋" w:eastAsia="仿宋"/>
          <w:bCs/>
          <w:color w:val="000000"/>
          <w:sz w:val="32"/>
          <w:szCs w:val="32"/>
        </w:rPr>
        <w:t>一般公共服务（类）</w:t>
      </w:r>
    </w:p>
    <w:p>
      <w:pPr>
        <w:spacing w:line="600" w:lineRule="exact"/>
        <w:ind w:firstLine="964" w:firstLineChars="300"/>
        <w:rPr>
          <w:rFonts w:ascii="仿宋" w:hAnsi="仿宋" w:eastAsia="仿宋"/>
          <w:b/>
          <w:color w:val="000000"/>
          <w:sz w:val="32"/>
          <w:szCs w:val="32"/>
        </w:rPr>
      </w:pPr>
      <w:r>
        <w:rPr>
          <w:rStyle w:val="15"/>
          <w:rFonts w:hint="eastAsia" w:ascii="仿宋" w:hAnsi="仿宋" w:eastAsia="仿宋"/>
          <w:bCs/>
          <w:color w:val="000000"/>
          <w:sz w:val="32"/>
          <w:szCs w:val="32"/>
        </w:rPr>
        <w:t>2011099--其他人力资源事务支出</w:t>
      </w:r>
      <w:r>
        <w:rPr>
          <w:rStyle w:val="15"/>
          <w:rFonts w:hint="eastAsia" w:ascii="仿宋" w:hAnsi="仿宋" w:eastAsia="仿宋"/>
          <w:b w:val="0"/>
          <w:bCs/>
          <w:color w:val="000000"/>
          <w:sz w:val="32"/>
          <w:szCs w:val="32"/>
        </w:rPr>
        <w:t>支出决算为9.96万元，完成预算100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numPr>
          <w:ilvl w:val="0"/>
          <w:numId w:val="3"/>
        </w:numPr>
        <w:spacing w:line="600" w:lineRule="exact"/>
        <w:ind w:firstLine="643" w:firstLineChars="200"/>
        <w:rPr>
          <w:rStyle w:val="15"/>
          <w:rFonts w:ascii="仿宋" w:hAnsi="仿宋" w:eastAsia="仿宋"/>
          <w:bCs/>
          <w:color w:val="000000"/>
          <w:sz w:val="32"/>
          <w:szCs w:val="32"/>
        </w:rPr>
      </w:pPr>
      <w:r>
        <w:rPr>
          <w:rStyle w:val="15"/>
          <w:rFonts w:hint="eastAsia" w:ascii="仿宋" w:hAnsi="仿宋" w:eastAsia="仿宋"/>
          <w:bCs/>
          <w:color w:val="000000"/>
          <w:sz w:val="32"/>
          <w:szCs w:val="32"/>
        </w:rPr>
        <w:t>社会保障和就业（类）</w:t>
      </w:r>
    </w:p>
    <w:p>
      <w:pPr>
        <w:spacing w:line="600" w:lineRule="exact"/>
        <w:ind w:left="420" w:leftChars="200" w:firstLine="321" w:firstLineChars="1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2080505--机关事业单位基本养老保险缴费支出  </w:t>
      </w:r>
      <w:r>
        <w:rPr>
          <w:rStyle w:val="15"/>
          <w:rFonts w:hint="eastAsia" w:ascii="仿宋" w:hAnsi="仿宋" w:eastAsia="仿宋"/>
          <w:b w:val="0"/>
          <w:bCs/>
          <w:color w:val="000000"/>
          <w:sz w:val="32"/>
          <w:szCs w:val="32"/>
        </w:rPr>
        <w:t>支出决算为51.48万元，完成预算100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，决算数等于预算数。2080505--机关事业基本养老保险缴费支出支出决算为35.16万元，完成预算100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left="420" w:leftChars="200" w:firstLine="320" w:firstLineChars="1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2080506--机关事业职业年金缴费支出支出决算为16.32万元，完成预算100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numPr>
          <w:ilvl w:val="0"/>
          <w:numId w:val="3"/>
        </w:num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卫生健康（类）</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2100101--行政运行  </w:t>
      </w:r>
      <w:r>
        <w:rPr>
          <w:rStyle w:val="15"/>
          <w:rFonts w:hint="eastAsia" w:ascii="仿宋" w:hAnsi="仿宋" w:eastAsia="仿宋"/>
          <w:b w:val="0"/>
          <w:bCs/>
          <w:color w:val="000000"/>
          <w:sz w:val="32"/>
          <w:szCs w:val="32"/>
        </w:rPr>
        <w:t>支出决算为251.06万元，完成预算100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2100302--乡镇卫生院  </w:t>
      </w:r>
      <w:r>
        <w:rPr>
          <w:rStyle w:val="15"/>
          <w:rFonts w:hint="eastAsia" w:ascii="仿宋" w:hAnsi="仿宋" w:eastAsia="仿宋"/>
          <w:b w:val="0"/>
          <w:bCs/>
          <w:color w:val="000000"/>
          <w:sz w:val="32"/>
          <w:szCs w:val="32"/>
        </w:rPr>
        <w:t>支出决算为12.38万元，完成预算100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2100399--其他基层医疗卫生机构支出 </w:t>
      </w:r>
      <w:r>
        <w:rPr>
          <w:rStyle w:val="15"/>
          <w:rFonts w:hint="eastAsia" w:ascii="仿宋" w:hAnsi="仿宋" w:eastAsia="仿宋"/>
          <w:b w:val="0"/>
          <w:bCs/>
          <w:color w:val="000000"/>
          <w:sz w:val="32"/>
          <w:szCs w:val="32"/>
        </w:rPr>
        <w:t>支出决算为89.2万元，完成预算100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left="420" w:leftChars="200"/>
        <w:rPr>
          <w:rFonts w:ascii="仿宋" w:hAnsi="仿宋" w:eastAsia="仿宋"/>
          <w:b/>
          <w:color w:val="000000"/>
          <w:sz w:val="32"/>
          <w:szCs w:val="32"/>
        </w:rPr>
      </w:pPr>
      <w:r>
        <w:rPr>
          <w:rStyle w:val="15"/>
          <w:rFonts w:hint="eastAsia" w:ascii="仿宋" w:hAnsi="仿宋" w:eastAsia="仿宋"/>
          <w:bCs/>
          <w:color w:val="000000"/>
          <w:sz w:val="32"/>
          <w:szCs w:val="32"/>
        </w:rPr>
        <w:t xml:space="preserve">2100408--基本公共卫生服务  </w:t>
      </w:r>
      <w:r>
        <w:rPr>
          <w:rStyle w:val="15"/>
          <w:rFonts w:hint="eastAsia" w:ascii="仿宋" w:hAnsi="仿宋" w:eastAsia="仿宋"/>
          <w:b w:val="0"/>
          <w:bCs/>
          <w:color w:val="000000"/>
          <w:sz w:val="32"/>
          <w:szCs w:val="32"/>
        </w:rPr>
        <w:t>支出决算为76.38万元，完成预算100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2100409--重大卫生专项  </w:t>
      </w:r>
      <w:r>
        <w:rPr>
          <w:rStyle w:val="15"/>
          <w:rFonts w:hint="eastAsia" w:ascii="仿宋" w:hAnsi="仿宋" w:eastAsia="仿宋"/>
          <w:b w:val="0"/>
          <w:bCs/>
          <w:color w:val="000000"/>
          <w:sz w:val="32"/>
          <w:szCs w:val="32"/>
        </w:rPr>
        <w:t>支出决算为3万元，完成预算100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2100716--计划生育机构  </w:t>
      </w:r>
      <w:r>
        <w:rPr>
          <w:rStyle w:val="15"/>
          <w:rFonts w:hint="eastAsia" w:ascii="仿宋" w:hAnsi="仿宋" w:eastAsia="仿宋"/>
          <w:b w:val="0"/>
          <w:bCs/>
          <w:color w:val="000000"/>
          <w:sz w:val="32"/>
          <w:szCs w:val="32"/>
        </w:rPr>
        <w:t>支出决算为97.83万元，完成预算100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2100717--计划生育服务  </w:t>
      </w:r>
      <w:r>
        <w:rPr>
          <w:rStyle w:val="15"/>
          <w:rFonts w:hint="eastAsia" w:ascii="仿宋" w:hAnsi="仿宋" w:eastAsia="仿宋"/>
          <w:b w:val="0"/>
          <w:bCs/>
          <w:color w:val="000000"/>
          <w:sz w:val="32"/>
          <w:szCs w:val="32"/>
        </w:rPr>
        <w:t>支出决算为1.99万元，完成预算100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2100799--其他计划生育事务支出  </w:t>
      </w:r>
      <w:r>
        <w:rPr>
          <w:rStyle w:val="15"/>
          <w:rFonts w:hint="eastAsia" w:ascii="仿宋" w:hAnsi="仿宋" w:eastAsia="仿宋"/>
          <w:b w:val="0"/>
          <w:bCs/>
          <w:color w:val="000000"/>
          <w:sz w:val="32"/>
          <w:szCs w:val="32"/>
        </w:rPr>
        <w:t>支出决算为42.14万元，完成预算100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2101101--行政单位医疗  </w:t>
      </w:r>
      <w:r>
        <w:rPr>
          <w:rStyle w:val="15"/>
          <w:rFonts w:hint="eastAsia" w:ascii="仿宋" w:hAnsi="仿宋" w:eastAsia="仿宋"/>
          <w:b w:val="0"/>
          <w:bCs/>
          <w:color w:val="000000"/>
          <w:sz w:val="32"/>
          <w:szCs w:val="32"/>
        </w:rPr>
        <w:t>支出决算为10.87万元，完成预算100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2101102--事业单位医疗  </w:t>
      </w:r>
      <w:r>
        <w:rPr>
          <w:rStyle w:val="15"/>
          <w:rFonts w:hint="eastAsia" w:ascii="仿宋" w:hAnsi="仿宋" w:eastAsia="仿宋"/>
          <w:b w:val="0"/>
          <w:bCs/>
          <w:color w:val="000000"/>
          <w:sz w:val="32"/>
          <w:szCs w:val="32"/>
        </w:rPr>
        <w:t>支出决算为6.12万元，完成预算100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2101103--公务员医疗补助  </w:t>
      </w:r>
      <w:r>
        <w:rPr>
          <w:rStyle w:val="15"/>
          <w:rFonts w:hint="eastAsia" w:ascii="仿宋" w:hAnsi="仿宋" w:eastAsia="仿宋"/>
          <w:b w:val="0"/>
          <w:bCs/>
          <w:color w:val="000000"/>
          <w:sz w:val="32"/>
          <w:szCs w:val="32"/>
        </w:rPr>
        <w:t>支出决算为3.04万元，完成预算100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2101199--其他行政事业单位  </w:t>
      </w:r>
      <w:r>
        <w:rPr>
          <w:rStyle w:val="15"/>
          <w:rFonts w:hint="eastAsia" w:ascii="仿宋" w:hAnsi="仿宋" w:eastAsia="仿宋"/>
          <w:b w:val="0"/>
          <w:bCs/>
          <w:color w:val="000000"/>
          <w:sz w:val="32"/>
          <w:szCs w:val="32"/>
        </w:rPr>
        <w:t>支出决算为2.27万元，完成预算100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2109901--其他卫生健康支出  </w:t>
      </w:r>
      <w:r>
        <w:rPr>
          <w:rStyle w:val="15"/>
          <w:rFonts w:hint="eastAsia" w:ascii="仿宋" w:hAnsi="仿宋" w:eastAsia="仿宋"/>
          <w:b w:val="0"/>
          <w:bCs/>
          <w:color w:val="000000"/>
          <w:sz w:val="32"/>
          <w:szCs w:val="32"/>
        </w:rPr>
        <w:t>支出决算为87.23万元，完成预算100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2130152--其他人力资源事务支出  </w:t>
      </w:r>
      <w:r>
        <w:rPr>
          <w:rStyle w:val="15"/>
          <w:rFonts w:hint="eastAsia" w:ascii="仿宋" w:hAnsi="仿宋" w:eastAsia="仿宋"/>
          <w:b w:val="0"/>
          <w:bCs/>
          <w:color w:val="000000"/>
          <w:sz w:val="32"/>
          <w:szCs w:val="32"/>
        </w:rPr>
        <w:t>支出决算为9.66万元，完成预算100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numPr>
          <w:ilvl w:val="0"/>
          <w:numId w:val="3"/>
        </w:numPr>
        <w:spacing w:line="600" w:lineRule="exact"/>
        <w:ind w:firstLine="643" w:firstLineChars="200"/>
        <w:rPr>
          <w:rStyle w:val="15"/>
          <w:rFonts w:ascii="仿宋" w:hAnsi="仿宋" w:eastAsia="仿宋"/>
          <w:bCs/>
          <w:color w:val="000000"/>
          <w:sz w:val="32"/>
          <w:szCs w:val="32"/>
        </w:rPr>
      </w:pPr>
      <w:r>
        <w:rPr>
          <w:rStyle w:val="15"/>
          <w:rFonts w:hint="eastAsia" w:ascii="仿宋" w:hAnsi="仿宋" w:eastAsia="仿宋"/>
          <w:bCs/>
          <w:color w:val="000000"/>
          <w:sz w:val="32"/>
          <w:szCs w:val="32"/>
        </w:rPr>
        <w:t>住房保障支出(类)</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 xml:space="preserve">2210201--住房公积金  </w:t>
      </w:r>
      <w:r>
        <w:rPr>
          <w:rStyle w:val="15"/>
          <w:rFonts w:hint="eastAsia" w:ascii="仿宋" w:hAnsi="仿宋" w:eastAsia="仿宋"/>
          <w:b w:val="0"/>
          <w:bCs/>
          <w:color w:val="000000"/>
          <w:sz w:val="32"/>
          <w:szCs w:val="32"/>
        </w:rPr>
        <w:t>支出决算为30.65万元，完成预算100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31"/>
        </w:rPr>
      </w:pPr>
      <w:bookmarkStart w:id="53" w:name="_Toc15377214"/>
      <w:bookmarkStart w:id="54" w:name="_Toc15396608"/>
      <w:bookmarkStart w:id="55" w:name="_Toc25031"/>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3"/>
      <w:bookmarkEnd w:id="54"/>
      <w:bookmarkEnd w:id="55"/>
      <w:r>
        <w:rPr>
          <w:rStyle w:val="31"/>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9年一般公共预算财政拨款基本支出451.6万元，其中：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人员经费351.19万元</w:t>
      </w:r>
      <w:r>
        <w:rPr>
          <w:rFonts w:hint="eastAsia" w:ascii="仿宋" w:hAnsi="仿宋" w:eastAsia="仿宋"/>
          <w:color w:val="00B0F0"/>
          <w:sz w:val="32"/>
          <w:szCs w:val="32"/>
        </w:rPr>
        <w:t>，</w:t>
      </w:r>
      <w:r>
        <w:rPr>
          <w:rFonts w:hint="eastAsia" w:ascii="仿宋" w:hAnsi="仿宋" w:eastAsia="仿宋"/>
          <w:color w:val="000000" w:themeColor="text1"/>
          <w:sz w:val="32"/>
          <w:szCs w:val="32"/>
          <w14:textFill>
            <w14:solidFill>
              <w14:schemeClr w14:val="tx1"/>
            </w14:solidFill>
          </w14:textFill>
        </w:rPr>
        <w:t>主要包括：基本工资36.85万元、津贴补贴76.15万元、奖金67.58万元、伙食补助费0万元、绩效工资26万元、机关事业单位基本养老保险缴费35.16万元、职业年金缴费16.32万元、基本医疗保险缴费16.99万元、公务员医疗补助缴费4.65万元、其他社会保障缴费1.36万元、住房公积金30.65万元、医疗费0.56万元、其他工资福利支出0万元、离休费0万元、退休费0万元、抚恤金0万元、生活补助38.92万元、医疗费补助1.06万元、奖励金0.01万元、提租补贴0、购房补贴0万元、其他对个人和家庭的补助支出0万元。</w:t>
      </w:r>
      <w:r>
        <w:rPr>
          <w:rFonts w:ascii="仿宋" w:hAnsi="仿宋" w:eastAsia="仿宋"/>
          <w:color w:val="000000" w:themeColor="text1"/>
          <w:sz w:val="32"/>
          <w:szCs w:val="32"/>
          <w14:textFill>
            <w14:solidFill>
              <w14:schemeClr w14:val="tx1"/>
            </w14:solidFill>
          </w14:textFill>
        </w:rPr>
        <w:br w:type="textWrapping"/>
      </w:r>
      <w:r>
        <w:rPr>
          <w:rFonts w:hint="eastAsia" w:ascii="仿宋" w:hAnsi="仿宋" w:eastAsia="仿宋"/>
          <w:color w:val="00B0F0"/>
          <w:sz w:val="32"/>
          <w:szCs w:val="32"/>
        </w:rPr>
        <w:t>　　</w:t>
      </w:r>
      <w:r>
        <w:rPr>
          <w:rFonts w:hint="eastAsia" w:ascii="仿宋" w:hAnsi="仿宋" w:eastAsia="仿宋"/>
          <w:color w:val="000000" w:themeColor="text1"/>
          <w:sz w:val="32"/>
          <w:szCs w:val="32"/>
          <w14:textFill>
            <w14:solidFill>
              <w14:schemeClr w14:val="tx1"/>
            </w14:solidFill>
          </w14:textFill>
        </w:rPr>
        <w:t>公用经费100.41万元，主要包括：办公费26.09万元、印刷费19.38万元、咨询费0万元、手续费0万元、水费0万元、电费3.62万元、邮电费1.31万元、取暖费5.55万元、物业管理费0万元、差旅费30.60万元、因公出国（境）费用0万元、维修（护）费0万元、租赁费1.64万元、会议费0万元、培训费0.06万元、公务接待费0万元、劳务费8.29万元、委托业务费0万元、工会经费0万</w:t>
      </w:r>
      <w:r>
        <w:rPr>
          <w:rFonts w:hint="eastAsia" w:ascii="仿宋" w:hAnsi="仿宋" w:eastAsia="仿宋"/>
          <w:color w:val="000000"/>
          <w:sz w:val="32"/>
          <w:szCs w:val="32"/>
        </w:rPr>
        <w:t>元、福利费0万元、公务用车运行维护费3.85万元、其他交通费0万元、税金及附加费用0万元、其他商品和服务支出0万元、办公设备购置0万元、专用设备购置0万元、信息网络及软件购置更新0万元、其他资本性支出0万元。</w:t>
      </w:r>
    </w:p>
    <w:p>
      <w:pPr>
        <w:spacing w:line="600" w:lineRule="exact"/>
        <w:ind w:firstLine="640"/>
        <w:outlineLvl w:val="1"/>
        <w:rPr>
          <w:rStyle w:val="31"/>
          <w:rFonts w:ascii="黑体" w:hAnsi="黑体" w:eastAsia="黑体"/>
          <w:b w:val="0"/>
        </w:rPr>
      </w:pPr>
      <w:bookmarkStart w:id="56" w:name="_Toc15396609"/>
      <w:bookmarkStart w:id="57" w:name="_Toc32221"/>
      <w:bookmarkStart w:id="58" w:name="_Toc15377215"/>
      <w:r>
        <w:rPr>
          <w:rFonts w:hint="eastAsia" w:ascii="黑体" w:eastAsia="黑体"/>
          <w:color w:val="000000"/>
          <w:sz w:val="32"/>
          <w:szCs w:val="32"/>
        </w:rPr>
        <w:t>七、</w:t>
      </w:r>
      <w:r>
        <w:rPr>
          <w:rStyle w:val="31"/>
          <w:rFonts w:hint="eastAsia" w:ascii="黑体" w:hAnsi="黑体" w:eastAsia="黑体"/>
        </w:rPr>
        <w:t>“</w:t>
      </w:r>
      <w:r>
        <w:rPr>
          <w:rStyle w:val="31"/>
          <w:rFonts w:hint="eastAsia" w:ascii="黑体" w:hAnsi="黑体" w:eastAsia="黑体"/>
          <w:b w:val="0"/>
        </w:rPr>
        <w:t>三公”经费财政拨款支出决算情况说明</w:t>
      </w:r>
      <w:bookmarkEnd w:id="56"/>
      <w:bookmarkEnd w:id="57"/>
      <w:bookmarkEnd w:id="58"/>
    </w:p>
    <w:p>
      <w:pPr>
        <w:spacing w:line="600" w:lineRule="exact"/>
        <w:ind w:firstLine="640"/>
        <w:outlineLvl w:val="2"/>
        <w:rPr>
          <w:rFonts w:ascii="仿宋" w:hAnsi="仿宋" w:eastAsia="仿宋"/>
          <w:b/>
          <w:color w:val="000000"/>
          <w:sz w:val="32"/>
          <w:szCs w:val="32"/>
        </w:rPr>
      </w:pPr>
      <w:bookmarkStart w:id="59" w:name="_Toc15377216"/>
      <w:r>
        <w:rPr>
          <w:rFonts w:hint="eastAsia" w:ascii="仿宋" w:hAnsi="仿宋" w:eastAsia="仿宋"/>
          <w:b/>
          <w:color w:val="000000"/>
          <w:sz w:val="32"/>
          <w:szCs w:val="32"/>
        </w:rPr>
        <w:t>（一）“三公”经费财政拨款支出决算总体情况说明</w:t>
      </w:r>
      <w:bookmarkEnd w:id="5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8年“三公”经费财政拨款支出决算为13.44万元，完成预算100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0" w:name="_Toc15377217"/>
      <w:r>
        <w:rPr>
          <w:rFonts w:hint="eastAsia" w:ascii="仿宋" w:hAnsi="仿宋" w:eastAsia="仿宋"/>
          <w:b/>
          <w:color w:val="000000"/>
          <w:sz w:val="32"/>
          <w:szCs w:val="32"/>
        </w:rPr>
        <w:t>（二）“三公”经费财政拨款支出决算具体情况说明</w:t>
      </w:r>
      <w:bookmarkEnd w:id="60"/>
    </w:p>
    <w:p>
      <w:pPr>
        <w:ind w:firstLine="640"/>
        <w:jc w:val="left"/>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；公务用车购置及运行维护费支出决算12.9万元，占96</w:t>
      </w:r>
      <w:r>
        <w:rPr>
          <w:rFonts w:ascii="仿宋" w:hAnsi="仿宋" w:eastAsia="仿宋"/>
          <w:color w:val="000000"/>
          <w:sz w:val="32"/>
          <w:szCs w:val="32"/>
        </w:rPr>
        <w:t>%</w:t>
      </w:r>
      <w:r>
        <w:rPr>
          <w:rFonts w:hint="eastAsia" w:ascii="仿宋" w:hAnsi="仿宋" w:eastAsia="仿宋"/>
          <w:color w:val="000000"/>
          <w:sz w:val="32"/>
          <w:szCs w:val="32"/>
        </w:rPr>
        <w:t>；公务接待费支出决算0.54万元，占4</w:t>
      </w:r>
      <w:r>
        <w:rPr>
          <w:rFonts w:ascii="仿宋" w:hAnsi="仿宋" w:eastAsia="仿宋"/>
          <w:color w:val="000000"/>
          <w:sz w:val="32"/>
          <w:szCs w:val="32"/>
        </w:rPr>
        <w:t>%</w:t>
      </w:r>
      <w:r>
        <w:rPr>
          <w:rFonts w:hint="eastAsia" w:ascii="仿宋" w:hAnsi="仿宋" w:eastAsia="仿宋"/>
          <w:color w:val="000000"/>
          <w:sz w:val="32"/>
          <w:szCs w:val="32"/>
        </w:rPr>
        <w:t>。具体情况如下：</w:t>
      </w:r>
      <w:r>
        <w:rPr>
          <w:rFonts w:hint="eastAsia" w:ascii="仿宋" w:hAnsi="仿宋" w:eastAsia="仿宋"/>
          <w:color w:val="000000"/>
          <w:sz w:val="32"/>
          <w:szCs w:val="32"/>
        </w:rPr>
        <w:drawing>
          <wp:inline distT="0" distB="0" distL="114300" distR="114300">
            <wp:extent cx="4584065" cy="2755265"/>
            <wp:effectExtent l="0" t="0" r="6985" b="6985"/>
            <wp:docPr id="10" name="图片 10"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4"/>
                    <pic:cNvPicPr>
                      <a:picLocks noChangeAspect="1"/>
                    </pic:cNvPicPr>
                  </pic:nvPicPr>
                  <pic:blipFill>
                    <a:blip r:embed="rId20"/>
                    <a:stretch>
                      <a:fillRect/>
                    </a:stretch>
                  </pic:blipFill>
                  <pic:spPr>
                    <a:xfrm>
                      <a:off x="0" y="0"/>
                      <a:ext cx="4584065" cy="2755265"/>
                    </a:xfrm>
                    <a:prstGeom prst="rect">
                      <a:avLst/>
                    </a:prstGeom>
                  </pic:spPr>
                </pic:pic>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4"/>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全年未安排因公出国（境）。</w:t>
      </w:r>
    </w:p>
    <w:p>
      <w:pPr>
        <w:numPr>
          <w:ilvl w:val="0"/>
          <w:numId w:val="4"/>
        </w:num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12.9万元,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8年减少10.35万元，减少44.33</w:t>
      </w:r>
      <w:r>
        <w:rPr>
          <w:rFonts w:ascii="仿宋_GB2312" w:eastAsia="仿宋_GB2312"/>
          <w:color w:val="000000"/>
          <w:sz w:val="32"/>
          <w:szCs w:val="32"/>
        </w:rPr>
        <w:t>%</w:t>
      </w:r>
      <w:r>
        <w:rPr>
          <w:rFonts w:hint="eastAsia" w:ascii="仿宋_GB2312" w:eastAsia="仿宋_GB2312"/>
          <w:color w:val="000000"/>
          <w:sz w:val="32"/>
          <w:szCs w:val="32"/>
        </w:rPr>
        <w:t>。主要原因是本年发生车辆大修费较上年有所减少。</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0万元。当年未安排更新购置公务用车。截至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月底，单位共有公务用车2辆，其中：越野车2辆。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12.9万元。主要用于开展卫生健康事业工作所需的公务用车燃料费、维修费、过路过桥费、保险费等支出。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0.54万元，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8年减少0.17万元，减少23.94</w:t>
      </w:r>
      <w:r>
        <w:rPr>
          <w:rFonts w:ascii="仿宋_GB2312" w:eastAsia="仿宋_GB2312"/>
          <w:color w:val="000000"/>
          <w:sz w:val="32"/>
          <w:szCs w:val="32"/>
        </w:rPr>
        <w:t>%</w:t>
      </w:r>
      <w:r>
        <w:rPr>
          <w:rFonts w:hint="eastAsia" w:ascii="仿宋_GB2312" w:eastAsia="仿宋_GB2312"/>
          <w:color w:val="000000"/>
          <w:sz w:val="32"/>
          <w:szCs w:val="32"/>
        </w:rPr>
        <w:t>。主要原因是本年接待人次较上年略有减少。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5批次，29人次（不包括陪同人员），共计支出0.54万元，具体内容包括：青海省黄南州卫生健康委赴我州考察卫生健康工作2656元、阿坝县卫生健康局到我县考察学习健康工作920元、三台县对口帮扶工作840元、“四川省大美医者”先进事迹巡回报告960元。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0.54</w:t>
      </w:r>
      <w:r>
        <w:rPr>
          <w:rFonts w:hint="eastAsia" w:ascii="仿宋_GB2312" w:eastAsia="仿宋_GB2312"/>
          <w:color w:val="000000"/>
          <w:sz w:val="32"/>
          <w:szCs w:val="32"/>
        </w:rPr>
        <w:t>万元，主要用于</w:t>
      </w:r>
      <w:r>
        <w:rPr>
          <w:rFonts w:hint="eastAsia" w:ascii="仿宋_GB2312" w:eastAsia="仿宋_GB2312"/>
          <w:color w:val="000000" w:themeColor="text1"/>
          <w:sz w:val="32"/>
          <w:szCs w:val="32"/>
          <w14:textFill>
            <w14:solidFill>
              <w14:schemeClr w14:val="tx1"/>
            </w14:solidFill>
          </w14:textFill>
        </w:rPr>
        <w:t>接待</w:t>
      </w:r>
      <w:r>
        <w:rPr>
          <w:rFonts w:hint="eastAsia" w:ascii="仿宋_GB2312" w:eastAsia="仿宋_GB2312"/>
          <w:color w:val="000000"/>
          <w:sz w:val="32"/>
          <w:szCs w:val="32"/>
        </w:rPr>
        <w:t>青海省黄南州卫生健康委赴我州考察卫生健康工作、阿坝县卫生健康局到我县考察学习健康工作、三台县对口帮扶工作“四川省大美医者”先进事迹巡回报告。</w:t>
      </w:r>
    </w:p>
    <w:p>
      <w:pPr>
        <w:spacing w:line="600" w:lineRule="exact"/>
        <w:ind w:firstLine="640"/>
        <w:rPr>
          <w:rFonts w:ascii="黑体" w:eastAsia="黑体"/>
          <w:color w:val="000000"/>
          <w:sz w:val="32"/>
          <w:szCs w:val="32"/>
        </w:rPr>
      </w:pPr>
      <w:bookmarkStart w:id="61" w:name="_Toc15396610"/>
      <w:bookmarkStart w:id="62" w:name="_Toc15377218"/>
    </w:p>
    <w:p>
      <w:pPr>
        <w:spacing w:line="600" w:lineRule="exact"/>
        <w:ind w:firstLine="640"/>
        <w:outlineLvl w:val="1"/>
        <w:rPr>
          <w:rStyle w:val="31"/>
          <w:rFonts w:ascii="黑体" w:hAnsi="黑体" w:eastAsia="黑体"/>
        </w:rPr>
      </w:pPr>
      <w:bookmarkStart w:id="63" w:name="_Toc12937"/>
      <w:r>
        <w:rPr>
          <w:rFonts w:hint="eastAsia" w:ascii="黑体" w:eastAsia="黑体"/>
          <w:color w:val="000000"/>
          <w:sz w:val="32"/>
          <w:szCs w:val="32"/>
        </w:rPr>
        <w:t>八、</w:t>
      </w:r>
      <w:r>
        <w:rPr>
          <w:rStyle w:val="31"/>
          <w:rFonts w:hint="eastAsia" w:ascii="黑体" w:hAnsi="黑体" w:eastAsia="黑体"/>
          <w:b w:val="0"/>
        </w:rPr>
        <w:t>政府性基金预算支出决算情况说明</w:t>
      </w:r>
      <w:bookmarkEnd w:id="61"/>
      <w:bookmarkEnd w:id="62"/>
      <w:bookmarkEnd w:id="6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spacing w:line="600" w:lineRule="exact"/>
        <w:ind w:firstLine="640"/>
        <w:rPr>
          <w:rFonts w:ascii="仿宋_GB2312" w:eastAsia="仿宋_GB2312"/>
          <w:color w:val="000000"/>
          <w:sz w:val="32"/>
          <w:szCs w:val="32"/>
        </w:rPr>
      </w:pPr>
    </w:p>
    <w:p>
      <w:pPr>
        <w:numPr>
          <w:ilvl w:val="0"/>
          <w:numId w:val="5"/>
        </w:numPr>
        <w:spacing w:line="600" w:lineRule="exact"/>
        <w:ind w:firstLine="640"/>
        <w:outlineLvl w:val="1"/>
        <w:rPr>
          <w:rStyle w:val="31"/>
          <w:rFonts w:ascii="黑体" w:hAnsi="黑体" w:eastAsia="黑体"/>
          <w:b w:val="0"/>
        </w:rPr>
      </w:pPr>
      <w:bookmarkStart w:id="64" w:name="_Toc15396611"/>
      <w:bookmarkStart w:id="65" w:name="_Toc18734"/>
      <w:bookmarkStart w:id="66" w:name="_Toc15377219"/>
      <w:r>
        <w:rPr>
          <w:rStyle w:val="31"/>
          <w:rFonts w:hint="eastAsia" w:ascii="黑体" w:hAnsi="黑体" w:eastAsia="黑体"/>
          <w:b w:val="0"/>
        </w:rPr>
        <w:t>国有资本经营预算支出决算情况说明</w:t>
      </w:r>
      <w:bookmarkEnd w:id="64"/>
      <w:bookmarkEnd w:id="65"/>
      <w:bookmarkEnd w:id="6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67" w:name="_Toc15377221"/>
      <w:bookmarkStart w:id="68" w:name="_Toc14581"/>
      <w:bookmarkStart w:id="69"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67"/>
      <w:bookmarkEnd w:id="68"/>
      <w:bookmarkEnd w:id="69"/>
    </w:p>
    <w:p>
      <w:pPr>
        <w:spacing w:line="600" w:lineRule="exact"/>
        <w:ind w:firstLine="643" w:firstLineChars="200"/>
        <w:outlineLvl w:val="2"/>
        <w:rPr>
          <w:rFonts w:ascii="仿宋" w:hAnsi="仿宋" w:eastAsia="仿宋"/>
          <w:color w:val="000000"/>
          <w:sz w:val="32"/>
          <w:szCs w:val="32"/>
        </w:rPr>
      </w:pPr>
      <w:bookmarkStart w:id="70" w:name="_Toc15377222"/>
      <w:bookmarkStart w:id="71" w:name="_Toc15377226"/>
      <w:r>
        <w:rPr>
          <w:rFonts w:hint="eastAsia" w:ascii="仿宋" w:hAnsi="仿宋" w:eastAsia="仿宋"/>
          <w:b/>
          <w:color w:val="000000"/>
          <w:sz w:val="32"/>
          <w:szCs w:val="32"/>
        </w:rPr>
        <w:t>（一）机关运行经费支出情况</w:t>
      </w:r>
      <w:bookmarkEnd w:id="70"/>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201</w:t>
      </w:r>
      <w:r>
        <w:rPr>
          <w:rFonts w:hint="eastAsia" w:ascii="仿宋_GB2312" w:eastAsia="仿宋_GB2312"/>
          <w:color w:val="000000"/>
          <w:sz w:val="32"/>
          <w:szCs w:val="32"/>
        </w:rPr>
        <w:t>9年，本单位机关运行经费支出</w:t>
      </w:r>
      <w:r>
        <w:rPr>
          <w:rFonts w:hint="eastAsia" w:ascii="仿宋_GB2312" w:eastAsia="仿宋_GB2312"/>
          <w:sz w:val="32"/>
          <w:szCs w:val="32"/>
        </w:rPr>
        <w:t>95.71万元，比</w:t>
      </w:r>
      <w:r>
        <w:rPr>
          <w:rFonts w:ascii="仿宋_GB2312" w:eastAsia="仿宋_GB2312"/>
          <w:sz w:val="32"/>
          <w:szCs w:val="32"/>
        </w:rPr>
        <w:t>201</w:t>
      </w:r>
      <w:r>
        <w:rPr>
          <w:rFonts w:hint="eastAsia" w:ascii="仿宋_GB2312" w:eastAsia="仿宋_GB2312"/>
          <w:sz w:val="32"/>
          <w:szCs w:val="32"/>
        </w:rPr>
        <w:t>8年减少0.71万元，下降0.7</w:t>
      </w:r>
      <w:r>
        <w:rPr>
          <w:rFonts w:ascii="仿宋_GB2312" w:eastAsia="仿宋_GB2312"/>
          <w:sz w:val="32"/>
          <w:szCs w:val="32"/>
        </w:rPr>
        <w:t>%</w:t>
      </w:r>
      <w:r>
        <w:rPr>
          <w:rFonts w:hint="eastAsia" w:ascii="仿宋_GB2312" w:eastAsia="仿宋_GB2312"/>
          <w:sz w:val="32"/>
          <w:szCs w:val="32"/>
        </w:rPr>
        <w:t>。主要原因是人员支出较2018年减少和践行厉行节约。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2" w:name="_Toc15377223"/>
      <w:r>
        <w:rPr>
          <w:rFonts w:hint="eastAsia" w:ascii="仿宋" w:hAnsi="仿宋" w:eastAsia="仿宋"/>
          <w:b/>
          <w:color w:val="000000"/>
          <w:sz w:val="32"/>
          <w:szCs w:val="32"/>
        </w:rPr>
        <w:t>（二）政府采购支出情况</w:t>
      </w:r>
      <w:bookmarkEnd w:id="7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9年，本单位本年度政府采购支出总额301万元，其中：政府采购货物支出</w:t>
      </w:r>
      <w:r>
        <w:rPr>
          <w:rFonts w:hint="eastAsia" w:ascii="仿宋_GB2312" w:eastAsia="仿宋_GB2312"/>
          <w:sz w:val="32"/>
          <w:szCs w:val="32"/>
        </w:rPr>
        <w:t>301万元、政府采购工程支出0万元、政府采购服务支出0万元。主要用于采购乡镇卫生院设备。授予中小企业合同金额0</w:t>
      </w:r>
      <w:r>
        <w:rPr>
          <w:rFonts w:hint="eastAsia" w:ascii="仿宋_GB2312" w:eastAsia="仿宋_GB2312"/>
          <w:color w:val="000000" w:themeColor="text1"/>
          <w:sz w:val="32"/>
          <w:szCs w:val="32"/>
          <w14:textFill>
            <w14:solidFill>
              <w14:schemeClr w14:val="tx1"/>
            </w14:solidFill>
          </w14:textFill>
        </w:rPr>
        <w:t>万元，占政府采购支出总</w:t>
      </w:r>
      <w:r>
        <w:rPr>
          <w:rFonts w:hint="eastAsia" w:ascii="仿宋_GB2312" w:eastAsia="仿宋_GB2312"/>
          <w:color w:val="000000"/>
          <w:sz w:val="32"/>
          <w:szCs w:val="32"/>
        </w:rPr>
        <w:t>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3" w:name="_Toc15377224"/>
      <w:r>
        <w:rPr>
          <w:rFonts w:hint="eastAsia" w:ascii="仿宋" w:hAnsi="仿宋" w:eastAsia="仿宋"/>
          <w:b/>
          <w:color w:val="000000"/>
          <w:sz w:val="32"/>
          <w:szCs w:val="32"/>
        </w:rPr>
        <w:t>（三）国有资产占有使用情况</w:t>
      </w:r>
      <w:bookmarkEnd w:id="73"/>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日，本单位共有车辆2辆，其中：部级领导干部用车0辆、一般公务用车2辆、一般执法执勤用车0辆、特种专业技术用车0辆、其他用车0辆 。</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atLeast"/>
        <w:ind w:firstLine="643" w:firstLineChars="200"/>
        <w:rPr>
          <w:rFonts w:ascii="仿宋_GB2312" w:eastAsia="仿宋_GB2312"/>
          <w:b/>
          <w:color w:val="000000"/>
          <w:sz w:val="32"/>
          <w:szCs w:val="32"/>
        </w:rPr>
      </w:pPr>
    </w:p>
    <w:p>
      <w:pPr>
        <w:widowControl/>
        <w:jc w:val="left"/>
        <w:rPr>
          <w:rFonts w:ascii="仿宋" w:hAnsi="仿宋" w:eastAsia="仿宋" w:cs="楷体_GB2312"/>
          <w:b/>
          <w:bCs/>
          <w:sz w:val="32"/>
          <w:szCs w:val="32"/>
        </w:rPr>
      </w:pPr>
      <w:r>
        <w:rPr>
          <w:rFonts w:ascii="仿宋_GB2312" w:eastAsia="仿宋_GB2312"/>
          <w:b/>
          <w:color w:val="000000"/>
          <w:sz w:val="32"/>
          <w:szCs w:val="32"/>
        </w:rPr>
        <w:br w:type="page"/>
      </w:r>
      <w:r>
        <w:rPr>
          <w:rFonts w:hint="eastAsia" w:ascii="仿宋" w:hAnsi="仿宋" w:eastAsia="仿宋" w:cs="楷体_GB2312"/>
          <w:b/>
          <w:bCs/>
          <w:sz w:val="32"/>
          <w:szCs w:val="32"/>
        </w:rPr>
        <w:t>（四）</w:t>
      </w:r>
      <w:r>
        <w:rPr>
          <w:rStyle w:val="31"/>
          <w:rFonts w:hint="eastAsia" w:ascii="黑体" w:hAnsi="黑体" w:eastAsia="黑体"/>
          <w:b w:val="0"/>
        </w:rPr>
        <w:t>预算绩效</w:t>
      </w:r>
      <w:r>
        <w:rPr>
          <w:rFonts w:hint="eastAsia" w:ascii="仿宋" w:hAnsi="仿宋" w:eastAsia="仿宋" w:cs="楷体_GB2312"/>
          <w:b/>
          <w:bCs/>
          <w:sz w:val="32"/>
          <w:szCs w:val="32"/>
        </w:rPr>
        <w:t>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根据预算绩效管理要求，本部门（单位）在年初预算编制阶段，组织对基本公共卫生服务、</w:t>
      </w:r>
      <w:r>
        <w:rPr>
          <w:rFonts w:hint="eastAsia" w:ascii="仿宋_GB2312" w:hAnsi="仿宋_GB2312" w:eastAsia="仿宋_GB2312" w:cs="仿宋_GB2312"/>
          <w:color w:val="000000" w:themeColor="text1"/>
          <w:sz w:val="32"/>
          <w:szCs w:val="32"/>
          <w14:textFill>
            <w14:solidFill>
              <w14:schemeClr w14:val="tx1"/>
            </w14:solidFill>
          </w14:textFill>
        </w:rPr>
        <w:t>2019年</w:t>
      </w:r>
      <w:r>
        <w:rPr>
          <w:rFonts w:hint="eastAsia" w:ascii="仿宋_GB2312" w:hAnsi="仿宋_GB2312" w:eastAsia="仿宋_GB2312" w:cs="仿宋_GB2312"/>
          <w:sz w:val="32"/>
          <w:szCs w:val="32"/>
        </w:rPr>
        <w:t>基</w:t>
      </w:r>
      <w:r>
        <w:rPr>
          <w:rFonts w:hint="eastAsia" w:ascii="仿宋_GB2312" w:hAnsi="宋体" w:eastAsia="仿宋_GB2312" w:cs="仿宋_GB2312"/>
          <w:sz w:val="32"/>
        </w:rPr>
        <w:t>本药物制度州级资金</w:t>
      </w:r>
      <w:r>
        <w:rPr>
          <w:rFonts w:hint="eastAsia" w:ascii="仿宋_GB2312" w:hAnsi="仿宋_GB2312" w:eastAsia="仿宋_GB2312" w:cs="仿宋_GB2312"/>
          <w:sz w:val="32"/>
          <w:szCs w:val="32"/>
        </w:rPr>
        <w:t>、2019年计划生育中央和省级补助资金项目、三支一扶项目、</w:t>
      </w:r>
      <w:r>
        <w:rPr>
          <w:rFonts w:hint="eastAsia" w:ascii="方正小标宋简体" w:hAnsi="宋体" w:eastAsia="方正小标宋简体" w:cs="方正小标宋简体"/>
          <w:sz w:val="32"/>
          <w:szCs w:val="44"/>
        </w:rPr>
        <w:t>长效节育措施项目</w:t>
      </w:r>
      <w:r>
        <w:rPr>
          <w:rFonts w:hint="eastAsia" w:ascii="仿宋_GB2312" w:hAnsi="仿宋_GB2312" w:eastAsia="仿宋_GB2312" w:cs="仿宋_GB2312"/>
          <w:sz w:val="32"/>
          <w:szCs w:val="32"/>
        </w:rPr>
        <w:t>开展了预算事前绩效评估，对5个项目编制了绩效目标，预算执行过程中，选取5个项目开展绩效监控，年终执行完毕后，对5个项目开展了绩效目标完成情况梳理填报。</w:t>
      </w:r>
    </w:p>
    <w:p>
      <w:pPr>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本部门按要求对2019年部门整体支出开展绩效自评，本年度</w:t>
      </w:r>
      <w:r>
        <w:rPr>
          <w:rFonts w:hint="eastAsia" w:ascii="仿宋" w:hAnsi="仿宋" w:eastAsia="仿宋"/>
          <w:color w:val="000000" w:themeColor="text1"/>
          <w:sz w:val="32"/>
          <w:szCs w:val="32"/>
          <w14:textFill>
            <w14:solidFill>
              <w14:schemeClr w14:val="tx1"/>
            </w14:solidFill>
          </w14:textFill>
        </w:rPr>
        <w:t>依法行政工作，落实行政执法责任制，统筹规划全县卫生</w:t>
      </w:r>
      <w:r>
        <w:rPr>
          <w:rFonts w:hint="eastAsia" w:ascii="仿宋" w:hAnsi="仿宋" w:eastAsia="仿宋"/>
          <w:sz w:val="32"/>
          <w:szCs w:val="32"/>
        </w:rPr>
        <w:t>计生服务资源配置，指导全县卫生计生工作，指导和推动卫生计生公共服务网络体系建设</w:t>
      </w:r>
      <w:r>
        <w:rPr>
          <w:rFonts w:hint="eastAsia" w:ascii="仿宋_GB2312" w:hAnsi="仿宋_GB2312" w:eastAsia="仿宋_GB2312" w:cs="仿宋_GB2312"/>
          <w:color w:val="000000" w:themeColor="text1"/>
          <w:sz w:val="32"/>
          <w:szCs w:val="32"/>
          <w14:textFill>
            <w14:solidFill>
              <w14:schemeClr w14:val="tx1"/>
            </w14:solidFill>
          </w14:textFill>
        </w:rPr>
        <w:t>。本部门还自行组织了5个项目绩效评价，</w:t>
      </w:r>
      <w:r>
        <w:rPr>
          <w:rFonts w:hint="eastAsia" w:ascii="仿宋_GB2312" w:hAnsi="仿宋" w:eastAsia="仿宋_GB2312"/>
          <w:color w:val="000000" w:themeColor="text1"/>
          <w:sz w:val="32"/>
          <w:szCs w:val="32"/>
          <w14:textFill>
            <w14:solidFill>
              <w14:schemeClr w14:val="tx1"/>
            </w14:solidFill>
          </w14:textFill>
        </w:rPr>
        <w:t>通过实施基本公共卫</w:t>
      </w:r>
      <w:r>
        <w:rPr>
          <w:rFonts w:hint="eastAsia" w:ascii="仿宋_GB2312" w:hAnsi="仿宋" w:eastAsia="仿宋_GB2312"/>
          <w:color w:val="000000"/>
          <w:sz w:val="32"/>
          <w:szCs w:val="32"/>
        </w:rPr>
        <w:t>生服务项目，对影响居民健康的主要卫生问题实施干预，减少主要健康危险因素，有效预防和控制主要传染病及慢性病，使城乡居民逐步享有均等化的公共卫生服务,</w:t>
      </w:r>
      <w:r>
        <w:rPr>
          <w:rFonts w:hint="eastAsia" w:ascii="仿宋_GB2312" w:hAnsi="仿宋" w:eastAsia="仿宋_GB2312"/>
          <w:color w:val="000000"/>
          <w:sz w:val="32"/>
          <w:szCs w:val="32"/>
          <w:lang w:val="zh-CN"/>
        </w:rPr>
        <w:t>巩固了基本药物制度，深化了不得基层医疗卫生机构管理体制、补偿机制、药品供应、人事分配等方面的综合改革；加强了基层医疗卫生服务体系建设，不断提升服务能力和水平，巩固了基层医疗卫生服务网底。</w:t>
      </w:r>
      <w:r>
        <w:rPr>
          <w:rFonts w:hint="eastAsia" w:ascii="仿宋_GB2312" w:hAnsi="宋体" w:eastAsia="仿宋_GB2312" w:cs="仿宋_GB2312"/>
          <w:sz w:val="32"/>
          <w:lang w:val="zh-CN"/>
        </w:rPr>
        <w:t>一个方面是降低贫困人口疾病发病率/死亡率，另一方面是因此节省的成本与高质量生命的增加</w:t>
      </w:r>
      <w:r>
        <w:rPr>
          <w:rFonts w:hint="eastAsia" w:ascii="仿宋_GB2312" w:hAnsi="宋体" w:eastAsia="仿宋_GB2312" w:cs="仿宋_GB2312"/>
          <w:sz w:val="32"/>
        </w:rPr>
        <w:t>,</w:t>
      </w:r>
      <w:r>
        <w:rPr>
          <w:rFonts w:hint="eastAsia" w:ascii="仿宋_GB2312" w:hAnsi="宋体" w:eastAsia="仿宋_GB2312" w:cs="仿宋_GB2312"/>
          <w:sz w:val="32"/>
          <w:lang w:val="zh-CN"/>
        </w:rPr>
        <w:t>引导群众落实长效节育措施，减少政策人口出生数，提高人口和计划生育工作水平，促进和谐社会建设</w:t>
      </w:r>
      <w:r>
        <w:rPr>
          <w:rFonts w:hint="eastAsia" w:ascii="仿宋_GB2312" w:hAnsi="仿宋_GB2312" w:eastAsia="仿宋_GB2312" w:cs="仿宋_GB2312"/>
          <w:sz w:val="32"/>
          <w:szCs w:val="32"/>
        </w:rPr>
        <w:t>。</w:t>
      </w:r>
    </w:p>
    <w:p>
      <w:pPr>
        <w:spacing w:line="580" w:lineRule="exact"/>
        <w:rPr>
          <w:rFonts w:ascii="仿宋_GB2312" w:hAnsi="仿宋_GB2312" w:eastAsia="仿宋_GB2312" w:cs="仿宋_GB2312"/>
          <w:sz w:val="32"/>
          <w:szCs w:val="32"/>
        </w:rPr>
      </w:pPr>
      <w:r>
        <w:rPr>
          <w:rFonts w:hint="eastAsia" w:ascii="仿宋" w:hAnsi="仿宋" w:eastAsia="仿宋" w:cs="楷体_GB2312"/>
          <w:b/>
          <w:bCs/>
          <w:sz w:val="32"/>
          <w:szCs w:val="32"/>
        </w:rPr>
        <w:t>1.项目绩效目标完成情况。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本部门在2019年度部门决算中反映基本公共卫生服务、</w:t>
      </w:r>
      <w:r>
        <w:rPr>
          <w:rFonts w:hint="eastAsia" w:ascii="仿宋_GB2312" w:hAnsi="仿宋_GB2312" w:eastAsia="仿宋_GB2312" w:cs="仿宋_GB2312"/>
          <w:color w:val="000000" w:themeColor="text1"/>
          <w:sz w:val="32"/>
          <w:szCs w:val="32"/>
          <w14:textFill>
            <w14:solidFill>
              <w14:schemeClr w14:val="tx1"/>
            </w14:solidFill>
          </w14:textFill>
        </w:rPr>
        <w:t>2019年</w:t>
      </w:r>
      <w:r>
        <w:rPr>
          <w:rFonts w:hint="eastAsia" w:ascii="仿宋_GB2312" w:hAnsi="仿宋_GB2312" w:eastAsia="仿宋_GB2312" w:cs="仿宋_GB2312"/>
          <w:sz w:val="32"/>
          <w:szCs w:val="32"/>
        </w:rPr>
        <w:t>基</w:t>
      </w:r>
      <w:r>
        <w:rPr>
          <w:rFonts w:hint="eastAsia" w:ascii="仿宋_GB2312" w:hAnsi="宋体" w:eastAsia="仿宋_GB2312" w:cs="仿宋_GB2312"/>
          <w:sz w:val="32"/>
        </w:rPr>
        <w:t>本药物制度州级资金</w:t>
      </w:r>
      <w:r>
        <w:rPr>
          <w:rFonts w:hint="eastAsia" w:ascii="仿宋_GB2312" w:hAnsi="仿宋_GB2312" w:eastAsia="仿宋_GB2312" w:cs="仿宋_GB2312"/>
          <w:sz w:val="32"/>
          <w:szCs w:val="32"/>
        </w:rPr>
        <w:t>、2019年计划生育中央和省级资金、三支一扶项目、</w:t>
      </w:r>
      <w:r>
        <w:rPr>
          <w:rFonts w:hint="eastAsia" w:ascii="方正小标宋简体" w:hAnsi="宋体" w:eastAsia="方正小标宋简体" w:cs="方正小标宋简体"/>
          <w:sz w:val="32"/>
          <w:szCs w:val="44"/>
        </w:rPr>
        <w:t>长效节育措施项目</w:t>
      </w:r>
      <w:r>
        <w:rPr>
          <w:rFonts w:hint="eastAsia" w:ascii="仿宋_GB2312" w:hAnsi="仿宋_GB2312" w:eastAsia="仿宋_GB2312" w:cs="仿宋_GB2312"/>
          <w:sz w:val="32"/>
          <w:szCs w:val="32"/>
        </w:rPr>
        <w:t>等5个项目绩效目标实际完成情况。</w:t>
      </w:r>
    </w:p>
    <w:p>
      <w:pPr>
        <w:adjustRightInd w:val="0"/>
        <w:snapToGrid w:val="0"/>
        <w:spacing w:line="360" w:lineRule="auto"/>
        <w:ind w:firstLine="640" w:firstLineChars="200"/>
        <w:jc w:val="left"/>
        <w:rPr>
          <w:rFonts w:ascii="仿宋_GB2312" w:hAnsi="仿宋" w:eastAsia="仿宋_GB2312"/>
          <w:sz w:val="32"/>
          <w:szCs w:val="32"/>
          <w:lang w:val="zh-CN"/>
        </w:rPr>
      </w:pPr>
      <w:r>
        <w:rPr>
          <w:rFonts w:hint="eastAsia" w:ascii="方正小标宋简体" w:hAnsi="宋体" w:eastAsia="方正小标宋简体" w:cs="方正小标宋简体"/>
          <w:sz w:val="32"/>
          <w:szCs w:val="44"/>
        </w:rPr>
        <w:t>（1）基本公共卫生服务补助项目</w:t>
      </w:r>
      <w:r>
        <w:rPr>
          <w:rFonts w:hint="eastAsia" w:ascii="仿宋_GB2312" w:hAnsi="仿宋_GB2312" w:eastAsia="仿宋_GB2312" w:cs="仿宋_GB2312"/>
          <w:sz w:val="32"/>
          <w:szCs w:val="32"/>
        </w:rPr>
        <w:t>绩效目标完成情况：项目全年预算数</w:t>
      </w:r>
      <w:r>
        <w:rPr>
          <w:rFonts w:hint="eastAsia" w:ascii="仿宋_GB2312" w:hAnsi="仿宋_GB2312" w:eastAsia="仿宋_GB2312" w:cs="仿宋_GB2312"/>
          <w:color w:val="000000" w:themeColor="text1"/>
          <w:sz w:val="32"/>
          <w:szCs w:val="32"/>
          <w14:textFill>
            <w14:solidFill>
              <w14:schemeClr w14:val="tx1"/>
            </w14:solidFill>
          </w14:textFill>
        </w:rPr>
        <w:t>81.27万元，执行数为81.27万元，完成预算的100%。通过项目实施</w:t>
      </w:r>
      <w:r>
        <w:rPr>
          <w:rFonts w:hint="eastAsia" w:ascii="仿宋_GB2312" w:hAnsi="仿宋" w:eastAsia="仿宋_GB2312"/>
          <w:color w:val="000000"/>
          <w:sz w:val="32"/>
          <w:szCs w:val="32"/>
        </w:rPr>
        <w:t>通过实施基本公共卫生服务项目，对影响居民健康的主要卫生问题实施干预，减少主要健康危险因素，有效预防和控制主要传染病及慢性病，使城乡居民逐步享有均等化的公共卫生服务。</w:t>
      </w:r>
      <w:r>
        <w:rPr>
          <w:rFonts w:hint="eastAsia" w:ascii="仿宋_GB2312" w:hAnsi="仿宋" w:eastAsia="仿宋_GB2312"/>
          <w:color w:val="000000"/>
          <w:sz w:val="32"/>
          <w:szCs w:val="32"/>
          <w:lang w:val="zh-CN"/>
        </w:rPr>
        <w:t>存在的问题</w:t>
      </w:r>
      <w:r>
        <w:rPr>
          <w:rFonts w:hint="eastAsia" w:ascii="仿宋_GB2312" w:hAnsi="仿宋" w:eastAsia="仿宋_GB2312"/>
          <w:color w:val="000000"/>
          <w:sz w:val="32"/>
          <w:szCs w:val="32"/>
        </w:rPr>
        <w:t>:基本公共卫生服务项目工作推进力度不够，以致经费拨付缓慢。</w:t>
      </w:r>
      <w:r>
        <w:rPr>
          <w:rFonts w:hint="eastAsia" w:ascii="仿宋_GB2312" w:hAnsi="仿宋" w:eastAsia="仿宋_GB2312"/>
          <w:sz w:val="32"/>
          <w:szCs w:val="32"/>
          <w:lang w:val="zh-CN"/>
        </w:rPr>
        <w:t>改进措施：加大</w:t>
      </w:r>
      <w:r>
        <w:rPr>
          <w:rFonts w:hint="eastAsia" w:ascii="仿宋_GB2312" w:hAnsi="仿宋" w:eastAsia="仿宋_GB2312"/>
          <w:color w:val="000000"/>
          <w:sz w:val="32"/>
          <w:szCs w:val="32"/>
        </w:rPr>
        <w:t>工作推进</w:t>
      </w:r>
      <w:r>
        <w:rPr>
          <w:rFonts w:hint="eastAsia" w:ascii="仿宋_GB2312" w:hAnsi="仿宋" w:eastAsia="仿宋_GB2312"/>
          <w:sz w:val="32"/>
          <w:szCs w:val="32"/>
          <w:lang w:val="zh-CN"/>
        </w:rPr>
        <w:t>力度。</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方正小标宋简体" w:hAnsi="宋体" w:eastAsia="方正小标宋简体" w:cs="方正小标宋简体"/>
                <w:sz w:val="32"/>
                <w:szCs w:val="44"/>
              </w:rPr>
              <w:t>基本公共卫生服务补助项目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红原县卫生和计划生育局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81.27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81.27</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81.27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81.27</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免费向全县居民提供基本公共卫生服务</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免费向全县居民提供基本公共卫生服务</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r>
              <w:rPr>
                <w:rFonts w:hint="eastAsia" w:ascii="仿宋_GB2312" w:hAnsi="仿宋" w:eastAsia="仿宋_GB2312"/>
                <w:color w:val="000000"/>
                <w:szCs w:val="21"/>
              </w:rPr>
              <w:t>对影响居民健康的主要卫生问题实施干预，减少主要健康危险因素，有效预防和控制主要传染病及慢性病，使城乡居民逐步享有均等化的公共卫生服务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r>
              <w:rPr>
                <w:rFonts w:hint="eastAsia" w:ascii="仿宋_GB2312" w:hAnsi="仿宋" w:eastAsia="仿宋_GB2312"/>
                <w:color w:val="000000"/>
                <w:szCs w:val="21"/>
              </w:rPr>
              <w:t>对影响居民健康的主要卫生问题实施干预，减少主要健康危险因素，有效预防和控制主要传染病及慢性病，使城乡居民逐步享有均等化的公共卫生服务</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r>
    </w:tbl>
    <w:p>
      <w:pPr>
        <w:adjustRightInd w:val="0"/>
        <w:snapToGrid w:val="0"/>
        <w:spacing w:line="360" w:lineRule="auto"/>
        <w:ind w:left="420" w:leftChars="200"/>
        <w:jc w:val="left"/>
        <w:rPr>
          <w:rFonts w:ascii="仿宋_GB2312" w:hAnsi="仿宋_GB2312" w:eastAsia="仿宋_GB2312" w:cs="仿宋_GB2312"/>
          <w:color w:val="000000" w:themeColor="text1"/>
          <w:sz w:val="32"/>
          <w:szCs w:val="32"/>
          <w14:textFill>
            <w14:solidFill>
              <w14:schemeClr w14:val="tx1"/>
            </w14:solidFill>
          </w14:textFill>
        </w:rPr>
      </w:pPr>
    </w:p>
    <w:p>
      <w:pPr>
        <w:adjustRightInd w:val="0"/>
        <w:snapToGrid w:val="0"/>
        <w:spacing w:line="360" w:lineRule="auto"/>
        <w:ind w:left="420" w:leftChars="200" w:firstLine="640" w:firstLineChars="200"/>
        <w:jc w:val="left"/>
        <w:rPr>
          <w:rFonts w:ascii="仿宋_GB2312" w:hAnsi="仿宋" w:eastAsia="仿宋_GB2312"/>
          <w:color w:val="000000"/>
          <w:sz w:val="32"/>
          <w:szCs w:val="32"/>
          <w:lang w:val="zh-CN"/>
        </w:rPr>
      </w:pPr>
      <w:r>
        <w:rPr>
          <w:rFonts w:hint="eastAsia" w:ascii="仿宋_GB2312" w:hAnsi="仿宋_GB2312" w:eastAsia="仿宋_GB2312" w:cs="仿宋_GB2312"/>
          <w:color w:val="000000" w:themeColor="text1"/>
          <w:sz w:val="32"/>
          <w:szCs w:val="32"/>
          <w14:textFill>
            <w14:solidFill>
              <w14:schemeClr w14:val="tx1"/>
            </w14:solidFill>
          </w14:textFill>
        </w:rPr>
        <w:t>（2）2019年</w:t>
      </w:r>
      <w:r>
        <w:rPr>
          <w:rFonts w:hint="eastAsia" w:ascii="仿宋_GB2312" w:hAnsi="仿宋_GB2312" w:eastAsia="仿宋_GB2312" w:cs="仿宋_GB2312"/>
          <w:sz w:val="32"/>
          <w:szCs w:val="32"/>
        </w:rPr>
        <w:t>基</w:t>
      </w:r>
      <w:r>
        <w:rPr>
          <w:rFonts w:hint="eastAsia" w:ascii="仿宋_GB2312" w:hAnsi="宋体" w:eastAsia="仿宋_GB2312" w:cs="仿宋_GB2312"/>
          <w:sz w:val="32"/>
        </w:rPr>
        <w:t>本药物制度州级资金</w:t>
      </w:r>
      <w:r>
        <w:rPr>
          <w:rFonts w:hint="eastAsia" w:ascii="仿宋_GB2312" w:hAnsi="仿宋_GB2312" w:eastAsia="仿宋_GB2312" w:cs="仿宋_GB2312"/>
          <w:sz w:val="32"/>
          <w:szCs w:val="32"/>
        </w:rPr>
        <w:t>绩效目标完成情况：项目全年预算数9.96万元、，执行数为9.96万元，完成预算的100%。通过项目实施，</w:t>
      </w:r>
      <w:r>
        <w:rPr>
          <w:rFonts w:hint="eastAsia" w:ascii="仿宋_GB2312" w:hAnsi="仿宋" w:eastAsia="仿宋_GB2312"/>
          <w:sz w:val="32"/>
          <w:szCs w:val="32"/>
          <w:lang w:val="zh-CN"/>
        </w:rPr>
        <w:t>巩固了基本药物制度，深化了不得基层医疗卫生机构管理体制、补偿机制、药品供应、人事分配等方面的综合改革；加强了基层医疗卫生服务体系建设，不断提升服务能力和水平，巩固了基</w:t>
      </w:r>
      <w:r>
        <w:rPr>
          <w:rFonts w:hint="eastAsia" w:ascii="仿宋_GB2312" w:hAnsi="仿宋" w:eastAsia="仿宋_GB2312"/>
          <w:color w:val="000000"/>
          <w:sz w:val="32"/>
          <w:szCs w:val="32"/>
          <w:lang w:val="zh-CN"/>
        </w:rPr>
        <w:t>层医疗卫生服务网底。</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通过基层卫生制度改革的实施，基层医疗卫生机构坚持全面配备基本药物、零差率销售，以保障药品质量，满足群众基本用药需求，减轻群众医疗费用负担等。</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发现的主要问题：</w:t>
      </w:r>
      <w:r>
        <w:rPr>
          <w:rFonts w:hint="eastAsia" w:ascii="仿宋_GB2312" w:hAnsi="仿宋" w:eastAsia="仿宋_GB2312"/>
          <w:color w:val="000000"/>
          <w:sz w:val="32"/>
          <w:szCs w:val="32"/>
        </w:rPr>
        <w:t>项目资金少</w:t>
      </w:r>
      <w:r>
        <w:rPr>
          <w:rFonts w:hint="eastAsia" w:ascii="仿宋_GB2312" w:hAnsi="仿宋_GB2312" w:eastAsia="仿宋_GB2312" w:cs="仿宋_GB2312"/>
          <w:sz w:val="32"/>
          <w:szCs w:val="32"/>
        </w:rPr>
        <w:t>。下一步改进措施：</w:t>
      </w:r>
      <w:r>
        <w:rPr>
          <w:rFonts w:hint="eastAsia" w:ascii="仿宋_GB2312" w:hAnsi="仿宋" w:eastAsia="仿宋_GB2312"/>
          <w:color w:val="000000"/>
          <w:sz w:val="32"/>
          <w:szCs w:val="32"/>
        </w:rPr>
        <w:t>增加项目资金，加强人员培训。</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color w:val="000000" w:themeColor="text1"/>
                <w:sz w:val="32"/>
                <w:szCs w:val="32"/>
                <w14:textFill>
                  <w14:solidFill>
                    <w14:schemeClr w14:val="tx1"/>
                  </w14:solidFill>
                </w14:textFill>
              </w:rPr>
              <w:t>2019年</w:t>
            </w:r>
            <w:r>
              <w:rPr>
                <w:rFonts w:hint="eastAsia" w:ascii="仿宋_GB2312" w:hAnsi="仿宋_GB2312" w:eastAsia="仿宋_GB2312" w:cs="仿宋_GB2312"/>
                <w:sz w:val="32"/>
                <w:szCs w:val="32"/>
              </w:rPr>
              <w:t>基</w:t>
            </w:r>
            <w:r>
              <w:rPr>
                <w:rFonts w:hint="eastAsia" w:ascii="仿宋_GB2312" w:hAnsi="宋体" w:eastAsia="仿宋_GB2312" w:cs="仿宋_GB2312"/>
                <w:sz w:val="32"/>
              </w:rPr>
              <w:t>本药物制度州级资金</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红原县卫生和计划生育局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9.96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9.96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9.96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9.96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 xml:space="preserve"> 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left="420" w:leftChars="200"/>
              <w:jc w:val="left"/>
              <w:rPr>
                <w:rFonts w:ascii="仿宋_GB2312" w:hAnsi="仿宋" w:eastAsia="仿宋_GB2312"/>
                <w:color w:val="000000"/>
                <w:szCs w:val="21"/>
                <w:lang w:val="zh-CN"/>
              </w:rPr>
            </w:pPr>
            <w:r>
              <w:rPr>
                <w:rFonts w:hint="eastAsia" w:ascii="仿宋_GB2312" w:hAnsi="仿宋" w:eastAsia="仿宋_GB2312"/>
                <w:color w:val="000000"/>
                <w:szCs w:val="21"/>
                <w:lang w:val="zh-CN"/>
              </w:rPr>
              <w:t>加强基层医疗卫生服务体系建设，不断提升服务能力和水平，巩固了基层医疗卫生服务网底。</w:t>
            </w:r>
          </w:p>
          <w:p>
            <w:pPr>
              <w:jc w:val="center"/>
              <w:rPr>
                <w:rFonts w:ascii="宋体" w:hAnsi="宋体" w:cs="宋体"/>
                <w:b/>
                <w:color w:val="000000"/>
                <w:szCs w:val="21"/>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left="420" w:leftChars="200"/>
              <w:jc w:val="left"/>
              <w:rPr>
                <w:rFonts w:ascii="仿宋_GB2312" w:hAnsi="仿宋" w:eastAsia="仿宋_GB2312"/>
                <w:color w:val="000000"/>
                <w:szCs w:val="21"/>
                <w:lang w:val="zh-CN"/>
              </w:rPr>
            </w:pPr>
            <w:r>
              <w:rPr>
                <w:rFonts w:hint="eastAsia" w:ascii="仿宋_GB2312" w:hAnsi="仿宋" w:eastAsia="仿宋_GB2312"/>
                <w:color w:val="000000"/>
                <w:szCs w:val="21"/>
                <w:lang w:val="zh-CN"/>
              </w:rPr>
              <w:t>加强基层医疗卫生服务体系建设，不断提升服务能力和水平，巩固了基层医疗卫生服务网底。</w:t>
            </w:r>
          </w:p>
          <w:p>
            <w:pPr>
              <w:jc w:val="center"/>
              <w:rPr>
                <w:rFonts w:ascii="宋体" w:hAnsi="宋体" w:cs="宋体"/>
                <w:b/>
                <w:color w:val="000000"/>
                <w:szCs w:val="21"/>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r>
              <w:rPr>
                <w:rFonts w:hint="eastAsia" w:ascii="仿宋_GB2312" w:hAnsi="仿宋" w:eastAsia="仿宋_GB2312"/>
                <w:color w:val="000000"/>
                <w:szCs w:val="21"/>
                <w:lang w:val="zh-CN"/>
              </w:rPr>
              <w:t>基层医疗卫生机构坚持全面配备基本药物、网上采购、零差率销售，以保障药品质量，满足群众基本用药需求，减轻群众医疗费用负担</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r>
              <w:rPr>
                <w:rFonts w:hint="eastAsia" w:ascii="仿宋_GB2312" w:hAnsi="仿宋" w:eastAsia="仿宋_GB2312"/>
                <w:color w:val="000000"/>
                <w:szCs w:val="21"/>
                <w:lang w:val="zh-CN"/>
              </w:rPr>
              <w:t>基层医疗卫生机构坚持全面配备基本药物、网上采购、零差率销售，以保障药品质量，满足群众基本用药需求，减轻群众医疗费用负担</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r>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pStyle w:val="12"/>
              <w:widowControl/>
              <w:spacing w:beforeAutospacing="0" w:afterAutospacing="0" w:line="360" w:lineRule="atLeast"/>
              <w:ind w:left="420" w:leftChars="200" w:firstLine="640" w:firstLineChars="200"/>
              <w:rPr>
                <w:rFonts w:ascii="方正小标宋简体" w:hAnsi="宋体" w:eastAsia="方正小标宋简体" w:cs="方正小标宋简体"/>
                <w:sz w:val="32"/>
                <w:szCs w:val="44"/>
                <w:lang w:val="zh-CN"/>
              </w:rPr>
            </w:pPr>
            <w:r>
              <w:rPr>
                <w:rFonts w:hint="eastAsia" w:ascii="方正小标宋简体" w:hAnsi="宋体" w:eastAsia="方正小标宋简体" w:cs="方正小标宋简体"/>
                <w:sz w:val="32"/>
                <w:szCs w:val="44"/>
              </w:rPr>
              <w:t>（3）2019年计划生育中央和省级资金项目</w:t>
            </w:r>
            <w:r>
              <w:rPr>
                <w:rFonts w:hint="eastAsia" w:ascii="仿宋_GB2312" w:hAnsi="仿宋_GB2312" w:eastAsia="仿宋_GB2312" w:cs="仿宋_GB2312"/>
                <w:sz w:val="32"/>
                <w:szCs w:val="32"/>
              </w:rPr>
              <w:t>绩效目标完成情况：项目全年预算数</w:t>
            </w:r>
            <w:r>
              <w:rPr>
                <w:rFonts w:hint="eastAsia" w:ascii="仿宋_GB2312" w:hAnsi="微软雅黑" w:cs="仿宋_GB2312"/>
                <w:color w:val="000000" w:themeColor="text1"/>
                <w:sz w:val="32"/>
                <w:szCs w:val="32"/>
                <w:shd w:val="clear" w:color="auto" w:fill="FFFFFF"/>
                <w14:textFill>
                  <w14:solidFill>
                    <w14:schemeClr w14:val="tx1"/>
                  </w14:solidFill>
                </w14:textFill>
              </w:rPr>
              <w:t>158.4536</w:t>
            </w:r>
            <w:r>
              <w:rPr>
                <w:rFonts w:hint="eastAsia" w:ascii="仿宋_GB2312" w:hAnsi="仿宋_GB2312" w:eastAsia="仿宋_GB2312" w:cs="仿宋_GB2312"/>
                <w:sz w:val="32"/>
                <w:szCs w:val="32"/>
              </w:rPr>
              <w:t>万元，执行数为</w:t>
            </w:r>
            <w:r>
              <w:rPr>
                <w:rFonts w:hint="eastAsia" w:ascii="仿宋_GB2312" w:hAnsi="微软雅黑" w:cs="仿宋_GB2312"/>
                <w:color w:val="000000" w:themeColor="text1"/>
                <w:sz w:val="32"/>
                <w:szCs w:val="32"/>
                <w:shd w:val="clear" w:color="auto" w:fill="FFFFFF"/>
                <w14:textFill>
                  <w14:solidFill>
                    <w14:schemeClr w14:val="tx1"/>
                  </w14:solidFill>
                </w14:textFill>
              </w:rPr>
              <w:t>157.242</w:t>
            </w:r>
            <w:r>
              <w:rPr>
                <w:rFonts w:hint="eastAsia" w:ascii="仿宋_GB2312" w:hAnsi="仿宋_GB2312" w:eastAsia="仿宋_GB2312" w:cs="仿宋_GB2312"/>
                <w:sz w:val="32"/>
                <w:szCs w:val="32"/>
              </w:rPr>
              <w:t>万元，完成预算的99%。通过项目实施，</w:t>
            </w:r>
            <w:r>
              <w:rPr>
                <w:rFonts w:hint="eastAsia" w:ascii="方正小标宋简体" w:hAnsi="宋体" w:eastAsia="方正小标宋简体" w:cs="方正小标宋简体"/>
                <w:sz w:val="32"/>
                <w:szCs w:val="44"/>
              </w:rPr>
              <w:t>让农村部分计划生育家庭奖励扶助对象296人、计划生育家庭特别扶助对象114人、少生快富42人、计划生育家庭独生子女奖励42人，在一定程度上缓解了计生家庭的实际困难，提高了政府的公信力。</w:t>
            </w:r>
          </w:p>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方正小标宋简体" w:hAnsi="宋体" w:eastAsia="方正小标宋简体" w:cs="方正小标宋简体"/>
                <w:sz w:val="32"/>
                <w:szCs w:val="44"/>
              </w:rPr>
              <w:t>2019年计划生育中央和省级资金</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红原县卫生和计划生育局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微软雅黑" w:cs="仿宋_GB2312"/>
                <w:color w:val="000000" w:themeColor="text1"/>
                <w:kern w:val="0"/>
                <w:sz w:val="32"/>
                <w:szCs w:val="32"/>
                <w:shd w:val="clear" w:color="auto" w:fill="FFFFFF"/>
                <w14:textFill>
                  <w14:solidFill>
                    <w14:schemeClr w14:val="tx1"/>
                  </w14:solidFill>
                </w14:textFill>
              </w:rPr>
              <w:t>158.4536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微软雅黑" w:cs="仿宋_GB2312"/>
                <w:color w:val="000000" w:themeColor="text1"/>
                <w:kern w:val="0"/>
                <w:sz w:val="32"/>
                <w:szCs w:val="32"/>
                <w:shd w:val="clear" w:color="auto" w:fill="FFFFFF"/>
                <w14:textFill>
                  <w14:solidFill>
                    <w14:schemeClr w14:val="tx1"/>
                  </w14:solidFill>
                </w14:textFill>
              </w:rPr>
              <w:t>157.242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49.782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微软雅黑" w:cs="仿宋_GB2312"/>
                <w:color w:val="000000" w:themeColor="text1"/>
                <w:kern w:val="0"/>
                <w:sz w:val="32"/>
                <w:szCs w:val="32"/>
                <w:shd w:val="clear" w:color="auto" w:fill="FFFFFF"/>
                <w14:textFill>
                  <w14:solidFill>
                    <w14:schemeClr w14:val="tx1"/>
                  </w14:solidFill>
                </w14:textFill>
              </w:rPr>
              <w:t>157.242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让农村部分计划生育家庭奖励扶助对象296人、计划生育家庭特别扶助对象114人、少生快富42人、计划生育家庭独生子女奖励42人，在一定程度上缓解了计生家庭的实际困难，提高了政府的公信力。</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让农村部分计划生育家庭奖励扶助对象296人、计划生育家庭特别扶助对象114人、少生快富42人、计划生育家庭独生子女奖励42人，在一定程度上缓解了计生家庭的实际困难，提高了政府的公信力。</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让农村部分计划生育家庭奖励扶助对象296人、计划生育家庭特别扶助对象114人、少生快富42人、计划生育家庭独生子女奖励42人，在一定程度上缓解了计生家庭的实际困难，提高了政府的公信力。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让农村部分计划生育家庭奖励扶助对象296人、计划生育家庭特别扶助对象114人、少生快富42人、计划生育家庭独生子女奖励42人，在一定程度上缓解了计生家庭的实际困难，提高了政府的公信力。</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r>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adjustRightInd w:val="0"/>
              <w:snapToGrid w:val="0"/>
              <w:spacing w:line="560" w:lineRule="exact"/>
              <w:ind w:firstLine="720"/>
              <w:rPr>
                <w:rFonts w:ascii="仿宋_GB2312" w:hAnsi="仿宋_GB2312" w:eastAsia="仿宋_GB2312" w:cs="仿宋_GB2312"/>
                <w:color w:val="000000" w:themeColor="text1"/>
                <w:sz w:val="32"/>
                <w:szCs w:val="32"/>
                <w:lang w:val="zh-CN"/>
                <w14:textFill>
                  <w14:solidFill>
                    <w14:schemeClr w14:val="tx1"/>
                  </w14:solidFill>
                </w14:textFill>
              </w:rPr>
            </w:pPr>
            <w:r>
              <w:rPr>
                <w:rFonts w:hint="eastAsia" w:ascii="方正小标宋简体" w:hAnsi="宋体" w:eastAsia="方正小标宋简体" w:cs="方正小标宋简体"/>
                <w:sz w:val="32"/>
                <w:szCs w:val="44"/>
              </w:rPr>
              <w:t>（4）三支一扶项目</w:t>
            </w:r>
            <w:r>
              <w:rPr>
                <w:rFonts w:hint="eastAsia" w:ascii="仿宋_GB2312" w:hAnsi="仿宋_GB2312" w:eastAsia="仿宋_GB2312" w:cs="仿宋_GB2312"/>
                <w:sz w:val="32"/>
                <w:szCs w:val="32"/>
              </w:rPr>
              <w:t>绩效目标完成情况：项目全年预算数</w:t>
            </w:r>
            <w:r>
              <w:rPr>
                <w:rFonts w:hint="eastAsia" w:ascii="仿宋_GB2312" w:hAnsi="仿宋_GB2312" w:eastAsia="仿宋_GB2312" w:cs="仿宋_GB2312"/>
                <w:color w:val="000000" w:themeColor="text1"/>
                <w:sz w:val="32"/>
                <w:szCs w:val="32"/>
                <w14:textFill>
                  <w14:solidFill>
                    <w14:schemeClr w14:val="tx1"/>
                  </w14:solidFill>
                </w14:textFill>
              </w:rPr>
              <w:t>18.75万元，执行数为18.75万元，完成预算的100%。通过项目实施</w:t>
            </w:r>
            <w:r>
              <w:rPr>
                <w:rFonts w:hint="eastAsia" w:ascii="仿宋_GB2312" w:hAnsi="仿宋_GB2312" w:eastAsia="仿宋_GB2312" w:cs="仿宋_GB2312"/>
                <w:color w:val="000000" w:themeColor="text1"/>
                <w:sz w:val="32"/>
                <w:szCs w:val="32"/>
                <w:lang w:val="zh-CN"/>
                <w14:textFill>
                  <w14:solidFill>
                    <w14:schemeClr w14:val="tx1"/>
                  </w14:solidFill>
                </w14:textFill>
              </w:rPr>
              <w:t>引导高校毕业生到农村去，到基层去，到群众最需要的地方去，为红原的社会主义新农村建设贡献力量。</w:t>
            </w:r>
          </w:p>
          <w:p>
            <w:pPr>
              <w:adjustRightInd w:val="0"/>
              <w:snapToGrid w:val="0"/>
              <w:spacing w:line="560" w:lineRule="exact"/>
              <w:ind w:firstLine="720"/>
              <w:rPr>
                <w:rFonts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存在的问题项目资金少。建议增加项目资金，加强人员培训。</w:t>
            </w:r>
          </w:p>
          <w:p>
            <w:pPr>
              <w:ind w:firstLine="420" w:firstLineChars="200"/>
              <w:rPr>
                <w:rFonts w:ascii="楷体_GB2312" w:hAnsi="宋体" w:eastAsia="楷体_GB2312"/>
                <w:szCs w:val="32"/>
                <w:lang w:val="zh-CN"/>
              </w:rPr>
            </w:pPr>
          </w:p>
          <w:p>
            <w:pPr>
              <w:adjustRightInd w:val="0"/>
              <w:snapToGrid w:val="0"/>
              <w:spacing w:line="360" w:lineRule="auto"/>
              <w:jc w:val="left"/>
              <w:rPr>
                <w:rFonts w:ascii="仿宋_GB2312" w:hAnsi="仿宋" w:eastAsia="仿宋_GB2312"/>
                <w:sz w:val="32"/>
                <w:szCs w:val="32"/>
                <w:lang w:val="zh-CN"/>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90"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方正小标宋简体" w:hAnsi="宋体" w:eastAsia="方正小标宋简体" w:cs="方正小标宋简体"/>
                      <w:sz w:val="32"/>
                      <w:szCs w:val="44"/>
                    </w:rPr>
                    <w:t>2019年三支一扶专项补助项目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红原县卫生健康局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18.75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18.75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18.75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18.75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lang w:val="zh-CN"/>
                    </w:rPr>
                    <w:t>引导高校毕业生到农村去，到基层去，到群众最需要的地方去，为红原的社会主义新农村建设贡献力量</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lang w:val="zh-CN"/>
                    </w:rPr>
                    <w:t>引导高校毕业生到农村去，到基层去，到群众最需要的地方去，为红原的社会主义新农村建设贡献力量</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lang w:val="zh-CN"/>
                    </w:rPr>
                    <w:t>引导高校毕业生到农村去，到基层去，到群众最需要的地方去，为红原的社会主义新农村建设贡献力量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lang w:val="zh-CN"/>
                    </w:rPr>
                    <w:t>引导高校毕业生到农村去，到基层去，到群众最需要的地方去，为红原的社会主义新农村建设贡献力量</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r>
          </w:tbl>
          <w:p>
            <w:pPr>
              <w:pStyle w:val="12"/>
              <w:widowControl/>
              <w:spacing w:beforeAutospacing="0" w:afterAutospacing="0" w:line="360" w:lineRule="atLeast"/>
              <w:ind w:left="420" w:leftChars="200" w:firstLine="640" w:firstLineChars="200"/>
              <w:rPr>
                <w:rFonts w:ascii="仿宋_GB2312" w:hAnsi="宋体" w:eastAsia="仿宋_GB2312" w:cs="仿宋_GB2312"/>
                <w:kern w:val="2"/>
                <w:sz w:val="32"/>
              </w:rPr>
            </w:pPr>
            <w:r>
              <w:rPr>
                <w:rFonts w:hint="eastAsia" w:ascii="方正小标宋简体" w:hAnsi="宋体" w:eastAsia="方正小标宋简体" w:cs="方正小标宋简体"/>
                <w:sz w:val="32"/>
                <w:szCs w:val="44"/>
              </w:rPr>
              <w:t xml:space="preserve">（5）长效节育措施项目   </w:t>
            </w:r>
            <w:r>
              <w:rPr>
                <w:rFonts w:hint="eastAsia" w:ascii="仿宋_GB2312" w:hAnsi="仿宋_GB2312" w:eastAsia="仿宋_GB2312" w:cs="仿宋_GB2312"/>
                <w:sz w:val="32"/>
                <w:szCs w:val="32"/>
              </w:rPr>
              <w:t>绩效目标完成情况：项目全年预算数10.2万元，执行数为10.2万元，完成预算的100%。通过项目实施</w:t>
            </w:r>
            <w:r>
              <w:rPr>
                <w:rFonts w:hint="eastAsia" w:ascii="仿宋_GB2312" w:hAnsi="宋体" w:eastAsia="仿宋_GB2312" w:cs="仿宋_GB2312"/>
                <w:kern w:val="2"/>
                <w:sz w:val="32"/>
                <w:lang w:val="zh-CN"/>
              </w:rPr>
              <w:t>鼓励、引导群众落实长效节育措施，减少政策人口出生数，提高人口和计划生育工作水平，促进和谐社会建设。存在的问题</w:t>
            </w:r>
            <w:r>
              <w:rPr>
                <w:rFonts w:hint="eastAsia" w:ascii="楷体_GB2312" w:hAnsi="宋体" w:eastAsia="楷体_GB2312" w:cs="楷体_GB2312"/>
                <w:b/>
                <w:kern w:val="2"/>
                <w:sz w:val="32"/>
              </w:rPr>
              <w:t>:</w:t>
            </w:r>
            <w:r>
              <w:rPr>
                <w:rFonts w:hint="eastAsia" w:ascii="仿宋_GB2312" w:hAnsi="宋体" w:eastAsia="仿宋_GB2312" w:cs="仿宋_GB2312"/>
                <w:kern w:val="2"/>
                <w:sz w:val="32"/>
                <w:lang w:val="zh-CN"/>
              </w:rPr>
              <w:t>我县处于牧区，收集各乡镇达到政策生育上限育龄且落实长效节育措施的妇女人数困难较大，目标任务完成缓慢。改进措施：县乡两级加大工作力度收集相关数据，让能享受皆享受。</w:t>
            </w:r>
          </w:p>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方正小标宋简体" w:hAnsi="宋体" w:eastAsia="方正小标宋简体" w:cs="方正小标宋简体"/>
                <w:sz w:val="32"/>
                <w:szCs w:val="44"/>
              </w:rPr>
              <w:t>长效节育措施项目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红原县卫生和计划生育局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仿宋_GB2312" w:hAnsi="宋体" w:eastAsia="仿宋_GB2312" w:cs="仿宋_GB2312"/>
                <w:szCs w:val="21"/>
                <w:lang w:val="zh-CN"/>
              </w:rPr>
              <w:t>　鼓励、引导群众落实长效节育措施，减少政策人口出生数，提高人口和计划生育工作水平，促进和谐社会建设。</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仿宋_GB2312" w:hAnsi="宋体" w:eastAsia="仿宋_GB2312" w:cs="仿宋_GB2312"/>
                <w:szCs w:val="21"/>
                <w:lang w:val="zh-CN"/>
              </w:rPr>
              <w:t>　鼓励、引导群众落实长效节育措施，减少政策人口出生数，提高人口和计划生育工作水平，促进和谐社会建设。</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10%≤x＜60%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10%≤x＜60%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符合相关规定</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5%≤x＜10%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均衡</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10%≤x＜60%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10%≤x＜60%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＜5%</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严格</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10%≤x＜60%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10%≥x＞5%</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r>
              <w:rPr>
                <w:rFonts w:hint="eastAsia" w:ascii="仿宋_GB2312" w:hAnsi="宋体" w:eastAsia="仿宋_GB2312" w:cs="仿宋_GB2312"/>
                <w:szCs w:val="21"/>
                <w:lang w:val="zh-CN"/>
              </w:rPr>
              <w:t>促进和谐社会建设。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r>
              <w:rPr>
                <w:rFonts w:hint="eastAsia" w:ascii="仿宋_GB2312" w:hAnsi="宋体" w:eastAsia="仿宋_GB2312" w:cs="仿宋_GB2312"/>
                <w:szCs w:val="21"/>
                <w:lang w:val="zh-CN"/>
              </w:rPr>
              <w:t>　促进和谐社会建设。</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满意</w:t>
            </w:r>
          </w:p>
        </w:tc>
      </w:tr>
    </w:tbl>
    <w:p>
      <w:pPr>
        <w:spacing w:line="580" w:lineRule="exact"/>
        <w:rPr>
          <w:rFonts w:ascii="仿宋_GB2312" w:hAnsi="仿宋_GB2312" w:eastAsia="仿宋_GB2312" w:cs="仿宋_GB2312"/>
          <w:sz w:val="32"/>
          <w:szCs w:val="32"/>
        </w:rPr>
      </w:pPr>
    </w:p>
    <w:p>
      <w:pPr>
        <w:spacing w:line="580" w:lineRule="exact"/>
        <w:rPr>
          <w:rFonts w:ascii="仿宋" w:hAnsi="仿宋" w:eastAsia="仿宋" w:cs="仿宋_GB2312"/>
          <w:sz w:val="32"/>
          <w:szCs w:val="32"/>
        </w:rPr>
      </w:pPr>
      <w:r>
        <w:rPr>
          <w:rFonts w:hint="eastAsia" w:ascii="仿宋" w:hAnsi="仿宋" w:eastAsia="仿宋" w:cs="楷体_GB2312"/>
          <w:b/>
          <w:bCs/>
          <w:sz w:val="32"/>
          <w:szCs w:val="32"/>
        </w:rPr>
        <w:t>2.部门开展绩效评价结果。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本部门按要求对2019年部门整体支出绩效评价情况开展自评，《红原县卫生和计划生育局部门2019年部门整体支出绩效评价报告》见附件1。</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本部门自行组织对</w:t>
      </w:r>
      <w:r>
        <w:rPr>
          <w:rFonts w:hint="eastAsia" w:ascii="仿宋_GB2312" w:hAnsi="仿宋_GB2312" w:eastAsia="仿宋_GB2312" w:cs="仿宋_GB2312"/>
          <w:sz w:val="32"/>
          <w:szCs w:val="32"/>
        </w:rPr>
        <w:t>基本公共卫生服务、</w:t>
      </w:r>
      <w:r>
        <w:rPr>
          <w:rFonts w:hint="eastAsia" w:ascii="仿宋_GB2312" w:hAnsi="仿宋_GB2312" w:eastAsia="仿宋_GB2312" w:cs="仿宋_GB2312"/>
          <w:color w:val="000000" w:themeColor="text1"/>
          <w:sz w:val="32"/>
          <w:szCs w:val="32"/>
          <w14:textFill>
            <w14:solidFill>
              <w14:schemeClr w14:val="tx1"/>
            </w14:solidFill>
          </w14:textFill>
        </w:rPr>
        <w:t>2019年</w:t>
      </w:r>
      <w:r>
        <w:rPr>
          <w:rFonts w:hint="eastAsia" w:ascii="仿宋_GB2312" w:hAnsi="仿宋_GB2312" w:eastAsia="仿宋_GB2312" w:cs="仿宋_GB2312"/>
          <w:sz w:val="32"/>
          <w:szCs w:val="32"/>
        </w:rPr>
        <w:t>基</w:t>
      </w:r>
      <w:r>
        <w:rPr>
          <w:rFonts w:hint="eastAsia" w:ascii="仿宋_GB2312" w:hAnsi="宋体" w:eastAsia="仿宋_GB2312" w:cs="仿宋_GB2312"/>
          <w:sz w:val="32"/>
        </w:rPr>
        <w:t>本药物制度州级资金</w:t>
      </w:r>
      <w:r>
        <w:rPr>
          <w:rFonts w:hint="eastAsia" w:ascii="仿宋_GB2312" w:hAnsi="仿宋_GB2312" w:eastAsia="仿宋_GB2312" w:cs="仿宋_GB2312"/>
          <w:sz w:val="32"/>
          <w:szCs w:val="32"/>
        </w:rPr>
        <w:t>、2019年计划生育中央和省级补助资金项目、三支一扶项目、</w:t>
      </w:r>
      <w:r>
        <w:rPr>
          <w:rFonts w:hint="eastAsia" w:ascii="方正小标宋简体" w:hAnsi="宋体" w:eastAsia="方正小标宋简体" w:cs="方正小标宋简体"/>
          <w:sz w:val="32"/>
          <w:szCs w:val="44"/>
        </w:rPr>
        <w:t>长效节育措施项目</w:t>
      </w:r>
      <w:r>
        <w:rPr>
          <w:rFonts w:hint="eastAsia" w:ascii="仿宋_GB2312" w:hAnsi="仿宋_GB2312" w:eastAsia="仿宋_GB2312" w:cs="仿宋_GB2312"/>
          <w:color w:val="000000" w:themeColor="text1"/>
          <w:sz w:val="32"/>
          <w:szCs w:val="32"/>
          <w14:textFill>
            <w14:solidFill>
              <w14:schemeClr w14:val="tx1"/>
            </w14:solidFill>
          </w14:textFill>
        </w:rPr>
        <w:t>等5个项目开展了绩效评价，《项目2019年绩效评价报告》见附件2。</w:t>
      </w:r>
    </w:p>
    <w:p>
      <w:pPr>
        <w:spacing w:line="580" w:lineRule="exact"/>
        <w:jc w:val="center"/>
        <w:rPr>
          <w:rFonts w:ascii="方正小标宋简体" w:hAnsi="方正小标宋简体" w:eastAsia="方正小标宋简体" w:cs="方正小标宋简体"/>
          <w:sz w:val="44"/>
          <w:szCs w:val="44"/>
        </w:rPr>
      </w:pPr>
    </w:p>
    <w:p>
      <w:pPr>
        <w:numPr>
          <w:ilvl w:val="0"/>
          <w:numId w:val="6"/>
        </w:numPr>
        <w:spacing w:line="600" w:lineRule="exact"/>
        <w:ind w:firstLine="663" w:firstLineChars="150"/>
        <w:jc w:val="center"/>
        <w:outlineLvl w:val="0"/>
        <w:rPr>
          <w:rStyle w:val="32"/>
          <w:rFonts w:ascii="黑体" w:hAnsi="黑体" w:eastAsia="黑体"/>
          <w:b w:val="0"/>
        </w:rPr>
      </w:pPr>
      <w:bookmarkStart w:id="74" w:name="_Toc15396613"/>
      <w:bookmarkStart w:id="75" w:name="_Toc6511"/>
      <w:bookmarkStart w:id="76" w:name="_Toc15377225"/>
      <w:r>
        <w:rPr>
          <w:rFonts w:hint="eastAsia" w:ascii="黑体" w:hAnsi="黑体" w:eastAsia="黑体"/>
          <w:b/>
          <w:color w:val="000000"/>
          <w:sz w:val="44"/>
          <w:szCs w:val="44"/>
        </w:rPr>
        <w:t>名</w:t>
      </w:r>
      <w:r>
        <w:rPr>
          <w:rStyle w:val="32"/>
          <w:rFonts w:hint="eastAsia" w:ascii="黑体" w:hAnsi="黑体" w:eastAsia="黑体"/>
          <w:b w:val="0"/>
        </w:rPr>
        <w:t>词解释</w:t>
      </w:r>
      <w:bookmarkEnd w:id="74"/>
      <w:bookmarkEnd w:id="75"/>
      <w:bookmarkEnd w:id="7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9. 一般公共服务（类）</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其他人力资源事务支出（2011099）：是指反映其他人力资源事务方面的支出。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10.社会保障和就业（类）</w:t>
      </w:r>
    </w:p>
    <w:p>
      <w:pPr>
        <w:spacing w:line="600" w:lineRule="exact"/>
        <w:ind w:left="420" w:leftChars="200" w:firstLine="320" w:firstLineChars="1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机关事业单位基本养老保险缴费支出（2080505）：是指机关事业单位实施养老保险制度由单位缴纳的基本养老保险费支出。</w:t>
      </w:r>
    </w:p>
    <w:p>
      <w:pPr>
        <w:spacing w:line="600" w:lineRule="exact"/>
        <w:ind w:left="420" w:leftChars="200" w:firstLine="320" w:firstLineChars="1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机关事业单位基本养老保险缴费支出（2080506）：是指机关事业单位实施养老保险制度由单位缴纳的职业年金支出。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11.卫生健康（类）</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行政运行（2100101）：是指行政单位（包括实行公务员管理的事业单位）的基本支出。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乡镇卫生院（2100302）：是指用于乡镇卫生院支出。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基本公共卫生服务（2100408）：是指基本公共卫生服务支出。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重大卫生专项（2100409）：是指重大疾病预防控制等重大公共卫生服务项目的支出。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其他公共卫生支出（2100499）：是指其他用于公共卫生方面的支出。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计划生育机构（2100716）：是指卫生和计划生育部门所属计划生育机构的支出。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计划生育服务（2100717）：是指计划生育服务支出。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其他计划生育事务支出（2100799）：是指其他用于计划生育管理事务方面的支出。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行政单位医疗（2101101）：是指财政部门集中安排的行政单位基本医疗保险缴费经费，未参加医疗保险的行政单位的公费医疗经费，按国家规定享受离休人员、红军老战士待遇的公费医疗经费。</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事业单位医疗（2101102）：是指财政部门集中安排的事业单位基本医疗保险缴费经费，未参加医疗保险的事业单位的公费医疗经费，按国家规定享受离休人员待遇的公费医疗经费。</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公务员医疗补助（2101103）：是指财政部门集中安排的公务员医疗补助经费。</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其他行政事业单位医疗支出（2101199）：是指其他用于行政事业单位医疗方面的支出。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其他医疗卫生与计划生育支出（2109901）：是指其他用于医疗卫生与计划生育方面的支出。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8.农林水（类）</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对高校毕业生到基层任职补助（2130152）：是指按规定对高校毕业生到基层任职的补助支出。</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12.住房保障支出(类)</w:t>
      </w:r>
    </w:p>
    <w:p>
      <w:pPr>
        <w:spacing w:line="600" w:lineRule="exact"/>
        <w:ind w:left="420" w:left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住房公积金（2210201）：是指事业单位按人力资源和社会保障部、财政部规定的基本工资和津贴补贴以及按比例为职工缴纳的住房公积金。</w:t>
      </w:r>
    </w:p>
    <w:p>
      <w:pPr>
        <w:ind w:firstLine="320" w:firstLineChars="100"/>
        <w:rPr>
          <w:rFonts w:ascii="仿宋_GB2312" w:eastAsia="仿宋_GB2312"/>
          <w:color w:val="000000"/>
          <w:sz w:val="32"/>
          <w:szCs w:val="32"/>
        </w:rPr>
      </w:pPr>
      <w:r>
        <w:rPr>
          <w:rFonts w:hint="eastAsia" w:ascii="仿宋_GB2312" w:eastAsia="仿宋_GB2312"/>
          <w:color w:val="000000"/>
          <w:sz w:val="32"/>
          <w:szCs w:val="32"/>
        </w:rPr>
        <w:t>13.基本支出：是指为保障机构正常运转、完成日常工作任务而发生的人员支出和公用支出。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14.项目支出：是指在基本支出之外为完成特定行政任务和事业发展目标所发生的支出。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15“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16.机关运行经费：是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宋体"/>
          <w:b/>
          <w:color w:val="000000"/>
          <w:sz w:val="44"/>
          <w:szCs w:val="44"/>
        </w:rPr>
      </w:pPr>
    </w:p>
    <w:p>
      <w:pPr>
        <w:jc w:val="left"/>
        <w:outlineLvl w:val="0"/>
        <w:rPr>
          <w:rStyle w:val="32"/>
          <w:rFonts w:ascii="黑体" w:hAnsi="黑体" w:eastAsia="黑体"/>
          <w:b w:val="0"/>
        </w:rPr>
      </w:pPr>
      <w:r>
        <w:rPr>
          <w:rFonts w:ascii="宋体"/>
          <w:b/>
          <w:color w:val="000000"/>
          <w:sz w:val="44"/>
          <w:szCs w:val="44"/>
        </w:rPr>
        <w:br w:type="page"/>
      </w:r>
      <w:bookmarkStart w:id="77" w:name="_Toc15396614"/>
      <w:bookmarkStart w:id="78" w:name="_Toc18374"/>
      <w:r>
        <w:rPr>
          <w:rFonts w:hint="eastAsia" w:ascii="黑体" w:hAnsi="黑体" w:eastAsia="黑体"/>
          <w:color w:val="000000"/>
          <w:sz w:val="44"/>
          <w:szCs w:val="44"/>
        </w:rPr>
        <w:t>第</w:t>
      </w:r>
      <w:r>
        <w:rPr>
          <w:rStyle w:val="32"/>
          <w:rFonts w:hint="eastAsia" w:ascii="黑体" w:hAnsi="黑体" w:eastAsia="黑体"/>
          <w:b w:val="0"/>
        </w:rPr>
        <w:t>四部分 附件</w:t>
      </w:r>
      <w:bookmarkEnd w:id="77"/>
      <w:bookmarkEnd w:id="78"/>
    </w:p>
    <w:p>
      <w:pPr>
        <w:spacing w:line="600" w:lineRule="exact"/>
        <w:jc w:val="center"/>
        <w:rPr>
          <w:rStyle w:val="32"/>
        </w:rPr>
      </w:pPr>
    </w:p>
    <w:p>
      <w:pPr>
        <w:pStyle w:val="3"/>
        <w:rPr>
          <w:rStyle w:val="32"/>
          <w:rFonts w:ascii="仿宋" w:hAnsi="仿宋" w:eastAsia="仿宋"/>
          <w:b w:val="0"/>
          <w:bCs w:val="0"/>
          <w:sz w:val="32"/>
          <w:szCs w:val="32"/>
        </w:rPr>
      </w:pPr>
      <w:bookmarkStart w:id="79" w:name="_Toc15396615"/>
      <w:bookmarkStart w:id="80" w:name="_Toc28638"/>
      <w:r>
        <w:rPr>
          <w:rStyle w:val="32"/>
          <w:rFonts w:hint="eastAsia" w:ascii="仿宋" w:hAnsi="仿宋" w:eastAsia="仿宋"/>
          <w:b w:val="0"/>
          <w:bCs w:val="0"/>
          <w:sz w:val="32"/>
          <w:szCs w:val="32"/>
        </w:rPr>
        <w:t>附件1</w:t>
      </w:r>
      <w:bookmarkEnd w:id="79"/>
      <w:bookmarkEnd w:id="80"/>
    </w:p>
    <w:p>
      <w:pPr>
        <w:widowControl/>
        <w:spacing w:line="480" w:lineRule="exact"/>
        <w:jc w:val="center"/>
        <w:rPr>
          <w:rFonts w:ascii="方正小标宋简体" w:hAnsi="宋体" w:eastAsia="方正小标宋简体" w:cs="方正小标宋简体"/>
          <w:sz w:val="44"/>
          <w:szCs w:val="44"/>
        </w:rPr>
      </w:pPr>
      <w:bookmarkStart w:id="81" w:name="_Toc15396617"/>
      <w:r>
        <w:rPr>
          <w:rFonts w:hint="eastAsia" w:ascii="方正小标宋简体" w:hAnsi="宋体" w:eastAsia="方正小标宋简体" w:cs="方正小标宋简体"/>
          <w:sz w:val="44"/>
          <w:szCs w:val="44"/>
        </w:rPr>
        <w:t>红原县卫生健康局</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2019年部门整体支出绩效报告</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spacing w:line="56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单位为独立核算全额拨款行政单位，下设医改办、爱卫办、计生协会、流动人口管理办共4个机构。</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（二）机构职能。</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eastAsia="仿宋_GB2312"/>
          <w:sz w:val="32"/>
          <w:szCs w:val="32"/>
        </w:rPr>
        <w:t>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pPr>
        <w:numPr>
          <w:ilvl w:val="0"/>
          <w:numId w:val="7"/>
        </w:numPr>
        <w:spacing w:line="56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人员概况。</w:t>
      </w:r>
    </w:p>
    <w:p>
      <w:pPr>
        <w:spacing w:line="560" w:lineRule="exact"/>
        <w:ind w:left="420" w:leftChars="200"/>
        <w:jc w:val="left"/>
        <w:rPr>
          <w:rFonts w:ascii="仿宋_GB2312" w:hAnsi="宋体" w:eastAsia="仿宋_GB2312" w:cs="宋体"/>
          <w:color w:val="000000"/>
          <w:kern w:val="0"/>
          <w:lang w:val="zh-CN"/>
        </w:rPr>
      </w:pPr>
      <w:r>
        <w:rPr>
          <w:rFonts w:hint="eastAsia" w:ascii="仿宋_GB2312" w:hAnsi="仿宋_GB2312" w:eastAsia="仿宋_GB2312" w:cs="仿宋_GB2312"/>
          <w:bCs/>
          <w:sz w:val="32"/>
          <w:szCs w:val="32"/>
        </w:rPr>
        <w:t>截止201</w:t>
      </w:r>
      <w:r>
        <w:rPr>
          <w:rFonts w:hint="eastAsia" w:ascii="仿宋_GB2312" w:hAnsi="仿宋_GB2312" w:cs="仿宋_GB2312"/>
          <w:bCs/>
          <w:sz w:val="32"/>
          <w:szCs w:val="32"/>
        </w:rPr>
        <w:t>9</w:t>
      </w:r>
      <w:r>
        <w:rPr>
          <w:rFonts w:hint="eastAsia" w:ascii="仿宋_GB2312" w:hAnsi="仿宋_GB2312" w:eastAsia="仿宋_GB2312" w:cs="仿宋_GB2312"/>
          <w:bCs/>
          <w:sz w:val="32"/>
          <w:szCs w:val="32"/>
        </w:rPr>
        <w:t>年底我单位共有编制24个，其中公务员编制9个，行政工勤编制1个，事业编制14个，在职24人，其中参公1人，公务员11人，事业11人，行政工勤2人，退休0人。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pBdr>
          <w:bottom w:val="single" w:color="FFFFFF" w:sz="4" w:space="29"/>
        </w:pBdr>
        <w:tabs>
          <w:tab w:val="left" w:pos="1440"/>
        </w:tabs>
        <w:overflowPunct w:val="0"/>
        <w:adjustRightInd w:val="0"/>
        <w:snapToGrid w:val="0"/>
        <w:spacing w:line="560" w:lineRule="exact"/>
        <w:rPr>
          <w:rFonts w:ascii="仿宋_GB2312" w:hAnsi="宋体" w:eastAsia="仿宋_GB2312" w:cs="宋体"/>
          <w:color w:val="000000"/>
          <w:kern w:val="0"/>
          <w:sz w:val="32"/>
          <w:lang w:val="zh-CN"/>
        </w:rPr>
      </w:pPr>
      <w:r>
        <w:rPr>
          <w:rFonts w:hint="eastAsia" w:ascii="仿宋_GB2312" w:hAnsi="宋体" w:cs="宋体"/>
          <w:color w:val="000000"/>
          <w:kern w:val="0"/>
          <w:sz w:val="32"/>
        </w:rPr>
        <w:t>　　(一）</w:t>
      </w:r>
      <w:r>
        <w:rPr>
          <w:rFonts w:hint="eastAsia" w:ascii="仿宋_GB2312" w:hAnsi="宋体" w:eastAsia="仿宋_GB2312" w:cs="宋体"/>
          <w:color w:val="000000"/>
          <w:kern w:val="0"/>
          <w:sz w:val="32"/>
          <w:lang w:val="zh-CN"/>
        </w:rPr>
        <w:t>部门财政资金</w:t>
      </w:r>
      <w:r>
        <w:rPr>
          <w:rFonts w:hint="eastAsia" w:ascii="仿宋_GB2312" w:hAnsi="宋体" w:cs="宋体"/>
          <w:color w:val="000000"/>
          <w:kern w:val="0"/>
          <w:sz w:val="32"/>
          <w:lang w:val="zh-CN"/>
        </w:rPr>
        <w:t>收入</w:t>
      </w:r>
      <w:r>
        <w:rPr>
          <w:rFonts w:hint="eastAsia" w:ascii="仿宋_GB2312" w:hAnsi="宋体" w:eastAsia="仿宋_GB2312" w:cs="宋体"/>
          <w:color w:val="000000"/>
          <w:kern w:val="0"/>
          <w:sz w:val="32"/>
          <w:lang w:val="zh-CN"/>
        </w:rPr>
        <w:t>情况。</w:t>
      </w:r>
    </w:p>
    <w:p>
      <w:pPr>
        <w:spacing w:line="600" w:lineRule="exact"/>
        <w:ind w:firstLine="640" w:firstLineChars="200"/>
        <w:rPr>
          <w:rFonts w:ascii="仿宋_GB2312" w:hAnsi="宋体" w:eastAsia="仿宋_GB2312" w:cs="宋体"/>
          <w:color w:val="000000"/>
          <w:kern w:val="0"/>
          <w:lang w:val="zh-CN"/>
        </w:rPr>
      </w:pPr>
      <w:r>
        <w:rPr>
          <w:rFonts w:ascii="仿宋" w:hAnsi="仿宋" w:eastAsia="仿宋"/>
          <w:color w:val="000000"/>
          <w:sz w:val="32"/>
          <w:szCs w:val="32"/>
        </w:rPr>
        <w:t>201</w:t>
      </w:r>
      <w:r>
        <w:rPr>
          <w:rFonts w:hint="eastAsia" w:ascii="仿宋" w:hAnsi="仿宋" w:eastAsia="仿宋"/>
          <w:color w:val="000000"/>
          <w:sz w:val="32"/>
          <w:szCs w:val="32"/>
        </w:rPr>
        <w:t>9年</w:t>
      </w:r>
      <w:r>
        <w:rPr>
          <w:rFonts w:hint="eastAsia" w:ascii="仿宋" w:hAnsi="仿宋" w:eastAsia="仿宋"/>
          <w:b/>
          <w:color w:val="000000"/>
          <w:sz w:val="32"/>
          <w:szCs w:val="32"/>
        </w:rPr>
        <w:t>一般</w:t>
      </w:r>
      <w:r>
        <w:rPr>
          <w:rFonts w:hint="eastAsia" w:ascii="仿宋" w:hAnsi="仿宋" w:eastAsia="仿宋"/>
          <w:color w:val="000000"/>
          <w:sz w:val="32"/>
          <w:szCs w:val="32"/>
        </w:rPr>
        <w:t>公共预算财政拨款收入总计1006.05万元、与2018年相比，收入减少592.6万元，减少37.07</w:t>
      </w:r>
      <w:r>
        <w:rPr>
          <w:rFonts w:ascii="仿宋" w:hAnsi="仿宋" w:eastAsia="仿宋"/>
          <w:color w:val="000000"/>
          <w:sz w:val="32"/>
          <w:szCs w:val="32"/>
        </w:rPr>
        <w:t>%</w:t>
      </w:r>
      <w:r>
        <w:rPr>
          <w:rFonts w:hint="eastAsia" w:ascii="仿宋" w:hAnsi="仿宋" w:eastAsia="仿宋"/>
          <w:color w:val="000000"/>
          <w:sz w:val="32"/>
          <w:szCs w:val="32"/>
        </w:rPr>
        <w:t>、主要变动原因是主要变动原因是本年度项目建设资金较上年大幅度减少。</w:t>
      </w:r>
    </w:p>
    <w:p>
      <w:pPr>
        <w:numPr>
          <w:ilvl w:val="0"/>
          <w:numId w:val="8"/>
        </w:numPr>
        <w:pBdr>
          <w:bottom w:val="single" w:color="FFFFFF" w:sz="4" w:space="29"/>
        </w:pBdr>
        <w:tabs>
          <w:tab w:val="left" w:pos="1440"/>
        </w:tabs>
        <w:overflowPunct w:val="0"/>
        <w:adjustRightInd w:val="0"/>
        <w:snapToGrid w:val="0"/>
        <w:spacing w:line="560" w:lineRule="exact"/>
        <w:ind w:firstLine="320" w:firstLineChars="1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部门财政资金支出情况。</w:t>
      </w:r>
    </w:p>
    <w:p>
      <w:pPr>
        <w:ind w:firstLine="640"/>
        <w:rPr>
          <w:rFonts w:ascii="仿宋_GB2312" w:eastAsia="仿宋_GB2312"/>
          <w:color w:val="000000"/>
          <w:sz w:val="32"/>
          <w:szCs w:val="32"/>
        </w:rPr>
      </w:pPr>
      <w:r>
        <w:rPr>
          <w:rFonts w:hint="eastAsia" w:ascii="仿宋_GB2312"/>
          <w:color w:val="000000"/>
          <w:sz w:val="32"/>
          <w:szCs w:val="32"/>
        </w:rPr>
        <w:t>　　</w:t>
      </w:r>
      <w:r>
        <w:rPr>
          <w:rFonts w:ascii="仿宋" w:hAnsi="仿宋" w:eastAsia="仿宋"/>
          <w:color w:val="000000"/>
          <w:sz w:val="32"/>
          <w:szCs w:val="32"/>
        </w:rPr>
        <w:t>20</w:t>
      </w:r>
      <w:r>
        <w:rPr>
          <w:rFonts w:hint="eastAsia" w:ascii="仿宋" w:hAnsi="仿宋" w:eastAsia="仿宋"/>
          <w:color w:val="000000"/>
          <w:sz w:val="32"/>
          <w:szCs w:val="32"/>
        </w:rPr>
        <w:t>19年一般公共预算财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rPr>
        <w:t>1189.78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一般公共服务（类）支出9.96万元，占1%；社会保障和就业（类）支出51.48万元，占4%；卫生健康支出1097.99万元，占92%；住房保障支出30.65万元，占3%。</w:t>
      </w:r>
    </w:p>
    <w:p>
      <w:pPr>
        <w:numPr>
          <w:ilvl w:val="0"/>
          <w:numId w:val="9"/>
        </w:numPr>
        <w:pBdr>
          <w:bottom w:val="single" w:color="FFFFFF" w:sz="4" w:space="29"/>
        </w:pBdr>
        <w:tabs>
          <w:tab w:val="left" w:pos="347"/>
          <w:tab w:val="left" w:pos="1440"/>
        </w:tabs>
        <w:overflowPunct w:val="0"/>
        <w:adjustRightInd w:val="0"/>
        <w:snapToGrid w:val="0"/>
        <w:spacing w:line="560" w:lineRule="exact"/>
        <w:rPr>
          <w:rFonts w:ascii="黑体" w:hAnsi="宋体" w:eastAsia="黑体" w:cs="宋体"/>
          <w:color w:val="000000"/>
          <w:kern w:val="0"/>
          <w:sz w:val="32"/>
        </w:rPr>
      </w:pPr>
      <w:r>
        <w:rPr>
          <w:rFonts w:hint="eastAsia" w:ascii="黑体" w:hAnsi="宋体" w:eastAsia="黑体" w:cs="宋体"/>
          <w:color w:val="000000"/>
          <w:kern w:val="0"/>
          <w:sz w:val="32"/>
        </w:rPr>
        <w:t>部门财政支出管理情况</w:t>
      </w:r>
    </w:p>
    <w:p>
      <w:pPr>
        <w:widowControl/>
        <w:numPr>
          <w:ilvl w:val="0"/>
          <w:numId w:val="10"/>
        </w:numPr>
        <w:shd w:val="clear" w:color="auto" w:fill="FFFFFF"/>
        <w:spacing w:line="600" w:lineRule="atLeast"/>
        <w:ind w:firstLine="64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预算编制情况。</w:t>
      </w:r>
    </w:p>
    <w:p>
      <w:pPr>
        <w:pStyle w:val="33"/>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根据《中华人民共和国预算法》及红原县财政局印发的《关于下达201</w:t>
      </w:r>
      <w:r>
        <w:rPr>
          <w:rFonts w:hint="eastAsia" w:ascii="仿宋_GB2312" w:hAnsi="仿宋_GB2312" w:cs="仿宋_GB2312"/>
          <w:sz w:val="32"/>
          <w:szCs w:val="32"/>
          <w:shd w:val="clear" w:color="auto" w:fill="FFFFFF"/>
        </w:rPr>
        <w:t>9</w:t>
      </w:r>
      <w:r>
        <w:rPr>
          <w:rFonts w:hint="eastAsia" w:ascii="仿宋_GB2312" w:hAnsi="仿宋_GB2312" w:eastAsia="仿宋_GB2312" w:cs="仿宋_GB2312"/>
          <w:sz w:val="32"/>
          <w:szCs w:val="32"/>
          <w:shd w:val="clear" w:color="auto" w:fill="FFFFFF"/>
        </w:rPr>
        <w:t>年部门预算的通知》要求，结合本单位实际，按照增收节支、厉行节约、绩效优化的原则，严控“三公”经费管理，从严从紧编制预算。细化支出预算编制，推进预算信息公开，深化预算绩效管理，提高资金使用效益。</w:t>
      </w:r>
    </w:p>
    <w:p>
      <w:pPr>
        <w:pStyle w:val="12"/>
        <w:widowControl/>
        <w:shd w:val="clear" w:color="auto" w:fill="FFFFFF"/>
        <w:spacing w:beforeAutospacing="0" w:afterAutospacing="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预算人员支出对照</w:t>
      </w:r>
      <w:r>
        <w:rPr>
          <w:rFonts w:hint="eastAsia" w:ascii="仿宋_GB2312" w:hAnsi="仿宋_GB2312" w:cs="仿宋_GB2312"/>
          <w:color w:val="000000"/>
          <w:sz w:val="32"/>
          <w:szCs w:val="32"/>
          <w:shd w:val="clear" w:color="auto" w:fill="FFFFFF"/>
        </w:rPr>
        <w:t>上</w:t>
      </w:r>
      <w:r>
        <w:rPr>
          <w:rFonts w:hint="eastAsia" w:ascii="仿宋_GB2312" w:hAnsi="仿宋_GB2312" w:eastAsia="仿宋_GB2312" w:cs="仿宋_GB2312"/>
          <w:color w:val="000000"/>
          <w:sz w:val="32"/>
          <w:szCs w:val="32"/>
          <w:shd w:val="clear" w:color="auto" w:fill="FFFFFF"/>
        </w:rPr>
        <w:t>年12月份人员及工资信息编制，日常公用支出按照“经费包干、明细编报”的原则进行编制，重点做好“三公”经费、会议费、培训费等预算编制。</w:t>
      </w:r>
    </w:p>
    <w:p>
      <w:pPr>
        <w:widowControl/>
        <w:shd w:val="clear" w:color="auto" w:fill="FFFFFF"/>
        <w:spacing w:line="600" w:lineRule="atLeast"/>
        <w:ind w:left="640"/>
        <w:jc w:val="left"/>
        <w:rPr>
          <w:rFonts w:ascii="仿宋_GB2312" w:eastAsia="仿宋_GB2312"/>
          <w:color w:val="000000"/>
          <w:sz w:val="32"/>
          <w:szCs w:val="32"/>
          <w:lang w:val="zh-CN"/>
        </w:rPr>
      </w:pPr>
      <w:r>
        <w:rPr>
          <w:rFonts w:hint="eastAsia" w:ascii="仿宋_GB2312" w:hAnsi="仿宋_GB2312" w:eastAsia="仿宋_GB2312" w:cs="仿宋_GB2312"/>
          <w:color w:val="000000"/>
          <w:sz w:val="32"/>
          <w:szCs w:val="32"/>
          <w:shd w:val="clear" w:color="auto" w:fill="FFFFFF"/>
        </w:rPr>
        <w:t>201</w:t>
      </w:r>
      <w:r>
        <w:rPr>
          <w:rFonts w:hint="eastAsia" w:ascii="仿宋_GB2312" w:hAnsi="仿宋_GB2312" w:cs="仿宋_GB2312"/>
          <w:color w:val="000000"/>
          <w:sz w:val="32"/>
          <w:szCs w:val="32"/>
          <w:shd w:val="clear" w:color="auto" w:fill="FFFFFF"/>
        </w:rPr>
        <w:t>9</w:t>
      </w:r>
      <w:r>
        <w:rPr>
          <w:rFonts w:hint="eastAsia" w:ascii="仿宋_GB2312" w:hAnsi="仿宋_GB2312" w:eastAsia="仿宋_GB2312" w:cs="仿宋_GB2312"/>
          <w:color w:val="000000"/>
          <w:sz w:val="32"/>
          <w:szCs w:val="32"/>
          <w:shd w:val="clear" w:color="auto" w:fill="FFFFFF"/>
        </w:rPr>
        <w:t>年</w:t>
      </w:r>
      <w:r>
        <w:rPr>
          <w:rFonts w:hint="eastAsia" w:ascii="仿宋_GB2312" w:eastAsia="仿宋_GB2312"/>
          <w:color w:val="000000"/>
          <w:sz w:val="32"/>
          <w:szCs w:val="32"/>
        </w:rPr>
        <w:t>收入预算合计</w:t>
      </w:r>
      <w:r>
        <w:rPr>
          <w:rFonts w:hint="eastAsia" w:ascii="仿宋_GB2312"/>
          <w:color w:val="000000"/>
          <w:sz w:val="32"/>
          <w:szCs w:val="32"/>
        </w:rPr>
        <w:t>1006.05万</w:t>
      </w:r>
      <w:r>
        <w:rPr>
          <w:rFonts w:hint="eastAsia" w:ascii="仿宋_GB2312" w:eastAsia="仿宋_GB2312"/>
          <w:color w:val="000000"/>
          <w:sz w:val="32"/>
          <w:szCs w:val="32"/>
        </w:rPr>
        <w:t>元，全为财政补助收入。支出预算合计</w:t>
      </w:r>
      <w:r>
        <w:rPr>
          <w:rFonts w:hint="eastAsia" w:ascii="仿宋_GB2312"/>
          <w:color w:val="000000"/>
          <w:sz w:val="32"/>
          <w:szCs w:val="32"/>
        </w:rPr>
        <w:t>1196.96</w:t>
      </w:r>
      <w:r>
        <w:rPr>
          <w:rFonts w:hint="eastAsia" w:ascii="仿宋_GB2312" w:eastAsia="仿宋_GB2312"/>
          <w:color w:val="000000"/>
          <w:sz w:val="32"/>
          <w:szCs w:val="32"/>
        </w:rPr>
        <w:t>元其中：基本支出</w:t>
      </w:r>
      <w:r>
        <w:rPr>
          <w:rFonts w:hint="eastAsia" w:ascii="仿宋_GB2312"/>
          <w:color w:val="000000"/>
          <w:sz w:val="32"/>
          <w:szCs w:val="32"/>
        </w:rPr>
        <w:t>459.84万</w:t>
      </w:r>
      <w:r>
        <w:rPr>
          <w:rFonts w:hint="eastAsia" w:ascii="仿宋_GB2312" w:eastAsia="仿宋_GB2312"/>
          <w:color w:val="000000"/>
          <w:sz w:val="32"/>
          <w:szCs w:val="32"/>
        </w:rPr>
        <w:t>元项目支出</w:t>
      </w:r>
      <w:r>
        <w:rPr>
          <w:rFonts w:hint="eastAsia" w:ascii="仿宋_GB2312"/>
          <w:color w:val="000000"/>
          <w:sz w:val="32"/>
          <w:szCs w:val="32"/>
        </w:rPr>
        <w:t>737.12</w:t>
      </w:r>
      <w:r>
        <w:rPr>
          <w:rFonts w:hint="eastAsia" w:ascii="仿宋_GB2312" w:eastAsia="仿宋_GB2312"/>
          <w:color w:val="000000"/>
          <w:sz w:val="32"/>
          <w:szCs w:val="32"/>
        </w:rPr>
        <w:t>元</w:t>
      </w:r>
    </w:p>
    <w:p>
      <w:pPr>
        <w:pBdr>
          <w:bottom w:val="single" w:color="FFFFFF" w:sz="4" w:space="29"/>
        </w:pBdr>
        <w:tabs>
          <w:tab w:val="left" w:pos="1440"/>
        </w:tabs>
        <w:overflowPunct w:val="0"/>
        <w:adjustRightInd w:val="0"/>
        <w:snapToGrid w:val="0"/>
        <w:spacing w:line="560" w:lineRule="exact"/>
        <w:rPr>
          <w:rFonts w:ascii="楷体" w:hAnsi="楷体" w:eastAsia="楷体" w:cs="宋体"/>
          <w:color w:val="000000"/>
          <w:kern w:val="0"/>
          <w:sz w:val="32"/>
          <w:lang w:val="zh-CN"/>
        </w:rPr>
      </w:pPr>
      <w:r>
        <w:rPr>
          <w:rFonts w:hint="eastAsia" w:ascii="楷体" w:hAnsi="楷体" w:eastAsia="楷体" w:cs="宋体"/>
          <w:color w:val="000000"/>
          <w:kern w:val="0"/>
          <w:sz w:val="32"/>
          <w:lang w:val="zh-CN"/>
        </w:rPr>
        <w:t>（二）执行管理情况</w:t>
      </w:r>
    </w:p>
    <w:p>
      <w:pPr>
        <w:pStyle w:val="12"/>
        <w:widowControl/>
        <w:shd w:val="clear" w:color="auto" w:fill="FFFFFF"/>
        <w:spacing w:beforeAutospacing="0" w:afterAutospacing="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本着少花钱、多办事、办好事、遵循有预算才支出的原则，2019年财政预算支出（除财政应返还额度）全面落实到位，均按规定的用途支付</w:t>
      </w:r>
    </w:p>
    <w:p>
      <w:pPr>
        <w:pBdr>
          <w:bottom w:val="single" w:color="FFFFFF" w:sz="4" w:space="29"/>
        </w:pBdr>
        <w:tabs>
          <w:tab w:val="left" w:pos="1440"/>
        </w:tabs>
        <w:overflowPunct w:val="0"/>
        <w:adjustRightInd w:val="0"/>
        <w:snapToGrid w:val="0"/>
        <w:spacing w:line="560" w:lineRule="exact"/>
        <w:ind w:firstLine="643" w:firstLineChars="200"/>
        <w:rPr>
          <w:rFonts w:ascii="仿宋_GB2312" w:eastAsia="仿宋_GB2312" w:cs="仿宋_GB2312"/>
          <w:b/>
          <w:color w:val="222222"/>
          <w:kern w:val="0"/>
          <w:sz w:val="32"/>
          <w:szCs w:val="32"/>
          <w:shd w:val="clear" w:color="auto" w:fill="FFFFFF"/>
        </w:rPr>
      </w:pPr>
      <w:r>
        <w:rPr>
          <w:rFonts w:hint="eastAsia" w:ascii="仿宋_GB2312" w:cs="仿宋_GB2312"/>
          <w:b/>
          <w:color w:val="222222"/>
          <w:kern w:val="0"/>
          <w:sz w:val="32"/>
          <w:szCs w:val="32"/>
          <w:shd w:val="clear" w:color="auto" w:fill="FFFFFF"/>
        </w:rPr>
        <w:t>1、</w:t>
      </w:r>
      <w:r>
        <w:rPr>
          <w:rFonts w:ascii="仿宋_GB2312" w:eastAsia="仿宋_GB2312" w:cs="仿宋_GB2312"/>
          <w:b/>
          <w:color w:val="222222"/>
          <w:kern w:val="0"/>
          <w:sz w:val="32"/>
          <w:szCs w:val="32"/>
          <w:shd w:val="clear" w:color="auto" w:fill="FFFFFF"/>
        </w:rPr>
        <w:t>本年基本支出预算执行情况</w:t>
      </w:r>
    </w:p>
    <w:p>
      <w:pPr>
        <w:pBdr>
          <w:bottom w:val="single" w:color="FFFFFF" w:sz="4" w:space="29"/>
        </w:pBdr>
        <w:tabs>
          <w:tab w:val="left" w:pos="1440"/>
        </w:tabs>
        <w:overflowPunct w:val="0"/>
        <w:adjustRightInd w:val="0"/>
        <w:snapToGrid w:val="0"/>
        <w:spacing w:line="560" w:lineRule="exact"/>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基本支出，是用于保障本单位正常运转的日常支出，包括基本工资、津贴补贴等人员经费以及办公费、印刷费、水电费、办公设备购置等日常公用经费。</w:t>
      </w:r>
    </w:p>
    <w:p>
      <w:pPr>
        <w:pBdr>
          <w:bottom w:val="single" w:color="FFFFFF" w:sz="4" w:space="29"/>
        </w:pBdr>
        <w:tabs>
          <w:tab w:val="left" w:pos="1440"/>
        </w:tabs>
        <w:overflowPunct w:val="0"/>
        <w:adjustRightInd w:val="0"/>
        <w:snapToGrid w:val="0"/>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2019年本年支出合计1196.96万元，其中：基本支出459.83万元，占38.42%；项目支出737.12万元，占61.58%；上缴上级支出0万元，占0%；经营支出0万元，占0%；对附属单位补助支出0万元，占0%。</w:t>
      </w:r>
    </w:p>
    <w:p>
      <w:pPr>
        <w:pStyle w:val="12"/>
        <w:widowControl/>
        <w:shd w:val="clear" w:color="auto" w:fill="FFFFFF"/>
        <w:spacing w:beforeAutospacing="0" w:afterAutospacing="0" w:line="52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我单位201</w:t>
      </w:r>
      <w:r>
        <w:rPr>
          <w:rFonts w:hint="eastAsia" w:ascii="仿宋_GB2312" w:hAnsi="仿宋_GB2312" w:cs="仿宋_GB2312"/>
          <w:color w:val="000000"/>
          <w:sz w:val="32"/>
          <w:szCs w:val="32"/>
          <w:shd w:val="clear" w:color="auto" w:fill="FFFFFF"/>
        </w:rPr>
        <w:t>9</w:t>
      </w:r>
      <w:r>
        <w:rPr>
          <w:rFonts w:hint="eastAsia" w:ascii="仿宋_GB2312" w:hAnsi="仿宋_GB2312" w:eastAsia="仿宋_GB2312" w:cs="仿宋_GB2312"/>
          <w:color w:val="000000"/>
          <w:sz w:val="32"/>
          <w:szCs w:val="32"/>
          <w:shd w:val="clear" w:color="auto" w:fill="FFFFFF"/>
        </w:rPr>
        <w:t>年未发生公务出国（境）费用，本着厉行节约的原则，公务用车实行定点加油和维修，使用及维修前报分管领导和主要负责人同意。严格执行中央“八项规定”，无违规乱发钱物情况，不存在超标准报销公务接待费、因公出国经费、会议费、培训费、差旅费等情况。</w:t>
      </w:r>
    </w:p>
    <w:p>
      <w:pPr>
        <w:pBdr>
          <w:bottom w:val="single" w:color="FFFFFF" w:sz="4" w:space="29"/>
        </w:pBdr>
        <w:tabs>
          <w:tab w:val="left" w:pos="1440"/>
        </w:tabs>
        <w:overflowPunct w:val="0"/>
        <w:adjustRightInd w:val="0"/>
        <w:snapToGrid w:val="0"/>
        <w:spacing w:line="560" w:lineRule="exact"/>
        <w:ind w:firstLine="640" w:firstLineChars="200"/>
        <w:rPr>
          <w:rFonts w:ascii="仿宋_GB2312" w:cs="仿宋_GB2312"/>
          <w:color w:val="222222"/>
          <w:kern w:val="0"/>
          <w:sz w:val="32"/>
          <w:szCs w:val="32"/>
          <w:shd w:val="clear" w:color="auto" w:fill="FFFFFF"/>
        </w:rPr>
      </w:pPr>
    </w:p>
    <w:p>
      <w:pPr>
        <w:pBdr>
          <w:bottom w:val="single" w:color="FFFFFF" w:sz="4" w:space="29"/>
        </w:pBdr>
        <w:tabs>
          <w:tab w:val="left" w:pos="1440"/>
        </w:tabs>
        <w:overflowPunct w:val="0"/>
        <w:adjustRightInd w:val="0"/>
        <w:snapToGrid w:val="0"/>
        <w:spacing w:line="560" w:lineRule="exact"/>
        <w:ind w:firstLine="627" w:firstLineChars="196"/>
        <w:rPr>
          <w:rFonts w:ascii="仿宋_GB2312" w:cs="仿宋_GB2312"/>
          <w:color w:val="222222"/>
          <w:kern w:val="0"/>
          <w:sz w:val="32"/>
          <w:szCs w:val="32"/>
          <w:shd w:val="clear" w:color="auto" w:fill="FFFFFF"/>
        </w:rPr>
      </w:pPr>
      <w:r>
        <w:rPr>
          <w:rFonts w:hint="eastAsia" w:ascii="仿宋_GB2312" w:cs="仿宋_GB2312"/>
          <w:color w:val="222222"/>
          <w:kern w:val="0"/>
          <w:sz w:val="32"/>
          <w:szCs w:val="32"/>
          <w:shd w:val="clear" w:color="auto" w:fill="FFFFFF"/>
        </w:rPr>
        <w:t>2019</w:t>
      </w:r>
      <w:r>
        <w:rPr>
          <w:rFonts w:ascii="仿宋_GB2312" w:eastAsia="仿宋_GB2312" w:cs="仿宋_GB2312"/>
          <w:color w:val="222222"/>
          <w:kern w:val="0"/>
          <w:sz w:val="32"/>
          <w:szCs w:val="32"/>
          <w:shd w:val="clear" w:color="auto" w:fill="FFFFFF"/>
        </w:rPr>
        <w:t>年“三公”经费预算金额为</w:t>
      </w:r>
      <w:r>
        <w:rPr>
          <w:rFonts w:hint="eastAsia" w:ascii="仿宋_GB2312" w:cs="仿宋_GB2312"/>
          <w:kern w:val="0"/>
          <w:sz w:val="32"/>
          <w:szCs w:val="32"/>
          <w:shd w:val="clear" w:color="auto" w:fill="FFFFFF"/>
        </w:rPr>
        <w:t>13.44万</w:t>
      </w:r>
      <w:r>
        <w:rPr>
          <w:rFonts w:ascii="仿宋_GB2312" w:eastAsia="仿宋_GB2312" w:cs="仿宋_GB2312"/>
          <w:kern w:val="0"/>
          <w:sz w:val="32"/>
          <w:szCs w:val="32"/>
          <w:shd w:val="clear" w:color="auto" w:fill="FFFFFF"/>
        </w:rPr>
        <w:t>元，全部为财政拨款资金，并进行了公示。</w:t>
      </w:r>
      <w:r>
        <w:rPr>
          <w:rFonts w:hint="eastAsia" w:ascii="仿宋_GB2312" w:eastAsia="仿宋_GB2312" w:cs="仿宋_GB2312"/>
          <w:color w:val="222222"/>
          <w:kern w:val="0"/>
          <w:sz w:val="32"/>
          <w:szCs w:val="32"/>
          <w:shd w:val="clear" w:color="auto" w:fill="FFFFFF"/>
        </w:rPr>
        <w:t xml:space="preserve">公务接待 </w:t>
      </w:r>
      <w:r>
        <w:rPr>
          <w:rFonts w:hint="eastAsia" w:ascii="仿宋_GB2312" w:cs="仿宋_GB2312"/>
          <w:color w:val="222222"/>
          <w:kern w:val="0"/>
          <w:sz w:val="32"/>
          <w:szCs w:val="32"/>
          <w:shd w:val="clear" w:color="auto" w:fill="FFFFFF"/>
        </w:rPr>
        <w:t>0.54万元，</w:t>
      </w:r>
      <w:r>
        <w:rPr>
          <w:rFonts w:hint="eastAsia" w:ascii="仿宋_GB2312" w:eastAsia="仿宋_GB2312" w:cs="仿宋_GB2312"/>
          <w:color w:val="222222"/>
          <w:kern w:val="0"/>
          <w:sz w:val="32"/>
          <w:szCs w:val="32"/>
          <w:shd w:val="clear" w:color="auto" w:fill="FFFFFF"/>
        </w:rPr>
        <w:t>公</w:t>
      </w:r>
      <w:r>
        <w:rPr>
          <w:rFonts w:hint="eastAsia" w:ascii="仿宋_GB2312" w:cs="仿宋_GB2312"/>
          <w:color w:val="222222"/>
          <w:kern w:val="0"/>
          <w:sz w:val="32"/>
          <w:szCs w:val="32"/>
          <w:shd w:val="clear" w:color="auto" w:fill="FFFFFF"/>
        </w:rPr>
        <w:t>务用</w:t>
      </w:r>
      <w:r>
        <w:rPr>
          <w:rFonts w:hint="eastAsia" w:ascii="仿宋_GB2312" w:eastAsia="仿宋_GB2312" w:cs="仿宋_GB2312"/>
          <w:color w:val="222222"/>
          <w:kern w:val="0"/>
          <w:sz w:val="32"/>
          <w:szCs w:val="32"/>
          <w:shd w:val="clear" w:color="auto" w:fill="FFFFFF"/>
        </w:rPr>
        <w:t>车运行</w:t>
      </w:r>
      <w:r>
        <w:rPr>
          <w:rFonts w:hint="eastAsia" w:ascii="仿宋_GB2312" w:cs="仿宋_GB2312"/>
          <w:color w:val="222222"/>
          <w:kern w:val="0"/>
          <w:sz w:val="32"/>
          <w:szCs w:val="32"/>
          <w:shd w:val="clear" w:color="auto" w:fill="FFFFFF"/>
        </w:rPr>
        <w:t>与维护12.9万</w:t>
      </w:r>
      <w:r>
        <w:rPr>
          <w:rFonts w:hint="eastAsia" w:ascii="仿宋_GB2312" w:eastAsia="仿宋_GB2312" w:cs="仿宋_GB2312"/>
          <w:color w:val="222222"/>
          <w:kern w:val="0"/>
          <w:sz w:val="32"/>
          <w:szCs w:val="32"/>
          <w:shd w:val="clear" w:color="auto" w:fill="FFFFFF"/>
        </w:rPr>
        <w:t>元</w:t>
      </w:r>
      <w:r>
        <w:rPr>
          <w:rFonts w:hint="eastAsia" w:ascii="仿宋_GB2312" w:cs="仿宋_GB2312"/>
          <w:color w:val="222222"/>
          <w:kern w:val="0"/>
          <w:sz w:val="32"/>
          <w:szCs w:val="32"/>
          <w:shd w:val="clear" w:color="auto" w:fill="FFFFFF"/>
        </w:rPr>
        <w:t>，</w:t>
      </w:r>
      <w:r>
        <w:rPr>
          <w:rFonts w:hint="eastAsia" w:ascii="仿宋_GB2312" w:eastAsia="仿宋_GB2312" w:cs="仿宋_GB2312"/>
          <w:color w:val="222222"/>
          <w:kern w:val="0"/>
          <w:sz w:val="32"/>
          <w:szCs w:val="32"/>
          <w:shd w:val="clear" w:color="auto" w:fill="FFFFFF"/>
        </w:rPr>
        <w:t xml:space="preserve">公车购置 </w:t>
      </w:r>
      <w:r>
        <w:rPr>
          <w:rFonts w:hint="eastAsia" w:ascii="仿宋_GB2312" w:cs="仿宋_GB2312"/>
          <w:color w:val="222222"/>
          <w:kern w:val="0"/>
          <w:sz w:val="32"/>
          <w:szCs w:val="32"/>
          <w:shd w:val="clear" w:color="auto" w:fill="FFFFFF"/>
        </w:rPr>
        <w:t>0元，</w:t>
      </w:r>
      <w:r>
        <w:rPr>
          <w:rFonts w:hint="eastAsia" w:ascii="仿宋_GB2312" w:eastAsia="仿宋_GB2312" w:cs="仿宋_GB2312"/>
          <w:color w:val="222222"/>
          <w:kern w:val="0"/>
          <w:sz w:val="32"/>
          <w:szCs w:val="32"/>
          <w:shd w:val="clear" w:color="auto" w:fill="FFFFFF"/>
        </w:rPr>
        <w:t xml:space="preserve"> 因公出国</w:t>
      </w:r>
      <w:r>
        <w:rPr>
          <w:rFonts w:hint="eastAsia" w:ascii="仿宋_GB2312" w:cs="仿宋_GB2312"/>
          <w:color w:val="222222"/>
          <w:kern w:val="0"/>
          <w:sz w:val="32"/>
          <w:szCs w:val="32"/>
          <w:shd w:val="clear" w:color="auto" w:fill="FFFFFF"/>
        </w:rPr>
        <w:t>0元。</w:t>
      </w:r>
      <w:r>
        <w:rPr>
          <w:rFonts w:hint="eastAsia" w:ascii="仿宋_GB2312" w:eastAsia="仿宋_GB2312" w:cs="仿宋_GB2312"/>
          <w:color w:val="222222"/>
          <w:kern w:val="0"/>
          <w:sz w:val="32"/>
          <w:szCs w:val="32"/>
          <w:shd w:val="clear" w:color="auto" w:fill="FFFFFF"/>
        </w:rPr>
        <w:t>决算</w:t>
      </w:r>
      <w:r>
        <w:rPr>
          <w:rFonts w:hint="eastAsia" w:ascii="仿宋_GB2312" w:cs="仿宋_GB2312"/>
          <w:color w:val="222222"/>
          <w:kern w:val="0"/>
          <w:sz w:val="32"/>
          <w:szCs w:val="32"/>
          <w:shd w:val="clear" w:color="auto" w:fill="FFFFFF"/>
        </w:rPr>
        <w:t>数与预算数持平。</w:t>
      </w:r>
    </w:p>
    <w:p>
      <w:pPr>
        <w:pBdr>
          <w:bottom w:val="single" w:color="FFFFFF" w:sz="4" w:space="29"/>
        </w:pBdr>
        <w:tabs>
          <w:tab w:val="left" w:pos="1440"/>
        </w:tabs>
        <w:overflowPunct w:val="0"/>
        <w:adjustRightInd w:val="0"/>
        <w:snapToGrid w:val="0"/>
        <w:spacing w:line="560" w:lineRule="exact"/>
        <w:ind w:firstLine="643" w:firstLineChars="200"/>
        <w:rPr>
          <w:rFonts w:ascii="仿宋_GB2312" w:hAnsi="仿宋_GB2312" w:eastAsia="仿宋_GB2312" w:cs="仿宋_GB2312"/>
          <w:color w:val="000000"/>
          <w:sz w:val="32"/>
          <w:szCs w:val="32"/>
        </w:rPr>
      </w:pPr>
      <w:r>
        <w:rPr>
          <w:rFonts w:hint="eastAsia" w:ascii="仿宋_GB2312" w:cs="仿宋_GB2312"/>
          <w:b/>
          <w:color w:val="222222"/>
          <w:kern w:val="0"/>
          <w:sz w:val="32"/>
          <w:szCs w:val="32"/>
          <w:shd w:val="clear" w:color="auto" w:fill="FFFFFF"/>
        </w:rPr>
        <w:t>2、项目</w:t>
      </w:r>
      <w:r>
        <w:rPr>
          <w:rFonts w:ascii="仿宋_GB2312" w:eastAsia="仿宋_GB2312" w:cs="仿宋_GB2312"/>
          <w:b/>
          <w:color w:val="222222"/>
          <w:kern w:val="0"/>
          <w:sz w:val="32"/>
          <w:szCs w:val="32"/>
          <w:shd w:val="clear" w:color="auto" w:fill="FFFFFF"/>
        </w:rPr>
        <w:t>预算执行情况</w:t>
      </w:r>
    </w:p>
    <w:p>
      <w:pPr>
        <w:pStyle w:val="12"/>
        <w:widowControl/>
        <w:shd w:val="clear" w:color="auto" w:fill="FFFFFF"/>
        <w:spacing w:beforeAutospacing="0" w:afterAutospacing="0" w:line="52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项目支出，是用于保障本单位为完成特定的项目工作任务，用于专项业务工作的经费支出。</w:t>
      </w:r>
    </w:p>
    <w:p>
      <w:pPr>
        <w:pStyle w:val="12"/>
        <w:widowControl/>
        <w:shd w:val="clear" w:color="auto" w:fill="FFFFFF"/>
        <w:spacing w:beforeAutospacing="0" w:afterAutospacing="0" w:line="520" w:lineRule="exact"/>
        <w:ind w:firstLine="640" w:firstLineChars="200"/>
        <w:rPr>
          <w:rFonts w:ascii="仿宋_GB2312" w:hAnsi="仿宋_GB2312" w:eastAsia="仿宋_GB2312" w:cs="仿宋_GB2312"/>
          <w:color w:val="FF0000"/>
          <w:sz w:val="32"/>
          <w:szCs w:val="32"/>
        </w:rPr>
      </w:pPr>
    </w:p>
    <w:p>
      <w:pPr>
        <w:pBdr>
          <w:bottom w:val="single" w:color="FFFFFF" w:sz="4" w:space="29"/>
        </w:pBdr>
        <w:tabs>
          <w:tab w:val="left" w:pos="1440"/>
        </w:tabs>
        <w:overflowPunct w:val="0"/>
        <w:adjustRightInd w:val="0"/>
        <w:snapToGrid w:val="0"/>
        <w:spacing w:line="560" w:lineRule="exact"/>
        <w:ind w:firstLine="640" w:firstLineChars="200"/>
        <w:rPr>
          <w:rFonts w:ascii="仿宋_GB2312" w:hAnsi="宋体" w:eastAsia="仿宋_GB2312" w:cs="宋体"/>
          <w:kern w:val="0"/>
          <w:sz w:val="32"/>
          <w:lang w:val="zh-CN"/>
        </w:rPr>
      </w:pPr>
      <w:r>
        <w:rPr>
          <w:rFonts w:hint="eastAsia" w:ascii="仿宋_GB2312" w:cs="仿宋_GB2312"/>
          <w:kern w:val="0"/>
          <w:sz w:val="32"/>
          <w:szCs w:val="32"/>
          <w:shd w:val="clear" w:color="auto" w:fill="FFFFFF"/>
        </w:rPr>
        <w:t>2019年项目</w:t>
      </w:r>
      <w:r>
        <w:rPr>
          <w:rFonts w:hint="eastAsia" w:ascii="仿宋_GB2312" w:eastAsia="仿宋_GB2312" w:cs="仿宋_GB2312"/>
          <w:kern w:val="0"/>
          <w:sz w:val="32"/>
          <w:szCs w:val="32"/>
          <w:shd w:val="clear" w:color="auto" w:fill="FFFFFF"/>
        </w:rPr>
        <w:t>支出预算金额</w:t>
      </w:r>
      <w:r>
        <w:rPr>
          <w:rFonts w:hint="eastAsia" w:ascii="仿宋_GB2312" w:cs="仿宋_GB2312"/>
          <w:kern w:val="0"/>
          <w:sz w:val="32"/>
          <w:szCs w:val="32"/>
          <w:shd w:val="clear" w:color="auto" w:fill="FFFFFF"/>
        </w:rPr>
        <w:t>853.85</w:t>
      </w:r>
      <w:r>
        <w:rPr>
          <w:rFonts w:ascii="仿宋_GB2312" w:eastAsia="仿宋_GB2312" w:cs="仿宋_GB2312"/>
          <w:kern w:val="0"/>
          <w:sz w:val="32"/>
          <w:szCs w:val="32"/>
          <w:shd w:val="clear" w:color="auto" w:fill="FFFFFF"/>
        </w:rPr>
        <w:t>元</w:t>
      </w:r>
      <w:r>
        <w:rPr>
          <w:rFonts w:hint="eastAsia" w:ascii="仿宋_GB2312" w:cs="仿宋_GB2312"/>
          <w:kern w:val="0"/>
          <w:sz w:val="32"/>
          <w:szCs w:val="32"/>
          <w:shd w:val="clear" w:color="auto" w:fill="FFFFFF"/>
        </w:rPr>
        <w:t>，</w:t>
      </w:r>
      <w:r>
        <w:rPr>
          <w:rFonts w:hint="eastAsia" w:ascii="仿宋_GB2312" w:eastAsia="仿宋_GB2312" w:cs="仿宋_GB2312"/>
          <w:kern w:val="0"/>
          <w:sz w:val="32"/>
          <w:szCs w:val="32"/>
          <w:shd w:val="clear" w:color="auto" w:fill="FFFFFF"/>
        </w:rPr>
        <w:t>决算金额</w:t>
      </w:r>
      <w:r>
        <w:rPr>
          <w:rFonts w:hint="eastAsia" w:ascii="仿宋_GB2312" w:cs="仿宋_GB2312"/>
          <w:kern w:val="0"/>
          <w:sz w:val="32"/>
          <w:szCs w:val="32"/>
          <w:shd w:val="clear" w:color="auto" w:fill="FFFFFF"/>
        </w:rPr>
        <w:t>737.12万元，执行率86.33%。</w:t>
      </w:r>
      <w:r>
        <w:rPr>
          <w:rFonts w:hint="eastAsia" w:ascii="仿宋_GB2312" w:hAnsi="宋体" w:cs="宋体"/>
          <w:kern w:val="0"/>
          <w:sz w:val="32"/>
          <w:lang w:val="zh-CN"/>
        </w:rPr>
        <w:t>县</w:t>
      </w:r>
      <w:r>
        <w:rPr>
          <w:rFonts w:hint="eastAsia" w:ascii="仿宋_GB2312" w:hAnsi="宋体" w:eastAsia="仿宋_GB2312" w:cs="宋体"/>
          <w:kern w:val="0"/>
          <w:sz w:val="32"/>
          <w:lang w:val="zh-CN"/>
        </w:rPr>
        <w:t>级财力专项预算分配</w:t>
      </w:r>
      <w:r>
        <w:rPr>
          <w:rFonts w:hint="eastAsia" w:ascii="仿宋_GB2312" w:hAnsi="宋体" w:cs="宋体"/>
          <w:kern w:val="0"/>
          <w:sz w:val="32"/>
          <w:lang w:val="zh-CN"/>
        </w:rPr>
        <w:t>及时</w:t>
      </w:r>
      <w:r>
        <w:rPr>
          <w:rFonts w:hint="eastAsia" w:ascii="仿宋_GB2312" w:hAnsi="宋体" w:eastAsia="仿宋_GB2312" w:cs="宋体"/>
          <w:kern w:val="0"/>
          <w:sz w:val="32"/>
          <w:lang w:val="zh-CN"/>
        </w:rPr>
        <w:t>、中央专款分配合规率</w:t>
      </w:r>
      <w:r>
        <w:rPr>
          <w:rFonts w:hint="eastAsia" w:ascii="仿宋_GB2312" w:hAnsi="宋体" w:cs="宋体"/>
          <w:kern w:val="0"/>
          <w:sz w:val="32"/>
        </w:rPr>
        <w:t>100%</w:t>
      </w:r>
      <w:r>
        <w:rPr>
          <w:rFonts w:hint="eastAsia" w:ascii="仿宋_GB2312" w:hAnsi="宋体" w:cs="宋体"/>
          <w:kern w:val="0"/>
          <w:sz w:val="32"/>
          <w:lang w:val="zh-CN"/>
        </w:rPr>
        <w:t>。</w:t>
      </w:r>
      <w:r>
        <w:rPr>
          <w:rFonts w:hint="eastAsia" w:ascii="仿宋_GB2312" w:eastAsia="仿宋_GB2312"/>
          <w:sz w:val="32"/>
          <w:szCs w:val="32"/>
        </w:rPr>
        <w:t>2019年底结转结余合计</w:t>
      </w:r>
      <w:r>
        <w:rPr>
          <w:rFonts w:hint="eastAsia" w:ascii="仿宋_GB2312"/>
          <w:sz w:val="32"/>
          <w:szCs w:val="32"/>
        </w:rPr>
        <w:t>116.73万</w:t>
      </w:r>
      <w:r>
        <w:rPr>
          <w:rFonts w:hint="eastAsia" w:ascii="仿宋_GB2312" w:eastAsia="仿宋_GB2312"/>
          <w:sz w:val="32"/>
          <w:szCs w:val="32"/>
        </w:rPr>
        <w:t>元，其中基本支出结转结余</w:t>
      </w:r>
      <w:r>
        <w:rPr>
          <w:rFonts w:hint="eastAsia" w:ascii="仿宋_GB2312"/>
          <w:sz w:val="32"/>
          <w:szCs w:val="32"/>
        </w:rPr>
        <w:t>0</w:t>
      </w:r>
      <w:r>
        <w:rPr>
          <w:rFonts w:hint="eastAsia" w:ascii="仿宋_GB2312" w:eastAsia="仿宋_GB2312"/>
          <w:sz w:val="32"/>
          <w:szCs w:val="32"/>
        </w:rPr>
        <w:t>元，占</w:t>
      </w:r>
      <w:r>
        <w:rPr>
          <w:rFonts w:hint="eastAsia" w:ascii="仿宋_GB2312"/>
          <w:sz w:val="32"/>
          <w:szCs w:val="32"/>
        </w:rPr>
        <w:t>0</w:t>
      </w:r>
      <w:r>
        <w:rPr>
          <w:rFonts w:hint="eastAsia" w:ascii="仿宋_GB2312" w:eastAsia="仿宋_GB2312"/>
          <w:sz w:val="32"/>
          <w:szCs w:val="32"/>
        </w:rPr>
        <w:t>%，项目支出结转结余</w:t>
      </w:r>
      <w:r>
        <w:rPr>
          <w:rFonts w:hint="eastAsia" w:ascii="仿宋_GB2312"/>
          <w:sz w:val="32"/>
          <w:szCs w:val="32"/>
        </w:rPr>
        <w:t>116.73</w:t>
      </w:r>
      <w:r>
        <w:rPr>
          <w:rFonts w:hint="eastAsia" w:ascii="仿宋_GB2312" w:eastAsia="仿宋_GB2312"/>
          <w:sz w:val="32"/>
          <w:szCs w:val="32"/>
        </w:rPr>
        <w:t>元，占</w:t>
      </w:r>
      <w:r>
        <w:rPr>
          <w:rFonts w:hint="eastAsia" w:ascii="仿宋_GB2312"/>
          <w:sz w:val="32"/>
          <w:szCs w:val="32"/>
        </w:rPr>
        <w:t>100</w:t>
      </w:r>
      <w:r>
        <w:rPr>
          <w:rFonts w:hint="eastAsia" w:ascii="仿宋_GB2312" w:eastAsia="仿宋_GB2312"/>
          <w:sz w:val="32"/>
          <w:szCs w:val="32"/>
        </w:rPr>
        <w:t>%。</w:t>
      </w:r>
    </w:p>
    <w:p>
      <w:pPr>
        <w:pBdr>
          <w:bottom w:val="single" w:color="FFFFFF" w:sz="4" w:space="29"/>
        </w:pBdr>
        <w:tabs>
          <w:tab w:val="left" w:pos="1440"/>
        </w:tabs>
        <w:overflowPunct w:val="0"/>
        <w:adjustRightInd w:val="0"/>
        <w:snapToGrid w:val="0"/>
        <w:spacing w:line="560" w:lineRule="exact"/>
        <w:ind w:firstLine="640" w:firstLineChars="200"/>
        <w:rPr>
          <w:rFonts w:ascii="仿宋" w:hAnsi="仿宋" w:eastAsia="仿宋" w:cs="仿宋"/>
          <w:sz w:val="33"/>
          <w:szCs w:val="33"/>
        </w:rPr>
      </w:pPr>
      <w:r>
        <w:rPr>
          <w:rFonts w:hint="eastAsia" w:ascii="楷体" w:hAnsi="楷体" w:eastAsia="楷体" w:cs="宋体"/>
          <w:kern w:val="0"/>
          <w:sz w:val="32"/>
          <w:lang w:val="zh-CN"/>
        </w:rPr>
        <w:t>（三）综合管理情况。</w:t>
      </w:r>
    </w:p>
    <w:p>
      <w:pPr>
        <w:pBdr>
          <w:bottom w:val="single" w:color="FFFFFF" w:sz="4" w:space="29"/>
        </w:pBdr>
        <w:tabs>
          <w:tab w:val="left" w:pos="1440"/>
        </w:tabs>
        <w:overflowPunct w:val="0"/>
        <w:adjustRightInd w:val="0"/>
        <w:snapToGrid w:val="0"/>
        <w:spacing w:line="560" w:lineRule="exact"/>
        <w:ind w:firstLine="640" w:firstLineChars="200"/>
        <w:rPr>
          <w:rFonts w:ascii="仿宋_GB2312" w:hAnsi="宋体" w:eastAsia="仿宋_GB2312" w:cs="宋体"/>
          <w:kern w:val="0"/>
          <w:sz w:val="32"/>
          <w:lang w:val="zh-CN"/>
        </w:rPr>
      </w:pPr>
      <w:r>
        <w:rPr>
          <w:rFonts w:ascii="仿宋_GB2312" w:eastAsia="仿宋_GB2312" w:cs="仿宋_GB2312"/>
          <w:color w:val="222222"/>
          <w:kern w:val="0"/>
          <w:sz w:val="32"/>
          <w:szCs w:val="32"/>
          <w:shd w:val="clear" w:color="auto" w:fill="FFFFFF"/>
        </w:rPr>
        <w:t>建立了整体支出管理方面的内控制度，并不断进行完善和修订。制定了《财务管理制度》、《预算管理制度》，《国有资产管理制度》，《政府采购管理制度》等制度，对预算资金的收支管理、资产采购、资产报损、厉行节约、严格差旅费、下乡费等开支标准作出了明确的规定。对各项预算支出进行了有效管控</w:t>
      </w:r>
      <w:r>
        <w:rPr>
          <w:rFonts w:hint="eastAsia" w:ascii="仿宋_GB2312" w:cs="仿宋_GB2312"/>
          <w:color w:val="222222"/>
          <w:kern w:val="0"/>
          <w:sz w:val="32"/>
          <w:szCs w:val="32"/>
          <w:shd w:val="clear" w:color="auto" w:fill="FFFFFF"/>
        </w:rPr>
        <w:t>，</w:t>
      </w:r>
      <w:r>
        <w:rPr>
          <w:rFonts w:ascii="仿宋_GB2312" w:eastAsia="仿宋_GB2312" w:cs="仿宋_GB2312"/>
          <w:color w:val="222222"/>
          <w:kern w:val="0"/>
          <w:sz w:val="32"/>
          <w:szCs w:val="32"/>
          <w:shd w:val="clear" w:color="auto" w:fill="FFFFFF"/>
        </w:rPr>
        <w:t>严格招待费用审核审批程序，严格各项制度执行，特别是“三公”经费的预算控制“三公”经费较好地控制在预算范围之内</w:t>
      </w:r>
      <w:r>
        <w:rPr>
          <w:rFonts w:hint="eastAsia" w:ascii="仿宋_GB2312" w:cs="仿宋_GB2312"/>
          <w:color w:val="222222"/>
          <w:kern w:val="0"/>
          <w:sz w:val="32"/>
          <w:szCs w:val="32"/>
          <w:shd w:val="clear" w:color="auto" w:fill="FFFFFF"/>
        </w:rPr>
        <w:t>。</w:t>
      </w:r>
      <w:r>
        <w:rPr>
          <w:rFonts w:hint="eastAsia" w:ascii="仿宋_GB2312" w:hAnsi="宋体" w:cs="宋体"/>
          <w:kern w:val="0"/>
          <w:sz w:val="32"/>
          <w:lang w:val="zh-CN"/>
        </w:rPr>
        <w:t>并及时进行</w:t>
      </w:r>
      <w:r>
        <w:rPr>
          <w:rFonts w:hint="eastAsia" w:ascii="仿宋_GB2312" w:hAnsi="宋体" w:eastAsia="仿宋_GB2312" w:cs="宋体"/>
          <w:kern w:val="0"/>
          <w:sz w:val="32"/>
          <w:lang w:val="zh-CN"/>
        </w:rPr>
        <w:t>信息公开、依法接受</w:t>
      </w:r>
      <w:r>
        <w:rPr>
          <w:rFonts w:hint="eastAsia" w:ascii="仿宋_GB2312" w:hAnsi="宋体" w:cs="宋体"/>
          <w:kern w:val="0"/>
          <w:sz w:val="32"/>
          <w:lang w:val="zh-CN"/>
        </w:rPr>
        <w:t>了</w:t>
      </w:r>
      <w:r>
        <w:rPr>
          <w:rFonts w:hint="eastAsia" w:ascii="仿宋_GB2312" w:hAnsi="宋体" w:eastAsia="仿宋_GB2312" w:cs="宋体"/>
          <w:kern w:val="0"/>
          <w:sz w:val="32"/>
          <w:lang w:val="zh-CN"/>
        </w:rPr>
        <w:t>财政监督。</w:t>
      </w:r>
    </w:p>
    <w:p>
      <w:pPr>
        <w:pBdr>
          <w:bottom w:val="single" w:color="FFFFFF" w:sz="4" w:space="29"/>
        </w:pBdr>
        <w:tabs>
          <w:tab w:val="left" w:pos="1440"/>
        </w:tabs>
        <w:overflowPunct w:val="0"/>
        <w:adjustRightInd w:val="0"/>
        <w:snapToGrid w:val="0"/>
        <w:spacing w:line="560" w:lineRule="exact"/>
        <w:rPr>
          <w:rFonts w:ascii="仿宋" w:hAnsi="仿宋" w:eastAsia="仿宋" w:cs="仿宋"/>
          <w:color w:val="545454"/>
          <w:sz w:val="33"/>
          <w:szCs w:val="33"/>
        </w:rPr>
      </w:pPr>
      <w:r>
        <w:rPr>
          <w:rFonts w:hint="eastAsia" w:ascii="楷体" w:hAnsi="楷体" w:eastAsia="楷体" w:cs="宋体"/>
          <w:color w:val="000000"/>
          <w:kern w:val="0"/>
          <w:sz w:val="32"/>
          <w:lang w:val="zh-CN"/>
        </w:rPr>
        <w:t>（四）整体绩效。</w:t>
      </w:r>
    </w:p>
    <w:p>
      <w:pPr>
        <w:pBdr>
          <w:bottom w:val="single" w:color="FFFFFF" w:sz="4" w:space="29"/>
        </w:pBdr>
        <w:tabs>
          <w:tab w:val="left" w:pos="1440"/>
        </w:tabs>
        <w:overflowPunct w:val="0"/>
        <w:adjustRightInd w:val="0"/>
        <w:snapToGrid w:val="0"/>
        <w:spacing w:line="560" w:lineRule="exact"/>
        <w:rPr>
          <w:rFonts w:ascii="楷体" w:hAnsi="楷体" w:eastAsia="楷体" w:cs="宋体"/>
          <w:kern w:val="0"/>
          <w:sz w:val="32"/>
          <w:lang w:val="zh-CN"/>
        </w:rPr>
      </w:pPr>
      <w:r>
        <w:rPr>
          <w:rFonts w:hint="eastAsia" w:ascii="仿宋_GB2312" w:cs="仿宋_GB2312"/>
          <w:color w:val="C00000"/>
          <w:kern w:val="0"/>
          <w:sz w:val="32"/>
          <w:szCs w:val="32"/>
          <w:shd w:val="clear" w:color="auto" w:fill="FFFFFF"/>
        </w:rPr>
        <w:t>　</w:t>
      </w:r>
      <w:r>
        <w:rPr>
          <w:rFonts w:hint="eastAsia" w:ascii="仿宋_GB2312" w:cs="仿宋_GB2312"/>
          <w:color w:val="FF0000"/>
          <w:kern w:val="0"/>
          <w:sz w:val="32"/>
          <w:szCs w:val="32"/>
          <w:shd w:val="clear" w:color="auto" w:fill="FFFFFF"/>
        </w:rPr>
        <w:t>　</w:t>
      </w:r>
      <w:r>
        <w:rPr>
          <w:rFonts w:ascii="仿宋_GB2312" w:eastAsia="仿宋_GB2312" w:cs="仿宋_GB2312"/>
          <w:kern w:val="0"/>
          <w:sz w:val="32"/>
          <w:szCs w:val="32"/>
          <w:shd w:val="clear" w:color="auto" w:fill="FFFFFF"/>
        </w:rPr>
        <w:t>201</w:t>
      </w:r>
      <w:r>
        <w:rPr>
          <w:rFonts w:hint="eastAsia" w:ascii="仿宋_GB2312" w:cs="仿宋_GB2312"/>
          <w:kern w:val="0"/>
          <w:sz w:val="32"/>
          <w:szCs w:val="32"/>
          <w:shd w:val="clear" w:color="auto" w:fill="FFFFFF"/>
        </w:rPr>
        <w:t>9</w:t>
      </w:r>
      <w:r>
        <w:rPr>
          <w:rFonts w:ascii="仿宋_GB2312" w:eastAsia="仿宋_GB2312" w:cs="仿宋_GB2312"/>
          <w:kern w:val="0"/>
          <w:sz w:val="32"/>
          <w:szCs w:val="32"/>
          <w:shd w:val="clear" w:color="auto" w:fill="FFFFFF"/>
        </w:rPr>
        <w:t>年</w:t>
      </w:r>
      <w:r>
        <w:rPr>
          <w:rFonts w:hint="eastAsia" w:ascii="仿宋_GB2312" w:cs="仿宋_GB2312"/>
          <w:kern w:val="0"/>
          <w:sz w:val="32"/>
          <w:szCs w:val="32"/>
          <w:shd w:val="clear" w:color="auto" w:fill="FFFFFF"/>
        </w:rPr>
        <w:t>支出</w:t>
      </w:r>
      <w:r>
        <w:rPr>
          <w:rFonts w:hint="eastAsia" w:ascii="仿宋_GB2312"/>
          <w:sz w:val="32"/>
          <w:szCs w:val="32"/>
        </w:rPr>
        <w:t>1196.96万</w:t>
      </w:r>
      <w:r>
        <w:rPr>
          <w:rFonts w:ascii="仿宋_GB2312" w:eastAsia="仿宋_GB2312" w:cs="仿宋_GB2312"/>
          <w:kern w:val="0"/>
          <w:sz w:val="32"/>
          <w:szCs w:val="32"/>
          <w:shd w:val="clear" w:color="auto" w:fill="FFFFFF"/>
        </w:rPr>
        <w:t>元，其中基本支出</w:t>
      </w:r>
      <w:r>
        <w:rPr>
          <w:rFonts w:hint="eastAsia" w:ascii="仿宋_GB2312"/>
          <w:sz w:val="32"/>
          <w:szCs w:val="32"/>
        </w:rPr>
        <w:t>459.83万</w:t>
      </w:r>
      <w:r>
        <w:rPr>
          <w:rFonts w:ascii="仿宋_GB2312" w:eastAsia="仿宋_GB2312" w:cs="仿宋_GB2312"/>
          <w:kern w:val="0"/>
          <w:sz w:val="32"/>
          <w:szCs w:val="32"/>
          <w:shd w:val="clear" w:color="auto" w:fill="FFFFFF"/>
        </w:rPr>
        <w:t>元，使用内容为人员经费和日常公用经费；</w:t>
      </w:r>
      <w:r>
        <w:rPr>
          <w:rFonts w:hint="eastAsia" w:ascii="仿宋_GB2312" w:cs="仿宋_GB2312"/>
          <w:kern w:val="0"/>
          <w:sz w:val="32"/>
          <w:szCs w:val="32"/>
          <w:shd w:val="clear" w:color="auto" w:fill="FFFFFF"/>
        </w:rPr>
        <w:t>项目支出为737.12万元。</w:t>
      </w:r>
      <w:r>
        <w:rPr>
          <w:rFonts w:ascii="仿宋_GB2312" w:eastAsia="仿宋_GB2312" w:cs="仿宋_GB2312"/>
          <w:kern w:val="0"/>
          <w:sz w:val="32"/>
          <w:szCs w:val="32"/>
          <w:shd w:val="clear" w:color="auto" w:fill="FFFFFF"/>
        </w:rPr>
        <w:t>具体使用方向如下：</w:t>
      </w:r>
      <w:r>
        <w:rPr>
          <w:rFonts w:hint="eastAsia" w:ascii="仿宋_GB2312" w:eastAsia="仿宋_GB2312" w:cs="仿宋_GB2312"/>
          <w:kern w:val="0"/>
          <w:sz w:val="32"/>
          <w:szCs w:val="32"/>
          <w:shd w:val="clear" w:color="auto" w:fill="FFFFFF"/>
        </w:rPr>
        <w:t>工资福利支出</w:t>
      </w:r>
      <w:r>
        <w:rPr>
          <w:rFonts w:hint="eastAsia" w:ascii="仿宋_GB2312" w:cs="仿宋_GB2312"/>
          <w:kern w:val="0"/>
          <w:sz w:val="32"/>
          <w:szCs w:val="32"/>
          <w:shd w:val="clear" w:color="auto" w:fill="FFFFFF"/>
        </w:rPr>
        <w:t>312.27万</w:t>
      </w:r>
      <w:r>
        <w:rPr>
          <w:rFonts w:hint="eastAsia" w:ascii="仿宋_GB2312" w:eastAsia="仿宋_GB2312" w:cs="仿宋_GB2312"/>
          <w:kern w:val="0"/>
          <w:sz w:val="32"/>
          <w:szCs w:val="32"/>
          <w:shd w:val="clear" w:color="auto" w:fill="FFFFFF"/>
        </w:rPr>
        <w:t>元，商品和服务支出</w:t>
      </w:r>
      <w:r>
        <w:rPr>
          <w:rFonts w:hint="eastAsia" w:ascii="仿宋_GB2312" w:cs="仿宋_GB2312"/>
          <w:kern w:val="0"/>
          <w:sz w:val="32"/>
          <w:szCs w:val="32"/>
          <w:shd w:val="clear" w:color="auto" w:fill="FFFFFF"/>
        </w:rPr>
        <w:t>100.41万</w:t>
      </w:r>
      <w:r>
        <w:rPr>
          <w:rFonts w:hint="eastAsia" w:ascii="仿宋_GB2312" w:eastAsia="仿宋_GB2312" w:cs="仿宋_GB2312"/>
          <w:kern w:val="0"/>
          <w:sz w:val="32"/>
          <w:szCs w:val="32"/>
          <w:shd w:val="clear" w:color="auto" w:fill="FFFFFF"/>
        </w:rPr>
        <w:t>元，对个人和家庭补助对个人和家庭补助</w:t>
      </w:r>
      <w:r>
        <w:rPr>
          <w:rFonts w:hint="eastAsia" w:ascii="仿宋_GB2312" w:cs="仿宋_GB2312"/>
          <w:kern w:val="0"/>
          <w:sz w:val="32"/>
          <w:szCs w:val="32"/>
          <w:shd w:val="clear" w:color="auto" w:fill="FFFFFF"/>
        </w:rPr>
        <w:t>39.99万元。</w:t>
      </w:r>
    </w:p>
    <w:p>
      <w:pPr>
        <w:spacing w:line="52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年整体支出开展绩效自评</w:t>
      </w:r>
      <w:r>
        <w:rPr>
          <w:rFonts w:hint="eastAsia" w:ascii="仿宋_GB2312" w:hAnsi="仿宋_GB2312" w:cs="仿宋_GB2312"/>
          <w:color w:val="000000"/>
          <w:sz w:val="32"/>
          <w:szCs w:val="32"/>
        </w:rPr>
        <w:t>，</w:t>
      </w:r>
      <w:r>
        <w:rPr>
          <w:rFonts w:hint="eastAsia" w:ascii="仿宋_GB2312" w:hAnsi="仿宋_GB2312" w:eastAsia="仿宋_GB2312" w:cs="仿宋_GB2312"/>
          <w:color w:val="000000"/>
          <w:sz w:val="32"/>
          <w:szCs w:val="32"/>
        </w:rPr>
        <w:t>涉及财政资金</w:t>
      </w:r>
      <w:r>
        <w:rPr>
          <w:rFonts w:hint="eastAsia" w:ascii="仿宋_GB2312"/>
          <w:color w:val="000000"/>
          <w:sz w:val="32"/>
          <w:szCs w:val="32"/>
        </w:rPr>
        <w:t>1196.96万</w:t>
      </w:r>
      <w:r>
        <w:rPr>
          <w:rFonts w:hint="eastAsia" w:ascii="仿宋_GB2312" w:hAnsi="仿宋_GB2312" w:eastAsia="仿宋_GB2312" w:cs="仿宋_GB2312"/>
          <w:color w:val="000000"/>
          <w:sz w:val="32"/>
          <w:szCs w:val="32"/>
        </w:rPr>
        <w:t>元，覆盖率达到100%，自评得分93分，存在的问题：一是相关性目标任务待完善，二是测算依据待完善。</w:t>
      </w:r>
      <w:r>
        <w:rPr>
          <w:rFonts w:hint="eastAsia" w:ascii="仿宋_GB2312" w:hAnsi="仿宋_GB2312" w:cs="仿宋_GB2312"/>
          <w:color w:val="000000"/>
          <w:sz w:val="32"/>
          <w:szCs w:val="32"/>
        </w:rPr>
        <w:t>三</w:t>
      </w:r>
      <w:r>
        <w:rPr>
          <w:rFonts w:hint="eastAsia" w:ascii="仿宋_GB2312" w:hAnsi="仿宋_GB2312" w:eastAsia="仿宋_GB2312" w:cs="仿宋_GB2312"/>
          <w:color w:val="000000"/>
          <w:sz w:val="32"/>
          <w:szCs w:val="32"/>
        </w:rPr>
        <w:t>是部分项目推进缓慢，</w:t>
      </w:r>
      <w:r>
        <w:rPr>
          <w:rFonts w:hint="eastAsia" w:ascii="仿宋_GB2312" w:hAnsi="仿宋_GB2312" w:cs="仿宋_GB2312"/>
          <w:color w:val="000000"/>
          <w:sz w:val="32"/>
          <w:szCs w:val="32"/>
        </w:rPr>
        <w:t>四</w:t>
      </w:r>
      <w:r>
        <w:rPr>
          <w:rFonts w:hint="eastAsia" w:ascii="仿宋_GB2312" w:hAnsi="仿宋_GB2312" w:eastAsia="仿宋_GB2312" w:cs="仿宋_GB2312"/>
          <w:color w:val="000000"/>
          <w:sz w:val="32"/>
          <w:szCs w:val="32"/>
        </w:rPr>
        <w:t>是项目管理有待提高</w:t>
      </w:r>
      <w:r>
        <w:rPr>
          <w:rFonts w:hint="eastAsia" w:ascii="仿宋_GB2312" w:hAnsi="仿宋_GB2312" w:cs="仿宋_GB2312"/>
          <w:color w:val="000000"/>
          <w:sz w:val="32"/>
          <w:szCs w:val="32"/>
        </w:rPr>
        <w:t>。</w:t>
      </w:r>
      <w:r>
        <w:rPr>
          <w:rFonts w:hint="eastAsia" w:ascii="仿宋_GB2312" w:hAnsi="仿宋_GB2312" w:eastAsia="仿宋_GB2312" w:cs="仿宋_GB2312"/>
          <w:color w:val="000000"/>
          <w:sz w:val="32"/>
          <w:szCs w:val="32"/>
        </w:rPr>
        <w:t>下一步改进措施：一是加强学习进一步规范，二是完善各项目标任务持续改进。</w:t>
      </w:r>
      <w:r>
        <w:rPr>
          <w:rFonts w:hint="eastAsia" w:ascii="仿宋_GB2312" w:hAnsi="仿宋_GB2312" w:cs="仿宋_GB2312"/>
          <w:color w:val="000000"/>
          <w:sz w:val="32"/>
          <w:szCs w:val="32"/>
        </w:rPr>
        <w:t>三</w:t>
      </w:r>
      <w:r>
        <w:rPr>
          <w:rFonts w:hint="eastAsia" w:ascii="仿宋_GB2312" w:hAnsi="仿宋_GB2312" w:eastAsia="仿宋_GB2312" w:cs="仿宋_GB2312"/>
          <w:color w:val="000000"/>
          <w:sz w:val="32"/>
          <w:szCs w:val="32"/>
        </w:rPr>
        <w:t>是加强管理，</w:t>
      </w:r>
      <w:r>
        <w:rPr>
          <w:rFonts w:hint="eastAsia" w:ascii="仿宋_GB2312" w:hAnsi="仿宋_GB2312" w:cs="仿宋_GB2312"/>
          <w:color w:val="000000"/>
          <w:sz w:val="32"/>
          <w:szCs w:val="32"/>
        </w:rPr>
        <w:t>四</w:t>
      </w:r>
      <w:r>
        <w:rPr>
          <w:rFonts w:hint="eastAsia" w:ascii="仿宋_GB2312" w:hAnsi="仿宋_GB2312" w:eastAsia="仿宋_GB2312" w:cs="仿宋_GB2312"/>
          <w:color w:val="000000"/>
          <w:sz w:val="32"/>
          <w:szCs w:val="32"/>
        </w:rPr>
        <w:t>是持续推进项目。</w:t>
      </w:r>
    </w:p>
    <w:p>
      <w:pPr>
        <w:numPr>
          <w:ilvl w:val="0"/>
          <w:numId w:val="9"/>
        </w:numPr>
        <w:pBdr>
          <w:bottom w:val="single" w:color="FFFFFF" w:sz="4" w:space="29"/>
        </w:pBdr>
        <w:tabs>
          <w:tab w:val="left" w:pos="1440"/>
        </w:tabs>
        <w:overflowPunct w:val="0"/>
        <w:adjustRightInd w:val="0"/>
        <w:snapToGrid w:val="0"/>
        <w:spacing w:line="560" w:lineRule="exact"/>
        <w:rPr>
          <w:rFonts w:ascii="仿宋_GB2312" w:hAnsi="宋体" w:eastAsia="仿宋_GB2312" w:cs="宋体"/>
          <w:color w:val="000000"/>
          <w:kern w:val="0"/>
          <w:sz w:val="32"/>
          <w:lang w:val="zh-CN"/>
        </w:rPr>
      </w:pPr>
      <w:r>
        <w:rPr>
          <w:rFonts w:hint="eastAsia" w:ascii="黑体" w:hAnsi="宋体" w:eastAsia="黑体" w:cs="宋体"/>
          <w:color w:val="000000"/>
          <w:kern w:val="0"/>
          <w:sz w:val="32"/>
        </w:rPr>
        <w:t>评价结论及建议</w:t>
      </w:r>
    </w:p>
    <w:p>
      <w:pPr>
        <w:numPr>
          <w:ilvl w:val="0"/>
          <w:numId w:val="11"/>
        </w:numPr>
        <w:pBdr>
          <w:bottom w:val="single" w:color="FFFFFF" w:sz="4" w:space="29"/>
        </w:pBdr>
        <w:tabs>
          <w:tab w:val="left" w:pos="1440"/>
        </w:tabs>
        <w:overflowPunct w:val="0"/>
        <w:adjustRightInd w:val="0"/>
        <w:snapToGrid w:val="0"/>
        <w:spacing w:line="560" w:lineRule="exac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评价结论。</w:t>
      </w:r>
    </w:p>
    <w:p>
      <w:pPr>
        <w:numPr>
          <w:ilvl w:val="0"/>
          <w:numId w:val="4"/>
        </w:numPr>
        <w:spacing w:line="600" w:lineRule="exact"/>
        <w:ind w:firstLine="640"/>
        <w:rPr>
          <w:rFonts w:ascii="仿宋_GB2312" w:eastAsia="仿宋_GB2312"/>
          <w:b/>
          <w:color w:val="000000" w:themeColor="text1"/>
          <w:sz w:val="32"/>
          <w:szCs w:val="32"/>
          <w14:textFill>
            <w14:solidFill>
              <w14:schemeClr w14:val="tx1"/>
            </w14:solidFill>
          </w14:textFill>
        </w:rPr>
      </w:pPr>
      <w:r>
        <w:rPr>
          <w:rFonts w:ascii="仿宋_GB2312" w:eastAsia="仿宋_GB2312" w:cs="仿宋_GB2312"/>
          <w:color w:val="222222"/>
          <w:kern w:val="0"/>
          <w:sz w:val="32"/>
          <w:szCs w:val="32"/>
          <w:shd w:val="clear" w:color="auto" w:fill="FFFFFF"/>
        </w:rPr>
        <w:t>财政供养人员控制在预算编制以内，编制内在职人员控制率等于</w:t>
      </w:r>
      <w:r>
        <w:rPr>
          <w:rFonts w:hint="eastAsia" w:ascii="仿宋_GB2312" w:cs="仿宋_GB2312"/>
          <w:color w:val="222222"/>
          <w:kern w:val="0"/>
          <w:sz w:val="32"/>
          <w:szCs w:val="32"/>
          <w:shd w:val="clear" w:color="auto" w:fill="FFFFFF"/>
        </w:rPr>
        <w:t>100</w:t>
      </w:r>
      <w:r>
        <w:rPr>
          <w:rFonts w:ascii="仿宋_GB2312" w:eastAsia="仿宋_GB2312" w:cs="仿宋_GB2312"/>
          <w:color w:val="222222"/>
          <w:kern w:val="0"/>
          <w:sz w:val="32"/>
          <w:szCs w:val="32"/>
          <w:shd w:val="clear" w:color="auto" w:fill="FFFFFF"/>
        </w:rPr>
        <w:t>%；“三公”经费预算总额较上年</w:t>
      </w:r>
      <w:r>
        <w:rPr>
          <w:rFonts w:hint="eastAsia" w:ascii="仿宋_GB2312" w:cs="仿宋_GB2312"/>
          <w:color w:val="222222"/>
          <w:kern w:val="0"/>
          <w:sz w:val="32"/>
          <w:szCs w:val="32"/>
          <w:shd w:val="clear" w:color="auto" w:fill="FFFFFF"/>
        </w:rPr>
        <w:t>减少，其中</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8年减少10.35万元，减少44.33</w:t>
      </w:r>
      <w:r>
        <w:rPr>
          <w:rFonts w:ascii="仿宋_GB2312" w:eastAsia="仿宋_GB2312"/>
          <w:color w:val="000000"/>
          <w:sz w:val="32"/>
          <w:szCs w:val="32"/>
        </w:rPr>
        <w:t>%</w:t>
      </w:r>
      <w:r>
        <w:rPr>
          <w:rFonts w:hint="eastAsia" w:ascii="仿宋_GB2312" w:eastAsia="仿宋_GB2312"/>
          <w:color w:val="000000"/>
          <w:sz w:val="32"/>
          <w:szCs w:val="32"/>
        </w:rPr>
        <w:t>。主要原因是本年发生车辆大修费较上年有所减少；</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color w:val="000000" w:themeColor="text1"/>
          <w:sz w:val="32"/>
          <w:szCs w:val="32"/>
          <w14:textFill>
            <w14:solidFill>
              <w14:schemeClr w14:val="tx1"/>
            </w14:solidFill>
          </w14:textFill>
        </w:rPr>
        <w:t>与</w:t>
      </w:r>
      <w:r>
        <w:rPr>
          <w:rFonts w:hint="eastAsia" w:ascii="仿宋_GB2312" w:eastAsia="仿宋_GB2312"/>
          <w:color w:val="000000" w:themeColor="text1"/>
          <w:sz w:val="32"/>
          <w:szCs w:val="32"/>
          <w14:textFill>
            <w14:solidFill>
              <w14:schemeClr w14:val="tx1"/>
            </w14:solidFill>
          </w14:textFill>
        </w:rPr>
        <w:t>201</w:t>
      </w:r>
      <w:r>
        <w:rPr>
          <w:rFonts w:hint="eastAsia" w:ascii="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年</w:t>
      </w:r>
      <w:r>
        <w:rPr>
          <w:rFonts w:hint="eastAsia" w:ascii="仿宋_GB2312"/>
          <w:color w:val="000000" w:themeColor="text1"/>
          <w:sz w:val="32"/>
          <w:szCs w:val="32"/>
          <w14:textFill>
            <w14:solidFill>
              <w14:schemeClr w14:val="tx1"/>
            </w14:solidFill>
          </w14:textFill>
        </w:rPr>
        <w:t>基本持平。</w:t>
      </w:r>
    </w:p>
    <w:p>
      <w:pPr>
        <w:pBdr>
          <w:bottom w:val="single" w:color="FFFFFF" w:sz="4" w:space="29"/>
        </w:pBdr>
        <w:tabs>
          <w:tab w:val="left" w:pos="1440"/>
        </w:tabs>
        <w:overflowPunct w:val="0"/>
        <w:adjustRightInd w:val="0"/>
        <w:snapToGrid w:val="0"/>
        <w:spacing w:line="560" w:lineRule="exact"/>
        <w:ind w:firstLine="640" w:firstLineChars="200"/>
        <w:rPr>
          <w:rFonts w:ascii="仿宋_GB2312" w:eastAsia="仿宋_GB2312" w:cs="仿宋_GB2312"/>
          <w:color w:val="222222"/>
          <w:kern w:val="0"/>
          <w:sz w:val="32"/>
          <w:szCs w:val="32"/>
          <w:shd w:val="clear" w:color="auto" w:fill="FFFFFF"/>
        </w:rPr>
      </w:pPr>
      <w:r>
        <w:rPr>
          <w:rFonts w:ascii="仿宋_GB2312" w:eastAsia="仿宋_GB2312" w:cs="仿宋_GB2312"/>
          <w:color w:val="222222"/>
          <w:kern w:val="0"/>
          <w:sz w:val="32"/>
          <w:szCs w:val="32"/>
          <w:shd w:val="clear" w:color="auto" w:fill="FFFFFF"/>
        </w:rPr>
        <w:t>预算管理方面，制度执行总体较为有效，仍需进一步强化；资金使用管理需进一步加强。资产管理方面，建立了资产管理制度，定期进行了盘点和资产清理，总体执行较好。</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按照预算绩效管理要求，本部门对201</w:t>
      </w:r>
      <w:r>
        <w:rPr>
          <w:rFonts w:hint="eastAsia" w:ascii="仿宋_GB2312"/>
          <w:color w:val="000000"/>
          <w:sz w:val="32"/>
          <w:szCs w:val="32"/>
        </w:rPr>
        <w:t>9</w:t>
      </w:r>
      <w:r>
        <w:rPr>
          <w:rFonts w:hint="eastAsia" w:ascii="仿宋_GB2312" w:eastAsia="仿宋_GB2312"/>
          <w:color w:val="000000"/>
          <w:sz w:val="32"/>
          <w:szCs w:val="32"/>
        </w:rPr>
        <w:t>年整体支出开展绩效自评，自评得分93分，</w:t>
      </w:r>
    </w:p>
    <w:p>
      <w:pPr>
        <w:jc w:val="center"/>
        <w:rPr>
          <w:rFonts w:ascii="黑体" w:hAnsi="黑体" w:eastAsia="黑体"/>
          <w:color w:val="000000"/>
          <w:sz w:val="32"/>
          <w:szCs w:val="32"/>
        </w:rPr>
      </w:pPr>
      <w:r>
        <w:rPr>
          <w:rFonts w:hint="eastAsia" w:ascii="黑体" w:hAnsi="黑体" w:eastAsia="黑体"/>
          <w:color w:val="000000"/>
          <w:sz w:val="32"/>
          <w:szCs w:val="32"/>
        </w:rPr>
        <w:t>2019年部门整体支出绩效评价得分表</w:t>
      </w:r>
    </w:p>
    <w:tbl>
      <w:tblPr>
        <w:tblStyle w:val="13"/>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bl>
    <w:p>
      <w:pPr>
        <w:spacing w:line="560" w:lineRule="exact"/>
        <w:jc w:val="left"/>
        <w:rPr>
          <w:rFonts w:ascii="仿宋_GB2312" w:eastAsia="仿宋_GB2312"/>
          <w:b/>
          <w:color w:val="000000"/>
          <w:sz w:val="32"/>
          <w:szCs w:val="32"/>
        </w:rPr>
      </w:pPr>
    </w:p>
    <w:p>
      <w:pPr>
        <w:spacing w:line="560" w:lineRule="exact"/>
        <w:jc w:val="left"/>
        <w:rPr>
          <w:rFonts w:ascii="仿宋_GB2312" w:eastAsia="仿宋_GB2312"/>
          <w:b/>
          <w:color w:val="000000"/>
          <w:sz w:val="32"/>
          <w:szCs w:val="32"/>
        </w:rPr>
      </w:pPr>
    </w:p>
    <w:p>
      <w:pPr>
        <w:pBdr>
          <w:bottom w:val="single" w:color="FFFFFF" w:sz="4" w:space="29"/>
        </w:pBdr>
        <w:tabs>
          <w:tab w:val="left" w:pos="1440"/>
        </w:tabs>
        <w:overflowPunct w:val="0"/>
        <w:adjustRightInd w:val="0"/>
        <w:snapToGrid w:val="0"/>
        <w:spacing w:line="560" w:lineRule="exact"/>
        <w:ind w:left="643"/>
        <w:rPr>
          <w:rFonts w:ascii="仿宋_GB2312" w:hAnsi="宋体" w:eastAsia="仿宋_GB2312" w:cs="宋体"/>
          <w:color w:val="000000"/>
          <w:kern w:val="0"/>
          <w:sz w:val="32"/>
          <w:lang w:val="zh-CN"/>
        </w:rPr>
      </w:pPr>
      <w:r>
        <w:rPr>
          <w:rFonts w:hint="eastAsia" w:ascii="仿宋_GB2312" w:hAnsi="宋体" w:cs="宋体"/>
          <w:color w:val="000000"/>
          <w:kern w:val="0"/>
          <w:sz w:val="32"/>
          <w:lang w:val="zh-CN"/>
        </w:rPr>
        <w:t>（二）</w:t>
      </w:r>
      <w:r>
        <w:rPr>
          <w:rFonts w:hint="eastAsia" w:ascii="仿宋_GB2312" w:hAnsi="宋体" w:eastAsia="仿宋_GB2312" w:cs="宋体"/>
          <w:color w:val="000000"/>
          <w:kern w:val="0"/>
          <w:sz w:val="32"/>
          <w:lang w:val="zh-CN"/>
        </w:rPr>
        <w:t>存在问题。</w:t>
      </w:r>
    </w:p>
    <w:p>
      <w:pPr>
        <w:pBdr>
          <w:bottom w:val="single" w:color="FFFFFF" w:sz="4" w:space="29"/>
        </w:pBdr>
        <w:tabs>
          <w:tab w:val="left" w:pos="1440"/>
        </w:tabs>
        <w:overflowPunct w:val="0"/>
        <w:adjustRightInd w:val="0"/>
        <w:snapToGrid w:val="0"/>
        <w:spacing w:line="560" w:lineRule="exact"/>
        <w:ind w:firstLine="960" w:firstLineChars="300"/>
        <w:rPr>
          <w:rFonts w:ascii="仿宋_GB2312" w:eastAsia="仿宋_GB2312" w:cs="仿宋_GB2312"/>
          <w:color w:val="222222"/>
          <w:kern w:val="0"/>
          <w:sz w:val="32"/>
          <w:szCs w:val="32"/>
          <w:shd w:val="clear" w:color="auto" w:fill="FFFFFF"/>
        </w:rPr>
      </w:pPr>
      <w:r>
        <w:rPr>
          <w:rFonts w:hint="eastAsia" w:ascii="仿宋_GB2312" w:cs="仿宋_GB2312"/>
          <w:color w:val="222222"/>
          <w:kern w:val="0"/>
          <w:sz w:val="32"/>
          <w:szCs w:val="32"/>
          <w:shd w:val="clear" w:color="auto" w:fill="FFFFFF"/>
        </w:rPr>
        <w:t>1、</w:t>
      </w:r>
      <w:r>
        <w:rPr>
          <w:rFonts w:ascii="仿宋_GB2312" w:eastAsia="仿宋_GB2312" w:cs="仿宋_GB2312"/>
          <w:color w:val="222222"/>
          <w:kern w:val="0"/>
          <w:sz w:val="32"/>
          <w:szCs w:val="32"/>
          <w:shd w:val="clear" w:color="auto" w:fill="FFFFFF"/>
        </w:rPr>
        <w:t>基本支出预算偏紧，制约了有些</w:t>
      </w:r>
      <w:r>
        <w:rPr>
          <w:rFonts w:hint="eastAsia" w:ascii="仿宋_GB2312" w:cs="仿宋_GB2312"/>
          <w:color w:val="222222"/>
          <w:kern w:val="0"/>
          <w:sz w:val="32"/>
          <w:szCs w:val="32"/>
          <w:shd w:val="clear" w:color="auto" w:fill="FFFFFF"/>
        </w:rPr>
        <w:t>计生、卫生健康</w:t>
      </w:r>
      <w:r>
        <w:rPr>
          <w:rFonts w:ascii="仿宋_GB2312" w:eastAsia="仿宋_GB2312" w:cs="仿宋_GB2312"/>
          <w:color w:val="222222"/>
          <w:kern w:val="0"/>
          <w:sz w:val="32"/>
          <w:szCs w:val="32"/>
          <w:shd w:val="clear" w:color="auto" w:fill="FFFFFF"/>
        </w:rPr>
        <w:t>工作的开展。</w:t>
      </w:r>
    </w:p>
    <w:p>
      <w:pPr>
        <w:pBdr>
          <w:bottom w:val="single" w:color="FFFFFF" w:sz="4" w:space="29"/>
        </w:pBdr>
        <w:tabs>
          <w:tab w:val="left" w:pos="1440"/>
        </w:tabs>
        <w:overflowPunct w:val="0"/>
        <w:adjustRightInd w:val="0"/>
        <w:snapToGrid w:val="0"/>
        <w:spacing w:line="560" w:lineRule="exact"/>
        <w:ind w:firstLine="960" w:firstLineChars="300"/>
        <w:rPr>
          <w:rFonts w:ascii="仿宋_GB2312" w:hAnsi="宋体" w:eastAsia="仿宋_GB2312" w:cs="宋体"/>
          <w:color w:val="000000"/>
          <w:kern w:val="0"/>
          <w:sz w:val="32"/>
          <w:lang w:val="zh-CN"/>
        </w:rPr>
      </w:pPr>
      <w:r>
        <w:rPr>
          <w:rFonts w:hint="eastAsia" w:ascii="仿宋_GB2312"/>
          <w:color w:val="000000"/>
          <w:sz w:val="32"/>
          <w:szCs w:val="32"/>
        </w:rPr>
        <w:t>2、项目</w:t>
      </w:r>
      <w:r>
        <w:rPr>
          <w:rFonts w:hint="eastAsia" w:ascii="仿宋_GB2312" w:eastAsia="仿宋_GB2312"/>
          <w:color w:val="000000"/>
          <w:sz w:val="32"/>
          <w:szCs w:val="32"/>
        </w:rPr>
        <w:t>资金兑付涉及全县牧户，面广数据很难收集，资金兑付迟缓，兑付率不高。</w:t>
      </w:r>
    </w:p>
    <w:p>
      <w:pPr>
        <w:pBdr>
          <w:bottom w:val="single" w:color="FFFFFF" w:sz="4" w:space="29"/>
        </w:pBdr>
        <w:tabs>
          <w:tab w:val="left" w:pos="1440"/>
        </w:tabs>
        <w:overflowPunct w:val="0"/>
        <w:adjustRightInd w:val="0"/>
        <w:snapToGrid w:val="0"/>
        <w:spacing w:line="560" w:lineRule="exact"/>
        <w:ind w:left="643"/>
        <w:rPr>
          <w:rFonts w:ascii="仿宋_GB2312" w:hAnsi="宋体" w:eastAsia="仿宋_GB2312" w:cs="宋体"/>
          <w:color w:val="000000"/>
          <w:kern w:val="0"/>
          <w:sz w:val="32"/>
          <w:lang w:val="zh-CN"/>
        </w:rPr>
      </w:pPr>
      <w:r>
        <w:rPr>
          <w:rFonts w:hint="eastAsia" w:ascii="仿宋_GB2312" w:hAnsi="宋体" w:cs="宋体"/>
          <w:color w:val="000000"/>
          <w:kern w:val="0"/>
          <w:sz w:val="32"/>
          <w:lang w:val="zh-CN"/>
        </w:rPr>
        <w:t>（三）</w:t>
      </w:r>
      <w:r>
        <w:rPr>
          <w:rFonts w:hint="eastAsia" w:ascii="仿宋_GB2312" w:hAnsi="宋体" w:eastAsia="仿宋_GB2312" w:cs="宋体"/>
          <w:color w:val="000000"/>
          <w:kern w:val="0"/>
          <w:sz w:val="32"/>
          <w:lang w:val="zh-CN"/>
        </w:rPr>
        <w:t>改进建议。</w:t>
      </w:r>
    </w:p>
    <w:p>
      <w:pPr>
        <w:pBdr>
          <w:bottom w:val="single" w:color="FFFFFF" w:sz="4" w:space="29"/>
        </w:pBdr>
        <w:tabs>
          <w:tab w:val="left" w:pos="1440"/>
        </w:tabs>
        <w:overflowPunct w:val="0"/>
        <w:adjustRightInd w:val="0"/>
        <w:snapToGrid w:val="0"/>
        <w:spacing w:line="560" w:lineRule="exact"/>
        <w:ind w:firstLine="320" w:firstLineChars="100"/>
        <w:rPr>
          <w:rFonts w:ascii="仿宋_GB2312" w:eastAsia="仿宋_GB2312" w:cs="仿宋_GB2312"/>
          <w:color w:val="222222"/>
          <w:kern w:val="0"/>
          <w:sz w:val="32"/>
          <w:szCs w:val="32"/>
          <w:shd w:val="clear" w:color="auto" w:fill="FFFFFF"/>
        </w:rPr>
      </w:pPr>
      <w:r>
        <w:rPr>
          <w:rFonts w:ascii="仿宋_GB2312" w:eastAsia="仿宋_GB2312" w:cs="仿宋_GB2312"/>
          <w:color w:val="222222"/>
          <w:kern w:val="0"/>
          <w:sz w:val="32"/>
          <w:szCs w:val="32"/>
          <w:shd w:val="clear" w:color="auto" w:fill="FFFFFF"/>
        </w:rPr>
        <w:t>针对上述存在的问题及工作需要，拟实施的改进措施如下：</w:t>
      </w:r>
    </w:p>
    <w:p>
      <w:pPr>
        <w:numPr>
          <w:ilvl w:val="0"/>
          <w:numId w:val="12"/>
        </w:numPr>
        <w:pBdr>
          <w:bottom w:val="single" w:color="FFFFFF" w:sz="4" w:space="29"/>
        </w:pBdr>
        <w:tabs>
          <w:tab w:val="left" w:pos="1440"/>
        </w:tabs>
        <w:overflowPunct w:val="0"/>
        <w:adjustRightInd w:val="0"/>
        <w:snapToGrid w:val="0"/>
        <w:spacing w:line="560" w:lineRule="exact"/>
        <w:ind w:left="643"/>
        <w:rPr>
          <w:rFonts w:ascii="仿宋_GB2312" w:eastAsia="仿宋_GB2312" w:cs="仿宋_GB2312"/>
          <w:color w:val="222222"/>
          <w:kern w:val="0"/>
          <w:sz w:val="32"/>
          <w:szCs w:val="32"/>
          <w:shd w:val="clear" w:color="auto" w:fill="FFFFFF"/>
        </w:rPr>
      </w:pPr>
      <w:r>
        <w:rPr>
          <w:rFonts w:ascii="仿宋_GB2312" w:eastAsia="仿宋_GB2312" w:cs="仿宋_GB2312"/>
          <w:color w:val="222222"/>
          <w:kern w:val="0"/>
          <w:sz w:val="32"/>
          <w:szCs w:val="32"/>
          <w:shd w:val="clear" w:color="auto" w:fill="FFFFFF"/>
        </w:rPr>
        <w:t>进一步做好预算的编制工作。严格按照预算编制的相关制度和要求进行预算编制；</w:t>
      </w:r>
    </w:p>
    <w:p>
      <w:pPr>
        <w:pBdr>
          <w:bottom w:val="single" w:color="FFFFFF" w:sz="4" w:space="29"/>
        </w:pBdr>
        <w:tabs>
          <w:tab w:val="left" w:pos="1440"/>
        </w:tabs>
        <w:overflowPunct w:val="0"/>
        <w:adjustRightInd w:val="0"/>
        <w:snapToGrid w:val="0"/>
        <w:spacing w:line="560" w:lineRule="exact"/>
        <w:rPr>
          <w:rFonts w:ascii="仿宋_GB2312" w:eastAsia="仿宋_GB2312" w:cs="仿宋_GB2312"/>
          <w:color w:val="222222"/>
          <w:kern w:val="0"/>
          <w:sz w:val="32"/>
          <w:szCs w:val="32"/>
          <w:shd w:val="clear" w:color="auto" w:fill="FFFFFF"/>
        </w:rPr>
      </w:pPr>
      <w:r>
        <w:rPr>
          <w:rFonts w:hint="eastAsia" w:ascii="仿宋_GB2312" w:cs="仿宋_GB2312"/>
          <w:color w:val="222222"/>
          <w:kern w:val="0"/>
          <w:sz w:val="32"/>
          <w:szCs w:val="32"/>
          <w:shd w:val="clear" w:color="auto" w:fill="FFFFFF"/>
        </w:rPr>
        <w:t>2、</w:t>
      </w:r>
      <w:r>
        <w:rPr>
          <w:rFonts w:ascii="仿宋_GB2312" w:eastAsia="仿宋_GB2312" w:cs="仿宋_GB2312"/>
          <w:color w:val="222222"/>
          <w:kern w:val="0"/>
          <w:sz w:val="32"/>
          <w:szCs w:val="32"/>
          <w:shd w:val="clear" w:color="auto" w:fill="FFFFFF"/>
        </w:rPr>
        <w:t>进一步加强财务管理，严格财务审核。在费用报账支付时，按照预算规定的费用项目和用途进行资金使用审核、列报支付、财务核算，杜绝超支现象的发生。</w:t>
      </w:r>
    </w:p>
    <w:p>
      <w:pPr>
        <w:ind w:firstLine="640" w:firstLineChars="200"/>
        <w:rPr>
          <w:rFonts w:ascii="仿宋_GB2312" w:eastAsia="仿宋_GB2312" w:cs="仿宋_GB2312"/>
          <w:color w:val="222222"/>
          <w:kern w:val="0"/>
          <w:sz w:val="32"/>
          <w:szCs w:val="32"/>
          <w:shd w:val="clear" w:color="auto" w:fill="FFFFFF"/>
        </w:rPr>
      </w:pPr>
      <w:r>
        <w:rPr>
          <w:rFonts w:ascii="仿宋_GB2312" w:eastAsia="仿宋_GB2312" w:cs="仿宋_GB2312"/>
          <w:color w:val="222222"/>
          <w:kern w:val="0"/>
          <w:sz w:val="32"/>
          <w:szCs w:val="32"/>
          <w:shd w:val="clear" w:color="auto" w:fill="FFFFFF"/>
        </w:rPr>
        <w:t>3</w:t>
      </w:r>
      <w:r>
        <w:rPr>
          <w:rFonts w:hint="eastAsia" w:ascii="仿宋_GB2312" w:cs="仿宋_GB2312"/>
          <w:color w:val="222222"/>
          <w:kern w:val="0"/>
          <w:sz w:val="32"/>
          <w:szCs w:val="32"/>
          <w:shd w:val="clear" w:color="auto" w:fill="FFFFFF"/>
        </w:rPr>
        <w:t>、</w:t>
      </w:r>
      <w:r>
        <w:rPr>
          <w:rFonts w:ascii="仿宋_GB2312" w:eastAsia="仿宋_GB2312" w:cs="仿宋_GB2312"/>
          <w:color w:val="222222"/>
          <w:kern w:val="0"/>
          <w:sz w:val="32"/>
          <w:szCs w:val="32"/>
          <w:shd w:val="clear" w:color="auto" w:fill="FFFFFF"/>
        </w:rPr>
        <w:t>持续抓好“三公”经费控制管理。严格控制“三公”经费的规模和比例，把关“三公”经费支出的审核、审批，杜绝挪用和挤占其他预算资金行为；进一步细化“三公”经费的管理，合理压缩“三公”经费</w:t>
      </w:r>
      <w:r>
        <w:rPr>
          <w:rFonts w:hint="eastAsia" w:ascii="仿宋_GB2312" w:eastAsia="仿宋_GB2312" w:cs="仿宋_GB2312"/>
          <w:color w:val="222222"/>
          <w:kern w:val="0"/>
          <w:sz w:val="32"/>
          <w:szCs w:val="32"/>
          <w:shd w:val="clear" w:color="auto" w:fill="FFFFFF"/>
        </w:rPr>
        <w:t>。</w:t>
      </w:r>
    </w:p>
    <w:p>
      <w:pPr>
        <w:ind w:firstLine="640" w:firstLineChars="200"/>
        <w:rPr>
          <w:rFonts w:ascii="仿宋_GB2312"/>
          <w:color w:val="000000"/>
          <w:sz w:val="32"/>
          <w:szCs w:val="32"/>
        </w:rPr>
      </w:pPr>
      <w:r>
        <w:rPr>
          <w:rFonts w:hint="eastAsia" w:ascii="仿宋_GB2312" w:cs="仿宋_GB2312"/>
          <w:color w:val="222222"/>
          <w:kern w:val="0"/>
          <w:sz w:val="32"/>
          <w:szCs w:val="32"/>
          <w:shd w:val="clear" w:color="auto" w:fill="FFFFFF"/>
        </w:rPr>
        <w:t>4、</w:t>
      </w:r>
      <w:r>
        <w:rPr>
          <w:rFonts w:hint="eastAsia" w:ascii="仿宋_GB2312" w:eastAsia="仿宋_GB2312"/>
          <w:color w:val="000000"/>
          <w:sz w:val="32"/>
          <w:szCs w:val="32"/>
        </w:rPr>
        <w:t>加强基层工作力度，提高数据收集率，使有限的资金及时发挥应有的作用</w:t>
      </w:r>
      <w:r>
        <w:rPr>
          <w:rFonts w:hint="eastAsia" w:ascii="仿宋_GB2312"/>
          <w:color w:val="000000"/>
          <w:sz w:val="32"/>
          <w:szCs w:val="32"/>
        </w:rPr>
        <w:t>。</w:t>
      </w:r>
    </w:p>
    <w:p>
      <w:pPr>
        <w:rPr>
          <w:rStyle w:val="32"/>
          <w:rFonts w:ascii="仿宋" w:hAnsi="仿宋" w:eastAsia="仿宋"/>
          <w:b w:val="0"/>
          <w:bCs w:val="0"/>
          <w:sz w:val="32"/>
          <w:szCs w:val="32"/>
        </w:rPr>
      </w:pPr>
    </w:p>
    <w:bookmarkEnd w:id="81"/>
    <w:p>
      <w:pPr>
        <w:widowControl/>
        <w:spacing w:line="580" w:lineRule="exact"/>
        <w:jc w:val="left"/>
        <w:rPr>
          <w:rFonts w:ascii="宋体" w:hAnsi="宋体" w:cs="宋体"/>
          <w:sz w:val="30"/>
          <w:szCs w:val="30"/>
        </w:rPr>
      </w:pPr>
      <w:r>
        <w:rPr>
          <w:rFonts w:hint="eastAsia" w:ascii="仿宋_GB2312" w:hAnsi="宋体" w:eastAsia="仿宋_GB2312" w:cs="仿宋_GB2312"/>
          <w:sz w:val="32"/>
        </w:rPr>
        <w:t>附件2－1</w:t>
      </w:r>
    </w:p>
    <w:p>
      <w:pPr>
        <w:pStyle w:val="33"/>
        <w:widowControl/>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2019年基本公共卫生</w:t>
      </w:r>
    </w:p>
    <w:p>
      <w:pPr>
        <w:pStyle w:val="33"/>
        <w:widowControl/>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项目支出绩效自评报告</w:t>
      </w:r>
    </w:p>
    <w:p>
      <w:pPr>
        <w:pStyle w:val="33"/>
        <w:widowControl/>
        <w:spacing w:line="580" w:lineRule="exact"/>
        <w:jc w:val="center"/>
        <w:rPr>
          <w:rFonts w:ascii="宋体" w:hAns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numPr>
          <w:ilvl w:val="0"/>
          <w:numId w:val="13"/>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djustRightInd w:val="0"/>
        <w:snapToGrid w:val="0"/>
        <w:spacing w:line="580" w:lineRule="exact"/>
        <w:ind w:left="720"/>
        <w:rPr>
          <w:rFonts w:ascii="仿宋_GB2312" w:hAnsi="宋体" w:eastAsia="仿宋_GB2312" w:cs="仿宋_GB2312"/>
          <w:lang w:val="zh-CN"/>
        </w:rPr>
      </w:pPr>
      <w:r>
        <w:rPr>
          <w:rFonts w:hint="eastAsia" w:ascii="仿宋_GB2312" w:hAnsi="宋体" w:eastAsia="仿宋_GB2312" w:cs="仿宋_GB2312"/>
          <w:sz w:val="32"/>
          <w:lang w:val="zh-CN"/>
        </w:rPr>
        <w:t>本次项目资金为基本公共卫生服务资金，符合资金管理办法等相关规定。</w:t>
      </w:r>
    </w:p>
    <w:p>
      <w:pPr>
        <w:numPr>
          <w:ilvl w:val="0"/>
          <w:numId w:val="13"/>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项目绩效目标。</w:t>
      </w:r>
    </w:p>
    <w:p>
      <w:pPr>
        <w:adjustRightInd w:val="0"/>
        <w:snapToGrid w:val="0"/>
        <w:spacing w:line="580" w:lineRule="exact"/>
        <w:ind w:firstLine="720"/>
        <w:rPr>
          <w:rFonts w:ascii="仿宋_GB2312" w:hAnsi="仿宋" w:eastAsia="仿宋_GB2312"/>
          <w:sz w:val="32"/>
          <w:szCs w:val="32"/>
        </w:rPr>
      </w:pPr>
      <w:r>
        <w:rPr>
          <w:rFonts w:hint="eastAsia" w:ascii="仿宋_GB2312" w:hAnsi="仿宋" w:eastAsia="仿宋_GB2312"/>
          <w:sz w:val="32"/>
          <w:szCs w:val="32"/>
        </w:rPr>
        <w:t>进一步规范全县基本公共卫生服务项目管理，提高项目服务质量，有效预防和控制主要传染病及慢性病，使城乡居民逐步享有均等化的公共卫生服务。对全县11个乡镇进行基本公共卫生服务。</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仿宋_GB2312" w:hAnsi="宋体" w:eastAsia="仿宋_GB2312" w:cs="仿宋_GB2312"/>
          <w:lang w:val="zh-CN"/>
        </w:rPr>
      </w:pPr>
      <w:r>
        <w:rPr>
          <w:rFonts w:hint="eastAsia" w:ascii="楷体_GB2312" w:hAnsi="宋体" w:eastAsia="楷体_GB2312" w:cs="楷体_GB2312"/>
          <w:sz w:val="32"/>
          <w:lang w:val="zh-CN"/>
        </w:rPr>
        <w:t>1．资金计划及到位。</w:t>
      </w:r>
      <w:r>
        <w:rPr>
          <w:rFonts w:hint="eastAsia" w:ascii="仿宋_GB2312" w:hAnsi="宋体" w:eastAsia="仿宋_GB2312" w:cs="仿宋_GB2312"/>
          <w:sz w:val="32"/>
          <w:lang w:val="zh-CN"/>
        </w:rPr>
        <w:t>该项目资金计划及截止评价时点为财政资金</w:t>
      </w:r>
      <w:r>
        <w:rPr>
          <w:rFonts w:hint="eastAsia" w:ascii="仿宋_GB2312" w:hAnsi="宋体" w:eastAsia="仿宋_GB2312" w:cs="仿宋_GB2312"/>
          <w:sz w:val="32"/>
        </w:rPr>
        <w:t>81.27元</w:t>
      </w:r>
      <w:r>
        <w:rPr>
          <w:rFonts w:hint="eastAsia" w:ascii="仿宋_GB2312" w:hAnsi="宋体" w:eastAsia="仿宋_GB2312" w:cs="仿宋_GB2312"/>
          <w:sz w:val="32"/>
          <w:lang w:val="zh-CN"/>
        </w:rPr>
        <w:t>，资金到位率</w:t>
      </w:r>
      <w:r>
        <w:rPr>
          <w:rFonts w:hint="eastAsia" w:ascii="仿宋_GB2312" w:hAnsi="宋体" w:eastAsia="仿宋_GB2312" w:cs="仿宋_GB2312"/>
          <w:sz w:val="32"/>
        </w:rPr>
        <w:t>100%</w:t>
      </w:r>
      <w:r>
        <w:rPr>
          <w:rFonts w:hint="eastAsia" w:ascii="仿宋_GB2312" w:hAnsi="宋体" w:eastAsia="仿宋_GB2312" w:cs="仿宋_GB2312"/>
          <w:sz w:val="32"/>
          <w:lang w:val="zh-CN"/>
        </w:rPr>
        <w:t>、到位及时。</w:t>
      </w:r>
    </w:p>
    <w:p>
      <w:pPr>
        <w:adjustRightInd w:val="0"/>
        <w:snapToGrid w:val="0"/>
        <w:spacing w:line="580" w:lineRule="exact"/>
        <w:ind w:firstLine="720"/>
        <w:rPr>
          <w:rFonts w:ascii="仿宋_GB2312" w:hAnsi="宋体" w:eastAsia="仿宋_GB2312" w:cs="仿宋_GB2312"/>
          <w:lang w:val="zh-CN"/>
        </w:rPr>
      </w:pPr>
      <w:r>
        <w:rPr>
          <w:rFonts w:hint="eastAsia" w:ascii="楷体_GB2312" w:hAnsi="宋体" w:eastAsia="楷体_GB2312" w:cs="楷体_GB2312"/>
          <w:sz w:val="32"/>
          <w:lang w:val="zh-CN"/>
        </w:rPr>
        <w:t>2．资金使用。</w:t>
      </w:r>
      <w:r>
        <w:rPr>
          <w:rFonts w:hint="eastAsia" w:ascii="仿宋_GB2312" w:hAnsi="宋体" w:eastAsia="仿宋_GB2312" w:cs="仿宋_GB2312"/>
          <w:sz w:val="32"/>
          <w:lang w:val="zh-CN"/>
        </w:rPr>
        <w:t>截止评价时点项目资金的实际支出</w:t>
      </w:r>
      <w:r>
        <w:rPr>
          <w:rFonts w:hint="eastAsia" w:ascii="仿宋_GB2312" w:hAnsi="宋体" w:eastAsia="仿宋_GB2312" w:cs="仿宋_GB2312"/>
          <w:sz w:val="32"/>
        </w:rPr>
        <w:t>81.27元</w:t>
      </w:r>
      <w:r>
        <w:rPr>
          <w:rFonts w:hint="eastAsia" w:ascii="仿宋_GB2312" w:hAnsi="宋体" w:eastAsia="仿宋_GB2312" w:cs="仿宋_GB2312"/>
          <w:sz w:val="32"/>
          <w:lang w:val="zh-CN"/>
        </w:rPr>
        <w:t>，</w:t>
      </w:r>
      <w:r>
        <w:rPr>
          <w:rFonts w:hint="eastAsia" w:ascii="仿宋_GB2312" w:hAnsi="宋体" w:eastAsia="仿宋_GB2312" w:cs="仿宋_GB2312"/>
          <w:color w:val="000000"/>
          <w:sz w:val="32"/>
          <w:lang w:val="zh-CN"/>
        </w:rPr>
        <w:t>资金开支内容为全县基层医疗机构提供基本公共卫生服务</w:t>
      </w:r>
      <w:r>
        <w:rPr>
          <w:rFonts w:hint="eastAsia" w:ascii="仿宋_GB2312" w:hAnsi="宋体" w:eastAsia="仿宋_GB2312" w:cs="仿宋_GB2312"/>
          <w:color w:val="000000"/>
          <w:sz w:val="32"/>
        </w:rPr>
        <w:t>发生的办公费、</w:t>
      </w:r>
      <w:r>
        <w:rPr>
          <w:rFonts w:hint="eastAsia" w:ascii="仿宋_GB2312" w:hAnsi="宋体" w:eastAsia="仿宋_GB2312" w:cs="仿宋_GB2312"/>
          <w:color w:val="000000"/>
          <w:sz w:val="32"/>
          <w:lang w:val="zh-CN"/>
        </w:rPr>
        <w:t>进行宣传发生的宣传费、资料费、</w:t>
      </w:r>
      <w:r>
        <w:rPr>
          <w:rFonts w:hint="eastAsia" w:ascii="仿宋_GB2312" w:hAnsi="宋体" w:eastAsia="仿宋_GB2312" w:cs="仿宋_GB2312"/>
          <w:color w:val="000000"/>
          <w:sz w:val="32"/>
        </w:rPr>
        <w:t>设备费、材料费</w:t>
      </w:r>
      <w:r>
        <w:rPr>
          <w:rFonts w:hint="eastAsia" w:ascii="仿宋_GB2312" w:hAnsi="宋体" w:eastAsia="仿宋_GB2312" w:cs="仿宋_GB2312"/>
          <w:color w:val="000000"/>
          <w:sz w:val="32"/>
          <w:lang w:val="zh-CN"/>
        </w:rPr>
        <w:t>等，支付</w:t>
      </w:r>
      <w:r>
        <w:rPr>
          <w:rFonts w:hint="eastAsia" w:ascii="仿宋_GB2312" w:hAnsi="宋体" w:eastAsia="仿宋_GB2312" w:cs="仿宋_GB2312"/>
          <w:sz w:val="32"/>
          <w:lang w:val="zh-CN"/>
        </w:rPr>
        <w:t>依据合规合法，资金支付与预算相符。</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建立了项目财务管理制度、对照项目资金管理办法，严格执行财务管理制度。设置了项目管理机构、单独进行会计核算，核算规范，账务处理及时。</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adjustRightInd w:val="0"/>
        <w:snapToGrid w:val="0"/>
        <w:spacing w:line="580" w:lineRule="exact"/>
        <w:ind w:firstLine="720"/>
        <w:rPr>
          <w:rFonts w:ascii="仿宋_GB2312" w:hAnsi="仿宋" w:eastAsia="仿宋_GB2312"/>
          <w:sz w:val="32"/>
          <w:szCs w:val="32"/>
        </w:rPr>
      </w:pPr>
      <w:r>
        <w:rPr>
          <w:rFonts w:hint="eastAsia" w:ascii="仿宋_GB2312" w:hAnsi="仿宋" w:eastAsia="仿宋_GB2312"/>
          <w:sz w:val="32"/>
          <w:szCs w:val="32"/>
        </w:rPr>
        <w:t>成立由卫计局局长为组长，卫健局公共卫生管理办管理人员为成员的监督管理小组，具体负责项目实施组织协调、项目质量监督管理，保证项目顺利实施。</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adjustRightInd w:val="0"/>
        <w:snapToGrid w:val="0"/>
        <w:spacing w:line="580" w:lineRule="exact"/>
        <w:ind w:firstLine="720"/>
        <w:rPr>
          <w:rFonts w:ascii="黑体" w:hAnsi="宋体" w:eastAsia="黑体" w:cs="黑体"/>
          <w:sz w:val="32"/>
          <w:lang w:val="zh-CN"/>
        </w:rPr>
      </w:pPr>
      <w:r>
        <w:rPr>
          <w:rFonts w:hint="eastAsia" w:ascii="黑体" w:hAnsi="宋体" w:eastAsia="黑体" w:cs="黑体"/>
          <w:sz w:val="32"/>
          <w:lang w:val="zh-CN"/>
        </w:rPr>
        <w:t>（一）项目完成情况。</w:t>
      </w:r>
    </w:p>
    <w:p>
      <w:pPr>
        <w:adjustRightInd w:val="0"/>
        <w:snapToGrid w:val="0"/>
        <w:spacing w:line="580" w:lineRule="exact"/>
        <w:ind w:firstLine="720"/>
        <w:rPr>
          <w:rFonts w:ascii="仿宋_GB2312" w:hAnsi="宋体" w:eastAsia="仿宋_GB2312" w:cs="仿宋_GB2312"/>
          <w:color w:val="000000"/>
          <w:sz w:val="32"/>
          <w:lang w:val="zh-CN"/>
        </w:rPr>
      </w:pPr>
      <w:r>
        <w:rPr>
          <w:rFonts w:hint="eastAsia" w:ascii="仿宋_GB2312" w:hAnsi="仿宋" w:eastAsia="仿宋_GB2312"/>
          <w:sz w:val="32"/>
          <w:szCs w:val="32"/>
          <w:lang w:val="zh-CN"/>
        </w:rPr>
        <w:t>将</w:t>
      </w:r>
      <w:r>
        <w:rPr>
          <w:rFonts w:hint="eastAsia" w:ascii="仿宋_GB2312" w:hAnsi="仿宋" w:eastAsia="仿宋_GB2312"/>
          <w:sz w:val="32"/>
          <w:szCs w:val="32"/>
        </w:rPr>
        <w:t>81.72元支付</w:t>
      </w:r>
      <w:r>
        <w:rPr>
          <w:rFonts w:hint="eastAsia" w:ascii="仿宋_GB2312" w:hAnsi="宋体" w:eastAsia="仿宋_GB2312" w:cs="仿宋_GB2312"/>
          <w:color w:val="000000"/>
          <w:sz w:val="32"/>
          <w:lang w:val="zh-CN"/>
        </w:rPr>
        <w:t>全县基层医疗机构提供基本公共卫生服务</w:t>
      </w:r>
      <w:r>
        <w:rPr>
          <w:rFonts w:hint="eastAsia" w:ascii="仿宋_GB2312" w:hAnsi="宋体" w:eastAsia="仿宋_GB2312" w:cs="仿宋_GB2312"/>
          <w:color w:val="000000"/>
          <w:sz w:val="32"/>
        </w:rPr>
        <w:t>办公费、</w:t>
      </w:r>
      <w:r>
        <w:rPr>
          <w:rFonts w:hint="eastAsia" w:ascii="仿宋_GB2312" w:hAnsi="宋体" w:eastAsia="仿宋_GB2312" w:cs="仿宋_GB2312"/>
          <w:color w:val="000000"/>
          <w:sz w:val="32"/>
          <w:lang w:val="zh-CN"/>
        </w:rPr>
        <w:t>进行宣传发生的宣传费、资料费、</w:t>
      </w:r>
      <w:r>
        <w:rPr>
          <w:rFonts w:hint="eastAsia" w:ascii="仿宋_GB2312" w:hAnsi="宋体" w:eastAsia="仿宋_GB2312" w:cs="仿宋_GB2312"/>
          <w:color w:val="000000"/>
          <w:sz w:val="32"/>
        </w:rPr>
        <w:t>设备费、材料费</w:t>
      </w:r>
      <w:r>
        <w:rPr>
          <w:rFonts w:hint="eastAsia" w:ascii="仿宋_GB2312" w:hAnsi="宋体" w:eastAsia="仿宋_GB2312" w:cs="仿宋_GB2312"/>
          <w:color w:val="000000"/>
          <w:sz w:val="32"/>
          <w:lang w:val="zh-CN"/>
        </w:rPr>
        <w:t>等。</w:t>
      </w:r>
    </w:p>
    <w:p>
      <w:pPr>
        <w:adjustRightInd w:val="0"/>
        <w:snapToGrid w:val="0"/>
        <w:spacing w:line="580" w:lineRule="exact"/>
        <w:ind w:firstLine="720"/>
        <w:rPr>
          <w:rFonts w:ascii="楷体_GB2312" w:hAnsi="宋体" w:eastAsia="楷体_GB2312" w:cs="楷体_GB2312"/>
          <w:b/>
          <w:color w:val="000000"/>
          <w:lang w:val="zh-CN"/>
        </w:rPr>
      </w:pPr>
      <w:r>
        <w:rPr>
          <w:rFonts w:hint="eastAsia" w:ascii="楷体_GB2312" w:hAnsi="宋体" w:eastAsia="楷体_GB2312" w:cs="楷体_GB2312"/>
          <w:b/>
          <w:color w:val="000000"/>
          <w:sz w:val="32"/>
          <w:lang w:val="zh-CN"/>
        </w:rPr>
        <w:t>（二）项目效益情况。</w:t>
      </w:r>
    </w:p>
    <w:p>
      <w:pPr>
        <w:adjustRightInd w:val="0"/>
        <w:snapToGrid w:val="0"/>
        <w:spacing w:line="360" w:lineRule="auto"/>
        <w:ind w:firstLine="640" w:firstLineChars="200"/>
        <w:jc w:val="left"/>
        <w:rPr>
          <w:rFonts w:ascii="仿宋_GB2312" w:hAnsi="宋体" w:eastAsia="仿宋_GB2312" w:cs="仿宋_GB2312"/>
          <w:lang w:val="zh-CN"/>
        </w:rPr>
      </w:pPr>
      <w:r>
        <w:rPr>
          <w:rFonts w:hint="eastAsia" w:ascii="仿宋_GB2312" w:hAnsi="仿宋" w:eastAsia="仿宋_GB2312"/>
          <w:color w:val="000000"/>
          <w:sz w:val="32"/>
          <w:szCs w:val="32"/>
        </w:rPr>
        <w:t>通过实施基本公共卫生服务项目，对影响居民健康的主要卫生问题实施干预，减少主要健康危险因素，有效预防和控制主要传染病及慢性病，使城乡居民逐步享有均等化的公共卫生服务。</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五、问题及建议</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adjustRightInd w:val="0"/>
        <w:snapToGrid w:val="0"/>
        <w:spacing w:line="580" w:lineRule="exact"/>
        <w:ind w:firstLine="720"/>
        <w:rPr>
          <w:rFonts w:ascii="楷体_GB2312" w:hAnsi="宋体" w:eastAsia="楷体_GB2312" w:cs="楷体_GB2312"/>
          <w:b/>
          <w:sz w:val="32"/>
        </w:rPr>
      </w:pPr>
      <w:r>
        <w:rPr>
          <w:rFonts w:hint="eastAsia" w:ascii="仿宋_GB2312" w:hAnsi="仿宋" w:eastAsia="仿宋_GB2312"/>
          <w:sz w:val="32"/>
          <w:szCs w:val="32"/>
        </w:rPr>
        <w:t>无。</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（二）相关建议。</w:t>
      </w:r>
    </w:p>
    <w:p>
      <w:pPr>
        <w:ind w:firstLine="640" w:firstLineChars="200"/>
      </w:pPr>
      <w:r>
        <w:rPr>
          <w:rFonts w:hint="eastAsia" w:ascii="仿宋_GB2312" w:hAnsi="仿宋" w:eastAsia="仿宋_GB2312"/>
          <w:sz w:val="32"/>
          <w:szCs w:val="32"/>
        </w:rPr>
        <w:t>无</w:t>
      </w:r>
    </w:p>
    <w:p/>
    <w:p>
      <w:pPr>
        <w:widowControl/>
        <w:spacing w:line="580" w:lineRule="exact"/>
        <w:jc w:val="left"/>
        <w:rPr>
          <w:rFonts w:ascii="仿宋_GB2312" w:eastAsia="仿宋_GB2312" w:cs="仿宋_GB2312"/>
        </w:rPr>
      </w:pPr>
      <w:r>
        <w:rPr>
          <w:rFonts w:hint="eastAsia" w:ascii="仿宋_GB2312" w:hAnsi="宋体" w:eastAsia="仿宋_GB2312" w:cs="仿宋_GB2312"/>
          <w:sz w:val="32"/>
        </w:rPr>
        <w:t>附件2－2</w:t>
      </w:r>
    </w:p>
    <w:p>
      <w:pPr>
        <w:spacing w:line="600" w:lineRule="exact"/>
        <w:rPr>
          <w:rFonts w:ascii="黑体" w:hAnsi="黑体" w:eastAsia="黑体"/>
          <w:color w:val="000000"/>
          <w:sz w:val="44"/>
          <w:szCs w:val="44"/>
        </w:rPr>
      </w:pPr>
    </w:p>
    <w:p>
      <w:pPr>
        <w:pStyle w:val="33"/>
        <w:spacing w:line="240" w:lineRule="auto"/>
        <w:jc w:val="center"/>
        <w:rPr>
          <w:rFonts w:ascii="仿宋_GB2312" w:hAnsi="宋体" w:eastAsia="仿宋_GB2312"/>
          <w:color w:val="auto"/>
          <w:kern w:val="2"/>
          <w:sz w:val="32"/>
          <w:szCs w:val="32"/>
        </w:rPr>
      </w:pPr>
      <w:r>
        <w:rPr>
          <w:rFonts w:hint="eastAsia" w:ascii="宋体" w:hAnsi="宋体"/>
          <w:b/>
          <w:sz w:val="44"/>
          <w:szCs w:val="44"/>
        </w:rPr>
        <w:t>项目支出绩效自评报告</w:t>
      </w:r>
    </w:p>
    <w:p>
      <w:pPr>
        <w:adjustRightInd w:val="0"/>
        <w:snapToGrid w:val="0"/>
        <w:spacing w:line="580" w:lineRule="exact"/>
        <w:ind w:firstLine="2374" w:firstLineChars="742"/>
        <w:rPr>
          <w:rFonts w:ascii="仿宋_GB2312" w:hAnsi="仿宋" w:eastAsia="仿宋_GB2312"/>
          <w:color w:val="000000"/>
          <w:sz w:val="32"/>
          <w:szCs w:val="32"/>
        </w:rPr>
      </w:pPr>
      <w:r>
        <w:rPr>
          <w:rFonts w:hint="eastAsia" w:ascii="仿宋_GB2312" w:hAnsi="仿宋" w:eastAsia="仿宋_GB2312"/>
          <w:color w:val="000000"/>
          <w:sz w:val="32"/>
          <w:szCs w:val="32"/>
        </w:rPr>
        <w:t>（2019年基本药物制度州级补助）</w:t>
      </w:r>
    </w:p>
    <w:p>
      <w:pPr>
        <w:adjustRightInd w:val="0"/>
        <w:snapToGrid w:val="0"/>
        <w:spacing w:line="580" w:lineRule="exact"/>
        <w:ind w:firstLine="720"/>
        <w:rPr>
          <w:rFonts w:ascii="仿宋_GB2312" w:hAnsi="仿宋" w:eastAsia="仿宋_GB2312"/>
          <w:color w:val="000000"/>
          <w:sz w:val="32"/>
          <w:szCs w:val="32"/>
        </w:rPr>
      </w:pP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rPr>
        <w:t>一、</w:t>
      </w:r>
      <w:r>
        <w:rPr>
          <w:rFonts w:hint="eastAsia" w:ascii="仿宋_GB2312" w:hAnsi="仿宋" w:eastAsia="仿宋_GB2312"/>
          <w:color w:val="000000"/>
          <w:sz w:val="32"/>
          <w:szCs w:val="32"/>
          <w:lang w:val="zh-CN"/>
        </w:rPr>
        <w:t>项目概况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项目资金申报及批复情况。</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为加强和规范中央财政支持基层医疗卫生机构实施国家基本药物制度专项补助资金的分配、使用和管理，根据《关于建立国家基本药物制度的实施意见》(卫药政〔2009〕78号）、《国务院办公厅关于建立健全基层医疗卫生机构补偿机制的意见》(国办发〔2010〕62号）和《关于巩固完善基本药物制度和基层运行新机制的意见》(国办发〔2013〕14号）等文件规定，项补助资金按照“突出改革、转变机制，注重实效、激励先进，绩效考核、量效挂钩”的原则,按因素法进行分配。分配因素主要包括补助标准、服务人口数量和地方财力状况等。同时，统筹考虑各地基层医疗卫生机构实施国家基本药物制度、综合改革进展及实施成效、绩效考核结果等情况进行结算。统筹分配使用上级财政和本级财政安排的专项补助资金。对乡镇卫生院，按照“核定任务、核定收支、绩效考核补助”的办法核定补助资金。对村卫生室按乡村医生服务人口数量和人均标准核定补助资金。</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（二）项目绩效目标。</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通过贯彻落实《中共中央、国务院关于深化医药卫生体制改革的意见》和《“十二五”期间深化医药卫生体制改革规划暨实施方案》，坚持保基本、强基层、建机制，着力解决基层医改面临的新问题，不断完善政策体系，健全长效机制；巩固基本药物制度，深化基层医疗卫生机构管理体制、补偿机制、药品供应、人事分配等方面的综合改革；完善绩效考核办法，创新监管方式，强化监督管理；加强基层医疗卫生服务体系建设，不断提升服务能力和水平，巩固基层医疗卫生服务网底。</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通过基层卫生制度改革的实施，基层医疗卫生机构坚持全面配备基本药物、零差率销售，以保障药品质量，满足群众基本用药需求，减轻群众医疗费用负担等。</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项目资金申报相符性。</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项目申报内容与具体实施内容相符、申报目标合理可行。</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二、项目实施及管理情况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ab/>
      </w:r>
      <w:r>
        <w:rPr>
          <w:rFonts w:hint="eastAsia" w:ascii="仿宋_GB2312" w:hAnsi="仿宋" w:eastAsia="仿宋_GB2312"/>
          <w:color w:val="000000"/>
          <w:sz w:val="32"/>
          <w:szCs w:val="32"/>
          <w:lang w:val="zh-CN"/>
        </w:rPr>
        <w:t>（一）资金计划、到位及使用情况。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1、资金计划及到位。</w:t>
      </w:r>
      <w:r>
        <w:rPr>
          <w:rFonts w:hint="eastAsia" w:ascii="仿宋_GB2312" w:hAnsi="仿宋" w:eastAsia="仿宋_GB2312"/>
          <w:color w:val="000000"/>
          <w:sz w:val="32"/>
          <w:szCs w:val="32"/>
        </w:rPr>
        <w:t>我县2019年应到基本药物补助中央、省、州、县各级资金总计9.96万元，目前已全部到位。做到项目资金不截留、不挪用、不拖欠。</w:t>
      </w:r>
      <w:r>
        <w:rPr>
          <w:rFonts w:hint="eastAsia" w:ascii="仿宋_GB2312" w:hAnsi="仿宋" w:eastAsia="仿宋_GB2312"/>
          <w:color w:val="000000"/>
          <w:sz w:val="32"/>
          <w:szCs w:val="32"/>
          <w:lang w:val="zh-CN"/>
        </w:rPr>
        <w:t>资金到位与资金计划一致，资金到位率100%、资金到位及时，配套资金筹措能力较强。</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2、资金使用。截止评价时点项目资金的实际支付</w:t>
      </w:r>
      <w:r>
        <w:rPr>
          <w:rFonts w:hint="eastAsia" w:ascii="仿宋_GB2312" w:hAnsi="仿宋" w:eastAsia="仿宋_GB2312"/>
          <w:color w:val="000000"/>
          <w:sz w:val="32"/>
          <w:szCs w:val="32"/>
        </w:rPr>
        <w:t>9.96万元</w:t>
      </w:r>
      <w:r>
        <w:rPr>
          <w:rFonts w:hint="eastAsia" w:ascii="仿宋_GB2312" w:hAnsi="仿宋" w:eastAsia="仿宋_GB2312"/>
          <w:color w:val="000000"/>
          <w:sz w:val="32"/>
          <w:szCs w:val="32"/>
          <w:lang w:val="zh-CN"/>
        </w:rPr>
        <w:t xml:space="preserve"> ，资金开支范围为：作基层医疗卫生机构公务费；支付进度</w:t>
      </w:r>
      <w:r>
        <w:rPr>
          <w:rFonts w:hint="eastAsia" w:ascii="仿宋_GB2312" w:hAnsi="仿宋" w:eastAsia="仿宋_GB2312"/>
          <w:color w:val="000000"/>
          <w:sz w:val="32"/>
          <w:szCs w:val="32"/>
        </w:rPr>
        <w:t>100</w:t>
      </w:r>
      <w:r>
        <w:rPr>
          <w:rFonts w:hint="eastAsia" w:ascii="仿宋_GB2312" w:hAnsi="仿宋" w:eastAsia="仿宋_GB2312"/>
          <w:color w:val="000000"/>
          <w:sz w:val="32"/>
          <w:szCs w:val="32"/>
          <w:lang w:val="zh-CN"/>
        </w:rPr>
        <w:t>%等，支付依据合规合法，资金支付与预算相符。</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（二）项目财务管理情况。</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1、制度建设情况。</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（1）建立了科学合理、层次清晰、分工明确、覆盖全面的资金管理制度体系;</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（2）建立了财政资金到位和管理使用的监督机制.对资金使用情况进行监督检查,对项目负责人的要求具体、明确。</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2、制度执行情况。</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资金管理使用的各个环节是严格按照基本药物财政资金管理办法的规定执行。</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3、资金分配情况。资金分配的各个环节和有关内容合理到位：</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（1）没有存在虚报项目骗取财政资金的情况;</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（2）没有存在截留、挤占、挪用财政资金的情况。没有用于支付基建工程款;没有用于对外借款、对外投资;没有擅自调整预算、计提管理费、基本支出挤占项目支出或截留财政资金挪作它用等情况;</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4、资金拨付情况。资金能够做到拨付到文件规定的资金使用单位。</w:t>
      </w:r>
    </w:p>
    <w:p>
      <w:pPr>
        <w:adjustRightInd w:val="0"/>
        <w:snapToGrid w:val="0"/>
        <w:spacing w:line="360" w:lineRule="auto"/>
        <w:ind w:firstLine="320" w:firstLineChars="100"/>
        <w:jc w:val="left"/>
        <w:rPr>
          <w:rFonts w:ascii="仿宋_GB2312" w:hAnsi="仿宋" w:eastAsia="仿宋_GB2312"/>
          <w:color w:val="000000"/>
          <w:sz w:val="32"/>
          <w:szCs w:val="32"/>
        </w:rPr>
      </w:pPr>
      <w:r>
        <w:rPr>
          <w:rFonts w:hint="eastAsia" w:ascii="仿宋_GB2312" w:hAnsi="仿宋" w:eastAsia="仿宋_GB2312"/>
          <w:color w:val="000000"/>
          <w:sz w:val="32"/>
          <w:szCs w:val="32"/>
        </w:rPr>
        <w:t>（1）没有存在转移项目资金的情况;</w:t>
      </w:r>
    </w:p>
    <w:p>
      <w:pPr>
        <w:adjustRightInd w:val="0"/>
        <w:snapToGrid w:val="0"/>
        <w:spacing w:line="360" w:lineRule="auto"/>
        <w:ind w:firstLine="320" w:firstLineChars="100"/>
        <w:jc w:val="left"/>
        <w:rPr>
          <w:rFonts w:ascii="仿宋_GB2312" w:hAnsi="仿宋" w:eastAsia="仿宋_GB2312"/>
          <w:color w:val="000000"/>
          <w:sz w:val="32"/>
          <w:szCs w:val="32"/>
        </w:rPr>
      </w:pPr>
      <w:r>
        <w:rPr>
          <w:rFonts w:hint="eastAsia" w:ascii="仿宋_GB2312" w:hAnsi="仿宋" w:eastAsia="仿宋_GB2312"/>
          <w:color w:val="000000"/>
          <w:sz w:val="32"/>
          <w:szCs w:val="32"/>
        </w:rPr>
        <w:t>（2）没有存在以拨代支的情况，虚报项目完成额等情况;</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5、资金监管情况。采用资金运行全程监控等管理手段进行资金的有效管理，建立了资金使用和监管的责任机制。</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（1）做到项目资金专款专用、专人负责;</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（2）没有存在虚列支出、重复列支、提前列支的情况;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县卫计局设置了乡镇卫生院会计核算中心机构，对照项目资金管理办法，项目严格执行财务管理制度、财务处理及时、会计核算规范。</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（三）项目组织实施情况。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为使有限的基层卫生制度改革配套专项资金发挥最大的效益，制定了《红原县乡镇卫生医院实施基本药物制度目标管理责任书》以及《红原县乡镇卫生院实施基本药物制度考核细则》，明确了乡镇卫生院的职责和任务。每月对各乡镇卫生院每月采购药品的票据采取先审核后报账的程序予以报账。此外，各乡镇卫生院也组织卫生院人员进行培训学习。</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县卫计局认真落实基层卫生制度改革，制定了《预算项目绩效跟踪监控管理办法》、《红原县乡镇卫生院财务管理制度》等。对于以专项经费性质拨付的经费严格按照专项资金进行管理，“坚持专款专用”及时发放严禁截留、克扣和挪用。如有发生，一经核实，对院长及责任人处以罚款，并将专项资金的管理列入年终的财务管理责任制进行考核。</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rPr>
        <w:t>三、目标完成情况</w:t>
      </w:r>
      <w:r>
        <w:rPr>
          <w:rFonts w:hint="eastAsia" w:ascii="仿宋_GB2312" w:hAnsi="仿宋" w:eastAsia="仿宋_GB2312"/>
          <w:color w:val="000000"/>
          <w:sz w:val="32"/>
          <w:szCs w:val="32"/>
          <w:lang w:val="zh-CN"/>
        </w:rPr>
        <w:tab/>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（一）目标质量完成情况。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巩固了基本药物制度，深化了不得基层医疗卫生机构管理体制、补偿机制、药品供应、人事分配等方面的综合改革；完善绩效考核办法，创新监管方式，强化监督管理；加强了基层医疗卫生服务体系建设，不断提升服务能力和水平，巩固了基层医疗卫生服务网底。</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通过基层卫生制度改革的实施，基层医疗卫生机构坚持全面配备基本药物、网上采购、零差率销售，以保障药品质量，满足群众基本用药需求，减轻群众医疗费用负担等。</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（二）目标进度完成情况。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按照预定进度计划，项目实际完成进度</w:t>
      </w:r>
      <w:r>
        <w:rPr>
          <w:rFonts w:hint="eastAsia" w:ascii="仿宋_GB2312" w:hAnsi="仿宋" w:eastAsia="仿宋_GB2312"/>
          <w:color w:val="000000"/>
          <w:sz w:val="32"/>
          <w:szCs w:val="32"/>
        </w:rPr>
        <w:t>81.70</w:t>
      </w:r>
      <w:r>
        <w:rPr>
          <w:rFonts w:hint="eastAsia" w:ascii="仿宋_GB2312" w:hAnsi="仿宋" w:eastAsia="仿宋_GB2312"/>
          <w:color w:val="000000"/>
          <w:sz w:val="32"/>
          <w:szCs w:val="32"/>
          <w:lang w:val="zh-CN"/>
        </w:rPr>
        <w:t>%。</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四、项目效益情况</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县卫计局通过认真落实基层卫生制度改革，巩固基本药物制度，深化基层医疗卫生机构管理体制，补偿机制，药品供应，、人事分配等方面的综合改革。首先，制定了乡镇卫生院实施基本药物目标管理责任书以及实施基本药物制度考核细则等制度，完善监督机制，强化监管措施，规范了采购药品程序，按规定采购非处方药品，组织相关人员培训学习，加强基本药物制度管理。其次，进行非处方药品种调查出台非处方药使用目录，对全县基层医疗机构非处方药的品种、使用比例做出了具体的要求，切实保障了基本药物的主体地位，巩固了基本药物制度的实施成果，缓解了基层医疗结构的“用药荒”。最后，有效降低了药品费用，加上“一般诊疗费”报销，使患者真正的得到了实惠。降低了患者负担，受到了普遍好评，有效缓解了“看病贵”的问题，同时也有效控制了药物滥用造成的抗药性等问题。</w:t>
      </w:r>
    </w:p>
    <w:p>
      <w:pPr>
        <w:adjustRightInd w:val="0"/>
        <w:snapToGrid w:val="0"/>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五、问题及建议</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（一）存在的问题。</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rPr>
        <w:t>项目资金少。</w:t>
      </w:r>
    </w:p>
    <w:p>
      <w:pPr>
        <w:adjustRightInd w:val="0"/>
        <w:snapToGrid w:val="0"/>
        <w:spacing w:line="360" w:lineRule="auto"/>
        <w:ind w:firstLine="640" w:firstLineChars="200"/>
        <w:jc w:val="left"/>
        <w:rPr>
          <w:rFonts w:ascii="仿宋_GB2312" w:hAnsi="仿宋" w:eastAsia="仿宋_GB2312"/>
          <w:color w:val="000000"/>
          <w:sz w:val="32"/>
          <w:szCs w:val="32"/>
          <w:lang w:val="zh-CN"/>
        </w:rPr>
      </w:pPr>
      <w:r>
        <w:rPr>
          <w:rFonts w:hint="eastAsia" w:ascii="仿宋_GB2312" w:hAnsi="仿宋" w:eastAsia="仿宋_GB2312"/>
          <w:color w:val="000000"/>
          <w:sz w:val="32"/>
          <w:szCs w:val="32"/>
          <w:lang w:val="zh-CN"/>
        </w:rPr>
        <w:t>（二）相关建议。</w:t>
      </w:r>
    </w:p>
    <w:p>
      <w:pPr>
        <w:adjustRightInd w:val="0"/>
        <w:snapToGrid w:val="0"/>
        <w:spacing w:line="360" w:lineRule="auto"/>
        <w:ind w:firstLine="640" w:firstLineChars="200"/>
        <w:jc w:val="left"/>
      </w:pPr>
      <w:r>
        <w:rPr>
          <w:rFonts w:hint="eastAsia" w:ascii="仿宋_GB2312" w:hAnsi="仿宋" w:eastAsia="仿宋_GB2312"/>
          <w:color w:val="000000"/>
          <w:sz w:val="32"/>
          <w:szCs w:val="32"/>
        </w:rPr>
        <w:t>增加项目资金，加强人员培训</w:t>
      </w:r>
      <w:r>
        <w:rPr>
          <w:rFonts w:hint="eastAsia" w:ascii="仿宋_GB2312" w:hAnsi="仿宋" w:eastAsia="仿宋_GB2312"/>
          <w:color w:val="000000"/>
          <w:sz w:val="32"/>
          <w:szCs w:val="32"/>
          <w:lang w:val="zh-CN"/>
        </w:rPr>
        <w:t>。</w:t>
      </w:r>
    </w:p>
    <w:p>
      <w:pPr>
        <w:pStyle w:val="3"/>
        <w:rPr>
          <w:rFonts w:ascii="仿宋_GB2312" w:hAnsi="微软雅黑" w:eastAsia="仿宋_GB2312" w:cs="仿宋_GB2312"/>
          <w:color w:val="333333"/>
          <w:kern w:val="0"/>
          <w:shd w:val="clear" w:color="auto" w:fill="FFFFFF"/>
        </w:rPr>
      </w:pPr>
      <w:bookmarkStart w:id="82" w:name="_Toc14059"/>
      <w:r>
        <w:rPr>
          <w:rStyle w:val="32"/>
          <w:rFonts w:hint="eastAsia" w:ascii="仿宋" w:hAnsi="仿宋" w:eastAsia="仿宋"/>
          <w:b w:val="0"/>
          <w:bCs w:val="0"/>
          <w:sz w:val="32"/>
          <w:szCs w:val="32"/>
        </w:rPr>
        <w:t>附件2－3</w:t>
      </w:r>
      <w:bookmarkEnd w:id="82"/>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项目支出绩效自评报告</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（2019年计划生育中央和省级补助资金）</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rPr>
        <w:t>一、</w:t>
      </w:r>
      <w:r>
        <w:rPr>
          <w:rFonts w:hint="eastAsia" w:ascii="仿宋_GB2312" w:hAnsi="微软雅黑" w:eastAsia="仿宋_GB2312" w:cs="仿宋_GB2312"/>
          <w:color w:val="333333"/>
          <w:kern w:val="0"/>
          <w:sz w:val="32"/>
          <w:szCs w:val="32"/>
          <w:shd w:val="clear" w:color="auto" w:fill="FFFFFF"/>
          <w:lang w:val="zh-CN"/>
        </w:rPr>
        <w:t>项目概况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（一）项目基本情况。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该项目由红原县卫生健康局实施管理。</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 xml:space="preserve"> 2019年度，全县共确认农村部分计划生育家庭奖励扶助对象296人、计划生育家庭特别扶助对象114人、少生快富42人、计划生育家庭独生子女奖励42人。中央、省投入资金158.4536万元，全县实际发放扶助资金为157.242万元。其中计划生育家庭奖励扶助补助资金28.416万元，计划生育家庭特别扶助116.016万元，计划生育家庭少生快富补助资金12.6万元，独生子女奖励0.21万元。</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在利益导向项目的实施过程中，严格执行相关文件的规定，予以科学、规范、有序实行。所有拨付资金在使用上严格按财务管理制度和有关专项资金管理办法的规定不截留，不挪用，不挤占，按政策和工作要求及时将资金拨付到位。</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lang w:val="zh-CN"/>
        </w:rPr>
        <w:t>3．资金管理办法制定情况，资金支持具体项目的条件、范围与支持方式概况</w:t>
      </w:r>
      <w:r>
        <w:rPr>
          <w:rFonts w:hint="eastAsia" w:ascii="仿宋_GB2312" w:hAnsi="微软雅黑" w:eastAsia="仿宋_GB2312" w:cs="仿宋_GB2312"/>
          <w:color w:val="333333"/>
          <w:kern w:val="0"/>
          <w:sz w:val="32"/>
          <w:szCs w:val="32"/>
          <w:shd w:val="clear" w:color="auto" w:fill="FFFFFF"/>
        </w:rPr>
        <w:t>方面严格按照我县财政资金管理要求进行。</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4．资金分配的原则及考虑因素</w:t>
      </w:r>
      <w:r>
        <w:rPr>
          <w:rFonts w:hint="eastAsia" w:ascii="仿宋_GB2312" w:hAnsi="微软雅黑" w:eastAsia="仿宋_GB2312" w:cs="仿宋_GB2312"/>
          <w:color w:val="333333"/>
          <w:kern w:val="0"/>
          <w:sz w:val="32"/>
          <w:szCs w:val="32"/>
          <w:shd w:val="clear" w:color="auto" w:fill="FFFFFF"/>
        </w:rPr>
        <w:t>方面严格按照资金管理要求进行。</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（二）项目绩效目标。</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让农村部分计划生育家庭奖励扶助对象296人、计划生育家庭特别扶助对象114人、少生快富42人、计划生育家庭独生子女奖励42人，在一定程度上缓解了计生家庭的实际困难，提高了政府的公信力。</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二、项目资金申报及使用情况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（一）项目资金申报及批复情况。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该项目资金由州卫生健康委员会下达申报计划，由我局人员申报。最后由财政局下达资金</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资金计划、到位及使用情况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lang w:val="zh-CN"/>
        </w:rPr>
        <w:t>1．资金计划</w:t>
      </w:r>
      <w:r>
        <w:rPr>
          <w:rFonts w:hint="eastAsia" w:ascii="仿宋_GB2312" w:hAnsi="微软雅黑" w:eastAsia="仿宋_GB2312" w:cs="仿宋_GB2312"/>
          <w:color w:val="333333"/>
          <w:kern w:val="0"/>
          <w:sz w:val="32"/>
          <w:szCs w:val="32"/>
          <w:shd w:val="clear" w:color="auto" w:fill="FFFFFF"/>
        </w:rPr>
        <w:t>158.4536万元、</w:t>
      </w:r>
      <w:r>
        <w:rPr>
          <w:rFonts w:hint="eastAsia" w:ascii="仿宋_GB2312" w:hAnsi="微软雅黑" w:eastAsia="仿宋_GB2312" w:cs="仿宋_GB2312"/>
          <w:color w:val="333333"/>
          <w:kern w:val="0"/>
          <w:sz w:val="32"/>
          <w:szCs w:val="32"/>
          <w:shd w:val="clear" w:color="auto" w:fill="FFFFFF"/>
          <w:lang w:val="zh-CN"/>
        </w:rPr>
        <w:t>资金到位</w:t>
      </w:r>
      <w:r>
        <w:rPr>
          <w:rFonts w:hint="eastAsia" w:ascii="仿宋_GB2312" w:hAnsi="微软雅黑" w:eastAsia="仿宋_GB2312" w:cs="仿宋_GB2312"/>
          <w:color w:val="333333"/>
          <w:kern w:val="0"/>
          <w:sz w:val="32"/>
          <w:szCs w:val="32"/>
          <w:shd w:val="clear" w:color="auto" w:fill="FFFFFF"/>
        </w:rPr>
        <w:t>158.4536万元</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rPr>
        <w:t>2</w:t>
      </w:r>
      <w:r>
        <w:rPr>
          <w:rFonts w:hint="eastAsia" w:ascii="仿宋_GB2312" w:hAnsi="微软雅黑" w:eastAsia="仿宋_GB2312" w:cs="仿宋_GB2312"/>
          <w:color w:val="333333"/>
          <w:kern w:val="0"/>
          <w:sz w:val="32"/>
          <w:szCs w:val="32"/>
          <w:shd w:val="clear" w:color="auto" w:fill="FFFFFF"/>
          <w:lang w:val="zh-CN"/>
        </w:rPr>
        <w:t>．资金使用。汇总统计截止评价时点该项目资金支出</w:t>
      </w:r>
      <w:r>
        <w:rPr>
          <w:rFonts w:hint="eastAsia" w:ascii="仿宋_GB2312" w:hAnsi="微软雅黑" w:eastAsia="仿宋_GB2312" w:cs="仿宋_GB2312"/>
          <w:color w:val="333333"/>
          <w:kern w:val="0"/>
          <w:sz w:val="32"/>
          <w:szCs w:val="32"/>
          <w:shd w:val="clear" w:color="auto" w:fill="FFFFFF"/>
        </w:rPr>
        <w:t>157.242万元</w:t>
      </w:r>
      <w:r>
        <w:rPr>
          <w:rFonts w:hint="eastAsia" w:ascii="仿宋_GB2312" w:hAnsi="微软雅黑" w:eastAsia="仿宋_GB2312" w:cs="仿宋_GB2312"/>
          <w:color w:val="333333"/>
          <w:kern w:val="0"/>
          <w:sz w:val="32"/>
          <w:szCs w:val="32"/>
          <w:shd w:val="clear" w:color="auto" w:fill="FFFFFF"/>
          <w:lang w:val="zh-CN"/>
        </w:rPr>
        <w:t>。资金使用的安全性、规范性及有效性</w:t>
      </w:r>
      <w:r>
        <w:rPr>
          <w:rFonts w:hint="eastAsia" w:ascii="仿宋_GB2312" w:hAnsi="微软雅黑" w:eastAsia="仿宋_GB2312" w:cs="仿宋_GB2312"/>
          <w:color w:val="333333"/>
          <w:kern w:val="0"/>
          <w:sz w:val="32"/>
          <w:szCs w:val="32"/>
          <w:shd w:val="clear" w:color="auto" w:fill="FFFFFF"/>
        </w:rPr>
        <w:t>方面：</w:t>
      </w:r>
      <w:r>
        <w:rPr>
          <w:rFonts w:hint="eastAsia" w:ascii="仿宋_GB2312" w:hAnsi="微软雅黑" w:eastAsia="仿宋_GB2312" w:cs="仿宋_GB2312"/>
          <w:color w:val="333333"/>
          <w:kern w:val="0"/>
          <w:sz w:val="32"/>
          <w:szCs w:val="32"/>
          <w:shd w:val="clear" w:color="auto" w:fill="FFFFFF"/>
          <w:lang w:val="zh-CN"/>
        </w:rPr>
        <w:t>资金支付范围、支付标准、支付进度、支付依据合规合法、与预算相符。</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（三）项目财务管理情况。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rPr>
        <w:t>所拨专项资金，严格按照医院制定的专项资金管理制度进行管理，做到专款专用，由专人负责做好台账。</w:t>
      </w:r>
      <w:r>
        <w:rPr>
          <w:rFonts w:hint="eastAsia" w:ascii="仿宋_GB2312" w:hAnsi="微软雅黑" w:eastAsia="仿宋_GB2312" w:cs="仿宋_GB2312"/>
          <w:color w:val="333333"/>
          <w:kern w:val="0"/>
          <w:sz w:val="32"/>
          <w:szCs w:val="32"/>
          <w:shd w:val="clear" w:color="auto" w:fill="FFFFFF"/>
          <w:lang w:val="zh-CN"/>
        </w:rPr>
        <w:t>账务处理及时，会计核算规范。</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三、项目实施及管理情况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（一）项目组织架构及实施流程。</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lang w:val="zh-CN"/>
        </w:rPr>
        <w:t>（二）项目管理情况。项目资金下达后由我局开会讨论</w:t>
      </w:r>
      <w:r>
        <w:rPr>
          <w:rFonts w:hint="eastAsia" w:ascii="仿宋_GB2312" w:hAnsi="微软雅黑" w:eastAsia="仿宋_GB2312" w:cs="仿宋_GB2312"/>
          <w:color w:val="333333"/>
          <w:kern w:val="0"/>
          <w:sz w:val="32"/>
          <w:szCs w:val="32"/>
          <w:shd w:val="clear" w:color="auto" w:fill="FFFFFF"/>
        </w:rPr>
        <w:t>资金分配</w:t>
      </w:r>
      <w:r>
        <w:rPr>
          <w:rFonts w:hint="eastAsia" w:ascii="仿宋_GB2312" w:hAnsi="微软雅黑" w:eastAsia="仿宋_GB2312" w:cs="仿宋_GB2312"/>
          <w:color w:val="333333"/>
          <w:kern w:val="0"/>
          <w:sz w:val="32"/>
          <w:szCs w:val="32"/>
          <w:shd w:val="clear" w:color="auto" w:fill="FFFFFF"/>
          <w:lang w:val="zh-CN"/>
        </w:rPr>
        <w:t>，会议议定后，</w:t>
      </w:r>
      <w:r>
        <w:rPr>
          <w:rFonts w:hint="eastAsia" w:ascii="仿宋_GB2312" w:hAnsi="微软雅黑" w:eastAsia="仿宋_GB2312" w:cs="仿宋_GB2312"/>
          <w:color w:val="333333"/>
          <w:kern w:val="0"/>
          <w:sz w:val="32"/>
          <w:szCs w:val="32"/>
          <w:shd w:val="clear" w:color="auto" w:fill="FFFFFF"/>
        </w:rPr>
        <w:t>发放到个人。</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项目监管情况。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 xml:space="preserve">  我局为项目实施单位，资金主管部门为县财政局，财政局对该项目审核，在拨付资金时也会严格审查项目资料。</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rPr>
        <w:t>四、项目绩效情况</w:t>
      </w:r>
      <w:r>
        <w:rPr>
          <w:rFonts w:hint="eastAsia" w:ascii="仿宋_GB2312" w:hAnsi="微软雅黑" w:eastAsia="仿宋_GB2312" w:cs="仿宋_GB2312"/>
          <w:color w:val="333333"/>
          <w:kern w:val="0"/>
          <w:sz w:val="32"/>
          <w:szCs w:val="32"/>
          <w:shd w:val="clear" w:color="auto" w:fill="FFFFFF"/>
          <w:lang w:val="zh-CN"/>
        </w:rPr>
        <w:tab/>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（一）项目完成情况。</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lang w:val="zh-CN"/>
        </w:rPr>
        <w:t>该项目</w:t>
      </w:r>
      <w:r>
        <w:rPr>
          <w:rFonts w:hint="eastAsia" w:ascii="仿宋_GB2312" w:hAnsi="微软雅黑" w:eastAsia="仿宋_GB2312" w:cs="仿宋_GB2312"/>
          <w:color w:val="333333"/>
          <w:kern w:val="0"/>
          <w:sz w:val="32"/>
          <w:szCs w:val="32"/>
          <w:shd w:val="clear" w:color="auto" w:fill="FFFFFF"/>
        </w:rPr>
        <w:t>按时发放到个人，达到预期效果。</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rPr>
        <w:t>在一定程度上还是缓解了计生家庭的实际困难，提高了政府的公信力。</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五、评价结论及建议</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（一）评价结论。</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满意度</w:t>
      </w:r>
      <w:r>
        <w:rPr>
          <w:rFonts w:hint="eastAsia" w:ascii="仿宋_GB2312" w:hAnsi="微软雅黑" w:eastAsia="仿宋_GB2312" w:cs="仿宋_GB2312"/>
          <w:color w:val="333333"/>
          <w:kern w:val="0"/>
          <w:sz w:val="32"/>
          <w:szCs w:val="32"/>
          <w:shd w:val="clear" w:color="auto" w:fill="FFFFFF"/>
        </w:rPr>
        <w:t>较</w:t>
      </w:r>
      <w:r>
        <w:rPr>
          <w:rFonts w:hint="eastAsia" w:ascii="仿宋_GB2312" w:hAnsi="微软雅黑" w:eastAsia="仿宋_GB2312" w:cs="仿宋_GB2312"/>
          <w:color w:val="333333"/>
          <w:kern w:val="0"/>
          <w:sz w:val="32"/>
          <w:szCs w:val="32"/>
          <w:shd w:val="clear" w:color="auto" w:fill="FFFFFF"/>
          <w:lang w:val="zh-CN"/>
        </w:rPr>
        <w:t>高。</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（二）存在的问题。</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无</w:t>
      </w:r>
    </w:p>
    <w:p>
      <w:pPr>
        <w:adjustRightInd w:val="0"/>
        <w:snapToGrid w:val="0"/>
        <w:spacing w:line="600" w:lineRule="exact"/>
        <w:ind w:firstLine="960" w:firstLineChars="300"/>
        <w:rPr>
          <w:rFonts w:ascii="仿宋_GB2312" w:hAnsi="微软雅黑" w:eastAsia="仿宋_GB2312" w:cs="仿宋_GB2312"/>
          <w:color w:val="333333"/>
          <w:kern w:val="0"/>
          <w:sz w:val="32"/>
          <w:szCs w:val="32"/>
          <w:shd w:val="clear" w:color="auto" w:fill="FFFFFF"/>
          <w:lang w:val="zh-CN"/>
        </w:rPr>
      </w:pPr>
      <w:r>
        <w:rPr>
          <w:rFonts w:hint="eastAsia" w:ascii="仿宋_GB2312" w:hAnsi="微软雅黑" w:eastAsia="仿宋_GB2312" w:cs="仿宋_GB2312"/>
          <w:color w:val="333333"/>
          <w:kern w:val="0"/>
          <w:sz w:val="32"/>
          <w:szCs w:val="32"/>
          <w:shd w:val="clear" w:color="auto" w:fill="FFFFFF"/>
          <w:lang w:val="zh-CN"/>
        </w:rPr>
        <w:t>（三）相关建议。</w:t>
      </w:r>
    </w:p>
    <w:p>
      <w:pPr>
        <w:adjustRightInd w:val="0"/>
        <w:snapToGrid w:val="0"/>
        <w:spacing w:line="600" w:lineRule="exact"/>
        <w:ind w:firstLine="960" w:firstLineChars="300"/>
        <w:rPr>
          <w:rFonts w:ascii="黑体" w:hAnsi="黑体" w:eastAsia="黑体"/>
          <w:color w:val="000000"/>
          <w:sz w:val="44"/>
          <w:szCs w:val="44"/>
        </w:rPr>
      </w:pPr>
      <w:r>
        <w:rPr>
          <w:rFonts w:hint="eastAsia" w:ascii="仿宋_GB2312" w:hAnsi="微软雅黑" w:eastAsia="仿宋_GB2312" w:cs="仿宋_GB2312"/>
          <w:color w:val="333333"/>
          <w:kern w:val="0"/>
          <w:sz w:val="32"/>
          <w:szCs w:val="32"/>
          <w:shd w:val="clear" w:color="auto" w:fill="FFFFFF"/>
        </w:rPr>
        <w:t>建议：一是动员社会各界的力量，共同为计生特殊家庭构建“老有所养、老有所依”的政策性、制度化的保障体系；二是对计生民生工程作进一步的调研，扩大范围，增加对伤残独生子女家庭的帮扶，在经济上、生活上、精神上帮助他们。</w:t>
      </w:r>
    </w:p>
    <w:p>
      <w:pPr>
        <w:ind w:firstLine="420" w:firstLineChars="200"/>
        <w:rPr>
          <w:rFonts w:ascii="楷体_GB2312" w:hAnsi="宋体" w:eastAsia="楷体_GB2312"/>
          <w:szCs w:val="32"/>
          <w:lang w:val="zh-CN"/>
        </w:rPr>
      </w:pPr>
    </w:p>
    <w:p>
      <w:pPr>
        <w:pStyle w:val="3"/>
        <w:rPr>
          <w:rFonts w:ascii="黑体" w:hAnsi="黑体" w:eastAsia="黑体"/>
          <w:color w:val="FF0000"/>
          <w:sz w:val="44"/>
          <w:szCs w:val="44"/>
        </w:rPr>
      </w:pPr>
      <w:bookmarkStart w:id="83" w:name="_Toc22966"/>
      <w:r>
        <w:rPr>
          <w:rStyle w:val="32"/>
          <w:rFonts w:hint="eastAsia" w:ascii="仿宋" w:hAnsi="仿宋" w:eastAsia="仿宋"/>
          <w:b w:val="0"/>
          <w:bCs w:val="0"/>
          <w:sz w:val="32"/>
          <w:szCs w:val="32"/>
        </w:rPr>
        <w:t>附件2－4</w:t>
      </w:r>
      <w:bookmarkEnd w:id="83"/>
    </w:p>
    <w:p>
      <w:pPr>
        <w:pStyle w:val="33"/>
        <w:spacing w:line="240" w:lineRule="auto"/>
        <w:jc w:val="center"/>
        <w:rPr>
          <w:rFonts w:ascii="仿宋_GB2312" w:hAnsi="宋体" w:eastAsia="仿宋_GB2312"/>
          <w:color w:val="auto"/>
          <w:kern w:val="2"/>
          <w:sz w:val="32"/>
          <w:szCs w:val="32"/>
        </w:rPr>
      </w:pPr>
      <w:r>
        <w:rPr>
          <w:rFonts w:hint="eastAsia" w:ascii="宋体" w:hAnsi="宋体"/>
          <w:b/>
          <w:sz w:val="44"/>
          <w:szCs w:val="44"/>
        </w:rPr>
        <w:t>项目支出绩效自评报告</w:t>
      </w:r>
    </w:p>
    <w:p>
      <w:pPr>
        <w:jc w:val="center"/>
        <w:rPr>
          <w:rFonts w:ascii="仿宋_GB2312" w:hAnsi="宋体"/>
          <w:szCs w:val="32"/>
        </w:rPr>
      </w:pPr>
      <w:r>
        <w:rPr>
          <w:rFonts w:hint="eastAsia" w:ascii="仿宋_GB2312" w:hAnsi="宋体"/>
          <w:szCs w:val="32"/>
        </w:rPr>
        <w:t>（2019年三支一扶专项补助）</w:t>
      </w:r>
    </w:p>
    <w:p>
      <w:pPr>
        <w:pStyle w:val="33"/>
        <w:spacing w:line="240" w:lineRule="auto"/>
        <w:jc w:val="center"/>
        <w:rPr>
          <w:rFonts w:ascii="宋体" w:hAnsi="宋体"/>
          <w:color w:val="auto"/>
          <w:kern w:val="2"/>
          <w:sz w:val="32"/>
          <w:szCs w:val="32"/>
        </w:rPr>
      </w:pP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一、项目概况</w:t>
      </w:r>
    </w:p>
    <w:p>
      <w:pPr>
        <w:numPr>
          <w:ilvl w:val="0"/>
          <w:numId w:val="14"/>
        </w:numPr>
        <w:adjustRightInd w:val="0"/>
        <w:snapToGrid w:val="0"/>
        <w:spacing w:line="560" w:lineRule="exact"/>
        <w:rPr>
          <w:rFonts w:ascii="仿宋_GB2312" w:hAnsi="宋体" w:eastAsia="仿宋_GB2312"/>
          <w:sz w:val="32"/>
          <w:szCs w:val="32"/>
          <w:lang w:val="zh-CN"/>
        </w:rPr>
      </w:pPr>
      <w:r>
        <w:rPr>
          <w:rFonts w:hint="eastAsia" w:ascii="仿宋_GB2312" w:hAnsi="宋体" w:eastAsia="仿宋_GB2312"/>
          <w:sz w:val="32"/>
          <w:szCs w:val="32"/>
          <w:lang w:val="zh-CN"/>
        </w:rPr>
        <w:t>项目资金申报及批复情况。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根据中央九部委联合印发的《关于实施第三轮高校毕业生“三支一扶”计划的通知》，我县高校毕业生共</w:t>
      </w:r>
      <w:r>
        <w:rPr>
          <w:rFonts w:hint="eastAsia" w:ascii="仿宋_GB2312" w:hAnsi="宋体" w:eastAsia="仿宋_GB2312"/>
          <w:sz w:val="32"/>
          <w:szCs w:val="32"/>
        </w:rPr>
        <w:t>4</w:t>
      </w:r>
      <w:r>
        <w:rPr>
          <w:rFonts w:hint="eastAsia" w:ascii="仿宋_GB2312" w:hAnsi="宋体" w:eastAsia="仿宋_GB2312"/>
          <w:sz w:val="32"/>
          <w:szCs w:val="32"/>
          <w:lang w:val="zh-CN"/>
        </w:rPr>
        <w:t>名</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（二）项目绩效目标。</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引导高校毕业生到农村去，到基层去，到群众最需要的地方去，为红原的社会主义新农村建设贡献力量。</w:t>
      </w:r>
    </w:p>
    <w:p>
      <w:pPr>
        <w:numPr>
          <w:ilvl w:val="0"/>
          <w:numId w:val="14"/>
        </w:numPr>
        <w:adjustRightInd w:val="0"/>
        <w:snapToGrid w:val="0"/>
        <w:spacing w:line="560" w:lineRule="exact"/>
        <w:rPr>
          <w:rFonts w:ascii="仿宋_GB2312" w:hAnsi="宋体" w:eastAsia="仿宋_GB2312"/>
          <w:sz w:val="32"/>
          <w:szCs w:val="32"/>
          <w:lang w:val="zh-CN"/>
        </w:rPr>
      </w:pPr>
      <w:r>
        <w:rPr>
          <w:rFonts w:hint="eastAsia" w:ascii="仿宋_GB2312" w:hAnsi="宋体" w:eastAsia="仿宋_GB2312"/>
          <w:sz w:val="32"/>
          <w:szCs w:val="32"/>
          <w:lang w:val="zh-CN"/>
        </w:rPr>
        <w:t>项目资金申报相符性。</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项目申报内容与具体实施内容相符、申报目标合理可行。</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二、项目实施及管理情况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ab/>
      </w:r>
      <w:r>
        <w:rPr>
          <w:rFonts w:hint="eastAsia" w:ascii="仿宋_GB2312" w:hAnsi="宋体" w:eastAsia="仿宋_GB2312"/>
          <w:sz w:val="32"/>
          <w:szCs w:val="32"/>
          <w:lang w:val="zh-CN"/>
        </w:rPr>
        <w:t>（一）资金计划、到位及使用情况。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1、资金计划及到位。</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我县201</w:t>
      </w:r>
      <w:r>
        <w:rPr>
          <w:rFonts w:hint="eastAsia" w:ascii="仿宋_GB2312" w:hAnsi="宋体" w:eastAsia="仿宋_GB2312"/>
          <w:sz w:val="32"/>
          <w:szCs w:val="32"/>
        </w:rPr>
        <w:t>9</w:t>
      </w:r>
      <w:r>
        <w:rPr>
          <w:rFonts w:hint="eastAsia" w:ascii="仿宋_GB2312" w:hAnsi="宋体" w:eastAsia="仿宋_GB2312"/>
          <w:sz w:val="32"/>
          <w:szCs w:val="32"/>
          <w:lang w:val="zh-CN"/>
        </w:rPr>
        <w:t>年三支一扶专项补助</w:t>
      </w:r>
      <w:r>
        <w:rPr>
          <w:rFonts w:hint="eastAsia" w:ascii="仿宋_GB2312" w:hAnsi="宋体" w:eastAsia="仿宋_GB2312"/>
          <w:sz w:val="32"/>
          <w:szCs w:val="32"/>
        </w:rPr>
        <w:t>18.75</w:t>
      </w:r>
      <w:r>
        <w:rPr>
          <w:rFonts w:hint="eastAsia" w:ascii="仿宋_GB2312" w:hAnsi="宋体" w:eastAsia="仿宋_GB2312"/>
          <w:sz w:val="32"/>
          <w:szCs w:val="32"/>
          <w:lang w:val="zh-CN"/>
        </w:rPr>
        <w:t>万元目前已全部到位，到现在为止，共拨付</w:t>
      </w:r>
      <w:r>
        <w:rPr>
          <w:rFonts w:hint="eastAsia" w:ascii="仿宋_GB2312" w:hAnsi="宋体" w:eastAsia="仿宋_GB2312"/>
          <w:sz w:val="32"/>
          <w:szCs w:val="32"/>
        </w:rPr>
        <w:t>18.75</w:t>
      </w:r>
      <w:r>
        <w:rPr>
          <w:rFonts w:hint="eastAsia" w:ascii="仿宋_GB2312" w:hAnsi="宋体" w:eastAsia="仿宋_GB2312"/>
          <w:sz w:val="32"/>
          <w:szCs w:val="32"/>
          <w:lang w:val="zh-CN"/>
        </w:rPr>
        <w:t>万元。做到项目资金不截留、不挪用、不拖欠。资金到位与资金计划一致，资金到位率100%、资金到位及时，配套资金筹措能力较强。</w:t>
      </w:r>
    </w:p>
    <w:p>
      <w:pPr>
        <w:pStyle w:val="12"/>
        <w:widowControl/>
        <w:shd w:val="clear" w:color="auto" w:fill="FFFFFF"/>
        <w:spacing w:beforeAutospacing="0" w:afterAutospacing="0" w:line="33" w:lineRule="atLeast"/>
        <w:ind w:firstLine="420"/>
        <w:jc w:val="both"/>
        <w:rPr>
          <w:rFonts w:ascii="仿宋_GB2312" w:hAnsi="宋体" w:eastAsia="仿宋_GB2312"/>
          <w:kern w:val="2"/>
          <w:sz w:val="32"/>
          <w:szCs w:val="32"/>
          <w:lang w:val="zh-CN"/>
        </w:rPr>
      </w:pPr>
      <w:r>
        <w:rPr>
          <w:rFonts w:hint="eastAsia" w:ascii="仿宋_GB2312" w:hAnsi="宋体" w:eastAsia="仿宋_GB2312"/>
          <w:kern w:val="2"/>
          <w:sz w:val="32"/>
          <w:szCs w:val="32"/>
          <w:lang w:val="zh-CN"/>
        </w:rPr>
        <w:t>2、资金使用</w:t>
      </w:r>
    </w:p>
    <w:p>
      <w:pPr>
        <w:pStyle w:val="12"/>
        <w:widowControl/>
        <w:shd w:val="clear" w:color="auto" w:fill="FFFFFF"/>
        <w:spacing w:beforeAutospacing="0" w:afterAutospacing="0" w:line="33" w:lineRule="atLeast"/>
        <w:ind w:firstLine="420"/>
        <w:jc w:val="both"/>
        <w:rPr>
          <w:rFonts w:ascii="仿宋_GB2312" w:hAnsi="宋体" w:eastAsia="仿宋_GB2312"/>
          <w:kern w:val="2"/>
          <w:sz w:val="32"/>
          <w:szCs w:val="32"/>
          <w:lang w:val="zh-CN"/>
        </w:rPr>
      </w:pPr>
      <w:r>
        <w:rPr>
          <w:rFonts w:hint="eastAsia" w:ascii="仿宋_GB2312" w:hAnsi="宋体" w:eastAsia="仿宋_GB2312"/>
          <w:kern w:val="2"/>
          <w:sz w:val="32"/>
          <w:szCs w:val="32"/>
          <w:lang w:val="zh-CN"/>
        </w:rPr>
        <w:t>截止评价时点项目资金的实际支付</w:t>
      </w:r>
      <w:r>
        <w:rPr>
          <w:rFonts w:hint="eastAsia" w:ascii="仿宋_GB2312" w:hAnsi="宋体" w:eastAsia="仿宋_GB2312"/>
          <w:kern w:val="2"/>
          <w:sz w:val="32"/>
          <w:szCs w:val="32"/>
        </w:rPr>
        <w:t>18.75万元</w:t>
      </w:r>
      <w:r>
        <w:rPr>
          <w:rFonts w:hint="eastAsia" w:ascii="仿宋_GB2312" w:hAnsi="宋体" w:eastAsia="仿宋_GB2312"/>
          <w:kern w:val="2"/>
          <w:sz w:val="32"/>
          <w:szCs w:val="32"/>
          <w:lang w:val="zh-CN"/>
        </w:rPr>
        <w:t xml:space="preserve"> ，资金开支范围为：</w:t>
      </w:r>
      <w:r>
        <w:rPr>
          <w:rFonts w:hint="eastAsia" w:ascii="仿宋_GB2312" w:hAnsi="宋体" w:eastAsia="仿宋_GB2312"/>
          <w:kern w:val="2"/>
          <w:sz w:val="32"/>
          <w:szCs w:val="32"/>
        </w:rPr>
        <w:t>“三支一扶”专项工作经费，用于支付“三支一扶”人员工资、安家费、养老、医疗、工伤保险、支付三支一扶人员培训、差旅等工作费用。整体项目资金使用规范，管理到位，无挤占、挪用等违规现象</w:t>
      </w:r>
      <w:r>
        <w:rPr>
          <w:rFonts w:hint="eastAsia" w:ascii="仿宋_GB2312" w:hAnsi="宋体" w:eastAsia="仿宋_GB2312"/>
          <w:kern w:val="2"/>
          <w:sz w:val="32"/>
          <w:szCs w:val="32"/>
          <w:lang w:val="zh-CN"/>
        </w:rPr>
        <w:t>，支付进度100%等，支付依据合规合法，资金支付与预算相符。</w:t>
      </w:r>
    </w:p>
    <w:p>
      <w:pPr>
        <w:rPr>
          <w:rFonts w:ascii="仿宋_GB2312" w:hAnsi="宋体" w:eastAsia="仿宋_GB2312"/>
          <w:sz w:val="32"/>
          <w:szCs w:val="32"/>
          <w:lang w:val="zh-CN"/>
        </w:rPr>
      </w:pPr>
      <w:r>
        <w:rPr>
          <w:rFonts w:hint="eastAsia" w:ascii="仿宋_GB2312" w:hAnsi="宋体" w:eastAsia="仿宋_GB2312"/>
          <w:sz w:val="32"/>
          <w:szCs w:val="32"/>
          <w:lang w:val="zh-CN"/>
        </w:rPr>
        <w:t>（二）项目财务管理情况。</w:t>
      </w:r>
    </w:p>
    <w:p>
      <w:pPr>
        <w:ind w:firstLine="480" w:firstLineChars="150"/>
        <w:rPr>
          <w:rFonts w:ascii="仿宋_GB2312" w:hAnsi="宋体" w:eastAsia="仿宋_GB2312"/>
          <w:sz w:val="32"/>
          <w:szCs w:val="32"/>
          <w:lang w:val="zh-CN"/>
        </w:rPr>
      </w:pPr>
      <w:r>
        <w:rPr>
          <w:rFonts w:hint="eastAsia" w:ascii="仿宋_GB2312" w:hAnsi="宋体" w:eastAsia="仿宋_GB2312"/>
          <w:sz w:val="32"/>
          <w:szCs w:val="32"/>
          <w:lang w:val="zh-CN"/>
        </w:rPr>
        <w:t>1、制度建设情况。</w:t>
      </w:r>
    </w:p>
    <w:p>
      <w:pPr>
        <w:rPr>
          <w:rFonts w:ascii="仿宋_GB2312" w:hAnsi="宋体" w:eastAsia="仿宋_GB2312"/>
          <w:sz w:val="32"/>
          <w:szCs w:val="32"/>
          <w:lang w:val="zh-CN"/>
        </w:rPr>
      </w:pPr>
      <w:r>
        <w:rPr>
          <w:rFonts w:hint="eastAsia" w:ascii="仿宋_GB2312" w:hAnsi="宋体" w:eastAsia="仿宋_GB2312"/>
          <w:sz w:val="32"/>
          <w:szCs w:val="32"/>
          <w:lang w:val="zh-CN"/>
        </w:rPr>
        <w:t>　（1）建立了科学合理、层次清晰、分工明确、覆盖全面的资金管理制度体系;</w:t>
      </w:r>
    </w:p>
    <w:p>
      <w:pPr>
        <w:rPr>
          <w:rFonts w:ascii="仿宋_GB2312" w:hAnsi="宋体" w:eastAsia="仿宋_GB2312"/>
          <w:sz w:val="32"/>
          <w:szCs w:val="32"/>
          <w:lang w:val="zh-CN"/>
        </w:rPr>
      </w:pPr>
      <w:r>
        <w:rPr>
          <w:rFonts w:hint="eastAsia" w:ascii="仿宋_GB2312" w:hAnsi="宋体" w:eastAsia="仿宋_GB2312"/>
          <w:sz w:val="32"/>
          <w:szCs w:val="32"/>
          <w:lang w:val="zh-CN"/>
        </w:rPr>
        <w:t>　（2）建立了财政资金到位和管理使用的监督机制.对资金使用情况进行监督检查,对项目负责人的要求具体、明确。</w:t>
      </w:r>
    </w:p>
    <w:p>
      <w:pPr>
        <w:rPr>
          <w:rFonts w:ascii="仿宋_GB2312" w:hAnsi="宋体" w:eastAsia="仿宋_GB2312"/>
          <w:sz w:val="32"/>
          <w:szCs w:val="32"/>
          <w:lang w:val="zh-CN"/>
        </w:rPr>
      </w:pPr>
      <w:r>
        <w:rPr>
          <w:rFonts w:hint="eastAsia" w:ascii="仿宋_GB2312" w:hAnsi="宋体" w:eastAsia="仿宋_GB2312"/>
          <w:sz w:val="32"/>
          <w:szCs w:val="32"/>
          <w:lang w:val="zh-CN"/>
        </w:rPr>
        <w:t>　　2、制度执行情况。</w:t>
      </w:r>
    </w:p>
    <w:p>
      <w:pPr>
        <w:rPr>
          <w:rFonts w:ascii="仿宋_GB2312" w:hAnsi="宋体" w:eastAsia="仿宋_GB2312"/>
          <w:sz w:val="32"/>
          <w:szCs w:val="32"/>
          <w:lang w:val="zh-CN"/>
        </w:rPr>
      </w:pPr>
      <w:r>
        <w:rPr>
          <w:rFonts w:hint="eastAsia" w:ascii="仿宋_GB2312" w:hAnsi="宋体" w:eastAsia="仿宋_GB2312"/>
          <w:sz w:val="32"/>
          <w:szCs w:val="32"/>
          <w:lang w:val="zh-CN"/>
        </w:rPr>
        <w:t>　　资金管理使用的各个环节是严格按照三支一扶专项补助财政资金管理办法的规定执行。</w:t>
      </w:r>
    </w:p>
    <w:p>
      <w:pPr>
        <w:rPr>
          <w:rFonts w:ascii="仿宋_GB2312" w:hAnsi="宋体" w:eastAsia="仿宋_GB2312"/>
          <w:sz w:val="32"/>
          <w:szCs w:val="32"/>
          <w:lang w:val="zh-CN"/>
        </w:rPr>
      </w:pPr>
      <w:r>
        <w:rPr>
          <w:rFonts w:hint="eastAsia" w:ascii="仿宋_GB2312" w:hAnsi="宋体" w:eastAsia="仿宋_GB2312"/>
          <w:sz w:val="32"/>
          <w:szCs w:val="32"/>
          <w:lang w:val="zh-CN"/>
        </w:rPr>
        <w:t>　3、资金分配情况。资金分配的各个环节和有关内容合理到位：</w:t>
      </w:r>
    </w:p>
    <w:p>
      <w:pPr>
        <w:rPr>
          <w:rFonts w:ascii="仿宋_GB2312" w:hAnsi="宋体" w:eastAsia="仿宋_GB2312"/>
          <w:sz w:val="32"/>
          <w:szCs w:val="32"/>
          <w:lang w:val="zh-CN"/>
        </w:rPr>
      </w:pPr>
      <w:r>
        <w:rPr>
          <w:rFonts w:hint="eastAsia" w:ascii="仿宋_GB2312" w:hAnsi="宋体" w:eastAsia="仿宋_GB2312"/>
          <w:sz w:val="32"/>
          <w:szCs w:val="32"/>
          <w:lang w:val="zh-CN"/>
        </w:rPr>
        <w:t>　　（1）没有存在虚报项目骗取财政资金的情况;</w:t>
      </w:r>
    </w:p>
    <w:p>
      <w:pPr>
        <w:rPr>
          <w:rFonts w:ascii="仿宋_GB2312" w:hAnsi="宋体" w:eastAsia="仿宋_GB2312"/>
          <w:sz w:val="32"/>
          <w:szCs w:val="32"/>
          <w:lang w:val="zh-CN"/>
        </w:rPr>
      </w:pPr>
      <w:r>
        <w:rPr>
          <w:rFonts w:hint="eastAsia" w:ascii="仿宋_GB2312" w:hAnsi="宋体" w:eastAsia="仿宋_GB2312"/>
          <w:sz w:val="32"/>
          <w:szCs w:val="32"/>
          <w:lang w:val="zh-CN"/>
        </w:rPr>
        <w:t>　　（2）没有存在截留、挤占、挪用财政资金的情况。没有用于支付基建工程款;没有用于对外借款、对外投资;没有擅自调整预算、计提管理费、基本支出挤占项目支出或截留财政资金挪作它用等情况;</w:t>
      </w:r>
    </w:p>
    <w:p>
      <w:pPr>
        <w:rPr>
          <w:rFonts w:ascii="仿宋_GB2312" w:hAnsi="宋体" w:eastAsia="仿宋_GB2312"/>
          <w:sz w:val="32"/>
          <w:szCs w:val="32"/>
          <w:lang w:val="zh-CN"/>
        </w:rPr>
      </w:pPr>
      <w:r>
        <w:rPr>
          <w:rFonts w:hint="eastAsia" w:ascii="仿宋_GB2312" w:hAnsi="宋体" w:eastAsia="仿宋_GB2312"/>
          <w:sz w:val="32"/>
          <w:szCs w:val="32"/>
          <w:lang w:val="zh-CN"/>
        </w:rPr>
        <w:t>　　4、资金拨付情况。资金能够做到拨付到文件规定的资金使用单位。</w:t>
      </w:r>
    </w:p>
    <w:p>
      <w:pPr>
        <w:rPr>
          <w:rFonts w:ascii="仿宋_GB2312" w:hAnsi="宋体" w:eastAsia="仿宋_GB2312"/>
          <w:sz w:val="32"/>
          <w:szCs w:val="32"/>
          <w:lang w:val="zh-CN"/>
        </w:rPr>
      </w:pPr>
      <w:r>
        <w:rPr>
          <w:rFonts w:hint="eastAsia" w:ascii="仿宋_GB2312" w:hAnsi="宋体" w:eastAsia="仿宋_GB2312"/>
          <w:sz w:val="32"/>
          <w:szCs w:val="32"/>
          <w:lang w:val="zh-CN"/>
        </w:rPr>
        <w:t>　　（1）没有存在转移项目资金的情况;</w:t>
      </w:r>
    </w:p>
    <w:p>
      <w:pPr>
        <w:rPr>
          <w:rFonts w:ascii="仿宋_GB2312" w:hAnsi="宋体" w:eastAsia="仿宋_GB2312"/>
          <w:sz w:val="32"/>
          <w:szCs w:val="32"/>
          <w:lang w:val="zh-CN"/>
        </w:rPr>
      </w:pPr>
      <w:r>
        <w:rPr>
          <w:rFonts w:hint="eastAsia" w:ascii="仿宋_GB2312" w:hAnsi="宋体" w:eastAsia="仿宋_GB2312"/>
          <w:sz w:val="32"/>
          <w:szCs w:val="32"/>
          <w:lang w:val="zh-CN"/>
        </w:rPr>
        <w:t>　　（2）没有存在以拨代支的情况，虚报项目完成额等情况;</w:t>
      </w:r>
    </w:p>
    <w:p>
      <w:pPr>
        <w:rPr>
          <w:rFonts w:ascii="仿宋_GB2312" w:hAnsi="宋体" w:eastAsia="仿宋_GB2312"/>
          <w:sz w:val="32"/>
          <w:szCs w:val="32"/>
          <w:lang w:val="zh-CN"/>
        </w:rPr>
      </w:pPr>
      <w:r>
        <w:rPr>
          <w:rFonts w:hint="eastAsia" w:ascii="仿宋_GB2312" w:hAnsi="宋体" w:eastAsia="仿宋_GB2312"/>
          <w:sz w:val="32"/>
          <w:szCs w:val="32"/>
          <w:lang w:val="zh-CN"/>
        </w:rPr>
        <w:t>　　5、资金监管情况。采用资金运行全程监控等管理手段进行资金的有效管理，建立了资金使用和监管的责任机制。</w:t>
      </w:r>
    </w:p>
    <w:p>
      <w:pPr>
        <w:rPr>
          <w:rFonts w:ascii="仿宋_GB2312" w:hAnsi="宋体" w:eastAsia="仿宋_GB2312"/>
          <w:sz w:val="32"/>
          <w:szCs w:val="32"/>
          <w:lang w:val="zh-CN"/>
        </w:rPr>
      </w:pPr>
      <w:r>
        <w:rPr>
          <w:rFonts w:hint="eastAsia" w:ascii="仿宋_GB2312" w:hAnsi="宋体" w:eastAsia="仿宋_GB2312"/>
          <w:sz w:val="32"/>
          <w:szCs w:val="32"/>
          <w:lang w:val="zh-CN"/>
        </w:rPr>
        <w:t>　　（1）做到项目资金专款专用、专人负责;</w:t>
      </w:r>
    </w:p>
    <w:p>
      <w:pPr>
        <w:rPr>
          <w:rFonts w:ascii="仿宋_GB2312" w:hAnsi="宋体" w:eastAsia="仿宋_GB2312"/>
          <w:sz w:val="32"/>
          <w:szCs w:val="32"/>
          <w:lang w:val="zh-CN"/>
        </w:rPr>
      </w:pPr>
      <w:r>
        <w:rPr>
          <w:rFonts w:hint="eastAsia" w:ascii="仿宋_GB2312" w:hAnsi="宋体" w:eastAsia="仿宋_GB2312"/>
          <w:sz w:val="32"/>
          <w:szCs w:val="32"/>
          <w:lang w:val="zh-CN"/>
        </w:rPr>
        <w:t>　　（2）没有存在虚列支出、重复列支、提前列支的情况;项目严格执行财务管理制度、财务处理及时、会计核算规范。</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（三）项目组织实施情况。</w:t>
      </w:r>
    </w:p>
    <w:p>
      <w:pPr>
        <w:pStyle w:val="12"/>
        <w:widowControl/>
        <w:shd w:val="clear" w:color="auto" w:fill="FFFFFF"/>
        <w:spacing w:beforeAutospacing="0" w:afterAutospacing="0" w:line="33" w:lineRule="atLeast"/>
        <w:ind w:firstLine="640" w:firstLineChars="200"/>
        <w:jc w:val="both"/>
        <w:rPr>
          <w:rFonts w:ascii="仿宋_GB2312" w:hAnsi="宋体" w:eastAsia="仿宋_GB2312"/>
          <w:kern w:val="2"/>
          <w:sz w:val="32"/>
          <w:szCs w:val="32"/>
          <w:lang w:val="zh-CN"/>
        </w:rPr>
      </w:pPr>
      <w:r>
        <w:rPr>
          <w:rFonts w:hint="eastAsia" w:ascii="仿宋_GB2312" w:hAnsi="宋体" w:eastAsia="仿宋_GB2312"/>
          <w:kern w:val="2"/>
          <w:sz w:val="32"/>
          <w:szCs w:val="32"/>
          <w:lang w:val="zh-CN"/>
        </w:rPr>
        <w:t>为了全面加强“三支一扶”工作的开展，成立了 “三支一扶”工作领导小组，领导小组下设办公室。领导小组成立以来，积极开展“三支一扶”宣传动员。引导高校毕业生到农村去，到基层去，到群众最需要的地方去，为红原的社会主义新农村建设贡献力量。</w:t>
      </w:r>
    </w:p>
    <w:p>
      <w:pPr>
        <w:pStyle w:val="12"/>
        <w:widowControl/>
        <w:shd w:val="clear" w:color="auto" w:fill="FFFFFF"/>
        <w:spacing w:beforeAutospacing="0" w:afterAutospacing="0" w:line="33" w:lineRule="atLeast"/>
        <w:ind w:firstLine="739" w:firstLineChars="231"/>
        <w:jc w:val="both"/>
        <w:rPr>
          <w:rFonts w:ascii="仿宋_GB2312" w:hAnsi="宋体" w:eastAsia="仿宋_GB2312"/>
          <w:kern w:val="2"/>
          <w:sz w:val="32"/>
          <w:szCs w:val="32"/>
          <w:lang w:val="zh-CN"/>
        </w:rPr>
      </w:pPr>
      <w:r>
        <w:rPr>
          <w:rFonts w:hint="eastAsia" w:ascii="仿宋_GB2312" w:hAnsi="宋体" w:eastAsia="仿宋_GB2312"/>
          <w:kern w:val="2"/>
          <w:sz w:val="32"/>
          <w:szCs w:val="32"/>
          <w:lang w:val="zh-CN"/>
        </w:rPr>
        <w:t>截止201</w:t>
      </w:r>
      <w:r>
        <w:rPr>
          <w:rFonts w:hint="eastAsia" w:ascii="仿宋_GB2312" w:hAnsi="宋体" w:eastAsia="仿宋_GB2312"/>
          <w:kern w:val="2"/>
          <w:sz w:val="32"/>
          <w:szCs w:val="32"/>
        </w:rPr>
        <w:t>9</w:t>
      </w:r>
      <w:r>
        <w:rPr>
          <w:rFonts w:hint="eastAsia" w:ascii="仿宋_GB2312" w:hAnsi="宋体" w:eastAsia="仿宋_GB2312"/>
          <w:kern w:val="2"/>
          <w:sz w:val="32"/>
          <w:szCs w:val="32"/>
          <w:lang w:val="zh-CN"/>
        </w:rPr>
        <w:t>年，已招募“三支一扶”高校毕业生</w:t>
      </w:r>
      <w:r>
        <w:rPr>
          <w:rFonts w:hint="eastAsia" w:ascii="仿宋_GB2312" w:hAnsi="宋体" w:eastAsia="仿宋_GB2312"/>
          <w:kern w:val="2"/>
          <w:sz w:val="32"/>
          <w:szCs w:val="32"/>
        </w:rPr>
        <w:t>4</w:t>
      </w:r>
      <w:r>
        <w:rPr>
          <w:rFonts w:hint="eastAsia" w:ascii="仿宋_GB2312" w:hAnsi="宋体" w:eastAsia="仿宋_GB2312"/>
          <w:kern w:val="2"/>
          <w:sz w:val="32"/>
          <w:szCs w:val="32"/>
          <w:lang w:val="zh-CN"/>
        </w:rPr>
        <w:t>人，为基层输送了紧缺急需人才。促进基层卫生事业的发展，推进了我县社会主义新农村的建设。201</w:t>
      </w:r>
      <w:r>
        <w:rPr>
          <w:rFonts w:hint="eastAsia" w:ascii="仿宋_GB2312" w:hAnsi="宋体" w:eastAsia="仿宋_GB2312"/>
          <w:kern w:val="2"/>
          <w:sz w:val="32"/>
          <w:szCs w:val="32"/>
        </w:rPr>
        <w:t>9</w:t>
      </w:r>
      <w:r>
        <w:rPr>
          <w:rFonts w:hint="eastAsia" w:ascii="仿宋_GB2312" w:hAnsi="宋体" w:eastAsia="仿宋_GB2312"/>
          <w:kern w:val="2"/>
          <w:sz w:val="32"/>
          <w:szCs w:val="32"/>
          <w:lang w:val="zh-CN"/>
        </w:rPr>
        <w:t>年度支出</w:t>
      </w:r>
      <w:r>
        <w:rPr>
          <w:rFonts w:hint="eastAsia" w:ascii="仿宋_GB2312" w:hAnsi="宋体" w:eastAsia="仿宋_GB2312"/>
          <w:kern w:val="2"/>
          <w:sz w:val="32"/>
          <w:szCs w:val="32"/>
        </w:rPr>
        <w:t>18.75</w:t>
      </w:r>
      <w:r>
        <w:rPr>
          <w:rFonts w:hint="eastAsia" w:ascii="仿宋_GB2312" w:hAnsi="宋体" w:eastAsia="仿宋_GB2312"/>
          <w:kern w:val="2"/>
          <w:sz w:val="32"/>
          <w:szCs w:val="32"/>
          <w:lang w:val="zh-CN"/>
        </w:rPr>
        <w:t>万元，用于支付“三支一扶”人员工资、安家费、养老、医疗、工伤保险、培训、差旅等工作费用。项目资金使用率高，社会效益好。</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三、目标完成情况</w:t>
      </w:r>
      <w:r>
        <w:rPr>
          <w:rFonts w:hint="eastAsia" w:ascii="仿宋_GB2312" w:hAnsi="宋体" w:eastAsia="仿宋_GB2312"/>
          <w:sz w:val="32"/>
          <w:szCs w:val="32"/>
          <w:lang w:val="zh-CN"/>
        </w:rPr>
        <w:tab/>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（一）目标质量完成情况。</w:t>
      </w:r>
    </w:p>
    <w:p>
      <w:pPr>
        <w:pStyle w:val="12"/>
        <w:widowControl/>
        <w:shd w:val="clear" w:color="auto" w:fill="FFFFFF"/>
        <w:spacing w:beforeAutospacing="0" w:afterAutospacing="0" w:line="33" w:lineRule="atLeast"/>
        <w:ind w:firstLine="739" w:firstLineChars="231"/>
        <w:jc w:val="both"/>
        <w:rPr>
          <w:rFonts w:ascii="仿宋_GB2312" w:hAnsi="宋体" w:eastAsia="仿宋_GB2312"/>
          <w:kern w:val="2"/>
          <w:sz w:val="32"/>
          <w:szCs w:val="32"/>
          <w:lang w:val="zh-CN"/>
        </w:rPr>
      </w:pPr>
      <w:r>
        <w:rPr>
          <w:rFonts w:hint="eastAsia" w:ascii="仿宋_GB2312" w:hAnsi="宋体" w:eastAsia="仿宋_GB2312"/>
          <w:kern w:val="2"/>
          <w:sz w:val="32"/>
          <w:szCs w:val="32"/>
          <w:lang w:val="zh-CN"/>
        </w:rPr>
        <w:t>截止201</w:t>
      </w:r>
      <w:r>
        <w:rPr>
          <w:rFonts w:hint="eastAsia" w:ascii="仿宋_GB2312" w:hAnsi="宋体" w:eastAsia="仿宋_GB2312"/>
          <w:kern w:val="2"/>
          <w:sz w:val="32"/>
          <w:szCs w:val="32"/>
        </w:rPr>
        <w:t>9</w:t>
      </w:r>
      <w:r>
        <w:rPr>
          <w:rFonts w:hint="eastAsia" w:ascii="仿宋_GB2312" w:hAnsi="宋体" w:eastAsia="仿宋_GB2312"/>
          <w:kern w:val="2"/>
          <w:sz w:val="32"/>
          <w:szCs w:val="32"/>
          <w:lang w:val="zh-CN"/>
        </w:rPr>
        <w:t>年，已招募“三支一扶”高校毕业生</w:t>
      </w:r>
      <w:r>
        <w:rPr>
          <w:rFonts w:hint="eastAsia" w:ascii="仿宋_GB2312" w:hAnsi="宋体" w:eastAsia="仿宋_GB2312"/>
          <w:kern w:val="2"/>
          <w:sz w:val="32"/>
          <w:szCs w:val="32"/>
        </w:rPr>
        <w:t>4</w:t>
      </w:r>
      <w:r>
        <w:rPr>
          <w:rFonts w:hint="eastAsia" w:ascii="仿宋_GB2312" w:hAnsi="宋体" w:eastAsia="仿宋_GB2312"/>
          <w:kern w:val="2"/>
          <w:sz w:val="32"/>
          <w:szCs w:val="32"/>
          <w:lang w:val="zh-CN"/>
        </w:rPr>
        <w:t>人，为基层输送了紧缺急需人才。</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（二）目标进度完成情况。</w:t>
      </w:r>
    </w:p>
    <w:p>
      <w:pPr>
        <w:adjustRightInd w:val="0"/>
        <w:snapToGrid w:val="0"/>
        <w:spacing w:line="560" w:lineRule="exact"/>
        <w:ind w:firstLine="800" w:firstLineChars="250"/>
        <w:rPr>
          <w:rFonts w:ascii="仿宋_GB2312" w:hAnsi="宋体" w:eastAsia="仿宋_GB2312"/>
          <w:sz w:val="32"/>
          <w:szCs w:val="32"/>
          <w:lang w:val="zh-CN"/>
        </w:rPr>
      </w:pPr>
      <w:r>
        <w:rPr>
          <w:rFonts w:hint="eastAsia" w:ascii="仿宋_GB2312" w:hAnsi="宋体" w:eastAsia="仿宋_GB2312"/>
          <w:sz w:val="32"/>
          <w:szCs w:val="32"/>
          <w:lang w:val="zh-CN"/>
        </w:rPr>
        <w:t>按照预定进度计划，项目实际完成进度100%。</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四、项目效益情况</w:t>
      </w:r>
    </w:p>
    <w:p>
      <w:pPr>
        <w:pStyle w:val="12"/>
        <w:widowControl/>
        <w:shd w:val="clear" w:color="auto" w:fill="FFFFFF"/>
        <w:spacing w:beforeAutospacing="0" w:afterAutospacing="0" w:line="33" w:lineRule="atLeast"/>
        <w:ind w:firstLine="739" w:firstLineChars="231"/>
        <w:jc w:val="both"/>
        <w:rPr>
          <w:rFonts w:ascii="仿宋_GB2312" w:hAnsi="宋体" w:eastAsia="仿宋_GB2312"/>
          <w:kern w:val="2"/>
          <w:sz w:val="32"/>
          <w:szCs w:val="32"/>
          <w:lang w:val="zh-CN"/>
        </w:rPr>
      </w:pPr>
      <w:r>
        <w:rPr>
          <w:rFonts w:hint="eastAsia" w:ascii="仿宋_GB2312" w:hAnsi="宋体" w:eastAsia="仿宋_GB2312"/>
          <w:kern w:val="2"/>
          <w:sz w:val="32"/>
          <w:szCs w:val="32"/>
          <w:lang w:val="zh-CN"/>
        </w:rPr>
        <w:t>截止201</w:t>
      </w:r>
      <w:r>
        <w:rPr>
          <w:rFonts w:hint="eastAsia" w:ascii="仿宋_GB2312" w:hAnsi="宋体" w:eastAsia="仿宋_GB2312"/>
          <w:kern w:val="2"/>
          <w:sz w:val="32"/>
          <w:szCs w:val="32"/>
        </w:rPr>
        <w:t>9</w:t>
      </w:r>
      <w:r>
        <w:rPr>
          <w:rFonts w:hint="eastAsia" w:ascii="仿宋_GB2312" w:hAnsi="宋体" w:eastAsia="仿宋_GB2312"/>
          <w:kern w:val="2"/>
          <w:sz w:val="32"/>
          <w:szCs w:val="32"/>
          <w:lang w:val="zh-CN"/>
        </w:rPr>
        <w:t>年，已招募“三支一扶”高校毕业生</w:t>
      </w:r>
      <w:r>
        <w:rPr>
          <w:rFonts w:hint="eastAsia" w:ascii="仿宋_GB2312" w:hAnsi="宋体" w:eastAsia="仿宋_GB2312"/>
          <w:kern w:val="2"/>
          <w:sz w:val="32"/>
          <w:szCs w:val="32"/>
        </w:rPr>
        <w:t>4</w:t>
      </w:r>
      <w:r>
        <w:rPr>
          <w:rFonts w:hint="eastAsia" w:ascii="仿宋_GB2312" w:hAnsi="宋体" w:eastAsia="仿宋_GB2312"/>
          <w:kern w:val="2"/>
          <w:sz w:val="32"/>
          <w:szCs w:val="32"/>
          <w:lang w:val="zh-CN"/>
        </w:rPr>
        <w:t>人，为基层输送了紧缺急需人才。促进基层卫生事业的发展，推进了我县社会主义新农村的建设。201</w:t>
      </w:r>
      <w:r>
        <w:rPr>
          <w:rFonts w:hint="eastAsia" w:ascii="仿宋_GB2312" w:hAnsi="宋体" w:eastAsia="仿宋_GB2312"/>
          <w:kern w:val="2"/>
          <w:sz w:val="32"/>
          <w:szCs w:val="32"/>
        </w:rPr>
        <w:t>9</w:t>
      </w:r>
      <w:r>
        <w:rPr>
          <w:rFonts w:hint="eastAsia" w:ascii="仿宋_GB2312" w:hAnsi="宋体" w:eastAsia="仿宋_GB2312"/>
          <w:kern w:val="2"/>
          <w:sz w:val="32"/>
          <w:szCs w:val="32"/>
          <w:lang w:val="zh-CN"/>
        </w:rPr>
        <w:t>年度支出</w:t>
      </w:r>
      <w:r>
        <w:rPr>
          <w:rFonts w:hint="eastAsia" w:ascii="仿宋_GB2312" w:hAnsi="宋体" w:eastAsia="仿宋_GB2312"/>
          <w:kern w:val="2"/>
          <w:sz w:val="32"/>
          <w:szCs w:val="32"/>
        </w:rPr>
        <w:t>18.75</w:t>
      </w:r>
      <w:r>
        <w:rPr>
          <w:rFonts w:hint="eastAsia" w:ascii="仿宋_GB2312" w:hAnsi="宋体" w:eastAsia="仿宋_GB2312"/>
          <w:kern w:val="2"/>
          <w:sz w:val="32"/>
          <w:szCs w:val="32"/>
          <w:lang w:val="zh-CN"/>
        </w:rPr>
        <w:t>万元，用于支付“三支一扶”人员工资、安家费、养老、医疗、工伤保险、培训、差旅等工作费用。项目资金使用率高，社会效益好。</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五、问题及建议</w:t>
      </w:r>
    </w:p>
    <w:p>
      <w:pPr>
        <w:adjustRightInd w:val="0"/>
        <w:snapToGrid w:val="0"/>
        <w:spacing w:line="560" w:lineRule="exact"/>
        <w:ind w:firstLine="320" w:firstLineChars="100"/>
        <w:rPr>
          <w:rFonts w:ascii="仿宋_GB2312" w:hAnsi="宋体" w:eastAsia="仿宋_GB2312"/>
          <w:sz w:val="32"/>
          <w:szCs w:val="32"/>
          <w:lang w:val="zh-CN"/>
        </w:rPr>
      </w:pPr>
      <w:r>
        <w:rPr>
          <w:rFonts w:hint="eastAsia" w:ascii="仿宋_GB2312" w:hAnsi="宋体" w:eastAsia="仿宋_GB2312"/>
          <w:sz w:val="32"/>
          <w:szCs w:val="32"/>
          <w:lang w:val="zh-CN"/>
        </w:rPr>
        <w:t>（一）存在的问题。</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项目资金少。</w:t>
      </w:r>
    </w:p>
    <w:p>
      <w:pPr>
        <w:adjustRightInd w:val="0"/>
        <w:snapToGrid w:val="0"/>
        <w:spacing w:line="560" w:lineRule="exact"/>
        <w:ind w:firstLine="320" w:firstLineChars="100"/>
        <w:rPr>
          <w:rFonts w:ascii="仿宋_GB2312" w:hAnsi="宋体" w:eastAsia="仿宋_GB2312"/>
          <w:sz w:val="32"/>
          <w:szCs w:val="32"/>
          <w:lang w:val="zh-CN"/>
        </w:rPr>
      </w:pPr>
      <w:r>
        <w:rPr>
          <w:rFonts w:hint="eastAsia" w:ascii="仿宋_GB2312" w:hAnsi="宋体" w:eastAsia="仿宋_GB2312"/>
          <w:sz w:val="32"/>
          <w:szCs w:val="32"/>
          <w:lang w:val="zh-CN"/>
        </w:rPr>
        <w:t>（二）相关建议。</w:t>
      </w:r>
    </w:p>
    <w:p>
      <w:pPr>
        <w:adjustRightInd w:val="0"/>
        <w:snapToGrid w:val="0"/>
        <w:spacing w:line="560" w:lineRule="exact"/>
        <w:ind w:left="720"/>
        <w:rPr>
          <w:rFonts w:ascii="仿宋_GB2312" w:hAnsi="宋体" w:eastAsia="仿宋_GB2312"/>
          <w:sz w:val="32"/>
          <w:szCs w:val="32"/>
          <w:lang w:val="zh-CN"/>
        </w:rPr>
      </w:pPr>
      <w:r>
        <w:rPr>
          <w:rFonts w:hint="eastAsia" w:ascii="仿宋_GB2312" w:hAnsi="宋体" w:eastAsia="仿宋_GB2312"/>
          <w:sz w:val="32"/>
          <w:szCs w:val="32"/>
          <w:lang w:val="zh-CN"/>
        </w:rPr>
        <w:t>增加项目资金，加强人员培训。</w:t>
      </w:r>
    </w:p>
    <w:p>
      <w:pPr>
        <w:ind w:firstLine="640" w:firstLineChars="200"/>
        <w:rPr>
          <w:rFonts w:ascii="仿宋_GB2312" w:hAnsi="宋体" w:eastAsia="仿宋_GB2312"/>
          <w:sz w:val="32"/>
          <w:szCs w:val="32"/>
          <w:lang w:val="zh-CN"/>
        </w:rPr>
      </w:pPr>
    </w:p>
    <w:p>
      <w:pPr>
        <w:pStyle w:val="3"/>
        <w:rPr>
          <w:rStyle w:val="32"/>
          <w:rFonts w:ascii="仿宋" w:hAnsi="仿宋" w:eastAsia="仿宋"/>
          <w:b w:val="0"/>
          <w:bCs w:val="0"/>
          <w:sz w:val="32"/>
          <w:szCs w:val="32"/>
        </w:rPr>
      </w:pPr>
      <w:bookmarkStart w:id="84" w:name="_Toc10159"/>
      <w:r>
        <w:rPr>
          <w:rStyle w:val="32"/>
          <w:rFonts w:hint="eastAsia" w:ascii="仿宋" w:hAnsi="仿宋" w:eastAsia="仿宋"/>
          <w:b w:val="0"/>
          <w:bCs w:val="0"/>
          <w:sz w:val="32"/>
          <w:szCs w:val="32"/>
        </w:rPr>
        <w:t>附件2－5</w:t>
      </w:r>
      <w:bookmarkEnd w:id="84"/>
    </w:p>
    <w:p>
      <w:pPr>
        <w:widowControl/>
        <w:spacing w:line="580" w:lineRule="exact"/>
        <w:jc w:val="left"/>
        <w:rPr>
          <w:rFonts w:ascii="宋体" w:hAnsi="宋体" w:cs="宋体"/>
          <w:sz w:val="30"/>
          <w:szCs w:val="30"/>
        </w:rPr>
      </w:pPr>
    </w:p>
    <w:p>
      <w:pPr>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仿宋_GB2312" w:hAnsi="宋体" w:eastAsia="仿宋_GB2312" w:cs="仿宋_GB2312"/>
          <w:sz w:val="32"/>
        </w:rPr>
      </w:pPr>
      <w:r>
        <w:rPr>
          <w:rFonts w:hint="eastAsia" w:ascii="方正小标宋简体" w:hAnsi="宋体" w:eastAsia="方正小标宋简体" w:cs="方正小标宋简体"/>
          <w:sz w:val="32"/>
          <w:szCs w:val="44"/>
        </w:rPr>
        <w:t>（长效节育措施项目）　</w:t>
      </w:r>
    </w:p>
    <w:p>
      <w:pPr>
        <w:pStyle w:val="33"/>
        <w:widowControl/>
        <w:spacing w:line="580" w:lineRule="exact"/>
        <w:jc w:val="center"/>
        <w:rPr>
          <w:rFonts w:ascii="宋体" w:hAns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lang w:val="zh-CN"/>
        </w:rPr>
      </w:pPr>
      <w:r>
        <w:rPr>
          <w:rFonts w:hint="eastAsia" w:ascii="楷体_GB2312" w:hAnsi="宋体" w:eastAsia="楷体_GB2312" w:cs="楷体_GB2312"/>
          <w:b/>
          <w:sz w:val="32"/>
          <w:lang w:val="zh-CN"/>
        </w:rPr>
        <w:t>（一）项目资金申报及批复情况。</w:t>
      </w:r>
      <w:r>
        <w:rPr>
          <w:rFonts w:hint="eastAsia" w:ascii="仿宋_GB2312" w:hAnsi="宋体" w:eastAsia="仿宋_GB2312" w:cs="仿宋_GB2312"/>
          <w:sz w:val="32"/>
        </w:rPr>
        <w:t>2019年重点县生育秩序整治专项资金</w:t>
      </w:r>
      <w:r>
        <w:rPr>
          <w:rFonts w:hint="eastAsia" w:ascii="仿宋_GB2312" w:hAnsi="宋体" w:eastAsia="仿宋_GB2312" w:cs="仿宋_GB2312"/>
          <w:sz w:val="32"/>
          <w:lang w:val="zh-CN"/>
        </w:rPr>
        <w:t>，对达到政策生育上限育龄妇女落实长效节育措施的，资金使用符合资金管理办法等相关规定。</w:t>
      </w:r>
    </w:p>
    <w:p>
      <w:pPr>
        <w:adjustRightInd w:val="0"/>
        <w:snapToGrid w:val="0"/>
        <w:spacing w:line="580" w:lineRule="exact"/>
        <w:ind w:firstLine="720"/>
        <w:rPr>
          <w:rFonts w:ascii="仿宋_GB2312" w:hAnsi="宋体" w:eastAsia="仿宋_GB2312" w:cs="仿宋_GB2312"/>
          <w:lang w:val="zh-CN"/>
        </w:rPr>
      </w:pPr>
      <w:r>
        <w:rPr>
          <w:rFonts w:hint="eastAsia" w:ascii="楷体_GB2312" w:hAnsi="宋体" w:eastAsia="楷体_GB2312" w:cs="楷体_GB2312"/>
          <w:b/>
          <w:sz w:val="32"/>
          <w:lang w:val="zh-CN"/>
        </w:rPr>
        <w:t>（二）项目绩效目标。</w:t>
      </w:r>
      <w:r>
        <w:rPr>
          <w:rFonts w:hint="eastAsia" w:ascii="仿宋_GB2312" w:hAnsi="宋体" w:eastAsia="仿宋_GB2312" w:cs="仿宋_GB2312"/>
          <w:sz w:val="32"/>
          <w:lang w:val="zh-CN"/>
        </w:rPr>
        <w:t>该项目资金计划对红原县</w:t>
      </w:r>
      <w:r>
        <w:rPr>
          <w:rFonts w:hint="eastAsia" w:ascii="仿宋_GB2312" w:hAnsi="宋体" w:eastAsia="仿宋_GB2312" w:cs="仿宋_GB2312"/>
          <w:sz w:val="32"/>
        </w:rPr>
        <w:t>2019年符合条件的340人</w:t>
      </w:r>
      <w:r>
        <w:rPr>
          <w:rFonts w:hint="eastAsia" w:ascii="仿宋_GB2312" w:hAnsi="宋体" w:eastAsia="仿宋_GB2312" w:cs="仿宋_GB2312"/>
          <w:sz w:val="32"/>
          <w:lang w:val="zh-CN"/>
        </w:rPr>
        <w:t>进行奖励。</w:t>
      </w:r>
    </w:p>
    <w:p>
      <w:pPr>
        <w:adjustRightInd w:val="0"/>
        <w:snapToGrid w:val="0"/>
        <w:spacing w:line="580" w:lineRule="exact"/>
        <w:ind w:firstLine="720"/>
        <w:rPr>
          <w:rFonts w:ascii="仿宋_GB2312" w:hAnsi="宋体" w:eastAsia="仿宋_GB2312" w:cs="仿宋_GB2312"/>
          <w:lang w:val="zh-CN"/>
        </w:rPr>
      </w:pPr>
      <w:r>
        <w:rPr>
          <w:rFonts w:hint="eastAsia" w:ascii="楷体_GB2312" w:hAnsi="宋体" w:eastAsia="楷体_GB2312" w:cs="楷体_GB2312"/>
          <w:b/>
          <w:sz w:val="32"/>
          <w:lang w:val="zh-CN"/>
        </w:rPr>
        <w:t>（三）项目资金申报相符性。</w:t>
      </w:r>
      <w:r>
        <w:rPr>
          <w:rFonts w:hint="eastAsia" w:ascii="仿宋_GB2312" w:hAnsi="宋体" w:eastAsia="仿宋_GB2312" w:cs="仿宋_GB2312"/>
          <w:sz w:val="32"/>
          <w:lang w:val="zh-CN"/>
        </w:rPr>
        <w:t>项目申报内容与具体实施内容相符、申报目标合理可行。</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仿宋_GB2312" w:hAnsi="宋体" w:eastAsia="仿宋_GB2312" w:cs="仿宋_GB2312"/>
          <w:sz w:val="32"/>
        </w:rPr>
      </w:pPr>
      <w:r>
        <w:rPr>
          <w:rFonts w:hint="eastAsia" w:ascii="楷体_GB2312" w:hAnsi="宋体" w:eastAsia="楷体_GB2312" w:cs="楷体_GB2312"/>
          <w:sz w:val="32"/>
          <w:lang w:val="zh-CN"/>
        </w:rPr>
        <w:t>1．资金计划及到位。</w:t>
      </w:r>
      <w:r>
        <w:rPr>
          <w:rFonts w:hint="eastAsia" w:ascii="仿宋_GB2312" w:hAnsi="宋体" w:eastAsia="仿宋_GB2312" w:cs="仿宋_GB2312"/>
          <w:sz w:val="32"/>
          <w:lang w:val="zh-CN"/>
        </w:rPr>
        <w:t>截止评价时点该项目州级资金计划和实际到位均为</w:t>
      </w:r>
      <w:r>
        <w:rPr>
          <w:rFonts w:hint="eastAsia" w:ascii="仿宋_GB2312" w:hAnsi="宋体" w:eastAsia="仿宋_GB2312" w:cs="仿宋_GB2312"/>
          <w:sz w:val="32"/>
        </w:rPr>
        <w:t>10.2万元，</w:t>
      </w:r>
      <w:r>
        <w:rPr>
          <w:rFonts w:hint="eastAsia" w:ascii="仿宋_GB2312" w:hAnsi="宋体" w:eastAsia="仿宋_GB2312" w:cs="仿宋_GB2312"/>
          <w:sz w:val="32"/>
          <w:lang w:val="zh-CN"/>
        </w:rPr>
        <w:t>到位率</w:t>
      </w:r>
      <w:r>
        <w:rPr>
          <w:rFonts w:hint="eastAsia" w:ascii="仿宋_GB2312" w:hAnsi="宋体" w:eastAsia="仿宋_GB2312" w:cs="仿宋_GB2312"/>
          <w:sz w:val="32"/>
        </w:rPr>
        <w:t>100%。</w:t>
      </w:r>
    </w:p>
    <w:p>
      <w:pPr>
        <w:adjustRightInd w:val="0"/>
        <w:snapToGrid w:val="0"/>
        <w:spacing w:line="580" w:lineRule="exact"/>
        <w:ind w:firstLine="720"/>
        <w:rPr>
          <w:rFonts w:ascii="仿宋_GB2312" w:hAnsi="宋体" w:eastAsia="仿宋_GB2312" w:cs="仿宋_GB2312"/>
          <w:sz w:val="32"/>
          <w:lang w:val="zh-CN"/>
        </w:rPr>
      </w:pPr>
      <w:r>
        <w:rPr>
          <w:rFonts w:hint="eastAsia" w:ascii="楷体_GB2312" w:hAnsi="宋体" w:eastAsia="楷体_GB2312" w:cs="楷体_GB2312"/>
          <w:sz w:val="32"/>
          <w:lang w:val="zh-CN"/>
        </w:rPr>
        <w:t>2．资金使用。</w:t>
      </w:r>
      <w:r>
        <w:rPr>
          <w:rFonts w:hint="eastAsia" w:ascii="仿宋_GB2312" w:hAnsi="宋体" w:eastAsia="仿宋_GB2312" w:cs="仿宋_GB2312"/>
          <w:sz w:val="32"/>
          <w:lang w:val="zh-CN"/>
        </w:rPr>
        <w:t>截止评价时点项目资金的实际支出</w:t>
      </w:r>
      <w:r>
        <w:rPr>
          <w:rFonts w:hint="eastAsia" w:ascii="仿宋_GB2312" w:hAnsi="宋体" w:eastAsia="仿宋_GB2312" w:cs="仿宋_GB2312"/>
          <w:sz w:val="32"/>
        </w:rPr>
        <w:t>州</w:t>
      </w:r>
      <w:r>
        <w:rPr>
          <w:rFonts w:hint="eastAsia" w:ascii="仿宋_GB2312" w:hAnsi="宋体" w:eastAsia="仿宋_GB2312" w:cs="仿宋_GB2312"/>
          <w:sz w:val="32"/>
          <w:lang w:val="zh-CN"/>
        </w:rPr>
        <w:t>级资金</w:t>
      </w:r>
      <w:r>
        <w:rPr>
          <w:rFonts w:hint="eastAsia" w:ascii="仿宋_GB2312" w:hAnsi="宋体" w:eastAsia="仿宋_GB2312" w:cs="仿宋_GB2312"/>
          <w:sz w:val="32"/>
        </w:rPr>
        <w:t>10.2万元，</w:t>
      </w:r>
      <w:r>
        <w:rPr>
          <w:rFonts w:hint="eastAsia" w:ascii="仿宋_GB2312" w:hAnsi="宋体" w:eastAsia="仿宋_GB2312" w:cs="仿宋_GB2312"/>
          <w:sz w:val="32"/>
          <w:lang w:val="zh-CN"/>
        </w:rPr>
        <w:t>资金开支范围符合资金使用要求，支付依据合规合法。</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项目严格按照项目资金管理办法和财务管理制度执行、财务处理及时、会计核算规范等。</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adjustRightInd w:val="0"/>
        <w:snapToGrid w:val="0"/>
        <w:spacing w:line="580" w:lineRule="exact"/>
        <w:ind w:firstLine="720"/>
        <w:rPr>
          <w:rFonts w:ascii="仿宋_GB2312" w:hAnsi="宋体" w:eastAsia="仿宋_GB2312" w:cs="仿宋_GB2312"/>
          <w:sz w:val="32"/>
        </w:rPr>
      </w:pPr>
      <w:r>
        <w:rPr>
          <w:rFonts w:hint="eastAsia" w:ascii="仿宋_GB2312" w:hAnsi="宋体" w:eastAsia="仿宋_GB2312" w:cs="仿宋_GB2312"/>
          <w:sz w:val="32"/>
          <w:lang w:val="zh-CN"/>
        </w:rPr>
        <w:t>由乡镇计生专干负责对各乡镇达到政策生育上限育龄且落实长效节育措施的妇女人数进行收集和审核，然后报县卫计局业务股审核后才予以发放，</w:t>
      </w:r>
      <w:r>
        <w:rPr>
          <w:rFonts w:hint="eastAsia" w:ascii="仿宋_GB2312" w:hAnsi="宋体" w:eastAsia="仿宋_GB2312" w:cs="仿宋_GB2312"/>
          <w:sz w:val="32"/>
        </w:rPr>
        <w:t>购置相关</w:t>
      </w:r>
      <w:r>
        <w:rPr>
          <w:rFonts w:hint="eastAsia" w:ascii="仿宋_GB2312" w:hAnsi="宋体" w:eastAsia="仿宋_GB2312" w:cs="仿宋_GB2312"/>
          <w:sz w:val="32"/>
          <w:lang w:val="zh-CN"/>
        </w:rPr>
        <w:t>节育措施</w:t>
      </w:r>
      <w:r>
        <w:rPr>
          <w:rFonts w:hint="eastAsia" w:ascii="仿宋_GB2312" w:hAnsi="宋体" w:eastAsia="仿宋_GB2312" w:cs="仿宋_GB2312"/>
          <w:sz w:val="32"/>
        </w:rPr>
        <w:t>的器具。</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截止评价时点项目资金的实际支出</w:t>
      </w:r>
      <w:r>
        <w:rPr>
          <w:rFonts w:hint="eastAsia" w:ascii="仿宋_GB2312" w:hAnsi="宋体" w:eastAsia="仿宋_GB2312" w:cs="仿宋_GB2312"/>
          <w:sz w:val="32"/>
        </w:rPr>
        <w:t>10.2万元</w:t>
      </w:r>
      <w:r>
        <w:rPr>
          <w:rFonts w:hint="eastAsia" w:ascii="仿宋_GB2312" w:hAnsi="宋体" w:eastAsia="仿宋_GB2312" w:cs="仿宋_GB2312"/>
          <w:sz w:val="32"/>
          <w:lang w:val="zh-CN"/>
        </w:rPr>
        <w:t>。</w:t>
      </w:r>
    </w:p>
    <w:p>
      <w:pPr>
        <w:pStyle w:val="12"/>
        <w:widowControl/>
        <w:numPr>
          <w:ilvl w:val="0"/>
          <w:numId w:val="15"/>
        </w:numPr>
        <w:spacing w:beforeAutospacing="0" w:afterAutospacing="0" w:line="360" w:lineRule="atLeast"/>
        <w:rPr>
          <w:rFonts w:ascii="楷体_GB2312" w:hAnsi="宋体" w:eastAsia="楷体_GB2312" w:cs="楷体_GB2312"/>
          <w:b/>
          <w:kern w:val="2"/>
          <w:sz w:val="32"/>
          <w:lang w:val="zh-CN"/>
        </w:rPr>
      </w:pPr>
      <w:r>
        <w:rPr>
          <w:rFonts w:hint="eastAsia" w:ascii="楷体_GB2312" w:hAnsi="宋体" w:eastAsia="楷体_GB2312" w:cs="楷体_GB2312"/>
          <w:b/>
          <w:kern w:val="2"/>
          <w:sz w:val="32"/>
          <w:lang w:val="zh-CN"/>
        </w:rPr>
        <w:t>项目效益情况。</w:t>
      </w:r>
    </w:p>
    <w:p>
      <w:pPr>
        <w:pStyle w:val="12"/>
        <w:widowControl/>
        <w:spacing w:beforeAutospacing="0" w:afterAutospacing="0" w:line="360" w:lineRule="atLeast"/>
        <w:rPr>
          <w:rFonts w:ascii="楷体_GB2312" w:hAnsi="宋体" w:eastAsia="仿宋_GB2312" w:cs="楷体_GB2312"/>
          <w:b/>
        </w:rPr>
      </w:pPr>
      <w:r>
        <w:rPr>
          <w:rFonts w:hint="eastAsia" w:ascii="仿宋_GB2312" w:hAnsi="宋体" w:eastAsia="仿宋_GB2312" w:cs="仿宋_GB2312"/>
          <w:kern w:val="2"/>
          <w:sz w:val="32"/>
          <w:lang w:val="zh-CN"/>
        </w:rPr>
        <w:t>　　鼓励、引导群众落实长效节育措施，减少政策人口出生数，提高人口和计划生育工作水平，促进和谐社会建设。</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五、问题及建议</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我县处于牧区，收集各乡镇达到政策生育上限育龄且落实长效节育措施的妇女人数困难较大，目标任务完成缓慢。</w:t>
      </w:r>
    </w:p>
    <w:p>
      <w:pPr>
        <w:adjustRightInd w:val="0"/>
        <w:snapToGrid w:val="0"/>
        <w:spacing w:line="580" w:lineRule="exact"/>
        <w:ind w:firstLine="720"/>
        <w:rPr>
          <w:rFonts w:ascii="仿宋_GB2312" w:hAnsi="宋体" w:eastAsia="仿宋_GB2312" w:cs="仿宋_GB2312"/>
          <w:sz w:val="32"/>
          <w:lang w:val="zh-CN"/>
        </w:rPr>
      </w:pPr>
      <w:r>
        <w:rPr>
          <w:rFonts w:hint="eastAsia" w:ascii="楷体_GB2312" w:hAnsi="宋体" w:eastAsia="楷体_GB2312" w:cs="楷体_GB2312"/>
          <w:b/>
          <w:sz w:val="32"/>
          <w:lang w:val="zh-CN"/>
        </w:rPr>
        <w:t>（二）相关建议。</w:t>
      </w:r>
      <w:r>
        <w:rPr>
          <w:rFonts w:hint="eastAsia" w:ascii="仿宋_GB2312" w:hAnsi="宋体" w:eastAsia="仿宋_GB2312" w:cs="仿宋_GB2312"/>
          <w:sz w:val="32"/>
          <w:lang w:val="zh-CN"/>
        </w:rPr>
        <w:t>无</w:t>
      </w:r>
    </w:p>
    <w:p>
      <w:pPr>
        <w:ind w:firstLine="420" w:firstLineChars="200"/>
        <w:rPr>
          <w:rFonts w:ascii="楷体_GB2312" w:hAnsi="宋体" w:eastAsia="楷体_GB2312"/>
          <w:szCs w:val="32"/>
          <w:lang w:val="zh-CN"/>
        </w:rPr>
      </w:pPr>
    </w:p>
    <w:p>
      <w:pPr>
        <w:ind w:firstLine="420" w:firstLineChars="200"/>
        <w:rPr>
          <w:rFonts w:ascii="楷体_GB2312" w:hAnsi="宋体" w:eastAsia="楷体_GB2312"/>
          <w:szCs w:val="32"/>
          <w:lang w:val="zh-CN"/>
        </w:rPr>
      </w:pPr>
    </w:p>
    <w:p>
      <w:pPr>
        <w:spacing w:line="600" w:lineRule="exact"/>
        <w:rPr>
          <w:rFonts w:ascii="黑体" w:hAnsi="黑体" w:eastAsia="黑体"/>
          <w:color w:val="000000"/>
          <w:sz w:val="44"/>
          <w:szCs w:val="44"/>
        </w:rPr>
      </w:pP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rPr>
          <w:rStyle w:val="25"/>
          <w:rFonts w:ascii="黑体" w:hAnsi="黑体" w:eastAsia="黑体"/>
          <w:b w:val="0"/>
        </w:rPr>
      </w:pPr>
    </w:p>
    <w:p>
      <w:pPr>
        <w:spacing w:line="600" w:lineRule="exact"/>
        <w:jc w:val="center"/>
        <w:outlineLvl w:val="0"/>
        <w:rPr>
          <w:rStyle w:val="25"/>
          <w:rFonts w:ascii="黑体" w:hAnsi="黑体" w:eastAsia="黑体"/>
          <w:b w:val="0"/>
        </w:rPr>
      </w:pPr>
      <w:bookmarkStart w:id="85" w:name="_Toc15396618"/>
      <w:bookmarkStart w:id="86" w:name="_Toc37"/>
      <w:r>
        <w:rPr>
          <w:rFonts w:hint="eastAsia" w:ascii="黑体" w:hAnsi="黑体" w:eastAsia="黑体"/>
          <w:color w:val="000000"/>
          <w:sz w:val="44"/>
          <w:szCs w:val="44"/>
        </w:rPr>
        <w:t>第</w:t>
      </w:r>
      <w:r>
        <w:rPr>
          <w:rStyle w:val="25"/>
          <w:rFonts w:hint="eastAsia" w:ascii="黑体" w:hAnsi="黑体" w:eastAsia="黑体"/>
          <w:b w:val="0"/>
        </w:rPr>
        <w:t>五部分 附表</w:t>
      </w:r>
      <w:bookmarkEnd w:id="71"/>
      <w:bookmarkEnd w:id="85"/>
      <w:bookmarkEnd w:id="86"/>
    </w:p>
    <w:p>
      <w:pPr>
        <w:spacing w:line="600" w:lineRule="exact"/>
        <w:jc w:val="center"/>
        <w:rPr>
          <w:rFonts w:ascii="仿宋" w:hAnsi="仿宋" w:eastAsia="仿宋"/>
          <w:b/>
          <w:color w:val="000000"/>
          <w:sz w:val="44"/>
          <w:szCs w:val="44"/>
        </w:rPr>
      </w:pPr>
    </w:p>
    <w:p>
      <w:pPr>
        <w:pStyle w:val="3"/>
        <w:rPr>
          <w:rFonts w:ascii="仿宋" w:hAnsi="仿宋" w:eastAsia="仿宋"/>
          <w:color w:val="000000"/>
        </w:rPr>
      </w:pPr>
      <w:bookmarkStart w:id="87" w:name="_Toc16212"/>
      <w:bookmarkStart w:id="88"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87"/>
      <w:bookmarkEnd w:id="88"/>
    </w:p>
    <w:p>
      <w:pPr>
        <w:pStyle w:val="3"/>
        <w:rPr>
          <w:rFonts w:ascii="仿宋" w:hAnsi="仿宋" w:eastAsia="仿宋"/>
          <w:color w:val="000000"/>
        </w:rPr>
      </w:pPr>
      <w:bookmarkStart w:id="89" w:name="_Toc15396620"/>
      <w:bookmarkStart w:id="90" w:name="_Toc14600"/>
      <w:r>
        <w:rPr>
          <w:rFonts w:hint="eastAsia" w:ascii="仿宋" w:hAnsi="仿宋" w:eastAsia="仿宋"/>
          <w:b w:val="0"/>
          <w:color w:val="000000"/>
        </w:rPr>
        <w:t>二、收</w:t>
      </w:r>
      <w:r>
        <w:rPr>
          <w:rStyle w:val="26"/>
          <w:rFonts w:hint="eastAsia" w:ascii="仿宋" w:hAnsi="仿宋" w:eastAsia="仿宋"/>
          <w:b w:val="0"/>
          <w:bCs w:val="0"/>
        </w:rPr>
        <w:t>入决算表</w:t>
      </w:r>
      <w:bookmarkEnd w:id="89"/>
      <w:bookmarkEnd w:id="90"/>
    </w:p>
    <w:p>
      <w:pPr>
        <w:pStyle w:val="3"/>
        <w:rPr>
          <w:rFonts w:ascii="仿宋" w:hAnsi="仿宋" w:eastAsia="仿宋"/>
          <w:color w:val="000000"/>
        </w:rPr>
      </w:pPr>
      <w:bookmarkStart w:id="91" w:name="_Toc15396621"/>
      <w:bookmarkStart w:id="92" w:name="_Toc1314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91"/>
      <w:bookmarkEnd w:id="92"/>
    </w:p>
    <w:p>
      <w:pPr>
        <w:pStyle w:val="3"/>
        <w:rPr>
          <w:rFonts w:ascii="仿宋" w:hAnsi="仿宋" w:eastAsia="仿宋"/>
          <w:b w:val="0"/>
          <w:color w:val="000000"/>
        </w:rPr>
      </w:pPr>
      <w:bookmarkStart w:id="93" w:name="_Toc15396622"/>
      <w:bookmarkStart w:id="94" w:name="_Toc9884"/>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93"/>
      <w:bookmarkEnd w:id="94"/>
    </w:p>
    <w:p>
      <w:pPr>
        <w:pStyle w:val="3"/>
        <w:rPr>
          <w:rStyle w:val="26"/>
          <w:rFonts w:ascii="仿宋" w:hAnsi="仿宋" w:eastAsia="仿宋"/>
          <w:b w:val="0"/>
          <w:bCs w:val="0"/>
        </w:rPr>
      </w:pPr>
      <w:bookmarkStart w:id="95" w:name="_Toc7406"/>
      <w:bookmarkStart w:id="96"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95"/>
      <w:bookmarkEnd w:id="96"/>
      <w:bookmarkStart w:id="97" w:name="_Toc15396624"/>
    </w:p>
    <w:p>
      <w:pPr>
        <w:pStyle w:val="3"/>
        <w:rPr>
          <w:rFonts w:ascii="仿宋" w:hAnsi="仿宋" w:eastAsia="仿宋"/>
          <w:color w:val="000000"/>
        </w:rPr>
      </w:pPr>
      <w:bookmarkStart w:id="98" w:name="_Toc959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97"/>
      <w:bookmarkEnd w:id="98"/>
    </w:p>
    <w:p>
      <w:pPr>
        <w:pStyle w:val="3"/>
        <w:rPr>
          <w:rFonts w:ascii="仿宋" w:hAnsi="仿宋" w:eastAsia="仿宋"/>
          <w:color w:val="000000"/>
        </w:rPr>
      </w:pPr>
      <w:bookmarkStart w:id="99" w:name="_Toc15396625"/>
      <w:bookmarkStart w:id="100" w:name="_Toc30099"/>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99"/>
      <w:bookmarkEnd w:id="100"/>
    </w:p>
    <w:p>
      <w:pPr>
        <w:pStyle w:val="3"/>
        <w:rPr>
          <w:rFonts w:ascii="仿宋" w:hAnsi="仿宋" w:eastAsia="仿宋"/>
          <w:color w:val="000000"/>
        </w:rPr>
      </w:pPr>
      <w:bookmarkStart w:id="101" w:name="_Toc903"/>
      <w:bookmarkStart w:id="102"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01"/>
      <w:bookmarkEnd w:id="102"/>
    </w:p>
    <w:p>
      <w:pPr>
        <w:pStyle w:val="3"/>
        <w:rPr>
          <w:rFonts w:ascii="仿宋" w:hAnsi="仿宋" w:eastAsia="仿宋"/>
          <w:color w:val="000000"/>
        </w:rPr>
      </w:pPr>
      <w:bookmarkStart w:id="103" w:name="_Toc15396627"/>
      <w:bookmarkStart w:id="104" w:name="_Toc27779"/>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03"/>
      <w:bookmarkEnd w:id="104"/>
    </w:p>
    <w:p>
      <w:pPr>
        <w:pStyle w:val="3"/>
        <w:rPr>
          <w:rFonts w:ascii="仿宋" w:hAnsi="仿宋" w:eastAsia="仿宋"/>
          <w:color w:val="000000"/>
        </w:rPr>
      </w:pPr>
      <w:bookmarkStart w:id="105" w:name="_Toc4086"/>
      <w:bookmarkStart w:id="106"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05"/>
      <w:bookmarkEnd w:id="106"/>
    </w:p>
    <w:p>
      <w:pPr>
        <w:pStyle w:val="3"/>
        <w:rPr>
          <w:rFonts w:ascii="仿宋" w:hAnsi="仿宋" w:eastAsia="仿宋"/>
          <w:color w:val="000000"/>
        </w:rPr>
      </w:pPr>
      <w:bookmarkStart w:id="107" w:name="_Toc15396629"/>
      <w:bookmarkStart w:id="108" w:name="_Toc1438"/>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07"/>
      <w:bookmarkEnd w:id="108"/>
    </w:p>
    <w:p>
      <w:pPr>
        <w:pStyle w:val="3"/>
        <w:rPr>
          <w:rFonts w:ascii="仿宋" w:hAnsi="仿宋" w:eastAsia="仿宋"/>
          <w:color w:val="000000"/>
        </w:rPr>
      </w:pPr>
      <w:bookmarkStart w:id="109" w:name="_Toc15396630"/>
      <w:bookmarkStart w:id="110" w:name="_Toc2126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09"/>
      <w:bookmarkEnd w:id="110"/>
    </w:p>
    <w:p>
      <w:pPr>
        <w:pStyle w:val="3"/>
        <w:rPr>
          <w:rFonts w:ascii="仿宋" w:hAnsi="仿宋" w:eastAsia="仿宋"/>
          <w:color w:val="000000" w:themeColor="text1"/>
          <w14:textFill>
            <w14:solidFill>
              <w14:schemeClr w14:val="tx1"/>
            </w14:solidFill>
          </w14:textFill>
        </w:rPr>
      </w:pPr>
      <w:bookmarkStart w:id="111" w:name="_Toc15396631"/>
      <w:bookmarkStart w:id="112" w:name="_Toc13339"/>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111"/>
      <w:bookmarkEnd w:id="112"/>
    </w:p>
    <w:sectPr>
      <w:footerReference r:id="rId12" w:type="first"/>
      <w:footerReference r:id="rId11"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pPr>
                          <w:r>
                            <w:fldChar w:fldCharType="begin"/>
                          </w:r>
                          <w:r>
                            <w:instrText xml:space="preserve"> PAGE  \* MERGEFORMAT </w:instrText>
                          </w:r>
                          <w: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M6pebnPAAAA&#10;BQEAAA8AAAAAAAAAAQAgAAAAIgAAAGRycy9kb3ducmV2LnhtbFBLAQIUABQAAAAIAIdO4kAHf1e0&#10;tAEAAF0DAAAOAAAAAAAAAAEAIAAAAB4BAABkcnMvZTJvRG9jLnhtbFBLBQYAAAAABgAGAFkBAABE&#10;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rPr>
                        <w:rFonts w:hint="eastAsia"/>
                      </w:rP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1994781956"/>
                          </w:sdtPr>
                          <w:sdtContent>
                            <w:p>
                              <w:pPr>
                                <w:pStyle w:val="8"/>
                                <w:jc w:val="center"/>
                              </w:pPr>
                              <w:r>
                                <w:fldChar w:fldCharType="begin"/>
                              </w:r>
                              <w:r>
                                <w:instrText xml:space="preserve">PAGE   \* MERGEFORMAT</w:instrText>
                              </w:r>
                              <w:r>
                                <w:fldChar w:fldCharType="separate"/>
                              </w:r>
                              <w:r>
                                <w:rPr>
                                  <w:lang w:val="zh-CN"/>
                                </w:rPr>
                                <w:t>61</w:t>
                              </w:r>
                              <w:r>
                                <w:rPr>
                                  <w:lang w:val="zh-CN"/>
                                </w:rPr>
                                <w:fldChar w:fldCharType="end"/>
                              </w:r>
                            </w:p>
                          </w:sdtContent>
                        </w:sdt>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ql5uc8AAAAF&#10;AQAADwAAAAAAAAABACAAAAAiAAAAZHJzL2Rvd25yZXYueG1sUEsBAhQAFAAAAAgAh07iQAQLzRWz&#10;AQAAXAMAAA4AAAAAAAAAAQAgAAAAHgEAAGRycy9lMm9Eb2MueG1sUEsFBgAAAAAGAAYAWQEAAEMF&#10;AAAAAA==&#10;">
              <v:fill on="f" focussize="0,0"/>
              <v:stroke on="f"/>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61</w:t>
                        </w:r>
                        <w:r>
                          <w:rPr>
                            <w:lang w:val="zh-CN"/>
                          </w:rPr>
                          <w:fldChar w:fldCharType="end"/>
                        </w:r>
                      </w:p>
                    </w:sdtContent>
                  </w:sdt>
                  <w:p/>
                </w:txbxContent>
              </v:textbox>
            </v:shape>
          </w:pict>
        </mc:Fallback>
      </mc:AlternateContent>
    </w:r>
  </w:p>
  <w:p>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M6pebnPAAAA&#10;BQEAAA8AAAAAAAAAAQAgAAAAIgAAAGRycy9kb3ducmV2LnhtbFBLAQIUABQAAAAIAIdO4kCFe0fh&#10;tAEAAFwDAAAOAAAAAAAAAAEAIAAAAB4BAABkcnMvZTJvRG9jLnhtbFBLBQYAAAAABgAGAFkBAABE&#10;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AB46AB"/>
    <w:multiLevelType w:val="singleLevel"/>
    <w:tmpl w:val="C5AB46AB"/>
    <w:lvl w:ilvl="0" w:tentative="0">
      <w:start w:val="1"/>
      <w:numFmt w:val="chineseCounting"/>
      <w:suff w:val="nothing"/>
      <w:lvlText w:val="（%1）"/>
      <w:lvlJc w:val="left"/>
      <w:rPr>
        <w:rFonts w:hint="eastAsia"/>
      </w:rPr>
    </w:lvl>
  </w:abstractNum>
  <w:abstractNum w:abstractNumId="1">
    <w:nsid w:val="CF2A4A50"/>
    <w:multiLevelType w:val="singleLevel"/>
    <w:tmpl w:val="CF2A4A50"/>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D1C11A61"/>
    <w:multiLevelType w:val="singleLevel"/>
    <w:tmpl w:val="D1C11A61"/>
    <w:lvl w:ilvl="0" w:tentative="0">
      <w:start w:val="1"/>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FDF86A31"/>
    <w:multiLevelType w:val="singleLevel"/>
    <w:tmpl w:val="FDF86A31"/>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7B7FF94"/>
    <w:multiLevelType w:val="singleLevel"/>
    <w:tmpl w:val="17B7FF94"/>
    <w:lvl w:ilvl="0" w:tentative="0">
      <w:start w:val="1"/>
      <w:numFmt w:val="chineseCounting"/>
      <w:suff w:val="nothing"/>
      <w:lvlText w:val="（%1）"/>
      <w:lvlJc w:val="left"/>
      <w:rPr>
        <w:rFonts w:hint="eastAsia"/>
      </w:rPr>
    </w:lvl>
  </w:abstractNum>
  <w:abstractNum w:abstractNumId="8">
    <w:nsid w:val="1E182B55"/>
    <w:multiLevelType w:val="singleLevel"/>
    <w:tmpl w:val="1E182B55"/>
    <w:lvl w:ilvl="0" w:tentative="0">
      <w:start w:val="1"/>
      <w:numFmt w:val="decimal"/>
      <w:lvlText w:val="%1."/>
      <w:lvlJc w:val="left"/>
      <w:pPr>
        <w:tabs>
          <w:tab w:val="left" w:pos="312"/>
        </w:tabs>
      </w:pPr>
    </w:lvl>
  </w:abstractNum>
  <w:abstractNum w:abstractNumId="9">
    <w:nsid w:val="2AB7B92C"/>
    <w:multiLevelType w:val="singleLevel"/>
    <w:tmpl w:val="2AB7B92C"/>
    <w:lvl w:ilvl="0" w:tentative="0">
      <w:start w:val="1"/>
      <w:numFmt w:val="decimal"/>
      <w:suff w:val="nothing"/>
      <w:lvlText w:val="%1、"/>
      <w:lvlJc w:val="left"/>
    </w:lvl>
  </w:abstractNum>
  <w:abstractNum w:abstractNumId="10">
    <w:nsid w:val="32650F1C"/>
    <w:multiLevelType w:val="multilevel"/>
    <w:tmpl w:val="32650F1C"/>
    <w:lvl w:ilvl="0" w:tentative="0">
      <w:start w:val="1"/>
      <w:numFmt w:val="japaneseCounting"/>
      <w:lvlText w:val="（%1）"/>
      <w:lvlJc w:val="left"/>
      <w:pPr>
        <w:ind w:left="1725" w:hanging="100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1">
    <w:nsid w:val="3C52F997"/>
    <w:multiLevelType w:val="singleLevel"/>
    <w:tmpl w:val="3C52F997"/>
    <w:lvl w:ilvl="0" w:tentative="0">
      <w:start w:val="3"/>
      <w:numFmt w:val="chineseCounting"/>
      <w:suff w:val="nothing"/>
      <w:lvlText w:val="（%1）"/>
      <w:lvlJc w:val="left"/>
      <w:rPr>
        <w:rFonts w:hint="eastAsia"/>
      </w:rPr>
    </w:lvl>
  </w:abstractNum>
  <w:abstractNum w:abstractNumId="12">
    <w:nsid w:val="5CF1D50F"/>
    <w:multiLevelType w:val="singleLevel"/>
    <w:tmpl w:val="5CF1D50F"/>
    <w:lvl w:ilvl="0" w:tentative="0">
      <w:start w:val="3"/>
      <w:numFmt w:val="chineseCounting"/>
      <w:suff w:val="nothing"/>
      <w:lvlText w:val="%1、"/>
      <w:lvlJc w:val="left"/>
      <w:rPr>
        <w:rFonts w:hint="eastAsia"/>
      </w:rPr>
    </w:lvl>
  </w:abstractNum>
  <w:abstractNum w:abstractNumId="1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4">
    <w:nsid w:val="72C3CA2A"/>
    <w:multiLevelType w:val="singleLevel"/>
    <w:tmpl w:val="72C3CA2A"/>
    <w:lvl w:ilvl="0" w:tentative="0">
      <w:start w:val="1"/>
      <w:numFmt w:val="decimal"/>
      <w:lvlText w:val="%1."/>
      <w:lvlJc w:val="left"/>
      <w:pPr>
        <w:tabs>
          <w:tab w:val="left" w:pos="312"/>
        </w:tabs>
      </w:pPr>
    </w:lvl>
  </w:abstractNum>
  <w:num w:numId="1">
    <w:abstractNumId w:val="13"/>
  </w:num>
  <w:num w:numId="2">
    <w:abstractNumId w:val="6"/>
  </w:num>
  <w:num w:numId="3">
    <w:abstractNumId w:val="14"/>
  </w:num>
  <w:num w:numId="4">
    <w:abstractNumId w:val="8"/>
  </w:num>
  <w:num w:numId="5">
    <w:abstractNumId w:val="2"/>
  </w:num>
  <w:num w:numId="6">
    <w:abstractNumId w:val="4"/>
  </w:num>
  <w:num w:numId="7">
    <w:abstractNumId w:val="11"/>
  </w:num>
  <w:num w:numId="8">
    <w:abstractNumId w:val="1"/>
  </w:num>
  <w:num w:numId="9">
    <w:abstractNumId w:val="12"/>
  </w:num>
  <w:num w:numId="10">
    <w:abstractNumId w:val="3"/>
  </w:num>
  <w:num w:numId="11">
    <w:abstractNumId w:val="7"/>
  </w:num>
  <w:num w:numId="12">
    <w:abstractNumId w:val="9"/>
  </w:num>
  <w:num w:numId="13">
    <w:abstractNumId w:val="0"/>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C5F20"/>
    <w:rsid w:val="001D7531"/>
    <w:rsid w:val="001E737D"/>
    <w:rsid w:val="001F0592"/>
    <w:rsid w:val="001F7506"/>
    <w:rsid w:val="002006CD"/>
    <w:rsid w:val="00202B36"/>
    <w:rsid w:val="00204B7A"/>
    <w:rsid w:val="00204CDE"/>
    <w:rsid w:val="0021101A"/>
    <w:rsid w:val="00220536"/>
    <w:rsid w:val="002330EE"/>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74F0A"/>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A4FCB"/>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050E"/>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3C53"/>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739A3"/>
    <w:rsid w:val="00C91CBB"/>
    <w:rsid w:val="00CB4E70"/>
    <w:rsid w:val="00CC09B6"/>
    <w:rsid w:val="00CC666F"/>
    <w:rsid w:val="00CD1E3F"/>
    <w:rsid w:val="00CE44F6"/>
    <w:rsid w:val="00CE49DA"/>
    <w:rsid w:val="00CE7B61"/>
    <w:rsid w:val="00CF7513"/>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038A"/>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DD572B"/>
    <w:rsid w:val="059A7F3B"/>
    <w:rsid w:val="07F56CBA"/>
    <w:rsid w:val="08A71FDD"/>
    <w:rsid w:val="0E702A8F"/>
    <w:rsid w:val="10C055FF"/>
    <w:rsid w:val="11FB5BFF"/>
    <w:rsid w:val="13893583"/>
    <w:rsid w:val="14A9429A"/>
    <w:rsid w:val="15983B0D"/>
    <w:rsid w:val="16BB723D"/>
    <w:rsid w:val="188E300B"/>
    <w:rsid w:val="1B2369D0"/>
    <w:rsid w:val="1D441874"/>
    <w:rsid w:val="1FA0124A"/>
    <w:rsid w:val="215E4C85"/>
    <w:rsid w:val="240371BF"/>
    <w:rsid w:val="24F50FE8"/>
    <w:rsid w:val="29FD04D3"/>
    <w:rsid w:val="2B115780"/>
    <w:rsid w:val="2B54656B"/>
    <w:rsid w:val="2D2C5A73"/>
    <w:rsid w:val="2F5C233F"/>
    <w:rsid w:val="30587C22"/>
    <w:rsid w:val="30A13DDD"/>
    <w:rsid w:val="319F7F4E"/>
    <w:rsid w:val="32207F82"/>
    <w:rsid w:val="342D7D33"/>
    <w:rsid w:val="38101461"/>
    <w:rsid w:val="384F0EAC"/>
    <w:rsid w:val="387D3F73"/>
    <w:rsid w:val="3B0B5CAC"/>
    <w:rsid w:val="3C0346AC"/>
    <w:rsid w:val="400563F3"/>
    <w:rsid w:val="431E77BE"/>
    <w:rsid w:val="43F37486"/>
    <w:rsid w:val="4988118C"/>
    <w:rsid w:val="4A800F88"/>
    <w:rsid w:val="4B1931D8"/>
    <w:rsid w:val="4E943A5D"/>
    <w:rsid w:val="4ECE2238"/>
    <w:rsid w:val="4F961776"/>
    <w:rsid w:val="525F4C14"/>
    <w:rsid w:val="561E3B38"/>
    <w:rsid w:val="56D17661"/>
    <w:rsid w:val="57A70DE1"/>
    <w:rsid w:val="595662AA"/>
    <w:rsid w:val="5E347A47"/>
    <w:rsid w:val="61DC02A2"/>
    <w:rsid w:val="642F65FE"/>
    <w:rsid w:val="657203B3"/>
    <w:rsid w:val="671A57BE"/>
    <w:rsid w:val="6879690C"/>
    <w:rsid w:val="68AF1783"/>
    <w:rsid w:val="69EE7CE0"/>
    <w:rsid w:val="6A3B354B"/>
    <w:rsid w:val="72734D90"/>
    <w:rsid w:val="731B3157"/>
    <w:rsid w:val="734A3E9B"/>
    <w:rsid w:val="754717BD"/>
    <w:rsid w:val="78A72E69"/>
    <w:rsid w:val="79A930DA"/>
    <w:rsid w:val="7CF459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Autospacing="1" w:afterAutospacing="1"/>
      <w:jc w:val="left"/>
    </w:pPr>
    <w:rPr>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列出段落1"/>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character" w:customStyle="1" w:styleId="32">
    <w:name w:val="标题 1 Char"/>
    <w:basedOn w:val="14"/>
    <w:link w:val="2"/>
    <w:qFormat/>
    <w:uiPriority w:val="9"/>
    <w:rPr>
      <w:rFonts w:ascii="Times New Roman" w:hAnsi="Times New Roman"/>
      <w:b/>
      <w:bCs/>
      <w:kern w:val="44"/>
      <w:sz w:val="44"/>
      <w:szCs w:val="44"/>
    </w:rPr>
  </w:style>
  <w:style w:type="paragraph" w:customStyle="1" w:styleId="33">
    <w:name w:val="四号正文"/>
    <w:basedOn w:val="1"/>
    <w:qFormat/>
    <w:uiPriority w:val="0"/>
    <w:pPr>
      <w:spacing w:line="360" w:lineRule="auto"/>
    </w:pPr>
    <w:rPr>
      <w:rFonts w:ascii="??" w:hAnsi="??"/>
      <w:color w:val="000000"/>
      <w:kern w:val="0"/>
      <w:sz w:val="28"/>
      <w:szCs w:val="21"/>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64</Pages>
  <Words>4500</Words>
  <Characters>25652</Characters>
  <Lines>213</Lines>
  <Paragraphs>60</Paragraphs>
  <TotalTime>0</TotalTime>
  <ScaleCrop>false</ScaleCrop>
  <LinksUpToDate>false</LinksUpToDate>
  <CharactersWithSpaces>30092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2020-10-23T03:37:00Z</dcterms:created>
  <dc:creator>曹颖</dc:creator>
  <cp:lastModifiedBy>R.u.n 2</cp:lastModifiedBy>
  <cp:lastPrinted>2020-10-10T08:07:00Z</cp:lastPrinted>
  <dcterms:modified xsi:type="dcterms:W3CDTF">2020-11-06T03:06:27Z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