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17" w:name="_GoBack"/>
      <w:bookmarkEnd w:id="11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24224"/>
      <w:bookmarkStart w:id="4" w:name="_Toc15378441"/>
      <w:bookmarkStart w:id="5" w:name="_Toc15396475"/>
      <w:bookmarkStart w:id="6"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7" w:name="_Toc15377426"/>
      <w:bookmarkStart w:id="8" w:name="_Toc8390"/>
      <w:bookmarkStart w:id="9" w:name="_Toc15396476"/>
      <w:bookmarkStart w:id="10" w:name="_Toc15396598"/>
      <w:bookmarkStart w:id="11" w:name="_Toc15378442"/>
      <w:bookmarkStart w:id="12" w:name="_Toc15377194"/>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lang w:eastAsia="zh-CN"/>
        </w:rPr>
        <w:t>红原县卫生和计划生育监督执法大队</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tabs>
          <w:tab w:val="right" w:leader="dot" w:pos="8845"/>
          <w:tab w:val="clear" w:pos="8296"/>
        </w:tabs>
        <w:jc w:val="both"/>
      </w:pPr>
      <w:bookmarkStart w:id="14" w:name="_Toc15377196"/>
      <w:bookmarkStart w:id="15" w:name="_Toc15396599"/>
      <w:r>
        <w:rPr>
          <w:rFonts w:hint="eastAsia" w:ascii="仿宋" w:hAnsi="仿宋" w:eastAsia="仿宋"/>
          <w:color w:val="FF0000"/>
          <w:sz w:val="24"/>
          <w:lang w:val="en-US" w:eastAsia="zh-CN"/>
        </w:rPr>
        <w:fldChar w:fldCharType="begin"/>
      </w:r>
      <w:r>
        <w:rPr>
          <w:rFonts w:hint="eastAsia" w:ascii="仿宋" w:hAnsi="仿宋" w:eastAsia="仿宋"/>
          <w:color w:val="FF0000"/>
          <w:sz w:val="24"/>
          <w:lang w:val="en-US" w:eastAsia="zh-CN"/>
        </w:rPr>
        <w:instrText xml:space="preserve">TOC \o "1-3" \h \u </w:instrText>
      </w:r>
      <w:r>
        <w:rPr>
          <w:rFonts w:hint="eastAsia" w:ascii="仿宋" w:hAnsi="仿宋" w:eastAsia="仿宋"/>
          <w:color w:val="FF0000"/>
          <w:sz w:val="24"/>
          <w:lang w:val="en-US" w:eastAsia="zh-CN"/>
        </w:rPr>
        <w:fldChar w:fldCharType="separate"/>
      </w:r>
    </w:p>
    <w:p>
      <w:pPr>
        <w:pStyle w:val="10"/>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_Toc5134 </w:instrText>
      </w:r>
      <w:r>
        <w:rPr>
          <w:rFonts w:hint="eastAsia" w:ascii="仿宋" w:hAnsi="仿宋" w:eastAsia="仿宋"/>
          <w:lang w:val="en-US" w:eastAsia="zh-CN"/>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_Toc5134 </w:instrText>
      </w:r>
      <w:r>
        <w:fldChar w:fldCharType="separate"/>
      </w:r>
      <w:r>
        <w:t>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_Toc510 </w:instrText>
      </w:r>
      <w:r>
        <w:rPr>
          <w:rFonts w:hint="eastAsia" w:ascii="仿宋" w:hAnsi="仿宋" w:eastAsia="仿宋"/>
          <w:lang w:val="en-US" w:eastAsia="zh-CN"/>
        </w:rPr>
        <w:fldChar w:fldCharType="separate"/>
      </w:r>
      <w:r>
        <w:rPr>
          <w:rFonts w:hint="eastAsia" w:ascii="黑体" w:hAnsi="黑体" w:eastAsia="黑体"/>
          <w:bCs w:val="0"/>
        </w:rPr>
        <w:t xml:space="preserve">一、 </w:t>
      </w:r>
      <w:r>
        <w:rPr>
          <w:rFonts w:hint="eastAsia" w:ascii="黑体" w:hAnsi="黑体" w:eastAsia="黑体"/>
        </w:rPr>
        <w:t>基</w:t>
      </w:r>
      <w:r>
        <w:rPr>
          <w:rFonts w:hint="eastAsia" w:ascii="黑体" w:hAnsi="黑体" w:eastAsia="黑体"/>
          <w:bCs w:val="0"/>
        </w:rPr>
        <w:t>本职能及主要工作</w:t>
      </w:r>
      <w:r>
        <w:tab/>
      </w:r>
      <w:r>
        <w:fldChar w:fldCharType="begin"/>
      </w:r>
      <w:r>
        <w:instrText xml:space="preserve"> PAGEREF _Toc510 </w:instrText>
      </w:r>
      <w:r>
        <w:fldChar w:fldCharType="separate"/>
      </w:r>
      <w:r>
        <w:t>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_Toc197 </w:instrText>
      </w:r>
      <w:r>
        <w:rPr>
          <w:rFonts w:hint="eastAsia" w:ascii="仿宋" w:hAnsi="仿宋" w:eastAsia="仿宋"/>
          <w:lang w:val="en-US" w:eastAsia="zh-CN"/>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_Toc197 </w:instrText>
      </w:r>
      <w:r>
        <w:fldChar w:fldCharType="separate"/>
      </w:r>
      <w:r>
        <w:t>3</w:t>
      </w:r>
      <w:r>
        <w:fldChar w:fldCharType="end"/>
      </w:r>
      <w:r>
        <w:rPr>
          <w:rFonts w:hint="eastAsia" w:ascii="仿宋" w:hAnsi="仿宋" w:eastAsia="仿宋"/>
          <w:color w:val="FF0000"/>
          <w:lang w:val="en-US" w:eastAsia="zh-CN"/>
        </w:rPr>
        <w:fldChar w:fldCharType="end"/>
      </w:r>
    </w:p>
    <w:p>
      <w:pPr>
        <w:pStyle w:val="10"/>
        <w:tabs>
          <w:tab w:val="right" w:leader="dot" w:pos="8845"/>
          <w:tab w:val="clear" w:pos="8296"/>
        </w:tabs>
        <w:jc w:val="both"/>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_Toc21121 </w:instrText>
      </w:r>
      <w:r>
        <w:rPr>
          <w:rFonts w:hint="eastAsia" w:ascii="仿宋" w:hAnsi="仿宋" w:eastAsia="仿宋"/>
          <w:lang w:val="en-US" w:eastAsia="zh-CN"/>
        </w:rPr>
        <w:fldChar w:fldCharType="separate"/>
      </w:r>
      <w:r>
        <w:rPr>
          <w:rFonts w:hint="eastAsia" w:ascii="黑体" w:hAnsi="黑体" w:eastAsia="黑体"/>
        </w:rPr>
        <w:t xml:space="preserve">第二部分 </w:t>
      </w:r>
      <w:r>
        <w:rPr>
          <w:rFonts w:hint="eastAsia" w:ascii="黑体" w:hAnsi="黑体" w:eastAsia="黑体"/>
          <w:bCs w:val="0"/>
        </w:rPr>
        <w:t>201</w:t>
      </w:r>
      <w:r>
        <w:rPr>
          <w:rFonts w:hint="eastAsia" w:ascii="黑体" w:hAnsi="黑体" w:eastAsia="黑体"/>
          <w:bCs w:val="0"/>
          <w:lang w:val="en-US" w:eastAsia="zh-CN"/>
        </w:rPr>
        <w:t>9</w:t>
      </w:r>
      <w:r>
        <w:rPr>
          <w:rFonts w:hint="eastAsia" w:ascii="黑体" w:hAnsi="黑体" w:eastAsia="黑体"/>
          <w:bCs w:val="0"/>
        </w:rPr>
        <w:t>年度部门决算情况说明</w:t>
      </w:r>
      <w:r>
        <w:tab/>
      </w:r>
      <w:r>
        <w:fldChar w:fldCharType="begin"/>
      </w:r>
      <w:r>
        <w:instrText xml:space="preserve"> PAGEREF _Toc21121 </w:instrText>
      </w:r>
      <w:r>
        <w:fldChar w:fldCharType="separate"/>
      </w:r>
      <w:r>
        <w:t>3</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_Toc4741 </w:instrText>
      </w:r>
      <w:r>
        <w:rPr>
          <w:rFonts w:hint="eastAsia" w:ascii="仿宋" w:hAnsi="仿宋" w:eastAsia="仿宋"/>
          <w:lang w:val="en-US" w:eastAsia="zh-CN"/>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_Toc4741 </w:instrText>
      </w:r>
      <w:r>
        <w:fldChar w:fldCharType="separate"/>
      </w:r>
      <w:r>
        <w:t>3</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_Toc29568 </w:instrText>
      </w:r>
      <w:r>
        <w:rPr>
          <w:rFonts w:hint="eastAsia" w:ascii="仿宋" w:hAnsi="仿宋" w:eastAsia="仿宋"/>
          <w:lang w:val="en-US" w:eastAsia="zh-CN"/>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_Toc29568 </w:instrText>
      </w:r>
      <w:r>
        <w:fldChar w:fldCharType="separate"/>
      </w:r>
      <w:r>
        <w:t>4</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_Toc2390 </w:instrText>
      </w:r>
      <w:r>
        <w:rPr>
          <w:rFonts w:hint="eastAsia" w:ascii="仿宋" w:hAnsi="仿宋" w:eastAsia="仿宋"/>
          <w:lang w:val="en-US" w:eastAsia="zh-CN"/>
        </w:rP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_Toc2390 </w:instrText>
      </w:r>
      <w:r>
        <w:fldChar w:fldCharType="separate"/>
      </w:r>
      <w:r>
        <w:t>4</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_Toc15107 </w:instrText>
      </w:r>
      <w:r>
        <w:rPr>
          <w:rFonts w:hint="eastAsia" w:ascii="仿宋" w:hAnsi="仿宋" w:eastAsia="仿宋"/>
          <w:lang w:val="en-US" w:eastAsia="zh-CN"/>
        </w:rPr>
        <w:fldChar w:fldCharType="separate"/>
      </w:r>
      <w:r>
        <w:rPr>
          <w:rFonts w:hint="eastAsia" w:ascii="黑体" w:hAnsi="黑体" w:eastAsia="黑体"/>
          <w:szCs w:val="32"/>
          <w:lang w:eastAsia="zh-CN"/>
        </w:rPr>
        <w:t>四、</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_Toc15107 </w:instrText>
      </w:r>
      <w:r>
        <w:fldChar w:fldCharType="separate"/>
      </w:r>
      <w:r>
        <w:t>5</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_Toc14844 </w:instrText>
      </w:r>
      <w:r>
        <w:rPr>
          <w:rFonts w:hint="eastAsia" w:ascii="仿宋" w:hAnsi="仿宋" w:eastAsia="仿宋"/>
          <w:lang w:val="en-US" w:eastAsia="zh-CN"/>
        </w:rPr>
        <w:fldChar w:fldCharType="separate"/>
      </w:r>
      <w:r>
        <w:rPr>
          <w:rFonts w:hint="eastAsia" w:ascii="黑体" w:hAnsi="黑体" w:eastAsia="黑体"/>
          <w:szCs w:val="32"/>
          <w:highlight w:val="none"/>
        </w:rPr>
        <w:t>五、一</w:t>
      </w:r>
      <w:r>
        <w:rPr>
          <w:rFonts w:hint="eastAsia" w:ascii="黑体" w:hAnsi="黑体" w:eastAsia="黑体"/>
          <w:highlight w:val="none"/>
        </w:rPr>
        <w:t>般公共预算财政拨款支出决算情况说明</w:t>
      </w:r>
      <w:r>
        <w:tab/>
      </w:r>
      <w:r>
        <w:fldChar w:fldCharType="begin"/>
      </w:r>
      <w:r>
        <w:instrText xml:space="preserve"> PAGEREF _Toc14844 </w:instrText>
      </w:r>
      <w:r>
        <w:fldChar w:fldCharType="separate"/>
      </w:r>
      <w:r>
        <w:t>6</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_Toc26367 </w:instrText>
      </w:r>
      <w:r>
        <w:rPr>
          <w:rFonts w:hint="eastAsia" w:ascii="仿宋" w:hAnsi="仿宋" w:eastAsia="仿宋"/>
          <w:lang w:val="en-US" w:eastAsia="zh-CN"/>
        </w:rPr>
        <w:fldChar w:fldCharType="separate"/>
      </w:r>
      <w:r>
        <w:rPr>
          <w:rFonts w:hint="eastAsia" w:ascii="仿宋" w:hAnsi="仿宋" w:eastAsia="仿宋"/>
          <w:szCs w:val="32"/>
          <w:highlight w:val="none"/>
        </w:rPr>
        <w:t>（一）一般公共预算财政拨款支出决算总体情况</w:t>
      </w:r>
      <w:r>
        <w:tab/>
      </w:r>
      <w:r>
        <w:fldChar w:fldCharType="begin"/>
      </w:r>
      <w:r>
        <w:instrText xml:space="preserve"> PAGEREF _Toc26367 </w:instrText>
      </w:r>
      <w:r>
        <w:fldChar w:fldCharType="separate"/>
      </w:r>
      <w:r>
        <w:t>6</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_Toc28766 </w:instrText>
      </w:r>
      <w:r>
        <w:rPr>
          <w:rFonts w:hint="eastAsia" w:ascii="仿宋" w:hAnsi="仿宋" w:eastAsia="仿宋"/>
          <w:lang w:val="en-US" w:eastAsia="zh-CN"/>
        </w:rPr>
        <w:fldChar w:fldCharType="separate"/>
      </w:r>
      <w:r>
        <w:rPr>
          <w:rFonts w:hint="eastAsia" w:ascii="仿宋" w:hAnsi="仿宋" w:eastAsia="仿宋"/>
          <w:szCs w:val="32"/>
        </w:rPr>
        <w:t>（二）一般公共预算财政拨款支出决算结构情况</w:t>
      </w:r>
      <w:r>
        <w:tab/>
      </w:r>
      <w:r>
        <w:fldChar w:fldCharType="begin"/>
      </w:r>
      <w:r>
        <w:instrText xml:space="preserve"> PAGEREF _Toc28766 </w:instrText>
      </w:r>
      <w:r>
        <w:fldChar w:fldCharType="separate"/>
      </w:r>
      <w:r>
        <w:t>6</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_Toc14460 </w:instrText>
      </w:r>
      <w:r>
        <w:rPr>
          <w:rFonts w:hint="eastAsia" w:ascii="仿宋" w:hAnsi="仿宋" w:eastAsia="仿宋"/>
          <w:lang w:val="en-US" w:eastAsia="zh-CN"/>
        </w:rPr>
        <w:fldChar w:fldCharType="separate"/>
      </w:r>
      <w:r>
        <w:rPr>
          <w:rFonts w:hint="eastAsia" w:ascii="仿宋" w:hAnsi="仿宋" w:eastAsia="仿宋"/>
          <w:szCs w:val="32"/>
        </w:rPr>
        <w:t>（三）一般公共预算财政拨款支出决算具体情况</w:t>
      </w:r>
      <w:r>
        <w:tab/>
      </w:r>
      <w:r>
        <w:fldChar w:fldCharType="begin"/>
      </w:r>
      <w:r>
        <w:instrText xml:space="preserve"> PAGEREF _Toc14460 </w:instrText>
      </w:r>
      <w:r>
        <w:fldChar w:fldCharType="separate"/>
      </w:r>
      <w:r>
        <w:t>7</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_Toc2865 </w:instrText>
      </w:r>
      <w:r>
        <w:rPr>
          <w:rFonts w:hint="eastAsia" w:ascii="仿宋" w:hAnsi="仿宋" w:eastAsia="仿宋"/>
          <w:lang w:val="en-US" w:eastAsia="zh-CN"/>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_Toc2865 </w:instrText>
      </w:r>
      <w:r>
        <w:fldChar w:fldCharType="separate"/>
      </w:r>
      <w:r>
        <w:t>8</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_Toc10291 </w:instrText>
      </w:r>
      <w:r>
        <w:rPr>
          <w:rFonts w:hint="eastAsia" w:ascii="仿宋" w:hAnsi="仿宋" w:eastAsia="仿宋"/>
          <w:lang w:val="en-US" w:eastAsia="zh-CN"/>
        </w:rP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_Toc10291 </w:instrText>
      </w:r>
      <w:r>
        <w:fldChar w:fldCharType="separate"/>
      </w:r>
      <w:r>
        <w:t>8</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_Toc10743 </w:instrText>
      </w:r>
      <w:r>
        <w:rPr>
          <w:rFonts w:hint="eastAsia" w:ascii="仿宋" w:hAnsi="仿宋" w:eastAsia="仿宋"/>
          <w:lang w:val="en-US" w:eastAsia="zh-CN"/>
        </w:rPr>
        <w:fldChar w:fldCharType="separate"/>
      </w:r>
      <w:r>
        <w:rPr>
          <w:rFonts w:hint="eastAsia" w:ascii="仿宋" w:hAnsi="仿宋" w:eastAsia="仿宋"/>
          <w:szCs w:val="32"/>
        </w:rPr>
        <w:t>（一）“三公”经费财政拨款支出决算总体情况说明</w:t>
      </w:r>
      <w:r>
        <w:tab/>
      </w:r>
      <w:r>
        <w:fldChar w:fldCharType="begin"/>
      </w:r>
      <w:r>
        <w:instrText xml:space="preserve"> PAGEREF _Toc10743 </w:instrText>
      </w:r>
      <w:r>
        <w:fldChar w:fldCharType="separate"/>
      </w:r>
      <w:r>
        <w:t>8</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_Toc253 </w:instrText>
      </w:r>
      <w:r>
        <w:rPr>
          <w:rFonts w:hint="eastAsia" w:ascii="仿宋" w:hAnsi="仿宋" w:eastAsia="仿宋"/>
          <w:lang w:val="en-US" w:eastAsia="zh-CN"/>
        </w:rPr>
        <w:fldChar w:fldCharType="separate"/>
      </w:r>
      <w:r>
        <w:rPr>
          <w:rFonts w:hint="eastAsia" w:ascii="仿宋" w:hAnsi="仿宋" w:eastAsia="仿宋"/>
          <w:szCs w:val="32"/>
        </w:rPr>
        <w:t>（二）“三公”经费财政拨款支出决算具体情况说明</w:t>
      </w:r>
      <w:r>
        <w:tab/>
      </w:r>
      <w:r>
        <w:fldChar w:fldCharType="begin"/>
      </w:r>
      <w:r>
        <w:instrText xml:space="preserve"> PAGEREF _Toc253 </w:instrText>
      </w:r>
      <w:r>
        <w:fldChar w:fldCharType="separate"/>
      </w:r>
      <w:r>
        <w:t>9</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_Toc21619 </w:instrText>
      </w:r>
      <w:r>
        <w:rPr>
          <w:rFonts w:hint="eastAsia" w:ascii="仿宋" w:hAnsi="仿宋" w:eastAsia="仿宋"/>
          <w:lang w:val="en-US" w:eastAsia="zh-CN"/>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_Toc21619 </w:instrText>
      </w:r>
      <w:r>
        <w:fldChar w:fldCharType="separate"/>
      </w:r>
      <w:r>
        <w:t>10</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_Toc30061 </w:instrText>
      </w:r>
      <w:r>
        <w:rPr>
          <w:rFonts w:hint="eastAsia" w:ascii="仿宋" w:hAnsi="仿宋" w:eastAsia="仿宋"/>
          <w:lang w:val="en-US" w:eastAsia="zh-CN"/>
        </w:rPr>
        <w:fldChar w:fldCharType="separate"/>
      </w:r>
      <w:r>
        <w:rPr>
          <w:rFonts w:hint="eastAsia" w:ascii="黑体" w:hAnsi="黑体" w:eastAsia="黑体"/>
        </w:rPr>
        <w:t>九、 国有资本经营预算支出决算情况说明</w:t>
      </w:r>
      <w:r>
        <w:tab/>
      </w:r>
      <w:r>
        <w:fldChar w:fldCharType="begin"/>
      </w:r>
      <w:r>
        <w:instrText xml:space="preserve"> PAGEREF _Toc30061 </w:instrText>
      </w:r>
      <w:r>
        <w:fldChar w:fldCharType="separate"/>
      </w:r>
      <w:r>
        <w:t>10</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_Toc16195 </w:instrText>
      </w:r>
      <w:r>
        <w:rPr>
          <w:rFonts w:hint="eastAsia" w:ascii="仿宋" w:hAnsi="仿宋" w:eastAsia="仿宋"/>
          <w:lang w:val="en-US" w:eastAsia="zh-CN"/>
        </w:rPr>
        <w:fldChar w:fldCharType="separate"/>
      </w:r>
      <w:r>
        <w:rPr>
          <w:rFonts w:hint="eastAsia" w:ascii="仿宋" w:hAnsi="仿宋" w:eastAsia="仿宋"/>
          <w:szCs w:val="32"/>
          <w:highlight w:val="none"/>
        </w:rPr>
        <w:t>（一）机关运行经费支出情况</w:t>
      </w:r>
      <w:r>
        <w:tab/>
      </w:r>
      <w:r>
        <w:fldChar w:fldCharType="begin"/>
      </w:r>
      <w:r>
        <w:instrText xml:space="preserve"> PAGEREF _Toc16195 </w:instrText>
      </w:r>
      <w:r>
        <w:fldChar w:fldCharType="separate"/>
      </w:r>
      <w:r>
        <w:t>10</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_Toc8800 </w:instrText>
      </w:r>
      <w:r>
        <w:rPr>
          <w:rFonts w:hint="eastAsia" w:ascii="仿宋" w:hAnsi="仿宋" w:eastAsia="仿宋"/>
          <w:lang w:val="en-US" w:eastAsia="zh-CN"/>
        </w:rPr>
        <w:fldChar w:fldCharType="separate"/>
      </w:r>
      <w:r>
        <w:rPr>
          <w:rFonts w:hint="eastAsia" w:ascii="仿宋" w:hAnsi="仿宋" w:eastAsia="仿宋"/>
          <w:szCs w:val="32"/>
        </w:rPr>
        <w:t>（二）政府采购支出情况</w:t>
      </w:r>
      <w:r>
        <w:tab/>
      </w:r>
      <w:r>
        <w:fldChar w:fldCharType="begin"/>
      </w:r>
      <w:r>
        <w:instrText xml:space="preserve"> PAGEREF _Toc8800 </w:instrText>
      </w:r>
      <w:r>
        <w:fldChar w:fldCharType="separate"/>
      </w:r>
      <w:r>
        <w:t>11</w:t>
      </w:r>
      <w:r>
        <w:fldChar w:fldCharType="end"/>
      </w:r>
      <w:r>
        <w:rPr>
          <w:rFonts w:hint="eastAsia" w:ascii="仿宋" w:hAnsi="仿宋" w:eastAsia="仿宋"/>
          <w:color w:val="FF0000"/>
          <w:lang w:val="en-US" w:eastAsia="zh-CN"/>
        </w:rPr>
        <w:fldChar w:fldCharType="end"/>
      </w:r>
    </w:p>
    <w:p>
      <w:pPr>
        <w:pStyle w:val="6"/>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_Toc8791 </w:instrText>
      </w:r>
      <w:r>
        <w:rPr>
          <w:rFonts w:hint="eastAsia" w:ascii="仿宋" w:hAnsi="仿宋" w:eastAsia="仿宋"/>
          <w:lang w:val="en-US" w:eastAsia="zh-CN"/>
        </w:rPr>
        <w:fldChar w:fldCharType="separate"/>
      </w:r>
      <w:r>
        <w:rPr>
          <w:rFonts w:hint="eastAsia" w:ascii="仿宋" w:hAnsi="仿宋" w:eastAsia="仿宋"/>
          <w:szCs w:val="32"/>
        </w:rPr>
        <w:t>（三）国有资产占有使用情况</w:t>
      </w:r>
      <w:r>
        <w:tab/>
      </w:r>
      <w:r>
        <w:fldChar w:fldCharType="begin"/>
      </w:r>
      <w:r>
        <w:instrText xml:space="preserve"> PAGEREF _Toc8791 </w:instrText>
      </w:r>
      <w:r>
        <w:fldChar w:fldCharType="separate"/>
      </w:r>
      <w:r>
        <w:t>11</w:t>
      </w:r>
      <w:r>
        <w:fldChar w:fldCharType="end"/>
      </w:r>
      <w:r>
        <w:rPr>
          <w:rFonts w:hint="eastAsia" w:ascii="仿宋" w:hAnsi="仿宋" w:eastAsia="仿宋"/>
          <w:color w:val="FF0000"/>
          <w:lang w:val="en-US" w:eastAsia="zh-CN"/>
        </w:rPr>
        <w:fldChar w:fldCharType="end"/>
      </w:r>
    </w:p>
    <w:p>
      <w:pPr>
        <w:pStyle w:val="10"/>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_Toc9469 </w:instrText>
      </w:r>
      <w:r>
        <w:rPr>
          <w:rFonts w:hint="eastAsia" w:ascii="仿宋" w:hAnsi="仿宋" w:eastAsia="仿宋"/>
          <w:lang w:val="en-US" w:eastAsia="zh-CN"/>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_Toc9469 </w:instrText>
      </w:r>
      <w:r>
        <w:fldChar w:fldCharType="separate"/>
      </w:r>
      <w:r>
        <w:t>15</w:t>
      </w:r>
      <w:r>
        <w:fldChar w:fldCharType="end"/>
      </w:r>
      <w:r>
        <w:rPr>
          <w:rFonts w:hint="eastAsia" w:ascii="仿宋" w:hAnsi="仿宋" w:eastAsia="仿宋"/>
          <w:color w:val="FF0000"/>
          <w:lang w:val="en-US" w:eastAsia="zh-CN"/>
        </w:rPr>
        <w:fldChar w:fldCharType="end"/>
      </w:r>
    </w:p>
    <w:p>
      <w:pPr>
        <w:pStyle w:val="10"/>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_Toc23070 </w:instrText>
      </w:r>
      <w:r>
        <w:rPr>
          <w:rFonts w:hint="eastAsia" w:ascii="仿宋" w:hAnsi="仿宋" w:eastAsia="仿宋"/>
          <w:lang w:val="en-US" w:eastAsia="zh-CN"/>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_Toc23070 </w:instrText>
      </w:r>
      <w:r>
        <w:fldChar w:fldCharType="separate"/>
      </w:r>
      <w:r>
        <w:t>17</w:t>
      </w:r>
      <w:r>
        <w:fldChar w:fldCharType="end"/>
      </w:r>
      <w:r>
        <w:rPr>
          <w:rFonts w:hint="eastAsia" w:ascii="仿宋" w:hAnsi="仿宋" w:eastAsia="仿宋"/>
          <w:color w:val="FF0000"/>
          <w:lang w:val="en-US" w:eastAsia="zh-CN"/>
        </w:rPr>
        <w:fldChar w:fldCharType="end"/>
      </w:r>
    </w:p>
    <w:p>
      <w:pPr>
        <w:pStyle w:val="10"/>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_Toc23946 </w:instrText>
      </w:r>
      <w:r>
        <w:rPr>
          <w:rFonts w:hint="eastAsia" w:ascii="仿宋" w:hAnsi="仿宋" w:eastAsia="仿宋"/>
          <w:lang w:val="en-US" w:eastAsia="zh-CN"/>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_Toc23946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_Toc30841 </w:instrText>
      </w:r>
      <w:r>
        <w:rPr>
          <w:rFonts w:hint="eastAsia" w:ascii="仿宋" w:hAnsi="仿宋" w:eastAsia="仿宋"/>
          <w:lang w:val="en-US" w:eastAsia="zh-CN"/>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_Toc30841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_Toc27050 </w:instrText>
      </w:r>
      <w:r>
        <w:rPr>
          <w:rFonts w:hint="eastAsia" w:ascii="仿宋" w:hAnsi="仿宋" w:eastAsia="仿宋"/>
          <w:lang w:val="en-US" w:eastAsia="zh-CN"/>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_Toc27050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_Toc23819 </w:instrText>
      </w:r>
      <w:r>
        <w:rPr>
          <w:rFonts w:hint="eastAsia" w:ascii="仿宋" w:hAnsi="仿宋" w:eastAsia="仿宋"/>
          <w:lang w:val="en-US" w:eastAsia="zh-CN"/>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_Toc23819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_Toc18235 </w:instrText>
      </w:r>
      <w:r>
        <w:rPr>
          <w:rFonts w:hint="eastAsia" w:ascii="仿宋" w:hAnsi="仿宋" w:eastAsia="仿宋"/>
          <w:lang w:val="en-US" w:eastAsia="zh-CN"/>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_Toc18235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_Toc12324 </w:instrText>
      </w:r>
      <w:r>
        <w:rPr>
          <w:rFonts w:hint="eastAsia" w:ascii="仿宋" w:hAnsi="仿宋" w:eastAsia="仿宋"/>
          <w:lang w:val="en-US" w:eastAsia="zh-CN"/>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_Toc12324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_Toc25005 </w:instrText>
      </w:r>
      <w:r>
        <w:rPr>
          <w:rFonts w:hint="eastAsia" w:ascii="仿宋" w:hAnsi="仿宋" w:eastAsia="仿宋"/>
          <w:lang w:val="en-US" w:eastAsia="zh-CN"/>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_Toc25005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_Toc8243 </w:instrText>
      </w:r>
      <w:r>
        <w:rPr>
          <w:rFonts w:hint="eastAsia" w:ascii="仿宋" w:hAnsi="仿宋" w:eastAsia="仿宋"/>
          <w:lang w:val="en-US" w:eastAsia="zh-CN"/>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_Toc8243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_Toc25457 </w:instrText>
      </w:r>
      <w:r>
        <w:rPr>
          <w:rFonts w:hint="eastAsia" w:ascii="仿宋" w:hAnsi="仿宋" w:eastAsia="仿宋"/>
          <w:lang w:val="en-US" w:eastAsia="zh-CN"/>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_Toc25457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_Toc29882 </w:instrText>
      </w:r>
      <w:r>
        <w:rPr>
          <w:rFonts w:hint="eastAsia" w:ascii="仿宋" w:hAnsi="仿宋" w:eastAsia="仿宋"/>
          <w:lang w:val="en-US" w:eastAsia="zh-CN"/>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_Toc29882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_Toc27013 </w:instrText>
      </w:r>
      <w:r>
        <w:rPr>
          <w:rFonts w:hint="eastAsia" w:ascii="仿宋" w:hAnsi="仿宋" w:eastAsia="仿宋"/>
          <w:lang w:val="en-US" w:eastAsia="zh-CN"/>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_Toc27013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_Toc9244 </w:instrText>
      </w:r>
      <w:r>
        <w:rPr>
          <w:rFonts w:hint="eastAsia" w:ascii="仿宋" w:hAnsi="仿宋" w:eastAsia="仿宋"/>
          <w:lang w:val="en-US" w:eastAsia="zh-CN"/>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_Toc9244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_Toc12446 </w:instrText>
      </w:r>
      <w:r>
        <w:rPr>
          <w:rFonts w:hint="eastAsia" w:ascii="仿宋" w:hAnsi="仿宋" w:eastAsia="仿宋"/>
          <w:lang w:val="en-US" w:eastAsia="zh-CN"/>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_Toc12446 </w:instrText>
      </w:r>
      <w:r>
        <w:fldChar w:fldCharType="separate"/>
      </w:r>
      <w:r>
        <w:t>31</w:t>
      </w:r>
      <w:r>
        <w:fldChar w:fldCharType="end"/>
      </w:r>
      <w:r>
        <w:rPr>
          <w:rFonts w:hint="eastAsia" w:ascii="仿宋" w:hAnsi="仿宋" w:eastAsia="仿宋"/>
          <w:color w:val="FF0000"/>
          <w:lang w:val="en-US" w:eastAsia="zh-CN"/>
        </w:rPr>
        <w:fldChar w:fldCharType="end"/>
      </w:r>
    </w:p>
    <w:p>
      <w:pPr>
        <w:pStyle w:val="11"/>
        <w:tabs>
          <w:tab w:val="right" w:leader="dot" w:pos="8845"/>
          <w:tab w:val="clear" w:pos="8296"/>
        </w:tabs>
      </w:pPr>
      <w:r>
        <w:rPr>
          <w:rFonts w:hint="eastAsia" w:ascii="仿宋" w:hAnsi="仿宋" w:eastAsia="仿宋"/>
          <w:color w:val="FF0000"/>
          <w:lang w:val="en-US" w:eastAsia="zh-CN"/>
        </w:rPr>
        <w:fldChar w:fldCharType="begin"/>
      </w:r>
      <w:r>
        <w:rPr>
          <w:rFonts w:hint="eastAsia" w:ascii="仿宋" w:hAnsi="仿宋" w:eastAsia="仿宋"/>
          <w:lang w:val="en-US" w:eastAsia="zh-CN"/>
        </w:rPr>
        <w:instrText xml:space="preserve"> HYPERLINK \l _Toc177 </w:instrText>
      </w:r>
      <w:r>
        <w:rPr>
          <w:rFonts w:hint="eastAsia" w:ascii="仿宋" w:hAnsi="仿宋" w:eastAsia="仿宋"/>
          <w:lang w:val="en-US" w:eastAsia="zh-CN"/>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_Toc177 </w:instrText>
      </w:r>
      <w:r>
        <w:fldChar w:fldCharType="separate"/>
      </w:r>
      <w:r>
        <w:t>31</w:t>
      </w:r>
      <w:r>
        <w:fldChar w:fldCharType="end"/>
      </w:r>
      <w:r>
        <w:rPr>
          <w:rFonts w:hint="eastAsia" w:ascii="仿宋" w:hAnsi="仿宋" w:eastAsia="仿宋"/>
          <w:color w:val="FF0000"/>
          <w:lang w:val="en-US" w:eastAsia="zh-CN"/>
        </w:rPr>
        <w:fldChar w:fldCharType="end"/>
      </w:r>
    </w:p>
    <w:p>
      <w:pPr>
        <w:pStyle w:val="2"/>
        <w:jc w:val="center"/>
        <w:rPr>
          <w:rFonts w:hint="eastAsia" w:ascii="仿宋" w:hAnsi="仿宋" w:eastAsia="仿宋"/>
          <w:color w:val="FF0000"/>
          <w:sz w:val="24"/>
          <w:lang w:val="en-US" w:eastAsia="zh-CN"/>
        </w:rPr>
      </w:pPr>
      <w:r>
        <w:rPr>
          <w:rFonts w:hint="eastAsia" w:ascii="仿宋" w:hAnsi="仿宋" w:eastAsia="仿宋"/>
          <w:color w:val="FF0000"/>
          <w:lang w:val="en-US" w:eastAsia="zh-CN"/>
        </w:rPr>
        <w:fldChar w:fldCharType="end"/>
      </w:r>
    </w:p>
    <w:p>
      <w:pPr>
        <w:pStyle w:val="2"/>
        <w:jc w:val="center"/>
        <w:rPr>
          <w:rFonts w:hint="eastAsia" w:ascii="仿宋" w:hAnsi="仿宋" w:eastAsia="仿宋"/>
          <w:color w:val="FF0000"/>
          <w:sz w:val="24"/>
          <w:lang w:val="en-US" w:eastAsia="zh-CN"/>
        </w:rPr>
      </w:pPr>
      <w:r>
        <w:rPr>
          <w:rFonts w:hint="eastAsia" w:ascii="仿宋" w:hAnsi="仿宋" w:eastAsia="仿宋"/>
          <w:color w:val="FF0000"/>
          <w:sz w:val="24"/>
          <w:lang w:val="en-US" w:eastAsia="zh-CN"/>
        </w:rPr>
        <w:t xml:space="preserve"> </w:t>
      </w:r>
      <w:bookmarkEnd w:id="14"/>
      <w:bookmarkEnd w:id="15"/>
      <w:bookmarkStart w:id="16" w:name="_Toc15396612"/>
      <w:bookmarkStart w:id="17" w:name="_Toc15377221"/>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rPr>
          <w:rFonts w:hint="eastAsia" w:ascii="仿宋" w:hAnsi="仿宋" w:eastAsia="仿宋"/>
          <w:color w:val="FF0000"/>
          <w:sz w:val="24"/>
          <w:lang w:val="en-US" w:eastAsia="zh-CN"/>
        </w:rPr>
      </w:pPr>
    </w:p>
    <w:p>
      <w:pPr>
        <w:tabs>
          <w:tab w:val="left" w:pos="1242"/>
        </w:tabs>
        <w:jc w:val="left"/>
        <w:rPr>
          <w:rFonts w:hint="eastAsia"/>
          <w:lang w:val="en-US" w:eastAsia="zh-CN"/>
        </w:rPr>
        <w:sectPr>
          <w:footerReference r:id="rId5" w:type="first"/>
          <w:headerReference r:id="rId3" w:type="default"/>
          <w:footerReference r:id="rId4" w:type="default"/>
          <w:pgSz w:w="11906" w:h="16838"/>
          <w:pgMar w:top="1701" w:right="1474" w:bottom="1701" w:left="1587" w:header="851" w:footer="992" w:gutter="0"/>
          <w:pgNumType w:start="1"/>
          <w:cols w:space="425" w:num="1"/>
          <w:titlePg/>
          <w:docGrid w:type="lines" w:linePitch="312" w:charSpace="0"/>
        </w:sectPr>
      </w:pPr>
      <w:r>
        <w:rPr>
          <w:rFonts w:hint="eastAsia" w:ascii="仿宋" w:hAnsi="仿宋" w:eastAsia="仿宋"/>
          <w:color w:val="FF0000"/>
          <w:sz w:val="24"/>
          <w:lang w:val="en-US" w:eastAsia="zh-CN"/>
        </w:rPr>
        <w:tab/>
      </w:r>
    </w:p>
    <w:p>
      <w:pPr>
        <w:pStyle w:val="2"/>
        <w:jc w:val="center"/>
        <w:rPr>
          <w:rFonts w:ascii="黑体" w:eastAsia="黑体"/>
          <w:color w:val="000000"/>
          <w:sz w:val="32"/>
          <w:szCs w:val="32"/>
        </w:rPr>
      </w:pPr>
      <w:bookmarkStart w:id="18" w:name="_Toc5134"/>
      <w:r>
        <w:rPr>
          <w:rFonts w:hint="eastAsia" w:ascii="黑体" w:hAnsi="黑体" w:eastAsia="黑体"/>
          <w:b w:val="0"/>
        </w:rPr>
        <w:t xml:space="preserve">第一部分 </w:t>
      </w:r>
      <w:r>
        <w:rPr>
          <w:rStyle w:val="31"/>
          <w:rFonts w:hint="eastAsia" w:ascii="黑体" w:hAnsi="黑体" w:eastAsia="黑体"/>
          <w:b w:val="0"/>
          <w:bCs w:val="0"/>
        </w:rPr>
        <w:t>部门概况</w:t>
      </w:r>
      <w:bookmarkEnd w:id="18"/>
    </w:p>
    <w:p>
      <w:pPr>
        <w:pStyle w:val="3"/>
        <w:numPr>
          <w:ilvl w:val="0"/>
          <w:numId w:val="1"/>
        </w:numPr>
        <w:rPr>
          <w:rStyle w:val="32"/>
          <w:rFonts w:hint="eastAsia" w:ascii="黑体" w:hAnsi="黑体" w:eastAsia="黑体"/>
          <w:b w:val="0"/>
          <w:bCs w:val="0"/>
        </w:rPr>
      </w:pPr>
      <w:bookmarkStart w:id="19" w:name="_Toc15396600"/>
      <w:bookmarkStart w:id="20" w:name="_Toc510"/>
      <w:bookmarkStart w:id="21" w:name="_Toc15377197"/>
      <w:r>
        <w:rPr>
          <w:rFonts w:hint="eastAsia" w:ascii="黑体" w:hAnsi="黑体" w:eastAsia="黑体"/>
          <w:b w:val="0"/>
          <w:color w:val="000000"/>
        </w:rPr>
        <w:t>基</w:t>
      </w:r>
      <w:r>
        <w:rPr>
          <w:rStyle w:val="32"/>
          <w:rFonts w:hint="eastAsia" w:ascii="黑体" w:hAnsi="黑体" w:eastAsia="黑体"/>
          <w:b w:val="0"/>
          <w:bCs w:val="0"/>
        </w:rPr>
        <w:t>本职能及主要工作</w:t>
      </w:r>
      <w:bookmarkEnd w:id="19"/>
      <w:bookmarkEnd w:id="20"/>
      <w:bookmarkEnd w:id="21"/>
      <w:bookmarkStart w:id="22" w:name="_Toc15377198"/>
      <w:bookmarkStart w:id="23" w:name="_Toc15378445"/>
    </w:p>
    <w:p>
      <w:pPr>
        <w:rPr>
          <w:rFonts w:hint="eastAsia" w:ascii="Calibri" w:hAnsi="Calibri" w:eastAsia="仿宋_GB2312"/>
          <w:sz w:val="30"/>
          <w:szCs w:val="30"/>
        </w:rPr>
      </w:pPr>
      <w:r>
        <w:rPr>
          <w:rFonts w:hint="eastAsia" w:ascii="Calibri" w:hAnsi="Calibri" w:eastAsia="仿宋_GB2312"/>
          <w:sz w:val="30"/>
          <w:szCs w:val="30"/>
        </w:rPr>
        <w:t>（一）主要职能</w:t>
      </w:r>
      <w:bookmarkEnd w:id="22"/>
      <w:bookmarkEnd w:id="23"/>
    </w:p>
    <w:p>
      <w:pPr>
        <w:ind w:firstLine="600" w:firstLineChars="200"/>
        <w:rPr>
          <w:rFonts w:hint="eastAsia" w:ascii="仿宋" w:hAnsi="仿宋" w:eastAsia="仿宋"/>
          <w:bCs/>
          <w:color w:val="000000"/>
          <w:sz w:val="32"/>
          <w:szCs w:val="32"/>
        </w:rPr>
      </w:pPr>
      <w:r>
        <w:rPr>
          <w:rFonts w:hint="eastAsia" w:ascii="Calibri" w:hAnsi="Calibri" w:eastAsia="仿宋_GB2312"/>
          <w:sz w:val="30"/>
          <w:szCs w:val="30"/>
          <w:lang w:eastAsia="zh-CN"/>
        </w:rPr>
        <w:t>红原县卫生和计划生育监督执法大队</w:t>
      </w:r>
      <w:r>
        <w:rPr>
          <w:rFonts w:hint="eastAsia" w:ascii="仿宋_GB2312" w:hAnsi="Calibri" w:eastAsia="仿宋_GB2312"/>
          <w:sz w:val="30"/>
          <w:szCs w:val="30"/>
        </w:rPr>
        <w:t>是</w:t>
      </w:r>
      <w:r>
        <w:rPr>
          <w:rFonts w:hint="eastAsia" w:ascii="仿宋_GB2312" w:hAnsi="Calibri" w:eastAsia="仿宋_GB2312"/>
          <w:sz w:val="30"/>
          <w:szCs w:val="30"/>
          <w:lang w:eastAsia="zh-CN"/>
        </w:rPr>
        <w:t>参公事业单位</w:t>
      </w:r>
      <w:r>
        <w:rPr>
          <w:rFonts w:hint="eastAsia" w:ascii="仿宋_GB2312" w:hAnsi="Calibri" w:eastAsia="仿宋_GB2312"/>
          <w:sz w:val="30"/>
          <w:szCs w:val="30"/>
        </w:rPr>
        <w:t>。其主要职责：</w:t>
      </w:r>
      <w:r>
        <w:rPr>
          <w:rFonts w:hint="eastAsia" w:ascii="仿宋_GB2312" w:hAnsi="仿宋_GB2312" w:eastAsia="仿宋_GB2312" w:cs="仿宋_GB2312"/>
          <w:color w:val="000000"/>
          <w:sz w:val="32"/>
          <w:szCs w:val="32"/>
          <w:lang w:val="en-US" w:eastAsia="zh-CN"/>
        </w:rPr>
        <w:t>依据《传染病防治法》、《职业病防治法》、《公共场所卫生管理条例》等卫生法律法规，行驶卫生监督执法权，承办卫生行政许可；负责公共场所的卫生条件及其从业人员的健康管理开展监督检查；负责用人单位开展职业健康监护情况进行卫生监督检查；负责学校、托幼机构的公共场所、传染病和生活饮用水等卫生开展综合监管。</w:t>
      </w:r>
    </w:p>
    <w:p>
      <w:pPr>
        <w:pStyle w:val="5"/>
        <w:adjustRightInd w:val="0"/>
        <w:snapToGrid w:val="0"/>
        <w:spacing w:before="93" w:line="600" w:lineRule="exact"/>
        <w:outlineLvl w:val="2"/>
        <w:rPr>
          <w:rFonts w:hint="eastAsia" w:ascii="仿宋" w:hAnsi="仿宋" w:eastAsia="仿宋"/>
          <w:bCs/>
          <w:color w:val="000000"/>
          <w:sz w:val="32"/>
          <w:szCs w:val="32"/>
        </w:rPr>
      </w:pPr>
      <w:bookmarkStart w:id="24" w:name="_Toc16904"/>
      <w:bookmarkStart w:id="25" w:name="_Toc15378446"/>
      <w:bookmarkStart w:id="26"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24"/>
      <w:bookmarkEnd w:id="25"/>
      <w:bookmarkEnd w:id="26"/>
    </w:p>
    <w:p>
      <w:pPr>
        <w:numPr>
          <w:ilvl w:val="0"/>
          <w:numId w:val="0"/>
        </w:numPr>
        <w:ind w:left="0" w:leftChars="0" w:firstLine="720" w:firstLineChars="225"/>
        <w:rPr>
          <w:rFonts w:hint="eastAsia" w:ascii="仿宋_GB2312" w:hAnsi="仿宋_GB2312" w:eastAsia="仿宋_GB2312" w:cs="仿宋_GB2312"/>
          <w:color w:val="000000"/>
          <w:sz w:val="32"/>
          <w:szCs w:val="32"/>
          <w:lang w:val="en-US" w:eastAsia="zh-CN"/>
        </w:rPr>
      </w:pPr>
      <w:bookmarkStart w:id="27" w:name="_Toc15377200"/>
      <w:bookmarkStart w:id="28" w:name="_Toc15396601"/>
      <w:r>
        <w:rPr>
          <w:rFonts w:hint="eastAsia" w:ascii="仿宋_GB2312" w:hAnsi="仿宋_GB2312" w:eastAsia="仿宋_GB2312" w:cs="仿宋_GB2312"/>
          <w:color w:val="000000"/>
          <w:sz w:val="32"/>
          <w:szCs w:val="32"/>
          <w:lang w:val="en-US" w:eastAsia="zh-CN"/>
        </w:rPr>
        <w:t>加强能力建设，坚持“案例评析”、“卫生监督员案件主办”等制度，着力提高卫生监督员的业务素质和案件办理质量；狠抓工作落实，在全面完成省、州卫生监督重点工作目标的基础上，实现重点工作的突破，抓出工作的亮点。进一步加强业务人员的学习培训，不断提高业务能力，继续加强监督员廉政建设，规范监督员纪律，以科学发展观指导工作。进一步学习、宣传、贯彻党的第十八次代表大会精神，全面贯彻落实科学发展观；紧紧围绕县委、政府的中心工作，严格按照《传染病防治法》、《执业医师法》、《母婴保健法》、《献血法》、《传染病防治法》、《学校卫生管理条例》、《突发公共卫生事件应急处理条例》及《医疗机构管理条例》等法律法规开展各项监督工作。</w:t>
      </w:r>
    </w:p>
    <w:p>
      <w:pPr>
        <w:numPr>
          <w:ilvl w:val="0"/>
          <w:numId w:val="0"/>
        </w:num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职业卫生监督检查工作  按照属地化管理原则，加强领导，明确责任，在日常卫生监督检查工作的基础上，根据省、州</w:t>
      </w:r>
      <w:r>
        <w:rPr>
          <w:rFonts w:hint="eastAsia" w:ascii="仿宋_GB2312" w:hAnsi="仿宋_GB2312" w:eastAsia="仿宋_GB2312" w:cs="仿宋_GB2312"/>
          <w:color w:val="000000"/>
          <w:sz w:val="32"/>
          <w:szCs w:val="32"/>
          <w:lang w:eastAsia="zh-CN"/>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年职业卫生重点监督检查计划，制定具体实施方案，加强对职业健康检查、用人企业单位职业病危害因数的排查力度。同时，要加强职业病防治工作的指导，积极宣传贯彻职业病防治有关法律法规和标准。</w:t>
      </w:r>
    </w:p>
    <w:p>
      <w:pPr>
        <w:numPr>
          <w:ilvl w:val="0"/>
          <w:numId w:val="0"/>
        </w:num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放射卫生监督检查工作  检查辖区内各类放射诊疗机构放射防护工作情况，重点检查《放射诊疗许可证》和《放射工作人员证》持有情况，放射诊疗建设项目职业病危害评价情况、设备状态检测情况、放射工作人员个人剂量监测及职业健康监护情况等。</w:t>
      </w:r>
    </w:p>
    <w:p>
      <w:pPr>
        <w:numPr>
          <w:ilvl w:val="0"/>
          <w:numId w:val="0"/>
        </w:numPr>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生活饮用水、公共场所、消毒产品及涉水产品卫生监督抽检工作  根据省、州卫生监督抽检计划，结合实际，在明年制定具体的实施方案，按照相关法律法规、标准和规范的要求，确保抽检程序合法、结果准确可靠。发现违法行为，依法查处。进一步搞好公共场所卫生量化分级管理工作和从业人员培训工作，认真完成各项工作任务。</w:t>
      </w:r>
    </w:p>
    <w:p>
      <w:pPr>
        <w:pStyle w:val="3"/>
        <w:rPr>
          <w:rStyle w:val="32"/>
          <w:rFonts w:hint="eastAsia" w:ascii="黑体" w:hAnsi="黑体" w:eastAsia="黑体"/>
          <w:b w:val="0"/>
          <w:bCs w:val="0"/>
        </w:rPr>
      </w:pPr>
      <w:bookmarkStart w:id="29" w:name="_Toc197"/>
      <w:r>
        <w:rPr>
          <w:rFonts w:hint="eastAsia" w:ascii="黑体" w:eastAsia="黑体"/>
          <w:b w:val="0"/>
          <w:color w:val="000000"/>
        </w:rPr>
        <w:t>二、</w:t>
      </w:r>
      <w:r>
        <w:rPr>
          <w:rFonts w:hint="eastAsia" w:ascii="黑体" w:hAnsi="黑体" w:eastAsia="黑体"/>
          <w:b w:val="0"/>
          <w:color w:val="000000"/>
        </w:rPr>
        <w:t>机</w:t>
      </w:r>
      <w:r>
        <w:rPr>
          <w:rStyle w:val="32"/>
          <w:rFonts w:hint="eastAsia" w:ascii="黑体" w:hAnsi="黑体" w:eastAsia="黑体"/>
          <w:b w:val="0"/>
          <w:bCs w:val="0"/>
        </w:rPr>
        <w:t>构设置</w:t>
      </w:r>
      <w:bookmarkEnd w:id="27"/>
      <w:bookmarkEnd w:id="28"/>
      <w:bookmarkEnd w:id="29"/>
    </w:p>
    <w:p>
      <w:pPr>
        <w:pStyle w:val="3"/>
        <w:ind w:firstLine="640" w:firstLineChars="200"/>
        <w:rPr>
          <w:rFonts w:hint="eastAsia" w:ascii="黑体" w:hAnsi="黑体" w:eastAsia="黑体"/>
          <w:b w:val="0"/>
          <w:color w:val="000000"/>
        </w:rPr>
      </w:pPr>
      <w:bookmarkStart w:id="30" w:name="_Toc12975"/>
      <w:r>
        <w:rPr>
          <w:rFonts w:hint="eastAsia" w:ascii="仿宋_GB2312" w:hAnsi="仿宋_GB2312" w:eastAsia="仿宋_GB2312" w:cs="仿宋_GB2312"/>
          <w:b w:val="0"/>
          <w:sz w:val="32"/>
          <w:szCs w:val="32"/>
          <w:lang w:val="en-US" w:eastAsia="zh-CN"/>
        </w:rPr>
        <w:t>我单位为独立核算全额拨款参公单位。无下设机构，截止2019年底我单位共有编制8个，其中参公编制6个，行政工勤编制2个，在职6人，退休0人。</w:t>
      </w:r>
      <w:bookmarkEnd w:id="30"/>
      <w:bookmarkStart w:id="31" w:name="_Toc15377204"/>
      <w:bookmarkStart w:id="32" w:name="_Toc15396602"/>
    </w:p>
    <w:p>
      <w:pPr>
        <w:pStyle w:val="2"/>
        <w:ind w:right="440"/>
        <w:jc w:val="right"/>
      </w:pPr>
      <w:bookmarkStart w:id="33" w:name="_Toc21121"/>
      <w:r>
        <w:rPr>
          <w:rFonts w:hint="eastAsia" w:ascii="黑体" w:hAnsi="黑体" w:eastAsia="黑体"/>
          <w:b w:val="0"/>
          <w:color w:val="000000"/>
        </w:rPr>
        <w:t>第二部分</w:t>
      </w:r>
      <w:r>
        <w:rPr>
          <w:rFonts w:hint="eastAsia" w:ascii="黑体" w:hAnsi="黑体" w:eastAsia="黑体"/>
          <w:color w:val="000000"/>
        </w:rPr>
        <w:t xml:space="preserve"> </w:t>
      </w:r>
      <w:r>
        <w:rPr>
          <w:rStyle w:val="31"/>
          <w:rFonts w:hint="eastAsia" w:ascii="黑体" w:hAnsi="黑体" w:eastAsia="黑体"/>
          <w:b w:val="0"/>
          <w:bCs w:val="0"/>
        </w:rPr>
        <w:t>201</w:t>
      </w:r>
      <w:r>
        <w:rPr>
          <w:rStyle w:val="31"/>
          <w:rFonts w:hint="eastAsia" w:ascii="黑体" w:hAnsi="黑体" w:eastAsia="黑体"/>
          <w:b w:val="0"/>
          <w:bCs w:val="0"/>
          <w:lang w:val="en-US" w:eastAsia="zh-CN"/>
        </w:rPr>
        <w:t>9</w:t>
      </w:r>
      <w:r>
        <w:rPr>
          <w:rStyle w:val="31"/>
          <w:rFonts w:hint="eastAsia" w:ascii="黑体" w:hAnsi="黑体" w:eastAsia="黑体"/>
          <w:b w:val="0"/>
          <w:bCs w:val="0"/>
        </w:rPr>
        <w:t>年度部门决算情况说明</w:t>
      </w:r>
      <w:bookmarkEnd w:id="31"/>
      <w:bookmarkEnd w:id="32"/>
      <w:bookmarkEnd w:id="33"/>
    </w:p>
    <w:p>
      <w:pPr>
        <w:pStyle w:val="24"/>
        <w:numPr>
          <w:ilvl w:val="0"/>
          <w:numId w:val="2"/>
        </w:numPr>
        <w:spacing w:line="600" w:lineRule="exact"/>
        <w:ind w:firstLineChars="0"/>
        <w:outlineLvl w:val="1"/>
        <w:rPr>
          <w:rStyle w:val="32"/>
          <w:rFonts w:ascii="黑体" w:hAnsi="黑体" w:eastAsia="黑体"/>
          <w:b w:val="0"/>
        </w:rPr>
      </w:pPr>
      <w:bookmarkStart w:id="34" w:name="_Toc4741"/>
      <w:bookmarkStart w:id="35" w:name="_Toc15377205"/>
      <w:bookmarkStart w:id="36" w:name="_Toc15396603"/>
      <w:r>
        <w:rPr>
          <w:rFonts w:hint="eastAsia" w:ascii="黑体" w:hAnsi="黑体" w:eastAsia="黑体"/>
          <w:color w:val="000000"/>
          <w:sz w:val="32"/>
          <w:szCs w:val="32"/>
        </w:rPr>
        <w:t>收</w:t>
      </w:r>
      <w:r>
        <w:rPr>
          <w:rStyle w:val="32"/>
          <w:rFonts w:hint="eastAsia" w:ascii="黑体" w:hAnsi="黑体" w:eastAsia="黑体"/>
          <w:b w:val="0"/>
        </w:rPr>
        <w:t>入支出决算总体情况说明</w:t>
      </w:r>
      <w:bookmarkEnd w:id="34"/>
      <w:bookmarkEnd w:id="35"/>
      <w:bookmarkEnd w:id="36"/>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157.1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_GB2312" w:eastAsia="仿宋_GB2312"/>
          <w:sz w:val="30"/>
          <w:szCs w:val="30"/>
        </w:rPr>
        <w:t>其中财政拨款收入</w:t>
      </w:r>
      <w:r>
        <w:rPr>
          <w:rFonts w:hint="eastAsia" w:ascii="仿宋_GB2312" w:eastAsia="仿宋_GB2312"/>
          <w:sz w:val="30"/>
          <w:szCs w:val="30"/>
          <w:lang w:val="en-US" w:eastAsia="zh-CN"/>
        </w:rPr>
        <w:t>157.1万</w:t>
      </w:r>
      <w:r>
        <w:rPr>
          <w:rFonts w:hint="eastAsia" w:ascii="仿宋_GB2312" w:eastAsia="仿宋_GB2312"/>
          <w:sz w:val="30"/>
          <w:szCs w:val="30"/>
        </w:rPr>
        <w:t>元</w:t>
      </w:r>
      <w:r>
        <w:rPr>
          <w:rFonts w:hint="eastAsia" w:ascii="仿宋_GB2312" w:eastAsia="仿宋_GB2312"/>
          <w:sz w:val="30"/>
          <w:szCs w:val="30"/>
          <w:lang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减少4.41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2019年社会保障和就业支出、卫生健康支出、住房保障支出减少。</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160.88万元，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2.01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2018年的结余在2019年支出。</w:t>
      </w:r>
      <w:r>
        <w:rPr>
          <w:rFonts w:hint="eastAsia" w:ascii="仿宋_GB2312" w:hAnsi="仿宋_GB2312" w:eastAsia="仿宋_GB2312" w:cs="仿宋_GB2312"/>
          <w:color w:val="000000"/>
          <w:sz w:val="32"/>
          <w:szCs w:val="32"/>
          <w:lang w:val="en-US" w:eastAsia="zh-CN"/>
        </w:rPr>
        <w:t>2019年底结转结余合计0.91万</w:t>
      </w:r>
      <w:r>
        <w:rPr>
          <w:rFonts w:hint="eastAsia" w:ascii="仿宋_GB2312" w:hAnsi="仿宋_GB2312" w:eastAsia="仿宋_GB2312" w:cs="仿宋_GB2312"/>
          <w:color w:val="000000"/>
          <w:sz w:val="32"/>
          <w:szCs w:val="32"/>
          <w:lang w:eastAsia="zh-CN"/>
        </w:rPr>
        <w:t>元，其中基本支出结转结余</w:t>
      </w:r>
      <w:r>
        <w:rPr>
          <w:rFonts w:hint="eastAsia" w:ascii="仿宋_GB2312" w:hAnsi="仿宋_GB2312" w:eastAsia="仿宋_GB2312" w:cs="仿宋_GB2312"/>
          <w:color w:val="000000"/>
          <w:sz w:val="32"/>
          <w:szCs w:val="32"/>
          <w:lang w:val="en-US" w:eastAsia="zh-CN"/>
        </w:rPr>
        <w:t>0.91</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spacing w:line="240" w:lineRule="auto"/>
        <w:rPr>
          <w:rFonts w:hint="eastAsia" w:eastAsia="宋体"/>
          <w:lang w:eastAsia="zh-CN"/>
        </w:rPr>
      </w:pPr>
    </w:p>
    <w:p>
      <w:pPr>
        <w:spacing w:line="240" w:lineRule="auto"/>
        <w:ind w:firstLine="630" w:firstLineChars="300"/>
        <w:rPr>
          <w:rFonts w:hint="eastAsia" w:eastAsia="宋体"/>
          <w:lang w:eastAsia="zh-CN"/>
        </w:rPr>
      </w:pPr>
      <w:r>
        <w:rPr>
          <w:rFonts w:hint="eastAsia" w:eastAsia="宋体"/>
          <w:lang w:eastAsia="zh-CN"/>
        </w:rPr>
        <w:drawing>
          <wp:inline distT="0" distB="0" distL="114300" distR="114300">
            <wp:extent cx="4584065" cy="2755265"/>
            <wp:effectExtent l="0" t="0" r="6985" b="6985"/>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pPr>
        <w:spacing w:line="600" w:lineRule="exact"/>
        <w:ind w:firstLine="630" w:firstLineChars="300"/>
      </w:pPr>
    </w:p>
    <w:p>
      <w:pPr>
        <w:spacing w:line="600" w:lineRule="exact"/>
        <w:ind w:firstLine="960" w:firstLineChars="3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numPr>
          <w:ilvl w:val="0"/>
          <w:numId w:val="2"/>
        </w:numPr>
        <w:spacing w:line="600" w:lineRule="exact"/>
        <w:ind w:firstLineChars="0"/>
        <w:outlineLvl w:val="1"/>
        <w:rPr>
          <w:rStyle w:val="32"/>
          <w:rFonts w:ascii="黑体" w:hAnsi="黑体" w:eastAsia="黑体"/>
          <w:b w:val="0"/>
        </w:rPr>
      </w:pPr>
      <w:bookmarkStart w:id="37" w:name="_Toc15396604"/>
      <w:bookmarkStart w:id="38" w:name="_Toc15377206"/>
      <w:bookmarkStart w:id="39" w:name="_Toc29568"/>
      <w:r>
        <w:rPr>
          <w:rFonts w:hint="eastAsia" w:ascii="黑体" w:hAnsi="黑体" w:eastAsia="黑体"/>
          <w:color w:val="000000"/>
          <w:sz w:val="32"/>
          <w:szCs w:val="32"/>
        </w:rPr>
        <w:t>收</w:t>
      </w:r>
      <w:r>
        <w:rPr>
          <w:rStyle w:val="32"/>
          <w:rFonts w:hint="eastAsia" w:ascii="黑体" w:hAnsi="黑体" w:eastAsia="黑体"/>
          <w:b w:val="0"/>
        </w:rPr>
        <w:t>入决算情况说明</w:t>
      </w:r>
      <w:bookmarkEnd w:id="37"/>
      <w:bookmarkEnd w:id="38"/>
      <w:bookmarkEnd w:id="39"/>
    </w:p>
    <w:p>
      <w:pPr>
        <w:spacing w:line="600" w:lineRule="exact"/>
        <w:ind w:firstLine="640" w:firstLineChars="200"/>
        <w:outlineLvl w:val="1"/>
        <w:rPr>
          <w:rFonts w:hint="eastAsia" w:ascii="仿宋" w:hAnsi="仿宋" w:eastAsia="仿宋"/>
          <w:color w:val="000000"/>
          <w:sz w:val="32"/>
          <w:szCs w:val="32"/>
          <w:lang w:eastAsia="zh-CN"/>
        </w:rPr>
      </w:pPr>
      <w:bookmarkStart w:id="40" w:name="_Toc12081"/>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157.1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157.1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40"/>
    </w:p>
    <w:p>
      <w:pPr>
        <w:spacing w:line="240" w:lineRule="auto"/>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41" w:name="_Toc23335"/>
      <w:r>
        <w:rPr>
          <w:rFonts w:hint="eastAsia" w:ascii="仿宋" w:hAnsi="仿宋" w:eastAsia="仿宋"/>
          <w:color w:val="000000"/>
          <w:sz w:val="32"/>
          <w:szCs w:val="32"/>
          <w:lang w:eastAsia="zh-CN"/>
        </w:rPr>
        <w:drawing>
          <wp:inline distT="0" distB="0" distL="114300" distR="114300">
            <wp:extent cx="4584065" cy="2755265"/>
            <wp:effectExtent l="0" t="0" r="6985" b="6985"/>
            <wp:docPr id="12" name="图片 1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1"/>
                    </pic:cNvPicPr>
                  </pic:nvPicPr>
                  <pic:blipFill>
                    <a:blip r:embed="rId10"/>
                    <a:stretch>
                      <a:fillRect/>
                    </a:stretch>
                  </pic:blipFill>
                  <pic:spPr>
                    <a:xfrm>
                      <a:off x="0" y="0"/>
                      <a:ext cx="4584065" cy="2755265"/>
                    </a:xfrm>
                    <a:prstGeom prst="rect">
                      <a:avLst/>
                    </a:prstGeom>
                  </pic:spPr>
                </pic:pic>
              </a:graphicData>
            </a:graphic>
          </wp:inline>
        </w:drawing>
      </w:r>
      <w:bookmarkEnd w:id="41"/>
    </w:p>
    <w:p>
      <w:pPr>
        <w:spacing w:line="600" w:lineRule="exact"/>
        <w:ind w:firstLine="1280" w:firstLineChars="400"/>
        <w:rPr>
          <w:rFonts w:hint="eastAsia" w:ascii="黑体" w:hAnsi="黑体" w:eastAsia="黑体"/>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t>（图2：收入决算结构图）（饼状图）</w:t>
      </w:r>
      <w:bookmarkStart w:id="42" w:name="_Toc15396605"/>
      <w:bookmarkStart w:id="43" w:name="_Toc15377207"/>
    </w:p>
    <w:p>
      <w:pPr>
        <w:pStyle w:val="24"/>
        <w:numPr>
          <w:ilvl w:val="0"/>
          <w:numId w:val="0"/>
        </w:numPr>
        <w:spacing w:line="600" w:lineRule="exact"/>
        <w:ind w:left="640" w:leftChars="0"/>
        <w:outlineLvl w:val="1"/>
        <w:rPr>
          <w:rStyle w:val="32"/>
          <w:rFonts w:ascii="黑体" w:hAnsi="黑体" w:eastAsia="黑体"/>
          <w:b w:val="0"/>
        </w:rPr>
      </w:pPr>
      <w:bookmarkStart w:id="44" w:name="_Toc2390"/>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2"/>
          <w:rFonts w:hint="eastAsia" w:ascii="黑体" w:hAnsi="黑体" w:eastAsia="黑体"/>
          <w:b w:val="0"/>
        </w:rPr>
        <w:t>出决算情况说明</w:t>
      </w:r>
      <w:bookmarkEnd w:id="42"/>
      <w:bookmarkEnd w:id="43"/>
      <w:bookmarkEnd w:id="44"/>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160.88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156.19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4.7万元，占3</w:t>
      </w:r>
      <w:r>
        <w:rPr>
          <w:rFonts w:ascii="仿宋" w:hAnsi="仿宋" w:eastAsia="仿宋"/>
          <w:color w:val="000000"/>
          <w:sz w:val="32"/>
          <w:szCs w:val="32"/>
        </w:rPr>
        <w:t>%</w:t>
      </w:r>
      <w:r>
        <w:rPr>
          <w:rFonts w:hint="eastAsia" w:ascii="仿宋" w:hAnsi="仿宋" w:eastAsia="仿宋"/>
          <w:color w:val="000000"/>
          <w:sz w:val="32"/>
          <w:szCs w:val="32"/>
          <w:lang w:val="en-US" w:eastAsia="zh-CN"/>
        </w:rPr>
        <w:t>。</w:t>
      </w:r>
    </w:p>
    <w:p>
      <w:pPr>
        <w:spacing w:line="600" w:lineRule="exact"/>
        <w:ind w:firstLine="640"/>
        <w:rPr>
          <w:rFonts w:hint="eastAsia" w:ascii="仿宋" w:hAnsi="仿宋" w:eastAsia="仿宋"/>
          <w:color w:val="000000"/>
          <w:sz w:val="32"/>
          <w:szCs w:val="32"/>
          <w:lang w:eastAsia="zh-CN"/>
        </w:rPr>
      </w:pP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13" name="图片 1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3"/>
                    <pic:cNvPicPr>
                      <a:picLocks noChangeAspect="1"/>
                    </pic:cNvPicPr>
                  </pic:nvPicPr>
                  <pic:blipFill>
                    <a:blip r:embed="rId11"/>
                    <a:stretch>
                      <a:fillRect/>
                    </a:stretch>
                  </pic:blipFill>
                  <pic:spPr>
                    <a:xfrm>
                      <a:off x="0" y="0"/>
                      <a:ext cx="4584065" cy="2755265"/>
                    </a:xfrm>
                    <a:prstGeom prst="rect">
                      <a:avLst/>
                    </a:prstGeom>
                  </pic:spPr>
                </pic:pic>
              </a:graphicData>
            </a:graphic>
          </wp:inline>
        </w:drawing>
      </w:r>
    </w:p>
    <w:p>
      <w:pPr>
        <w:spacing w:line="600" w:lineRule="exact"/>
        <w:ind w:firstLine="1920" w:firstLineChars="600"/>
        <w:rPr>
          <w:rFonts w:hint="eastAsia" w:ascii="黑体" w:hAnsi="黑体" w:eastAsia="黑体"/>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t>（图3：支出决算结构图）（饼状图）</w:t>
      </w:r>
      <w:bookmarkStart w:id="45" w:name="_Toc15396606"/>
      <w:bookmarkStart w:id="46" w:name="_Toc15377208"/>
    </w:p>
    <w:p>
      <w:pPr>
        <w:numPr>
          <w:ilvl w:val="0"/>
          <w:numId w:val="0"/>
        </w:numPr>
        <w:spacing w:line="600" w:lineRule="exact"/>
        <w:ind w:left="640" w:leftChars="0"/>
        <w:outlineLvl w:val="1"/>
        <w:rPr>
          <w:rStyle w:val="32"/>
          <w:rFonts w:hint="eastAsia" w:ascii="黑体" w:hAnsi="黑体" w:eastAsia="黑体"/>
          <w:b w:val="0"/>
        </w:rPr>
      </w:pPr>
      <w:bookmarkStart w:id="47" w:name="_Toc15107"/>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32"/>
          <w:rFonts w:hint="eastAsia" w:ascii="黑体" w:hAnsi="黑体" w:eastAsia="黑体"/>
          <w:b w:val="0"/>
        </w:rPr>
        <w:t>政拨款收入支出决算总体情况说明</w:t>
      </w:r>
      <w:bookmarkEnd w:id="45"/>
      <w:bookmarkEnd w:id="46"/>
      <w:bookmarkEnd w:id="47"/>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w:t>
      </w:r>
      <w:r>
        <w:rPr>
          <w:rFonts w:hint="eastAsia" w:ascii="仿宋_GB2312" w:eastAsia="仿宋_GB2312"/>
          <w:sz w:val="30"/>
          <w:szCs w:val="30"/>
        </w:rPr>
        <w:t>财政拨款收入</w:t>
      </w:r>
      <w:r>
        <w:rPr>
          <w:rFonts w:hint="eastAsia" w:ascii="仿宋_GB2312" w:eastAsia="仿宋_GB2312"/>
          <w:sz w:val="30"/>
          <w:szCs w:val="30"/>
          <w:lang w:val="en-US" w:eastAsia="zh-CN"/>
        </w:rPr>
        <w:t>157.1万</w:t>
      </w:r>
      <w:r>
        <w:rPr>
          <w:rFonts w:hint="eastAsia" w:ascii="仿宋_GB2312" w:eastAsia="仿宋_GB2312"/>
          <w:sz w:val="30"/>
          <w:szCs w:val="30"/>
        </w:rPr>
        <w:t>元</w:t>
      </w:r>
      <w:r>
        <w:rPr>
          <w:rFonts w:hint="eastAsia" w:ascii="仿宋_GB2312" w:eastAsia="仿宋_GB2312"/>
          <w:sz w:val="30"/>
          <w:szCs w:val="30"/>
          <w:lang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减少3.32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2019年社会保障和就业支出、卫生健康支出、住房保障支出减少。</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w:t>
      </w:r>
      <w:r>
        <w:rPr>
          <w:rFonts w:hint="eastAsia" w:ascii="仿宋_GB2312" w:eastAsia="仿宋_GB2312"/>
          <w:sz w:val="30"/>
          <w:szCs w:val="30"/>
        </w:rPr>
        <w:t>财政拨款</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160.88万元，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3.1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2018年的结余在2019年支出。</w:t>
      </w:r>
    </w:p>
    <w:p>
      <w:pPr>
        <w:spacing w:line="240" w:lineRule="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drawing>
          <wp:inline distT="0" distB="0" distL="114300" distR="114300">
            <wp:extent cx="4584065" cy="2755265"/>
            <wp:effectExtent l="0" t="0" r="6985" b="6985"/>
            <wp:docPr id="15" name="图片 1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4"/>
                    <pic:cNvPicPr>
                      <a:picLocks noChangeAspect="1"/>
                    </pic:cNvPicPr>
                  </pic:nvPicPr>
                  <pic:blipFill>
                    <a:blip r:embed="rId12"/>
                    <a:stretch>
                      <a:fillRect/>
                    </a:stretch>
                  </pic:blipFill>
                  <pic:spPr>
                    <a:xfrm>
                      <a:off x="0" y="0"/>
                      <a:ext cx="4584065" cy="2755265"/>
                    </a:xfrm>
                    <a:prstGeom prst="rect">
                      <a:avLst/>
                    </a:prstGeom>
                  </pic:spPr>
                </pic:pic>
              </a:graphicData>
            </a:graphic>
          </wp:inline>
        </w:drawing>
      </w:r>
    </w:p>
    <w:p>
      <w:pPr>
        <w:spacing w:line="600" w:lineRule="exact"/>
        <w:ind w:left="319" w:leftChars="152" w:firstLine="320" w:firstLineChars="100"/>
        <w:rPr>
          <w:rFonts w:hint="eastAsia" w:ascii="黑体" w:hAnsi="黑体" w:eastAsia="黑体"/>
          <w:color w:val="00000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bookmarkStart w:id="48" w:name="_Toc15396607"/>
      <w:bookmarkStart w:id="49" w:name="_Toc15377209"/>
    </w:p>
    <w:p>
      <w:pPr>
        <w:spacing w:line="600" w:lineRule="exact"/>
        <w:ind w:firstLine="640" w:firstLineChars="200"/>
        <w:outlineLvl w:val="1"/>
        <w:rPr>
          <w:rStyle w:val="32"/>
          <w:rFonts w:ascii="黑体" w:hAnsi="黑体" w:eastAsia="黑体"/>
          <w:b w:val="0"/>
          <w:highlight w:val="none"/>
        </w:rPr>
      </w:pPr>
      <w:bookmarkStart w:id="50" w:name="_Toc14844"/>
      <w:r>
        <w:rPr>
          <w:rFonts w:hint="eastAsia" w:ascii="黑体" w:hAnsi="黑体" w:eastAsia="黑体"/>
          <w:color w:val="000000"/>
          <w:sz w:val="32"/>
          <w:szCs w:val="32"/>
          <w:highlight w:val="none"/>
        </w:rPr>
        <w:t>五、</w:t>
      </w:r>
      <w:r>
        <w:rPr>
          <w:rFonts w:hint="eastAsia" w:ascii="黑体" w:hAnsi="黑体" w:eastAsia="黑体"/>
          <w:b/>
          <w:color w:val="000000"/>
          <w:sz w:val="32"/>
          <w:szCs w:val="32"/>
          <w:highlight w:val="none"/>
        </w:rPr>
        <w:t>一</w:t>
      </w:r>
      <w:r>
        <w:rPr>
          <w:rStyle w:val="32"/>
          <w:rFonts w:hint="eastAsia" w:ascii="黑体" w:hAnsi="黑体" w:eastAsia="黑体"/>
          <w:b w:val="0"/>
          <w:highlight w:val="none"/>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sz w:val="32"/>
          <w:szCs w:val="32"/>
          <w:highlight w:val="none"/>
        </w:rPr>
      </w:pPr>
      <w:bookmarkStart w:id="51" w:name="_Toc26367"/>
      <w:bookmarkStart w:id="52" w:name="_Toc15377210"/>
      <w:r>
        <w:rPr>
          <w:rFonts w:hint="eastAsia" w:ascii="仿宋" w:hAnsi="仿宋" w:eastAsia="仿宋"/>
          <w:b/>
          <w:color w:val="000000"/>
          <w:sz w:val="32"/>
          <w:szCs w:val="32"/>
          <w:highlight w:val="none"/>
        </w:rPr>
        <w:t>（一）一般公共预算财政拨款支出决算总体情况</w:t>
      </w:r>
      <w:bookmarkEnd w:id="51"/>
      <w:bookmarkEnd w:id="52"/>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highlight w:val="none"/>
          <w:lang w:eastAsia="zh-CN"/>
        </w:rPr>
      </w:pPr>
      <w:r>
        <w:rPr>
          <w:rFonts w:ascii="仿宋" w:hAnsi="仿宋" w:eastAsia="仿宋"/>
          <w:color w:val="000000"/>
          <w:sz w:val="32"/>
          <w:szCs w:val="32"/>
          <w:highlight w:val="none"/>
        </w:rPr>
        <w:t>201</w:t>
      </w:r>
      <w:r>
        <w:rPr>
          <w:rFonts w:hint="eastAsia" w:ascii="仿宋" w:hAnsi="仿宋" w:eastAsia="仿宋"/>
          <w:color w:val="000000"/>
          <w:sz w:val="32"/>
          <w:szCs w:val="32"/>
          <w:highlight w:val="none"/>
          <w:lang w:val="en-US" w:eastAsia="zh-CN"/>
        </w:rPr>
        <w:t>9</w:t>
      </w:r>
      <w:r>
        <w:rPr>
          <w:rFonts w:hint="eastAsia" w:ascii="仿宋" w:hAnsi="仿宋" w:eastAsia="仿宋"/>
          <w:color w:val="000000"/>
          <w:sz w:val="32"/>
          <w:szCs w:val="32"/>
          <w:highlight w:val="none"/>
        </w:rPr>
        <w:t>年一般公共预算财政拨款支出</w:t>
      </w:r>
      <w:r>
        <w:rPr>
          <w:rFonts w:hint="eastAsia" w:ascii="仿宋" w:hAnsi="仿宋" w:eastAsia="仿宋"/>
          <w:color w:val="000000"/>
          <w:sz w:val="32"/>
          <w:szCs w:val="32"/>
          <w:highlight w:val="none"/>
          <w:lang w:val="en-US" w:eastAsia="zh-CN"/>
        </w:rPr>
        <w:t>160.88</w:t>
      </w:r>
      <w:r>
        <w:rPr>
          <w:rFonts w:hint="eastAsia" w:ascii="仿宋" w:hAnsi="仿宋" w:eastAsia="仿宋"/>
          <w:color w:val="000000"/>
          <w:sz w:val="32"/>
          <w:szCs w:val="32"/>
          <w:highlight w:val="none"/>
        </w:rPr>
        <w:t>万元，占本年支出合计的</w:t>
      </w:r>
      <w:r>
        <w:rPr>
          <w:rFonts w:hint="eastAsia" w:ascii="仿宋" w:hAnsi="仿宋" w:eastAsia="仿宋"/>
          <w:color w:val="000000"/>
          <w:sz w:val="32"/>
          <w:szCs w:val="32"/>
          <w:highlight w:val="none"/>
          <w:lang w:val="en-US" w:eastAsia="zh-CN"/>
        </w:rPr>
        <w:t>100</w:t>
      </w:r>
      <w:r>
        <w:rPr>
          <w:rFonts w:ascii="仿宋" w:hAnsi="仿宋" w:eastAsia="仿宋"/>
          <w:color w:val="000000"/>
          <w:sz w:val="32"/>
          <w:szCs w:val="32"/>
          <w:highlight w:val="none"/>
        </w:rPr>
        <w:t>%</w:t>
      </w:r>
      <w:r>
        <w:rPr>
          <w:rFonts w:hint="eastAsia" w:ascii="仿宋" w:hAnsi="仿宋" w:eastAsia="仿宋"/>
          <w:color w:val="000000"/>
          <w:sz w:val="32"/>
          <w:szCs w:val="32"/>
          <w:highlight w:val="none"/>
        </w:rPr>
        <w:t>。与201</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rPr>
        <w:t>年相比，一般公共预算财政拨款支</w:t>
      </w:r>
      <w:r>
        <w:rPr>
          <w:rFonts w:hint="eastAsia" w:ascii="仿宋" w:hAnsi="仿宋" w:eastAsia="仿宋"/>
          <w:color w:val="000000"/>
          <w:sz w:val="32"/>
          <w:szCs w:val="32"/>
          <w:highlight w:val="none"/>
          <w:lang w:eastAsia="zh-CN"/>
        </w:rPr>
        <w:t>出</w:t>
      </w:r>
      <w:r>
        <w:rPr>
          <w:rFonts w:hint="eastAsia" w:ascii="仿宋" w:hAnsi="仿宋" w:eastAsia="仿宋"/>
          <w:color w:val="000000"/>
          <w:sz w:val="32"/>
          <w:szCs w:val="32"/>
          <w:highlight w:val="none"/>
        </w:rPr>
        <w:t>总计增加</w:t>
      </w:r>
      <w:r>
        <w:rPr>
          <w:rFonts w:hint="eastAsia" w:ascii="仿宋" w:hAnsi="仿宋" w:eastAsia="仿宋"/>
          <w:color w:val="000000"/>
          <w:sz w:val="32"/>
          <w:szCs w:val="32"/>
          <w:highlight w:val="none"/>
          <w:lang w:val="en-US" w:eastAsia="zh-CN"/>
        </w:rPr>
        <w:t>3.11</w:t>
      </w:r>
      <w:r>
        <w:rPr>
          <w:rFonts w:hint="eastAsia" w:ascii="仿宋" w:hAnsi="仿宋" w:eastAsia="仿宋"/>
          <w:color w:val="000000"/>
          <w:sz w:val="32"/>
          <w:szCs w:val="32"/>
          <w:highlight w:val="none"/>
        </w:rPr>
        <w:t>万元，增长</w:t>
      </w:r>
      <w:r>
        <w:rPr>
          <w:rFonts w:hint="eastAsia" w:ascii="仿宋" w:hAnsi="仿宋" w:eastAsia="仿宋"/>
          <w:color w:val="000000"/>
          <w:sz w:val="32"/>
          <w:szCs w:val="32"/>
          <w:highlight w:val="none"/>
          <w:lang w:val="en-US" w:eastAsia="zh-CN"/>
        </w:rPr>
        <w:t>2</w:t>
      </w:r>
      <w:r>
        <w:rPr>
          <w:rFonts w:ascii="仿宋" w:hAnsi="仿宋" w:eastAsia="仿宋"/>
          <w:color w:val="000000"/>
          <w:sz w:val="32"/>
          <w:szCs w:val="32"/>
          <w:highlight w:val="none"/>
        </w:rPr>
        <w:t>%</w:t>
      </w:r>
      <w:r>
        <w:rPr>
          <w:rFonts w:hint="eastAsia" w:ascii="仿宋" w:hAnsi="仿宋" w:eastAsia="仿宋"/>
          <w:color w:val="000000"/>
          <w:sz w:val="32"/>
          <w:szCs w:val="32"/>
          <w:highlight w:val="none"/>
        </w:rPr>
        <w:t>。主要变动原因主要变动原因是</w:t>
      </w:r>
      <w:r>
        <w:rPr>
          <w:rFonts w:hint="eastAsia" w:ascii="仿宋" w:hAnsi="仿宋" w:eastAsia="仿宋"/>
          <w:color w:val="000000"/>
          <w:sz w:val="32"/>
          <w:szCs w:val="32"/>
          <w:highlight w:val="none"/>
          <w:lang w:val="en-US" w:eastAsia="zh-CN"/>
        </w:rPr>
        <w:t>2018年的结余在2019年支出。</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inline distT="0" distB="0" distL="114300" distR="114300">
            <wp:extent cx="4584065" cy="2755265"/>
            <wp:effectExtent l="0" t="0" r="6985" b="6985"/>
            <wp:docPr id="16" name="图片 1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5"/>
                    <pic:cNvPicPr>
                      <a:picLocks noChangeAspect="1"/>
                    </pic:cNvPicPr>
                  </pic:nvPicPr>
                  <pic:blipFill>
                    <a:blip r:embed="rId13"/>
                    <a:stretch>
                      <a:fillRect/>
                    </a:stretch>
                  </pic:blipFill>
                  <pic:spPr>
                    <a:xfrm>
                      <a:off x="0" y="0"/>
                      <a:ext cx="4584065" cy="2755265"/>
                    </a:xfrm>
                    <a:prstGeom prst="rect">
                      <a:avLst/>
                    </a:prstGeom>
                  </pic:spPr>
                </pic:pic>
              </a:graphicData>
            </a:graphic>
          </wp:inline>
        </w:drawing>
      </w:r>
    </w:p>
    <w:p>
      <w:pPr>
        <w:spacing w:line="240" w:lineRule="auto"/>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3" w:name="_Toc28766"/>
      <w:bookmarkStart w:id="54" w:name="_Toc15377211"/>
      <w:r>
        <w:rPr>
          <w:rFonts w:hint="eastAsia" w:ascii="仿宋" w:hAnsi="仿宋" w:eastAsia="仿宋"/>
          <w:b/>
          <w:color w:val="000000"/>
          <w:sz w:val="32"/>
          <w:szCs w:val="32"/>
        </w:rPr>
        <w:t>（二）一般公共预算财政拨款支出决算结构情况</w:t>
      </w:r>
      <w:bookmarkEnd w:id="53"/>
      <w:bookmarkEnd w:id="54"/>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160.88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20.76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卫生健康</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129.32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10.8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p>
    <w:p>
      <w:pPr>
        <w:spacing w:line="240" w:lineRule="auto"/>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584065" cy="2755265"/>
            <wp:effectExtent l="0" t="0" r="6985" b="6985"/>
            <wp:docPr id="17" name="图片 1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6"/>
                    <pic:cNvPicPr>
                      <a:picLocks noChangeAspect="1"/>
                    </pic:cNvPicPr>
                  </pic:nvPicPr>
                  <pic:blipFill>
                    <a:blip r:embed="rId14"/>
                    <a:stretch>
                      <a:fillRect/>
                    </a:stretch>
                  </pic:blipFill>
                  <pic:spPr>
                    <a:xfrm>
                      <a:off x="0" y="0"/>
                      <a:ext cx="4584065" cy="2755265"/>
                    </a:xfrm>
                    <a:prstGeom prst="rect">
                      <a:avLst/>
                    </a:prstGeom>
                  </pic:spPr>
                </pic:pic>
              </a:graphicData>
            </a:graphic>
          </wp:inline>
        </w:drawing>
      </w:r>
    </w:p>
    <w:p>
      <w:pPr>
        <w:spacing w:line="600" w:lineRule="exact"/>
        <w:rPr>
          <w:rFonts w:hint="eastAsia" w:ascii="仿宋" w:hAnsi="仿宋" w:eastAsia="仿宋"/>
          <w:b/>
          <w:color w:val="000000"/>
          <w:sz w:val="32"/>
          <w:szCs w:val="32"/>
        </w:rPr>
      </w:pPr>
      <w:r>
        <w:rPr>
          <w:rFonts w:hint="eastAsia" w:ascii="仿宋" w:hAnsi="仿宋" w:eastAsia="仿宋"/>
          <w:color w:val="000000"/>
          <w:sz w:val="32"/>
          <w:szCs w:val="32"/>
        </w:rPr>
        <w:t>（图6：一般公共预算财政拨款支出决算结构）（饼状图）</w:t>
      </w:r>
      <w:bookmarkStart w:id="55" w:name="_Toc15377212"/>
    </w:p>
    <w:p>
      <w:pPr>
        <w:spacing w:line="600" w:lineRule="exact"/>
        <w:ind w:firstLine="643" w:firstLineChars="200"/>
        <w:outlineLvl w:val="2"/>
        <w:rPr>
          <w:rFonts w:ascii="仿宋" w:hAnsi="仿宋" w:eastAsia="仿宋"/>
          <w:b/>
          <w:color w:val="000000"/>
          <w:sz w:val="32"/>
          <w:szCs w:val="32"/>
        </w:rPr>
      </w:pPr>
      <w:bookmarkStart w:id="56" w:name="_Toc14460"/>
      <w:r>
        <w:rPr>
          <w:rFonts w:hint="eastAsia" w:ascii="仿宋" w:hAnsi="仿宋" w:eastAsia="仿宋"/>
          <w:b/>
          <w:color w:val="000000"/>
          <w:sz w:val="32"/>
          <w:szCs w:val="32"/>
        </w:rPr>
        <w:t>（三）一般公共预算财政拨款支出决算具体情况</w:t>
      </w:r>
      <w:bookmarkEnd w:id="55"/>
      <w:bookmarkEnd w:id="56"/>
    </w:p>
    <w:p>
      <w:pPr>
        <w:spacing w:line="600" w:lineRule="exact"/>
        <w:ind w:firstLine="643" w:firstLineChars="200"/>
        <w:outlineLvl w:val="2"/>
        <w:rPr>
          <w:rFonts w:ascii="仿宋" w:hAnsi="仿宋" w:eastAsia="仿宋"/>
          <w:color w:val="FF0000"/>
          <w:sz w:val="32"/>
          <w:szCs w:val="32"/>
        </w:rPr>
      </w:pPr>
      <w:bookmarkStart w:id="57" w:name="_Toc13088"/>
      <w:bookmarkStart w:id="58" w:name="_Toc15377444"/>
      <w:bookmarkStart w:id="59" w:name="_Toc15377213"/>
      <w:bookmarkStart w:id="60" w:name="_Toc15378460"/>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157.1万元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98</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57"/>
      <w:bookmarkEnd w:id="58"/>
      <w:bookmarkEnd w:id="59"/>
      <w:bookmarkEnd w:id="60"/>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color w:val="000000"/>
          <w:sz w:val="32"/>
          <w:szCs w:val="32"/>
          <w:lang w:val="en-US" w:eastAsia="zh-CN"/>
        </w:rPr>
        <w:t>2080505</w:t>
      </w:r>
      <w:r>
        <w:rPr>
          <w:rStyle w:val="15"/>
          <w:rFonts w:hint="eastAsia" w:ascii="仿宋" w:hAnsi="仿宋" w:eastAsia="仿宋"/>
          <w:b w:val="0"/>
          <w:bCs/>
          <w:color w:val="000000"/>
          <w:sz w:val="32"/>
          <w:szCs w:val="32"/>
          <w:lang w:eastAsia="zh-CN"/>
        </w:rPr>
        <w:t>机关事业单位基本养老保险缴费支出</w:t>
      </w:r>
      <w:r>
        <w:rPr>
          <w:rStyle w:val="15"/>
          <w:rFonts w:hint="eastAsia" w:ascii="仿宋" w:hAnsi="仿宋" w:eastAsia="仿宋"/>
          <w:b w:val="0"/>
          <w:bCs/>
          <w:color w:val="000000"/>
          <w:sz w:val="32"/>
          <w:szCs w:val="32"/>
          <w:lang w:val="en-US" w:eastAsia="zh-CN"/>
        </w:rPr>
        <w:t>14.23万元，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val="0"/>
          <w:color w:val="000000"/>
          <w:sz w:val="32"/>
          <w:szCs w:val="32"/>
          <w:lang w:val="en-US" w:eastAsia="zh-CN"/>
        </w:rPr>
        <w:t>2080506</w:t>
      </w:r>
      <w:r>
        <w:rPr>
          <w:rStyle w:val="15"/>
          <w:rFonts w:hint="eastAsia" w:ascii="仿宋" w:hAnsi="仿宋" w:eastAsia="仿宋"/>
          <w:b w:val="0"/>
          <w:bCs/>
          <w:color w:val="000000"/>
          <w:sz w:val="32"/>
          <w:szCs w:val="32"/>
          <w:lang w:eastAsia="zh-CN"/>
        </w:rPr>
        <w:t>机关事业单位职业年金缴费支出</w:t>
      </w:r>
      <w:r>
        <w:rPr>
          <w:rStyle w:val="15"/>
          <w:rFonts w:hint="eastAsia" w:ascii="仿宋" w:hAnsi="仿宋" w:eastAsia="仿宋"/>
          <w:b w:val="0"/>
          <w:bCs/>
          <w:color w:val="000000"/>
          <w:sz w:val="32"/>
          <w:szCs w:val="32"/>
          <w:lang w:val="en-US" w:eastAsia="zh-CN"/>
        </w:rPr>
        <w:t>6.53万元，完成预算100%。合计总</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20.76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spacing w:line="600" w:lineRule="exact"/>
        <w:ind w:firstLine="643" w:firstLineChars="200"/>
        <w:rPr>
          <w:rStyle w:val="15"/>
          <w:rFonts w:hint="default"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卫生</w:t>
      </w:r>
      <w:r>
        <w:rPr>
          <w:rStyle w:val="15"/>
          <w:rFonts w:hint="eastAsia" w:ascii="仿宋" w:hAnsi="仿宋" w:eastAsia="仿宋"/>
          <w:bCs/>
          <w:color w:val="000000"/>
          <w:sz w:val="32"/>
          <w:szCs w:val="32"/>
          <w:lang w:val="en-US" w:eastAsia="zh-CN"/>
        </w:rPr>
        <w:t>健康支出</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val="0"/>
          <w:color w:val="000000"/>
          <w:sz w:val="32"/>
          <w:szCs w:val="32"/>
          <w:lang w:val="en-US" w:eastAsia="zh-CN"/>
        </w:rPr>
        <w:t>2100402卫生监督机构支出120.64万元，完成预算100%；2101101行政</w:t>
      </w:r>
      <w:r>
        <w:rPr>
          <w:rStyle w:val="15"/>
          <w:rFonts w:hint="eastAsia" w:ascii="仿宋" w:hAnsi="仿宋" w:eastAsia="仿宋"/>
          <w:b w:val="0"/>
          <w:bCs w:val="0"/>
          <w:color w:val="000000"/>
          <w:sz w:val="32"/>
          <w:szCs w:val="32"/>
          <w:lang w:eastAsia="zh-CN"/>
        </w:rPr>
        <w:t>单位医疗支出</w:t>
      </w:r>
      <w:r>
        <w:rPr>
          <w:rStyle w:val="15"/>
          <w:rFonts w:hint="eastAsia" w:ascii="仿宋" w:hAnsi="仿宋" w:eastAsia="仿宋"/>
          <w:b w:val="0"/>
          <w:bCs w:val="0"/>
          <w:color w:val="000000"/>
          <w:sz w:val="32"/>
          <w:szCs w:val="32"/>
          <w:lang w:val="en-US" w:eastAsia="zh-CN"/>
        </w:rPr>
        <w:t>4.94万元，完成预算100%；2101199其他</w:t>
      </w:r>
      <w:r>
        <w:rPr>
          <w:rStyle w:val="15"/>
          <w:rFonts w:hint="eastAsia" w:ascii="仿宋" w:hAnsi="仿宋" w:eastAsia="仿宋"/>
          <w:b w:val="0"/>
          <w:bCs w:val="0"/>
          <w:color w:val="000000"/>
          <w:sz w:val="32"/>
          <w:szCs w:val="32"/>
          <w:lang w:eastAsia="zh-CN"/>
        </w:rPr>
        <w:t>行政事业单位医疗支出</w:t>
      </w:r>
      <w:r>
        <w:rPr>
          <w:rStyle w:val="15"/>
          <w:rFonts w:hint="eastAsia" w:ascii="仿宋" w:hAnsi="仿宋" w:eastAsia="仿宋"/>
          <w:b w:val="0"/>
          <w:bCs w:val="0"/>
          <w:color w:val="000000"/>
          <w:sz w:val="32"/>
          <w:szCs w:val="32"/>
          <w:lang w:val="en-US" w:eastAsia="zh-CN"/>
        </w:rPr>
        <w:t>6.59万元，完成预算100%；2101103公务员医疗补助1.09万元，完成预算100%；</w:t>
      </w:r>
      <w:r>
        <w:rPr>
          <w:rStyle w:val="15"/>
          <w:rFonts w:hint="eastAsia" w:ascii="仿宋" w:hAnsi="仿宋" w:eastAsia="仿宋"/>
          <w:b w:val="0"/>
          <w:bCs w:val="0"/>
          <w:color w:val="000000"/>
          <w:sz w:val="32"/>
          <w:szCs w:val="32"/>
          <w:lang w:eastAsia="zh-CN"/>
        </w:rPr>
        <w:t>合计</w:t>
      </w:r>
      <w:r>
        <w:rPr>
          <w:rStyle w:val="15"/>
          <w:rFonts w:hint="eastAsia" w:ascii="仿宋" w:hAnsi="仿宋" w:eastAsia="仿宋"/>
          <w:b w:val="0"/>
          <w:bCs w:val="0"/>
          <w:color w:val="000000"/>
          <w:sz w:val="32"/>
          <w:szCs w:val="32"/>
        </w:rPr>
        <w:t>支出决算为</w:t>
      </w:r>
      <w:r>
        <w:rPr>
          <w:rStyle w:val="15"/>
          <w:rFonts w:hint="eastAsia" w:ascii="仿宋" w:hAnsi="仿宋" w:eastAsia="仿宋"/>
          <w:b w:val="0"/>
          <w:bCs w:val="0"/>
          <w:color w:val="000000"/>
          <w:sz w:val="32"/>
          <w:szCs w:val="32"/>
          <w:lang w:val="en-US" w:eastAsia="zh-CN"/>
        </w:rPr>
        <w:t>129..32</w:t>
      </w:r>
      <w:r>
        <w:rPr>
          <w:rStyle w:val="15"/>
          <w:rFonts w:hint="eastAsia" w:ascii="仿宋" w:hAnsi="仿宋" w:eastAsia="仿宋"/>
          <w:b w:val="0"/>
          <w:bCs w:val="0"/>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numPr>
          <w:ilvl w:val="0"/>
          <w:numId w:val="0"/>
        </w:numPr>
        <w:spacing w:line="600" w:lineRule="exact"/>
        <w:ind w:firstLine="643" w:firstLineChars="200"/>
        <w:rPr>
          <w:rStyle w:val="15"/>
          <w:rFonts w:hint="eastAsia" w:ascii="仿宋" w:hAnsi="仿宋" w:eastAsia="仿宋"/>
          <w:bCs/>
          <w:color w:val="000000"/>
          <w:sz w:val="32"/>
          <w:szCs w:val="32"/>
          <w:lang w:eastAsia="zh-CN"/>
        </w:rPr>
      </w:pPr>
      <w:r>
        <w:rPr>
          <w:rStyle w:val="15"/>
          <w:rFonts w:hint="eastAsia" w:ascii="仿宋" w:hAnsi="仿宋" w:eastAsia="仿宋"/>
          <w:bCs/>
          <w:color w:val="000000"/>
          <w:sz w:val="32"/>
          <w:szCs w:val="32"/>
          <w:lang w:val="en-US" w:eastAsia="zh-CN"/>
        </w:rPr>
        <w:t>3.</w:t>
      </w:r>
      <w:r>
        <w:rPr>
          <w:rStyle w:val="15"/>
          <w:rFonts w:hint="eastAsia" w:ascii="仿宋" w:hAnsi="仿宋" w:eastAsia="仿宋"/>
          <w:bCs/>
          <w:color w:val="000000"/>
          <w:sz w:val="32"/>
          <w:szCs w:val="32"/>
          <w:lang w:eastAsia="zh-CN"/>
        </w:rPr>
        <w:t>住房保障支出</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val="0"/>
          <w:color w:val="000000"/>
          <w:sz w:val="32"/>
          <w:szCs w:val="32"/>
          <w:lang w:val="en-US" w:eastAsia="zh-CN"/>
        </w:rPr>
        <w:t>2210201</w:t>
      </w:r>
      <w:r>
        <w:rPr>
          <w:rStyle w:val="15"/>
          <w:rFonts w:hint="eastAsia" w:ascii="仿宋" w:hAnsi="仿宋" w:eastAsia="仿宋"/>
          <w:b w:val="0"/>
          <w:bCs w:val="0"/>
          <w:color w:val="000000"/>
          <w:sz w:val="32"/>
          <w:szCs w:val="32"/>
          <w:lang w:eastAsia="zh-CN"/>
        </w:rPr>
        <w:t>住房公积金支出</w:t>
      </w:r>
      <w:r>
        <w:rPr>
          <w:rStyle w:val="15"/>
          <w:rFonts w:hint="eastAsia" w:ascii="仿宋" w:hAnsi="仿宋" w:eastAsia="仿宋"/>
          <w:b w:val="0"/>
          <w:bCs w:val="0"/>
          <w:color w:val="000000"/>
          <w:sz w:val="32"/>
          <w:szCs w:val="32"/>
          <w:lang w:val="en-US" w:eastAsia="zh-CN"/>
        </w:rPr>
        <w:t>10.8万元，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，决算数等于预算数的主要原因是</w:t>
      </w:r>
      <w:r>
        <w:rPr>
          <w:rStyle w:val="15"/>
          <w:rFonts w:hint="eastAsia" w:ascii="仿宋" w:hAnsi="仿宋" w:eastAsia="仿宋"/>
          <w:b w:val="0"/>
          <w:bCs w:val="0"/>
          <w:color w:val="000000"/>
          <w:sz w:val="32"/>
          <w:szCs w:val="32"/>
          <w:lang w:eastAsia="zh-CN"/>
        </w:rPr>
        <w:t>严格按照财</w:t>
      </w:r>
      <w:r>
        <w:rPr>
          <w:rStyle w:val="15"/>
          <w:rFonts w:hint="eastAsia" w:ascii="仿宋" w:hAnsi="仿宋" w:eastAsia="仿宋"/>
          <w:b w:val="0"/>
          <w:bCs/>
          <w:color w:val="000000"/>
          <w:sz w:val="32"/>
          <w:szCs w:val="32"/>
          <w:lang w:eastAsia="zh-CN"/>
        </w:rPr>
        <w:t>政拨款支出要求严格控制相关支出</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32"/>
        </w:rPr>
      </w:pPr>
      <w:bookmarkStart w:id="61" w:name="_Toc15396608"/>
      <w:bookmarkStart w:id="62" w:name="_Toc15377214"/>
      <w:bookmarkStart w:id="63" w:name="_Toc286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2"/>
          <w:rFonts w:hint="eastAsia" w:ascii="黑体" w:hAnsi="黑体" w:eastAsia="黑体"/>
          <w:b w:val="0"/>
        </w:rPr>
        <w:t>般公共预算财政拨款基本支出决算情况说明</w:t>
      </w:r>
      <w:bookmarkEnd w:id="61"/>
      <w:bookmarkEnd w:id="62"/>
      <w:bookmarkEnd w:id="63"/>
      <w:r>
        <w:rPr>
          <w:rStyle w:val="32"/>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156.19</w:t>
      </w:r>
      <w:r>
        <w:rPr>
          <w:rFonts w:hint="eastAsia" w:ascii="仿宋" w:hAnsi="仿宋" w:eastAsia="仿宋"/>
          <w:color w:val="000000"/>
          <w:sz w:val="32"/>
          <w:szCs w:val="32"/>
        </w:rPr>
        <w:t>万元，其中：</w:t>
      </w:r>
    </w:p>
    <w:p>
      <w:pPr>
        <w:spacing w:line="600" w:lineRule="exact"/>
        <w:ind w:firstLine="645"/>
        <w:rPr>
          <w:rFonts w:hint="eastAsia" w:ascii="黑体" w:eastAsia="黑体"/>
          <w:color w:val="000000"/>
          <w:sz w:val="32"/>
          <w:szCs w:val="32"/>
        </w:rPr>
      </w:pPr>
      <w:r>
        <w:rPr>
          <w:rFonts w:hint="eastAsia" w:ascii="仿宋" w:hAnsi="仿宋" w:eastAsia="仿宋"/>
          <w:color w:val="000000"/>
          <w:sz w:val="32"/>
          <w:szCs w:val="32"/>
        </w:rPr>
        <w:t>人员经</w:t>
      </w:r>
      <w:r>
        <w:rPr>
          <w:rFonts w:hint="eastAsia" w:ascii="仿宋" w:hAnsi="仿宋" w:eastAsia="仿宋"/>
          <w:color w:val="000000"/>
          <w:sz w:val="32"/>
          <w:szCs w:val="32"/>
          <w:lang w:val="en-US" w:eastAsia="zh-CN"/>
        </w:rPr>
        <w:t>费135.02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27.44万元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45.82万元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22.52万元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14.23万元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6.53万元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6.59万元、</w:t>
      </w:r>
      <w:r>
        <w:rPr>
          <w:rStyle w:val="15"/>
          <w:rFonts w:hint="eastAsia" w:ascii="仿宋" w:hAnsi="仿宋" w:eastAsia="仿宋"/>
          <w:b w:val="0"/>
          <w:bCs w:val="0"/>
          <w:color w:val="000000"/>
          <w:sz w:val="32"/>
          <w:szCs w:val="32"/>
          <w:lang w:val="en-US" w:eastAsia="zh-CN"/>
        </w:rPr>
        <w:t>公务员医疗补助1.09万元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10.8万元</w:t>
      </w:r>
      <w:r>
        <w:rPr>
          <w:rFonts w:hint="eastAsia" w:ascii="仿宋" w:hAnsi="仿宋" w:eastAsia="仿宋"/>
          <w:color w:val="000000"/>
          <w:sz w:val="32"/>
          <w:szCs w:val="32"/>
        </w:rPr>
        <w:t>支出。</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color w:val="000000"/>
          <w:sz w:val="32"/>
          <w:szCs w:val="32"/>
          <w:lang w:val="en-US" w:eastAsia="zh-CN"/>
        </w:rPr>
        <w:t>日常</w:t>
      </w: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21.17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8.34万元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手续费0.08万元、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1.10万元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1.83万元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取暖费1.63万元、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4.17万元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0.06万元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劳务费0.72万元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工会经费0.7万元、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2.54万元</w:t>
      </w:r>
      <w:r>
        <w:rPr>
          <w:rFonts w:hint="eastAsia" w:ascii="仿宋" w:hAnsi="仿宋" w:eastAsia="仿宋"/>
          <w:color w:val="000000" w:themeColor="text1"/>
          <w:sz w:val="32"/>
          <w:szCs w:val="32"/>
          <w14:textFill>
            <w14:solidFill>
              <w14:schemeClr w14:val="tx1"/>
            </w14:solidFill>
          </w14:textFill>
        </w:rPr>
        <w:t>支出等</w:t>
      </w:r>
      <w:bookmarkStart w:id="64" w:name="_Toc15396609"/>
      <w:bookmarkStart w:id="65" w:name="_Toc15377215"/>
    </w:p>
    <w:p>
      <w:pPr>
        <w:spacing w:line="600" w:lineRule="exact"/>
        <w:ind w:firstLine="640"/>
        <w:outlineLvl w:val="1"/>
        <w:rPr>
          <w:rFonts w:hint="eastAsia" w:ascii="仿宋" w:hAnsi="仿宋" w:eastAsia="仿宋"/>
          <w:b/>
          <w:color w:val="000000"/>
          <w:sz w:val="32"/>
          <w:szCs w:val="32"/>
        </w:rPr>
      </w:pPr>
      <w:bookmarkStart w:id="66" w:name="_Toc10291"/>
      <w:r>
        <w:rPr>
          <w:rFonts w:hint="eastAsia" w:ascii="黑体" w:eastAsia="黑体"/>
          <w:color w:val="000000"/>
          <w:sz w:val="32"/>
          <w:szCs w:val="32"/>
        </w:rPr>
        <w:t>七、</w:t>
      </w:r>
      <w:r>
        <w:rPr>
          <w:rStyle w:val="32"/>
          <w:rFonts w:hint="eastAsia" w:ascii="黑体" w:hAnsi="黑体" w:eastAsia="黑体"/>
        </w:rPr>
        <w:t>“</w:t>
      </w:r>
      <w:r>
        <w:rPr>
          <w:rStyle w:val="32"/>
          <w:rFonts w:hint="eastAsia" w:ascii="黑体" w:hAnsi="黑体" w:eastAsia="黑体"/>
          <w:b w:val="0"/>
        </w:rPr>
        <w:t>三公”经费财政拨款支出决算情况说明</w:t>
      </w:r>
      <w:bookmarkEnd w:id="64"/>
      <w:bookmarkEnd w:id="65"/>
      <w:bookmarkEnd w:id="66"/>
      <w:bookmarkStart w:id="67" w:name="_Toc15377216"/>
    </w:p>
    <w:p>
      <w:pPr>
        <w:spacing w:line="600" w:lineRule="exact"/>
        <w:ind w:firstLine="640"/>
        <w:outlineLvl w:val="2"/>
        <w:rPr>
          <w:rFonts w:ascii="仿宋" w:hAnsi="仿宋" w:eastAsia="仿宋"/>
          <w:b/>
          <w:color w:val="000000"/>
          <w:sz w:val="32"/>
          <w:szCs w:val="32"/>
        </w:rPr>
      </w:pPr>
      <w:bookmarkStart w:id="68" w:name="_Toc10743"/>
      <w:r>
        <w:rPr>
          <w:rFonts w:hint="eastAsia" w:ascii="仿宋" w:hAnsi="仿宋" w:eastAsia="仿宋"/>
          <w:b/>
          <w:color w:val="000000"/>
          <w:sz w:val="32"/>
          <w:szCs w:val="32"/>
        </w:rPr>
        <w:t>（一）“三公”经费财政拨款支出决算总体情况说明</w:t>
      </w:r>
      <w:bookmarkEnd w:id="67"/>
      <w:bookmarkEnd w:id="68"/>
    </w:p>
    <w:p>
      <w:pPr>
        <w:spacing w:line="600" w:lineRule="exact"/>
        <w:ind w:firstLine="640"/>
        <w:rPr>
          <w:rFonts w:hint="eastAsia" w:ascii="仿宋" w:hAnsi="仿宋" w:eastAsia="仿宋"/>
          <w:b/>
          <w:color w:val="auto"/>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支出减</w:t>
      </w:r>
      <w:r>
        <w:rPr>
          <w:rFonts w:hint="eastAsia" w:ascii="仿宋" w:hAnsi="仿宋" w:eastAsia="仿宋"/>
          <w:color w:val="auto"/>
          <w:sz w:val="32"/>
          <w:szCs w:val="32"/>
          <w:lang w:eastAsia="zh-CN"/>
        </w:rPr>
        <w:t>少</w:t>
      </w:r>
      <w:r>
        <w:rPr>
          <w:rFonts w:hint="eastAsia" w:ascii="仿宋" w:hAnsi="仿宋" w:eastAsia="仿宋"/>
          <w:color w:val="auto"/>
          <w:sz w:val="32"/>
          <w:szCs w:val="32"/>
          <w:lang w:val="en-US" w:eastAsia="zh-CN"/>
        </w:rPr>
        <w:t>0.7</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21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严格按照“八项规定”，控制相关开支，减少相关支出</w:t>
      </w:r>
      <w:r>
        <w:rPr>
          <w:rFonts w:hint="eastAsia" w:ascii="仿宋" w:hAnsi="仿宋" w:eastAsia="仿宋"/>
          <w:color w:val="auto"/>
          <w:sz w:val="32"/>
          <w:szCs w:val="32"/>
          <w:lang w:eastAsia="zh-CN"/>
        </w:rPr>
        <w:t>。</w:t>
      </w:r>
      <w:bookmarkStart w:id="69" w:name="_Toc15377217"/>
    </w:p>
    <w:p>
      <w:pPr>
        <w:spacing w:line="600" w:lineRule="exact"/>
        <w:ind w:firstLine="640"/>
        <w:outlineLvl w:val="2"/>
        <w:rPr>
          <w:rFonts w:ascii="仿宋" w:hAnsi="仿宋" w:eastAsia="仿宋"/>
          <w:b/>
          <w:color w:val="000000"/>
          <w:sz w:val="32"/>
          <w:szCs w:val="32"/>
        </w:rPr>
      </w:pPr>
      <w:bookmarkStart w:id="70" w:name="_Toc253"/>
      <w:r>
        <w:rPr>
          <w:rFonts w:hint="eastAsia" w:ascii="仿宋" w:hAnsi="仿宋" w:eastAsia="仿宋"/>
          <w:b/>
          <w:color w:val="000000"/>
          <w:sz w:val="32"/>
          <w:szCs w:val="32"/>
        </w:rPr>
        <w:t>（二）“三公”经费财政拨款支出决算具体情况说明</w:t>
      </w:r>
      <w:bookmarkEnd w:id="69"/>
      <w:bookmarkEnd w:id="70"/>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2.54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240" w:lineRule="auto"/>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4584065" cy="2755265"/>
            <wp:effectExtent l="0" t="0" r="6985" b="6985"/>
            <wp:docPr id="18" name="图片 18"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7"/>
                    <pic:cNvPicPr>
                      <a:picLocks noChangeAspect="1"/>
                    </pic:cNvPicPr>
                  </pic:nvPicPr>
                  <pic:blipFill>
                    <a:blip r:embed="rId15"/>
                    <a:stretch>
                      <a:fillRect/>
                    </a:stretch>
                  </pic:blipFill>
                  <pic:spPr>
                    <a:xfrm>
                      <a:off x="0" y="0"/>
                      <a:ext cx="4584065" cy="2755265"/>
                    </a:xfrm>
                    <a:prstGeom prst="rect">
                      <a:avLst/>
                    </a:prstGeom>
                  </pic:spPr>
                </pic:pic>
              </a:graphicData>
            </a:graphic>
          </wp:inline>
        </w:drawing>
      </w:r>
    </w:p>
    <w:p>
      <w:pPr>
        <w:spacing w:line="600" w:lineRule="exact"/>
        <w:ind w:firstLine="640"/>
        <w:rPr>
          <w:rFonts w:hint="eastAsia" w:ascii="仿宋_GB2312" w:eastAsia="仿宋_GB2312"/>
          <w:b/>
          <w:color w:val="000000"/>
          <w:sz w:val="32"/>
          <w:szCs w:val="32"/>
          <w:lang w:val="en-US" w:eastAsia="zh-CN"/>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b/>
          <w:color w:val="auto"/>
          <w:sz w:val="32"/>
          <w:szCs w:val="32"/>
          <w:lang w:val="en-US" w:eastAsia="zh-CN"/>
        </w:rPr>
        <w:t>2.54</w:t>
      </w:r>
      <w:r>
        <w:rPr>
          <w:rFonts w:hint="eastAsia" w:ascii="仿宋_GB2312" w:eastAsia="仿宋_GB2312"/>
          <w:color w:val="auto"/>
          <w:sz w:val="32"/>
          <w:szCs w:val="32"/>
        </w:rPr>
        <w:t>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年减少</w:t>
      </w:r>
      <w:r>
        <w:rPr>
          <w:rFonts w:hint="eastAsia" w:ascii="仿宋_GB2312" w:eastAsia="仿宋_GB2312"/>
          <w:color w:val="auto"/>
          <w:sz w:val="32"/>
          <w:szCs w:val="32"/>
          <w:lang w:val="en-US" w:eastAsia="zh-CN"/>
        </w:rPr>
        <w:t>0.11</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严格按照“八项规定”，控制相关开支，减少相关支出</w:t>
      </w:r>
      <w:r>
        <w:rPr>
          <w:rFonts w:hint="eastAsia" w:ascii="仿宋_GB2312" w:eastAsia="仿宋_GB2312"/>
          <w:color w:val="auto"/>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，轿车</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日常开展工作以及脱贫攻坚工作</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减少0.59</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减少90</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严格按照“八项规定”，控制相关开支，减少相关支出</w:t>
      </w:r>
      <w:r>
        <w:rPr>
          <w:rFonts w:hint="eastAsia" w:ascii="仿宋_GB2312" w:eastAsia="仿宋_GB2312"/>
          <w:color w:val="auto"/>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在开展业务和执行公务当中产生的标准内住宿费、用餐费等相关费用。</w:t>
      </w:r>
    </w:p>
    <w:p>
      <w:pPr>
        <w:spacing w:line="600" w:lineRule="exact"/>
        <w:ind w:firstLine="640"/>
        <w:outlineLvl w:val="1"/>
        <w:rPr>
          <w:rFonts w:hint="eastAsia" w:ascii="仿宋_GB2312" w:eastAsia="仿宋_GB2312"/>
          <w:color w:val="000000"/>
          <w:sz w:val="32"/>
          <w:szCs w:val="32"/>
          <w:lang w:eastAsia="zh-CN"/>
        </w:rPr>
      </w:pPr>
      <w:bookmarkStart w:id="71" w:name="_Toc29413"/>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bookmarkStart w:id="72" w:name="_Toc15377218"/>
      <w:bookmarkStart w:id="73" w:name="_Toc15396610"/>
      <w:r>
        <w:rPr>
          <w:rFonts w:hint="eastAsia" w:ascii="仿宋_GB2312" w:eastAsia="仿宋_GB2312"/>
          <w:color w:val="000000"/>
          <w:sz w:val="32"/>
          <w:szCs w:val="32"/>
          <w:lang w:eastAsia="zh-CN"/>
        </w:rPr>
        <w:t>。</w:t>
      </w:r>
      <w:bookmarkEnd w:id="71"/>
    </w:p>
    <w:p>
      <w:pPr>
        <w:spacing w:line="600" w:lineRule="exact"/>
        <w:ind w:firstLine="640"/>
        <w:outlineLvl w:val="1"/>
        <w:rPr>
          <w:rStyle w:val="32"/>
          <w:rFonts w:ascii="黑体" w:hAnsi="黑体" w:eastAsia="黑体"/>
        </w:rPr>
      </w:pPr>
      <w:bookmarkStart w:id="74" w:name="_Toc21619"/>
      <w:r>
        <w:rPr>
          <w:rFonts w:hint="eastAsia" w:ascii="黑体" w:eastAsia="黑体"/>
          <w:color w:val="000000"/>
          <w:sz w:val="32"/>
          <w:szCs w:val="32"/>
        </w:rPr>
        <w:t>八、</w:t>
      </w:r>
      <w:r>
        <w:rPr>
          <w:rStyle w:val="32"/>
          <w:rFonts w:hint="eastAsia" w:ascii="黑体" w:hAnsi="黑体" w:eastAsia="黑体"/>
          <w:b w:val="0"/>
        </w:rPr>
        <w:t>政府性基金预算支出决算情况说明</w:t>
      </w:r>
      <w:bookmarkEnd w:id="72"/>
      <w:bookmarkEnd w:id="73"/>
      <w:bookmarkEnd w:id="7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32"/>
          <w:rFonts w:ascii="黑体" w:hAnsi="黑体" w:eastAsia="黑体"/>
          <w:b w:val="0"/>
        </w:rPr>
      </w:pPr>
      <w:bookmarkStart w:id="75" w:name="_Toc30061"/>
      <w:bookmarkStart w:id="76" w:name="_Toc15396611"/>
      <w:bookmarkStart w:id="77" w:name="_Toc15377219"/>
      <w:r>
        <w:rPr>
          <w:rStyle w:val="32"/>
          <w:rFonts w:hint="eastAsia" w:ascii="黑体" w:hAnsi="黑体" w:eastAsia="黑体"/>
          <w:b w:val="0"/>
        </w:rPr>
        <w:t>国有资本经营预算支出决算情况说明</w:t>
      </w:r>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spacing w:line="560" w:lineRule="exact"/>
        <w:ind w:firstLine="640" w:firstLineChars="200"/>
        <w:rPr>
          <w:rFonts w:ascii="仿宋_GB2312" w:eastAsia="仿宋_GB2312"/>
          <w:sz w:val="32"/>
          <w:szCs w:val="32"/>
          <w:highlight w:val="none"/>
        </w:rPr>
      </w:pPr>
      <w:r>
        <w:rPr>
          <w:rFonts w:hint="eastAsia" w:ascii="黑体" w:hAnsi="黑体" w:eastAsia="黑体"/>
          <w:color w:val="000000"/>
          <w:sz w:val="32"/>
          <w:szCs w:val="32"/>
          <w:highlight w:val="none"/>
        </w:rPr>
        <w:t>十</w:t>
      </w:r>
      <w:r>
        <w:rPr>
          <w:rStyle w:val="26"/>
          <w:rFonts w:hint="eastAsia" w:ascii="黑体" w:hAnsi="黑体" w:eastAsia="黑体"/>
          <w:highlight w:val="none"/>
        </w:rPr>
        <w:t>、</w:t>
      </w:r>
      <w:r>
        <w:rPr>
          <w:rStyle w:val="26"/>
          <w:rFonts w:hint="eastAsia" w:ascii="黑体" w:hAnsi="黑体" w:eastAsia="黑体"/>
          <w:b w:val="0"/>
          <w:highlight w:val="none"/>
        </w:rPr>
        <w:t>其他重要事项的情况说明</w:t>
      </w:r>
      <w:bookmarkEnd w:id="16"/>
      <w:bookmarkEnd w:id="17"/>
    </w:p>
    <w:p>
      <w:pPr>
        <w:spacing w:line="600" w:lineRule="exact"/>
        <w:ind w:firstLine="803" w:firstLineChars="250"/>
        <w:outlineLvl w:val="1"/>
        <w:rPr>
          <w:rStyle w:val="26"/>
          <w:rFonts w:ascii="黑体" w:hAnsi="黑体" w:eastAsia="黑体"/>
          <w:highlight w:val="green"/>
        </w:rPr>
      </w:pPr>
    </w:p>
    <w:p>
      <w:pPr>
        <w:spacing w:line="600" w:lineRule="exact"/>
        <w:ind w:firstLine="643" w:firstLineChars="200"/>
        <w:outlineLvl w:val="2"/>
        <w:rPr>
          <w:rFonts w:ascii="仿宋" w:hAnsi="仿宋" w:eastAsia="仿宋"/>
          <w:color w:val="000000"/>
          <w:sz w:val="32"/>
          <w:szCs w:val="32"/>
          <w:highlight w:val="none"/>
        </w:rPr>
      </w:pPr>
      <w:bookmarkStart w:id="78" w:name="_Toc16195"/>
      <w:bookmarkStart w:id="79" w:name="_Toc15377222"/>
      <w:r>
        <w:rPr>
          <w:rFonts w:hint="eastAsia" w:ascii="仿宋" w:hAnsi="仿宋" w:eastAsia="仿宋"/>
          <w:b/>
          <w:color w:val="000000"/>
          <w:sz w:val="32"/>
          <w:szCs w:val="32"/>
          <w:highlight w:val="none"/>
        </w:rPr>
        <w:t>（一）机关运行经费支出情况</w:t>
      </w:r>
      <w:bookmarkEnd w:id="78"/>
      <w:bookmarkEnd w:id="79"/>
    </w:p>
    <w:p>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红原县卫生和计划生育监督执法大队</w:t>
      </w:r>
      <w:r>
        <w:rPr>
          <w:rFonts w:hint="eastAsia" w:ascii="仿宋_GB2312" w:eastAsia="仿宋_GB2312"/>
          <w:color w:val="000000"/>
          <w:sz w:val="32"/>
          <w:szCs w:val="32"/>
        </w:rPr>
        <w:t>机关运行经费支</w:t>
      </w:r>
      <w:r>
        <w:rPr>
          <w:rFonts w:hint="eastAsia" w:ascii="仿宋_GB2312" w:eastAsia="仿宋_GB2312"/>
          <w:color w:val="auto"/>
          <w:sz w:val="32"/>
          <w:szCs w:val="32"/>
        </w:rPr>
        <w:t>出</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万元，</w:t>
      </w:r>
      <w:r>
        <w:rPr>
          <w:rFonts w:hint="eastAsia" w:ascii="仿宋" w:hAnsi="仿宋" w:eastAsia="仿宋"/>
          <w:color w:val="auto"/>
          <w:sz w:val="32"/>
          <w:szCs w:val="32"/>
        </w:rPr>
        <w:t>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w:t>
      </w:r>
      <w:r>
        <w:rPr>
          <w:rFonts w:hint="eastAsia" w:ascii="仿宋" w:hAnsi="仿宋" w:eastAsia="仿宋"/>
          <w:color w:val="auto"/>
          <w:sz w:val="32"/>
          <w:szCs w:val="32"/>
          <w:lang w:eastAsia="zh-CN"/>
        </w:rPr>
        <w:t>支出</w:t>
      </w:r>
      <w:r>
        <w:rPr>
          <w:rFonts w:hint="eastAsia" w:ascii="仿宋" w:hAnsi="仿宋" w:eastAsia="仿宋"/>
          <w:color w:val="auto"/>
          <w:sz w:val="32"/>
          <w:szCs w:val="32"/>
          <w:lang w:val="en-US" w:eastAsia="zh-CN"/>
        </w:rPr>
        <w:t>增加17.7</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增加536</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主要是2</w:t>
      </w:r>
      <w:r>
        <w:rPr>
          <w:rFonts w:hint="eastAsia" w:ascii="仿宋_GB2312" w:eastAsia="仿宋_GB2312"/>
          <w:color w:val="auto"/>
          <w:sz w:val="32"/>
          <w:szCs w:val="32"/>
          <w:lang w:val="en-US" w:eastAsia="zh-CN"/>
        </w:rPr>
        <w:t>019年统计口径与2018年大不相同。</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0" w:name="_Toc8800"/>
      <w:r>
        <w:rPr>
          <w:rFonts w:hint="eastAsia" w:ascii="仿宋" w:hAnsi="仿宋" w:eastAsia="仿宋"/>
          <w:b/>
          <w:color w:val="000000"/>
          <w:sz w:val="32"/>
          <w:szCs w:val="32"/>
        </w:rPr>
        <w:t>（二）政府采购支出情况</w:t>
      </w:r>
      <w:bookmarkEnd w:id="80"/>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红原县卫生和计划生育监督执法大队</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1" w:name="_Toc8791"/>
      <w:r>
        <w:rPr>
          <w:rFonts w:hint="eastAsia" w:ascii="仿宋" w:hAnsi="仿宋" w:eastAsia="仿宋"/>
          <w:b/>
          <w:color w:val="000000"/>
          <w:sz w:val="32"/>
          <w:szCs w:val="32"/>
        </w:rPr>
        <w:t>（三）国有资产占有使用情况</w:t>
      </w:r>
      <w:bookmarkEnd w:id="81"/>
    </w:p>
    <w:p>
      <w:pPr>
        <w:autoSpaceDE w:val="0"/>
        <w:autoSpaceDN w:val="0"/>
        <w:adjustRightInd w:val="0"/>
        <w:spacing w:line="600" w:lineRule="exact"/>
        <w:ind w:firstLine="640" w:firstLineChars="200"/>
        <w:jc w:val="left"/>
        <w:rPr>
          <w:rFonts w:ascii="仿宋" w:hAnsi="仿宋" w:eastAsia="仿宋"/>
          <w:color w:val="000000"/>
          <w:sz w:val="32"/>
          <w:szCs w:val="32"/>
          <w:highlight w:val="gree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红原县卫生和计划生育监督执法大队</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4"/>
        <w:numPr>
          <w:ilvl w:val="0"/>
          <w:numId w:val="0"/>
        </w:numPr>
        <w:spacing w:line="580" w:lineRule="exact"/>
        <w:ind w:left="709" w:leftChars="0"/>
        <w:rPr>
          <w:rStyle w:val="32"/>
          <w:rFonts w:ascii="黑体" w:hAnsi="黑体" w:eastAsia="黑体"/>
          <w:b w:val="0"/>
        </w:rPr>
      </w:pPr>
      <w:r>
        <w:rPr>
          <w:rFonts w:hint="eastAsia" w:ascii="仿宋" w:hAnsi="仿宋" w:eastAsia="仿宋"/>
          <w:b/>
          <w:color w:val="000000"/>
          <w:sz w:val="32"/>
          <w:szCs w:val="32"/>
        </w:rPr>
        <w:t>（四）预算绩效管理情况</w:t>
      </w:r>
    </w:p>
    <w:p>
      <w:pPr>
        <w:numPr>
          <w:ilvl w:val="0"/>
          <w:numId w:val="0"/>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lang w:val="en-US" w:eastAsia="zh-CN"/>
        </w:rPr>
        <w:t>1.</w:t>
      </w:r>
      <w:r>
        <w:rPr>
          <w:rFonts w:hint="eastAsia" w:ascii="仿宋" w:hAnsi="仿宋" w:eastAsia="仿宋" w:cs="楷体_GB2312"/>
          <w:b/>
          <w:bCs/>
          <w:sz w:val="32"/>
          <w:szCs w:val="32"/>
        </w:rPr>
        <w:t>预算绩效管理工作开展情况。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按照预算绩效管理要求，本单位对</w:t>
      </w:r>
      <w:r>
        <w:rPr>
          <w:rFonts w:hint="default"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rPr>
        <w:t>年整体支出开展绩效自评，自评得分</w:t>
      </w:r>
      <w:r>
        <w:rPr>
          <w:rFonts w:hint="eastAsia" w:ascii="仿宋_GB2312" w:hAnsi="仿宋_GB2312" w:eastAsia="仿宋_GB2312" w:cs="仿宋_GB2312"/>
          <w:sz w:val="32"/>
          <w:szCs w:val="32"/>
          <w:lang w:val="en-US" w:eastAsia="zh-CN"/>
        </w:rPr>
        <w:t>96</w:t>
      </w:r>
      <w:r>
        <w:rPr>
          <w:rFonts w:hint="default" w:ascii="仿宋_GB2312" w:hAnsi="仿宋_GB2312" w:eastAsia="仿宋_GB2312" w:cs="仿宋_GB2312"/>
          <w:sz w:val="32"/>
          <w:szCs w:val="32"/>
        </w:rPr>
        <w:t>分，</w:t>
      </w:r>
      <w:r>
        <w:rPr>
          <w:rFonts w:hint="eastAsia" w:ascii="仿宋_GB2312" w:hAnsi="仿宋_GB2312" w:eastAsia="仿宋_GB2312" w:cs="仿宋_GB2312"/>
          <w:sz w:val="32"/>
          <w:szCs w:val="32"/>
        </w:rPr>
        <w:t>所有资金均按照它的用途进行管理、使用，无截留、挪用等现象。所有项目支出严格按照项目实施进度情况进行资金拨付，保证资金使用规范、高效。</w:t>
      </w:r>
    </w:p>
    <w:p>
      <w:pPr>
        <w:numPr>
          <w:ilvl w:val="0"/>
          <w:numId w:val="0"/>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lang w:val="en-US" w:eastAsia="zh-CN"/>
        </w:rPr>
        <w:t>2.</w:t>
      </w: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 重大公共卫生专项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个项目绩效目标实际完成情况。（本单位部门项目绩效目标个数在5个以上的，选取5个项目进行公开，目标个数在5个以下的，全部进行公开，公开内容包括完成情况综述和完成情况表）。</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重大公共卫生项目绩效目标完成情况综述。项目全年预算数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，上年结转结余</w:t>
      </w:r>
      <w:r>
        <w:rPr>
          <w:rFonts w:hint="eastAsia" w:ascii="仿宋_GB2312" w:hAnsi="仿宋_GB2312" w:eastAsia="仿宋_GB2312" w:cs="仿宋_GB2312"/>
          <w:color w:val="auto"/>
          <w:sz w:val="32"/>
          <w:szCs w:val="32"/>
          <w:lang w:val="en-US" w:eastAsia="zh-CN"/>
        </w:rPr>
        <w:t>1万元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i w:val="0"/>
          <w:caps w:val="0"/>
          <w:color w:val="000000"/>
          <w:spacing w:val="0"/>
          <w:sz w:val="32"/>
          <w:szCs w:val="32"/>
          <w:shd w:val="clear" w:fill="FFFFFF"/>
          <w:lang w:val="en-US" w:eastAsia="zh-CN"/>
        </w:rPr>
        <w:t>重大公共卫生专项</w:t>
      </w:r>
      <w:r>
        <w:rPr>
          <w:rFonts w:hint="eastAsia" w:ascii="仿宋_GB2312" w:eastAsia="仿宋_GB2312"/>
          <w:color w:val="000000"/>
          <w:sz w:val="32"/>
          <w:szCs w:val="32"/>
          <w:lang w:eastAsia="zh-CN"/>
        </w:rPr>
        <w:t>日常</w:t>
      </w:r>
      <w:r>
        <w:rPr>
          <w:rFonts w:hint="eastAsia" w:ascii="仿宋_GB2312" w:hAnsi="仿宋_GB2312" w:eastAsia="仿宋_GB2312" w:cs="仿宋_GB2312"/>
          <w:i w:val="0"/>
          <w:caps w:val="0"/>
          <w:color w:val="000000"/>
          <w:spacing w:val="0"/>
          <w:sz w:val="32"/>
          <w:szCs w:val="32"/>
          <w:shd w:val="clear" w:fill="FFFFFF"/>
          <w:lang w:val="en-US" w:eastAsia="zh-CN"/>
        </w:rPr>
        <w:t>卫生专项监督</w:t>
      </w:r>
      <w:r>
        <w:rPr>
          <w:rFonts w:hint="eastAsia" w:ascii="仿宋_GB2312" w:eastAsia="仿宋_GB2312"/>
          <w:color w:val="000000"/>
          <w:sz w:val="32"/>
          <w:szCs w:val="32"/>
          <w:lang w:eastAsia="zh-CN"/>
        </w:rPr>
        <w:t>开展工作</w:t>
      </w:r>
      <w:r>
        <w:rPr>
          <w:rFonts w:hint="eastAsia" w:ascii="仿宋_GB2312" w:eastAsia="仿宋_GB2312"/>
          <w:color w:val="000000"/>
          <w:sz w:val="32"/>
          <w:szCs w:val="32"/>
        </w:rPr>
        <w:t>等所需的公务用车燃料费、维修费、过路过桥费等支出</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rPr>
              <w:t xml:space="preserve"> 重大公共卫生专项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红原县卫生和计划生育监督执法大队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其他资金</w:t>
            </w:r>
            <w:r>
              <w:rPr>
                <w:rFonts w:hint="eastAsia" w:ascii="宋体" w:hAnsi="宋体" w:eastAsia="宋体" w:cs="宋体"/>
                <w:b/>
                <w:i w:val="0"/>
                <w:color w:val="000000"/>
                <w:kern w:val="0"/>
                <w:sz w:val="24"/>
                <w:szCs w:val="24"/>
                <w:u w:val="none"/>
                <w:lang w:val="en-US" w:eastAsia="zh-CN" w:bidi="ar"/>
              </w:rPr>
              <w:t>:</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其他资金</w:t>
            </w:r>
            <w:r>
              <w:rPr>
                <w:rFonts w:hint="eastAsia" w:ascii="宋体" w:hAnsi="宋体" w:eastAsia="宋体" w:cs="宋体"/>
                <w:b/>
                <w:i w:val="0"/>
                <w:color w:val="000000"/>
                <w:kern w:val="0"/>
                <w:sz w:val="24"/>
                <w:szCs w:val="24"/>
                <w:u w:val="none"/>
                <w:lang w:val="en-US" w:eastAsia="zh-CN" w:bidi="ar"/>
              </w:rPr>
              <w:t>:</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cs="宋体"/>
                <w:b/>
                <w:i w:val="0"/>
                <w:color w:val="000000"/>
                <w:sz w:val="24"/>
                <w:szCs w:val="24"/>
                <w:u w:val="none"/>
                <w:lang w:eastAsia="zh-CN"/>
              </w:rPr>
              <w:t>保障</w:t>
            </w:r>
            <w:r>
              <w:rPr>
                <w:rFonts w:hint="eastAsia" w:ascii="宋体" w:hAnsi="宋体" w:cs="宋体"/>
                <w:b/>
                <w:i w:val="0"/>
                <w:color w:val="000000"/>
                <w:sz w:val="24"/>
                <w:szCs w:val="24"/>
                <w:u w:val="none"/>
                <w:lang w:val="en-US" w:eastAsia="zh-CN"/>
              </w:rPr>
              <w:t>重大公共卫生专项</w:t>
            </w:r>
            <w:r>
              <w:rPr>
                <w:rFonts w:hint="eastAsia" w:ascii="宋体" w:hAnsi="宋体" w:cs="宋体"/>
                <w:b/>
                <w:i w:val="0"/>
                <w:color w:val="000000"/>
                <w:sz w:val="24"/>
                <w:szCs w:val="24"/>
                <w:u w:val="none"/>
                <w:lang w:eastAsia="zh-CN"/>
              </w:rPr>
              <w:t>日常</w:t>
            </w:r>
            <w:r>
              <w:rPr>
                <w:rFonts w:hint="eastAsia" w:ascii="宋体" w:hAnsi="宋体" w:cs="宋体"/>
                <w:b/>
                <w:i w:val="0"/>
                <w:color w:val="000000"/>
                <w:sz w:val="24"/>
                <w:szCs w:val="24"/>
                <w:u w:val="none"/>
                <w:lang w:val="en-US" w:eastAsia="zh-CN"/>
              </w:rPr>
              <w:t>卫生专项监督</w:t>
            </w:r>
            <w:r>
              <w:rPr>
                <w:rFonts w:hint="eastAsia" w:ascii="宋体" w:hAnsi="宋体" w:cs="宋体"/>
                <w:b/>
                <w:i w:val="0"/>
                <w:color w:val="000000"/>
                <w:sz w:val="24"/>
                <w:szCs w:val="24"/>
                <w:u w:val="none"/>
                <w:lang w:eastAsia="zh-CN"/>
              </w:rPr>
              <w:t>开展工作等所需的公务用车燃料费、维修费、过路过桥费等支出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kern w:val="0"/>
                <w:sz w:val="20"/>
                <w:szCs w:val="20"/>
                <w:u w:val="none"/>
                <w:lang w:val="en-US" w:eastAsia="zh-CN" w:bidi="ar"/>
              </w:rPr>
              <w:t>进度明确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kern w:val="0"/>
                <w:sz w:val="20"/>
                <w:szCs w:val="20"/>
                <w:u w:val="none"/>
                <w:lang w:val="en-US" w:eastAsia="zh-CN" w:bidi="ar"/>
              </w:rPr>
              <w:t>进度明确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符合实际需求</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符合实际需求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分配方法</w:t>
            </w:r>
            <w:r>
              <w:rPr>
                <w:rFonts w:hint="eastAsia" w:ascii="宋体" w:hAnsi="宋体" w:eastAsia="宋体" w:cs="宋体"/>
                <w:i w:val="0"/>
                <w:color w:val="000000"/>
                <w:kern w:val="0"/>
                <w:sz w:val="20"/>
                <w:szCs w:val="20"/>
                <w:u w:val="none"/>
                <w:lang w:val="en-US" w:eastAsia="zh-CN" w:bidi="ar"/>
              </w:rPr>
              <w:t>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符合规定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已</w:t>
            </w:r>
            <w:r>
              <w:rPr>
                <w:rFonts w:hint="eastAsia" w:ascii="宋体" w:hAnsi="宋体" w:eastAsia="宋体" w:cs="宋体"/>
                <w:i w:val="0"/>
                <w:color w:val="000000"/>
                <w:kern w:val="0"/>
                <w:sz w:val="20"/>
                <w:szCs w:val="20"/>
                <w:u w:val="none"/>
                <w:lang w:val="en-US" w:eastAsia="zh-CN" w:bidi="ar"/>
              </w:rPr>
              <w:t>按规定及时分配资金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已</w:t>
            </w:r>
            <w:r>
              <w:rPr>
                <w:rFonts w:hint="eastAsia" w:ascii="宋体" w:hAnsi="宋体" w:eastAsia="宋体" w:cs="宋体"/>
                <w:i w:val="0"/>
                <w:color w:val="000000"/>
                <w:kern w:val="0"/>
                <w:sz w:val="20"/>
                <w:szCs w:val="20"/>
                <w:u w:val="none"/>
                <w:lang w:val="en-US" w:eastAsia="zh-CN" w:bidi="ar"/>
              </w:rPr>
              <w:t>按规定及时拨付资金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制度健全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核算规范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符合相关手续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依照上级单位规定执行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符合制度要求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全部完成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符合标准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r>
    </w:tbl>
    <w:p>
      <w:pPr>
        <w:numPr>
          <w:ilvl w:val="0"/>
          <w:numId w:val="0"/>
        </w:numPr>
        <w:spacing w:line="580" w:lineRule="exact"/>
        <w:rPr>
          <w:rFonts w:ascii="仿宋" w:hAnsi="仿宋" w:eastAsia="仿宋" w:cs="仿宋_GB2312"/>
          <w:sz w:val="32"/>
          <w:szCs w:val="32"/>
        </w:rPr>
      </w:pPr>
      <w:r>
        <w:rPr>
          <w:rFonts w:hint="eastAsia" w:ascii="仿宋" w:hAnsi="仿宋" w:eastAsia="仿宋" w:cs="楷体_GB2312"/>
          <w:b/>
          <w:bCs/>
          <w:sz w:val="32"/>
          <w:szCs w:val="32"/>
          <w:lang w:eastAsia="zh-CN"/>
        </w:rPr>
        <w:t>（</w:t>
      </w:r>
      <w:r>
        <w:rPr>
          <w:rFonts w:hint="eastAsia" w:ascii="仿宋" w:hAnsi="仿宋" w:eastAsia="仿宋" w:cs="楷体_GB2312"/>
          <w:b/>
          <w:bCs/>
          <w:sz w:val="32"/>
          <w:szCs w:val="32"/>
          <w:lang w:val="en-US" w:eastAsia="zh-CN"/>
        </w:rPr>
        <w:t>五</w:t>
      </w:r>
      <w:r>
        <w:rPr>
          <w:rFonts w:hint="eastAsia" w:ascii="仿宋" w:hAnsi="仿宋" w:eastAsia="仿宋" w:cs="楷体_GB2312"/>
          <w:b/>
          <w:bCs/>
          <w:sz w:val="32"/>
          <w:szCs w:val="32"/>
          <w:lang w:eastAsia="zh-CN"/>
        </w:rPr>
        <w:t>）</w:t>
      </w:r>
      <w:r>
        <w:rPr>
          <w:rFonts w:hint="eastAsia" w:ascii="仿宋" w:hAnsi="仿宋" w:eastAsia="仿宋" w:cs="楷体_GB2312"/>
          <w:b/>
          <w:bCs/>
          <w:sz w:val="32"/>
          <w:szCs w:val="32"/>
        </w:rPr>
        <w:t>部门开展绩效评价结果。</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红原县卫生和计划生育监督执法大队</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val="en-US" w:eastAsia="zh-CN"/>
        </w:rPr>
        <w:t>1</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numPr>
          <w:ilvl w:val="0"/>
          <w:numId w:val="4"/>
        </w:numPr>
        <w:spacing w:line="600" w:lineRule="exact"/>
        <w:ind w:firstLine="663" w:firstLineChars="150"/>
        <w:jc w:val="center"/>
        <w:outlineLvl w:val="0"/>
        <w:rPr>
          <w:rStyle w:val="31"/>
          <w:rFonts w:ascii="黑体" w:hAnsi="黑体" w:eastAsia="黑体"/>
          <w:b w:val="0"/>
        </w:rPr>
      </w:pPr>
      <w:bookmarkStart w:id="82" w:name="_Toc9469"/>
      <w:r>
        <w:rPr>
          <w:rFonts w:hint="eastAsia" w:ascii="黑体" w:hAnsi="黑体" w:eastAsia="黑体"/>
          <w:b/>
          <w:color w:val="000000"/>
          <w:sz w:val="44"/>
          <w:szCs w:val="44"/>
        </w:rPr>
        <w:t>名</w:t>
      </w:r>
      <w:r>
        <w:rPr>
          <w:rStyle w:val="31"/>
          <w:rFonts w:hint="eastAsia" w:ascii="黑体" w:hAnsi="黑体" w:eastAsia="黑体"/>
          <w:b w:val="0"/>
        </w:rPr>
        <w:t>词解释</w:t>
      </w:r>
      <w:bookmarkEnd w:id="82"/>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：指反映各级人民团体、社会团体、群众团体以及工会、妇联、共青团组织(包括中华青年联合会)等方面的支出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行政运行指：反映行政单位(包括实行公务员管理的事业单位)的基支本支出。</w:t>
      </w:r>
    </w:p>
    <w:p>
      <w:pPr>
        <w:numPr>
          <w:ilvl w:val="0"/>
          <w:numId w:val="5"/>
        </w:numPr>
        <w:ind w:leftChars="200" w:firstLine="320" w:firstLineChars="1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社会保障和就业支出指：反映政府在社会保障与就业方面的支出。</w:t>
      </w:r>
    </w:p>
    <w:p>
      <w:pPr>
        <w:numPr>
          <w:ilvl w:val="0"/>
          <w:numId w:val="0"/>
        </w:numPr>
        <w:ind w:left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机关事业单位基本养老保险缴费支出（2080505）：指机关事业单位实施养老保险制度由单位实际缴纳的基本养老保险缴费支出。</w:t>
      </w:r>
    </w:p>
    <w:p>
      <w:pPr>
        <w:numPr>
          <w:ilvl w:val="0"/>
          <w:numId w:val="0"/>
        </w:numPr>
        <w:ind w:left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机关事业单位职业年金（2080506）：反映机关事业单位实施养老保险制度由单位实际缴纳的职业年金缴费支出。</w:t>
      </w:r>
    </w:p>
    <w:p>
      <w:pPr>
        <w:numPr>
          <w:ilvl w:val="0"/>
          <w:numId w:val="5"/>
        </w:numPr>
        <w:ind w:left="420" w:leftChars="200" w:firstLine="320" w:firstLineChars="1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卫生健康支出：反映医疗卫生与计划生育、中医等管理事务方面的支出。</w:t>
      </w:r>
    </w:p>
    <w:p>
      <w:pPr>
        <w:numPr>
          <w:ilvl w:val="0"/>
          <w:numId w:val="0"/>
        </w:numPr>
        <w:ind w:left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行政单位医疗（2101101）：反映行政事业单位医疗方面的支出。反映财政部门集中安排的行政单位基本医疗保险缴费经费,未参加医疗保险的行政单位的公费医疗经费,按国家规定享受离休人员、红军老战士待遇人员的医疗经费。</w:t>
      </w:r>
    </w:p>
    <w:p>
      <w:pPr>
        <w:spacing w:line="600" w:lineRule="exact"/>
        <w:ind w:left="420" w:leftChars="200"/>
        <w:rPr>
          <w:rFonts w:hint="eastAsia" w:ascii="仿宋_GB2312" w:eastAsia="仿宋_GB2312"/>
          <w:color w:val="000000"/>
          <w:sz w:val="32"/>
          <w:szCs w:val="32"/>
          <w:lang w:val="en-US" w:eastAsia="zh-CN"/>
        </w:rPr>
      </w:pPr>
      <w:r>
        <w:rPr>
          <w:rFonts w:hint="eastAsia" w:ascii="仿宋_GB2312" w:hAnsi="Calibri" w:eastAsia="仿宋_GB2312" w:cs="仿宋"/>
          <w:color w:val="000000"/>
          <w:kern w:val="0"/>
          <w:sz w:val="32"/>
          <w:szCs w:val="32"/>
        </w:rPr>
        <w:t>公务员医疗补助（2101103）：是指财政部门集中安排的公务员医疗补助经费。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p>
    <w:p>
      <w:pPr>
        <w:pStyle w:val="23"/>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p>
    <w:p>
      <w:pPr>
        <w:spacing w:line="600" w:lineRule="exact"/>
        <w:jc w:val="center"/>
        <w:outlineLvl w:val="0"/>
        <w:rPr>
          <w:rStyle w:val="25"/>
          <w:rFonts w:ascii="黑体" w:hAnsi="黑体" w:eastAsia="黑体"/>
          <w:b w:val="0"/>
        </w:rPr>
      </w:pPr>
      <w:bookmarkStart w:id="83" w:name="_Toc15377226"/>
      <w:r>
        <w:rPr>
          <w:rFonts w:ascii="宋体"/>
          <w:b/>
          <w:color w:val="000000"/>
          <w:sz w:val="44"/>
          <w:szCs w:val="44"/>
        </w:rPr>
        <w:br w:type="page"/>
      </w:r>
      <w:bookmarkStart w:id="84" w:name="_Toc15396614"/>
      <w:bookmarkStart w:id="85" w:name="_Toc23070"/>
      <w:r>
        <w:rPr>
          <w:rFonts w:hint="eastAsia" w:ascii="黑体" w:hAnsi="黑体" w:eastAsia="黑体"/>
          <w:color w:val="000000"/>
          <w:sz w:val="44"/>
          <w:szCs w:val="44"/>
        </w:rPr>
        <w:t>第</w:t>
      </w:r>
      <w:r>
        <w:rPr>
          <w:rStyle w:val="25"/>
          <w:rFonts w:hint="eastAsia" w:ascii="黑体" w:hAnsi="黑体" w:eastAsia="黑体"/>
          <w:b w:val="0"/>
        </w:rPr>
        <w:t>四部分 附件</w:t>
      </w:r>
      <w:bookmarkEnd w:id="84"/>
      <w:bookmarkEnd w:id="85"/>
    </w:p>
    <w:p>
      <w:pPr>
        <w:pStyle w:val="3"/>
        <w:rPr>
          <w:rFonts w:hint="eastAsia" w:ascii="黑体" w:hAnsi="宋体" w:eastAsia="黑体" w:cs="黑体"/>
          <w:b w:val="0"/>
          <w:color w:val="333333"/>
          <w:sz w:val="44"/>
          <w:szCs w:val="44"/>
        </w:rPr>
      </w:pPr>
      <w:bookmarkStart w:id="86" w:name="_Toc15396615"/>
      <w:bookmarkStart w:id="87" w:name="_Toc30064"/>
      <w:r>
        <w:rPr>
          <w:rStyle w:val="31"/>
          <w:rFonts w:hint="eastAsia" w:ascii="仿宋" w:hAnsi="仿宋" w:eastAsia="仿宋"/>
          <w:b w:val="0"/>
          <w:bCs w:val="0"/>
          <w:sz w:val="32"/>
          <w:szCs w:val="32"/>
        </w:rPr>
        <w:t>附件1</w:t>
      </w:r>
      <w:bookmarkEnd w:id="86"/>
      <w:bookmarkEnd w:id="87"/>
      <w:bookmarkStart w:id="88" w:name="_Toc15396617"/>
    </w:p>
    <w:p>
      <w:pPr>
        <w:pStyle w:val="12"/>
        <w:keepNext w:val="0"/>
        <w:keepLines w:val="0"/>
        <w:widowControl/>
        <w:suppressLineNumbers w:val="0"/>
        <w:shd w:val="clear" w:fill="FFFFFF"/>
        <w:autoSpaceDE w:val="0"/>
        <w:autoSpaceDN/>
        <w:spacing w:before="360" w:beforeAutospacing="0" w:after="510" w:afterAutospacing="0" w:line="600" w:lineRule="atLeast"/>
        <w:ind w:left="0" w:right="0" w:firstLine="0"/>
        <w:jc w:val="center"/>
        <w:rPr>
          <w:rFonts w:hint="eastAsia" w:ascii="仿宋_GB2312" w:hAnsi="仿宋_GB2312" w:eastAsia="仿宋_GB2312" w:cs="仿宋_GB2312"/>
          <w:color w:val="000000"/>
          <w:kern w:val="0"/>
          <w:sz w:val="30"/>
          <w:szCs w:val="30"/>
          <w:lang w:val="en-US"/>
        </w:rPr>
      </w:pPr>
      <w:r>
        <w:rPr>
          <w:rFonts w:hint="eastAsia" w:ascii="黑体" w:hAnsi="宋体" w:eastAsia="黑体" w:cs="黑体"/>
          <w:b w:val="0"/>
          <w:color w:val="333333"/>
          <w:spacing w:val="-2"/>
          <w:sz w:val="44"/>
          <w:szCs w:val="44"/>
          <w:shd w:val="clear" w:fill="FFFFFF"/>
          <w:lang w:val="en-US" w:eastAsia="zh-CN"/>
        </w:rPr>
        <w:t>2019年红原县卫生和计划生育监督执法大队整体支出绩效报告</w:t>
      </w:r>
    </w:p>
    <w:p>
      <w:pPr>
        <w:keepNext w:val="0"/>
        <w:keepLines w:val="0"/>
        <w:widowControl/>
        <w:suppressLineNumbers w:val="0"/>
        <w:adjustRightInd w:val="0"/>
        <w:snapToGrid w:val="0"/>
        <w:spacing w:before="0" w:beforeAutospacing="0" w:after="0" w:afterAutospacing="0" w:line="480" w:lineRule="exact"/>
        <w:ind w:right="0"/>
        <w:jc w:val="left"/>
        <w:rPr>
          <w:rFonts w:hint="eastAsia" w:ascii="仿宋_GB2312" w:hAnsi="仿宋_GB2312" w:eastAsia="仿宋_GB2312" w:cs="仿宋_GB2312"/>
          <w:color w:val="000000"/>
          <w:kern w:val="0"/>
          <w:sz w:val="30"/>
          <w:szCs w:val="30"/>
          <w:lang w:val="zh-CN" w:eastAsia="zh-CN"/>
        </w:rPr>
      </w:pPr>
      <w:r>
        <w:rPr>
          <w:rFonts w:hint="eastAsia" w:ascii="仿宋_GB2312" w:hAnsi="仿宋_GB2312" w:eastAsia="仿宋_GB2312" w:cs="仿宋_GB2312"/>
          <w:color w:val="000000"/>
          <w:kern w:val="0"/>
          <w:sz w:val="30"/>
          <w:szCs w:val="30"/>
          <w:lang w:val="en-US" w:eastAsia="zh-CN" w:bidi="ar"/>
        </w:rPr>
        <w:t>一、</w:t>
      </w:r>
      <w:r>
        <w:rPr>
          <w:rFonts w:hint="eastAsia" w:ascii="仿宋_GB2312" w:hAnsi="仿宋_GB2312" w:eastAsia="仿宋_GB2312" w:cs="仿宋_GB2312"/>
          <w:color w:val="000000"/>
          <w:kern w:val="0"/>
          <w:sz w:val="30"/>
          <w:szCs w:val="30"/>
          <w:lang w:val="zh-CN" w:eastAsia="zh-CN" w:bidi="ar"/>
        </w:rPr>
        <w:t>部门概况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0"/>
          <w:szCs w:val="30"/>
          <w:lang w:val="zh-CN" w:eastAsia="zh-CN" w:bidi="ar"/>
        </w:rPr>
      </w:pPr>
      <w:r>
        <w:rPr>
          <w:rFonts w:hint="eastAsia" w:ascii="仿宋_GB2312" w:hAnsi="仿宋_GB2312" w:eastAsia="仿宋_GB2312" w:cs="仿宋_GB2312"/>
          <w:color w:val="000000"/>
          <w:kern w:val="0"/>
          <w:sz w:val="30"/>
          <w:szCs w:val="30"/>
          <w:lang w:val="zh-CN" w:eastAsia="zh-CN" w:bidi="ar"/>
        </w:rPr>
        <w:t>（一）机构组成。</w:t>
      </w:r>
    </w:p>
    <w:p>
      <w:pPr>
        <w:spacing w:line="640" w:lineRule="exact"/>
        <w:ind w:firstLine="663" w:firstLineChars="221"/>
        <w:rPr>
          <w:rFonts w:hint="eastAsia" w:ascii="仿宋_GB2312" w:hAnsi="仿宋_GB2312" w:eastAsia="仿宋_GB2312" w:cs="仿宋_GB2312"/>
          <w:color w:val="000000"/>
          <w:kern w:val="0"/>
          <w:sz w:val="30"/>
          <w:szCs w:val="30"/>
          <w:lang w:val="zh-CN" w:eastAsia="zh-CN" w:bidi="ar"/>
        </w:rPr>
      </w:pPr>
      <w:r>
        <w:rPr>
          <w:rFonts w:hint="eastAsia" w:ascii="仿宋_GB2312" w:hAnsi="仿宋_GB2312" w:eastAsia="仿宋_GB2312" w:cs="仿宋_GB2312"/>
          <w:sz w:val="30"/>
          <w:szCs w:val="30"/>
          <w:lang w:eastAsia="zh-CN"/>
        </w:rPr>
        <w:t>红原县卫生和计划生育监督执法大队</w:t>
      </w:r>
      <w:r>
        <w:rPr>
          <w:rFonts w:hint="eastAsia" w:ascii="仿宋_GB2312" w:hAnsi="仿宋_GB2312" w:eastAsia="仿宋_GB2312" w:cs="仿宋_GB2312"/>
          <w:sz w:val="30"/>
          <w:szCs w:val="30"/>
        </w:rPr>
        <w:t>内设</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个科室</w:t>
      </w:r>
      <w:r>
        <w:rPr>
          <w:rFonts w:hint="eastAsia" w:ascii="仿宋_GB2312" w:hAnsi="仿宋_GB2312" w:eastAsia="仿宋_GB2312" w:cs="仿宋_GB2312"/>
          <w:sz w:val="30"/>
          <w:szCs w:val="30"/>
          <w:lang w:eastAsia="zh-CN"/>
        </w:rPr>
        <w:t>，为副科级单位</w:t>
      </w:r>
      <w:r>
        <w:rPr>
          <w:rFonts w:hint="eastAsia" w:ascii="仿宋_GB2312" w:hAnsi="仿宋_GB2312" w:eastAsia="仿宋_GB2312" w:cs="仿宋_GB2312"/>
          <w:sz w:val="30"/>
          <w:szCs w:val="30"/>
        </w:rPr>
        <w:t>，单位性质</w:t>
      </w:r>
      <w:r>
        <w:rPr>
          <w:rFonts w:hint="eastAsia" w:ascii="仿宋_GB2312" w:hAnsi="仿宋_GB2312" w:eastAsia="仿宋_GB2312" w:cs="仿宋_GB2312"/>
          <w:sz w:val="30"/>
          <w:szCs w:val="30"/>
          <w:lang w:eastAsia="zh-CN"/>
        </w:rPr>
        <w:t>为参公单位。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0"/>
          <w:szCs w:val="30"/>
          <w:lang w:val="zh-CN" w:eastAsia="zh-CN" w:bidi="ar"/>
        </w:rPr>
      </w:pPr>
      <w:r>
        <w:rPr>
          <w:rFonts w:hint="eastAsia" w:ascii="仿宋_GB2312" w:hAnsi="仿宋_GB2312" w:eastAsia="仿宋_GB2312" w:cs="仿宋_GB2312"/>
          <w:color w:val="000000"/>
          <w:kern w:val="0"/>
          <w:sz w:val="30"/>
          <w:szCs w:val="30"/>
          <w:lang w:val="zh-CN" w:eastAsia="zh-CN" w:bidi="ar"/>
        </w:rPr>
        <w:t>（二）机构职能。</w:t>
      </w:r>
    </w:p>
    <w:p>
      <w:pP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 xml:space="preserve"> </w:t>
      </w:r>
      <w:r>
        <w:rPr>
          <w:rFonts w:hint="eastAsia" w:ascii="仿宋_GB2312" w:hAnsi="仿宋_GB2312" w:cs="仿宋_GB2312"/>
          <w:color w:val="000000"/>
          <w:kern w:val="0"/>
          <w:sz w:val="30"/>
          <w:szCs w:val="30"/>
          <w:lang w:val="en-US" w:eastAsia="zh-CN" w:bidi="ar"/>
        </w:rPr>
        <w:t xml:space="preserve">  </w:t>
      </w:r>
      <w:r>
        <w:rPr>
          <w:rFonts w:hint="eastAsia" w:ascii="Calibri" w:hAnsi="Calibri" w:eastAsia="仿宋_GB2312"/>
          <w:sz w:val="30"/>
          <w:szCs w:val="30"/>
        </w:rPr>
        <w:t>红原县</w:t>
      </w:r>
      <w:r>
        <w:rPr>
          <w:rFonts w:hint="eastAsia" w:ascii="Calibri" w:hAnsi="Calibri" w:eastAsia="仿宋_GB2312"/>
          <w:sz w:val="30"/>
          <w:szCs w:val="30"/>
          <w:lang w:eastAsia="zh-CN"/>
        </w:rPr>
        <w:t>红原县卫生和计划生育监督执法大队</w:t>
      </w:r>
      <w:r>
        <w:rPr>
          <w:rFonts w:hint="eastAsia" w:ascii="仿宋_GB2312" w:hAnsi="Calibri" w:eastAsia="仿宋_GB2312"/>
          <w:sz w:val="30"/>
          <w:szCs w:val="30"/>
        </w:rPr>
        <w:t>是</w:t>
      </w:r>
      <w:r>
        <w:rPr>
          <w:rFonts w:hint="eastAsia" w:ascii="仿宋_GB2312" w:hAnsi="Calibri" w:eastAsia="仿宋_GB2312"/>
          <w:sz w:val="30"/>
          <w:szCs w:val="30"/>
          <w:lang w:eastAsia="zh-CN"/>
        </w:rPr>
        <w:t>参公事业单位</w:t>
      </w:r>
      <w:r>
        <w:rPr>
          <w:rFonts w:hint="eastAsia" w:ascii="仿宋_GB2312" w:hAnsi="Calibri" w:eastAsia="仿宋_GB2312"/>
          <w:sz w:val="30"/>
          <w:szCs w:val="30"/>
        </w:rPr>
        <w:t>。其主要职责：</w:t>
      </w:r>
      <w:r>
        <w:rPr>
          <w:rFonts w:hint="eastAsia" w:ascii="仿宋_GB2312" w:hAnsi="仿宋_GB2312" w:eastAsia="仿宋_GB2312" w:cs="仿宋_GB2312"/>
          <w:color w:val="000000"/>
          <w:sz w:val="32"/>
          <w:szCs w:val="32"/>
          <w:lang w:val="en-US" w:eastAsia="zh-CN"/>
        </w:rPr>
        <w:t>依据《传染病防治法》、《职业病防治法》、《公共场所卫生管理条例》等卫生法律法规，行驶卫生监督执法权，承办卫生行政许可；负责公共场所的卫生条件及其从业人员的健康管理开展监督检查；负责用人单位开展职业健康监护情况进行卫生监督检查；负责学校、托幼机构的公共场所、传染病和生活饮用水等卫生开展综合监管。</w:t>
      </w:r>
    </w:p>
    <w:p>
      <w:pPr>
        <w:keepNext w:val="0"/>
        <w:keepLines w:val="0"/>
        <w:widowControl/>
        <w:numPr>
          <w:ilvl w:val="0"/>
          <w:numId w:val="6"/>
        </w:numPr>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0"/>
          <w:szCs w:val="30"/>
          <w:lang w:val="zh-CN" w:eastAsia="zh-CN" w:bidi="ar"/>
        </w:rPr>
      </w:pPr>
      <w:r>
        <w:rPr>
          <w:rFonts w:hint="eastAsia" w:ascii="仿宋_GB2312" w:hAnsi="仿宋_GB2312" w:eastAsia="仿宋_GB2312" w:cs="仿宋_GB2312"/>
          <w:color w:val="000000"/>
          <w:kern w:val="0"/>
          <w:sz w:val="30"/>
          <w:szCs w:val="30"/>
          <w:lang w:val="zh-CN" w:eastAsia="zh-CN" w:bidi="ar"/>
        </w:rPr>
        <w:t>人员概况。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我单位为独立核算全额拨款参公单位。无下设机构，截止2019年底我单位共有编制8个，其中参公编制6个，行政工勤编制2个，在职6人，退休0人。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0"/>
          <w:szCs w:val="30"/>
          <w:lang w:val="en-US"/>
        </w:rPr>
      </w:pPr>
      <w:r>
        <w:rPr>
          <w:rFonts w:hint="eastAsia" w:ascii="仿宋_GB2312" w:hAnsi="仿宋_GB2312" w:eastAsia="仿宋_GB2312" w:cs="仿宋_GB2312"/>
          <w:color w:val="000000"/>
          <w:kern w:val="0"/>
          <w:sz w:val="30"/>
          <w:szCs w:val="30"/>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auto"/>
          <w:kern w:val="0"/>
          <w:sz w:val="30"/>
          <w:szCs w:val="30"/>
          <w:lang w:val="zh-CN" w:eastAsia="zh-CN" w:bidi="ar"/>
        </w:rPr>
      </w:pPr>
      <w:r>
        <w:rPr>
          <w:rFonts w:hint="eastAsia" w:ascii="仿宋_GB2312" w:hAnsi="仿宋_GB2312" w:eastAsia="仿宋_GB2312" w:cs="仿宋_GB2312"/>
          <w:color w:val="auto"/>
          <w:kern w:val="0"/>
          <w:sz w:val="30"/>
          <w:szCs w:val="30"/>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2019年红原县卫生和计划生育监督执法大队财政拨款收入</w:t>
      </w:r>
      <w:r>
        <w:rPr>
          <w:rFonts w:hint="eastAsia" w:ascii="仿宋_GB2312" w:eastAsia="仿宋_GB2312"/>
          <w:color w:val="auto"/>
          <w:sz w:val="30"/>
          <w:szCs w:val="30"/>
          <w:lang w:val="en-US" w:eastAsia="zh-CN"/>
        </w:rPr>
        <w:t>157.1</w:t>
      </w:r>
      <w:r>
        <w:rPr>
          <w:rFonts w:hint="eastAsia" w:ascii="仿宋_GB2312" w:hAnsi="仿宋_GB2312" w:eastAsia="仿宋_GB2312" w:cs="仿宋_GB2312"/>
          <w:color w:val="auto"/>
          <w:kern w:val="0"/>
          <w:sz w:val="30"/>
          <w:szCs w:val="30"/>
          <w:lang w:val="en-US" w:eastAsia="zh-CN" w:bidi="ar"/>
        </w:rPr>
        <w:t>万元。</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auto"/>
          <w:kern w:val="0"/>
          <w:sz w:val="30"/>
          <w:szCs w:val="30"/>
          <w:lang w:val="zh-CN" w:eastAsia="zh-CN" w:bidi="ar"/>
        </w:rPr>
      </w:pPr>
      <w:r>
        <w:rPr>
          <w:rFonts w:hint="eastAsia" w:ascii="仿宋_GB2312" w:hAnsi="仿宋_GB2312" w:eastAsia="仿宋_GB2312" w:cs="仿宋_GB2312"/>
          <w:color w:val="auto"/>
          <w:kern w:val="0"/>
          <w:sz w:val="30"/>
          <w:szCs w:val="30"/>
          <w:lang w:val="zh-CN" w:eastAsia="zh-CN" w:bidi="ar"/>
        </w:rPr>
        <w:t>部门财政资金支出情况。</w:t>
      </w:r>
    </w:p>
    <w:p>
      <w:pPr>
        <w:spacing w:line="600" w:lineRule="exact"/>
        <w:ind w:firstLine="640"/>
        <w:rPr>
          <w:rFonts w:hint="default" w:ascii="仿宋_GB2312" w:hAnsi="仿宋_GB2312" w:eastAsia="仿宋_GB2312" w:cs="仿宋_GB2312"/>
          <w:color w:val="auto"/>
          <w:kern w:val="0"/>
          <w:sz w:val="30"/>
          <w:szCs w:val="30"/>
          <w:lang w:val="en-US" w:eastAsia="zh-CN" w:bidi="ar"/>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160.88</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社会保障和就业支出（类）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20.76</w:t>
      </w:r>
      <w:r>
        <w:rPr>
          <w:rFonts w:hint="eastAsia" w:ascii="仿宋" w:hAnsi="仿宋" w:eastAsia="仿宋"/>
          <w:color w:val="auto"/>
          <w:sz w:val="32"/>
          <w:szCs w:val="32"/>
        </w:rPr>
        <w:t>万元；</w:t>
      </w:r>
      <w:r>
        <w:rPr>
          <w:rFonts w:hint="eastAsia" w:ascii="仿宋" w:hAnsi="仿宋" w:eastAsia="仿宋"/>
          <w:b/>
          <w:color w:val="auto"/>
          <w:sz w:val="32"/>
          <w:szCs w:val="32"/>
        </w:rPr>
        <w:t>医疗卫生与计划生育支出（类）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129.32</w:t>
      </w:r>
      <w:r>
        <w:rPr>
          <w:rFonts w:hint="eastAsia" w:ascii="仿宋" w:hAnsi="仿宋" w:eastAsia="仿宋"/>
          <w:color w:val="auto"/>
          <w:sz w:val="32"/>
          <w:szCs w:val="32"/>
        </w:rPr>
        <w:t>万元；</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10.8</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auto"/>
          <w:kern w:val="0"/>
          <w:sz w:val="30"/>
          <w:szCs w:val="30"/>
          <w:lang w:val="en-US"/>
        </w:rPr>
      </w:pPr>
      <w:r>
        <w:rPr>
          <w:rFonts w:hint="eastAsia" w:ascii="仿宋_GB2312" w:hAnsi="仿宋_GB2312" w:eastAsia="仿宋_GB2312" w:cs="仿宋_GB2312"/>
          <w:color w:val="auto"/>
          <w:kern w:val="0"/>
          <w:sz w:val="30"/>
          <w:szCs w:val="30"/>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sz w:val="30"/>
          <w:szCs w:val="30"/>
          <w:lang w:val="zh-CN" w:eastAsia="zh-CN" w:bidi="ar"/>
        </w:rPr>
      </w:pPr>
      <w:r>
        <w:rPr>
          <w:rFonts w:hint="eastAsia" w:ascii="仿宋_GB2312" w:hAnsi="仿宋_GB2312" w:eastAsia="仿宋_GB2312" w:cs="仿宋_GB2312"/>
          <w:b/>
          <w:bCs/>
          <w:color w:val="000000"/>
          <w:kern w:val="0"/>
          <w:sz w:val="30"/>
          <w:szCs w:val="30"/>
          <w:lang w:val="zh-CN" w:eastAsia="zh-CN" w:bidi="ar"/>
        </w:rPr>
        <w:t>（一）预算编制情况。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0" w:firstLineChars="200"/>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根据《中华人民共和国预算法》及</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红原县</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财政局印发的《关于</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下达</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2019年</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部门预算的通知》要求，结合本单位实际，按照增收节支、厉行节约、绩效优化的原则，从严从紧编制预算。细化支出预算编制，推进预算信息公开，深化预算绩效管理，提高资金使用效益。</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0" w:firstLineChars="200"/>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9</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年预算人员支出对照201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年12月份人员及工资信息编制，日常公用支出按照“经费包干、明细编报”的原则进行编制，重点做好培训费等预算编制。</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对照年初的预算，通过编制部门决算报表，全面、真实、准确</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地</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反映了201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年度财政资金的使用情况。</w:t>
      </w:r>
    </w:p>
    <w:p>
      <w:pPr>
        <w:spacing w:line="600" w:lineRule="exact"/>
        <w:ind w:firstLine="645"/>
        <w:rPr>
          <w:rFonts w:hint="eastAsia" w:ascii="仿宋_GB2312" w:hAnsi="仿宋_GB2312" w:eastAsia="仿宋_GB2312" w:cs="仿宋_GB2312"/>
          <w:i w:val="0"/>
          <w:caps w:val="0"/>
          <w:color w:val="333333"/>
          <w:spacing w:val="0"/>
          <w:sz w:val="30"/>
          <w:szCs w:val="30"/>
          <w:shd w:val="clear" w:fill="FFFFFF"/>
        </w:rPr>
      </w:pPr>
      <w:r>
        <w:rPr>
          <w:rFonts w:hint="eastAsia" w:ascii="仿宋_GB2312" w:hAnsi="仿宋_GB2312" w:eastAsia="仿宋_GB2312" w:cs="仿宋_GB2312"/>
          <w:i w:val="0"/>
          <w:caps w:val="0"/>
          <w:color w:val="333333"/>
          <w:spacing w:val="0"/>
          <w:sz w:val="30"/>
          <w:szCs w:val="30"/>
          <w:shd w:val="clear" w:fill="FFFFFF"/>
          <w:lang w:eastAsia="zh-CN"/>
        </w:rPr>
        <w:t>红原县卫生和计划生育监督执法大队</w:t>
      </w:r>
      <w:r>
        <w:rPr>
          <w:rFonts w:hint="eastAsia" w:ascii="仿宋_GB2312" w:hAnsi="仿宋_GB2312" w:eastAsia="仿宋_GB2312" w:cs="仿宋_GB2312"/>
          <w:i w:val="0"/>
          <w:caps w:val="0"/>
          <w:color w:val="333333"/>
          <w:spacing w:val="0"/>
          <w:sz w:val="30"/>
          <w:szCs w:val="30"/>
          <w:shd w:val="clear" w:fill="FFFFFF"/>
        </w:rPr>
        <w:t>预算安排支出主要用于保障该部门机构正常运转、完成日常工作任务以及承担工运事业发展相关工作。</w:t>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156.19</w:t>
      </w:r>
      <w:r>
        <w:rPr>
          <w:rFonts w:hint="eastAsia" w:ascii="仿宋" w:hAnsi="仿宋" w:eastAsia="仿宋"/>
          <w:color w:val="000000"/>
          <w:sz w:val="32"/>
          <w:szCs w:val="32"/>
        </w:rPr>
        <w:t>万元，其中：</w:t>
      </w:r>
    </w:p>
    <w:p>
      <w:pPr>
        <w:spacing w:line="600" w:lineRule="exact"/>
        <w:ind w:firstLine="645"/>
        <w:rPr>
          <w:rFonts w:hint="eastAsia" w:ascii="仿宋_GB2312" w:hAnsi="仿宋_GB2312" w:eastAsia="仿宋" w:cs="仿宋_GB2312"/>
          <w:i w:val="0"/>
          <w:caps w:val="0"/>
          <w:color w:val="FF0000"/>
          <w:spacing w:val="0"/>
          <w:sz w:val="30"/>
          <w:szCs w:val="30"/>
          <w:lang w:eastAsia="zh-CN"/>
        </w:rPr>
      </w:pPr>
      <w:r>
        <w:rPr>
          <w:rFonts w:hint="eastAsia" w:ascii="仿宋" w:hAnsi="仿宋" w:eastAsia="仿宋"/>
          <w:color w:val="000000"/>
          <w:sz w:val="32"/>
          <w:szCs w:val="32"/>
        </w:rPr>
        <w:t>人员经</w:t>
      </w:r>
      <w:r>
        <w:rPr>
          <w:rFonts w:hint="eastAsia" w:ascii="仿宋" w:hAnsi="仿宋" w:eastAsia="仿宋"/>
          <w:color w:val="000000"/>
          <w:sz w:val="32"/>
          <w:szCs w:val="32"/>
          <w:lang w:val="en-US" w:eastAsia="zh-CN"/>
        </w:rPr>
        <w:t>费135.02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27.44万元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45.82万元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22.52万元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14.23万元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6.53万元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6.59万元、</w:t>
      </w:r>
      <w:r>
        <w:rPr>
          <w:rStyle w:val="15"/>
          <w:rFonts w:hint="eastAsia" w:ascii="仿宋" w:hAnsi="仿宋" w:eastAsia="仿宋"/>
          <w:b w:val="0"/>
          <w:bCs w:val="0"/>
          <w:color w:val="000000"/>
          <w:sz w:val="32"/>
          <w:szCs w:val="32"/>
          <w:lang w:val="en-US" w:eastAsia="zh-CN"/>
        </w:rPr>
        <w:t>公务员医疗补助1.09万元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10.8万元</w:t>
      </w:r>
      <w:r>
        <w:rPr>
          <w:rFonts w:hint="eastAsia" w:ascii="仿宋" w:hAnsi="仿宋" w:eastAsia="仿宋"/>
          <w:color w:val="000000"/>
          <w:sz w:val="32"/>
          <w:szCs w:val="32"/>
        </w:rPr>
        <w:t>支出。</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color w:val="000000"/>
          <w:sz w:val="32"/>
          <w:szCs w:val="32"/>
          <w:lang w:val="en-US" w:eastAsia="zh-CN"/>
        </w:rPr>
        <w:t>日常</w:t>
      </w: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21.17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8.34万元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手续费0.08万元、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1.10万元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1.83万元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取暖费1.63万元、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4.17万元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0.06万元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劳务费0.72万元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工会经费0.7万元、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2.54万元</w:t>
      </w:r>
      <w:r>
        <w:rPr>
          <w:rFonts w:hint="eastAsia" w:ascii="仿宋" w:hAnsi="仿宋" w:eastAsia="仿宋"/>
          <w:color w:val="000000" w:themeColor="text1"/>
          <w:sz w:val="32"/>
          <w:szCs w:val="32"/>
          <w14:textFill>
            <w14:solidFill>
              <w14:schemeClr w14:val="tx1"/>
            </w14:solidFill>
          </w14:textFill>
        </w:rPr>
        <w:t>支出等</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s="Times New Roman"/>
          <w:color w:val="FF0000"/>
          <w:kern w:val="2"/>
          <w:sz w:val="32"/>
          <w:szCs w:val="32"/>
          <w:lang w:val="en-US" w:eastAsia="zh-CN" w:bidi="ar-SA"/>
        </w:rPr>
      </w:pPr>
      <w:r>
        <w:rPr>
          <w:rFonts w:hint="eastAsia" w:ascii="仿宋_GB2312" w:hAnsi="仿宋_GB2312" w:eastAsia="仿宋_GB2312" w:cs="仿宋_GB2312"/>
          <w:i w:val="0"/>
          <w:caps w:val="0"/>
          <w:color w:val="333333"/>
          <w:spacing w:val="0"/>
          <w:sz w:val="30"/>
          <w:szCs w:val="30"/>
          <w:shd w:val="clear" w:fill="FFFFFF"/>
        </w:rPr>
        <w:t>　</w:t>
      </w:r>
      <w:r>
        <w:rPr>
          <w:rFonts w:hint="eastAsia" w:ascii="仿宋_GB2312" w:hAnsi="仿宋_GB2312" w:eastAsia="仿宋_GB2312" w:cs="仿宋_GB2312"/>
          <w:i w:val="0"/>
          <w:caps w:val="0"/>
          <w:color w:val="auto"/>
          <w:spacing w:val="0"/>
          <w:sz w:val="30"/>
          <w:szCs w:val="30"/>
          <w:shd w:val="clear" w:fill="FFFFFF"/>
        </w:rPr>
        <w:t>　</w:t>
      </w:r>
      <w:r>
        <w:rPr>
          <w:rFonts w:hint="eastAsia" w:ascii="仿宋" w:hAnsi="仿宋" w:eastAsia="仿宋" w:cs="Times New Roman"/>
          <w:color w:val="auto"/>
          <w:kern w:val="2"/>
          <w:sz w:val="32"/>
          <w:szCs w:val="32"/>
          <w:lang w:val="en-US" w:eastAsia="zh-CN" w:bidi="ar-SA"/>
        </w:rPr>
        <w:t>按支出功能分类主要用于以下方面:</w:t>
      </w:r>
      <w:r>
        <w:rPr>
          <w:rFonts w:ascii="仿宋" w:hAnsi="仿宋" w:eastAsia="仿宋"/>
          <w:color w:val="auto"/>
          <w:sz w:val="32"/>
          <w:szCs w:val="32"/>
        </w:rPr>
        <w:t>2</w:t>
      </w:r>
      <w:r>
        <w:rPr>
          <w:rFonts w:ascii="仿宋" w:hAnsi="仿宋" w:eastAsia="仿宋"/>
          <w:color w:val="000000"/>
          <w:sz w:val="32"/>
          <w:szCs w:val="32"/>
        </w:rPr>
        <w:t>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160.88</w:t>
      </w:r>
      <w:r>
        <w:rPr>
          <w:rFonts w:hint="eastAsia" w:ascii="仿宋" w:hAnsi="仿宋" w:eastAsia="仿宋"/>
          <w:color w:val="000000" w:themeColor="text1"/>
          <w:sz w:val="32"/>
          <w:szCs w:val="32"/>
          <w14:textFill>
            <w14:solidFill>
              <w14:schemeClr w14:val="tx1"/>
            </w14:solidFill>
          </w14:textFill>
        </w:rPr>
        <w:t>万元，主要用于以下方面</w:t>
      </w:r>
      <w:r>
        <w:rPr>
          <w:rFonts w:hint="eastAsia" w:ascii="仿宋" w:hAnsi="仿宋" w:eastAsia="仿宋"/>
          <w:color w:val="000000" w:themeColor="text1"/>
          <w:sz w:val="32"/>
          <w:szCs w:val="32"/>
          <w:lang w:eastAsia="zh-CN"/>
          <w14:textFill>
            <w14:solidFill>
              <w14:schemeClr w14:val="tx1"/>
            </w14:solidFill>
          </w14:textFill>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FF0000"/>
          <w:kern w:val="2"/>
          <w:sz w:val="32"/>
          <w:szCs w:val="32"/>
          <w:lang w:val="en-US" w:eastAsia="zh-CN" w:bidi="ar-SA"/>
        </w:rPr>
        <w:t>　　</w:t>
      </w:r>
      <w:r>
        <w:rPr>
          <w:rFonts w:hint="eastAsia" w:ascii="仿宋" w:hAnsi="仿宋" w:eastAsia="仿宋" w:cs="Times New Roman"/>
          <w:color w:val="auto"/>
          <w:kern w:val="2"/>
          <w:sz w:val="32"/>
          <w:szCs w:val="32"/>
          <w:lang w:val="en-US" w:eastAsia="zh-CN" w:bidi="ar-SA"/>
        </w:rPr>
        <w:t>（一）208社会保障和就业支出</w:t>
      </w:r>
      <w:r>
        <w:rPr>
          <w:rFonts w:hint="eastAsia" w:ascii="仿宋" w:hAnsi="仿宋" w:eastAsia="仿宋"/>
          <w:color w:val="auto"/>
          <w:sz w:val="32"/>
          <w:szCs w:val="32"/>
          <w:lang w:val="en-US" w:eastAsia="zh-CN"/>
        </w:rPr>
        <w:t>20.76</w:t>
      </w:r>
      <w:r>
        <w:rPr>
          <w:rFonts w:hint="eastAsia" w:ascii="仿宋" w:hAnsi="仿宋" w:eastAsia="仿宋" w:cs="Times New Roman"/>
          <w:color w:val="auto"/>
          <w:kern w:val="2"/>
          <w:sz w:val="32"/>
          <w:szCs w:val="32"/>
          <w:lang w:val="en-US" w:eastAsia="zh-CN" w:bidi="ar-SA"/>
        </w:rPr>
        <w:t>万元，主要用于机关养老保险及职业年金缴费支出。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　　（二）210卫生健康支出</w:t>
      </w:r>
      <w:r>
        <w:rPr>
          <w:rFonts w:hint="eastAsia" w:ascii="仿宋" w:hAnsi="仿宋" w:eastAsia="仿宋"/>
          <w:color w:val="auto"/>
          <w:sz w:val="32"/>
          <w:szCs w:val="32"/>
          <w:lang w:val="en-US" w:eastAsia="zh-CN"/>
        </w:rPr>
        <w:t>129.32</w:t>
      </w:r>
      <w:r>
        <w:rPr>
          <w:rFonts w:hint="eastAsia" w:ascii="仿宋" w:hAnsi="仿宋" w:eastAsia="仿宋" w:cs="Times New Roman"/>
          <w:color w:val="auto"/>
          <w:kern w:val="2"/>
          <w:sz w:val="32"/>
          <w:szCs w:val="32"/>
          <w:lang w:val="en-US" w:eastAsia="zh-CN" w:bidi="ar-SA"/>
        </w:rPr>
        <w:t>万元，主要用于机关按照规定标准为职工缴纳的基本医疗保险及公务员医疗补助等支出。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FF0000"/>
          <w:kern w:val="2"/>
          <w:sz w:val="32"/>
          <w:szCs w:val="32"/>
          <w:lang w:val="en-US" w:eastAsia="zh-CN" w:bidi="ar-SA"/>
        </w:rPr>
        <w:t>　　</w:t>
      </w:r>
      <w:r>
        <w:rPr>
          <w:rFonts w:hint="eastAsia" w:ascii="仿宋" w:hAnsi="仿宋" w:eastAsia="仿宋" w:cs="Times New Roman"/>
          <w:color w:val="auto"/>
          <w:kern w:val="2"/>
          <w:sz w:val="32"/>
          <w:szCs w:val="32"/>
          <w:lang w:val="en-US" w:eastAsia="zh-CN" w:bidi="ar-SA"/>
        </w:rPr>
        <w:t>（三）221住房保障支出</w:t>
      </w:r>
      <w:r>
        <w:rPr>
          <w:rFonts w:hint="eastAsia" w:ascii="仿宋" w:hAnsi="仿宋" w:eastAsia="仿宋"/>
          <w:color w:val="auto"/>
          <w:sz w:val="32"/>
          <w:szCs w:val="32"/>
          <w:lang w:val="en-US" w:eastAsia="zh-CN"/>
        </w:rPr>
        <w:t>10.8</w:t>
      </w:r>
      <w:r>
        <w:rPr>
          <w:rFonts w:hint="eastAsia" w:ascii="仿宋" w:hAnsi="仿宋" w:eastAsia="仿宋" w:cs="Times New Roman"/>
          <w:color w:val="auto"/>
          <w:kern w:val="2"/>
          <w:sz w:val="32"/>
          <w:szCs w:val="32"/>
          <w:lang w:val="en-US" w:eastAsia="zh-CN" w:bidi="ar-SA"/>
        </w:rPr>
        <w:t>万元，用于机关按照规定标准为职工缴纳住房公积金等支出。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　　较上年度增减变化。</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仿宋_GB2312" w:hAnsi="仿宋_GB2312" w:eastAsia="仿宋_GB2312" w:cs="仿宋_GB2312"/>
          <w:i w:val="0"/>
          <w:caps w:val="0"/>
          <w:color w:val="auto"/>
          <w:spacing w:val="0"/>
          <w:sz w:val="30"/>
          <w:szCs w:val="30"/>
          <w:shd w:val="clear" w:fill="FFFFFF"/>
        </w:rPr>
      </w:pPr>
      <w:r>
        <w:rPr>
          <w:rFonts w:hint="eastAsia"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年度收</w:t>
      </w:r>
      <w:r>
        <w:rPr>
          <w:rFonts w:hint="eastAsia" w:ascii="仿宋" w:hAnsi="仿宋" w:eastAsia="仿宋"/>
          <w:color w:val="auto"/>
          <w:sz w:val="32"/>
          <w:szCs w:val="32"/>
          <w:lang w:eastAsia="zh-CN"/>
        </w:rPr>
        <w:t>入</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157.1</w:t>
      </w:r>
      <w:r>
        <w:rPr>
          <w:rFonts w:hint="eastAsia" w:ascii="仿宋" w:hAnsi="仿宋" w:eastAsia="仿宋"/>
          <w:color w:val="auto"/>
          <w:sz w:val="32"/>
          <w:szCs w:val="32"/>
        </w:rPr>
        <w:t>万元</w:t>
      </w:r>
      <w:r>
        <w:rPr>
          <w:rFonts w:hint="eastAsia" w:ascii="仿宋" w:hAnsi="仿宋" w:eastAsia="仿宋"/>
          <w:color w:val="auto"/>
          <w:sz w:val="32"/>
          <w:szCs w:val="32"/>
          <w:lang w:eastAsia="zh-CN"/>
        </w:rPr>
        <w:t>，较上年度预算</w:t>
      </w:r>
      <w:r>
        <w:rPr>
          <w:rFonts w:hint="eastAsia" w:ascii="仿宋" w:hAnsi="仿宋" w:eastAsia="仿宋"/>
          <w:color w:val="auto"/>
          <w:sz w:val="32"/>
          <w:szCs w:val="32"/>
          <w:lang w:val="en-US" w:eastAsia="zh-CN"/>
        </w:rPr>
        <w:t>减少2.7</w:t>
      </w:r>
      <w:r>
        <w:rPr>
          <w:rFonts w:ascii="仿宋" w:hAnsi="仿宋" w:eastAsia="仿宋"/>
          <w:color w:val="auto"/>
          <w:sz w:val="32"/>
          <w:szCs w:val="32"/>
        </w:rPr>
        <w:t>%</w:t>
      </w:r>
      <w:r>
        <w:rPr>
          <w:rFonts w:hint="eastAsia" w:ascii="仿宋" w:hAnsi="仿宋" w:eastAsia="仿宋"/>
          <w:color w:val="auto"/>
          <w:sz w:val="32"/>
          <w:szCs w:val="32"/>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02" w:firstLineChars="200"/>
        <w:textAlignment w:val="auto"/>
        <w:rPr>
          <w:rFonts w:hint="eastAsia" w:ascii="仿宋_GB2312" w:hAnsi="仿宋_GB2312" w:eastAsia="仿宋_GB2312" w:cs="仿宋_GB2312"/>
          <w:b/>
          <w:bCs w:val="0"/>
          <w:i w:val="0"/>
          <w:caps w:val="0"/>
          <w:color w:val="auto"/>
          <w:spacing w:val="0"/>
          <w:sz w:val="30"/>
          <w:szCs w:val="30"/>
        </w:rPr>
      </w:pPr>
      <w:r>
        <w:rPr>
          <w:rStyle w:val="15"/>
          <w:rFonts w:hint="eastAsia" w:ascii="仿宋_GB2312" w:hAnsi="仿宋_GB2312" w:eastAsia="仿宋_GB2312" w:cs="仿宋_GB2312"/>
          <w:b/>
          <w:bCs w:val="0"/>
          <w:i w:val="0"/>
          <w:caps w:val="0"/>
          <w:color w:val="auto"/>
          <w:spacing w:val="0"/>
          <w:sz w:val="30"/>
          <w:szCs w:val="30"/>
          <w:shd w:val="clear" w:fill="FFFFFF"/>
        </w:rPr>
        <w:t>（二）执行管理情况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0" w:firstLineChars="200"/>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本着少花钱、多办事、办好事、遵循有预算才支出的原则，201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9</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年财政预算支出全面落实到位，均按规定的用途支付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基本支出，是用于保障本单位正常运转的日常支出，包括基本工资、津贴补贴等人员经费以及办公费、印刷费、水电费、办公设备购置等日常公用经费。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2" w:lineRule="atLeast"/>
        <w:ind w:left="0" w:right="0" w:firstLine="600" w:firstLineChars="200"/>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项目支出</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为公共卫生类（重大公共卫生专项）项目</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3万元。</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2" w:lineRule="atLeast"/>
        <w:ind w:left="0" w:right="0" w:firstLine="600" w:firstLineChars="200"/>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本年度三公经费预算安排支出为</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3.3</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万元,较上年同期</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减少</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，主要原因为严格执行三公经费只减不增原则。</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我单位</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年未发生公务出国（境）费用，本着厉行节约的原则，公务用车实行定点加油和维修，使用及维修前报分管领导和主要负责人同意。</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02" w:firstLineChars="200"/>
        <w:textAlignment w:val="auto"/>
        <w:rPr>
          <w:rStyle w:val="15"/>
          <w:rFonts w:hint="eastAsia" w:ascii="仿宋_GB2312" w:hAnsi="仿宋_GB2312" w:eastAsia="仿宋_GB2312" w:cs="仿宋_GB2312"/>
          <w:i w:val="0"/>
          <w:caps w:val="0"/>
          <w:color w:val="000000" w:themeColor="text1"/>
          <w:spacing w:val="0"/>
          <w:sz w:val="30"/>
          <w:szCs w:val="30"/>
          <w:shd w:val="clear" w:fill="FFFFFF"/>
          <w:lang w:eastAsia="zh-CN"/>
          <w14:textFill>
            <w14:solidFill>
              <w14:schemeClr w14:val="tx1"/>
            </w14:solidFill>
          </w14:textFill>
        </w:rPr>
      </w:pPr>
      <w:r>
        <w:rPr>
          <w:rStyle w:val="15"/>
          <w:rFonts w:hint="eastAsia" w:ascii="仿宋_GB2312" w:hAnsi="仿宋_GB2312" w:eastAsia="仿宋_GB2312" w:cs="仿宋_GB2312"/>
          <w:i w:val="0"/>
          <w:caps w:val="0"/>
          <w:color w:val="000000" w:themeColor="text1"/>
          <w:spacing w:val="0"/>
          <w:sz w:val="30"/>
          <w:szCs w:val="30"/>
          <w:shd w:val="clear" w:fill="FFFFFF"/>
          <w:lang w:eastAsia="zh-CN"/>
          <w14:textFill>
            <w14:solidFill>
              <w14:schemeClr w14:val="tx1"/>
            </w14:solidFill>
          </w14:textFill>
        </w:rPr>
        <w:t>（三）综合管理情况</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w:t>
      </w:r>
      <w:r>
        <w:rPr>
          <w:rFonts w:hint="eastAsia" w:ascii="仿宋_GB2312" w:hAnsi="仿宋_GB2312" w:eastAsia="仿宋_GB2312" w:cs="仿宋_GB2312"/>
          <w:color w:val="000000" w:themeColor="text1"/>
          <w:sz w:val="30"/>
          <w:szCs w:val="30"/>
          <w:lang w:eastAsia="zh-CN"/>
          <w14:textFill>
            <w14:solidFill>
              <w14:schemeClr w14:val="tx1"/>
            </w14:solidFill>
          </w14:textFill>
        </w:rPr>
        <w:t>建立健全内部控制</w:t>
      </w:r>
      <w:r>
        <w:rPr>
          <w:rFonts w:hint="eastAsia" w:ascii="仿宋_GB2312" w:hAnsi="仿宋_GB2312" w:eastAsia="仿宋_GB2312" w:cs="仿宋_GB2312"/>
          <w:color w:val="000000" w:themeColor="text1"/>
          <w:sz w:val="30"/>
          <w:szCs w:val="30"/>
          <w14:textFill>
            <w14:solidFill>
              <w14:schemeClr w14:val="tx1"/>
            </w14:solidFill>
          </w14:textFill>
        </w:rPr>
        <w:t>制度：我</w:t>
      </w:r>
      <w:r>
        <w:rPr>
          <w:rFonts w:hint="eastAsia" w:ascii="仿宋_GB2312" w:hAnsi="仿宋_GB2312" w:eastAsia="仿宋_GB2312" w:cs="仿宋_GB2312"/>
          <w:color w:val="000000" w:themeColor="text1"/>
          <w:sz w:val="30"/>
          <w:szCs w:val="30"/>
          <w:lang w:eastAsia="zh-CN"/>
          <w14:textFill>
            <w14:solidFill>
              <w14:schemeClr w14:val="tx1"/>
            </w14:solidFill>
          </w14:textFill>
        </w:rPr>
        <w:t>单位</w:t>
      </w:r>
      <w:r>
        <w:rPr>
          <w:rFonts w:hint="eastAsia" w:ascii="仿宋_GB2312" w:hAnsi="仿宋_GB2312" w:eastAsia="仿宋_GB2312" w:cs="仿宋_GB2312"/>
          <w:color w:val="000000" w:themeColor="text1"/>
          <w:sz w:val="30"/>
          <w:szCs w:val="30"/>
          <w14:textFill>
            <w14:solidFill>
              <w14:schemeClr w14:val="tx1"/>
            </w14:solidFill>
          </w14:textFill>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预算信息公开：</w:t>
      </w:r>
      <w:r>
        <w:rPr>
          <w:rFonts w:hint="eastAsia" w:ascii="仿宋_GB2312" w:hAnsi="仿宋_GB2312" w:eastAsia="仿宋_GB2312" w:cs="仿宋_GB2312"/>
          <w:color w:val="000000" w:themeColor="text1"/>
          <w:sz w:val="30"/>
          <w:szCs w:val="30"/>
          <w:lang w:eastAsia="zh-CN"/>
          <w14:textFill>
            <w14:solidFill>
              <w14:schemeClr w14:val="tx1"/>
            </w14:solidFill>
          </w14:textFill>
        </w:rPr>
        <w:t>我单位</w:t>
      </w:r>
      <w:r>
        <w:rPr>
          <w:rFonts w:hint="eastAsia" w:ascii="仿宋_GB2312" w:hAnsi="仿宋_GB2312" w:eastAsia="仿宋_GB2312" w:cs="仿宋_GB2312"/>
          <w:color w:val="000000" w:themeColor="text1"/>
          <w:sz w:val="30"/>
          <w:szCs w:val="30"/>
          <w14:textFill>
            <w14:solidFill>
              <w14:schemeClr w14:val="tx1"/>
            </w14:solidFill>
          </w14:textFill>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00" w:firstLineChars="200"/>
        <w:textAlignment w:val="auto"/>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财务信息完善性：经核对</w:t>
      </w:r>
      <w:r>
        <w:rPr>
          <w:rFonts w:hint="eastAsia" w:ascii="仿宋_GB2312" w:hAnsi="仿宋_GB2312" w:eastAsia="仿宋_GB2312" w:cs="仿宋_GB2312"/>
          <w:color w:val="000000" w:themeColor="text1"/>
          <w:sz w:val="30"/>
          <w:szCs w:val="30"/>
          <w:lang w:eastAsia="zh-CN"/>
          <w14:textFill>
            <w14:solidFill>
              <w14:schemeClr w14:val="tx1"/>
            </w14:solidFill>
          </w14:textFill>
        </w:rPr>
        <w:t>我单位</w:t>
      </w:r>
      <w:r>
        <w:rPr>
          <w:rFonts w:hint="eastAsia" w:ascii="仿宋_GB2312" w:hAnsi="仿宋_GB2312" w:eastAsia="仿宋_GB2312" w:cs="仿宋_GB2312"/>
          <w:color w:val="000000" w:themeColor="text1"/>
          <w:sz w:val="30"/>
          <w:szCs w:val="30"/>
          <w14:textFill>
            <w14:solidFill>
              <w14:schemeClr w14:val="tx1"/>
            </w14:solidFill>
          </w14:textFill>
        </w:rPr>
        <w:t>201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9</w:t>
      </w:r>
      <w:r>
        <w:rPr>
          <w:rFonts w:hint="eastAsia" w:ascii="仿宋_GB2312" w:hAnsi="仿宋_GB2312" w:eastAsia="仿宋_GB2312" w:cs="仿宋_GB2312"/>
          <w:color w:val="000000" w:themeColor="text1"/>
          <w:sz w:val="30"/>
          <w:szCs w:val="30"/>
          <w14:textFill>
            <w14:solidFill>
              <w14:schemeClr w14:val="tx1"/>
            </w14:solidFill>
          </w14:textFill>
        </w:rPr>
        <w:t>年度总账、明细账、决算报表，其结果账账、账表相符；财务信息资料真实、完整、准确</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p>
    <w:p>
      <w:pPr>
        <w:widowControl/>
        <w:adjustRightInd w:val="0"/>
        <w:snapToGrid w:val="0"/>
        <w:spacing w:line="560" w:lineRule="exact"/>
        <w:ind w:firstLine="643" w:firstLineChars="200"/>
        <w:jc w:val="left"/>
        <w:rPr>
          <w:rFonts w:hint="eastAsia" w:ascii="楷体" w:hAnsi="楷体" w:eastAsia="楷体" w:cs="宋体"/>
          <w:b/>
          <w:bCs/>
          <w:color w:val="000000"/>
          <w:kern w:val="0"/>
          <w:sz w:val="32"/>
          <w:lang w:val="zh-CN" w:bidi="ar"/>
        </w:rPr>
      </w:pPr>
      <w:r>
        <w:rPr>
          <w:rFonts w:hint="eastAsia" w:ascii="楷体" w:hAnsi="楷体" w:eastAsia="楷体" w:cs="宋体"/>
          <w:b/>
          <w:bCs/>
          <w:color w:val="000000"/>
          <w:kern w:val="0"/>
          <w:sz w:val="32"/>
          <w:lang w:val="zh-CN" w:bidi="ar"/>
        </w:rPr>
        <w:t>（四）整体绩效</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eastAsia="zh-CN"/>
        </w:rPr>
      </w:pPr>
    </w:p>
    <w:p>
      <w:pPr>
        <w:keepNext w:val="0"/>
        <w:keepLines w:val="0"/>
        <w:pageBreakBefore w:val="0"/>
        <w:kinsoku/>
        <w:wordWrap/>
        <w:overflowPunct/>
        <w:topLinePunct w:val="0"/>
        <w:autoSpaceDE/>
        <w:autoSpaceDN/>
        <w:bidi w:val="0"/>
        <w:adjustRightInd/>
        <w:spacing w:beforeAutospacing="0" w:afterAutospacing="0" w:line="540" w:lineRule="exact"/>
        <w:textAlignment w:val="auto"/>
        <w:rPr>
          <w:rFonts w:hint="eastAsia" w:ascii="仿宋_GB2312" w:hAnsi="仿宋_GB2312" w:eastAsia="仿宋_GB2312" w:cs="仿宋_GB2312"/>
          <w:bCs/>
          <w:color w:val="000000" w:themeColor="text1"/>
          <w:sz w:val="30"/>
          <w:szCs w:val="30"/>
          <w:lang w:eastAsia="zh-CN"/>
          <w14:textFill>
            <w14:solidFill>
              <w14:schemeClr w14:val="tx1"/>
            </w14:solidFill>
          </w14:textFill>
        </w:rPr>
      </w:pPr>
      <w:r>
        <w:rPr>
          <w:rFonts w:hint="eastAsia" w:ascii="仿宋_GB2312" w:hAnsi="仿宋_GB2312" w:eastAsia="仿宋_GB2312" w:cs="仿宋_GB2312"/>
          <w:bCs/>
          <w:color w:val="000000" w:themeColor="text1"/>
          <w:sz w:val="30"/>
          <w:szCs w:val="30"/>
          <w14:textFill>
            <w14:solidFill>
              <w14:schemeClr w14:val="tx1"/>
            </w14:solidFill>
          </w14:textFill>
        </w:rPr>
        <w:t>四、本年度部门</w:t>
      </w:r>
      <w:r>
        <w:rPr>
          <w:rFonts w:hint="eastAsia" w:ascii="仿宋_GB2312" w:hAnsi="仿宋_GB2312" w:eastAsia="仿宋_GB2312" w:cs="仿宋_GB2312"/>
          <w:bCs/>
          <w:color w:val="000000" w:themeColor="text1"/>
          <w:sz w:val="30"/>
          <w:szCs w:val="30"/>
          <w:lang w:eastAsia="zh-CN"/>
          <w14:textFill>
            <w14:solidFill>
              <w14:schemeClr w14:val="tx1"/>
            </w14:solidFill>
          </w14:textFill>
        </w:rPr>
        <w:t>支出</w:t>
      </w:r>
      <w:r>
        <w:rPr>
          <w:rFonts w:hint="eastAsia" w:ascii="仿宋_GB2312" w:hAnsi="仿宋_GB2312" w:eastAsia="仿宋_GB2312" w:cs="仿宋_GB2312"/>
          <w:bCs/>
          <w:color w:val="000000" w:themeColor="text1"/>
          <w:sz w:val="30"/>
          <w:szCs w:val="30"/>
          <w14:textFill>
            <w14:solidFill>
              <w14:schemeClr w14:val="tx1"/>
            </w14:solidFill>
          </w14:textFill>
        </w:rPr>
        <w:t>财务工作开展</w:t>
      </w:r>
      <w:r>
        <w:rPr>
          <w:rFonts w:hint="eastAsia" w:ascii="仿宋_GB2312" w:hAnsi="仿宋_GB2312" w:eastAsia="仿宋_GB2312" w:cs="仿宋_GB2312"/>
          <w:bCs/>
          <w:color w:val="000000" w:themeColor="text1"/>
          <w:sz w:val="30"/>
          <w:szCs w:val="30"/>
          <w:lang w:eastAsia="zh-CN"/>
          <w14:textFill>
            <w14:solidFill>
              <w14:schemeClr w14:val="tx1"/>
            </w14:solidFill>
          </w14:textFill>
        </w:rPr>
        <w:t>评价结论及建议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2" w:firstLineChars="200"/>
        <w:textAlignment w:val="auto"/>
        <w:rPr>
          <w:rFonts w:hint="eastAsia" w:ascii="仿宋_GB2312" w:hAnsi="仿宋_GB2312" w:eastAsia="仿宋_GB2312" w:cs="仿宋_GB2312"/>
          <w:b/>
          <w:bCs/>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bCs/>
          <w:i w:val="0"/>
          <w:caps w:val="0"/>
          <w:color w:val="000000" w:themeColor="text1"/>
          <w:spacing w:val="0"/>
          <w:sz w:val="30"/>
          <w:szCs w:val="30"/>
          <w:shd w:val="clear" w:fill="FFFFFF"/>
          <w:lang w:eastAsia="zh-CN"/>
          <w14:textFill>
            <w14:solidFill>
              <w14:schemeClr w14:val="tx1"/>
            </w14:solidFill>
          </w14:textFill>
        </w:rPr>
        <w:t>（一）</w:t>
      </w:r>
      <w:r>
        <w:rPr>
          <w:rFonts w:hint="eastAsia" w:ascii="仿宋_GB2312" w:hAnsi="仿宋_GB2312" w:eastAsia="仿宋_GB2312" w:cs="仿宋_GB2312"/>
          <w:b/>
          <w:bCs/>
          <w:i w:val="0"/>
          <w:caps w:val="0"/>
          <w:color w:val="000000" w:themeColor="text1"/>
          <w:spacing w:val="0"/>
          <w:sz w:val="30"/>
          <w:szCs w:val="30"/>
          <w:shd w:val="clear" w:fill="FFFFFF"/>
          <w14:textFill>
            <w14:solidFill>
              <w14:schemeClr w14:val="tx1"/>
            </w14:solidFill>
          </w14:textFill>
        </w:rPr>
        <w:t>执行预算制度到位</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0" w:firstLineChars="200"/>
        <w:textAlignment w:val="auto"/>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能够严格执行《预算法》和各项财经纪律，机关制度健全，财务管理规范，预算编制合理;二是资金监管到位。经费开支按用途使用合理，做到专帐专管,专款专用；三是人员配备和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账务</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核算到位。财务人员</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账务</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核算及时规范。</w:t>
      </w:r>
      <w:r>
        <w:rPr>
          <w:rFonts w:hint="eastAsia" w:ascii="仿宋_GB2312" w:hAnsi="仿宋_GB2312" w:eastAsia="仿宋_GB2312" w:cs="仿宋_GB2312"/>
          <w:color w:val="000000" w:themeColor="text1"/>
          <w:sz w:val="30"/>
          <w:szCs w:val="30"/>
          <w14:textFill>
            <w14:solidFill>
              <w14:schemeClr w14:val="tx1"/>
            </w14:solidFill>
          </w14:textFill>
        </w:rPr>
        <w:t>我单位在财务上进行合理安排和运用，以“认真、严谨、细致”</w:t>
      </w:r>
      <w:r>
        <w:rPr>
          <w:rFonts w:hint="eastAsia" w:ascii="仿宋_GB2312" w:hAnsi="仿宋_GB2312" w:eastAsia="仿宋_GB2312" w:cs="仿宋_GB2312"/>
          <w:color w:val="000000" w:themeColor="text1"/>
          <w:sz w:val="30"/>
          <w:szCs w:val="30"/>
          <w:lang w:eastAsia="zh-CN"/>
          <w14:textFill>
            <w14:solidFill>
              <w14:schemeClr w14:val="tx1"/>
            </w14:solidFill>
          </w14:textFill>
        </w:rPr>
        <w:t>的</w:t>
      </w:r>
      <w:r>
        <w:rPr>
          <w:rFonts w:hint="eastAsia" w:ascii="仿宋_GB2312" w:hAnsi="仿宋_GB2312" w:eastAsia="仿宋_GB2312" w:cs="仿宋_GB2312"/>
          <w:color w:val="000000" w:themeColor="text1"/>
          <w:sz w:val="30"/>
          <w:szCs w:val="30"/>
          <w14:textFill>
            <w14:solidFill>
              <w14:schemeClr w14:val="tx1"/>
            </w14:solidFill>
          </w14:textFill>
        </w:rPr>
        <w:t>精神，做好一切财务工作</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2" w:firstLineChars="200"/>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Style w:val="15"/>
          <w:rFonts w:hint="eastAsia" w:ascii="仿宋_GB2312" w:hAnsi="仿宋_GB2312" w:eastAsia="仿宋_GB2312" w:cs="仿宋_GB2312"/>
          <w:i w:val="0"/>
          <w:caps w:val="0"/>
          <w:color w:val="000000" w:themeColor="text1"/>
          <w:spacing w:val="0"/>
          <w:sz w:val="30"/>
          <w:szCs w:val="30"/>
          <w:shd w:val="clear" w:fill="FFFFFF"/>
          <w14:textFill>
            <w14:solidFill>
              <w14:schemeClr w14:val="tx1"/>
            </w14:solidFill>
          </w14:textFill>
        </w:rPr>
        <w:t>（二）存在问题 </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00" w:firstLineChars="200"/>
        <w:textAlignment w:val="auto"/>
        <w:rPr>
          <w:rFonts w:hint="eastAsia" w:ascii="仿宋_GB2312" w:hAnsi="仿宋_GB2312" w:eastAsia="仿宋_GB2312" w:cs="仿宋_GB2312"/>
          <w:b w:val="0"/>
          <w:i w:val="0"/>
          <w:caps w:val="0"/>
          <w:color w:val="000000" w:themeColor="text1"/>
          <w:spacing w:val="0"/>
          <w:sz w:val="30"/>
          <w:szCs w:val="30"/>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主要是公务卡使用力度</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不够，</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还应加强，</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避免</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现金支付。</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无专业</w:t>
      </w:r>
      <w:r>
        <w:rPr>
          <w:rFonts w:hint="eastAsia" w:ascii="仿宋_GB2312" w:hAnsi="仿宋_GB2312" w:eastAsia="仿宋_GB2312" w:cs="仿宋_GB2312"/>
          <w:color w:val="000000" w:themeColor="text1"/>
          <w:sz w:val="30"/>
          <w:szCs w:val="30"/>
          <w:lang w:eastAsia="zh-CN"/>
          <w14:textFill>
            <w14:solidFill>
              <w14:schemeClr w14:val="tx1"/>
            </w14:solidFill>
          </w14:textFill>
        </w:rPr>
        <w:t>财务人员，兼职人员业务知识欠缺。</w:t>
      </w:r>
      <w:r>
        <w:rPr>
          <w:rStyle w:val="15"/>
          <w:rFonts w:hint="eastAsia" w:ascii="仿宋_GB2312" w:hAnsi="仿宋_GB2312" w:eastAsia="仿宋_GB2312" w:cs="仿宋_GB2312"/>
          <w:i w:val="0"/>
          <w:caps w:val="0"/>
          <w:color w:val="000000" w:themeColor="text1"/>
          <w:spacing w:val="0"/>
          <w:sz w:val="30"/>
          <w:szCs w:val="30"/>
          <w:shd w:val="clear" w:fill="FFFFFF"/>
          <w14:textFill>
            <w14:solidFill>
              <w14:schemeClr w14:val="tx1"/>
            </w14:solidFill>
          </w14:textFill>
        </w:rPr>
        <w:t>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2" w:firstLineChars="200"/>
        <w:textAlignment w:val="auto"/>
        <w:rPr>
          <w:rFonts w:hint="eastAsia" w:ascii="仿宋_GB2312" w:hAnsi="仿宋_GB2312" w:eastAsia="仿宋_GB2312" w:cs="仿宋_GB2312"/>
          <w:b/>
          <w:bCs w:val="0"/>
          <w:i w:val="0"/>
          <w:caps w:val="0"/>
          <w:color w:val="000000" w:themeColor="text1"/>
          <w:spacing w:val="0"/>
          <w:sz w:val="30"/>
          <w:szCs w:val="30"/>
          <w:shd w:val="clear" w:fill="FFFFFF"/>
          <w14:textFill>
            <w14:solidFill>
              <w14:schemeClr w14:val="tx1"/>
            </w14:solidFill>
          </w14:textFill>
        </w:rPr>
      </w:pPr>
      <w:r>
        <w:rPr>
          <w:rStyle w:val="15"/>
          <w:rFonts w:hint="eastAsia" w:ascii="仿宋_GB2312" w:hAnsi="仿宋_GB2312" w:eastAsia="仿宋_GB2312" w:cs="仿宋_GB2312"/>
          <w:b/>
          <w:bCs w:val="0"/>
          <w:i w:val="0"/>
          <w:caps w:val="0"/>
          <w:color w:val="000000" w:themeColor="text1"/>
          <w:spacing w:val="0"/>
          <w:sz w:val="30"/>
          <w:szCs w:val="30"/>
          <w:shd w:val="clear" w:fill="FFFFFF"/>
          <w:lang w:eastAsia="zh-CN"/>
          <w14:textFill>
            <w14:solidFill>
              <w14:schemeClr w14:val="tx1"/>
            </w14:solidFill>
          </w14:textFill>
        </w:rPr>
        <w:t>（三）</w:t>
      </w:r>
      <w:r>
        <w:rPr>
          <w:rStyle w:val="15"/>
          <w:rFonts w:hint="eastAsia" w:ascii="仿宋_GB2312" w:hAnsi="仿宋_GB2312" w:eastAsia="仿宋_GB2312" w:cs="仿宋_GB2312"/>
          <w:b/>
          <w:bCs w:val="0"/>
          <w:i w:val="0"/>
          <w:caps w:val="0"/>
          <w:color w:val="000000" w:themeColor="text1"/>
          <w:spacing w:val="0"/>
          <w:sz w:val="30"/>
          <w:szCs w:val="30"/>
          <w:shd w:val="clear" w:fill="FFFFFF"/>
          <w14:textFill>
            <w14:solidFill>
              <w14:schemeClr w14:val="tx1"/>
            </w14:solidFill>
          </w14:textFill>
        </w:rPr>
        <w:t>改进建议</w:t>
      </w:r>
      <w:r>
        <w:rPr>
          <w:rFonts w:hint="eastAsia" w:ascii="仿宋_GB2312" w:hAnsi="仿宋_GB2312" w:eastAsia="仿宋_GB2312" w:cs="仿宋_GB2312"/>
          <w:b/>
          <w:bCs w:val="0"/>
          <w:i w:val="0"/>
          <w:caps w:val="0"/>
          <w:color w:val="000000" w:themeColor="text1"/>
          <w:spacing w:val="0"/>
          <w:sz w:val="30"/>
          <w:szCs w:val="30"/>
          <w:shd w:val="clear" w:fill="FFFFFF"/>
          <w14:textFill>
            <w14:solidFill>
              <w14:schemeClr w14:val="tx1"/>
            </w14:solidFill>
          </w14:textFill>
        </w:rPr>
        <w:t>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建立长效机制，严格财务管理，加强财务监督，坚持厉行节约，严格</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杜绝</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现金支出。加强事业单位会计制度的学习，准且完整的核算部门全年收入支出，确保不漏记多记</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支</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  </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p>
    <w:tbl>
      <w:tblPr>
        <w:tblStyle w:val="13"/>
        <w:tblW w:w="9390" w:type="dxa"/>
        <w:tblInd w:w="0" w:type="dxa"/>
        <w:shd w:val="clear" w:color="auto" w:fill="auto"/>
        <w:tblLayout w:type="fixed"/>
        <w:tblCellMar>
          <w:top w:w="0" w:type="dxa"/>
          <w:left w:w="0" w:type="dxa"/>
          <w:bottom w:w="0" w:type="dxa"/>
          <w:right w:w="0" w:type="dxa"/>
        </w:tblCellMar>
      </w:tblPr>
      <w:tblGrid>
        <w:gridCol w:w="540"/>
        <w:gridCol w:w="1230"/>
        <w:gridCol w:w="1080"/>
        <w:gridCol w:w="2490"/>
        <w:gridCol w:w="315"/>
        <w:gridCol w:w="3735"/>
      </w:tblGrid>
      <w:tr>
        <w:tblPrEx>
          <w:tblCellMar>
            <w:top w:w="0" w:type="dxa"/>
            <w:left w:w="0" w:type="dxa"/>
            <w:bottom w:w="0" w:type="dxa"/>
            <w:right w:w="0" w:type="dxa"/>
          </w:tblCellMar>
        </w:tblPrEx>
        <w:trPr>
          <w:trHeight w:val="420" w:hRule="atLeast"/>
        </w:trPr>
        <w:tc>
          <w:tcPr>
            <w:tcW w:w="9390" w:type="dxa"/>
            <w:gridSpan w:val="6"/>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201</w:t>
            </w:r>
            <w:r>
              <w:rPr>
                <w:rFonts w:hint="eastAsia" w:ascii="宋体" w:hAnsi="宋体" w:cs="宋体"/>
                <w:b/>
                <w:i w:val="0"/>
                <w:color w:val="000000"/>
                <w:kern w:val="0"/>
                <w:sz w:val="28"/>
                <w:szCs w:val="28"/>
                <w:u w:val="none"/>
                <w:lang w:val="en-US" w:eastAsia="zh-CN" w:bidi="ar"/>
              </w:rPr>
              <w:t>9</w:t>
            </w:r>
            <w:r>
              <w:rPr>
                <w:rFonts w:hint="eastAsia" w:ascii="宋体" w:hAnsi="宋体" w:eastAsia="宋体" w:cs="宋体"/>
                <w:b/>
                <w:i w:val="0"/>
                <w:color w:val="000000"/>
                <w:kern w:val="0"/>
                <w:sz w:val="28"/>
                <w:szCs w:val="28"/>
                <w:u w:val="none"/>
                <w:lang w:val="en-US" w:eastAsia="zh-CN" w:bidi="ar"/>
              </w:rPr>
              <w:t>年红原县部门整体支出绩效评价得分情况表</w:t>
            </w:r>
          </w:p>
        </w:tc>
      </w:tr>
      <w:tr>
        <w:tblPrEx>
          <w:shd w:val="clear" w:color="auto" w:fill="auto"/>
          <w:tblCellMar>
            <w:top w:w="0" w:type="dxa"/>
            <w:left w:w="0" w:type="dxa"/>
            <w:bottom w:w="0" w:type="dxa"/>
            <w:right w:w="0" w:type="dxa"/>
          </w:tblCellMar>
        </w:tblPrEx>
        <w:trPr>
          <w:trHeight w:val="4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指标解释</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计分标准（备注）</w:t>
            </w:r>
          </w:p>
        </w:tc>
      </w:tr>
      <w:tr>
        <w:tblPrEx>
          <w:tblCellMar>
            <w:top w:w="0" w:type="dxa"/>
            <w:left w:w="0" w:type="dxa"/>
            <w:bottom w:w="0" w:type="dxa"/>
            <w:right w:w="0" w:type="dxa"/>
          </w:tblCellMar>
        </w:tblPrEx>
        <w:trPr>
          <w:trHeight w:val="480" w:hRule="atLeast"/>
        </w:trPr>
        <w:tc>
          <w:tcPr>
            <w:tcW w:w="5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预算编制（10分）</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报送时效（2分）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基础信息更新（1分）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部门是否按照县财政部门预算编制通知和有关要求，按时完成基础库、项目库报送工作</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超过规定5个工作日扣0.5分，10个工作日扣1分，以此类推，直至扣完</w:t>
            </w:r>
          </w:p>
        </w:tc>
      </w:tr>
      <w:tr>
        <w:tblPrEx>
          <w:tblCellMar>
            <w:top w:w="0" w:type="dxa"/>
            <w:left w:w="0" w:type="dxa"/>
            <w:bottom w:w="0" w:type="dxa"/>
            <w:right w:w="0" w:type="dxa"/>
          </w:tblCellMar>
        </w:tblPrEx>
        <w:trPr>
          <w:trHeight w:val="480" w:hRule="atLeast"/>
        </w:trPr>
        <w:tc>
          <w:tcPr>
            <w:tcW w:w="5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编制质量（3分）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预算编制准确（1分）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（预算资金总来源-中期评估调整取消资金-预算结余注销资金）÷预算资金总来源*指标分值</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其中：预算资金总来源是指县级年初预算与执行中追加预算（不含当年专款）总和</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绩效目标（5分）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部门整体绩效目标编制完整、合理</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重点项目绩效目标（3分）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项目绩效目标编制明确、量化</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预算执行（20分）</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执行进度（10分）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财力专项预算分配时限（4分）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按规定及时分配财力专项预算</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按《预算法》规定时限完成分配的考核得分，否则不得分</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上级专款分配合规率（3分）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按《预算法》规定在一个月内分配上级专款</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（1-未按规定时间在1个月内分配的上级专款规模÷上级专款总规模）*指标分值</w:t>
            </w:r>
          </w:p>
        </w:tc>
      </w:tr>
      <w:tr>
        <w:tblPrEx>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部门预算执行进度（3分）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部门按要求严格预算执行管理</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部门预算实际列支数÷部门预算总额*指标分值</w:t>
            </w:r>
          </w:p>
        </w:tc>
      </w:tr>
      <w:tr>
        <w:tblPrEx>
          <w:shd w:val="clear" w:color="auto" w:fill="auto"/>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预算调整（4分）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执行中期评估（4分）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部门中期评估调整取消资金÷(中期评估调整取消资金+预算结余注销资金）*指标分值</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当中期评估调整取消资金与结余注销资金之和为零时，得满分</w:t>
            </w:r>
          </w:p>
        </w:tc>
      </w:tr>
      <w:tr>
        <w:tblPrEx>
          <w:tblCellMar>
            <w:top w:w="0" w:type="dxa"/>
            <w:left w:w="0" w:type="dxa"/>
            <w:bottom w:w="0" w:type="dxa"/>
            <w:right w:w="0" w:type="dxa"/>
          </w:tblCellMar>
        </w:tblPrEx>
        <w:trPr>
          <w:trHeight w:val="48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行政成本（6分）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三公经费（6分）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严格执行“三公经费”预算</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综合管理（40分）</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债务管理（2分）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债务还本付息（2）</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按规定做好政府性债务还本付息工作</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实际还本付息金额÷应付金额×指标分值</w:t>
            </w:r>
          </w:p>
        </w:tc>
      </w:tr>
      <w:tr>
        <w:tblPrEx>
          <w:shd w:val="clear" w:color="auto" w:fill="auto"/>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非税收入执收情况（4分）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非税收入征收情况（2分）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是否按照规定的项目、标准、征收方式执收非税收入，非税收入项目设立的权限和缓减免的依据，对非税收入进行缓减免</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发现有未按规定的非税收入项目、标准执收非税收入或有违反规定缓减免非税收入的，发现一次扣0.5分，直至扣完</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非税收入上缴情况（2分）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是否及时足额将非税收入缴入财政</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发现未及时足额将非税收入缴入财政的或者截留、挪用非税收入的，发现一次扣0.5分，直至扣完</w:t>
            </w:r>
          </w:p>
        </w:tc>
      </w:tr>
      <w:tr>
        <w:tblPrEx>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政府采购实施计划（4分）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政府采购实施计划编制（2）</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实施计划与政府采购预算的一致性</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（1-调整或细化资金/政府采购预算资金）*分值</w:t>
            </w:r>
          </w:p>
        </w:tc>
      </w:tr>
      <w:tr>
        <w:tblPrEx>
          <w:shd w:val="clear" w:color="auto" w:fill="auto"/>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政府采购实施计划的执行（2）</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执行的实施计划与备案的实施计划的一致性</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（1-实施计划备案后的调整或细化资金/实施计划备案后的资金）*分值</w:t>
            </w:r>
          </w:p>
        </w:tc>
      </w:tr>
      <w:tr>
        <w:tblPrEx>
          <w:tblCellMar>
            <w:top w:w="0" w:type="dxa"/>
            <w:left w:w="0" w:type="dxa"/>
            <w:bottom w:w="0" w:type="dxa"/>
            <w:right w:w="0" w:type="dxa"/>
          </w:tblCellMar>
        </w:tblPrEx>
        <w:trPr>
          <w:trHeight w:val="96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资产管理（6分）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资产管理信息系统建设情况（2分）</w:t>
            </w:r>
          </w:p>
        </w:tc>
        <w:tc>
          <w:tcPr>
            <w:tcW w:w="249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考核部门和单位将国有资产纳入资产信息系统管理情况</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20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行政事业单位资产清查开展情况（2分）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考核行政事业单位按要求及时、准确、全面开展资产清查工作情况</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96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行政事业单位资产报表上报情况（2分）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考核行政事业单位上报国有资产报表数据的真实性、准确性、全面性</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内控制度管理（2分）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内部控制度健全完整（2分）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考核部门内部控制制度的设置和执行情况</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信息公开（6分）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预算公开（2分）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除涉密信息外，各部门要在财政部门批复后二十日内向社会公开本部门预算（含所有财政资金安排的“三公”经费、机关运行经费的安排、使用情况等）</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按县财政通知要求公开预算，未按要求公开的，发现一处扣0.5分，直至扣完</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决算公开（2分）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除涉密信息外，各部门要在财政部门批复二十日内向社会公开本部门决算（含所有财政资金安排的“三公”经费、机关运行经费的安排、使用情况等）</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未按要求公开的，发现一处问题0.5分，直至扣完</w:t>
            </w:r>
          </w:p>
        </w:tc>
      </w:tr>
      <w:tr>
        <w:tblPrEx>
          <w:shd w:val="clear" w:color="auto" w:fill="auto"/>
          <w:tblCellMar>
            <w:top w:w="0" w:type="dxa"/>
            <w:left w:w="0" w:type="dxa"/>
            <w:bottom w:w="0" w:type="dxa"/>
            <w:right w:w="0" w:type="dxa"/>
          </w:tblCellMar>
        </w:tblPrEx>
        <w:trPr>
          <w:trHeight w:val="48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绩效信息公开（2分）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按要求公开部门整体支出绩效自评报告及其他按要求应公开的绩效信息</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未按要求公开的，发现一处问题0.5分，直至扣完</w:t>
            </w:r>
          </w:p>
        </w:tc>
      </w:tr>
      <w:tr>
        <w:tblPrEx>
          <w:shd w:val="clear" w:color="auto" w:fill="auto"/>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绩效评价（10分）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评价项目覆盖率（2分）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部门实施绩效评价项目数量占部门管理专项预算项目数量的比重，部门申报绩效目标项目数量的比重，用以反映和考核部门实施绩效评价项目资金覆盖情况</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评价覆盖率=实施绩效评价项目数量/部门管理专项预算项目数量×100%</w:t>
            </w:r>
          </w:p>
        </w:tc>
      </w:tr>
      <w:tr>
        <w:tblPrEx>
          <w:tblCellMar>
            <w:top w:w="0" w:type="dxa"/>
            <w:left w:w="0" w:type="dxa"/>
            <w:bottom w:w="0" w:type="dxa"/>
            <w:right w:w="0" w:type="dxa"/>
          </w:tblCellMar>
        </w:tblPrEx>
        <w:trPr>
          <w:trHeight w:val="48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评价层次（2分）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部门（单位）是否对下级预算单位开展整体绩效评价</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实施评价下级预算单位的得分，否则不得分</w:t>
            </w:r>
          </w:p>
        </w:tc>
      </w:tr>
      <w:tr>
        <w:tblPrEx>
          <w:shd w:val="clear" w:color="auto" w:fill="auto"/>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评价结果报告（2分）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部门是否按要求向财政部门报告自评报告等相关绩效信息</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未按要求报送的，发现一处扣0.5分，直至扣完。</w:t>
            </w:r>
          </w:p>
        </w:tc>
      </w:tr>
      <w:tr>
        <w:tblPrEx>
          <w:shd w:val="clear" w:color="auto" w:fill="auto"/>
          <w:tblCellMar>
            <w:top w:w="0" w:type="dxa"/>
            <w:left w:w="0" w:type="dxa"/>
            <w:bottom w:w="0" w:type="dxa"/>
            <w:right w:w="0" w:type="dxa"/>
          </w:tblCellMar>
        </w:tblPrEx>
        <w:trPr>
          <w:trHeight w:val="48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整改完成率（4分）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部门是否按要求针对绩效评价发现问题制定整改措施，并整改落实到位</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4</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完成率=应制定整改措施的项目数量/部门实际制定整改措施项目数量×100%。</w:t>
            </w:r>
          </w:p>
        </w:tc>
      </w:tr>
      <w:tr>
        <w:tblPrEx>
          <w:tblCellMar>
            <w:top w:w="0" w:type="dxa"/>
            <w:left w:w="0" w:type="dxa"/>
            <w:bottom w:w="0" w:type="dxa"/>
            <w:right w:w="0" w:type="dxa"/>
          </w:tblCellMar>
        </w:tblPrEx>
        <w:trPr>
          <w:trHeight w:val="7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依法接受财政监督（6分）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是否按要求开展自查自纠（2分）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根据相关自查自纠报告、报表报送时效和质量进行考核</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96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重点检查发现违规违纪问题（2分）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根据检查组提供的工作底稿、检查报告等资料进行考核</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专项检查发现的违纪违规问题，每个问题扣0.5分，直至扣完</w:t>
            </w:r>
          </w:p>
        </w:tc>
      </w:tr>
      <w:tr>
        <w:tblPrEx>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存在问题整改是否到位（2分）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根据相关整改报告、凭证依据等相关证明材料进行考核</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未在规定时间内完成整改，并提供相关证明材料的，每个问题0.5分，直至扣完</w:t>
            </w:r>
          </w:p>
        </w:tc>
      </w:tr>
      <w:tr>
        <w:tblPrEx>
          <w:tblCellMar>
            <w:top w:w="0" w:type="dxa"/>
            <w:left w:w="0" w:type="dxa"/>
            <w:bottom w:w="0" w:type="dxa"/>
            <w:right w:w="0" w:type="dxa"/>
          </w:tblCellMar>
        </w:tblPrEx>
        <w:trPr>
          <w:trHeight w:val="420" w:hRule="atLeast"/>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整体效益（30分）</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部门整体绩效（30分）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重点项目绩效评价结果（10分）</w:t>
            </w: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部门实施重大项目的经济、社会效益</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根据县财政组织实施项目绩效评价结果换算</w:t>
            </w:r>
          </w:p>
        </w:tc>
      </w:tr>
      <w:tr>
        <w:tblPrEx>
          <w:shd w:val="clear" w:color="auto" w:fill="auto"/>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部门职能完成情况特性指标（20分）</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根据部门职能职责、州级级主管部门和县委县政府安排的各项专项工作任务及其他年度重点工作任务等，汇总梳理形成能够量化衡量且全面反映部门职能工作完成情况的若干指标。</w:t>
            </w:r>
          </w:p>
        </w:tc>
        <w:tc>
          <w:tcPr>
            <w:tcW w:w="3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3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部门和评价组根据部门实际设置</w:t>
            </w:r>
          </w:p>
        </w:tc>
      </w:tr>
      <w:tr>
        <w:tblPrEx>
          <w:tblCellMar>
            <w:top w:w="0" w:type="dxa"/>
            <w:left w:w="0" w:type="dxa"/>
            <w:bottom w:w="0" w:type="dxa"/>
            <w:right w:w="0" w:type="dxa"/>
          </w:tblCellMar>
        </w:tblPrEx>
        <w:trPr>
          <w:trHeight w:val="4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26</w:t>
            </w:r>
          </w:p>
        </w:tc>
        <w:tc>
          <w:tcPr>
            <w:tcW w:w="3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96</w:t>
            </w:r>
          </w:p>
        </w:tc>
        <w:tc>
          <w:tcPr>
            <w:tcW w:w="3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bl>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                  </w:t>
      </w:r>
      <w:bookmarkEnd w:id="88"/>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textAlignment w:val="auto"/>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附件二：</w:t>
      </w:r>
    </w:p>
    <w:p>
      <w:pPr>
        <w:pStyle w:val="12"/>
        <w:keepNext w:val="0"/>
        <w:keepLines w:val="0"/>
        <w:widowControl/>
        <w:suppressLineNumbers w:val="0"/>
        <w:shd w:val="clear" w:fill="FFFFFF"/>
        <w:autoSpaceDE w:val="0"/>
        <w:autoSpaceDN/>
        <w:spacing w:before="360" w:beforeAutospacing="0" w:after="510" w:afterAutospacing="0" w:line="600" w:lineRule="atLeast"/>
        <w:ind w:left="0" w:right="0" w:firstLine="0"/>
        <w:jc w:val="center"/>
        <w:rPr>
          <w:rFonts w:hint="eastAsia" w:ascii="黑体" w:hAnsi="宋体" w:eastAsia="黑体" w:cs="黑体"/>
          <w:b w:val="0"/>
          <w:color w:val="333333"/>
          <w:spacing w:val="-2"/>
          <w:sz w:val="44"/>
          <w:szCs w:val="44"/>
          <w:shd w:val="clear" w:fill="FFFFFF"/>
          <w:lang w:val="en-US" w:eastAsia="zh-CN"/>
        </w:rPr>
      </w:pPr>
      <w:r>
        <w:rPr>
          <w:rFonts w:hint="eastAsia" w:ascii="黑体" w:hAnsi="宋体" w:eastAsia="黑体" w:cs="黑体"/>
          <w:b w:val="0"/>
          <w:color w:val="333333"/>
          <w:spacing w:val="-2"/>
          <w:sz w:val="44"/>
          <w:szCs w:val="44"/>
          <w:shd w:val="clear" w:fill="FFFFFF"/>
          <w:lang w:val="en-US" w:eastAsia="zh-CN"/>
        </w:rPr>
        <w:t>红原县卫生计生综合监督执法大队</w:t>
      </w:r>
    </w:p>
    <w:p>
      <w:pPr>
        <w:pStyle w:val="12"/>
        <w:keepNext w:val="0"/>
        <w:keepLines w:val="0"/>
        <w:widowControl/>
        <w:suppressLineNumbers w:val="0"/>
        <w:shd w:val="clear" w:fill="FFFFFF"/>
        <w:autoSpaceDE w:val="0"/>
        <w:autoSpaceDN/>
        <w:spacing w:before="360" w:beforeAutospacing="0" w:after="510" w:afterAutospacing="0" w:line="600" w:lineRule="atLeast"/>
        <w:ind w:left="0" w:right="0" w:firstLine="0"/>
        <w:jc w:val="center"/>
        <w:rPr>
          <w:rFonts w:hint="eastAsia" w:ascii="黑体" w:hAnsi="宋体" w:eastAsia="黑体" w:cs="黑体"/>
          <w:b w:val="0"/>
          <w:color w:val="333333"/>
          <w:spacing w:val="-2"/>
          <w:sz w:val="44"/>
          <w:szCs w:val="44"/>
          <w:shd w:val="clear" w:fill="FFFFFF"/>
          <w:lang w:val="en-US" w:eastAsia="zh-CN"/>
        </w:rPr>
      </w:pPr>
      <w:r>
        <w:rPr>
          <w:rFonts w:hint="eastAsia" w:ascii="黑体" w:hAnsi="宋体" w:eastAsia="黑体" w:cs="黑体"/>
          <w:b w:val="0"/>
          <w:color w:val="333333"/>
          <w:spacing w:val="-2"/>
          <w:sz w:val="44"/>
          <w:szCs w:val="44"/>
          <w:shd w:val="clear" w:fill="FFFFFF"/>
          <w:lang w:val="en-US" w:eastAsia="zh-CN"/>
        </w:rPr>
        <w:t>2019年专项资金绩效评价报告</w:t>
      </w:r>
    </w:p>
    <w:p>
      <w:pPr>
        <w:pStyle w:val="12"/>
        <w:keepNext w:val="0"/>
        <w:keepLines w:val="0"/>
        <w:widowControl/>
        <w:numPr>
          <w:ilvl w:val="0"/>
          <w:numId w:val="0"/>
        </w:numPr>
        <w:suppressLineNumbers w:val="0"/>
        <w:spacing w:before="360" w:beforeAutospacing="0" w:after="510" w:afterAutospacing="0" w:line="360" w:lineRule="auto"/>
        <w:ind w:right="0" w:rightChars="0"/>
        <w:jc w:val="both"/>
        <w:rPr>
          <w:rFonts w:hint="default"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楷体" w:hAnsi="楷体" w:eastAsia="楷体" w:cs="楷体"/>
          <w:b/>
          <w:i w:val="0"/>
          <w:color w:val="333333"/>
          <w:sz w:val="32"/>
          <w:szCs w:val="32"/>
          <w:lang w:val="en-US" w:eastAsia="zh-CN"/>
        </w:rPr>
        <w:t>一、</w:t>
      </w:r>
      <w:r>
        <w:rPr>
          <w:rFonts w:hint="eastAsia" w:ascii="楷体" w:hAnsi="楷体" w:eastAsia="楷体" w:cs="楷体"/>
          <w:b/>
          <w:i w:val="0"/>
          <w:color w:val="333333"/>
          <w:sz w:val="32"/>
          <w:szCs w:val="32"/>
        </w:rPr>
        <w:t>项目概况</w:t>
      </w:r>
    </w:p>
    <w:p>
      <w:pPr>
        <w:pStyle w:val="12"/>
        <w:keepNext w:val="0"/>
        <w:keepLines w:val="0"/>
        <w:widowControl/>
        <w:numPr>
          <w:ilvl w:val="0"/>
          <w:numId w:val="0"/>
        </w:numPr>
        <w:suppressLineNumbers w:val="0"/>
        <w:spacing w:before="360" w:beforeAutospacing="0" w:after="510" w:afterAutospacing="0" w:line="360" w:lineRule="auto"/>
        <w:ind w:left="643" w:leftChars="0" w:right="0" w:rightChars="0"/>
        <w:jc w:val="both"/>
        <w:rPr>
          <w:rFonts w:ascii="楷体" w:hAnsi="楷体" w:eastAsia="楷体" w:cs="楷体"/>
          <w:b/>
          <w:i w:val="0"/>
          <w:color w:val="333333"/>
          <w:sz w:val="32"/>
          <w:szCs w:val="32"/>
        </w:rPr>
      </w:pPr>
      <w:r>
        <w:rPr>
          <w:rFonts w:hint="eastAsia" w:ascii="楷体" w:hAnsi="楷体" w:eastAsia="楷体" w:cs="楷体"/>
          <w:b/>
          <w:i w:val="0"/>
          <w:color w:val="333333"/>
          <w:sz w:val="32"/>
          <w:szCs w:val="32"/>
          <w:lang w:eastAsia="zh-CN"/>
        </w:rPr>
        <w:t>（</w:t>
      </w:r>
      <w:r>
        <w:rPr>
          <w:rFonts w:hint="eastAsia" w:ascii="楷体" w:hAnsi="楷体" w:eastAsia="楷体" w:cs="楷体"/>
          <w:b/>
          <w:i w:val="0"/>
          <w:color w:val="333333"/>
          <w:sz w:val="32"/>
          <w:szCs w:val="32"/>
          <w:lang w:val="en-US" w:eastAsia="zh-CN"/>
        </w:rPr>
        <w:t>一</w:t>
      </w:r>
      <w:r>
        <w:rPr>
          <w:rFonts w:hint="eastAsia" w:ascii="楷体" w:hAnsi="楷体" w:eastAsia="楷体" w:cs="楷体"/>
          <w:b/>
          <w:i w:val="0"/>
          <w:color w:val="333333"/>
          <w:sz w:val="32"/>
          <w:szCs w:val="32"/>
          <w:lang w:eastAsia="zh-CN"/>
        </w:rPr>
        <w:t>）</w:t>
      </w:r>
      <w:r>
        <w:rPr>
          <w:rFonts w:ascii="楷体" w:hAnsi="楷体" w:eastAsia="楷体" w:cs="楷体"/>
          <w:b/>
          <w:i w:val="0"/>
          <w:color w:val="333333"/>
          <w:sz w:val="32"/>
          <w:szCs w:val="32"/>
        </w:rPr>
        <w:t>项目基本情况</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1.</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实施卫生计生专项整治和日常监督检查；对公共场所卫生、生活饮用水卫生、学校卫生及消毒产品和涉及饮用水卫生安全产品进行监督检查；对医疗机构、采供血机构及其从业人员的执业活动进行监督检查，查处违法行为；打击非法行医和非法采供血；整顿和规范医疗服务秩序；对医疗卫生机构的放射诊疗、职业健康检查和职业病诊断工作进行监督检查，查处违法行为；对医疗机构、采供血机构、疾病预防控制机构的传染病疫情报告、疫情控制措施、消毒隔离制度执行情况、医疗废物处置情况和菌（毒）种管理情况等进行监督检查，查处违法行为；对母婴保健机构、计划生育技术服务机构服务内容和从业人员的行为规范进行监督，依法打击“两非”行为，做好计划生育违法违纪案件的督查督办；行政区域内卫生计生监督信息的收集、核实和上报；受理对违法行为的投诉、举报；开展卫生计生法律法规宣传教育和执法检查；完成卫生计生行政部门、中医药管理部门交办的食品安全、中医药监督等相关工作及职责范围内的工作。</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2</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项目</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立项、资金申报</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的依据</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default"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default"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①</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四川省卫生计生监督执法总队</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关于落实201</w:t>
      </w:r>
      <w:r>
        <w:rPr>
          <w:rFonts w:hint="eastAsia"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年度卫生计生监督专项稽查的通知》（</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川</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卫监函〔2018〕29号）</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default"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default"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②</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阿坝州卫计委</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关于印发&lt;2018年</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阿坝州</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医疗废物处置管理专项执法检查的方案&gt;的通知》（</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阿</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卫法监函〔2018〕2号）</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default"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default"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③</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四川省卫生计生监督执法总队</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关于印发&lt;</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四川省</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医疗机构核医学诊疗活动专项整治工作方案&gt;的通知》（</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川</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卫监便函〔2018〕7号）</w:t>
      </w:r>
    </w:p>
    <w:p>
      <w:pPr>
        <w:pStyle w:val="12"/>
        <w:keepNext w:val="0"/>
        <w:keepLines w:val="0"/>
        <w:widowControl/>
        <w:numPr>
          <w:ilvl w:val="0"/>
          <w:numId w:val="0"/>
        </w:numPr>
        <w:suppressLineNumbers w:val="0"/>
        <w:spacing w:before="360" w:beforeAutospacing="0" w:after="510" w:afterAutospacing="0" w:line="360" w:lineRule="auto"/>
        <w:ind w:leftChars="200" w:right="0" w:rightChars="0" w:firstLine="600" w:firstLineChars="200"/>
        <w:jc w:val="both"/>
        <w:rPr>
          <w:rFonts w:hint="default"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r>
        <w:rPr>
          <w:rFonts w:hint="default" w:ascii="仿宋_GB2312" w:hAnsi="仿宋_GB2312" w:eastAsia="仿宋_GB2312" w:cs="仿宋_GB2312"/>
          <w:b w:val="0"/>
          <w:i w:val="0"/>
          <w:caps w:val="0"/>
          <w:color w:val="000000" w:themeColor="text1"/>
          <w:spacing w:val="0"/>
          <w:sz w:val="30"/>
          <w:szCs w:val="30"/>
          <w:shd w:val="clear" w:fill="FFFFFF"/>
          <w:lang w:val="en-US" w:eastAsia="zh-CN"/>
          <w14:textFill>
            <w14:solidFill>
              <w14:schemeClr w14:val="tx1"/>
            </w14:solidFill>
          </w14:textFill>
        </w:rPr>
        <w:t>④</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《关于印发&lt;2018年</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四川省</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卫生计生随机监督抽查计划&gt;的通知》（</w:t>
      </w:r>
      <w:r>
        <w:rPr>
          <w:rFonts w:hint="eastAsia" w:ascii="仿宋_GB2312" w:hAnsi="仿宋_GB2312" w:eastAsia="仿宋_GB2312" w:cs="仿宋_GB2312"/>
          <w:b w:val="0"/>
          <w:i w:val="0"/>
          <w:caps w:val="0"/>
          <w:color w:val="000000" w:themeColor="text1"/>
          <w:spacing w:val="0"/>
          <w:sz w:val="30"/>
          <w:szCs w:val="30"/>
          <w:shd w:val="clear" w:fill="FFFFFF"/>
          <w:lang w:eastAsia="zh-CN"/>
          <w14:textFill>
            <w14:solidFill>
              <w14:schemeClr w14:val="tx1"/>
            </w14:solidFill>
          </w14:textFill>
        </w:rPr>
        <w:t>川</w:t>
      </w:r>
      <w:r>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t>卫监发〔2018〕4号 ）</w:t>
      </w:r>
    </w:p>
    <w:p>
      <w:pPr>
        <w:pStyle w:val="12"/>
        <w:keepNext w:val="0"/>
        <w:keepLines w:val="0"/>
        <w:widowControl/>
        <w:numPr>
          <w:ilvl w:val="0"/>
          <w:numId w:val="0"/>
        </w:numPr>
        <w:suppressLineNumbers w:val="0"/>
        <w:spacing w:before="360" w:beforeAutospacing="0" w:after="510" w:afterAutospacing="0" w:line="360" w:lineRule="auto"/>
        <w:ind w:left="643" w:leftChars="0" w:right="0" w:rightChars="0"/>
        <w:jc w:val="both"/>
        <w:rPr>
          <w:rFonts w:hint="default" w:ascii="楷体" w:hAnsi="楷体" w:eastAsia="楷体" w:cs="楷体"/>
          <w:b/>
          <w:i w:val="0"/>
          <w:color w:val="333333"/>
          <w:sz w:val="32"/>
          <w:szCs w:val="32"/>
          <w:lang w:val="en-US" w:eastAsia="zh-CN"/>
        </w:rPr>
      </w:pPr>
      <w:r>
        <w:rPr>
          <w:rFonts w:hint="eastAsia" w:ascii="楷体" w:hAnsi="楷体" w:eastAsia="楷体" w:cs="楷体"/>
          <w:b/>
          <w:i w:val="0"/>
          <w:color w:val="333333"/>
          <w:sz w:val="32"/>
          <w:szCs w:val="32"/>
          <w:lang w:eastAsia="zh-CN"/>
        </w:rPr>
        <w:t>（</w:t>
      </w:r>
      <w:r>
        <w:rPr>
          <w:rFonts w:hint="eastAsia" w:ascii="楷体" w:hAnsi="楷体" w:eastAsia="楷体" w:cs="楷体"/>
          <w:b/>
          <w:i w:val="0"/>
          <w:color w:val="333333"/>
          <w:sz w:val="32"/>
          <w:szCs w:val="32"/>
          <w:lang w:val="en-US" w:eastAsia="zh-CN"/>
        </w:rPr>
        <w:t>二</w:t>
      </w:r>
      <w:r>
        <w:rPr>
          <w:rFonts w:hint="eastAsia" w:ascii="楷体" w:hAnsi="楷体" w:eastAsia="楷体" w:cs="楷体"/>
          <w:b/>
          <w:i w:val="0"/>
          <w:color w:val="333333"/>
          <w:sz w:val="32"/>
          <w:szCs w:val="32"/>
          <w:lang w:eastAsia="zh-CN"/>
        </w:rPr>
        <w:t>）项目</w:t>
      </w:r>
      <w:r>
        <w:rPr>
          <w:rFonts w:hint="eastAsia" w:ascii="楷体" w:hAnsi="楷体" w:eastAsia="楷体" w:cs="楷体"/>
          <w:b/>
          <w:i w:val="0"/>
          <w:color w:val="333333"/>
          <w:sz w:val="32"/>
          <w:szCs w:val="32"/>
          <w:lang w:val="en-US" w:eastAsia="zh-CN"/>
        </w:rPr>
        <w:t>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1.</w:t>
      </w:r>
      <w:r>
        <w:rPr>
          <w:rFonts w:hint="eastAsia" w:ascii="仿宋_GB2312" w:hAnsi="宋体" w:eastAsia="仿宋_GB2312"/>
          <w:sz w:val="32"/>
          <w:szCs w:val="32"/>
          <w:lang w:val="zh-CN"/>
        </w:rPr>
        <w:t>项目主要内容：重大公共卫生项目执法经费，支出主要用于：相关业务科室邮电费、差旅费、公务用车运行维护费。</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项目应实现的具体绩效目标</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提高卫生监督管理水平，通过强化监督管理，有效保障公共场所卫生安全、生活饮用水卫生安全、学校卫生安全及重大活动卫生安全，减少和杜绝重大传染病及突发公共卫生事件的发生。</w:t>
      </w:r>
    </w:p>
    <w:p>
      <w:pPr>
        <w:adjustRightInd w:val="0"/>
        <w:snapToGrid w:val="0"/>
        <w:spacing w:line="600" w:lineRule="exact"/>
        <w:ind w:firstLine="720"/>
        <w:rPr>
          <w:rFonts w:hint="default" w:ascii="Calibri" w:hAnsi="Calibri" w:cs="Calibri"/>
          <w:color w:val="333333"/>
          <w:sz w:val="21"/>
          <w:szCs w:val="21"/>
        </w:rPr>
      </w:pPr>
      <w:r>
        <w:rPr>
          <w:rFonts w:hint="eastAsia" w:ascii="仿宋_GB2312" w:hAnsi="宋体" w:eastAsia="仿宋_GB2312"/>
          <w:sz w:val="32"/>
          <w:szCs w:val="32"/>
          <w:lang w:val="zh-CN"/>
        </w:rPr>
        <w:t>3．分析评价申报内容与实际相符，申报目标合理可行。</w:t>
      </w:r>
    </w:p>
    <w:p>
      <w:pPr>
        <w:pStyle w:val="12"/>
        <w:keepNext w:val="0"/>
        <w:keepLines w:val="0"/>
        <w:widowControl/>
        <w:suppressLineNumbers w:val="0"/>
        <w:spacing w:before="360" w:beforeAutospacing="0" w:after="510" w:afterAutospacing="0" w:line="360" w:lineRule="auto"/>
        <w:ind w:left="0" w:right="0" w:firstLine="640"/>
        <w:jc w:val="both"/>
        <w:rPr>
          <w:rFonts w:hint="eastAsia" w:ascii="楷体" w:hAnsi="楷体" w:eastAsia="楷体" w:cs="楷体"/>
          <w:b/>
          <w:i w:val="0"/>
          <w:color w:val="333333"/>
          <w:sz w:val="32"/>
          <w:szCs w:val="32"/>
          <w:lang w:val="en-US" w:eastAsia="zh-CN"/>
        </w:rPr>
      </w:pPr>
      <w:r>
        <w:rPr>
          <w:rFonts w:hint="eastAsia" w:ascii="楷体" w:hAnsi="楷体" w:eastAsia="楷体" w:cs="楷体"/>
          <w:b/>
          <w:i w:val="0"/>
          <w:color w:val="333333"/>
          <w:sz w:val="32"/>
          <w:szCs w:val="32"/>
        </w:rPr>
        <w:t>（</w:t>
      </w:r>
      <w:r>
        <w:rPr>
          <w:rFonts w:hint="eastAsia" w:ascii="楷体" w:hAnsi="楷体" w:eastAsia="楷体" w:cs="楷体"/>
          <w:b/>
          <w:i w:val="0"/>
          <w:color w:val="333333"/>
          <w:sz w:val="32"/>
          <w:szCs w:val="32"/>
          <w:lang w:val="en-US" w:eastAsia="zh-CN"/>
        </w:rPr>
        <w:t>三</w:t>
      </w:r>
      <w:r>
        <w:rPr>
          <w:rFonts w:hint="eastAsia" w:ascii="楷体" w:hAnsi="楷体" w:eastAsia="楷体" w:cs="楷体"/>
          <w:b/>
          <w:i w:val="0"/>
          <w:color w:val="333333"/>
          <w:sz w:val="32"/>
          <w:szCs w:val="32"/>
        </w:rPr>
        <w:t>）项目</w:t>
      </w:r>
      <w:r>
        <w:rPr>
          <w:rFonts w:hint="eastAsia" w:ascii="楷体" w:hAnsi="楷体" w:eastAsia="楷体" w:cs="楷体"/>
          <w:b/>
          <w:i w:val="0"/>
          <w:color w:val="333333"/>
          <w:sz w:val="32"/>
          <w:szCs w:val="32"/>
          <w:lang w:val="en-US" w:eastAsia="zh-CN"/>
        </w:rPr>
        <w:t>自评步骤及方法</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绩效评价工作过程：前期准备、组织实施、分析评价</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en-US" w:eastAsia="zh-CN" w:bidi="ar-SA"/>
        </w:rPr>
        <w:t>1.</w:t>
      </w:r>
      <w:r>
        <w:rPr>
          <w:rFonts w:hint="eastAsia" w:ascii="仿宋_GB2312" w:hAnsi="宋体" w:eastAsia="仿宋_GB2312" w:cs="Times New Roman"/>
          <w:kern w:val="2"/>
          <w:sz w:val="32"/>
          <w:szCs w:val="32"/>
          <w:lang w:val="zh-CN" w:eastAsia="zh-CN" w:bidi="ar-SA"/>
        </w:rPr>
        <w:t>前期准备：成立评价工作组、制订评价实施方案。</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2．组织实施。根据绩效评价实施方案进行采集基础数据，汇总相关资料。</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3．分析评价。对采集的数据资料进行复核汇总、分类整理和综合分析；按照设立的评价指标、标准等进行评价评分，并形成评价结论。</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default"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阿州财社2018-115号下达资金3万元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Style w:val="12"/>
        <w:keepNext w:val="0"/>
        <w:keepLines w:val="0"/>
        <w:widowControl/>
        <w:suppressLineNumbers w:val="0"/>
        <w:overflowPunct w:val="0"/>
        <w:autoSpaceDE w:val="0"/>
        <w:autoSpaceDN/>
        <w:spacing w:before="360" w:beforeAutospacing="0" w:after="510" w:afterAutospacing="0" w:line="520" w:lineRule="atLeast"/>
        <w:ind w:left="0" w:right="0" w:firstLine="640"/>
        <w:jc w:val="both"/>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 w:hAnsi="仿宋" w:eastAsia="仿宋" w:cs="仿宋"/>
          <w:color w:val="auto"/>
          <w:sz w:val="32"/>
          <w:szCs w:val="32"/>
        </w:rPr>
        <w:t>共计</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上年结转结余1万元</w:t>
      </w:r>
    </w:p>
    <w:p>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 w:hAnsi="仿宋" w:eastAsia="仿宋" w:cs="仿宋"/>
          <w:color w:val="auto"/>
          <w:sz w:val="32"/>
          <w:szCs w:val="32"/>
        </w:rPr>
        <w:t>共计</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上年结转结余1万元</w:t>
      </w:r>
      <w:r>
        <w:rPr>
          <w:rFonts w:hint="eastAsia" w:ascii="仿宋_GB2312" w:hAnsi="宋体" w:eastAsia="仿宋_GB2312"/>
          <w:sz w:val="32"/>
          <w:szCs w:val="32"/>
          <w:lang w:val="zh-CN"/>
        </w:rPr>
        <w:t>资金到位率</w:t>
      </w:r>
      <w:r>
        <w:rPr>
          <w:rFonts w:hint="eastAsia" w:ascii="仿宋_GB2312" w:hAnsi="宋体" w:eastAsia="仿宋_GB2312"/>
          <w:sz w:val="32"/>
          <w:szCs w:val="32"/>
          <w:lang w:val="en-US" w:eastAsia="zh-CN"/>
        </w:rPr>
        <w:t>100%</w:t>
      </w:r>
      <w:r>
        <w:rPr>
          <w:rFonts w:hint="eastAsia" w:ascii="仿宋_GB2312" w:hAnsi="宋体" w:eastAsia="仿宋_GB2312"/>
          <w:sz w:val="32"/>
          <w:szCs w:val="32"/>
          <w:lang w:val="zh-CN"/>
        </w:rPr>
        <w:t>、到位及时性。</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截止评价时点该项目资金支出</w:t>
      </w:r>
      <w:r>
        <w:rPr>
          <w:rFonts w:hint="eastAsia" w:ascii="仿宋_GB2312" w:hAnsi="宋体" w:eastAsia="仿宋_GB2312"/>
          <w:sz w:val="32"/>
          <w:szCs w:val="32"/>
          <w:lang w:val="en-US" w:eastAsia="zh-CN"/>
        </w:rPr>
        <w:t>1万元</w:t>
      </w:r>
      <w:r>
        <w:rPr>
          <w:rFonts w:hint="eastAsia" w:ascii="仿宋" w:hAnsi="仿宋" w:eastAsia="仿宋" w:cs="仿宋"/>
          <w:color w:val="auto"/>
          <w:spacing w:val="-2"/>
          <w:sz w:val="32"/>
          <w:szCs w:val="32"/>
          <w:lang w:eastAsia="zh-CN"/>
        </w:rPr>
        <w:t>用于专项卫生监督</w:t>
      </w:r>
      <w:r>
        <w:rPr>
          <w:rFonts w:hint="eastAsia" w:ascii="仿宋" w:hAnsi="仿宋" w:eastAsia="仿宋" w:cs="仿宋"/>
          <w:color w:val="auto"/>
          <w:spacing w:val="-2"/>
          <w:sz w:val="32"/>
          <w:szCs w:val="32"/>
        </w:rPr>
        <w:t>差旅费</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rPr>
        <w:t>公务用车运行维护费</w:t>
      </w:r>
      <w:r>
        <w:rPr>
          <w:rFonts w:hint="eastAsia" w:ascii="仿宋" w:hAnsi="仿宋" w:eastAsia="仿宋" w:cs="仿宋"/>
          <w:color w:val="auto"/>
          <w:spacing w:val="-2"/>
          <w:sz w:val="32"/>
          <w:szCs w:val="32"/>
          <w:lang w:eastAsia="zh-CN"/>
        </w:rPr>
        <w:t>，</w:t>
      </w:r>
      <w:r>
        <w:rPr>
          <w:rFonts w:hint="eastAsia" w:ascii="仿宋_GB2312" w:hAnsi="宋体" w:eastAsia="仿宋_GB2312"/>
          <w:sz w:val="32"/>
          <w:szCs w:val="32"/>
          <w:lang w:val="zh-CN"/>
        </w:rPr>
        <w:t>资金使用的安全、规范及有效，资金支付范围、支付标准、支付进度、支付依据否合规合法、与预算相符。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default" w:ascii="仿宋_GB2312" w:hAnsi="宋体" w:eastAsia="仿宋_GB2312" w:cs="Times New Roman"/>
          <w:kern w:val="2"/>
          <w:sz w:val="32"/>
          <w:szCs w:val="32"/>
          <w:lang w:val="zh-CN" w:eastAsia="zh-CN" w:bidi="ar-SA"/>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pStyle w:val="12"/>
        <w:keepNext w:val="0"/>
        <w:keepLines w:val="0"/>
        <w:widowControl/>
        <w:suppressLineNumbers w:val="0"/>
        <w:autoSpaceDE w:val="0"/>
        <w:autoSpaceDN/>
        <w:spacing w:before="360" w:beforeAutospacing="0" w:after="510" w:afterAutospacing="0" w:line="360" w:lineRule="auto"/>
        <w:ind w:left="0" w:right="0" w:firstLine="42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专项资金按照本单位收支管理制度进行管理，坚持项目资金管理按照专款专用的原则，经领导审批后方可列支。</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（一）项目组织架构及实施流程。</w:t>
      </w:r>
    </w:p>
    <w:p>
      <w:pPr>
        <w:adjustRightInd w:val="0"/>
        <w:snapToGrid w:val="0"/>
        <w:spacing w:line="600" w:lineRule="exact"/>
        <w:ind w:firstLine="720"/>
        <w:rPr>
          <w:rFonts w:ascii="楷体_GB2312" w:hAnsi="宋体" w:eastAsia="楷体_GB2312"/>
          <w:b/>
          <w:color w:val="C00000"/>
          <w:sz w:val="32"/>
          <w:szCs w:val="32"/>
          <w:lang w:val="zh-CN"/>
        </w:rPr>
      </w:pPr>
      <w:r>
        <w:rPr>
          <w:rFonts w:hint="eastAsia" w:ascii="仿宋_GB2312" w:hAnsi="宋体" w:eastAsia="仿宋_GB2312" w:cs="Times New Roman"/>
          <w:kern w:val="2"/>
          <w:sz w:val="32"/>
          <w:szCs w:val="32"/>
          <w:lang w:val="zh-CN" w:eastAsia="zh-CN" w:bidi="ar-SA"/>
        </w:rPr>
        <w:t>经费使用科室对项目经费的使用和项目的实施负责，稽查科对项目的开展进行监督，分管领导对项目经费的使用严格审批，纪检员对专项资金管理使用情况进行监督。</w:t>
      </w:r>
    </w:p>
    <w:p>
      <w:pPr>
        <w:pStyle w:val="12"/>
        <w:keepNext w:val="0"/>
        <w:keepLines w:val="0"/>
        <w:widowControl/>
        <w:suppressLineNumbers w:val="0"/>
        <w:shd w:val="clear" w:fill="FFFFFF"/>
        <w:spacing w:before="360" w:beforeAutospacing="0" w:after="510" w:afterAutospacing="0" w:line="600" w:lineRule="atLeast"/>
        <w:ind w:left="0" w:right="0" w:firstLine="640"/>
        <w:jc w:val="both"/>
        <w:rPr>
          <w:rFonts w:hint="default" w:ascii="仿宋_GB2312" w:hAnsi="宋体" w:eastAsia="仿宋_GB2312" w:cs="Times New Roman"/>
          <w:kern w:val="2"/>
          <w:sz w:val="32"/>
          <w:szCs w:val="32"/>
          <w:lang w:val="zh-CN" w:eastAsia="zh-CN" w:bidi="ar-SA"/>
        </w:rPr>
      </w:pPr>
      <w:r>
        <w:rPr>
          <w:rFonts w:hint="eastAsia" w:ascii="楷体_GB2312" w:hAnsi="宋体" w:eastAsia="楷体_GB2312"/>
          <w:b/>
          <w:color w:val="000000" w:themeColor="text1"/>
          <w:sz w:val="32"/>
          <w:szCs w:val="32"/>
          <w:lang w:val="zh-CN"/>
          <w14:textFill>
            <w14:solidFill>
              <w14:schemeClr w14:val="tx1"/>
            </w14:solidFill>
          </w14:textFill>
        </w:rPr>
        <w:t>（二）项目管理情况。</w:t>
      </w:r>
      <w:r>
        <w:rPr>
          <w:rFonts w:hint="eastAsia" w:ascii="仿宋_GB2312" w:hAnsi="宋体" w:eastAsia="仿宋_GB2312" w:cs="Times New Roman"/>
          <w:kern w:val="2"/>
          <w:sz w:val="32"/>
          <w:szCs w:val="32"/>
          <w:lang w:val="zh-CN" w:eastAsia="zh-CN" w:bidi="ar-SA"/>
        </w:rPr>
        <w:t>由于本单位的项目均为卫生监督执法类项目，非建设类项目，故我局严格按照“项目实施有计划、经费使用有审批、项目完成有总结”来管理项目资金。</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p>
    <w:p>
      <w:pPr>
        <w:pStyle w:val="12"/>
        <w:keepNext w:val="0"/>
        <w:keepLines w:val="0"/>
        <w:widowControl/>
        <w:suppressLineNumbers w:val="0"/>
        <w:shd w:val="clear" w:fill="FFFFFF"/>
        <w:spacing w:before="360" w:beforeAutospacing="0" w:after="510" w:afterAutospacing="0" w:line="600" w:lineRule="atLeast"/>
        <w:ind w:left="0" w:right="0" w:firstLine="64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经费使用科室对项目经费的使用和项目的实施负责，稽查科对项目的开展进行监督，分管领导对项目经费的使用严格审批，纪检员对专项资金管理使用情况进行监督</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12"/>
        <w:keepNext w:val="0"/>
        <w:keepLines w:val="0"/>
        <w:widowControl/>
        <w:suppressLineNumbers w:val="0"/>
        <w:spacing w:before="360" w:beforeAutospacing="0" w:after="510" w:afterAutospacing="0" w:line="360" w:lineRule="auto"/>
        <w:ind w:right="0"/>
        <w:jc w:val="both"/>
        <w:rPr>
          <w:rFonts w:ascii="仿宋_GB2312" w:hAnsi="宋体" w:eastAsia="仿宋_GB2312"/>
          <w:sz w:val="32"/>
          <w:szCs w:val="32"/>
          <w:lang w:val="zh-CN"/>
        </w:rPr>
      </w:pPr>
      <w:r>
        <w:rPr>
          <w:rFonts w:hint="eastAsia" w:ascii="仿宋_GB2312" w:hAnsi="宋体" w:eastAsia="仿宋_GB2312"/>
          <w:sz w:val="32"/>
          <w:szCs w:val="32"/>
          <w:lang w:val="zh-CN"/>
        </w:rPr>
        <w:t>资金支出</w:t>
      </w:r>
      <w:r>
        <w:rPr>
          <w:rFonts w:hint="eastAsia" w:ascii="仿宋_GB2312" w:hAnsi="宋体" w:eastAsia="仿宋_GB2312"/>
          <w:sz w:val="32"/>
          <w:szCs w:val="32"/>
          <w:lang w:val="en-US" w:eastAsia="zh-CN"/>
        </w:rPr>
        <w:t>1万元</w:t>
      </w:r>
      <w:r>
        <w:rPr>
          <w:rFonts w:hint="eastAsia" w:ascii="仿宋" w:hAnsi="仿宋" w:eastAsia="仿宋" w:cs="仿宋"/>
          <w:color w:val="auto"/>
          <w:spacing w:val="-2"/>
          <w:sz w:val="32"/>
          <w:szCs w:val="32"/>
          <w:lang w:eastAsia="zh-CN"/>
        </w:rPr>
        <w:t>用于专项卫生监督</w:t>
      </w:r>
      <w:r>
        <w:rPr>
          <w:rFonts w:hint="eastAsia" w:ascii="仿宋" w:hAnsi="仿宋" w:eastAsia="仿宋" w:cs="仿宋"/>
          <w:color w:val="auto"/>
          <w:spacing w:val="-2"/>
          <w:sz w:val="32"/>
          <w:szCs w:val="32"/>
        </w:rPr>
        <w:t>差旅费</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rPr>
        <w:t>公务用车运行维护费</w:t>
      </w:r>
      <w:r>
        <w:rPr>
          <w:rFonts w:hint="eastAsia" w:ascii="仿宋" w:hAnsi="仿宋" w:eastAsia="仿宋" w:cs="仿宋"/>
          <w:color w:val="auto"/>
          <w:spacing w:val="-2"/>
          <w:sz w:val="32"/>
          <w:szCs w:val="32"/>
          <w:lang w:eastAsia="zh-CN"/>
        </w:rPr>
        <w:t>，</w:t>
      </w:r>
      <w:r>
        <w:rPr>
          <w:rFonts w:hint="eastAsia" w:ascii="仿宋_GB2312" w:hAnsi="宋体" w:eastAsia="仿宋_GB2312"/>
          <w:sz w:val="32"/>
          <w:szCs w:val="32"/>
          <w:lang w:val="zh-CN"/>
        </w:rPr>
        <w:t>资金使用的安全、规范及有效，资金支付范围、支付标准、支付进度、支付依据否合规合法、与预算相符。</w:t>
      </w:r>
      <w:r>
        <w:rPr>
          <w:rFonts w:hint="eastAsia" w:ascii="仿宋" w:hAnsi="仿宋" w:eastAsia="仿宋" w:cs="仿宋"/>
          <w:color w:val="333333"/>
          <w:sz w:val="32"/>
          <w:szCs w:val="32"/>
        </w:rPr>
        <w:t>任务完结率100%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12"/>
        <w:keepNext w:val="0"/>
        <w:keepLines w:val="0"/>
        <w:widowControl/>
        <w:suppressLineNumbers w:val="0"/>
        <w:autoSpaceDE w:val="0"/>
        <w:autoSpaceDN/>
        <w:spacing w:before="360" w:beforeAutospacing="0" w:after="510" w:afterAutospacing="0" w:line="360" w:lineRule="auto"/>
        <w:ind w:left="0" w:right="0" w:firstLine="640"/>
        <w:jc w:val="both"/>
        <w:rPr>
          <w:rFonts w:hint="default" w:ascii="Calibri" w:hAnsi="Calibri" w:cs="Calibri"/>
          <w:color w:val="333333"/>
          <w:sz w:val="21"/>
          <w:szCs w:val="21"/>
        </w:rPr>
      </w:pPr>
      <w:r>
        <w:rPr>
          <w:rFonts w:hint="eastAsia" w:ascii="仿宋" w:hAnsi="仿宋" w:eastAsia="仿宋" w:cs="仿宋"/>
          <w:color w:val="333333"/>
          <w:sz w:val="32"/>
          <w:szCs w:val="32"/>
        </w:rPr>
        <w:t>提高了卫生监督员执法办案能力，保障了人民群众身体健康。</w:t>
      </w:r>
      <w:r>
        <w:rPr>
          <w:rFonts w:hint="eastAsia" w:ascii="仿宋" w:hAnsi="仿宋" w:eastAsia="仿宋" w:cs="仿宋"/>
          <w:color w:val="333333"/>
          <w:sz w:val="32"/>
          <w:szCs w:val="32"/>
          <w:lang w:eastAsia="zh-CN"/>
        </w:rPr>
        <w:t>开展</w:t>
      </w:r>
      <w:r>
        <w:rPr>
          <w:rFonts w:hint="eastAsia" w:ascii="仿宋" w:hAnsi="仿宋" w:eastAsia="仿宋" w:cs="仿宋"/>
          <w:color w:val="333333"/>
          <w:sz w:val="32"/>
          <w:szCs w:val="32"/>
        </w:rPr>
        <w:t>各</w:t>
      </w:r>
      <w:r>
        <w:rPr>
          <w:rFonts w:hint="eastAsia" w:ascii="仿宋" w:hAnsi="仿宋" w:eastAsia="仿宋" w:cs="仿宋"/>
          <w:color w:val="333333"/>
          <w:sz w:val="32"/>
          <w:szCs w:val="32"/>
          <w:lang w:eastAsia="zh-CN"/>
        </w:rPr>
        <w:t>乡镇卫生院</w:t>
      </w:r>
      <w:r>
        <w:rPr>
          <w:rFonts w:hint="eastAsia" w:ascii="仿宋" w:hAnsi="仿宋" w:eastAsia="仿宋" w:cs="仿宋"/>
          <w:color w:val="333333"/>
          <w:sz w:val="32"/>
          <w:szCs w:val="32"/>
        </w:rPr>
        <w:t>开展监督协管员培训，对</w:t>
      </w:r>
      <w:r>
        <w:rPr>
          <w:rFonts w:hint="eastAsia" w:ascii="仿宋" w:hAnsi="仿宋" w:eastAsia="仿宋" w:cs="仿宋"/>
          <w:color w:val="333333"/>
          <w:sz w:val="32"/>
          <w:szCs w:val="32"/>
          <w:lang w:val="en-US" w:eastAsia="zh-CN"/>
        </w:rPr>
        <w:t>15</w:t>
      </w:r>
      <w:r>
        <w:rPr>
          <w:rFonts w:hint="eastAsia" w:ascii="仿宋" w:hAnsi="仿宋" w:eastAsia="仿宋" w:cs="仿宋"/>
          <w:color w:val="333333"/>
          <w:sz w:val="32"/>
          <w:szCs w:val="32"/>
        </w:rPr>
        <w:t>家</w:t>
      </w:r>
      <w:r>
        <w:rPr>
          <w:rFonts w:hint="eastAsia" w:ascii="仿宋" w:hAnsi="仿宋" w:eastAsia="仿宋" w:cs="仿宋"/>
          <w:color w:val="333333"/>
          <w:sz w:val="32"/>
          <w:szCs w:val="32"/>
          <w:lang w:eastAsia="zh-CN"/>
        </w:rPr>
        <w:t>公立</w:t>
      </w:r>
      <w:r>
        <w:rPr>
          <w:rFonts w:hint="eastAsia" w:ascii="仿宋" w:hAnsi="仿宋" w:eastAsia="仿宋" w:cs="仿宋"/>
          <w:color w:val="333333"/>
          <w:sz w:val="32"/>
          <w:szCs w:val="32"/>
        </w:rPr>
        <w:t>医疗机构传染病防治分类监督综合评价和医疗废物管理、医疗污水处置专项监督检查，按期完成国家双随机监督任务。</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s="Times New Roman"/>
          <w:kern w:val="2"/>
          <w:sz w:val="32"/>
          <w:szCs w:val="32"/>
          <w:lang w:val="zh-CN" w:eastAsia="zh-CN" w:bidi="ar-SA"/>
        </w:rPr>
        <w:t>强化培训，提升监督员业务素质，开展医疗机构传染病防治分类监督综合评价和医疗废物管理、医疗污水处置专项监督检查，按期完成国家双随机监督任务</w:t>
      </w:r>
      <w:r>
        <w:rPr>
          <w:rFonts w:hint="eastAsia" w:ascii="仿宋_GB2312" w:hAnsi="宋体" w:eastAsia="仿宋_GB2312"/>
          <w:color w:val="000000" w:themeColor="text1"/>
          <w:sz w:val="32"/>
          <w:szCs w:val="32"/>
          <w:lang w:val="zh-CN"/>
          <w14:textFill>
            <w14:solidFill>
              <w14:schemeClr w14:val="tx1"/>
            </w14:solidFill>
          </w14:textFill>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en-US" w:eastAsia="zh-CN"/>
        </w:rPr>
        <w:t>资金不足</w:t>
      </w:r>
      <w:r>
        <w:rPr>
          <w:rFonts w:hint="eastAsia" w:ascii="仿宋_GB2312" w:hAnsi="宋体" w:eastAsia="仿宋_GB2312"/>
          <w:sz w:val="32"/>
          <w:szCs w:val="32"/>
          <w:lang w:val="zh-CN"/>
        </w:rPr>
        <w:t>。</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Style w:val="12"/>
        <w:keepNext w:val="0"/>
        <w:keepLines w:val="0"/>
        <w:widowControl/>
        <w:suppressLineNumbers w:val="0"/>
        <w:spacing w:before="360" w:beforeAutospacing="0" w:after="510" w:afterAutospacing="0" w:line="360" w:lineRule="auto"/>
        <w:ind w:right="0" w:firstLine="640" w:firstLineChars="200"/>
        <w:jc w:val="both"/>
        <w:rPr>
          <w:rFonts w:hint="default"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en-US" w:eastAsia="zh-CN" w:bidi="ar-SA"/>
        </w:rPr>
        <w:t>各级财政加大资金投入。</w:t>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89" w:name="_Toc23946"/>
      <w:bookmarkStart w:id="90"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83"/>
      <w:bookmarkEnd w:id="89"/>
      <w:bookmarkEnd w:id="90"/>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91" w:name="_Toc15396619"/>
      <w:bookmarkStart w:id="92" w:name="_Toc30841"/>
      <w:r>
        <w:rPr>
          <w:rFonts w:hint="eastAsia" w:ascii="仿宋" w:hAnsi="仿宋" w:eastAsia="仿宋"/>
          <w:b w:val="0"/>
          <w:color w:val="000000"/>
        </w:rPr>
        <w:t>一、收</w:t>
      </w:r>
      <w:r>
        <w:rPr>
          <w:rStyle w:val="26"/>
          <w:rFonts w:hint="eastAsia" w:ascii="仿宋" w:hAnsi="仿宋" w:eastAsia="仿宋"/>
          <w:b w:val="0"/>
          <w:bCs w:val="0"/>
        </w:rPr>
        <w:t>入支出决算总表</w:t>
      </w:r>
      <w:bookmarkEnd w:id="91"/>
      <w:bookmarkEnd w:id="92"/>
    </w:p>
    <w:p>
      <w:pPr>
        <w:pStyle w:val="3"/>
        <w:rPr>
          <w:rFonts w:ascii="仿宋" w:hAnsi="仿宋" w:eastAsia="仿宋"/>
          <w:color w:val="000000"/>
        </w:rPr>
      </w:pPr>
      <w:bookmarkStart w:id="93" w:name="_Toc15396620"/>
      <w:bookmarkStart w:id="94" w:name="_Toc27050"/>
      <w:r>
        <w:rPr>
          <w:rFonts w:hint="eastAsia" w:ascii="仿宋" w:hAnsi="仿宋" w:eastAsia="仿宋"/>
          <w:b w:val="0"/>
          <w:color w:val="000000"/>
        </w:rPr>
        <w:t>二、收</w:t>
      </w:r>
      <w:r>
        <w:rPr>
          <w:rStyle w:val="26"/>
          <w:rFonts w:hint="eastAsia" w:ascii="仿宋" w:hAnsi="仿宋" w:eastAsia="仿宋"/>
          <w:b w:val="0"/>
          <w:bCs w:val="0"/>
        </w:rPr>
        <w:t>入决算表</w:t>
      </w:r>
      <w:bookmarkEnd w:id="93"/>
      <w:bookmarkEnd w:id="94"/>
    </w:p>
    <w:p>
      <w:pPr>
        <w:pStyle w:val="3"/>
        <w:rPr>
          <w:rFonts w:ascii="仿宋" w:hAnsi="仿宋" w:eastAsia="仿宋"/>
          <w:color w:val="000000"/>
        </w:rPr>
      </w:pPr>
      <w:bookmarkStart w:id="95" w:name="_Toc15396621"/>
      <w:bookmarkStart w:id="96" w:name="_Toc23819"/>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95"/>
      <w:bookmarkEnd w:id="96"/>
    </w:p>
    <w:p>
      <w:pPr>
        <w:pStyle w:val="3"/>
        <w:rPr>
          <w:rFonts w:ascii="仿宋" w:hAnsi="仿宋" w:eastAsia="仿宋"/>
          <w:b w:val="0"/>
          <w:color w:val="000000"/>
        </w:rPr>
      </w:pPr>
      <w:bookmarkStart w:id="97" w:name="_Toc15396622"/>
      <w:bookmarkStart w:id="98" w:name="_Toc18235"/>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97"/>
      <w:bookmarkEnd w:id="98"/>
    </w:p>
    <w:p>
      <w:pPr>
        <w:pStyle w:val="3"/>
        <w:rPr>
          <w:rStyle w:val="26"/>
          <w:rFonts w:ascii="仿宋" w:hAnsi="仿宋" w:eastAsia="仿宋"/>
          <w:b w:val="0"/>
          <w:bCs w:val="0"/>
        </w:rPr>
      </w:pPr>
      <w:bookmarkStart w:id="99" w:name="_Toc12324"/>
      <w:bookmarkStart w:id="100"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99"/>
      <w:bookmarkEnd w:id="100"/>
      <w:bookmarkStart w:id="101" w:name="_Toc15396624"/>
    </w:p>
    <w:p>
      <w:pPr>
        <w:pStyle w:val="3"/>
        <w:rPr>
          <w:rFonts w:ascii="仿宋" w:hAnsi="仿宋" w:eastAsia="仿宋"/>
          <w:color w:val="000000"/>
        </w:rPr>
      </w:pPr>
      <w:bookmarkStart w:id="102" w:name="_Toc25005"/>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01"/>
      <w:bookmarkEnd w:id="102"/>
    </w:p>
    <w:p>
      <w:pPr>
        <w:pStyle w:val="3"/>
        <w:rPr>
          <w:rFonts w:ascii="仿宋" w:hAnsi="仿宋" w:eastAsia="仿宋"/>
          <w:color w:val="000000"/>
        </w:rPr>
      </w:pPr>
      <w:bookmarkStart w:id="103" w:name="_Toc8243"/>
      <w:bookmarkStart w:id="104"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03"/>
      <w:bookmarkEnd w:id="104"/>
    </w:p>
    <w:p>
      <w:pPr>
        <w:pStyle w:val="3"/>
        <w:rPr>
          <w:rFonts w:ascii="仿宋" w:hAnsi="仿宋" w:eastAsia="仿宋"/>
          <w:color w:val="000000"/>
        </w:rPr>
      </w:pPr>
      <w:bookmarkStart w:id="105" w:name="_Toc25457"/>
      <w:bookmarkStart w:id="106"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05"/>
      <w:bookmarkEnd w:id="106"/>
    </w:p>
    <w:p>
      <w:pPr>
        <w:pStyle w:val="3"/>
        <w:rPr>
          <w:rFonts w:ascii="仿宋" w:hAnsi="仿宋" w:eastAsia="仿宋"/>
          <w:color w:val="000000"/>
        </w:rPr>
      </w:pPr>
      <w:bookmarkStart w:id="107" w:name="_Toc15396627"/>
      <w:bookmarkStart w:id="108" w:name="_Toc29882"/>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07"/>
      <w:bookmarkEnd w:id="108"/>
    </w:p>
    <w:p>
      <w:pPr>
        <w:pStyle w:val="3"/>
        <w:rPr>
          <w:rFonts w:ascii="仿宋" w:hAnsi="仿宋" w:eastAsia="仿宋"/>
          <w:color w:val="000000"/>
        </w:rPr>
      </w:pPr>
      <w:bookmarkStart w:id="109" w:name="_Toc27013"/>
      <w:bookmarkStart w:id="110"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09"/>
      <w:bookmarkEnd w:id="110"/>
    </w:p>
    <w:p>
      <w:pPr>
        <w:pStyle w:val="3"/>
        <w:rPr>
          <w:rFonts w:ascii="仿宋" w:hAnsi="仿宋" w:eastAsia="仿宋"/>
          <w:color w:val="000000"/>
        </w:rPr>
      </w:pPr>
      <w:bookmarkStart w:id="111" w:name="_Toc9244"/>
      <w:bookmarkStart w:id="112"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11"/>
      <w:bookmarkEnd w:id="112"/>
    </w:p>
    <w:p>
      <w:pPr>
        <w:pStyle w:val="3"/>
        <w:rPr>
          <w:rFonts w:ascii="仿宋" w:hAnsi="仿宋" w:eastAsia="仿宋"/>
          <w:color w:val="000000"/>
        </w:rPr>
      </w:pPr>
      <w:bookmarkStart w:id="113" w:name="_Toc12446"/>
      <w:bookmarkStart w:id="11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13"/>
      <w:bookmarkEnd w:id="114"/>
    </w:p>
    <w:p>
      <w:pPr>
        <w:pStyle w:val="3"/>
        <w:rPr>
          <w:rFonts w:ascii="仿宋" w:hAnsi="仿宋" w:eastAsia="仿宋"/>
          <w:color w:val="000000" w:themeColor="text1"/>
          <w14:textFill>
            <w14:solidFill>
              <w14:schemeClr w14:val="tx1"/>
            </w14:solidFill>
          </w14:textFill>
        </w:rPr>
      </w:pPr>
      <w:bookmarkStart w:id="115" w:name="_Toc177"/>
      <w:bookmarkStart w:id="116"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15"/>
      <w:bookmarkEnd w:id="116"/>
    </w:p>
    <w:sectPr>
      <w:footerReference r:id="rId7" w:type="first"/>
      <w:footerReference r:id="rId6" w:type="default"/>
      <w:pgSz w:w="11906" w:h="16838"/>
      <w:pgMar w:top="1701" w:right="1474" w:bottom="1701" w:left="1587"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16AF3"/>
    <w:multiLevelType w:val="singleLevel"/>
    <w:tmpl w:val="9B616AF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E1DB4AA"/>
    <w:multiLevelType w:val="singleLevel"/>
    <w:tmpl w:val="DE1DB4AA"/>
    <w:lvl w:ilvl="0" w:tentative="0">
      <w:start w:val="3"/>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C29153E"/>
    <w:multiLevelType w:val="singleLevel"/>
    <w:tmpl w:val="0C29153E"/>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656AEE4"/>
    <w:multiLevelType w:val="singleLevel"/>
    <w:tmpl w:val="1656AEE4"/>
    <w:lvl w:ilvl="0" w:tentative="0">
      <w:start w:val="6"/>
      <w:numFmt w:val="decimal"/>
      <w:lvlText w:val="%1."/>
      <w:lvlJc w:val="left"/>
      <w:pPr>
        <w:tabs>
          <w:tab w:val="left" w:pos="312"/>
        </w:tabs>
      </w:pPr>
    </w:lvl>
  </w:abstractNum>
  <w:num w:numId="1">
    <w:abstractNumId w:val="0"/>
  </w:num>
  <w:num w:numId="2">
    <w:abstractNumId w:val="5"/>
  </w:num>
  <w:num w:numId="3">
    <w:abstractNumId w:val="1"/>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07E87"/>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158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0467A"/>
    <w:rsid w:val="04494F6C"/>
    <w:rsid w:val="057B1EDE"/>
    <w:rsid w:val="063151A2"/>
    <w:rsid w:val="071854F4"/>
    <w:rsid w:val="09427BC0"/>
    <w:rsid w:val="0AC745C6"/>
    <w:rsid w:val="0B506379"/>
    <w:rsid w:val="0D6F2121"/>
    <w:rsid w:val="0DD8692C"/>
    <w:rsid w:val="10C055FF"/>
    <w:rsid w:val="11E000C6"/>
    <w:rsid w:val="15573021"/>
    <w:rsid w:val="15C51087"/>
    <w:rsid w:val="16BB723D"/>
    <w:rsid w:val="171A7CD5"/>
    <w:rsid w:val="18027BDA"/>
    <w:rsid w:val="19302649"/>
    <w:rsid w:val="1A5A1BB0"/>
    <w:rsid w:val="1CEA6D7F"/>
    <w:rsid w:val="1E69735B"/>
    <w:rsid w:val="240371BF"/>
    <w:rsid w:val="26467D78"/>
    <w:rsid w:val="26AE4FFE"/>
    <w:rsid w:val="29FD04D3"/>
    <w:rsid w:val="2F40145C"/>
    <w:rsid w:val="307B5A06"/>
    <w:rsid w:val="319F7F4E"/>
    <w:rsid w:val="39333576"/>
    <w:rsid w:val="41EC0684"/>
    <w:rsid w:val="42BB556E"/>
    <w:rsid w:val="45273836"/>
    <w:rsid w:val="480F112C"/>
    <w:rsid w:val="488B2109"/>
    <w:rsid w:val="4A4A5900"/>
    <w:rsid w:val="4B1931D8"/>
    <w:rsid w:val="4E000078"/>
    <w:rsid w:val="4ECE2238"/>
    <w:rsid w:val="4F5206D9"/>
    <w:rsid w:val="4FE525B1"/>
    <w:rsid w:val="54573AAC"/>
    <w:rsid w:val="552054E1"/>
    <w:rsid w:val="557E111C"/>
    <w:rsid w:val="567859A9"/>
    <w:rsid w:val="56807029"/>
    <w:rsid w:val="57A70DE1"/>
    <w:rsid w:val="5A4464DB"/>
    <w:rsid w:val="5D5377E7"/>
    <w:rsid w:val="600208DE"/>
    <w:rsid w:val="613105AC"/>
    <w:rsid w:val="62F232A4"/>
    <w:rsid w:val="679C2318"/>
    <w:rsid w:val="6A3E616E"/>
    <w:rsid w:val="6B537584"/>
    <w:rsid w:val="6BEFB340"/>
    <w:rsid w:val="6C420E43"/>
    <w:rsid w:val="6D4371F1"/>
    <w:rsid w:val="70932402"/>
    <w:rsid w:val="709B1553"/>
    <w:rsid w:val="72731177"/>
    <w:rsid w:val="72734D90"/>
    <w:rsid w:val="72E843DD"/>
    <w:rsid w:val="743A6196"/>
    <w:rsid w:val="74C01308"/>
    <w:rsid w:val="76EB1357"/>
    <w:rsid w:val="7D0914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1 Char"/>
    <w:basedOn w:val="14"/>
    <w:link w:val="2"/>
    <w:qFormat/>
    <w:uiPriority w:val="9"/>
    <w:rPr>
      <w:rFonts w:ascii="Times New Roman" w:hAnsi="Times New Roman"/>
      <w:b/>
      <w:bCs/>
      <w:kern w:val="44"/>
      <w:sz w:val="44"/>
      <w:szCs w:val="44"/>
    </w:rPr>
  </w:style>
  <w:style w:type="character" w:customStyle="1" w:styleId="32">
    <w:name w:val="标题 2 Char"/>
    <w:basedOn w:val="14"/>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2025-04-11T15:33:38Z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F261EA658EBBA305D2C5F8672D2977AB</vt:lpwstr>
  </property>
</Properties>
</file>