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both"/>
        <w:outlineLvl w:val="0"/>
        <w:rPr>
          <w:rFonts w:ascii="方正小标宋简体" w:hAnsi="宋体" w:eastAsia="方正小标宋简体"/>
          <w:color w:val="000000"/>
          <w:sz w:val="72"/>
          <w:szCs w:val="72"/>
        </w:rPr>
      </w:pPr>
      <w:bookmarkStart w:id="0" w:name="_Toc15306267"/>
    </w:p>
    <w:p>
      <w:pPr>
        <w:adjustRightInd w:val="0"/>
        <w:snapToGrid w:val="0"/>
        <w:spacing w:line="360" w:lineRule="auto"/>
        <w:jc w:val="center"/>
        <w:outlineLvl w:val="0"/>
        <w:rPr>
          <w:rFonts w:ascii="方正小标宋简体" w:hAnsi="宋体" w:eastAsia="方正小标宋简体"/>
          <w:color w:val="000000"/>
          <w:sz w:val="72"/>
          <w:szCs w:val="72"/>
        </w:rPr>
      </w:pPr>
      <w:bookmarkStart w:id="1" w:name="_Toc15377193"/>
      <w:bookmarkStart w:id="2" w:name="_Toc15396597"/>
      <w:bookmarkStart w:id="3" w:name="_Toc15378441"/>
      <w:bookmarkStart w:id="4" w:name="_Toc15377425"/>
      <w:bookmarkStart w:id="5" w:name="_Toc15396475"/>
      <w:r>
        <w:rPr>
          <w:rFonts w:ascii="黑体" w:hAnsi="黑体" w:eastAsia="黑体"/>
          <w:color w:val="000000"/>
          <w:sz w:val="72"/>
          <w:szCs w:val="72"/>
        </w:rPr>
        <w:t>201</w:t>
      </w:r>
      <w:r>
        <w:rPr>
          <w:rFonts w:hint="eastAsia" w:ascii="黑体" w:hAnsi="黑体" w:eastAsia="黑体"/>
          <w:color w:val="000000"/>
          <w:sz w:val="72"/>
          <w:szCs w:val="72"/>
        </w:rPr>
        <w:t>8</w:t>
      </w:r>
      <w:r>
        <w:rPr>
          <w:rFonts w:hint="eastAsia" w:ascii="方正小标宋简体" w:hAnsi="宋体" w:eastAsia="方正小标宋简体"/>
          <w:color w:val="000000"/>
          <w:sz w:val="72"/>
          <w:szCs w:val="72"/>
        </w:rPr>
        <w:t>年度</w:t>
      </w:r>
      <w:bookmarkEnd w:id="1"/>
      <w:bookmarkEnd w:id="2"/>
      <w:bookmarkEnd w:id="3"/>
      <w:bookmarkEnd w:id="4"/>
      <w:bookmarkEnd w:id="5"/>
    </w:p>
    <w:p>
      <w:pPr>
        <w:adjustRightInd w:val="0"/>
        <w:snapToGrid w:val="0"/>
        <w:spacing w:line="360" w:lineRule="auto"/>
        <w:jc w:val="center"/>
        <w:outlineLvl w:val="0"/>
        <w:rPr>
          <w:rFonts w:hint="eastAsia" w:ascii="方正小标宋简体" w:hAnsi="宋体" w:eastAsia="方正小标宋简体"/>
          <w:color w:val="000000"/>
          <w:sz w:val="72"/>
          <w:szCs w:val="72"/>
        </w:rPr>
      </w:pPr>
      <w:bookmarkStart w:id="6" w:name="_Toc15378442"/>
      <w:bookmarkStart w:id="7" w:name="_Toc15396598"/>
      <w:bookmarkStart w:id="8" w:name="_Toc15377426"/>
      <w:bookmarkStart w:id="9" w:name="_Toc15377194"/>
      <w:bookmarkStart w:id="10" w:name="_Toc15396476"/>
      <w:r>
        <w:rPr>
          <w:rFonts w:hint="eastAsia" w:ascii="方正小标宋简体" w:hAnsi="宋体" w:eastAsia="方正小标宋简体"/>
          <w:color w:val="000000"/>
          <w:sz w:val="72"/>
          <w:szCs w:val="72"/>
        </w:rPr>
        <w:t>四川省</w:t>
      </w:r>
      <w:bookmarkEnd w:id="0"/>
      <w:bookmarkStart w:id="11" w:name="_Toc15306268"/>
      <w:r>
        <w:rPr>
          <w:rFonts w:hint="eastAsia" w:ascii="方正小标宋简体" w:hAnsi="宋体" w:eastAsia="方正小标宋简体"/>
          <w:color w:val="000000"/>
          <w:sz w:val="72"/>
          <w:szCs w:val="72"/>
          <w:lang w:eastAsia="zh-CN"/>
        </w:rPr>
        <w:t>阿坝州红原县卫生和计划生育监督执法大队</w:t>
      </w:r>
      <w:r>
        <w:rPr>
          <w:rFonts w:hint="eastAsia" w:ascii="方正小标宋简体" w:hAnsi="宋体" w:eastAsia="方正小标宋简体"/>
          <w:color w:val="000000"/>
          <w:sz w:val="72"/>
          <w:szCs w:val="72"/>
        </w:rPr>
        <w:t>部门决算</w:t>
      </w:r>
      <w:bookmarkEnd w:id="6"/>
      <w:bookmarkEnd w:id="7"/>
      <w:bookmarkEnd w:id="8"/>
      <w:bookmarkEnd w:id="9"/>
      <w:bookmarkEnd w:id="10"/>
      <w:bookmarkEnd w:id="11"/>
    </w:p>
    <w:p>
      <w:pPr>
        <w:adjustRightInd w:val="0"/>
        <w:snapToGrid w:val="0"/>
        <w:spacing w:line="360" w:lineRule="auto"/>
        <w:jc w:val="center"/>
        <w:outlineLvl w:val="0"/>
        <w:rPr>
          <w:rFonts w:hint="eastAsia" w:ascii="方正小标宋简体" w:hAnsi="宋体" w:eastAsia="方正小标宋简体"/>
          <w:color w:val="000000"/>
          <w:sz w:val="72"/>
          <w:szCs w:val="72"/>
        </w:rPr>
      </w:pPr>
    </w:p>
    <w:p>
      <w:pPr>
        <w:widowControl/>
        <w:jc w:val="center"/>
        <w:rPr>
          <w:rFonts w:ascii="黑体" w:hAnsi="黑体" w:eastAsia="黑体" w:cstheme="minorBidi"/>
          <w:sz w:val="28"/>
          <w:szCs w:val="28"/>
        </w:rPr>
      </w:pPr>
      <w:r>
        <w:rPr>
          <w:rFonts w:ascii="方正小标宋简体" w:hAnsi="宋体" w:eastAsia="方正小标宋简体"/>
          <w:color w:val="000000"/>
          <w:sz w:val="36"/>
          <w:szCs w:val="36"/>
        </w:rPr>
        <w:br w:type="page"/>
      </w:r>
      <w:r>
        <w:rPr>
          <w:rFonts w:hint="eastAsia" w:ascii="黑体" w:hAnsi="黑体" w:eastAsia="黑体"/>
          <w:color w:val="000000"/>
          <w:sz w:val="48"/>
          <w:szCs w:val="48"/>
        </w:rPr>
        <w:t>目录</w:t>
      </w:r>
      <w:r>
        <w:rPr>
          <w:rFonts w:ascii="黑体" w:hAnsi="黑体" w:eastAsia="黑体"/>
          <w:color w:val="000000"/>
          <w:sz w:val="48"/>
          <w:szCs w:val="48"/>
        </w:rPr>
        <w:fldChar w:fldCharType="begin"/>
      </w:r>
      <w:r>
        <w:rPr>
          <w:rFonts w:ascii="黑体" w:hAnsi="黑体" w:eastAsia="黑体"/>
          <w:color w:val="000000"/>
          <w:sz w:val="48"/>
          <w:szCs w:val="48"/>
        </w:rPr>
        <w:instrText xml:space="preserve"> TOC \o "1-2" \h \z \u </w:instrText>
      </w:r>
      <w:r>
        <w:rPr>
          <w:rFonts w:ascii="黑体" w:hAnsi="黑体" w:eastAsia="黑体"/>
          <w:color w:val="000000"/>
          <w:sz w:val="48"/>
          <w:szCs w:val="48"/>
        </w:rPr>
        <w:fldChar w:fldCharType="separate"/>
      </w:r>
    </w:p>
    <w:p>
      <w:pPr>
        <w:pStyle w:val="10"/>
        <w:jc w:val="both"/>
        <w:rPr>
          <w:rFonts w:cstheme="minorBidi"/>
        </w:rPr>
      </w:pPr>
      <w:r>
        <w:fldChar w:fldCharType="begin"/>
      </w:r>
      <w:r>
        <w:instrText xml:space="preserve"> HYPERLINK \l "_Toc15396599" </w:instrText>
      </w:r>
      <w:r>
        <w:fldChar w:fldCharType="separate"/>
      </w:r>
      <w:r>
        <w:rPr>
          <w:rStyle w:val="17"/>
          <w:rFonts w:hint="eastAsia"/>
        </w:rPr>
        <w:t>第一部分</w:t>
      </w:r>
      <w:r>
        <w:rPr>
          <w:rStyle w:val="17"/>
        </w:rPr>
        <w:t xml:space="preserve"> </w:t>
      </w:r>
      <w:r>
        <w:rPr>
          <w:rStyle w:val="17"/>
          <w:rFonts w:hint="eastAsia"/>
        </w:rPr>
        <w:t>部门概况</w:t>
      </w:r>
      <w:r>
        <w:rPr>
          <w:rFonts w:hint="eastAsia"/>
        </w:rPr>
        <w:fldChar w:fldCharType="end"/>
      </w:r>
    </w:p>
    <w:p>
      <w:pPr>
        <w:pStyle w:val="11"/>
        <w:jc w:val="left"/>
        <w:rPr>
          <w:rFonts w:ascii="仿宋" w:hAnsi="仿宋" w:eastAsia="仿宋" w:cstheme="minorBidi"/>
          <w:sz w:val="28"/>
          <w:szCs w:val="28"/>
        </w:rPr>
      </w:pPr>
      <w:r>
        <w:fldChar w:fldCharType="begin"/>
      </w:r>
      <w:r>
        <w:instrText xml:space="preserve"> HYPERLINK \l "_Toc15396600" </w:instrText>
      </w:r>
      <w:r>
        <w:fldChar w:fldCharType="separate"/>
      </w:r>
      <w:r>
        <w:rPr>
          <w:rStyle w:val="17"/>
          <w:rFonts w:hint="eastAsia" w:ascii="仿宋" w:hAnsi="仿宋" w:eastAsia="仿宋"/>
          <w:sz w:val="28"/>
          <w:szCs w:val="28"/>
        </w:rPr>
        <w:t>一、基本职能及主要工作</w:t>
      </w:r>
      <w:r>
        <w:rPr>
          <w:rFonts w:hint="eastAsia" w:ascii="仿宋" w:hAnsi="仿宋" w:eastAsia="仿宋"/>
          <w:sz w:val="28"/>
          <w:szCs w:val="28"/>
        </w:rPr>
        <w:fldChar w:fldCharType="end"/>
      </w:r>
    </w:p>
    <w:p>
      <w:pPr>
        <w:pStyle w:val="11"/>
        <w:jc w:val="left"/>
        <w:rPr>
          <w:rFonts w:hint="eastAsia" w:ascii="仿宋" w:hAnsi="仿宋" w:eastAsia="仿宋" w:cstheme="minorBidi"/>
          <w:sz w:val="28"/>
          <w:szCs w:val="28"/>
          <w:lang w:val="en-US" w:eastAsia="zh-CN"/>
        </w:rPr>
      </w:pPr>
      <w:r>
        <w:fldChar w:fldCharType="begin"/>
      </w:r>
      <w:r>
        <w:instrText xml:space="preserve"> HYPERLINK \l "_Toc15396601" </w:instrText>
      </w:r>
      <w:r>
        <w:fldChar w:fldCharType="separate"/>
      </w:r>
      <w:r>
        <w:rPr>
          <w:rStyle w:val="17"/>
          <w:rFonts w:hint="eastAsia" w:ascii="仿宋" w:hAnsi="仿宋" w:eastAsia="仿宋"/>
          <w:sz w:val="28"/>
          <w:szCs w:val="28"/>
        </w:rPr>
        <w:t>二、机构设置</w:t>
      </w:r>
      <w:r>
        <w:rPr>
          <w:rFonts w:hint="eastAsia" w:ascii="仿宋" w:hAnsi="仿宋" w:eastAsia="仿宋"/>
          <w:sz w:val="28"/>
          <w:szCs w:val="28"/>
          <w:lang w:val="en-US" w:eastAsia="zh-CN"/>
        </w:rPr>
        <w:t>1</w:t>
      </w:r>
      <w:r>
        <w:rPr>
          <w:rFonts w:ascii="仿宋" w:hAnsi="仿宋" w:eastAsia="仿宋"/>
          <w:sz w:val="28"/>
          <w:szCs w:val="28"/>
        </w:rPr>
        <w:fldChar w:fldCharType="end"/>
      </w:r>
      <w:r>
        <w:rPr>
          <w:rFonts w:hint="eastAsia" w:ascii="仿宋" w:hAnsi="仿宋" w:eastAsia="仿宋"/>
          <w:sz w:val="28"/>
          <w:szCs w:val="28"/>
          <w:lang w:val="en-US" w:eastAsia="zh-CN"/>
        </w:rPr>
        <w:t>1</w:t>
      </w:r>
    </w:p>
    <w:p>
      <w:pPr>
        <w:pStyle w:val="10"/>
        <w:jc w:val="left"/>
      </w:pPr>
      <w:r>
        <w:fldChar w:fldCharType="begin"/>
      </w:r>
      <w:r>
        <w:instrText xml:space="preserve"> HYPERLINK \l "_Toc15396602" </w:instrText>
      </w:r>
      <w:r>
        <w:fldChar w:fldCharType="separate"/>
      </w:r>
      <w:r>
        <w:rPr>
          <w:rStyle w:val="17"/>
          <w:rFonts w:hint="eastAsia"/>
        </w:rPr>
        <w:t>第二部分</w:t>
      </w:r>
      <w:r>
        <w:rPr>
          <w:rStyle w:val="17"/>
        </w:rPr>
        <w:t xml:space="preserve"> 2018</w:t>
      </w:r>
      <w:r>
        <w:rPr>
          <w:rStyle w:val="17"/>
          <w:rFonts w:hint="eastAsia"/>
        </w:rPr>
        <w:t>年度部门决算情况说明</w:t>
      </w:r>
      <w:r>
        <w:fldChar w:fldCharType="end"/>
      </w:r>
    </w:p>
    <w:p>
      <w:pPr>
        <w:pStyle w:val="11"/>
        <w:jc w:val="left"/>
        <w:rPr>
          <w:rFonts w:ascii="仿宋" w:hAnsi="仿宋" w:eastAsia="仿宋" w:cstheme="minorBidi"/>
          <w:sz w:val="28"/>
          <w:szCs w:val="28"/>
        </w:rPr>
      </w:pPr>
      <w:r>
        <w:fldChar w:fldCharType="begin"/>
      </w:r>
      <w:r>
        <w:instrText xml:space="preserve"> HYPERLINK \l "_Toc15396603" </w:instrText>
      </w:r>
      <w:r>
        <w:fldChar w:fldCharType="separate"/>
      </w:r>
      <w:r>
        <w:rPr>
          <w:rStyle w:val="17"/>
          <w:rFonts w:hint="eastAsia" w:ascii="仿宋" w:hAnsi="仿宋" w:eastAsia="仿宋" w:cstheme="majorBidi"/>
          <w:bCs/>
          <w:sz w:val="28"/>
          <w:szCs w:val="28"/>
        </w:rPr>
        <w:t>一、</w:t>
      </w:r>
      <w:r>
        <w:rPr>
          <w:rStyle w:val="17"/>
          <w:rFonts w:hint="eastAsia" w:ascii="仿宋" w:hAnsi="仿宋" w:eastAsia="仿宋"/>
          <w:sz w:val="28"/>
          <w:szCs w:val="28"/>
        </w:rPr>
        <w:t>收</w:t>
      </w:r>
      <w:r>
        <w:rPr>
          <w:rStyle w:val="17"/>
          <w:rFonts w:hint="eastAsia" w:ascii="仿宋" w:hAnsi="仿宋" w:eastAsia="仿宋" w:cstheme="majorBidi"/>
          <w:bCs/>
          <w:sz w:val="28"/>
          <w:szCs w:val="28"/>
        </w:rPr>
        <w:t>入支出决算总体情况说明</w:t>
      </w:r>
      <w:r>
        <w:rPr>
          <w:rFonts w:ascii="仿宋" w:hAnsi="仿宋" w:eastAsia="仿宋"/>
          <w:sz w:val="28"/>
          <w:szCs w:val="28"/>
        </w:rPr>
        <w:fldChar w:fldCharType="end"/>
      </w:r>
    </w:p>
    <w:p>
      <w:pPr>
        <w:pStyle w:val="11"/>
        <w:jc w:val="left"/>
        <w:rPr>
          <w:rFonts w:ascii="仿宋" w:hAnsi="仿宋" w:eastAsia="仿宋" w:cstheme="minorBidi"/>
          <w:sz w:val="28"/>
          <w:szCs w:val="28"/>
        </w:rPr>
      </w:pPr>
      <w:r>
        <w:fldChar w:fldCharType="begin"/>
      </w:r>
      <w:r>
        <w:instrText xml:space="preserve"> HYPERLINK \l "_Toc15396604" </w:instrText>
      </w:r>
      <w:r>
        <w:fldChar w:fldCharType="separate"/>
      </w:r>
      <w:r>
        <w:rPr>
          <w:rStyle w:val="17"/>
          <w:rFonts w:hint="eastAsia" w:ascii="仿宋" w:hAnsi="仿宋" w:eastAsia="仿宋" w:cstheme="majorBidi"/>
          <w:bCs/>
          <w:sz w:val="28"/>
          <w:szCs w:val="28"/>
        </w:rPr>
        <w:t>二、</w:t>
      </w:r>
      <w:r>
        <w:rPr>
          <w:rStyle w:val="17"/>
          <w:rFonts w:hint="eastAsia" w:ascii="仿宋" w:hAnsi="仿宋" w:eastAsia="仿宋"/>
          <w:sz w:val="28"/>
          <w:szCs w:val="28"/>
        </w:rPr>
        <w:t>收</w:t>
      </w:r>
      <w:r>
        <w:rPr>
          <w:rStyle w:val="17"/>
          <w:rFonts w:hint="eastAsia" w:ascii="仿宋" w:hAnsi="仿宋" w:eastAsia="仿宋" w:cstheme="majorBidi"/>
          <w:bCs/>
          <w:sz w:val="28"/>
          <w:szCs w:val="28"/>
        </w:rPr>
        <w:t>入决算情况说明</w:t>
      </w:r>
      <w:r>
        <w:rPr>
          <w:rFonts w:ascii="仿宋" w:hAnsi="仿宋" w:eastAsia="仿宋"/>
          <w:sz w:val="28"/>
          <w:szCs w:val="28"/>
        </w:rPr>
        <w:fldChar w:fldCharType="end"/>
      </w:r>
    </w:p>
    <w:p>
      <w:pPr>
        <w:pStyle w:val="11"/>
        <w:jc w:val="left"/>
        <w:rPr>
          <w:rFonts w:ascii="仿宋" w:hAnsi="仿宋" w:eastAsia="仿宋" w:cstheme="minorBidi"/>
          <w:sz w:val="28"/>
          <w:szCs w:val="28"/>
        </w:rPr>
      </w:pPr>
      <w:r>
        <w:fldChar w:fldCharType="begin"/>
      </w:r>
      <w:r>
        <w:instrText xml:space="preserve"> HYPERLINK \l "_Toc15396605" </w:instrText>
      </w:r>
      <w:r>
        <w:fldChar w:fldCharType="separate"/>
      </w:r>
      <w:r>
        <w:rPr>
          <w:rStyle w:val="17"/>
          <w:rFonts w:hint="eastAsia" w:ascii="仿宋" w:hAnsi="仿宋" w:eastAsia="仿宋" w:cstheme="majorBidi"/>
          <w:bCs/>
          <w:sz w:val="28"/>
          <w:szCs w:val="28"/>
        </w:rPr>
        <w:t>三、</w:t>
      </w:r>
      <w:r>
        <w:rPr>
          <w:rStyle w:val="17"/>
          <w:rFonts w:hint="eastAsia" w:ascii="仿宋" w:hAnsi="仿宋" w:eastAsia="仿宋"/>
          <w:sz w:val="28"/>
          <w:szCs w:val="28"/>
        </w:rPr>
        <w:t>支</w:t>
      </w:r>
      <w:r>
        <w:rPr>
          <w:rStyle w:val="17"/>
          <w:rFonts w:hint="eastAsia" w:ascii="仿宋" w:hAnsi="仿宋" w:eastAsia="仿宋" w:cstheme="majorBidi"/>
          <w:bCs/>
          <w:sz w:val="28"/>
          <w:szCs w:val="28"/>
        </w:rPr>
        <w:t>出决算情况说明</w:t>
      </w:r>
      <w:r>
        <w:rPr>
          <w:rFonts w:ascii="仿宋" w:hAnsi="仿宋" w:eastAsia="仿宋"/>
          <w:sz w:val="28"/>
          <w:szCs w:val="28"/>
        </w:rPr>
        <w:fldChar w:fldCharType="end"/>
      </w:r>
    </w:p>
    <w:p>
      <w:pPr>
        <w:pStyle w:val="11"/>
        <w:jc w:val="left"/>
        <w:rPr>
          <w:rFonts w:ascii="仿宋" w:hAnsi="仿宋" w:eastAsia="仿宋" w:cstheme="minorBidi"/>
          <w:sz w:val="28"/>
          <w:szCs w:val="28"/>
        </w:rPr>
      </w:pPr>
      <w:r>
        <w:fldChar w:fldCharType="begin"/>
      </w:r>
      <w:r>
        <w:instrText xml:space="preserve"> HYPERLINK \l "_Toc15396606" </w:instrText>
      </w:r>
      <w:r>
        <w:fldChar w:fldCharType="separate"/>
      </w:r>
      <w:r>
        <w:rPr>
          <w:rStyle w:val="17"/>
          <w:rFonts w:hint="eastAsia" w:ascii="仿宋" w:hAnsi="仿宋" w:eastAsia="仿宋"/>
          <w:sz w:val="28"/>
          <w:szCs w:val="28"/>
        </w:rPr>
        <w:t>四、财</w:t>
      </w:r>
      <w:r>
        <w:rPr>
          <w:rStyle w:val="17"/>
          <w:rFonts w:hint="eastAsia" w:ascii="仿宋" w:hAnsi="仿宋" w:eastAsia="仿宋" w:cstheme="majorBidi"/>
          <w:bCs/>
          <w:sz w:val="28"/>
          <w:szCs w:val="28"/>
        </w:rPr>
        <w:t>政拨款收入支出决算总体情况说明</w:t>
      </w:r>
      <w:r>
        <w:rPr>
          <w:rFonts w:ascii="仿宋" w:hAnsi="仿宋" w:eastAsia="仿宋"/>
          <w:sz w:val="28"/>
          <w:szCs w:val="28"/>
        </w:rPr>
        <w:fldChar w:fldCharType="end"/>
      </w:r>
    </w:p>
    <w:p>
      <w:pPr>
        <w:pStyle w:val="11"/>
        <w:jc w:val="left"/>
        <w:rPr>
          <w:rFonts w:hint="eastAsia" w:ascii="仿宋" w:hAnsi="仿宋" w:eastAsia="仿宋" w:cstheme="minorBidi"/>
          <w:sz w:val="28"/>
          <w:szCs w:val="28"/>
          <w:lang w:val="en-US" w:eastAsia="zh-CN"/>
        </w:rPr>
      </w:pPr>
      <w:r>
        <w:fldChar w:fldCharType="begin"/>
      </w:r>
      <w:r>
        <w:instrText xml:space="preserve"> HYPERLINK \l "_Toc15396607" </w:instrText>
      </w:r>
      <w:r>
        <w:fldChar w:fldCharType="separate"/>
      </w:r>
      <w:r>
        <w:rPr>
          <w:rStyle w:val="17"/>
          <w:rFonts w:hint="eastAsia" w:ascii="仿宋" w:hAnsi="仿宋" w:eastAsia="仿宋"/>
          <w:sz w:val="28"/>
          <w:szCs w:val="28"/>
        </w:rPr>
        <w:t>五、一</w:t>
      </w:r>
      <w:r>
        <w:rPr>
          <w:rStyle w:val="17"/>
          <w:rFonts w:hint="eastAsia" w:ascii="仿宋" w:hAnsi="仿宋" w:eastAsia="仿宋" w:cstheme="majorBidi"/>
          <w:bCs/>
          <w:sz w:val="28"/>
          <w:szCs w:val="28"/>
        </w:rPr>
        <w:t>般公共预算财政拨款支出决算情况说明</w:t>
      </w:r>
      <w:r>
        <w:rPr>
          <w:rFonts w:ascii="仿宋" w:hAnsi="仿宋" w:eastAsia="仿宋"/>
          <w:sz w:val="28"/>
          <w:szCs w:val="28"/>
        </w:rPr>
        <w:fldChar w:fldCharType="end"/>
      </w:r>
    </w:p>
    <w:p>
      <w:pPr>
        <w:pStyle w:val="11"/>
        <w:jc w:val="left"/>
        <w:rPr>
          <w:rFonts w:ascii="仿宋" w:hAnsi="仿宋" w:eastAsia="仿宋" w:cstheme="minorBidi"/>
          <w:sz w:val="28"/>
          <w:szCs w:val="28"/>
        </w:rPr>
      </w:pPr>
      <w:r>
        <w:fldChar w:fldCharType="begin"/>
      </w:r>
      <w:r>
        <w:instrText xml:space="preserve"> HYPERLINK \l "_Toc15396608" </w:instrText>
      </w:r>
      <w:r>
        <w:fldChar w:fldCharType="separate"/>
      </w:r>
      <w:r>
        <w:rPr>
          <w:rStyle w:val="17"/>
          <w:rFonts w:hint="eastAsia" w:ascii="仿宋" w:hAnsi="仿宋" w:eastAsia="仿宋"/>
          <w:sz w:val="28"/>
          <w:szCs w:val="28"/>
        </w:rPr>
        <w:t>六、一</w:t>
      </w:r>
      <w:r>
        <w:rPr>
          <w:rStyle w:val="17"/>
          <w:rFonts w:hint="eastAsia" w:ascii="仿宋" w:hAnsi="仿宋" w:eastAsia="仿宋" w:cstheme="majorBidi"/>
          <w:bCs/>
          <w:sz w:val="28"/>
          <w:szCs w:val="28"/>
        </w:rPr>
        <w:t>般公共预算财政拨款基本支出决算情况说明</w:t>
      </w:r>
      <w:r>
        <w:rPr>
          <w:rFonts w:ascii="仿宋" w:hAnsi="仿宋" w:eastAsia="仿宋"/>
          <w:sz w:val="28"/>
          <w:szCs w:val="28"/>
        </w:rPr>
        <w:fldChar w:fldCharType="end"/>
      </w:r>
    </w:p>
    <w:p>
      <w:pPr>
        <w:pStyle w:val="11"/>
        <w:jc w:val="left"/>
        <w:rPr>
          <w:rFonts w:ascii="仿宋" w:hAnsi="仿宋" w:eastAsia="仿宋" w:cstheme="minorBidi"/>
          <w:sz w:val="28"/>
          <w:szCs w:val="28"/>
        </w:rPr>
      </w:pPr>
      <w:r>
        <w:fldChar w:fldCharType="begin"/>
      </w:r>
      <w:r>
        <w:instrText xml:space="preserve"> HYPERLINK \l "_Toc15396609" </w:instrText>
      </w:r>
      <w:r>
        <w:fldChar w:fldCharType="separate"/>
      </w:r>
      <w:r>
        <w:rPr>
          <w:rStyle w:val="17"/>
          <w:rFonts w:hint="eastAsia" w:ascii="仿宋" w:hAnsi="仿宋" w:eastAsia="仿宋"/>
          <w:sz w:val="28"/>
          <w:szCs w:val="28"/>
        </w:rPr>
        <w:t>七、</w:t>
      </w:r>
      <w:r>
        <w:rPr>
          <w:rStyle w:val="17"/>
          <w:rFonts w:ascii="仿宋" w:hAnsi="仿宋" w:eastAsia="仿宋"/>
          <w:sz w:val="28"/>
          <w:szCs w:val="28"/>
        </w:rPr>
        <w:t>“</w:t>
      </w:r>
      <w:r>
        <w:rPr>
          <w:rStyle w:val="17"/>
          <w:rFonts w:hint="eastAsia" w:ascii="仿宋" w:hAnsi="仿宋" w:eastAsia="仿宋" w:cstheme="majorBidi"/>
          <w:bCs/>
          <w:sz w:val="28"/>
          <w:szCs w:val="28"/>
        </w:rPr>
        <w:t>三公”经费财政拨款支出决算情况说明</w:t>
      </w:r>
      <w:r>
        <w:rPr>
          <w:rFonts w:ascii="仿宋" w:hAnsi="仿宋" w:eastAsia="仿宋"/>
          <w:sz w:val="28"/>
          <w:szCs w:val="28"/>
        </w:rPr>
        <w:fldChar w:fldCharType="end"/>
      </w:r>
    </w:p>
    <w:p>
      <w:pPr>
        <w:pStyle w:val="11"/>
        <w:jc w:val="left"/>
        <w:rPr>
          <w:rFonts w:hint="eastAsia" w:ascii="仿宋" w:hAnsi="仿宋" w:eastAsia="仿宋" w:cstheme="minorBidi"/>
          <w:sz w:val="28"/>
          <w:szCs w:val="28"/>
          <w:lang w:val="en-US" w:eastAsia="zh-CN"/>
        </w:rPr>
      </w:pPr>
      <w:r>
        <w:fldChar w:fldCharType="begin"/>
      </w:r>
      <w:r>
        <w:instrText xml:space="preserve"> HYPERLINK \l "_Toc15396610" </w:instrText>
      </w:r>
      <w:r>
        <w:fldChar w:fldCharType="separate"/>
      </w:r>
      <w:r>
        <w:rPr>
          <w:rStyle w:val="17"/>
          <w:rFonts w:hint="eastAsia" w:ascii="仿宋" w:hAnsi="仿宋" w:eastAsia="仿宋"/>
          <w:sz w:val="28"/>
          <w:szCs w:val="28"/>
        </w:rPr>
        <w:t>八、</w:t>
      </w:r>
      <w:r>
        <w:rPr>
          <w:rStyle w:val="17"/>
          <w:rFonts w:hint="eastAsia" w:ascii="仿宋" w:hAnsi="仿宋" w:eastAsia="仿宋" w:cstheme="majorBidi"/>
          <w:bCs/>
          <w:sz w:val="28"/>
          <w:szCs w:val="28"/>
        </w:rPr>
        <w:t>政府性基金预算支出决算情况说明</w:t>
      </w:r>
      <w:r>
        <w:rPr>
          <w:rFonts w:ascii="仿宋" w:hAnsi="仿宋" w:eastAsia="仿宋"/>
          <w:sz w:val="28"/>
          <w:szCs w:val="28"/>
        </w:rPr>
        <w:fldChar w:fldCharType="end"/>
      </w:r>
    </w:p>
    <w:p>
      <w:pPr>
        <w:pStyle w:val="11"/>
        <w:jc w:val="left"/>
        <w:rPr>
          <w:rFonts w:ascii="仿宋" w:hAnsi="仿宋" w:eastAsia="仿宋"/>
          <w:sz w:val="28"/>
          <w:szCs w:val="28"/>
        </w:rPr>
      </w:pPr>
      <w:r>
        <w:fldChar w:fldCharType="begin"/>
      </w:r>
      <w:r>
        <w:instrText xml:space="preserve"> HYPERLINK \l "_Toc15396611" </w:instrText>
      </w:r>
      <w:r>
        <w:fldChar w:fldCharType="separate"/>
      </w:r>
      <w:r>
        <w:rPr>
          <w:rStyle w:val="17"/>
          <w:rFonts w:hint="eastAsia" w:ascii="仿宋" w:hAnsi="仿宋" w:eastAsia="仿宋" w:cstheme="majorBidi"/>
          <w:bCs/>
          <w:sz w:val="28"/>
          <w:szCs w:val="28"/>
        </w:rPr>
        <w:t>九、</w:t>
      </w:r>
      <w:r>
        <w:rPr>
          <w:rStyle w:val="17"/>
          <w:rFonts w:hint="eastAsia" w:ascii="仿宋" w:hAnsi="仿宋" w:eastAsia="仿宋"/>
          <w:sz w:val="28"/>
          <w:szCs w:val="28"/>
        </w:rPr>
        <w:t xml:space="preserve"> 国</w:t>
      </w:r>
      <w:r>
        <w:rPr>
          <w:rStyle w:val="17"/>
          <w:rFonts w:hint="eastAsia" w:ascii="仿宋" w:hAnsi="仿宋" w:eastAsia="仿宋" w:cstheme="majorBidi"/>
          <w:bCs/>
          <w:sz w:val="28"/>
          <w:szCs w:val="28"/>
        </w:rPr>
        <w:t>有资本经营预算支出决算情况说明</w:t>
      </w:r>
      <w:r>
        <w:rPr>
          <w:rFonts w:ascii="仿宋" w:hAnsi="仿宋" w:eastAsia="仿宋"/>
          <w:sz w:val="28"/>
          <w:szCs w:val="28"/>
        </w:rPr>
        <w:fldChar w:fldCharType="end"/>
      </w:r>
    </w:p>
    <w:p>
      <w:pPr>
        <w:pStyle w:val="11"/>
        <w:jc w:val="left"/>
        <w:rPr>
          <w:rFonts w:hint="eastAsia" w:eastAsia="仿宋"/>
          <w:lang w:val="en-US" w:eastAsia="zh-CN"/>
        </w:rPr>
      </w:pPr>
      <w:r>
        <w:rPr>
          <w:rFonts w:hint="eastAsia" w:ascii="仿宋" w:hAnsi="仿宋" w:eastAsia="仿宋" w:cstheme="minorBidi"/>
          <w:sz w:val="28"/>
          <w:szCs w:val="28"/>
          <w:lang w:eastAsia="zh-CN"/>
        </w:rPr>
        <w:t>十、</w:t>
      </w:r>
      <w:r>
        <w:rPr>
          <w:rFonts w:hint="eastAsia" w:ascii="仿宋" w:hAnsi="仿宋" w:eastAsia="仿宋" w:cstheme="minorBidi"/>
          <w:sz w:val="28"/>
          <w:szCs w:val="28"/>
        </w:rPr>
        <w:t>预算绩效情况说明</w:t>
      </w:r>
    </w:p>
    <w:p>
      <w:pPr>
        <w:pStyle w:val="11"/>
        <w:jc w:val="left"/>
        <w:rPr>
          <w:rFonts w:ascii="仿宋" w:hAnsi="仿宋" w:eastAsia="仿宋" w:cstheme="minorBidi"/>
          <w:sz w:val="28"/>
          <w:szCs w:val="28"/>
        </w:rPr>
      </w:pPr>
      <w:r>
        <w:fldChar w:fldCharType="begin"/>
      </w:r>
      <w:r>
        <w:instrText xml:space="preserve"> HYPERLINK \l "_Toc15396612" </w:instrText>
      </w:r>
      <w:r>
        <w:fldChar w:fldCharType="separate"/>
      </w:r>
      <w:r>
        <w:rPr>
          <w:rStyle w:val="17"/>
          <w:rFonts w:hint="eastAsia" w:ascii="仿宋" w:hAnsi="仿宋" w:eastAsia="仿宋"/>
          <w:sz w:val="28"/>
          <w:szCs w:val="28"/>
        </w:rPr>
        <w:t>十</w:t>
      </w:r>
      <w:r>
        <w:rPr>
          <w:rStyle w:val="17"/>
          <w:rFonts w:hint="eastAsia" w:ascii="仿宋" w:hAnsi="仿宋" w:eastAsia="仿宋" w:cstheme="majorBidi"/>
          <w:bCs/>
          <w:sz w:val="28"/>
          <w:szCs w:val="28"/>
        </w:rPr>
        <w:t>一、其他重要事项的情况说明</w:t>
      </w:r>
      <w:r>
        <w:rPr>
          <w:rFonts w:ascii="仿宋" w:hAnsi="仿宋" w:eastAsia="仿宋"/>
          <w:sz w:val="28"/>
          <w:szCs w:val="28"/>
        </w:rPr>
        <w:fldChar w:fldCharType="end"/>
      </w:r>
    </w:p>
    <w:p>
      <w:pPr>
        <w:pStyle w:val="10"/>
        <w:jc w:val="left"/>
        <w:rPr>
          <w:rFonts w:hint="eastAsia" w:eastAsia="仿宋" w:cstheme="minorBidi"/>
          <w:lang w:val="en-US" w:eastAsia="zh-CN"/>
        </w:rPr>
      </w:pPr>
      <w:r>
        <w:fldChar w:fldCharType="begin"/>
      </w:r>
      <w:r>
        <w:instrText xml:space="preserve"> HYPERLINK \l "_Toc15396613" </w:instrText>
      </w:r>
      <w:r>
        <w:fldChar w:fldCharType="separate"/>
      </w:r>
      <w:r>
        <w:rPr>
          <w:rStyle w:val="17"/>
          <w:rFonts w:hint="eastAsia"/>
          <w:bCs/>
          <w:kern w:val="44"/>
        </w:rPr>
        <w:t>第三部分</w:t>
      </w:r>
      <w:r>
        <w:rPr>
          <w:rStyle w:val="17"/>
          <w:rFonts w:hint="eastAsia"/>
        </w:rPr>
        <w:t xml:space="preserve"> 名</w:t>
      </w:r>
      <w:r>
        <w:rPr>
          <w:rStyle w:val="17"/>
          <w:rFonts w:hint="eastAsia"/>
          <w:bCs/>
          <w:kern w:val="44"/>
        </w:rPr>
        <w:t>词解释</w:t>
      </w:r>
      <w:r>
        <w:fldChar w:fldCharType="end"/>
      </w:r>
    </w:p>
    <w:p>
      <w:pPr>
        <w:pStyle w:val="10"/>
        <w:jc w:val="left"/>
        <w:rPr>
          <w:rFonts w:hint="eastAsia" w:eastAsia="仿宋" w:cstheme="minorBidi"/>
          <w:lang w:val="en-US" w:eastAsia="zh-CN"/>
        </w:rPr>
      </w:pPr>
      <w:r>
        <w:fldChar w:fldCharType="begin"/>
      </w:r>
      <w:r>
        <w:instrText xml:space="preserve"> HYPERLINK \l "_Toc15396614" </w:instrText>
      </w:r>
      <w:r>
        <w:fldChar w:fldCharType="separate"/>
      </w:r>
      <w:r>
        <w:rPr>
          <w:rStyle w:val="17"/>
          <w:rFonts w:hint="eastAsia"/>
        </w:rPr>
        <w:t>第</w:t>
      </w:r>
      <w:r>
        <w:rPr>
          <w:rStyle w:val="17"/>
          <w:rFonts w:hint="eastAsia"/>
          <w:bCs/>
          <w:kern w:val="44"/>
        </w:rPr>
        <w:t>四部分</w:t>
      </w:r>
      <w:r>
        <w:rPr>
          <w:rStyle w:val="17"/>
          <w:bCs/>
          <w:kern w:val="44"/>
        </w:rPr>
        <w:t xml:space="preserve"> </w:t>
      </w:r>
      <w:r>
        <w:rPr>
          <w:rStyle w:val="17"/>
          <w:rFonts w:hint="eastAsia"/>
          <w:bCs/>
          <w:kern w:val="44"/>
        </w:rPr>
        <w:t>附件</w:t>
      </w:r>
      <w:r>
        <w:fldChar w:fldCharType="end"/>
      </w:r>
    </w:p>
    <w:p>
      <w:pPr>
        <w:pStyle w:val="11"/>
        <w:ind w:left="0" w:leftChars="0" w:firstLine="0" w:firstLineChars="0"/>
        <w:jc w:val="left"/>
        <w:rPr>
          <w:rFonts w:ascii="仿宋" w:hAnsi="仿宋" w:eastAsia="仿宋"/>
          <w:sz w:val="28"/>
          <w:szCs w:val="28"/>
        </w:rPr>
      </w:pPr>
      <w:r>
        <w:fldChar w:fldCharType="begin"/>
      </w:r>
      <w:r>
        <w:instrText xml:space="preserve"> HYPERLINK \l "_Toc15396615" </w:instrText>
      </w:r>
      <w:r>
        <w:fldChar w:fldCharType="separate"/>
      </w:r>
      <w:r>
        <w:rPr>
          <w:rStyle w:val="17"/>
          <w:rFonts w:hint="eastAsia" w:ascii="仿宋" w:hAnsi="仿宋" w:eastAsia="仿宋"/>
          <w:kern w:val="44"/>
          <w:sz w:val="28"/>
          <w:szCs w:val="28"/>
        </w:rPr>
        <w:t>附件</w:t>
      </w:r>
      <w:r>
        <w:rPr>
          <w:rStyle w:val="17"/>
          <w:rFonts w:ascii="仿宋" w:hAnsi="仿宋" w:eastAsia="仿宋"/>
          <w:kern w:val="44"/>
          <w:sz w:val="28"/>
          <w:szCs w:val="28"/>
        </w:rPr>
        <w:t>1</w:t>
      </w:r>
      <w:r>
        <w:rPr>
          <w:rFonts w:ascii="仿宋" w:hAnsi="仿宋" w:eastAsia="仿宋"/>
          <w:sz w:val="28"/>
          <w:szCs w:val="28"/>
        </w:rPr>
        <w:fldChar w:fldCharType="end"/>
      </w:r>
    </w:p>
    <w:p>
      <w:pPr>
        <w:jc w:val="left"/>
        <w:rPr>
          <w:rFonts w:hint="eastAsia" w:eastAsia="仿宋"/>
          <w:lang w:eastAsia="zh-CN"/>
        </w:rPr>
      </w:pPr>
      <w:r>
        <w:rPr>
          <w:rFonts w:hint="eastAsia" w:ascii="仿宋" w:hAnsi="仿宋" w:eastAsia="仿宋"/>
          <w:sz w:val="28"/>
          <w:szCs w:val="28"/>
          <w:lang w:eastAsia="zh-CN"/>
        </w:rPr>
        <w:t>附件</w:t>
      </w:r>
      <w:r>
        <w:rPr>
          <w:rFonts w:hint="eastAsia" w:ascii="仿宋" w:hAnsi="仿宋" w:eastAsia="仿宋"/>
          <w:sz w:val="28"/>
          <w:szCs w:val="28"/>
          <w:lang w:val="en-US" w:eastAsia="zh-CN"/>
        </w:rPr>
        <w:t>2</w:t>
      </w:r>
    </w:p>
    <w:p>
      <w:pPr>
        <w:pStyle w:val="10"/>
        <w:jc w:val="left"/>
        <w:rPr>
          <w:rFonts w:hint="eastAsia" w:eastAsia="仿宋" w:cstheme="minorBidi"/>
          <w:lang w:val="en-US" w:eastAsia="zh-CN"/>
        </w:rPr>
      </w:pPr>
      <w:r>
        <w:fldChar w:fldCharType="begin"/>
      </w:r>
      <w:r>
        <w:instrText xml:space="preserve"> HYPERLINK \l "_Toc15396618" </w:instrText>
      </w:r>
      <w:r>
        <w:fldChar w:fldCharType="separate"/>
      </w:r>
      <w:r>
        <w:rPr>
          <w:rStyle w:val="17"/>
          <w:rFonts w:hint="eastAsia"/>
        </w:rPr>
        <w:t>第</w:t>
      </w:r>
      <w:r>
        <w:rPr>
          <w:rStyle w:val="17"/>
          <w:rFonts w:hint="eastAsia"/>
          <w:bCs/>
          <w:kern w:val="44"/>
        </w:rPr>
        <w:t>五部分</w:t>
      </w:r>
      <w:r>
        <w:rPr>
          <w:rStyle w:val="17"/>
          <w:bCs/>
          <w:kern w:val="44"/>
        </w:rPr>
        <w:t xml:space="preserve"> </w:t>
      </w:r>
      <w:r>
        <w:rPr>
          <w:rStyle w:val="17"/>
          <w:rFonts w:hint="eastAsia"/>
          <w:bCs/>
          <w:kern w:val="44"/>
        </w:rPr>
        <w:t>附表</w:t>
      </w:r>
      <w:r>
        <w:fldChar w:fldCharType="end"/>
      </w:r>
    </w:p>
    <w:p>
      <w:pPr>
        <w:pStyle w:val="11"/>
        <w:jc w:val="left"/>
        <w:rPr>
          <w:rFonts w:hint="eastAsia" w:ascii="仿宋" w:hAnsi="仿宋" w:eastAsia="仿宋" w:cstheme="minorBidi"/>
          <w:sz w:val="28"/>
          <w:szCs w:val="28"/>
          <w:lang w:val="en-US" w:eastAsia="zh-CN"/>
        </w:rPr>
      </w:pPr>
      <w:r>
        <w:rPr>
          <w:rFonts w:hint="eastAsia" w:ascii="仿宋" w:hAnsi="仿宋" w:eastAsia="仿宋"/>
          <w:sz w:val="28"/>
          <w:szCs w:val="28"/>
        </w:rPr>
        <w:t>一、</w:t>
      </w:r>
      <w:r>
        <w:fldChar w:fldCharType="begin"/>
      </w:r>
      <w:r>
        <w:instrText xml:space="preserve"> HYPERLINK \l "_Toc15396619" </w:instrText>
      </w:r>
      <w:r>
        <w:fldChar w:fldCharType="separate"/>
      </w:r>
      <w:r>
        <w:rPr>
          <w:rStyle w:val="17"/>
          <w:rFonts w:hint="eastAsia" w:ascii="仿宋" w:hAnsi="仿宋" w:eastAsia="仿宋"/>
          <w:sz w:val="28"/>
          <w:szCs w:val="28"/>
        </w:rPr>
        <w:t>收入支出决算总表</w:t>
      </w:r>
      <w:r>
        <w:rPr>
          <w:rFonts w:ascii="仿宋" w:hAnsi="仿宋" w:eastAsia="仿宋"/>
          <w:sz w:val="28"/>
          <w:szCs w:val="28"/>
        </w:rPr>
        <w:fldChar w:fldCharType="end"/>
      </w:r>
    </w:p>
    <w:p>
      <w:pPr>
        <w:pStyle w:val="11"/>
        <w:jc w:val="left"/>
        <w:rPr>
          <w:rFonts w:ascii="仿宋" w:hAnsi="仿宋" w:eastAsia="仿宋" w:cstheme="minorBidi"/>
          <w:sz w:val="28"/>
          <w:szCs w:val="28"/>
        </w:rPr>
      </w:pPr>
      <w:r>
        <w:rPr>
          <w:rFonts w:hint="eastAsia" w:ascii="仿宋" w:hAnsi="仿宋" w:eastAsia="仿宋"/>
          <w:sz w:val="28"/>
          <w:szCs w:val="28"/>
        </w:rPr>
        <w:t>二、</w:t>
      </w:r>
      <w:r>
        <w:fldChar w:fldCharType="begin"/>
      </w:r>
      <w:r>
        <w:instrText xml:space="preserve"> HYPERLINK \l "_Toc15396620" </w:instrText>
      </w:r>
      <w:r>
        <w:fldChar w:fldCharType="separate"/>
      </w:r>
      <w:r>
        <w:rPr>
          <w:rStyle w:val="17"/>
          <w:rFonts w:hint="eastAsia" w:ascii="仿宋" w:hAnsi="仿宋" w:eastAsia="仿宋"/>
          <w:sz w:val="28"/>
          <w:szCs w:val="28"/>
        </w:rPr>
        <w:t>收入总表</w:t>
      </w:r>
      <w:r>
        <w:rPr>
          <w:rFonts w:ascii="仿宋" w:hAnsi="仿宋" w:eastAsia="仿宋"/>
          <w:sz w:val="28"/>
          <w:szCs w:val="28"/>
        </w:rPr>
        <w:fldChar w:fldCharType="end"/>
      </w:r>
    </w:p>
    <w:p>
      <w:pPr>
        <w:pStyle w:val="11"/>
        <w:jc w:val="left"/>
        <w:rPr>
          <w:rFonts w:ascii="仿宋" w:hAnsi="仿宋" w:eastAsia="仿宋" w:cstheme="minorBidi"/>
          <w:sz w:val="28"/>
          <w:szCs w:val="28"/>
        </w:rPr>
      </w:pPr>
      <w:r>
        <w:rPr>
          <w:rFonts w:hint="eastAsia" w:ascii="仿宋" w:hAnsi="仿宋" w:eastAsia="仿宋"/>
          <w:sz w:val="28"/>
          <w:szCs w:val="28"/>
        </w:rPr>
        <w:t>三、</w:t>
      </w:r>
      <w:r>
        <w:fldChar w:fldCharType="begin"/>
      </w:r>
      <w:r>
        <w:instrText xml:space="preserve"> HYPERLINK \l "_Toc15396621" </w:instrText>
      </w:r>
      <w:r>
        <w:fldChar w:fldCharType="separate"/>
      </w:r>
      <w:r>
        <w:rPr>
          <w:rStyle w:val="17"/>
          <w:rFonts w:hint="eastAsia" w:ascii="仿宋" w:hAnsi="仿宋" w:eastAsia="仿宋"/>
          <w:sz w:val="28"/>
          <w:szCs w:val="28"/>
        </w:rPr>
        <w:t>支出总表</w:t>
      </w:r>
      <w:r>
        <w:rPr>
          <w:rFonts w:ascii="仿宋" w:hAnsi="仿宋" w:eastAsia="仿宋"/>
          <w:sz w:val="28"/>
          <w:szCs w:val="28"/>
        </w:rPr>
        <w:fldChar w:fldCharType="end"/>
      </w:r>
    </w:p>
    <w:p>
      <w:pPr>
        <w:pStyle w:val="11"/>
        <w:jc w:val="left"/>
        <w:rPr>
          <w:rFonts w:ascii="仿宋" w:hAnsi="仿宋" w:eastAsia="仿宋" w:cstheme="minorBidi"/>
          <w:sz w:val="28"/>
          <w:szCs w:val="28"/>
        </w:rPr>
      </w:pPr>
      <w:r>
        <w:rPr>
          <w:rFonts w:hint="eastAsia" w:ascii="仿宋" w:hAnsi="仿宋" w:eastAsia="仿宋"/>
          <w:sz w:val="28"/>
          <w:szCs w:val="28"/>
        </w:rPr>
        <w:t>四、</w:t>
      </w:r>
      <w:r>
        <w:fldChar w:fldCharType="begin"/>
      </w:r>
      <w:r>
        <w:instrText xml:space="preserve"> HYPERLINK \l "_Toc15396622" </w:instrText>
      </w:r>
      <w:r>
        <w:fldChar w:fldCharType="separate"/>
      </w:r>
      <w:r>
        <w:rPr>
          <w:rStyle w:val="17"/>
          <w:rFonts w:hint="eastAsia" w:ascii="仿宋" w:hAnsi="仿宋" w:eastAsia="仿宋"/>
          <w:sz w:val="28"/>
          <w:szCs w:val="28"/>
        </w:rPr>
        <w:t>财政拨款收入支出决算总表</w:t>
      </w:r>
      <w:r>
        <w:rPr>
          <w:rFonts w:ascii="仿宋" w:hAnsi="仿宋" w:eastAsia="仿宋"/>
          <w:sz w:val="28"/>
          <w:szCs w:val="28"/>
        </w:rPr>
        <w:fldChar w:fldCharType="end"/>
      </w:r>
    </w:p>
    <w:p>
      <w:pPr>
        <w:pStyle w:val="11"/>
        <w:jc w:val="left"/>
        <w:rPr>
          <w:rFonts w:ascii="仿宋" w:hAnsi="仿宋" w:eastAsia="仿宋"/>
          <w:sz w:val="28"/>
          <w:szCs w:val="28"/>
        </w:rPr>
      </w:pPr>
      <w:r>
        <w:rPr>
          <w:rFonts w:hint="eastAsia" w:ascii="仿宋" w:hAnsi="仿宋" w:eastAsia="仿宋"/>
          <w:sz w:val="28"/>
          <w:szCs w:val="28"/>
        </w:rPr>
        <w:t>五、</w:t>
      </w:r>
      <w:r>
        <w:fldChar w:fldCharType="begin"/>
      </w:r>
      <w:r>
        <w:instrText xml:space="preserve"> HYPERLINK \l "_Toc15396623" </w:instrText>
      </w:r>
      <w:r>
        <w:fldChar w:fldCharType="separate"/>
      </w:r>
      <w:r>
        <w:rPr>
          <w:rFonts w:hint="eastAsia" w:ascii="仿宋" w:hAnsi="仿宋" w:eastAsia="仿宋"/>
          <w:sz w:val="28"/>
          <w:szCs w:val="28"/>
        </w:rPr>
        <w:t>财政拨款支出决算明细表（政府经济分类科目）</w:t>
      </w:r>
      <w:r>
        <w:rPr>
          <w:rFonts w:ascii="仿宋" w:hAnsi="仿宋" w:eastAsia="仿宋"/>
          <w:sz w:val="28"/>
          <w:szCs w:val="28"/>
        </w:rPr>
        <w:fldChar w:fldCharType="end"/>
      </w:r>
    </w:p>
    <w:p>
      <w:pPr>
        <w:pStyle w:val="11"/>
        <w:jc w:val="left"/>
        <w:rPr>
          <w:rFonts w:ascii="仿宋" w:hAnsi="仿宋" w:eastAsia="仿宋" w:cstheme="minorBidi"/>
          <w:sz w:val="28"/>
          <w:szCs w:val="28"/>
        </w:rPr>
      </w:pPr>
      <w:r>
        <w:rPr>
          <w:rFonts w:hint="eastAsia" w:ascii="仿宋" w:hAnsi="仿宋" w:eastAsia="仿宋"/>
          <w:sz w:val="28"/>
          <w:szCs w:val="28"/>
        </w:rPr>
        <w:t>六、</w:t>
      </w:r>
      <w:r>
        <w:fldChar w:fldCharType="begin"/>
      </w:r>
      <w:r>
        <w:instrText xml:space="preserve"> HYPERLINK \l "_Toc15396624" </w:instrText>
      </w:r>
      <w:r>
        <w:fldChar w:fldCharType="separate"/>
      </w:r>
      <w:r>
        <w:rPr>
          <w:rStyle w:val="17"/>
          <w:rFonts w:hint="eastAsia" w:ascii="仿宋" w:hAnsi="仿宋" w:eastAsia="仿宋"/>
          <w:sz w:val="28"/>
          <w:szCs w:val="28"/>
        </w:rPr>
        <w:t>一般公共预算财政拨款支出决算表</w:t>
      </w:r>
      <w:r>
        <w:rPr>
          <w:rFonts w:ascii="仿宋" w:hAnsi="仿宋" w:eastAsia="仿宋"/>
          <w:sz w:val="28"/>
          <w:szCs w:val="28"/>
        </w:rPr>
        <w:fldChar w:fldCharType="end"/>
      </w:r>
    </w:p>
    <w:p>
      <w:pPr>
        <w:pStyle w:val="11"/>
        <w:jc w:val="left"/>
        <w:rPr>
          <w:rFonts w:ascii="仿宋" w:hAnsi="仿宋" w:eastAsia="仿宋" w:cstheme="minorBidi"/>
          <w:sz w:val="28"/>
          <w:szCs w:val="28"/>
        </w:rPr>
      </w:pPr>
      <w:r>
        <w:rPr>
          <w:rFonts w:hint="eastAsia" w:ascii="仿宋" w:hAnsi="仿宋" w:eastAsia="仿宋"/>
          <w:sz w:val="28"/>
          <w:szCs w:val="28"/>
        </w:rPr>
        <w:t>七、</w:t>
      </w:r>
      <w:r>
        <w:fldChar w:fldCharType="begin"/>
      </w:r>
      <w:r>
        <w:instrText xml:space="preserve"> HYPERLINK \l "_Toc15396625" </w:instrText>
      </w:r>
      <w:r>
        <w:fldChar w:fldCharType="separate"/>
      </w:r>
      <w:r>
        <w:rPr>
          <w:rStyle w:val="17"/>
          <w:rFonts w:hint="eastAsia" w:ascii="仿宋" w:hAnsi="仿宋" w:eastAsia="仿宋"/>
          <w:sz w:val="28"/>
          <w:szCs w:val="28"/>
        </w:rPr>
        <w:t>一般公共预算财政拨款支出决算明细表</w:t>
      </w:r>
      <w:r>
        <w:rPr>
          <w:rFonts w:ascii="仿宋" w:hAnsi="仿宋" w:eastAsia="仿宋"/>
          <w:sz w:val="28"/>
          <w:szCs w:val="28"/>
        </w:rPr>
        <w:fldChar w:fldCharType="end"/>
      </w:r>
    </w:p>
    <w:p>
      <w:pPr>
        <w:pStyle w:val="11"/>
        <w:jc w:val="left"/>
        <w:rPr>
          <w:rFonts w:ascii="仿宋" w:hAnsi="仿宋" w:eastAsia="仿宋" w:cstheme="minorBidi"/>
          <w:sz w:val="28"/>
          <w:szCs w:val="28"/>
        </w:rPr>
      </w:pPr>
      <w:r>
        <w:rPr>
          <w:rFonts w:hint="eastAsia" w:ascii="仿宋" w:hAnsi="仿宋" w:eastAsia="仿宋"/>
          <w:sz w:val="28"/>
          <w:szCs w:val="28"/>
        </w:rPr>
        <w:t>八、</w:t>
      </w:r>
      <w:r>
        <w:fldChar w:fldCharType="begin"/>
      </w:r>
      <w:r>
        <w:instrText xml:space="preserve"> HYPERLINK \l "_Toc15396626" </w:instrText>
      </w:r>
      <w:r>
        <w:fldChar w:fldCharType="separate"/>
      </w:r>
      <w:r>
        <w:rPr>
          <w:rStyle w:val="17"/>
          <w:rFonts w:hint="eastAsia" w:ascii="仿宋" w:hAnsi="仿宋" w:eastAsia="仿宋"/>
          <w:sz w:val="28"/>
          <w:szCs w:val="28"/>
        </w:rPr>
        <w:t>一般公共预算财政拨款基本支出决算表</w:t>
      </w:r>
      <w:r>
        <w:rPr>
          <w:rFonts w:ascii="仿宋" w:hAnsi="仿宋" w:eastAsia="仿宋"/>
          <w:sz w:val="28"/>
          <w:szCs w:val="28"/>
        </w:rPr>
        <w:fldChar w:fldCharType="end"/>
      </w:r>
    </w:p>
    <w:p>
      <w:pPr>
        <w:pStyle w:val="11"/>
        <w:jc w:val="left"/>
        <w:rPr>
          <w:rFonts w:ascii="仿宋" w:hAnsi="仿宋" w:eastAsia="仿宋" w:cstheme="minorBidi"/>
          <w:sz w:val="28"/>
          <w:szCs w:val="28"/>
        </w:rPr>
      </w:pPr>
      <w:r>
        <w:rPr>
          <w:rFonts w:hint="eastAsia" w:ascii="仿宋" w:hAnsi="仿宋" w:eastAsia="仿宋"/>
          <w:sz w:val="28"/>
          <w:szCs w:val="28"/>
        </w:rPr>
        <w:t>九、</w:t>
      </w:r>
      <w:r>
        <w:fldChar w:fldCharType="begin"/>
      </w:r>
      <w:r>
        <w:instrText xml:space="preserve"> HYPERLINK \l "_Toc15396627" </w:instrText>
      </w:r>
      <w:r>
        <w:fldChar w:fldCharType="separate"/>
      </w:r>
      <w:r>
        <w:rPr>
          <w:rStyle w:val="17"/>
          <w:rFonts w:hint="eastAsia" w:ascii="仿宋" w:hAnsi="仿宋" w:eastAsia="仿宋"/>
          <w:sz w:val="28"/>
          <w:szCs w:val="28"/>
        </w:rPr>
        <w:t>一般公共预算财政拨款项目支出决算表</w:t>
      </w:r>
      <w:r>
        <w:rPr>
          <w:rFonts w:ascii="仿宋" w:hAnsi="仿宋" w:eastAsia="仿宋"/>
          <w:sz w:val="28"/>
          <w:szCs w:val="28"/>
        </w:rPr>
        <w:fldChar w:fldCharType="end"/>
      </w:r>
    </w:p>
    <w:p>
      <w:pPr>
        <w:pStyle w:val="11"/>
        <w:jc w:val="left"/>
        <w:rPr>
          <w:rFonts w:ascii="仿宋" w:hAnsi="仿宋" w:eastAsia="仿宋" w:cstheme="minorBidi"/>
          <w:sz w:val="28"/>
          <w:szCs w:val="28"/>
        </w:rPr>
      </w:pPr>
      <w:r>
        <w:rPr>
          <w:rFonts w:hint="eastAsia" w:ascii="仿宋" w:hAnsi="仿宋" w:eastAsia="仿宋"/>
          <w:sz w:val="28"/>
          <w:szCs w:val="28"/>
        </w:rPr>
        <w:t>十、</w:t>
      </w:r>
      <w:r>
        <w:fldChar w:fldCharType="begin"/>
      </w:r>
      <w:r>
        <w:instrText xml:space="preserve"> HYPERLINK \l "_Toc15396628" </w:instrText>
      </w:r>
      <w:r>
        <w:fldChar w:fldCharType="separate"/>
      </w:r>
      <w:r>
        <w:rPr>
          <w:rStyle w:val="17"/>
          <w:rFonts w:hint="eastAsia" w:ascii="仿宋" w:hAnsi="仿宋" w:eastAsia="仿宋"/>
          <w:sz w:val="28"/>
          <w:szCs w:val="28"/>
        </w:rPr>
        <w:t>一般公共预算财政拨款“三公”经费支出决算表</w:t>
      </w:r>
      <w:r>
        <w:rPr>
          <w:rFonts w:ascii="仿宋" w:hAnsi="仿宋" w:eastAsia="仿宋"/>
          <w:sz w:val="28"/>
          <w:szCs w:val="28"/>
        </w:rPr>
        <w:fldChar w:fldCharType="end"/>
      </w:r>
    </w:p>
    <w:p>
      <w:pPr>
        <w:pStyle w:val="11"/>
        <w:jc w:val="left"/>
        <w:rPr>
          <w:rFonts w:ascii="仿宋" w:hAnsi="仿宋" w:eastAsia="仿宋" w:cstheme="minorBidi"/>
          <w:sz w:val="28"/>
          <w:szCs w:val="28"/>
        </w:rPr>
      </w:pPr>
      <w:r>
        <w:rPr>
          <w:rFonts w:hint="eastAsia" w:ascii="仿宋" w:hAnsi="仿宋" w:eastAsia="仿宋"/>
          <w:sz w:val="28"/>
          <w:szCs w:val="28"/>
        </w:rPr>
        <w:t>十一、</w:t>
      </w:r>
      <w:r>
        <w:fldChar w:fldCharType="begin"/>
      </w:r>
      <w:r>
        <w:instrText xml:space="preserve"> HYPERLINK \l "_Toc15396629" </w:instrText>
      </w:r>
      <w:r>
        <w:fldChar w:fldCharType="separate"/>
      </w:r>
      <w:r>
        <w:rPr>
          <w:rStyle w:val="17"/>
          <w:rFonts w:hint="eastAsia" w:ascii="仿宋" w:hAnsi="仿宋" w:eastAsia="仿宋"/>
          <w:sz w:val="28"/>
          <w:szCs w:val="28"/>
        </w:rPr>
        <w:t>政府性基金预算财政拨款收入支出决算表</w:t>
      </w:r>
      <w:r>
        <w:rPr>
          <w:rFonts w:ascii="仿宋" w:hAnsi="仿宋" w:eastAsia="仿宋"/>
          <w:sz w:val="28"/>
          <w:szCs w:val="28"/>
        </w:rPr>
        <w:fldChar w:fldCharType="end"/>
      </w:r>
    </w:p>
    <w:p>
      <w:pPr>
        <w:pStyle w:val="11"/>
        <w:jc w:val="left"/>
        <w:rPr>
          <w:rFonts w:ascii="仿宋" w:hAnsi="仿宋" w:eastAsia="仿宋" w:cstheme="minorBidi"/>
          <w:sz w:val="28"/>
          <w:szCs w:val="28"/>
        </w:rPr>
      </w:pPr>
      <w:r>
        <w:rPr>
          <w:rFonts w:hint="eastAsia" w:ascii="仿宋" w:hAnsi="仿宋" w:eastAsia="仿宋"/>
          <w:sz w:val="28"/>
          <w:szCs w:val="28"/>
        </w:rPr>
        <w:t>十二、</w:t>
      </w:r>
      <w:r>
        <w:fldChar w:fldCharType="begin"/>
      </w:r>
      <w:r>
        <w:instrText xml:space="preserve"> HYPERLINK \l "_Toc15396630" </w:instrText>
      </w:r>
      <w:r>
        <w:fldChar w:fldCharType="separate"/>
      </w:r>
      <w:r>
        <w:rPr>
          <w:rStyle w:val="17"/>
          <w:rFonts w:hint="eastAsia" w:ascii="仿宋" w:hAnsi="仿宋" w:eastAsia="仿宋"/>
          <w:sz w:val="28"/>
          <w:szCs w:val="28"/>
        </w:rPr>
        <w:t>政府性基金预算财政拨款“三公”经费支出决算表</w:t>
      </w:r>
      <w:r>
        <w:rPr>
          <w:rFonts w:ascii="仿宋" w:hAnsi="仿宋" w:eastAsia="仿宋"/>
          <w:sz w:val="28"/>
          <w:szCs w:val="28"/>
        </w:rPr>
        <w:fldChar w:fldCharType="end"/>
      </w:r>
    </w:p>
    <w:p>
      <w:pPr>
        <w:pStyle w:val="11"/>
        <w:jc w:val="left"/>
        <w:rPr>
          <w:rFonts w:ascii="仿宋" w:hAnsi="仿宋" w:eastAsia="仿宋"/>
          <w:sz w:val="28"/>
          <w:szCs w:val="28"/>
        </w:rPr>
      </w:pPr>
      <w:r>
        <w:rPr>
          <w:rFonts w:hint="eastAsia" w:ascii="仿宋" w:hAnsi="仿宋" w:eastAsia="仿宋"/>
          <w:sz w:val="28"/>
          <w:szCs w:val="28"/>
        </w:rPr>
        <w:t>十三、</w:t>
      </w:r>
      <w:r>
        <w:fldChar w:fldCharType="begin"/>
      </w:r>
      <w:r>
        <w:instrText xml:space="preserve"> HYPERLINK \l "_Toc15396631" </w:instrText>
      </w:r>
      <w:r>
        <w:fldChar w:fldCharType="separate"/>
      </w:r>
      <w:r>
        <w:rPr>
          <w:rStyle w:val="17"/>
          <w:rFonts w:hint="eastAsia" w:ascii="仿宋" w:hAnsi="仿宋" w:eastAsia="仿宋"/>
          <w:sz w:val="28"/>
          <w:szCs w:val="28"/>
        </w:rPr>
        <w:t>国有资本经营预算支出决算表</w:t>
      </w:r>
      <w:r>
        <w:rPr>
          <w:rFonts w:ascii="仿宋" w:hAnsi="仿宋" w:eastAsia="仿宋"/>
          <w:sz w:val="28"/>
          <w:szCs w:val="28"/>
        </w:rPr>
        <w:fldChar w:fldCharType="end"/>
      </w:r>
    </w:p>
    <w:p>
      <w:pPr>
        <w:ind w:firstLine="320" w:firstLineChars="100"/>
        <w:rPr>
          <w:rStyle w:val="27"/>
          <w:rFonts w:hint="eastAsia" w:ascii="仿宋" w:hAnsi="仿宋" w:eastAsia="仿宋"/>
          <w:b w:val="0"/>
          <w:bCs w:val="0"/>
          <w:lang w:val="en-US" w:eastAsia="zh-CN"/>
        </w:rPr>
      </w:pPr>
      <w:r>
        <w:rPr>
          <w:rStyle w:val="27"/>
          <w:rFonts w:hint="eastAsia" w:ascii="仿宋" w:hAnsi="仿宋" w:eastAsia="仿宋"/>
          <w:b w:val="0"/>
          <w:bCs w:val="0"/>
          <w:lang w:val="en-US" w:eastAsia="zh-CN"/>
        </w:rPr>
        <w:t>十四、整体支出绩效评价打分表</w:t>
      </w:r>
    </w:p>
    <w:p>
      <w:pPr>
        <w:ind w:firstLine="320" w:firstLineChars="100"/>
        <w:rPr>
          <w:rStyle w:val="27"/>
          <w:rFonts w:hint="eastAsia" w:ascii="仿宋" w:hAnsi="仿宋" w:eastAsia="仿宋"/>
          <w:b w:val="0"/>
          <w:bCs w:val="0"/>
          <w:lang w:val="en-US" w:eastAsia="zh-CN"/>
        </w:rPr>
      </w:pPr>
      <w:r>
        <w:rPr>
          <w:rStyle w:val="27"/>
          <w:rFonts w:hint="eastAsia" w:ascii="仿宋" w:hAnsi="仿宋" w:eastAsia="仿宋"/>
          <w:b w:val="0"/>
          <w:bCs w:val="0"/>
          <w:lang w:val="en-US" w:eastAsia="zh-CN"/>
        </w:rPr>
        <w:t>十五、项目支出绩效评价打分表</w:t>
      </w:r>
    </w:p>
    <w:p/>
    <w:p>
      <w:pPr>
        <w:widowControl/>
        <w:jc w:val="left"/>
        <w:rPr>
          <w:rFonts w:ascii="仿宋" w:hAnsi="仿宋" w:eastAsia="仿宋"/>
          <w:color w:val="000000"/>
          <w:sz w:val="24"/>
        </w:rPr>
      </w:pPr>
      <w:r>
        <w:rPr>
          <w:rFonts w:ascii="仿宋" w:hAnsi="仿宋" w:eastAsia="仿宋"/>
          <w:color w:val="000000"/>
          <w:sz w:val="24"/>
        </w:rPr>
        <w:fldChar w:fldCharType="end"/>
      </w:r>
    </w:p>
    <w:p>
      <w:pPr>
        <w:widowControl/>
        <w:jc w:val="left"/>
        <w:rPr>
          <w:rFonts w:ascii="黑体" w:hAnsi="黑体" w:eastAsia="黑体"/>
          <w:bCs/>
          <w:kern w:val="44"/>
          <w:sz w:val="44"/>
          <w:szCs w:val="44"/>
        </w:rPr>
      </w:pPr>
      <w:bookmarkStart w:id="12" w:name="_Toc15396599"/>
      <w:bookmarkStart w:id="13" w:name="_Toc15377196"/>
      <w:r>
        <w:rPr>
          <w:rFonts w:ascii="黑体" w:hAnsi="黑体" w:eastAsia="黑体"/>
          <w:b/>
        </w:rPr>
        <w:br w:type="page"/>
      </w:r>
    </w:p>
    <w:p>
      <w:pPr>
        <w:pStyle w:val="2"/>
        <w:jc w:val="center"/>
        <w:rPr>
          <w:rFonts w:ascii="黑体" w:eastAsia="黑体"/>
          <w:color w:val="000000"/>
          <w:sz w:val="32"/>
          <w:szCs w:val="32"/>
        </w:rPr>
      </w:pPr>
      <w:r>
        <w:rPr>
          <w:rFonts w:hint="eastAsia" w:ascii="黑体" w:hAnsi="黑体" w:eastAsia="黑体"/>
          <w:b w:val="0"/>
        </w:rPr>
        <w:t xml:space="preserve">第一部分 </w:t>
      </w:r>
      <w:r>
        <w:rPr>
          <w:rStyle w:val="26"/>
          <w:rFonts w:hint="eastAsia" w:ascii="黑体" w:hAnsi="黑体" w:eastAsia="黑体"/>
          <w:b w:val="0"/>
          <w:bCs w:val="0"/>
        </w:rPr>
        <w:t>部门概况</w:t>
      </w:r>
      <w:bookmarkEnd w:id="12"/>
      <w:bookmarkEnd w:id="13"/>
    </w:p>
    <w:p>
      <w:pPr>
        <w:pStyle w:val="3"/>
        <w:numPr>
          <w:ilvl w:val="0"/>
          <w:numId w:val="1"/>
        </w:numPr>
        <w:rPr>
          <w:rStyle w:val="27"/>
          <w:rFonts w:hint="eastAsia" w:ascii="黑体" w:hAnsi="黑体" w:eastAsia="黑体"/>
          <w:b w:val="0"/>
          <w:bCs w:val="0"/>
        </w:rPr>
      </w:pPr>
      <w:bookmarkStart w:id="14" w:name="_Toc15396600"/>
      <w:bookmarkStart w:id="15" w:name="_Toc15377197"/>
      <w:r>
        <w:rPr>
          <w:rFonts w:hint="eastAsia" w:ascii="黑体" w:hAnsi="黑体" w:eastAsia="黑体"/>
          <w:b w:val="0"/>
          <w:color w:val="000000"/>
        </w:rPr>
        <w:t>基</w:t>
      </w:r>
      <w:r>
        <w:rPr>
          <w:rStyle w:val="27"/>
          <w:rFonts w:hint="eastAsia" w:ascii="黑体" w:hAnsi="黑体" w:eastAsia="黑体"/>
          <w:b w:val="0"/>
          <w:bCs w:val="0"/>
        </w:rPr>
        <w:t>本职能及主要工作</w:t>
      </w:r>
      <w:bookmarkEnd w:id="14"/>
      <w:bookmarkEnd w:id="15"/>
      <w:bookmarkStart w:id="16" w:name="_Toc15378445"/>
      <w:bookmarkStart w:id="17" w:name="_Toc15377198"/>
    </w:p>
    <w:p>
      <w:pPr>
        <w:rPr>
          <w:rFonts w:hint="eastAsia" w:ascii="Calibri" w:hAnsi="Calibri" w:eastAsia="仿宋_GB2312"/>
          <w:sz w:val="30"/>
          <w:szCs w:val="30"/>
        </w:rPr>
      </w:pPr>
      <w:r>
        <w:rPr>
          <w:rFonts w:hint="eastAsia" w:ascii="Calibri" w:hAnsi="Calibri" w:eastAsia="仿宋_GB2312"/>
          <w:sz w:val="30"/>
          <w:szCs w:val="30"/>
        </w:rPr>
        <w:t>（一）主要职能</w:t>
      </w:r>
      <w:bookmarkEnd w:id="16"/>
      <w:bookmarkEnd w:id="17"/>
    </w:p>
    <w:p>
      <w:pPr>
        <w:rPr>
          <w:rFonts w:hint="eastAsia" w:ascii="仿宋" w:hAnsi="仿宋" w:eastAsia="仿宋"/>
          <w:bCs/>
          <w:color w:val="000000"/>
          <w:sz w:val="32"/>
          <w:szCs w:val="32"/>
        </w:rPr>
      </w:pPr>
      <w:r>
        <w:rPr>
          <w:rFonts w:hint="eastAsia" w:ascii="Calibri" w:hAnsi="Calibri" w:eastAsia="仿宋_GB2312"/>
          <w:sz w:val="30"/>
          <w:szCs w:val="30"/>
        </w:rPr>
        <w:t>红原县</w:t>
      </w:r>
      <w:r>
        <w:rPr>
          <w:rFonts w:hint="eastAsia" w:ascii="Calibri" w:hAnsi="Calibri" w:eastAsia="仿宋_GB2312"/>
          <w:sz w:val="30"/>
          <w:szCs w:val="30"/>
          <w:lang w:eastAsia="zh-CN"/>
        </w:rPr>
        <w:t>红原县卫生和计划生育监督执法大队</w:t>
      </w:r>
      <w:r>
        <w:rPr>
          <w:rFonts w:hint="eastAsia" w:ascii="仿宋_GB2312" w:hAnsi="Calibri" w:eastAsia="仿宋_GB2312"/>
          <w:sz w:val="30"/>
          <w:szCs w:val="30"/>
        </w:rPr>
        <w:t>是</w:t>
      </w:r>
      <w:r>
        <w:rPr>
          <w:rFonts w:hint="eastAsia" w:ascii="仿宋_GB2312" w:hAnsi="Calibri" w:eastAsia="仿宋_GB2312"/>
          <w:sz w:val="30"/>
          <w:szCs w:val="30"/>
          <w:lang w:eastAsia="zh-CN"/>
        </w:rPr>
        <w:t>参公事业单位</w:t>
      </w:r>
      <w:r>
        <w:rPr>
          <w:rFonts w:hint="eastAsia" w:ascii="仿宋_GB2312" w:hAnsi="Calibri" w:eastAsia="仿宋_GB2312"/>
          <w:sz w:val="30"/>
          <w:szCs w:val="30"/>
        </w:rPr>
        <w:t>。其主要职责：</w:t>
      </w:r>
      <w:r>
        <w:rPr>
          <w:rFonts w:hint="eastAsia" w:ascii="仿宋_GB2312" w:hAnsi="仿宋_GB2312" w:eastAsia="仿宋_GB2312" w:cs="仿宋_GB2312"/>
          <w:color w:val="000000"/>
          <w:sz w:val="32"/>
          <w:szCs w:val="32"/>
          <w:lang w:val="en-US" w:eastAsia="zh-CN"/>
        </w:rPr>
        <w:t>依据《传染病防治法》、《职业病防治法》、《公共场所卫生管理条例》等卫生法律法规，行驶卫生监督执法权，承办卫生行政许可；负责公共场所的卫生条件及其从业人员的健康管理开展监督检查；负责用人单位开展职业健康监护情况进行卫生监督检查；负责学校、托幼机构的公共场所、传染病和生活饮用水等卫生开展综合监管。</w:t>
      </w:r>
    </w:p>
    <w:p>
      <w:pPr>
        <w:pStyle w:val="5"/>
        <w:adjustRightInd w:val="0"/>
        <w:snapToGrid w:val="0"/>
        <w:spacing w:before="93" w:line="600" w:lineRule="exact"/>
        <w:outlineLvl w:val="2"/>
        <w:rPr>
          <w:rFonts w:hint="eastAsia" w:ascii="仿宋" w:hAnsi="仿宋" w:eastAsia="仿宋"/>
          <w:bCs/>
          <w:color w:val="000000"/>
          <w:sz w:val="32"/>
          <w:szCs w:val="32"/>
        </w:rPr>
      </w:pPr>
      <w:bookmarkStart w:id="18" w:name="_Toc15378446"/>
      <w:bookmarkStart w:id="19" w:name="_Toc15377199"/>
      <w:r>
        <w:rPr>
          <w:rFonts w:hint="eastAsia" w:ascii="仿宋" w:hAnsi="仿宋" w:eastAsia="仿宋"/>
          <w:bCs/>
          <w:color w:val="000000"/>
          <w:sz w:val="32"/>
          <w:szCs w:val="32"/>
        </w:rPr>
        <w:t>（二）</w:t>
      </w:r>
      <w:r>
        <w:rPr>
          <w:rFonts w:ascii="仿宋" w:hAnsi="仿宋" w:eastAsia="仿宋"/>
          <w:bCs/>
          <w:color w:val="000000"/>
          <w:sz w:val="32"/>
          <w:szCs w:val="32"/>
        </w:rPr>
        <w:t>201</w:t>
      </w:r>
      <w:r>
        <w:rPr>
          <w:rFonts w:hint="eastAsia" w:ascii="仿宋" w:hAnsi="仿宋" w:eastAsia="仿宋"/>
          <w:bCs/>
          <w:color w:val="000000"/>
          <w:sz w:val="32"/>
          <w:szCs w:val="32"/>
        </w:rPr>
        <w:t>8年重点工作完成情况。</w:t>
      </w:r>
      <w:bookmarkEnd w:id="18"/>
      <w:bookmarkEnd w:id="19"/>
    </w:p>
    <w:p>
      <w:pPr>
        <w:numPr>
          <w:ilvl w:val="0"/>
          <w:numId w:val="0"/>
        </w:numPr>
        <w:ind w:left="0" w:leftChars="0" w:firstLine="720" w:firstLineChars="225"/>
        <w:rPr>
          <w:rFonts w:hint="eastAsia" w:ascii="仿宋_GB2312" w:hAnsi="仿宋_GB2312" w:eastAsia="仿宋_GB2312" w:cs="仿宋_GB2312"/>
          <w:color w:val="000000"/>
          <w:sz w:val="32"/>
          <w:szCs w:val="32"/>
          <w:lang w:val="en-US" w:eastAsia="zh-CN"/>
        </w:rPr>
      </w:pPr>
      <w:bookmarkStart w:id="20" w:name="_Toc15377200"/>
      <w:bookmarkStart w:id="21" w:name="_Toc15396601"/>
      <w:r>
        <w:rPr>
          <w:rFonts w:hint="eastAsia" w:ascii="仿宋_GB2312" w:hAnsi="仿宋_GB2312" w:eastAsia="仿宋_GB2312" w:cs="仿宋_GB2312"/>
          <w:color w:val="000000"/>
          <w:sz w:val="32"/>
          <w:szCs w:val="32"/>
          <w:lang w:val="en-US" w:eastAsia="zh-CN"/>
        </w:rPr>
        <w:t>加强能力建设，坚持“案例评析”、“卫生监督员案件主办”等制度，着力提高卫生监督员的业务素质和案件办理质量；狠抓工作落实，在全面完成省、州卫生监督重点工作目标的基础上，实现重点工作的突破，抓出工作的亮点。进一步加强业务人员的学习培训，不断提高业务能力，继续加强监督员廉政建设，规范监督员纪律，以科学发展观指导工作。进一步学习、宣传、贯彻党的第十八次代表大会精神，全面贯彻落实科学发展观；紧紧围绕县委、政府的中心工作，严格按照《传染病防治法》、《执业医师法》、《母婴保健法》、《献血法》、《传染病防治法》、《学校卫生管理条例》、《突发公共卫生事件应急处理条例》及《医疗机构管理条例》等法律法规开展各项监督工作。</w:t>
      </w:r>
    </w:p>
    <w:p>
      <w:pPr>
        <w:numPr>
          <w:ilvl w:val="0"/>
          <w:numId w:val="0"/>
        </w:numPr>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1、</w:t>
      </w:r>
      <w:r>
        <w:rPr>
          <w:rFonts w:hint="eastAsia" w:ascii="仿宋_GB2312" w:hAnsi="仿宋_GB2312" w:eastAsia="仿宋_GB2312" w:cs="仿宋_GB2312"/>
          <w:color w:val="000000"/>
          <w:sz w:val="32"/>
          <w:szCs w:val="32"/>
        </w:rPr>
        <w:t>职业卫生监督检查工作  按照属地化管理原则，加强领导，明确责任，在日常卫生监督检查工作的基础上，根据省、州</w:t>
      </w:r>
      <w:r>
        <w:rPr>
          <w:rFonts w:hint="eastAsia" w:ascii="仿宋_GB2312" w:hAnsi="仿宋_GB2312" w:eastAsia="仿宋_GB2312" w:cs="仿宋_GB2312"/>
          <w:color w:val="000000"/>
          <w:sz w:val="32"/>
          <w:szCs w:val="32"/>
          <w:lang w:eastAsia="zh-CN"/>
        </w:rPr>
        <w:t>2017</w:t>
      </w:r>
      <w:r>
        <w:rPr>
          <w:rFonts w:hint="eastAsia" w:ascii="仿宋_GB2312" w:hAnsi="仿宋_GB2312" w:eastAsia="仿宋_GB2312" w:cs="仿宋_GB2312"/>
          <w:color w:val="000000"/>
          <w:sz w:val="32"/>
          <w:szCs w:val="32"/>
        </w:rPr>
        <w:t>年职业卫生重点监督检查计划，制定具体实施方案，加强对职业健康检查、用人企业单位职业病危害因数的排查力度。同时，要加强职业病防治工作的指导，积极宣传贯彻职业病防治有关法律法规和标准。</w:t>
      </w:r>
    </w:p>
    <w:p>
      <w:pPr>
        <w:numPr>
          <w:ilvl w:val="0"/>
          <w:numId w:val="0"/>
        </w:numPr>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放射卫生监督检查工作  检查辖区内各类放射诊疗机构放射防护工作情况，重点检查《放射诊疗许可证》和《放射工作人员证》持有情况，放射诊疗建设项目职业病危害评价情况、设备状态检测情况、放射工作人员个人剂量监测及职业健康监护情况等。</w:t>
      </w:r>
    </w:p>
    <w:p>
      <w:pPr>
        <w:numPr>
          <w:ilvl w:val="0"/>
          <w:numId w:val="0"/>
        </w:numPr>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生活饮用水、公共场所、消毒产品及涉水产品卫生监督抽检工作  根据省、州卫生监督抽检计划，结合实际，在明年制定具体的实施方案，按照相关法律法规、标准和规范的要求，确保抽检程序合法、结果准确可靠。发现违法行为，依法查处。进一步搞好公共场所卫生量化分级管理工作和从业人员培训工作，认真完成各项工作任务。</w:t>
      </w:r>
    </w:p>
    <w:p>
      <w:pPr>
        <w:pStyle w:val="3"/>
        <w:rPr>
          <w:rStyle w:val="27"/>
          <w:rFonts w:hint="eastAsia" w:ascii="黑体" w:hAnsi="黑体" w:eastAsia="黑体"/>
          <w:b w:val="0"/>
          <w:bCs w:val="0"/>
        </w:rPr>
      </w:pPr>
      <w:r>
        <w:rPr>
          <w:rFonts w:hint="eastAsia" w:ascii="黑体" w:eastAsia="黑体"/>
          <w:b w:val="0"/>
          <w:color w:val="000000"/>
        </w:rPr>
        <w:t>二、</w:t>
      </w:r>
      <w:r>
        <w:rPr>
          <w:rFonts w:hint="eastAsia" w:ascii="黑体" w:hAnsi="黑体" w:eastAsia="黑体"/>
          <w:b w:val="0"/>
          <w:color w:val="000000"/>
        </w:rPr>
        <w:t>机</w:t>
      </w:r>
      <w:r>
        <w:rPr>
          <w:rStyle w:val="27"/>
          <w:rFonts w:hint="eastAsia" w:ascii="黑体" w:hAnsi="黑体" w:eastAsia="黑体"/>
          <w:b w:val="0"/>
          <w:bCs w:val="0"/>
        </w:rPr>
        <w:t>构设置</w:t>
      </w:r>
      <w:bookmarkEnd w:id="20"/>
      <w:bookmarkEnd w:id="21"/>
    </w:p>
    <w:p>
      <w:pPr>
        <w:pStyle w:val="3"/>
        <w:ind w:firstLine="640" w:firstLineChars="200"/>
        <w:rPr>
          <w:rFonts w:ascii="仿宋" w:hAnsi="仿宋" w:eastAsia="仿宋"/>
          <w:color w:val="000000"/>
          <w:kern w:val="0"/>
          <w:sz w:val="32"/>
          <w:szCs w:val="32"/>
        </w:rPr>
      </w:pPr>
      <w:r>
        <w:rPr>
          <w:rStyle w:val="27"/>
          <w:rFonts w:hint="eastAsia" w:ascii="黑体" w:hAnsi="黑体" w:eastAsia="黑体"/>
          <w:b w:val="0"/>
          <w:bCs w:val="0"/>
          <w:lang w:val="en-US" w:eastAsia="zh-CN"/>
        </w:rPr>
        <w:t>1、</w:t>
      </w:r>
      <w:r>
        <w:rPr>
          <w:rFonts w:hint="eastAsia" w:ascii="仿宋_GB2312" w:hAnsi="仿宋_GB2312" w:eastAsia="仿宋_GB2312" w:cs="仿宋_GB2312"/>
          <w:b w:val="0"/>
          <w:sz w:val="32"/>
          <w:szCs w:val="32"/>
          <w:lang w:val="en-US" w:eastAsia="zh-CN"/>
        </w:rPr>
        <w:t>我单位为独立核算全额拨款参公单位。无下设机构，截止2018年底我单位共有编制8个，其中参公编制6个，行政工勤编制2个，在职8人，退休0人。</w:t>
      </w:r>
      <w:r>
        <w:rPr>
          <w:rFonts w:ascii="仿宋" w:hAnsi="仿宋" w:eastAsia="仿宋"/>
          <w:color w:val="000000"/>
          <w:sz w:val="32"/>
          <w:szCs w:val="32"/>
        </w:rPr>
        <w:br w:type="page"/>
      </w:r>
    </w:p>
    <w:p>
      <w:pPr>
        <w:pStyle w:val="2"/>
        <w:ind w:right="440"/>
        <w:jc w:val="right"/>
        <w:rPr>
          <w:rFonts w:hint="eastAsia" w:ascii="黑体" w:hAnsi="黑体" w:eastAsia="黑体"/>
          <w:b w:val="0"/>
          <w:color w:val="000000"/>
        </w:rPr>
      </w:pPr>
      <w:bookmarkStart w:id="22" w:name="_Toc15396602"/>
      <w:bookmarkStart w:id="23" w:name="_Toc15377204"/>
    </w:p>
    <w:p>
      <w:pPr>
        <w:pStyle w:val="2"/>
        <w:ind w:right="440"/>
        <w:jc w:val="right"/>
      </w:pPr>
      <w:r>
        <w:rPr>
          <w:rFonts w:hint="eastAsia" w:ascii="黑体" w:hAnsi="黑体" w:eastAsia="黑体"/>
          <w:b w:val="0"/>
          <w:color w:val="000000"/>
        </w:rPr>
        <w:t>第二部分</w:t>
      </w:r>
      <w:r>
        <w:rPr>
          <w:rFonts w:hint="eastAsia" w:ascii="黑体" w:hAnsi="黑体" w:eastAsia="黑体"/>
          <w:color w:val="000000"/>
        </w:rPr>
        <w:t xml:space="preserve"> </w:t>
      </w:r>
      <w:r>
        <w:rPr>
          <w:rStyle w:val="26"/>
          <w:rFonts w:hint="eastAsia" w:ascii="黑体" w:hAnsi="黑体" w:eastAsia="黑体"/>
          <w:b w:val="0"/>
          <w:bCs w:val="0"/>
        </w:rPr>
        <w:t>2018年度部门决算情况说明</w:t>
      </w:r>
      <w:bookmarkEnd w:id="22"/>
      <w:bookmarkEnd w:id="23"/>
    </w:p>
    <w:p>
      <w:pPr>
        <w:pStyle w:val="25"/>
        <w:numPr>
          <w:ilvl w:val="0"/>
          <w:numId w:val="2"/>
        </w:numPr>
        <w:spacing w:line="600" w:lineRule="exact"/>
        <w:ind w:firstLineChars="0"/>
        <w:outlineLvl w:val="1"/>
        <w:rPr>
          <w:rStyle w:val="27"/>
          <w:rFonts w:ascii="黑体" w:hAnsi="黑体" w:eastAsia="黑体"/>
          <w:b w:val="0"/>
        </w:rPr>
      </w:pPr>
      <w:bookmarkStart w:id="24" w:name="_Toc15396603"/>
      <w:bookmarkStart w:id="25" w:name="_Toc15377205"/>
      <w:r>
        <w:rPr>
          <w:rFonts w:hint="eastAsia" w:ascii="黑体" w:hAnsi="黑体" w:eastAsia="黑体"/>
          <w:color w:val="000000"/>
          <w:sz w:val="32"/>
          <w:szCs w:val="32"/>
        </w:rPr>
        <w:t>收</w:t>
      </w:r>
      <w:r>
        <w:rPr>
          <w:rStyle w:val="27"/>
          <w:rFonts w:hint="eastAsia" w:ascii="黑体" w:hAnsi="黑体" w:eastAsia="黑体"/>
          <w:b w:val="0"/>
        </w:rPr>
        <w:t>入支出决算总体情况说明</w:t>
      </w:r>
      <w:bookmarkEnd w:id="24"/>
      <w:bookmarkEnd w:id="25"/>
    </w:p>
    <w:p>
      <w:pPr>
        <w:keepNext w:val="0"/>
        <w:keepLines w:val="0"/>
        <w:pageBreakBefore w:val="0"/>
        <w:kinsoku/>
        <w:wordWrap/>
        <w:overflowPunct/>
        <w:topLinePunct w:val="0"/>
        <w:bidi w:val="0"/>
        <w:spacing w:line="560" w:lineRule="exact"/>
        <w:ind w:left="0" w:leftChars="0" w:right="0" w:rightChars="0" w:firstLine="640" w:firstLineChars="200"/>
        <w:textAlignment w:val="auto"/>
        <w:outlineLvl w:val="9"/>
        <w:rPr>
          <w:rFonts w:hint="eastAsia" w:ascii="仿宋_GB2312" w:hAnsi="仿宋_GB2312" w:eastAsia="仿宋_GB2312" w:cs="仿宋_GB2312"/>
          <w:color w:val="000000"/>
          <w:sz w:val="32"/>
          <w:szCs w:val="32"/>
          <w:lang w:eastAsia="zh-CN"/>
        </w:rPr>
      </w:pPr>
      <w:r>
        <w:rPr>
          <w:rFonts w:hint="eastAsia" w:ascii="仿宋" w:hAnsi="仿宋" w:eastAsia="仿宋"/>
          <w:color w:val="000000"/>
          <w:sz w:val="32"/>
          <w:szCs w:val="32"/>
        </w:rPr>
        <w:t>2018年度收</w:t>
      </w:r>
      <w:r>
        <w:rPr>
          <w:rFonts w:hint="eastAsia" w:ascii="仿宋" w:hAnsi="仿宋" w:eastAsia="仿宋"/>
          <w:color w:val="000000"/>
          <w:sz w:val="32"/>
          <w:szCs w:val="32"/>
          <w:lang w:eastAsia="zh-CN"/>
        </w:rPr>
        <w:t>入</w:t>
      </w:r>
      <w:r>
        <w:rPr>
          <w:rFonts w:hint="eastAsia" w:ascii="仿宋" w:hAnsi="仿宋" w:eastAsia="仿宋"/>
          <w:color w:val="000000"/>
          <w:sz w:val="32"/>
          <w:szCs w:val="32"/>
        </w:rPr>
        <w:t>总计</w:t>
      </w:r>
      <w:r>
        <w:rPr>
          <w:rFonts w:hint="eastAsia" w:ascii="仿宋" w:hAnsi="仿宋" w:eastAsia="仿宋"/>
          <w:color w:val="000000"/>
          <w:sz w:val="32"/>
          <w:szCs w:val="32"/>
          <w:lang w:val="en-US" w:eastAsia="zh-CN"/>
        </w:rPr>
        <w:t>161.51</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w:t>
      </w:r>
      <w:r>
        <w:rPr>
          <w:rFonts w:hint="eastAsia" w:ascii="仿宋_GB2312" w:eastAsia="仿宋_GB2312"/>
          <w:sz w:val="30"/>
          <w:szCs w:val="30"/>
        </w:rPr>
        <w:t>其中财政拨款收入</w:t>
      </w:r>
      <w:r>
        <w:rPr>
          <w:rFonts w:hint="eastAsia" w:ascii="仿宋_GB2312" w:eastAsia="仿宋_GB2312"/>
          <w:sz w:val="30"/>
          <w:szCs w:val="30"/>
          <w:lang w:val="en-US" w:eastAsia="zh-CN"/>
        </w:rPr>
        <w:t>161.51万</w:t>
      </w:r>
      <w:r>
        <w:rPr>
          <w:rFonts w:hint="eastAsia" w:ascii="仿宋_GB2312" w:eastAsia="仿宋_GB2312"/>
          <w:sz w:val="30"/>
          <w:szCs w:val="30"/>
        </w:rPr>
        <w:t>元</w:t>
      </w:r>
      <w:r>
        <w:rPr>
          <w:rFonts w:hint="eastAsia" w:ascii="仿宋_GB2312" w:eastAsia="仿宋_GB2312"/>
          <w:sz w:val="30"/>
          <w:szCs w:val="30"/>
          <w:lang w:eastAsia="zh-CN"/>
        </w:rPr>
        <w:t>，</w:t>
      </w:r>
      <w:r>
        <w:rPr>
          <w:rFonts w:hint="eastAsia" w:ascii="仿宋" w:hAnsi="仿宋" w:eastAsia="仿宋"/>
          <w:color w:val="000000"/>
          <w:sz w:val="32"/>
          <w:szCs w:val="32"/>
        </w:rPr>
        <w:t>与2017年相比，收</w:t>
      </w:r>
      <w:r>
        <w:rPr>
          <w:rFonts w:hint="eastAsia" w:ascii="仿宋" w:hAnsi="仿宋" w:eastAsia="仿宋"/>
          <w:color w:val="000000"/>
          <w:sz w:val="32"/>
          <w:szCs w:val="32"/>
          <w:lang w:eastAsia="zh-CN"/>
        </w:rPr>
        <w:t>入</w:t>
      </w:r>
      <w:r>
        <w:rPr>
          <w:rFonts w:hint="eastAsia" w:ascii="仿宋" w:hAnsi="仿宋" w:eastAsia="仿宋"/>
          <w:color w:val="000000"/>
          <w:sz w:val="32"/>
          <w:szCs w:val="32"/>
        </w:rPr>
        <w:t>总计增加</w:t>
      </w:r>
      <w:r>
        <w:rPr>
          <w:rFonts w:hint="eastAsia" w:ascii="仿宋" w:hAnsi="仿宋" w:eastAsia="仿宋"/>
          <w:color w:val="000000"/>
          <w:sz w:val="32"/>
          <w:szCs w:val="32"/>
          <w:lang w:val="en-US" w:eastAsia="zh-CN"/>
        </w:rPr>
        <w:t>27.97</w:t>
      </w:r>
      <w:r>
        <w:rPr>
          <w:rFonts w:hint="eastAsia" w:ascii="仿宋" w:hAnsi="仿宋" w:eastAsia="仿宋"/>
          <w:color w:val="000000"/>
          <w:sz w:val="32"/>
          <w:szCs w:val="32"/>
        </w:rPr>
        <w:t>万元，增长</w:t>
      </w:r>
      <w:r>
        <w:rPr>
          <w:rFonts w:hint="eastAsia" w:ascii="仿宋" w:hAnsi="仿宋" w:eastAsia="仿宋"/>
          <w:color w:val="000000"/>
          <w:sz w:val="32"/>
          <w:szCs w:val="32"/>
          <w:lang w:val="en-US" w:eastAsia="zh-CN"/>
        </w:rPr>
        <w:t>17.3</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仿宋" w:hAnsi="仿宋" w:eastAsia="仿宋"/>
          <w:color w:val="000000"/>
          <w:sz w:val="32"/>
          <w:szCs w:val="32"/>
          <w:lang w:val="en-US" w:eastAsia="zh-CN"/>
        </w:rPr>
        <w:t>2018年社会保障和就业支出、医疗卫生和计划生育支出、住房保障支出增加。</w:t>
      </w:r>
      <w:r>
        <w:rPr>
          <w:rFonts w:hint="eastAsia" w:ascii="仿宋" w:hAnsi="仿宋" w:eastAsia="仿宋"/>
          <w:color w:val="000000"/>
          <w:sz w:val="32"/>
          <w:szCs w:val="32"/>
          <w:lang w:eastAsia="zh-CN"/>
        </w:rPr>
        <w:t>支出总计</w:t>
      </w:r>
      <w:r>
        <w:rPr>
          <w:rFonts w:hint="eastAsia" w:ascii="仿宋" w:hAnsi="仿宋" w:eastAsia="仿宋"/>
          <w:color w:val="000000"/>
          <w:sz w:val="32"/>
          <w:szCs w:val="32"/>
          <w:lang w:val="en-US" w:eastAsia="zh-CN"/>
        </w:rPr>
        <w:t>158.87万元，</w:t>
      </w:r>
      <w:r>
        <w:rPr>
          <w:rFonts w:hint="eastAsia" w:ascii="仿宋" w:hAnsi="仿宋" w:eastAsia="仿宋"/>
          <w:color w:val="000000"/>
          <w:sz w:val="32"/>
          <w:szCs w:val="32"/>
        </w:rPr>
        <w:t>与2017年相比，支</w:t>
      </w:r>
      <w:r>
        <w:rPr>
          <w:rFonts w:hint="eastAsia" w:ascii="仿宋" w:hAnsi="仿宋" w:eastAsia="仿宋"/>
          <w:color w:val="000000"/>
          <w:sz w:val="32"/>
          <w:szCs w:val="32"/>
          <w:lang w:eastAsia="zh-CN"/>
        </w:rPr>
        <w:t>出</w:t>
      </w:r>
      <w:r>
        <w:rPr>
          <w:rFonts w:hint="eastAsia" w:ascii="仿宋" w:hAnsi="仿宋" w:eastAsia="仿宋"/>
          <w:color w:val="000000"/>
          <w:sz w:val="32"/>
          <w:szCs w:val="32"/>
        </w:rPr>
        <w:t>总计增加</w:t>
      </w:r>
      <w:r>
        <w:rPr>
          <w:rFonts w:hint="eastAsia" w:ascii="仿宋" w:hAnsi="仿宋" w:eastAsia="仿宋"/>
          <w:color w:val="000000"/>
          <w:sz w:val="32"/>
          <w:szCs w:val="32"/>
          <w:lang w:val="en-US" w:eastAsia="zh-CN"/>
        </w:rPr>
        <w:t>18.72</w:t>
      </w:r>
      <w:r>
        <w:rPr>
          <w:rFonts w:hint="eastAsia" w:ascii="仿宋" w:hAnsi="仿宋" w:eastAsia="仿宋"/>
          <w:color w:val="000000"/>
          <w:sz w:val="32"/>
          <w:szCs w:val="32"/>
        </w:rPr>
        <w:t>万元，增长</w:t>
      </w:r>
      <w:r>
        <w:rPr>
          <w:rFonts w:hint="eastAsia" w:ascii="仿宋" w:hAnsi="仿宋" w:eastAsia="仿宋"/>
          <w:color w:val="000000"/>
          <w:sz w:val="32"/>
          <w:szCs w:val="32"/>
          <w:lang w:val="en-US" w:eastAsia="zh-CN"/>
        </w:rPr>
        <w:t>11.8</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仿宋" w:hAnsi="仿宋" w:eastAsia="仿宋"/>
          <w:color w:val="000000"/>
          <w:sz w:val="32"/>
          <w:szCs w:val="32"/>
          <w:lang w:val="en-US" w:eastAsia="zh-CN"/>
        </w:rPr>
        <w:t>2018年项目支出增加（重大公共卫生专项）、基本支出增加（人员经费、日常公用经费）。</w:t>
      </w:r>
      <w:r>
        <w:rPr>
          <w:rFonts w:hint="eastAsia" w:ascii="仿宋_GB2312" w:hAnsi="仿宋_GB2312" w:eastAsia="仿宋_GB2312" w:cs="仿宋_GB2312"/>
          <w:color w:val="000000"/>
          <w:sz w:val="32"/>
          <w:szCs w:val="32"/>
          <w:lang w:val="en-US" w:eastAsia="zh-CN"/>
        </w:rPr>
        <w:t>2018年底结转结余合计5.64万</w:t>
      </w:r>
      <w:r>
        <w:rPr>
          <w:rFonts w:hint="eastAsia" w:ascii="仿宋_GB2312" w:hAnsi="仿宋_GB2312" w:eastAsia="仿宋_GB2312" w:cs="仿宋_GB2312"/>
          <w:color w:val="000000"/>
          <w:sz w:val="32"/>
          <w:szCs w:val="32"/>
          <w:lang w:eastAsia="zh-CN"/>
        </w:rPr>
        <w:t>元，其中基本支出结转结余</w:t>
      </w:r>
      <w:r>
        <w:rPr>
          <w:rFonts w:hint="eastAsia" w:ascii="仿宋_GB2312" w:hAnsi="仿宋_GB2312" w:eastAsia="仿宋_GB2312" w:cs="仿宋_GB2312"/>
          <w:color w:val="000000"/>
          <w:sz w:val="32"/>
          <w:szCs w:val="32"/>
          <w:lang w:val="en-US" w:eastAsia="zh-CN"/>
        </w:rPr>
        <w:t>2.64</w:t>
      </w:r>
      <w:r>
        <w:rPr>
          <w:rFonts w:hint="eastAsia" w:ascii="仿宋_GB2312" w:hAnsi="仿宋_GB2312" w:eastAsia="仿宋_GB2312" w:cs="仿宋_GB2312"/>
          <w:color w:val="000000"/>
          <w:sz w:val="32"/>
          <w:szCs w:val="32"/>
          <w:lang w:eastAsia="zh-CN"/>
        </w:rPr>
        <w:t>元</w:t>
      </w:r>
      <w:r>
        <w:rPr>
          <w:rFonts w:hint="eastAsia" w:ascii="仿宋_GB2312" w:hAnsi="仿宋_GB2312" w:eastAsia="仿宋_GB2312" w:cs="仿宋_GB2312"/>
          <w:color w:val="000000"/>
          <w:sz w:val="32"/>
          <w:szCs w:val="32"/>
        </w:rPr>
        <w:t>，占</w:t>
      </w:r>
      <w:r>
        <w:rPr>
          <w:rFonts w:hint="eastAsia" w:ascii="仿宋_GB2312" w:hAnsi="仿宋_GB2312" w:eastAsia="仿宋_GB2312" w:cs="仿宋_GB2312"/>
          <w:color w:val="000000"/>
          <w:sz w:val="32"/>
          <w:szCs w:val="32"/>
          <w:lang w:val="en-US" w:eastAsia="zh-CN"/>
        </w:rPr>
        <w:t>46.8</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eastAsia="zh-CN"/>
        </w:rPr>
        <w:t>，项目支出结转结余</w:t>
      </w:r>
      <w:r>
        <w:rPr>
          <w:rFonts w:hint="eastAsia" w:ascii="仿宋_GB2312" w:hAnsi="仿宋_GB2312" w:eastAsia="仿宋_GB2312" w:cs="仿宋_GB2312"/>
          <w:color w:val="000000"/>
          <w:sz w:val="32"/>
          <w:szCs w:val="32"/>
          <w:lang w:val="en-US" w:eastAsia="zh-CN"/>
        </w:rPr>
        <w:t>3万</w:t>
      </w:r>
      <w:r>
        <w:rPr>
          <w:rFonts w:hint="eastAsia" w:ascii="仿宋_GB2312" w:hAnsi="仿宋_GB2312" w:eastAsia="仿宋_GB2312" w:cs="仿宋_GB2312"/>
          <w:color w:val="000000"/>
          <w:sz w:val="32"/>
          <w:szCs w:val="32"/>
          <w:lang w:eastAsia="zh-CN"/>
        </w:rPr>
        <w:t>元</w:t>
      </w:r>
      <w:r>
        <w:rPr>
          <w:rFonts w:hint="eastAsia" w:ascii="仿宋_GB2312" w:hAnsi="仿宋_GB2312" w:eastAsia="仿宋_GB2312" w:cs="仿宋_GB2312"/>
          <w:color w:val="000000"/>
          <w:sz w:val="32"/>
          <w:szCs w:val="32"/>
        </w:rPr>
        <w:t>，占</w:t>
      </w:r>
      <w:r>
        <w:rPr>
          <w:rFonts w:hint="eastAsia" w:ascii="仿宋_GB2312" w:hAnsi="仿宋_GB2312" w:eastAsia="仿宋_GB2312" w:cs="仿宋_GB2312"/>
          <w:color w:val="000000"/>
          <w:sz w:val="32"/>
          <w:szCs w:val="32"/>
          <w:lang w:val="en-US" w:eastAsia="zh-CN"/>
        </w:rPr>
        <w:t>53.2</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eastAsia="zh-CN"/>
        </w:rPr>
        <w:t>。</w:t>
      </w:r>
    </w:p>
    <w:p>
      <w:pPr>
        <w:spacing w:line="600" w:lineRule="exact"/>
        <w:ind w:firstLine="640" w:firstLineChars="200"/>
        <w:rPr>
          <w:rFonts w:hint="eastAsia" w:ascii="仿宋" w:hAnsi="仿宋" w:eastAsia="仿宋"/>
          <w:color w:val="000000"/>
          <w:sz w:val="32"/>
          <w:szCs w:val="32"/>
          <w:lang w:val="en-US" w:eastAsia="zh-CN"/>
        </w:rPr>
      </w:pPr>
    </w:p>
    <w:p>
      <w:pPr>
        <w:spacing w:line="600" w:lineRule="exact"/>
        <w:ind w:firstLine="640" w:firstLineChars="200"/>
        <w:rPr>
          <w:rFonts w:hint="eastAsia" w:ascii="仿宋" w:hAnsi="仿宋" w:eastAsia="仿宋"/>
          <w:color w:val="000000"/>
          <w:sz w:val="32"/>
          <w:szCs w:val="32"/>
          <w:lang w:val="en-US" w:eastAsia="zh-CN"/>
        </w:rPr>
      </w:pPr>
    </w:p>
    <w:p>
      <w:pPr>
        <w:spacing w:line="600" w:lineRule="exact"/>
        <w:ind w:firstLine="640" w:firstLineChars="200"/>
        <w:rPr>
          <w:rFonts w:hint="eastAsia" w:ascii="仿宋" w:hAnsi="仿宋" w:eastAsia="仿宋"/>
          <w:color w:val="000000"/>
          <w:sz w:val="32"/>
          <w:szCs w:val="32"/>
          <w:lang w:val="en-US" w:eastAsia="zh-CN"/>
        </w:rPr>
      </w:pPr>
    </w:p>
    <w:p>
      <w:pPr>
        <w:spacing w:line="600" w:lineRule="exact"/>
        <w:ind w:firstLine="640" w:firstLineChars="200"/>
        <w:rPr>
          <w:rFonts w:hint="eastAsia" w:ascii="仿宋" w:hAnsi="仿宋" w:eastAsia="仿宋"/>
          <w:color w:val="000000"/>
          <w:sz w:val="32"/>
          <w:szCs w:val="32"/>
          <w:lang w:val="en-US" w:eastAsia="zh-CN"/>
        </w:rPr>
      </w:pPr>
    </w:p>
    <w:p>
      <w:pPr>
        <w:spacing w:line="600" w:lineRule="exact"/>
        <w:ind w:firstLine="640" w:firstLineChars="200"/>
        <w:rPr>
          <w:rFonts w:hint="eastAsia" w:ascii="仿宋" w:hAnsi="仿宋" w:eastAsia="仿宋"/>
          <w:color w:val="000000"/>
          <w:sz w:val="32"/>
          <w:szCs w:val="32"/>
          <w:lang w:val="en-US" w:eastAsia="zh-CN"/>
        </w:rPr>
      </w:pPr>
    </w:p>
    <w:p>
      <w:pPr>
        <w:spacing w:line="600" w:lineRule="exact"/>
        <w:ind w:firstLine="640" w:firstLineChars="200"/>
        <w:rPr>
          <w:rFonts w:hint="eastAsia" w:ascii="仿宋" w:hAnsi="仿宋" w:eastAsia="仿宋"/>
          <w:color w:val="000000"/>
          <w:sz w:val="32"/>
          <w:szCs w:val="32"/>
          <w:lang w:val="en-US" w:eastAsia="zh-CN"/>
        </w:rPr>
      </w:pPr>
    </w:p>
    <w:p>
      <w:pPr>
        <w:spacing w:line="600" w:lineRule="exact"/>
        <w:rPr>
          <w:rFonts w:hint="default" w:ascii="仿宋" w:hAnsi="仿宋" w:eastAsia="仿宋"/>
          <w:color w:val="000000"/>
          <w:sz w:val="32"/>
          <w:szCs w:val="32"/>
          <w:lang w:val="en-US" w:eastAsia="zh-CN"/>
        </w:rPr>
      </w:pPr>
      <w:r>
        <w:rPr>
          <w:rFonts w:hint="eastAsia" w:ascii="仿宋" w:hAnsi="仿宋" w:eastAsia="仿宋"/>
          <w:color w:val="000000"/>
          <w:sz w:val="32"/>
          <w:szCs w:val="32"/>
          <w:lang w:val="en-US" w:eastAsia="zh-CN"/>
        </w:rPr>
        <w:drawing>
          <wp:anchor distT="0" distB="0" distL="114300" distR="114300" simplePos="0" relativeHeight="251658240" behindDoc="0" locked="0" layoutInCell="1" allowOverlap="1">
            <wp:simplePos x="0" y="0"/>
            <wp:positionH relativeFrom="column">
              <wp:posOffset>277495</wp:posOffset>
            </wp:positionH>
            <wp:positionV relativeFrom="paragraph">
              <wp:posOffset>19050</wp:posOffset>
            </wp:positionV>
            <wp:extent cx="5080000" cy="3838575"/>
            <wp:effectExtent l="4445" t="4445" r="20955" b="5080"/>
            <wp:wrapSquare wrapText="bothSides"/>
            <wp:docPr id="12" name="图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pPr>
        <w:spacing w:line="600" w:lineRule="exact"/>
        <w:ind w:firstLine="960" w:firstLineChars="300"/>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（图</w:t>
      </w:r>
      <w:r>
        <w:rPr>
          <w:rFonts w:ascii="仿宋" w:hAnsi="仿宋" w:eastAsia="仿宋"/>
          <w:color w:val="000000" w:themeColor="text1"/>
          <w:sz w:val="32"/>
          <w:szCs w:val="32"/>
          <w14:textFill>
            <w14:solidFill>
              <w14:schemeClr w14:val="tx1"/>
            </w14:solidFill>
          </w14:textFill>
        </w:rPr>
        <w:t>1</w:t>
      </w:r>
      <w:r>
        <w:rPr>
          <w:rFonts w:hint="eastAsia" w:ascii="仿宋" w:hAnsi="仿宋" w:eastAsia="仿宋"/>
          <w:color w:val="000000" w:themeColor="text1"/>
          <w:sz w:val="32"/>
          <w:szCs w:val="32"/>
          <w14:textFill>
            <w14:solidFill>
              <w14:schemeClr w14:val="tx1"/>
            </w14:solidFill>
          </w14:textFill>
        </w:rPr>
        <w:t>：收、支决算总计变动情况图）（柱状图）</w:t>
      </w:r>
    </w:p>
    <w:p>
      <w:pPr>
        <w:spacing w:line="600" w:lineRule="exact"/>
        <w:ind w:firstLine="640" w:firstLineChars="200"/>
        <w:jc w:val="left"/>
        <w:rPr>
          <w:rFonts w:ascii="仿宋_GB2312" w:eastAsia="仿宋_GB2312"/>
          <w:color w:val="000000"/>
          <w:sz w:val="32"/>
          <w:szCs w:val="32"/>
        </w:rPr>
      </w:pPr>
    </w:p>
    <w:p>
      <w:pPr>
        <w:spacing w:line="600" w:lineRule="exact"/>
        <w:ind w:firstLine="640" w:firstLineChars="200"/>
        <w:jc w:val="left"/>
        <w:rPr>
          <w:rFonts w:ascii="仿宋_GB2312" w:eastAsia="仿宋_GB2312"/>
          <w:color w:val="000000"/>
          <w:sz w:val="32"/>
          <w:szCs w:val="32"/>
        </w:rPr>
      </w:pPr>
    </w:p>
    <w:p>
      <w:pPr>
        <w:spacing w:line="600" w:lineRule="exact"/>
        <w:ind w:firstLine="640" w:firstLineChars="200"/>
        <w:jc w:val="left"/>
        <w:rPr>
          <w:rFonts w:ascii="仿宋_GB2312" w:eastAsia="仿宋_GB2312"/>
          <w:color w:val="000000"/>
          <w:sz w:val="32"/>
          <w:szCs w:val="32"/>
        </w:rPr>
      </w:pPr>
    </w:p>
    <w:p>
      <w:pPr>
        <w:spacing w:line="600" w:lineRule="exact"/>
        <w:ind w:firstLine="640" w:firstLineChars="200"/>
        <w:jc w:val="left"/>
        <w:rPr>
          <w:rFonts w:ascii="仿宋_GB2312" w:eastAsia="仿宋_GB2312"/>
          <w:color w:val="000000"/>
          <w:sz w:val="32"/>
          <w:szCs w:val="32"/>
        </w:rPr>
      </w:pPr>
    </w:p>
    <w:p>
      <w:pPr>
        <w:spacing w:line="600" w:lineRule="exact"/>
        <w:ind w:firstLine="640" w:firstLineChars="200"/>
        <w:jc w:val="left"/>
        <w:rPr>
          <w:rFonts w:ascii="仿宋_GB2312" w:eastAsia="仿宋_GB2312"/>
          <w:color w:val="000000"/>
          <w:sz w:val="32"/>
          <w:szCs w:val="32"/>
        </w:rPr>
      </w:pPr>
    </w:p>
    <w:p>
      <w:pPr>
        <w:spacing w:line="600" w:lineRule="exact"/>
        <w:ind w:firstLine="640" w:firstLineChars="200"/>
        <w:jc w:val="left"/>
        <w:rPr>
          <w:rFonts w:ascii="仿宋_GB2312" w:eastAsia="仿宋_GB2312"/>
          <w:color w:val="000000"/>
          <w:sz w:val="32"/>
          <w:szCs w:val="32"/>
        </w:rPr>
      </w:pPr>
    </w:p>
    <w:p>
      <w:pPr>
        <w:spacing w:line="600" w:lineRule="exact"/>
        <w:ind w:firstLine="640" w:firstLineChars="200"/>
        <w:jc w:val="left"/>
        <w:rPr>
          <w:rFonts w:ascii="仿宋_GB2312" w:eastAsia="仿宋_GB2312"/>
          <w:color w:val="000000"/>
          <w:sz w:val="32"/>
          <w:szCs w:val="32"/>
        </w:rPr>
      </w:pPr>
    </w:p>
    <w:p>
      <w:pPr>
        <w:spacing w:line="600" w:lineRule="exact"/>
        <w:ind w:firstLine="640" w:firstLineChars="200"/>
        <w:jc w:val="left"/>
        <w:rPr>
          <w:rFonts w:ascii="仿宋_GB2312" w:eastAsia="仿宋_GB2312"/>
          <w:color w:val="000000"/>
          <w:sz w:val="32"/>
          <w:szCs w:val="32"/>
        </w:rPr>
      </w:pPr>
    </w:p>
    <w:p>
      <w:pPr>
        <w:spacing w:line="600" w:lineRule="exact"/>
        <w:ind w:firstLine="640" w:firstLineChars="200"/>
        <w:jc w:val="left"/>
        <w:rPr>
          <w:rFonts w:ascii="仿宋_GB2312" w:eastAsia="仿宋_GB2312"/>
          <w:color w:val="000000"/>
          <w:sz w:val="32"/>
          <w:szCs w:val="32"/>
        </w:rPr>
      </w:pPr>
    </w:p>
    <w:p>
      <w:pPr>
        <w:spacing w:line="600" w:lineRule="exact"/>
        <w:ind w:firstLine="640" w:firstLineChars="200"/>
        <w:jc w:val="left"/>
        <w:rPr>
          <w:rFonts w:ascii="仿宋_GB2312" w:eastAsia="仿宋_GB2312"/>
          <w:color w:val="000000"/>
          <w:sz w:val="32"/>
          <w:szCs w:val="32"/>
        </w:rPr>
      </w:pPr>
    </w:p>
    <w:p>
      <w:pPr>
        <w:spacing w:line="600" w:lineRule="exact"/>
        <w:ind w:firstLine="640" w:firstLineChars="200"/>
        <w:jc w:val="left"/>
        <w:rPr>
          <w:rFonts w:ascii="仿宋_GB2312" w:eastAsia="仿宋_GB2312"/>
          <w:color w:val="000000"/>
          <w:sz w:val="32"/>
          <w:szCs w:val="32"/>
        </w:rPr>
      </w:pPr>
    </w:p>
    <w:p>
      <w:pPr>
        <w:pStyle w:val="25"/>
        <w:numPr>
          <w:ilvl w:val="0"/>
          <w:numId w:val="2"/>
        </w:numPr>
        <w:spacing w:line="600" w:lineRule="exact"/>
        <w:ind w:firstLineChars="0"/>
        <w:outlineLvl w:val="1"/>
        <w:rPr>
          <w:rStyle w:val="27"/>
          <w:rFonts w:ascii="黑体" w:hAnsi="黑体" w:eastAsia="黑体"/>
          <w:b w:val="0"/>
        </w:rPr>
      </w:pPr>
      <w:bookmarkStart w:id="26" w:name="_Toc15396604"/>
      <w:bookmarkStart w:id="27" w:name="_Toc15377206"/>
      <w:r>
        <w:rPr>
          <w:rFonts w:hint="eastAsia" w:ascii="黑体" w:hAnsi="黑体" w:eastAsia="黑体"/>
          <w:color w:val="000000"/>
          <w:sz w:val="32"/>
          <w:szCs w:val="32"/>
        </w:rPr>
        <w:t>收</w:t>
      </w:r>
      <w:r>
        <w:rPr>
          <w:rStyle w:val="27"/>
          <w:rFonts w:hint="eastAsia" w:ascii="黑体" w:hAnsi="黑体" w:eastAsia="黑体"/>
          <w:b w:val="0"/>
        </w:rPr>
        <w:t>入决算情况说明</w:t>
      </w:r>
      <w:bookmarkEnd w:id="26"/>
      <w:bookmarkEnd w:id="27"/>
    </w:p>
    <w:p>
      <w:pPr>
        <w:spacing w:line="600" w:lineRule="exact"/>
        <w:ind w:firstLine="640" w:firstLineChars="200"/>
        <w:outlineLvl w:val="1"/>
        <w:rPr>
          <w:rFonts w:hint="eastAsia" w:ascii="仿宋" w:hAnsi="仿宋" w:eastAsia="仿宋"/>
          <w:color w:val="000000"/>
          <w:sz w:val="32"/>
          <w:szCs w:val="32"/>
          <w:lang w:eastAsia="zh-CN"/>
        </w:rPr>
      </w:pPr>
      <w:r>
        <w:rPr>
          <w:rFonts w:ascii="仿宋" w:hAnsi="仿宋" w:eastAsia="仿宋"/>
          <w:color w:val="000000"/>
          <w:sz w:val="32"/>
          <w:szCs w:val="32"/>
        </w:rPr>
        <w:t>201</w:t>
      </w:r>
      <w:r>
        <w:rPr>
          <w:rFonts w:hint="eastAsia" w:ascii="仿宋" w:hAnsi="仿宋" w:eastAsia="仿宋"/>
          <w:color w:val="000000"/>
          <w:sz w:val="32"/>
          <w:szCs w:val="32"/>
        </w:rPr>
        <w:t>8年本年收入合计</w:t>
      </w:r>
      <w:r>
        <w:rPr>
          <w:rFonts w:hint="eastAsia" w:ascii="仿宋" w:hAnsi="仿宋" w:eastAsia="仿宋"/>
          <w:color w:val="000000"/>
          <w:sz w:val="32"/>
          <w:szCs w:val="32"/>
          <w:lang w:val="en-US" w:eastAsia="zh-CN"/>
        </w:rPr>
        <w:t>161.51</w:t>
      </w:r>
      <w:r>
        <w:rPr>
          <w:rFonts w:hint="eastAsia" w:ascii="仿宋" w:hAnsi="仿宋" w:eastAsia="仿宋"/>
          <w:color w:val="000000"/>
          <w:sz w:val="32"/>
          <w:szCs w:val="32"/>
        </w:rPr>
        <w:t>万元，其中：一般公共预算财政拨款收入</w:t>
      </w:r>
      <w:r>
        <w:rPr>
          <w:rFonts w:hint="eastAsia" w:ascii="仿宋" w:hAnsi="仿宋" w:eastAsia="仿宋"/>
          <w:color w:val="000000"/>
          <w:sz w:val="32"/>
          <w:szCs w:val="32"/>
          <w:lang w:val="en-US" w:eastAsia="zh-CN"/>
        </w:rPr>
        <w:t>160.42</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w:t>
      </w:r>
      <w:r>
        <w:rPr>
          <w:rFonts w:hint="eastAsia" w:ascii="仿宋" w:hAnsi="仿宋" w:eastAsia="仿宋"/>
          <w:color w:val="000000"/>
          <w:sz w:val="32"/>
          <w:szCs w:val="32"/>
        </w:rPr>
        <w:t>占</w:t>
      </w:r>
      <w:r>
        <w:rPr>
          <w:rFonts w:hint="eastAsia" w:ascii="仿宋" w:hAnsi="仿宋" w:eastAsia="仿宋"/>
          <w:color w:val="000000"/>
          <w:sz w:val="32"/>
          <w:szCs w:val="32"/>
          <w:lang w:val="en-US" w:eastAsia="zh-CN"/>
        </w:rPr>
        <w:t>99</w:t>
      </w:r>
      <w:r>
        <w:rPr>
          <w:rFonts w:ascii="仿宋" w:hAnsi="仿宋" w:eastAsia="仿宋"/>
          <w:color w:val="000000"/>
          <w:sz w:val="32"/>
          <w:szCs w:val="32"/>
        </w:rPr>
        <w:t>%</w:t>
      </w:r>
      <w:r>
        <w:rPr>
          <w:rFonts w:hint="eastAsia" w:ascii="仿宋" w:hAnsi="仿宋" w:eastAsia="仿宋"/>
          <w:color w:val="000000"/>
          <w:sz w:val="32"/>
          <w:szCs w:val="32"/>
          <w:lang w:eastAsia="zh-CN"/>
        </w:rPr>
        <w:t>；其他收入（公共卫生）</w:t>
      </w:r>
      <w:r>
        <w:rPr>
          <w:rFonts w:hint="eastAsia" w:ascii="仿宋" w:hAnsi="仿宋" w:eastAsia="仿宋"/>
          <w:color w:val="000000"/>
          <w:sz w:val="32"/>
          <w:szCs w:val="32"/>
          <w:lang w:val="en-US" w:eastAsia="zh-CN"/>
        </w:rPr>
        <w:t>1.09，占1</w:t>
      </w:r>
      <w:r>
        <w:rPr>
          <w:rFonts w:ascii="仿宋" w:hAnsi="仿宋" w:eastAsia="仿宋"/>
          <w:color w:val="000000"/>
          <w:sz w:val="32"/>
          <w:szCs w:val="32"/>
        </w:rPr>
        <w:t>%</w:t>
      </w:r>
      <w:r>
        <w:rPr>
          <w:rFonts w:hint="eastAsia" w:ascii="仿宋" w:hAnsi="仿宋" w:eastAsia="仿宋"/>
          <w:color w:val="000000"/>
          <w:sz w:val="32"/>
          <w:szCs w:val="32"/>
          <w:lang w:eastAsia="zh-CN"/>
        </w:rPr>
        <w:t>。</w:t>
      </w:r>
    </w:p>
    <w:p>
      <w:pPr>
        <w:spacing w:line="240" w:lineRule="auto"/>
        <w:ind w:firstLine="640" w:firstLineChars="200"/>
        <w:outlineLvl w:val="1"/>
        <w:rPr>
          <w:rFonts w:hint="eastAsia" w:ascii="仿宋" w:hAnsi="仿宋" w:eastAsia="仿宋"/>
          <w:color w:val="000000"/>
          <w:sz w:val="32"/>
          <w:szCs w:val="32"/>
          <w:lang w:eastAsia="zh-CN"/>
        </w:rPr>
      </w:pPr>
    </w:p>
    <w:p>
      <w:pPr>
        <w:spacing w:line="240" w:lineRule="auto"/>
        <w:ind w:firstLine="640" w:firstLineChars="200"/>
        <w:outlineLvl w:val="1"/>
        <w:rPr>
          <w:rFonts w:hint="eastAsia" w:ascii="仿宋" w:hAnsi="仿宋" w:eastAsia="仿宋"/>
          <w:color w:val="000000"/>
          <w:sz w:val="32"/>
          <w:szCs w:val="32"/>
          <w:lang w:eastAsia="zh-CN"/>
        </w:rPr>
      </w:pPr>
      <w:r>
        <w:rPr>
          <w:rFonts w:hint="eastAsia" w:ascii="仿宋" w:hAnsi="仿宋" w:eastAsia="仿宋"/>
          <w:color w:val="000000"/>
          <w:sz w:val="32"/>
          <w:szCs w:val="32"/>
          <w:lang w:eastAsia="zh-CN"/>
        </w:rPr>
        <w:drawing>
          <wp:inline distT="0" distB="0" distL="114300" distR="114300">
            <wp:extent cx="5080000" cy="3353435"/>
            <wp:effectExtent l="4445" t="4445" r="20955" b="1397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spacing w:line="600" w:lineRule="exact"/>
        <w:ind w:firstLine="1920" w:firstLineChars="600"/>
        <w:rPr>
          <w:rFonts w:hint="eastAsia" w:ascii="仿宋" w:hAnsi="仿宋" w:eastAsia="仿宋"/>
          <w:color w:val="000000" w:themeColor="text1"/>
          <w:sz w:val="32"/>
          <w:szCs w:val="32"/>
          <w14:textFill>
            <w14:solidFill>
              <w14:schemeClr w14:val="tx1"/>
            </w14:solidFill>
          </w14:textFill>
        </w:rPr>
      </w:pPr>
    </w:p>
    <w:p>
      <w:pPr>
        <w:spacing w:line="600" w:lineRule="exact"/>
        <w:ind w:firstLine="1280" w:firstLineChars="400"/>
        <w:rPr>
          <w:rFonts w:ascii="仿宋_GB2312" w:eastAsia="仿宋_GB2312"/>
          <w:color w:val="FF0000"/>
          <w:sz w:val="32"/>
          <w:szCs w:val="32"/>
        </w:rPr>
      </w:pPr>
      <w:r>
        <w:rPr>
          <w:rFonts w:hint="eastAsia" w:ascii="仿宋" w:hAnsi="仿宋" w:eastAsia="仿宋"/>
          <w:color w:val="000000" w:themeColor="text1"/>
          <w:sz w:val="32"/>
          <w:szCs w:val="32"/>
          <w14:textFill>
            <w14:solidFill>
              <w14:schemeClr w14:val="tx1"/>
            </w14:solidFill>
          </w14:textFill>
        </w:rPr>
        <w:t>（图2：收入决算结构图）（饼状图）</w:t>
      </w:r>
    </w:p>
    <w:p>
      <w:pPr>
        <w:pStyle w:val="25"/>
        <w:numPr>
          <w:ilvl w:val="0"/>
          <w:numId w:val="0"/>
        </w:numPr>
        <w:spacing w:line="600" w:lineRule="exact"/>
        <w:ind w:left="640" w:leftChars="0"/>
        <w:outlineLvl w:val="1"/>
        <w:rPr>
          <w:rStyle w:val="27"/>
          <w:rFonts w:ascii="黑体" w:hAnsi="黑体" w:eastAsia="黑体"/>
          <w:b w:val="0"/>
        </w:rPr>
      </w:pPr>
      <w:bookmarkStart w:id="28" w:name="_Toc15396605"/>
      <w:bookmarkStart w:id="29" w:name="_Toc15377207"/>
    </w:p>
    <w:p>
      <w:pPr>
        <w:pStyle w:val="25"/>
        <w:numPr>
          <w:ilvl w:val="0"/>
          <w:numId w:val="0"/>
        </w:numPr>
        <w:spacing w:line="600" w:lineRule="exact"/>
        <w:ind w:left="640" w:leftChars="0"/>
        <w:outlineLvl w:val="1"/>
        <w:rPr>
          <w:rFonts w:hint="eastAsia" w:ascii="黑体" w:hAnsi="黑体" w:eastAsia="黑体"/>
          <w:color w:val="000000"/>
          <w:sz w:val="32"/>
          <w:szCs w:val="32"/>
          <w:lang w:eastAsia="zh-CN"/>
        </w:rPr>
      </w:pPr>
    </w:p>
    <w:p>
      <w:pPr>
        <w:pStyle w:val="25"/>
        <w:numPr>
          <w:ilvl w:val="0"/>
          <w:numId w:val="0"/>
        </w:numPr>
        <w:spacing w:line="600" w:lineRule="exact"/>
        <w:ind w:left="640" w:leftChars="0"/>
        <w:outlineLvl w:val="1"/>
        <w:rPr>
          <w:rFonts w:hint="eastAsia" w:ascii="黑体" w:hAnsi="黑体" w:eastAsia="黑体"/>
          <w:color w:val="000000"/>
          <w:sz w:val="32"/>
          <w:szCs w:val="32"/>
          <w:lang w:eastAsia="zh-CN"/>
        </w:rPr>
      </w:pPr>
    </w:p>
    <w:p>
      <w:pPr>
        <w:pStyle w:val="25"/>
        <w:numPr>
          <w:ilvl w:val="0"/>
          <w:numId w:val="0"/>
        </w:numPr>
        <w:spacing w:line="600" w:lineRule="exact"/>
        <w:ind w:left="640" w:leftChars="0"/>
        <w:outlineLvl w:val="1"/>
        <w:rPr>
          <w:rFonts w:hint="eastAsia" w:ascii="黑体" w:hAnsi="黑体" w:eastAsia="黑体"/>
          <w:color w:val="000000"/>
          <w:sz w:val="32"/>
          <w:szCs w:val="32"/>
          <w:lang w:eastAsia="zh-CN"/>
        </w:rPr>
      </w:pPr>
    </w:p>
    <w:p>
      <w:pPr>
        <w:pStyle w:val="25"/>
        <w:numPr>
          <w:ilvl w:val="0"/>
          <w:numId w:val="0"/>
        </w:numPr>
        <w:spacing w:line="600" w:lineRule="exact"/>
        <w:ind w:left="640" w:leftChars="0"/>
        <w:outlineLvl w:val="1"/>
        <w:rPr>
          <w:rFonts w:hint="eastAsia" w:ascii="黑体" w:hAnsi="黑体" w:eastAsia="黑体"/>
          <w:color w:val="000000"/>
          <w:sz w:val="32"/>
          <w:szCs w:val="32"/>
          <w:lang w:eastAsia="zh-CN"/>
        </w:rPr>
      </w:pPr>
    </w:p>
    <w:p>
      <w:pPr>
        <w:pStyle w:val="25"/>
        <w:numPr>
          <w:ilvl w:val="0"/>
          <w:numId w:val="0"/>
        </w:numPr>
        <w:spacing w:line="600" w:lineRule="exact"/>
        <w:ind w:left="640" w:leftChars="0"/>
        <w:outlineLvl w:val="1"/>
        <w:rPr>
          <w:rFonts w:hint="eastAsia" w:ascii="黑体" w:hAnsi="黑体" w:eastAsia="黑体"/>
          <w:color w:val="000000"/>
          <w:sz w:val="32"/>
          <w:szCs w:val="32"/>
          <w:lang w:eastAsia="zh-CN"/>
        </w:rPr>
      </w:pPr>
    </w:p>
    <w:p>
      <w:pPr>
        <w:pStyle w:val="25"/>
        <w:numPr>
          <w:ilvl w:val="0"/>
          <w:numId w:val="0"/>
        </w:numPr>
        <w:spacing w:line="600" w:lineRule="exact"/>
        <w:outlineLvl w:val="1"/>
        <w:rPr>
          <w:rFonts w:hint="eastAsia" w:ascii="黑体" w:hAnsi="黑体" w:eastAsia="黑体"/>
          <w:color w:val="000000"/>
          <w:sz w:val="32"/>
          <w:szCs w:val="32"/>
          <w:lang w:eastAsia="zh-CN"/>
        </w:rPr>
      </w:pPr>
    </w:p>
    <w:p>
      <w:pPr>
        <w:pStyle w:val="25"/>
        <w:numPr>
          <w:ilvl w:val="0"/>
          <w:numId w:val="0"/>
        </w:numPr>
        <w:spacing w:line="600" w:lineRule="exact"/>
        <w:ind w:left="640" w:leftChars="0"/>
        <w:outlineLvl w:val="1"/>
        <w:rPr>
          <w:rStyle w:val="27"/>
          <w:rFonts w:ascii="黑体" w:hAnsi="黑体" w:eastAsia="黑体"/>
          <w:b w:val="0"/>
        </w:rPr>
      </w:pPr>
      <w:r>
        <w:rPr>
          <w:rFonts w:hint="eastAsia" w:ascii="黑体" w:hAnsi="黑体" w:eastAsia="黑体"/>
          <w:color w:val="000000"/>
          <w:sz w:val="32"/>
          <w:szCs w:val="32"/>
          <w:lang w:eastAsia="zh-CN"/>
        </w:rPr>
        <w:t>三、</w:t>
      </w:r>
      <w:r>
        <w:rPr>
          <w:rFonts w:hint="eastAsia" w:ascii="黑体" w:hAnsi="黑体" w:eastAsia="黑体"/>
          <w:color w:val="000000"/>
          <w:sz w:val="32"/>
          <w:szCs w:val="32"/>
        </w:rPr>
        <w:t>支</w:t>
      </w:r>
      <w:r>
        <w:rPr>
          <w:rStyle w:val="27"/>
          <w:rFonts w:hint="eastAsia" w:ascii="黑体" w:hAnsi="黑体" w:eastAsia="黑体"/>
          <w:b w:val="0"/>
        </w:rPr>
        <w:t>出决算情况说明</w:t>
      </w:r>
      <w:bookmarkEnd w:id="28"/>
      <w:bookmarkEnd w:id="29"/>
    </w:p>
    <w:p>
      <w:pPr>
        <w:spacing w:line="600" w:lineRule="exact"/>
        <w:ind w:firstLine="640"/>
        <w:rPr>
          <w:rFonts w:hint="eastAsia" w:ascii="仿宋" w:hAnsi="仿宋" w:eastAsia="仿宋"/>
          <w:color w:val="000000"/>
          <w:sz w:val="32"/>
          <w:szCs w:val="32"/>
          <w:lang w:val="en-US" w:eastAsia="zh-CN"/>
        </w:rPr>
      </w:pPr>
      <w:r>
        <w:rPr>
          <w:rFonts w:ascii="仿宋" w:hAnsi="仿宋" w:eastAsia="仿宋"/>
          <w:color w:val="000000"/>
          <w:sz w:val="32"/>
          <w:szCs w:val="32"/>
        </w:rPr>
        <w:t>201</w:t>
      </w:r>
      <w:r>
        <w:rPr>
          <w:rFonts w:hint="eastAsia" w:ascii="仿宋" w:hAnsi="仿宋" w:eastAsia="仿宋"/>
          <w:color w:val="000000"/>
          <w:sz w:val="32"/>
          <w:szCs w:val="32"/>
        </w:rPr>
        <w:t>8年本年支出合计</w:t>
      </w:r>
      <w:r>
        <w:rPr>
          <w:rFonts w:hint="eastAsia" w:ascii="仿宋" w:hAnsi="仿宋" w:eastAsia="仿宋"/>
          <w:color w:val="000000"/>
          <w:sz w:val="32"/>
          <w:szCs w:val="32"/>
          <w:lang w:val="en-US" w:eastAsia="zh-CN"/>
        </w:rPr>
        <w:t>158.87</w:t>
      </w:r>
      <w:r>
        <w:rPr>
          <w:rFonts w:hint="eastAsia" w:ascii="仿宋" w:hAnsi="仿宋" w:eastAsia="仿宋"/>
          <w:color w:val="000000"/>
          <w:sz w:val="32"/>
          <w:szCs w:val="32"/>
        </w:rPr>
        <w:t>万元，其中：基本支出</w:t>
      </w:r>
      <w:r>
        <w:rPr>
          <w:rFonts w:hint="eastAsia" w:ascii="仿宋" w:hAnsi="仿宋" w:eastAsia="仿宋"/>
          <w:color w:val="000000"/>
          <w:sz w:val="32"/>
          <w:szCs w:val="32"/>
          <w:lang w:val="en-US" w:eastAsia="zh-CN"/>
        </w:rPr>
        <w:t>155.86</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98</w:t>
      </w:r>
      <w:r>
        <w:rPr>
          <w:rFonts w:ascii="仿宋" w:hAnsi="仿宋" w:eastAsia="仿宋"/>
          <w:color w:val="000000"/>
          <w:sz w:val="32"/>
          <w:szCs w:val="32"/>
        </w:rPr>
        <w:t>%</w:t>
      </w:r>
      <w:r>
        <w:rPr>
          <w:rFonts w:hint="eastAsia" w:ascii="仿宋" w:hAnsi="仿宋" w:eastAsia="仿宋"/>
          <w:color w:val="000000"/>
          <w:sz w:val="32"/>
          <w:szCs w:val="32"/>
          <w:lang w:eastAsia="zh-CN"/>
        </w:rPr>
        <w:t>；项目支出</w:t>
      </w:r>
      <w:r>
        <w:rPr>
          <w:rFonts w:hint="eastAsia" w:ascii="仿宋" w:hAnsi="仿宋" w:eastAsia="仿宋"/>
          <w:color w:val="000000"/>
          <w:sz w:val="32"/>
          <w:szCs w:val="32"/>
          <w:lang w:val="en-US" w:eastAsia="zh-CN"/>
        </w:rPr>
        <w:t>3万元，占2</w:t>
      </w:r>
      <w:r>
        <w:rPr>
          <w:rFonts w:ascii="仿宋" w:hAnsi="仿宋" w:eastAsia="仿宋"/>
          <w:color w:val="000000"/>
          <w:sz w:val="32"/>
          <w:szCs w:val="32"/>
        </w:rPr>
        <w:t>%</w:t>
      </w:r>
      <w:r>
        <w:rPr>
          <w:rFonts w:hint="eastAsia" w:ascii="仿宋" w:hAnsi="仿宋" w:eastAsia="仿宋"/>
          <w:color w:val="000000"/>
          <w:sz w:val="32"/>
          <w:szCs w:val="32"/>
          <w:lang w:val="en-US" w:eastAsia="zh-CN"/>
        </w:rPr>
        <w:t>。</w:t>
      </w:r>
    </w:p>
    <w:p>
      <w:pPr>
        <w:spacing w:line="600" w:lineRule="exact"/>
        <w:ind w:firstLine="640"/>
        <w:rPr>
          <w:rFonts w:hint="eastAsia" w:ascii="仿宋" w:hAnsi="仿宋" w:eastAsia="仿宋"/>
          <w:color w:val="000000"/>
          <w:sz w:val="32"/>
          <w:szCs w:val="32"/>
          <w:lang w:eastAsia="zh-CN"/>
        </w:rPr>
      </w:pPr>
    </w:p>
    <w:p>
      <w:pPr>
        <w:spacing w:line="600" w:lineRule="exact"/>
        <w:ind w:firstLine="640"/>
        <w:rPr>
          <w:rFonts w:hint="eastAsia" w:ascii="仿宋" w:hAnsi="仿宋" w:eastAsia="仿宋"/>
          <w:color w:val="000000"/>
          <w:sz w:val="32"/>
          <w:szCs w:val="32"/>
          <w:lang w:eastAsia="zh-CN"/>
        </w:rPr>
      </w:pPr>
    </w:p>
    <w:p>
      <w:pPr>
        <w:spacing w:line="600" w:lineRule="exact"/>
        <w:ind w:firstLine="640"/>
        <w:rPr>
          <w:rFonts w:hint="eastAsia" w:ascii="仿宋" w:hAnsi="仿宋" w:eastAsia="仿宋"/>
          <w:color w:val="000000"/>
          <w:sz w:val="32"/>
          <w:szCs w:val="32"/>
          <w:lang w:eastAsia="zh-CN"/>
        </w:rPr>
      </w:pPr>
      <w:r>
        <w:rPr>
          <w:rFonts w:hint="eastAsia" w:ascii="仿宋" w:hAnsi="仿宋" w:eastAsia="仿宋"/>
          <w:color w:val="000000"/>
          <w:sz w:val="32"/>
          <w:szCs w:val="32"/>
          <w:lang w:eastAsia="zh-CN"/>
        </w:rPr>
        <w:drawing>
          <wp:anchor distT="0" distB="0" distL="114300" distR="114300" simplePos="0" relativeHeight="251663360" behindDoc="0" locked="0" layoutInCell="1" allowOverlap="1">
            <wp:simplePos x="0" y="0"/>
            <wp:positionH relativeFrom="column">
              <wp:posOffset>144145</wp:posOffset>
            </wp:positionH>
            <wp:positionV relativeFrom="paragraph">
              <wp:posOffset>90170</wp:posOffset>
            </wp:positionV>
            <wp:extent cx="5080000" cy="3057525"/>
            <wp:effectExtent l="4445" t="4445" r="20955" b="5080"/>
            <wp:wrapSquare wrapText="bothSides"/>
            <wp:docPr id="19" name="图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pPr>
        <w:spacing w:line="600" w:lineRule="exact"/>
        <w:ind w:firstLine="1920" w:firstLineChars="600"/>
        <w:rPr>
          <w:rFonts w:ascii="仿宋_GB2312" w:eastAsia="仿宋_GB2312"/>
          <w:color w:val="FF0000"/>
          <w:sz w:val="32"/>
          <w:szCs w:val="32"/>
        </w:rPr>
      </w:pPr>
      <w:r>
        <w:rPr>
          <w:rFonts w:hint="eastAsia" w:ascii="仿宋" w:hAnsi="仿宋" w:eastAsia="仿宋"/>
          <w:color w:val="000000" w:themeColor="text1"/>
          <w:sz w:val="32"/>
          <w:szCs w:val="32"/>
          <w14:textFill>
            <w14:solidFill>
              <w14:schemeClr w14:val="tx1"/>
            </w14:solidFill>
          </w14:textFill>
        </w:rPr>
        <w:t>（图3：支出决算结构图）（饼状图）</w:t>
      </w:r>
    </w:p>
    <w:p>
      <w:pPr>
        <w:numPr>
          <w:ilvl w:val="0"/>
          <w:numId w:val="0"/>
        </w:numPr>
        <w:spacing w:line="600" w:lineRule="exact"/>
        <w:ind w:left="640" w:leftChars="0"/>
        <w:outlineLvl w:val="1"/>
        <w:rPr>
          <w:rFonts w:hint="eastAsia" w:ascii="黑体" w:hAnsi="黑体" w:eastAsia="黑体"/>
          <w:color w:val="000000"/>
          <w:sz w:val="32"/>
          <w:szCs w:val="32"/>
          <w:lang w:eastAsia="zh-CN"/>
        </w:rPr>
      </w:pPr>
      <w:bookmarkStart w:id="30" w:name="_Toc15377208"/>
      <w:bookmarkStart w:id="31" w:name="_Toc15396606"/>
    </w:p>
    <w:p>
      <w:pPr>
        <w:numPr>
          <w:ilvl w:val="0"/>
          <w:numId w:val="0"/>
        </w:numPr>
        <w:spacing w:line="600" w:lineRule="exact"/>
        <w:ind w:left="640" w:leftChars="0"/>
        <w:outlineLvl w:val="1"/>
        <w:rPr>
          <w:rFonts w:hint="eastAsia" w:ascii="黑体" w:hAnsi="黑体" w:eastAsia="黑体"/>
          <w:color w:val="000000"/>
          <w:sz w:val="32"/>
          <w:szCs w:val="32"/>
          <w:lang w:eastAsia="zh-CN"/>
        </w:rPr>
      </w:pPr>
    </w:p>
    <w:p>
      <w:pPr>
        <w:numPr>
          <w:ilvl w:val="0"/>
          <w:numId w:val="0"/>
        </w:numPr>
        <w:spacing w:line="600" w:lineRule="exact"/>
        <w:ind w:left="640" w:leftChars="0"/>
        <w:outlineLvl w:val="1"/>
        <w:rPr>
          <w:rFonts w:hint="eastAsia" w:ascii="黑体" w:hAnsi="黑体" w:eastAsia="黑体"/>
          <w:color w:val="000000"/>
          <w:sz w:val="32"/>
          <w:szCs w:val="32"/>
          <w:lang w:eastAsia="zh-CN"/>
        </w:rPr>
      </w:pPr>
    </w:p>
    <w:p>
      <w:pPr>
        <w:numPr>
          <w:ilvl w:val="0"/>
          <w:numId w:val="0"/>
        </w:numPr>
        <w:spacing w:line="600" w:lineRule="exact"/>
        <w:ind w:left="640" w:leftChars="0"/>
        <w:outlineLvl w:val="1"/>
        <w:rPr>
          <w:rFonts w:hint="eastAsia" w:ascii="黑体" w:hAnsi="黑体" w:eastAsia="黑体"/>
          <w:color w:val="000000"/>
          <w:sz w:val="32"/>
          <w:szCs w:val="32"/>
          <w:lang w:eastAsia="zh-CN"/>
        </w:rPr>
      </w:pPr>
    </w:p>
    <w:p>
      <w:pPr>
        <w:numPr>
          <w:ilvl w:val="0"/>
          <w:numId w:val="0"/>
        </w:numPr>
        <w:spacing w:line="600" w:lineRule="exact"/>
        <w:ind w:left="640" w:leftChars="0"/>
        <w:outlineLvl w:val="1"/>
        <w:rPr>
          <w:rFonts w:hint="eastAsia" w:ascii="黑体" w:hAnsi="黑体" w:eastAsia="黑体"/>
          <w:color w:val="000000"/>
          <w:sz w:val="32"/>
          <w:szCs w:val="32"/>
          <w:lang w:eastAsia="zh-CN"/>
        </w:rPr>
      </w:pPr>
    </w:p>
    <w:p>
      <w:pPr>
        <w:numPr>
          <w:ilvl w:val="0"/>
          <w:numId w:val="0"/>
        </w:numPr>
        <w:spacing w:line="600" w:lineRule="exact"/>
        <w:ind w:left="640" w:leftChars="0"/>
        <w:outlineLvl w:val="1"/>
        <w:rPr>
          <w:rFonts w:hint="eastAsia" w:ascii="黑体" w:hAnsi="黑体" w:eastAsia="黑体"/>
          <w:color w:val="000000"/>
          <w:sz w:val="32"/>
          <w:szCs w:val="32"/>
          <w:lang w:eastAsia="zh-CN"/>
        </w:rPr>
      </w:pPr>
    </w:p>
    <w:p>
      <w:pPr>
        <w:numPr>
          <w:ilvl w:val="0"/>
          <w:numId w:val="0"/>
        </w:numPr>
        <w:spacing w:line="600" w:lineRule="exact"/>
        <w:outlineLvl w:val="1"/>
        <w:rPr>
          <w:rFonts w:hint="eastAsia" w:ascii="黑体" w:hAnsi="黑体" w:eastAsia="黑体"/>
          <w:color w:val="000000"/>
          <w:sz w:val="32"/>
          <w:szCs w:val="32"/>
          <w:lang w:eastAsia="zh-CN"/>
        </w:rPr>
      </w:pPr>
    </w:p>
    <w:p>
      <w:pPr>
        <w:numPr>
          <w:ilvl w:val="0"/>
          <w:numId w:val="0"/>
        </w:numPr>
        <w:spacing w:line="600" w:lineRule="exact"/>
        <w:ind w:left="640" w:leftChars="0"/>
        <w:outlineLvl w:val="1"/>
        <w:rPr>
          <w:rStyle w:val="27"/>
          <w:rFonts w:hint="eastAsia" w:ascii="黑体" w:hAnsi="黑体" w:eastAsia="黑体"/>
          <w:b w:val="0"/>
        </w:rPr>
      </w:pPr>
      <w:r>
        <w:rPr>
          <w:rFonts w:hint="eastAsia" w:ascii="黑体" w:hAnsi="黑体" w:eastAsia="黑体"/>
          <w:color w:val="000000"/>
          <w:sz w:val="32"/>
          <w:szCs w:val="32"/>
          <w:lang w:eastAsia="zh-CN"/>
        </w:rPr>
        <w:t>四、</w:t>
      </w:r>
      <w:r>
        <w:rPr>
          <w:rFonts w:hint="eastAsia" w:ascii="黑体" w:hAnsi="黑体" w:eastAsia="黑体"/>
          <w:color w:val="000000"/>
          <w:sz w:val="32"/>
          <w:szCs w:val="32"/>
        </w:rPr>
        <w:t>财</w:t>
      </w:r>
      <w:r>
        <w:rPr>
          <w:rStyle w:val="27"/>
          <w:rFonts w:hint="eastAsia" w:ascii="黑体" w:hAnsi="黑体" w:eastAsia="黑体"/>
          <w:b w:val="0"/>
        </w:rPr>
        <w:t>政拨款收入支出决算总体情况说明</w:t>
      </w:r>
      <w:bookmarkEnd w:id="30"/>
      <w:bookmarkEnd w:id="31"/>
    </w:p>
    <w:p>
      <w:pPr>
        <w:spacing w:line="600" w:lineRule="exact"/>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rPr>
        <w:t>2018年度收</w:t>
      </w:r>
      <w:r>
        <w:rPr>
          <w:rFonts w:hint="eastAsia" w:ascii="仿宋" w:hAnsi="仿宋" w:eastAsia="仿宋"/>
          <w:color w:val="000000"/>
          <w:sz w:val="32"/>
          <w:szCs w:val="32"/>
          <w:lang w:eastAsia="zh-CN"/>
        </w:rPr>
        <w:t>入</w:t>
      </w:r>
      <w:r>
        <w:rPr>
          <w:rFonts w:hint="eastAsia" w:ascii="仿宋" w:hAnsi="仿宋" w:eastAsia="仿宋"/>
          <w:color w:val="000000"/>
          <w:sz w:val="32"/>
          <w:szCs w:val="32"/>
        </w:rPr>
        <w:t>总计</w:t>
      </w:r>
      <w:r>
        <w:rPr>
          <w:rFonts w:hint="eastAsia" w:ascii="仿宋" w:hAnsi="仿宋" w:eastAsia="仿宋"/>
          <w:color w:val="000000"/>
          <w:sz w:val="32"/>
          <w:szCs w:val="32"/>
          <w:lang w:val="en-US" w:eastAsia="zh-CN"/>
        </w:rPr>
        <w:t>161.51</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w:t>
      </w:r>
      <w:r>
        <w:rPr>
          <w:rFonts w:hint="eastAsia" w:ascii="仿宋_GB2312" w:eastAsia="仿宋_GB2312"/>
          <w:sz w:val="30"/>
          <w:szCs w:val="30"/>
        </w:rPr>
        <w:t>其中财政拨款收入</w:t>
      </w:r>
      <w:r>
        <w:rPr>
          <w:rFonts w:hint="eastAsia" w:ascii="仿宋_GB2312" w:eastAsia="仿宋_GB2312"/>
          <w:sz w:val="30"/>
          <w:szCs w:val="30"/>
          <w:lang w:val="en-US" w:eastAsia="zh-CN"/>
        </w:rPr>
        <w:t>161.51万</w:t>
      </w:r>
      <w:r>
        <w:rPr>
          <w:rFonts w:hint="eastAsia" w:ascii="仿宋_GB2312" w:eastAsia="仿宋_GB2312"/>
          <w:sz w:val="30"/>
          <w:szCs w:val="30"/>
        </w:rPr>
        <w:t>元</w:t>
      </w:r>
      <w:r>
        <w:rPr>
          <w:rFonts w:hint="eastAsia" w:ascii="仿宋_GB2312" w:eastAsia="仿宋_GB2312"/>
          <w:sz w:val="30"/>
          <w:szCs w:val="30"/>
          <w:lang w:eastAsia="zh-CN"/>
        </w:rPr>
        <w:t>，</w:t>
      </w:r>
      <w:r>
        <w:rPr>
          <w:rFonts w:hint="eastAsia" w:ascii="仿宋" w:hAnsi="仿宋" w:eastAsia="仿宋"/>
          <w:color w:val="000000"/>
          <w:sz w:val="32"/>
          <w:szCs w:val="32"/>
        </w:rPr>
        <w:t>与2017年相比，收</w:t>
      </w:r>
      <w:r>
        <w:rPr>
          <w:rFonts w:hint="eastAsia" w:ascii="仿宋" w:hAnsi="仿宋" w:eastAsia="仿宋"/>
          <w:color w:val="000000"/>
          <w:sz w:val="32"/>
          <w:szCs w:val="32"/>
          <w:lang w:eastAsia="zh-CN"/>
        </w:rPr>
        <w:t>入</w:t>
      </w:r>
      <w:r>
        <w:rPr>
          <w:rFonts w:hint="eastAsia" w:ascii="仿宋" w:hAnsi="仿宋" w:eastAsia="仿宋"/>
          <w:color w:val="000000"/>
          <w:sz w:val="32"/>
          <w:szCs w:val="32"/>
        </w:rPr>
        <w:t>总计增加</w:t>
      </w:r>
      <w:r>
        <w:rPr>
          <w:rFonts w:hint="eastAsia" w:ascii="仿宋" w:hAnsi="仿宋" w:eastAsia="仿宋"/>
          <w:color w:val="000000"/>
          <w:sz w:val="32"/>
          <w:szCs w:val="32"/>
          <w:lang w:val="en-US" w:eastAsia="zh-CN"/>
        </w:rPr>
        <w:t>27.97</w:t>
      </w:r>
      <w:r>
        <w:rPr>
          <w:rFonts w:hint="eastAsia" w:ascii="仿宋" w:hAnsi="仿宋" w:eastAsia="仿宋"/>
          <w:color w:val="000000"/>
          <w:sz w:val="32"/>
          <w:szCs w:val="32"/>
        </w:rPr>
        <w:t>万元，增长</w:t>
      </w:r>
      <w:r>
        <w:rPr>
          <w:rFonts w:hint="eastAsia" w:ascii="仿宋" w:hAnsi="仿宋" w:eastAsia="仿宋"/>
          <w:color w:val="000000"/>
          <w:sz w:val="32"/>
          <w:szCs w:val="32"/>
          <w:lang w:val="en-US" w:eastAsia="zh-CN"/>
        </w:rPr>
        <w:t>17.3</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仿宋" w:hAnsi="仿宋" w:eastAsia="仿宋"/>
          <w:color w:val="000000"/>
          <w:sz w:val="32"/>
          <w:szCs w:val="32"/>
          <w:lang w:val="en-US" w:eastAsia="zh-CN"/>
        </w:rPr>
        <w:t>2018年社会保障和就业支出、医疗卫生和计划生育支出、住房保障支出增加。</w:t>
      </w:r>
      <w:r>
        <w:rPr>
          <w:rFonts w:hint="eastAsia" w:ascii="仿宋" w:hAnsi="仿宋" w:eastAsia="仿宋"/>
          <w:color w:val="000000"/>
          <w:sz w:val="32"/>
          <w:szCs w:val="32"/>
          <w:lang w:eastAsia="zh-CN"/>
        </w:rPr>
        <w:t>支出总计</w:t>
      </w:r>
      <w:r>
        <w:rPr>
          <w:rFonts w:hint="eastAsia" w:ascii="仿宋" w:hAnsi="仿宋" w:eastAsia="仿宋"/>
          <w:color w:val="000000"/>
          <w:sz w:val="32"/>
          <w:szCs w:val="32"/>
          <w:lang w:val="en-US" w:eastAsia="zh-CN"/>
        </w:rPr>
        <w:t>158.87万元，</w:t>
      </w:r>
      <w:r>
        <w:rPr>
          <w:rFonts w:hint="eastAsia" w:ascii="仿宋" w:hAnsi="仿宋" w:eastAsia="仿宋"/>
          <w:color w:val="000000"/>
          <w:sz w:val="32"/>
          <w:szCs w:val="32"/>
        </w:rPr>
        <w:t>与2017年相比，支</w:t>
      </w:r>
      <w:r>
        <w:rPr>
          <w:rFonts w:hint="eastAsia" w:ascii="仿宋" w:hAnsi="仿宋" w:eastAsia="仿宋"/>
          <w:color w:val="000000"/>
          <w:sz w:val="32"/>
          <w:szCs w:val="32"/>
          <w:lang w:eastAsia="zh-CN"/>
        </w:rPr>
        <w:t>出</w:t>
      </w:r>
      <w:r>
        <w:rPr>
          <w:rFonts w:hint="eastAsia" w:ascii="仿宋" w:hAnsi="仿宋" w:eastAsia="仿宋"/>
          <w:color w:val="000000"/>
          <w:sz w:val="32"/>
          <w:szCs w:val="32"/>
        </w:rPr>
        <w:t>总计增加</w:t>
      </w:r>
      <w:r>
        <w:rPr>
          <w:rFonts w:hint="eastAsia" w:ascii="仿宋" w:hAnsi="仿宋" w:eastAsia="仿宋"/>
          <w:color w:val="000000"/>
          <w:sz w:val="32"/>
          <w:szCs w:val="32"/>
          <w:lang w:val="en-US" w:eastAsia="zh-CN"/>
        </w:rPr>
        <w:t>18.72</w:t>
      </w:r>
      <w:r>
        <w:rPr>
          <w:rFonts w:hint="eastAsia" w:ascii="仿宋" w:hAnsi="仿宋" w:eastAsia="仿宋"/>
          <w:color w:val="000000"/>
          <w:sz w:val="32"/>
          <w:szCs w:val="32"/>
        </w:rPr>
        <w:t>万元，增长</w:t>
      </w:r>
      <w:r>
        <w:rPr>
          <w:rFonts w:hint="eastAsia" w:ascii="仿宋" w:hAnsi="仿宋" w:eastAsia="仿宋"/>
          <w:color w:val="000000"/>
          <w:sz w:val="32"/>
          <w:szCs w:val="32"/>
          <w:lang w:val="en-US" w:eastAsia="zh-CN"/>
        </w:rPr>
        <w:t>11.8</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仿宋" w:hAnsi="仿宋" w:eastAsia="仿宋"/>
          <w:color w:val="000000"/>
          <w:sz w:val="32"/>
          <w:szCs w:val="32"/>
          <w:lang w:val="en-US" w:eastAsia="zh-CN"/>
        </w:rPr>
        <w:t>2018年项目支出增加（重大公共卫生专项）、基本支出增加（人员经费、日常公用经费）。</w:t>
      </w:r>
    </w:p>
    <w:p>
      <w:pPr>
        <w:spacing w:line="600" w:lineRule="exact"/>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drawing>
          <wp:anchor distT="0" distB="0" distL="114300" distR="114300" simplePos="0" relativeHeight="251660288" behindDoc="0" locked="0" layoutInCell="1" allowOverlap="1">
            <wp:simplePos x="0" y="0"/>
            <wp:positionH relativeFrom="column">
              <wp:posOffset>410845</wp:posOffset>
            </wp:positionH>
            <wp:positionV relativeFrom="paragraph">
              <wp:posOffset>318135</wp:posOffset>
            </wp:positionV>
            <wp:extent cx="5080000" cy="3172460"/>
            <wp:effectExtent l="4445" t="4445" r="20955" b="23495"/>
            <wp:wrapSquare wrapText="bothSides"/>
            <wp:docPr id="15" name="图表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pPr>
        <w:spacing w:line="600" w:lineRule="exact"/>
        <w:ind w:firstLine="640" w:firstLineChars="200"/>
        <w:rPr>
          <w:rFonts w:hint="eastAsia" w:ascii="仿宋" w:hAnsi="仿宋" w:eastAsia="仿宋"/>
          <w:color w:val="000000"/>
          <w:sz w:val="32"/>
          <w:szCs w:val="32"/>
          <w:lang w:val="en-US" w:eastAsia="zh-CN"/>
        </w:rPr>
      </w:pPr>
    </w:p>
    <w:p>
      <w:pPr>
        <w:spacing w:line="600" w:lineRule="exact"/>
        <w:ind w:firstLine="640" w:firstLineChars="200"/>
        <w:rPr>
          <w:rFonts w:hint="eastAsia" w:ascii="仿宋" w:hAnsi="仿宋" w:eastAsia="仿宋"/>
          <w:color w:val="000000"/>
          <w:sz w:val="32"/>
          <w:szCs w:val="32"/>
          <w:lang w:val="en-US" w:eastAsia="zh-CN"/>
        </w:rPr>
      </w:pPr>
    </w:p>
    <w:p>
      <w:pPr>
        <w:spacing w:line="600" w:lineRule="exact"/>
        <w:ind w:firstLine="640" w:firstLineChars="200"/>
        <w:rPr>
          <w:rFonts w:hint="eastAsia" w:ascii="仿宋" w:hAnsi="仿宋" w:eastAsia="仿宋"/>
          <w:color w:val="000000"/>
          <w:sz w:val="32"/>
          <w:szCs w:val="32"/>
          <w:lang w:val="en-US" w:eastAsia="zh-CN"/>
        </w:rPr>
      </w:pPr>
    </w:p>
    <w:p>
      <w:pPr>
        <w:spacing w:line="600" w:lineRule="exact"/>
        <w:ind w:firstLine="640" w:firstLineChars="200"/>
        <w:rPr>
          <w:rFonts w:hint="eastAsia" w:ascii="仿宋" w:hAnsi="仿宋" w:eastAsia="仿宋"/>
          <w:color w:val="000000"/>
          <w:sz w:val="32"/>
          <w:szCs w:val="32"/>
          <w:lang w:val="en-US" w:eastAsia="zh-CN"/>
        </w:rPr>
      </w:pPr>
    </w:p>
    <w:p>
      <w:pPr>
        <w:spacing w:line="600" w:lineRule="exact"/>
        <w:ind w:firstLine="640" w:firstLineChars="200"/>
        <w:rPr>
          <w:rFonts w:hint="eastAsia" w:ascii="仿宋" w:hAnsi="仿宋" w:eastAsia="仿宋"/>
          <w:color w:val="000000"/>
          <w:sz w:val="32"/>
          <w:szCs w:val="32"/>
          <w:lang w:val="en-US" w:eastAsia="zh-CN"/>
        </w:rPr>
      </w:pPr>
    </w:p>
    <w:p>
      <w:pPr>
        <w:spacing w:line="600" w:lineRule="exact"/>
        <w:ind w:firstLine="640" w:firstLineChars="200"/>
        <w:rPr>
          <w:rFonts w:hint="eastAsia" w:ascii="仿宋" w:hAnsi="仿宋" w:eastAsia="仿宋"/>
          <w:color w:val="000000"/>
          <w:sz w:val="32"/>
          <w:szCs w:val="32"/>
          <w:lang w:val="en-US" w:eastAsia="zh-CN"/>
        </w:rPr>
      </w:pPr>
    </w:p>
    <w:p>
      <w:pPr>
        <w:spacing w:line="600" w:lineRule="exact"/>
        <w:ind w:firstLine="640" w:firstLineChars="200"/>
        <w:rPr>
          <w:rStyle w:val="27"/>
          <w:rFonts w:hint="eastAsia" w:ascii="黑体" w:hAnsi="黑体" w:eastAsia="黑体"/>
          <w:b w:val="0"/>
        </w:rPr>
      </w:pPr>
    </w:p>
    <w:p>
      <w:pPr>
        <w:spacing w:line="600" w:lineRule="exact"/>
        <w:ind w:left="319" w:leftChars="152" w:firstLine="320" w:firstLineChars="100"/>
        <w:rPr>
          <w:rFonts w:hint="eastAsia"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w:t>
      </w:r>
    </w:p>
    <w:p>
      <w:pPr>
        <w:spacing w:line="600" w:lineRule="exact"/>
        <w:ind w:left="319" w:leftChars="152" w:firstLine="320" w:firstLineChars="100"/>
        <w:rPr>
          <w:rFonts w:hint="eastAsia" w:ascii="仿宋" w:hAnsi="仿宋" w:eastAsia="仿宋"/>
          <w:color w:val="000000" w:themeColor="text1"/>
          <w:sz w:val="32"/>
          <w:szCs w:val="32"/>
          <w14:textFill>
            <w14:solidFill>
              <w14:schemeClr w14:val="tx1"/>
            </w14:solidFill>
          </w14:textFill>
        </w:rPr>
      </w:pPr>
    </w:p>
    <w:p>
      <w:pPr>
        <w:spacing w:line="600" w:lineRule="exact"/>
        <w:ind w:left="319" w:leftChars="152" w:firstLine="320" w:firstLineChars="100"/>
        <w:rPr>
          <w:rFonts w:ascii="仿宋" w:hAnsi="仿宋" w:eastAsia="仿宋"/>
          <w:b/>
          <w:color w:val="00B050"/>
          <w:sz w:val="32"/>
          <w:szCs w:val="32"/>
        </w:rPr>
      </w:pPr>
      <w:r>
        <w:rPr>
          <w:rFonts w:hint="eastAsia" w:ascii="仿宋" w:hAnsi="仿宋" w:eastAsia="仿宋"/>
          <w:color w:val="000000" w:themeColor="text1"/>
          <w:sz w:val="32"/>
          <w:szCs w:val="32"/>
          <w14:textFill>
            <w14:solidFill>
              <w14:schemeClr w14:val="tx1"/>
            </w14:solidFill>
          </w14:textFill>
        </w:rPr>
        <w:t>图4：财政拨款收、支决算总计变动情况）（柱状图）</w:t>
      </w:r>
    </w:p>
    <w:p>
      <w:pPr>
        <w:spacing w:line="600" w:lineRule="exact"/>
        <w:ind w:firstLine="640" w:firstLineChars="200"/>
        <w:outlineLvl w:val="1"/>
        <w:rPr>
          <w:rFonts w:hint="eastAsia" w:ascii="黑体" w:hAnsi="黑体" w:eastAsia="黑体"/>
          <w:color w:val="000000"/>
          <w:sz w:val="32"/>
          <w:szCs w:val="32"/>
        </w:rPr>
      </w:pPr>
      <w:bookmarkStart w:id="32" w:name="_Toc15396607"/>
      <w:bookmarkStart w:id="33" w:name="_Toc15377209"/>
    </w:p>
    <w:p>
      <w:pPr>
        <w:spacing w:line="600" w:lineRule="exact"/>
        <w:ind w:firstLine="640" w:firstLineChars="200"/>
        <w:outlineLvl w:val="1"/>
        <w:rPr>
          <w:rFonts w:hint="eastAsia" w:ascii="黑体" w:hAnsi="黑体" w:eastAsia="黑体"/>
          <w:color w:val="000000"/>
          <w:sz w:val="32"/>
          <w:szCs w:val="32"/>
        </w:rPr>
      </w:pPr>
    </w:p>
    <w:p>
      <w:pPr>
        <w:spacing w:line="600" w:lineRule="exact"/>
        <w:ind w:firstLine="640" w:firstLineChars="200"/>
        <w:outlineLvl w:val="1"/>
        <w:rPr>
          <w:rFonts w:hint="eastAsia" w:ascii="黑体" w:hAnsi="黑体" w:eastAsia="黑体"/>
          <w:color w:val="000000"/>
          <w:sz w:val="32"/>
          <w:szCs w:val="32"/>
        </w:rPr>
      </w:pPr>
    </w:p>
    <w:p>
      <w:pPr>
        <w:spacing w:line="600" w:lineRule="exact"/>
        <w:ind w:firstLine="640" w:firstLineChars="200"/>
        <w:outlineLvl w:val="1"/>
        <w:rPr>
          <w:rFonts w:hint="eastAsia" w:ascii="黑体" w:hAnsi="黑体" w:eastAsia="黑体"/>
          <w:color w:val="000000"/>
          <w:sz w:val="32"/>
          <w:szCs w:val="32"/>
        </w:rPr>
      </w:pPr>
    </w:p>
    <w:p>
      <w:pPr>
        <w:spacing w:line="600" w:lineRule="exact"/>
        <w:outlineLvl w:val="1"/>
        <w:rPr>
          <w:rFonts w:hint="eastAsia" w:ascii="黑体" w:hAnsi="黑体" w:eastAsia="黑体"/>
          <w:color w:val="000000"/>
          <w:sz w:val="32"/>
          <w:szCs w:val="32"/>
        </w:rPr>
      </w:pPr>
    </w:p>
    <w:p>
      <w:pPr>
        <w:spacing w:line="600" w:lineRule="exact"/>
        <w:ind w:firstLine="640" w:firstLineChars="200"/>
        <w:outlineLvl w:val="1"/>
        <w:rPr>
          <w:rStyle w:val="27"/>
          <w:rFonts w:ascii="黑体" w:hAnsi="黑体" w:eastAsia="黑体"/>
          <w:b w:val="0"/>
        </w:rPr>
      </w:pPr>
      <w:r>
        <w:rPr>
          <w:rFonts w:hint="eastAsia" w:ascii="黑体" w:hAnsi="黑体" w:eastAsia="黑体"/>
          <w:color w:val="000000"/>
          <w:sz w:val="32"/>
          <w:szCs w:val="32"/>
        </w:rPr>
        <w:t>五、</w:t>
      </w:r>
      <w:r>
        <w:rPr>
          <w:rFonts w:hint="eastAsia" w:ascii="黑体" w:hAnsi="黑体" w:eastAsia="黑体"/>
          <w:b/>
          <w:color w:val="000000"/>
          <w:sz w:val="32"/>
          <w:szCs w:val="32"/>
        </w:rPr>
        <w:t>一</w:t>
      </w:r>
      <w:r>
        <w:rPr>
          <w:rStyle w:val="27"/>
          <w:rFonts w:hint="eastAsia" w:ascii="黑体" w:hAnsi="黑体" w:eastAsia="黑体"/>
          <w:b w:val="0"/>
        </w:rPr>
        <w:t>般公共预算财政拨款支出决算情况说明</w:t>
      </w:r>
      <w:bookmarkEnd w:id="32"/>
      <w:bookmarkEnd w:id="33"/>
    </w:p>
    <w:p>
      <w:pPr>
        <w:spacing w:line="600" w:lineRule="exact"/>
        <w:ind w:firstLine="643" w:firstLineChars="200"/>
        <w:outlineLvl w:val="2"/>
        <w:rPr>
          <w:rFonts w:ascii="仿宋" w:hAnsi="仿宋" w:eastAsia="仿宋"/>
          <w:b/>
          <w:color w:val="000000"/>
          <w:sz w:val="32"/>
          <w:szCs w:val="32"/>
        </w:rPr>
      </w:pPr>
      <w:bookmarkStart w:id="34" w:name="_Toc15377210"/>
      <w:r>
        <w:rPr>
          <w:rFonts w:hint="eastAsia" w:ascii="仿宋" w:hAnsi="仿宋" w:eastAsia="仿宋"/>
          <w:b/>
          <w:color w:val="000000"/>
          <w:sz w:val="32"/>
          <w:szCs w:val="32"/>
        </w:rPr>
        <w:t>（一）一般公共预算财政拨款支出决算总体情况</w:t>
      </w:r>
      <w:bookmarkEnd w:id="34"/>
    </w:p>
    <w:p>
      <w:pPr>
        <w:spacing w:line="600" w:lineRule="exact"/>
        <w:ind w:firstLine="640" w:firstLineChars="200"/>
        <w:rPr>
          <w:rFonts w:hint="eastAsia" w:ascii="仿宋" w:hAnsi="仿宋" w:eastAsia="仿宋"/>
          <w:color w:val="000000"/>
          <w:sz w:val="32"/>
          <w:szCs w:val="32"/>
          <w:lang w:val="en-US" w:eastAsia="zh-CN"/>
        </w:rPr>
      </w:pPr>
      <w:r>
        <w:rPr>
          <w:rFonts w:ascii="仿宋" w:hAnsi="仿宋" w:eastAsia="仿宋"/>
          <w:color w:val="000000"/>
          <w:sz w:val="32"/>
          <w:szCs w:val="32"/>
        </w:rPr>
        <w:t>201</w:t>
      </w:r>
      <w:r>
        <w:rPr>
          <w:rFonts w:hint="eastAsia" w:ascii="仿宋" w:hAnsi="仿宋" w:eastAsia="仿宋"/>
          <w:color w:val="000000"/>
          <w:sz w:val="32"/>
          <w:szCs w:val="32"/>
        </w:rPr>
        <w:t>8年一般公共预算财政拨款支出</w:t>
      </w:r>
      <w:r>
        <w:rPr>
          <w:rFonts w:hint="eastAsia" w:ascii="仿宋" w:hAnsi="仿宋" w:eastAsia="仿宋"/>
          <w:color w:val="000000"/>
          <w:sz w:val="32"/>
          <w:szCs w:val="32"/>
          <w:lang w:val="en-US" w:eastAsia="zh-CN"/>
        </w:rPr>
        <w:t>158.87</w:t>
      </w:r>
      <w:r>
        <w:rPr>
          <w:rFonts w:hint="eastAsia" w:ascii="仿宋" w:hAnsi="仿宋" w:eastAsia="仿宋"/>
          <w:color w:val="000000"/>
          <w:sz w:val="32"/>
          <w:szCs w:val="32"/>
        </w:rPr>
        <w:t>万元，占本年支出合计的</w:t>
      </w:r>
      <w:r>
        <w:rPr>
          <w:rFonts w:hint="eastAsia" w:ascii="仿宋" w:hAnsi="仿宋" w:eastAsia="仿宋"/>
          <w:color w:val="000000"/>
          <w:sz w:val="32"/>
          <w:szCs w:val="32"/>
          <w:lang w:val="en-US" w:eastAsia="zh-CN"/>
        </w:rPr>
        <w:t>100</w:t>
      </w:r>
      <w:r>
        <w:rPr>
          <w:rFonts w:ascii="仿宋" w:hAnsi="仿宋" w:eastAsia="仿宋"/>
          <w:color w:val="000000"/>
          <w:sz w:val="32"/>
          <w:szCs w:val="32"/>
        </w:rPr>
        <w:t>%</w:t>
      </w:r>
      <w:r>
        <w:rPr>
          <w:rFonts w:hint="eastAsia" w:ascii="仿宋" w:hAnsi="仿宋" w:eastAsia="仿宋"/>
          <w:color w:val="000000"/>
          <w:sz w:val="32"/>
          <w:szCs w:val="32"/>
        </w:rPr>
        <w:t>。与2017年相比，支</w:t>
      </w:r>
      <w:r>
        <w:rPr>
          <w:rFonts w:hint="eastAsia" w:ascii="仿宋" w:hAnsi="仿宋" w:eastAsia="仿宋"/>
          <w:color w:val="000000"/>
          <w:sz w:val="32"/>
          <w:szCs w:val="32"/>
          <w:lang w:eastAsia="zh-CN"/>
        </w:rPr>
        <w:t>出</w:t>
      </w:r>
      <w:r>
        <w:rPr>
          <w:rFonts w:hint="eastAsia" w:ascii="仿宋" w:hAnsi="仿宋" w:eastAsia="仿宋"/>
          <w:color w:val="000000"/>
          <w:sz w:val="32"/>
          <w:szCs w:val="32"/>
        </w:rPr>
        <w:t>总计增加</w:t>
      </w:r>
      <w:r>
        <w:rPr>
          <w:rFonts w:hint="eastAsia" w:ascii="仿宋" w:hAnsi="仿宋" w:eastAsia="仿宋"/>
          <w:color w:val="000000"/>
          <w:sz w:val="32"/>
          <w:szCs w:val="32"/>
          <w:lang w:val="en-US" w:eastAsia="zh-CN"/>
        </w:rPr>
        <w:t>18.72</w:t>
      </w:r>
      <w:r>
        <w:rPr>
          <w:rFonts w:hint="eastAsia" w:ascii="仿宋" w:hAnsi="仿宋" w:eastAsia="仿宋"/>
          <w:color w:val="000000"/>
          <w:sz w:val="32"/>
          <w:szCs w:val="32"/>
        </w:rPr>
        <w:t>万元，增长</w:t>
      </w:r>
      <w:r>
        <w:rPr>
          <w:rFonts w:hint="eastAsia" w:ascii="仿宋" w:hAnsi="仿宋" w:eastAsia="仿宋"/>
          <w:color w:val="000000"/>
          <w:sz w:val="32"/>
          <w:szCs w:val="32"/>
          <w:lang w:val="en-US" w:eastAsia="zh-CN"/>
        </w:rPr>
        <w:t>11.8</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仿宋" w:hAnsi="仿宋" w:eastAsia="仿宋"/>
          <w:color w:val="000000"/>
          <w:sz w:val="32"/>
          <w:szCs w:val="32"/>
          <w:lang w:val="en-US" w:eastAsia="zh-CN"/>
        </w:rPr>
        <w:t>2018年项目支出增加（重大公共卫生专项）、基本支出增加（人员经费、日常公用经费）。</w:t>
      </w:r>
    </w:p>
    <w:p>
      <w:pPr>
        <w:spacing w:line="600" w:lineRule="exact"/>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drawing>
          <wp:anchor distT="0" distB="0" distL="114300" distR="114300" simplePos="0" relativeHeight="251661312" behindDoc="0" locked="0" layoutInCell="1" allowOverlap="1">
            <wp:simplePos x="0" y="0"/>
            <wp:positionH relativeFrom="column">
              <wp:posOffset>410845</wp:posOffset>
            </wp:positionH>
            <wp:positionV relativeFrom="paragraph">
              <wp:posOffset>166370</wp:posOffset>
            </wp:positionV>
            <wp:extent cx="5080000" cy="3552825"/>
            <wp:effectExtent l="4445" t="4445" r="20955" b="5080"/>
            <wp:wrapSquare wrapText="bothSides"/>
            <wp:docPr id="16" name="图表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pPr>
        <w:spacing w:line="600" w:lineRule="exact"/>
        <w:ind w:firstLine="640" w:firstLineChars="200"/>
        <w:rPr>
          <w:rFonts w:hint="eastAsia" w:ascii="仿宋" w:hAnsi="仿宋" w:eastAsia="仿宋"/>
          <w:color w:val="000000"/>
          <w:sz w:val="32"/>
          <w:szCs w:val="32"/>
          <w:lang w:val="en-US" w:eastAsia="zh-CN"/>
        </w:rPr>
      </w:pPr>
    </w:p>
    <w:p>
      <w:pPr>
        <w:spacing w:line="600" w:lineRule="exact"/>
        <w:ind w:firstLine="640" w:firstLineChars="200"/>
        <w:rPr>
          <w:rFonts w:hint="eastAsia" w:ascii="仿宋" w:hAnsi="仿宋" w:eastAsia="仿宋"/>
          <w:color w:val="000000"/>
          <w:sz w:val="32"/>
          <w:szCs w:val="32"/>
          <w:lang w:val="en-US" w:eastAsia="zh-CN"/>
        </w:rPr>
      </w:pPr>
    </w:p>
    <w:p>
      <w:pPr>
        <w:spacing w:line="600" w:lineRule="exact"/>
        <w:ind w:firstLine="640" w:firstLineChars="200"/>
        <w:rPr>
          <w:rFonts w:hint="eastAsia" w:ascii="仿宋" w:hAnsi="仿宋" w:eastAsia="仿宋"/>
          <w:color w:val="000000"/>
          <w:sz w:val="32"/>
          <w:szCs w:val="32"/>
          <w:lang w:val="en-US" w:eastAsia="zh-CN"/>
        </w:rPr>
      </w:pPr>
    </w:p>
    <w:p>
      <w:pPr>
        <w:spacing w:line="600" w:lineRule="exact"/>
        <w:ind w:firstLine="640" w:firstLineChars="200"/>
        <w:rPr>
          <w:rFonts w:hint="eastAsia" w:ascii="仿宋" w:hAnsi="仿宋" w:eastAsia="仿宋"/>
          <w:color w:val="000000"/>
          <w:sz w:val="32"/>
          <w:szCs w:val="32"/>
          <w:lang w:val="en-US" w:eastAsia="zh-CN"/>
        </w:rPr>
      </w:pPr>
    </w:p>
    <w:p>
      <w:pPr>
        <w:spacing w:line="600" w:lineRule="exact"/>
        <w:ind w:firstLine="640" w:firstLineChars="200"/>
        <w:rPr>
          <w:rFonts w:hint="eastAsia" w:ascii="仿宋" w:hAnsi="仿宋" w:eastAsia="仿宋"/>
          <w:color w:val="000000"/>
          <w:sz w:val="32"/>
          <w:szCs w:val="32"/>
          <w:lang w:val="en-US" w:eastAsia="zh-CN"/>
        </w:rPr>
      </w:pPr>
    </w:p>
    <w:p>
      <w:pPr>
        <w:spacing w:line="600" w:lineRule="exact"/>
        <w:ind w:firstLine="640" w:firstLineChars="200"/>
        <w:rPr>
          <w:rFonts w:hint="eastAsia" w:ascii="仿宋" w:hAnsi="仿宋" w:eastAsia="仿宋"/>
          <w:color w:val="000000"/>
          <w:sz w:val="32"/>
          <w:szCs w:val="32"/>
          <w:lang w:val="en-US" w:eastAsia="zh-CN"/>
        </w:rPr>
      </w:pPr>
    </w:p>
    <w:p>
      <w:pPr>
        <w:spacing w:line="600" w:lineRule="exact"/>
        <w:ind w:firstLine="640" w:firstLineChars="200"/>
        <w:rPr>
          <w:rFonts w:hint="eastAsia" w:ascii="仿宋" w:hAnsi="仿宋" w:eastAsia="仿宋"/>
          <w:color w:val="000000"/>
          <w:sz w:val="32"/>
          <w:szCs w:val="32"/>
          <w:lang w:val="en-US" w:eastAsia="zh-CN"/>
        </w:rPr>
      </w:pPr>
    </w:p>
    <w:p>
      <w:pPr>
        <w:spacing w:line="600" w:lineRule="exact"/>
        <w:ind w:firstLine="640" w:firstLineChars="200"/>
        <w:rPr>
          <w:rFonts w:hint="eastAsia" w:ascii="仿宋" w:hAnsi="仿宋" w:eastAsia="仿宋"/>
          <w:color w:val="000000"/>
          <w:sz w:val="32"/>
          <w:szCs w:val="32"/>
          <w:lang w:val="en-US" w:eastAsia="zh-CN"/>
        </w:rPr>
      </w:pPr>
    </w:p>
    <w:p>
      <w:pPr>
        <w:spacing w:line="600" w:lineRule="exact"/>
        <w:ind w:firstLine="640" w:firstLineChars="200"/>
        <w:rPr>
          <w:rFonts w:hint="eastAsia" w:ascii="仿宋" w:hAnsi="仿宋" w:eastAsia="仿宋"/>
          <w:color w:val="000000"/>
          <w:sz w:val="32"/>
          <w:szCs w:val="32"/>
          <w:lang w:val="en-US" w:eastAsia="zh-CN"/>
        </w:rPr>
      </w:pPr>
    </w:p>
    <w:p>
      <w:pPr>
        <w:spacing w:line="240" w:lineRule="auto"/>
        <w:rPr>
          <w:rFonts w:hint="eastAsia" w:ascii="仿宋" w:hAnsi="仿宋" w:eastAsia="仿宋"/>
          <w:color w:val="000000"/>
          <w:sz w:val="32"/>
          <w:szCs w:val="32"/>
          <w:lang w:val="en-US" w:eastAsia="zh-CN"/>
        </w:rPr>
      </w:pPr>
    </w:p>
    <w:p>
      <w:pPr>
        <w:spacing w:line="600" w:lineRule="exact"/>
        <w:rPr>
          <w:rFonts w:hint="eastAsia"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（图5：一般公共预算财政拨款支出决算变动情况）（柱状图）</w:t>
      </w:r>
    </w:p>
    <w:p>
      <w:pPr>
        <w:spacing w:line="600" w:lineRule="exact"/>
        <w:rPr>
          <w:rFonts w:hint="eastAsia" w:ascii="仿宋" w:hAnsi="仿宋" w:eastAsia="仿宋"/>
          <w:color w:val="000000" w:themeColor="text1"/>
          <w:sz w:val="32"/>
          <w:szCs w:val="32"/>
          <w14:textFill>
            <w14:solidFill>
              <w14:schemeClr w14:val="tx1"/>
            </w14:solidFill>
          </w14:textFill>
        </w:rPr>
      </w:pPr>
    </w:p>
    <w:p>
      <w:pPr>
        <w:spacing w:line="600" w:lineRule="exact"/>
        <w:rPr>
          <w:rFonts w:hint="eastAsia" w:ascii="仿宋" w:hAnsi="仿宋" w:eastAsia="仿宋"/>
          <w:color w:val="000000" w:themeColor="text1"/>
          <w:sz w:val="32"/>
          <w:szCs w:val="32"/>
          <w14:textFill>
            <w14:solidFill>
              <w14:schemeClr w14:val="tx1"/>
            </w14:solidFill>
          </w14:textFill>
        </w:rPr>
      </w:pPr>
    </w:p>
    <w:p>
      <w:pPr>
        <w:spacing w:line="600" w:lineRule="exact"/>
        <w:rPr>
          <w:rFonts w:hint="eastAsia" w:ascii="仿宋" w:hAnsi="仿宋" w:eastAsia="仿宋"/>
          <w:color w:val="000000" w:themeColor="text1"/>
          <w:sz w:val="32"/>
          <w:szCs w:val="32"/>
          <w14:textFill>
            <w14:solidFill>
              <w14:schemeClr w14:val="tx1"/>
            </w14:solidFill>
          </w14:textFill>
        </w:rPr>
      </w:pPr>
    </w:p>
    <w:p>
      <w:pPr>
        <w:spacing w:line="600" w:lineRule="exact"/>
        <w:ind w:firstLine="643" w:firstLineChars="200"/>
        <w:outlineLvl w:val="2"/>
        <w:rPr>
          <w:rFonts w:ascii="仿宋" w:hAnsi="仿宋" w:eastAsia="仿宋"/>
          <w:b/>
          <w:color w:val="000000"/>
          <w:sz w:val="32"/>
          <w:szCs w:val="32"/>
        </w:rPr>
      </w:pPr>
      <w:bookmarkStart w:id="35" w:name="_Toc15377211"/>
      <w:r>
        <w:rPr>
          <w:rFonts w:hint="eastAsia" w:ascii="仿宋" w:hAnsi="仿宋" w:eastAsia="仿宋"/>
          <w:b/>
          <w:color w:val="000000"/>
          <w:sz w:val="32"/>
          <w:szCs w:val="32"/>
        </w:rPr>
        <w:t>（二）一般公共预算财政拨款支出决算结构情况</w:t>
      </w:r>
      <w:bookmarkEnd w:id="35"/>
    </w:p>
    <w:p>
      <w:pPr>
        <w:spacing w:line="600" w:lineRule="exact"/>
        <w:ind w:firstLine="640"/>
        <w:rPr>
          <w:rFonts w:hint="eastAsia" w:ascii="仿宋" w:hAnsi="仿宋" w:eastAsia="仿宋"/>
          <w:color w:val="000000" w:themeColor="text1"/>
          <w:sz w:val="32"/>
          <w:szCs w:val="32"/>
          <w:lang w:val="en-US" w:eastAsia="zh-CN"/>
          <w14:textFill>
            <w14:solidFill>
              <w14:schemeClr w14:val="tx1"/>
            </w14:solidFill>
          </w14:textFill>
        </w:rPr>
      </w:pPr>
      <w:r>
        <w:rPr>
          <w:rFonts w:ascii="仿宋" w:hAnsi="仿宋" w:eastAsia="仿宋"/>
          <w:color w:val="000000"/>
          <w:sz w:val="32"/>
          <w:szCs w:val="32"/>
        </w:rPr>
        <w:t>201</w:t>
      </w:r>
      <w:r>
        <w:rPr>
          <w:rFonts w:hint="eastAsia" w:ascii="仿宋" w:hAnsi="仿宋" w:eastAsia="仿宋"/>
          <w:color w:val="000000"/>
          <w:sz w:val="32"/>
          <w:szCs w:val="32"/>
        </w:rPr>
        <w:t>8年一般公共预算财</w:t>
      </w:r>
      <w:r>
        <w:rPr>
          <w:rFonts w:hint="eastAsia" w:ascii="仿宋" w:hAnsi="仿宋" w:eastAsia="仿宋"/>
          <w:color w:val="000000" w:themeColor="text1"/>
          <w:sz w:val="32"/>
          <w:szCs w:val="32"/>
          <w14:textFill>
            <w14:solidFill>
              <w14:schemeClr w14:val="tx1"/>
            </w14:solidFill>
          </w14:textFill>
        </w:rPr>
        <w:t>政拨款支出</w:t>
      </w:r>
      <w:r>
        <w:rPr>
          <w:rFonts w:hint="eastAsia" w:ascii="仿宋" w:hAnsi="仿宋" w:eastAsia="仿宋"/>
          <w:color w:val="000000"/>
          <w:sz w:val="32"/>
          <w:szCs w:val="32"/>
          <w:lang w:val="en-US" w:eastAsia="zh-CN"/>
        </w:rPr>
        <w:t>158.87</w:t>
      </w:r>
      <w:r>
        <w:rPr>
          <w:rFonts w:hint="eastAsia" w:ascii="仿宋" w:hAnsi="仿宋" w:eastAsia="仿宋"/>
          <w:color w:val="000000" w:themeColor="text1"/>
          <w:sz w:val="32"/>
          <w:szCs w:val="32"/>
          <w14:textFill>
            <w14:solidFill>
              <w14:schemeClr w14:val="tx1"/>
            </w14:solidFill>
          </w14:textFill>
        </w:rPr>
        <w:t>万元，主要用于以下方面</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b/>
          <w:color w:val="000000" w:themeColor="text1"/>
          <w:sz w:val="32"/>
          <w:szCs w:val="32"/>
          <w14:textFill>
            <w14:solidFill>
              <w14:schemeClr w14:val="tx1"/>
            </w14:solidFill>
          </w14:textFill>
        </w:rPr>
        <w:t>社会保障和就业支出（类）</w:t>
      </w:r>
      <w:r>
        <w:rPr>
          <w:rFonts w:hint="eastAsia" w:ascii="仿宋" w:hAnsi="仿宋" w:eastAsia="仿宋"/>
          <w:color w:val="000000" w:themeColor="text1"/>
          <w:sz w:val="32"/>
          <w:szCs w:val="32"/>
          <w14:textFill>
            <w14:solidFill>
              <w14:schemeClr w14:val="tx1"/>
            </w14:solidFill>
          </w14:textFill>
        </w:rPr>
        <w:t>支出</w:t>
      </w:r>
      <w:r>
        <w:rPr>
          <w:rFonts w:hint="eastAsia" w:ascii="仿宋" w:hAnsi="仿宋" w:eastAsia="仿宋"/>
          <w:color w:val="000000" w:themeColor="text1"/>
          <w:sz w:val="32"/>
          <w:szCs w:val="32"/>
          <w:lang w:val="en-US" w:eastAsia="zh-CN"/>
          <w14:textFill>
            <w14:solidFill>
              <w14:schemeClr w14:val="tx1"/>
            </w14:solidFill>
          </w14:textFill>
        </w:rPr>
        <w:t>21.12</w:t>
      </w:r>
      <w:r>
        <w:rPr>
          <w:rFonts w:hint="eastAsia" w:ascii="仿宋" w:hAnsi="仿宋" w:eastAsia="仿宋"/>
          <w:color w:val="000000" w:themeColor="text1"/>
          <w:sz w:val="32"/>
          <w:szCs w:val="32"/>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13</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w:t>
      </w:r>
      <w:r>
        <w:rPr>
          <w:rFonts w:hint="eastAsia" w:ascii="仿宋" w:hAnsi="仿宋" w:eastAsia="仿宋"/>
          <w:b/>
          <w:color w:val="000000" w:themeColor="text1"/>
          <w:sz w:val="32"/>
          <w:szCs w:val="32"/>
          <w14:textFill>
            <w14:solidFill>
              <w14:schemeClr w14:val="tx1"/>
            </w14:solidFill>
          </w14:textFill>
        </w:rPr>
        <w:t>医疗卫生与计划生育支出（类）</w:t>
      </w:r>
      <w:r>
        <w:rPr>
          <w:rFonts w:hint="eastAsia" w:ascii="仿宋" w:hAnsi="仿宋" w:eastAsia="仿宋"/>
          <w:color w:val="000000" w:themeColor="text1"/>
          <w:sz w:val="32"/>
          <w:szCs w:val="32"/>
          <w14:textFill>
            <w14:solidFill>
              <w14:schemeClr w14:val="tx1"/>
            </w14:solidFill>
          </w14:textFill>
        </w:rPr>
        <w:t>支出</w:t>
      </w:r>
      <w:r>
        <w:rPr>
          <w:rFonts w:hint="eastAsia" w:ascii="仿宋" w:hAnsi="仿宋" w:eastAsia="仿宋"/>
          <w:color w:val="000000" w:themeColor="text1"/>
          <w:sz w:val="32"/>
          <w:szCs w:val="32"/>
          <w:lang w:val="en-US" w:eastAsia="zh-CN"/>
          <w14:textFill>
            <w14:solidFill>
              <w14:schemeClr w14:val="tx1"/>
            </w14:solidFill>
          </w14:textFill>
        </w:rPr>
        <w:t>127.89</w:t>
      </w:r>
      <w:r>
        <w:rPr>
          <w:rFonts w:hint="eastAsia" w:ascii="仿宋" w:hAnsi="仿宋" w:eastAsia="仿宋"/>
          <w:color w:val="000000" w:themeColor="text1"/>
          <w:sz w:val="32"/>
          <w:szCs w:val="32"/>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79</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w:t>
      </w:r>
      <w:r>
        <w:rPr>
          <w:rFonts w:hint="eastAsia" w:ascii="仿宋" w:hAnsi="仿宋" w:eastAsia="仿宋"/>
          <w:b/>
          <w:bCs/>
          <w:color w:val="000000" w:themeColor="text1"/>
          <w:sz w:val="32"/>
          <w:szCs w:val="32"/>
          <w14:textFill>
            <w14:solidFill>
              <w14:schemeClr w14:val="tx1"/>
            </w14:solidFill>
          </w14:textFill>
        </w:rPr>
        <w:t>住房保障支出</w:t>
      </w:r>
      <w:r>
        <w:rPr>
          <w:rFonts w:hint="eastAsia" w:ascii="仿宋" w:hAnsi="仿宋" w:eastAsia="仿宋"/>
          <w:color w:val="000000" w:themeColor="text1"/>
          <w:sz w:val="32"/>
          <w:szCs w:val="32"/>
          <w:lang w:val="en-US" w:eastAsia="zh-CN"/>
          <w14:textFill>
            <w14:solidFill>
              <w14:schemeClr w14:val="tx1"/>
            </w14:solidFill>
          </w14:textFill>
        </w:rPr>
        <w:t>9.86</w:t>
      </w:r>
      <w:r>
        <w:rPr>
          <w:rFonts w:hint="eastAsia" w:ascii="仿宋" w:hAnsi="仿宋" w:eastAsia="仿宋"/>
          <w:color w:val="000000" w:themeColor="text1"/>
          <w:sz w:val="32"/>
          <w:szCs w:val="32"/>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6</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lang w:eastAsia="zh-CN"/>
          <w14:textFill>
            <w14:solidFill>
              <w14:schemeClr w14:val="tx1"/>
            </w14:solidFill>
          </w14:textFill>
        </w:rPr>
        <w:t>；</w:t>
      </w:r>
      <w:r>
        <w:rPr>
          <w:rFonts w:hint="eastAsia" w:ascii="仿宋" w:hAnsi="仿宋" w:eastAsia="仿宋"/>
          <w:b/>
          <w:color w:val="000000" w:themeColor="text1"/>
          <w:sz w:val="32"/>
          <w:szCs w:val="32"/>
          <w:lang w:eastAsia="zh-CN"/>
          <w14:textFill>
            <w14:solidFill>
              <w14:schemeClr w14:val="tx1"/>
            </w14:solidFill>
          </w14:textFill>
        </w:rPr>
        <w:t>项目支出</w:t>
      </w:r>
      <w:r>
        <w:rPr>
          <w:rFonts w:hint="eastAsia" w:ascii="仿宋" w:hAnsi="仿宋" w:eastAsia="仿宋"/>
          <w:color w:val="000000" w:themeColor="text1"/>
          <w:sz w:val="32"/>
          <w:szCs w:val="32"/>
          <w:lang w:val="en-US" w:eastAsia="zh-CN"/>
          <w14:textFill>
            <w14:solidFill>
              <w14:schemeClr w14:val="tx1"/>
            </w14:solidFill>
          </w14:textFill>
        </w:rPr>
        <w:t>3万元，占2</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lang w:eastAsia="zh-CN"/>
          <w14:textFill>
            <w14:solidFill>
              <w14:schemeClr w14:val="tx1"/>
            </w14:solidFill>
          </w14:textFill>
        </w:rPr>
        <w:t>。</w:t>
      </w:r>
    </w:p>
    <w:p>
      <w:pPr>
        <w:spacing w:line="600" w:lineRule="exact"/>
        <w:ind w:firstLine="640"/>
        <w:rPr>
          <w:rFonts w:hint="eastAsia" w:ascii="仿宋" w:hAnsi="仿宋" w:eastAsia="仿宋"/>
          <w:color w:val="000000" w:themeColor="text1"/>
          <w:sz w:val="32"/>
          <w:szCs w:val="32"/>
          <w:lang w:eastAsia="zh-CN"/>
          <w14:textFill>
            <w14:solidFill>
              <w14:schemeClr w14:val="tx1"/>
            </w14:solidFill>
          </w14:textFill>
        </w:rPr>
      </w:pPr>
    </w:p>
    <w:p>
      <w:pPr>
        <w:spacing w:line="600" w:lineRule="exact"/>
        <w:ind w:firstLine="640"/>
        <w:rPr>
          <w:rFonts w:hint="eastAsia" w:ascii="仿宋" w:hAnsi="仿宋" w:eastAsia="仿宋"/>
          <w:color w:val="000000" w:themeColor="text1"/>
          <w:sz w:val="32"/>
          <w:szCs w:val="32"/>
          <w:lang w:eastAsia="zh-CN"/>
          <w14:textFill>
            <w14:solidFill>
              <w14:schemeClr w14:val="tx1"/>
            </w14:solidFill>
          </w14:textFill>
        </w:rPr>
      </w:pPr>
      <w:r>
        <w:rPr>
          <w:rFonts w:hint="eastAsia" w:ascii="仿宋" w:hAnsi="仿宋" w:eastAsia="仿宋"/>
          <w:color w:val="000000" w:themeColor="text1"/>
          <w:sz w:val="32"/>
          <w:szCs w:val="32"/>
          <w:lang w:eastAsia="zh-CN"/>
          <w14:textFill>
            <w14:solidFill>
              <w14:schemeClr w14:val="tx1"/>
            </w14:solidFill>
          </w14:textFill>
        </w:rPr>
        <w:drawing>
          <wp:anchor distT="0" distB="0" distL="114300" distR="114300" simplePos="0" relativeHeight="251662336" behindDoc="0" locked="0" layoutInCell="1" allowOverlap="1">
            <wp:simplePos x="0" y="0"/>
            <wp:positionH relativeFrom="column">
              <wp:posOffset>429895</wp:posOffset>
            </wp:positionH>
            <wp:positionV relativeFrom="paragraph">
              <wp:posOffset>356870</wp:posOffset>
            </wp:positionV>
            <wp:extent cx="5080000" cy="2972435"/>
            <wp:effectExtent l="4445" t="4445" r="20955" b="13970"/>
            <wp:wrapSquare wrapText="bothSides"/>
            <wp:docPr id="17" name="图表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pPr>
        <w:spacing w:line="600" w:lineRule="exact"/>
        <w:ind w:firstLine="640"/>
        <w:rPr>
          <w:rFonts w:hint="eastAsia" w:ascii="仿宋" w:hAnsi="仿宋" w:eastAsia="仿宋"/>
          <w:color w:val="000000" w:themeColor="text1"/>
          <w:sz w:val="32"/>
          <w:szCs w:val="32"/>
          <w:lang w:eastAsia="zh-CN"/>
          <w14:textFill>
            <w14:solidFill>
              <w14:schemeClr w14:val="tx1"/>
            </w14:solidFill>
          </w14:textFill>
        </w:rPr>
      </w:pPr>
    </w:p>
    <w:p>
      <w:pPr>
        <w:spacing w:line="600" w:lineRule="exact"/>
        <w:ind w:firstLine="640"/>
        <w:rPr>
          <w:rFonts w:hint="eastAsia" w:ascii="仿宋" w:hAnsi="仿宋" w:eastAsia="仿宋"/>
          <w:color w:val="000000" w:themeColor="text1"/>
          <w:sz w:val="32"/>
          <w:szCs w:val="32"/>
          <w:lang w:eastAsia="zh-CN"/>
          <w14:textFill>
            <w14:solidFill>
              <w14:schemeClr w14:val="tx1"/>
            </w14:solidFill>
          </w14:textFill>
        </w:rPr>
      </w:pPr>
    </w:p>
    <w:p>
      <w:pPr>
        <w:spacing w:line="600" w:lineRule="exact"/>
        <w:ind w:firstLine="640"/>
        <w:rPr>
          <w:rFonts w:hint="eastAsia" w:ascii="仿宋" w:hAnsi="仿宋" w:eastAsia="仿宋"/>
          <w:color w:val="000000" w:themeColor="text1"/>
          <w:sz w:val="32"/>
          <w:szCs w:val="32"/>
          <w:lang w:eastAsia="zh-CN"/>
          <w14:textFill>
            <w14:solidFill>
              <w14:schemeClr w14:val="tx1"/>
            </w14:solidFill>
          </w14:textFill>
        </w:rPr>
      </w:pPr>
    </w:p>
    <w:p>
      <w:pPr>
        <w:spacing w:line="600" w:lineRule="exact"/>
        <w:ind w:firstLine="640"/>
        <w:rPr>
          <w:rFonts w:hint="eastAsia" w:ascii="仿宋" w:hAnsi="仿宋" w:eastAsia="仿宋"/>
          <w:color w:val="000000" w:themeColor="text1"/>
          <w:sz w:val="32"/>
          <w:szCs w:val="32"/>
          <w:lang w:eastAsia="zh-CN"/>
          <w14:textFill>
            <w14:solidFill>
              <w14:schemeClr w14:val="tx1"/>
            </w14:solidFill>
          </w14:textFill>
        </w:rPr>
      </w:pPr>
    </w:p>
    <w:p>
      <w:pPr>
        <w:spacing w:line="600" w:lineRule="exact"/>
        <w:ind w:firstLine="640"/>
        <w:rPr>
          <w:rFonts w:hint="eastAsia" w:ascii="仿宋" w:hAnsi="仿宋" w:eastAsia="仿宋"/>
          <w:color w:val="000000" w:themeColor="text1"/>
          <w:sz w:val="32"/>
          <w:szCs w:val="32"/>
          <w:lang w:eastAsia="zh-CN"/>
          <w14:textFill>
            <w14:solidFill>
              <w14:schemeClr w14:val="tx1"/>
            </w14:solidFill>
          </w14:textFill>
        </w:rPr>
      </w:pPr>
    </w:p>
    <w:p>
      <w:pPr>
        <w:spacing w:line="600" w:lineRule="exact"/>
        <w:ind w:firstLine="640"/>
        <w:rPr>
          <w:rFonts w:hint="eastAsia" w:ascii="仿宋" w:hAnsi="仿宋" w:eastAsia="仿宋"/>
          <w:color w:val="000000" w:themeColor="text1"/>
          <w:sz w:val="32"/>
          <w:szCs w:val="32"/>
          <w:lang w:eastAsia="zh-CN"/>
          <w14:textFill>
            <w14:solidFill>
              <w14:schemeClr w14:val="tx1"/>
            </w14:solidFill>
          </w14:textFill>
        </w:rPr>
      </w:pPr>
    </w:p>
    <w:p>
      <w:pPr>
        <w:spacing w:line="600" w:lineRule="exact"/>
        <w:ind w:firstLine="640"/>
        <w:rPr>
          <w:rFonts w:hint="eastAsia" w:ascii="仿宋" w:hAnsi="仿宋" w:eastAsia="仿宋"/>
          <w:color w:val="000000" w:themeColor="text1"/>
          <w:sz w:val="32"/>
          <w:szCs w:val="32"/>
          <w:lang w:eastAsia="zh-CN"/>
          <w14:textFill>
            <w14:solidFill>
              <w14:schemeClr w14:val="tx1"/>
            </w14:solidFill>
          </w14:textFill>
        </w:rPr>
      </w:pPr>
    </w:p>
    <w:p>
      <w:pPr>
        <w:spacing w:line="600" w:lineRule="exact"/>
        <w:ind w:firstLine="640"/>
        <w:rPr>
          <w:rFonts w:hint="eastAsia" w:ascii="仿宋" w:hAnsi="仿宋" w:eastAsia="仿宋"/>
          <w:color w:val="000000" w:themeColor="text1"/>
          <w:sz w:val="32"/>
          <w:szCs w:val="32"/>
          <w:lang w:eastAsia="zh-CN"/>
          <w14:textFill>
            <w14:solidFill>
              <w14:schemeClr w14:val="tx1"/>
            </w14:solidFill>
          </w14:textFill>
        </w:rPr>
      </w:pPr>
    </w:p>
    <w:p>
      <w:pPr>
        <w:spacing w:line="240" w:lineRule="auto"/>
        <w:rPr>
          <w:rFonts w:hint="eastAsia" w:ascii="仿宋" w:hAnsi="仿宋" w:eastAsia="仿宋"/>
          <w:color w:val="000000" w:themeColor="text1"/>
          <w:sz w:val="32"/>
          <w:szCs w:val="32"/>
          <w:lang w:eastAsia="zh-CN"/>
          <w14:textFill>
            <w14:solidFill>
              <w14:schemeClr w14:val="tx1"/>
            </w14:solidFill>
          </w14:textFill>
        </w:rPr>
      </w:pPr>
    </w:p>
    <w:p>
      <w:pPr>
        <w:spacing w:line="600" w:lineRule="exact"/>
        <w:rPr>
          <w:rFonts w:ascii="仿宋" w:hAnsi="仿宋" w:eastAsia="仿宋"/>
          <w:color w:val="000000"/>
          <w:sz w:val="32"/>
          <w:szCs w:val="32"/>
        </w:rPr>
      </w:pPr>
      <w:r>
        <w:rPr>
          <w:rFonts w:hint="eastAsia" w:ascii="仿宋" w:hAnsi="仿宋" w:eastAsia="仿宋"/>
          <w:color w:val="000000"/>
          <w:sz w:val="32"/>
          <w:szCs w:val="32"/>
        </w:rPr>
        <w:t>（图6：一般公共预算财政拨款支出决算结构）（饼状图）</w:t>
      </w:r>
    </w:p>
    <w:p>
      <w:pPr>
        <w:spacing w:line="600" w:lineRule="exact"/>
        <w:ind w:firstLine="643" w:firstLineChars="200"/>
        <w:outlineLvl w:val="2"/>
        <w:rPr>
          <w:rFonts w:hint="eastAsia" w:ascii="仿宋" w:hAnsi="仿宋" w:eastAsia="仿宋"/>
          <w:b/>
          <w:color w:val="000000"/>
          <w:sz w:val="32"/>
          <w:szCs w:val="32"/>
        </w:rPr>
      </w:pPr>
      <w:bookmarkStart w:id="36" w:name="_Toc15377212"/>
    </w:p>
    <w:p>
      <w:pPr>
        <w:spacing w:line="600" w:lineRule="exact"/>
        <w:ind w:firstLine="643" w:firstLineChars="200"/>
        <w:outlineLvl w:val="2"/>
        <w:rPr>
          <w:rFonts w:hint="eastAsia" w:ascii="仿宋" w:hAnsi="仿宋" w:eastAsia="仿宋"/>
          <w:b/>
          <w:color w:val="000000"/>
          <w:sz w:val="32"/>
          <w:szCs w:val="32"/>
        </w:rPr>
      </w:pPr>
    </w:p>
    <w:p>
      <w:pPr>
        <w:spacing w:line="600" w:lineRule="exact"/>
        <w:ind w:firstLine="643" w:firstLineChars="200"/>
        <w:outlineLvl w:val="2"/>
        <w:rPr>
          <w:rFonts w:hint="eastAsia" w:ascii="仿宋" w:hAnsi="仿宋" w:eastAsia="仿宋"/>
          <w:b/>
          <w:color w:val="000000"/>
          <w:sz w:val="32"/>
          <w:szCs w:val="32"/>
        </w:rPr>
      </w:pPr>
    </w:p>
    <w:p>
      <w:pPr>
        <w:spacing w:line="600" w:lineRule="exact"/>
        <w:ind w:firstLine="643" w:firstLineChars="200"/>
        <w:outlineLvl w:val="2"/>
        <w:rPr>
          <w:rFonts w:hint="eastAsia" w:ascii="仿宋" w:hAnsi="仿宋" w:eastAsia="仿宋"/>
          <w:b/>
          <w:color w:val="000000"/>
          <w:sz w:val="32"/>
          <w:szCs w:val="32"/>
        </w:rPr>
      </w:pPr>
    </w:p>
    <w:p>
      <w:pPr>
        <w:spacing w:line="600" w:lineRule="exact"/>
        <w:outlineLvl w:val="2"/>
        <w:rPr>
          <w:rFonts w:hint="eastAsia" w:ascii="仿宋" w:hAnsi="仿宋" w:eastAsia="仿宋"/>
          <w:b/>
          <w:color w:val="000000"/>
          <w:sz w:val="32"/>
          <w:szCs w:val="32"/>
        </w:rPr>
      </w:pPr>
    </w:p>
    <w:p>
      <w:pPr>
        <w:spacing w:line="600" w:lineRule="exact"/>
        <w:ind w:firstLine="643" w:firstLineChars="200"/>
        <w:outlineLvl w:val="2"/>
        <w:rPr>
          <w:rFonts w:ascii="仿宋" w:hAnsi="仿宋" w:eastAsia="仿宋"/>
          <w:b/>
          <w:color w:val="000000"/>
          <w:sz w:val="32"/>
          <w:szCs w:val="32"/>
        </w:rPr>
      </w:pPr>
      <w:r>
        <w:rPr>
          <w:rFonts w:hint="eastAsia" w:ascii="仿宋" w:hAnsi="仿宋" w:eastAsia="仿宋"/>
          <w:b/>
          <w:color w:val="000000"/>
          <w:sz w:val="32"/>
          <w:szCs w:val="32"/>
        </w:rPr>
        <w:t>（三）一般公共预算财政拨款支出决算具体情况</w:t>
      </w:r>
      <w:bookmarkEnd w:id="36"/>
    </w:p>
    <w:p>
      <w:pPr>
        <w:spacing w:line="600" w:lineRule="exact"/>
        <w:ind w:firstLine="643" w:firstLineChars="200"/>
        <w:outlineLvl w:val="2"/>
        <w:rPr>
          <w:rFonts w:ascii="仿宋" w:hAnsi="仿宋" w:eastAsia="仿宋"/>
          <w:color w:val="FF0000"/>
          <w:sz w:val="32"/>
          <w:szCs w:val="32"/>
        </w:rPr>
      </w:pPr>
      <w:bookmarkStart w:id="37" w:name="_Toc15378460"/>
      <w:bookmarkStart w:id="38" w:name="_Toc15377444"/>
      <w:bookmarkStart w:id="39" w:name="_Toc15377213"/>
      <w:r>
        <w:rPr>
          <w:rFonts w:hint="eastAsia" w:ascii="仿宋" w:hAnsi="仿宋" w:eastAsia="仿宋"/>
          <w:b/>
          <w:color w:val="000000" w:themeColor="text1"/>
          <w:sz w:val="32"/>
          <w:szCs w:val="32"/>
          <w14:textFill>
            <w14:solidFill>
              <w14:schemeClr w14:val="tx1"/>
            </w14:solidFill>
          </w14:textFill>
        </w:rPr>
        <w:t>2018年</w:t>
      </w:r>
      <w:r>
        <w:rPr>
          <w:rFonts w:hint="eastAsia" w:ascii="仿宋" w:hAnsi="仿宋" w:eastAsia="仿宋"/>
          <w:b/>
          <w:color w:val="000000" w:themeColor="text1"/>
          <w:sz w:val="32"/>
          <w:szCs w:val="32"/>
          <w:lang w:eastAsia="zh-CN"/>
          <w14:textFill>
            <w14:solidFill>
              <w14:schemeClr w14:val="tx1"/>
            </w14:solidFill>
          </w14:textFill>
        </w:rPr>
        <w:t>一</w:t>
      </w:r>
      <w:r>
        <w:rPr>
          <w:rFonts w:hint="eastAsia" w:ascii="仿宋" w:hAnsi="仿宋" w:eastAsia="仿宋"/>
          <w:b/>
          <w:color w:val="000000" w:themeColor="text1"/>
          <w:sz w:val="32"/>
          <w:szCs w:val="32"/>
          <w14:textFill>
            <w14:solidFill>
              <w14:schemeClr w14:val="tx1"/>
            </w14:solidFill>
          </w14:textFill>
        </w:rPr>
        <w:t>般公共预算支出决算数为</w:t>
      </w:r>
      <w:r>
        <w:rPr>
          <w:rFonts w:hint="eastAsia" w:ascii="仿宋" w:hAnsi="仿宋" w:eastAsia="仿宋"/>
          <w:b/>
          <w:color w:val="000000" w:themeColor="text1"/>
          <w:sz w:val="32"/>
          <w:szCs w:val="32"/>
          <w:lang w:val="en-US" w:eastAsia="zh-CN"/>
          <w14:textFill>
            <w14:solidFill>
              <w14:schemeClr w14:val="tx1"/>
            </w14:solidFill>
          </w14:textFill>
        </w:rPr>
        <w:t>158.87万元</w:t>
      </w:r>
      <w:r>
        <w:rPr>
          <w:rFonts w:hint="eastAsia" w:ascii="仿宋" w:hAnsi="仿宋" w:eastAsia="仿宋"/>
          <w:color w:val="000000" w:themeColor="text1"/>
          <w:sz w:val="32"/>
          <w:szCs w:val="32"/>
          <w14:textFill>
            <w14:solidFill>
              <w14:schemeClr w14:val="tx1"/>
            </w14:solidFill>
          </w14:textFill>
        </w:rPr>
        <w:t>，</w:t>
      </w:r>
      <w:r>
        <w:rPr>
          <w:rStyle w:val="15"/>
          <w:rFonts w:hint="eastAsia" w:ascii="仿宋" w:hAnsi="仿宋" w:eastAsia="仿宋"/>
          <w:bCs/>
          <w:color w:val="000000" w:themeColor="text1"/>
          <w:sz w:val="32"/>
          <w:szCs w:val="32"/>
          <w14:textFill>
            <w14:solidFill>
              <w14:schemeClr w14:val="tx1"/>
            </w14:solidFill>
          </w14:textFill>
        </w:rPr>
        <w:t>完成</w:t>
      </w:r>
      <w:r>
        <w:rPr>
          <w:rStyle w:val="15"/>
          <w:rFonts w:hint="eastAsia" w:ascii="仿宋" w:hAnsi="仿宋" w:eastAsia="仿宋"/>
          <w:bCs/>
          <w:color w:val="000000"/>
          <w:sz w:val="32"/>
          <w:szCs w:val="32"/>
        </w:rPr>
        <w:t>预算</w:t>
      </w:r>
      <w:r>
        <w:rPr>
          <w:rStyle w:val="15"/>
          <w:rFonts w:hint="eastAsia" w:ascii="仿宋" w:hAnsi="仿宋" w:eastAsia="仿宋"/>
          <w:bCs/>
          <w:color w:val="000000"/>
          <w:sz w:val="32"/>
          <w:szCs w:val="32"/>
          <w:lang w:val="en-US" w:eastAsia="zh-CN"/>
        </w:rPr>
        <w:t>98</w:t>
      </w:r>
      <w:r>
        <w:rPr>
          <w:rStyle w:val="15"/>
          <w:rFonts w:ascii="仿宋" w:hAnsi="仿宋" w:eastAsia="仿宋"/>
          <w:bCs/>
          <w:color w:val="000000"/>
          <w:sz w:val="32"/>
          <w:szCs w:val="32"/>
        </w:rPr>
        <w:t>%</w:t>
      </w:r>
      <w:r>
        <w:rPr>
          <w:rStyle w:val="15"/>
          <w:rFonts w:hint="eastAsia" w:ascii="仿宋" w:hAnsi="仿宋" w:eastAsia="仿宋"/>
          <w:bCs/>
          <w:color w:val="000000"/>
          <w:sz w:val="32"/>
          <w:szCs w:val="32"/>
        </w:rPr>
        <w:t>。其中：</w:t>
      </w:r>
      <w:bookmarkEnd w:id="37"/>
      <w:bookmarkEnd w:id="38"/>
      <w:bookmarkEnd w:id="39"/>
    </w:p>
    <w:p>
      <w:pPr>
        <w:spacing w:line="600" w:lineRule="exact"/>
        <w:ind w:firstLine="321" w:firstLineChars="100"/>
        <w:rPr>
          <w:rStyle w:val="15"/>
          <w:rFonts w:ascii="仿宋" w:hAnsi="仿宋" w:eastAsia="仿宋"/>
          <w:b w:val="0"/>
          <w:bCs/>
          <w:color w:val="000000"/>
          <w:sz w:val="32"/>
          <w:szCs w:val="32"/>
        </w:rPr>
      </w:pPr>
      <w:r>
        <w:rPr>
          <w:rStyle w:val="15"/>
          <w:rFonts w:hint="eastAsia" w:ascii="仿宋" w:hAnsi="仿宋" w:eastAsia="仿宋"/>
          <w:bCs/>
          <w:color w:val="000000"/>
          <w:sz w:val="32"/>
          <w:szCs w:val="32"/>
          <w:lang w:val="en-US" w:eastAsia="zh-CN"/>
        </w:rPr>
        <w:t>1</w:t>
      </w:r>
      <w:r>
        <w:rPr>
          <w:rStyle w:val="15"/>
          <w:rFonts w:ascii="仿宋" w:hAnsi="仿宋" w:eastAsia="仿宋"/>
          <w:bCs/>
          <w:color w:val="000000"/>
          <w:sz w:val="32"/>
          <w:szCs w:val="32"/>
        </w:rPr>
        <w:t>.</w:t>
      </w:r>
      <w:r>
        <w:rPr>
          <w:rStyle w:val="15"/>
          <w:rFonts w:hint="eastAsia" w:ascii="仿宋" w:hAnsi="仿宋" w:eastAsia="仿宋"/>
          <w:bCs/>
          <w:color w:val="000000"/>
          <w:sz w:val="32"/>
          <w:szCs w:val="32"/>
        </w:rPr>
        <w:t>社会保障和就业</w:t>
      </w:r>
      <w:r>
        <w:rPr>
          <w:rStyle w:val="15"/>
          <w:rFonts w:ascii="仿宋" w:hAnsi="仿宋" w:eastAsia="仿宋"/>
          <w:bCs/>
          <w:color w:val="000000"/>
          <w:sz w:val="32"/>
          <w:szCs w:val="32"/>
        </w:rPr>
        <w:t>:</w:t>
      </w:r>
      <w:r>
        <w:rPr>
          <w:rStyle w:val="15"/>
          <w:rFonts w:ascii="仿宋" w:hAnsi="仿宋" w:eastAsia="仿宋"/>
          <w:b w:val="0"/>
          <w:bCs/>
          <w:color w:val="000000"/>
          <w:sz w:val="32"/>
          <w:szCs w:val="32"/>
        </w:rPr>
        <w:t xml:space="preserve"> </w:t>
      </w:r>
    </w:p>
    <w:p>
      <w:pPr>
        <w:numPr>
          <w:ilvl w:val="0"/>
          <w:numId w:val="0"/>
        </w:numPr>
        <w:spacing w:line="600" w:lineRule="exact"/>
        <w:ind w:firstLine="640" w:firstLineChars="200"/>
        <w:rPr>
          <w:rFonts w:ascii="仿宋" w:hAnsi="仿宋" w:eastAsia="仿宋"/>
          <w:b/>
          <w:color w:val="000000"/>
          <w:sz w:val="32"/>
          <w:szCs w:val="32"/>
        </w:rPr>
      </w:pPr>
      <w:r>
        <w:rPr>
          <w:rStyle w:val="15"/>
          <w:rFonts w:hint="eastAsia" w:ascii="仿宋" w:hAnsi="仿宋" w:eastAsia="仿宋"/>
          <w:b w:val="0"/>
          <w:bCs/>
          <w:color w:val="000000"/>
          <w:sz w:val="32"/>
          <w:szCs w:val="32"/>
          <w:lang w:val="en-US" w:eastAsia="zh-CN"/>
        </w:rPr>
        <w:t>2080505</w:t>
      </w:r>
      <w:r>
        <w:rPr>
          <w:rStyle w:val="15"/>
          <w:rFonts w:hint="eastAsia" w:ascii="仿宋" w:hAnsi="仿宋" w:eastAsia="仿宋"/>
          <w:b w:val="0"/>
          <w:bCs/>
          <w:color w:val="000000"/>
          <w:sz w:val="32"/>
          <w:szCs w:val="32"/>
          <w:lang w:eastAsia="zh-CN"/>
        </w:rPr>
        <w:t>机关事业单位基本养老保险缴费支出</w:t>
      </w:r>
      <w:r>
        <w:rPr>
          <w:rStyle w:val="15"/>
          <w:rFonts w:hint="eastAsia" w:ascii="仿宋" w:hAnsi="仿宋" w:eastAsia="仿宋"/>
          <w:b w:val="0"/>
          <w:bCs/>
          <w:color w:val="000000"/>
          <w:sz w:val="32"/>
          <w:szCs w:val="32"/>
          <w:lang w:val="en-US" w:eastAsia="zh-CN"/>
        </w:rPr>
        <w:t>15.08万元，</w:t>
      </w:r>
      <w:r>
        <w:rPr>
          <w:rStyle w:val="15"/>
          <w:rFonts w:hint="eastAsia" w:ascii="仿宋" w:hAnsi="仿宋" w:eastAsia="仿宋"/>
          <w:b w:val="0"/>
          <w:bCs w:val="0"/>
          <w:color w:val="000000"/>
          <w:sz w:val="32"/>
          <w:szCs w:val="32"/>
        </w:rPr>
        <w:t>完成预算</w:t>
      </w:r>
      <w:r>
        <w:rPr>
          <w:rStyle w:val="15"/>
          <w:rFonts w:hint="eastAsia" w:ascii="仿宋" w:hAnsi="仿宋" w:eastAsia="仿宋"/>
          <w:b w:val="0"/>
          <w:bCs w:val="0"/>
          <w:color w:val="000000"/>
          <w:sz w:val="32"/>
          <w:szCs w:val="32"/>
          <w:lang w:val="en-US" w:eastAsia="zh-CN"/>
        </w:rPr>
        <w:t>100</w:t>
      </w:r>
      <w:r>
        <w:rPr>
          <w:rStyle w:val="15"/>
          <w:rFonts w:ascii="仿宋" w:hAnsi="仿宋" w:eastAsia="仿宋"/>
          <w:b w:val="0"/>
          <w:bCs w:val="0"/>
          <w:color w:val="000000"/>
          <w:sz w:val="32"/>
          <w:szCs w:val="32"/>
        </w:rPr>
        <w:t>%</w:t>
      </w:r>
      <w:r>
        <w:rPr>
          <w:rStyle w:val="15"/>
          <w:rFonts w:hint="eastAsia" w:ascii="仿宋" w:hAnsi="仿宋" w:eastAsia="仿宋"/>
          <w:b w:val="0"/>
          <w:bCs w:val="0"/>
          <w:color w:val="000000"/>
          <w:sz w:val="32"/>
          <w:szCs w:val="32"/>
          <w:lang w:eastAsia="zh-CN"/>
        </w:rPr>
        <w:t>；</w:t>
      </w:r>
      <w:r>
        <w:rPr>
          <w:rStyle w:val="15"/>
          <w:rFonts w:hint="eastAsia" w:ascii="仿宋" w:hAnsi="仿宋" w:eastAsia="仿宋"/>
          <w:b w:val="0"/>
          <w:bCs w:val="0"/>
          <w:color w:val="000000"/>
          <w:sz w:val="32"/>
          <w:szCs w:val="32"/>
          <w:lang w:val="en-US" w:eastAsia="zh-CN"/>
        </w:rPr>
        <w:t>2080506</w:t>
      </w:r>
      <w:r>
        <w:rPr>
          <w:rStyle w:val="15"/>
          <w:rFonts w:hint="eastAsia" w:ascii="仿宋" w:hAnsi="仿宋" w:eastAsia="仿宋"/>
          <w:b w:val="0"/>
          <w:bCs/>
          <w:color w:val="000000"/>
          <w:sz w:val="32"/>
          <w:szCs w:val="32"/>
          <w:lang w:eastAsia="zh-CN"/>
        </w:rPr>
        <w:t>机关事业单位职业年金缴费支出</w:t>
      </w:r>
      <w:r>
        <w:rPr>
          <w:rStyle w:val="15"/>
          <w:rFonts w:hint="eastAsia" w:ascii="仿宋" w:hAnsi="仿宋" w:eastAsia="仿宋"/>
          <w:b w:val="0"/>
          <w:bCs/>
          <w:color w:val="000000"/>
          <w:sz w:val="32"/>
          <w:szCs w:val="32"/>
          <w:lang w:val="en-US" w:eastAsia="zh-CN"/>
        </w:rPr>
        <w:t>6.03万元，完成预算100%。合计总</w:t>
      </w:r>
      <w:r>
        <w:rPr>
          <w:rStyle w:val="15"/>
          <w:rFonts w:hint="eastAsia" w:ascii="仿宋" w:hAnsi="仿宋" w:eastAsia="仿宋"/>
          <w:b w:val="0"/>
          <w:bCs/>
          <w:color w:val="000000"/>
          <w:sz w:val="32"/>
          <w:szCs w:val="32"/>
        </w:rPr>
        <w:t>支出决算为</w:t>
      </w:r>
      <w:r>
        <w:rPr>
          <w:rStyle w:val="15"/>
          <w:rFonts w:hint="eastAsia" w:ascii="仿宋" w:hAnsi="仿宋" w:eastAsia="仿宋"/>
          <w:b w:val="0"/>
          <w:bCs/>
          <w:color w:val="000000"/>
          <w:sz w:val="32"/>
          <w:szCs w:val="32"/>
          <w:lang w:val="en-US" w:eastAsia="zh-CN"/>
        </w:rPr>
        <w:t>21.11</w:t>
      </w:r>
      <w:r>
        <w:rPr>
          <w:rStyle w:val="15"/>
          <w:rFonts w:hint="eastAsia" w:ascii="仿宋" w:hAnsi="仿宋" w:eastAsia="仿宋"/>
          <w:b w:val="0"/>
          <w:bCs/>
          <w:color w:val="000000"/>
          <w:sz w:val="32"/>
          <w:szCs w:val="32"/>
        </w:rPr>
        <w:t>万元，完成预算</w:t>
      </w:r>
      <w:r>
        <w:rPr>
          <w:rStyle w:val="15"/>
          <w:rFonts w:hint="eastAsia" w:ascii="仿宋" w:hAnsi="仿宋" w:eastAsia="仿宋"/>
          <w:b w:val="0"/>
          <w:bCs/>
          <w:color w:val="000000"/>
          <w:sz w:val="32"/>
          <w:szCs w:val="32"/>
          <w:lang w:val="en-US" w:eastAsia="zh-CN"/>
        </w:rPr>
        <w:t>100</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，决算数等于预算数的主要原因是</w:t>
      </w:r>
      <w:r>
        <w:rPr>
          <w:rStyle w:val="15"/>
          <w:rFonts w:hint="eastAsia" w:ascii="仿宋" w:hAnsi="仿宋" w:eastAsia="仿宋"/>
          <w:b w:val="0"/>
          <w:bCs/>
          <w:color w:val="000000"/>
          <w:sz w:val="32"/>
          <w:szCs w:val="32"/>
          <w:lang w:eastAsia="zh-CN"/>
        </w:rPr>
        <w:t>严格按照财政拨款支出要求严格控制相关支出</w:t>
      </w:r>
      <w:r>
        <w:rPr>
          <w:rStyle w:val="15"/>
          <w:rFonts w:hint="eastAsia" w:ascii="仿宋" w:hAnsi="仿宋" w:eastAsia="仿宋"/>
          <w:b w:val="0"/>
          <w:bCs/>
          <w:color w:val="000000"/>
          <w:sz w:val="32"/>
          <w:szCs w:val="32"/>
        </w:rPr>
        <w:t>。</w:t>
      </w:r>
    </w:p>
    <w:p>
      <w:pPr>
        <w:numPr>
          <w:ilvl w:val="0"/>
          <w:numId w:val="3"/>
        </w:numPr>
        <w:spacing w:line="600" w:lineRule="exact"/>
        <w:ind w:firstLine="643" w:firstLineChars="200"/>
        <w:rPr>
          <w:rStyle w:val="15"/>
          <w:rFonts w:hint="eastAsia" w:ascii="仿宋" w:hAnsi="仿宋" w:eastAsia="仿宋"/>
          <w:bCs/>
          <w:color w:val="000000"/>
          <w:sz w:val="32"/>
          <w:szCs w:val="32"/>
          <w:lang w:val="en-US" w:eastAsia="zh-CN"/>
        </w:rPr>
      </w:pPr>
      <w:r>
        <w:rPr>
          <w:rStyle w:val="15"/>
          <w:rFonts w:hint="eastAsia" w:ascii="仿宋" w:hAnsi="仿宋" w:eastAsia="仿宋"/>
          <w:bCs/>
          <w:color w:val="000000"/>
          <w:sz w:val="32"/>
          <w:szCs w:val="32"/>
          <w:lang w:val="en-US" w:eastAsia="zh-CN"/>
        </w:rPr>
        <w:t>项目支出</w:t>
      </w:r>
    </w:p>
    <w:p>
      <w:pPr>
        <w:numPr>
          <w:ilvl w:val="0"/>
          <w:numId w:val="0"/>
        </w:numPr>
        <w:spacing w:line="600" w:lineRule="exact"/>
        <w:ind w:firstLine="640" w:firstLineChars="200"/>
        <w:rPr>
          <w:rStyle w:val="15"/>
          <w:rFonts w:hint="default" w:ascii="仿宋" w:hAnsi="仿宋" w:eastAsia="仿宋"/>
          <w:bCs/>
          <w:color w:val="000000"/>
          <w:sz w:val="32"/>
          <w:szCs w:val="32"/>
          <w:lang w:val="en-US" w:eastAsia="zh-CN"/>
        </w:rPr>
      </w:pPr>
      <w:r>
        <w:rPr>
          <w:rStyle w:val="15"/>
          <w:rFonts w:hint="eastAsia" w:ascii="仿宋" w:hAnsi="仿宋" w:eastAsia="仿宋"/>
          <w:b w:val="0"/>
          <w:bCs w:val="0"/>
          <w:color w:val="000000"/>
          <w:sz w:val="32"/>
          <w:szCs w:val="32"/>
          <w:lang w:val="en-US" w:eastAsia="zh-CN"/>
        </w:rPr>
        <w:t>2100409重大公共卫生专项支出3.00万元，完成预算100%；</w:t>
      </w:r>
    </w:p>
    <w:p>
      <w:pPr>
        <w:spacing w:line="600" w:lineRule="exact"/>
        <w:ind w:firstLine="643" w:firstLineChars="200"/>
        <w:rPr>
          <w:rStyle w:val="15"/>
          <w:rFonts w:hint="eastAsia" w:ascii="仿宋" w:hAnsi="仿宋" w:eastAsia="仿宋"/>
          <w:bCs/>
          <w:color w:val="000000"/>
          <w:sz w:val="32"/>
          <w:szCs w:val="32"/>
        </w:rPr>
      </w:pPr>
      <w:r>
        <w:rPr>
          <w:rStyle w:val="15"/>
          <w:rFonts w:hint="eastAsia" w:ascii="仿宋" w:hAnsi="仿宋" w:eastAsia="仿宋"/>
          <w:bCs/>
          <w:color w:val="000000"/>
          <w:sz w:val="32"/>
          <w:szCs w:val="32"/>
          <w:lang w:val="en-US" w:eastAsia="zh-CN"/>
        </w:rPr>
        <w:t>3</w:t>
      </w:r>
      <w:r>
        <w:rPr>
          <w:rStyle w:val="15"/>
          <w:rFonts w:ascii="仿宋" w:hAnsi="仿宋" w:eastAsia="仿宋"/>
          <w:bCs/>
          <w:color w:val="000000"/>
          <w:sz w:val="32"/>
          <w:szCs w:val="32"/>
        </w:rPr>
        <w:t>.</w:t>
      </w:r>
      <w:r>
        <w:rPr>
          <w:rStyle w:val="15"/>
          <w:rFonts w:hint="eastAsia" w:ascii="仿宋" w:hAnsi="仿宋" w:eastAsia="仿宋"/>
          <w:bCs/>
          <w:color w:val="000000"/>
          <w:sz w:val="32"/>
          <w:szCs w:val="32"/>
        </w:rPr>
        <w:t>医疗卫生与计划生育</w:t>
      </w:r>
    </w:p>
    <w:p>
      <w:pPr>
        <w:numPr>
          <w:ilvl w:val="0"/>
          <w:numId w:val="0"/>
        </w:numPr>
        <w:spacing w:line="600" w:lineRule="exact"/>
        <w:ind w:firstLine="640" w:firstLineChars="200"/>
        <w:rPr>
          <w:rFonts w:ascii="仿宋" w:hAnsi="仿宋" w:eastAsia="仿宋"/>
          <w:b/>
          <w:color w:val="000000"/>
          <w:sz w:val="32"/>
          <w:szCs w:val="32"/>
        </w:rPr>
      </w:pPr>
      <w:r>
        <w:rPr>
          <w:rStyle w:val="15"/>
          <w:rFonts w:hint="eastAsia" w:ascii="仿宋" w:hAnsi="仿宋" w:eastAsia="仿宋"/>
          <w:b w:val="0"/>
          <w:bCs w:val="0"/>
          <w:color w:val="000000"/>
          <w:sz w:val="32"/>
          <w:szCs w:val="32"/>
          <w:lang w:val="en-US" w:eastAsia="zh-CN"/>
        </w:rPr>
        <w:t>2100402卫生监督机构支出118.85，完成预算100%；2101102事业</w:t>
      </w:r>
      <w:r>
        <w:rPr>
          <w:rStyle w:val="15"/>
          <w:rFonts w:hint="eastAsia" w:ascii="仿宋" w:hAnsi="仿宋" w:eastAsia="仿宋"/>
          <w:b w:val="0"/>
          <w:bCs w:val="0"/>
          <w:color w:val="000000"/>
          <w:sz w:val="32"/>
          <w:szCs w:val="32"/>
          <w:lang w:eastAsia="zh-CN"/>
        </w:rPr>
        <w:t>单位医疗支出</w:t>
      </w:r>
      <w:r>
        <w:rPr>
          <w:rStyle w:val="15"/>
          <w:rFonts w:hint="eastAsia" w:ascii="仿宋" w:hAnsi="仿宋" w:eastAsia="仿宋"/>
          <w:b w:val="0"/>
          <w:bCs w:val="0"/>
          <w:color w:val="000000"/>
          <w:sz w:val="32"/>
          <w:szCs w:val="32"/>
          <w:lang w:val="en-US" w:eastAsia="zh-CN"/>
        </w:rPr>
        <w:t>4.94万元，完成预算100%；2101199其他</w:t>
      </w:r>
      <w:r>
        <w:rPr>
          <w:rStyle w:val="15"/>
          <w:rFonts w:hint="eastAsia" w:ascii="仿宋" w:hAnsi="仿宋" w:eastAsia="仿宋"/>
          <w:b w:val="0"/>
          <w:bCs w:val="0"/>
          <w:color w:val="000000"/>
          <w:sz w:val="32"/>
          <w:szCs w:val="32"/>
          <w:lang w:eastAsia="zh-CN"/>
        </w:rPr>
        <w:t>行政事业单位医疗支出</w:t>
      </w:r>
      <w:r>
        <w:rPr>
          <w:rStyle w:val="15"/>
          <w:rFonts w:hint="eastAsia" w:ascii="仿宋" w:hAnsi="仿宋" w:eastAsia="仿宋"/>
          <w:b w:val="0"/>
          <w:bCs w:val="0"/>
          <w:color w:val="000000"/>
          <w:sz w:val="32"/>
          <w:szCs w:val="32"/>
          <w:lang w:val="en-US" w:eastAsia="zh-CN"/>
        </w:rPr>
        <w:t>1.10万元，完成预算100%；</w:t>
      </w:r>
      <w:r>
        <w:rPr>
          <w:rStyle w:val="15"/>
          <w:rFonts w:hint="eastAsia" w:ascii="仿宋" w:hAnsi="仿宋" w:eastAsia="仿宋"/>
          <w:b w:val="0"/>
          <w:bCs w:val="0"/>
          <w:color w:val="000000"/>
          <w:sz w:val="32"/>
          <w:szCs w:val="32"/>
          <w:lang w:eastAsia="zh-CN"/>
        </w:rPr>
        <w:t>合计</w:t>
      </w:r>
      <w:r>
        <w:rPr>
          <w:rStyle w:val="15"/>
          <w:rFonts w:hint="eastAsia" w:ascii="仿宋" w:hAnsi="仿宋" w:eastAsia="仿宋"/>
          <w:b w:val="0"/>
          <w:bCs w:val="0"/>
          <w:color w:val="000000"/>
          <w:sz w:val="32"/>
          <w:szCs w:val="32"/>
        </w:rPr>
        <w:t>支出决算为</w:t>
      </w:r>
      <w:r>
        <w:rPr>
          <w:rStyle w:val="15"/>
          <w:rFonts w:hint="eastAsia" w:ascii="仿宋" w:hAnsi="仿宋" w:eastAsia="仿宋"/>
          <w:b w:val="0"/>
          <w:bCs w:val="0"/>
          <w:color w:val="000000"/>
          <w:sz w:val="32"/>
          <w:szCs w:val="32"/>
          <w:lang w:val="en-US" w:eastAsia="zh-CN"/>
        </w:rPr>
        <w:t>127.89</w:t>
      </w:r>
      <w:r>
        <w:rPr>
          <w:rStyle w:val="15"/>
          <w:rFonts w:hint="eastAsia" w:ascii="仿宋" w:hAnsi="仿宋" w:eastAsia="仿宋"/>
          <w:b w:val="0"/>
          <w:bCs w:val="0"/>
          <w:color w:val="000000"/>
          <w:sz w:val="32"/>
          <w:szCs w:val="32"/>
        </w:rPr>
        <w:t>万元，</w:t>
      </w:r>
      <w:r>
        <w:rPr>
          <w:rStyle w:val="15"/>
          <w:rFonts w:hint="eastAsia" w:ascii="仿宋" w:hAnsi="仿宋" w:eastAsia="仿宋"/>
          <w:b w:val="0"/>
          <w:bCs/>
          <w:color w:val="000000"/>
          <w:sz w:val="32"/>
          <w:szCs w:val="32"/>
        </w:rPr>
        <w:t>完成预算</w:t>
      </w:r>
      <w:r>
        <w:rPr>
          <w:rStyle w:val="15"/>
          <w:rFonts w:hint="eastAsia" w:ascii="仿宋" w:hAnsi="仿宋" w:eastAsia="仿宋"/>
          <w:b w:val="0"/>
          <w:bCs/>
          <w:color w:val="000000"/>
          <w:sz w:val="32"/>
          <w:szCs w:val="32"/>
          <w:lang w:val="en-US" w:eastAsia="zh-CN"/>
        </w:rPr>
        <w:t>100</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，决算数等于预算数的主要原因是</w:t>
      </w:r>
      <w:r>
        <w:rPr>
          <w:rStyle w:val="15"/>
          <w:rFonts w:hint="eastAsia" w:ascii="仿宋" w:hAnsi="仿宋" w:eastAsia="仿宋"/>
          <w:b w:val="0"/>
          <w:bCs/>
          <w:color w:val="000000"/>
          <w:sz w:val="32"/>
          <w:szCs w:val="32"/>
          <w:lang w:eastAsia="zh-CN"/>
        </w:rPr>
        <w:t>严格按照财政拨款支出要求严格控制相关支出</w:t>
      </w:r>
      <w:r>
        <w:rPr>
          <w:rStyle w:val="15"/>
          <w:rFonts w:hint="eastAsia" w:ascii="仿宋" w:hAnsi="仿宋" w:eastAsia="仿宋"/>
          <w:b w:val="0"/>
          <w:bCs/>
          <w:color w:val="000000"/>
          <w:sz w:val="32"/>
          <w:szCs w:val="32"/>
        </w:rPr>
        <w:t>。</w:t>
      </w:r>
    </w:p>
    <w:p>
      <w:pPr>
        <w:numPr>
          <w:ilvl w:val="0"/>
          <w:numId w:val="0"/>
        </w:numPr>
        <w:spacing w:line="600" w:lineRule="exact"/>
        <w:ind w:firstLine="643" w:firstLineChars="200"/>
        <w:rPr>
          <w:rStyle w:val="15"/>
          <w:rFonts w:hint="eastAsia" w:ascii="仿宋" w:hAnsi="仿宋" w:eastAsia="仿宋"/>
          <w:bCs/>
          <w:color w:val="000000"/>
          <w:sz w:val="32"/>
          <w:szCs w:val="32"/>
          <w:lang w:eastAsia="zh-CN"/>
        </w:rPr>
      </w:pPr>
      <w:r>
        <w:rPr>
          <w:rStyle w:val="15"/>
          <w:rFonts w:hint="eastAsia" w:ascii="仿宋" w:hAnsi="仿宋" w:eastAsia="仿宋"/>
          <w:bCs/>
          <w:color w:val="000000"/>
          <w:sz w:val="32"/>
          <w:szCs w:val="32"/>
          <w:lang w:val="en-US" w:eastAsia="zh-CN"/>
        </w:rPr>
        <w:t>4、</w:t>
      </w:r>
      <w:r>
        <w:rPr>
          <w:rStyle w:val="15"/>
          <w:rFonts w:hint="eastAsia" w:ascii="仿宋" w:hAnsi="仿宋" w:eastAsia="仿宋"/>
          <w:bCs/>
          <w:color w:val="000000"/>
          <w:sz w:val="32"/>
          <w:szCs w:val="32"/>
          <w:lang w:eastAsia="zh-CN"/>
        </w:rPr>
        <w:t>住房保障支出</w:t>
      </w:r>
    </w:p>
    <w:p>
      <w:pPr>
        <w:numPr>
          <w:ilvl w:val="0"/>
          <w:numId w:val="0"/>
        </w:numPr>
        <w:spacing w:line="600" w:lineRule="exact"/>
        <w:ind w:firstLine="640" w:firstLineChars="200"/>
        <w:rPr>
          <w:rFonts w:ascii="仿宋" w:hAnsi="仿宋" w:eastAsia="仿宋"/>
          <w:b/>
          <w:color w:val="000000"/>
          <w:sz w:val="32"/>
          <w:szCs w:val="32"/>
        </w:rPr>
      </w:pPr>
      <w:r>
        <w:rPr>
          <w:rStyle w:val="15"/>
          <w:rFonts w:hint="eastAsia" w:ascii="仿宋" w:hAnsi="仿宋" w:eastAsia="仿宋"/>
          <w:b w:val="0"/>
          <w:bCs w:val="0"/>
          <w:color w:val="000000"/>
          <w:sz w:val="32"/>
          <w:szCs w:val="32"/>
          <w:lang w:val="en-US" w:eastAsia="zh-CN"/>
        </w:rPr>
        <w:t>2210201</w:t>
      </w:r>
      <w:r>
        <w:rPr>
          <w:rStyle w:val="15"/>
          <w:rFonts w:hint="eastAsia" w:ascii="仿宋" w:hAnsi="仿宋" w:eastAsia="仿宋"/>
          <w:b w:val="0"/>
          <w:bCs w:val="0"/>
          <w:color w:val="000000"/>
          <w:sz w:val="32"/>
          <w:szCs w:val="32"/>
          <w:lang w:eastAsia="zh-CN"/>
        </w:rPr>
        <w:t>住房公积金支出</w:t>
      </w:r>
      <w:r>
        <w:rPr>
          <w:rStyle w:val="15"/>
          <w:rFonts w:hint="eastAsia" w:ascii="仿宋" w:hAnsi="仿宋" w:eastAsia="仿宋"/>
          <w:b w:val="0"/>
          <w:bCs w:val="0"/>
          <w:color w:val="000000"/>
          <w:sz w:val="32"/>
          <w:szCs w:val="32"/>
          <w:lang w:val="en-US" w:eastAsia="zh-CN"/>
        </w:rPr>
        <w:t>9.86万元，</w:t>
      </w:r>
      <w:r>
        <w:rPr>
          <w:rStyle w:val="15"/>
          <w:rFonts w:hint="eastAsia" w:ascii="仿宋" w:hAnsi="仿宋" w:eastAsia="仿宋"/>
          <w:b w:val="0"/>
          <w:bCs w:val="0"/>
          <w:color w:val="000000"/>
          <w:sz w:val="32"/>
          <w:szCs w:val="32"/>
        </w:rPr>
        <w:t>完成预算</w:t>
      </w:r>
      <w:r>
        <w:rPr>
          <w:rStyle w:val="15"/>
          <w:rFonts w:hint="eastAsia" w:ascii="仿宋" w:hAnsi="仿宋" w:eastAsia="仿宋"/>
          <w:b w:val="0"/>
          <w:bCs w:val="0"/>
          <w:color w:val="000000"/>
          <w:sz w:val="32"/>
          <w:szCs w:val="32"/>
          <w:lang w:val="en-US" w:eastAsia="zh-CN"/>
        </w:rPr>
        <w:t>100</w:t>
      </w:r>
      <w:r>
        <w:rPr>
          <w:rStyle w:val="15"/>
          <w:rFonts w:ascii="仿宋" w:hAnsi="仿宋" w:eastAsia="仿宋"/>
          <w:b w:val="0"/>
          <w:bCs w:val="0"/>
          <w:color w:val="000000"/>
          <w:sz w:val="32"/>
          <w:szCs w:val="32"/>
        </w:rPr>
        <w:t>%</w:t>
      </w:r>
      <w:r>
        <w:rPr>
          <w:rStyle w:val="15"/>
          <w:rFonts w:hint="eastAsia" w:ascii="仿宋" w:hAnsi="仿宋" w:eastAsia="仿宋"/>
          <w:b w:val="0"/>
          <w:bCs w:val="0"/>
          <w:color w:val="000000"/>
          <w:sz w:val="32"/>
          <w:szCs w:val="32"/>
        </w:rPr>
        <w:t>，决算数等于预算数的主要原因是</w:t>
      </w:r>
      <w:r>
        <w:rPr>
          <w:rStyle w:val="15"/>
          <w:rFonts w:hint="eastAsia" w:ascii="仿宋" w:hAnsi="仿宋" w:eastAsia="仿宋"/>
          <w:b w:val="0"/>
          <w:bCs w:val="0"/>
          <w:color w:val="000000"/>
          <w:sz w:val="32"/>
          <w:szCs w:val="32"/>
          <w:lang w:eastAsia="zh-CN"/>
        </w:rPr>
        <w:t>严格按照财</w:t>
      </w:r>
      <w:r>
        <w:rPr>
          <w:rStyle w:val="15"/>
          <w:rFonts w:hint="eastAsia" w:ascii="仿宋" w:hAnsi="仿宋" w:eastAsia="仿宋"/>
          <w:b w:val="0"/>
          <w:bCs/>
          <w:color w:val="000000"/>
          <w:sz w:val="32"/>
          <w:szCs w:val="32"/>
          <w:lang w:eastAsia="zh-CN"/>
        </w:rPr>
        <w:t>政拨款支出要求严格控制相关支出</w:t>
      </w:r>
      <w:r>
        <w:rPr>
          <w:rStyle w:val="15"/>
          <w:rFonts w:hint="eastAsia" w:ascii="仿宋" w:hAnsi="仿宋" w:eastAsia="仿宋"/>
          <w:b w:val="0"/>
          <w:bCs/>
          <w:color w:val="000000"/>
          <w:sz w:val="32"/>
          <w:szCs w:val="32"/>
        </w:rPr>
        <w:t>。</w:t>
      </w:r>
    </w:p>
    <w:p>
      <w:pPr>
        <w:tabs>
          <w:tab w:val="right" w:pos="8306"/>
        </w:tabs>
        <w:spacing w:line="600" w:lineRule="exact"/>
        <w:ind w:firstLine="640"/>
        <w:outlineLvl w:val="1"/>
        <w:rPr>
          <w:rStyle w:val="27"/>
        </w:rPr>
      </w:pPr>
      <w:bookmarkStart w:id="40" w:name="_Toc15396608"/>
      <w:bookmarkStart w:id="41" w:name="_Toc15377214"/>
      <w:r>
        <w:rPr>
          <w:rFonts w:hint="eastAsia" w:ascii="黑体" w:eastAsia="黑体"/>
          <w:color w:val="000000"/>
          <w:sz w:val="32"/>
          <w:szCs w:val="32"/>
        </w:rPr>
        <w:t>六</w:t>
      </w:r>
      <w:r>
        <w:rPr>
          <w:rFonts w:hint="eastAsia" w:ascii="黑体" w:eastAsia="黑体"/>
          <w:b/>
          <w:color w:val="000000"/>
          <w:sz w:val="32"/>
          <w:szCs w:val="32"/>
        </w:rPr>
        <w:t>、</w:t>
      </w:r>
      <w:r>
        <w:rPr>
          <w:rFonts w:hint="eastAsia" w:ascii="黑体" w:hAnsi="黑体" w:eastAsia="黑体"/>
          <w:b/>
          <w:color w:val="000000"/>
          <w:sz w:val="32"/>
          <w:szCs w:val="32"/>
        </w:rPr>
        <w:t>一</w:t>
      </w:r>
      <w:r>
        <w:rPr>
          <w:rStyle w:val="27"/>
          <w:rFonts w:hint="eastAsia" w:ascii="黑体" w:hAnsi="黑体" w:eastAsia="黑体"/>
          <w:b w:val="0"/>
        </w:rPr>
        <w:t>般公共预算财政拨款基本支出决算情况说明</w:t>
      </w:r>
      <w:bookmarkEnd w:id="40"/>
      <w:bookmarkEnd w:id="41"/>
      <w:r>
        <w:rPr>
          <w:rStyle w:val="27"/>
          <w:rFonts w:ascii="黑体" w:hAnsi="黑体" w:eastAsia="黑体"/>
          <w:b w:val="0"/>
        </w:rPr>
        <w:tab/>
      </w:r>
    </w:p>
    <w:p>
      <w:pPr>
        <w:spacing w:line="600" w:lineRule="exact"/>
        <w:ind w:firstLine="645"/>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8年一般公共预算财政拨款基本支出</w:t>
      </w:r>
      <w:r>
        <w:rPr>
          <w:rFonts w:hint="eastAsia" w:ascii="仿宋" w:hAnsi="仿宋" w:eastAsia="仿宋"/>
          <w:color w:val="000000"/>
          <w:sz w:val="32"/>
          <w:szCs w:val="32"/>
          <w:lang w:val="en-US" w:eastAsia="zh-CN"/>
        </w:rPr>
        <w:t>154.77</w:t>
      </w:r>
      <w:r>
        <w:rPr>
          <w:rFonts w:hint="eastAsia" w:ascii="仿宋" w:hAnsi="仿宋" w:eastAsia="仿宋"/>
          <w:color w:val="000000"/>
          <w:sz w:val="32"/>
          <w:szCs w:val="32"/>
        </w:rPr>
        <w:t>万元，其中：</w:t>
      </w:r>
    </w:p>
    <w:p>
      <w:pPr>
        <w:spacing w:line="600" w:lineRule="exact"/>
        <w:ind w:firstLine="645"/>
        <w:rPr>
          <w:rFonts w:ascii="仿宋" w:hAnsi="仿宋" w:eastAsia="仿宋"/>
          <w:color w:val="000000"/>
          <w:sz w:val="32"/>
          <w:szCs w:val="32"/>
        </w:rPr>
      </w:pPr>
      <w:r>
        <w:rPr>
          <w:rFonts w:hint="eastAsia" w:ascii="仿宋" w:hAnsi="仿宋" w:eastAsia="仿宋"/>
          <w:color w:val="000000"/>
          <w:sz w:val="32"/>
          <w:szCs w:val="32"/>
        </w:rPr>
        <w:t>人员经费</w:t>
      </w:r>
      <w:r>
        <w:rPr>
          <w:rFonts w:hint="eastAsia" w:ascii="仿宋" w:hAnsi="仿宋" w:eastAsia="仿宋"/>
          <w:color w:val="000000"/>
          <w:sz w:val="32"/>
          <w:szCs w:val="32"/>
          <w:lang w:val="en-US" w:eastAsia="zh-CN"/>
        </w:rPr>
        <w:t>141.76</w:t>
      </w:r>
      <w:r>
        <w:rPr>
          <w:rFonts w:hint="eastAsia" w:ascii="仿宋" w:hAnsi="仿宋" w:eastAsia="仿宋"/>
          <w:color w:val="000000"/>
          <w:sz w:val="32"/>
          <w:szCs w:val="32"/>
        </w:rPr>
        <w:t>万元，主要包括：基本工资</w:t>
      </w:r>
      <w:r>
        <w:rPr>
          <w:rFonts w:hint="eastAsia" w:ascii="仿宋" w:hAnsi="仿宋" w:eastAsia="仿宋"/>
          <w:color w:val="000000"/>
          <w:sz w:val="32"/>
          <w:szCs w:val="32"/>
          <w:lang w:val="en-US" w:eastAsia="zh-CN"/>
        </w:rPr>
        <w:t>28.17万元</w:t>
      </w:r>
      <w:r>
        <w:rPr>
          <w:rFonts w:hint="eastAsia" w:ascii="仿宋" w:hAnsi="仿宋" w:eastAsia="仿宋"/>
          <w:color w:val="000000"/>
          <w:sz w:val="32"/>
          <w:szCs w:val="32"/>
        </w:rPr>
        <w:t>、津贴补贴</w:t>
      </w:r>
      <w:r>
        <w:rPr>
          <w:rFonts w:hint="eastAsia" w:ascii="仿宋" w:hAnsi="仿宋" w:eastAsia="仿宋"/>
          <w:color w:val="000000"/>
          <w:sz w:val="32"/>
          <w:szCs w:val="32"/>
          <w:lang w:val="en-US" w:eastAsia="zh-CN"/>
        </w:rPr>
        <w:t>54.14万元</w:t>
      </w:r>
      <w:r>
        <w:rPr>
          <w:rFonts w:hint="eastAsia" w:ascii="仿宋" w:hAnsi="仿宋" w:eastAsia="仿宋"/>
          <w:color w:val="000000"/>
          <w:sz w:val="32"/>
          <w:szCs w:val="32"/>
        </w:rPr>
        <w:t>、奖金</w:t>
      </w:r>
      <w:r>
        <w:rPr>
          <w:rFonts w:hint="eastAsia" w:ascii="仿宋" w:hAnsi="仿宋" w:eastAsia="仿宋"/>
          <w:color w:val="000000"/>
          <w:sz w:val="32"/>
          <w:szCs w:val="32"/>
          <w:lang w:val="en-US" w:eastAsia="zh-CN"/>
        </w:rPr>
        <w:t>19.63万元</w:t>
      </w:r>
      <w:r>
        <w:rPr>
          <w:rFonts w:hint="eastAsia" w:ascii="仿宋" w:hAnsi="仿宋" w:eastAsia="仿宋"/>
          <w:color w:val="000000"/>
          <w:sz w:val="32"/>
          <w:szCs w:val="32"/>
        </w:rPr>
        <w:t>、机关事业单位基本养老保险缴费</w:t>
      </w:r>
      <w:r>
        <w:rPr>
          <w:rFonts w:hint="eastAsia" w:ascii="仿宋" w:hAnsi="仿宋" w:eastAsia="仿宋"/>
          <w:color w:val="000000"/>
          <w:sz w:val="32"/>
          <w:szCs w:val="32"/>
          <w:lang w:val="en-US" w:eastAsia="zh-CN"/>
        </w:rPr>
        <w:t>15.08万元</w:t>
      </w:r>
      <w:r>
        <w:rPr>
          <w:rFonts w:hint="eastAsia" w:ascii="仿宋" w:hAnsi="仿宋" w:eastAsia="仿宋"/>
          <w:color w:val="000000"/>
          <w:sz w:val="32"/>
          <w:szCs w:val="32"/>
        </w:rPr>
        <w:t>、职业年金缴费</w:t>
      </w:r>
      <w:r>
        <w:rPr>
          <w:rFonts w:hint="eastAsia" w:ascii="仿宋" w:hAnsi="仿宋" w:eastAsia="仿宋"/>
          <w:color w:val="000000"/>
          <w:sz w:val="32"/>
          <w:szCs w:val="32"/>
          <w:lang w:val="en-US" w:eastAsia="zh-CN"/>
        </w:rPr>
        <w:t>6.03万元</w:t>
      </w:r>
      <w:r>
        <w:rPr>
          <w:rFonts w:hint="eastAsia" w:ascii="仿宋" w:hAnsi="仿宋" w:eastAsia="仿宋"/>
          <w:color w:val="000000"/>
          <w:sz w:val="32"/>
          <w:szCs w:val="32"/>
        </w:rPr>
        <w:t>、</w:t>
      </w:r>
      <w:r>
        <w:rPr>
          <w:rFonts w:hint="eastAsia" w:ascii="仿宋" w:hAnsi="仿宋" w:eastAsia="仿宋"/>
          <w:color w:val="000000"/>
          <w:sz w:val="32"/>
          <w:szCs w:val="32"/>
          <w:lang w:eastAsia="zh-CN"/>
        </w:rPr>
        <w:t>职工基本医疗保险缴费</w:t>
      </w:r>
      <w:r>
        <w:rPr>
          <w:rFonts w:hint="eastAsia" w:ascii="仿宋" w:hAnsi="仿宋" w:eastAsia="仿宋"/>
          <w:color w:val="000000"/>
          <w:sz w:val="32"/>
          <w:szCs w:val="32"/>
          <w:lang w:val="en-US" w:eastAsia="zh-CN"/>
        </w:rPr>
        <w:t>4.94万元、</w:t>
      </w:r>
      <w:r>
        <w:rPr>
          <w:rFonts w:hint="eastAsia" w:ascii="仿宋" w:hAnsi="仿宋" w:eastAsia="仿宋"/>
          <w:color w:val="000000"/>
          <w:sz w:val="32"/>
          <w:szCs w:val="32"/>
        </w:rPr>
        <w:t>其他社会保障缴费</w:t>
      </w:r>
      <w:r>
        <w:rPr>
          <w:rFonts w:hint="eastAsia" w:ascii="仿宋" w:hAnsi="仿宋" w:eastAsia="仿宋"/>
          <w:color w:val="000000"/>
          <w:sz w:val="32"/>
          <w:szCs w:val="32"/>
          <w:lang w:val="en-US" w:eastAsia="zh-CN"/>
        </w:rPr>
        <w:t>2.08万元</w:t>
      </w:r>
      <w:r>
        <w:rPr>
          <w:rFonts w:hint="eastAsia" w:ascii="仿宋" w:hAnsi="仿宋" w:eastAsia="仿宋"/>
          <w:color w:val="000000"/>
          <w:sz w:val="32"/>
          <w:szCs w:val="32"/>
        </w:rPr>
        <w:t>、医疗费</w:t>
      </w:r>
      <w:r>
        <w:rPr>
          <w:rFonts w:hint="eastAsia" w:ascii="仿宋" w:hAnsi="仿宋" w:eastAsia="仿宋"/>
          <w:color w:val="000000"/>
          <w:sz w:val="32"/>
          <w:szCs w:val="32"/>
          <w:lang w:val="en-US" w:eastAsia="zh-CN"/>
        </w:rPr>
        <w:t>1.79万元</w:t>
      </w:r>
      <w:r>
        <w:rPr>
          <w:rFonts w:hint="eastAsia" w:ascii="仿宋" w:hAnsi="仿宋" w:eastAsia="仿宋"/>
          <w:color w:val="000000"/>
          <w:sz w:val="32"/>
          <w:szCs w:val="32"/>
        </w:rPr>
        <w:t>、住房公积金</w:t>
      </w:r>
      <w:r>
        <w:rPr>
          <w:rFonts w:hint="eastAsia" w:ascii="仿宋" w:hAnsi="仿宋" w:eastAsia="仿宋"/>
          <w:color w:val="000000"/>
          <w:sz w:val="32"/>
          <w:szCs w:val="32"/>
          <w:lang w:val="en-US" w:eastAsia="zh-CN"/>
        </w:rPr>
        <w:t>9.86万元</w:t>
      </w:r>
      <w:r>
        <w:rPr>
          <w:rFonts w:hint="eastAsia" w:ascii="仿宋" w:hAnsi="仿宋" w:eastAsia="仿宋"/>
          <w:color w:val="000000"/>
          <w:sz w:val="32"/>
          <w:szCs w:val="32"/>
        </w:rPr>
        <w:t>支出。</w:t>
      </w:r>
      <w:r>
        <w:rPr>
          <w:rFonts w:ascii="仿宋" w:hAnsi="仿宋" w:eastAsia="仿宋"/>
          <w:color w:val="000000"/>
          <w:sz w:val="32"/>
          <w:szCs w:val="32"/>
        </w:rPr>
        <w:br w:type="textWrapping"/>
      </w:r>
      <w:r>
        <w:rPr>
          <w:rFonts w:hint="eastAsia" w:ascii="仿宋" w:hAnsi="仿宋" w:eastAsia="仿宋"/>
          <w:color w:val="000000"/>
          <w:sz w:val="32"/>
          <w:szCs w:val="32"/>
        </w:rPr>
        <w:t>　　公用经费</w:t>
      </w:r>
      <w:r>
        <w:rPr>
          <w:rFonts w:hint="eastAsia" w:ascii="仿宋" w:hAnsi="仿宋" w:eastAsia="仿宋"/>
          <w:color w:val="000000"/>
          <w:sz w:val="32"/>
          <w:szCs w:val="32"/>
          <w:lang w:val="en-US" w:eastAsia="zh-CN"/>
        </w:rPr>
        <w:t>13.01</w:t>
      </w:r>
      <w:r>
        <w:rPr>
          <w:rFonts w:hint="eastAsia" w:ascii="仿宋" w:hAnsi="仿宋" w:eastAsia="仿宋"/>
          <w:color w:val="000000"/>
          <w:sz w:val="32"/>
          <w:szCs w:val="32"/>
        </w:rPr>
        <w:t>万元，主要包括：办公费</w:t>
      </w:r>
      <w:r>
        <w:rPr>
          <w:rFonts w:hint="eastAsia" w:ascii="仿宋" w:hAnsi="仿宋" w:eastAsia="仿宋"/>
          <w:color w:val="000000"/>
          <w:sz w:val="32"/>
          <w:szCs w:val="32"/>
          <w:lang w:val="en-US" w:eastAsia="zh-CN"/>
        </w:rPr>
        <w:t>3.96万元</w:t>
      </w:r>
      <w:r>
        <w:rPr>
          <w:rFonts w:hint="eastAsia" w:ascii="仿宋" w:hAnsi="仿宋" w:eastAsia="仿宋"/>
          <w:color w:val="000000"/>
          <w:sz w:val="32"/>
          <w:szCs w:val="32"/>
        </w:rPr>
        <w:t>、印刷费</w:t>
      </w:r>
      <w:r>
        <w:rPr>
          <w:rFonts w:hint="eastAsia" w:ascii="仿宋" w:hAnsi="仿宋" w:eastAsia="仿宋"/>
          <w:color w:val="000000"/>
          <w:sz w:val="32"/>
          <w:szCs w:val="32"/>
          <w:lang w:val="en-US" w:eastAsia="zh-CN"/>
        </w:rPr>
        <w:t>0.36万元</w:t>
      </w:r>
      <w:r>
        <w:rPr>
          <w:rFonts w:hint="eastAsia" w:ascii="仿宋" w:hAnsi="仿宋" w:eastAsia="仿宋"/>
          <w:color w:val="000000"/>
          <w:sz w:val="32"/>
          <w:szCs w:val="32"/>
        </w:rPr>
        <w:t>、水费</w:t>
      </w:r>
      <w:r>
        <w:rPr>
          <w:rFonts w:hint="eastAsia" w:ascii="仿宋" w:hAnsi="仿宋" w:eastAsia="仿宋"/>
          <w:color w:val="000000"/>
          <w:sz w:val="32"/>
          <w:szCs w:val="32"/>
          <w:lang w:val="en-US" w:eastAsia="zh-CN"/>
        </w:rPr>
        <w:t>0.1万元</w:t>
      </w:r>
      <w:r>
        <w:rPr>
          <w:rFonts w:hint="eastAsia" w:ascii="仿宋" w:hAnsi="仿宋" w:eastAsia="仿宋"/>
          <w:color w:val="000000"/>
          <w:sz w:val="32"/>
          <w:szCs w:val="32"/>
        </w:rPr>
        <w:t>、电费</w:t>
      </w:r>
      <w:r>
        <w:rPr>
          <w:rFonts w:hint="eastAsia" w:ascii="仿宋" w:hAnsi="仿宋" w:eastAsia="仿宋"/>
          <w:color w:val="000000"/>
          <w:sz w:val="32"/>
          <w:szCs w:val="32"/>
          <w:lang w:val="en-US" w:eastAsia="zh-CN"/>
        </w:rPr>
        <w:t>1.17万元</w:t>
      </w:r>
      <w:r>
        <w:rPr>
          <w:rFonts w:hint="eastAsia" w:ascii="仿宋" w:hAnsi="仿宋" w:eastAsia="仿宋"/>
          <w:color w:val="000000"/>
          <w:sz w:val="32"/>
          <w:szCs w:val="32"/>
        </w:rPr>
        <w:t>、邮电费</w:t>
      </w:r>
      <w:r>
        <w:rPr>
          <w:rFonts w:hint="eastAsia" w:ascii="仿宋" w:hAnsi="仿宋" w:eastAsia="仿宋"/>
          <w:color w:val="000000"/>
          <w:sz w:val="32"/>
          <w:szCs w:val="32"/>
          <w:lang w:val="en-US" w:eastAsia="zh-CN"/>
        </w:rPr>
        <w:t>0.09万元</w:t>
      </w:r>
      <w:r>
        <w:rPr>
          <w:rFonts w:hint="eastAsia" w:ascii="仿宋" w:hAnsi="仿宋" w:eastAsia="仿宋"/>
          <w:color w:val="000000"/>
          <w:sz w:val="32"/>
          <w:szCs w:val="32"/>
        </w:rPr>
        <w:t>、取暖费</w:t>
      </w:r>
      <w:r>
        <w:rPr>
          <w:rFonts w:hint="eastAsia" w:ascii="仿宋" w:hAnsi="仿宋" w:eastAsia="仿宋"/>
          <w:color w:val="000000"/>
          <w:sz w:val="32"/>
          <w:szCs w:val="32"/>
          <w:lang w:val="en-US" w:eastAsia="zh-CN"/>
        </w:rPr>
        <w:t>0.83万元</w:t>
      </w:r>
      <w:r>
        <w:rPr>
          <w:rFonts w:hint="eastAsia" w:ascii="仿宋" w:hAnsi="仿宋" w:eastAsia="仿宋"/>
          <w:color w:val="000000"/>
          <w:sz w:val="32"/>
          <w:szCs w:val="32"/>
        </w:rPr>
        <w:t>、差旅费</w:t>
      </w:r>
      <w:r>
        <w:rPr>
          <w:rFonts w:hint="eastAsia" w:ascii="仿宋" w:hAnsi="仿宋" w:eastAsia="仿宋"/>
          <w:color w:val="000000"/>
          <w:sz w:val="32"/>
          <w:szCs w:val="32"/>
          <w:lang w:val="en-US" w:eastAsia="zh-CN"/>
        </w:rPr>
        <w:t>2.37万元</w:t>
      </w:r>
      <w:r>
        <w:rPr>
          <w:rFonts w:hint="eastAsia" w:ascii="仿宋" w:hAnsi="仿宋" w:eastAsia="仿宋"/>
          <w:color w:val="000000"/>
          <w:sz w:val="32"/>
          <w:szCs w:val="32"/>
        </w:rPr>
        <w:t>、公务接待费</w:t>
      </w:r>
      <w:r>
        <w:rPr>
          <w:rFonts w:hint="eastAsia" w:ascii="仿宋" w:hAnsi="仿宋" w:eastAsia="仿宋"/>
          <w:color w:val="000000"/>
          <w:sz w:val="32"/>
          <w:szCs w:val="32"/>
          <w:lang w:val="en-US" w:eastAsia="zh-CN"/>
        </w:rPr>
        <w:t>0.64万元</w:t>
      </w:r>
      <w:r>
        <w:rPr>
          <w:rFonts w:hint="eastAsia" w:ascii="仿宋" w:hAnsi="仿宋" w:eastAsia="仿宋"/>
          <w:color w:val="000000"/>
          <w:sz w:val="32"/>
          <w:szCs w:val="32"/>
        </w:rPr>
        <w:t>、劳务费</w:t>
      </w:r>
      <w:r>
        <w:rPr>
          <w:rFonts w:hint="eastAsia" w:ascii="仿宋" w:hAnsi="仿宋" w:eastAsia="仿宋"/>
          <w:color w:val="000000"/>
          <w:sz w:val="32"/>
          <w:szCs w:val="32"/>
          <w:lang w:val="en-US" w:eastAsia="zh-CN"/>
        </w:rPr>
        <w:t>0.72万元</w:t>
      </w:r>
      <w:r>
        <w:rPr>
          <w:rFonts w:hint="eastAsia" w:ascii="仿宋" w:hAnsi="仿宋" w:eastAsia="仿宋"/>
          <w:color w:val="000000"/>
          <w:sz w:val="32"/>
          <w:szCs w:val="32"/>
        </w:rPr>
        <w:t>、公务用车运行维护费</w:t>
      </w:r>
      <w:r>
        <w:rPr>
          <w:rFonts w:hint="eastAsia" w:ascii="仿宋" w:hAnsi="仿宋" w:eastAsia="仿宋"/>
          <w:color w:val="000000"/>
          <w:sz w:val="32"/>
          <w:szCs w:val="32"/>
          <w:lang w:val="en-US" w:eastAsia="zh-CN"/>
        </w:rPr>
        <w:t>2.64万元</w:t>
      </w:r>
      <w:r>
        <w:rPr>
          <w:rFonts w:hint="eastAsia" w:ascii="仿宋" w:hAnsi="仿宋" w:eastAsia="仿宋"/>
          <w:color w:val="000000"/>
          <w:sz w:val="32"/>
          <w:szCs w:val="32"/>
        </w:rPr>
        <w:t>支出等。</w:t>
      </w:r>
    </w:p>
    <w:p>
      <w:pPr>
        <w:spacing w:line="600" w:lineRule="exact"/>
        <w:ind w:firstLine="640"/>
        <w:outlineLvl w:val="1"/>
        <w:rPr>
          <w:rFonts w:hint="eastAsia" w:ascii="黑体" w:eastAsia="黑体"/>
          <w:color w:val="000000"/>
          <w:sz w:val="32"/>
          <w:szCs w:val="32"/>
        </w:rPr>
      </w:pPr>
      <w:bookmarkStart w:id="42" w:name="_Toc15396609"/>
      <w:bookmarkStart w:id="43" w:name="_Toc15377215"/>
    </w:p>
    <w:p>
      <w:pPr>
        <w:spacing w:line="600" w:lineRule="exact"/>
        <w:ind w:firstLine="640"/>
        <w:outlineLvl w:val="1"/>
        <w:rPr>
          <w:rStyle w:val="27"/>
          <w:rFonts w:ascii="黑体" w:hAnsi="黑体" w:eastAsia="黑体"/>
          <w:b w:val="0"/>
        </w:rPr>
      </w:pPr>
      <w:r>
        <w:rPr>
          <w:rFonts w:hint="eastAsia" w:ascii="黑体" w:eastAsia="黑体"/>
          <w:color w:val="000000"/>
          <w:sz w:val="32"/>
          <w:szCs w:val="32"/>
        </w:rPr>
        <w:t>七、</w:t>
      </w:r>
      <w:r>
        <w:rPr>
          <w:rStyle w:val="27"/>
          <w:rFonts w:hint="eastAsia" w:ascii="黑体" w:hAnsi="黑体" w:eastAsia="黑体"/>
        </w:rPr>
        <w:t>“</w:t>
      </w:r>
      <w:r>
        <w:rPr>
          <w:rStyle w:val="27"/>
          <w:rFonts w:hint="eastAsia" w:ascii="黑体" w:hAnsi="黑体" w:eastAsia="黑体"/>
          <w:b w:val="0"/>
        </w:rPr>
        <w:t>三公”经费财政拨款支出决算情况说明</w:t>
      </w:r>
      <w:bookmarkEnd w:id="42"/>
      <w:bookmarkEnd w:id="43"/>
    </w:p>
    <w:p>
      <w:pPr>
        <w:spacing w:line="600" w:lineRule="exact"/>
        <w:ind w:firstLine="640"/>
        <w:outlineLvl w:val="2"/>
        <w:rPr>
          <w:rFonts w:hint="eastAsia" w:ascii="仿宋" w:hAnsi="仿宋" w:eastAsia="仿宋"/>
          <w:b/>
          <w:color w:val="000000"/>
          <w:sz w:val="32"/>
          <w:szCs w:val="32"/>
        </w:rPr>
      </w:pPr>
      <w:bookmarkStart w:id="44" w:name="_Toc15377216"/>
    </w:p>
    <w:p>
      <w:pPr>
        <w:spacing w:line="600" w:lineRule="exact"/>
        <w:ind w:firstLine="640"/>
        <w:outlineLvl w:val="2"/>
        <w:rPr>
          <w:rFonts w:ascii="仿宋" w:hAnsi="仿宋" w:eastAsia="仿宋"/>
          <w:b/>
          <w:color w:val="000000"/>
          <w:sz w:val="32"/>
          <w:szCs w:val="32"/>
        </w:rPr>
      </w:pPr>
      <w:r>
        <w:rPr>
          <w:rFonts w:hint="eastAsia" w:ascii="仿宋" w:hAnsi="仿宋" w:eastAsia="仿宋"/>
          <w:b/>
          <w:color w:val="000000"/>
          <w:sz w:val="32"/>
          <w:szCs w:val="32"/>
        </w:rPr>
        <w:t>（一）“三公”经费财政拨款支出决算总体情况说明</w:t>
      </w:r>
      <w:bookmarkEnd w:id="44"/>
    </w:p>
    <w:p>
      <w:pPr>
        <w:spacing w:line="600" w:lineRule="exact"/>
        <w:ind w:firstLine="640"/>
        <w:rPr>
          <w:rFonts w:ascii="仿宋" w:hAnsi="仿宋" w:eastAsia="仿宋"/>
          <w:b/>
          <w:color w:val="000000" w:themeColor="text1"/>
          <w:sz w:val="32"/>
          <w:szCs w:val="32"/>
          <w14:textFill>
            <w14:solidFill>
              <w14:schemeClr w14:val="tx1"/>
            </w14:solidFill>
          </w14:textFill>
        </w:rPr>
      </w:pPr>
      <w:r>
        <w:rPr>
          <w:rFonts w:ascii="仿宋" w:hAnsi="仿宋" w:eastAsia="仿宋"/>
          <w:color w:val="000000"/>
          <w:sz w:val="32"/>
          <w:szCs w:val="32"/>
        </w:rPr>
        <w:t>201</w:t>
      </w:r>
      <w:r>
        <w:rPr>
          <w:rFonts w:hint="eastAsia" w:ascii="仿宋" w:hAnsi="仿宋" w:eastAsia="仿宋"/>
          <w:color w:val="000000"/>
          <w:sz w:val="32"/>
          <w:szCs w:val="32"/>
        </w:rPr>
        <w:t>8年“三公”经费财政拨款支出决算为</w:t>
      </w:r>
      <w:r>
        <w:rPr>
          <w:rFonts w:hint="eastAsia" w:ascii="仿宋" w:hAnsi="仿宋" w:eastAsia="仿宋"/>
          <w:color w:val="000000"/>
          <w:sz w:val="32"/>
          <w:szCs w:val="32"/>
          <w:lang w:val="en-US" w:eastAsia="zh-CN"/>
        </w:rPr>
        <w:t>3.3</w:t>
      </w:r>
      <w:r>
        <w:rPr>
          <w:rFonts w:hint="eastAsia" w:ascii="仿宋" w:hAnsi="仿宋" w:eastAsia="仿宋"/>
          <w:color w:val="000000"/>
          <w:sz w:val="32"/>
          <w:szCs w:val="32"/>
        </w:rPr>
        <w:t>万元，完成预算</w:t>
      </w:r>
      <w:r>
        <w:rPr>
          <w:rFonts w:hint="eastAsia" w:ascii="仿宋" w:hAnsi="仿宋" w:eastAsia="仿宋"/>
          <w:color w:val="000000"/>
          <w:sz w:val="32"/>
          <w:szCs w:val="32"/>
          <w:lang w:val="en-US" w:eastAsia="zh-CN"/>
        </w:rPr>
        <w:t>100</w:t>
      </w:r>
      <w:r>
        <w:rPr>
          <w:rFonts w:ascii="仿宋" w:hAnsi="仿宋" w:eastAsia="仿宋"/>
          <w:color w:val="000000"/>
          <w:sz w:val="32"/>
          <w:szCs w:val="32"/>
        </w:rPr>
        <w:t>%</w:t>
      </w:r>
      <w:r>
        <w:rPr>
          <w:rFonts w:hint="eastAsia" w:ascii="仿宋" w:hAnsi="仿宋" w:eastAsia="仿宋"/>
          <w:color w:val="000000"/>
          <w:sz w:val="32"/>
          <w:szCs w:val="32"/>
        </w:rPr>
        <w:t>，决算数与预算数持平</w:t>
      </w:r>
      <w:r>
        <w:rPr>
          <w:rFonts w:hint="eastAsia" w:ascii="仿宋" w:hAnsi="仿宋" w:eastAsia="仿宋"/>
          <w:color w:val="000000"/>
          <w:sz w:val="32"/>
          <w:szCs w:val="32"/>
          <w:lang w:eastAsia="zh-CN"/>
        </w:rPr>
        <w:t>，</w:t>
      </w:r>
      <w:r>
        <w:rPr>
          <w:rFonts w:hint="eastAsia" w:ascii="仿宋" w:hAnsi="仿宋" w:eastAsia="仿宋"/>
          <w:color w:val="000000"/>
          <w:sz w:val="32"/>
          <w:szCs w:val="32"/>
        </w:rPr>
        <w:t>与2017年相比，</w:t>
      </w:r>
      <w:r>
        <w:rPr>
          <w:rFonts w:hint="eastAsia" w:ascii="仿宋" w:hAnsi="仿宋" w:eastAsia="仿宋"/>
          <w:color w:val="000000"/>
          <w:sz w:val="32"/>
          <w:szCs w:val="32"/>
          <w:lang w:eastAsia="zh-CN"/>
        </w:rPr>
        <w:t>支出减少</w:t>
      </w:r>
      <w:r>
        <w:rPr>
          <w:rFonts w:hint="eastAsia" w:ascii="仿宋" w:hAnsi="仿宋" w:eastAsia="仿宋"/>
          <w:color w:val="000000"/>
          <w:sz w:val="32"/>
          <w:szCs w:val="32"/>
          <w:lang w:val="en-US" w:eastAsia="zh-CN"/>
        </w:rPr>
        <w:t>4.4</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减少</w:t>
      </w:r>
      <w:r>
        <w:rPr>
          <w:rFonts w:hint="eastAsia" w:ascii="仿宋" w:hAnsi="仿宋" w:eastAsia="仿宋"/>
          <w:color w:val="000000"/>
          <w:sz w:val="32"/>
          <w:szCs w:val="32"/>
          <w:lang w:val="en-US" w:eastAsia="zh-CN"/>
        </w:rPr>
        <w:t>55</w:t>
      </w:r>
      <w:r>
        <w:rPr>
          <w:rFonts w:ascii="仿宋" w:hAnsi="仿宋" w:eastAsia="仿宋"/>
          <w:color w:val="000000"/>
          <w:sz w:val="32"/>
          <w:szCs w:val="32"/>
        </w:rPr>
        <w:t>%</w:t>
      </w:r>
      <w:r>
        <w:rPr>
          <w:rFonts w:hint="eastAsia" w:ascii="仿宋" w:hAnsi="仿宋" w:eastAsia="仿宋"/>
          <w:color w:val="000000"/>
          <w:sz w:val="32"/>
          <w:szCs w:val="32"/>
        </w:rPr>
        <w:t>。</w:t>
      </w:r>
      <w:r>
        <w:rPr>
          <w:rFonts w:hint="eastAsia" w:ascii="仿宋_GB2312" w:eastAsia="仿宋_GB2312"/>
          <w:color w:val="000000"/>
          <w:sz w:val="32"/>
          <w:szCs w:val="32"/>
        </w:rPr>
        <w:t>主要原因是</w:t>
      </w:r>
      <w:r>
        <w:rPr>
          <w:rFonts w:hint="eastAsia" w:ascii="仿宋_GB2312" w:eastAsia="仿宋_GB2312"/>
          <w:color w:val="000000"/>
          <w:sz w:val="32"/>
          <w:szCs w:val="32"/>
          <w:lang w:eastAsia="zh-CN"/>
        </w:rPr>
        <w:t>严格按照“八项规定”，控制相关开支，减少相关支出</w:t>
      </w:r>
      <w:r>
        <w:rPr>
          <w:rFonts w:hint="eastAsia" w:ascii="仿宋" w:hAnsi="仿宋" w:eastAsia="仿宋"/>
          <w:color w:val="000000"/>
          <w:sz w:val="32"/>
          <w:szCs w:val="32"/>
          <w:lang w:eastAsia="zh-CN"/>
        </w:rPr>
        <w:t>。</w:t>
      </w:r>
    </w:p>
    <w:p>
      <w:pPr>
        <w:spacing w:line="600" w:lineRule="exact"/>
        <w:ind w:firstLine="640"/>
        <w:outlineLvl w:val="2"/>
        <w:rPr>
          <w:rFonts w:hint="eastAsia" w:ascii="仿宋" w:hAnsi="仿宋" w:eastAsia="仿宋"/>
          <w:b/>
          <w:color w:val="000000"/>
          <w:sz w:val="32"/>
          <w:szCs w:val="32"/>
        </w:rPr>
      </w:pPr>
      <w:bookmarkStart w:id="45" w:name="_Toc15377217"/>
    </w:p>
    <w:p>
      <w:pPr>
        <w:spacing w:line="600" w:lineRule="exact"/>
        <w:outlineLvl w:val="2"/>
        <w:rPr>
          <w:rFonts w:hint="eastAsia" w:ascii="仿宋" w:hAnsi="仿宋" w:eastAsia="仿宋"/>
          <w:b/>
          <w:color w:val="000000"/>
          <w:sz w:val="32"/>
          <w:szCs w:val="32"/>
        </w:rPr>
      </w:pPr>
    </w:p>
    <w:p>
      <w:pPr>
        <w:spacing w:line="600" w:lineRule="exact"/>
        <w:ind w:firstLine="640"/>
        <w:outlineLvl w:val="2"/>
        <w:rPr>
          <w:rFonts w:ascii="仿宋" w:hAnsi="仿宋" w:eastAsia="仿宋"/>
          <w:b/>
          <w:color w:val="000000"/>
          <w:sz w:val="32"/>
          <w:szCs w:val="32"/>
        </w:rPr>
      </w:pPr>
      <w:r>
        <w:rPr>
          <w:rFonts w:hint="eastAsia" w:ascii="仿宋" w:hAnsi="仿宋" w:eastAsia="仿宋"/>
          <w:b/>
          <w:color w:val="000000"/>
          <w:sz w:val="32"/>
          <w:szCs w:val="32"/>
        </w:rPr>
        <w:t>（二）“三公”经费财政拨款支出决算具体情况说明</w:t>
      </w:r>
      <w:bookmarkEnd w:id="45"/>
    </w:p>
    <w:p>
      <w:pPr>
        <w:spacing w:line="600" w:lineRule="exact"/>
        <w:ind w:firstLine="640"/>
        <w:rPr>
          <w:rFonts w:hint="eastAsia"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8年“三公”经费财政拨款支出决算中，因公出国（境）费支出决算</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万元；公务用车购置及运行维护费支出决算</w:t>
      </w:r>
      <w:r>
        <w:rPr>
          <w:rFonts w:hint="eastAsia" w:ascii="仿宋" w:hAnsi="仿宋" w:eastAsia="仿宋"/>
          <w:color w:val="000000"/>
          <w:sz w:val="32"/>
          <w:szCs w:val="32"/>
          <w:lang w:val="en-US" w:eastAsia="zh-CN"/>
        </w:rPr>
        <w:t>2.65</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80</w:t>
      </w:r>
      <w:r>
        <w:rPr>
          <w:rFonts w:ascii="仿宋" w:hAnsi="仿宋" w:eastAsia="仿宋"/>
          <w:color w:val="000000"/>
          <w:sz w:val="32"/>
          <w:szCs w:val="32"/>
        </w:rPr>
        <w:t>%</w:t>
      </w:r>
      <w:r>
        <w:rPr>
          <w:rFonts w:hint="eastAsia" w:ascii="仿宋" w:hAnsi="仿宋" w:eastAsia="仿宋"/>
          <w:color w:val="000000"/>
          <w:sz w:val="32"/>
          <w:szCs w:val="32"/>
        </w:rPr>
        <w:t>；公务接待费支出决算</w:t>
      </w:r>
      <w:r>
        <w:rPr>
          <w:rFonts w:hint="eastAsia" w:ascii="仿宋" w:hAnsi="仿宋" w:eastAsia="仿宋"/>
          <w:color w:val="000000"/>
          <w:sz w:val="32"/>
          <w:szCs w:val="32"/>
          <w:lang w:val="en-US" w:eastAsia="zh-CN"/>
        </w:rPr>
        <w:t>0.65</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20</w:t>
      </w:r>
      <w:r>
        <w:rPr>
          <w:rFonts w:ascii="仿宋" w:hAnsi="仿宋" w:eastAsia="仿宋"/>
          <w:color w:val="000000"/>
          <w:sz w:val="32"/>
          <w:szCs w:val="32"/>
        </w:rPr>
        <w:t>%</w:t>
      </w:r>
      <w:r>
        <w:rPr>
          <w:rFonts w:hint="eastAsia" w:ascii="仿宋" w:hAnsi="仿宋" w:eastAsia="仿宋"/>
          <w:color w:val="000000"/>
          <w:sz w:val="32"/>
          <w:szCs w:val="32"/>
        </w:rPr>
        <w:t>。具体情况如下：</w:t>
      </w:r>
    </w:p>
    <w:p>
      <w:pPr>
        <w:spacing w:line="600" w:lineRule="exact"/>
        <w:ind w:firstLine="640"/>
        <w:rPr>
          <w:rFonts w:hint="eastAsia" w:ascii="仿宋" w:hAnsi="仿宋" w:eastAsia="仿宋"/>
          <w:color w:val="000000"/>
          <w:sz w:val="32"/>
          <w:szCs w:val="32"/>
        </w:rPr>
      </w:pPr>
    </w:p>
    <w:p>
      <w:pPr>
        <w:spacing w:line="600" w:lineRule="exact"/>
        <w:ind w:firstLine="640"/>
        <w:rPr>
          <w:rFonts w:hint="eastAsia" w:ascii="仿宋" w:hAnsi="仿宋" w:eastAsia="仿宋"/>
          <w:color w:val="000000"/>
          <w:sz w:val="32"/>
          <w:szCs w:val="32"/>
        </w:rPr>
      </w:pPr>
    </w:p>
    <w:p>
      <w:pPr>
        <w:spacing w:line="600" w:lineRule="exact"/>
        <w:ind w:firstLine="640"/>
        <w:rPr>
          <w:rFonts w:hint="eastAsia" w:ascii="仿宋" w:hAnsi="仿宋" w:eastAsia="仿宋"/>
          <w:color w:val="000000"/>
          <w:sz w:val="32"/>
          <w:szCs w:val="32"/>
        </w:rPr>
      </w:pPr>
    </w:p>
    <w:p>
      <w:pPr>
        <w:spacing w:line="600" w:lineRule="exact"/>
        <w:ind w:firstLine="640"/>
        <w:rPr>
          <w:rFonts w:hint="eastAsia" w:ascii="仿宋" w:hAnsi="仿宋" w:eastAsia="仿宋"/>
          <w:color w:val="000000"/>
          <w:sz w:val="32"/>
          <w:szCs w:val="32"/>
        </w:rPr>
      </w:pPr>
    </w:p>
    <w:p>
      <w:pPr>
        <w:spacing w:line="600" w:lineRule="exact"/>
        <w:ind w:firstLine="640"/>
        <w:rPr>
          <w:rFonts w:hint="eastAsia" w:ascii="仿宋" w:hAnsi="仿宋" w:eastAsia="仿宋"/>
          <w:color w:val="000000"/>
          <w:sz w:val="32"/>
          <w:szCs w:val="32"/>
        </w:rPr>
      </w:pPr>
    </w:p>
    <w:p>
      <w:pPr>
        <w:spacing w:line="600" w:lineRule="exact"/>
        <w:ind w:firstLine="640"/>
        <w:rPr>
          <w:rFonts w:hint="eastAsia" w:ascii="仿宋" w:hAnsi="仿宋" w:eastAsia="仿宋"/>
          <w:color w:val="000000"/>
          <w:sz w:val="32"/>
          <w:szCs w:val="32"/>
        </w:rPr>
      </w:pPr>
    </w:p>
    <w:p>
      <w:pPr>
        <w:spacing w:line="600" w:lineRule="exact"/>
        <w:rPr>
          <w:rFonts w:hint="eastAsia" w:ascii="仿宋" w:hAnsi="仿宋" w:eastAsia="仿宋"/>
          <w:color w:val="000000"/>
          <w:sz w:val="32"/>
          <w:szCs w:val="32"/>
        </w:rPr>
      </w:pPr>
    </w:p>
    <w:p>
      <w:pPr>
        <w:spacing w:line="600" w:lineRule="exact"/>
        <w:ind w:firstLine="640"/>
        <w:rPr>
          <w:rFonts w:hint="eastAsia" w:ascii="仿宋" w:hAnsi="仿宋" w:eastAsia="仿宋"/>
          <w:color w:val="000000"/>
          <w:sz w:val="32"/>
          <w:szCs w:val="32"/>
        </w:rPr>
      </w:pPr>
    </w:p>
    <w:p>
      <w:pPr>
        <w:spacing w:line="600" w:lineRule="exact"/>
        <w:ind w:firstLine="640"/>
        <w:rPr>
          <w:rFonts w:hint="eastAsia" w:ascii="仿宋" w:hAnsi="仿宋" w:eastAsia="仿宋"/>
          <w:color w:val="000000"/>
          <w:sz w:val="32"/>
          <w:szCs w:val="32"/>
          <w:lang w:eastAsia="zh-CN"/>
        </w:rPr>
      </w:pPr>
    </w:p>
    <w:p>
      <w:pPr>
        <w:spacing w:line="600" w:lineRule="exact"/>
        <w:ind w:firstLine="640"/>
        <w:rPr>
          <w:rFonts w:hint="eastAsia" w:ascii="仿宋" w:hAnsi="仿宋" w:eastAsia="仿宋"/>
          <w:color w:val="000000"/>
          <w:sz w:val="32"/>
          <w:szCs w:val="32"/>
        </w:rPr>
      </w:pPr>
      <w:r>
        <w:rPr>
          <w:rFonts w:hint="eastAsia" w:ascii="仿宋" w:hAnsi="仿宋" w:eastAsia="仿宋"/>
          <w:color w:val="000000"/>
          <w:sz w:val="32"/>
          <w:szCs w:val="32"/>
          <w:lang w:eastAsia="zh-CN"/>
        </w:rPr>
        <w:drawing>
          <wp:anchor distT="0" distB="0" distL="114300" distR="114300" simplePos="0" relativeHeight="251664384" behindDoc="0" locked="0" layoutInCell="1" allowOverlap="1">
            <wp:simplePos x="0" y="0"/>
            <wp:positionH relativeFrom="column">
              <wp:posOffset>410845</wp:posOffset>
            </wp:positionH>
            <wp:positionV relativeFrom="paragraph">
              <wp:posOffset>-3272155</wp:posOffset>
            </wp:positionV>
            <wp:extent cx="5080000" cy="3562985"/>
            <wp:effectExtent l="4445" t="4445" r="20955" b="13970"/>
            <wp:wrapSquare wrapText="bothSides"/>
            <wp:docPr id="20" name="图表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（图8：“三公”经费财政拨款支出结构）（饼状图）</w:t>
      </w:r>
    </w:p>
    <w:p>
      <w:pPr>
        <w:numPr>
          <w:ilvl w:val="0"/>
          <w:numId w:val="0"/>
        </w:numPr>
        <w:spacing w:line="600" w:lineRule="exact"/>
        <w:ind w:firstLine="643" w:firstLineChars="200"/>
        <w:rPr>
          <w:rFonts w:hint="eastAsia" w:ascii="仿宋_GB2312" w:eastAsia="仿宋_GB2312"/>
          <w:b/>
          <w:color w:val="000000"/>
          <w:sz w:val="32"/>
          <w:szCs w:val="32"/>
          <w:lang w:val="en-US" w:eastAsia="zh-CN"/>
        </w:rPr>
      </w:pPr>
    </w:p>
    <w:p>
      <w:pPr>
        <w:numPr>
          <w:ilvl w:val="0"/>
          <w:numId w:val="0"/>
        </w:numPr>
        <w:spacing w:line="600" w:lineRule="exact"/>
        <w:ind w:firstLine="643" w:firstLineChars="200"/>
        <w:rPr>
          <w:rFonts w:hint="eastAsia" w:ascii="仿宋_GB2312" w:eastAsia="仿宋_GB2312"/>
          <w:color w:val="000000"/>
          <w:sz w:val="32"/>
          <w:szCs w:val="32"/>
        </w:rPr>
      </w:pPr>
      <w:r>
        <w:rPr>
          <w:rFonts w:hint="eastAsia" w:ascii="仿宋_GB2312" w:eastAsia="仿宋_GB2312"/>
          <w:b/>
          <w:color w:val="000000"/>
          <w:sz w:val="32"/>
          <w:szCs w:val="32"/>
          <w:lang w:val="en-US" w:eastAsia="zh-CN"/>
        </w:rPr>
        <w:t>1、</w:t>
      </w:r>
      <w:r>
        <w:rPr>
          <w:rFonts w:hint="eastAsia" w:ascii="仿宋_GB2312" w:eastAsia="仿宋_GB2312"/>
          <w:b/>
          <w:color w:val="000000"/>
          <w:sz w:val="32"/>
          <w:szCs w:val="32"/>
        </w:rPr>
        <w:t>因公出国（境）经费支出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r>
        <w:rPr>
          <w:rStyle w:val="15"/>
          <w:rFonts w:hint="eastAsia" w:ascii="仿宋" w:hAnsi="仿宋" w:eastAsia="仿宋"/>
          <w:b w:val="0"/>
          <w:bCs/>
          <w:color w:val="000000"/>
          <w:sz w:val="32"/>
          <w:szCs w:val="32"/>
        </w:rPr>
        <w:t>。</w:t>
      </w:r>
      <w:r>
        <w:rPr>
          <w:rFonts w:hint="eastAsia" w:ascii="仿宋_GB2312" w:eastAsia="仿宋_GB2312"/>
          <w:color w:val="000000"/>
          <w:sz w:val="32"/>
          <w:szCs w:val="32"/>
        </w:rPr>
        <w:t>全年安排因公出国（境）团组</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次，出国（境）</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人。</w:t>
      </w:r>
    </w:p>
    <w:p>
      <w:pPr>
        <w:numPr>
          <w:ilvl w:val="0"/>
          <w:numId w:val="0"/>
        </w:numPr>
        <w:spacing w:line="600" w:lineRule="exact"/>
        <w:ind w:firstLine="643" w:firstLineChars="200"/>
        <w:rPr>
          <w:rFonts w:ascii="仿宋_GB2312" w:eastAsia="仿宋_GB2312"/>
          <w:b/>
          <w:color w:val="000000"/>
          <w:sz w:val="32"/>
          <w:szCs w:val="32"/>
        </w:rPr>
      </w:pPr>
      <w:r>
        <w:rPr>
          <w:rFonts w:ascii="仿宋_GB2312" w:eastAsia="仿宋_GB2312"/>
          <w:b/>
          <w:color w:val="000000"/>
          <w:sz w:val="32"/>
          <w:szCs w:val="32"/>
        </w:rPr>
        <w:t>2.</w:t>
      </w:r>
      <w:r>
        <w:rPr>
          <w:rFonts w:hint="eastAsia" w:ascii="仿宋_GB2312" w:eastAsia="仿宋_GB2312"/>
          <w:b/>
          <w:color w:val="000000"/>
          <w:sz w:val="32"/>
          <w:szCs w:val="32"/>
        </w:rPr>
        <w:t>公务用车购置及运行维护费支出</w:t>
      </w:r>
      <w:r>
        <w:rPr>
          <w:rFonts w:hint="eastAsia" w:ascii="仿宋_GB2312" w:eastAsia="仿宋_GB2312"/>
          <w:b/>
          <w:color w:val="000000"/>
          <w:sz w:val="32"/>
          <w:szCs w:val="32"/>
          <w:lang w:val="en-US" w:eastAsia="zh-CN"/>
        </w:rPr>
        <w:t>2.65</w:t>
      </w:r>
      <w:r>
        <w:rPr>
          <w:rFonts w:hint="eastAsia" w:ascii="仿宋_GB2312" w:eastAsia="仿宋_GB2312"/>
          <w:color w:val="000000"/>
          <w:sz w:val="32"/>
          <w:szCs w:val="32"/>
        </w:rPr>
        <w:t>万元,</w:t>
      </w:r>
      <w:r>
        <w:rPr>
          <w:rStyle w:val="15"/>
          <w:rFonts w:hint="eastAsia" w:ascii="仿宋" w:hAnsi="仿宋" w:eastAsia="仿宋"/>
          <w:b w:val="0"/>
          <w:bCs/>
          <w:color w:val="000000"/>
          <w:sz w:val="32"/>
          <w:szCs w:val="32"/>
        </w:rPr>
        <w:t>完成预算</w:t>
      </w:r>
      <w:r>
        <w:rPr>
          <w:rStyle w:val="15"/>
          <w:rFonts w:hint="eastAsia" w:ascii="仿宋" w:hAnsi="仿宋" w:eastAsia="仿宋"/>
          <w:b w:val="0"/>
          <w:bCs/>
          <w:color w:val="000000"/>
          <w:sz w:val="32"/>
          <w:szCs w:val="32"/>
          <w:lang w:val="en-US" w:eastAsia="zh-CN"/>
        </w:rPr>
        <w:t>100</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w:t>
      </w:r>
      <w:r>
        <w:rPr>
          <w:rFonts w:hint="eastAsia" w:ascii="仿宋_GB2312" w:eastAsia="仿宋_GB2312"/>
          <w:color w:val="000000"/>
          <w:sz w:val="32"/>
          <w:szCs w:val="32"/>
        </w:rPr>
        <w:t>公务用车购置及运行维护费支出决算比</w:t>
      </w:r>
      <w:r>
        <w:rPr>
          <w:rFonts w:ascii="仿宋_GB2312" w:eastAsia="仿宋_GB2312"/>
          <w:color w:val="000000"/>
          <w:sz w:val="32"/>
          <w:szCs w:val="32"/>
        </w:rPr>
        <w:t>201</w:t>
      </w:r>
      <w:r>
        <w:rPr>
          <w:rFonts w:hint="eastAsia" w:ascii="仿宋_GB2312" w:eastAsia="仿宋_GB2312"/>
          <w:color w:val="000000"/>
          <w:sz w:val="32"/>
          <w:szCs w:val="32"/>
        </w:rPr>
        <w:t>7年减少</w:t>
      </w:r>
      <w:r>
        <w:rPr>
          <w:rFonts w:hint="eastAsia" w:ascii="仿宋_GB2312" w:eastAsia="仿宋_GB2312"/>
          <w:color w:val="000000"/>
          <w:sz w:val="32"/>
          <w:szCs w:val="32"/>
          <w:lang w:val="en-US" w:eastAsia="zh-CN"/>
        </w:rPr>
        <w:t>4.57</w:t>
      </w:r>
      <w:r>
        <w:rPr>
          <w:rFonts w:hint="eastAsia" w:ascii="仿宋_GB2312" w:eastAsia="仿宋_GB2312"/>
          <w:color w:val="000000"/>
          <w:sz w:val="32"/>
          <w:szCs w:val="32"/>
        </w:rPr>
        <w:t>万元，下降</w:t>
      </w:r>
      <w:r>
        <w:rPr>
          <w:rFonts w:hint="eastAsia" w:ascii="仿宋_GB2312" w:eastAsia="仿宋_GB2312"/>
          <w:color w:val="000000"/>
          <w:sz w:val="32"/>
          <w:szCs w:val="32"/>
          <w:lang w:val="en-US" w:eastAsia="zh-CN"/>
        </w:rPr>
        <w:t>63.33</w:t>
      </w:r>
      <w:r>
        <w:rPr>
          <w:rFonts w:ascii="仿宋_GB2312" w:eastAsia="仿宋_GB2312"/>
          <w:color w:val="000000"/>
          <w:sz w:val="32"/>
          <w:szCs w:val="32"/>
        </w:rPr>
        <w:t>%</w:t>
      </w:r>
      <w:r>
        <w:rPr>
          <w:rFonts w:hint="eastAsia" w:ascii="仿宋_GB2312" w:eastAsia="仿宋_GB2312"/>
          <w:color w:val="000000"/>
          <w:sz w:val="32"/>
          <w:szCs w:val="32"/>
        </w:rPr>
        <w:t>。主要原因是</w:t>
      </w:r>
      <w:r>
        <w:rPr>
          <w:rFonts w:hint="eastAsia" w:ascii="仿宋_GB2312" w:eastAsia="仿宋_GB2312"/>
          <w:color w:val="000000"/>
          <w:sz w:val="32"/>
          <w:szCs w:val="32"/>
          <w:lang w:eastAsia="zh-CN"/>
        </w:rPr>
        <w:t>严格按照“八项规定”，控制相关开支，减少相关支出</w:t>
      </w:r>
      <w:r>
        <w:rPr>
          <w:rFonts w:hint="eastAsia" w:ascii="仿宋_GB2312" w:eastAsia="仿宋_GB2312"/>
          <w:color w:val="000000"/>
          <w:sz w:val="32"/>
          <w:szCs w:val="32"/>
        </w:rPr>
        <w:t>。</w:t>
      </w:r>
    </w:p>
    <w:p>
      <w:pPr>
        <w:spacing w:line="600" w:lineRule="exact"/>
        <w:ind w:firstLine="640" w:firstLineChars="200"/>
        <w:rPr>
          <w:rFonts w:hint="eastAsia" w:ascii="仿宋_GB2312" w:eastAsia="仿宋_GB2312"/>
          <w:color w:val="000000"/>
          <w:sz w:val="32"/>
          <w:szCs w:val="32"/>
          <w:lang w:eastAsia="zh-CN"/>
        </w:rPr>
      </w:pPr>
      <w:r>
        <w:rPr>
          <w:rFonts w:hint="eastAsia" w:ascii="仿宋_GB2312" w:eastAsia="仿宋_GB2312"/>
          <w:color w:val="000000"/>
          <w:sz w:val="32"/>
          <w:szCs w:val="32"/>
        </w:rPr>
        <w:t>其中：</w:t>
      </w:r>
      <w:r>
        <w:rPr>
          <w:rFonts w:hint="eastAsia" w:ascii="仿宋_GB2312" w:eastAsia="仿宋_GB2312"/>
          <w:b/>
          <w:color w:val="000000"/>
          <w:sz w:val="32"/>
          <w:szCs w:val="32"/>
        </w:rPr>
        <w:t>公务用车购置支出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万元。截至</w:t>
      </w:r>
      <w:r>
        <w:rPr>
          <w:rFonts w:ascii="仿宋_GB2312" w:eastAsia="仿宋_GB2312"/>
          <w:color w:val="000000"/>
          <w:sz w:val="32"/>
          <w:szCs w:val="32"/>
        </w:rPr>
        <w:t>201</w:t>
      </w:r>
      <w:r>
        <w:rPr>
          <w:rFonts w:hint="eastAsia" w:ascii="仿宋_GB2312" w:eastAsia="仿宋_GB2312"/>
          <w:color w:val="000000"/>
          <w:sz w:val="32"/>
          <w:szCs w:val="32"/>
        </w:rPr>
        <w:t>8年</w:t>
      </w:r>
      <w:r>
        <w:rPr>
          <w:rFonts w:ascii="仿宋_GB2312" w:eastAsia="仿宋_GB2312"/>
          <w:color w:val="000000"/>
          <w:sz w:val="32"/>
          <w:szCs w:val="32"/>
        </w:rPr>
        <w:t>12</w:t>
      </w:r>
      <w:r>
        <w:rPr>
          <w:rFonts w:hint="eastAsia" w:ascii="仿宋_GB2312" w:eastAsia="仿宋_GB2312"/>
          <w:color w:val="000000"/>
          <w:sz w:val="32"/>
          <w:szCs w:val="32"/>
        </w:rPr>
        <w:t>月底，单位共有公务用车</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辆，其中：越野车</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辆</w:t>
      </w:r>
      <w:r>
        <w:rPr>
          <w:rFonts w:hint="eastAsia" w:ascii="仿宋_GB2312" w:eastAsia="仿宋_GB2312"/>
          <w:color w:val="000000"/>
          <w:sz w:val="32"/>
          <w:szCs w:val="32"/>
          <w:lang w:eastAsia="zh-CN"/>
        </w:rPr>
        <w:t>，轿车</w:t>
      </w:r>
      <w:r>
        <w:rPr>
          <w:rFonts w:hint="eastAsia" w:ascii="仿宋_GB2312" w:eastAsia="仿宋_GB2312"/>
          <w:color w:val="000000"/>
          <w:sz w:val="32"/>
          <w:szCs w:val="32"/>
          <w:lang w:val="en-US" w:eastAsia="zh-CN"/>
        </w:rPr>
        <w:t>1辆</w:t>
      </w:r>
      <w:r>
        <w:rPr>
          <w:rFonts w:hint="eastAsia" w:ascii="仿宋_GB2312" w:eastAsia="仿宋_GB2312"/>
          <w:color w:val="000000"/>
          <w:sz w:val="32"/>
          <w:szCs w:val="32"/>
          <w:lang w:eastAsia="zh-CN"/>
        </w:rPr>
        <w:t>。</w:t>
      </w:r>
    </w:p>
    <w:p>
      <w:pPr>
        <w:spacing w:line="600" w:lineRule="exact"/>
        <w:ind w:firstLine="640"/>
        <w:rPr>
          <w:rFonts w:ascii="仿宋_GB2312" w:eastAsia="仿宋_GB2312"/>
          <w:color w:val="000000"/>
          <w:sz w:val="32"/>
          <w:szCs w:val="32"/>
        </w:rPr>
      </w:pPr>
      <w:r>
        <w:rPr>
          <w:rFonts w:hint="eastAsia" w:ascii="仿宋_GB2312" w:eastAsia="仿宋_GB2312"/>
          <w:b/>
          <w:color w:val="000000"/>
          <w:sz w:val="32"/>
          <w:szCs w:val="32"/>
        </w:rPr>
        <w:t>公务用车运行维护费支出</w:t>
      </w:r>
      <w:r>
        <w:rPr>
          <w:rFonts w:hint="eastAsia" w:ascii="仿宋_GB2312" w:eastAsia="仿宋_GB2312"/>
          <w:color w:val="000000"/>
          <w:sz w:val="32"/>
          <w:szCs w:val="32"/>
          <w:lang w:val="en-US" w:eastAsia="zh-CN"/>
        </w:rPr>
        <w:t>2.65</w:t>
      </w:r>
      <w:r>
        <w:rPr>
          <w:rFonts w:hint="eastAsia" w:ascii="仿宋_GB2312" w:eastAsia="仿宋_GB2312"/>
          <w:color w:val="000000"/>
          <w:sz w:val="32"/>
          <w:szCs w:val="32"/>
        </w:rPr>
        <w:t>万元</w:t>
      </w:r>
      <w:r>
        <w:rPr>
          <w:rFonts w:hint="eastAsia" w:ascii="仿宋_GB2312" w:eastAsia="仿宋_GB2312"/>
          <w:color w:val="000000"/>
          <w:sz w:val="32"/>
          <w:szCs w:val="32"/>
          <w:lang w:eastAsia="zh-CN"/>
        </w:rPr>
        <w:t>，</w:t>
      </w:r>
      <w:r>
        <w:rPr>
          <w:rStyle w:val="15"/>
          <w:rFonts w:hint="eastAsia" w:ascii="仿宋" w:hAnsi="仿宋" w:eastAsia="仿宋"/>
          <w:b w:val="0"/>
          <w:bCs/>
          <w:color w:val="000000"/>
          <w:sz w:val="32"/>
          <w:szCs w:val="32"/>
        </w:rPr>
        <w:t>完成预算</w:t>
      </w:r>
      <w:r>
        <w:rPr>
          <w:rStyle w:val="15"/>
          <w:rFonts w:hint="eastAsia" w:ascii="仿宋" w:hAnsi="仿宋" w:eastAsia="仿宋"/>
          <w:b w:val="0"/>
          <w:bCs/>
          <w:color w:val="000000"/>
          <w:sz w:val="32"/>
          <w:szCs w:val="32"/>
          <w:lang w:val="en-US" w:eastAsia="zh-CN"/>
        </w:rPr>
        <w:t>100</w:t>
      </w:r>
      <w:r>
        <w:rPr>
          <w:rStyle w:val="15"/>
          <w:rFonts w:ascii="仿宋" w:hAnsi="仿宋" w:eastAsia="仿宋"/>
          <w:b w:val="0"/>
          <w:bCs/>
          <w:color w:val="000000"/>
          <w:sz w:val="32"/>
          <w:szCs w:val="32"/>
        </w:rPr>
        <w:t>%</w:t>
      </w:r>
      <w:r>
        <w:rPr>
          <w:rFonts w:hint="eastAsia" w:ascii="仿宋_GB2312" w:eastAsia="仿宋_GB2312"/>
          <w:color w:val="000000"/>
          <w:sz w:val="32"/>
          <w:szCs w:val="32"/>
        </w:rPr>
        <w:t>。主要用于</w:t>
      </w:r>
      <w:r>
        <w:rPr>
          <w:rFonts w:hint="eastAsia" w:ascii="仿宋_GB2312" w:eastAsia="仿宋_GB2312"/>
          <w:color w:val="000000"/>
          <w:sz w:val="32"/>
          <w:szCs w:val="32"/>
          <w:lang w:eastAsia="zh-CN"/>
        </w:rPr>
        <w:t>日常开展工作以及脱贫攻坚工作</w:t>
      </w:r>
      <w:r>
        <w:rPr>
          <w:rFonts w:hint="eastAsia" w:ascii="仿宋_GB2312" w:eastAsia="仿宋_GB2312"/>
          <w:color w:val="000000"/>
          <w:sz w:val="32"/>
          <w:szCs w:val="32"/>
        </w:rPr>
        <w:t>等所需的公务用车燃料费、维修费、过路过桥费、保险费等支出。</w:t>
      </w:r>
    </w:p>
    <w:p>
      <w:pPr>
        <w:spacing w:line="600" w:lineRule="exact"/>
        <w:ind w:firstLine="640"/>
        <w:rPr>
          <w:rFonts w:ascii="仿宋_GB2312" w:eastAsia="仿宋_GB2312"/>
          <w:color w:val="000000"/>
          <w:sz w:val="32"/>
          <w:szCs w:val="32"/>
        </w:rPr>
      </w:pPr>
      <w:r>
        <w:rPr>
          <w:rFonts w:ascii="仿宋_GB2312" w:eastAsia="仿宋_GB2312"/>
          <w:b/>
          <w:color w:val="000000"/>
          <w:sz w:val="32"/>
          <w:szCs w:val="32"/>
        </w:rPr>
        <w:t>3.</w:t>
      </w:r>
      <w:r>
        <w:rPr>
          <w:rFonts w:hint="eastAsia" w:ascii="仿宋_GB2312" w:eastAsia="仿宋_GB2312"/>
          <w:b/>
          <w:color w:val="000000"/>
          <w:sz w:val="32"/>
          <w:szCs w:val="32"/>
        </w:rPr>
        <w:t>公务接待费支出</w:t>
      </w:r>
      <w:r>
        <w:rPr>
          <w:rFonts w:hint="eastAsia" w:ascii="仿宋_GB2312" w:eastAsia="仿宋_GB2312"/>
          <w:color w:val="000000"/>
          <w:sz w:val="32"/>
          <w:szCs w:val="32"/>
          <w:lang w:val="en-US" w:eastAsia="zh-CN"/>
        </w:rPr>
        <w:t>0.65</w:t>
      </w:r>
      <w:r>
        <w:rPr>
          <w:rFonts w:hint="eastAsia" w:ascii="仿宋_GB2312" w:eastAsia="仿宋_GB2312"/>
          <w:color w:val="000000"/>
          <w:sz w:val="32"/>
          <w:szCs w:val="32"/>
        </w:rPr>
        <w:t>万元，</w:t>
      </w:r>
      <w:r>
        <w:rPr>
          <w:rStyle w:val="15"/>
          <w:rFonts w:hint="eastAsia" w:ascii="仿宋" w:hAnsi="仿宋" w:eastAsia="仿宋"/>
          <w:b w:val="0"/>
          <w:bCs/>
          <w:color w:val="000000"/>
          <w:sz w:val="32"/>
          <w:szCs w:val="32"/>
        </w:rPr>
        <w:t>完成预算</w:t>
      </w:r>
      <w:r>
        <w:rPr>
          <w:rStyle w:val="15"/>
          <w:rFonts w:hint="eastAsia" w:ascii="仿宋" w:hAnsi="仿宋" w:eastAsia="仿宋"/>
          <w:b w:val="0"/>
          <w:bCs/>
          <w:color w:val="000000"/>
          <w:sz w:val="32"/>
          <w:szCs w:val="32"/>
          <w:lang w:val="en-US" w:eastAsia="zh-CN"/>
        </w:rPr>
        <w:t>100</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w:t>
      </w:r>
      <w:r>
        <w:rPr>
          <w:rFonts w:hint="eastAsia" w:ascii="仿宋_GB2312" w:eastAsia="仿宋_GB2312"/>
          <w:color w:val="000000"/>
          <w:sz w:val="32"/>
          <w:szCs w:val="32"/>
        </w:rPr>
        <w:t>公务接待费支出决算比</w:t>
      </w:r>
      <w:r>
        <w:rPr>
          <w:rFonts w:ascii="仿宋_GB2312" w:eastAsia="仿宋_GB2312"/>
          <w:color w:val="000000"/>
          <w:sz w:val="32"/>
          <w:szCs w:val="32"/>
        </w:rPr>
        <w:t>201</w:t>
      </w:r>
      <w:r>
        <w:rPr>
          <w:rFonts w:hint="eastAsia" w:ascii="仿宋_GB2312" w:eastAsia="仿宋_GB2312"/>
          <w:color w:val="000000"/>
          <w:sz w:val="32"/>
          <w:szCs w:val="32"/>
        </w:rPr>
        <w:t>7年</w:t>
      </w:r>
      <w:r>
        <w:rPr>
          <w:rFonts w:hint="eastAsia" w:ascii="仿宋_GB2312" w:eastAsia="仿宋_GB2312"/>
          <w:color w:val="000000"/>
          <w:sz w:val="32"/>
          <w:szCs w:val="32"/>
          <w:lang w:eastAsia="zh-CN"/>
        </w:rPr>
        <w:t>增加</w:t>
      </w:r>
      <w:r>
        <w:rPr>
          <w:rFonts w:hint="eastAsia" w:ascii="仿宋_GB2312" w:eastAsia="仿宋_GB2312"/>
          <w:color w:val="000000"/>
          <w:sz w:val="32"/>
          <w:szCs w:val="32"/>
          <w:lang w:val="en-US" w:eastAsia="zh-CN"/>
        </w:rPr>
        <w:t>0.52</w:t>
      </w:r>
      <w:r>
        <w:rPr>
          <w:rFonts w:hint="eastAsia" w:ascii="仿宋_GB2312" w:eastAsia="仿宋_GB2312"/>
          <w:color w:val="000000"/>
          <w:sz w:val="32"/>
          <w:szCs w:val="32"/>
        </w:rPr>
        <w:t>万元，</w:t>
      </w:r>
      <w:r>
        <w:rPr>
          <w:rFonts w:hint="eastAsia" w:ascii="仿宋_GB2312" w:eastAsia="仿宋_GB2312"/>
          <w:color w:val="000000"/>
          <w:sz w:val="32"/>
          <w:szCs w:val="32"/>
          <w:lang w:eastAsia="zh-CN"/>
        </w:rPr>
        <w:t>增加</w:t>
      </w:r>
      <w:r>
        <w:rPr>
          <w:rFonts w:hint="eastAsia" w:ascii="仿宋_GB2312" w:eastAsia="仿宋_GB2312"/>
          <w:color w:val="000000"/>
          <w:sz w:val="32"/>
          <w:szCs w:val="32"/>
          <w:lang w:val="en-US" w:eastAsia="zh-CN"/>
        </w:rPr>
        <w:t>8</w:t>
      </w:r>
      <w:r>
        <w:rPr>
          <w:rFonts w:ascii="仿宋_GB2312" w:eastAsia="仿宋_GB2312"/>
          <w:color w:val="000000"/>
          <w:sz w:val="32"/>
          <w:szCs w:val="32"/>
        </w:rPr>
        <w:t>%</w:t>
      </w:r>
      <w:r>
        <w:rPr>
          <w:rFonts w:hint="eastAsia" w:ascii="仿宋_GB2312" w:eastAsia="仿宋_GB2312"/>
          <w:color w:val="000000"/>
          <w:sz w:val="32"/>
          <w:szCs w:val="32"/>
        </w:rPr>
        <w:t>。主要原因是</w:t>
      </w:r>
      <w:r>
        <w:rPr>
          <w:rFonts w:hint="eastAsia" w:ascii="仿宋_GB2312" w:eastAsia="仿宋_GB2312"/>
          <w:color w:val="000000"/>
          <w:sz w:val="32"/>
          <w:szCs w:val="32"/>
          <w:lang w:eastAsia="zh-CN"/>
        </w:rPr>
        <w:t>州卫生执法支队同县联合办案和绵阳对口援建联系工作增多</w:t>
      </w:r>
      <w:r>
        <w:rPr>
          <w:rFonts w:hint="eastAsia" w:ascii="仿宋_GB2312" w:eastAsia="仿宋_GB2312"/>
          <w:color w:val="000000"/>
          <w:sz w:val="32"/>
          <w:szCs w:val="32"/>
        </w:rPr>
        <w:t>。</w:t>
      </w:r>
    </w:p>
    <w:p>
      <w:pPr>
        <w:spacing w:line="600" w:lineRule="exact"/>
        <w:ind w:firstLine="640" w:firstLineChars="200"/>
        <w:rPr>
          <w:rFonts w:hint="eastAsia" w:ascii="仿宋_GB2312" w:eastAsia="仿宋_GB2312"/>
          <w:color w:val="000000"/>
          <w:sz w:val="32"/>
          <w:szCs w:val="32"/>
          <w:lang w:eastAsia="zh-CN"/>
        </w:rPr>
      </w:pPr>
      <w:r>
        <w:rPr>
          <w:rFonts w:hint="eastAsia" w:ascii="仿宋_GB2312" w:eastAsia="仿宋_GB2312"/>
          <w:color w:val="000000"/>
          <w:sz w:val="32"/>
          <w:szCs w:val="32"/>
        </w:rPr>
        <w:t>主要用于执行公务、开展业务活动开支的交通费、住宿费、用餐费等。国内公务接待</w:t>
      </w:r>
      <w:r>
        <w:rPr>
          <w:rFonts w:hint="eastAsia" w:ascii="仿宋_GB2312" w:eastAsia="仿宋_GB2312"/>
          <w:color w:val="000000"/>
          <w:sz w:val="32"/>
          <w:szCs w:val="32"/>
          <w:lang w:val="en-US" w:eastAsia="zh-CN"/>
        </w:rPr>
        <w:t>6</w:t>
      </w:r>
      <w:r>
        <w:rPr>
          <w:rFonts w:hint="eastAsia" w:ascii="仿宋_GB2312" w:eastAsia="仿宋_GB2312"/>
          <w:color w:val="000000"/>
          <w:sz w:val="32"/>
          <w:szCs w:val="32"/>
        </w:rPr>
        <w:t>批次，</w:t>
      </w:r>
      <w:r>
        <w:rPr>
          <w:rFonts w:hint="eastAsia" w:ascii="仿宋_GB2312" w:eastAsia="仿宋_GB2312"/>
          <w:color w:val="000000"/>
          <w:sz w:val="32"/>
          <w:szCs w:val="32"/>
          <w:lang w:val="en-US" w:eastAsia="zh-CN"/>
        </w:rPr>
        <w:t>45</w:t>
      </w:r>
      <w:r>
        <w:rPr>
          <w:rFonts w:hint="eastAsia" w:ascii="仿宋_GB2312" w:eastAsia="仿宋_GB2312"/>
          <w:color w:val="000000"/>
          <w:sz w:val="32"/>
          <w:szCs w:val="32"/>
        </w:rPr>
        <w:t>人次（不包括陪同人员），共计支出</w:t>
      </w:r>
      <w:r>
        <w:rPr>
          <w:rFonts w:hint="eastAsia" w:ascii="仿宋_GB2312" w:eastAsia="仿宋_GB2312"/>
          <w:color w:val="000000"/>
          <w:sz w:val="32"/>
          <w:szCs w:val="32"/>
          <w:lang w:val="en-US" w:eastAsia="zh-CN"/>
        </w:rPr>
        <w:t>0.65</w:t>
      </w:r>
      <w:r>
        <w:rPr>
          <w:rFonts w:hint="eastAsia" w:ascii="仿宋_GB2312" w:eastAsia="仿宋_GB2312"/>
          <w:color w:val="000000"/>
          <w:sz w:val="32"/>
          <w:szCs w:val="32"/>
        </w:rPr>
        <w:t>万元，具体内容包括：</w:t>
      </w:r>
      <w:r>
        <w:rPr>
          <w:rFonts w:hint="eastAsia" w:ascii="仿宋_GB2312" w:eastAsia="仿宋_GB2312"/>
          <w:color w:val="000000"/>
          <w:sz w:val="32"/>
          <w:szCs w:val="32"/>
          <w:lang w:eastAsia="zh-CN"/>
        </w:rPr>
        <w:t>在开展业务和执行公务当中产生的标准内住宿费、用餐费等相关费用。</w:t>
      </w:r>
    </w:p>
    <w:p>
      <w:pPr>
        <w:spacing w:line="600" w:lineRule="exact"/>
        <w:ind w:firstLine="640"/>
        <w:outlineLvl w:val="1"/>
        <w:rPr>
          <w:rFonts w:hint="eastAsia" w:ascii="仿宋_GB2312" w:eastAsia="仿宋_GB2312"/>
          <w:color w:val="000000"/>
          <w:sz w:val="32"/>
          <w:szCs w:val="32"/>
          <w:lang w:eastAsia="zh-CN"/>
        </w:rPr>
      </w:pPr>
      <w:r>
        <w:rPr>
          <w:rFonts w:hint="eastAsia" w:ascii="仿宋" w:hAnsi="仿宋" w:eastAsia="仿宋"/>
          <w:b/>
          <w:color w:val="000000"/>
          <w:sz w:val="32"/>
          <w:szCs w:val="32"/>
        </w:rPr>
        <w:t>其他国内公务接待支出</w:t>
      </w:r>
      <w:r>
        <w:rPr>
          <w:rFonts w:hint="eastAsia" w:ascii="仿宋" w:hAnsi="仿宋" w:eastAsia="仿宋"/>
          <w:color w:val="000000"/>
          <w:sz w:val="32"/>
          <w:szCs w:val="32"/>
          <w:lang w:val="en-US" w:eastAsia="zh-CN"/>
        </w:rPr>
        <w:t>0</w:t>
      </w:r>
      <w:r>
        <w:rPr>
          <w:rFonts w:hint="eastAsia" w:ascii="仿宋_GB2312" w:eastAsia="仿宋_GB2312"/>
          <w:color w:val="000000"/>
          <w:sz w:val="32"/>
          <w:szCs w:val="32"/>
        </w:rPr>
        <w:t>万元</w:t>
      </w:r>
      <w:bookmarkStart w:id="46" w:name="_Toc15377218"/>
      <w:bookmarkStart w:id="47" w:name="_Toc15396610"/>
      <w:r>
        <w:rPr>
          <w:rFonts w:hint="eastAsia" w:ascii="仿宋_GB2312" w:eastAsia="仿宋_GB2312"/>
          <w:color w:val="000000"/>
          <w:sz w:val="32"/>
          <w:szCs w:val="32"/>
          <w:lang w:eastAsia="zh-CN"/>
        </w:rPr>
        <w:t>。</w:t>
      </w:r>
    </w:p>
    <w:p>
      <w:pPr>
        <w:spacing w:line="600" w:lineRule="exact"/>
        <w:ind w:firstLine="640"/>
        <w:outlineLvl w:val="1"/>
        <w:rPr>
          <w:rStyle w:val="27"/>
          <w:rFonts w:ascii="黑体" w:hAnsi="黑体" w:eastAsia="黑体"/>
        </w:rPr>
      </w:pPr>
      <w:r>
        <w:rPr>
          <w:rFonts w:hint="eastAsia" w:ascii="黑体" w:eastAsia="黑体"/>
          <w:color w:val="000000"/>
          <w:sz w:val="32"/>
          <w:szCs w:val="32"/>
        </w:rPr>
        <w:t>八、</w:t>
      </w:r>
      <w:r>
        <w:rPr>
          <w:rStyle w:val="27"/>
          <w:rFonts w:hint="eastAsia" w:ascii="黑体" w:hAnsi="黑体" w:eastAsia="黑体"/>
          <w:b w:val="0"/>
        </w:rPr>
        <w:t>政府性基金预算支出决算情况说明</w:t>
      </w:r>
      <w:bookmarkEnd w:id="46"/>
      <w:bookmarkEnd w:id="47"/>
    </w:p>
    <w:p>
      <w:pPr>
        <w:spacing w:line="600" w:lineRule="exact"/>
        <w:ind w:firstLine="64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8年政府性基金预算拨款支出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p>
    <w:p>
      <w:pPr>
        <w:numPr>
          <w:ilvl w:val="0"/>
          <w:numId w:val="4"/>
        </w:numPr>
        <w:spacing w:line="600" w:lineRule="exact"/>
        <w:ind w:firstLine="640"/>
        <w:outlineLvl w:val="1"/>
        <w:rPr>
          <w:rStyle w:val="27"/>
          <w:rFonts w:ascii="黑体" w:hAnsi="黑体" w:eastAsia="黑体"/>
          <w:b w:val="0"/>
        </w:rPr>
      </w:pPr>
      <w:bookmarkStart w:id="48" w:name="_Toc15377219"/>
      <w:bookmarkStart w:id="49" w:name="_Toc15396611"/>
      <w:r>
        <w:rPr>
          <w:rStyle w:val="27"/>
          <w:rFonts w:hint="eastAsia" w:ascii="黑体" w:hAnsi="黑体" w:eastAsia="黑体"/>
          <w:b w:val="0"/>
        </w:rPr>
        <w:t>国有资本经营预算支出决算情况说明</w:t>
      </w:r>
      <w:bookmarkEnd w:id="48"/>
      <w:bookmarkEnd w:id="49"/>
    </w:p>
    <w:p>
      <w:pPr>
        <w:spacing w:line="600" w:lineRule="exact"/>
        <w:ind w:firstLine="64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8年国有资本经营预算拨款支出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p>
    <w:p>
      <w:pPr>
        <w:pStyle w:val="25"/>
        <w:numPr>
          <w:ilvl w:val="0"/>
          <w:numId w:val="5"/>
        </w:numPr>
        <w:spacing w:line="580" w:lineRule="exact"/>
        <w:ind w:firstLineChars="0"/>
        <w:rPr>
          <w:rStyle w:val="27"/>
          <w:rFonts w:ascii="黑体" w:hAnsi="黑体" w:eastAsia="黑体"/>
          <w:b w:val="0"/>
        </w:rPr>
      </w:pPr>
      <w:r>
        <w:rPr>
          <w:rStyle w:val="27"/>
          <w:rFonts w:hint="eastAsia" w:ascii="黑体" w:hAnsi="黑体" w:eastAsia="黑体"/>
          <w:b w:val="0"/>
        </w:rPr>
        <w:t>预算绩效情况说明</w:t>
      </w:r>
    </w:p>
    <w:p>
      <w:pPr>
        <w:numPr>
          <w:ilvl w:val="0"/>
          <w:numId w:val="6"/>
        </w:numPr>
        <w:spacing w:line="580" w:lineRule="exact"/>
        <w:ind w:firstLine="643" w:firstLineChars="200"/>
        <w:rPr>
          <w:rFonts w:ascii="仿宋" w:hAnsi="仿宋" w:eastAsia="仿宋" w:cs="楷体_GB2312"/>
          <w:b/>
          <w:bCs/>
          <w:sz w:val="32"/>
          <w:szCs w:val="32"/>
        </w:rPr>
      </w:pPr>
      <w:r>
        <w:rPr>
          <w:rFonts w:hint="eastAsia" w:ascii="仿宋" w:hAnsi="仿宋" w:eastAsia="仿宋" w:cs="楷体_GB2312"/>
          <w:b/>
          <w:bCs/>
          <w:sz w:val="32"/>
          <w:szCs w:val="32"/>
        </w:rPr>
        <w:t>预算绩效管理工作开展情况。</w:t>
      </w:r>
    </w:p>
    <w:p>
      <w:pPr>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按照预算绩效管理要求，本单位对</w:t>
      </w:r>
      <w:r>
        <w:rPr>
          <w:rFonts w:hint="default" w:ascii="仿宋_GB2312" w:hAnsi="仿宋_GB2312" w:eastAsia="仿宋_GB2312" w:cs="仿宋_GB2312"/>
          <w:sz w:val="32"/>
          <w:szCs w:val="32"/>
        </w:rPr>
        <w:t>2018年整体支出开展绩效自评，自评得分</w:t>
      </w:r>
      <w:r>
        <w:rPr>
          <w:rFonts w:hint="eastAsia" w:ascii="仿宋_GB2312" w:hAnsi="仿宋_GB2312" w:eastAsia="仿宋_GB2312" w:cs="仿宋_GB2312"/>
          <w:sz w:val="32"/>
          <w:szCs w:val="32"/>
          <w:lang w:val="en-US" w:eastAsia="zh-CN"/>
        </w:rPr>
        <w:t>71</w:t>
      </w:r>
      <w:r>
        <w:rPr>
          <w:rFonts w:hint="default" w:ascii="仿宋_GB2312" w:hAnsi="仿宋_GB2312" w:eastAsia="仿宋_GB2312" w:cs="仿宋_GB2312"/>
          <w:sz w:val="32"/>
          <w:szCs w:val="32"/>
        </w:rPr>
        <w:t>分，</w:t>
      </w:r>
      <w:r>
        <w:rPr>
          <w:rFonts w:hint="eastAsia" w:ascii="仿宋_GB2312" w:hAnsi="仿宋_GB2312" w:eastAsia="仿宋_GB2312" w:cs="仿宋_GB2312"/>
          <w:sz w:val="32"/>
          <w:szCs w:val="32"/>
        </w:rPr>
        <w:t>所有资金均按照它的用途进行管理、使用，无截留、挪用等现象。所有项目支出严格按照项目实施进度情况进行资金拨付，保证资金使用规范、高效。</w:t>
      </w:r>
    </w:p>
    <w:p>
      <w:pPr>
        <w:numPr>
          <w:ilvl w:val="0"/>
          <w:numId w:val="6"/>
        </w:numPr>
        <w:spacing w:line="580" w:lineRule="exact"/>
        <w:ind w:firstLine="643" w:firstLineChars="200"/>
        <w:rPr>
          <w:rFonts w:ascii="仿宋_GB2312" w:hAnsi="仿宋_GB2312" w:eastAsia="仿宋_GB2312" w:cs="仿宋_GB2312"/>
          <w:sz w:val="32"/>
          <w:szCs w:val="32"/>
        </w:rPr>
      </w:pPr>
      <w:r>
        <w:rPr>
          <w:rFonts w:hint="eastAsia" w:ascii="仿宋" w:hAnsi="仿宋" w:eastAsia="仿宋" w:cs="楷体_GB2312"/>
          <w:b/>
          <w:bCs/>
          <w:sz w:val="32"/>
          <w:szCs w:val="32"/>
        </w:rPr>
        <w:t>项目绩效目标完成情况。</w:t>
      </w:r>
      <w:r>
        <w:rPr>
          <w:rFonts w:hint="eastAsia" w:ascii="楷体_GB2312" w:hAnsi="楷体_GB2312" w:eastAsia="楷体_GB2312" w:cs="楷体_GB2312"/>
          <w:b/>
          <w:bCs/>
          <w:sz w:val="32"/>
          <w:szCs w:val="32"/>
        </w:rPr>
        <w:br w:type="textWrapping"/>
      </w:r>
      <w:r>
        <w:rPr>
          <w:rFonts w:hint="eastAsia" w:ascii="仿宋_GB2312" w:hAnsi="仿宋_GB2312" w:eastAsia="仿宋_GB2312" w:cs="仿宋_GB2312"/>
          <w:sz w:val="32"/>
          <w:szCs w:val="32"/>
        </w:rPr>
        <w:t xml:space="preserve">    本部门在2018年度部门决算中反映“ 重大公共卫生专项</w:t>
      </w:r>
      <w:r>
        <w:rPr>
          <w:rFonts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个项目绩效目标实际完成情况。（本单位部门项目绩效目标个数在5个以上的，选取5个项目进行公开，目标个数在5个以下的，全部进行公开，公开内容包括完成情况综述和完成情况表）。</w:t>
      </w:r>
    </w:p>
    <w:p>
      <w:pPr>
        <w:numPr>
          <w:ilvl w:val="0"/>
          <w:numId w:val="7"/>
        </w:num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重大公共卫生项目绩效目标完成情况综述。项目全年预算数</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（上年结转结余</w:t>
      </w:r>
      <w:r>
        <w:rPr>
          <w:rFonts w:hint="eastAsia" w:ascii="仿宋_GB2312" w:hAnsi="仿宋_GB2312" w:eastAsia="仿宋_GB2312" w:cs="仿宋_GB2312"/>
          <w:sz w:val="32"/>
          <w:szCs w:val="32"/>
          <w:lang w:val="en-US" w:eastAsia="zh-CN"/>
        </w:rPr>
        <w:t>3万元，本年预算1万元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，执行数为</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75</w:t>
      </w:r>
      <w:r>
        <w:rPr>
          <w:rFonts w:hint="eastAsia" w:ascii="仿宋_GB2312" w:hAnsi="仿宋_GB2312" w:eastAsia="仿宋_GB2312" w:cs="仿宋_GB2312"/>
          <w:sz w:val="32"/>
          <w:szCs w:val="32"/>
        </w:rPr>
        <w:t>%。通过项目实施，保障</w:t>
      </w:r>
      <w:r>
        <w:rPr>
          <w:rFonts w:hint="eastAsia" w:ascii="仿宋_GB2312" w:hAnsi="仿宋_GB2312" w:eastAsia="仿宋_GB2312" w:cs="仿宋_GB2312"/>
          <w:i w:val="0"/>
          <w:caps w:val="0"/>
          <w:color w:val="000000"/>
          <w:spacing w:val="0"/>
          <w:sz w:val="32"/>
          <w:szCs w:val="32"/>
          <w:shd w:val="clear" w:fill="FFFFFF"/>
          <w:lang w:val="en-US" w:eastAsia="zh-CN"/>
        </w:rPr>
        <w:t>重大公共卫生专项</w:t>
      </w:r>
      <w:r>
        <w:rPr>
          <w:rFonts w:hint="eastAsia" w:ascii="仿宋_GB2312" w:eastAsia="仿宋_GB2312"/>
          <w:color w:val="000000"/>
          <w:sz w:val="32"/>
          <w:szCs w:val="32"/>
          <w:lang w:eastAsia="zh-CN"/>
        </w:rPr>
        <w:t>日常</w:t>
      </w:r>
      <w:r>
        <w:rPr>
          <w:rFonts w:hint="eastAsia" w:ascii="仿宋_GB2312" w:hAnsi="仿宋_GB2312" w:eastAsia="仿宋_GB2312" w:cs="仿宋_GB2312"/>
          <w:i w:val="0"/>
          <w:caps w:val="0"/>
          <w:color w:val="000000"/>
          <w:spacing w:val="0"/>
          <w:sz w:val="32"/>
          <w:szCs w:val="32"/>
          <w:shd w:val="clear" w:fill="FFFFFF"/>
          <w:lang w:val="en-US" w:eastAsia="zh-CN"/>
        </w:rPr>
        <w:t>卫生专项监督</w:t>
      </w:r>
      <w:r>
        <w:rPr>
          <w:rFonts w:hint="eastAsia" w:ascii="仿宋_GB2312" w:eastAsia="仿宋_GB2312"/>
          <w:color w:val="000000"/>
          <w:sz w:val="32"/>
          <w:szCs w:val="32"/>
          <w:lang w:eastAsia="zh-CN"/>
        </w:rPr>
        <w:t>开展工作</w:t>
      </w:r>
      <w:r>
        <w:rPr>
          <w:rFonts w:hint="eastAsia" w:ascii="仿宋_GB2312" w:eastAsia="仿宋_GB2312"/>
          <w:color w:val="000000"/>
          <w:sz w:val="32"/>
          <w:szCs w:val="32"/>
        </w:rPr>
        <w:t>等所需的公务用车燃料费、维修费、过路过桥费等支出</w:t>
      </w:r>
      <w:r>
        <w:rPr>
          <w:rFonts w:hint="eastAsia" w:ascii="仿宋_GB2312" w:hAnsi="仿宋_GB2312" w:eastAsia="仿宋_GB2312" w:cs="仿宋_GB2312"/>
          <w:sz w:val="32"/>
          <w:szCs w:val="32"/>
        </w:rPr>
        <w:t>，发现的主要问题：</w:t>
      </w:r>
      <w:r>
        <w:rPr>
          <w:rFonts w:hint="eastAsia" w:ascii="仿宋_GB2312" w:hAnsi="仿宋_GB2312" w:eastAsia="仿宋_GB2312" w:cs="仿宋_GB2312"/>
          <w:sz w:val="32"/>
          <w:szCs w:val="32"/>
          <w:lang w:eastAsia="zh-CN"/>
        </w:rPr>
        <w:t>无</w:t>
      </w:r>
      <w:r>
        <w:rPr>
          <w:rFonts w:hint="eastAsia" w:ascii="仿宋_GB2312" w:hAnsi="仿宋_GB2312" w:eastAsia="仿宋_GB2312" w:cs="仿宋_GB2312"/>
          <w:sz w:val="32"/>
          <w:szCs w:val="32"/>
        </w:rPr>
        <w:t>。下一步改进措施：</w:t>
      </w:r>
      <w:r>
        <w:rPr>
          <w:rFonts w:hint="eastAsia" w:ascii="仿宋_GB2312" w:hAnsi="仿宋_GB2312" w:eastAsia="仿宋_GB2312" w:cs="仿宋_GB2312"/>
          <w:sz w:val="32"/>
          <w:szCs w:val="32"/>
          <w:lang w:eastAsia="zh-CN"/>
        </w:rPr>
        <w:t>无。</w:t>
      </w:r>
    </w:p>
    <w:tbl>
      <w:tblPr>
        <w:tblStyle w:val="13"/>
        <w:tblW w:w="9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49"/>
        <w:gridCol w:w="764"/>
        <w:gridCol w:w="1048"/>
        <w:gridCol w:w="764"/>
        <w:gridCol w:w="1182"/>
        <w:gridCol w:w="1752"/>
        <w:gridCol w:w="1632"/>
        <w:gridCol w:w="19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5" w:hRule="atLeast"/>
        </w:trPr>
        <w:tc>
          <w:tcPr>
            <w:tcW w:w="9522" w:type="dxa"/>
            <w:gridSpan w:val="8"/>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项目支出绩效目标完成情况表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sz w:val="24"/>
                <w:szCs w:val="24"/>
                <w:u w:val="none"/>
              </w:rPr>
              <w:t xml:space="preserve"> 重大公共卫生专项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eastAsia="zh-CN"/>
              </w:rPr>
            </w:pPr>
            <w:r>
              <w:rPr>
                <w:rFonts w:hint="eastAsia" w:ascii="宋体" w:hAnsi="宋体" w:cs="宋体"/>
                <w:b/>
                <w:i w:val="0"/>
                <w:color w:val="000000"/>
                <w:sz w:val="24"/>
                <w:szCs w:val="24"/>
                <w:u w:val="none"/>
                <w:lang w:eastAsia="zh-CN"/>
              </w:rPr>
              <w:t>红原县卫生和计划生育监督执法大队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预算执行情况(万元</w:t>
            </w: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4</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执行数:</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4</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val="en-US" w:eastAsia="zh-CN"/>
              </w:rPr>
            </w:pPr>
            <w:r>
              <w:rPr>
                <w:rFonts w:hint="eastAsia" w:ascii="宋体" w:hAnsi="宋体" w:cs="宋体"/>
                <w:b/>
                <w:i w:val="0"/>
                <w:color w:val="000000"/>
                <w:sz w:val="24"/>
                <w:szCs w:val="24"/>
                <w:u w:val="none"/>
                <w:lang w:val="en-US" w:eastAsia="zh-CN"/>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bookmarkStart w:id="74" w:name="_GoBack"/>
            <w:bookmarkEnd w:id="74"/>
            <w:r>
              <w:rPr>
                <w:rFonts w:hint="eastAsia" w:ascii="宋体" w:hAnsi="宋体" w:cs="宋体"/>
                <w:b/>
                <w:i w:val="0"/>
                <w:color w:val="000000"/>
                <w:kern w:val="0"/>
                <w:sz w:val="24"/>
                <w:szCs w:val="24"/>
                <w:u w:val="none"/>
                <w:lang w:val="en-US" w:eastAsia="zh-CN" w:bidi="ar"/>
              </w:rPr>
              <w:t>其他资金</w:t>
            </w:r>
            <w:r>
              <w:rPr>
                <w:rFonts w:hint="eastAsia" w:ascii="宋体" w:hAnsi="宋体" w:eastAsia="宋体" w:cs="宋体"/>
                <w:b/>
                <w:i w:val="0"/>
                <w:color w:val="000000"/>
                <w:kern w:val="0"/>
                <w:sz w:val="24"/>
                <w:szCs w:val="24"/>
                <w:u w:val="none"/>
                <w:lang w:val="en-US" w:eastAsia="zh-CN" w:bidi="ar"/>
              </w:rPr>
              <w:t>:</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rPr>
            </w:pP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cs="宋体"/>
                <w:b/>
                <w:i w:val="0"/>
                <w:color w:val="000000"/>
                <w:kern w:val="0"/>
                <w:sz w:val="24"/>
                <w:szCs w:val="24"/>
                <w:u w:val="none"/>
                <w:lang w:val="en-US" w:eastAsia="zh-CN" w:bidi="ar"/>
              </w:rPr>
              <w:t>其他资金</w:t>
            </w:r>
            <w:r>
              <w:rPr>
                <w:rFonts w:hint="eastAsia" w:ascii="宋体" w:hAnsi="宋体" w:eastAsia="宋体" w:cs="宋体"/>
                <w:b/>
                <w:i w:val="0"/>
                <w:color w:val="000000"/>
                <w:kern w:val="0"/>
                <w:sz w:val="24"/>
                <w:szCs w:val="24"/>
                <w:u w:val="none"/>
                <w:lang w:val="en-US" w:eastAsia="zh-CN" w:bidi="ar"/>
              </w:rPr>
              <w:t>:</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实际完成目标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9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rPr>
            </w:pPr>
            <w:r>
              <w:rPr>
                <w:rFonts w:hint="eastAsia" w:ascii="宋体" w:hAnsi="宋体" w:cs="宋体"/>
                <w:b/>
                <w:i w:val="0"/>
                <w:color w:val="000000"/>
                <w:sz w:val="24"/>
                <w:szCs w:val="24"/>
                <w:u w:val="none"/>
                <w:lang w:eastAsia="zh-CN"/>
              </w:rPr>
              <w:t>保障</w:t>
            </w:r>
            <w:r>
              <w:rPr>
                <w:rFonts w:hint="eastAsia" w:ascii="宋体" w:hAnsi="宋体" w:cs="宋体"/>
                <w:b/>
                <w:i w:val="0"/>
                <w:color w:val="000000"/>
                <w:sz w:val="24"/>
                <w:szCs w:val="24"/>
                <w:u w:val="none"/>
                <w:lang w:val="en-US" w:eastAsia="zh-CN"/>
              </w:rPr>
              <w:t>重大公共卫生专项</w:t>
            </w:r>
            <w:r>
              <w:rPr>
                <w:rFonts w:hint="eastAsia" w:ascii="宋体" w:hAnsi="宋体" w:cs="宋体"/>
                <w:b/>
                <w:i w:val="0"/>
                <w:color w:val="000000"/>
                <w:sz w:val="24"/>
                <w:szCs w:val="24"/>
                <w:u w:val="none"/>
                <w:lang w:eastAsia="zh-CN"/>
              </w:rPr>
              <w:t>日常</w:t>
            </w:r>
            <w:r>
              <w:rPr>
                <w:rFonts w:hint="eastAsia" w:ascii="宋体" w:hAnsi="宋体" w:cs="宋体"/>
                <w:b/>
                <w:i w:val="0"/>
                <w:color w:val="000000"/>
                <w:sz w:val="24"/>
                <w:szCs w:val="24"/>
                <w:u w:val="none"/>
                <w:lang w:val="en-US" w:eastAsia="zh-CN"/>
              </w:rPr>
              <w:t>卫生专项监督</w:t>
            </w:r>
            <w:r>
              <w:rPr>
                <w:rFonts w:hint="eastAsia" w:ascii="宋体" w:hAnsi="宋体" w:cs="宋体"/>
                <w:b/>
                <w:i w:val="0"/>
                <w:color w:val="000000"/>
                <w:sz w:val="24"/>
                <w:szCs w:val="24"/>
                <w:u w:val="none"/>
                <w:lang w:eastAsia="zh-CN"/>
              </w:rPr>
              <w:t>开展工作等所需的公务用车燃料费、维修费、过路过桥费等支出</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eastAsia="zh-CN"/>
              </w:rPr>
            </w:pPr>
            <w:r>
              <w:rPr>
                <w:rFonts w:hint="eastAsia" w:ascii="宋体" w:hAnsi="宋体" w:cs="宋体"/>
                <w:b/>
                <w:i w:val="0"/>
                <w:color w:val="000000"/>
                <w:sz w:val="24"/>
                <w:szCs w:val="24"/>
                <w:u w:val="none"/>
                <w:lang w:eastAsia="zh-CN"/>
              </w:rPr>
              <w:t>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实际完成指标值(包含数字及文字描述)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目标内容</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进度计划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eastAsia="宋体" w:cs="宋体"/>
                <w:i w:val="0"/>
                <w:color w:val="000000"/>
                <w:kern w:val="0"/>
                <w:sz w:val="20"/>
                <w:szCs w:val="20"/>
                <w:u w:val="none"/>
                <w:lang w:val="en-US" w:eastAsia="zh-CN" w:bidi="ar"/>
              </w:rPr>
              <w:t>进度明确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eastAsia="宋体" w:cs="宋体"/>
                <w:i w:val="0"/>
                <w:color w:val="000000"/>
                <w:kern w:val="0"/>
                <w:sz w:val="20"/>
                <w:szCs w:val="20"/>
                <w:u w:val="none"/>
                <w:lang w:val="en-US" w:eastAsia="zh-CN" w:bidi="ar"/>
              </w:rPr>
              <w:t>进度明确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目标匹配</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符合实际需求</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符合实际需求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政策依据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依照上级单位规定执行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依照上级单位规定执行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依照上级单位规定执行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依照上级单位规定执行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依照上级单位规定执行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分配方法</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科学合理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kern w:val="0"/>
                <w:sz w:val="20"/>
                <w:szCs w:val="20"/>
                <w:u w:val="none"/>
                <w:lang w:val="en-US" w:eastAsia="zh-CN" w:bidi="ar"/>
              </w:rPr>
              <w:t>分配方法</w:t>
            </w:r>
            <w:r>
              <w:rPr>
                <w:rFonts w:hint="eastAsia" w:ascii="宋体" w:hAnsi="宋体" w:eastAsia="宋体" w:cs="宋体"/>
                <w:i w:val="0"/>
                <w:color w:val="000000"/>
                <w:kern w:val="0"/>
                <w:sz w:val="20"/>
                <w:szCs w:val="20"/>
                <w:u w:val="none"/>
                <w:lang w:val="en-US" w:eastAsia="zh-CN" w:bidi="ar"/>
              </w:rPr>
              <w:t>科学合理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符合规定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审核把关</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集中</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财政资金占项目资金总额比重较小项目个数/项目总数×100%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依照上级单位规定执行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kern w:val="0"/>
                <w:sz w:val="20"/>
                <w:szCs w:val="20"/>
                <w:u w:val="none"/>
                <w:lang w:val="en-US" w:eastAsia="zh-CN" w:bidi="ar"/>
              </w:rPr>
              <w:t>已</w:t>
            </w:r>
            <w:r>
              <w:rPr>
                <w:rFonts w:hint="eastAsia" w:ascii="宋体" w:hAnsi="宋体" w:eastAsia="宋体" w:cs="宋体"/>
                <w:i w:val="0"/>
                <w:color w:val="000000"/>
                <w:kern w:val="0"/>
                <w:sz w:val="20"/>
                <w:szCs w:val="20"/>
                <w:u w:val="none"/>
                <w:lang w:val="en-US" w:eastAsia="zh-CN" w:bidi="ar"/>
              </w:rPr>
              <w:t>按规定及时分配资金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2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资金拨付</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依照上级单位规定执行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kern w:val="0"/>
                <w:sz w:val="20"/>
                <w:szCs w:val="20"/>
                <w:u w:val="none"/>
                <w:lang w:val="en-US" w:eastAsia="zh-CN" w:bidi="ar"/>
              </w:rPr>
              <w:t>已</w:t>
            </w:r>
            <w:r>
              <w:rPr>
                <w:rFonts w:hint="eastAsia" w:ascii="宋体" w:hAnsi="宋体" w:eastAsia="宋体" w:cs="宋体"/>
                <w:i w:val="0"/>
                <w:color w:val="000000"/>
                <w:kern w:val="0"/>
                <w:sz w:val="20"/>
                <w:szCs w:val="20"/>
                <w:u w:val="none"/>
                <w:lang w:val="en-US" w:eastAsia="zh-CN" w:bidi="ar"/>
              </w:rPr>
              <w:t>按规定及时拨付资金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使用范围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合规</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合规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支付依据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依照上级单位规定执行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开支标准</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资金开支标准符合规定</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资金开支标准符合规定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依照上级单位规定执行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制度健全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依照上级单位规定执行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核算规范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依照上级单位规定执行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符合相关手续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投资变更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制度执行</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依照上级单位规定执行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符合制度要求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完成数量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全部完成</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eastAsia="zh-CN"/>
              </w:rPr>
              <w:t>全部完成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完成质量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符合标准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符合标准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完成成本</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生态效益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满意</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eastAsia="zh-CN"/>
              </w:rPr>
              <w:t>满意</w:t>
            </w:r>
          </w:p>
        </w:tc>
      </w:tr>
    </w:tbl>
    <w:p>
      <w:pPr>
        <w:numPr>
          <w:ilvl w:val="0"/>
          <w:numId w:val="0"/>
        </w:numPr>
        <w:spacing w:line="580" w:lineRule="exact"/>
        <w:rPr>
          <w:rFonts w:ascii="仿宋" w:hAnsi="仿宋" w:eastAsia="仿宋" w:cs="仿宋_GB2312"/>
          <w:sz w:val="32"/>
          <w:szCs w:val="32"/>
        </w:rPr>
      </w:pPr>
      <w:r>
        <w:rPr>
          <w:rFonts w:hint="eastAsia" w:ascii="仿宋" w:hAnsi="仿宋" w:eastAsia="仿宋" w:cs="楷体_GB2312"/>
          <w:b/>
          <w:bCs/>
          <w:sz w:val="32"/>
          <w:szCs w:val="32"/>
          <w:lang w:eastAsia="zh-CN"/>
        </w:rPr>
        <w:t>（四）</w:t>
      </w:r>
      <w:r>
        <w:rPr>
          <w:rFonts w:hint="eastAsia" w:ascii="仿宋" w:hAnsi="仿宋" w:eastAsia="仿宋" w:cs="楷体_GB2312"/>
          <w:b/>
          <w:bCs/>
          <w:sz w:val="32"/>
          <w:szCs w:val="32"/>
        </w:rPr>
        <w:t>部门开展绩效评价结果。</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本部门按要求对2018年部门整体支出绩效评价情况开展自评，《</w:t>
      </w:r>
      <w:r>
        <w:rPr>
          <w:rFonts w:hint="eastAsia" w:ascii="仿宋_GB2312" w:hAnsi="仿宋_GB2312" w:eastAsia="仿宋_GB2312" w:cs="仿宋_GB2312"/>
          <w:sz w:val="32"/>
          <w:szCs w:val="32"/>
          <w:lang w:eastAsia="zh-CN"/>
        </w:rPr>
        <w:t>红原县卫生和计划生育监督执法大队</w:t>
      </w:r>
      <w:r>
        <w:rPr>
          <w:rFonts w:hint="eastAsia" w:ascii="仿宋_GB2312" w:hAnsi="仿宋_GB2312" w:eastAsia="仿宋_GB2312" w:cs="仿宋_GB2312"/>
          <w:sz w:val="32"/>
          <w:szCs w:val="32"/>
        </w:rPr>
        <w:t>2018年部门整体支出绩效评价报告》见附件。</w:t>
      </w:r>
    </w:p>
    <w:p>
      <w:pPr>
        <w:spacing w:line="600" w:lineRule="exact"/>
        <w:ind w:firstLine="800" w:firstLineChars="250"/>
        <w:outlineLvl w:val="1"/>
        <w:rPr>
          <w:rStyle w:val="27"/>
          <w:rFonts w:ascii="黑体" w:hAnsi="黑体" w:eastAsia="黑体"/>
        </w:rPr>
      </w:pPr>
      <w:bookmarkStart w:id="50" w:name="_Toc15396612"/>
      <w:bookmarkStart w:id="51" w:name="_Toc15377221"/>
      <w:r>
        <w:rPr>
          <w:rFonts w:hint="eastAsia" w:ascii="黑体" w:hAnsi="黑体" w:eastAsia="黑体"/>
          <w:color w:val="000000"/>
          <w:sz w:val="32"/>
          <w:szCs w:val="32"/>
        </w:rPr>
        <w:t>十</w:t>
      </w:r>
      <w:r>
        <w:rPr>
          <w:rStyle w:val="27"/>
          <w:rFonts w:hint="eastAsia" w:ascii="黑体" w:hAnsi="黑体" w:eastAsia="黑体"/>
        </w:rPr>
        <w:t>一、</w:t>
      </w:r>
      <w:r>
        <w:rPr>
          <w:rStyle w:val="27"/>
          <w:rFonts w:hint="eastAsia" w:ascii="黑体" w:hAnsi="黑体" w:eastAsia="黑体"/>
          <w:b w:val="0"/>
        </w:rPr>
        <w:t>其他重要事项的情况说明</w:t>
      </w:r>
      <w:bookmarkEnd w:id="50"/>
      <w:bookmarkEnd w:id="51"/>
    </w:p>
    <w:p>
      <w:pPr>
        <w:spacing w:line="600" w:lineRule="exact"/>
        <w:ind w:firstLine="643" w:firstLineChars="200"/>
        <w:outlineLvl w:val="2"/>
        <w:rPr>
          <w:rFonts w:ascii="仿宋" w:hAnsi="仿宋" w:eastAsia="仿宋"/>
          <w:color w:val="000000"/>
          <w:sz w:val="32"/>
          <w:szCs w:val="32"/>
        </w:rPr>
      </w:pPr>
      <w:bookmarkStart w:id="52" w:name="_Toc15377222"/>
      <w:r>
        <w:rPr>
          <w:rFonts w:hint="eastAsia" w:ascii="仿宋" w:hAnsi="仿宋" w:eastAsia="仿宋"/>
          <w:b/>
          <w:color w:val="000000"/>
          <w:sz w:val="32"/>
          <w:szCs w:val="32"/>
        </w:rPr>
        <w:t>（一）机关运行经费支出情况</w:t>
      </w:r>
      <w:bookmarkEnd w:id="52"/>
    </w:p>
    <w:p>
      <w:pPr>
        <w:spacing w:line="600" w:lineRule="exact"/>
        <w:ind w:firstLine="640"/>
        <w:rPr>
          <w:rFonts w:hint="eastAsia" w:ascii="仿宋_GB2312" w:hAnsi="仿宋_GB2312" w:eastAsia="仿宋_GB2312" w:cs="仿宋_GB2312"/>
          <w:color w:val="000000" w:themeColor="text1"/>
          <w:sz w:val="32"/>
          <w:szCs w:val="32"/>
          <w14:textFill>
            <w14:solidFill>
              <w14:schemeClr w14:val="tx1"/>
            </w14:solidFill>
          </w14:textFill>
        </w:rPr>
      </w:pPr>
      <w:r>
        <w:rPr>
          <w:rFonts w:ascii="仿宋_GB2312" w:eastAsia="仿宋_GB2312"/>
          <w:color w:val="000000"/>
          <w:sz w:val="32"/>
          <w:szCs w:val="32"/>
        </w:rPr>
        <w:t>201</w:t>
      </w:r>
      <w:r>
        <w:rPr>
          <w:rFonts w:hint="eastAsia" w:ascii="仿宋_GB2312" w:eastAsia="仿宋_GB2312"/>
          <w:color w:val="000000"/>
          <w:sz w:val="32"/>
          <w:szCs w:val="32"/>
        </w:rPr>
        <w:t>8年，</w:t>
      </w:r>
      <w:r>
        <w:rPr>
          <w:rFonts w:hint="eastAsia" w:ascii="仿宋_GB2312" w:eastAsia="仿宋_GB2312"/>
          <w:color w:val="000000"/>
          <w:sz w:val="32"/>
          <w:szCs w:val="32"/>
          <w:lang w:eastAsia="zh-CN"/>
        </w:rPr>
        <w:t>红原县卫生和计划生育监督执法大队</w:t>
      </w:r>
      <w:r>
        <w:rPr>
          <w:rFonts w:hint="eastAsia" w:ascii="仿宋_GB2312" w:eastAsia="仿宋_GB2312"/>
          <w:color w:val="000000"/>
          <w:sz w:val="32"/>
          <w:szCs w:val="32"/>
        </w:rPr>
        <w:t>机关运行经费支出</w:t>
      </w:r>
      <w:r>
        <w:rPr>
          <w:rFonts w:hint="eastAsia" w:ascii="仿宋_GB2312" w:eastAsia="仿宋_GB2312"/>
          <w:color w:val="000000"/>
          <w:sz w:val="32"/>
          <w:szCs w:val="32"/>
          <w:lang w:val="en-US" w:eastAsia="zh-CN"/>
        </w:rPr>
        <w:t>3.3</w:t>
      </w:r>
      <w:r>
        <w:rPr>
          <w:rFonts w:hint="eastAsia" w:ascii="仿宋_GB2312" w:eastAsia="仿宋_GB2312"/>
          <w:color w:val="000000"/>
          <w:sz w:val="32"/>
          <w:szCs w:val="32"/>
        </w:rPr>
        <w:t>万元，</w:t>
      </w:r>
      <w:r>
        <w:rPr>
          <w:rFonts w:hint="eastAsia" w:ascii="仿宋" w:hAnsi="仿宋" w:eastAsia="仿宋"/>
          <w:color w:val="000000"/>
          <w:sz w:val="32"/>
          <w:szCs w:val="32"/>
        </w:rPr>
        <w:t>与2017年相比，</w:t>
      </w:r>
      <w:r>
        <w:rPr>
          <w:rFonts w:hint="eastAsia" w:ascii="仿宋" w:hAnsi="仿宋" w:eastAsia="仿宋"/>
          <w:color w:val="000000"/>
          <w:sz w:val="32"/>
          <w:szCs w:val="32"/>
          <w:lang w:eastAsia="zh-CN"/>
        </w:rPr>
        <w:t>支出减少</w:t>
      </w:r>
      <w:r>
        <w:rPr>
          <w:rFonts w:hint="eastAsia" w:ascii="仿宋" w:hAnsi="仿宋" w:eastAsia="仿宋"/>
          <w:color w:val="000000"/>
          <w:sz w:val="32"/>
          <w:szCs w:val="32"/>
          <w:lang w:val="en-US" w:eastAsia="zh-CN"/>
        </w:rPr>
        <w:t>4.4</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减少</w:t>
      </w:r>
      <w:r>
        <w:rPr>
          <w:rFonts w:hint="eastAsia" w:ascii="仿宋" w:hAnsi="仿宋" w:eastAsia="仿宋"/>
          <w:color w:val="000000"/>
          <w:sz w:val="32"/>
          <w:szCs w:val="32"/>
          <w:lang w:val="en-US" w:eastAsia="zh-CN"/>
        </w:rPr>
        <w:t>55</w:t>
      </w:r>
      <w:r>
        <w:rPr>
          <w:rFonts w:ascii="仿宋" w:hAnsi="仿宋" w:eastAsia="仿宋"/>
          <w:color w:val="000000"/>
          <w:sz w:val="32"/>
          <w:szCs w:val="32"/>
        </w:rPr>
        <w:t>%</w:t>
      </w:r>
      <w:r>
        <w:rPr>
          <w:rFonts w:hint="eastAsia" w:ascii="仿宋" w:hAnsi="仿宋" w:eastAsia="仿宋"/>
          <w:color w:val="000000"/>
          <w:sz w:val="32"/>
          <w:szCs w:val="32"/>
          <w:lang w:eastAsia="zh-CN"/>
        </w:rPr>
        <w:t>，</w:t>
      </w:r>
      <w:r>
        <w:rPr>
          <w:rFonts w:hint="eastAsia" w:ascii="仿宋_GB2312" w:eastAsia="仿宋_GB2312"/>
          <w:color w:val="000000"/>
          <w:sz w:val="32"/>
          <w:szCs w:val="32"/>
        </w:rPr>
        <w:t>主要原因是</w:t>
      </w:r>
      <w:r>
        <w:rPr>
          <w:rFonts w:hint="eastAsia" w:ascii="仿宋_GB2312" w:eastAsia="仿宋_GB2312"/>
          <w:color w:val="000000"/>
          <w:sz w:val="32"/>
          <w:szCs w:val="32"/>
          <w:lang w:eastAsia="zh-CN"/>
        </w:rPr>
        <w:t>严格按照“八项规定”，控制相关开支，减少相关支出</w:t>
      </w:r>
      <w:r>
        <w:rPr>
          <w:rFonts w:hint="eastAsia" w:ascii="仿宋" w:hAnsi="仿宋" w:eastAsia="仿宋"/>
          <w:color w:val="000000"/>
          <w:sz w:val="32"/>
          <w:szCs w:val="32"/>
          <w:lang w:eastAsia="zh-CN"/>
        </w:rPr>
        <w:t>。</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53" w:name="_Toc15377223"/>
      <w:r>
        <w:rPr>
          <w:rFonts w:hint="eastAsia" w:ascii="仿宋" w:hAnsi="仿宋" w:eastAsia="仿宋"/>
          <w:b/>
          <w:color w:val="000000"/>
          <w:sz w:val="32"/>
          <w:szCs w:val="32"/>
        </w:rPr>
        <w:t>（二）政府采购支出情况</w:t>
      </w:r>
      <w:bookmarkEnd w:id="53"/>
    </w:p>
    <w:p>
      <w:pPr>
        <w:spacing w:line="600" w:lineRule="exact"/>
        <w:ind w:firstLine="640" w:firstLineChars="200"/>
        <w:rPr>
          <w:rFonts w:hint="eastAsia" w:ascii="仿宋_GB2312" w:eastAsia="仿宋_GB2312"/>
          <w:color w:val="000000"/>
          <w:sz w:val="32"/>
          <w:szCs w:val="32"/>
          <w:lang w:eastAsia="zh-CN"/>
        </w:rPr>
      </w:pPr>
      <w:r>
        <w:rPr>
          <w:rFonts w:ascii="仿宋_GB2312" w:eastAsia="仿宋_GB2312"/>
          <w:color w:val="000000"/>
          <w:sz w:val="32"/>
          <w:szCs w:val="32"/>
        </w:rPr>
        <w:t>201</w:t>
      </w:r>
      <w:r>
        <w:rPr>
          <w:rFonts w:hint="eastAsia" w:ascii="仿宋_GB2312" w:eastAsia="仿宋_GB2312"/>
          <w:color w:val="000000"/>
          <w:sz w:val="32"/>
          <w:szCs w:val="32"/>
        </w:rPr>
        <w:t>8年，</w:t>
      </w:r>
      <w:r>
        <w:rPr>
          <w:rFonts w:hint="eastAsia" w:ascii="仿宋_GB2312" w:eastAsia="仿宋_GB2312"/>
          <w:color w:val="000000"/>
          <w:sz w:val="32"/>
          <w:szCs w:val="32"/>
          <w:lang w:eastAsia="zh-CN"/>
        </w:rPr>
        <w:t>红原县卫生和计划生育监督执法大队</w:t>
      </w:r>
      <w:r>
        <w:rPr>
          <w:rFonts w:hint="eastAsia" w:ascii="仿宋_GB2312" w:eastAsia="仿宋_GB2312"/>
          <w:color w:val="000000"/>
          <w:sz w:val="32"/>
          <w:szCs w:val="32"/>
        </w:rPr>
        <w:t>政府采购支出总额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r>
        <w:rPr>
          <w:rFonts w:hint="eastAsia" w:ascii="仿宋_GB2312" w:eastAsia="仿宋_GB2312"/>
          <w:color w:val="000000"/>
          <w:sz w:val="32"/>
          <w:szCs w:val="32"/>
          <w:lang w:eastAsia="zh-CN"/>
        </w:rPr>
        <w:t>。</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54" w:name="_Toc15377224"/>
      <w:r>
        <w:rPr>
          <w:rFonts w:hint="eastAsia" w:ascii="仿宋" w:hAnsi="仿宋" w:eastAsia="仿宋"/>
          <w:b/>
          <w:color w:val="000000"/>
          <w:sz w:val="32"/>
          <w:szCs w:val="32"/>
        </w:rPr>
        <w:t>（三）国有资产占有使用情况</w:t>
      </w:r>
      <w:bookmarkEnd w:id="54"/>
    </w:p>
    <w:p>
      <w:pPr>
        <w:autoSpaceDE w:val="0"/>
        <w:autoSpaceDN w:val="0"/>
        <w:adjustRightInd w:val="0"/>
        <w:spacing w:line="600" w:lineRule="exact"/>
        <w:ind w:firstLine="640" w:firstLineChars="200"/>
        <w:jc w:val="left"/>
        <w:rPr>
          <w:rFonts w:hint="eastAsia" w:ascii="仿宋_GB2312" w:eastAsia="仿宋_GB2312"/>
          <w:color w:val="000000"/>
          <w:sz w:val="32"/>
          <w:szCs w:val="32"/>
          <w:lang w:val="en-US" w:eastAsia="zh-CN"/>
        </w:rPr>
      </w:pPr>
      <w:r>
        <w:rPr>
          <w:rFonts w:hint="eastAsia" w:ascii="仿宋_GB2312" w:eastAsia="仿宋_GB2312"/>
          <w:color w:val="000000"/>
          <w:sz w:val="32"/>
          <w:szCs w:val="32"/>
        </w:rPr>
        <w:t>截至</w:t>
      </w:r>
      <w:r>
        <w:rPr>
          <w:rFonts w:ascii="仿宋_GB2312" w:eastAsia="仿宋_GB2312"/>
          <w:color w:val="000000"/>
          <w:sz w:val="32"/>
          <w:szCs w:val="32"/>
        </w:rPr>
        <w:t>201</w:t>
      </w:r>
      <w:r>
        <w:rPr>
          <w:rFonts w:hint="eastAsia" w:ascii="仿宋_GB2312" w:eastAsia="仿宋_GB2312"/>
          <w:color w:val="000000"/>
          <w:sz w:val="32"/>
          <w:szCs w:val="32"/>
        </w:rPr>
        <w:t>8年</w:t>
      </w:r>
      <w:r>
        <w:rPr>
          <w:rFonts w:ascii="仿宋_GB2312" w:eastAsia="仿宋_GB2312"/>
          <w:color w:val="000000"/>
          <w:sz w:val="32"/>
          <w:szCs w:val="32"/>
        </w:rPr>
        <w:t>12</w:t>
      </w:r>
      <w:r>
        <w:rPr>
          <w:rFonts w:hint="eastAsia" w:ascii="仿宋_GB2312" w:eastAsia="仿宋_GB2312"/>
          <w:color w:val="000000"/>
          <w:sz w:val="32"/>
          <w:szCs w:val="32"/>
        </w:rPr>
        <w:t>月</w:t>
      </w:r>
      <w:r>
        <w:rPr>
          <w:rFonts w:ascii="仿宋_GB2312" w:eastAsia="仿宋_GB2312"/>
          <w:color w:val="000000"/>
          <w:sz w:val="32"/>
          <w:szCs w:val="32"/>
        </w:rPr>
        <w:t>31</w:t>
      </w:r>
      <w:r>
        <w:rPr>
          <w:rFonts w:hint="eastAsia" w:ascii="仿宋_GB2312" w:eastAsia="仿宋_GB2312"/>
          <w:color w:val="000000"/>
          <w:sz w:val="32"/>
          <w:szCs w:val="32"/>
        </w:rPr>
        <w:t>日，</w:t>
      </w:r>
      <w:r>
        <w:rPr>
          <w:rFonts w:hint="eastAsia" w:ascii="仿宋_GB2312" w:eastAsia="仿宋_GB2312"/>
          <w:color w:val="000000"/>
          <w:sz w:val="32"/>
          <w:szCs w:val="32"/>
          <w:lang w:eastAsia="zh-CN"/>
        </w:rPr>
        <w:t>红原县卫生和计划生育监督执法大队</w:t>
      </w:r>
      <w:r>
        <w:rPr>
          <w:rFonts w:hint="eastAsia" w:ascii="仿宋_GB2312" w:eastAsia="仿宋_GB2312"/>
          <w:color w:val="000000"/>
          <w:sz w:val="32"/>
          <w:szCs w:val="32"/>
        </w:rPr>
        <w:t>共有车辆</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辆，其中：部级领导干部用车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辆、一般公务用车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辆、一般执法执勤用车</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辆、特种专业技术用车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辆、其他用车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w:t>
      </w:r>
      <w:r>
        <w:rPr>
          <w:rFonts w:hint="eastAsia" w:ascii="仿宋_GB2312" w:eastAsia="仿宋_GB2312"/>
          <w:color w:val="000000"/>
          <w:sz w:val="32"/>
          <w:szCs w:val="32"/>
          <w:lang w:eastAsia="zh-CN"/>
        </w:rPr>
        <w:t>。</w:t>
      </w:r>
    </w:p>
    <w:p>
      <w:pPr>
        <w:widowControl/>
        <w:jc w:val="left"/>
        <w:rPr>
          <w:rFonts w:ascii="仿宋_GB2312" w:eastAsia="仿宋_GB2312"/>
          <w:b/>
          <w:color w:val="000000"/>
          <w:sz w:val="32"/>
          <w:szCs w:val="32"/>
        </w:rPr>
      </w:pPr>
    </w:p>
    <w:p>
      <w:pPr>
        <w:numPr>
          <w:ilvl w:val="0"/>
          <w:numId w:val="8"/>
        </w:numPr>
        <w:spacing w:line="600" w:lineRule="exact"/>
        <w:ind w:firstLine="663" w:firstLineChars="150"/>
        <w:jc w:val="center"/>
        <w:outlineLvl w:val="0"/>
        <w:rPr>
          <w:rStyle w:val="26"/>
          <w:rFonts w:ascii="黑体" w:hAnsi="黑体" w:eastAsia="黑体"/>
          <w:b w:val="0"/>
        </w:rPr>
      </w:pPr>
      <w:bookmarkStart w:id="55" w:name="_Toc15396613"/>
      <w:bookmarkStart w:id="56" w:name="_Toc15377225"/>
      <w:r>
        <w:rPr>
          <w:rFonts w:hint="eastAsia" w:ascii="黑体" w:hAnsi="黑体" w:eastAsia="黑体"/>
          <w:b/>
          <w:color w:val="000000"/>
          <w:sz w:val="44"/>
          <w:szCs w:val="44"/>
        </w:rPr>
        <w:t>名</w:t>
      </w:r>
      <w:r>
        <w:rPr>
          <w:rStyle w:val="26"/>
          <w:rFonts w:hint="eastAsia" w:ascii="黑体" w:hAnsi="黑体" w:eastAsia="黑体"/>
          <w:b w:val="0"/>
        </w:rPr>
        <w:t>词解释</w:t>
      </w:r>
      <w:bookmarkEnd w:id="55"/>
      <w:bookmarkEnd w:id="56"/>
    </w:p>
    <w:p>
      <w:pPr>
        <w:spacing w:line="600" w:lineRule="exact"/>
        <w:jc w:val="left"/>
        <w:rPr>
          <w:rFonts w:ascii="宋体"/>
          <w:b/>
          <w:color w:val="000000"/>
          <w:sz w:val="44"/>
          <w:szCs w:val="44"/>
        </w:rPr>
      </w:pPr>
    </w:p>
    <w:p>
      <w:pPr>
        <w:pStyle w:val="24"/>
        <w:spacing w:line="560" w:lineRule="exact"/>
        <w:ind w:firstLine="64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财政拨款收入：指单位从同级财政部门取得的财政预算资金。</w:t>
      </w:r>
    </w:p>
    <w:p>
      <w:pPr>
        <w:pStyle w:val="24"/>
        <w:spacing w:line="560" w:lineRule="exact"/>
        <w:ind w:firstLine="640" w:firstLineChars="200"/>
        <w:rPr>
          <w:rFonts w:hint="eastAsia" w:ascii="仿宋_GB2312" w:eastAsia="仿宋_GB2312"/>
          <w:sz w:val="32"/>
          <w:szCs w:val="32"/>
        </w:rPr>
      </w:pPr>
      <w:r>
        <w:rPr>
          <w:rFonts w:ascii="仿宋_GB2312" w:eastAsia="仿宋_GB2312"/>
          <w:sz w:val="32"/>
          <w:szCs w:val="32"/>
        </w:rPr>
        <w:t>2.</w:t>
      </w:r>
      <w:r>
        <w:rPr>
          <w:rFonts w:hint="eastAsia" w:ascii="仿宋_GB2312" w:eastAsia="仿宋_GB2312"/>
          <w:sz w:val="32"/>
          <w:szCs w:val="32"/>
        </w:rPr>
        <w:t>事业收入：指事业单位开展专业业务活动及辅助活动取得的收入。</w:t>
      </w:r>
    </w:p>
    <w:p>
      <w:pPr>
        <w:pStyle w:val="24"/>
        <w:spacing w:line="560" w:lineRule="exact"/>
        <w:ind w:firstLine="640" w:firstLineChars="200"/>
        <w:rPr>
          <w:rFonts w:hint="eastAsia" w:ascii="仿宋_GB2312" w:eastAsia="仿宋_GB2312"/>
          <w:sz w:val="32"/>
          <w:szCs w:val="32"/>
        </w:rPr>
      </w:pPr>
      <w:r>
        <w:rPr>
          <w:rFonts w:ascii="仿宋_GB2312" w:eastAsia="仿宋_GB2312"/>
          <w:sz w:val="32"/>
          <w:szCs w:val="32"/>
        </w:rPr>
        <w:t>3.</w:t>
      </w:r>
      <w:r>
        <w:rPr>
          <w:rFonts w:hint="eastAsia" w:ascii="仿宋_GB2312" w:eastAsia="仿宋_GB2312"/>
          <w:sz w:val="32"/>
          <w:szCs w:val="32"/>
        </w:rPr>
        <w:t>经营收入：指事业单位在专业业务活动及其辅助活动之外开展非独立核算经营活动取得的收入。</w:t>
      </w:r>
    </w:p>
    <w:p>
      <w:pPr>
        <w:pStyle w:val="24"/>
        <w:spacing w:line="560" w:lineRule="exact"/>
        <w:ind w:firstLine="640" w:firstLineChars="200"/>
        <w:rPr>
          <w:rFonts w:ascii="仿宋_GB2312" w:eastAsia="仿宋_GB2312"/>
          <w:sz w:val="32"/>
          <w:szCs w:val="32"/>
        </w:rPr>
      </w:pPr>
      <w:r>
        <w:rPr>
          <w:rFonts w:ascii="仿宋_GB2312" w:eastAsia="仿宋_GB2312"/>
          <w:sz w:val="32"/>
          <w:szCs w:val="32"/>
        </w:rPr>
        <w:t>4.</w:t>
      </w:r>
      <w:r>
        <w:rPr>
          <w:rFonts w:hint="eastAsia" w:ascii="仿宋_GB2312" w:eastAsia="仿宋_GB2312"/>
          <w:sz w:val="32"/>
          <w:szCs w:val="32"/>
        </w:rPr>
        <w:t>其他收入：指单位取得的除上述收入以外的各项收入。主要是</w:t>
      </w:r>
      <w:r>
        <w:rPr>
          <w:rFonts w:hint="eastAsia" w:ascii="仿宋_GB2312" w:eastAsia="仿宋_GB2312"/>
          <w:sz w:val="32"/>
          <w:szCs w:val="32"/>
          <w:lang w:eastAsia="zh-CN"/>
        </w:rPr>
        <w:t>利息收入</w:t>
      </w:r>
      <w:r>
        <w:rPr>
          <w:rFonts w:hint="eastAsia" w:ascii="仿宋_GB2312" w:eastAsia="仿宋_GB2312"/>
          <w:sz w:val="32"/>
          <w:szCs w:val="32"/>
        </w:rPr>
        <w:t>等。</w:t>
      </w:r>
      <w:r>
        <w:rPr>
          <w:rFonts w:ascii="仿宋_GB2312" w:eastAsia="仿宋_GB2312"/>
          <w:sz w:val="32"/>
          <w:szCs w:val="32"/>
        </w:rPr>
        <w:t xml:space="preserve"> </w:t>
      </w:r>
    </w:p>
    <w:p>
      <w:pPr>
        <w:pStyle w:val="24"/>
        <w:spacing w:line="560" w:lineRule="exact"/>
        <w:ind w:firstLine="640" w:firstLineChars="200"/>
        <w:rPr>
          <w:rFonts w:ascii="仿宋_GB2312" w:eastAsia="仿宋_GB2312"/>
          <w:sz w:val="32"/>
          <w:szCs w:val="32"/>
        </w:rPr>
      </w:pPr>
      <w:r>
        <w:rPr>
          <w:rFonts w:ascii="仿宋_GB2312" w:eastAsia="仿宋_GB2312"/>
          <w:sz w:val="32"/>
          <w:szCs w:val="32"/>
        </w:rPr>
        <w:t>5.</w:t>
      </w:r>
      <w:r>
        <w:rPr>
          <w:rFonts w:hint="eastAsia" w:ascii="仿宋_GB2312" w:eastAsia="仿宋_GB2312"/>
          <w:sz w:val="32"/>
          <w:szCs w:val="32"/>
        </w:rPr>
        <w:t>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r>
        <w:rPr>
          <w:rFonts w:ascii="仿宋_GB2312" w:eastAsia="仿宋_GB2312"/>
          <w:sz w:val="32"/>
          <w:szCs w:val="32"/>
        </w:rPr>
        <w:t xml:space="preserve"> </w:t>
      </w:r>
    </w:p>
    <w:p>
      <w:pPr>
        <w:pStyle w:val="24"/>
        <w:spacing w:line="560" w:lineRule="exact"/>
        <w:ind w:firstLine="640" w:firstLineChars="200"/>
        <w:rPr>
          <w:rFonts w:ascii="仿宋_GB2312" w:eastAsia="仿宋_GB2312"/>
          <w:sz w:val="32"/>
          <w:szCs w:val="32"/>
        </w:rPr>
      </w:pPr>
      <w:r>
        <w:rPr>
          <w:rFonts w:ascii="仿宋_GB2312" w:eastAsia="仿宋_GB2312"/>
          <w:sz w:val="32"/>
          <w:szCs w:val="32"/>
        </w:rPr>
        <w:t>6.</w:t>
      </w:r>
      <w:r>
        <w:rPr>
          <w:rFonts w:hint="eastAsia" w:ascii="仿宋_GB2312" w:eastAsia="仿宋_GB2312"/>
          <w:sz w:val="32"/>
          <w:szCs w:val="32"/>
        </w:rPr>
        <w:t>年初结转和结余：指以前年度尚未完成、结转到本年按有关规定继续使用的资金。</w:t>
      </w:r>
      <w:r>
        <w:rPr>
          <w:rFonts w:ascii="仿宋_GB2312" w:eastAsia="仿宋_GB2312"/>
          <w:sz w:val="32"/>
          <w:szCs w:val="32"/>
        </w:rPr>
        <w:t xml:space="preserve"> </w:t>
      </w:r>
    </w:p>
    <w:p>
      <w:pPr>
        <w:pStyle w:val="24"/>
        <w:spacing w:line="560" w:lineRule="exact"/>
        <w:ind w:firstLine="640" w:firstLineChars="200"/>
        <w:rPr>
          <w:rFonts w:ascii="仿宋_GB2312" w:eastAsia="仿宋_GB2312"/>
          <w:sz w:val="32"/>
          <w:szCs w:val="32"/>
        </w:rPr>
      </w:pPr>
      <w:r>
        <w:rPr>
          <w:rFonts w:ascii="仿宋_GB2312" w:eastAsia="仿宋_GB2312"/>
          <w:sz w:val="32"/>
          <w:szCs w:val="32"/>
        </w:rPr>
        <w:t>7.</w:t>
      </w:r>
      <w:r>
        <w:rPr>
          <w:rFonts w:hint="eastAsia" w:ascii="仿宋_GB2312" w:eastAsia="仿宋_GB2312"/>
          <w:sz w:val="32"/>
          <w:szCs w:val="32"/>
        </w:rPr>
        <w:t>结余分配：指事业单位按照事业单位会计制度的规定从非财政补助结余中分配的事业基金和职工福利基金等。</w:t>
      </w:r>
    </w:p>
    <w:p>
      <w:pPr>
        <w:ind w:firstLine="640" w:firstLineChars="200"/>
        <w:rPr>
          <w:rFonts w:hint="eastAsia" w:ascii="仿宋_GB2312" w:eastAsia="仿宋_GB2312"/>
          <w:sz w:val="32"/>
          <w:szCs w:val="32"/>
        </w:rPr>
      </w:pPr>
      <w:r>
        <w:rPr>
          <w:rFonts w:ascii="仿宋_GB2312" w:eastAsia="仿宋_GB2312"/>
          <w:sz w:val="32"/>
          <w:szCs w:val="32"/>
        </w:rPr>
        <w:t>8</w:t>
      </w:r>
      <w:r>
        <w:rPr>
          <w:rFonts w:hint="eastAsia" w:ascii="仿宋_GB2312" w:eastAsia="仿宋_GB2312"/>
          <w:sz w:val="32"/>
          <w:szCs w:val="32"/>
        </w:rPr>
        <w:t>、年末结转和结余：指单位按有关规定结转到下年或以后年度继续使用的资金。</w:t>
      </w:r>
    </w:p>
    <w:p>
      <w:pPr>
        <w:ind w:firstLine="640" w:firstLineChars="200"/>
        <w:rPr>
          <w:rFonts w:hint="eastAsia" w:ascii="仿宋_GB2312" w:eastAsia="仿宋_GB2312"/>
          <w:color w:val="000000"/>
          <w:sz w:val="32"/>
          <w:szCs w:val="32"/>
          <w:lang w:eastAsia="zh-CN"/>
        </w:rPr>
      </w:pPr>
      <w:r>
        <w:rPr>
          <w:rFonts w:hint="eastAsia" w:ascii="仿宋_GB2312" w:eastAsia="仿宋_GB2312"/>
          <w:color w:val="000000"/>
          <w:sz w:val="32"/>
          <w:szCs w:val="32"/>
          <w:lang w:val="en-US" w:eastAsia="zh-CN"/>
        </w:rPr>
        <w:t>9.</w:t>
      </w:r>
      <w:r>
        <w:rPr>
          <w:rFonts w:hint="eastAsia" w:ascii="仿宋_GB2312" w:eastAsia="仿宋_GB2312"/>
          <w:color w:val="000000"/>
          <w:sz w:val="32"/>
          <w:szCs w:val="32"/>
        </w:rPr>
        <w:t>一般公共服务</w:t>
      </w:r>
      <w:r>
        <w:rPr>
          <w:rFonts w:hint="eastAsia" w:ascii="仿宋_GB2312" w:eastAsia="仿宋_GB2312"/>
          <w:color w:val="000000"/>
          <w:sz w:val="32"/>
          <w:szCs w:val="32"/>
          <w:lang w:eastAsia="zh-CN"/>
        </w:rPr>
        <w:t>支出</w:t>
      </w:r>
      <w:r>
        <w:rPr>
          <w:rFonts w:hint="eastAsia" w:ascii="仿宋_GB2312" w:eastAsia="仿宋_GB2312"/>
          <w:color w:val="000000"/>
          <w:sz w:val="32"/>
          <w:szCs w:val="32"/>
        </w:rPr>
        <w:t>：指反映各级人民团体、社会团体、群众团体以及工会、妇联、共青团组织(包括中华青年联合会)等方面的支出</w:t>
      </w:r>
      <w:r>
        <w:rPr>
          <w:rFonts w:hint="eastAsia" w:ascii="仿宋_GB2312" w:eastAsia="仿宋_GB2312"/>
          <w:color w:val="000000"/>
          <w:sz w:val="32"/>
          <w:szCs w:val="32"/>
          <w:lang w:eastAsia="zh-CN"/>
        </w:rPr>
        <w:t>。</w:t>
      </w:r>
    </w:p>
    <w:p>
      <w:pPr>
        <w:ind w:firstLine="640" w:firstLineChars="200"/>
        <w:rPr>
          <w:rFonts w:hint="eastAsia" w:ascii="仿宋_GB2312" w:eastAsia="仿宋_GB2312"/>
          <w:color w:val="000000"/>
          <w:sz w:val="32"/>
          <w:szCs w:val="32"/>
          <w:lang w:eastAsia="zh-CN"/>
        </w:rPr>
      </w:pPr>
      <w:r>
        <w:rPr>
          <w:rFonts w:hint="eastAsia" w:ascii="仿宋_GB2312" w:eastAsia="仿宋_GB2312"/>
          <w:color w:val="000000"/>
          <w:sz w:val="32"/>
          <w:szCs w:val="32"/>
          <w:lang w:eastAsia="zh-CN"/>
        </w:rPr>
        <w:t>行政运行指：反映行政单位(包括实行公务员管理的事业单位)的基支本支出。</w:t>
      </w:r>
    </w:p>
    <w:p>
      <w:pPr>
        <w:ind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eastAsia="zh-CN"/>
        </w:rPr>
        <w:t>事业运行指：反映事业单位的基支本支出，不包括行政单位(包括实行公务员管理的事业单位)后勤服务中心、医务室等附属事业单位。</w:t>
      </w:r>
    </w:p>
    <w:p>
      <w:pPr>
        <w:ind w:firstLine="640" w:firstLineChars="200"/>
        <w:rPr>
          <w:rFonts w:hint="eastAsia" w:ascii="仿宋_GB2312" w:eastAsia="仿宋_GB2312"/>
          <w:color w:val="000000"/>
          <w:sz w:val="32"/>
          <w:szCs w:val="32"/>
          <w:lang w:eastAsia="zh-CN"/>
        </w:rPr>
      </w:pPr>
      <w:r>
        <w:rPr>
          <w:rFonts w:hint="eastAsia" w:ascii="仿宋_GB2312" w:eastAsia="仿宋_GB2312"/>
          <w:color w:val="000000"/>
          <w:sz w:val="32"/>
          <w:szCs w:val="32"/>
          <w:lang w:eastAsia="zh-CN"/>
        </w:rPr>
        <w:t>其他群众团体事务支出：反映除上述项目外其他用于群众团体事务方面的支出。</w:t>
      </w:r>
    </w:p>
    <w:p>
      <w:pPr>
        <w:numPr>
          <w:ilvl w:val="0"/>
          <w:numId w:val="0"/>
        </w:numPr>
        <w:ind w:leftChars="200" w:firstLine="320" w:firstLineChars="10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10.社会保障和就业支出指：反映政府在社会保障与就业方面的支出。</w:t>
      </w:r>
    </w:p>
    <w:p>
      <w:pPr>
        <w:numPr>
          <w:ilvl w:val="0"/>
          <w:numId w:val="0"/>
        </w:numPr>
        <w:ind w:leftChars="200"/>
        <w:rPr>
          <w:rFonts w:hint="default" w:ascii="仿宋_GB2312" w:eastAsia="仿宋_GB2312"/>
          <w:color w:val="000000"/>
          <w:sz w:val="32"/>
          <w:szCs w:val="32"/>
          <w:lang w:val="en-US" w:eastAsia="zh-CN"/>
        </w:rPr>
      </w:pPr>
      <w:r>
        <w:rPr>
          <w:rFonts w:hint="eastAsia" w:ascii="仿宋_GB2312" w:eastAsia="仿宋_GB2312"/>
          <w:color w:val="000000"/>
          <w:sz w:val="32"/>
          <w:szCs w:val="32"/>
          <w:lang w:val="en-US" w:eastAsia="zh-CN"/>
        </w:rPr>
        <w:t>机关事业单位基本养老保险缴费支出指机关事业单位实施养老保险制度由单位实际缴纳的基本养老保险缴费支出。</w:t>
      </w:r>
    </w:p>
    <w:p>
      <w:pPr>
        <w:numPr>
          <w:ilvl w:val="0"/>
          <w:numId w:val="0"/>
        </w:numPr>
        <w:ind w:left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机关事业单位职业年金反映机关事业单位实施养老保险制度由单位实际缴纳的职业年金缴费支出。</w:t>
      </w:r>
    </w:p>
    <w:p>
      <w:pPr>
        <w:numPr>
          <w:ilvl w:val="0"/>
          <w:numId w:val="0"/>
        </w:numPr>
        <w:ind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11.医疗卫生与计划生育支出：反映医疗卫生与计划生育、中医等管理事务方面的支出。</w:t>
      </w:r>
    </w:p>
    <w:p>
      <w:pPr>
        <w:keepNext w:val="0"/>
        <w:keepLines w:val="0"/>
        <w:pageBreakBefore w:val="0"/>
        <w:widowControl w:val="0"/>
        <w:numPr>
          <w:ilvl w:val="0"/>
          <w:numId w:val="0"/>
        </w:numPr>
        <w:kinsoku/>
        <w:wordWrap/>
        <w:overflowPunct/>
        <w:topLinePunct w:val="0"/>
        <w:autoSpaceDE/>
        <w:autoSpaceDN/>
        <w:bidi w:val="0"/>
        <w:adjustRightInd/>
        <w:snapToGrid/>
        <w:ind w:leftChars="200" w:firstLine="640" w:firstLineChars="200"/>
        <w:jc w:val="left"/>
        <w:textAlignment w:val="auto"/>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行政单位医疗：反映行政事业单位医疗方面的支出。反映财政部门集中安排的行政单位基本医疗保险缴费经费,未参加医疗保险的行政单位的公费医疗经费,按国家</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jc w:val="left"/>
        <w:textAlignment w:val="auto"/>
        <w:rPr>
          <w:rFonts w:hint="eastAsia" w:ascii="仿宋_GB2312" w:eastAsia="仿宋_GB2312"/>
          <w:color w:val="000000"/>
          <w:sz w:val="32"/>
          <w:szCs w:val="32"/>
          <w:lang w:eastAsia="zh-CN"/>
        </w:rPr>
      </w:pPr>
      <w:r>
        <w:rPr>
          <w:rFonts w:hint="eastAsia" w:ascii="仿宋_GB2312" w:eastAsia="仿宋_GB2312"/>
          <w:color w:val="000000"/>
          <w:sz w:val="32"/>
          <w:szCs w:val="32"/>
          <w:lang w:val="en-US" w:eastAsia="zh-CN"/>
        </w:rPr>
        <w:t>规定享受离休人员、红军老战士待遇人员的医疗经费。</w:t>
      </w:r>
    </w:p>
    <w:p>
      <w:pPr>
        <w:keepNext w:val="0"/>
        <w:keepLines w:val="0"/>
        <w:pageBreakBefore w:val="0"/>
        <w:widowControl w:val="0"/>
        <w:numPr>
          <w:ilvl w:val="0"/>
          <w:numId w:val="0"/>
        </w:numPr>
        <w:kinsoku/>
        <w:wordWrap/>
        <w:overflowPunct/>
        <w:topLinePunct w:val="0"/>
        <w:autoSpaceDE/>
        <w:autoSpaceDN/>
        <w:bidi w:val="0"/>
        <w:adjustRightInd/>
        <w:snapToGrid/>
        <w:ind w:leftChars="200" w:firstLine="640" w:firstLineChars="200"/>
        <w:jc w:val="left"/>
        <w:textAlignment w:val="auto"/>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事业单位医疗：反映财政部门集中安排的事业单位基本医疗保险缴费经费,未参加医疗保险的事业单位的公费医疗经费,按国家规定享受离休人员待遇的医疗经费。</w:t>
      </w:r>
    </w:p>
    <w:p>
      <w:pPr>
        <w:keepNext w:val="0"/>
        <w:keepLines w:val="0"/>
        <w:pageBreakBefore w:val="0"/>
        <w:widowControl w:val="0"/>
        <w:numPr>
          <w:ilvl w:val="0"/>
          <w:numId w:val="0"/>
        </w:numPr>
        <w:kinsoku/>
        <w:wordWrap/>
        <w:overflowPunct/>
        <w:topLinePunct w:val="0"/>
        <w:autoSpaceDE/>
        <w:autoSpaceDN/>
        <w:bidi w:val="0"/>
        <w:adjustRightInd/>
        <w:snapToGrid/>
        <w:ind w:leftChars="200" w:firstLine="640" w:firstLineChars="200"/>
        <w:jc w:val="left"/>
        <w:textAlignment w:val="auto"/>
        <w:rPr>
          <w:rFonts w:hint="default" w:ascii="仿宋_GB2312" w:eastAsia="仿宋_GB2312"/>
          <w:color w:val="000000"/>
          <w:sz w:val="32"/>
          <w:szCs w:val="32"/>
          <w:lang w:val="en-US" w:eastAsia="zh-CN"/>
        </w:rPr>
      </w:pPr>
      <w:r>
        <w:rPr>
          <w:rFonts w:hint="eastAsia" w:ascii="仿宋_GB2312" w:eastAsia="仿宋_GB2312"/>
          <w:color w:val="000000"/>
          <w:sz w:val="32"/>
          <w:szCs w:val="32"/>
          <w:lang w:val="en-US" w:eastAsia="zh-CN"/>
        </w:rPr>
        <w:t>其他行政事业单位医疗支出：反映除上述项目以外的其他用于行政事业单位医疗方面的支出。</w:t>
      </w:r>
    </w:p>
    <w:p>
      <w:pPr>
        <w:ind w:firstLine="640" w:firstLineChars="200"/>
        <w:rPr>
          <w:rFonts w:ascii="仿宋_GB2312" w:eastAsia="仿宋_GB2312"/>
          <w:color w:val="000000"/>
          <w:sz w:val="32"/>
          <w:szCs w:val="32"/>
        </w:rPr>
      </w:pPr>
      <w:r>
        <w:rPr>
          <w:rFonts w:hint="eastAsia" w:ascii="仿宋_GB2312" w:eastAsia="仿宋_GB2312"/>
          <w:color w:val="000000"/>
          <w:sz w:val="32"/>
          <w:szCs w:val="32"/>
          <w:lang w:val="en-US" w:eastAsia="zh-CN"/>
        </w:rPr>
        <w:t>12.</w:t>
      </w:r>
      <w:r>
        <w:rPr>
          <w:rFonts w:hint="eastAsia" w:ascii="仿宋_GB2312" w:eastAsia="仿宋_GB2312"/>
          <w:color w:val="000000"/>
          <w:sz w:val="32"/>
          <w:szCs w:val="32"/>
        </w:rPr>
        <w:t>基本支出：指为保障机构正常运转、完成日常工作任务而发生的人员支出和公用支出。</w:t>
      </w:r>
    </w:p>
    <w:p>
      <w:pPr>
        <w:ind w:firstLine="640" w:firstLineChars="200"/>
        <w:rPr>
          <w:rFonts w:ascii="仿宋_GB2312" w:eastAsia="仿宋_GB2312"/>
          <w:color w:val="000000"/>
          <w:sz w:val="32"/>
          <w:szCs w:val="32"/>
        </w:rPr>
      </w:pPr>
      <w:r>
        <w:rPr>
          <w:rFonts w:hint="eastAsia" w:ascii="仿宋_GB2312" w:eastAsia="仿宋_GB2312"/>
          <w:color w:val="000000"/>
          <w:sz w:val="32"/>
          <w:szCs w:val="32"/>
          <w:lang w:val="en-US" w:eastAsia="zh-CN"/>
        </w:rPr>
        <w:t>13.</w:t>
      </w:r>
      <w:r>
        <w:rPr>
          <w:rFonts w:hint="eastAsia" w:ascii="仿宋_GB2312" w:eastAsia="仿宋_GB2312"/>
          <w:color w:val="000000"/>
          <w:sz w:val="32"/>
          <w:szCs w:val="32"/>
        </w:rPr>
        <w:t>项目支出：指在基本支出之外为完成特定行政任务和事业发展目标所发生的支出。</w:t>
      </w:r>
      <w:r>
        <w:rPr>
          <w:rFonts w:ascii="仿宋_GB2312" w:eastAsia="仿宋_GB2312"/>
          <w:color w:val="000000"/>
          <w:sz w:val="32"/>
          <w:szCs w:val="32"/>
        </w:rPr>
        <w:t xml:space="preserve"> </w:t>
      </w:r>
    </w:p>
    <w:p>
      <w:pPr>
        <w:ind w:firstLine="640" w:firstLineChars="200"/>
        <w:rPr>
          <w:rFonts w:ascii="仿宋_GB2312" w:eastAsia="仿宋_GB2312"/>
          <w:color w:val="000000"/>
          <w:sz w:val="32"/>
          <w:szCs w:val="32"/>
        </w:rPr>
      </w:pPr>
      <w:r>
        <w:rPr>
          <w:rFonts w:hint="eastAsia" w:ascii="仿宋_GB2312" w:eastAsia="仿宋_GB2312"/>
          <w:color w:val="000000"/>
          <w:sz w:val="32"/>
          <w:szCs w:val="32"/>
          <w:lang w:val="en-US" w:eastAsia="zh-CN"/>
        </w:rPr>
        <w:t>14.</w:t>
      </w:r>
      <w:r>
        <w:rPr>
          <w:rFonts w:hint="eastAsia" w:ascii="仿宋_GB2312" w:eastAsia="仿宋_GB2312"/>
          <w:color w:val="000000"/>
          <w:sz w:val="32"/>
          <w:szCs w:val="32"/>
        </w:rPr>
        <w:t>经营支出：指事业单位在专业业务活动及其辅助活动之外开展非独立核算经营活动发生的支出。</w:t>
      </w:r>
    </w:p>
    <w:p>
      <w:pPr>
        <w:pStyle w:val="24"/>
        <w:spacing w:line="560" w:lineRule="exact"/>
        <w:ind w:firstLine="640" w:firstLineChars="200"/>
        <w:rPr>
          <w:rFonts w:ascii="仿宋_GB2312" w:eastAsia="仿宋_GB2312"/>
          <w:sz w:val="32"/>
          <w:szCs w:val="32"/>
        </w:rPr>
      </w:pPr>
      <w:r>
        <w:rPr>
          <w:rFonts w:hint="eastAsia" w:ascii="仿宋_GB2312" w:eastAsia="仿宋_GB2312"/>
          <w:sz w:val="32"/>
          <w:szCs w:val="32"/>
          <w:lang w:val="en-US" w:eastAsia="zh-CN"/>
        </w:rPr>
        <w:t>15.</w:t>
      </w:r>
      <w:r>
        <w:rPr>
          <w:rFonts w:hint="eastAsia" w:ascii="仿宋_GB2312" w:eastAsia="仿宋_GB2312"/>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24"/>
        <w:spacing w:line="560" w:lineRule="exact"/>
        <w:ind w:firstLine="640" w:firstLineChars="200"/>
        <w:rPr>
          <w:rFonts w:ascii="仿宋_GB2312" w:eastAsia="仿宋_GB2312"/>
          <w:sz w:val="32"/>
          <w:szCs w:val="32"/>
        </w:rPr>
      </w:pPr>
      <w:r>
        <w:rPr>
          <w:rFonts w:hint="eastAsia" w:ascii="仿宋_GB2312" w:eastAsia="仿宋_GB2312"/>
          <w:sz w:val="32"/>
          <w:szCs w:val="32"/>
          <w:lang w:val="en-US" w:eastAsia="zh-CN"/>
        </w:rPr>
        <w:t>16.</w:t>
      </w:r>
      <w:r>
        <w:rPr>
          <w:rFonts w:hint="eastAsia" w:ascii="仿宋_GB2312" w:eastAsia="仿宋_GB2312"/>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ind w:firstLine="643" w:firstLineChars="200"/>
        <w:rPr>
          <w:rFonts w:ascii="仿宋" w:hAnsi="仿宋" w:eastAsia="仿宋"/>
          <w:b/>
          <w:color w:val="000000"/>
          <w:sz w:val="32"/>
          <w:szCs w:val="32"/>
        </w:rPr>
      </w:pPr>
    </w:p>
    <w:p>
      <w:pPr>
        <w:spacing w:line="600" w:lineRule="exact"/>
        <w:jc w:val="both"/>
        <w:outlineLvl w:val="0"/>
        <w:rPr>
          <w:rStyle w:val="26"/>
        </w:rPr>
      </w:pPr>
      <w:bookmarkStart w:id="57" w:name="_Toc15377226"/>
      <w:r>
        <w:rPr>
          <w:rFonts w:ascii="宋体"/>
          <w:b/>
          <w:color w:val="000000"/>
          <w:sz w:val="44"/>
          <w:szCs w:val="44"/>
        </w:rPr>
        <w:br w:type="page"/>
      </w:r>
      <w:bookmarkStart w:id="58" w:name="_Toc15396614"/>
      <w:r>
        <w:rPr>
          <w:rFonts w:hint="eastAsia" w:ascii="黑体" w:hAnsi="黑体" w:eastAsia="黑体"/>
          <w:color w:val="000000"/>
          <w:sz w:val="44"/>
          <w:szCs w:val="44"/>
        </w:rPr>
        <w:t>第</w:t>
      </w:r>
      <w:r>
        <w:rPr>
          <w:rStyle w:val="26"/>
          <w:rFonts w:hint="eastAsia" w:ascii="黑体" w:hAnsi="黑体" w:eastAsia="黑体"/>
          <w:b w:val="0"/>
        </w:rPr>
        <w:t>四部分 附件</w:t>
      </w:r>
      <w:bookmarkEnd w:id="58"/>
    </w:p>
    <w:p>
      <w:pPr>
        <w:pStyle w:val="3"/>
        <w:rPr>
          <w:rFonts w:hint="eastAsia" w:ascii="黑体" w:hAnsi="宋体" w:eastAsia="黑体" w:cs="黑体"/>
          <w:b w:val="0"/>
          <w:color w:val="333333"/>
          <w:sz w:val="44"/>
          <w:szCs w:val="44"/>
        </w:rPr>
      </w:pPr>
      <w:bookmarkStart w:id="59" w:name="_Toc15396615"/>
      <w:r>
        <w:rPr>
          <w:rStyle w:val="26"/>
          <w:rFonts w:hint="eastAsia" w:ascii="仿宋" w:hAnsi="仿宋" w:eastAsia="仿宋"/>
          <w:b w:val="0"/>
          <w:bCs w:val="0"/>
          <w:sz w:val="32"/>
          <w:szCs w:val="32"/>
        </w:rPr>
        <w:t>附件1</w:t>
      </w:r>
      <w:bookmarkEnd w:id="59"/>
      <w:bookmarkStart w:id="60" w:name="_Toc15396617"/>
    </w:p>
    <w:p>
      <w:pPr>
        <w:pStyle w:val="12"/>
        <w:keepNext w:val="0"/>
        <w:keepLines w:val="0"/>
        <w:widowControl/>
        <w:suppressLineNumbers w:val="0"/>
        <w:shd w:val="clear" w:fill="FFFFFF"/>
        <w:autoSpaceDE w:val="0"/>
        <w:autoSpaceDN/>
        <w:spacing w:before="360" w:beforeAutospacing="0" w:after="510" w:afterAutospacing="0" w:line="600" w:lineRule="atLeast"/>
        <w:ind w:left="0" w:right="0" w:firstLine="0"/>
        <w:jc w:val="center"/>
        <w:rPr>
          <w:rFonts w:hint="eastAsia" w:ascii="黑体" w:hAnsi="宋体" w:eastAsia="黑体" w:cs="黑体"/>
          <w:b w:val="0"/>
          <w:color w:val="333333"/>
          <w:spacing w:val="-2"/>
          <w:sz w:val="44"/>
          <w:szCs w:val="44"/>
          <w:shd w:val="clear" w:fill="FFFFFF"/>
          <w:lang w:val="en-US" w:eastAsia="zh-CN"/>
        </w:rPr>
      </w:pPr>
      <w:r>
        <w:rPr>
          <w:rFonts w:hint="eastAsia" w:ascii="黑体" w:hAnsi="宋体" w:eastAsia="黑体" w:cs="黑体"/>
          <w:b w:val="0"/>
          <w:color w:val="333333"/>
          <w:spacing w:val="-2"/>
          <w:sz w:val="44"/>
          <w:szCs w:val="44"/>
          <w:shd w:val="clear" w:fill="FFFFFF"/>
          <w:lang w:val="en-US" w:eastAsia="zh-CN"/>
        </w:rPr>
        <w:t>2019年红原县卫生和计划生育监督执法大队整体支出绩效报告</w:t>
      </w:r>
    </w:p>
    <w:p>
      <w:pPr>
        <w:keepNext w:val="0"/>
        <w:keepLines w:val="0"/>
        <w:widowControl/>
        <w:suppressLineNumbers w:val="0"/>
        <w:spacing w:before="0" w:beforeAutospacing="0" w:after="0" w:afterAutospacing="0" w:line="480" w:lineRule="exact"/>
        <w:ind w:left="0" w:right="0"/>
        <w:jc w:val="center"/>
        <w:rPr>
          <w:rFonts w:hint="eastAsia" w:ascii="仿宋_GB2312" w:hAnsi="仿宋_GB2312" w:eastAsia="仿宋_GB2312" w:cs="仿宋_GB2312"/>
          <w:color w:val="000000"/>
          <w:kern w:val="0"/>
          <w:sz w:val="30"/>
          <w:szCs w:val="30"/>
          <w:lang w:val="en-US"/>
        </w:rPr>
      </w:pP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_GB2312" w:hAnsi="仿宋_GB2312" w:eastAsia="仿宋_GB2312" w:cs="仿宋_GB2312"/>
          <w:color w:val="000000"/>
          <w:kern w:val="0"/>
          <w:sz w:val="30"/>
          <w:szCs w:val="30"/>
          <w:lang w:val="zh-CN" w:eastAsia="zh-CN"/>
        </w:rPr>
      </w:pPr>
      <w:r>
        <w:rPr>
          <w:rFonts w:hint="eastAsia" w:ascii="仿宋_GB2312" w:hAnsi="仿宋_GB2312" w:eastAsia="仿宋_GB2312" w:cs="仿宋_GB2312"/>
          <w:color w:val="000000"/>
          <w:kern w:val="0"/>
          <w:sz w:val="30"/>
          <w:szCs w:val="30"/>
          <w:lang w:val="en-US" w:eastAsia="zh-CN" w:bidi="ar"/>
        </w:rPr>
        <w:t>一、</w:t>
      </w:r>
      <w:r>
        <w:rPr>
          <w:rFonts w:hint="eastAsia" w:ascii="仿宋_GB2312" w:hAnsi="仿宋_GB2312" w:eastAsia="仿宋_GB2312" w:cs="仿宋_GB2312"/>
          <w:color w:val="000000"/>
          <w:kern w:val="0"/>
          <w:sz w:val="30"/>
          <w:szCs w:val="30"/>
          <w:lang w:val="zh-CN" w:eastAsia="zh-CN" w:bidi="ar"/>
        </w:rPr>
        <w:t>部门概况</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_GB2312" w:hAnsi="仿宋_GB2312" w:eastAsia="仿宋_GB2312" w:cs="仿宋_GB2312"/>
          <w:color w:val="000000"/>
          <w:kern w:val="0"/>
          <w:sz w:val="30"/>
          <w:szCs w:val="30"/>
          <w:lang w:val="zh-CN" w:eastAsia="zh-CN" w:bidi="ar"/>
        </w:rPr>
      </w:pPr>
      <w:r>
        <w:rPr>
          <w:rFonts w:hint="eastAsia" w:ascii="仿宋_GB2312" w:hAnsi="仿宋_GB2312" w:eastAsia="仿宋_GB2312" w:cs="仿宋_GB2312"/>
          <w:color w:val="000000"/>
          <w:kern w:val="0"/>
          <w:sz w:val="30"/>
          <w:szCs w:val="30"/>
          <w:lang w:val="zh-CN" w:eastAsia="zh-CN" w:bidi="ar"/>
        </w:rPr>
        <w:t>（一）机构组成。</w:t>
      </w:r>
    </w:p>
    <w:p>
      <w:pPr>
        <w:spacing w:line="640" w:lineRule="exact"/>
        <w:ind w:firstLine="663" w:firstLineChars="221"/>
        <w:rPr>
          <w:rFonts w:hint="eastAsia" w:ascii="仿宋_GB2312" w:hAnsi="仿宋_GB2312" w:eastAsia="仿宋_GB2312" w:cs="仿宋_GB2312"/>
          <w:color w:val="000000"/>
          <w:kern w:val="0"/>
          <w:sz w:val="30"/>
          <w:szCs w:val="30"/>
          <w:lang w:val="zh-CN" w:eastAsia="zh-CN" w:bidi="ar"/>
        </w:rPr>
      </w:pPr>
      <w:r>
        <w:rPr>
          <w:rFonts w:hint="eastAsia" w:ascii="仿宋_GB2312" w:hAnsi="仿宋_GB2312" w:eastAsia="仿宋_GB2312" w:cs="仿宋_GB2312"/>
          <w:sz w:val="30"/>
          <w:szCs w:val="30"/>
          <w:lang w:eastAsia="zh-CN"/>
        </w:rPr>
        <w:t>红原县卫生和计划生育监督执法大队</w:t>
      </w:r>
      <w:r>
        <w:rPr>
          <w:rFonts w:hint="eastAsia" w:ascii="仿宋_GB2312" w:hAnsi="仿宋_GB2312" w:eastAsia="仿宋_GB2312" w:cs="仿宋_GB2312"/>
          <w:sz w:val="30"/>
          <w:szCs w:val="30"/>
        </w:rPr>
        <w:t>内设</w:t>
      </w:r>
      <w:r>
        <w:rPr>
          <w:rFonts w:hint="eastAsia" w:ascii="仿宋_GB2312" w:hAnsi="仿宋_GB2312" w:eastAsia="仿宋_GB2312" w:cs="仿宋_GB2312"/>
          <w:sz w:val="30"/>
          <w:szCs w:val="30"/>
          <w:lang w:val="en-US" w:eastAsia="zh-CN"/>
        </w:rPr>
        <w:t>4</w:t>
      </w:r>
      <w:r>
        <w:rPr>
          <w:rFonts w:hint="eastAsia" w:ascii="仿宋_GB2312" w:hAnsi="仿宋_GB2312" w:eastAsia="仿宋_GB2312" w:cs="仿宋_GB2312"/>
          <w:sz w:val="30"/>
          <w:szCs w:val="30"/>
        </w:rPr>
        <w:t>个科室</w:t>
      </w:r>
      <w:r>
        <w:rPr>
          <w:rFonts w:hint="eastAsia" w:ascii="仿宋_GB2312" w:hAnsi="仿宋_GB2312" w:eastAsia="仿宋_GB2312" w:cs="仿宋_GB2312"/>
          <w:sz w:val="30"/>
          <w:szCs w:val="30"/>
          <w:lang w:eastAsia="zh-CN"/>
        </w:rPr>
        <w:t>，为副科级单位</w:t>
      </w:r>
      <w:r>
        <w:rPr>
          <w:rFonts w:hint="eastAsia" w:ascii="仿宋_GB2312" w:hAnsi="仿宋_GB2312" w:eastAsia="仿宋_GB2312" w:cs="仿宋_GB2312"/>
          <w:sz w:val="30"/>
          <w:szCs w:val="30"/>
        </w:rPr>
        <w:t>，单位性质</w:t>
      </w:r>
      <w:r>
        <w:rPr>
          <w:rFonts w:hint="eastAsia" w:ascii="仿宋_GB2312" w:hAnsi="仿宋_GB2312" w:eastAsia="仿宋_GB2312" w:cs="仿宋_GB2312"/>
          <w:sz w:val="30"/>
          <w:szCs w:val="30"/>
          <w:lang w:eastAsia="zh-CN"/>
        </w:rPr>
        <w:t>为参公单位。</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_GB2312" w:hAnsi="仿宋_GB2312" w:eastAsia="仿宋_GB2312" w:cs="仿宋_GB2312"/>
          <w:color w:val="000000"/>
          <w:kern w:val="0"/>
          <w:sz w:val="30"/>
          <w:szCs w:val="30"/>
          <w:lang w:val="zh-CN" w:eastAsia="zh-CN" w:bidi="ar"/>
        </w:rPr>
      </w:pPr>
      <w:r>
        <w:rPr>
          <w:rFonts w:hint="eastAsia" w:ascii="仿宋_GB2312" w:hAnsi="仿宋_GB2312" w:eastAsia="仿宋_GB2312" w:cs="仿宋_GB2312"/>
          <w:color w:val="000000"/>
          <w:kern w:val="0"/>
          <w:sz w:val="30"/>
          <w:szCs w:val="30"/>
          <w:lang w:val="zh-CN" w:eastAsia="zh-CN" w:bidi="ar"/>
        </w:rPr>
        <w:t>（二）机构职能。</w:t>
      </w:r>
    </w:p>
    <w:p>
      <w:pPr>
        <w:rPr>
          <w:rFonts w:hint="eastAsia" w:ascii="仿宋_GB2312" w:hAnsi="仿宋_GB2312" w:eastAsia="仿宋_GB2312" w:cs="仿宋_GB2312"/>
          <w:color w:val="000000"/>
          <w:kern w:val="0"/>
          <w:sz w:val="30"/>
          <w:szCs w:val="30"/>
          <w:lang w:val="en-US" w:eastAsia="zh-CN" w:bidi="ar"/>
        </w:rPr>
      </w:pPr>
      <w:r>
        <w:rPr>
          <w:rFonts w:hint="eastAsia" w:ascii="仿宋_GB2312" w:hAnsi="仿宋_GB2312" w:eastAsia="仿宋_GB2312" w:cs="仿宋_GB2312"/>
          <w:color w:val="000000"/>
          <w:kern w:val="0"/>
          <w:sz w:val="30"/>
          <w:szCs w:val="30"/>
          <w:lang w:val="en-US" w:eastAsia="zh-CN" w:bidi="ar"/>
        </w:rPr>
        <w:t xml:space="preserve"> </w:t>
      </w:r>
      <w:r>
        <w:rPr>
          <w:rFonts w:hint="eastAsia" w:ascii="仿宋_GB2312" w:hAnsi="仿宋_GB2312" w:cs="仿宋_GB2312"/>
          <w:color w:val="000000"/>
          <w:kern w:val="0"/>
          <w:sz w:val="30"/>
          <w:szCs w:val="30"/>
          <w:lang w:val="en-US" w:eastAsia="zh-CN" w:bidi="ar"/>
        </w:rPr>
        <w:t xml:space="preserve">  </w:t>
      </w:r>
      <w:r>
        <w:rPr>
          <w:rFonts w:hint="eastAsia" w:ascii="Calibri" w:hAnsi="Calibri" w:eastAsia="仿宋_GB2312"/>
          <w:sz w:val="30"/>
          <w:szCs w:val="30"/>
        </w:rPr>
        <w:t>红原县</w:t>
      </w:r>
      <w:r>
        <w:rPr>
          <w:rFonts w:hint="eastAsia" w:ascii="Calibri" w:hAnsi="Calibri" w:eastAsia="仿宋_GB2312"/>
          <w:sz w:val="30"/>
          <w:szCs w:val="30"/>
          <w:lang w:eastAsia="zh-CN"/>
        </w:rPr>
        <w:t>红原县卫生和计划生育监督执法大队</w:t>
      </w:r>
      <w:r>
        <w:rPr>
          <w:rFonts w:hint="eastAsia" w:ascii="仿宋_GB2312" w:hAnsi="Calibri" w:eastAsia="仿宋_GB2312"/>
          <w:sz w:val="30"/>
          <w:szCs w:val="30"/>
        </w:rPr>
        <w:t>是</w:t>
      </w:r>
      <w:r>
        <w:rPr>
          <w:rFonts w:hint="eastAsia" w:ascii="仿宋_GB2312" w:hAnsi="Calibri" w:eastAsia="仿宋_GB2312"/>
          <w:sz w:val="30"/>
          <w:szCs w:val="30"/>
          <w:lang w:eastAsia="zh-CN"/>
        </w:rPr>
        <w:t>参公事业单位</w:t>
      </w:r>
      <w:r>
        <w:rPr>
          <w:rFonts w:hint="eastAsia" w:ascii="仿宋_GB2312" w:hAnsi="Calibri" w:eastAsia="仿宋_GB2312"/>
          <w:sz w:val="30"/>
          <w:szCs w:val="30"/>
        </w:rPr>
        <w:t>。其主要职责：</w:t>
      </w:r>
      <w:r>
        <w:rPr>
          <w:rFonts w:hint="eastAsia" w:ascii="仿宋_GB2312" w:hAnsi="仿宋_GB2312" w:eastAsia="仿宋_GB2312" w:cs="仿宋_GB2312"/>
          <w:color w:val="000000"/>
          <w:sz w:val="32"/>
          <w:szCs w:val="32"/>
          <w:lang w:val="en-US" w:eastAsia="zh-CN"/>
        </w:rPr>
        <w:t>依据《传染病防治法》、《职业病防治法》、《公共场所卫生管理条例》等卫生法律法规，行驶卫生监督执法权，承办卫生行政许可；负责公共场所的卫生条件及其从业人员的健康管理开展监督检查；负责用人单位开展职业健康监护情况进行卫生监督检查；负责学校、托幼机构的公共场所、传染病和生活饮用水等卫生开展综合监管。</w:t>
      </w:r>
    </w:p>
    <w:p>
      <w:pPr>
        <w:keepNext w:val="0"/>
        <w:keepLines w:val="0"/>
        <w:widowControl/>
        <w:numPr>
          <w:ilvl w:val="0"/>
          <w:numId w:val="9"/>
        </w:numPr>
        <w:suppressLineNumbers w:val="0"/>
        <w:adjustRightInd w:val="0"/>
        <w:snapToGrid w:val="0"/>
        <w:spacing w:before="0" w:beforeAutospacing="0" w:after="0" w:afterAutospacing="0" w:line="480" w:lineRule="exact"/>
        <w:ind w:left="0" w:right="0" w:firstLine="720"/>
        <w:jc w:val="left"/>
        <w:rPr>
          <w:rFonts w:hint="eastAsia" w:ascii="仿宋_GB2312" w:hAnsi="仿宋_GB2312" w:eastAsia="仿宋_GB2312" w:cs="仿宋_GB2312"/>
          <w:color w:val="000000"/>
          <w:kern w:val="0"/>
          <w:sz w:val="30"/>
          <w:szCs w:val="30"/>
          <w:lang w:val="zh-CN" w:eastAsia="zh-CN" w:bidi="ar"/>
        </w:rPr>
      </w:pPr>
      <w:r>
        <w:rPr>
          <w:rFonts w:hint="eastAsia" w:ascii="仿宋_GB2312" w:hAnsi="仿宋_GB2312" w:eastAsia="仿宋_GB2312" w:cs="仿宋_GB2312"/>
          <w:color w:val="000000"/>
          <w:kern w:val="0"/>
          <w:sz w:val="30"/>
          <w:szCs w:val="30"/>
          <w:lang w:val="zh-CN" w:eastAsia="zh-CN" w:bidi="ar"/>
        </w:rPr>
        <w:t>人员概况。</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_GB2312" w:hAnsi="仿宋_GB2312" w:eastAsia="仿宋_GB2312" w:cs="仿宋_GB2312"/>
          <w:b w:val="0"/>
          <w:sz w:val="32"/>
          <w:szCs w:val="32"/>
          <w:lang w:val="en-US" w:eastAsia="zh-CN"/>
        </w:rPr>
      </w:pPr>
      <w:r>
        <w:rPr>
          <w:rFonts w:hint="eastAsia" w:ascii="仿宋_GB2312" w:hAnsi="仿宋_GB2312" w:eastAsia="仿宋_GB2312" w:cs="仿宋_GB2312"/>
          <w:b w:val="0"/>
          <w:sz w:val="32"/>
          <w:szCs w:val="32"/>
          <w:lang w:val="en-US" w:eastAsia="zh-CN"/>
        </w:rPr>
        <w:t>我单位为独立核算全额拨款参公单位。无下设机构，截止2018年底我单位共有编制8个，其中参公编制6个，行政工勤编制2个，在职8人，退休0人。</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_GB2312" w:hAnsi="仿宋_GB2312" w:eastAsia="仿宋_GB2312" w:cs="仿宋_GB2312"/>
          <w:color w:val="000000"/>
          <w:kern w:val="0"/>
          <w:sz w:val="30"/>
          <w:szCs w:val="30"/>
          <w:lang w:val="en-US"/>
        </w:rPr>
      </w:pPr>
      <w:r>
        <w:rPr>
          <w:rFonts w:hint="eastAsia" w:ascii="仿宋_GB2312" w:hAnsi="仿宋_GB2312" w:eastAsia="仿宋_GB2312" w:cs="仿宋_GB2312"/>
          <w:color w:val="000000"/>
          <w:kern w:val="0"/>
          <w:sz w:val="30"/>
          <w:szCs w:val="30"/>
          <w:lang w:val="en-US" w:eastAsia="zh-CN" w:bidi="ar"/>
        </w:rPr>
        <w:t>二、部门财政资金收支情况</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_GB2312" w:hAnsi="仿宋_GB2312" w:eastAsia="仿宋_GB2312" w:cs="仿宋_GB2312"/>
          <w:color w:val="000000"/>
          <w:kern w:val="0"/>
          <w:sz w:val="30"/>
          <w:szCs w:val="30"/>
          <w:lang w:val="zh-CN" w:eastAsia="zh-CN" w:bidi="ar"/>
        </w:rPr>
      </w:pPr>
      <w:r>
        <w:rPr>
          <w:rFonts w:hint="eastAsia" w:ascii="仿宋_GB2312" w:hAnsi="仿宋_GB2312" w:eastAsia="仿宋_GB2312" w:cs="仿宋_GB2312"/>
          <w:color w:val="000000"/>
          <w:kern w:val="0"/>
          <w:sz w:val="30"/>
          <w:szCs w:val="30"/>
          <w:lang w:val="zh-CN" w:eastAsia="zh-CN" w:bidi="ar"/>
        </w:rPr>
        <w:t>（一）部门财政资金收入情况。</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default" w:ascii="仿宋_GB2312" w:hAnsi="仿宋_GB2312" w:eastAsia="仿宋_GB2312" w:cs="仿宋_GB2312"/>
          <w:color w:val="000000"/>
          <w:kern w:val="0"/>
          <w:sz w:val="30"/>
          <w:szCs w:val="30"/>
          <w:lang w:val="en-US" w:eastAsia="zh-CN" w:bidi="ar"/>
        </w:rPr>
      </w:pPr>
      <w:r>
        <w:rPr>
          <w:rFonts w:hint="eastAsia" w:ascii="仿宋_GB2312" w:hAnsi="仿宋_GB2312" w:eastAsia="仿宋_GB2312" w:cs="仿宋_GB2312"/>
          <w:color w:val="000000"/>
          <w:kern w:val="0"/>
          <w:sz w:val="30"/>
          <w:szCs w:val="30"/>
          <w:lang w:val="en-US" w:eastAsia="zh-CN" w:bidi="ar"/>
        </w:rPr>
        <w:t>2018年红原县卫生和计划生育监督执法大队收入161.51万元，均为财政拨款收入。</w:t>
      </w:r>
    </w:p>
    <w:p>
      <w:pPr>
        <w:keepNext w:val="0"/>
        <w:keepLines w:val="0"/>
        <w:widowControl/>
        <w:numPr>
          <w:ilvl w:val="0"/>
          <w:numId w:val="10"/>
        </w:numPr>
        <w:suppressLineNumbers w:val="0"/>
        <w:adjustRightInd w:val="0"/>
        <w:snapToGrid w:val="0"/>
        <w:spacing w:before="0" w:beforeAutospacing="0" w:after="0" w:afterAutospacing="0" w:line="480" w:lineRule="exact"/>
        <w:ind w:left="0" w:right="0" w:firstLine="720"/>
        <w:jc w:val="left"/>
        <w:rPr>
          <w:rFonts w:hint="eastAsia" w:ascii="仿宋_GB2312" w:hAnsi="仿宋_GB2312" w:eastAsia="仿宋_GB2312" w:cs="仿宋_GB2312"/>
          <w:color w:val="000000"/>
          <w:kern w:val="0"/>
          <w:sz w:val="30"/>
          <w:szCs w:val="30"/>
          <w:lang w:val="zh-CN" w:eastAsia="zh-CN" w:bidi="ar"/>
        </w:rPr>
      </w:pPr>
      <w:r>
        <w:rPr>
          <w:rFonts w:hint="eastAsia" w:ascii="仿宋_GB2312" w:hAnsi="仿宋_GB2312" w:eastAsia="仿宋_GB2312" w:cs="仿宋_GB2312"/>
          <w:color w:val="000000"/>
          <w:kern w:val="0"/>
          <w:sz w:val="30"/>
          <w:szCs w:val="30"/>
          <w:lang w:val="zh-CN" w:eastAsia="zh-CN" w:bidi="ar"/>
        </w:rPr>
        <w:t>部门财政资金支出情况。</w:t>
      </w:r>
    </w:p>
    <w:p>
      <w:pPr>
        <w:keepNext w:val="0"/>
        <w:keepLines w:val="0"/>
        <w:widowControl/>
        <w:numPr>
          <w:ilvl w:val="0"/>
          <w:numId w:val="0"/>
        </w:numPr>
        <w:suppressLineNumbers w:val="0"/>
        <w:adjustRightInd w:val="0"/>
        <w:snapToGrid w:val="0"/>
        <w:spacing w:before="0" w:beforeAutospacing="0" w:after="0" w:afterAutospacing="0" w:line="480" w:lineRule="exact"/>
        <w:ind w:right="0" w:rightChars="0"/>
        <w:jc w:val="left"/>
        <w:rPr>
          <w:rFonts w:hint="default" w:ascii="仿宋_GB2312" w:hAnsi="仿宋_GB2312" w:eastAsia="仿宋_GB2312" w:cs="仿宋_GB2312"/>
          <w:color w:val="000000"/>
          <w:kern w:val="0"/>
          <w:sz w:val="30"/>
          <w:szCs w:val="30"/>
          <w:lang w:val="en-US" w:eastAsia="zh-CN" w:bidi="ar"/>
        </w:rPr>
      </w:pPr>
      <w:r>
        <w:rPr>
          <w:rFonts w:hint="eastAsia" w:ascii="仿宋_GB2312" w:hAnsi="仿宋_GB2312" w:eastAsia="仿宋_GB2312" w:cs="仿宋_GB2312"/>
          <w:color w:val="000000"/>
          <w:kern w:val="0"/>
          <w:sz w:val="30"/>
          <w:szCs w:val="30"/>
          <w:lang w:val="en-US" w:eastAsia="zh-CN" w:bidi="ar"/>
        </w:rPr>
        <w:t>2018年红原县卫生和计划生育监督执法大队总支出158.87万元。其中：社会保障和就业支出21.12万元；医疗卫生和计划生育支出127.89万元；住房保障支出9.86万元。</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_GB2312" w:hAnsi="仿宋_GB2312" w:eastAsia="仿宋_GB2312" w:cs="仿宋_GB2312"/>
          <w:color w:val="000000"/>
          <w:kern w:val="0"/>
          <w:sz w:val="30"/>
          <w:szCs w:val="30"/>
          <w:lang w:val="en-US"/>
        </w:rPr>
      </w:pPr>
      <w:r>
        <w:rPr>
          <w:rFonts w:hint="eastAsia" w:ascii="仿宋_GB2312" w:hAnsi="仿宋_GB2312" w:eastAsia="仿宋_GB2312" w:cs="仿宋_GB2312"/>
          <w:color w:val="000000"/>
          <w:kern w:val="0"/>
          <w:sz w:val="30"/>
          <w:szCs w:val="30"/>
          <w:lang w:val="en-US" w:eastAsia="zh-CN" w:bidi="ar"/>
        </w:rPr>
        <w:t>三、部门财政支出管理情况</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_GB2312" w:hAnsi="仿宋_GB2312" w:eastAsia="仿宋_GB2312" w:cs="仿宋_GB2312"/>
          <w:b/>
          <w:bCs/>
          <w:color w:val="000000"/>
          <w:kern w:val="0"/>
          <w:sz w:val="30"/>
          <w:szCs w:val="30"/>
          <w:lang w:val="zh-CN" w:eastAsia="zh-CN" w:bidi="ar"/>
        </w:rPr>
      </w:pPr>
      <w:r>
        <w:rPr>
          <w:rFonts w:hint="eastAsia" w:ascii="仿宋_GB2312" w:hAnsi="仿宋_GB2312" w:eastAsia="仿宋_GB2312" w:cs="仿宋_GB2312"/>
          <w:b/>
          <w:bCs/>
          <w:color w:val="000000"/>
          <w:kern w:val="0"/>
          <w:sz w:val="30"/>
          <w:szCs w:val="30"/>
          <w:lang w:val="zh-CN" w:eastAsia="zh-CN" w:bidi="ar"/>
        </w:rPr>
        <w:t>（一）预算编制情况。</w:t>
      </w:r>
    </w:p>
    <w:p>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firstLine="600" w:firstLineChars="200"/>
        <w:textAlignment w:val="auto"/>
        <w:rPr>
          <w:rFonts w:hint="eastAsia" w:ascii="仿宋_GB2312" w:hAnsi="仿宋_GB2312" w:eastAsia="仿宋_GB2312" w:cs="仿宋_GB2312"/>
          <w:b w:val="0"/>
          <w:i w:val="0"/>
          <w:caps w:val="0"/>
          <w:color w:val="000000" w:themeColor="text1"/>
          <w:spacing w:val="0"/>
          <w:sz w:val="30"/>
          <w:szCs w:val="30"/>
          <w14:textFill>
            <w14:solidFill>
              <w14:schemeClr w14:val="tx1"/>
            </w14:solidFill>
          </w14:textFill>
        </w:rPr>
      </w:pP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根据《中华人民共和国预算法》及</w:t>
      </w:r>
      <w:r>
        <w:rPr>
          <w:rFonts w:hint="eastAsia" w:ascii="仿宋_GB2312" w:hAnsi="仿宋_GB2312" w:eastAsia="仿宋_GB2312" w:cs="仿宋_GB2312"/>
          <w:b w:val="0"/>
          <w:i w:val="0"/>
          <w:caps w:val="0"/>
          <w:color w:val="000000" w:themeColor="text1"/>
          <w:spacing w:val="0"/>
          <w:sz w:val="30"/>
          <w:szCs w:val="30"/>
          <w:shd w:val="clear" w:fill="FFFFFF"/>
          <w:lang w:eastAsia="zh-CN"/>
          <w14:textFill>
            <w14:solidFill>
              <w14:schemeClr w14:val="tx1"/>
            </w14:solidFill>
          </w14:textFill>
        </w:rPr>
        <w:t>红原县</w:t>
      </w: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财政局印发的《关于</w:t>
      </w:r>
      <w:r>
        <w:rPr>
          <w:rFonts w:hint="eastAsia" w:ascii="仿宋_GB2312" w:hAnsi="仿宋_GB2312" w:eastAsia="仿宋_GB2312" w:cs="仿宋_GB2312"/>
          <w:b w:val="0"/>
          <w:i w:val="0"/>
          <w:caps w:val="0"/>
          <w:color w:val="000000" w:themeColor="text1"/>
          <w:spacing w:val="0"/>
          <w:sz w:val="30"/>
          <w:szCs w:val="30"/>
          <w:shd w:val="clear" w:fill="FFFFFF"/>
          <w:lang w:eastAsia="zh-CN"/>
          <w14:textFill>
            <w14:solidFill>
              <w14:schemeClr w14:val="tx1"/>
            </w14:solidFill>
          </w14:textFill>
        </w:rPr>
        <w:t>下达</w:t>
      </w:r>
      <w:r>
        <w:rPr>
          <w:rFonts w:hint="eastAsia" w:ascii="仿宋_GB2312" w:hAnsi="仿宋_GB2312" w:eastAsia="仿宋_GB2312" w:cs="仿宋_GB2312"/>
          <w:b w:val="0"/>
          <w:i w:val="0"/>
          <w:caps w:val="0"/>
          <w:color w:val="000000" w:themeColor="text1"/>
          <w:spacing w:val="0"/>
          <w:sz w:val="30"/>
          <w:szCs w:val="30"/>
          <w:shd w:val="clear" w:fill="FFFFFF"/>
          <w:lang w:val="en-US" w:eastAsia="zh-CN"/>
          <w14:textFill>
            <w14:solidFill>
              <w14:schemeClr w14:val="tx1"/>
            </w14:solidFill>
          </w14:textFill>
        </w:rPr>
        <w:t>2018年</w:t>
      </w: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部门预算的通知》要求，结合本单位实际，按照增收节支、厉行节约、绩效优化的原则，从严从紧编制预算。细化支出预算编制，推进预算信息公开，深化预算绩效管理，提高资金使用效益。</w:t>
      </w:r>
    </w:p>
    <w:p>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firstLine="600" w:firstLineChars="200"/>
        <w:textAlignment w:val="auto"/>
        <w:rPr>
          <w:rFonts w:hint="eastAsia" w:ascii="仿宋_GB2312" w:hAnsi="仿宋_GB2312" w:eastAsia="仿宋_GB2312" w:cs="仿宋_GB2312"/>
          <w:b w:val="0"/>
          <w:i w:val="0"/>
          <w:caps w:val="0"/>
          <w:color w:val="000000" w:themeColor="text1"/>
          <w:spacing w:val="0"/>
          <w:sz w:val="30"/>
          <w:szCs w:val="30"/>
          <w14:textFill>
            <w14:solidFill>
              <w14:schemeClr w14:val="tx1"/>
            </w14:solidFill>
          </w14:textFill>
        </w:rPr>
      </w:pP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201</w:t>
      </w:r>
      <w:r>
        <w:rPr>
          <w:rFonts w:hint="eastAsia" w:ascii="仿宋_GB2312" w:hAnsi="仿宋_GB2312" w:eastAsia="仿宋_GB2312" w:cs="仿宋_GB2312"/>
          <w:b w:val="0"/>
          <w:i w:val="0"/>
          <w:caps w:val="0"/>
          <w:color w:val="000000" w:themeColor="text1"/>
          <w:spacing w:val="0"/>
          <w:sz w:val="30"/>
          <w:szCs w:val="30"/>
          <w:shd w:val="clear" w:fill="FFFFFF"/>
          <w:lang w:val="en-US" w:eastAsia="zh-CN"/>
          <w14:textFill>
            <w14:solidFill>
              <w14:schemeClr w14:val="tx1"/>
            </w14:solidFill>
          </w14:textFill>
        </w:rPr>
        <w:t>8</w:t>
      </w: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年预算人员支出对照201</w:t>
      </w:r>
      <w:r>
        <w:rPr>
          <w:rFonts w:hint="eastAsia" w:ascii="仿宋_GB2312" w:hAnsi="仿宋_GB2312" w:eastAsia="仿宋_GB2312" w:cs="仿宋_GB2312"/>
          <w:b w:val="0"/>
          <w:i w:val="0"/>
          <w:caps w:val="0"/>
          <w:color w:val="000000" w:themeColor="text1"/>
          <w:spacing w:val="0"/>
          <w:sz w:val="30"/>
          <w:szCs w:val="30"/>
          <w:shd w:val="clear" w:fill="FFFFFF"/>
          <w:lang w:val="en-US" w:eastAsia="zh-CN"/>
          <w14:textFill>
            <w14:solidFill>
              <w14:schemeClr w14:val="tx1"/>
            </w14:solidFill>
          </w14:textFill>
        </w:rPr>
        <w:t>7</w:t>
      </w: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年12月份人员及工资信息编制，日常公用支出按照“经费包干、明细编报”的原则进行编制，重点做好培训费等预算编制。</w:t>
      </w:r>
    </w:p>
    <w:p>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left="0" w:right="0" w:firstLine="645"/>
        <w:textAlignment w:val="auto"/>
        <w:rPr>
          <w:rFonts w:hint="eastAsia" w:ascii="仿宋_GB2312" w:hAnsi="仿宋_GB2312" w:eastAsia="仿宋_GB2312" w:cs="仿宋_GB2312"/>
          <w:b w:val="0"/>
          <w:i w:val="0"/>
          <w:caps w:val="0"/>
          <w:color w:val="000000" w:themeColor="text1"/>
          <w:spacing w:val="0"/>
          <w:sz w:val="30"/>
          <w:szCs w:val="30"/>
          <w14:textFill>
            <w14:solidFill>
              <w14:schemeClr w14:val="tx1"/>
            </w14:solidFill>
          </w14:textFill>
        </w:rPr>
      </w:pP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对照年初的预算，通过编制部门决算报表，全面、真实、准确的反映了201</w:t>
      </w:r>
      <w:r>
        <w:rPr>
          <w:rFonts w:hint="eastAsia" w:ascii="仿宋_GB2312" w:hAnsi="仿宋_GB2312" w:eastAsia="仿宋_GB2312" w:cs="仿宋_GB2312"/>
          <w:b w:val="0"/>
          <w:i w:val="0"/>
          <w:caps w:val="0"/>
          <w:color w:val="000000" w:themeColor="text1"/>
          <w:spacing w:val="0"/>
          <w:sz w:val="30"/>
          <w:szCs w:val="30"/>
          <w:shd w:val="clear" w:fill="FFFFFF"/>
          <w:lang w:val="en-US" w:eastAsia="zh-CN"/>
          <w14:textFill>
            <w14:solidFill>
              <w14:schemeClr w14:val="tx1"/>
            </w14:solidFill>
          </w14:textFill>
        </w:rPr>
        <w:t>8</w:t>
      </w: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年度财政资金的使用情况。</w:t>
      </w:r>
    </w:p>
    <w:p>
      <w:pPr>
        <w:spacing w:line="600" w:lineRule="exact"/>
        <w:ind w:firstLine="645"/>
        <w:rPr>
          <w:rFonts w:hint="eastAsia" w:ascii="仿宋_GB2312" w:hAnsi="仿宋_GB2312" w:eastAsia="仿宋_GB2312" w:cs="仿宋_GB2312"/>
          <w:i w:val="0"/>
          <w:caps w:val="0"/>
          <w:color w:val="333333"/>
          <w:spacing w:val="0"/>
          <w:sz w:val="30"/>
          <w:szCs w:val="30"/>
          <w:shd w:val="clear" w:fill="FFFFFF"/>
        </w:rPr>
      </w:pPr>
      <w:r>
        <w:rPr>
          <w:rFonts w:hint="eastAsia" w:ascii="仿宋_GB2312" w:hAnsi="仿宋_GB2312" w:eastAsia="仿宋_GB2312" w:cs="仿宋_GB2312"/>
          <w:i w:val="0"/>
          <w:caps w:val="0"/>
          <w:color w:val="333333"/>
          <w:spacing w:val="0"/>
          <w:sz w:val="30"/>
          <w:szCs w:val="30"/>
          <w:shd w:val="clear" w:fill="FFFFFF"/>
          <w:lang w:eastAsia="zh-CN"/>
        </w:rPr>
        <w:t>红原县卫生和计划生育监督执法大队</w:t>
      </w:r>
      <w:r>
        <w:rPr>
          <w:rFonts w:hint="eastAsia" w:ascii="仿宋_GB2312" w:hAnsi="仿宋_GB2312" w:eastAsia="仿宋_GB2312" w:cs="仿宋_GB2312"/>
          <w:i w:val="0"/>
          <w:caps w:val="0"/>
          <w:color w:val="333333"/>
          <w:spacing w:val="0"/>
          <w:sz w:val="30"/>
          <w:szCs w:val="30"/>
          <w:shd w:val="clear" w:fill="FFFFFF"/>
        </w:rPr>
        <w:t>预算安排支出主要用于保障该部门机构正常运转、完成日常工作任务以及承担工运事业发展相关工作。</w:t>
      </w:r>
    </w:p>
    <w:p>
      <w:pPr>
        <w:spacing w:line="600" w:lineRule="exact"/>
        <w:ind w:firstLine="645"/>
        <w:rPr>
          <w:rFonts w:hint="eastAsia" w:ascii="仿宋_GB2312" w:hAnsi="仿宋_GB2312" w:eastAsia="仿宋_GB2312" w:cs="仿宋_GB2312"/>
          <w:i w:val="0"/>
          <w:caps w:val="0"/>
          <w:color w:val="333333"/>
          <w:spacing w:val="0"/>
          <w:sz w:val="30"/>
          <w:szCs w:val="30"/>
        </w:rPr>
      </w:pPr>
      <w:r>
        <w:rPr>
          <w:rFonts w:hint="eastAsia" w:ascii="仿宋" w:hAnsi="仿宋" w:eastAsia="仿宋"/>
          <w:color w:val="000000"/>
          <w:sz w:val="32"/>
          <w:szCs w:val="32"/>
        </w:rPr>
        <w:t>基本支出</w:t>
      </w:r>
      <w:r>
        <w:rPr>
          <w:rFonts w:hint="eastAsia" w:ascii="仿宋" w:hAnsi="仿宋" w:eastAsia="仿宋"/>
          <w:color w:val="000000"/>
          <w:sz w:val="32"/>
          <w:szCs w:val="32"/>
          <w:lang w:val="en-US" w:eastAsia="zh-CN"/>
        </w:rPr>
        <w:t>154.77</w:t>
      </w:r>
      <w:r>
        <w:rPr>
          <w:rFonts w:hint="eastAsia" w:ascii="仿宋" w:hAnsi="仿宋" w:eastAsia="仿宋"/>
          <w:color w:val="000000"/>
          <w:sz w:val="32"/>
          <w:szCs w:val="32"/>
        </w:rPr>
        <w:t>万元，其中人员经费</w:t>
      </w:r>
      <w:r>
        <w:rPr>
          <w:rFonts w:hint="eastAsia" w:ascii="仿宋" w:hAnsi="仿宋" w:eastAsia="仿宋"/>
          <w:color w:val="000000"/>
          <w:sz w:val="32"/>
          <w:szCs w:val="32"/>
          <w:lang w:val="en-US" w:eastAsia="zh-CN"/>
        </w:rPr>
        <w:t>141.76</w:t>
      </w:r>
      <w:r>
        <w:rPr>
          <w:rFonts w:hint="eastAsia" w:ascii="仿宋" w:hAnsi="仿宋" w:eastAsia="仿宋"/>
          <w:color w:val="000000"/>
          <w:sz w:val="32"/>
          <w:szCs w:val="32"/>
        </w:rPr>
        <w:t>万元，主要包括：基本工资</w:t>
      </w:r>
      <w:r>
        <w:rPr>
          <w:rFonts w:hint="eastAsia" w:ascii="仿宋" w:hAnsi="仿宋" w:eastAsia="仿宋"/>
          <w:color w:val="000000"/>
          <w:sz w:val="32"/>
          <w:szCs w:val="32"/>
          <w:lang w:val="en-US" w:eastAsia="zh-CN"/>
        </w:rPr>
        <w:t>28.17万元</w:t>
      </w:r>
      <w:r>
        <w:rPr>
          <w:rFonts w:hint="eastAsia" w:ascii="仿宋" w:hAnsi="仿宋" w:eastAsia="仿宋"/>
          <w:color w:val="000000"/>
          <w:sz w:val="32"/>
          <w:szCs w:val="32"/>
        </w:rPr>
        <w:t>、津贴补贴</w:t>
      </w:r>
      <w:r>
        <w:rPr>
          <w:rFonts w:hint="eastAsia" w:ascii="仿宋" w:hAnsi="仿宋" w:eastAsia="仿宋"/>
          <w:color w:val="000000"/>
          <w:sz w:val="32"/>
          <w:szCs w:val="32"/>
          <w:lang w:val="en-US" w:eastAsia="zh-CN"/>
        </w:rPr>
        <w:t>54.14万元</w:t>
      </w:r>
      <w:r>
        <w:rPr>
          <w:rFonts w:hint="eastAsia" w:ascii="仿宋" w:hAnsi="仿宋" w:eastAsia="仿宋"/>
          <w:color w:val="000000"/>
          <w:sz w:val="32"/>
          <w:szCs w:val="32"/>
        </w:rPr>
        <w:t>、奖金</w:t>
      </w:r>
      <w:r>
        <w:rPr>
          <w:rFonts w:hint="eastAsia" w:ascii="仿宋" w:hAnsi="仿宋" w:eastAsia="仿宋"/>
          <w:color w:val="000000"/>
          <w:sz w:val="32"/>
          <w:szCs w:val="32"/>
          <w:lang w:val="en-US" w:eastAsia="zh-CN"/>
        </w:rPr>
        <w:t>19.63万元</w:t>
      </w:r>
      <w:r>
        <w:rPr>
          <w:rFonts w:hint="eastAsia" w:ascii="仿宋" w:hAnsi="仿宋" w:eastAsia="仿宋"/>
          <w:color w:val="000000"/>
          <w:sz w:val="32"/>
          <w:szCs w:val="32"/>
        </w:rPr>
        <w:t>、机关事业单位基本养老保险缴费</w:t>
      </w:r>
      <w:r>
        <w:rPr>
          <w:rFonts w:hint="eastAsia" w:ascii="仿宋" w:hAnsi="仿宋" w:eastAsia="仿宋"/>
          <w:color w:val="000000"/>
          <w:sz w:val="32"/>
          <w:szCs w:val="32"/>
          <w:lang w:val="en-US" w:eastAsia="zh-CN"/>
        </w:rPr>
        <w:t>15.08万元</w:t>
      </w:r>
      <w:r>
        <w:rPr>
          <w:rFonts w:hint="eastAsia" w:ascii="仿宋" w:hAnsi="仿宋" w:eastAsia="仿宋"/>
          <w:color w:val="000000"/>
          <w:sz w:val="32"/>
          <w:szCs w:val="32"/>
        </w:rPr>
        <w:t>、职业年金缴费</w:t>
      </w:r>
      <w:r>
        <w:rPr>
          <w:rFonts w:hint="eastAsia" w:ascii="仿宋" w:hAnsi="仿宋" w:eastAsia="仿宋"/>
          <w:color w:val="000000"/>
          <w:sz w:val="32"/>
          <w:szCs w:val="32"/>
          <w:lang w:val="en-US" w:eastAsia="zh-CN"/>
        </w:rPr>
        <w:t>6.03万元</w:t>
      </w:r>
      <w:r>
        <w:rPr>
          <w:rFonts w:hint="eastAsia" w:ascii="仿宋" w:hAnsi="仿宋" w:eastAsia="仿宋"/>
          <w:color w:val="000000"/>
          <w:sz w:val="32"/>
          <w:szCs w:val="32"/>
        </w:rPr>
        <w:t>、</w:t>
      </w:r>
      <w:r>
        <w:rPr>
          <w:rFonts w:hint="eastAsia" w:ascii="仿宋" w:hAnsi="仿宋" w:eastAsia="仿宋"/>
          <w:color w:val="000000"/>
          <w:sz w:val="32"/>
          <w:szCs w:val="32"/>
          <w:lang w:eastAsia="zh-CN"/>
        </w:rPr>
        <w:t>职工基本医疗保险缴费</w:t>
      </w:r>
      <w:r>
        <w:rPr>
          <w:rFonts w:hint="eastAsia" w:ascii="仿宋" w:hAnsi="仿宋" w:eastAsia="仿宋"/>
          <w:color w:val="000000"/>
          <w:sz w:val="32"/>
          <w:szCs w:val="32"/>
          <w:lang w:val="en-US" w:eastAsia="zh-CN"/>
        </w:rPr>
        <w:t>4.94万元、</w:t>
      </w:r>
      <w:r>
        <w:rPr>
          <w:rFonts w:hint="eastAsia" w:ascii="仿宋" w:hAnsi="仿宋" w:eastAsia="仿宋"/>
          <w:color w:val="000000"/>
          <w:sz w:val="32"/>
          <w:szCs w:val="32"/>
        </w:rPr>
        <w:t>其他社会保障缴费</w:t>
      </w:r>
      <w:r>
        <w:rPr>
          <w:rFonts w:hint="eastAsia" w:ascii="仿宋" w:hAnsi="仿宋" w:eastAsia="仿宋"/>
          <w:color w:val="000000"/>
          <w:sz w:val="32"/>
          <w:szCs w:val="32"/>
          <w:lang w:val="en-US" w:eastAsia="zh-CN"/>
        </w:rPr>
        <w:t>2.08万元</w:t>
      </w:r>
      <w:r>
        <w:rPr>
          <w:rFonts w:hint="eastAsia" w:ascii="仿宋" w:hAnsi="仿宋" w:eastAsia="仿宋"/>
          <w:color w:val="000000"/>
          <w:sz w:val="32"/>
          <w:szCs w:val="32"/>
        </w:rPr>
        <w:t>、医疗费</w:t>
      </w:r>
      <w:r>
        <w:rPr>
          <w:rFonts w:hint="eastAsia" w:ascii="仿宋" w:hAnsi="仿宋" w:eastAsia="仿宋"/>
          <w:color w:val="000000"/>
          <w:sz w:val="32"/>
          <w:szCs w:val="32"/>
          <w:lang w:val="en-US" w:eastAsia="zh-CN"/>
        </w:rPr>
        <w:t>1.79万元</w:t>
      </w:r>
      <w:r>
        <w:rPr>
          <w:rFonts w:hint="eastAsia" w:ascii="仿宋" w:hAnsi="仿宋" w:eastAsia="仿宋"/>
          <w:color w:val="000000"/>
          <w:sz w:val="32"/>
          <w:szCs w:val="32"/>
        </w:rPr>
        <w:t>、住房公积金</w:t>
      </w:r>
      <w:r>
        <w:rPr>
          <w:rFonts w:hint="eastAsia" w:ascii="仿宋" w:hAnsi="仿宋" w:eastAsia="仿宋"/>
          <w:color w:val="000000"/>
          <w:sz w:val="32"/>
          <w:szCs w:val="32"/>
          <w:lang w:val="en-US" w:eastAsia="zh-CN"/>
        </w:rPr>
        <w:t>9.86万元</w:t>
      </w:r>
      <w:r>
        <w:rPr>
          <w:rFonts w:hint="eastAsia" w:ascii="仿宋" w:hAnsi="仿宋" w:eastAsia="仿宋"/>
          <w:color w:val="000000"/>
          <w:sz w:val="32"/>
          <w:szCs w:val="32"/>
        </w:rPr>
        <w:t>支出。</w:t>
      </w:r>
      <w:r>
        <w:rPr>
          <w:rFonts w:ascii="仿宋" w:hAnsi="仿宋" w:eastAsia="仿宋"/>
          <w:color w:val="000000"/>
          <w:sz w:val="32"/>
          <w:szCs w:val="32"/>
        </w:rPr>
        <w:br w:type="textWrapping"/>
      </w:r>
      <w:r>
        <w:rPr>
          <w:rFonts w:hint="eastAsia" w:ascii="仿宋" w:hAnsi="仿宋" w:eastAsia="仿宋"/>
          <w:color w:val="000000"/>
          <w:sz w:val="32"/>
          <w:szCs w:val="32"/>
        </w:rPr>
        <w:t>　　公用经费</w:t>
      </w:r>
      <w:r>
        <w:rPr>
          <w:rFonts w:hint="eastAsia" w:ascii="仿宋" w:hAnsi="仿宋" w:eastAsia="仿宋"/>
          <w:color w:val="000000"/>
          <w:sz w:val="32"/>
          <w:szCs w:val="32"/>
          <w:lang w:val="en-US" w:eastAsia="zh-CN"/>
        </w:rPr>
        <w:t>13.01</w:t>
      </w:r>
      <w:r>
        <w:rPr>
          <w:rFonts w:hint="eastAsia" w:ascii="仿宋" w:hAnsi="仿宋" w:eastAsia="仿宋"/>
          <w:color w:val="000000"/>
          <w:sz w:val="32"/>
          <w:szCs w:val="32"/>
        </w:rPr>
        <w:t>万元，主要包括：办公费</w:t>
      </w:r>
      <w:r>
        <w:rPr>
          <w:rFonts w:hint="eastAsia" w:ascii="仿宋" w:hAnsi="仿宋" w:eastAsia="仿宋"/>
          <w:color w:val="000000"/>
          <w:sz w:val="32"/>
          <w:szCs w:val="32"/>
          <w:lang w:val="en-US" w:eastAsia="zh-CN"/>
        </w:rPr>
        <w:t>3.96万元</w:t>
      </w:r>
      <w:r>
        <w:rPr>
          <w:rFonts w:hint="eastAsia" w:ascii="仿宋" w:hAnsi="仿宋" w:eastAsia="仿宋"/>
          <w:color w:val="000000"/>
          <w:sz w:val="32"/>
          <w:szCs w:val="32"/>
        </w:rPr>
        <w:t>、印刷费</w:t>
      </w:r>
      <w:r>
        <w:rPr>
          <w:rFonts w:hint="eastAsia" w:ascii="仿宋" w:hAnsi="仿宋" w:eastAsia="仿宋"/>
          <w:color w:val="000000"/>
          <w:sz w:val="32"/>
          <w:szCs w:val="32"/>
          <w:lang w:val="en-US" w:eastAsia="zh-CN"/>
        </w:rPr>
        <w:t>0.36万元</w:t>
      </w:r>
      <w:r>
        <w:rPr>
          <w:rFonts w:hint="eastAsia" w:ascii="仿宋" w:hAnsi="仿宋" w:eastAsia="仿宋"/>
          <w:color w:val="000000"/>
          <w:sz w:val="32"/>
          <w:szCs w:val="32"/>
        </w:rPr>
        <w:t>、水费</w:t>
      </w:r>
      <w:r>
        <w:rPr>
          <w:rFonts w:hint="eastAsia" w:ascii="仿宋" w:hAnsi="仿宋" w:eastAsia="仿宋"/>
          <w:color w:val="000000"/>
          <w:sz w:val="32"/>
          <w:szCs w:val="32"/>
          <w:lang w:val="en-US" w:eastAsia="zh-CN"/>
        </w:rPr>
        <w:t>0.1万元</w:t>
      </w:r>
      <w:r>
        <w:rPr>
          <w:rFonts w:hint="eastAsia" w:ascii="仿宋" w:hAnsi="仿宋" w:eastAsia="仿宋"/>
          <w:color w:val="000000"/>
          <w:sz w:val="32"/>
          <w:szCs w:val="32"/>
        </w:rPr>
        <w:t>、电费</w:t>
      </w:r>
      <w:r>
        <w:rPr>
          <w:rFonts w:hint="eastAsia" w:ascii="仿宋" w:hAnsi="仿宋" w:eastAsia="仿宋"/>
          <w:color w:val="000000"/>
          <w:sz w:val="32"/>
          <w:szCs w:val="32"/>
          <w:lang w:val="en-US" w:eastAsia="zh-CN"/>
        </w:rPr>
        <w:t>1.17万元</w:t>
      </w:r>
      <w:r>
        <w:rPr>
          <w:rFonts w:hint="eastAsia" w:ascii="仿宋" w:hAnsi="仿宋" w:eastAsia="仿宋"/>
          <w:color w:val="000000"/>
          <w:sz w:val="32"/>
          <w:szCs w:val="32"/>
        </w:rPr>
        <w:t>、邮电费</w:t>
      </w:r>
      <w:r>
        <w:rPr>
          <w:rFonts w:hint="eastAsia" w:ascii="仿宋" w:hAnsi="仿宋" w:eastAsia="仿宋"/>
          <w:color w:val="000000"/>
          <w:sz w:val="32"/>
          <w:szCs w:val="32"/>
          <w:lang w:val="en-US" w:eastAsia="zh-CN"/>
        </w:rPr>
        <w:t>0.09万元</w:t>
      </w:r>
      <w:r>
        <w:rPr>
          <w:rFonts w:hint="eastAsia" w:ascii="仿宋" w:hAnsi="仿宋" w:eastAsia="仿宋"/>
          <w:color w:val="000000"/>
          <w:sz w:val="32"/>
          <w:szCs w:val="32"/>
        </w:rPr>
        <w:t>、取暖费</w:t>
      </w:r>
      <w:r>
        <w:rPr>
          <w:rFonts w:hint="eastAsia" w:ascii="仿宋" w:hAnsi="仿宋" w:eastAsia="仿宋"/>
          <w:color w:val="000000"/>
          <w:sz w:val="32"/>
          <w:szCs w:val="32"/>
          <w:lang w:val="en-US" w:eastAsia="zh-CN"/>
        </w:rPr>
        <w:t>0.83万元</w:t>
      </w:r>
      <w:r>
        <w:rPr>
          <w:rFonts w:hint="eastAsia" w:ascii="仿宋" w:hAnsi="仿宋" w:eastAsia="仿宋"/>
          <w:color w:val="000000"/>
          <w:sz w:val="32"/>
          <w:szCs w:val="32"/>
        </w:rPr>
        <w:t>、差旅费</w:t>
      </w:r>
      <w:r>
        <w:rPr>
          <w:rFonts w:hint="eastAsia" w:ascii="仿宋" w:hAnsi="仿宋" w:eastAsia="仿宋"/>
          <w:color w:val="000000"/>
          <w:sz w:val="32"/>
          <w:szCs w:val="32"/>
          <w:lang w:val="en-US" w:eastAsia="zh-CN"/>
        </w:rPr>
        <w:t>2.37万元</w:t>
      </w:r>
      <w:r>
        <w:rPr>
          <w:rFonts w:hint="eastAsia" w:ascii="仿宋" w:hAnsi="仿宋" w:eastAsia="仿宋"/>
          <w:color w:val="000000"/>
          <w:sz w:val="32"/>
          <w:szCs w:val="32"/>
        </w:rPr>
        <w:t>、公务接待费</w:t>
      </w:r>
      <w:r>
        <w:rPr>
          <w:rFonts w:hint="eastAsia" w:ascii="仿宋" w:hAnsi="仿宋" w:eastAsia="仿宋"/>
          <w:color w:val="000000"/>
          <w:sz w:val="32"/>
          <w:szCs w:val="32"/>
          <w:lang w:val="en-US" w:eastAsia="zh-CN"/>
        </w:rPr>
        <w:t>0.64万元</w:t>
      </w:r>
      <w:r>
        <w:rPr>
          <w:rFonts w:hint="eastAsia" w:ascii="仿宋" w:hAnsi="仿宋" w:eastAsia="仿宋"/>
          <w:color w:val="000000"/>
          <w:sz w:val="32"/>
          <w:szCs w:val="32"/>
        </w:rPr>
        <w:t>、劳务费</w:t>
      </w:r>
      <w:r>
        <w:rPr>
          <w:rFonts w:hint="eastAsia" w:ascii="仿宋" w:hAnsi="仿宋" w:eastAsia="仿宋"/>
          <w:color w:val="000000"/>
          <w:sz w:val="32"/>
          <w:szCs w:val="32"/>
          <w:lang w:val="en-US" w:eastAsia="zh-CN"/>
        </w:rPr>
        <w:t>0.72万元</w:t>
      </w:r>
      <w:r>
        <w:rPr>
          <w:rFonts w:hint="eastAsia" w:ascii="仿宋" w:hAnsi="仿宋" w:eastAsia="仿宋"/>
          <w:color w:val="000000"/>
          <w:sz w:val="32"/>
          <w:szCs w:val="32"/>
        </w:rPr>
        <w:t>、公务用车运行维护费</w:t>
      </w:r>
      <w:r>
        <w:rPr>
          <w:rFonts w:hint="eastAsia" w:ascii="仿宋" w:hAnsi="仿宋" w:eastAsia="仿宋"/>
          <w:color w:val="000000"/>
          <w:sz w:val="32"/>
          <w:szCs w:val="32"/>
          <w:lang w:val="en-US" w:eastAsia="zh-CN"/>
        </w:rPr>
        <w:t>2.64万元</w:t>
      </w:r>
      <w:r>
        <w:rPr>
          <w:rFonts w:hint="eastAsia" w:ascii="仿宋" w:hAnsi="仿宋" w:eastAsia="仿宋"/>
          <w:color w:val="000000"/>
          <w:sz w:val="32"/>
          <w:szCs w:val="32"/>
        </w:rPr>
        <w:t>支出等。</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仿宋" w:hAnsi="仿宋" w:eastAsia="仿宋" w:cs="Times New Roman"/>
          <w:color w:val="000000"/>
          <w:kern w:val="2"/>
          <w:sz w:val="32"/>
          <w:szCs w:val="32"/>
          <w:lang w:val="en-US" w:eastAsia="zh-CN" w:bidi="ar-SA"/>
        </w:rPr>
      </w:pPr>
      <w:r>
        <w:rPr>
          <w:rFonts w:hint="eastAsia" w:ascii="仿宋_GB2312" w:hAnsi="仿宋_GB2312" w:eastAsia="仿宋_GB2312" w:cs="仿宋_GB2312"/>
          <w:i w:val="0"/>
          <w:caps w:val="0"/>
          <w:color w:val="333333"/>
          <w:spacing w:val="0"/>
          <w:sz w:val="30"/>
          <w:szCs w:val="30"/>
          <w:shd w:val="clear" w:fill="FFFFFF"/>
        </w:rPr>
        <w:t>　　</w:t>
      </w:r>
      <w:r>
        <w:rPr>
          <w:rFonts w:hint="eastAsia" w:ascii="仿宋" w:hAnsi="仿宋" w:eastAsia="仿宋" w:cs="Times New Roman"/>
          <w:color w:val="000000"/>
          <w:kern w:val="2"/>
          <w:sz w:val="32"/>
          <w:szCs w:val="32"/>
          <w:lang w:val="en-US" w:eastAsia="zh-CN" w:bidi="ar-SA"/>
        </w:rPr>
        <w:t>按支出功能分类主要用于以下方面:</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仿宋" w:hAnsi="仿宋" w:eastAsia="仿宋" w:cs="Times New Roman"/>
          <w:color w:val="000000"/>
          <w:kern w:val="2"/>
          <w:sz w:val="32"/>
          <w:szCs w:val="32"/>
          <w:lang w:val="en-US" w:eastAsia="zh-CN" w:bidi="ar-SA"/>
        </w:rPr>
      </w:pPr>
      <w:r>
        <w:rPr>
          <w:rFonts w:hint="eastAsia" w:ascii="仿宋" w:hAnsi="仿宋" w:eastAsia="仿宋" w:cs="Times New Roman"/>
          <w:color w:val="000000"/>
          <w:kern w:val="2"/>
          <w:sz w:val="32"/>
          <w:szCs w:val="32"/>
          <w:lang w:val="en-US" w:eastAsia="zh-CN" w:bidi="ar-SA"/>
        </w:rPr>
        <w:t>　　（一）208社会保障和就业支出21.12万元，主要用于机关养老保险及职业年金缴费支出。</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仿宋" w:hAnsi="仿宋" w:eastAsia="仿宋" w:cs="Times New Roman"/>
          <w:color w:val="000000"/>
          <w:kern w:val="2"/>
          <w:sz w:val="32"/>
          <w:szCs w:val="32"/>
          <w:lang w:val="en-US" w:eastAsia="zh-CN" w:bidi="ar-SA"/>
        </w:rPr>
      </w:pPr>
      <w:r>
        <w:rPr>
          <w:rFonts w:hint="eastAsia" w:ascii="仿宋" w:hAnsi="仿宋" w:eastAsia="仿宋" w:cs="Times New Roman"/>
          <w:color w:val="000000"/>
          <w:kern w:val="2"/>
          <w:sz w:val="32"/>
          <w:szCs w:val="32"/>
          <w:lang w:val="en-US" w:eastAsia="zh-CN" w:bidi="ar-SA"/>
        </w:rPr>
        <w:t>　　（二）210医疗卫生和计划生育支出127.89万元，主要用于机关按照规定标准为职工缴纳的基本医疗保险及公务员医疗补助等支出。</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仿宋" w:hAnsi="仿宋" w:eastAsia="仿宋" w:cs="Times New Roman"/>
          <w:color w:val="000000"/>
          <w:kern w:val="2"/>
          <w:sz w:val="32"/>
          <w:szCs w:val="32"/>
          <w:lang w:val="en-US" w:eastAsia="zh-CN" w:bidi="ar-SA"/>
        </w:rPr>
      </w:pPr>
      <w:r>
        <w:rPr>
          <w:rFonts w:hint="eastAsia" w:ascii="仿宋" w:hAnsi="仿宋" w:eastAsia="仿宋" w:cs="Times New Roman"/>
          <w:color w:val="000000"/>
          <w:kern w:val="2"/>
          <w:sz w:val="32"/>
          <w:szCs w:val="32"/>
          <w:lang w:val="en-US" w:eastAsia="zh-CN" w:bidi="ar-SA"/>
        </w:rPr>
        <w:t>　　（三）221住房保障支出9.86万元，用于机关按照规定标准为职工缴纳住房公积金等支出。</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仿宋" w:hAnsi="仿宋" w:eastAsia="仿宋" w:cs="Times New Roman"/>
          <w:color w:val="000000"/>
          <w:kern w:val="2"/>
          <w:sz w:val="32"/>
          <w:szCs w:val="32"/>
          <w:lang w:val="en-US" w:eastAsia="zh-CN" w:bidi="ar-SA"/>
        </w:rPr>
      </w:pPr>
      <w:r>
        <w:rPr>
          <w:rFonts w:hint="eastAsia" w:ascii="仿宋" w:hAnsi="仿宋" w:eastAsia="仿宋" w:cs="Times New Roman"/>
          <w:color w:val="000000"/>
          <w:kern w:val="2"/>
          <w:sz w:val="32"/>
          <w:szCs w:val="32"/>
          <w:lang w:val="en-US" w:eastAsia="zh-CN" w:bidi="ar-SA"/>
        </w:rPr>
        <w:t>　　较上年度增减变化。</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00"/>
        <w:rPr>
          <w:rFonts w:hint="eastAsia" w:ascii="仿宋_GB2312" w:hAnsi="仿宋_GB2312" w:eastAsia="仿宋_GB2312" w:cs="仿宋_GB2312"/>
          <w:i w:val="0"/>
          <w:caps w:val="0"/>
          <w:color w:val="333333"/>
          <w:spacing w:val="0"/>
          <w:sz w:val="30"/>
          <w:szCs w:val="30"/>
          <w:shd w:val="clear" w:fill="FFFFFF"/>
        </w:rPr>
      </w:pPr>
      <w:r>
        <w:rPr>
          <w:rFonts w:hint="eastAsia" w:ascii="仿宋" w:hAnsi="仿宋" w:eastAsia="仿宋"/>
          <w:color w:val="000000"/>
          <w:sz w:val="32"/>
          <w:szCs w:val="32"/>
        </w:rPr>
        <w:t>2018年度收</w:t>
      </w:r>
      <w:r>
        <w:rPr>
          <w:rFonts w:hint="eastAsia" w:ascii="仿宋" w:hAnsi="仿宋" w:eastAsia="仿宋"/>
          <w:color w:val="000000"/>
          <w:sz w:val="32"/>
          <w:szCs w:val="32"/>
          <w:lang w:eastAsia="zh-CN"/>
        </w:rPr>
        <w:t>入</w:t>
      </w:r>
      <w:r>
        <w:rPr>
          <w:rFonts w:hint="eastAsia" w:ascii="仿宋" w:hAnsi="仿宋" w:eastAsia="仿宋"/>
          <w:color w:val="000000"/>
          <w:sz w:val="32"/>
          <w:szCs w:val="32"/>
        </w:rPr>
        <w:t>总计</w:t>
      </w:r>
      <w:r>
        <w:rPr>
          <w:rFonts w:hint="eastAsia" w:ascii="仿宋" w:hAnsi="仿宋" w:eastAsia="仿宋"/>
          <w:color w:val="000000"/>
          <w:sz w:val="32"/>
          <w:szCs w:val="32"/>
          <w:lang w:val="en-US" w:eastAsia="zh-CN"/>
        </w:rPr>
        <w:t>161.51</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较上年度预算增加</w:t>
      </w:r>
      <w:r>
        <w:rPr>
          <w:rFonts w:hint="eastAsia" w:ascii="仿宋" w:hAnsi="仿宋" w:eastAsia="仿宋"/>
          <w:color w:val="000000"/>
          <w:sz w:val="32"/>
          <w:szCs w:val="32"/>
          <w:lang w:val="en-US" w:eastAsia="zh-CN"/>
        </w:rPr>
        <w:t>17.3</w:t>
      </w:r>
      <w:r>
        <w:rPr>
          <w:rFonts w:ascii="仿宋" w:hAnsi="仿宋" w:eastAsia="仿宋"/>
          <w:color w:val="000000"/>
          <w:sz w:val="32"/>
          <w:szCs w:val="32"/>
        </w:rPr>
        <w:t>%</w:t>
      </w:r>
      <w:r>
        <w:rPr>
          <w:rFonts w:hint="eastAsia" w:ascii="仿宋" w:hAnsi="仿宋" w:eastAsia="仿宋"/>
          <w:color w:val="000000"/>
          <w:sz w:val="32"/>
          <w:szCs w:val="32"/>
        </w:rPr>
        <w:t>。</w:t>
      </w:r>
    </w:p>
    <w:p>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left="0" w:right="0" w:firstLine="602" w:firstLineChars="200"/>
        <w:textAlignment w:val="auto"/>
        <w:rPr>
          <w:rFonts w:hint="eastAsia" w:ascii="仿宋_GB2312" w:hAnsi="仿宋_GB2312" w:eastAsia="仿宋_GB2312" w:cs="仿宋_GB2312"/>
          <w:b/>
          <w:bCs w:val="0"/>
          <w:i w:val="0"/>
          <w:caps w:val="0"/>
          <w:color w:val="000000" w:themeColor="text1"/>
          <w:spacing w:val="0"/>
          <w:sz w:val="30"/>
          <w:szCs w:val="30"/>
          <w14:textFill>
            <w14:solidFill>
              <w14:schemeClr w14:val="tx1"/>
            </w14:solidFill>
          </w14:textFill>
        </w:rPr>
      </w:pPr>
      <w:r>
        <w:rPr>
          <w:rStyle w:val="15"/>
          <w:rFonts w:hint="eastAsia" w:ascii="仿宋_GB2312" w:hAnsi="仿宋_GB2312" w:eastAsia="仿宋_GB2312" w:cs="仿宋_GB2312"/>
          <w:b/>
          <w:bCs w:val="0"/>
          <w:i w:val="0"/>
          <w:caps w:val="0"/>
          <w:color w:val="000000" w:themeColor="text1"/>
          <w:spacing w:val="0"/>
          <w:sz w:val="30"/>
          <w:szCs w:val="30"/>
          <w:shd w:val="clear" w:fill="FFFFFF"/>
          <w14:textFill>
            <w14:solidFill>
              <w14:schemeClr w14:val="tx1"/>
            </w14:solidFill>
          </w14:textFill>
        </w:rPr>
        <w:t>（二）执行管理情况</w:t>
      </w:r>
    </w:p>
    <w:p>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firstLine="600" w:firstLineChars="200"/>
        <w:textAlignment w:val="auto"/>
        <w:rPr>
          <w:rFonts w:hint="eastAsia" w:ascii="仿宋_GB2312" w:hAnsi="仿宋_GB2312" w:eastAsia="仿宋_GB2312" w:cs="仿宋_GB2312"/>
          <w:b w:val="0"/>
          <w:i w:val="0"/>
          <w:caps w:val="0"/>
          <w:color w:val="000000" w:themeColor="text1"/>
          <w:spacing w:val="0"/>
          <w:sz w:val="30"/>
          <w:szCs w:val="30"/>
          <w14:textFill>
            <w14:solidFill>
              <w14:schemeClr w14:val="tx1"/>
            </w14:solidFill>
          </w14:textFill>
        </w:rPr>
      </w:pP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本着少花钱、多办事、办好事、遵循有预算才支出的原则，201</w:t>
      </w:r>
      <w:r>
        <w:rPr>
          <w:rFonts w:hint="eastAsia" w:ascii="仿宋_GB2312" w:hAnsi="仿宋_GB2312" w:eastAsia="仿宋_GB2312" w:cs="仿宋_GB2312"/>
          <w:b w:val="0"/>
          <w:i w:val="0"/>
          <w:caps w:val="0"/>
          <w:color w:val="000000" w:themeColor="text1"/>
          <w:spacing w:val="0"/>
          <w:sz w:val="30"/>
          <w:szCs w:val="30"/>
          <w:shd w:val="clear" w:fill="FFFFFF"/>
          <w:lang w:val="en-US" w:eastAsia="zh-CN"/>
          <w14:textFill>
            <w14:solidFill>
              <w14:schemeClr w14:val="tx1"/>
            </w14:solidFill>
          </w14:textFill>
        </w:rPr>
        <w:t>8</w:t>
      </w: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年财政预算支出全面落实到位，均按规定的用途支付</w:t>
      </w:r>
    </w:p>
    <w:p>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left="0" w:right="0" w:firstLine="645"/>
        <w:textAlignment w:val="auto"/>
        <w:rPr>
          <w:rFonts w:hint="eastAsia" w:ascii="仿宋_GB2312" w:hAnsi="仿宋_GB2312" w:eastAsia="仿宋_GB2312" w:cs="仿宋_GB2312"/>
          <w:b w:val="0"/>
          <w:i w:val="0"/>
          <w:caps w:val="0"/>
          <w:color w:val="000000" w:themeColor="text1"/>
          <w:spacing w:val="0"/>
          <w:sz w:val="30"/>
          <w:szCs w:val="30"/>
          <w14:textFill>
            <w14:solidFill>
              <w14:schemeClr w14:val="tx1"/>
            </w14:solidFill>
          </w14:textFill>
        </w:rPr>
      </w:pP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基本支出，是用于保障本单位正常运转的日常支出，包括基本工资、津贴补贴等人员经费以及办公费、印刷费、水电费、办公设备购置等日常公用经费。</w:t>
      </w:r>
    </w:p>
    <w:p>
      <w:pPr>
        <w:pStyle w:val="1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2" w:lineRule="atLeast"/>
        <w:ind w:left="0" w:right="0" w:firstLine="600" w:firstLineChars="200"/>
        <w:rPr>
          <w:rFonts w:hint="eastAsia" w:ascii="仿宋_GB2312" w:hAnsi="仿宋_GB2312" w:eastAsia="仿宋_GB2312" w:cs="仿宋_GB2312"/>
          <w:b w:val="0"/>
          <w:i w:val="0"/>
          <w:caps w:val="0"/>
          <w:color w:val="000000" w:themeColor="text1"/>
          <w:spacing w:val="0"/>
          <w:sz w:val="30"/>
          <w:szCs w:val="30"/>
          <w:shd w:val="clear" w:fill="FFFFFF"/>
          <w:lang w:val="en-US" w:eastAsia="zh-CN"/>
          <w14:textFill>
            <w14:solidFill>
              <w14:schemeClr w14:val="tx1"/>
            </w14:solidFill>
          </w14:textFill>
        </w:rPr>
      </w:pP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项目支出</w:t>
      </w:r>
      <w:r>
        <w:rPr>
          <w:rFonts w:hint="eastAsia" w:ascii="仿宋_GB2312" w:hAnsi="仿宋_GB2312" w:eastAsia="仿宋_GB2312" w:cs="仿宋_GB2312"/>
          <w:b w:val="0"/>
          <w:i w:val="0"/>
          <w:caps w:val="0"/>
          <w:color w:val="000000" w:themeColor="text1"/>
          <w:spacing w:val="0"/>
          <w:sz w:val="30"/>
          <w:szCs w:val="30"/>
          <w:shd w:val="clear" w:fill="FFFFFF"/>
          <w:lang w:eastAsia="zh-CN"/>
          <w14:textFill>
            <w14:solidFill>
              <w14:schemeClr w14:val="tx1"/>
            </w14:solidFill>
          </w14:textFill>
        </w:rPr>
        <w:t>为公共卫生类（重大公共卫生专项）项目</w:t>
      </w:r>
      <w:r>
        <w:rPr>
          <w:rFonts w:hint="eastAsia" w:ascii="仿宋_GB2312" w:hAnsi="仿宋_GB2312" w:eastAsia="仿宋_GB2312" w:cs="仿宋_GB2312"/>
          <w:b w:val="0"/>
          <w:i w:val="0"/>
          <w:caps w:val="0"/>
          <w:color w:val="000000" w:themeColor="text1"/>
          <w:spacing w:val="0"/>
          <w:sz w:val="30"/>
          <w:szCs w:val="30"/>
          <w:shd w:val="clear" w:fill="FFFFFF"/>
          <w:lang w:val="en-US" w:eastAsia="zh-CN"/>
          <w14:textFill>
            <w14:solidFill>
              <w14:schemeClr w14:val="tx1"/>
            </w14:solidFill>
          </w14:textFill>
        </w:rPr>
        <w:t>3万元。</w:t>
      </w:r>
    </w:p>
    <w:p>
      <w:pPr>
        <w:pStyle w:val="1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2" w:lineRule="atLeast"/>
        <w:ind w:left="0" w:right="0" w:firstLine="600" w:firstLineChars="200"/>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pP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本年度三公经费预算安排支出为</w:t>
      </w:r>
      <w:r>
        <w:rPr>
          <w:rFonts w:hint="eastAsia" w:ascii="仿宋_GB2312" w:hAnsi="仿宋_GB2312" w:eastAsia="仿宋_GB2312" w:cs="仿宋_GB2312"/>
          <w:b w:val="0"/>
          <w:i w:val="0"/>
          <w:caps w:val="0"/>
          <w:color w:val="000000" w:themeColor="text1"/>
          <w:spacing w:val="0"/>
          <w:sz w:val="30"/>
          <w:szCs w:val="30"/>
          <w:shd w:val="clear" w:fill="FFFFFF"/>
          <w:lang w:val="en-US" w:eastAsia="zh-CN"/>
          <w14:textFill>
            <w14:solidFill>
              <w14:schemeClr w14:val="tx1"/>
            </w14:solidFill>
          </w14:textFill>
        </w:rPr>
        <w:t>3.3</w:t>
      </w: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万元,较上年同期</w:t>
      </w:r>
      <w:r>
        <w:rPr>
          <w:rFonts w:hint="eastAsia" w:ascii="仿宋_GB2312" w:hAnsi="仿宋_GB2312" w:eastAsia="仿宋_GB2312" w:cs="仿宋_GB2312"/>
          <w:b w:val="0"/>
          <w:i w:val="0"/>
          <w:caps w:val="0"/>
          <w:color w:val="000000" w:themeColor="text1"/>
          <w:spacing w:val="0"/>
          <w:sz w:val="30"/>
          <w:szCs w:val="30"/>
          <w:shd w:val="clear" w:fill="FFFFFF"/>
          <w:lang w:eastAsia="zh-CN"/>
          <w14:textFill>
            <w14:solidFill>
              <w14:schemeClr w14:val="tx1"/>
            </w14:solidFill>
          </w14:textFill>
        </w:rPr>
        <w:t>减少</w:t>
      </w: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，主要原因为严格执行三公经费只减不增原则。</w:t>
      </w:r>
      <w:r>
        <w:rPr>
          <w:rFonts w:hint="eastAsia" w:ascii="仿宋_GB2312" w:hAnsi="仿宋_GB2312" w:eastAsia="仿宋_GB2312" w:cs="仿宋_GB2312"/>
          <w:b w:val="0"/>
          <w:i w:val="0"/>
          <w:caps w:val="0"/>
          <w:color w:val="000000" w:themeColor="text1"/>
          <w:spacing w:val="0"/>
          <w:sz w:val="30"/>
          <w:szCs w:val="30"/>
          <w:shd w:val="clear" w:fill="FFFFFF"/>
          <w:lang w:eastAsia="zh-CN"/>
          <w14:textFill>
            <w14:solidFill>
              <w14:schemeClr w14:val="tx1"/>
            </w14:solidFill>
          </w14:textFill>
        </w:rPr>
        <w:t>我单位</w:t>
      </w: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201</w:t>
      </w:r>
      <w:r>
        <w:rPr>
          <w:rFonts w:hint="eastAsia" w:ascii="仿宋_GB2312" w:hAnsi="仿宋_GB2312" w:eastAsia="仿宋_GB2312" w:cs="仿宋_GB2312"/>
          <w:b w:val="0"/>
          <w:i w:val="0"/>
          <w:caps w:val="0"/>
          <w:color w:val="000000" w:themeColor="text1"/>
          <w:spacing w:val="0"/>
          <w:sz w:val="30"/>
          <w:szCs w:val="30"/>
          <w:shd w:val="clear" w:fill="FFFFFF"/>
          <w:lang w:val="en-US" w:eastAsia="zh-CN"/>
          <w14:textFill>
            <w14:solidFill>
              <w14:schemeClr w14:val="tx1"/>
            </w14:solidFill>
          </w14:textFill>
        </w:rPr>
        <w:t>8</w:t>
      </w: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年未发生公务出国（境）费用，本着厉行节约的原则，公务用车实行定点加油和维修，使用及维修前报分管领导和主要负责人同意。</w:t>
      </w:r>
    </w:p>
    <w:p>
      <w:pPr>
        <w:pStyle w:val="12"/>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02" w:firstLineChars="200"/>
        <w:textAlignment w:val="auto"/>
        <w:rPr>
          <w:rStyle w:val="15"/>
          <w:rFonts w:hint="eastAsia" w:ascii="仿宋_GB2312" w:hAnsi="仿宋_GB2312" w:eastAsia="仿宋_GB2312" w:cs="仿宋_GB2312"/>
          <w:i w:val="0"/>
          <w:caps w:val="0"/>
          <w:color w:val="000000" w:themeColor="text1"/>
          <w:spacing w:val="0"/>
          <w:sz w:val="30"/>
          <w:szCs w:val="30"/>
          <w:shd w:val="clear" w:fill="FFFFFF"/>
          <w:lang w:eastAsia="zh-CN"/>
          <w14:textFill>
            <w14:solidFill>
              <w14:schemeClr w14:val="tx1"/>
            </w14:solidFill>
          </w14:textFill>
        </w:rPr>
      </w:pPr>
      <w:r>
        <w:rPr>
          <w:rStyle w:val="15"/>
          <w:rFonts w:hint="eastAsia" w:ascii="仿宋_GB2312" w:hAnsi="仿宋_GB2312" w:eastAsia="仿宋_GB2312" w:cs="仿宋_GB2312"/>
          <w:i w:val="0"/>
          <w:caps w:val="0"/>
          <w:color w:val="000000" w:themeColor="text1"/>
          <w:spacing w:val="0"/>
          <w:sz w:val="30"/>
          <w:szCs w:val="30"/>
          <w:shd w:val="clear" w:fill="FFFFFF"/>
          <w:lang w:eastAsia="zh-CN"/>
          <w14:textFill>
            <w14:solidFill>
              <w14:schemeClr w14:val="tx1"/>
            </w14:solidFill>
          </w14:textFill>
        </w:rPr>
        <w:t>（三）综合管理情况</w:t>
      </w:r>
    </w:p>
    <w:p>
      <w:pPr>
        <w:pStyle w:val="12"/>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00" w:firstLineChars="200"/>
        <w:textAlignment w:val="auto"/>
        <w:rPr>
          <w:rFonts w:hint="eastAsia" w:ascii="仿宋_GB2312" w:hAnsi="仿宋_GB2312" w:eastAsia="仿宋_GB2312" w:cs="仿宋_GB2312"/>
          <w:color w:val="000000" w:themeColor="text1"/>
          <w:sz w:val="30"/>
          <w:szCs w:val="30"/>
          <w14:textFill>
            <w14:solidFill>
              <w14:schemeClr w14:val="tx1"/>
            </w14:solidFill>
          </w14:textFill>
        </w:rPr>
      </w:pPr>
      <w:r>
        <w:rPr>
          <w:rFonts w:hint="eastAsia" w:ascii="仿宋_GB2312" w:hAnsi="仿宋_GB2312" w:eastAsia="仿宋_GB2312" w:cs="仿宋_GB2312"/>
          <w:color w:val="000000" w:themeColor="text1"/>
          <w:sz w:val="30"/>
          <w:szCs w:val="30"/>
          <w:lang w:val="en-US" w:eastAsia="zh-CN"/>
          <w14:textFill>
            <w14:solidFill>
              <w14:schemeClr w14:val="tx1"/>
            </w14:solidFill>
          </w14:textFill>
        </w:rPr>
        <w:t>1.</w:t>
      </w:r>
      <w:r>
        <w:rPr>
          <w:rFonts w:hint="eastAsia" w:ascii="仿宋_GB2312" w:hAnsi="仿宋_GB2312" w:eastAsia="仿宋_GB2312" w:cs="仿宋_GB2312"/>
          <w:color w:val="000000" w:themeColor="text1"/>
          <w:sz w:val="30"/>
          <w:szCs w:val="30"/>
          <w:lang w:eastAsia="zh-CN"/>
          <w14:textFill>
            <w14:solidFill>
              <w14:schemeClr w14:val="tx1"/>
            </w14:solidFill>
          </w14:textFill>
        </w:rPr>
        <w:t>建立健全内部控制</w:t>
      </w:r>
      <w:r>
        <w:rPr>
          <w:rFonts w:hint="eastAsia" w:ascii="仿宋_GB2312" w:hAnsi="仿宋_GB2312" w:eastAsia="仿宋_GB2312" w:cs="仿宋_GB2312"/>
          <w:color w:val="000000" w:themeColor="text1"/>
          <w:sz w:val="30"/>
          <w:szCs w:val="30"/>
          <w14:textFill>
            <w14:solidFill>
              <w14:schemeClr w14:val="tx1"/>
            </w14:solidFill>
          </w14:textFill>
        </w:rPr>
        <w:t>制度：我</w:t>
      </w:r>
      <w:r>
        <w:rPr>
          <w:rFonts w:hint="eastAsia" w:ascii="仿宋_GB2312" w:hAnsi="仿宋_GB2312" w:eastAsia="仿宋_GB2312" w:cs="仿宋_GB2312"/>
          <w:color w:val="000000" w:themeColor="text1"/>
          <w:sz w:val="30"/>
          <w:szCs w:val="30"/>
          <w:lang w:eastAsia="zh-CN"/>
          <w14:textFill>
            <w14:solidFill>
              <w14:schemeClr w14:val="tx1"/>
            </w14:solidFill>
          </w14:textFill>
        </w:rPr>
        <w:t>单位</w:t>
      </w:r>
      <w:r>
        <w:rPr>
          <w:rFonts w:hint="eastAsia" w:ascii="仿宋_GB2312" w:hAnsi="仿宋_GB2312" w:eastAsia="仿宋_GB2312" w:cs="仿宋_GB2312"/>
          <w:color w:val="000000" w:themeColor="text1"/>
          <w:sz w:val="30"/>
          <w:szCs w:val="30"/>
          <w14:textFill>
            <w14:solidFill>
              <w14:schemeClr w14:val="tx1"/>
            </w14:solidFill>
          </w14:textFill>
        </w:rPr>
        <w:t>加强和规范内部控制，提高内部管理水平和风险防范能力，杜绝违法违纪行为，推进廉政建设，维护社会公众利益，根据《中华人民共和国会计法》、《中华人民共和国预算法》、《行政事业单位内部控制规范》(试行)和其他有关法律法规。</w:t>
      </w:r>
    </w:p>
    <w:p>
      <w:pPr>
        <w:pStyle w:val="12"/>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00" w:firstLineChars="200"/>
        <w:textAlignment w:val="auto"/>
        <w:rPr>
          <w:rFonts w:hint="eastAsia" w:ascii="仿宋_GB2312" w:hAnsi="仿宋_GB2312" w:eastAsia="仿宋_GB2312" w:cs="仿宋_GB2312"/>
          <w:color w:val="000000" w:themeColor="text1"/>
          <w:sz w:val="30"/>
          <w:szCs w:val="30"/>
          <w14:textFill>
            <w14:solidFill>
              <w14:schemeClr w14:val="tx1"/>
            </w14:solidFill>
          </w14:textFill>
        </w:rPr>
      </w:pPr>
      <w:r>
        <w:rPr>
          <w:rFonts w:hint="eastAsia" w:ascii="仿宋_GB2312" w:hAnsi="仿宋_GB2312" w:eastAsia="仿宋_GB2312" w:cs="仿宋_GB2312"/>
          <w:color w:val="000000" w:themeColor="text1"/>
          <w:sz w:val="30"/>
          <w:szCs w:val="30"/>
          <w:lang w:val="en-US" w:eastAsia="zh-CN"/>
          <w14:textFill>
            <w14:solidFill>
              <w14:schemeClr w14:val="tx1"/>
            </w14:solidFill>
          </w14:textFill>
        </w:rPr>
        <w:t>2.</w:t>
      </w:r>
      <w:r>
        <w:rPr>
          <w:rFonts w:hint="eastAsia" w:ascii="仿宋_GB2312" w:hAnsi="仿宋_GB2312" w:eastAsia="仿宋_GB2312" w:cs="仿宋_GB2312"/>
          <w:color w:val="000000" w:themeColor="text1"/>
          <w:sz w:val="30"/>
          <w:szCs w:val="30"/>
          <w14:textFill>
            <w14:solidFill>
              <w14:schemeClr w14:val="tx1"/>
            </w14:solidFill>
          </w14:textFill>
        </w:rPr>
        <w:t xml:space="preserve">资金使用合规性：资金支出符合国家财经法规和财务管理制度规定以及有关专项资金管理办法的规定；资金拨付有完整的审批程序和手续；符合部门预算批复的用途；资金使用无截留、挤占、挪用、虚列支出等情况。 </w:t>
      </w:r>
    </w:p>
    <w:p>
      <w:pPr>
        <w:pStyle w:val="12"/>
        <w:keepNext w:val="0"/>
        <w:keepLines w:val="0"/>
        <w:pageBreakBefore w:val="0"/>
        <w:widowControl/>
        <w:suppressLineNumbers w:val="0"/>
        <w:kinsoku/>
        <w:wordWrap/>
        <w:overflowPunct/>
        <w:topLinePunct w:val="0"/>
        <w:autoSpaceDE/>
        <w:autoSpaceDN/>
        <w:bidi w:val="0"/>
        <w:adjustRightInd/>
        <w:spacing w:before="0" w:beforeAutospacing="0" w:after="0" w:afterAutospacing="0" w:line="540" w:lineRule="exact"/>
        <w:ind w:left="0" w:right="0" w:firstLine="600" w:firstLineChars="200"/>
        <w:textAlignment w:val="auto"/>
        <w:rPr>
          <w:rFonts w:hint="eastAsia" w:ascii="仿宋_GB2312" w:hAnsi="仿宋_GB2312" w:eastAsia="仿宋_GB2312" w:cs="仿宋_GB2312"/>
          <w:color w:val="000000" w:themeColor="text1"/>
          <w:sz w:val="30"/>
          <w:szCs w:val="30"/>
          <w14:textFill>
            <w14:solidFill>
              <w14:schemeClr w14:val="tx1"/>
            </w14:solidFill>
          </w14:textFill>
        </w:rPr>
      </w:pPr>
      <w:r>
        <w:rPr>
          <w:rFonts w:hint="eastAsia" w:ascii="仿宋_GB2312" w:hAnsi="仿宋_GB2312" w:eastAsia="仿宋_GB2312" w:cs="仿宋_GB2312"/>
          <w:color w:val="000000" w:themeColor="text1"/>
          <w:sz w:val="30"/>
          <w:szCs w:val="30"/>
          <w14:textFill>
            <w14:solidFill>
              <w14:schemeClr w14:val="tx1"/>
            </w14:solidFill>
          </w14:textFill>
        </w:rPr>
        <w:t>3</w:t>
      </w:r>
      <w:r>
        <w:rPr>
          <w:rFonts w:hint="eastAsia" w:ascii="仿宋_GB2312" w:hAnsi="仿宋_GB2312" w:eastAsia="仿宋_GB2312" w:cs="仿宋_GB2312"/>
          <w:color w:val="000000" w:themeColor="text1"/>
          <w:sz w:val="30"/>
          <w:szCs w:val="30"/>
          <w:lang w:val="en-US" w:eastAsia="zh-CN"/>
          <w14:textFill>
            <w14:solidFill>
              <w14:schemeClr w14:val="tx1"/>
            </w14:solidFill>
          </w14:textFill>
        </w:rPr>
        <w:t>.</w:t>
      </w:r>
      <w:r>
        <w:rPr>
          <w:rFonts w:hint="eastAsia" w:ascii="仿宋_GB2312" w:hAnsi="仿宋_GB2312" w:eastAsia="仿宋_GB2312" w:cs="仿宋_GB2312"/>
          <w:color w:val="000000" w:themeColor="text1"/>
          <w:sz w:val="30"/>
          <w:szCs w:val="30"/>
          <w14:textFill>
            <w14:solidFill>
              <w14:schemeClr w14:val="tx1"/>
            </w14:solidFill>
          </w14:textFill>
        </w:rPr>
        <w:t>预算信息公开：</w:t>
      </w:r>
      <w:r>
        <w:rPr>
          <w:rFonts w:hint="eastAsia" w:ascii="仿宋_GB2312" w:hAnsi="仿宋_GB2312" w:eastAsia="仿宋_GB2312" w:cs="仿宋_GB2312"/>
          <w:color w:val="000000" w:themeColor="text1"/>
          <w:sz w:val="30"/>
          <w:szCs w:val="30"/>
          <w:lang w:eastAsia="zh-CN"/>
          <w14:textFill>
            <w14:solidFill>
              <w14:schemeClr w14:val="tx1"/>
            </w14:solidFill>
          </w14:textFill>
        </w:rPr>
        <w:t>我单位</w:t>
      </w:r>
      <w:r>
        <w:rPr>
          <w:rFonts w:hint="eastAsia" w:ascii="仿宋_GB2312" w:hAnsi="仿宋_GB2312" w:eastAsia="仿宋_GB2312" w:cs="仿宋_GB2312"/>
          <w:color w:val="000000" w:themeColor="text1"/>
          <w:sz w:val="30"/>
          <w:szCs w:val="30"/>
          <w14:textFill>
            <w14:solidFill>
              <w14:schemeClr w14:val="tx1"/>
            </w14:solidFill>
          </w14:textFill>
        </w:rPr>
        <w:t xml:space="preserve">按规定内容公开预决算信息；按规定时限公开预决算信息；基础数据信息和会计信息资料真实；基础数据信息和会计信息资料完整；基础数据信息和汇集信息资料准确。 </w:t>
      </w:r>
    </w:p>
    <w:p>
      <w:pPr>
        <w:pStyle w:val="12"/>
        <w:keepNext w:val="0"/>
        <w:keepLines w:val="0"/>
        <w:pageBreakBefore w:val="0"/>
        <w:widowControl/>
        <w:suppressLineNumbers w:val="0"/>
        <w:kinsoku/>
        <w:wordWrap/>
        <w:overflowPunct/>
        <w:topLinePunct w:val="0"/>
        <w:autoSpaceDE/>
        <w:autoSpaceDN/>
        <w:bidi w:val="0"/>
        <w:adjustRightInd/>
        <w:spacing w:before="0" w:beforeAutospacing="0" w:after="0" w:afterAutospacing="0" w:line="540" w:lineRule="exact"/>
        <w:ind w:left="0" w:right="0" w:firstLine="600" w:firstLineChars="200"/>
        <w:textAlignment w:val="auto"/>
        <w:rPr>
          <w:rFonts w:hint="eastAsia" w:ascii="仿宋_GB2312" w:hAnsi="仿宋_GB2312" w:eastAsia="仿宋_GB2312" w:cs="仿宋_GB2312"/>
          <w:color w:val="000000" w:themeColor="text1"/>
          <w:sz w:val="30"/>
          <w:szCs w:val="30"/>
          <w:lang w:eastAsia="zh-CN"/>
          <w14:textFill>
            <w14:solidFill>
              <w14:schemeClr w14:val="tx1"/>
            </w14:solidFill>
          </w14:textFill>
        </w:rPr>
      </w:pPr>
      <w:r>
        <w:rPr>
          <w:rFonts w:hint="eastAsia" w:ascii="仿宋_GB2312" w:hAnsi="仿宋_GB2312" w:eastAsia="仿宋_GB2312" w:cs="仿宋_GB2312"/>
          <w:color w:val="000000" w:themeColor="text1"/>
          <w:sz w:val="30"/>
          <w:szCs w:val="30"/>
          <w14:textFill>
            <w14:solidFill>
              <w14:schemeClr w14:val="tx1"/>
            </w14:solidFill>
          </w14:textFill>
        </w:rPr>
        <w:t>4</w:t>
      </w:r>
      <w:r>
        <w:rPr>
          <w:rFonts w:hint="eastAsia" w:ascii="仿宋_GB2312" w:hAnsi="仿宋_GB2312" w:eastAsia="仿宋_GB2312" w:cs="仿宋_GB2312"/>
          <w:color w:val="000000" w:themeColor="text1"/>
          <w:sz w:val="30"/>
          <w:szCs w:val="30"/>
          <w:lang w:val="en-US" w:eastAsia="zh-CN"/>
          <w14:textFill>
            <w14:solidFill>
              <w14:schemeClr w14:val="tx1"/>
            </w14:solidFill>
          </w14:textFill>
        </w:rPr>
        <w:t>.</w:t>
      </w:r>
      <w:r>
        <w:rPr>
          <w:rFonts w:hint="eastAsia" w:ascii="仿宋_GB2312" w:hAnsi="仿宋_GB2312" w:eastAsia="仿宋_GB2312" w:cs="仿宋_GB2312"/>
          <w:color w:val="000000" w:themeColor="text1"/>
          <w:sz w:val="30"/>
          <w:szCs w:val="30"/>
          <w14:textFill>
            <w14:solidFill>
              <w14:schemeClr w14:val="tx1"/>
            </w14:solidFill>
          </w14:textFill>
        </w:rPr>
        <w:t>财务信息完善性：经核对</w:t>
      </w:r>
      <w:r>
        <w:rPr>
          <w:rFonts w:hint="eastAsia" w:ascii="仿宋_GB2312" w:hAnsi="仿宋_GB2312" w:eastAsia="仿宋_GB2312" w:cs="仿宋_GB2312"/>
          <w:color w:val="000000" w:themeColor="text1"/>
          <w:sz w:val="30"/>
          <w:szCs w:val="30"/>
          <w:lang w:eastAsia="zh-CN"/>
          <w14:textFill>
            <w14:solidFill>
              <w14:schemeClr w14:val="tx1"/>
            </w14:solidFill>
          </w14:textFill>
        </w:rPr>
        <w:t>我单位</w:t>
      </w:r>
      <w:r>
        <w:rPr>
          <w:rFonts w:hint="eastAsia" w:ascii="仿宋_GB2312" w:hAnsi="仿宋_GB2312" w:eastAsia="仿宋_GB2312" w:cs="仿宋_GB2312"/>
          <w:color w:val="000000" w:themeColor="text1"/>
          <w:sz w:val="30"/>
          <w:szCs w:val="30"/>
          <w14:textFill>
            <w14:solidFill>
              <w14:schemeClr w14:val="tx1"/>
            </w14:solidFill>
          </w14:textFill>
        </w:rPr>
        <w:t>201</w:t>
      </w:r>
      <w:r>
        <w:rPr>
          <w:rFonts w:hint="eastAsia" w:ascii="仿宋_GB2312" w:hAnsi="仿宋_GB2312" w:eastAsia="仿宋_GB2312" w:cs="仿宋_GB2312"/>
          <w:color w:val="000000" w:themeColor="text1"/>
          <w:sz w:val="30"/>
          <w:szCs w:val="30"/>
          <w:lang w:val="en-US" w:eastAsia="zh-CN"/>
          <w14:textFill>
            <w14:solidFill>
              <w14:schemeClr w14:val="tx1"/>
            </w14:solidFill>
          </w14:textFill>
        </w:rPr>
        <w:t>8</w:t>
      </w:r>
      <w:r>
        <w:rPr>
          <w:rFonts w:hint="eastAsia" w:ascii="仿宋_GB2312" w:hAnsi="仿宋_GB2312" w:eastAsia="仿宋_GB2312" w:cs="仿宋_GB2312"/>
          <w:color w:val="000000" w:themeColor="text1"/>
          <w:sz w:val="30"/>
          <w:szCs w:val="30"/>
          <w14:textFill>
            <w14:solidFill>
              <w14:schemeClr w14:val="tx1"/>
            </w14:solidFill>
          </w14:textFill>
        </w:rPr>
        <w:t>年度总账、明细账、决算报表，其结果账账、账表相符；财务信息资料真实、完整、准确</w:t>
      </w:r>
      <w:r>
        <w:rPr>
          <w:rFonts w:hint="eastAsia" w:ascii="仿宋_GB2312" w:hAnsi="仿宋_GB2312" w:eastAsia="仿宋_GB2312" w:cs="仿宋_GB2312"/>
          <w:color w:val="000000" w:themeColor="text1"/>
          <w:sz w:val="30"/>
          <w:szCs w:val="30"/>
          <w:lang w:eastAsia="zh-CN"/>
          <w14:textFill>
            <w14:solidFill>
              <w14:schemeClr w14:val="tx1"/>
            </w14:solidFill>
          </w14:textFill>
        </w:rPr>
        <w:t>。</w:t>
      </w:r>
    </w:p>
    <w:p>
      <w:pPr>
        <w:widowControl/>
        <w:adjustRightInd w:val="0"/>
        <w:snapToGrid w:val="0"/>
        <w:spacing w:line="560" w:lineRule="exact"/>
        <w:ind w:firstLine="643" w:firstLineChars="200"/>
        <w:jc w:val="left"/>
        <w:rPr>
          <w:rFonts w:hint="eastAsia" w:ascii="楷体" w:hAnsi="楷体" w:eastAsia="楷体" w:cs="宋体"/>
          <w:b/>
          <w:bCs/>
          <w:color w:val="000000"/>
          <w:kern w:val="0"/>
          <w:sz w:val="32"/>
          <w:lang w:val="zh-CN" w:bidi="ar"/>
        </w:rPr>
      </w:pPr>
      <w:r>
        <w:rPr>
          <w:rFonts w:hint="eastAsia" w:ascii="楷体" w:hAnsi="楷体" w:eastAsia="楷体" w:cs="宋体"/>
          <w:b/>
          <w:bCs/>
          <w:color w:val="000000"/>
          <w:kern w:val="0"/>
          <w:sz w:val="32"/>
          <w:lang w:val="zh-CN" w:bidi="ar"/>
        </w:rPr>
        <w:t>（四）整体绩效</w:t>
      </w:r>
    </w:p>
    <w:p>
      <w:pPr>
        <w:widowControl/>
        <w:adjustRightInd w:val="0"/>
        <w:snapToGrid w:val="0"/>
        <w:spacing w:line="560" w:lineRule="exact"/>
        <w:ind w:firstLine="640" w:firstLineChars="200"/>
        <w:jc w:val="left"/>
        <w:rPr>
          <w:rFonts w:hint="eastAsia" w:ascii="仿宋_GB2312" w:eastAsia="仿宋_GB2312"/>
          <w:color w:val="000000"/>
          <w:sz w:val="32"/>
          <w:szCs w:val="32"/>
          <w:lang w:val="zh-CN"/>
        </w:rPr>
      </w:pPr>
      <w:r>
        <w:rPr>
          <w:rFonts w:hint="eastAsia" w:ascii="仿宋_GB2312" w:eastAsia="仿宋_GB2312"/>
          <w:color w:val="000000"/>
          <w:sz w:val="32"/>
          <w:szCs w:val="32"/>
          <w:lang w:val="zh-CN"/>
        </w:rPr>
        <w:t>201</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lang w:val="zh-CN"/>
        </w:rPr>
        <w:t>年度我单位年初</w:t>
      </w:r>
      <w:r>
        <w:rPr>
          <w:rFonts w:hint="eastAsia" w:ascii="仿宋_GB2312" w:eastAsia="仿宋_GB2312"/>
          <w:color w:val="000000"/>
          <w:sz w:val="32"/>
          <w:szCs w:val="32"/>
        </w:rPr>
        <w:t>根据</w:t>
      </w:r>
      <w:r>
        <w:rPr>
          <w:rFonts w:hint="eastAsia" w:ascii="仿宋_GB2312" w:eastAsia="仿宋_GB2312"/>
          <w:color w:val="000000"/>
          <w:sz w:val="32"/>
          <w:szCs w:val="32"/>
          <w:lang w:val="zh-CN"/>
        </w:rPr>
        <w:t>工作规划和重点工作</w:t>
      </w:r>
      <w:r>
        <w:rPr>
          <w:rFonts w:hint="eastAsia" w:ascii="仿宋_GB2312" w:eastAsia="仿宋_GB2312"/>
          <w:color w:val="000000"/>
          <w:sz w:val="32"/>
          <w:szCs w:val="32"/>
        </w:rPr>
        <w:t>规划</w:t>
      </w:r>
      <w:r>
        <w:rPr>
          <w:rFonts w:hint="eastAsia" w:ascii="仿宋_GB2312" w:eastAsia="仿宋_GB2312"/>
          <w:color w:val="000000"/>
          <w:sz w:val="32"/>
          <w:szCs w:val="32"/>
          <w:lang w:val="zh-CN"/>
        </w:rPr>
        <w:t>，围绕全面建成小康社会的发展蓝图，积极履行职责，强化本单位预算管理，较好地完成了年初工作目标。通过加强预算收支管理，不断建立健全内部管理制度，梳理内部管理流程。部门整体预算支出管理情况得到提升。</w:t>
      </w:r>
    </w:p>
    <w:p>
      <w:pPr>
        <w:widowControl/>
        <w:adjustRightInd w:val="0"/>
        <w:snapToGrid w:val="0"/>
        <w:spacing w:line="560" w:lineRule="exact"/>
        <w:jc w:val="left"/>
        <w:rPr>
          <w:rFonts w:hint="eastAsia" w:ascii="仿宋_GB2312" w:eastAsia="仿宋_GB2312"/>
          <w:color w:val="000000"/>
          <w:sz w:val="32"/>
          <w:szCs w:val="32"/>
          <w:lang w:val="zh-CN" w:eastAsia="zh-CN"/>
        </w:rPr>
      </w:pPr>
    </w:p>
    <w:p>
      <w:pPr>
        <w:keepNext w:val="0"/>
        <w:keepLines w:val="0"/>
        <w:pageBreakBefore w:val="0"/>
        <w:kinsoku/>
        <w:wordWrap/>
        <w:overflowPunct/>
        <w:topLinePunct w:val="0"/>
        <w:autoSpaceDE/>
        <w:autoSpaceDN/>
        <w:bidi w:val="0"/>
        <w:adjustRightInd/>
        <w:spacing w:beforeAutospacing="0" w:afterAutospacing="0" w:line="540" w:lineRule="exact"/>
        <w:textAlignment w:val="auto"/>
        <w:rPr>
          <w:rFonts w:hint="eastAsia" w:ascii="仿宋_GB2312" w:hAnsi="仿宋_GB2312" w:eastAsia="仿宋_GB2312" w:cs="仿宋_GB2312"/>
          <w:bCs/>
          <w:color w:val="000000" w:themeColor="text1"/>
          <w:sz w:val="30"/>
          <w:szCs w:val="30"/>
          <w:lang w:eastAsia="zh-CN"/>
          <w14:textFill>
            <w14:solidFill>
              <w14:schemeClr w14:val="tx1"/>
            </w14:solidFill>
          </w14:textFill>
        </w:rPr>
      </w:pPr>
      <w:r>
        <w:rPr>
          <w:rFonts w:hint="eastAsia" w:ascii="仿宋_GB2312" w:hAnsi="仿宋_GB2312" w:eastAsia="仿宋_GB2312" w:cs="仿宋_GB2312"/>
          <w:bCs/>
          <w:color w:val="000000" w:themeColor="text1"/>
          <w:sz w:val="30"/>
          <w:szCs w:val="30"/>
          <w14:textFill>
            <w14:solidFill>
              <w14:schemeClr w14:val="tx1"/>
            </w14:solidFill>
          </w14:textFill>
        </w:rPr>
        <w:t>四、本年度部门</w:t>
      </w:r>
      <w:r>
        <w:rPr>
          <w:rFonts w:hint="eastAsia" w:ascii="仿宋_GB2312" w:hAnsi="仿宋_GB2312" w:eastAsia="仿宋_GB2312" w:cs="仿宋_GB2312"/>
          <w:bCs/>
          <w:color w:val="000000" w:themeColor="text1"/>
          <w:sz w:val="30"/>
          <w:szCs w:val="30"/>
          <w:lang w:eastAsia="zh-CN"/>
          <w14:textFill>
            <w14:solidFill>
              <w14:schemeClr w14:val="tx1"/>
            </w14:solidFill>
          </w14:textFill>
        </w:rPr>
        <w:t>支出</w:t>
      </w:r>
      <w:r>
        <w:rPr>
          <w:rFonts w:hint="eastAsia" w:ascii="仿宋_GB2312" w:hAnsi="仿宋_GB2312" w:eastAsia="仿宋_GB2312" w:cs="仿宋_GB2312"/>
          <w:bCs/>
          <w:color w:val="000000" w:themeColor="text1"/>
          <w:sz w:val="30"/>
          <w:szCs w:val="30"/>
          <w14:textFill>
            <w14:solidFill>
              <w14:schemeClr w14:val="tx1"/>
            </w14:solidFill>
          </w14:textFill>
        </w:rPr>
        <w:t>财务工作开展</w:t>
      </w:r>
      <w:r>
        <w:rPr>
          <w:rFonts w:hint="eastAsia" w:ascii="仿宋_GB2312" w:hAnsi="仿宋_GB2312" w:eastAsia="仿宋_GB2312" w:cs="仿宋_GB2312"/>
          <w:bCs/>
          <w:color w:val="000000" w:themeColor="text1"/>
          <w:sz w:val="30"/>
          <w:szCs w:val="30"/>
          <w:lang w:eastAsia="zh-CN"/>
          <w14:textFill>
            <w14:solidFill>
              <w14:schemeClr w14:val="tx1"/>
            </w14:solidFill>
          </w14:textFill>
        </w:rPr>
        <w:t>评价结论及建议</w:t>
      </w:r>
    </w:p>
    <w:p>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firstLine="602" w:firstLineChars="200"/>
        <w:textAlignment w:val="auto"/>
        <w:rPr>
          <w:rFonts w:hint="eastAsia" w:ascii="仿宋_GB2312" w:hAnsi="仿宋_GB2312" w:eastAsia="仿宋_GB2312" w:cs="仿宋_GB2312"/>
          <w:b/>
          <w:bCs/>
          <w:i w:val="0"/>
          <w:caps w:val="0"/>
          <w:color w:val="000000" w:themeColor="text1"/>
          <w:spacing w:val="0"/>
          <w:sz w:val="30"/>
          <w:szCs w:val="30"/>
          <w:shd w:val="clear" w:fill="FFFFFF"/>
          <w14:textFill>
            <w14:solidFill>
              <w14:schemeClr w14:val="tx1"/>
            </w14:solidFill>
          </w14:textFill>
        </w:rPr>
      </w:pPr>
      <w:r>
        <w:rPr>
          <w:rFonts w:hint="eastAsia" w:ascii="仿宋_GB2312" w:hAnsi="仿宋_GB2312" w:eastAsia="仿宋_GB2312" w:cs="仿宋_GB2312"/>
          <w:b/>
          <w:bCs/>
          <w:i w:val="0"/>
          <w:caps w:val="0"/>
          <w:color w:val="000000" w:themeColor="text1"/>
          <w:spacing w:val="0"/>
          <w:sz w:val="30"/>
          <w:szCs w:val="30"/>
          <w:shd w:val="clear" w:fill="FFFFFF"/>
          <w:lang w:eastAsia="zh-CN"/>
          <w14:textFill>
            <w14:solidFill>
              <w14:schemeClr w14:val="tx1"/>
            </w14:solidFill>
          </w14:textFill>
        </w:rPr>
        <w:t>（一）</w:t>
      </w:r>
      <w:r>
        <w:rPr>
          <w:rFonts w:hint="eastAsia" w:ascii="仿宋_GB2312" w:hAnsi="仿宋_GB2312" w:eastAsia="仿宋_GB2312" w:cs="仿宋_GB2312"/>
          <w:b/>
          <w:bCs/>
          <w:i w:val="0"/>
          <w:caps w:val="0"/>
          <w:color w:val="000000" w:themeColor="text1"/>
          <w:spacing w:val="0"/>
          <w:sz w:val="30"/>
          <w:szCs w:val="30"/>
          <w:shd w:val="clear" w:fill="FFFFFF"/>
          <w14:textFill>
            <w14:solidFill>
              <w14:schemeClr w14:val="tx1"/>
            </w14:solidFill>
          </w14:textFill>
        </w:rPr>
        <w:t>执行预算制度到位</w:t>
      </w:r>
    </w:p>
    <w:p>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firstLine="600" w:firstLineChars="200"/>
        <w:textAlignment w:val="auto"/>
        <w:rPr>
          <w:rFonts w:hint="eastAsia" w:ascii="仿宋_GB2312" w:hAnsi="仿宋_GB2312" w:eastAsia="仿宋_GB2312" w:cs="仿宋_GB2312"/>
          <w:color w:val="000000" w:themeColor="text1"/>
          <w:sz w:val="30"/>
          <w:szCs w:val="30"/>
          <w:lang w:eastAsia="zh-CN"/>
          <w14:textFill>
            <w14:solidFill>
              <w14:schemeClr w14:val="tx1"/>
            </w14:solidFill>
          </w14:textFill>
        </w:rPr>
      </w:pP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能够严格执行《预算法》和各项财经纪律，机关制度健全，财务管理规范，预算编制合理;二是资金监管到位。经费开支按用途使用合理，做到专帐专管,专款专用；三是人员配备和帐务核算到位。财务人员帐务核算及时规范。</w:t>
      </w:r>
      <w:r>
        <w:rPr>
          <w:rFonts w:hint="eastAsia" w:ascii="仿宋_GB2312" w:hAnsi="仿宋_GB2312" w:eastAsia="仿宋_GB2312" w:cs="仿宋_GB2312"/>
          <w:color w:val="000000" w:themeColor="text1"/>
          <w:sz w:val="30"/>
          <w:szCs w:val="30"/>
          <w14:textFill>
            <w14:solidFill>
              <w14:schemeClr w14:val="tx1"/>
            </w14:solidFill>
          </w14:textFill>
        </w:rPr>
        <w:t>我单位在财务上进行合理安排和运用，以“认真、严谨、细致”</w:t>
      </w:r>
      <w:r>
        <w:rPr>
          <w:rFonts w:hint="eastAsia" w:ascii="仿宋_GB2312" w:hAnsi="仿宋_GB2312" w:eastAsia="仿宋_GB2312" w:cs="仿宋_GB2312"/>
          <w:color w:val="000000" w:themeColor="text1"/>
          <w:sz w:val="30"/>
          <w:szCs w:val="30"/>
          <w:lang w:eastAsia="zh-CN"/>
          <w14:textFill>
            <w14:solidFill>
              <w14:schemeClr w14:val="tx1"/>
            </w14:solidFill>
          </w14:textFill>
        </w:rPr>
        <w:t>的</w:t>
      </w:r>
      <w:r>
        <w:rPr>
          <w:rFonts w:hint="eastAsia" w:ascii="仿宋_GB2312" w:hAnsi="仿宋_GB2312" w:eastAsia="仿宋_GB2312" w:cs="仿宋_GB2312"/>
          <w:color w:val="000000" w:themeColor="text1"/>
          <w:sz w:val="30"/>
          <w:szCs w:val="30"/>
          <w14:textFill>
            <w14:solidFill>
              <w14:schemeClr w14:val="tx1"/>
            </w14:solidFill>
          </w14:textFill>
        </w:rPr>
        <w:t>精神，做好一切财务工作</w:t>
      </w:r>
      <w:r>
        <w:rPr>
          <w:rFonts w:hint="eastAsia" w:ascii="仿宋_GB2312" w:hAnsi="仿宋_GB2312" w:eastAsia="仿宋_GB2312" w:cs="仿宋_GB2312"/>
          <w:color w:val="000000" w:themeColor="text1"/>
          <w:sz w:val="30"/>
          <w:szCs w:val="30"/>
          <w:lang w:eastAsia="zh-CN"/>
          <w14:textFill>
            <w14:solidFill>
              <w14:schemeClr w14:val="tx1"/>
            </w14:solidFill>
          </w14:textFill>
        </w:rPr>
        <w:t>。</w:t>
      </w:r>
    </w:p>
    <w:p>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firstLine="602" w:firstLineChars="200"/>
        <w:textAlignment w:val="auto"/>
        <w:rPr>
          <w:rFonts w:hint="eastAsia" w:ascii="仿宋_GB2312" w:hAnsi="仿宋_GB2312" w:eastAsia="仿宋_GB2312" w:cs="仿宋_GB2312"/>
          <w:b w:val="0"/>
          <w:i w:val="0"/>
          <w:caps w:val="0"/>
          <w:color w:val="000000" w:themeColor="text1"/>
          <w:spacing w:val="0"/>
          <w:sz w:val="30"/>
          <w:szCs w:val="30"/>
          <w14:textFill>
            <w14:solidFill>
              <w14:schemeClr w14:val="tx1"/>
            </w14:solidFill>
          </w14:textFill>
        </w:rPr>
      </w:pPr>
      <w:r>
        <w:rPr>
          <w:rStyle w:val="15"/>
          <w:rFonts w:hint="eastAsia" w:ascii="仿宋_GB2312" w:hAnsi="仿宋_GB2312" w:eastAsia="仿宋_GB2312" w:cs="仿宋_GB2312"/>
          <w:i w:val="0"/>
          <w:caps w:val="0"/>
          <w:color w:val="000000" w:themeColor="text1"/>
          <w:spacing w:val="0"/>
          <w:sz w:val="30"/>
          <w:szCs w:val="30"/>
          <w:shd w:val="clear" w:fill="FFFFFF"/>
          <w14:textFill>
            <w14:solidFill>
              <w14:schemeClr w14:val="tx1"/>
            </w14:solidFill>
          </w14:textFill>
        </w:rPr>
        <w:t>（二）存在问题 </w:t>
      </w:r>
    </w:p>
    <w:p>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left="0" w:right="0" w:firstLine="600" w:firstLineChars="200"/>
        <w:textAlignment w:val="auto"/>
        <w:rPr>
          <w:rFonts w:hint="eastAsia" w:ascii="仿宋_GB2312" w:hAnsi="仿宋_GB2312" w:eastAsia="仿宋_GB2312" w:cs="仿宋_GB2312"/>
          <w:b w:val="0"/>
          <w:i w:val="0"/>
          <w:caps w:val="0"/>
          <w:color w:val="000000" w:themeColor="text1"/>
          <w:spacing w:val="0"/>
          <w:sz w:val="30"/>
          <w:szCs w:val="30"/>
          <w14:textFill>
            <w14:solidFill>
              <w14:schemeClr w14:val="tx1"/>
            </w14:solidFill>
          </w14:textFill>
        </w:rPr>
      </w:pP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主要是公务卡使用力度</w:t>
      </w:r>
      <w:r>
        <w:rPr>
          <w:rFonts w:hint="eastAsia" w:ascii="仿宋_GB2312" w:hAnsi="仿宋_GB2312" w:eastAsia="仿宋_GB2312" w:cs="仿宋_GB2312"/>
          <w:b w:val="0"/>
          <w:i w:val="0"/>
          <w:caps w:val="0"/>
          <w:color w:val="000000" w:themeColor="text1"/>
          <w:spacing w:val="0"/>
          <w:sz w:val="30"/>
          <w:szCs w:val="30"/>
          <w:shd w:val="clear" w:fill="FFFFFF"/>
          <w:lang w:eastAsia="zh-CN"/>
          <w14:textFill>
            <w14:solidFill>
              <w14:schemeClr w14:val="tx1"/>
            </w14:solidFill>
          </w14:textFill>
        </w:rPr>
        <w:t>不够，</w:t>
      </w: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还应加强，</w:t>
      </w:r>
      <w:r>
        <w:rPr>
          <w:rFonts w:hint="eastAsia" w:ascii="仿宋_GB2312" w:hAnsi="仿宋_GB2312" w:eastAsia="仿宋_GB2312" w:cs="仿宋_GB2312"/>
          <w:b w:val="0"/>
          <w:i w:val="0"/>
          <w:caps w:val="0"/>
          <w:color w:val="000000" w:themeColor="text1"/>
          <w:spacing w:val="0"/>
          <w:sz w:val="30"/>
          <w:szCs w:val="30"/>
          <w:shd w:val="clear" w:fill="FFFFFF"/>
          <w:lang w:eastAsia="zh-CN"/>
          <w14:textFill>
            <w14:solidFill>
              <w14:schemeClr w14:val="tx1"/>
            </w14:solidFill>
          </w14:textFill>
        </w:rPr>
        <w:t>避免</w:t>
      </w: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现金支付。</w:t>
      </w:r>
      <w:r>
        <w:rPr>
          <w:rFonts w:hint="eastAsia" w:ascii="仿宋_GB2312" w:hAnsi="仿宋_GB2312" w:eastAsia="仿宋_GB2312" w:cs="仿宋_GB2312"/>
          <w:b w:val="0"/>
          <w:i w:val="0"/>
          <w:caps w:val="0"/>
          <w:color w:val="000000" w:themeColor="text1"/>
          <w:spacing w:val="0"/>
          <w:sz w:val="30"/>
          <w:szCs w:val="30"/>
          <w:shd w:val="clear" w:fill="FFFFFF"/>
          <w:lang w:eastAsia="zh-CN"/>
          <w14:textFill>
            <w14:solidFill>
              <w14:schemeClr w14:val="tx1"/>
            </w14:solidFill>
          </w14:textFill>
        </w:rPr>
        <w:t>无专业</w:t>
      </w:r>
      <w:r>
        <w:rPr>
          <w:rFonts w:hint="eastAsia" w:ascii="仿宋_GB2312" w:hAnsi="仿宋_GB2312" w:eastAsia="仿宋_GB2312" w:cs="仿宋_GB2312"/>
          <w:color w:val="000000" w:themeColor="text1"/>
          <w:sz w:val="30"/>
          <w:szCs w:val="30"/>
          <w:lang w:eastAsia="zh-CN"/>
          <w14:textFill>
            <w14:solidFill>
              <w14:schemeClr w14:val="tx1"/>
            </w14:solidFill>
          </w14:textFill>
        </w:rPr>
        <w:t>财务人员，兼职人员业务知识欠缺。</w:t>
      </w:r>
      <w:r>
        <w:rPr>
          <w:rStyle w:val="15"/>
          <w:rFonts w:hint="eastAsia" w:ascii="仿宋_GB2312" w:hAnsi="仿宋_GB2312" w:eastAsia="仿宋_GB2312" w:cs="仿宋_GB2312"/>
          <w:i w:val="0"/>
          <w:caps w:val="0"/>
          <w:color w:val="000000" w:themeColor="text1"/>
          <w:spacing w:val="0"/>
          <w:sz w:val="30"/>
          <w:szCs w:val="30"/>
          <w:shd w:val="clear" w:fill="FFFFFF"/>
          <w14:textFill>
            <w14:solidFill>
              <w14:schemeClr w14:val="tx1"/>
            </w14:solidFill>
          </w14:textFill>
        </w:rPr>
        <w:t>   </w:t>
      </w:r>
    </w:p>
    <w:p>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rightChars="0" w:firstLine="602" w:firstLineChars="200"/>
        <w:textAlignment w:val="auto"/>
        <w:rPr>
          <w:rFonts w:hint="eastAsia" w:ascii="仿宋_GB2312" w:hAnsi="仿宋_GB2312" w:eastAsia="仿宋_GB2312" w:cs="仿宋_GB2312"/>
          <w:b/>
          <w:bCs w:val="0"/>
          <w:i w:val="0"/>
          <w:caps w:val="0"/>
          <w:color w:val="000000" w:themeColor="text1"/>
          <w:spacing w:val="0"/>
          <w:sz w:val="30"/>
          <w:szCs w:val="30"/>
          <w:shd w:val="clear" w:fill="FFFFFF"/>
          <w14:textFill>
            <w14:solidFill>
              <w14:schemeClr w14:val="tx1"/>
            </w14:solidFill>
          </w14:textFill>
        </w:rPr>
      </w:pPr>
      <w:r>
        <w:rPr>
          <w:rStyle w:val="15"/>
          <w:rFonts w:hint="eastAsia" w:ascii="仿宋_GB2312" w:hAnsi="仿宋_GB2312" w:eastAsia="仿宋_GB2312" w:cs="仿宋_GB2312"/>
          <w:b/>
          <w:bCs w:val="0"/>
          <w:i w:val="0"/>
          <w:caps w:val="0"/>
          <w:color w:val="000000" w:themeColor="text1"/>
          <w:spacing w:val="0"/>
          <w:sz w:val="30"/>
          <w:szCs w:val="30"/>
          <w:shd w:val="clear" w:fill="FFFFFF"/>
          <w:lang w:eastAsia="zh-CN"/>
          <w14:textFill>
            <w14:solidFill>
              <w14:schemeClr w14:val="tx1"/>
            </w14:solidFill>
          </w14:textFill>
        </w:rPr>
        <w:t>（三）</w:t>
      </w:r>
      <w:r>
        <w:rPr>
          <w:rStyle w:val="15"/>
          <w:rFonts w:hint="eastAsia" w:ascii="仿宋_GB2312" w:hAnsi="仿宋_GB2312" w:eastAsia="仿宋_GB2312" w:cs="仿宋_GB2312"/>
          <w:b/>
          <w:bCs w:val="0"/>
          <w:i w:val="0"/>
          <w:caps w:val="0"/>
          <w:color w:val="000000" w:themeColor="text1"/>
          <w:spacing w:val="0"/>
          <w:sz w:val="30"/>
          <w:szCs w:val="30"/>
          <w:shd w:val="clear" w:fill="FFFFFF"/>
          <w14:textFill>
            <w14:solidFill>
              <w14:schemeClr w14:val="tx1"/>
            </w14:solidFill>
          </w14:textFill>
        </w:rPr>
        <w:t>改进建议</w:t>
      </w:r>
      <w:r>
        <w:rPr>
          <w:rFonts w:hint="eastAsia" w:ascii="仿宋_GB2312" w:hAnsi="仿宋_GB2312" w:eastAsia="仿宋_GB2312" w:cs="仿宋_GB2312"/>
          <w:b/>
          <w:bCs w:val="0"/>
          <w:i w:val="0"/>
          <w:caps w:val="0"/>
          <w:color w:val="000000" w:themeColor="text1"/>
          <w:spacing w:val="0"/>
          <w:sz w:val="30"/>
          <w:szCs w:val="30"/>
          <w:shd w:val="clear" w:fill="FFFFFF"/>
          <w14:textFill>
            <w14:solidFill>
              <w14:schemeClr w14:val="tx1"/>
            </w14:solidFill>
          </w14:textFill>
        </w:rPr>
        <w:t> </w:t>
      </w:r>
    </w:p>
    <w:p>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rightChars="0" w:firstLine="600" w:firstLineChars="200"/>
        <w:textAlignment w:val="auto"/>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pP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建立长效机制，严格财务管理，加强财务监督，坚持厉行节约，严格</w:t>
      </w:r>
      <w:r>
        <w:rPr>
          <w:rFonts w:hint="eastAsia" w:ascii="仿宋_GB2312" w:hAnsi="仿宋_GB2312" w:eastAsia="仿宋_GB2312" w:cs="仿宋_GB2312"/>
          <w:b w:val="0"/>
          <w:i w:val="0"/>
          <w:caps w:val="0"/>
          <w:color w:val="000000" w:themeColor="text1"/>
          <w:spacing w:val="0"/>
          <w:sz w:val="30"/>
          <w:szCs w:val="30"/>
          <w:shd w:val="clear" w:fill="FFFFFF"/>
          <w:lang w:eastAsia="zh-CN"/>
          <w14:textFill>
            <w14:solidFill>
              <w14:schemeClr w14:val="tx1"/>
            </w14:solidFill>
          </w14:textFill>
        </w:rPr>
        <w:t>杜绝</w:t>
      </w: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现金支出。加强事业单位会计制度的学习，准且完整的核算部门全年收入支出，确保不漏记多记</w:t>
      </w:r>
      <w:r>
        <w:rPr>
          <w:rFonts w:hint="eastAsia" w:ascii="仿宋_GB2312" w:hAnsi="仿宋_GB2312" w:eastAsia="仿宋_GB2312" w:cs="仿宋_GB2312"/>
          <w:b w:val="0"/>
          <w:i w:val="0"/>
          <w:caps w:val="0"/>
          <w:color w:val="000000" w:themeColor="text1"/>
          <w:spacing w:val="0"/>
          <w:sz w:val="30"/>
          <w:szCs w:val="30"/>
          <w:shd w:val="clear" w:fill="FFFFFF"/>
          <w:lang w:eastAsia="zh-CN"/>
          <w14:textFill>
            <w14:solidFill>
              <w14:schemeClr w14:val="tx1"/>
            </w14:solidFill>
          </w14:textFill>
        </w:rPr>
        <w:t>支</w:t>
      </w: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  </w:t>
      </w:r>
      <w:r>
        <w:rPr>
          <w:rFonts w:hint="eastAsia" w:ascii="仿宋_GB2312" w:hAnsi="仿宋_GB2312" w:eastAsia="仿宋_GB2312" w:cs="仿宋_GB2312"/>
          <w:b w:val="0"/>
          <w:i w:val="0"/>
          <w:caps w:val="0"/>
          <w:color w:val="000000" w:themeColor="text1"/>
          <w:spacing w:val="0"/>
          <w:sz w:val="30"/>
          <w:szCs w:val="30"/>
          <w:shd w:val="clear" w:fill="FFFFFF"/>
          <w:lang w:eastAsia="zh-CN"/>
          <w14:textFill>
            <w14:solidFill>
              <w14:schemeClr w14:val="tx1"/>
            </w14:solidFill>
          </w14:textFill>
        </w:rPr>
        <w:t>。</w:t>
      </w: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                     </w:t>
      </w:r>
      <w:bookmarkEnd w:id="60"/>
      <w:bookmarkStart w:id="61" w:name="_Toc15396618"/>
    </w:p>
    <w:p>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rightChars="0"/>
        <w:textAlignment w:val="auto"/>
        <w:rPr>
          <w:rFonts w:hint="eastAsia" w:ascii="仿宋_GB2312" w:hAnsi="仿宋_GB2312" w:eastAsia="仿宋_GB2312" w:cs="仿宋_GB2312"/>
          <w:b w:val="0"/>
          <w:i w:val="0"/>
          <w:caps w:val="0"/>
          <w:color w:val="000000" w:themeColor="text1"/>
          <w:spacing w:val="0"/>
          <w:sz w:val="30"/>
          <w:szCs w:val="30"/>
          <w:shd w:val="clear" w:fill="FFFFFF"/>
          <w:lang w:val="en-US" w:eastAsia="zh-CN"/>
          <w14:textFill>
            <w14:solidFill>
              <w14:schemeClr w14:val="tx1"/>
            </w14:solidFill>
          </w14:textFill>
        </w:rPr>
      </w:pPr>
      <w:r>
        <w:rPr>
          <w:rFonts w:hint="eastAsia" w:ascii="仿宋_GB2312" w:hAnsi="仿宋_GB2312" w:eastAsia="仿宋_GB2312" w:cs="仿宋_GB2312"/>
          <w:b w:val="0"/>
          <w:i w:val="0"/>
          <w:caps w:val="0"/>
          <w:color w:val="000000" w:themeColor="text1"/>
          <w:spacing w:val="0"/>
          <w:sz w:val="30"/>
          <w:szCs w:val="30"/>
          <w:shd w:val="clear" w:fill="FFFFFF"/>
          <w:lang w:val="en-US" w:eastAsia="zh-CN"/>
          <w14:textFill>
            <w14:solidFill>
              <w14:schemeClr w14:val="tx1"/>
            </w14:solidFill>
          </w14:textFill>
        </w:rPr>
        <w:t>附件二：</w:t>
      </w:r>
    </w:p>
    <w:p>
      <w:pPr>
        <w:pStyle w:val="12"/>
        <w:keepNext w:val="0"/>
        <w:keepLines w:val="0"/>
        <w:widowControl/>
        <w:suppressLineNumbers w:val="0"/>
        <w:shd w:val="clear" w:fill="FFFFFF"/>
        <w:autoSpaceDE w:val="0"/>
        <w:autoSpaceDN/>
        <w:spacing w:before="360" w:beforeAutospacing="0" w:after="510" w:afterAutospacing="0" w:line="600" w:lineRule="atLeast"/>
        <w:ind w:left="0" w:right="0" w:firstLine="0"/>
        <w:jc w:val="center"/>
        <w:rPr>
          <w:rFonts w:hint="eastAsia" w:ascii="黑体" w:hAnsi="宋体" w:eastAsia="黑体" w:cs="黑体"/>
          <w:b w:val="0"/>
          <w:color w:val="333333"/>
          <w:spacing w:val="-2"/>
          <w:sz w:val="44"/>
          <w:szCs w:val="44"/>
          <w:shd w:val="clear" w:fill="FFFFFF"/>
          <w:lang w:val="en-US" w:eastAsia="zh-CN"/>
        </w:rPr>
      </w:pPr>
      <w:r>
        <w:rPr>
          <w:rFonts w:hint="eastAsia" w:ascii="黑体" w:hAnsi="宋体" w:eastAsia="黑体" w:cs="黑体"/>
          <w:b w:val="0"/>
          <w:color w:val="333333"/>
          <w:spacing w:val="-2"/>
          <w:sz w:val="44"/>
          <w:szCs w:val="44"/>
          <w:shd w:val="clear" w:fill="FFFFFF"/>
          <w:lang w:val="en-US" w:eastAsia="zh-CN"/>
        </w:rPr>
        <w:t>红原县卫生计生综合监督执法大队</w:t>
      </w:r>
    </w:p>
    <w:p>
      <w:pPr>
        <w:pStyle w:val="12"/>
        <w:keepNext w:val="0"/>
        <w:keepLines w:val="0"/>
        <w:widowControl/>
        <w:suppressLineNumbers w:val="0"/>
        <w:shd w:val="clear" w:fill="FFFFFF"/>
        <w:autoSpaceDE w:val="0"/>
        <w:autoSpaceDN/>
        <w:spacing w:before="360" w:beforeAutospacing="0" w:after="510" w:afterAutospacing="0" w:line="600" w:lineRule="atLeast"/>
        <w:ind w:left="0" w:right="0" w:firstLine="0"/>
        <w:jc w:val="center"/>
        <w:rPr>
          <w:rFonts w:hint="eastAsia" w:ascii="黑体" w:hAnsi="宋体" w:eastAsia="黑体" w:cs="黑体"/>
          <w:b w:val="0"/>
          <w:color w:val="333333"/>
          <w:spacing w:val="-2"/>
          <w:sz w:val="44"/>
          <w:szCs w:val="44"/>
          <w:shd w:val="clear" w:fill="FFFFFF"/>
          <w:lang w:val="en-US" w:eastAsia="zh-CN"/>
        </w:rPr>
      </w:pPr>
      <w:r>
        <w:rPr>
          <w:rFonts w:hint="eastAsia" w:ascii="黑体" w:hAnsi="宋体" w:eastAsia="黑体" w:cs="黑体"/>
          <w:b w:val="0"/>
          <w:color w:val="333333"/>
          <w:spacing w:val="-2"/>
          <w:sz w:val="44"/>
          <w:szCs w:val="44"/>
          <w:shd w:val="clear" w:fill="FFFFFF"/>
          <w:lang w:val="en-US" w:eastAsia="zh-CN"/>
        </w:rPr>
        <w:t>2018年专项资金绩效评价报告</w:t>
      </w:r>
    </w:p>
    <w:p>
      <w:pPr>
        <w:pStyle w:val="12"/>
        <w:keepNext w:val="0"/>
        <w:keepLines w:val="0"/>
        <w:widowControl/>
        <w:numPr>
          <w:ilvl w:val="0"/>
          <w:numId w:val="11"/>
        </w:numPr>
        <w:suppressLineNumbers w:val="0"/>
        <w:spacing w:before="360" w:beforeAutospacing="0" w:after="510" w:afterAutospacing="0" w:line="360" w:lineRule="auto"/>
        <w:ind w:left="0" w:right="0" w:firstLine="643"/>
        <w:jc w:val="both"/>
        <w:rPr>
          <w:rFonts w:ascii="楷体" w:hAnsi="楷体" w:eastAsia="楷体" w:cs="楷体"/>
          <w:b/>
          <w:i w:val="0"/>
          <w:color w:val="333333"/>
          <w:sz w:val="32"/>
          <w:szCs w:val="32"/>
        </w:rPr>
      </w:pPr>
      <w:r>
        <w:rPr>
          <w:rFonts w:ascii="楷体" w:hAnsi="楷体" w:eastAsia="楷体" w:cs="楷体"/>
          <w:b/>
          <w:i w:val="0"/>
          <w:color w:val="333333"/>
          <w:sz w:val="32"/>
          <w:szCs w:val="32"/>
        </w:rPr>
        <w:t>项目基本情况</w:t>
      </w:r>
    </w:p>
    <w:p>
      <w:pPr>
        <w:pStyle w:val="12"/>
        <w:keepNext w:val="0"/>
        <w:keepLines w:val="0"/>
        <w:widowControl/>
        <w:numPr>
          <w:ilvl w:val="0"/>
          <w:numId w:val="12"/>
        </w:numPr>
        <w:suppressLineNumbers w:val="0"/>
        <w:spacing w:before="360" w:beforeAutospacing="0" w:after="510" w:afterAutospacing="0" w:line="360" w:lineRule="auto"/>
        <w:ind w:left="643" w:leftChars="0" w:right="0" w:rightChars="0"/>
        <w:jc w:val="both"/>
        <w:rPr>
          <w:rFonts w:hint="default"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pPr>
      <w:r>
        <w:rPr>
          <w:rFonts w:hint="eastAsia" w:ascii="楷体" w:hAnsi="楷体" w:eastAsia="楷体" w:cs="楷体"/>
          <w:b/>
          <w:i w:val="0"/>
          <w:color w:val="333333"/>
          <w:sz w:val="32"/>
          <w:szCs w:val="32"/>
        </w:rPr>
        <w:t>项目概况</w:t>
      </w:r>
    </w:p>
    <w:p>
      <w:pPr>
        <w:pStyle w:val="12"/>
        <w:keepNext w:val="0"/>
        <w:keepLines w:val="0"/>
        <w:widowControl/>
        <w:numPr>
          <w:ilvl w:val="0"/>
          <w:numId w:val="13"/>
        </w:numPr>
        <w:suppressLineNumbers w:val="0"/>
        <w:spacing w:before="360" w:beforeAutospacing="0" w:after="510" w:afterAutospacing="0" w:line="360" w:lineRule="auto"/>
        <w:ind w:right="0" w:rightChars="0"/>
        <w:jc w:val="both"/>
        <w:rPr>
          <w:rFonts w:hint="eastAsia" w:ascii="仿宋_GB2312" w:hAnsi="仿宋_GB2312" w:eastAsia="仿宋_GB2312" w:cs="仿宋_GB2312"/>
          <w:b/>
          <w:bCs/>
          <w:i w:val="0"/>
          <w:caps w:val="0"/>
          <w:color w:val="000000" w:themeColor="text1"/>
          <w:spacing w:val="0"/>
          <w:sz w:val="30"/>
          <w:szCs w:val="30"/>
          <w:shd w:val="clear" w:fill="FFFFFF"/>
          <w14:textFill>
            <w14:solidFill>
              <w14:schemeClr w14:val="tx1"/>
            </w14:solidFill>
          </w14:textFill>
        </w:rPr>
      </w:pPr>
      <w:r>
        <w:rPr>
          <w:rFonts w:hint="eastAsia" w:ascii="仿宋_GB2312" w:hAnsi="仿宋_GB2312" w:eastAsia="仿宋_GB2312" w:cs="仿宋_GB2312"/>
          <w:b/>
          <w:bCs/>
          <w:i w:val="0"/>
          <w:caps w:val="0"/>
          <w:color w:val="000000" w:themeColor="text1"/>
          <w:spacing w:val="0"/>
          <w:sz w:val="30"/>
          <w:szCs w:val="30"/>
          <w:shd w:val="clear" w:fill="FFFFFF"/>
          <w14:textFill>
            <w14:solidFill>
              <w14:schemeClr w14:val="tx1"/>
            </w14:solidFill>
          </w14:textFill>
        </w:rPr>
        <w:t>项目单位基本情况</w:t>
      </w:r>
    </w:p>
    <w:p>
      <w:pPr>
        <w:pStyle w:val="12"/>
        <w:keepNext w:val="0"/>
        <w:keepLines w:val="0"/>
        <w:widowControl/>
        <w:numPr>
          <w:ilvl w:val="0"/>
          <w:numId w:val="14"/>
        </w:numPr>
        <w:suppressLineNumbers w:val="0"/>
        <w:spacing w:before="360" w:beforeAutospacing="0" w:after="510" w:afterAutospacing="0" w:line="360" w:lineRule="auto"/>
        <w:ind w:right="0" w:rightChars="0" w:firstLine="600" w:firstLineChars="200"/>
        <w:jc w:val="both"/>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pP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部门主要职能：实施卫生计生专项整治和日常监督检查；对公共场所卫生、生活饮用水卫生、学校卫生及消毒产品和涉及饮用水卫生安全产品进行监督检查；对医疗机构、采供血机构及其从业人员的执业活动进行监督检查，查处违法行为；打击非法行医和非法采供血；整顿和规范医疗服务秩序；对医疗卫生机构的放射诊疗、职业健康检查和职业病诊断工作进行监督检查，查处违法行为；对医疗机构、采供血机构、疾病预防控制机构的传染病疫情报告、疫情控制措施、消毒隔离制度执行情况、医疗废物处置情况和菌（毒）种管理情况等进行监督检查，查处违法行为；对母婴保健机构、计划生育技术服务机构服务内容和从业人员的行为规范进行监督，依法打击“两非”行为，做好计划生育违法违纪案件的督查督办；行政区域内卫生计生监督信息的收集、核实和上报；受理对违法行为的投诉、举报；开展卫生计生法律法规宣传教育和执法检查；完成卫生计生行政部门、中医药管理部门交办的食品安全、中医药监督等相关工作及职责范围内的工作。</w:t>
      </w:r>
    </w:p>
    <w:p>
      <w:pPr>
        <w:pStyle w:val="12"/>
        <w:keepNext w:val="0"/>
        <w:keepLines w:val="0"/>
        <w:widowControl/>
        <w:numPr>
          <w:ilvl w:val="0"/>
          <w:numId w:val="0"/>
        </w:numPr>
        <w:suppressLineNumbers w:val="0"/>
        <w:spacing w:before="360" w:beforeAutospacing="0" w:after="510" w:afterAutospacing="0" w:line="360" w:lineRule="auto"/>
        <w:ind w:leftChars="200" w:right="0" w:rightChars="0"/>
        <w:jc w:val="both"/>
        <w:rPr>
          <w:rFonts w:hint="default"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pP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（2）机构情况：设置公共场所卫生监督</w:t>
      </w:r>
      <w:r>
        <w:rPr>
          <w:rFonts w:hint="eastAsia" w:ascii="仿宋_GB2312" w:hAnsi="仿宋_GB2312" w:eastAsia="仿宋_GB2312" w:cs="仿宋_GB2312"/>
          <w:b w:val="0"/>
          <w:i w:val="0"/>
          <w:caps w:val="0"/>
          <w:color w:val="000000" w:themeColor="text1"/>
          <w:spacing w:val="0"/>
          <w:sz w:val="30"/>
          <w:szCs w:val="30"/>
          <w:shd w:val="clear" w:fill="FFFFFF"/>
          <w:lang w:eastAsia="zh-CN"/>
          <w14:textFill>
            <w14:solidFill>
              <w14:schemeClr w14:val="tx1"/>
            </w14:solidFill>
          </w14:textFill>
        </w:rPr>
        <w:t>、</w:t>
      </w: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传染病防治与学校监督科、职业防治与放射卫生监督科、医疗机构执业监督科、办公室</w:t>
      </w:r>
      <w:r>
        <w:rPr>
          <w:rFonts w:hint="eastAsia" w:ascii="仿宋_GB2312" w:hAnsi="仿宋_GB2312" w:eastAsia="仿宋_GB2312" w:cs="仿宋_GB2312"/>
          <w:b w:val="0"/>
          <w:i w:val="0"/>
          <w:caps w:val="0"/>
          <w:color w:val="000000" w:themeColor="text1"/>
          <w:spacing w:val="0"/>
          <w:sz w:val="30"/>
          <w:szCs w:val="30"/>
          <w:shd w:val="clear" w:fill="FFFFFF"/>
          <w:lang w:val="en-US" w:eastAsia="zh-CN"/>
          <w14:textFill>
            <w14:solidFill>
              <w14:schemeClr w14:val="tx1"/>
            </w14:solidFill>
          </w14:textFill>
        </w:rPr>
        <w:t>4</w:t>
      </w: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个职能科室。</w:t>
      </w:r>
    </w:p>
    <w:p>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rightChars="0" w:firstLine="600" w:firstLineChars="200"/>
        <w:textAlignment w:val="auto"/>
        <w:rPr>
          <w:rFonts w:hint="default"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pP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（3）人员情况：2018年末在职人员</w:t>
      </w:r>
      <w:r>
        <w:rPr>
          <w:rFonts w:hint="eastAsia" w:ascii="仿宋_GB2312" w:hAnsi="仿宋_GB2312" w:eastAsia="仿宋_GB2312" w:cs="仿宋_GB2312"/>
          <w:b w:val="0"/>
          <w:i w:val="0"/>
          <w:caps w:val="0"/>
          <w:color w:val="000000" w:themeColor="text1"/>
          <w:spacing w:val="0"/>
          <w:sz w:val="30"/>
          <w:szCs w:val="30"/>
          <w:shd w:val="clear" w:fill="FFFFFF"/>
          <w:lang w:val="en-US" w:eastAsia="zh-CN"/>
          <w14:textFill>
            <w14:solidFill>
              <w14:schemeClr w14:val="tx1"/>
            </w14:solidFill>
          </w14:textFill>
        </w:rPr>
        <w:t>8</w:t>
      </w: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人，退休人员</w:t>
      </w:r>
      <w:r>
        <w:rPr>
          <w:rFonts w:hint="eastAsia" w:ascii="仿宋_GB2312" w:hAnsi="仿宋_GB2312" w:eastAsia="仿宋_GB2312" w:cs="仿宋_GB2312"/>
          <w:b w:val="0"/>
          <w:i w:val="0"/>
          <w:caps w:val="0"/>
          <w:color w:val="000000" w:themeColor="text1"/>
          <w:spacing w:val="0"/>
          <w:sz w:val="30"/>
          <w:szCs w:val="30"/>
          <w:shd w:val="clear" w:fill="FFFFFF"/>
          <w:lang w:val="en-US" w:eastAsia="zh-CN"/>
          <w14:textFill>
            <w14:solidFill>
              <w14:schemeClr w14:val="tx1"/>
            </w14:solidFill>
          </w14:textFill>
        </w:rPr>
        <w:t>0</w:t>
      </w:r>
      <w:r>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t>人。</w:t>
      </w:r>
    </w:p>
    <w:p>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rightChars="0"/>
        <w:textAlignment w:val="auto"/>
        <w:rPr>
          <w:rFonts w:hint="eastAsia" w:ascii="仿宋_GB2312" w:hAnsi="仿宋_GB2312" w:eastAsia="仿宋_GB2312" w:cs="仿宋_GB2312"/>
          <w:b/>
          <w:bCs/>
          <w:i w:val="0"/>
          <w:caps w:val="0"/>
          <w:color w:val="000000" w:themeColor="text1"/>
          <w:spacing w:val="0"/>
          <w:sz w:val="30"/>
          <w:szCs w:val="30"/>
          <w:shd w:val="clear" w:fill="FFFFFF"/>
          <w14:textFill>
            <w14:solidFill>
              <w14:schemeClr w14:val="tx1"/>
            </w14:solidFill>
          </w14:textFill>
        </w:rPr>
      </w:pPr>
      <w:r>
        <w:rPr>
          <w:rFonts w:hint="eastAsia" w:ascii="仿宋_GB2312" w:hAnsi="仿宋_GB2312" w:eastAsia="仿宋_GB2312" w:cs="仿宋_GB2312"/>
          <w:b/>
          <w:bCs/>
          <w:i w:val="0"/>
          <w:caps w:val="0"/>
          <w:color w:val="000000" w:themeColor="text1"/>
          <w:spacing w:val="0"/>
          <w:sz w:val="30"/>
          <w:szCs w:val="30"/>
          <w:shd w:val="clear" w:fill="FFFFFF"/>
          <w14:textFill>
            <w14:solidFill>
              <w14:schemeClr w14:val="tx1"/>
            </w14:solidFill>
          </w14:textFill>
        </w:rPr>
        <w:t>2、项目的实施依据</w:t>
      </w:r>
    </w:p>
    <w:p>
      <w:pPr>
        <w:pStyle w:val="12"/>
        <w:keepNext w:val="0"/>
        <w:keepLines w:val="0"/>
        <w:widowControl/>
        <w:suppressLineNumbers w:val="0"/>
        <w:overflowPunct w:val="0"/>
        <w:autoSpaceDE w:val="0"/>
        <w:autoSpaceDN/>
        <w:spacing w:before="360" w:beforeAutospacing="0" w:after="510" w:afterAutospacing="0" w:line="520" w:lineRule="atLeast"/>
        <w:ind w:left="0" w:right="0" w:firstLine="640"/>
        <w:jc w:val="both"/>
        <w:rPr>
          <w:rFonts w:hint="default" w:ascii="Times New Roman" w:hAnsi="Times New Roman" w:cs="Times New Roman"/>
          <w:color w:val="333333"/>
          <w:sz w:val="21"/>
          <w:szCs w:val="21"/>
        </w:rPr>
      </w:pPr>
      <w:r>
        <w:rPr>
          <w:rFonts w:hint="eastAsia" w:ascii="仿宋" w:hAnsi="仿宋" w:eastAsia="仿宋" w:cs="仿宋"/>
          <w:color w:val="333333"/>
          <w:sz w:val="32"/>
          <w:szCs w:val="32"/>
          <w:lang w:val="en-US" w:eastAsia="zh-CN"/>
        </w:rPr>
        <w:sym w:font="Wingdings" w:char="F081"/>
      </w:r>
      <w:r>
        <w:rPr>
          <w:rFonts w:hint="eastAsia" w:ascii="仿宋" w:hAnsi="仿宋" w:eastAsia="仿宋" w:cs="仿宋"/>
          <w:color w:val="333333"/>
          <w:sz w:val="32"/>
          <w:szCs w:val="32"/>
        </w:rPr>
        <w:t>《</w:t>
      </w:r>
      <w:r>
        <w:rPr>
          <w:rFonts w:hint="eastAsia" w:ascii="仿宋" w:hAnsi="仿宋" w:eastAsia="仿宋" w:cs="仿宋"/>
          <w:color w:val="333333"/>
          <w:sz w:val="32"/>
          <w:szCs w:val="32"/>
          <w:lang w:eastAsia="zh-CN"/>
        </w:rPr>
        <w:t>四川省卫生计生监督执法总队</w:t>
      </w:r>
      <w:r>
        <w:rPr>
          <w:rFonts w:hint="eastAsia" w:ascii="仿宋" w:hAnsi="仿宋" w:eastAsia="仿宋" w:cs="仿宋"/>
          <w:color w:val="333333"/>
          <w:sz w:val="32"/>
          <w:szCs w:val="32"/>
        </w:rPr>
        <w:t>关于落实2018年度卫生计生监督专项稽查的通知》（</w:t>
      </w:r>
      <w:r>
        <w:rPr>
          <w:rFonts w:hint="eastAsia" w:ascii="仿宋" w:hAnsi="仿宋" w:eastAsia="仿宋" w:cs="仿宋"/>
          <w:color w:val="333333"/>
          <w:sz w:val="32"/>
          <w:szCs w:val="32"/>
          <w:lang w:eastAsia="zh-CN"/>
        </w:rPr>
        <w:t>川</w:t>
      </w:r>
      <w:r>
        <w:rPr>
          <w:rFonts w:hint="eastAsia" w:ascii="仿宋" w:hAnsi="仿宋" w:eastAsia="仿宋" w:cs="仿宋"/>
          <w:color w:val="333333"/>
          <w:sz w:val="32"/>
          <w:szCs w:val="32"/>
        </w:rPr>
        <w:t>卫监函〔2018〕29号）</w:t>
      </w:r>
    </w:p>
    <w:p>
      <w:pPr>
        <w:pStyle w:val="12"/>
        <w:keepNext w:val="0"/>
        <w:keepLines w:val="0"/>
        <w:widowControl/>
        <w:suppressLineNumbers w:val="0"/>
        <w:overflowPunct w:val="0"/>
        <w:autoSpaceDE w:val="0"/>
        <w:autoSpaceDN/>
        <w:spacing w:before="360" w:beforeAutospacing="0" w:after="510" w:afterAutospacing="0" w:line="520" w:lineRule="atLeast"/>
        <w:ind w:left="0" w:right="0" w:firstLine="640"/>
        <w:jc w:val="both"/>
        <w:rPr>
          <w:rFonts w:hint="default" w:ascii="Times New Roman" w:hAnsi="Times New Roman" w:cs="Times New Roman"/>
          <w:color w:val="333333"/>
          <w:sz w:val="21"/>
          <w:szCs w:val="21"/>
        </w:rPr>
      </w:pPr>
      <w:r>
        <w:rPr>
          <w:rFonts w:hint="eastAsia" w:ascii="仿宋" w:hAnsi="仿宋" w:eastAsia="仿宋" w:cs="仿宋"/>
          <w:color w:val="333333"/>
          <w:sz w:val="32"/>
          <w:szCs w:val="32"/>
          <w:lang w:val="en-US" w:eastAsia="zh-CN"/>
        </w:rPr>
        <w:t>(2)</w:t>
      </w:r>
      <w:r>
        <w:rPr>
          <w:rFonts w:hint="eastAsia" w:ascii="仿宋" w:hAnsi="仿宋" w:eastAsia="仿宋" w:cs="仿宋"/>
          <w:color w:val="333333"/>
          <w:sz w:val="32"/>
          <w:szCs w:val="32"/>
        </w:rPr>
        <w:t>《</w:t>
      </w:r>
      <w:r>
        <w:rPr>
          <w:rFonts w:hint="eastAsia" w:ascii="仿宋" w:hAnsi="仿宋" w:eastAsia="仿宋" w:cs="仿宋"/>
          <w:color w:val="333333"/>
          <w:sz w:val="32"/>
          <w:szCs w:val="32"/>
          <w:lang w:eastAsia="zh-CN"/>
        </w:rPr>
        <w:t>阿坝州卫计委</w:t>
      </w:r>
      <w:r>
        <w:rPr>
          <w:rFonts w:hint="eastAsia" w:ascii="仿宋" w:hAnsi="仿宋" w:eastAsia="仿宋" w:cs="仿宋"/>
          <w:color w:val="333333"/>
          <w:sz w:val="32"/>
          <w:szCs w:val="32"/>
        </w:rPr>
        <w:t>关于印发&lt;2018年</w:t>
      </w:r>
      <w:r>
        <w:rPr>
          <w:rFonts w:hint="eastAsia" w:ascii="仿宋" w:hAnsi="仿宋" w:eastAsia="仿宋" w:cs="仿宋"/>
          <w:color w:val="333333"/>
          <w:sz w:val="32"/>
          <w:szCs w:val="32"/>
          <w:lang w:eastAsia="zh-CN"/>
        </w:rPr>
        <w:t>阿坝州</w:t>
      </w:r>
      <w:r>
        <w:rPr>
          <w:rFonts w:hint="eastAsia" w:ascii="仿宋" w:hAnsi="仿宋" w:eastAsia="仿宋" w:cs="仿宋"/>
          <w:color w:val="333333"/>
          <w:sz w:val="32"/>
          <w:szCs w:val="32"/>
        </w:rPr>
        <w:t>医疗废物处置管理专项执法检查的方案&gt;的通知》（</w:t>
      </w:r>
      <w:r>
        <w:rPr>
          <w:rFonts w:hint="eastAsia" w:ascii="仿宋" w:hAnsi="仿宋" w:eastAsia="仿宋" w:cs="仿宋"/>
          <w:color w:val="333333"/>
          <w:sz w:val="32"/>
          <w:szCs w:val="32"/>
          <w:lang w:eastAsia="zh-CN"/>
        </w:rPr>
        <w:t>阿</w:t>
      </w:r>
      <w:r>
        <w:rPr>
          <w:rFonts w:hint="eastAsia" w:ascii="仿宋" w:hAnsi="仿宋" w:eastAsia="仿宋" w:cs="仿宋"/>
          <w:color w:val="333333"/>
          <w:sz w:val="32"/>
          <w:szCs w:val="32"/>
        </w:rPr>
        <w:t>卫法监函〔2018〕2号）</w:t>
      </w:r>
    </w:p>
    <w:p>
      <w:pPr>
        <w:pStyle w:val="12"/>
        <w:keepNext w:val="0"/>
        <w:keepLines w:val="0"/>
        <w:widowControl/>
        <w:suppressLineNumbers w:val="0"/>
        <w:overflowPunct w:val="0"/>
        <w:autoSpaceDE w:val="0"/>
        <w:autoSpaceDN/>
        <w:spacing w:before="360" w:beforeAutospacing="0" w:after="510" w:afterAutospacing="0" w:line="520" w:lineRule="atLeast"/>
        <w:ind w:left="0" w:right="0" w:firstLine="640"/>
        <w:jc w:val="both"/>
        <w:rPr>
          <w:rFonts w:hint="default" w:ascii="Times New Roman" w:hAnsi="Times New Roman" w:cs="Times New Roman"/>
          <w:color w:val="333333"/>
          <w:sz w:val="21"/>
          <w:szCs w:val="21"/>
        </w:rPr>
      </w:pPr>
      <w:r>
        <w:rPr>
          <w:rFonts w:hint="eastAsia" w:ascii="仿宋" w:hAnsi="仿宋" w:eastAsia="仿宋" w:cs="仿宋"/>
          <w:color w:val="333333"/>
          <w:sz w:val="32"/>
          <w:szCs w:val="32"/>
          <w:lang w:val="en-US" w:eastAsia="zh-CN"/>
        </w:rPr>
        <w:t>(3)</w:t>
      </w:r>
      <w:r>
        <w:rPr>
          <w:rFonts w:hint="eastAsia" w:ascii="仿宋" w:hAnsi="仿宋" w:eastAsia="仿宋" w:cs="仿宋"/>
          <w:color w:val="333333"/>
          <w:sz w:val="32"/>
          <w:szCs w:val="32"/>
        </w:rPr>
        <w:t>《</w:t>
      </w:r>
      <w:r>
        <w:rPr>
          <w:rFonts w:hint="eastAsia" w:ascii="仿宋" w:hAnsi="仿宋" w:eastAsia="仿宋" w:cs="仿宋"/>
          <w:color w:val="333333"/>
          <w:sz w:val="32"/>
          <w:szCs w:val="32"/>
          <w:lang w:eastAsia="zh-CN"/>
        </w:rPr>
        <w:t>四川省卫生计生监督执法总队</w:t>
      </w:r>
      <w:r>
        <w:rPr>
          <w:rFonts w:hint="eastAsia" w:ascii="仿宋" w:hAnsi="仿宋" w:eastAsia="仿宋" w:cs="仿宋"/>
          <w:color w:val="333333"/>
          <w:sz w:val="32"/>
          <w:szCs w:val="32"/>
        </w:rPr>
        <w:t>关于印发&lt;</w:t>
      </w:r>
      <w:r>
        <w:rPr>
          <w:rFonts w:hint="eastAsia" w:ascii="仿宋" w:hAnsi="仿宋" w:eastAsia="仿宋" w:cs="仿宋"/>
          <w:color w:val="333333"/>
          <w:sz w:val="32"/>
          <w:szCs w:val="32"/>
          <w:lang w:eastAsia="zh-CN"/>
        </w:rPr>
        <w:t>四川省</w:t>
      </w:r>
      <w:r>
        <w:rPr>
          <w:rFonts w:hint="eastAsia" w:ascii="仿宋" w:hAnsi="仿宋" w:eastAsia="仿宋" w:cs="仿宋"/>
          <w:color w:val="333333"/>
          <w:sz w:val="32"/>
          <w:szCs w:val="32"/>
        </w:rPr>
        <w:t>医疗机构核医学诊疗活动专项整治工作方案&gt;的通知》（</w:t>
      </w:r>
      <w:r>
        <w:rPr>
          <w:rFonts w:hint="eastAsia" w:ascii="仿宋" w:hAnsi="仿宋" w:eastAsia="仿宋" w:cs="仿宋"/>
          <w:color w:val="333333"/>
          <w:sz w:val="32"/>
          <w:szCs w:val="32"/>
          <w:lang w:eastAsia="zh-CN"/>
        </w:rPr>
        <w:t>川</w:t>
      </w:r>
      <w:r>
        <w:rPr>
          <w:rFonts w:hint="eastAsia" w:ascii="仿宋" w:hAnsi="仿宋" w:eastAsia="仿宋" w:cs="仿宋"/>
          <w:color w:val="333333"/>
          <w:sz w:val="32"/>
          <w:szCs w:val="32"/>
        </w:rPr>
        <w:t>卫监便函〔2018〕7号）</w:t>
      </w:r>
    </w:p>
    <w:p>
      <w:pPr>
        <w:pStyle w:val="12"/>
        <w:keepNext w:val="0"/>
        <w:keepLines w:val="0"/>
        <w:widowControl/>
        <w:suppressLineNumbers w:val="0"/>
        <w:overflowPunct w:val="0"/>
        <w:autoSpaceDE w:val="0"/>
        <w:autoSpaceDN/>
        <w:spacing w:before="360" w:beforeAutospacing="0" w:after="510" w:afterAutospacing="0" w:line="520" w:lineRule="atLeast"/>
        <w:ind w:left="0" w:right="0" w:firstLine="640"/>
        <w:jc w:val="both"/>
        <w:rPr>
          <w:rFonts w:hint="default" w:ascii="Times New Roman" w:hAnsi="Times New Roman" w:cs="Times New Roman"/>
          <w:color w:val="333333"/>
          <w:sz w:val="21"/>
          <w:szCs w:val="21"/>
        </w:rPr>
      </w:pPr>
      <w:r>
        <w:rPr>
          <w:rFonts w:hint="eastAsia" w:ascii="仿宋" w:hAnsi="仿宋" w:eastAsia="仿宋" w:cs="仿宋"/>
          <w:color w:val="333333"/>
          <w:sz w:val="32"/>
          <w:szCs w:val="32"/>
          <w:lang w:val="en-US" w:eastAsia="zh-CN"/>
        </w:rPr>
        <w:t>(4)</w:t>
      </w:r>
      <w:r>
        <w:rPr>
          <w:rFonts w:hint="eastAsia" w:ascii="仿宋" w:hAnsi="仿宋" w:eastAsia="仿宋" w:cs="仿宋"/>
          <w:color w:val="333333"/>
          <w:sz w:val="32"/>
          <w:szCs w:val="32"/>
        </w:rPr>
        <w:t>《关于印发&lt;2018年</w:t>
      </w:r>
      <w:r>
        <w:rPr>
          <w:rFonts w:hint="eastAsia" w:ascii="仿宋" w:hAnsi="仿宋" w:eastAsia="仿宋" w:cs="仿宋"/>
          <w:color w:val="333333"/>
          <w:sz w:val="32"/>
          <w:szCs w:val="32"/>
          <w:lang w:eastAsia="zh-CN"/>
        </w:rPr>
        <w:t>四川省</w:t>
      </w:r>
      <w:r>
        <w:rPr>
          <w:rFonts w:hint="eastAsia" w:ascii="仿宋" w:hAnsi="仿宋" w:eastAsia="仿宋" w:cs="仿宋"/>
          <w:color w:val="333333"/>
          <w:sz w:val="32"/>
          <w:szCs w:val="32"/>
        </w:rPr>
        <w:t>卫生计生随机监督抽查计划&gt;的通知》（</w:t>
      </w:r>
      <w:r>
        <w:rPr>
          <w:rFonts w:hint="eastAsia" w:ascii="仿宋" w:hAnsi="仿宋" w:eastAsia="仿宋" w:cs="仿宋"/>
          <w:color w:val="333333"/>
          <w:sz w:val="32"/>
          <w:szCs w:val="32"/>
          <w:lang w:eastAsia="zh-CN"/>
        </w:rPr>
        <w:t>川</w:t>
      </w:r>
      <w:r>
        <w:rPr>
          <w:rFonts w:hint="eastAsia" w:ascii="仿宋" w:hAnsi="仿宋" w:eastAsia="仿宋" w:cs="仿宋"/>
          <w:color w:val="333333"/>
          <w:sz w:val="32"/>
          <w:szCs w:val="32"/>
        </w:rPr>
        <w:t>卫监发〔2018〕4号 ）</w:t>
      </w:r>
    </w:p>
    <w:p>
      <w:pPr>
        <w:pStyle w:val="12"/>
        <w:keepNext w:val="0"/>
        <w:keepLines w:val="0"/>
        <w:widowControl/>
        <w:suppressLineNumbers w:val="0"/>
        <w:spacing w:before="360" w:beforeAutospacing="0" w:after="510" w:afterAutospacing="0" w:line="360" w:lineRule="auto"/>
        <w:ind w:right="0"/>
        <w:jc w:val="both"/>
        <w:rPr>
          <w:rFonts w:hint="default" w:ascii="Calibri" w:hAnsi="Calibri" w:cs="Calibri"/>
          <w:b/>
          <w:bCs/>
          <w:color w:val="333333"/>
          <w:sz w:val="21"/>
          <w:szCs w:val="21"/>
        </w:rPr>
      </w:pPr>
      <w:r>
        <w:rPr>
          <w:rFonts w:hint="eastAsia" w:ascii="仿宋" w:hAnsi="仿宋" w:eastAsia="仿宋" w:cs="仿宋"/>
          <w:b/>
          <w:bCs/>
          <w:color w:val="333333"/>
          <w:sz w:val="32"/>
          <w:szCs w:val="32"/>
        </w:rPr>
        <w:t>3、项目基本性质、用途和主要内容、涉及范围</w:t>
      </w:r>
    </w:p>
    <w:p>
      <w:pPr>
        <w:pStyle w:val="12"/>
        <w:keepNext w:val="0"/>
        <w:keepLines w:val="0"/>
        <w:widowControl/>
        <w:suppressLineNumbers w:val="0"/>
        <w:spacing w:before="360" w:beforeAutospacing="0" w:after="510" w:afterAutospacing="0" w:line="360" w:lineRule="auto"/>
        <w:ind w:left="0" w:right="0" w:firstLine="640"/>
        <w:jc w:val="both"/>
        <w:rPr>
          <w:rFonts w:hint="default" w:ascii="Calibri" w:hAnsi="Calibri" w:cs="Calibri"/>
          <w:color w:val="333333"/>
          <w:sz w:val="21"/>
          <w:szCs w:val="21"/>
        </w:rPr>
      </w:pPr>
      <w:r>
        <w:rPr>
          <w:rFonts w:hint="eastAsia" w:ascii="仿宋" w:hAnsi="仿宋" w:eastAsia="仿宋" w:cs="仿宋"/>
          <w:color w:val="333333"/>
          <w:sz w:val="32"/>
          <w:szCs w:val="32"/>
          <w:lang w:val="en-US" w:eastAsia="zh-CN"/>
        </w:rPr>
        <w:sym w:font="Wingdings" w:char="F081"/>
      </w:r>
      <w:r>
        <w:rPr>
          <w:rFonts w:hint="eastAsia" w:ascii="仿宋" w:hAnsi="仿宋" w:eastAsia="仿宋" w:cs="仿宋"/>
          <w:color w:val="333333"/>
          <w:sz w:val="32"/>
          <w:szCs w:val="32"/>
        </w:rPr>
        <w:t>基本性质：我局重大公共卫生经费项目由</w:t>
      </w:r>
      <w:r>
        <w:rPr>
          <w:rFonts w:hint="eastAsia" w:ascii="仿宋" w:hAnsi="仿宋" w:eastAsia="仿宋" w:cs="仿宋"/>
          <w:color w:val="333333"/>
          <w:sz w:val="32"/>
          <w:szCs w:val="32"/>
          <w:lang w:eastAsia="zh-CN"/>
        </w:rPr>
        <w:t>县</w:t>
      </w:r>
      <w:r>
        <w:rPr>
          <w:rFonts w:hint="eastAsia" w:ascii="仿宋" w:hAnsi="仿宋" w:eastAsia="仿宋" w:cs="仿宋"/>
          <w:color w:val="333333"/>
          <w:sz w:val="32"/>
          <w:szCs w:val="32"/>
        </w:rPr>
        <w:t>财政拨付，用于统筹推进重大公共卫生工作。</w:t>
      </w:r>
    </w:p>
    <w:p>
      <w:pPr>
        <w:pStyle w:val="12"/>
        <w:keepNext w:val="0"/>
        <w:keepLines w:val="0"/>
        <w:widowControl/>
        <w:suppressLineNumbers w:val="0"/>
        <w:spacing w:before="360" w:beforeAutospacing="0" w:after="510" w:afterAutospacing="0" w:line="360" w:lineRule="auto"/>
        <w:ind w:left="0" w:right="0" w:firstLine="640"/>
        <w:jc w:val="both"/>
        <w:rPr>
          <w:rFonts w:hint="default" w:ascii="Calibri" w:hAnsi="Calibri" w:cs="Calibri"/>
          <w:color w:val="333333"/>
          <w:sz w:val="21"/>
          <w:szCs w:val="21"/>
        </w:rPr>
      </w:pPr>
      <w:r>
        <w:rPr>
          <w:rFonts w:hint="eastAsia" w:ascii="仿宋" w:hAnsi="仿宋" w:eastAsia="仿宋" w:cs="仿宋"/>
          <w:color w:val="333333"/>
          <w:sz w:val="32"/>
          <w:szCs w:val="32"/>
          <w:lang w:val="en-US" w:eastAsia="zh-CN"/>
        </w:rPr>
        <w:sym w:font="Wingdings" w:char="F082"/>
      </w:r>
      <w:r>
        <w:rPr>
          <w:rFonts w:hint="eastAsia" w:ascii="仿宋" w:hAnsi="仿宋" w:eastAsia="仿宋" w:cs="仿宋"/>
          <w:color w:val="333333"/>
          <w:sz w:val="32"/>
          <w:szCs w:val="32"/>
        </w:rPr>
        <w:t>用途和主要内容：重大公共卫生项目执法经费，项目支出主要用于：相关业务科室邮电费、差旅费、公务用车运行维护费。</w:t>
      </w:r>
    </w:p>
    <w:p>
      <w:pPr>
        <w:pStyle w:val="12"/>
        <w:keepNext w:val="0"/>
        <w:keepLines w:val="0"/>
        <w:widowControl/>
        <w:suppressLineNumbers w:val="0"/>
        <w:spacing w:before="360" w:beforeAutospacing="0" w:after="510" w:afterAutospacing="0" w:line="360" w:lineRule="auto"/>
        <w:ind w:left="0" w:right="0" w:firstLine="640"/>
        <w:jc w:val="both"/>
        <w:rPr>
          <w:rFonts w:hint="default" w:ascii="Calibri" w:hAnsi="Calibri" w:cs="Calibri"/>
          <w:color w:val="333333"/>
          <w:sz w:val="21"/>
          <w:szCs w:val="21"/>
        </w:rPr>
      </w:pPr>
      <w:r>
        <w:rPr>
          <w:rFonts w:hint="eastAsia" w:ascii="仿宋" w:hAnsi="仿宋" w:eastAsia="仿宋" w:cs="仿宋"/>
          <w:color w:val="333333"/>
          <w:sz w:val="32"/>
          <w:szCs w:val="32"/>
          <w:lang w:val="en-US" w:eastAsia="zh-CN"/>
        </w:rPr>
        <w:sym w:font="Wingdings" w:char="F083"/>
      </w:r>
      <w:r>
        <w:rPr>
          <w:rFonts w:hint="eastAsia" w:ascii="仿宋" w:hAnsi="仿宋" w:eastAsia="仿宋" w:cs="仿宋"/>
          <w:color w:val="333333"/>
          <w:sz w:val="32"/>
          <w:szCs w:val="32"/>
        </w:rPr>
        <w:t>涉及范围：</w:t>
      </w:r>
      <w:r>
        <w:rPr>
          <w:rFonts w:hint="eastAsia" w:ascii="仿宋" w:hAnsi="仿宋" w:eastAsia="仿宋" w:cs="仿宋"/>
          <w:color w:val="333333"/>
          <w:sz w:val="32"/>
          <w:szCs w:val="32"/>
          <w:lang w:eastAsia="zh-CN"/>
        </w:rPr>
        <w:t>大队</w:t>
      </w:r>
      <w:r>
        <w:rPr>
          <w:rFonts w:hint="eastAsia" w:ascii="仿宋" w:hAnsi="仿宋" w:eastAsia="仿宋" w:cs="仿宋"/>
          <w:color w:val="333333"/>
          <w:sz w:val="32"/>
          <w:szCs w:val="32"/>
        </w:rPr>
        <w:t>相关业务科室。</w:t>
      </w:r>
    </w:p>
    <w:p>
      <w:pPr>
        <w:pStyle w:val="12"/>
        <w:keepNext w:val="0"/>
        <w:keepLines w:val="0"/>
        <w:widowControl/>
        <w:suppressLineNumbers w:val="0"/>
        <w:spacing w:before="360" w:beforeAutospacing="0" w:after="510" w:afterAutospacing="0" w:line="360" w:lineRule="auto"/>
        <w:ind w:right="0"/>
        <w:jc w:val="both"/>
        <w:rPr>
          <w:rFonts w:hint="default" w:ascii="Calibri" w:hAnsi="Calibri" w:cs="Calibri"/>
          <w:color w:val="333333"/>
          <w:sz w:val="21"/>
          <w:szCs w:val="21"/>
        </w:rPr>
      </w:pPr>
      <w:r>
        <w:rPr>
          <w:rFonts w:hint="eastAsia" w:ascii="楷体" w:hAnsi="楷体" w:eastAsia="楷体" w:cs="楷体"/>
          <w:b/>
          <w:i w:val="0"/>
          <w:color w:val="333333"/>
          <w:sz w:val="32"/>
          <w:szCs w:val="32"/>
        </w:rPr>
        <w:t>（二）项目绩效目标</w:t>
      </w:r>
    </w:p>
    <w:p>
      <w:pPr>
        <w:pStyle w:val="12"/>
        <w:keepNext w:val="0"/>
        <w:keepLines w:val="0"/>
        <w:widowControl/>
        <w:suppressLineNumbers w:val="0"/>
        <w:spacing w:before="360" w:beforeAutospacing="0" w:after="510" w:afterAutospacing="0" w:line="360" w:lineRule="auto"/>
        <w:ind w:right="0"/>
        <w:jc w:val="both"/>
        <w:rPr>
          <w:rFonts w:hint="default" w:ascii="Calibri" w:hAnsi="Calibri" w:cs="Calibri"/>
          <w:color w:val="333333"/>
          <w:sz w:val="21"/>
          <w:szCs w:val="21"/>
        </w:rPr>
      </w:pPr>
      <w:r>
        <w:rPr>
          <w:rFonts w:hint="eastAsia" w:ascii="仿宋" w:hAnsi="仿宋" w:eastAsia="仿宋" w:cs="仿宋"/>
          <w:color w:val="333333"/>
          <w:sz w:val="32"/>
          <w:szCs w:val="32"/>
        </w:rPr>
        <w:t>1、项目绩效总目标和阶段性目标</w:t>
      </w:r>
    </w:p>
    <w:p>
      <w:pPr>
        <w:pStyle w:val="12"/>
        <w:keepNext w:val="0"/>
        <w:keepLines w:val="0"/>
        <w:widowControl/>
        <w:suppressLineNumbers w:val="0"/>
        <w:spacing w:before="360" w:beforeAutospacing="0" w:after="510" w:afterAutospacing="0" w:line="360" w:lineRule="auto"/>
        <w:ind w:left="0" w:right="0" w:firstLine="640"/>
        <w:jc w:val="both"/>
        <w:rPr>
          <w:rFonts w:hint="default" w:ascii="Calibri" w:hAnsi="Calibri" w:cs="Calibri"/>
          <w:color w:val="333333"/>
          <w:sz w:val="21"/>
          <w:szCs w:val="21"/>
        </w:rPr>
      </w:pPr>
      <w:r>
        <w:rPr>
          <w:rFonts w:hint="eastAsia" w:ascii="仿宋" w:hAnsi="仿宋" w:eastAsia="仿宋" w:cs="仿宋"/>
          <w:color w:val="333333"/>
          <w:sz w:val="32"/>
          <w:szCs w:val="32"/>
        </w:rPr>
        <w:t>（1）项目绩效总目标：</w:t>
      </w:r>
    </w:p>
    <w:p>
      <w:pPr>
        <w:pStyle w:val="12"/>
        <w:keepNext w:val="0"/>
        <w:keepLines w:val="0"/>
        <w:widowControl/>
        <w:suppressLineNumbers w:val="0"/>
        <w:autoSpaceDE w:val="0"/>
        <w:autoSpaceDN/>
        <w:spacing w:before="360" w:beforeAutospacing="0" w:after="510" w:afterAutospacing="0" w:line="360" w:lineRule="auto"/>
        <w:ind w:left="0" w:right="0" w:firstLine="640"/>
        <w:jc w:val="both"/>
        <w:rPr>
          <w:rFonts w:hint="default" w:ascii="Calibri" w:hAnsi="Calibri" w:cs="Calibri"/>
          <w:color w:val="333333"/>
          <w:sz w:val="21"/>
          <w:szCs w:val="21"/>
        </w:rPr>
      </w:pPr>
      <w:r>
        <w:rPr>
          <w:rFonts w:hint="eastAsia" w:ascii="仿宋" w:hAnsi="仿宋" w:eastAsia="仿宋" w:cs="仿宋"/>
          <w:color w:val="333333"/>
          <w:sz w:val="32"/>
          <w:szCs w:val="32"/>
        </w:rPr>
        <w:t>提高卫生监督管理水平，通过强化监督管理，有效保障公共场所卫生安全、生活饮用水卫生安全、学校卫生安全及重大活动卫生安全，减少和杜绝重大传染病及突发公共卫生事件的发生。</w:t>
      </w:r>
    </w:p>
    <w:p>
      <w:pPr>
        <w:pStyle w:val="12"/>
        <w:keepNext w:val="0"/>
        <w:keepLines w:val="0"/>
        <w:widowControl/>
        <w:suppressLineNumbers w:val="0"/>
        <w:spacing w:before="360" w:beforeAutospacing="0" w:after="510" w:afterAutospacing="0" w:line="360" w:lineRule="auto"/>
        <w:ind w:left="0" w:right="0" w:firstLine="640"/>
        <w:jc w:val="both"/>
        <w:rPr>
          <w:rFonts w:hint="default" w:ascii="Calibri" w:hAnsi="Calibri" w:cs="Calibri"/>
          <w:color w:val="333333"/>
          <w:sz w:val="21"/>
          <w:szCs w:val="21"/>
        </w:rPr>
      </w:pPr>
      <w:r>
        <w:rPr>
          <w:rFonts w:hint="eastAsia" w:ascii="仿宋" w:hAnsi="仿宋" w:eastAsia="仿宋" w:cs="仿宋"/>
          <w:color w:val="333333"/>
          <w:sz w:val="32"/>
          <w:szCs w:val="32"/>
        </w:rPr>
        <w:t>（2）阶段性目标：</w:t>
      </w:r>
    </w:p>
    <w:p>
      <w:pPr>
        <w:pStyle w:val="12"/>
        <w:keepNext w:val="0"/>
        <w:keepLines w:val="0"/>
        <w:widowControl/>
        <w:suppressLineNumbers w:val="0"/>
        <w:autoSpaceDE w:val="0"/>
        <w:autoSpaceDN/>
        <w:spacing w:before="360" w:beforeAutospacing="0" w:after="510" w:afterAutospacing="0" w:line="360" w:lineRule="auto"/>
        <w:ind w:left="0" w:right="0" w:firstLine="640"/>
        <w:jc w:val="both"/>
        <w:rPr>
          <w:rFonts w:hint="default" w:ascii="Calibri" w:hAnsi="Calibri" w:cs="Calibri"/>
          <w:color w:val="333333"/>
          <w:sz w:val="21"/>
          <w:szCs w:val="21"/>
        </w:rPr>
      </w:pPr>
      <w:r>
        <w:rPr>
          <w:rFonts w:hint="eastAsia" w:ascii="仿宋" w:hAnsi="仿宋" w:eastAsia="仿宋" w:cs="仿宋"/>
          <w:color w:val="333333"/>
          <w:sz w:val="32"/>
          <w:szCs w:val="32"/>
        </w:rPr>
        <w:t>一是强化培训，提升监督员业务素质。</w:t>
      </w:r>
    </w:p>
    <w:p>
      <w:pPr>
        <w:pStyle w:val="12"/>
        <w:keepNext w:val="0"/>
        <w:keepLines w:val="0"/>
        <w:widowControl/>
        <w:suppressLineNumbers w:val="0"/>
        <w:autoSpaceDE w:val="0"/>
        <w:autoSpaceDN/>
        <w:spacing w:before="360" w:beforeAutospacing="0" w:after="510" w:afterAutospacing="0" w:line="360" w:lineRule="auto"/>
        <w:ind w:left="0" w:right="0" w:firstLine="640"/>
        <w:jc w:val="both"/>
        <w:rPr>
          <w:rFonts w:hint="default" w:ascii="Calibri" w:hAnsi="Calibri" w:cs="Calibri"/>
          <w:color w:val="333333"/>
          <w:sz w:val="21"/>
          <w:szCs w:val="21"/>
        </w:rPr>
      </w:pPr>
      <w:r>
        <w:rPr>
          <w:rFonts w:hint="eastAsia" w:ascii="仿宋" w:hAnsi="仿宋" w:eastAsia="仿宋" w:cs="仿宋"/>
          <w:color w:val="333333"/>
          <w:sz w:val="32"/>
          <w:szCs w:val="32"/>
        </w:rPr>
        <w:t>二是开展医疗机构传染病防治分类监督综合评价和医疗废物管理、医疗污水处置专项监督检查。</w:t>
      </w:r>
    </w:p>
    <w:p>
      <w:pPr>
        <w:pStyle w:val="12"/>
        <w:keepNext w:val="0"/>
        <w:keepLines w:val="0"/>
        <w:widowControl/>
        <w:suppressLineNumbers w:val="0"/>
        <w:autoSpaceDE w:val="0"/>
        <w:autoSpaceDN/>
        <w:spacing w:before="360" w:beforeAutospacing="0" w:after="510" w:afterAutospacing="0" w:line="360" w:lineRule="auto"/>
        <w:ind w:left="0" w:right="0" w:firstLine="640"/>
        <w:jc w:val="both"/>
        <w:rPr>
          <w:rFonts w:hint="default" w:ascii="Calibri" w:hAnsi="Calibri" w:cs="Calibri"/>
          <w:color w:val="333333"/>
          <w:sz w:val="21"/>
          <w:szCs w:val="21"/>
        </w:rPr>
      </w:pPr>
      <w:r>
        <w:rPr>
          <w:rFonts w:hint="eastAsia" w:ascii="仿宋" w:hAnsi="仿宋" w:eastAsia="仿宋" w:cs="仿宋"/>
          <w:color w:val="333333"/>
          <w:sz w:val="32"/>
          <w:szCs w:val="32"/>
        </w:rPr>
        <w:t>三是按期完成国家双随机监督任务。</w:t>
      </w:r>
    </w:p>
    <w:p>
      <w:pPr>
        <w:pStyle w:val="12"/>
        <w:keepNext w:val="0"/>
        <w:keepLines w:val="0"/>
        <w:widowControl/>
        <w:suppressLineNumbers w:val="0"/>
        <w:autoSpaceDE w:val="0"/>
        <w:autoSpaceDN/>
        <w:spacing w:before="360" w:beforeAutospacing="0" w:after="510" w:afterAutospacing="0" w:line="360" w:lineRule="auto"/>
        <w:ind w:right="0"/>
        <w:jc w:val="both"/>
        <w:rPr>
          <w:rFonts w:hint="default" w:ascii="Calibri" w:hAnsi="Calibri" w:cs="Calibri"/>
          <w:color w:val="333333"/>
          <w:sz w:val="21"/>
          <w:szCs w:val="21"/>
        </w:rPr>
      </w:pPr>
      <w:r>
        <w:rPr>
          <w:rFonts w:hint="eastAsia" w:ascii="仿宋" w:hAnsi="仿宋" w:eastAsia="仿宋" w:cs="仿宋"/>
          <w:color w:val="333333"/>
          <w:sz w:val="32"/>
          <w:szCs w:val="32"/>
        </w:rPr>
        <w:t>2、预期主要的生态、社会和经济效益</w:t>
      </w:r>
    </w:p>
    <w:p>
      <w:pPr>
        <w:pStyle w:val="12"/>
        <w:keepNext w:val="0"/>
        <w:keepLines w:val="0"/>
        <w:widowControl/>
        <w:suppressLineNumbers w:val="0"/>
        <w:autoSpaceDE w:val="0"/>
        <w:autoSpaceDN/>
        <w:spacing w:before="360" w:beforeAutospacing="0" w:after="510" w:afterAutospacing="0" w:line="360" w:lineRule="auto"/>
        <w:ind w:left="0" w:right="0" w:firstLine="640"/>
        <w:jc w:val="both"/>
        <w:rPr>
          <w:rFonts w:hint="default" w:ascii="Calibri" w:hAnsi="Calibri" w:cs="Calibri"/>
          <w:color w:val="333333"/>
          <w:sz w:val="21"/>
          <w:szCs w:val="21"/>
        </w:rPr>
      </w:pPr>
      <w:r>
        <w:rPr>
          <w:rFonts w:hint="eastAsia" w:ascii="仿宋" w:hAnsi="仿宋" w:eastAsia="仿宋" w:cs="仿宋"/>
          <w:color w:val="333333"/>
          <w:sz w:val="32"/>
          <w:szCs w:val="32"/>
        </w:rPr>
        <w:t>社会效益：减少和杜绝重大传染病及突发公共卫生事件的发生。</w:t>
      </w:r>
    </w:p>
    <w:p>
      <w:pPr>
        <w:pStyle w:val="12"/>
        <w:keepNext w:val="0"/>
        <w:keepLines w:val="0"/>
        <w:widowControl/>
        <w:suppressLineNumbers w:val="0"/>
        <w:spacing w:before="360" w:beforeAutospacing="0" w:after="510" w:afterAutospacing="0" w:line="360" w:lineRule="auto"/>
        <w:ind w:right="0"/>
        <w:jc w:val="both"/>
        <w:rPr>
          <w:rFonts w:hint="default" w:ascii="Calibri" w:hAnsi="Calibri" w:cs="Calibri"/>
          <w:color w:val="333333"/>
          <w:sz w:val="21"/>
          <w:szCs w:val="21"/>
        </w:rPr>
      </w:pPr>
      <w:r>
        <w:rPr>
          <w:rFonts w:hint="eastAsia" w:ascii="楷体" w:hAnsi="楷体" w:eastAsia="楷体" w:cs="楷体"/>
          <w:b/>
          <w:i w:val="0"/>
          <w:color w:val="333333"/>
          <w:sz w:val="32"/>
          <w:szCs w:val="32"/>
        </w:rPr>
        <w:t>二、绩效评价工作情况</w:t>
      </w:r>
    </w:p>
    <w:p>
      <w:pPr>
        <w:pStyle w:val="12"/>
        <w:keepNext w:val="0"/>
        <w:keepLines w:val="0"/>
        <w:widowControl/>
        <w:suppressLineNumbers w:val="0"/>
        <w:spacing w:before="360" w:beforeAutospacing="0" w:after="510" w:afterAutospacing="0" w:line="360" w:lineRule="auto"/>
        <w:ind w:left="0" w:right="0" w:firstLine="640"/>
        <w:jc w:val="both"/>
        <w:rPr>
          <w:rFonts w:hint="default" w:ascii="Calibri" w:hAnsi="Calibri" w:cs="Calibri"/>
          <w:color w:val="333333"/>
          <w:sz w:val="21"/>
          <w:szCs w:val="21"/>
        </w:rPr>
      </w:pPr>
      <w:r>
        <w:rPr>
          <w:rFonts w:hint="eastAsia" w:ascii="仿宋" w:hAnsi="仿宋" w:eastAsia="仿宋" w:cs="仿宋"/>
          <w:color w:val="333333"/>
          <w:sz w:val="32"/>
          <w:szCs w:val="32"/>
        </w:rPr>
        <w:t>绩效评价工作过程：前期准备、组织实施、分析评价</w:t>
      </w:r>
    </w:p>
    <w:p>
      <w:pPr>
        <w:pStyle w:val="12"/>
        <w:keepNext w:val="0"/>
        <w:keepLines w:val="0"/>
        <w:widowControl/>
        <w:suppressLineNumbers w:val="0"/>
        <w:spacing w:before="360" w:beforeAutospacing="0" w:after="510" w:afterAutospacing="0" w:line="360" w:lineRule="auto"/>
        <w:ind w:left="0" w:right="0" w:firstLine="640"/>
        <w:jc w:val="both"/>
        <w:rPr>
          <w:rFonts w:hint="default" w:ascii="Calibri" w:hAnsi="Calibri" w:cs="Calibri"/>
          <w:color w:val="333333"/>
          <w:sz w:val="21"/>
          <w:szCs w:val="21"/>
        </w:rPr>
      </w:pPr>
      <w:r>
        <w:rPr>
          <w:rFonts w:hint="eastAsia" w:ascii="仿宋" w:hAnsi="仿宋" w:eastAsia="仿宋" w:cs="仿宋"/>
          <w:color w:val="333333"/>
          <w:sz w:val="32"/>
          <w:szCs w:val="32"/>
        </w:rPr>
        <w:t>1、前期准备：成立评价工作组、制订评价实施方案。</w:t>
      </w:r>
    </w:p>
    <w:p>
      <w:pPr>
        <w:pStyle w:val="12"/>
        <w:keepNext w:val="0"/>
        <w:keepLines w:val="0"/>
        <w:widowControl/>
        <w:suppressLineNumbers w:val="0"/>
        <w:spacing w:before="360" w:beforeAutospacing="0" w:after="510" w:afterAutospacing="0" w:line="360" w:lineRule="auto"/>
        <w:ind w:left="0" w:right="0" w:firstLine="640"/>
        <w:jc w:val="both"/>
        <w:rPr>
          <w:rFonts w:hint="default" w:ascii="Calibri" w:hAnsi="Calibri" w:cs="Calibri"/>
          <w:color w:val="333333"/>
          <w:sz w:val="21"/>
          <w:szCs w:val="21"/>
        </w:rPr>
      </w:pPr>
      <w:r>
        <w:rPr>
          <w:rFonts w:hint="eastAsia" w:ascii="仿宋" w:hAnsi="仿宋" w:eastAsia="仿宋" w:cs="仿宋"/>
          <w:color w:val="333333"/>
          <w:sz w:val="32"/>
          <w:szCs w:val="32"/>
        </w:rPr>
        <w:t>2．组织实施。根据绩效评价实施方案进行采集基础数据，汇总相关资料。</w:t>
      </w:r>
    </w:p>
    <w:p>
      <w:pPr>
        <w:pStyle w:val="12"/>
        <w:keepNext w:val="0"/>
        <w:keepLines w:val="0"/>
        <w:widowControl/>
        <w:suppressLineNumbers w:val="0"/>
        <w:spacing w:before="360" w:beforeAutospacing="0" w:after="510" w:afterAutospacing="0" w:line="360" w:lineRule="auto"/>
        <w:ind w:left="0" w:right="0" w:firstLine="640"/>
        <w:jc w:val="both"/>
        <w:rPr>
          <w:rFonts w:hint="default" w:ascii="Calibri" w:hAnsi="Calibri" w:cs="Calibri"/>
          <w:color w:val="333333"/>
          <w:sz w:val="21"/>
          <w:szCs w:val="21"/>
        </w:rPr>
      </w:pPr>
      <w:r>
        <w:rPr>
          <w:rFonts w:hint="eastAsia" w:ascii="仿宋" w:hAnsi="仿宋" w:eastAsia="仿宋" w:cs="仿宋"/>
          <w:color w:val="333333"/>
          <w:sz w:val="32"/>
          <w:szCs w:val="32"/>
        </w:rPr>
        <w:t>3．分析评价。对采集的数据资料进行复核汇总、分类整理和综合分析；按照设立的评价指标、标准等进行评价评分，并形成评价结论。</w:t>
      </w:r>
    </w:p>
    <w:p>
      <w:pPr>
        <w:pStyle w:val="12"/>
        <w:keepNext w:val="0"/>
        <w:keepLines w:val="0"/>
        <w:widowControl/>
        <w:suppressLineNumbers w:val="0"/>
        <w:spacing w:before="360" w:beforeAutospacing="0" w:after="510" w:afterAutospacing="0" w:line="360" w:lineRule="auto"/>
        <w:ind w:right="0"/>
        <w:jc w:val="both"/>
        <w:rPr>
          <w:rFonts w:hint="default" w:ascii="Calibri" w:hAnsi="Calibri" w:cs="Calibri"/>
          <w:color w:val="333333"/>
          <w:sz w:val="21"/>
          <w:szCs w:val="21"/>
        </w:rPr>
      </w:pPr>
      <w:r>
        <w:rPr>
          <w:rFonts w:hint="eastAsia" w:ascii="楷体" w:hAnsi="楷体" w:eastAsia="楷体" w:cs="楷体"/>
          <w:b/>
          <w:i w:val="0"/>
          <w:color w:val="333333"/>
          <w:sz w:val="32"/>
          <w:szCs w:val="32"/>
        </w:rPr>
        <w:t>三、绩效评价指标分析情况</w:t>
      </w:r>
    </w:p>
    <w:p>
      <w:pPr>
        <w:pStyle w:val="12"/>
        <w:keepNext w:val="0"/>
        <w:keepLines w:val="0"/>
        <w:widowControl/>
        <w:suppressLineNumbers w:val="0"/>
        <w:spacing w:before="360" w:beforeAutospacing="0" w:after="510" w:afterAutospacing="0" w:line="360" w:lineRule="auto"/>
        <w:ind w:right="0"/>
        <w:jc w:val="both"/>
        <w:rPr>
          <w:rFonts w:hint="default" w:ascii="Calibri" w:hAnsi="Calibri" w:cs="Calibri"/>
          <w:color w:val="333333"/>
          <w:sz w:val="21"/>
          <w:szCs w:val="21"/>
        </w:rPr>
      </w:pPr>
      <w:r>
        <w:rPr>
          <w:rFonts w:hint="eastAsia" w:ascii="楷体" w:hAnsi="楷体" w:eastAsia="楷体" w:cs="楷体"/>
          <w:b/>
          <w:i w:val="0"/>
          <w:color w:val="333333"/>
          <w:sz w:val="32"/>
          <w:szCs w:val="32"/>
        </w:rPr>
        <w:t>（一）项目资金情况分析</w:t>
      </w:r>
    </w:p>
    <w:p>
      <w:pPr>
        <w:pStyle w:val="12"/>
        <w:keepNext w:val="0"/>
        <w:keepLines w:val="0"/>
        <w:widowControl/>
        <w:suppressLineNumbers w:val="0"/>
        <w:spacing w:before="360" w:beforeAutospacing="0" w:after="510" w:afterAutospacing="0" w:line="360" w:lineRule="auto"/>
        <w:ind w:right="0"/>
        <w:jc w:val="both"/>
        <w:rPr>
          <w:rFonts w:hint="default" w:ascii="Calibri" w:hAnsi="Calibri" w:cs="Calibri"/>
          <w:color w:val="333333"/>
          <w:sz w:val="21"/>
          <w:szCs w:val="21"/>
        </w:rPr>
      </w:pPr>
      <w:r>
        <w:rPr>
          <w:rFonts w:hint="eastAsia" w:ascii="仿宋" w:hAnsi="仿宋" w:eastAsia="仿宋" w:cs="仿宋"/>
          <w:color w:val="333333"/>
          <w:sz w:val="32"/>
          <w:szCs w:val="32"/>
        </w:rPr>
        <w:t>1、项目资金到位情况分析</w:t>
      </w:r>
    </w:p>
    <w:p>
      <w:pPr>
        <w:pStyle w:val="12"/>
        <w:keepNext w:val="0"/>
        <w:keepLines w:val="0"/>
        <w:widowControl/>
        <w:suppressLineNumbers w:val="0"/>
        <w:overflowPunct w:val="0"/>
        <w:autoSpaceDE w:val="0"/>
        <w:autoSpaceDN/>
        <w:spacing w:before="360" w:beforeAutospacing="0" w:after="510" w:afterAutospacing="0" w:line="520" w:lineRule="atLeast"/>
        <w:ind w:left="0" w:right="0" w:firstLine="640"/>
        <w:jc w:val="both"/>
        <w:rPr>
          <w:rFonts w:hint="default" w:ascii="Times New Roman" w:hAnsi="Times New Roman" w:cs="Times New Roman"/>
          <w:color w:val="333333"/>
          <w:sz w:val="21"/>
          <w:szCs w:val="21"/>
        </w:rPr>
      </w:pPr>
      <w:r>
        <w:rPr>
          <w:rFonts w:hint="eastAsia" w:ascii="仿宋" w:hAnsi="仿宋" w:eastAsia="仿宋" w:cs="仿宋"/>
          <w:color w:val="333333"/>
          <w:sz w:val="32"/>
          <w:szCs w:val="32"/>
        </w:rPr>
        <w:t>（</w:t>
      </w:r>
      <w:r>
        <w:rPr>
          <w:rFonts w:hint="eastAsia" w:ascii="仿宋" w:hAnsi="仿宋" w:eastAsia="仿宋" w:cs="仿宋"/>
          <w:color w:val="333333"/>
          <w:sz w:val="32"/>
          <w:szCs w:val="32"/>
          <w:lang w:val="en-US" w:eastAsia="zh-CN"/>
        </w:rPr>
        <w:t>1</w:t>
      </w:r>
      <w:r>
        <w:rPr>
          <w:rFonts w:hint="eastAsia" w:ascii="仿宋" w:hAnsi="仿宋" w:eastAsia="仿宋" w:cs="仿宋"/>
          <w:color w:val="333333"/>
          <w:sz w:val="32"/>
          <w:szCs w:val="32"/>
        </w:rPr>
        <w:t>）重大公共卫生项目</w:t>
      </w:r>
    </w:p>
    <w:p>
      <w:pPr>
        <w:pStyle w:val="12"/>
        <w:keepNext w:val="0"/>
        <w:keepLines w:val="0"/>
        <w:widowControl/>
        <w:suppressLineNumbers w:val="0"/>
        <w:overflowPunct w:val="0"/>
        <w:autoSpaceDE w:val="0"/>
        <w:autoSpaceDN/>
        <w:spacing w:before="360" w:beforeAutospacing="0" w:after="510" w:afterAutospacing="0" w:line="520" w:lineRule="atLeast"/>
        <w:ind w:left="0" w:right="0" w:firstLine="640"/>
        <w:jc w:val="both"/>
        <w:rPr>
          <w:rFonts w:hint="default" w:ascii="Times New Roman" w:hAnsi="Times New Roman" w:cs="Times New Roman"/>
          <w:color w:val="333333"/>
          <w:sz w:val="21"/>
          <w:szCs w:val="21"/>
        </w:rPr>
      </w:pPr>
      <w:r>
        <w:rPr>
          <w:rFonts w:hint="eastAsia" w:ascii="仿宋" w:hAnsi="仿宋" w:eastAsia="仿宋" w:cs="仿宋"/>
          <w:color w:val="333333"/>
          <w:sz w:val="32"/>
          <w:szCs w:val="32"/>
        </w:rPr>
        <w:t>共计</w:t>
      </w:r>
      <w:r>
        <w:rPr>
          <w:rFonts w:hint="eastAsia" w:ascii="仿宋" w:hAnsi="仿宋" w:eastAsia="仿宋" w:cs="仿宋"/>
          <w:color w:val="333333"/>
          <w:sz w:val="32"/>
          <w:szCs w:val="32"/>
          <w:lang w:val="en-US" w:eastAsia="zh-CN"/>
        </w:rPr>
        <w:t>4</w:t>
      </w:r>
      <w:r>
        <w:rPr>
          <w:rFonts w:hint="eastAsia" w:ascii="仿宋" w:hAnsi="仿宋" w:eastAsia="仿宋" w:cs="仿宋"/>
          <w:color w:val="333333"/>
          <w:sz w:val="32"/>
          <w:szCs w:val="32"/>
        </w:rPr>
        <w:t>万元</w:t>
      </w:r>
      <w:r>
        <w:rPr>
          <w:rFonts w:hint="eastAsia" w:ascii="仿宋" w:hAnsi="仿宋" w:eastAsia="仿宋" w:cs="仿宋"/>
          <w:color w:val="333333"/>
          <w:sz w:val="32"/>
          <w:szCs w:val="32"/>
          <w:lang w:eastAsia="zh-CN"/>
        </w:rPr>
        <w:t>（</w:t>
      </w:r>
      <w:r>
        <w:rPr>
          <w:rFonts w:hint="eastAsia" w:ascii="仿宋" w:hAnsi="仿宋" w:eastAsia="仿宋" w:cs="仿宋"/>
          <w:color w:val="333333"/>
          <w:sz w:val="32"/>
          <w:szCs w:val="32"/>
          <w:lang w:val="en-US" w:eastAsia="zh-CN"/>
        </w:rPr>
        <w:t>2017年结转结余3万元</w:t>
      </w:r>
      <w:r>
        <w:rPr>
          <w:rFonts w:hint="eastAsia" w:ascii="仿宋" w:hAnsi="仿宋" w:eastAsia="仿宋" w:cs="仿宋"/>
          <w:color w:val="333333"/>
          <w:sz w:val="32"/>
          <w:szCs w:val="32"/>
          <w:lang w:eastAsia="zh-CN"/>
        </w:rPr>
        <w:t>）</w:t>
      </w:r>
      <w:r>
        <w:rPr>
          <w:rFonts w:hint="eastAsia" w:ascii="仿宋" w:hAnsi="仿宋" w:eastAsia="仿宋" w:cs="仿宋"/>
          <w:color w:val="333333"/>
          <w:sz w:val="32"/>
          <w:szCs w:val="32"/>
        </w:rPr>
        <w:t>。</w:t>
      </w:r>
    </w:p>
    <w:p>
      <w:pPr>
        <w:pStyle w:val="12"/>
        <w:keepNext w:val="0"/>
        <w:keepLines w:val="0"/>
        <w:widowControl/>
        <w:suppressLineNumbers w:val="0"/>
        <w:spacing w:before="360" w:beforeAutospacing="0" w:after="510" w:afterAutospacing="0" w:line="360" w:lineRule="auto"/>
        <w:ind w:left="0" w:right="0" w:firstLine="320"/>
        <w:jc w:val="both"/>
        <w:rPr>
          <w:rFonts w:hint="default" w:ascii="Calibri" w:hAnsi="Calibri" w:cs="Calibri"/>
          <w:color w:val="333333"/>
          <w:sz w:val="21"/>
          <w:szCs w:val="21"/>
        </w:rPr>
      </w:pPr>
      <w:r>
        <w:rPr>
          <w:rFonts w:hint="eastAsia" w:ascii="仿宋" w:hAnsi="仿宋" w:eastAsia="仿宋" w:cs="仿宋"/>
          <w:color w:val="333333"/>
          <w:sz w:val="32"/>
          <w:szCs w:val="32"/>
        </w:rPr>
        <w:t>2、项目资金使用情况分析</w:t>
      </w:r>
    </w:p>
    <w:p>
      <w:pPr>
        <w:pStyle w:val="12"/>
        <w:keepNext w:val="0"/>
        <w:keepLines w:val="0"/>
        <w:widowControl/>
        <w:suppressLineNumbers w:val="0"/>
        <w:overflowPunct w:val="0"/>
        <w:autoSpaceDE w:val="0"/>
        <w:autoSpaceDN/>
        <w:spacing w:before="360" w:beforeAutospacing="0" w:after="510" w:afterAutospacing="0" w:line="520" w:lineRule="atLeast"/>
        <w:ind w:left="0" w:right="0" w:firstLine="632"/>
        <w:jc w:val="both"/>
        <w:rPr>
          <w:rFonts w:hint="default" w:ascii="Times New Roman" w:hAnsi="Times New Roman" w:cs="Times New Roman"/>
          <w:color w:val="333333"/>
          <w:sz w:val="21"/>
          <w:szCs w:val="21"/>
        </w:rPr>
      </w:pPr>
      <w:r>
        <w:rPr>
          <w:rFonts w:hint="eastAsia" w:ascii="仿宋" w:hAnsi="仿宋" w:eastAsia="仿宋" w:cs="仿宋"/>
          <w:color w:val="333333"/>
          <w:spacing w:val="-2"/>
          <w:sz w:val="32"/>
          <w:szCs w:val="32"/>
        </w:rPr>
        <w:t>重大公共卫生项目经费决算支出</w:t>
      </w:r>
      <w:r>
        <w:rPr>
          <w:rFonts w:hint="eastAsia" w:ascii="仿宋" w:hAnsi="仿宋" w:eastAsia="仿宋" w:cs="仿宋"/>
          <w:color w:val="333333"/>
          <w:spacing w:val="-2"/>
          <w:sz w:val="32"/>
          <w:szCs w:val="32"/>
          <w:lang w:val="en-US" w:eastAsia="zh-CN"/>
        </w:rPr>
        <w:t>3</w:t>
      </w:r>
      <w:r>
        <w:rPr>
          <w:rFonts w:hint="eastAsia" w:ascii="仿宋" w:hAnsi="仿宋" w:eastAsia="仿宋" w:cs="仿宋"/>
          <w:color w:val="333333"/>
          <w:spacing w:val="-2"/>
          <w:sz w:val="32"/>
          <w:szCs w:val="32"/>
        </w:rPr>
        <w:t>万元。</w:t>
      </w:r>
      <w:r>
        <w:rPr>
          <w:rFonts w:hint="eastAsia" w:ascii="仿宋" w:hAnsi="仿宋" w:eastAsia="仿宋" w:cs="仿宋"/>
          <w:color w:val="333333"/>
          <w:spacing w:val="-2"/>
          <w:sz w:val="32"/>
          <w:szCs w:val="32"/>
          <w:lang w:eastAsia="zh-CN"/>
        </w:rPr>
        <w:t>主要用于专项卫生监督</w:t>
      </w:r>
      <w:r>
        <w:rPr>
          <w:rFonts w:hint="eastAsia" w:ascii="仿宋" w:hAnsi="仿宋" w:eastAsia="仿宋" w:cs="仿宋"/>
          <w:color w:val="333333"/>
          <w:spacing w:val="-2"/>
          <w:sz w:val="32"/>
          <w:szCs w:val="32"/>
        </w:rPr>
        <w:t>差旅费</w:t>
      </w:r>
      <w:r>
        <w:rPr>
          <w:rFonts w:hint="eastAsia" w:ascii="仿宋" w:hAnsi="仿宋" w:eastAsia="仿宋" w:cs="仿宋"/>
          <w:color w:val="333333"/>
          <w:spacing w:val="-2"/>
          <w:sz w:val="32"/>
          <w:szCs w:val="32"/>
          <w:lang w:eastAsia="zh-CN"/>
        </w:rPr>
        <w:t>、</w:t>
      </w:r>
      <w:r>
        <w:rPr>
          <w:rFonts w:hint="eastAsia" w:ascii="仿宋" w:hAnsi="仿宋" w:eastAsia="仿宋" w:cs="仿宋"/>
          <w:color w:val="333333"/>
          <w:spacing w:val="-2"/>
          <w:sz w:val="32"/>
          <w:szCs w:val="32"/>
        </w:rPr>
        <w:t>公务用车运行维护费。</w:t>
      </w:r>
    </w:p>
    <w:p>
      <w:pPr>
        <w:pStyle w:val="12"/>
        <w:keepNext w:val="0"/>
        <w:keepLines w:val="0"/>
        <w:widowControl/>
        <w:suppressLineNumbers w:val="0"/>
        <w:autoSpaceDE w:val="0"/>
        <w:autoSpaceDN/>
        <w:spacing w:before="360" w:beforeAutospacing="0" w:after="510" w:afterAutospacing="0" w:line="360" w:lineRule="auto"/>
        <w:ind w:left="0" w:right="0" w:firstLine="420"/>
        <w:jc w:val="both"/>
        <w:rPr>
          <w:rFonts w:hint="default" w:ascii="Calibri" w:hAnsi="Calibri" w:cs="Calibri"/>
          <w:color w:val="333333"/>
          <w:sz w:val="21"/>
          <w:szCs w:val="21"/>
        </w:rPr>
      </w:pPr>
      <w:r>
        <w:rPr>
          <w:rFonts w:hint="eastAsia" w:ascii="仿宋" w:hAnsi="仿宋" w:eastAsia="仿宋" w:cs="仿宋"/>
          <w:color w:val="333333"/>
          <w:spacing w:val="-2"/>
          <w:sz w:val="32"/>
          <w:szCs w:val="32"/>
        </w:rPr>
        <w:t>专项资金按照本单位收支管理制度进行管理，坚持项目资金管理按照专款专用的原则，经领导审批后方可列支。</w:t>
      </w:r>
    </w:p>
    <w:p>
      <w:pPr>
        <w:pStyle w:val="12"/>
        <w:keepNext w:val="0"/>
        <w:keepLines w:val="0"/>
        <w:widowControl/>
        <w:suppressLineNumbers w:val="0"/>
        <w:spacing w:before="360" w:beforeAutospacing="0" w:after="510" w:afterAutospacing="0" w:line="360" w:lineRule="auto"/>
        <w:ind w:right="0"/>
        <w:jc w:val="both"/>
        <w:rPr>
          <w:rFonts w:hint="default" w:ascii="Calibri" w:hAnsi="Calibri" w:cs="Calibri"/>
          <w:color w:val="333333"/>
          <w:sz w:val="21"/>
          <w:szCs w:val="21"/>
        </w:rPr>
      </w:pPr>
      <w:r>
        <w:rPr>
          <w:rFonts w:hint="eastAsia" w:ascii="楷体" w:hAnsi="楷体" w:eastAsia="楷体" w:cs="楷体"/>
          <w:b/>
          <w:i w:val="0"/>
          <w:color w:val="333333"/>
          <w:sz w:val="32"/>
          <w:szCs w:val="32"/>
        </w:rPr>
        <w:t>（二）项目实施情况分析</w:t>
      </w:r>
    </w:p>
    <w:p>
      <w:pPr>
        <w:pStyle w:val="12"/>
        <w:keepNext w:val="0"/>
        <w:keepLines w:val="0"/>
        <w:widowControl/>
        <w:suppressLineNumbers w:val="0"/>
        <w:spacing w:before="360" w:beforeAutospacing="0" w:after="510" w:afterAutospacing="0" w:line="360" w:lineRule="auto"/>
        <w:ind w:right="0"/>
        <w:jc w:val="both"/>
        <w:rPr>
          <w:rFonts w:hint="default" w:ascii="Calibri" w:hAnsi="Calibri" w:cs="Calibri"/>
          <w:color w:val="333333"/>
          <w:sz w:val="21"/>
          <w:szCs w:val="21"/>
        </w:rPr>
      </w:pPr>
      <w:r>
        <w:rPr>
          <w:rFonts w:hint="eastAsia" w:ascii="仿宋" w:hAnsi="仿宋" w:eastAsia="仿宋" w:cs="仿宋"/>
          <w:color w:val="333333"/>
          <w:sz w:val="32"/>
          <w:szCs w:val="32"/>
        </w:rPr>
        <w:t>1、项目组织情况分析</w:t>
      </w:r>
    </w:p>
    <w:p>
      <w:pPr>
        <w:pStyle w:val="12"/>
        <w:keepNext w:val="0"/>
        <w:keepLines w:val="0"/>
        <w:widowControl/>
        <w:suppressLineNumbers w:val="0"/>
        <w:shd w:val="clear" w:fill="FFFFFF"/>
        <w:spacing w:before="360" w:beforeAutospacing="0" w:after="510" w:afterAutospacing="0" w:line="600" w:lineRule="atLeast"/>
        <w:ind w:left="0" w:right="0" w:firstLine="640"/>
        <w:jc w:val="both"/>
        <w:rPr>
          <w:rFonts w:hint="default" w:ascii="Times New Roman" w:hAnsi="Times New Roman" w:cs="Times New Roman"/>
          <w:color w:val="333333"/>
          <w:sz w:val="21"/>
          <w:szCs w:val="21"/>
        </w:rPr>
      </w:pPr>
      <w:r>
        <w:rPr>
          <w:rFonts w:hint="eastAsia" w:ascii="仿宋" w:hAnsi="仿宋" w:eastAsia="仿宋" w:cs="仿宋"/>
          <w:color w:val="333333"/>
          <w:spacing w:val="-2"/>
          <w:sz w:val="32"/>
          <w:szCs w:val="32"/>
          <w:shd w:val="clear" w:fill="FFFFFF"/>
        </w:rPr>
        <w:t>由于本单位的项目均为卫生监督执法类项目，非建设类项目，故我局严格按照“项目实施有计划、经费使用有审批、项目完成有总结”来管理项目资金。</w:t>
      </w:r>
    </w:p>
    <w:p>
      <w:pPr>
        <w:pStyle w:val="12"/>
        <w:keepNext w:val="0"/>
        <w:keepLines w:val="0"/>
        <w:widowControl/>
        <w:suppressLineNumbers w:val="0"/>
        <w:spacing w:before="360" w:beforeAutospacing="0" w:after="510" w:afterAutospacing="0" w:line="360" w:lineRule="auto"/>
        <w:ind w:right="0"/>
        <w:jc w:val="both"/>
        <w:rPr>
          <w:rFonts w:hint="default" w:ascii="仿宋" w:hAnsi="仿宋" w:eastAsia="仿宋" w:cs="仿宋"/>
          <w:color w:val="333333"/>
          <w:sz w:val="32"/>
          <w:szCs w:val="32"/>
        </w:rPr>
      </w:pPr>
      <w:r>
        <w:rPr>
          <w:rFonts w:hint="eastAsia" w:ascii="仿宋" w:hAnsi="仿宋" w:eastAsia="仿宋" w:cs="仿宋"/>
          <w:color w:val="333333"/>
          <w:sz w:val="32"/>
          <w:szCs w:val="32"/>
          <w:lang w:val="en-US" w:eastAsia="zh-CN"/>
        </w:rPr>
        <w:t>2、</w:t>
      </w:r>
      <w:r>
        <w:rPr>
          <w:rFonts w:hint="eastAsia" w:ascii="仿宋" w:hAnsi="仿宋" w:eastAsia="仿宋" w:cs="仿宋"/>
          <w:color w:val="333333"/>
          <w:sz w:val="32"/>
          <w:szCs w:val="32"/>
        </w:rPr>
        <w:t>项目管理情况分析</w:t>
      </w:r>
    </w:p>
    <w:p>
      <w:pPr>
        <w:pStyle w:val="12"/>
        <w:keepNext w:val="0"/>
        <w:keepLines w:val="0"/>
        <w:widowControl/>
        <w:suppressLineNumbers w:val="0"/>
        <w:spacing w:before="360" w:beforeAutospacing="0" w:after="510" w:afterAutospacing="0" w:line="360" w:lineRule="auto"/>
        <w:ind w:left="0" w:right="0" w:firstLine="632"/>
        <w:jc w:val="both"/>
        <w:rPr>
          <w:rFonts w:hint="default" w:ascii="Calibri" w:hAnsi="Calibri" w:cs="Calibri"/>
          <w:color w:val="333333"/>
          <w:sz w:val="21"/>
          <w:szCs w:val="21"/>
        </w:rPr>
      </w:pPr>
      <w:r>
        <w:rPr>
          <w:rFonts w:hint="eastAsia" w:ascii="仿宋" w:hAnsi="仿宋" w:eastAsia="仿宋" w:cs="仿宋"/>
          <w:color w:val="333333"/>
          <w:spacing w:val="-2"/>
          <w:sz w:val="32"/>
          <w:szCs w:val="32"/>
        </w:rPr>
        <w:t>经费使用科室对项目经费的使用和项目的实施负责，稽查科对项目的开展进行监督，分管领导对项目经费的使用严格审批，纪检员对专项资金管理使用情况进行监督。</w:t>
      </w:r>
    </w:p>
    <w:p>
      <w:pPr>
        <w:pStyle w:val="12"/>
        <w:keepNext w:val="0"/>
        <w:keepLines w:val="0"/>
        <w:widowControl/>
        <w:suppressLineNumbers w:val="0"/>
        <w:spacing w:before="360" w:beforeAutospacing="0" w:after="510" w:afterAutospacing="0" w:line="360" w:lineRule="auto"/>
        <w:ind w:right="0"/>
        <w:jc w:val="both"/>
        <w:rPr>
          <w:rFonts w:hint="default" w:ascii="Calibri" w:hAnsi="Calibri" w:cs="Calibri"/>
          <w:color w:val="333333"/>
          <w:sz w:val="21"/>
          <w:szCs w:val="21"/>
        </w:rPr>
      </w:pPr>
      <w:r>
        <w:rPr>
          <w:rFonts w:hint="eastAsia" w:ascii="楷体" w:hAnsi="楷体" w:eastAsia="楷体" w:cs="楷体"/>
          <w:b/>
          <w:i w:val="0"/>
          <w:color w:val="333333"/>
          <w:sz w:val="32"/>
          <w:szCs w:val="32"/>
        </w:rPr>
        <w:t xml:space="preserve">（三）项目绩效情况分析 </w:t>
      </w:r>
    </w:p>
    <w:p>
      <w:pPr>
        <w:pStyle w:val="12"/>
        <w:keepNext w:val="0"/>
        <w:keepLines w:val="0"/>
        <w:widowControl/>
        <w:suppressLineNumbers w:val="0"/>
        <w:spacing w:before="360" w:beforeAutospacing="0" w:after="510" w:afterAutospacing="0" w:line="360" w:lineRule="auto"/>
        <w:ind w:right="0"/>
        <w:jc w:val="both"/>
        <w:rPr>
          <w:rFonts w:hint="default" w:ascii="Calibri" w:hAnsi="Calibri" w:cs="Calibri"/>
          <w:color w:val="333333"/>
          <w:sz w:val="21"/>
          <w:szCs w:val="21"/>
        </w:rPr>
      </w:pPr>
      <w:r>
        <w:rPr>
          <w:rFonts w:hint="eastAsia" w:ascii="楷体" w:hAnsi="楷体" w:eastAsia="楷体" w:cs="楷体"/>
          <w:b/>
          <w:i w:val="0"/>
          <w:color w:val="333333"/>
          <w:sz w:val="32"/>
          <w:szCs w:val="32"/>
        </w:rPr>
        <w:t>1、项目经济性分析</w:t>
      </w:r>
    </w:p>
    <w:p>
      <w:pPr>
        <w:pStyle w:val="12"/>
        <w:keepNext w:val="0"/>
        <w:keepLines w:val="0"/>
        <w:widowControl/>
        <w:suppressLineNumbers w:val="0"/>
        <w:spacing w:before="360" w:beforeAutospacing="0" w:after="510" w:afterAutospacing="0" w:line="360" w:lineRule="auto"/>
        <w:ind w:right="0"/>
        <w:jc w:val="both"/>
        <w:rPr>
          <w:rFonts w:hint="default" w:ascii="Calibri" w:hAnsi="Calibri" w:cs="Calibri"/>
          <w:color w:val="333333"/>
          <w:sz w:val="21"/>
          <w:szCs w:val="21"/>
        </w:rPr>
      </w:pPr>
      <w:r>
        <w:rPr>
          <w:rFonts w:hint="eastAsia" w:ascii="仿宋" w:hAnsi="仿宋" w:eastAsia="仿宋" w:cs="仿宋"/>
          <w:color w:val="333333"/>
          <w:sz w:val="32"/>
          <w:szCs w:val="32"/>
        </w:rPr>
        <w:t>（1）项目成本（预算）控制情况</w:t>
      </w:r>
    </w:p>
    <w:p>
      <w:pPr>
        <w:pStyle w:val="12"/>
        <w:keepNext w:val="0"/>
        <w:keepLines w:val="0"/>
        <w:widowControl/>
        <w:suppressLineNumbers w:val="0"/>
        <w:spacing w:before="360" w:beforeAutospacing="0" w:after="510" w:afterAutospacing="0" w:line="360" w:lineRule="auto"/>
        <w:ind w:left="0" w:right="0" w:firstLine="640"/>
        <w:jc w:val="both"/>
        <w:rPr>
          <w:rFonts w:hint="default" w:ascii="Calibri" w:hAnsi="Calibri" w:cs="Calibri"/>
          <w:color w:val="333333"/>
          <w:sz w:val="21"/>
          <w:szCs w:val="21"/>
        </w:rPr>
      </w:pPr>
      <w:r>
        <w:rPr>
          <w:rFonts w:hint="eastAsia" w:ascii="仿宋" w:hAnsi="仿宋" w:eastAsia="仿宋" w:cs="仿宋"/>
          <w:color w:val="333333"/>
          <w:sz w:val="32"/>
          <w:szCs w:val="32"/>
        </w:rPr>
        <w:t>重大公共卫生项目：年初预算</w:t>
      </w:r>
      <w:r>
        <w:rPr>
          <w:rFonts w:hint="eastAsia" w:ascii="仿宋" w:hAnsi="仿宋" w:eastAsia="仿宋" w:cs="仿宋"/>
          <w:color w:val="333333"/>
          <w:sz w:val="32"/>
          <w:szCs w:val="32"/>
          <w:lang w:val="en-US" w:eastAsia="zh-CN"/>
        </w:rPr>
        <w:t>4</w:t>
      </w:r>
      <w:r>
        <w:rPr>
          <w:rFonts w:hint="eastAsia" w:ascii="仿宋" w:hAnsi="仿宋" w:eastAsia="仿宋" w:cs="仿宋"/>
          <w:color w:val="333333"/>
          <w:sz w:val="32"/>
          <w:szCs w:val="32"/>
        </w:rPr>
        <w:t>万</w:t>
      </w:r>
      <w:r>
        <w:rPr>
          <w:rFonts w:hint="eastAsia" w:ascii="仿宋" w:hAnsi="仿宋" w:eastAsia="仿宋" w:cs="仿宋"/>
          <w:color w:val="333333"/>
          <w:sz w:val="32"/>
          <w:szCs w:val="32"/>
          <w:lang w:eastAsia="zh-CN"/>
        </w:rPr>
        <w:t>（接上年结转结余</w:t>
      </w:r>
      <w:r>
        <w:rPr>
          <w:rFonts w:hint="eastAsia" w:ascii="仿宋" w:hAnsi="仿宋" w:eastAsia="仿宋" w:cs="仿宋"/>
          <w:color w:val="333333"/>
          <w:sz w:val="32"/>
          <w:szCs w:val="32"/>
          <w:lang w:val="en-US" w:eastAsia="zh-CN"/>
        </w:rPr>
        <w:t>3万元</w:t>
      </w:r>
      <w:r>
        <w:rPr>
          <w:rFonts w:hint="eastAsia" w:ascii="仿宋" w:hAnsi="仿宋" w:eastAsia="仿宋" w:cs="仿宋"/>
          <w:color w:val="333333"/>
          <w:sz w:val="32"/>
          <w:szCs w:val="32"/>
          <w:lang w:eastAsia="zh-CN"/>
        </w:rPr>
        <w:t>）</w:t>
      </w:r>
      <w:r>
        <w:rPr>
          <w:rFonts w:hint="eastAsia" w:ascii="仿宋" w:hAnsi="仿宋" w:eastAsia="仿宋" w:cs="仿宋"/>
          <w:color w:val="333333"/>
          <w:sz w:val="32"/>
          <w:szCs w:val="32"/>
        </w:rPr>
        <w:t>元，全年实际执行数为</w:t>
      </w:r>
      <w:r>
        <w:rPr>
          <w:rFonts w:hint="eastAsia" w:ascii="仿宋" w:hAnsi="仿宋" w:eastAsia="仿宋" w:cs="仿宋"/>
          <w:color w:val="333333"/>
          <w:sz w:val="32"/>
          <w:szCs w:val="32"/>
          <w:lang w:val="en-US" w:eastAsia="zh-CN"/>
        </w:rPr>
        <w:t>3</w:t>
      </w:r>
      <w:r>
        <w:rPr>
          <w:rFonts w:hint="eastAsia" w:ascii="仿宋" w:hAnsi="仿宋" w:eastAsia="仿宋" w:cs="仿宋"/>
          <w:color w:val="333333"/>
          <w:sz w:val="32"/>
          <w:szCs w:val="32"/>
        </w:rPr>
        <w:t>万元，执行率为</w:t>
      </w:r>
      <w:r>
        <w:rPr>
          <w:rFonts w:hint="eastAsia" w:ascii="仿宋" w:hAnsi="仿宋" w:eastAsia="仿宋" w:cs="仿宋"/>
          <w:color w:val="333333"/>
          <w:sz w:val="32"/>
          <w:szCs w:val="32"/>
          <w:lang w:val="en-US" w:eastAsia="zh-CN"/>
        </w:rPr>
        <w:t>75</w:t>
      </w:r>
      <w:r>
        <w:rPr>
          <w:rFonts w:hint="eastAsia" w:ascii="宋体" w:hAnsi="宋体" w:eastAsia="宋体" w:cs="宋体"/>
          <w:color w:val="333333"/>
          <w:sz w:val="32"/>
          <w:szCs w:val="32"/>
          <w:lang w:val="en-US" w:eastAsia="zh-CN"/>
        </w:rPr>
        <w:t>％</w:t>
      </w:r>
      <w:r>
        <w:rPr>
          <w:rFonts w:hint="eastAsia" w:ascii="仿宋" w:hAnsi="仿宋" w:eastAsia="仿宋" w:cs="仿宋"/>
          <w:color w:val="333333"/>
          <w:sz w:val="32"/>
          <w:szCs w:val="32"/>
        </w:rPr>
        <w:t>。</w:t>
      </w:r>
    </w:p>
    <w:p>
      <w:pPr>
        <w:pStyle w:val="12"/>
        <w:keepNext w:val="0"/>
        <w:keepLines w:val="0"/>
        <w:widowControl/>
        <w:suppressLineNumbers w:val="0"/>
        <w:spacing w:before="360" w:beforeAutospacing="0" w:after="510" w:afterAutospacing="0" w:line="360" w:lineRule="auto"/>
        <w:ind w:right="0"/>
        <w:jc w:val="both"/>
        <w:rPr>
          <w:rFonts w:hint="default" w:ascii="Calibri" w:hAnsi="Calibri" w:cs="Calibri"/>
          <w:color w:val="333333"/>
          <w:sz w:val="21"/>
          <w:szCs w:val="21"/>
        </w:rPr>
      </w:pPr>
      <w:r>
        <w:rPr>
          <w:rFonts w:hint="eastAsia" w:ascii="仿宋" w:hAnsi="仿宋" w:eastAsia="仿宋" w:cs="仿宋"/>
          <w:color w:val="333333"/>
          <w:sz w:val="32"/>
          <w:szCs w:val="32"/>
          <w:lang w:eastAsia="zh-CN"/>
        </w:rPr>
        <w:t>（</w:t>
      </w:r>
      <w:r>
        <w:rPr>
          <w:rFonts w:hint="eastAsia" w:ascii="仿宋" w:hAnsi="仿宋" w:eastAsia="仿宋" w:cs="仿宋"/>
          <w:color w:val="333333"/>
          <w:sz w:val="32"/>
          <w:szCs w:val="32"/>
          <w:lang w:val="en-US" w:eastAsia="zh-CN"/>
        </w:rPr>
        <w:t>2</w:t>
      </w:r>
      <w:r>
        <w:rPr>
          <w:rFonts w:hint="eastAsia" w:ascii="仿宋" w:hAnsi="仿宋" w:eastAsia="仿宋" w:cs="仿宋"/>
          <w:color w:val="333333"/>
          <w:sz w:val="32"/>
          <w:szCs w:val="32"/>
          <w:lang w:eastAsia="zh-CN"/>
        </w:rPr>
        <w:t>）</w:t>
      </w:r>
      <w:r>
        <w:rPr>
          <w:rFonts w:hint="eastAsia" w:ascii="仿宋" w:hAnsi="仿宋" w:eastAsia="仿宋" w:cs="仿宋"/>
          <w:color w:val="333333"/>
          <w:sz w:val="32"/>
          <w:szCs w:val="32"/>
        </w:rPr>
        <w:t>项目成本（预算）节约情况</w:t>
      </w:r>
    </w:p>
    <w:p>
      <w:pPr>
        <w:pStyle w:val="12"/>
        <w:keepNext w:val="0"/>
        <w:keepLines w:val="0"/>
        <w:widowControl/>
        <w:suppressLineNumbers w:val="0"/>
        <w:spacing w:before="360" w:beforeAutospacing="0" w:after="510" w:afterAutospacing="0" w:line="360" w:lineRule="auto"/>
        <w:ind w:left="0" w:right="0" w:firstLine="420"/>
        <w:jc w:val="both"/>
        <w:rPr>
          <w:rFonts w:hint="default" w:ascii="Calibri" w:hAnsi="Calibri" w:cs="Calibri"/>
          <w:color w:val="333333"/>
          <w:sz w:val="21"/>
          <w:szCs w:val="21"/>
        </w:rPr>
      </w:pPr>
      <w:r>
        <w:rPr>
          <w:rFonts w:hint="eastAsia" w:ascii="仿宋" w:hAnsi="仿宋" w:eastAsia="仿宋" w:cs="仿宋"/>
          <w:color w:val="333333"/>
          <w:sz w:val="32"/>
          <w:szCs w:val="32"/>
        </w:rPr>
        <w:t>重大公共卫生项目资金使用情况严格控制在预算资金以内，无超预算情况。</w:t>
      </w:r>
    </w:p>
    <w:p>
      <w:pPr>
        <w:pStyle w:val="12"/>
        <w:keepNext w:val="0"/>
        <w:keepLines w:val="0"/>
        <w:widowControl/>
        <w:suppressLineNumbers w:val="0"/>
        <w:spacing w:before="360" w:beforeAutospacing="0" w:after="510" w:afterAutospacing="0" w:line="360" w:lineRule="auto"/>
        <w:ind w:right="0"/>
        <w:jc w:val="both"/>
        <w:rPr>
          <w:rFonts w:hint="default" w:ascii="Calibri" w:hAnsi="Calibri" w:cs="Calibri"/>
          <w:color w:val="333333"/>
          <w:sz w:val="21"/>
          <w:szCs w:val="21"/>
        </w:rPr>
      </w:pPr>
      <w:r>
        <w:rPr>
          <w:rFonts w:hint="eastAsia" w:ascii="楷体" w:hAnsi="楷体" w:eastAsia="楷体" w:cs="楷体"/>
          <w:b/>
          <w:i w:val="0"/>
          <w:color w:val="333333"/>
          <w:sz w:val="32"/>
          <w:szCs w:val="32"/>
        </w:rPr>
        <w:t>2、项目的效率性分析</w:t>
      </w:r>
    </w:p>
    <w:p>
      <w:pPr>
        <w:pStyle w:val="12"/>
        <w:keepNext w:val="0"/>
        <w:keepLines w:val="0"/>
        <w:widowControl/>
        <w:suppressLineNumbers w:val="0"/>
        <w:spacing w:before="360" w:beforeAutospacing="0" w:after="510" w:afterAutospacing="0" w:line="360" w:lineRule="auto"/>
        <w:ind w:right="0"/>
        <w:jc w:val="both"/>
        <w:rPr>
          <w:rFonts w:hint="default" w:ascii="Calibri" w:hAnsi="Calibri" w:cs="Calibri"/>
          <w:color w:val="333333"/>
          <w:sz w:val="21"/>
          <w:szCs w:val="21"/>
        </w:rPr>
      </w:pPr>
      <w:r>
        <w:rPr>
          <w:rFonts w:hint="eastAsia" w:ascii="仿宋" w:hAnsi="仿宋" w:eastAsia="仿宋" w:cs="仿宋"/>
          <w:color w:val="333333"/>
          <w:sz w:val="32"/>
          <w:szCs w:val="32"/>
        </w:rPr>
        <w:t>（1）项目的实施进度</w:t>
      </w:r>
    </w:p>
    <w:p>
      <w:pPr>
        <w:pStyle w:val="12"/>
        <w:keepNext w:val="0"/>
        <w:keepLines w:val="0"/>
        <w:widowControl/>
        <w:suppressLineNumbers w:val="0"/>
        <w:spacing w:before="360" w:beforeAutospacing="0" w:after="510" w:afterAutospacing="0" w:line="360" w:lineRule="auto"/>
        <w:ind w:left="0" w:right="0" w:firstLine="640"/>
        <w:jc w:val="both"/>
        <w:rPr>
          <w:rFonts w:hint="default" w:ascii="Calibri" w:hAnsi="Calibri" w:cs="Calibri"/>
          <w:color w:val="333333"/>
          <w:sz w:val="21"/>
          <w:szCs w:val="21"/>
        </w:rPr>
      </w:pPr>
      <w:r>
        <w:rPr>
          <w:rFonts w:hint="eastAsia" w:ascii="仿宋" w:hAnsi="仿宋" w:eastAsia="仿宋" w:cs="仿宋"/>
          <w:color w:val="333333"/>
          <w:sz w:val="32"/>
          <w:szCs w:val="32"/>
        </w:rPr>
        <w:t>重大公共卫生项目：</w:t>
      </w:r>
      <w:r>
        <w:rPr>
          <w:rFonts w:hint="eastAsia" w:ascii="仿宋" w:hAnsi="仿宋" w:eastAsia="仿宋" w:cs="仿宋"/>
          <w:color w:val="333333"/>
          <w:sz w:val="32"/>
          <w:szCs w:val="32"/>
          <w:lang w:eastAsia="zh-CN"/>
        </w:rPr>
        <w:t>开展</w:t>
      </w:r>
      <w:r>
        <w:rPr>
          <w:rFonts w:hint="eastAsia" w:ascii="仿宋" w:hAnsi="仿宋" w:eastAsia="仿宋" w:cs="仿宋"/>
          <w:color w:val="333333"/>
          <w:sz w:val="32"/>
          <w:szCs w:val="32"/>
        </w:rPr>
        <w:t>各</w:t>
      </w:r>
      <w:r>
        <w:rPr>
          <w:rFonts w:hint="eastAsia" w:ascii="仿宋" w:hAnsi="仿宋" w:eastAsia="仿宋" w:cs="仿宋"/>
          <w:color w:val="333333"/>
          <w:sz w:val="32"/>
          <w:szCs w:val="32"/>
          <w:lang w:eastAsia="zh-CN"/>
        </w:rPr>
        <w:t>乡镇卫生院</w:t>
      </w:r>
      <w:r>
        <w:rPr>
          <w:rFonts w:hint="eastAsia" w:ascii="仿宋" w:hAnsi="仿宋" w:eastAsia="仿宋" w:cs="仿宋"/>
          <w:color w:val="333333"/>
          <w:sz w:val="32"/>
          <w:szCs w:val="32"/>
        </w:rPr>
        <w:t>开展监督协管员培训，对</w:t>
      </w:r>
      <w:r>
        <w:rPr>
          <w:rFonts w:hint="eastAsia" w:ascii="仿宋" w:hAnsi="仿宋" w:eastAsia="仿宋" w:cs="仿宋"/>
          <w:color w:val="333333"/>
          <w:sz w:val="32"/>
          <w:szCs w:val="32"/>
          <w:lang w:val="en-US" w:eastAsia="zh-CN"/>
        </w:rPr>
        <w:t>15</w:t>
      </w:r>
      <w:r>
        <w:rPr>
          <w:rFonts w:hint="eastAsia" w:ascii="仿宋" w:hAnsi="仿宋" w:eastAsia="仿宋" w:cs="仿宋"/>
          <w:color w:val="333333"/>
          <w:sz w:val="32"/>
          <w:szCs w:val="32"/>
        </w:rPr>
        <w:t>家</w:t>
      </w:r>
      <w:r>
        <w:rPr>
          <w:rFonts w:hint="eastAsia" w:ascii="仿宋" w:hAnsi="仿宋" w:eastAsia="仿宋" w:cs="仿宋"/>
          <w:color w:val="333333"/>
          <w:sz w:val="32"/>
          <w:szCs w:val="32"/>
          <w:lang w:eastAsia="zh-CN"/>
        </w:rPr>
        <w:t>公立</w:t>
      </w:r>
      <w:r>
        <w:rPr>
          <w:rFonts w:hint="eastAsia" w:ascii="仿宋" w:hAnsi="仿宋" w:eastAsia="仿宋" w:cs="仿宋"/>
          <w:color w:val="333333"/>
          <w:sz w:val="32"/>
          <w:szCs w:val="32"/>
        </w:rPr>
        <w:t>医疗机构传染病防治分类监督综合评价和医疗废物管理、医疗污水处置专项监督检查，按期完成国家双随机监督任务。</w:t>
      </w:r>
    </w:p>
    <w:p>
      <w:pPr>
        <w:pStyle w:val="12"/>
        <w:keepNext w:val="0"/>
        <w:keepLines w:val="0"/>
        <w:widowControl/>
        <w:suppressLineNumbers w:val="0"/>
        <w:spacing w:before="360" w:beforeAutospacing="0" w:after="510" w:afterAutospacing="0" w:line="360" w:lineRule="auto"/>
        <w:ind w:right="0"/>
        <w:jc w:val="both"/>
        <w:rPr>
          <w:rFonts w:hint="default" w:ascii="Calibri" w:hAnsi="Calibri" w:cs="Calibri"/>
          <w:color w:val="333333"/>
          <w:sz w:val="21"/>
          <w:szCs w:val="21"/>
        </w:rPr>
      </w:pPr>
      <w:r>
        <w:rPr>
          <w:rFonts w:hint="eastAsia" w:ascii="仿宋" w:hAnsi="仿宋" w:eastAsia="仿宋" w:cs="仿宋"/>
          <w:color w:val="333333"/>
          <w:sz w:val="32"/>
          <w:szCs w:val="32"/>
        </w:rPr>
        <w:t>（2）项目完成质量</w:t>
      </w:r>
    </w:p>
    <w:p>
      <w:pPr>
        <w:pStyle w:val="12"/>
        <w:keepNext w:val="0"/>
        <w:keepLines w:val="0"/>
        <w:widowControl/>
        <w:suppressLineNumbers w:val="0"/>
        <w:spacing w:before="360" w:beforeAutospacing="0" w:after="510" w:afterAutospacing="0" w:line="360" w:lineRule="auto"/>
        <w:ind w:right="0"/>
        <w:jc w:val="both"/>
        <w:rPr>
          <w:rFonts w:hint="default" w:ascii="Calibri" w:hAnsi="Calibri" w:cs="Calibri"/>
          <w:color w:val="333333"/>
          <w:sz w:val="21"/>
          <w:szCs w:val="21"/>
        </w:rPr>
      </w:pPr>
      <w:r>
        <w:rPr>
          <w:rFonts w:hint="eastAsia" w:ascii="仿宋" w:hAnsi="仿宋" w:eastAsia="仿宋" w:cs="仿宋"/>
          <w:color w:val="333333"/>
          <w:sz w:val="32"/>
          <w:szCs w:val="32"/>
        </w:rPr>
        <w:t>任务完结率100%</w:t>
      </w:r>
    </w:p>
    <w:p>
      <w:pPr>
        <w:pStyle w:val="12"/>
        <w:keepNext w:val="0"/>
        <w:keepLines w:val="0"/>
        <w:widowControl/>
        <w:suppressLineNumbers w:val="0"/>
        <w:spacing w:before="360" w:beforeAutospacing="0" w:after="510" w:afterAutospacing="0" w:line="360" w:lineRule="auto"/>
        <w:ind w:right="0"/>
        <w:jc w:val="both"/>
        <w:rPr>
          <w:rFonts w:hint="default" w:ascii="Calibri" w:hAnsi="Calibri" w:cs="Calibri"/>
          <w:color w:val="333333"/>
          <w:sz w:val="21"/>
          <w:szCs w:val="21"/>
        </w:rPr>
      </w:pPr>
      <w:r>
        <w:rPr>
          <w:rFonts w:hint="eastAsia" w:ascii="楷体" w:hAnsi="楷体" w:eastAsia="楷体" w:cs="楷体"/>
          <w:b/>
          <w:i w:val="0"/>
          <w:color w:val="333333"/>
          <w:sz w:val="32"/>
          <w:szCs w:val="32"/>
        </w:rPr>
        <w:t>3、项目的效益性分析</w:t>
      </w:r>
    </w:p>
    <w:p>
      <w:pPr>
        <w:pStyle w:val="12"/>
        <w:keepNext w:val="0"/>
        <w:keepLines w:val="0"/>
        <w:widowControl/>
        <w:suppressLineNumbers w:val="0"/>
        <w:spacing w:before="360" w:beforeAutospacing="0" w:after="510" w:afterAutospacing="0" w:line="360" w:lineRule="auto"/>
        <w:ind w:right="0"/>
        <w:jc w:val="both"/>
        <w:rPr>
          <w:rFonts w:hint="default" w:ascii="Calibri" w:hAnsi="Calibri" w:cs="Calibri"/>
          <w:color w:val="333333"/>
          <w:sz w:val="21"/>
          <w:szCs w:val="21"/>
        </w:rPr>
      </w:pPr>
      <w:r>
        <w:rPr>
          <w:rFonts w:hint="eastAsia" w:ascii="仿宋" w:hAnsi="仿宋" w:eastAsia="仿宋" w:cs="仿宋"/>
          <w:color w:val="333333"/>
          <w:sz w:val="32"/>
          <w:szCs w:val="32"/>
        </w:rPr>
        <w:t>（1）项目预期目标完成程度</w:t>
      </w:r>
    </w:p>
    <w:p>
      <w:pPr>
        <w:pStyle w:val="12"/>
        <w:keepNext w:val="0"/>
        <w:keepLines w:val="0"/>
        <w:widowControl/>
        <w:suppressLineNumbers w:val="0"/>
        <w:spacing w:before="360" w:beforeAutospacing="0" w:after="510" w:afterAutospacing="0" w:line="360" w:lineRule="auto"/>
        <w:ind w:left="0" w:right="0" w:firstLine="640"/>
        <w:jc w:val="both"/>
        <w:rPr>
          <w:rFonts w:hint="default" w:ascii="Calibri" w:hAnsi="Calibri" w:cs="Calibri"/>
          <w:color w:val="333333"/>
          <w:sz w:val="21"/>
          <w:szCs w:val="21"/>
        </w:rPr>
      </w:pPr>
      <w:r>
        <w:rPr>
          <w:rFonts w:hint="eastAsia" w:ascii="仿宋" w:hAnsi="仿宋" w:eastAsia="仿宋" w:cs="仿宋"/>
          <w:color w:val="333333"/>
          <w:sz w:val="32"/>
          <w:szCs w:val="32"/>
        </w:rPr>
        <w:t>基本完成了预期目标。</w:t>
      </w:r>
    </w:p>
    <w:p>
      <w:pPr>
        <w:pStyle w:val="12"/>
        <w:keepNext w:val="0"/>
        <w:keepLines w:val="0"/>
        <w:widowControl/>
        <w:suppressLineNumbers w:val="0"/>
        <w:autoSpaceDE w:val="0"/>
        <w:autoSpaceDN/>
        <w:spacing w:before="360" w:beforeAutospacing="0" w:after="510" w:afterAutospacing="0" w:line="360" w:lineRule="auto"/>
        <w:ind w:left="0" w:right="0" w:firstLine="640"/>
        <w:jc w:val="both"/>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pPr>
      <w:r>
        <w:rPr>
          <w:rFonts w:hint="eastAsia" w:ascii="仿宋" w:hAnsi="仿宋" w:eastAsia="仿宋" w:cs="仿宋"/>
          <w:color w:val="333333"/>
          <w:sz w:val="32"/>
          <w:szCs w:val="32"/>
        </w:rPr>
        <w:t>重大公共卫生项目提高了卫生监督员执法办案能力，保障了人民群众身体健康。</w:t>
      </w:r>
    </w:p>
    <w:p>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rightChars="0"/>
        <w:textAlignment w:val="auto"/>
        <w:rPr>
          <w:rFonts w:hint="eastAsia" w:ascii="仿宋_GB2312" w:hAnsi="仿宋_GB2312" w:eastAsia="仿宋_GB2312" w:cs="仿宋_GB2312"/>
          <w:b w:val="0"/>
          <w:i w:val="0"/>
          <w:caps w:val="0"/>
          <w:color w:val="000000" w:themeColor="text1"/>
          <w:spacing w:val="0"/>
          <w:sz w:val="30"/>
          <w:szCs w:val="30"/>
          <w:shd w:val="clear" w:fill="FFFFFF"/>
          <w14:textFill>
            <w14:solidFill>
              <w14:schemeClr w14:val="tx1"/>
            </w14:solidFill>
          </w14:textFill>
        </w:rPr>
      </w:pPr>
    </w:p>
    <w:p>
      <w:pPr>
        <w:spacing w:line="600" w:lineRule="exact"/>
        <w:jc w:val="center"/>
        <w:outlineLvl w:val="0"/>
        <w:rPr>
          <w:rFonts w:ascii="仿宋" w:hAnsi="仿宋" w:eastAsia="仿宋"/>
          <w:b/>
          <w:color w:val="000000"/>
          <w:sz w:val="44"/>
          <w:szCs w:val="44"/>
        </w:rPr>
      </w:pPr>
      <w:r>
        <w:rPr>
          <w:rFonts w:hint="eastAsia" w:ascii="黑体" w:hAnsi="黑体" w:eastAsia="黑体"/>
          <w:color w:val="000000"/>
          <w:sz w:val="44"/>
          <w:szCs w:val="44"/>
        </w:rPr>
        <w:t>第</w:t>
      </w:r>
      <w:r>
        <w:rPr>
          <w:rStyle w:val="26"/>
          <w:rFonts w:hint="eastAsia" w:ascii="黑体" w:hAnsi="黑体" w:eastAsia="黑体"/>
          <w:b w:val="0"/>
        </w:rPr>
        <w:t>五部分 附表</w:t>
      </w:r>
      <w:bookmarkEnd w:id="57"/>
      <w:bookmarkEnd w:id="61"/>
    </w:p>
    <w:p>
      <w:pPr>
        <w:pStyle w:val="3"/>
        <w:numPr>
          <w:ilvl w:val="0"/>
          <w:numId w:val="15"/>
        </w:numPr>
        <w:rPr>
          <w:rFonts w:hint="eastAsia" w:ascii="仿宋" w:hAnsi="仿宋" w:eastAsia="仿宋"/>
          <w:b w:val="0"/>
          <w:color w:val="000000"/>
        </w:rPr>
      </w:pPr>
      <w:bookmarkStart w:id="62" w:name="_Toc15396620"/>
      <w:r>
        <w:rPr>
          <w:rFonts w:hint="eastAsia" w:ascii="仿宋" w:hAnsi="仿宋" w:eastAsia="仿宋"/>
          <w:b w:val="0"/>
          <w:color w:val="000000"/>
        </w:rPr>
        <w:t>收入支出决算总表</w:t>
      </w:r>
    </w:p>
    <w:p>
      <w:pPr>
        <w:pStyle w:val="3"/>
        <w:numPr>
          <w:ilvl w:val="0"/>
          <w:numId w:val="0"/>
        </w:numPr>
        <w:rPr>
          <w:rFonts w:ascii="仿宋" w:hAnsi="仿宋" w:eastAsia="仿宋"/>
          <w:color w:val="000000"/>
        </w:rPr>
      </w:pPr>
      <w:r>
        <w:rPr>
          <w:rFonts w:hint="eastAsia" w:ascii="仿宋" w:hAnsi="仿宋" w:eastAsia="仿宋"/>
          <w:b w:val="0"/>
          <w:color w:val="000000"/>
        </w:rPr>
        <w:t>二、收</w:t>
      </w:r>
      <w:r>
        <w:rPr>
          <w:rStyle w:val="27"/>
          <w:rFonts w:hint="eastAsia" w:ascii="仿宋" w:hAnsi="仿宋" w:eastAsia="仿宋"/>
          <w:b w:val="0"/>
          <w:bCs w:val="0"/>
        </w:rPr>
        <w:t>入总表</w:t>
      </w:r>
      <w:bookmarkEnd w:id="62"/>
    </w:p>
    <w:p>
      <w:pPr>
        <w:pStyle w:val="3"/>
        <w:rPr>
          <w:rFonts w:ascii="仿宋" w:hAnsi="仿宋" w:eastAsia="仿宋"/>
          <w:color w:val="000000"/>
        </w:rPr>
      </w:pPr>
      <w:bookmarkStart w:id="63" w:name="_Toc15396621"/>
      <w:r>
        <w:rPr>
          <w:rStyle w:val="27"/>
          <w:rFonts w:hint="eastAsia" w:ascii="仿宋" w:hAnsi="仿宋" w:eastAsia="仿宋"/>
          <w:b w:val="0"/>
          <w:bCs w:val="0"/>
        </w:rPr>
        <w:t>三、</w:t>
      </w:r>
      <w:r>
        <w:rPr>
          <w:rFonts w:hint="eastAsia" w:ascii="仿宋" w:hAnsi="仿宋" w:eastAsia="仿宋"/>
          <w:b w:val="0"/>
          <w:color w:val="000000"/>
        </w:rPr>
        <w:t>支</w:t>
      </w:r>
      <w:r>
        <w:rPr>
          <w:rStyle w:val="27"/>
          <w:rFonts w:hint="eastAsia" w:ascii="仿宋" w:hAnsi="仿宋" w:eastAsia="仿宋"/>
          <w:b w:val="0"/>
          <w:bCs w:val="0"/>
        </w:rPr>
        <w:t>出总表</w:t>
      </w:r>
      <w:bookmarkEnd w:id="63"/>
    </w:p>
    <w:p>
      <w:pPr>
        <w:pStyle w:val="3"/>
        <w:rPr>
          <w:rFonts w:ascii="仿宋" w:hAnsi="仿宋" w:eastAsia="仿宋"/>
          <w:b w:val="0"/>
          <w:color w:val="000000"/>
        </w:rPr>
      </w:pPr>
      <w:bookmarkStart w:id="64" w:name="_Toc15396622"/>
      <w:r>
        <w:rPr>
          <w:rStyle w:val="27"/>
          <w:rFonts w:hint="eastAsia" w:ascii="仿宋" w:hAnsi="仿宋" w:eastAsia="仿宋"/>
          <w:b w:val="0"/>
          <w:bCs w:val="0"/>
        </w:rPr>
        <w:t>四、</w:t>
      </w:r>
      <w:r>
        <w:rPr>
          <w:rFonts w:hint="eastAsia" w:ascii="仿宋" w:hAnsi="仿宋" w:eastAsia="仿宋"/>
          <w:b w:val="0"/>
          <w:color w:val="000000"/>
        </w:rPr>
        <w:t>财</w:t>
      </w:r>
      <w:r>
        <w:rPr>
          <w:rStyle w:val="27"/>
          <w:rFonts w:hint="eastAsia" w:ascii="仿宋" w:hAnsi="仿宋" w:eastAsia="仿宋"/>
          <w:b w:val="0"/>
          <w:bCs w:val="0"/>
        </w:rPr>
        <w:t>政拨款收入支出决算总表</w:t>
      </w:r>
      <w:bookmarkEnd w:id="64"/>
    </w:p>
    <w:p>
      <w:pPr>
        <w:pStyle w:val="3"/>
        <w:rPr>
          <w:rFonts w:ascii="仿宋" w:hAnsi="仿宋" w:eastAsia="仿宋"/>
          <w:color w:val="000000"/>
        </w:rPr>
      </w:pPr>
      <w:bookmarkStart w:id="65" w:name="_Toc15396623"/>
      <w:r>
        <w:rPr>
          <w:rStyle w:val="27"/>
          <w:rFonts w:hint="eastAsia" w:ascii="仿宋" w:hAnsi="仿宋" w:eastAsia="仿宋"/>
          <w:b w:val="0"/>
          <w:bCs w:val="0"/>
        </w:rPr>
        <w:t>五、</w:t>
      </w:r>
      <w:r>
        <w:rPr>
          <w:rFonts w:hint="eastAsia" w:ascii="仿宋" w:hAnsi="仿宋" w:eastAsia="仿宋"/>
          <w:b w:val="0"/>
          <w:color w:val="000000"/>
        </w:rPr>
        <w:t>财</w:t>
      </w:r>
      <w:r>
        <w:rPr>
          <w:rStyle w:val="27"/>
          <w:rFonts w:hint="eastAsia" w:ascii="仿宋" w:hAnsi="仿宋" w:eastAsia="仿宋"/>
          <w:b w:val="0"/>
          <w:bCs w:val="0"/>
        </w:rPr>
        <w:t>政拨款支出决算明细表（政府经济分类科目）</w:t>
      </w:r>
      <w:bookmarkEnd w:id="65"/>
    </w:p>
    <w:p>
      <w:pPr>
        <w:pStyle w:val="3"/>
        <w:rPr>
          <w:rFonts w:ascii="仿宋" w:hAnsi="仿宋" w:eastAsia="仿宋"/>
          <w:color w:val="000000"/>
        </w:rPr>
      </w:pPr>
      <w:bookmarkStart w:id="66" w:name="_Toc15396624"/>
      <w:r>
        <w:rPr>
          <w:rStyle w:val="27"/>
          <w:rFonts w:hint="eastAsia" w:ascii="仿宋" w:hAnsi="仿宋" w:eastAsia="仿宋"/>
          <w:b w:val="0"/>
          <w:bCs w:val="0"/>
        </w:rPr>
        <w:t>六、</w:t>
      </w:r>
      <w:r>
        <w:rPr>
          <w:rFonts w:hint="eastAsia" w:ascii="仿宋" w:hAnsi="仿宋" w:eastAsia="仿宋"/>
          <w:b w:val="0"/>
          <w:color w:val="000000"/>
        </w:rPr>
        <w:t>一</w:t>
      </w:r>
      <w:r>
        <w:rPr>
          <w:rStyle w:val="27"/>
          <w:rFonts w:hint="eastAsia" w:ascii="仿宋" w:hAnsi="仿宋" w:eastAsia="仿宋"/>
          <w:b w:val="0"/>
          <w:bCs w:val="0"/>
        </w:rPr>
        <w:t>般公共预算财政拨款支出决算表</w:t>
      </w:r>
      <w:bookmarkEnd w:id="66"/>
    </w:p>
    <w:p>
      <w:pPr>
        <w:pStyle w:val="3"/>
        <w:rPr>
          <w:rFonts w:ascii="仿宋" w:hAnsi="仿宋" w:eastAsia="仿宋"/>
          <w:color w:val="000000"/>
        </w:rPr>
      </w:pPr>
      <w:bookmarkStart w:id="67" w:name="_Toc15396625"/>
      <w:r>
        <w:rPr>
          <w:rStyle w:val="27"/>
          <w:rFonts w:hint="eastAsia" w:ascii="仿宋" w:hAnsi="仿宋" w:eastAsia="仿宋"/>
          <w:b w:val="0"/>
          <w:bCs w:val="0"/>
        </w:rPr>
        <w:t>七、</w:t>
      </w:r>
      <w:r>
        <w:rPr>
          <w:rFonts w:hint="eastAsia" w:ascii="仿宋" w:hAnsi="仿宋" w:eastAsia="仿宋"/>
          <w:b w:val="0"/>
          <w:color w:val="000000"/>
        </w:rPr>
        <w:t>一</w:t>
      </w:r>
      <w:r>
        <w:rPr>
          <w:rStyle w:val="27"/>
          <w:rFonts w:hint="eastAsia" w:ascii="仿宋" w:hAnsi="仿宋" w:eastAsia="仿宋"/>
          <w:b w:val="0"/>
          <w:bCs w:val="0"/>
        </w:rPr>
        <w:t>般公共预算财政拨款支出决算明细表</w:t>
      </w:r>
      <w:bookmarkEnd w:id="67"/>
    </w:p>
    <w:p>
      <w:pPr>
        <w:pStyle w:val="3"/>
        <w:rPr>
          <w:rFonts w:ascii="仿宋" w:hAnsi="仿宋" w:eastAsia="仿宋"/>
          <w:color w:val="000000"/>
        </w:rPr>
      </w:pPr>
      <w:bookmarkStart w:id="68" w:name="_Toc15396626"/>
      <w:r>
        <w:rPr>
          <w:rStyle w:val="27"/>
          <w:rFonts w:hint="eastAsia" w:ascii="仿宋" w:hAnsi="仿宋" w:eastAsia="仿宋"/>
          <w:b w:val="0"/>
          <w:bCs w:val="0"/>
        </w:rPr>
        <w:t>八、</w:t>
      </w:r>
      <w:r>
        <w:rPr>
          <w:rFonts w:hint="eastAsia" w:ascii="仿宋" w:hAnsi="仿宋" w:eastAsia="仿宋"/>
          <w:b w:val="0"/>
          <w:color w:val="000000"/>
        </w:rPr>
        <w:t>一</w:t>
      </w:r>
      <w:r>
        <w:rPr>
          <w:rStyle w:val="27"/>
          <w:rFonts w:hint="eastAsia" w:ascii="仿宋" w:hAnsi="仿宋" w:eastAsia="仿宋"/>
          <w:b w:val="0"/>
          <w:bCs w:val="0"/>
        </w:rPr>
        <w:t>般公共预算财政拨款基本支出决算表</w:t>
      </w:r>
      <w:bookmarkEnd w:id="68"/>
    </w:p>
    <w:p>
      <w:pPr>
        <w:pStyle w:val="3"/>
        <w:rPr>
          <w:rFonts w:ascii="仿宋" w:hAnsi="仿宋" w:eastAsia="仿宋"/>
          <w:color w:val="000000"/>
        </w:rPr>
      </w:pPr>
      <w:bookmarkStart w:id="69" w:name="_Toc15396627"/>
      <w:r>
        <w:rPr>
          <w:rStyle w:val="27"/>
          <w:rFonts w:hint="eastAsia" w:ascii="仿宋" w:hAnsi="仿宋" w:eastAsia="仿宋"/>
          <w:b w:val="0"/>
          <w:bCs w:val="0"/>
        </w:rPr>
        <w:t>九、</w:t>
      </w:r>
      <w:r>
        <w:rPr>
          <w:rFonts w:hint="eastAsia" w:ascii="仿宋" w:hAnsi="仿宋" w:eastAsia="仿宋"/>
          <w:b w:val="0"/>
          <w:color w:val="000000"/>
        </w:rPr>
        <w:t>一</w:t>
      </w:r>
      <w:r>
        <w:rPr>
          <w:rStyle w:val="27"/>
          <w:rFonts w:hint="eastAsia" w:ascii="仿宋" w:hAnsi="仿宋" w:eastAsia="仿宋"/>
          <w:b w:val="0"/>
          <w:bCs w:val="0"/>
        </w:rPr>
        <w:t>般公共预算财政拨款项目支出决算表</w:t>
      </w:r>
      <w:bookmarkEnd w:id="69"/>
    </w:p>
    <w:p>
      <w:pPr>
        <w:pStyle w:val="3"/>
        <w:rPr>
          <w:rFonts w:ascii="仿宋" w:hAnsi="仿宋" w:eastAsia="仿宋"/>
          <w:color w:val="000000"/>
        </w:rPr>
      </w:pPr>
      <w:bookmarkStart w:id="70" w:name="_Toc15396628"/>
      <w:r>
        <w:rPr>
          <w:rStyle w:val="27"/>
          <w:rFonts w:hint="eastAsia" w:ascii="仿宋" w:hAnsi="仿宋" w:eastAsia="仿宋"/>
          <w:b w:val="0"/>
          <w:bCs w:val="0"/>
        </w:rPr>
        <w:t>十、</w:t>
      </w:r>
      <w:r>
        <w:rPr>
          <w:rFonts w:hint="eastAsia" w:ascii="仿宋" w:hAnsi="仿宋" w:eastAsia="仿宋"/>
          <w:b w:val="0"/>
          <w:color w:val="000000"/>
        </w:rPr>
        <w:t>一</w:t>
      </w:r>
      <w:r>
        <w:rPr>
          <w:rStyle w:val="27"/>
          <w:rFonts w:hint="eastAsia" w:ascii="仿宋" w:hAnsi="仿宋" w:eastAsia="仿宋"/>
          <w:b w:val="0"/>
          <w:bCs w:val="0"/>
        </w:rPr>
        <w:t>般公共预算财政拨款“三公”经费支出决算表</w:t>
      </w:r>
      <w:bookmarkEnd w:id="70"/>
    </w:p>
    <w:p>
      <w:pPr>
        <w:pStyle w:val="3"/>
        <w:rPr>
          <w:rFonts w:ascii="仿宋" w:hAnsi="仿宋" w:eastAsia="仿宋"/>
          <w:color w:val="000000"/>
        </w:rPr>
      </w:pPr>
      <w:bookmarkStart w:id="71" w:name="_Toc15396629"/>
      <w:r>
        <w:rPr>
          <w:rStyle w:val="27"/>
          <w:rFonts w:hint="eastAsia" w:ascii="仿宋" w:hAnsi="仿宋" w:eastAsia="仿宋"/>
          <w:b w:val="0"/>
          <w:bCs w:val="0"/>
        </w:rPr>
        <w:t>十一、</w:t>
      </w:r>
      <w:r>
        <w:rPr>
          <w:rFonts w:hint="eastAsia" w:ascii="仿宋" w:hAnsi="仿宋" w:eastAsia="仿宋"/>
          <w:b w:val="0"/>
          <w:color w:val="000000"/>
        </w:rPr>
        <w:t>政</w:t>
      </w:r>
      <w:r>
        <w:rPr>
          <w:rStyle w:val="27"/>
          <w:rFonts w:hint="eastAsia" w:ascii="仿宋" w:hAnsi="仿宋" w:eastAsia="仿宋"/>
          <w:b w:val="0"/>
          <w:bCs w:val="0"/>
        </w:rPr>
        <w:t>府性基金预算财政拨款收入支出决算表</w:t>
      </w:r>
      <w:bookmarkEnd w:id="71"/>
    </w:p>
    <w:p>
      <w:pPr>
        <w:pStyle w:val="3"/>
        <w:rPr>
          <w:rFonts w:ascii="仿宋" w:hAnsi="仿宋" w:eastAsia="仿宋"/>
          <w:color w:val="000000"/>
        </w:rPr>
      </w:pPr>
      <w:bookmarkStart w:id="72" w:name="_Toc15396630"/>
      <w:r>
        <w:rPr>
          <w:rStyle w:val="27"/>
          <w:rFonts w:hint="eastAsia" w:ascii="仿宋" w:hAnsi="仿宋" w:eastAsia="仿宋"/>
          <w:b w:val="0"/>
          <w:bCs w:val="0"/>
        </w:rPr>
        <w:t>十二、</w:t>
      </w:r>
      <w:r>
        <w:rPr>
          <w:rFonts w:hint="eastAsia" w:ascii="仿宋" w:hAnsi="仿宋" w:eastAsia="仿宋"/>
          <w:b w:val="0"/>
          <w:color w:val="000000"/>
        </w:rPr>
        <w:t>政</w:t>
      </w:r>
      <w:r>
        <w:rPr>
          <w:rStyle w:val="27"/>
          <w:rFonts w:hint="eastAsia" w:ascii="仿宋" w:hAnsi="仿宋" w:eastAsia="仿宋"/>
          <w:b w:val="0"/>
          <w:bCs w:val="0"/>
        </w:rPr>
        <w:t>府性基金预算财政拨款“三公”经费支出决算表</w:t>
      </w:r>
      <w:bookmarkEnd w:id="72"/>
    </w:p>
    <w:p>
      <w:pPr>
        <w:pStyle w:val="3"/>
        <w:rPr>
          <w:rStyle w:val="27"/>
          <w:rFonts w:hint="eastAsia" w:ascii="仿宋" w:hAnsi="仿宋" w:eastAsia="仿宋"/>
          <w:b w:val="0"/>
          <w:bCs w:val="0"/>
        </w:rPr>
      </w:pPr>
      <w:bookmarkStart w:id="73" w:name="_Toc15396631"/>
      <w:r>
        <w:rPr>
          <w:rStyle w:val="27"/>
          <w:rFonts w:hint="eastAsia" w:ascii="仿宋" w:hAnsi="仿宋" w:eastAsia="仿宋"/>
          <w:b w:val="0"/>
          <w:bCs w:val="0"/>
        </w:rPr>
        <w:t>十三、</w:t>
      </w:r>
      <w:r>
        <w:rPr>
          <w:rFonts w:hint="eastAsia" w:ascii="仿宋" w:hAnsi="仿宋" w:eastAsia="仿宋"/>
          <w:b w:val="0"/>
          <w:color w:val="000000"/>
        </w:rPr>
        <w:t>国</w:t>
      </w:r>
      <w:r>
        <w:rPr>
          <w:rStyle w:val="27"/>
          <w:rFonts w:hint="eastAsia" w:ascii="仿宋" w:hAnsi="仿宋" w:eastAsia="仿宋"/>
          <w:b w:val="0"/>
          <w:bCs w:val="0"/>
        </w:rPr>
        <w:t>有资本经营预算支出决算表</w:t>
      </w:r>
      <w:bookmarkEnd w:id="73"/>
    </w:p>
    <w:p>
      <w:pPr>
        <w:ind w:firstLine="640"/>
        <w:rPr>
          <w:rStyle w:val="27"/>
          <w:rFonts w:hint="eastAsia" w:ascii="仿宋" w:hAnsi="仿宋" w:eastAsia="仿宋"/>
          <w:b w:val="0"/>
          <w:bCs w:val="0"/>
          <w:lang w:val="en-US" w:eastAsia="zh-CN"/>
        </w:rPr>
      </w:pPr>
      <w:r>
        <w:rPr>
          <w:rStyle w:val="27"/>
          <w:rFonts w:hint="eastAsia" w:ascii="仿宋" w:hAnsi="仿宋" w:eastAsia="仿宋"/>
          <w:b w:val="0"/>
          <w:bCs w:val="0"/>
          <w:lang w:val="en-US" w:eastAsia="zh-CN"/>
        </w:rPr>
        <w:t>十四、整体支出绩效评价打分表</w:t>
      </w:r>
    </w:p>
    <w:p>
      <w:pPr>
        <w:ind w:firstLine="640"/>
        <w:rPr>
          <w:rStyle w:val="27"/>
          <w:rFonts w:hint="eastAsia" w:ascii="仿宋" w:hAnsi="仿宋" w:eastAsia="仿宋"/>
          <w:b w:val="0"/>
          <w:bCs w:val="0"/>
          <w:lang w:val="en-US" w:eastAsia="zh-CN"/>
        </w:rPr>
      </w:pPr>
      <w:r>
        <w:rPr>
          <w:rStyle w:val="27"/>
          <w:rFonts w:hint="eastAsia" w:ascii="仿宋" w:hAnsi="仿宋" w:eastAsia="仿宋"/>
          <w:b w:val="0"/>
          <w:bCs w:val="0"/>
          <w:lang w:val="en-US" w:eastAsia="zh-CN"/>
        </w:rPr>
        <w:t>十五、项目支出绩效评价打分表</w:t>
      </w:r>
    </w:p>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docPartObj>
        <w:docPartGallery w:val="autotext"/>
      </w:docPartObj>
    </w:sdtPr>
    <w:sdtContent>
      <w:p>
        <w:pPr>
          <w:pStyle w:val="8"/>
          <w:jc w:val="center"/>
        </w:pPr>
        <w:r>
          <w:fldChar w:fldCharType="begin"/>
        </w:r>
        <w:r>
          <w:instrText xml:space="preserve">PAGE   \* MERGEFORMAT</w:instrText>
        </w:r>
        <w:r>
          <w:fldChar w:fldCharType="separate"/>
        </w:r>
        <w:r>
          <w:rPr>
            <w:lang w:val="zh-CN"/>
          </w:rPr>
          <w:t>10</w:t>
        </w:r>
        <w:r>
          <w:fldChar w:fldCharType="end"/>
        </w:r>
      </w:p>
    </w:sdtContent>
  </w:sdt>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B616AF3"/>
    <w:multiLevelType w:val="singleLevel"/>
    <w:tmpl w:val="9B616AF3"/>
    <w:lvl w:ilvl="0" w:tentative="0">
      <w:start w:val="1"/>
      <w:numFmt w:val="chineseCounting"/>
      <w:suff w:val="nothing"/>
      <w:lvlText w:val="%1、"/>
      <w:lvlJc w:val="left"/>
      <w:rPr>
        <w:rFonts w:hint="eastAsia"/>
      </w:rPr>
    </w:lvl>
  </w:abstractNum>
  <w:abstractNum w:abstractNumId="1">
    <w:nsid w:val="AE3AF85A"/>
    <w:multiLevelType w:val="singleLevel"/>
    <w:tmpl w:val="AE3AF85A"/>
    <w:lvl w:ilvl="0" w:tentative="0">
      <w:start w:val="2"/>
      <w:numFmt w:val="decimal"/>
      <w:suff w:val="nothing"/>
      <w:lvlText w:val="%1、"/>
      <w:lvlJc w:val="left"/>
    </w:lvl>
  </w:abstractNum>
  <w:abstractNum w:abstractNumId="2">
    <w:nsid w:val="B026C66B"/>
    <w:multiLevelType w:val="singleLevel"/>
    <w:tmpl w:val="B026C66B"/>
    <w:lvl w:ilvl="0" w:tentative="0">
      <w:start w:val="1"/>
      <w:numFmt w:val="decimal"/>
      <w:lvlText w:val="%1."/>
      <w:lvlJc w:val="left"/>
      <w:pPr>
        <w:tabs>
          <w:tab w:val="left" w:pos="312"/>
        </w:tabs>
      </w:pPr>
    </w:lvl>
  </w:abstractNum>
  <w:abstractNum w:abstractNumId="3">
    <w:nsid w:val="CF652CEC"/>
    <w:multiLevelType w:val="singleLevel"/>
    <w:tmpl w:val="CF652CEC"/>
    <w:lvl w:ilvl="0" w:tentative="0">
      <w:start w:val="9"/>
      <w:numFmt w:val="chineseCounting"/>
      <w:suff w:val="nothing"/>
      <w:lvlText w:val="%1、"/>
      <w:lvlJc w:val="left"/>
      <w:rPr>
        <w:rFonts w:hint="eastAsia"/>
      </w:rPr>
    </w:lvl>
  </w:abstractNum>
  <w:abstractNum w:abstractNumId="4">
    <w:nsid w:val="DE1DB4AA"/>
    <w:multiLevelType w:val="singleLevel"/>
    <w:tmpl w:val="DE1DB4AA"/>
    <w:lvl w:ilvl="0" w:tentative="0">
      <w:start w:val="3"/>
      <w:numFmt w:val="chineseCounting"/>
      <w:suff w:val="nothing"/>
      <w:lvlText w:val="（%1）"/>
      <w:lvlJc w:val="left"/>
      <w:rPr>
        <w:rFonts w:hint="eastAsia"/>
      </w:rPr>
    </w:lvl>
  </w:abstractNum>
  <w:abstractNum w:abstractNumId="5">
    <w:nsid w:val="E2FA047D"/>
    <w:multiLevelType w:val="singleLevel"/>
    <w:tmpl w:val="E2FA047D"/>
    <w:lvl w:ilvl="0" w:tentative="0">
      <w:start w:val="3"/>
      <w:numFmt w:val="chineseCounting"/>
      <w:suff w:val="space"/>
      <w:lvlText w:val="第%1部分"/>
      <w:lvlJc w:val="left"/>
      <w:rPr>
        <w:rFonts w:hint="eastAsia"/>
      </w:rPr>
    </w:lvl>
  </w:abstractNum>
  <w:abstractNum w:abstractNumId="6">
    <w:nsid w:val="EC0BEF30"/>
    <w:multiLevelType w:val="singleLevel"/>
    <w:tmpl w:val="EC0BEF30"/>
    <w:lvl w:ilvl="0" w:tentative="0">
      <w:start w:val="1"/>
      <w:numFmt w:val="chineseCounting"/>
      <w:suff w:val="nothing"/>
      <w:lvlText w:val="（%1）"/>
      <w:lvlJc w:val="left"/>
      <w:rPr>
        <w:rFonts w:hint="eastAsia" w:ascii="楷体_GB2312" w:hAnsi="楷体_GB2312" w:eastAsia="楷体_GB2312" w:cs="楷体_GB2312"/>
        <w:b/>
        <w:bCs/>
        <w:sz w:val="32"/>
        <w:szCs w:val="32"/>
      </w:rPr>
    </w:lvl>
  </w:abstractNum>
  <w:abstractNum w:abstractNumId="7">
    <w:nsid w:val="0C29153E"/>
    <w:multiLevelType w:val="singleLevel"/>
    <w:tmpl w:val="0C29153E"/>
    <w:lvl w:ilvl="0" w:tentative="0">
      <w:start w:val="2"/>
      <w:numFmt w:val="chineseCounting"/>
      <w:suff w:val="nothing"/>
      <w:lvlText w:val="（%1）"/>
      <w:lvlJc w:val="left"/>
      <w:rPr>
        <w:rFonts w:hint="eastAsia"/>
      </w:rPr>
    </w:lvl>
  </w:abstractNum>
  <w:abstractNum w:abstractNumId="8">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9">
    <w:nsid w:val="17F426B7"/>
    <w:multiLevelType w:val="multilevel"/>
    <w:tmpl w:val="17F426B7"/>
    <w:lvl w:ilvl="0" w:tentative="0">
      <w:start w:val="10"/>
      <w:numFmt w:val="japaneseCounting"/>
      <w:lvlText w:val="%1、"/>
      <w:lvlJc w:val="left"/>
      <w:pPr>
        <w:ind w:left="1429" w:hanging="720"/>
      </w:pPr>
      <w:rPr>
        <w:rFonts w:hint="default"/>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10">
    <w:nsid w:val="1D6D3F0B"/>
    <w:multiLevelType w:val="singleLevel"/>
    <w:tmpl w:val="1D6D3F0B"/>
    <w:lvl w:ilvl="0" w:tentative="0">
      <w:start w:val="1"/>
      <w:numFmt w:val="chineseCounting"/>
      <w:suff w:val="nothing"/>
      <w:lvlText w:val="（%1）"/>
      <w:lvlJc w:val="left"/>
      <w:rPr>
        <w:rFonts w:hint="eastAsia"/>
      </w:rPr>
    </w:lvl>
  </w:abstractNum>
  <w:abstractNum w:abstractNumId="11">
    <w:nsid w:val="2CEC92FC"/>
    <w:multiLevelType w:val="singleLevel"/>
    <w:tmpl w:val="2CEC92FC"/>
    <w:lvl w:ilvl="0" w:tentative="0">
      <w:start w:val="1"/>
      <w:numFmt w:val="decimal"/>
      <w:suff w:val="nothing"/>
      <w:lvlText w:val="%1、"/>
      <w:lvlJc w:val="left"/>
    </w:lvl>
  </w:abstractNum>
  <w:abstractNum w:abstractNumId="12">
    <w:nsid w:val="3C04EB76"/>
    <w:multiLevelType w:val="singleLevel"/>
    <w:tmpl w:val="3C04EB76"/>
    <w:lvl w:ilvl="0" w:tentative="0">
      <w:start w:val="1"/>
      <w:numFmt w:val="decimal"/>
      <w:suff w:val="nothing"/>
      <w:lvlText w:val="（%1）"/>
      <w:lvlJc w:val="left"/>
    </w:lvl>
  </w:abstractNum>
  <w:abstractNum w:abstractNumId="13">
    <w:nsid w:val="44B35A9D"/>
    <w:multiLevelType w:val="singleLevel"/>
    <w:tmpl w:val="44B35A9D"/>
    <w:lvl w:ilvl="0" w:tentative="0">
      <w:start w:val="1"/>
      <w:numFmt w:val="chineseCounting"/>
      <w:suff w:val="nothing"/>
      <w:lvlText w:val="%1、"/>
      <w:lvlJc w:val="left"/>
      <w:rPr>
        <w:rFonts w:hint="eastAsia"/>
      </w:rPr>
    </w:lvl>
  </w:abstractNum>
  <w:abstractNum w:abstractNumId="14">
    <w:nsid w:val="5D5382B5"/>
    <w:multiLevelType w:val="singleLevel"/>
    <w:tmpl w:val="5D5382B5"/>
    <w:lvl w:ilvl="0" w:tentative="0">
      <w:start w:val="1"/>
      <w:numFmt w:val="chineseCounting"/>
      <w:suff w:val="nothing"/>
      <w:lvlText w:val="%1、"/>
      <w:lvlJc w:val="left"/>
    </w:lvl>
  </w:abstractNum>
  <w:num w:numId="1">
    <w:abstractNumId w:val="0"/>
  </w:num>
  <w:num w:numId="2">
    <w:abstractNumId w:val="8"/>
  </w:num>
  <w:num w:numId="3">
    <w:abstractNumId w:val="1"/>
  </w:num>
  <w:num w:numId="4">
    <w:abstractNumId w:val="3"/>
  </w:num>
  <w:num w:numId="5">
    <w:abstractNumId w:val="9"/>
  </w:num>
  <w:num w:numId="6">
    <w:abstractNumId w:val="6"/>
  </w:num>
  <w:num w:numId="7">
    <w:abstractNumId w:val="2"/>
  </w:num>
  <w:num w:numId="8">
    <w:abstractNumId w:val="5"/>
  </w:num>
  <w:num w:numId="9">
    <w:abstractNumId w:val="4"/>
  </w:num>
  <w:num w:numId="10">
    <w:abstractNumId w:val="7"/>
  </w:num>
  <w:num w:numId="11">
    <w:abstractNumId w:val="13"/>
  </w:num>
  <w:num w:numId="12">
    <w:abstractNumId w:val="10"/>
  </w:num>
  <w:num w:numId="13">
    <w:abstractNumId w:val="11"/>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6487A"/>
    <w:rsid w:val="00065F8F"/>
    <w:rsid w:val="000768F2"/>
    <w:rsid w:val="0009184B"/>
    <w:rsid w:val="0009593C"/>
    <w:rsid w:val="000B047F"/>
    <w:rsid w:val="000B5923"/>
    <w:rsid w:val="000B5A48"/>
    <w:rsid w:val="000B6FF3"/>
    <w:rsid w:val="000C3467"/>
    <w:rsid w:val="000C3CA6"/>
    <w:rsid w:val="000D1267"/>
    <w:rsid w:val="000D1D50"/>
    <w:rsid w:val="000D5782"/>
    <w:rsid w:val="000E6613"/>
    <w:rsid w:val="000E7119"/>
    <w:rsid w:val="00114E9B"/>
    <w:rsid w:val="0014729F"/>
    <w:rsid w:val="00157BAB"/>
    <w:rsid w:val="001654D1"/>
    <w:rsid w:val="0018106D"/>
    <w:rsid w:val="001877A7"/>
    <w:rsid w:val="00191536"/>
    <w:rsid w:val="00196687"/>
    <w:rsid w:val="001C0962"/>
    <w:rsid w:val="001D7531"/>
    <w:rsid w:val="001E737D"/>
    <w:rsid w:val="001F0592"/>
    <w:rsid w:val="001F7506"/>
    <w:rsid w:val="002006CD"/>
    <w:rsid w:val="00202B36"/>
    <w:rsid w:val="00204B7A"/>
    <w:rsid w:val="0021101A"/>
    <w:rsid w:val="00220536"/>
    <w:rsid w:val="00235629"/>
    <w:rsid w:val="00260C38"/>
    <w:rsid w:val="002616C0"/>
    <w:rsid w:val="002662AA"/>
    <w:rsid w:val="00280496"/>
    <w:rsid w:val="00295495"/>
    <w:rsid w:val="002B2613"/>
    <w:rsid w:val="002F1818"/>
    <w:rsid w:val="002F567B"/>
    <w:rsid w:val="003216A9"/>
    <w:rsid w:val="0037013F"/>
    <w:rsid w:val="00380C92"/>
    <w:rsid w:val="003A484F"/>
    <w:rsid w:val="003B0BE0"/>
    <w:rsid w:val="003B0C1B"/>
    <w:rsid w:val="003B688C"/>
    <w:rsid w:val="003C0291"/>
    <w:rsid w:val="003C39AE"/>
    <w:rsid w:val="003C7B60"/>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9062B"/>
    <w:rsid w:val="004A711F"/>
    <w:rsid w:val="004B199D"/>
    <w:rsid w:val="004B4690"/>
    <w:rsid w:val="004E0A2D"/>
    <w:rsid w:val="004E206B"/>
    <w:rsid w:val="004E6DF7"/>
    <w:rsid w:val="004F0FBD"/>
    <w:rsid w:val="00505A47"/>
    <w:rsid w:val="00512FDA"/>
    <w:rsid w:val="00520DA0"/>
    <w:rsid w:val="005664BB"/>
    <w:rsid w:val="0057481D"/>
    <w:rsid w:val="0058486E"/>
    <w:rsid w:val="005D1C8B"/>
    <w:rsid w:val="005D5CED"/>
    <w:rsid w:val="005F1A4C"/>
    <w:rsid w:val="00605688"/>
    <w:rsid w:val="006070AF"/>
    <w:rsid w:val="00607E6C"/>
    <w:rsid w:val="006101B1"/>
    <w:rsid w:val="00614E44"/>
    <w:rsid w:val="00622830"/>
    <w:rsid w:val="00630AEF"/>
    <w:rsid w:val="006325F8"/>
    <w:rsid w:val="00634C9A"/>
    <w:rsid w:val="006440E4"/>
    <w:rsid w:val="0066343B"/>
    <w:rsid w:val="00664777"/>
    <w:rsid w:val="00671573"/>
    <w:rsid w:val="006748A4"/>
    <w:rsid w:val="00683E73"/>
    <w:rsid w:val="006A3141"/>
    <w:rsid w:val="006A5E34"/>
    <w:rsid w:val="006B2422"/>
    <w:rsid w:val="006B2B9A"/>
    <w:rsid w:val="006C1937"/>
    <w:rsid w:val="006F020C"/>
    <w:rsid w:val="007127B7"/>
    <w:rsid w:val="007416B6"/>
    <w:rsid w:val="00746F48"/>
    <w:rsid w:val="0075404D"/>
    <w:rsid w:val="0076182A"/>
    <w:rsid w:val="00767B7E"/>
    <w:rsid w:val="007770C3"/>
    <w:rsid w:val="00784D24"/>
    <w:rsid w:val="00785FBA"/>
    <w:rsid w:val="00786E4A"/>
    <w:rsid w:val="007875EB"/>
    <w:rsid w:val="0079426B"/>
    <w:rsid w:val="007D312A"/>
    <w:rsid w:val="007D3F19"/>
    <w:rsid w:val="007E23B0"/>
    <w:rsid w:val="007F1991"/>
    <w:rsid w:val="007F2C2F"/>
    <w:rsid w:val="007F55FC"/>
    <w:rsid w:val="007F5665"/>
    <w:rsid w:val="00800112"/>
    <w:rsid w:val="008253BB"/>
    <w:rsid w:val="0083706E"/>
    <w:rsid w:val="008423A5"/>
    <w:rsid w:val="00850625"/>
    <w:rsid w:val="00853718"/>
    <w:rsid w:val="00855221"/>
    <w:rsid w:val="00860645"/>
    <w:rsid w:val="00871F71"/>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46945"/>
    <w:rsid w:val="00951248"/>
    <w:rsid w:val="0095152F"/>
    <w:rsid w:val="00954C49"/>
    <w:rsid w:val="0097099F"/>
    <w:rsid w:val="00971997"/>
    <w:rsid w:val="00971FFC"/>
    <w:rsid w:val="0098660A"/>
    <w:rsid w:val="009931C3"/>
    <w:rsid w:val="009B2C43"/>
    <w:rsid w:val="009B4EAE"/>
    <w:rsid w:val="009B7573"/>
    <w:rsid w:val="009C22F4"/>
    <w:rsid w:val="009C2E98"/>
    <w:rsid w:val="009D3447"/>
    <w:rsid w:val="009D4711"/>
    <w:rsid w:val="009F1185"/>
    <w:rsid w:val="009F18CD"/>
    <w:rsid w:val="009F2A13"/>
    <w:rsid w:val="00A04EB0"/>
    <w:rsid w:val="00A13CC1"/>
    <w:rsid w:val="00A16847"/>
    <w:rsid w:val="00A237D8"/>
    <w:rsid w:val="00A268C4"/>
    <w:rsid w:val="00A307CD"/>
    <w:rsid w:val="00A40A00"/>
    <w:rsid w:val="00A4142F"/>
    <w:rsid w:val="00A56DF2"/>
    <w:rsid w:val="00A67AB5"/>
    <w:rsid w:val="00A91760"/>
    <w:rsid w:val="00A93B00"/>
    <w:rsid w:val="00A93C21"/>
    <w:rsid w:val="00AC3C6A"/>
    <w:rsid w:val="00AD5620"/>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77EA6"/>
    <w:rsid w:val="00B81598"/>
    <w:rsid w:val="00B841F1"/>
    <w:rsid w:val="00B944D6"/>
    <w:rsid w:val="00BB4DF0"/>
    <w:rsid w:val="00BC289F"/>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91CBB"/>
    <w:rsid w:val="00CC09B6"/>
    <w:rsid w:val="00CC666F"/>
    <w:rsid w:val="00CD1E3F"/>
    <w:rsid w:val="00CE44F6"/>
    <w:rsid w:val="00CE49DA"/>
    <w:rsid w:val="00CE7B61"/>
    <w:rsid w:val="00D00095"/>
    <w:rsid w:val="00D20620"/>
    <w:rsid w:val="00D26091"/>
    <w:rsid w:val="00D34E7C"/>
    <w:rsid w:val="00D35489"/>
    <w:rsid w:val="00D51276"/>
    <w:rsid w:val="00D7035F"/>
    <w:rsid w:val="00DA65AC"/>
    <w:rsid w:val="00DB1913"/>
    <w:rsid w:val="00DC410D"/>
    <w:rsid w:val="00DC68CA"/>
    <w:rsid w:val="00DC7CBA"/>
    <w:rsid w:val="00DD73B7"/>
    <w:rsid w:val="00DF28BC"/>
    <w:rsid w:val="00DF34B9"/>
    <w:rsid w:val="00E01053"/>
    <w:rsid w:val="00E07ACF"/>
    <w:rsid w:val="00E331A1"/>
    <w:rsid w:val="00E33202"/>
    <w:rsid w:val="00E336A9"/>
    <w:rsid w:val="00E50624"/>
    <w:rsid w:val="00E568DF"/>
    <w:rsid w:val="00E64269"/>
    <w:rsid w:val="00E82267"/>
    <w:rsid w:val="00EA010F"/>
    <w:rsid w:val="00ED1B63"/>
    <w:rsid w:val="00ED3C1F"/>
    <w:rsid w:val="00ED4085"/>
    <w:rsid w:val="00ED420E"/>
    <w:rsid w:val="00EE2423"/>
    <w:rsid w:val="00EE2F57"/>
    <w:rsid w:val="00EF4C34"/>
    <w:rsid w:val="00EF77C6"/>
    <w:rsid w:val="00F05438"/>
    <w:rsid w:val="00F1361C"/>
    <w:rsid w:val="00F160C7"/>
    <w:rsid w:val="00F36D8F"/>
    <w:rsid w:val="00F417B1"/>
    <w:rsid w:val="00F53E0A"/>
    <w:rsid w:val="00F602DF"/>
    <w:rsid w:val="00F81FD9"/>
    <w:rsid w:val="00F841AA"/>
    <w:rsid w:val="00FA23E8"/>
    <w:rsid w:val="00FD3CC1"/>
    <w:rsid w:val="00FF1E02"/>
    <w:rsid w:val="00FF30B4"/>
    <w:rsid w:val="01B001A0"/>
    <w:rsid w:val="01C9599F"/>
    <w:rsid w:val="0202507A"/>
    <w:rsid w:val="0279193D"/>
    <w:rsid w:val="0371443F"/>
    <w:rsid w:val="03A17572"/>
    <w:rsid w:val="03CE13A7"/>
    <w:rsid w:val="03DD28DB"/>
    <w:rsid w:val="045041F9"/>
    <w:rsid w:val="04964C30"/>
    <w:rsid w:val="0574629F"/>
    <w:rsid w:val="05B06CE4"/>
    <w:rsid w:val="0616680E"/>
    <w:rsid w:val="06DB3CAB"/>
    <w:rsid w:val="074B6D84"/>
    <w:rsid w:val="07A03D3C"/>
    <w:rsid w:val="08144360"/>
    <w:rsid w:val="09380FAA"/>
    <w:rsid w:val="09EC4B05"/>
    <w:rsid w:val="0A036D3A"/>
    <w:rsid w:val="0A0876C9"/>
    <w:rsid w:val="0A993D8B"/>
    <w:rsid w:val="0ACA4216"/>
    <w:rsid w:val="0B60708C"/>
    <w:rsid w:val="0BE0295E"/>
    <w:rsid w:val="0C43131F"/>
    <w:rsid w:val="0CC421D0"/>
    <w:rsid w:val="0D10023F"/>
    <w:rsid w:val="0DED71D1"/>
    <w:rsid w:val="0EBE40F4"/>
    <w:rsid w:val="0ED62A80"/>
    <w:rsid w:val="0EFB19EF"/>
    <w:rsid w:val="0FB07B44"/>
    <w:rsid w:val="109713BF"/>
    <w:rsid w:val="10C055FF"/>
    <w:rsid w:val="10D47492"/>
    <w:rsid w:val="10F529AD"/>
    <w:rsid w:val="110B1365"/>
    <w:rsid w:val="11F5639B"/>
    <w:rsid w:val="121D4BA5"/>
    <w:rsid w:val="121F5E13"/>
    <w:rsid w:val="12693AE6"/>
    <w:rsid w:val="12C174E4"/>
    <w:rsid w:val="133D10A6"/>
    <w:rsid w:val="138A16F5"/>
    <w:rsid w:val="14045635"/>
    <w:rsid w:val="14531D80"/>
    <w:rsid w:val="14973D9A"/>
    <w:rsid w:val="14CA478B"/>
    <w:rsid w:val="14FD39C8"/>
    <w:rsid w:val="15F52727"/>
    <w:rsid w:val="167E43C4"/>
    <w:rsid w:val="16BB723D"/>
    <w:rsid w:val="16CE4EB7"/>
    <w:rsid w:val="17E5422D"/>
    <w:rsid w:val="184C527D"/>
    <w:rsid w:val="18F646D8"/>
    <w:rsid w:val="190057F8"/>
    <w:rsid w:val="19D87937"/>
    <w:rsid w:val="19EC5C9C"/>
    <w:rsid w:val="1A834DED"/>
    <w:rsid w:val="1AA81EEE"/>
    <w:rsid w:val="1BA10F56"/>
    <w:rsid w:val="1BCC105B"/>
    <w:rsid w:val="1C0E3D71"/>
    <w:rsid w:val="1C1A0CFF"/>
    <w:rsid w:val="1CB86CAA"/>
    <w:rsid w:val="1D682403"/>
    <w:rsid w:val="1DC4342F"/>
    <w:rsid w:val="1E6967AC"/>
    <w:rsid w:val="1E8E2BD1"/>
    <w:rsid w:val="1F083FC2"/>
    <w:rsid w:val="1F196496"/>
    <w:rsid w:val="1F642AFD"/>
    <w:rsid w:val="20100423"/>
    <w:rsid w:val="204D5E9A"/>
    <w:rsid w:val="20AC238C"/>
    <w:rsid w:val="20DC14BF"/>
    <w:rsid w:val="20E45423"/>
    <w:rsid w:val="2105586B"/>
    <w:rsid w:val="21CA06C4"/>
    <w:rsid w:val="22D01BD9"/>
    <w:rsid w:val="23242FD5"/>
    <w:rsid w:val="239E1A97"/>
    <w:rsid w:val="23D53EE4"/>
    <w:rsid w:val="23D60E9F"/>
    <w:rsid w:val="23FD1C59"/>
    <w:rsid w:val="240371BF"/>
    <w:rsid w:val="246A74FA"/>
    <w:rsid w:val="24787A8A"/>
    <w:rsid w:val="24D429E9"/>
    <w:rsid w:val="24E42C1C"/>
    <w:rsid w:val="25563A83"/>
    <w:rsid w:val="25B46BBD"/>
    <w:rsid w:val="26433277"/>
    <w:rsid w:val="2694725F"/>
    <w:rsid w:val="26C054BB"/>
    <w:rsid w:val="26D44DBC"/>
    <w:rsid w:val="26DD3027"/>
    <w:rsid w:val="27755B17"/>
    <w:rsid w:val="27B75344"/>
    <w:rsid w:val="28123A37"/>
    <w:rsid w:val="284E478B"/>
    <w:rsid w:val="28DA1FF3"/>
    <w:rsid w:val="28F94F5D"/>
    <w:rsid w:val="290A5E5A"/>
    <w:rsid w:val="293F3E5F"/>
    <w:rsid w:val="29BF317A"/>
    <w:rsid w:val="29FD04D3"/>
    <w:rsid w:val="2A5E0D8D"/>
    <w:rsid w:val="2B913266"/>
    <w:rsid w:val="2D12598A"/>
    <w:rsid w:val="2D1C4FD5"/>
    <w:rsid w:val="2D5440F1"/>
    <w:rsid w:val="2DD142AC"/>
    <w:rsid w:val="2E4C71E9"/>
    <w:rsid w:val="2F187E60"/>
    <w:rsid w:val="2F1945E4"/>
    <w:rsid w:val="2F254791"/>
    <w:rsid w:val="2FCB0725"/>
    <w:rsid w:val="303032A2"/>
    <w:rsid w:val="30B12FD3"/>
    <w:rsid w:val="319F7F4E"/>
    <w:rsid w:val="32AA71C5"/>
    <w:rsid w:val="33593427"/>
    <w:rsid w:val="33D87745"/>
    <w:rsid w:val="34293279"/>
    <w:rsid w:val="344952B0"/>
    <w:rsid w:val="355A359D"/>
    <w:rsid w:val="36045668"/>
    <w:rsid w:val="361A7A92"/>
    <w:rsid w:val="36B64ACD"/>
    <w:rsid w:val="3728277C"/>
    <w:rsid w:val="37ED4C45"/>
    <w:rsid w:val="38231403"/>
    <w:rsid w:val="38A41067"/>
    <w:rsid w:val="38C836ED"/>
    <w:rsid w:val="38D30A35"/>
    <w:rsid w:val="38E7598C"/>
    <w:rsid w:val="39250094"/>
    <w:rsid w:val="39356A66"/>
    <w:rsid w:val="3A6A310E"/>
    <w:rsid w:val="3ADF31A6"/>
    <w:rsid w:val="3C5A288E"/>
    <w:rsid w:val="3C75083B"/>
    <w:rsid w:val="3E0E2B37"/>
    <w:rsid w:val="3E4918AE"/>
    <w:rsid w:val="3E874469"/>
    <w:rsid w:val="3EF926AD"/>
    <w:rsid w:val="3F840C18"/>
    <w:rsid w:val="41296F8A"/>
    <w:rsid w:val="41AA08FF"/>
    <w:rsid w:val="42FF5DBB"/>
    <w:rsid w:val="436C7E22"/>
    <w:rsid w:val="43D92707"/>
    <w:rsid w:val="4433415E"/>
    <w:rsid w:val="444473F4"/>
    <w:rsid w:val="450972F5"/>
    <w:rsid w:val="45142B7D"/>
    <w:rsid w:val="453E098F"/>
    <w:rsid w:val="45542245"/>
    <w:rsid w:val="45D162DA"/>
    <w:rsid w:val="45FE3510"/>
    <w:rsid w:val="46142377"/>
    <w:rsid w:val="46340E8A"/>
    <w:rsid w:val="464169D0"/>
    <w:rsid w:val="477D233A"/>
    <w:rsid w:val="47EF2B28"/>
    <w:rsid w:val="483175A9"/>
    <w:rsid w:val="48596DB4"/>
    <w:rsid w:val="49A2628B"/>
    <w:rsid w:val="49DE09B6"/>
    <w:rsid w:val="4A4C720A"/>
    <w:rsid w:val="4A69603C"/>
    <w:rsid w:val="4AD644B7"/>
    <w:rsid w:val="4AF52E34"/>
    <w:rsid w:val="4B2439A2"/>
    <w:rsid w:val="4B3014A6"/>
    <w:rsid w:val="4B3D756E"/>
    <w:rsid w:val="4B7F7CC2"/>
    <w:rsid w:val="4BB85F97"/>
    <w:rsid w:val="4BD65525"/>
    <w:rsid w:val="4C451939"/>
    <w:rsid w:val="4C4528CD"/>
    <w:rsid w:val="4CB018B6"/>
    <w:rsid w:val="4D3C5B78"/>
    <w:rsid w:val="4ED02EF6"/>
    <w:rsid w:val="4EFC5084"/>
    <w:rsid w:val="4F8D2E98"/>
    <w:rsid w:val="4F9448F3"/>
    <w:rsid w:val="4FE40A16"/>
    <w:rsid w:val="50200183"/>
    <w:rsid w:val="5020539E"/>
    <w:rsid w:val="50585DE7"/>
    <w:rsid w:val="539C7936"/>
    <w:rsid w:val="53CE56A3"/>
    <w:rsid w:val="54886421"/>
    <w:rsid w:val="5688059A"/>
    <w:rsid w:val="571E6348"/>
    <w:rsid w:val="574D720C"/>
    <w:rsid w:val="579D27AF"/>
    <w:rsid w:val="58787990"/>
    <w:rsid w:val="58946302"/>
    <w:rsid w:val="59013CB3"/>
    <w:rsid w:val="590B28F9"/>
    <w:rsid w:val="595A181E"/>
    <w:rsid w:val="595D7B9B"/>
    <w:rsid w:val="598E1927"/>
    <w:rsid w:val="5A4D75FD"/>
    <w:rsid w:val="5B076EF4"/>
    <w:rsid w:val="5B2D6599"/>
    <w:rsid w:val="5B2F7E5E"/>
    <w:rsid w:val="5C0C6324"/>
    <w:rsid w:val="5C8103D7"/>
    <w:rsid w:val="5CCF4B6D"/>
    <w:rsid w:val="5D241293"/>
    <w:rsid w:val="5D376BD5"/>
    <w:rsid w:val="5DCF36D0"/>
    <w:rsid w:val="5DEB7BAE"/>
    <w:rsid w:val="5EAC2871"/>
    <w:rsid w:val="5EC9604A"/>
    <w:rsid w:val="5F38466C"/>
    <w:rsid w:val="60671C3D"/>
    <w:rsid w:val="60C714CD"/>
    <w:rsid w:val="60F929A9"/>
    <w:rsid w:val="62A32CE4"/>
    <w:rsid w:val="62D02B6B"/>
    <w:rsid w:val="64AE56B0"/>
    <w:rsid w:val="64FE4F9E"/>
    <w:rsid w:val="65D56F0D"/>
    <w:rsid w:val="661E41CF"/>
    <w:rsid w:val="663D5E75"/>
    <w:rsid w:val="66471260"/>
    <w:rsid w:val="67784B78"/>
    <w:rsid w:val="677F435F"/>
    <w:rsid w:val="67830048"/>
    <w:rsid w:val="67BA60E6"/>
    <w:rsid w:val="68263220"/>
    <w:rsid w:val="682E3971"/>
    <w:rsid w:val="68D10DDF"/>
    <w:rsid w:val="699B6039"/>
    <w:rsid w:val="69A200C2"/>
    <w:rsid w:val="6A547BF8"/>
    <w:rsid w:val="6A8B5652"/>
    <w:rsid w:val="6B7F3207"/>
    <w:rsid w:val="6BB07823"/>
    <w:rsid w:val="6C48738B"/>
    <w:rsid w:val="6C5431DC"/>
    <w:rsid w:val="6CA011BC"/>
    <w:rsid w:val="6D5B3633"/>
    <w:rsid w:val="6DB02AF2"/>
    <w:rsid w:val="6E501411"/>
    <w:rsid w:val="6E6749F9"/>
    <w:rsid w:val="6EC54F4B"/>
    <w:rsid w:val="6EC55ABD"/>
    <w:rsid w:val="6F0341E6"/>
    <w:rsid w:val="6F382B78"/>
    <w:rsid w:val="6F551B3F"/>
    <w:rsid w:val="6FB42664"/>
    <w:rsid w:val="6FEA3997"/>
    <w:rsid w:val="714D7867"/>
    <w:rsid w:val="7273580A"/>
    <w:rsid w:val="72880FB7"/>
    <w:rsid w:val="72A57A01"/>
    <w:rsid w:val="73717577"/>
    <w:rsid w:val="73C21FC2"/>
    <w:rsid w:val="741B3E0B"/>
    <w:rsid w:val="7423412F"/>
    <w:rsid w:val="74A9052C"/>
    <w:rsid w:val="74F91302"/>
    <w:rsid w:val="75225101"/>
    <w:rsid w:val="75282356"/>
    <w:rsid w:val="75C57065"/>
    <w:rsid w:val="763E34B4"/>
    <w:rsid w:val="777748F8"/>
    <w:rsid w:val="77982F8D"/>
    <w:rsid w:val="78827389"/>
    <w:rsid w:val="79BD6B73"/>
    <w:rsid w:val="79E55EF5"/>
    <w:rsid w:val="7A141EAB"/>
    <w:rsid w:val="7C89323A"/>
    <w:rsid w:val="7C9B16B4"/>
    <w:rsid w:val="7DB146BC"/>
    <w:rsid w:val="7F11772A"/>
    <w:rsid w:val="7F121F15"/>
    <w:rsid w:val="7F6944D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6"/>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0"/>
    <w:unhideWhenUsed/>
    <w:qFormat/>
    <w:uiPriority w:val="9"/>
    <w:pPr>
      <w:keepNext/>
      <w:keepLines/>
      <w:spacing w:before="260" w:after="260" w:line="416" w:lineRule="auto"/>
      <w:outlineLvl w:val="2"/>
    </w:pPr>
    <w:rPr>
      <w:b/>
      <w:bCs/>
      <w:sz w:val="32"/>
      <w:szCs w:val="32"/>
    </w:rPr>
  </w:style>
  <w:style w:type="character" w:default="1" w:styleId="14">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5">
    <w:name w:val="Body Text"/>
    <w:basedOn w:val="1"/>
    <w:link w:val="23"/>
    <w:qFormat/>
    <w:uiPriority w:val="99"/>
    <w:pPr>
      <w:spacing w:beforeLines="30"/>
    </w:pPr>
    <w:rPr>
      <w:rFonts w:ascii="仿宋_GB2312" w:eastAsia="仿宋_GB2312"/>
      <w:kern w:val="0"/>
      <w:sz w:val="30"/>
    </w:rPr>
  </w:style>
  <w:style w:type="paragraph" w:styleId="6">
    <w:name w:val="toc 3"/>
    <w:basedOn w:val="1"/>
    <w:next w:val="1"/>
    <w:unhideWhenUsed/>
    <w:qFormat/>
    <w:uiPriority w:val="39"/>
    <w:pPr>
      <w:tabs>
        <w:tab w:val="right" w:leader="dot" w:pos="8296"/>
      </w:tabs>
      <w:ind w:left="840" w:leftChars="400"/>
    </w:pPr>
  </w:style>
  <w:style w:type="paragraph" w:styleId="7">
    <w:name w:val="Balloon Text"/>
    <w:basedOn w:val="1"/>
    <w:link w:val="29"/>
    <w:unhideWhenUsed/>
    <w:qFormat/>
    <w:uiPriority w:val="99"/>
    <w:rPr>
      <w:sz w:val="18"/>
      <w:szCs w:val="18"/>
    </w:rPr>
  </w:style>
  <w:style w:type="paragraph" w:styleId="8">
    <w:name w:val="footer"/>
    <w:basedOn w:val="1"/>
    <w:link w:val="21"/>
    <w:qFormat/>
    <w:uiPriority w:val="99"/>
    <w:pPr>
      <w:tabs>
        <w:tab w:val="center" w:pos="4153"/>
        <w:tab w:val="right" w:pos="8306"/>
      </w:tabs>
      <w:snapToGrid w:val="0"/>
      <w:jc w:val="left"/>
    </w:pPr>
    <w:rPr>
      <w:rFonts w:ascii="Calibri" w:hAnsi="Calibri"/>
      <w:kern w:val="0"/>
      <w:sz w:val="18"/>
      <w:szCs w:val="18"/>
    </w:rPr>
  </w:style>
  <w:style w:type="paragraph" w:styleId="9">
    <w:name w:val="header"/>
    <w:basedOn w:val="1"/>
    <w:link w:val="19"/>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0">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1">
    <w:name w:val="toc 2"/>
    <w:basedOn w:val="1"/>
    <w:next w:val="1"/>
    <w:unhideWhenUsed/>
    <w:qFormat/>
    <w:uiPriority w:val="39"/>
    <w:pPr>
      <w:tabs>
        <w:tab w:val="right" w:leader="dot" w:pos="8296"/>
      </w:tabs>
      <w:ind w:left="420" w:leftChars="200"/>
    </w:p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5">
    <w:name w:val="Strong"/>
    <w:basedOn w:val="14"/>
    <w:qFormat/>
    <w:uiPriority w:val="99"/>
    <w:rPr>
      <w:b/>
    </w:rPr>
  </w:style>
  <w:style w:type="character" w:styleId="16">
    <w:name w:val="page number"/>
    <w:basedOn w:val="14"/>
    <w:qFormat/>
    <w:uiPriority w:val="0"/>
  </w:style>
  <w:style w:type="character" w:styleId="17">
    <w:name w:val="Hyperlink"/>
    <w:basedOn w:val="14"/>
    <w:unhideWhenUsed/>
    <w:qFormat/>
    <w:uiPriority w:val="99"/>
    <w:rPr>
      <w:color w:val="0000FF" w:themeColor="hyperlink"/>
      <w:u w:val="single"/>
      <w14:textFill>
        <w14:solidFill>
          <w14:schemeClr w14:val="hlink"/>
        </w14:solidFill>
      </w14:textFill>
    </w:rPr>
  </w:style>
  <w:style w:type="character" w:customStyle="1" w:styleId="18">
    <w:name w:val="Header Char"/>
    <w:basedOn w:val="14"/>
    <w:semiHidden/>
    <w:qFormat/>
    <w:uiPriority w:val="99"/>
    <w:rPr>
      <w:rFonts w:ascii="Times New Roman" w:hAnsi="Times New Roman"/>
      <w:sz w:val="18"/>
      <w:szCs w:val="18"/>
    </w:rPr>
  </w:style>
  <w:style w:type="character" w:customStyle="1" w:styleId="19">
    <w:name w:val="页眉 Char"/>
    <w:link w:val="9"/>
    <w:semiHidden/>
    <w:qFormat/>
    <w:locked/>
    <w:uiPriority w:val="99"/>
    <w:rPr>
      <w:sz w:val="18"/>
    </w:rPr>
  </w:style>
  <w:style w:type="character" w:customStyle="1" w:styleId="20">
    <w:name w:val="Footer Char"/>
    <w:basedOn w:val="14"/>
    <w:semiHidden/>
    <w:qFormat/>
    <w:uiPriority w:val="99"/>
    <w:rPr>
      <w:rFonts w:ascii="Times New Roman" w:hAnsi="Times New Roman"/>
      <w:sz w:val="18"/>
      <w:szCs w:val="18"/>
    </w:rPr>
  </w:style>
  <w:style w:type="character" w:customStyle="1" w:styleId="21">
    <w:name w:val="页脚 Char"/>
    <w:link w:val="8"/>
    <w:qFormat/>
    <w:locked/>
    <w:uiPriority w:val="99"/>
    <w:rPr>
      <w:sz w:val="18"/>
    </w:rPr>
  </w:style>
  <w:style w:type="character" w:customStyle="1" w:styleId="22">
    <w:name w:val="Body Text Char"/>
    <w:basedOn w:val="14"/>
    <w:semiHidden/>
    <w:qFormat/>
    <w:uiPriority w:val="99"/>
    <w:rPr>
      <w:rFonts w:ascii="Times New Roman" w:hAnsi="Times New Roman"/>
      <w:szCs w:val="24"/>
    </w:rPr>
  </w:style>
  <w:style w:type="character" w:customStyle="1" w:styleId="23">
    <w:name w:val="正文文本 Char"/>
    <w:link w:val="5"/>
    <w:qFormat/>
    <w:locked/>
    <w:uiPriority w:val="99"/>
    <w:rPr>
      <w:rFonts w:ascii="仿宋_GB2312" w:hAnsi="Times New Roman" w:eastAsia="仿宋_GB2312"/>
      <w:sz w:val="24"/>
    </w:rPr>
  </w:style>
  <w:style w:type="paragraph" w:customStyle="1" w:styleId="24">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5">
    <w:name w:val="List Paragraph"/>
    <w:basedOn w:val="1"/>
    <w:qFormat/>
    <w:uiPriority w:val="34"/>
    <w:pPr>
      <w:ind w:firstLine="420" w:firstLineChars="200"/>
    </w:pPr>
  </w:style>
  <w:style w:type="character" w:customStyle="1" w:styleId="26">
    <w:name w:val="标题 1 Char"/>
    <w:basedOn w:val="14"/>
    <w:link w:val="2"/>
    <w:qFormat/>
    <w:uiPriority w:val="9"/>
    <w:rPr>
      <w:rFonts w:ascii="Times New Roman" w:hAnsi="Times New Roman"/>
      <w:b/>
      <w:bCs/>
      <w:kern w:val="44"/>
      <w:sz w:val="44"/>
      <w:szCs w:val="44"/>
    </w:rPr>
  </w:style>
  <w:style w:type="character" w:customStyle="1" w:styleId="27">
    <w:name w:val="标题 2 Char"/>
    <w:basedOn w:val="14"/>
    <w:link w:val="3"/>
    <w:qFormat/>
    <w:uiPriority w:val="9"/>
    <w:rPr>
      <w:rFonts w:asciiTheme="majorHAnsi" w:hAnsiTheme="majorHAnsi" w:eastAsiaTheme="majorEastAsia" w:cstheme="majorBidi"/>
      <w:b/>
      <w:bCs/>
      <w:kern w:val="2"/>
      <w:sz w:val="32"/>
      <w:szCs w:val="32"/>
    </w:rPr>
  </w:style>
  <w:style w:type="paragraph" w:customStyle="1" w:styleId="28">
    <w:name w:val="TOC Heading"/>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29">
    <w:name w:val="批注框文本 Char"/>
    <w:basedOn w:val="14"/>
    <w:link w:val="7"/>
    <w:semiHidden/>
    <w:qFormat/>
    <w:uiPriority w:val="99"/>
    <w:rPr>
      <w:rFonts w:ascii="Times New Roman" w:hAnsi="Times New Roman"/>
      <w:kern w:val="2"/>
      <w:sz w:val="18"/>
      <w:szCs w:val="18"/>
    </w:rPr>
  </w:style>
  <w:style w:type="character" w:customStyle="1" w:styleId="30">
    <w:name w:val="标题 3 Char"/>
    <w:basedOn w:val="14"/>
    <w:link w:val="4"/>
    <w:qFormat/>
    <w:uiPriority w:val="9"/>
    <w:rPr>
      <w:rFonts w:ascii="Times New Roman" w:hAnsi="Times New Roman"/>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3.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package" Target="../embeddings/Workbook7.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6.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7.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en-US" altLang="zh-CN"/>
              <a:t>2017-2018</a:t>
            </a:r>
            <a:r>
              <a:rPr altLang="en-US"/>
              <a:t>部门决算收入、支出柱状图</a:t>
            </a:r>
            <a:endParaRPr altLang="en-US"/>
          </a:p>
        </c:rich>
      </c:tx>
      <c:layout>
        <c:manualLayout>
          <c:xMode val="edge"/>
          <c:yMode val="edge"/>
          <c:x val="0.21975"/>
          <c:y val="0.0173697270471464"/>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2017年决算收入、支出</c:v>
                </c:pt>
              </c:strCache>
            </c:strRef>
          </c:tx>
          <c:spPr>
            <a:solidFill>
              <a:schemeClr val="accent1"/>
            </a:solidFill>
            <a:ln>
              <a:noFill/>
            </a:ln>
            <a:effectLst/>
          </c:spPr>
          <c:invertIfNegative val="0"/>
          <c:dLbls>
            <c:delete val="1"/>
          </c:dLbls>
          <c:cat>
            <c:strRef>
              <c:f>Sheet1!$A$2:$A$4</c:f>
              <c:strCache>
                <c:ptCount val="3"/>
                <c:pt idx="0">
                  <c:v>2017、2018年决算收入</c:v>
                </c:pt>
                <c:pt idx="2">
                  <c:v>2017、2018年决算支出</c:v>
                </c:pt>
              </c:strCache>
            </c:strRef>
          </c:cat>
          <c:val>
            <c:numRef>
              <c:f>Sheet1!$B$2:$B$4</c:f>
              <c:numCache>
                <c:formatCode>General</c:formatCode>
                <c:ptCount val="3"/>
                <c:pt idx="0">
                  <c:v>133.54</c:v>
                </c:pt>
                <c:pt idx="2">
                  <c:v>140.15</c:v>
                </c:pt>
              </c:numCache>
            </c:numRef>
          </c:val>
        </c:ser>
        <c:ser>
          <c:idx val="2"/>
          <c:order val="1"/>
          <c:tx>
            <c:strRef>
              <c:f>Sheet1!$D$1</c:f>
              <c:strCache>
                <c:ptCount val="1"/>
                <c:pt idx="0">
                  <c:v>2018年决算收入、支出</c:v>
                </c:pt>
              </c:strCache>
            </c:strRef>
          </c:tx>
          <c:spPr>
            <a:solidFill>
              <a:schemeClr val="accent3"/>
            </a:solidFill>
            <a:ln>
              <a:noFill/>
            </a:ln>
            <a:effectLst/>
          </c:spPr>
          <c:invertIfNegative val="0"/>
          <c:dLbls>
            <c:delete val="1"/>
          </c:dLbls>
          <c:cat>
            <c:strRef>
              <c:f>Sheet1!$A$2:$A$4</c:f>
              <c:strCache>
                <c:ptCount val="3"/>
                <c:pt idx="0">
                  <c:v>2017、2018年决算收入</c:v>
                </c:pt>
                <c:pt idx="2">
                  <c:v>2017、2018年决算支出</c:v>
                </c:pt>
              </c:strCache>
            </c:strRef>
          </c:cat>
          <c:val>
            <c:numRef>
              <c:f>Sheet1!$D$2:$D$5</c:f>
              <c:numCache>
                <c:formatCode>General</c:formatCode>
                <c:ptCount val="4"/>
                <c:pt idx="0">
                  <c:v>161.51</c:v>
                </c:pt>
                <c:pt idx="2">
                  <c:v>158.87</c:v>
                </c:pt>
              </c:numCache>
            </c:numRef>
          </c:val>
        </c:ser>
        <c:dLbls>
          <c:showLegendKey val="0"/>
          <c:showVal val="0"/>
          <c:showCatName val="0"/>
          <c:showSerName val="0"/>
          <c:showPercent val="0"/>
          <c:showBubbleSize val="0"/>
        </c:dLbls>
        <c:gapWidth val="219"/>
        <c:overlap val="-27"/>
        <c:axId val="143348828"/>
        <c:axId val="434858630"/>
      </c:barChart>
      <c:catAx>
        <c:axId val="14334882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34858630"/>
        <c:crosses val="autoZero"/>
        <c:auto val="1"/>
        <c:lblAlgn val="ctr"/>
        <c:lblOffset val="100"/>
        <c:noMultiLvlLbl val="0"/>
      </c:catAx>
      <c:valAx>
        <c:axId val="43485863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43348828"/>
        <c:crosses val="autoZero"/>
        <c:crossBetween val="between"/>
      </c:valAx>
      <c:spPr>
        <a:noFill/>
        <a:ln>
          <a:noFill/>
        </a:ln>
        <a:effectLst/>
      </c:spPr>
    </c:plotArea>
    <c:legend>
      <c:legendPos val="b"/>
      <c:layout>
        <c:manualLayout>
          <c:xMode val="edge"/>
          <c:yMode val="edge"/>
          <c:x val="0.1055"/>
          <c:y val="0.907196029776675"/>
          <c:w val="0.751875"/>
          <c:h val="0.0878411910669975"/>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销售额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ctr"/>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一般公共预算财政拨款收入</c:v>
                </c:pt>
                <c:pt idx="1">
                  <c:v>其他收入</c:v>
                </c:pt>
              </c:strCache>
            </c:strRef>
          </c:cat>
          <c:val>
            <c:numRef>
              <c:f>Sheet1!$B$2:$B$5</c:f>
              <c:numCache>
                <c:formatCode>General</c:formatCode>
                <c:ptCount val="4"/>
                <c:pt idx="0">
                  <c:v>160.42</c:v>
                </c:pt>
                <c:pt idx="1">
                  <c:v>1.09</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en-US" altLang="zh-CN"/>
              <a:t>2018</a:t>
            </a:r>
            <a:r>
              <a:rPr altLang="en-US"/>
              <a:t>年支出</a:t>
            </a:r>
            <a:endParaRPr altLang="en-US"/>
          </a:p>
        </c:rich>
      </c:tx>
      <c:layout/>
      <c:overlay val="0"/>
      <c:spPr>
        <a:noFill/>
        <a:ln>
          <a:noFill/>
        </a:ln>
        <a:effectLst/>
      </c:spPr>
    </c:title>
    <c:autoTitleDeleted val="0"/>
    <c:plotArea>
      <c:layout/>
      <c:pieChart>
        <c:varyColors val="1"/>
        <c:ser>
          <c:idx val="0"/>
          <c:order val="0"/>
          <c:tx>
            <c:strRef>
              <c:f>Sheet1!$B$1</c:f>
              <c:strCache>
                <c:ptCount val="1"/>
                <c:pt idx="0">
                  <c:v>销售额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基本支出</c:v>
                </c:pt>
                <c:pt idx="1">
                  <c:v>项目支出</c:v>
                </c:pt>
              </c:strCache>
            </c:strRef>
          </c:cat>
          <c:val>
            <c:numRef>
              <c:f>Sheet1!$B$2:$B$5</c:f>
              <c:numCache>
                <c:formatCode>General</c:formatCode>
                <c:ptCount val="4"/>
                <c:pt idx="0">
                  <c:v>158.87</c:v>
                </c:pt>
                <c:pt idx="1">
                  <c:v>3</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en-US" altLang="zh-CN"/>
              <a:t>2017</a:t>
            </a:r>
            <a:r>
              <a:rPr altLang="zh-CN"/>
              <a:t>、</a:t>
            </a:r>
            <a:r>
              <a:rPr lang="en-US" altLang="zh-CN"/>
              <a:t>2018</a:t>
            </a:r>
            <a:r>
              <a:rPr altLang="en-US"/>
              <a:t>年财政收入、支出</a:t>
            </a:r>
            <a:endParaRPr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2017年财政拨款收入</c:v>
                </c:pt>
                <c:pt idx="1">
                  <c:v>2018年财政拨款收入</c:v>
                </c:pt>
                <c:pt idx="2">
                  <c:v>2017年支出</c:v>
                </c:pt>
                <c:pt idx="3">
                  <c:v>2018年支出</c:v>
                </c:pt>
              </c:strCache>
            </c:strRef>
          </c:cat>
          <c:val>
            <c:numRef>
              <c:f>Sheet1!$B$2:$B$5</c:f>
              <c:numCache>
                <c:formatCode>General</c:formatCode>
                <c:ptCount val="4"/>
                <c:pt idx="0">
                  <c:v>133.54</c:v>
                </c:pt>
                <c:pt idx="1">
                  <c:v>161.51</c:v>
                </c:pt>
                <c:pt idx="2">
                  <c:v>140.15</c:v>
                </c:pt>
                <c:pt idx="3">
                  <c:v>158.87</c:v>
                </c:pt>
              </c:numCache>
            </c:numRef>
          </c:val>
        </c:ser>
        <c:dLbls>
          <c:showLegendKey val="0"/>
          <c:showVal val="1"/>
          <c:showCatName val="0"/>
          <c:showSerName val="0"/>
          <c:showPercent val="0"/>
          <c:showBubbleSize val="0"/>
        </c:dLbls>
        <c:gapWidth val="219"/>
        <c:overlap val="-27"/>
        <c:axId val="367510859"/>
        <c:axId val="411879092"/>
      </c:barChart>
      <c:catAx>
        <c:axId val="367510859"/>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11879092"/>
        <c:crosses val="autoZero"/>
        <c:auto val="1"/>
        <c:lblAlgn val="ctr"/>
        <c:lblOffset val="100"/>
        <c:noMultiLvlLbl val="0"/>
      </c:catAx>
      <c:valAx>
        <c:axId val="4118790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67510859"/>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en-US" altLang="zh-CN"/>
              <a:t>2017</a:t>
            </a:r>
            <a:r>
              <a:rPr altLang="en-US"/>
              <a:t>、</a:t>
            </a:r>
            <a:r>
              <a:rPr lang="en-US" altLang="zh-CN"/>
              <a:t>2018</a:t>
            </a:r>
            <a:r>
              <a:rPr altLang="en-US"/>
              <a:t>年财政拨款支出</a:t>
            </a:r>
            <a:endParaRPr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系列 1</c:v>
                </c:pt>
              </c:strCache>
            </c:strRef>
          </c:tx>
          <c:spPr>
            <a:solidFill>
              <a:schemeClr val="accent1"/>
            </a:solidFill>
            <a:ln>
              <a:noFill/>
            </a:ln>
            <a:effectLst/>
          </c:spPr>
          <c:invertIfNegative val="0"/>
          <c:dLbls>
            <c:delete val="1"/>
          </c:dLbls>
          <c:cat>
            <c:strRef>
              <c:f>Sheet1!$A$2:$A$5</c:f>
              <c:strCache>
                <c:ptCount val="4"/>
                <c:pt idx="0">
                  <c:v>2018年支出</c:v>
                </c:pt>
                <c:pt idx="2">
                  <c:v>2017年支出</c:v>
                </c:pt>
              </c:strCache>
            </c:strRef>
          </c:cat>
          <c:val>
            <c:numRef>
              <c:f>Sheet1!$B$2:$B$5</c:f>
              <c:numCache>
                <c:formatCode>General</c:formatCode>
                <c:ptCount val="4"/>
                <c:pt idx="0">
                  <c:v>158.87</c:v>
                </c:pt>
                <c:pt idx="2">
                  <c:v>140.15</c:v>
                </c:pt>
              </c:numCache>
            </c:numRef>
          </c:val>
        </c:ser>
        <c:dLbls>
          <c:showLegendKey val="0"/>
          <c:showVal val="0"/>
          <c:showCatName val="0"/>
          <c:showSerName val="0"/>
          <c:showPercent val="0"/>
          <c:showBubbleSize val="0"/>
        </c:dLbls>
        <c:gapWidth val="219"/>
        <c:overlap val="-27"/>
        <c:axId val="527611196"/>
        <c:axId val="564165407"/>
      </c:barChart>
      <c:catAx>
        <c:axId val="52761119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64165407"/>
        <c:crosses val="autoZero"/>
        <c:auto val="1"/>
        <c:lblAlgn val="ctr"/>
        <c:lblOffset val="100"/>
        <c:noMultiLvlLbl val="0"/>
      </c:catAx>
      <c:valAx>
        <c:axId val="5641654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2761119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一般公共预算财政拨款支出决算结构情况</a:t>
            </a:r>
          </a:p>
        </c:rich>
      </c:tx>
      <c:layout/>
      <c:overlay val="0"/>
      <c:spPr>
        <a:noFill/>
        <a:ln>
          <a:noFill/>
        </a:ln>
        <a:effectLst/>
      </c:spPr>
    </c:title>
    <c:autoTitleDeleted val="0"/>
    <c:plotArea>
      <c:layout/>
      <c:pieChart>
        <c:varyColors val="1"/>
        <c:ser>
          <c:idx val="0"/>
          <c:order val="0"/>
          <c:tx>
            <c:strRef>
              <c:f>Sheet1!$B$1</c:f>
              <c:strCache>
                <c:ptCount val="1"/>
                <c:pt idx="0">
                  <c:v>0</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社会保障和就业支出</c:v>
                </c:pt>
                <c:pt idx="1">
                  <c:v>医疗卫生与计划生育支出</c:v>
                </c:pt>
                <c:pt idx="2">
                  <c:v>住房保障支出</c:v>
                </c:pt>
                <c:pt idx="3">
                  <c:v>项目支出</c:v>
                </c:pt>
              </c:strCache>
            </c:strRef>
          </c:cat>
          <c:val>
            <c:numRef>
              <c:f>Sheet1!$B$2:$B$5</c:f>
              <c:numCache>
                <c:formatCode>General</c:formatCode>
                <c:ptCount val="4"/>
                <c:pt idx="0">
                  <c:v>21.12</c:v>
                </c:pt>
                <c:pt idx="1">
                  <c:v>127.89</c:v>
                </c:pt>
                <c:pt idx="2">
                  <c:v>9.86</c:v>
                </c:pt>
                <c:pt idx="3">
                  <c:v>3</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en-US" altLang="zh-CN"/>
              <a:t>“</a:t>
            </a:r>
            <a:r>
              <a:rPr altLang="en-US"/>
              <a:t>三公</a:t>
            </a:r>
            <a:r>
              <a:rPr lang="en-US" altLang="zh-CN"/>
              <a:t>”</a:t>
            </a:r>
            <a:r>
              <a:rPr altLang="en-US"/>
              <a:t>经费财政拨款支出决算具体情况</a:t>
            </a:r>
            <a:endParaRPr altLang="en-US"/>
          </a:p>
        </c:rich>
      </c:tx>
      <c:layout/>
      <c:overlay val="0"/>
      <c:spPr>
        <a:noFill/>
        <a:ln>
          <a:noFill/>
        </a:ln>
        <a:effectLst/>
      </c:spPr>
    </c:title>
    <c:autoTitleDeleted val="0"/>
    <c:plotArea>
      <c:layout/>
      <c:pieChart>
        <c:varyColors val="1"/>
        <c:ser>
          <c:idx val="0"/>
          <c:order val="0"/>
          <c:tx>
            <c:strRef>
              <c:f>Sheet1!$B$1</c:f>
              <c:strCache>
                <c:ptCount val="1"/>
                <c:pt idx="0">
                  <c:v>销售额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因公出国（境）费支出</c:v>
                </c:pt>
                <c:pt idx="1">
                  <c:v>公务用车购置及运行维护费支出</c:v>
                </c:pt>
                <c:pt idx="2">
                  <c:v>公务接待费支出</c:v>
                </c:pt>
              </c:strCache>
            </c:strRef>
          </c:cat>
          <c:val>
            <c:numRef>
              <c:f>Sheet1!$B$2:$B$5</c:f>
              <c:numCache>
                <c:formatCode>General</c:formatCode>
                <c:ptCount val="4"/>
                <c:pt idx="0">
                  <c:v>0</c:v>
                </c:pt>
                <c:pt idx="1">
                  <c:v>2.65</c:v>
                </c:pt>
                <c:pt idx="2">
                  <c:v>0.65</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5EE963-AE7E-4F3B-BBF1-9AF15C920BB6}">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22</Pages>
  <Words>1441</Words>
  <Characters>8219</Characters>
  <Lines>68</Lines>
  <Paragraphs>19</Paragraphs>
  <TotalTime>1</TotalTime>
  <ScaleCrop>false</ScaleCrop>
  <LinksUpToDate>false</LinksUpToDate>
  <CharactersWithSpaces>9641</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2019-08-01T01:14:00Z</dcterms:created>
  <dc:creator>张彬茜</dc:creator>
  <cp:lastModifiedBy>Administrator</cp:lastModifiedBy>
  <cp:lastPrinted>2019-08-19T03:42:00Z</cp:lastPrinted>
  <dcterms:modified xsi:type="dcterms:W3CDTF">2021-02-26T07:44:49Z</dcterms:modified>
  <dc:title>四川省***</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